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B6A" w:rsidRPr="00EE1554" w:rsidRDefault="00517B6A" w:rsidP="00517B6A">
      <w:pPr>
        <w:pStyle w:val="BodyText"/>
        <w:jc w:val="center"/>
        <w:rPr>
          <w:rFonts w:cs="Arial"/>
          <w:b/>
          <w:smallCaps/>
          <w:sz w:val="32"/>
          <w:szCs w:val="32"/>
        </w:rPr>
      </w:pPr>
      <w:bookmarkStart w:id="0" w:name="_Toc381606702"/>
      <w:bookmarkStart w:id="1" w:name="_Toc385406742"/>
      <w:bookmarkStart w:id="2" w:name="_GoBack"/>
      <w:bookmarkEnd w:id="2"/>
      <w:r w:rsidRPr="00EE1554">
        <w:rPr>
          <w:rFonts w:cs="Arial"/>
          <w:b/>
          <w:smallCaps/>
          <w:sz w:val="32"/>
          <w:szCs w:val="32"/>
        </w:rPr>
        <w:t>Before</w:t>
      </w:r>
    </w:p>
    <w:p w:rsidR="00517B6A" w:rsidRPr="00EE1554" w:rsidRDefault="00517B6A" w:rsidP="00517B6A">
      <w:pPr>
        <w:jc w:val="center"/>
        <w:rPr>
          <w:rFonts w:ascii="Arial" w:hAnsi="Arial" w:cs="Arial"/>
          <w:b/>
          <w:smallCaps/>
          <w:sz w:val="32"/>
          <w:szCs w:val="32"/>
        </w:rPr>
      </w:pPr>
      <w:r w:rsidRPr="00EE1554">
        <w:rPr>
          <w:rFonts w:ascii="Arial" w:hAnsi="Arial" w:cs="Arial"/>
          <w:b/>
          <w:smallCaps/>
          <w:sz w:val="32"/>
          <w:szCs w:val="32"/>
        </w:rPr>
        <w:t>The Public Utilities Commission of Ohio</w:t>
      </w:r>
    </w:p>
    <w:p w:rsidR="00517B6A" w:rsidRDefault="00517B6A" w:rsidP="00517B6A">
      <w:pPr>
        <w:jc w:val="center"/>
        <w:rPr>
          <w:rFonts w:ascii="Arial" w:hAnsi="Arial" w:cs="Arial"/>
          <w:b/>
        </w:rPr>
      </w:pPr>
    </w:p>
    <w:p w:rsidR="00517B6A" w:rsidRPr="00EE1554" w:rsidRDefault="00517B6A" w:rsidP="00517B6A">
      <w:pPr>
        <w:jc w:val="center"/>
        <w:rPr>
          <w:rFonts w:ascii="Arial" w:hAnsi="Arial" w:cs="Arial"/>
          <w:b/>
        </w:rPr>
      </w:pPr>
    </w:p>
    <w:p w:rsidR="00517B6A" w:rsidRPr="003E227A" w:rsidRDefault="00517B6A" w:rsidP="00517B6A">
      <w:pPr>
        <w:tabs>
          <w:tab w:val="left" w:pos="4680"/>
          <w:tab w:val="left" w:pos="5220"/>
        </w:tabs>
        <w:autoSpaceDE w:val="0"/>
        <w:autoSpaceDN w:val="0"/>
        <w:adjustRightInd w:val="0"/>
        <w:rPr>
          <w:rFonts w:ascii="Arial" w:eastAsiaTheme="minorHAnsi" w:hAnsi="Arial" w:cs="Arial"/>
          <w:bCs/>
        </w:rPr>
      </w:pPr>
      <w:r w:rsidRPr="003E227A">
        <w:rPr>
          <w:rFonts w:ascii="Arial" w:eastAsiaTheme="minorHAnsi" w:hAnsi="Arial" w:cs="Arial"/>
          <w:bCs/>
        </w:rPr>
        <w:t xml:space="preserve">In the Matter of the Application of </w:t>
      </w:r>
      <w:r w:rsidRPr="003E227A">
        <w:rPr>
          <w:rFonts w:ascii="Arial" w:eastAsiaTheme="minorHAnsi" w:hAnsi="Arial" w:cs="Arial"/>
          <w:bCs/>
        </w:rPr>
        <w:tab/>
        <w:t>)</w:t>
      </w:r>
    </w:p>
    <w:p w:rsidR="00517B6A" w:rsidRPr="003E227A" w:rsidRDefault="00517B6A" w:rsidP="00517B6A">
      <w:pPr>
        <w:tabs>
          <w:tab w:val="left" w:pos="4680"/>
          <w:tab w:val="left" w:pos="5220"/>
        </w:tabs>
        <w:autoSpaceDE w:val="0"/>
        <w:autoSpaceDN w:val="0"/>
        <w:adjustRightInd w:val="0"/>
        <w:rPr>
          <w:rFonts w:ascii="Arial" w:eastAsiaTheme="minorHAnsi" w:hAnsi="Arial" w:cs="Arial"/>
          <w:bCs/>
        </w:rPr>
      </w:pPr>
      <w:r w:rsidRPr="003E227A">
        <w:rPr>
          <w:rFonts w:ascii="Arial" w:eastAsiaTheme="minorHAnsi" w:hAnsi="Arial" w:cs="Arial"/>
          <w:bCs/>
        </w:rPr>
        <w:t>Ohio Power Company to Adjust</w:t>
      </w:r>
      <w:r w:rsidRPr="003E227A">
        <w:rPr>
          <w:rFonts w:ascii="Arial" w:eastAsiaTheme="minorHAnsi" w:hAnsi="Arial" w:cs="Arial"/>
          <w:bCs/>
        </w:rPr>
        <w:tab/>
        <w:t>)</w:t>
      </w:r>
      <w:r w:rsidRPr="003E227A">
        <w:rPr>
          <w:rFonts w:ascii="Arial" w:eastAsiaTheme="minorHAnsi" w:hAnsi="Arial" w:cs="Arial"/>
          <w:bCs/>
        </w:rPr>
        <w:tab/>
        <w:t>Case No. 16-260-EL-RDR</w:t>
      </w:r>
    </w:p>
    <w:p w:rsidR="00517B6A" w:rsidRPr="003E227A" w:rsidRDefault="00517B6A" w:rsidP="00517B6A">
      <w:pPr>
        <w:tabs>
          <w:tab w:val="left" w:pos="4680"/>
          <w:tab w:val="left" w:pos="5220"/>
        </w:tabs>
        <w:autoSpaceDE w:val="0"/>
        <w:autoSpaceDN w:val="0"/>
        <w:adjustRightInd w:val="0"/>
        <w:rPr>
          <w:rFonts w:ascii="Arial" w:eastAsiaTheme="minorHAnsi" w:hAnsi="Arial" w:cs="Arial"/>
          <w:bCs/>
        </w:rPr>
      </w:pPr>
      <w:r w:rsidRPr="003E227A">
        <w:rPr>
          <w:rFonts w:ascii="Arial" w:eastAsiaTheme="minorHAnsi" w:hAnsi="Arial" w:cs="Arial"/>
          <w:bCs/>
        </w:rPr>
        <w:t>The Economic Development Cost</w:t>
      </w:r>
      <w:r w:rsidRPr="003E227A">
        <w:rPr>
          <w:rFonts w:ascii="Arial" w:eastAsiaTheme="minorHAnsi" w:hAnsi="Arial" w:cs="Arial"/>
          <w:bCs/>
        </w:rPr>
        <w:tab/>
        <w:t>)</w:t>
      </w:r>
    </w:p>
    <w:p w:rsidR="00517B6A" w:rsidRPr="003E227A" w:rsidRDefault="00517B6A" w:rsidP="00517B6A">
      <w:pPr>
        <w:tabs>
          <w:tab w:val="left" w:pos="4680"/>
          <w:tab w:val="left" w:pos="5220"/>
        </w:tabs>
        <w:autoSpaceDE w:val="0"/>
        <w:autoSpaceDN w:val="0"/>
        <w:adjustRightInd w:val="0"/>
        <w:rPr>
          <w:rFonts w:ascii="Arial" w:hAnsi="Arial" w:cs="Arial"/>
        </w:rPr>
      </w:pPr>
      <w:r w:rsidRPr="003E227A">
        <w:rPr>
          <w:rFonts w:ascii="Arial" w:eastAsiaTheme="minorHAnsi" w:hAnsi="Arial" w:cs="Arial"/>
          <w:bCs/>
        </w:rPr>
        <w:t xml:space="preserve">Recovery Rider Rate </w:t>
      </w:r>
      <w:r w:rsidRPr="003E227A">
        <w:rPr>
          <w:rFonts w:ascii="Arial" w:eastAsiaTheme="minorHAnsi" w:hAnsi="Arial" w:cs="Arial"/>
          <w:bCs/>
        </w:rPr>
        <w:tab/>
        <w:t>)</w:t>
      </w:r>
    </w:p>
    <w:p w:rsidR="00517B6A" w:rsidRPr="00EE1554" w:rsidRDefault="00517B6A" w:rsidP="00517B6A">
      <w:pPr>
        <w:jc w:val="both"/>
        <w:rPr>
          <w:rFonts w:ascii="Arial" w:hAnsi="Arial" w:cs="Arial"/>
        </w:rPr>
      </w:pPr>
    </w:p>
    <w:p w:rsidR="00517B6A" w:rsidRPr="00EE1554" w:rsidRDefault="00517B6A" w:rsidP="00517B6A">
      <w:pPr>
        <w:jc w:val="both"/>
        <w:rPr>
          <w:rFonts w:ascii="Arial" w:hAnsi="Arial" w:cs="Arial"/>
        </w:rPr>
      </w:pPr>
    </w:p>
    <w:p w:rsidR="00517B6A" w:rsidRPr="00EE1554" w:rsidRDefault="00517B6A" w:rsidP="00517B6A">
      <w:pPr>
        <w:jc w:val="both"/>
        <w:rPr>
          <w:rFonts w:ascii="Arial" w:hAnsi="Arial" w:cs="Arial"/>
        </w:rPr>
      </w:pPr>
    </w:p>
    <w:p w:rsidR="00517B6A" w:rsidRPr="00EE1554" w:rsidRDefault="00517B6A" w:rsidP="00517B6A">
      <w:pPr>
        <w:pStyle w:val="Title"/>
        <w:jc w:val="left"/>
        <w:rPr>
          <w:rFonts w:cs="Arial"/>
          <w:b w:val="0"/>
        </w:rPr>
      </w:pPr>
    </w:p>
    <w:p w:rsidR="00517B6A" w:rsidRPr="00EE1554" w:rsidRDefault="00517B6A" w:rsidP="00517B6A">
      <w:pPr>
        <w:pBdr>
          <w:top w:val="single" w:sz="12" w:space="1" w:color="auto"/>
        </w:pBdr>
        <w:tabs>
          <w:tab w:val="left" w:pos="7320"/>
        </w:tabs>
        <w:jc w:val="both"/>
        <w:rPr>
          <w:rFonts w:ascii="Arial" w:hAnsi="Arial" w:cs="Arial"/>
        </w:rPr>
      </w:pPr>
    </w:p>
    <w:p w:rsidR="00517B6A" w:rsidRPr="000439D1" w:rsidRDefault="00517B6A" w:rsidP="00517B6A">
      <w:pPr>
        <w:pStyle w:val="Title"/>
        <w:rPr>
          <w:rFonts w:ascii="Arial Bold" w:hAnsi="Arial Bold"/>
          <w:smallCaps/>
          <w:sz w:val="32"/>
        </w:rPr>
      </w:pPr>
      <w:r>
        <w:rPr>
          <w:rFonts w:ascii="Arial Bold" w:hAnsi="Arial Bold"/>
          <w:smallCaps/>
          <w:sz w:val="32"/>
        </w:rPr>
        <w:t>Motion of Eramet Marietta</w:t>
      </w:r>
      <w:r w:rsidRPr="000439D1">
        <w:rPr>
          <w:rFonts w:ascii="Arial Bold" w:hAnsi="Arial Bold"/>
          <w:smallCaps/>
          <w:sz w:val="32"/>
        </w:rPr>
        <w:t xml:space="preserve"> Inc. to Extend The</w:t>
      </w:r>
    </w:p>
    <w:p w:rsidR="00517B6A" w:rsidRPr="000439D1" w:rsidRDefault="00517B6A" w:rsidP="00517B6A">
      <w:pPr>
        <w:pStyle w:val="Title"/>
        <w:rPr>
          <w:rFonts w:ascii="Arial Bold" w:hAnsi="Arial Bold"/>
          <w:smallCaps/>
          <w:sz w:val="32"/>
        </w:rPr>
      </w:pPr>
      <w:r w:rsidRPr="000439D1">
        <w:rPr>
          <w:rFonts w:ascii="Arial Bold" w:hAnsi="Arial Bold"/>
          <w:smallCaps/>
          <w:sz w:val="32"/>
        </w:rPr>
        <w:t>Protective Order and Memorandum In Support</w:t>
      </w:r>
    </w:p>
    <w:p w:rsidR="00517B6A" w:rsidRPr="00EE1554" w:rsidRDefault="00517B6A" w:rsidP="00517B6A">
      <w:pPr>
        <w:pBdr>
          <w:bottom w:val="single" w:sz="12" w:space="1" w:color="auto"/>
        </w:pBdr>
        <w:tabs>
          <w:tab w:val="left" w:pos="7320"/>
        </w:tabs>
        <w:jc w:val="center"/>
        <w:rPr>
          <w:rFonts w:ascii="Arial" w:hAnsi="Arial" w:cs="Arial"/>
        </w:rPr>
      </w:pPr>
    </w:p>
    <w:p w:rsidR="00517B6A" w:rsidRPr="00EE1554" w:rsidRDefault="00517B6A" w:rsidP="00517B6A">
      <w:pPr>
        <w:pStyle w:val="Title"/>
        <w:rPr>
          <w:rFonts w:cs="Arial"/>
        </w:rPr>
      </w:pPr>
    </w:p>
    <w:p w:rsidR="00517B6A" w:rsidRPr="00EE1554" w:rsidRDefault="00517B6A" w:rsidP="00517B6A">
      <w:pPr>
        <w:pStyle w:val="Title"/>
        <w:jc w:val="left"/>
        <w:rPr>
          <w:rFonts w:cs="Arial"/>
          <w:b w:val="0"/>
        </w:rPr>
      </w:pPr>
    </w:p>
    <w:p w:rsidR="00517B6A" w:rsidRPr="00EE1554" w:rsidRDefault="00517B6A" w:rsidP="00517B6A">
      <w:pPr>
        <w:pStyle w:val="Title"/>
        <w:jc w:val="left"/>
        <w:rPr>
          <w:rFonts w:cs="Arial"/>
          <w:b w:val="0"/>
        </w:rPr>
      </w:pPr>
    </w:p>
    <w:p w:rsidR="00517B6A" w:rsidRPr="00EE1554" w:rsidRDefault="00517B6A" w:rsidP="00517B6A">
      <w:pPr>
        <w:pStyle w:val="Title"/>
        <w:jc w:val="left"/>
        <w:rPr>
          <w:rFonts w:cs="Arial"/>
          <w:b w:val="0"/>
        </w:rPr>
      </w:pPr>
    </w:p>
    <w:p w:rsidR="00517B6A" w:rsidRPr="00EE1554" w:rsidRDefault="00517B6A" w:rsidP="00517B6A">
      <w:pPr>
        <w:pStyle w:val="Title"/>
        <w:jc w:val="left"/>
        <w:rPr>
          <w:rFonts w:cs="Arial"/>
          <w:b w:val="0"/>
        </w:rPr>
      </w:pPr>
    </w:p>
    <w:p w:rsidR="00517B6A" w:rsidRPr="00EE1554" w:rsidRDefault="00517B6A" w:rsidP="00517B6A">
      <w:pPr>
        <w:pStyle w:val="Title"/>
        <w:jc w:val="left"/>
        <w:rPr>
          <w:rFonts w:cs="Arial"/>
          <w:b w:val="0"/>
        </w:rPr>
      </w:pPr>
    </w:p>
    <w:p w:rsidR="00517B6A" w:rsidRPr="00EE1554" w:rsidRDefault="00517B6A" w:rsidP="00517B6A">
      <w:pPr>
        <w:pStyle w:val="Title"/>
        <w:jc w:val="left"/>
        <w:rPr>
          <w:rFonts w:cs="Arial"/>
          <w:b w:val="0"/>
        </w:rPr>
      </w:pPr>
    </w:p>
    <w:p w:rsidR="00517B6A" w:rsidRDefault="00517B6A" w:rsidP="00517B6A">
      <w:pPr>
        <w:pStyle w:val="Title"/>
        <w:jc w:val="left"/>
        <w:rPr>
          <w:rFonts w:cs="Arial"/>
          <w:b w:val="0"/>
        </w:rPr>
      </w:pPr>
    </w:p>
    <w:p w:rsidR="00517B6A" w:rsidRPr="00EE1554" w:rsidRDefault="00517B6A" w:rsidP="00517B6A">
      <w:pPr>
        <w:pStyle w:val="Title"/>
        <w:jc w:val="left"/>
        <w:rPr>
          <w:rFonts w:cs="Arial"/>
          <w:b w:val="0"/>
        </w:rPr>
      </w:pPr>
    </w:p>
    <w:p w:rsidR="00517B6A" w:rsidRDefault="00517B6A" w:rsidP="00517B6A">
      <w:pPr>
        <w:pStyle w:val="Title"/>
        <w:jc w:val="left"/>
        <w:rPr>
          <w:rFonts w:cs="Arial"/>
          <w:b w:val="0"/>
        </w:rPr>
      </w:pPr>
    </w:p>
    <w:p w:rsidR="00517B6A" w:rsidRDefault="00517B6A" w:rsidP="00517B6A">
      <w:pPr>
        <w:pStyle w:val="Title"/>
        <w:jc w:val="left"/>
        <w:rPr>
          <w:rFonts w:cs="Arial"/>
          <w:b w:val="0"/>
        </w:rPr>
      </w:pPr>
    </w:p>
    <w:p w:rsidR="00517B6A" w:rsidRPr="00EE1554" w:rsidRDefault="00517B6A" w:rsidP="00517B6A">
      <w:pPr>
        <w:pStyle w:val="Title"/>
        <w:jc w:val="left"/>
        <w:rPr>
          <w:rFonts w:cs="Arial"/>
          <w:b w:val="0"/>
        </w:rPr>
      </w:pPr>
    </w:p>
    <w:p w:rsidR="00517B6A" w:rsidRDefault="00517B6A" w:rsidP="00517B6A">
      <w:pPr>
        <w:pStyle w:val="Title"/>
        <w:jc w:val="left"/>
        <w:rPr>
          <w:rFonts w:cs="Arial"/>
          <w:b w:val="0"/>
        </w:rPr>
      </w:pPr>
    </w:p>
    <w:p w:rsidR="00517B6A" w:rsidRDefault="00517B6A" w:rsidP="00517B6A">
      <w:pPr>
        <w:pStyle w:val="Title"/>
        <w:jc w:val="left"/>
        <w:rPr>
          <w:rFonts w:cs="Arial"/>
          <w:b w:val="0"/>
        </w:rPr>
      </w:pPr>
    </w:p>
    <w:p w:rsidR="00517B6A" w:rsidRPr="00EE1554" w:rsidRDefault="00517B6A" w:rsidP="00517B6A">
      <w:pPr>
        <w:pStyle w:val="Title"/>
        <w:jc w:val="left"/>
        <w:rPr>
          <w:rFonts w:cs="Arial"/>
          <w:b w:val="0"/>
        </w:rPr>
      </w:pPr>
    </w:p>
    <w:p w:rsidR="00517B6A" w:rsidRDefault="00517B6A" w:rsidP="00517B6A">
      <w:pPr>
        <w:widowControl w:val="0"/>
        <w:tabs>
          <w:tab w:val="left" w:pos="4320"/>
        </w:tabs>
        <w:ind w:left="4320"/>
        <w:rPr>
          <w:rFonts w:ascii="Arial" w:eastAsiaTheme="minorHAnsi" w:hAnsi="Arial" w:cs="Arial"/>
        </w:rPr>
      </w:pPr>
      <w:r w:rsidRPr="00D00701">
        <w:rPr>
          <w:rFonts w:ascii="Arial" w:eastAsiaTheme="minorHAnsi" w:hAnsi="Arial" w:cs="Arial"/>
          <w:bCs/>
        </w:rPr>
        <w:t>Frank P. Darr (Reg. No. 0025469)</w:t>
      </w:r>
      <w:r w:rsidRPr="0069249F">
        <w:rPr>
          <w:rFonts w:ascii="Arial" w:eastAsiaTheme="minorHAnsi" w:hAnsi="Arial" w:cs="Arial"/>
        </w:rPr>
        <w:t xml:space="preserve"> </w:t>
      </w:r>
    </w:p>
    <w:p w:rsidR="00517B6A" w:rsidRPr="00D00701" w:rsidRDefault="00517B6A" w:rsidP="00517B6A">
      <w:pPr>
        <w:widowControl w:val="0"/>
        <w:tabs>
          <w:tab w:val="left" w:pos="4320"/>
        </w:tabs>
        <w:ind w:left="4320"/>
        <w:rPr>
          <w:rFonts w:ascii="Arial" w:eastAsiaTheme="minorHAnsi" w:hAnsi="Arial" w:cs="Arial"/>
          <w:bCs/>
        </w:rPr>
      </w:pPr>
      <w:r w:rsidRPr="00D00701">
        <w:rPr>
          <w:rFonts w:ascii="Arial" w:eastAsiaTheme="minorHAnsi" w:hAnsi="Arial" w:cs="Arial"/>
        </w:rPr>
        <w:t>(Counsel of Record)</w:t>
      </w:r>
    </w:p>
    <w:p w:rsidR="00517B6A" w:rsidRPr="00D00701" w:rsidRDefault="00517B6A" w:rsidP="00517B6A">
      <w:pPr>
        <w:widowControl w:val="0"/>
        <w:tabs>
          <w:tab w:val="left" w:pos="4320"/>
        </w:tabs>
        <w:ind w:left="4320"/>
        <w:rPr>
          <w:rFonts w:ascii="Arial" w:eastAsiaTheme="minorHAnsi" w:hAnsi="Arial" w:cs="Arial"/>
          <w:b/>
          <w:bCs/>
        </w:rPr>
      </w:pPr>
      <w:r w:rsidRPr="00D00701">
        <w:rPr>
          <w:rFonts w:ascii="Arial" w:eastAsiaTheme="minorHAnsi" w:hAnsi="Arial" w:cs="Arial"/>
          <w:bCs/>
        </w:rPr>
        <w:t>Matthew R. Pritchard (Reg. No. 0088070)</w:t>
      </w:r>
    </w:p>
    <w:p w:rsidR="00517B6A" w:rsidRPr="00D00701" w:rsidRDefault="00517B6A" w:rsidP="00517B6A">
      <w:pPr>
        <w:widowControl w:val="0"/>
        <w:tabs>
          <w:tab w:val="left" w:pos="4320"/>
        </w:tabs>
        <w:ind w:left="4320"/>
        <w:rPr>
          <w:rFonts w:ascii="Arial" w:eastAsiaTheme="minorHAnsi" w:hAnsi="Arial" w:cs="Arial"/>
          <w:b/>
          <w:bCs/>
          <w:smallCaps/>
        </w:rPr>
      </w:pPr>
      <w:r w:rsidRPr="00D00701">
        <w:rPr>
          <w:rFonts w:ascii="Arial" w:eastAsiaTheme="minorHAnsi" w:hAnsi="Arial" w:cs="Arial"/>
          <w:bCs/>
          <w:smallCaps/>
        </w:rPr>
        <w:t>McNees Wallace &amp; Nurick LLC</w:t>
      </w:r>
    </w:p>
    <w:p w:rsidR="00517B6A" w:rsidRPr="00D00701" w:rsidRDefault="00517B6A" w:rsidP="00517B6A">
      <w:pPr>
        <w:widowControl w:val="0"/>
        <w:tabs>
          <w:tab w:val="left" w:pos="4320"/>
        </w:tabs>
        <w:ind w:left="4320"/>
        <w:rPr>
          <w:rFonts w:ascii="Arial" w:eastAsiaTheme="minorHAnsi" w:hAnsi="Arial" w:cs="Arial"/>
          <w:b/>
          <w:bCs/>
        </w:rPr>
      </w:pPr>
      <w:r w:rsidRPr="00D00701">
        <w:rPr>
          <w:rFonts w:ascii="Arial" w:eastAsiaTheme="minorHAnsi" w:hAnsi="Arial" w:cs="Arial"/>
          <w:bCs/>
        </w:rPr>
        <w:t>21 East State Street, 17</w:t>
      </w:r>
      <w:r w:rsidRPr="00D00701">
        <w:rPr>
          <w:rFonts w:ascii="Arial" w:eastAsiaTheme="minorHAnsi" w:hAnsi="Arial" w:cs="Arial"/>
          <w:bCs/>
          <w:vertAlign w:val="superscript"/>
        </w:rPr>
        <w:t>TH</w:t>
      </w:r>
      <w:r w:rsidRPr="00D00701">
        <w:rPr>
          <w:rFonts w:ascii="Arial" w:eastAsiaTheme="minorHAnsi" w:hAnsi="Arial" w:cs="Arial"/>
          <w:bCs/>
        </w:rPr>
        <w:t xml:space="preserve"> Floor</w:t>
      </w:r>
    </w:p>
    <w:p w:rsidR="00517B6A" w:rsidRPr="00D00701" w:rsidRDefault="00517B6A" w:rsidP="00517B6A">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Columbus, OH  43215</w:t>
      </w:r>
    </w:p>
    <w:p w:rsidR="00517B6A" w:rsidRPr="00D00701" w:rsidRDefault="00517B6A" w:rsidP="00517B6A">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Telephone:  (614) 469-8000</w:t>
      </w:r>
    </w:p>
    <w:p w:rsidR="00517B6A" w:rsidRDefault="00517B6A" w:rsidP="00517B6A">
      <w:pPr>
        <w:tabs>
          <w:tab w:val="left" w:pos="-1440"/>
          <w:tab w:val="left" w:pos="-7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Telecopier:  (614) 469-4653</w:t>
      </w:r>
    </w:p>
    <w:p w:rsidR="00517B6A" w:rsidRPr="000643B6" w:rsidRDefault="00517B6A" w:rsidP="00517B6A">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BB5CB1">
        <w:rPr>
          <w:rFonts w:ascii="Arial" w:eastAsiaTheme="minorHAnsi" w:hAnsi="Arial" w:cs="Arial"/>
        </w:rPr>
        <w:t>fdarr@mwncmh.com</w:t>
      </w:r>
    </w:p>
    <w:p w:rsidR="00517B6A" w:rsidRPr="00D00701" w:rsidRDefault="00517B6A" w:rsidP="00517B6A">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517B6A" w:rsidRPr="00D00701" w:rsidRDefault="00517B6A" w:rsidP="00517B6A">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sidRPr="00D00701">
        <w:rPr>
          <w:rFonts w:ascii="Arial" w:eastAsiaTheme="minorHAnsi" w:hAnsi="Arial" w:cs="Arial"/>
          <w:color w:val="000000" w:themeColor="text1"/>
        </w:rPr>
        <w:t>mpritchard@mwncmh.com</w:t>
      </w:r>
    </w:p>
    <w:p w:rsidR="00517B6A" w:rsidRPr="00D00701" w:rsidRDefault="00517B6A" w:rsidP="00517B6A">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517B6A" w:rsidRDefault="00517B6A" w:rsidP="00517B6A">
      <w:pPr>
        <w:pStyle w:val="BodyText"/>
        <w:tabs>
          <w:tab w:val="left" w:pos="4301"/>
        </w:tabs>
        <w:jc w:val="left"/>
        <w:rPr>
          <w:b/>
          <w:bCs/>
        </w:rPr>
      </w:pPr>
    </w:p>
    <w:p w:rsidR="00517B6A" w:rsidRPr="00EE1554" w:rsidRDefault="00517B6A" w:rsidP="00517B6A">
      <w:pPr>
        <w:pStyle w:val="Title"/>
        <w:ind w:left="4320" w:hanging="4320"/>
        <w:jc w:val="left"/>
        <w:rPr>
          <w:rFonts w:cs="Arial"/>
          <w:b w:val="0"/>
          <w:smallCaps/>
        </w:rPr>
      </w:pPr>
      <w:r>
        <w:rPr>
          <w:bCs/>
        </w:rPr>
        <w:t xml:space="preserve">January </w:t>
      </w:r>
      <w:r w:rsidR="00F36F28">
        <w:rPr>
          <w:bCs/>
        </w:rPr>
        <w:t>1</w:t>
      </w:r>
      <w:r w:rsidR="00647D2D">
        <w:rPr>
          <w:bCs/>
        </w:rPr>
        <w:t>9</w:t>
      </w:r>
      <w:r>
        <w:rPr>
          <w:bCs/>
        </w:rPr>
        <w:t>, 2018</w:t>
      </w:r>
      <w:r>
        <w:rPr>
          <w:bCs/>
        </w:rPr>
        <w:tab/>
        <w:t xml:space="preserve">Attorneys for </w:t>
      </w:r>
      <w:r>
        <w:rPr>
          <w:rFonts w:cs="Arial"/>
          <w:bCs/>
        </w:rPr>
        <w:t>Eramet Marietta</w:t>
      </w:r>
      <w:r w:rsidRPr="00EE1554">
        <w:rPr>
          <w:rFonts w:cs="Arial"/>
          <w:bCs/>
        </w:rPr>
        <w:t xml:space="preserve"> Inc.</w:t>
      </w:r>
    </w:p>
    <w:p w:rsidR="00517B6A" w:rsidRPr="00EE1554" w:rsidRDefault="00517B6A" w:rsidP="00517B6A">
      <w:pPr>
        <w:pStyle w:val="Title"/>
        <w:rPr>
          <w:rFonts w:cs="Arial"/>
          <w:smallCaps/>
          <w:sz w:val="28"/>
        </w:rPr>
        <w:sectPr w:rsidR="00517B6A" w:rsidRPr="00EE15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titlePg/>
          <w:docGrid w:linePitch="78"/>
        </w:sectPr>
      </w:pPr>
    </w:p>
    <w:p w:rsidR="00517B6A" w:rsidRPr="00EE1554" w:rsidRDefault="00517B6A" w:rsidP="00517B6A">
      <w:pPr>
        <w:pStyle w:val="BodyText"/>
        <w:jc w:val="center"/>
        <w:rPr>
          <w:rFonts w:cs="Arial"/>
          <w:b/>
          <w:smallCaps/>
          <w:sz w:val="32"/>
          <w:szCs w:val="32"/>
        </w:rPr>
      </w:pPr>
      <w:r w:rsidRPr="00EE1554">
        <w:rPr>
          <w:rFonts w:cs="Arial"/>
          <w:b/>
          <w:smallCaps/>
          <w:sz w:val="32"/>
          <w:szCs w:val="32"/>
        </w:rPr>
        <w:lastRenderedPageBreak/>
        <w:t>Before</w:t>
      </w:r>
    </w:p>
    <w:p w:rsidR="00517B6A" w:rsidRPr="00EE1554" w:rsidRDefault="00517B6A" w:rsidP="00517B6A">
      <w:pPr>
        <w:jc w:val="center"/>
        <w:rPr>
          <w:rFonts w:ascii="Arial" w:hAnsi="Arial" w:cs="Arial"/>
          <w:b/>
          <w:smallCaps/>
          <w:sz w:val="32"/>
          <w:szCs w:val="32"/>
        </w:rPr>
      </w:pPr>
      <w:r w:rsidRPr="00EE1554">
        <w:rPr>
          <w:rFonts w:ascii="Arial" w:hAnsi="Arial" w:cs="Arial"/>
          <w:b/>
          <w:smallCaps/>
          <w:sz w:val="32"/>
          <w:szCs w:val="32"/>
        </w:rPr>
        <w:t>The Public Utilities Commission of Ohio</w:t>
      </w:r>
    </w:p>
    <w:p w:rsidR="00517B6A" w:rsidRPr="00EE1554" w:rsidRDefault="00517B6A" w:rsidP="00517B6A">
      <w:pPr>
        <w:jc w:val="center"/>
        <w:rPr>
          <w:rFonts w:ascii="Arial" w:hAnsi="Arial" w:cs="Arial"/>
          <w:b/>
        </w:rPr>
      </w:pPr>
    </w:p>
    <w:p w:rsidR="00517B6A" w:rsidRPr="003E227A" w:rsidRDefault="00517B6A" w:rsidP="00517B6A">
      <w:pPr>
        <w:tabs>
          <w:tab w:val="left" w:pos="4680"/>
          <w:tab w:val="left" w:pos="5220"/>
        </w:tabs>
        <w:autoSpaceDE w:val="0"/>
        <w:autoSpaceDN w:val="0"/>
        <w:adjustRightInd w:val="0"/>
        <w:rPr>
          <w:rFonts w:ascii="Arial" w:eastAsiaTheme="minorHAnsi" w:hAnsi="Arial" w:cs="Arial"/>
          <w:bCs/>
        </w:rPr>
      </w:pPr>
      <w:r w:rsidRPr="003E227A">
        <w:rPr>
          <w:rFonts w:ascii="Arial" w:eastAsiaTheme="minorHAnsi" w:hAnsi="Arial" w:cs="Arial"/>
          <w:bCs/>
        </w:rPr>
        <w:t xml:space="preserve">In the Matter of the Application of </w:t>
      </w:r>
      <w:r w:rsidRPr="003E227A">
        <w:rPr>
          <w:rFonts w:ascii="Arial" w:eastAsiaTheme="minorHAnsi" w:hAnsi="Arial" w:cs="Arial"/>
          <w:bCs/>
        </w:rPr>
        <w:tab/>
        <w:t>)</w:t>
      </w:r>
    </w:p>
    <w:p w:rsidR="00517B6A" w:rsidRPr="003E227A" w:rsidRDefault="00517B6A" w:rsidP="00517B6A">
      <w:pPr>
        <w:tabs>
          <w:tab w:val="left" w:pos="4680"/>
          <w:tab w:val="left" w:pos="5220"/>
        </w:tabs>
        <w:autoSpaceDE w:val="0"/>
        <w:autoSpaceDN w:val="0"/>
        <w:adjustRightInd w:val="0"/>
        <w:rPr>
          <w:rFonts w:ascii="Arial" w:eastAsiaTheme="minorHAnsi" w:hAnsi="Arial" w:cs="Arial"/>
          <w:bCs/>
        </w:rPr>
      </w:pPr>
      <w:r w:rsidRPr="003E227A">
        <w:rPr>
          <w:rFonts w:ascii="Arial" w:eastAsiaTheme="minorHAnsi" w:hAnsi="Arial" w:cs="Arial"/>
          <w:bCs/>
        </w:rPr>
        <w:t>Ohio Power Company to Adjust</w:t>
      </w:r>
      <w:r w:rsidRPr="003E227A">
        <w:rPr>
          <w:rFonts w:ascii="Arial" w:eastAsiaTheme="minorHAnsi" w:hAnsi="Arial" w:cs="Arial"/>
          <w:bCs/>
        </w:rPr>
        <w:tab/>
        <w:t>)</w:t>
      </w:r>
      <w:r w:rsidRPr="003E227A">
        <w:rPr>
          <w:rFonts w:ascii="Arial" w:eastAsiaTheme="minorHAnsi" w:hAnsi="Arial" w:cs="Arial"/>
          <w:bCs/>
        </w:rPr>
        <w:tab/>
        <w:t>Case No. 16-260-EL-RDR</w:t>
      </w:r>
    </w:p>
    <w:p w:rsidR="00517B6A" w:rsidRPr="003E227A" w:rsidRDefault="00517B6A" w:rsidP="00517B6A">
      <w:pPr>
        <w:tabs>
          <w:tab w:val="left" w:pos="4680"/>
          <w:tab w:val="left" w:pos="5220"/>
        </w:tabs>
        <w:autoSpaceDE w:val="0"/>
        <w:autoSpaceDN w:val="0"/>
        <w:adjustRightInd w:val="0"/>
        <w:rPr>
          <w:rFonts w:ascii="Arial" w:eastAsiaTheme="minorHAnsi" w:hAnsi="Arial" w:cs="Arial"/>
          <w:bCs/>
        </w:rPr>
      </w:pPr>
      <w:r w:rsidRPr="003E227A">
        <w:rPr>
          <w:rFonts w:ascii="Arial" w:eastAsiaTheme="minorHAnsi" w:hAnsi="Arial" w:cs="Arial"/>
          <w:bCs/>
        </w:rPr>
        <w:t>The Economic Development Cost</w:t>
      </w:r>
      <w:r w:rsidRPr="003E227A">
        <w:rPr>
          <w:rFonts w:ascii="Arial" w:eastAsiaTheme="minorHAnsi" w:hAnsi="Arial" w:cs="Arial"/>
          <w:bCs/>
        </w:rPr>
        <w:tab/>
        <w:t>)</w:t>
      </w:r>
    </w:p>
    <w:p w:rsidR="00517B6A" w:rsidRPr="003E227A" w:rsidRDefault="00517B6A" w:rsidP="00517B6A">
      <w:pPr>
        <w:tabs>
          <w:tab w:val="left" w:pos="4680"/>
          <w:tab w:val="left" w:pos="5220"/>
        </w:tabs>
        <w:autoSpaceDE w:val="0"/>
        <w:autoSpaceDN w:val="0"/>
        <w:adjustRightInd w:val="0"/>
        <w:rPr>
          <w:rFonts w:ascii="Arial" w:hAnsi="Arial" w:cs="Arial"/>
        </w:rPr>
      </w:pPr>
      <w:r w:rsidRPr="003E227A">
        <w:rPr>
          <w:rFonts w:ascii="Arial" w:eastAsiaTheme="minorHAnsi" w:hAnsi="Arial" w:cs="Arial"/>
          <w:bCs/>
        </w:rPr>
        <w:t xml:space="preserve">Recovery Rider Rate </w:t>
      </w:r>
      <w:r w:rsidRPr="003E227A">
        <w:rPr>
          <w:rFonts w:ascii="Arial" w:eastAsiaTheme="minorHAnsi" w:hAnsi="Arial" w:cs="Arial"/>
          <w:bCs/>
        </w:rPr>
        <w:tab/>
        <w:t>)</w:t>
      </w:r>
    </w:p>
    <w:p w:rsidR="00517B6A" w:rsidRDefault="00517B6A" w:rsidP="00517B6A">
      <w:pPr>
        <w:pStyle w:val="Title"/>
        <w:jc w:val="left"/>
        <w:rPr>
          <w:rFonts w:cs="Arial"/>
          <w:b w:val="0"/>
        </w:rPr>
      </w:pPr>
    </w:p>
    <w:p w:rsidR="00517B6A" w:rsidRPr="00EE1554" w:rsidRDefault="00517B6A" w:rsidP="00517B6A">
      <w:pPr>
        <w:pStyle w:val="Title"/>
        <w:jc w:val="left"/>
        <w:rPr>
          <w:rFonts w:cs="Arial"/>
          <w:b w:val="0"/>
        </w:rPr>
      </w:pPr>
    </w:p>
    <w:p w:rsidR="00517B6A" w:rsidRPr="00DD5FDF" w:rsidRDefault="00517B6A" w:rsidP="00517B6A">
      <w:pPr>
        <w:pBdr>
          <w:top w:val="single" w:sz="12" w:space="1" w:color="auto"/>
        </w:pBdr>
        <w:tabs>
          <w:tab w:val="left" w:pos="7320"/>
        </w:tabs>
        <w:jc w:val="center"/>
        <w:rPr>
          <w:rFonts w:ascii="Arial" w:hAnsi="Arial" w:cs="Arial"/>
          <w:b/>
          <w:sz w:val="16"/>
          <w:szCs w:val="16"/>
        </w:rPr>
      </w:pPr>
    </w:p>
    <w:p w:rsidR="00517B6A" w:rsidRPr="000439D1" w:rsidRDefault="00517B6A" w:rsidP="00517B6A">
      <w:pPr>
        <w:pStyle w:val="Title"/>
        <w:rPr>
          <w:rFonts w:ascii="Arial Bold" w:hAnsi="Arial Bold"/>
          <w:smallCaps/>
          <w:sz w:val="28"/>
        </w:rPr>
      </w:pPr>
      <w:r>
        <w:rPr>
          <w:rFonts w:ascii="Arial Bold" w:hAnsi="Arial Bold"/>
          <w:smallCaps/>
          <w:sz w:val="28"/>
        </w:rPr>
        <w:t>Motion of Eramet Marietta</w:t>
      </w:r>
      <w:r w:rsidRPr="000439D1">
        <w:rPr>
          <w:rFonts w:ascii="Arial Bold" w:hAnsi="Arial Bold"/>
          <w:smallCaps/>
          <w:sz w:val="28"/>
        </w:rPr>
        <w:t xml:space="preserve"> Inc.</w:t>
      </w:r>
    </w:p>
    <w:p w:rsidR="00517B6A" w:rsidRPr="000439D1" w:rsidRDefault="00517B6A" w:rsidP="00517B6A">
      <w:pPr>
        <w:pStyle w:val="Title"/>
        <w:rPr>
          <w:rFonts w:ascii="Arial Bold" w:hAnsi="Arial Bold"/>
          <w:smallCaps/>
          <w:sz w:val="28"/>
        </w:rPr>
      </w:pPr>
      <w:r w:rsidRPr="000439D1">
        <w:rPr>
          <w:rFonts w:ascii="Arial Bold" w:hAnsi="Arial Bold"/>
          <w:smallCaps/>
          <w:sz w:val="28"/>
        </w:rPr>
        <w:t>to Extend the Protective Order</w:t>
      </w:r>
    </w:p>
    <w:p w:rsidR="00517B6A" w:rsidRPr="00DD5FDF" w:rsidRDefault="00517B6A" w:rsidP="00517B6A">
      <w:pPr>
        <w:pBdr>
          <w:bottom w:val="single" w:sz="12" w:space="1" w:color="auto"/>
        </w:pBdr>
        <w:tabs>
          <w:tab w:val="left" w:pos="7320"/>
        </w:tabs>
        <w:jc w:val="center"/>
        <w:rPr>
          <w:rFonts w:ascii="Arial" w:hAnsi="Arial" w:cs="Arial"/>
          <w:sz w:val="16"/>
          <w:szCs w:val="16"/>
        </w:rPr>
      </w:pPr>
    </w:p>
    <w:p w:rsidR="00517B6A" w:rsidRDefault="00517B6A" w:rsidP="00517B6A">
      <w:pPr>
        <w:pStyle w:val="Title"/>
        <w:rPr>
          <w:rFonts w:cs="Arial"/>
        </w:rPr>
      </w:pPr>
    </w:p>
    <w:p w:rsidR="00517B6A" w:rsidRPr="00EE1554" w:rsidRDefault="00517B6A" w:rsidP="00517B6A">
      <w:pPr>
        <w:pStyle w:val="Title"/>
        <w:rPr>
          <w:rFonts w:cs="Arial"/>
        </w:rPr>
      </w:pPr>
    </w:p>
    <w:p w:rsidR="00517B6A" w:rsidRDefault="00517B6A" w:rsidP="00517B6A">
      <w:pPr>
        <w:pStyle w:val="BodyText"/>
        <w:spacing w:before="120" w:line="480" w:lineRule="auto"/>
        <w:rPr>
          <w:bCs/>
          <w:spacing w:val="-2"/>
        </w:rPr>
      </w:pPr>
      <w:r>
        <w:rPr>
          <w:sz w:val="28"/>
        </w:rPr>
        <w:tab/>
      </w:r>
      <w:r>
        <w:rPr>
          <w:bCs/>
          <w:spacing w:val="-2"/>
        </w:rPr>
        <w:t xml:space="preserve">Pursuant to Rule 4901-1-24, Ohio Administrative Code (“O.A.C.”), and the Finding and Order of the Public Utilities Commission of Ohio (“Commission”) on March 31, 2016 in this matter, Eramet Marietta Inc. (“Eramet”) </w:t>
      </w:r>
      <w:r>
        <w:rPr>
          <w:spacing w:val="-2"/>
        </w:rPr>
        <w:t xml:space="preserve">respectfully moves the Commission </w:t>
      </w:r>
      <w:r>
        <w:rPr>
          <w:bCs/>
          <w:spacing w:val="-2"/>
        </w:rPr>
        <w:t xml:space="preserve">to issue an order extending the Protective Order.  Extension of the Protective Order is necessary to protect the confidentiality and prohibit the disclosure </w:t>
      </w:r>
      <w:r>
        <w:rPr>
          <w:spacing w:val="-2"/>
        </w:rPr>
        <w:t xml:space="preserve">of the confidential information contained in the application of Ohio Power Company (“AEP-Ohio”) to adjust its Economic Development Cost Recovery Rider (“EDR”) rate filed under seal on February 2, 2016.  The confidential information is not subject to disclosure and includes </w:t>
      </w:r>
      <w:r>
        <w:rPr>
          <w:bCs/>
          <w:spacing w:val="-2"/>
        </w:rPr>
        <w:t>competitively sensitive and highly proprietary business information comprising trade secrets</w:t>
      </w:r>
      <w:r>
        <w:rPr>
          <w:spacing w:val="-2"/>
        </w:rPr>
        <w:t xml:space="preserve">.  </w:t>
      </w:r>
      <w:r>
        <w:rPr>
          <w:bCs/>
          <w:spacing w:val="-2"/>
        </w:rPr>
        <w:t>The grounds for this motion are set forth in the attached Memorandum in Support.</w:t>
      </w:r>
    </w:p>
    <w:p w:rsidR="00517B6A" w:rsidRDefault="00517B6A" w:rsidP="00517B6A">
      <w:pPr>
        <w:spacing w:after="200" w:line="276" w:lineRule="auto"/>
        <w:rPr>
          <w:rFonts w:ascii="Arial" w:hAnsi="Arial" w:cs="Arial"/>
        </w:rPr>
      </w:pPr>
      <w:r>
        <w:br w:type="page"/>
      </w:r>
    </w:p>
    <w:p w:rsidR="00517B6A" w:rsidRDefault="00517B6A" w:rsidP="00517B6A">
      <w:pPr>
        <w:pStyle w:val="BodyTextIndent"/>
        <w:spacing w:after="0"/>
        <w:ind w:left="3600" w:firstLine="720"/>
      </w:pPr>
      <w:r>
        <w:lastRenderedPageBreak/>
        <w:t>Respectfully submitted,</w:t>
      </w:r>
    </w:p>
    <w:p w:rsidR="00517B6A" w:rsidRDefault="00517B6A" w:rsidP="00517B6A">
      <w:pPr>
        <w:pStyle w:val="BodyTextIndent"/>
        <w:spacing w:after="0"/>
        <w:ind w:left="0"/>
      </w:pPr>
    </w:p>
    <w:p w:rsidR="00517B6A" w:rsidRPr="000439D1" w:rsidRDefault="00517B6A" w:rsidP="00517B6A">
      <w:pPr>
        <w:tabs>
          <w:tab w:val="left" w:pos="-1440"/>
          <w:tab w:val="left" w:pos="-720"/>
          <w:tab w:val="left" w:pos="3600"/>
          <w:tab w:val="left" w:pos="4320"/>
          <w:tab w:val="left" w:pos="4680"/>
          <w:tab w:val="left" w:pos="5040"/>
        </w:tabs>
        <w:ind w:left="4320"/>
        <w:jc w:val="both"/>
        <w:rPr>
          <w:rFonts w:ascii="Arial" w:hAnsi="Arial" w:cs="Arial"/>
          <w:i/>
        </w:rPr>
      </w:pPr>
      <w:r w:rsidRPr="000439D1">
        <w:rPr>
          <w:rFonts w:ascii="Arial" w:hAnsi="Arial" w:cs="Arial"/>
          <w:i/>
          <w:u w:val="single"/>
        </w:rPr>
        <w:t>/s/ Matthew R. Pritchard</w:t>
      </w:r>
      <w:r w:rsidRPr="000439D1">
        <w:rPr>
          <w:rFonts w:ascii="Arial" w:hAnsi="Arial" w:cs="Arial"/>
          <w:i/>
          <w:u w:val="single"/>
        </w:rPr>
        <w:tab/>
      </w:r>
      <w:r w:rsidRPr="000439D1">
        <w:rPr>
          <w:rFonts w:ascii="Arial" w:hAnsi="Arial" w:cs="Arial"/>
          <w:i/>
          <w:u w:val="single"/>
        </w:rPr>
        <w:tab/>
      </w:r>
      <w:r w:rsidRPr="000439D1">
        <w:rPr>
          <w:rFonts w:ascii="Arial" w:hAnsi="Arial" w:cs="Arial"/>
          <w:i/>
          <w:u w:val="single"/>
        </w:rPr>
        <w:tab/>
      </w:r>
      <w:r w:rsidRPr="000439D1">
        <w:rPr>
          <w:rFonts w:ascii="Arial" w:hAnsi="Arial" w:cs="Arial"/>
          <w:i/>
          <w:u w:val="single"/>
        </w:rPr>
        <w:tab/>
      </w:r>
    </w:p>
    <w:p w:rsidR="00517B6A" w:rsidRDefault="00517B6A" w:rsidP="00517B6A">
      <w:pPr>
        <w:widowControl w:val="0"/>
        <w:tabs>
          <w:tab w:val="left" w:pos="4320"/>
        </w:tabs>
        <w:ind w:left="4320"/>
        <w:rPr>
          <w:rFonts w:ascii="Arial" w:eastAsiaTheme="minorHAnsi" w:hAnsi="Arial" w:cs="Arial"/>
        </w:rPr>
      </w:pPr>
      <w:r w:rsidRPr="00D00701">
        <w:rPr>
          <w:rFonts w:ascii="Arial" w:eastAsiaTheme="minorHAnsi" w:hAnsi="Arial" w:cs="Arial"/>
          <w:bCs/>
        </w:rPr>
        <w:t>Frank P. Darr (Reg. No. 0025469)</w:t>
      </w:r>
      <w:r w:rsidRPr="0069249F">
        <w:rPr>
          <w:rFonts w:ascii="Arial" w:eastAsiaTheme="minorHAnsi" w:hAnsi="Arial" w:cs="Arial"/>
        </w:rPr>
        <w:t xml:space="preserve"> </w:t>
      </w:r>
    </w:p>
    <w:p w:rsidR="00517B6A" w:rsidRPr="00D00701" w:rsidRDefault="00517B6A" w:rsidP="00517B6A">
      <w:pPr>
        <w:widowControl w:val="0"/>
        <w:tabs>
          <w:tab w:val="left" w:pos="4320"/>
        </w:tabs>
        <w:ind w:left="4320"/>
        <w:rPr>
          <w:rFonts w:ascii="Arial" w:eastAsiaTheme="minorHAnsi" w:hAnsi="Arial" w:cs="Arial"/>
          <w:bCs/>
        </w:rPr>
      </w:pPr>
      <w:r w:rsidRPr="00D00701">
        <w:rPr>
          <w:rFonts w:ascii="Arial" w:eastAsiaTheme="minorHAnsi" w:hAnsi="Arial" w:cs="Arial"/>
        </w:rPr>
        <w:t>(Counsel of Record)</w:t>
      </w:r>
    </w:p>
    <w:p w:rsidR="00517B6A" w:rsidRPr="00D00701" w:rsidRDefault="00517B6A" w:rsidP="00517B6A">
      <w:pPr>
        <w:widowControl w:val="0"/>
        <w:tabs>
          <w:tab w:val="left" w:pos="4320"/>
        </w:tabs>
        <w:ind w:left="4320"/>
        <w:rPr>
          <w:rFonts w:ascii="Arial" w:eastAsiaTheme="minorHAnsi" w:hAnsi="Arial" w:cs="Arial"/>
          <w:b/>
          <w:bCs/>
        </w:rPr>
      </w:pPr>
      <w:r w:rsidRPr="00D00701">
        <w:rPr>
          <w:rFonts w:ascii="Arial" w:eastAsiaTheme="minorHAnsi" w:hAnsi="Arial" w:cs="Arial"/>
          <w:bCs/>
        </w:rPr>
        <w:t>Matthew R. Pritchard (Reg. No. 0088070)</w:t>
      </w:r>
    </w:p>
    <w:p w:rsidR="00517B6A" w:rsidRDefault="00517B6A" w:rsidP="00517B6A">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517B6A" w:rsidRDefault="00517B6A" w:rsidP="00517B6A">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517B6A" w:rsidRDefault="00517B6A" w:rsidP="00517B6A">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517B6A" w:rsidRDefault="00517B6A" w:rsidP="00517B6A">
      <w:pPr>
        <w:pStyle w:val="BodyText"/>
        <w:ind w:left="4320"/>
      </w:pPr>
      <w:r>
        <w:t>fdarr@mwncmh.com</w:t>
      </w:r>
    </w:p>
    <w:p w:rsidR="00517B6A" w:rsidRDefault="00517B6A" w:rsidP="00517B6A">
      <w:pPr>
        <w:pStyle w:val="BodyText"/>
        <w:ind w:left="4320"/>
      </w:pPr>
      <w:r>
        <w:t>mpritchard@mwncmh.com</w:t>
      </w:r>
    </w:p>
    <w:p w:rsidR="00517B6A" w:rsidRDefault="00517B6A" w:rsidP="00517B6A">
      <w:pPr>
        <w:pStyle w:val="BodyText"/>
        <w:ind w:left="4320"/>
        <w:rPr>
          <w:b/>
          <w:bCs/>
        </w:rPr>
      </w:pPr>
      <w:r>
        <w:rPr>
          <w:b/>
          <w:bCs/>
        </w:rPr>
        <w:br w:type="page"/>
      </w:r>
    </w:p>
    <w:p w:rsidR="00517B6A" w:rsidRPr="00EE1554" w:rsidRDefault="00517B6A" w:rsidP="00517B6A">
      <w:pPr>
        <w:pStyle w:val="BodyText"/>
        <w:jc w:val="center"/>
        <w:rPr>
          <w:rFonts w:cs="Arial"/>
          <w:b/>
          <w:smallCaps/>
          <w:sz w:val="32"/>
          <w:szCs w:val="32"/>
        </w:rPr>
      </w:pPr>
      <w:r w:rsidRPr="00EE1554">
        <w:rPr>
          <w:rFonts w:cs="Arial"/>
          <w:b/>
          <w:smallCaps/>
          <w:sz w:val="32"/>
          <w:szCs w:val="32"/>
        </w:rPr>
        <w:lastRenderedPageBreak/>
        <w:t>Before</w:t>
      </w:r>
    </w:p>
    <w:p w:rsidR="00517B6A" w:rsidRPr="00EE1554" w:rsidRDefault="00517B6A" w:rsidP="00517B6A">
      <w:pPr>
        <w:jc w:val="center"/>
        <w:rPr>
          <w:rFonts w:ascii="Arial" w:hAnsi="Arial" w:cs="Arial"/>
          <w:b/>
          <w:smallCaps/>
          <w:sz w:val="32"/>
          <w:szCs w:val="32"/>
        </w:rPr>
      </w:pPr>
      <w:r w:rsidRPr="00EE1554">
        <w:rPr>
          <w:rFonts w:ascii="Arial" w:hAnsi="Arial" w:cs="Arial"/>
          <w:b/>
          <w:smallCaps/>
          <w:sz w:val="32"/>
          <w:szCs w:val="32"/>
        </w:rPr>
        <w:t>The Public Utilities Commission of Ohio</w:t>
      </w:r>
    </w:p>
    <w:p w:rsidR="00517B6A" w:rsidRDefault="00517B6A" w:rsidP="00517B6A">
      <w:pPr>
        <w:jc w:val="center"/>
        <w:rPr>
          <w:rFonts w:ascii="Arial" w:hAnsi="Arial" w:cs="Arial"/>
          <w:b/>
        </w:rPr>
      </w:pPr>
    </w:p>
    <w:p w:rsidR="001535F1" w:rsidRPr="00EE1554" w:rsidRDefault="001535F1" w:rsidP="00517B6A">
      <w:pPr>
        <w:jc w:val="center"/>
        <w:rPr>
          <w:rFonts w:ascii="Arial" w:hAnsi="Arial" w:cs="Arial"/>
          <w:b/>
        </w:rPr>
      </w:pPr>
    </w:p>
    <w:p w:rsidR="00517B6A" w:rsidRPr="003E227A" w:rsidRDefault="00517B6A" w:rsidP="00517B6A">
      <w:pPr>
        <w:tabs>
          <w:tab w:val="left" w:pos="4680"/>
          <w:tab w:val="left" w:pos="5220"/>
        </w:tabs>
        <w:autoSpaceDE w:val="0"/>
        <w:autoSpaceDN w:val="0"/>
        <w:adjustRightInd w:val="0"/>
        <w:rPr>
          <w:rFonts w:ascii="Arial" w:eastAsiaTheme="minorHAnsi" w:hAnsi="Arial" w:cs="Arial"/>
          <w:bCs/>
        </w:rPr>
      </w:pPr>
      <w:r w:rsidRPr="003E227A">
        <w:rPr>
          <w:rFonts w:ascii="Arial" w:eastAsiaTheme="minorHAnsi" w:hAnsi="Arial" w:cs="Arial"/>
          <w:bCs/>
        </w:rPr>
        <w:t xml:space="preserve">In the Matter of the Application of </w:t>
      </w:r>
      <w:r w:rsidRPr="003E227A">
        <w:rPr>
          <w:rFonts w:ascii="Arial" w:eastAsiaTheme="minorHAnsi" w:hAnsi="Arial" w:cs="Arial"/>
          <w:bCs/>
        </w:rPr>
        <w:tab/>
        <w:t>)</w:t>
      </w:r>
    </w:p>
    <w:p w:rsidR="00517B6A" w:rsidRPr="003E227A" w:rsidRDefault="00517B6A" w:rsidP="00517B6A">
      <w:pPr>
        <w:tabs>
          <w:tab w:val="left" w:pos="4680"/>
          <w:tab w:val="left" w:pos="5220"/>
        </w:tabs>
        <w:autoSpaceDE w:val="0"/>
        <w:autoSpaceDN w:val="0"/>
        <w:adjustRightInd w:val="0"/>
        <w:rPr>
          <w:rFonts w:ascii="Arial" w:eastAsiaTheme="minorHAnsi" w:hAnsi="Arial" w:cs="Arial"/>
          <w:bCs/>
        </w:rPr>
      </w:pPr>
      <w:r w:rsidRPr="003E227A">
        <w:rPr>
          <w:rFonts w:ascii="Arial" w:eastAsiaTheme="minorHAnsi" w:hAnsi="Arial" w:cs="Arial"/>
          <w:bCs/>
        </w:rPr>
        <w:t>Ohio Power Company to Adjust</w:t>
      </w:r>
      <w:r w:rsidRPr="003E227A">
        <w:rPr>
          <w:rFonts w:ascii="Arial" w:eastAsiaTheme="minorHAnsi" w:hAnsi="Arial" w:cs="Arial"/>
          <w:bCs/>
        </w:rPr>
        <w:tab/>
        <w:t>)</w:t>
      </w:r>
      <w:r w:rsidRPr="003E227A">
        <w:rPr>
          <w:rFonts w:ascii="Arial" w:eastAsiaTheme="minorHAnsi" w:hAnsi="Arial" w:cs="Arial"/>
          <w:bCs/>
        </w:rPr>
        <w:tab/>
        <w:t>Case No. 16-260-EL-RDR</w:t>
      </w:r>
    </w:p>
    <w:p w:rsidR="00517B6A" w:rsidRPr="003E227A" w:rsidRDefault="00517B6A" w:rsidP="00517B6A">
      <w:pPr>
        <w:tabs>
          <w:tab w:val="left" w:pos="4680"/>
          <w:tab w:val="left" w:pos="5220"/>
        </w:tabs>
        <w:autoSpaceDE w:val="0"/>
        <w:autoSpaceDN w:val="0"/>
        <w:adjustRightInd w:val="0"/>
        <w:rPr>
          <w:rFonts w:ascii="Arial" w:eastAsiaTheme="minorHAnsi" w:hAnsi="Arial" w:cs="Arial"/>
          <w:bCs/>
        </w:rPr>
      </w:pPr>
      <w:r w:rsidRPr="003E227A">
        <w:rPr>
          <w:rFonts w:ascii="Arial" w:eastAsiaTheme="minorHAnsi" w:hAnsi="Arial" w:cs="Arial"/>
          <w:bCs/>
        </w:rPr>
        <w:t>The Economic Development Cost</w:t>
      </w:r>
      <w:r w:rsidRPr="003E227A">
        <w:rPr>
          <w:rFonts w:ascii="Arial" w:eastAsiaTheme="minorHAnsi" w:hAnsi="Arial" w:cs="Arial"/>
          <w:bCs/>
        </w:rPr>
        <w:tab/>
        <w:t>)</w:t>
      </w:r>
    </w:p>
    <w:p w:rsidR="00517B6A" w:rsidRPr="003E227A" w:rsidRDefault="00517B6A" w:rsidP="00517B6A">
      <w:pPr>
        <w:tabs>
          <w:tab w:val="left" w:pos="4680"/>
          <w:tab w:val="left" w:pos="5220"/>
        </w:tabs>
        <w:autoSpaceDE w:val="0"/>
        <w:autoSpaceDN w:val="0"/>
        <w:adjustRightInd w:val="0"/>
        <w:rPr>
          <w:rFonts w:ascii="Arial" w:hAnsi="Arial" w:cs="Arial"/>
        </w:rPr>
      </w:pPr>
      <w:r w:rsidRPr="003E227A">
        <w:rPr>
          <w:rFonts w:ascii="Arial" w:eastAsiaTheme="minorHAnsi" w:hAnsi="Arial" w:cs="Arial"/>
          <w:bCs/>
        </w:rPr>
        <w:t xml:space="preserve">Recovery Rider Rate </w:t>
      </w:r>
      <w:r w:rsidRPr="003E227A">
        <w:rPr>
          <w:rFonts w:ascii="Arial" w:eastAsiaTheme="minorHAnsi" w:hAnsi="Arial" w:cs="Arial"/>
          <w:bCs/>
        </w:rPr>
        <w:tab/>
        <w:t>)</w:t>
      </w:r>
    </w:p>
    <w:p w:rsidR="00517B6A" w:rsidRDefault="00517B6A" w:rsidP="00517B6A">
      <w:pPr>
        <w:pStyle w:val="Title"/>
        <w:jc w:val="left"/>
        <w:rPr>
          <w:rFonts w:cs="Arial"/>
          <w:b w:val="0"/>
        </w:rPr>
      </w:pPr>
    </w:p>
    <w:p w:rsidR="001535F1" w:rsidRPr="00EE1554" w:rsidRDefault="001535F1" w:rsidP="00517B6A">
      <w:pPr>
        <w:pStyle w:val="Title"/>
        <w:jc w:val="left"/>
        <w:rPr>
          <w:rFonts w:cs="Arial"/>
          <w:b w:val="0"/>
        </w:rPr>
      </w:pPr>
    </w:p>
    <w:p w:rsidR="00517B6A" w:rsidRPr="00DD5FDF" w:rsidRDefault="00517B6A" w:rsidP="00517B6A">
      <w:pPr>
        <w:pBdr>
          <w:top w:val="single" w:sz="12" w:space="1" w:color="auto"/>
        </w:pBdr>
        <w:tabs>
          <w:tab w:val="left" w:pos="7320"/>
        </w:tabs>
        <w:jc w:val="center"/>
        <w:rPr>
          <w:rFonts w:ascii="Arial" w:hAnsi="Arial" w:cs="Arial"/>
          <w:b/>
          <w:sz w:val="16"/>
          <w:szCs w:val="16"/>
        </w:rPr>
      </w:pPr>
    </w:p>
    <w:p w:rsidR="00517B6A" w:rsidRPr="000439D1" w:rsidRDefault="00517B6A" w:rsidP="00517B6A">
      <w:pPr>
        <w:pStyle w:val="Title"/>
        <w:rPr>
          <w:rFonts w:ascii="Arial Bold" w:hAnsi="Arial Bold"/>
          <w:smallCaps/>
          <w:sz w:val="28"/>
          <w:szCs w:val="28"/>
        </w:rPr>
      </w:pPr>
      <w:r w:rsidRPr="000439D1">
        <w:rPr>
          <w:rFonts w:ascii="Arial Bold" w:hAnsi="Arial Bold"/>
          <w:smallCaps/>
          <w:sz w:val="28"/>
          <w:szCs w:val="28"/>
        </w:rPr>
        <w:t>Memorandum in Support</w:t>
      </w:r>
    </w:p>
    <w:p w:rsidR="00517B6A" w:rsidRPr="00DD5FDF" w:rsidRDefault="00517B6A" w:rsidP="00517B6A">
      <w:pPr>
        <w:pBdr>
          <w:bottom w:val="single" w:sz="12" w:space="1" w:color="auto"/>
        </w:pBdr>
        <w:tabs>
          <w:tab w:val="left" w:pos="7320"/>
        </w:tabs>
        <w:jc w:val="center"/>
        <w:rPr>
          <w:rFonts w:ascii="Arial" w:hAnsi="Arial" w:cs="Arial"/>
          <w:sz w:val="16"/>
          <w:szCs w:val="16"/>
        </w:rPr>
      </w:pPr>
    </w:p>
    <w:p w:rsidR="00517B6A" w:rsidRDefault="00517B6A" w:rsidP="00517B6A">
      <w:pPr>
        <w:jc w:val="both"/>
        <w:rPr>
          <w:rFonts w:ascii="Arial" w:hAnsi="Arial" w:cs="Arial"/>
        </w:rPr>
      </w:pPr>
    </w:p>
    <w:p w:rsidR="001535F1" w:rsidRPr="00D50C86" w:rsidRDefault="001535F1" w:rsidP="00517B6A">
      <w:pPr>
        <w:jc w:val="both"/>
        <w:rPr>
          <w:rFonts w:ascii="Arial" w:hAnsi="Arial" w:cs="Arial"/>
        </w:rPr>
      </w:pPr>
    </w:p>
    <w:p w:rsidR="00517B6A" w:rsidRDefault="00517B6A" w:rsidP="00517B6A">
      <w:pPr>
        <w:pStyle w:val="ListParagraph"/>
        <w:numPr>
          <w:ilvl w:val="0"/>
          <w:numId w:val="1"/>
        </w:numPr>
        <w:spacing w:after="240"/>
        <w:ind w:left="720"/>
        <w:jc w:val="both"/>
        <w:rPr>
          <w:rFonts w:ascii="Arial" w:hAnsi="Arial" w:cs="Arial"/>
          <w:b/>
          <w:caps/>
        </w:rPr>
      </w:pPr>
      <w:r w:rsidRPr="00D50C86">
        <w:rPr>
          <w:rFonts w:ascii="Arial" w:hAnsi="Arial" w:cs="Arial"/>
          <w:b/>
          <w:caps/>
        </w:rPr>
        <w:t>Introduction and background</w:t>
      </w:r>
    </w:p>
    <w:p w:rsidR="00517B6A" w:rsidRDefault="00517B6A" w:rsidP="00517B6A">
      <w:pPr>
        <w:autoSpaceDE w:val="0"/>
        <w:autoSpaceDN w:val="0"/>
        <w:adjustRightInd w:val="0"/>
        <w:spacing w:line="480" w:lineRule="auto"/>
        <w:ind w:firstLine="720"/>
        <w:jc w:val="both"/>
        <w:rPr>
          <w:rFonts w:ascii="Arial" w:hAnsi="Arial" w:cs="Arial"/>
        </w:rPr>
      </w:pPr>
      <w:r>
        <w:rPr>
          <w:rFonts w:ascii="Arial" w:hAnsi="Arial" w:cs="Arial"/>
        </w:rPr>
        <w:t xml:space="preserve">On June 19, 2009, Eramet filed an application before the Commission for a reasonable arrangement with AEP-Ohio to </w:t>
      </w:r>
      <w:r>
        <w:rPr>
          <w:rFonts w:ascii="Arial" w:eastAsiaTheme="minorHAnsi" w:hAnsi="Arial" w:cs="Arial"/>
        </w:rPr>
        <w:t>permit Eramet to upgrade its manufacturing facility in Ohio.</w:t>
      </w:r>
      <w:r>
        <w:rPr>
          <w:rStyle w:val="FootnoteReference"/>
          <w:rFonts w:ascii="Arial" w:eastAsiaTheme="minorHAnsi" w:hAnsi="Arial" w:cs="Arial"/>
        </w:rPr>
        <w:footnoteReference w:id="1"/>
      </w:r>
      <w:r>
        <w:rPr>
          <w:rFonts w:ascii="Arial" w:eastAsiaTheme="minorHAnsi" w:hAnsi="Arial" w:cs="Arial"/>
        </w:rPr>
        <w:t xml:space="preserve">  </w:t>
      </w:r>
      <w:r>
        <w:rPr>
          <w:rFonts w:ascii="Arial" w:hAnsi="Arial" w:cs="Arial"/>
        </w:rPr>
        <w:t>On August 5, 2009, Eramet and Commission Staff filed a Joint Stipulation and Recommendation resolving the issues in the case (“Stipulation”).</w:t>
      </w:r>
      <w:r>
        <w:rPr>
          <w:rStyle w:val="FootnoteReference"/>
          <w:rFonts w:ascii="Arial" w:hAnsi="Arial" w:cs="Arial"/>
        </w:rPr>
        <w:footnoteReference w:id="2"/>
      </w:r>
      <w:r>
        <w:rPr>
          <w:rFonts w:ascii="Arial" w:hAnsi="Arial" w:cs="Arial"/>
        </w:rPr>
        <w:t xml:space="preserve">  On October 15, 2009, the Commission issued an Opinion and Order approving the Stipulation with modifications.  On March 24, 2010, the Commission issued an Entry on Rehearing denying Applications for Rehearing and upholding its Opinion and Order approving the Stipulation.  </w:t>
      </w:r>
    </w:p>
    <w:p w:rsidR="00517B6A" w:rsidRDefault="00517B6A" w:rsidP="001535F1">
      <w:pPr>
        <w:widowControl w:val="0"/>
        <w:autoSpaceDE w:val="0"/>
        <w:autoSpaceDN w:val="0"/>
        <w:adjustRightInd w:val="0"/>
        <w:spacing w:line="480" w:lineRule="auto"/>
        <w:ind w:firstLine="720"/>
        <w:jc w:val="both"/>
        <w:rPr>
          <w:rFonts w:ascii="Arial" w:eastAsiaTheme="minorHAnsi" w:hAnsi="Arial" w:cs="Arial"/>
        </w:rPr>
      </w:pPr>
      <w:r>
        <w:rPr>
          <w:rFonts w:ascii="Arial" w:eastAsiaTheme="minorHAnsi" w:hAnsi="Arial" w:cs="Arial"/>
        </w:rPr>
        <w:t>In AEP-Ohio’s initial electric security plan (“ESP”) proceeding (Case Nos. 08</w:t>
      </w:r>
      <w:r>
        <w:rPr>
          <w:rFonts w:ascii="Arial" w:eastAsiaTheme="minorHAnsi" w:hAnsi="Arial" w:cs="Arial"/>
        </w:rPr>
        <w:noBreakHyphen/>
        <w:t>917</w:t>
      </w:r>
      <w:r>
        <w:rPr>
          <w:rFonts w:ascii="Arial" w:eastAsiaTheme="minorHAnsi" w:hAnsi="Arial" w:cs="Arial"/>
        </w:rPr>
        <w:noBreakHyphen/>
        <w:t>EL</w:t>
      </w:r>
      <w:r>
        <w:rPr>
          <w:rFonts w:ascii="Arial" w:eastAsiaTheme="minorHAnsi" w:hAnsi="Arial" w:cs="Arial"/>
        </w:rPr>
        <w:noBreakHyphen/>
        <w:t xml:space="preserve">SSO, </w:t>
      </w:r>
      <w:r>
        <w:rPr>
          <w:rFonts w:ascii="Arial" w:eastAsiaTheme="minorHAnsi" w:hAnsi="Arial" w:cs="Arial"/>
          <w:i/>
        </w:rPr>
        <w:t>et al.</w:t>
      </w:r>
      <w:r>
        <w:rPr>
          <w:rFonts w:ascii="Arial" w:eastAsiaTheme="minorHAnsi" w:hAnsi="Arial" w:cs="Arial"/>
        </w:rPr>
        <w:t xml:space="preserve">), the Commission authorized AEP-Ohio’s EDR, to recover economic development amounts authorized by the Commission in reasonable </w:t>
      </w:r>
      <w:r>
        <w:rPr>
          <w:rFonts w:ascii="Arial" w:eastAsiaTheme="minorHAnsi" w:hAnsi="Arial" w:cs="Arial"/>
        </w:rPr>
        <w:lastRenderedPageBreak/>
        <w:t>arrangement cases.  In the initial ESP proceeding, the Commission also set the initial level of the rider at zero, to be updated quarterly.</w:t>
      </w:r>
      <w:r>
        <w:rPr>
          <w:rStyle w:val="FootnoteReference"/>
          <w:rFonts w:ascii="Arial" w:eastAsiaTheme="minorHAnsi" w:hAnsi="Arial" w:cs="Arial"/>
        </w:rPr>
        <w:footnoteReference w:id="3"/>
      </w:r>
      <w:r>
        <w:rPr>
          <w:rFonts w:ascii="Arial" w:eastAsiaTheme="minorHAnsi" w:hAnsi="Arial" w:cs="Arial"/>
        </w:rPr>
        <w:t xml:space="preserve">  The EDR was reauthorized in AEP</w:t>
      </w:r>
      <w:r w:rsidR="001B0849">
        <w:rPr>
          <w:rFonts w:ascii="Arial" w:eastAsiaTheme="minorHAnsi" w:hAnsi="Arial" w:cs="Arial"/>
        </w:rPr>
        <w:noBreakHyphen/>
      </w:r>
      <w:r>
        <w:rPr>
          <w:rFonts w:ascii="Arial" w:eastAsiaTheme="minorHAnsi" w:hAnsi="Arial" w:cs="Arial"/>
        </w:rPr>
        <w:t>Ohio’s second and third ESP proceedings and is filed semi-annually.</w:t>
      </w:r>
      <w:r>
        <w:rPr>
          <w:rFonts w:ascii="Arial" w:eastAsiaTheme="minorHAnsi" w:hAnsi="Arial" w:cs="Arial"/>
          <w:vertAlign w:val="superscript"/>
        </w:rPr>
        <w:footnoteReference w:id="4"/>
      </w:r>
      <w:r>
        <w:rPr>
          <w:rFonts w:ascii="Arial" w:eastAsiaTheme="minorHAnsi" w:hAnsi="Arial" w:cs="Arial"/>
        </w:rPr>
        <w:t xml:space="preserve">  The rider is calculated as a percentage of a customer’s distribution charges.  </w:t>
      </w:r>
    </w:p>
    <w:p w:rsidR="003733F9" w:rsidRDefault="00517B6A" w:rsidP="00517B6A">
      <w:pPr>
        <w:autoSpaceDE w:val="0"/>
        <w:autoSpaceDN w:val="0"/>
        <w:adjustRightInd w:val="0"/>
        <w:spacing w:line="480" w:lineRule="auto"/>
        <w:ind w:firstLine="720"/>
        <w:jc w:val="both"/>
        <w:rPr>
          <w:rFonts w:ascii="Arial" w:hAnsi="Arial" w:cs="Arial"/>
          <w:bCs/>
        </w:rPr>
      </w:pPr>
      <w:r>
        <w:rPr>
          <w:rFonts w:ascii="Arial" w:eastAsiaTheme="minorHAnsi" w:hAnsi="Arial" w:cs="Arial"/>
        </w:rPr>
        <w:t xml:space="preserve">On </w:t>
      </w:r>
      <w:r w:rsidR="003733F9">
        <w:rPr>
          <w:rFonts w:ascii="Arial" w:eastAsiaTheme="minorHAnsi" w:hAnsi="Arial" w:cs="Arial"/>
        </w:rPr>
        <w:t>February 2, 2016</w:t>
      </w:r>
      <w:r>
        <w:rPr>
          <w:rFonts w:ascii="Arial" w:eastAsiaTheme="minorHAnsi" w:hAnsi="Arial" w:cs="Arial"/>
        </w:rPr>
        <w:t xml:space="preserve">, AEP-Ohio initiated this semi-annual update case by filing an application requesting that the Commission adjust AEP-Ohio’s EDR.  AEP-Ohio’s application contained </w:t>
      </w:r>
      <w:r>
        <w:rPr>
          <w:rFonts w:ascii="Arial" w:hAnsi="Arial" w:cs="Arial"/>
          <w:bCs/>
        </w:rPr>
        <w:t xml:space="preserve">Eramet’s customer-specific information that was clearly marked as confidential and was filed under seal, separate from the redacted public version of the Eramet-specific schedule.  To protect its confidential information, Eramet sought to intervene in this proceeding and filed a Motion for Protective Order.  </w:t>
      </w:r>
    </w:p>
    <w:p w:rsidR="00517B6A" w:rsidRPr="001972B0" w:rsidRDefault="00517B6A" w:rsidP="00517B6A">
      <w:pPr>
        <w:autoSpaceDE w:val="0"/>
        <w:autoSpaceDN w:val="0"/>
        <w:adjustRightInd w:val="0"/>
        <w:spacing w:line="480" w:lineRule="auto"/>
        <w:ind w:firstLine="720"/>
        <w:jc w:val="both"/>
        <w:rPr>
          <w:rFonts w:ascii="Arial" w:hAnsi="Arial" w:cs="Arial"/>
          <w:bCs/>
        </w:rPr>
      </w:pPr>
      <w:r w:rsidRPr="001972B0">
        <w:rPr>
          <w:rFonts w:ascii="Arial" w:hAnsi="Arial" w:cs="Arial"/>
          <w:bCs/>
        </w:rPr>
        <w:t xml:space="preserve">The Commission granted Eramet’s Motion to Intervene and Motion for Protective Order, finding that the customer-specific information constituted a trade secret in </w:t>
      </w:r>
      <w:r>
        <w:rPr>
          <w:rFonts w:ascii="Arial" w:hAnsi="Arial" w:cs="Arial"/>
          <w:bCs/>
        </w:rPr>
        <w:t xml:space="preserve">a Finding and </w:t>
      </w:r>
      <w:r w:rsidRPr="001972B0">
        <w:rPr>
          <w:rFonts w:ascii="Arial" w:hAnsi="Arial" w:cs="Arial"/>
          <w:bCs/>
        </w:rPr>
        <w:t xml:space="preserve">Order dated </w:t>
      </w:r>
      <w:r w:rsidR="003733F9">
        <w:rPr>
          <w:rFonts w:ascii="Arial" w:hAnsi="Arial" w:cs="Arial"/>
          <w:bCs/>
        </w:rPr>
        <w:t>March 31, 2016</w:t>
      </w:r>
      <w:r w:rsidRPr="001972B0">
        <w:rPr>
          <w:rFonts w:ascii="Arial" w:hAnsi="Arial" w:cs="Arial"/>
          <w:bCs/>
        </w:rPr>
        <w:t>.</w:t>
      </w:r>
      <w:r w:rsidRPr="001972B0">
        <w:rPr>
          <w:rFonts w:ascii="Arial" w:hAnsi="Arial" w:cs="Arial"/>
          <w:bCs/>
          <w:vertAlign w:val="superscript"/>
        </w:rPr>
        <w:footnoteReference w:id="5"/>
      </w:r>
      <w:r w:rsidRPr="001972B0">
        <w:rPr>
          <w:rFonts w:ascii="Arial" w:hAnsi="Arial" w:cs="Arial"/>
          <w:bCs/>
        </w:rPr>
        <w:t xml:space="preserve">  In its Order, the Commission specified that its Protective Order would extend for a period of </w:t>
      </w:r>
      <w:r>
        <w:rPr>
          <w:rFonts w:ascii="Arial" w:hAnsi="Arial" w:cs="Arial"/>
          <w:bCs/>
        </w:rPr>
        <w:t>24</w:t>
      </w:r>
      <w:r w:rsidRPr="001972B0">
        <w:rPr>
          <w:rFonts w:ascii="Arial" w:hAnsi="Arial" w:cs="Arial"/>
          <w:bCs/>
        </w:rPr>
        <w:t xml:space="preserve"> months</w:t>
      </w:r>
      <w:r>
        <w:rPr>
          <w:rFonts w:ascii="Arial" w:hAnsi="Arial" w:cs="Arial"/>
          <w:bCs/>
        </w:rPr>
        <w:t xml:space="preserve">.  It further </w:t>
      </w:r>
      <w:r w:rsidRPr="001972B0">
        <w:rPr>
          <w:rFonts w:ascii="Arial" w:hAnsi="Arial" w:cs="Arial"/>
          <w:bCs/>
        </w:rPr>
        <w:t xml:space="preserve">specified that </w:t>
      </w:r>
      <w:r>
        <w:rPr>
          <w:rFonts w:ascii="Arial" w:hAnsi="Arial" w:cs="Arial"/>
          <w:bCs/>
        </w:rPr>
        <w:t>Eramet</w:t>
      </w:r>
      <w:r w:rsidRPr="001972B0">
        <w:rPr>
          <w:rFonts w:ascii="Arial" w:hAnsi="Arial" w:cs="Arial"/>
          <w:bCs/>
        </w:rPr>
        <w:t xml:space="preserve"> should file a motion requesting an extension</w:t>
      </w:r>
      <w:r>
        <w:rPr>
          <w:rFonts w:ascii="Arial" w:hAnsi="Arial" w:cs="Arial"/>
          <w:bCs/>
        </w:rPr>
        <w:t xml:space="preserve"> of the Protective Order</w:t>
      </w:r>
      <w:r w:rsidRPr="001972B0">
        <w:rPr>
          <w:rFonts w:ascii="Arial" w:hAnsi="Arial" w:cs="Arial"/>
          <w:bCs/>
        </w:rPr>
        <w:t xml:space="preserve"> at least 45 days before the expiration of the Protective Order</w:t>
      </w:r>
      <w:r w:rsidRPr="00B50036">
        <w:rPr>
          <w:rFonts w:ascii="Arial" w:hAnsi="Arial" w:cs="Arial"/>
          <w:bCs/>
        </w:rPr>
        <w:t xml:space="preserve"> </w:t>
      </w:r>
      <w:r>
        <w:rPr>
          <w:rFonts w:ascii="Arial" w:hAnsi="Arial" w:cs="Arial"/>
          <w:bCs/>
        </w:rPr>
        <w:t>if</w:t>
      </w:r>
      <w:r w:rsidRPr="001972B0">
        <w:rPr>
          <w:rFonts w:ascii="Arial" w:hAnsi="Arial" w:cs="Arial"/>
          <w:bCs/>
        </w:rPr>
        <w:t xml:space="preserve"> Eramet </w:t>
      </w:r>
      <w:r>
        <w:rPr>
          <w:rFonts w:ascii="Arial" w:hAnsi="Arial" w:cs="Arial"/>
          <w:bCs/>
        </w:rPr>
        <w:t>sought</w:t>
      </w:r>
      <w:r w:rsidRPr="001972B0">
        <w:rPr>
          <w:rFonts w:ascii="Arial" w:hAnsi="Arial" w:cs="Arial"/>
          <w:bCs/>
        </w:rPr>
        <w:t xml:space="preserve"> to extend the Protective Order.</w:t>
      </w:r>
      <w:r w:rsidRPr="001972B0">
        <w:rPr>
          <w:rFonts w:ascii="Arial" w:hAnsi="Arial" w:cs="Arial"/>
          <w:bCs/>
          <w:vertAlign w:val="superscript"/>
        </w:rPr>
        <w:footnoteReference w:id="6"/>
      </w:r>
      <w:r w:rsidRPr="001972B0">
        <w:rPr>
          <w:rFonts w:ascii="Arial" w:hAnsi="Arial" w:cs="Arial"/>
          <w:bCs/>
        </w:rPr>
        <w:t xml:space="preserve"> </w:t>
      </w:r>
    </w:p>
    <w:p w:rsidR="00517B6A" w:rsidRDefault="00517B6A" w:rsidP="00517B6A">
      <w:pPr>
        <w:autoSpaceDE w:val="0"/>
        <w:autoSpaceDN w:val="0"/>
        <w:adjustRightInd w:val="0"/>
        <w:spacing w:line="480" w:lineRule="auto"/>
        <w:ind w:firstLine="720"/>
        <w:jc w:val="both"/>
        <w:rPr>
          <w:rFonts w:ascii="Arial" w:hAnsi="Arial" w:cs="Arial"/>
        </w:rPr>
      </w:pPr>
      <w:r>
        <w:rPr>
          <w:rFonts w:ascii="Arial" w:hAnsi="Arial" w:cs="Arial"/>
        </w:rPr>
        <w:lastRenderedPageBreak/>
        <w:t xml:space="preserve">For the reasons stated below, Eramet respectfully requests that the Commission extend the protective treatment of Eramet’s customer-specific information included to support AEP-Ohio’s EDR adjustment filed under seal. </w:t>
      </w:r>
    </w:p>
    <w:p w:rsidR="00517B6A" w:rsidRDefault="00517B6A" w:rsidP="00517B6A">
      <w:pPr>
        <w:pStyle w:val="ListParagraph"/>
        <w:numPr>
          <w:ilvl w:val="0"/>
          <w:numId w:val="1"/>
        </w:numPr>
        <w:spacing w:before="180" w:line="480" w:lineRule="auto"/>
        <w:ind w:left="720"/>
        <w:jc w:val="both"/>
        <w:rPr>
          <w:rFonts w:ascii="Arial" w:hAnsi="Arial" w:cs="Arial"/>
          <w:b/>
        </w:rPr>
      </w:pPr>
      <w:r>
        <w:rPr>
          <w:rFonts w:ascii="Arial" w:hAnsi="Arial" w:cs="Arial"/>
          <w:b/>
        </w:rPr>
        <w:t>ARGUMENT</w:t>
      </w:r>
    </w:p>
    <w:p w:rsidR="00517B6A" w:rsidRPr="00517B6A" w:rsidRDefault="00517B6A" w:rsidP="00F36F28">
      <w:pPr>
        <w:pStyle w:val="BodyText3"/>
        <w:widowControl w:val="0"/>
        <w:spacing w:after="0" w:line="480" w:lineRule="auto"/>
        <w:ind w:firstLine="720"/>
        <w:jc w:val="both"/>
        <w:rPr>
          <w:rFonts w:ascii="Arial" w:hAnsi="Arial"/>
          <w:b/>
          <w:sz w:val="24"/>
          <w:szCs w:val="24"/>
        </w:rPr>
      </w:pPr>
      <w:r w:rsidRPr="00517B6A">
        <w:rPr>
          <w:rFonts w:ascii="Arial" w:hAnsi="Arial"/>
          <w:sz w:val="24"/>
          <w:szCs w:val="24"/>
        </w:rPr>
        <w:t xml:space="preserve">The billing information </w:t>
      </w:r>
      <w:r w:rsidRPr="00517B6A">
        <w:rPr>
          <w:rFonts w:ascii="Arial" w:hAnsi="Arial" w:cs="Arial"/>
          <w:sz w:val="24"/>
          <w:szCs w:val="24"/>
        </w:rPr>
        <w:t xml:space="preserve">of the Eramet </w:t>
      </w:r>
      <w:r w:rsidRPr="00517B6A">
        <w:rPr>
          <w:rFonts w:ascii="Arial" w:hAnsi="Arial" w:cs="Arial"/>
          <w:bCs/>
          <w:sz w:val="24"/>
          <w:szCs w:val="24"/>
        </w:rPr>
        <w:t>reasonable arrangement schedule</w:t>
      </w:r>
      <w:r w:rsidRPr="00517B6A">
        <w:rPr>
          <w:rFonts w:ascii="Arial" w:hAnsi="Arial" w:cs="Arial"/>
          <w:sz w:val="24"/>
          <w:szCs w:val="24"/>
        </w:rPr>
        <w:t xml:space="preserve"> filed by AEP-Ohio </w:t>
      </w:r>
      <w:r w:rsidRPr="00517B6A">
        <w:rPr>
          <w:rFonts w:ascii="Arial" w:hAnsi="Arial"/>
          <w:sz w:val="24"/>
          <w:szCs w:val="24"/>
        </w:rPr>
        <w:t xml:space="preserve">contains competitively sensitive and highly proprietary business information that constitutes trade secrets under Ohio law and the Commission’s rules.  State law recognizes the need to protect information that is confidential in nature.  </w:t>
      </w:r>
      <w:r w:rsidRPr="00517B6A">
        <w:rPr>
          <w:rFonts w:ascii="Arial" w:hAnsi="Arial" w:cs="Arial"/>
          <w:sz w:val="24"/>
          <w:szCs w:val="24"/>
        </w:rPr>
        <w:t>Accordingly, the General Assembly granted the Commission statutory authority to exempt certain documents from disclosure.</w:t>
      </w:r>
      <w:r w:rsidRPr="00517B6A">
        <w:rPr>
          <w:rStyle w:val="FootnoteReference"/>
          <w:rFonts w:ascii="Arial" w:hAnsi="Arial" w:cs="Arial"/>
          <w:sz w:val="24"/>
          <w:szCs w:val="24"/>
        </w:rPr>
        <w:footnoteReference w:id="7"/>
      </w:r>
      <w:r w:rsidRPr="00517B6A">
        <w:rPr>
          <w:rFonts w:ascii="Arial" w:hAnsi="Arial" w:cs="Arial"/>
          <w:sz w:val="24"/>
          <w:szCs w:val="24"/>
        </w:rPr>
        <w:t xml:space="preserve">  Pursuant to this statutory grant of authority, the Commission promulgated Rule 4901-1-24, O.A.C.  </w:t>
      </w:r>
      <w:r w:rsidRPr="00517B6A">
        <w:rPr>
          <w:rFonts w:ascii="Arial" w:hAnsi="Arial"/>
          <w:sz w:val="24"/>
          <w:szCs w:val="24"/>
        </w:rPr>
        <w:t xml:space="preserve">The rule provides for the issuance of an order that is necessary to protect the confidentiality of information contained in documents filed at the Commission to the extent that state or federal law prohibits the release of such information and where non-disclosure of the information is not inconsistent with the purposes of Title 49 of the Revised Code.  </w:t>
      </w:r>
    </w:p>
    <w:p w:rsidR="00517B6A" w:rsidRPr="00517B6A" w:rsidRDefault="00517B6A" w:rsidP="00517B6A">
      <w:pPr>
        <w:pStyle w:val="BodyText3"/>
        <w:widowControl w:val="0"/>
        <w:spacing w:line="480" w:lineRule="auto"/>
        <w:ind w:firstLine="720"/>
        <w:jc w:val="both"/>
        <w:rPr>
          <w:rFonts w:ascii="Arial" w:hAnsi="Arial"/>
          <w:b/>
          <w:sz w:val="24"/>
          <w:szCs w:val="24"/>
        </w:rPr>
      </w:pPr>
      <w:r w:rsidRPr="00517B6A">
        <w:rPr>
          <w:rFonts w:ascii="Arial" w:hAnsi="Arial"/>
          <w:sz w:val="24"/>
          <w:szCs w:val="24"/>
        </w:rPr>
        <w:t>Trade secrets protected by state law are not considered public records and are therefore exempt from public disclosure.</w:t>
      </w:r>
      <w:r w:rsidRPr="00517B6A">
        <w:rPr>
          <w:rStyle w:val="FootnoteReference"/>
          <w:rFonts w:ascii="Arial" w:hAnsi="Arial"/>
          <w:sz w:val="24"/>
          <w:szCs w:val="24"/>
        </w:rPr>
        <w:footnoteReference w:id="8"/>
      </w:r>
      <w:r w:rsidRPr="00517B6A">
        <w:rPr>
          <w:rFonts w:ascii="Arial" w:hAnsi="Arial"/>
          <w:sz w:val="24"/>
          <w:szCs w:val="24"/>
        </w:rPr>
        <w:t xml:space="preserve">  A trade secret is defined by R.C. 1333.61(D) as follows:</w:t>
      </w:r>
    </w:p>
    <w:p w:rsidR="001535F1" w:rsidRDefault="001535F1">
      <w:pPr>
        <w:rPr>
          <w:rFonts w:ascii="Arial" w:hAnsi="Arial"/>
        </w:rPr>
      </w:pPr>
      <w:r>
        <w:rPr>
          <w:rFonts w:ascii="Arial" w:hAnsi="Arial"/>
        </w:rPr>
        <w:br w:type="page"/>
      </w:r>
    </w:p>
    <w:p w:rsidR="00517B6A" w:rsidRPr="00517B6A" w:rsidRDefault="00517B6A" w:rsidP="001535F1">
      <w:pPr>
        <w:pStyle w:val="BodyText3"/>
        <w:keepNext/>
        <w:ind w:left="720" w:right="720"/>
        <w:jc w:val="both"/>
        <w:rPr>
          <w:rFonts w:ascii="Arial" w:hAnsi="Arial"/>
          <w:b/>
          <w:sz w:val="24"/>
          <w:szCs w:val="24"/>
        </w:rPr>
      </w:pPr>
      <w:r w:rsidRPr="00517B6A">
        <w:rPr>
          <w:rFonts w:ascii="Arial" w:hAnsi="Arial"/>
          <w:sz w:val="24"/>
          <w:szCs w:val="24"/>
        </w:rPr>
        <w:lastRenderedPageBreak/>
        <w:t xml:space="preserve">"Trade secret" means information, including the whole or any portion or phase of any scientific or technical information, design, process, procedure, formula, pattern, compilation, program, device, method, technique, or improvement, or any </w:t>
      </w:r>
      <w:r w:rsidRPr="00517B6A">
        <w:rPr>
          <w:rFonts w:ascii="Arial" w:hAnsi="Arial"/>
          <w:i/>
          <w:sz w:val="24"/>
          <w:szCs w:val="24"/>
          <w:u w:val="single"/>
        </w:rPr>
        <w:t xml:space="preserve">business information or plans, </w:t>
      </w:r>
      <w:r w:rsidRPr="00517B6A">
        <w:rPr>
          <w:rFonts w:ascii="Arial" w:hAnsi="Arial"/>
          <w:bCs/>
          <w:i/>
          <w:sz w:val="24"/>
          <w:szCs w:val="24"/>
          <w:u w:val="single"/>
        </w:rPr>
        <w:t>financial</w:t>
      </w:r>
      <w:r w:rsidRPr="00517B6A">
        <w:rPr>
          <w:rFonts w:ascii="Arial" w:hAnsi="Arial"/>
          <w:i/>
          <w:sz w:val="24"/>
          <w:szCs w:val="24"/>
          <w:u w:val="single"/>
        </w:rPr>
        <w:t xml:space="preserve"> </w:t>
      </w:r>
      <w:r w:rsidRPr="00517B6A">
        <w:rPr>
          <w:rFonts w:ascii="Arial" w:hAnsi="Arial"/>
          <w:bCs/>
          <w:i/>
          <w:sz w:val="24"/>
          <w:szCs w:val="24"/>
          <w:u w:val="single"/>
        </w:rPr>
        <w:t>information</w:t>
      </w:r>
      <w:r w:rsidRPr="00517B6A">
        <w:rPr>
          <w:rFonts w:ascii="Arial" w:hAnsi="Arial"/>
          <w:sz w:val="24"/>
          <w:szCs w:val="24"/>
        </w:rPr>
        <w:t>, or listing of names, addresses, or telephone numbers, that satisfies both of the following:</w:t>
      </w:r>
    </w:p>
    <w:p w:rsidR="00517B6A" w:rsidRPr="00517B6A" w:rsidRDefault="00517B6A" w:rsidP="001535F1">
      <w:pPr>
        <w:pStyle w:val="BodyText3"/>
        <w:widowControl w:val="0"/>
        <w:numPr>
          <w:ilvl w:val="0"/>
          <w:numId w:val="2"/>
        </w:numPr>
        <w:ind w:left="1440" w:right="720" w:hanging="720"/>
        <w:jc w:val="both"/>
        <w:rPr>
          <w:rFonts w:ascii="Arial" w:hAnsi="Arial"/>
          <w:b/>
          <w:sz w:val="24"/>
          <w:szCs w:val="24"/>
        </w:rPr>
      </w:pPr>
      <w:r w:rsidRPr="00517B6A">
        <w:rPr>
          <w:rFonts w:ascii="Arial" w:hAnsi="Arial"/>
          <w:sz w:val="24"/>
          <w:szCs w:val="24"/>
        </w:rPr>
        <w:t>It derives independent economic value, actual or potential, from not being generally known to, and not being readily ascertainable by proper means by, other persons who can obtain economic value from its disclosure or use.</w:t>
      </w:r>
    </w:p>
    <w:p w:rsidR="00517B6A" w:rsidRPr="00517B6A" w:rsidRDefault="00517B6A" w:rsidP="001535F1">
      <w:pPr>
        <w:pStyle w:val="BodyText3"/>
        <w:numPr>
          <w:ilvl w:val="0"/>
          <w:numId w:val="2"/>
        </w:numPr>
        <w:ind w:left="1440" w:right="720" w:hanging="720"/>
        <w:jc w:val="both"/>
        <w:rPr>
          <w:rFonts w:ascii="Arial" w:hAnsi="Arial"/>
          <w:b/>
          <w:sz w:val="24"/>
          <w:szCs w:val="24"/>
        </w:rPr>
      </w:pPr>
      <w:r w:rsidRPr="00517B6A">
        <w:rPr>
          <w:rFonts w:ascii="Arial" w:hAnsi="Arial"/>
          <w:sz w:val="24"/>
          <w:szCs w:val="24"/>
        </w:rPr>
        <w:t>It is the subject of efforts that are reasonable under the circumstances to maintain its secrecy.</w:t>
      </w:r>
    </w:p>
    <w:p w:rsidR="00517B6A" w:rsidRPr="00517B6A" w:rsidRDefault="00517B6A" w:rsidP="00F36F28">
      <w:pPr>
        <w:pStyle w:val="BodyText3"/>
        <w:widowControl w:val="0"/>
        <w:spacing w:after="0" w:line="480" w:lineRule="auto"/>
        <w:ind w:right="720"/>
        <w:jc w:val="both"/>
        <w:rPr>
          <w:rFonts w:ascii="Arial" w:hAnsi="Arial"/>
          <w:b/>
          <w:sz w:val="24"/>
          <w:szCs w:val="24"/>
        </w:rPr>
      </w:pPr>
      <w:r w:rsidRPr="00517B6A">
        <w:rPr>
          <w:rFonts w:ascii="Arial" w:hAnsi="Arial"/>
          <w:sz w:val="24"/>
          <w:szCs w:val="24"/>
        </w:rPr>
        <w:t>(emphasis added).</w:t>
      </w:r>
    </w:p>
    <w:p w:rsidR="00517B6A" w:rsidRPr="00517B6A" w:rsidRDefault="00517B6A" w:rsidP="00F36F28">
      <w:pPr>
        <w:pStyle w:val="BodyText3"/>
        <w:widowControl w:val="0"/>
        <w:spacing w:after="0" w:line="480" w:lineRule="auto"/>
        <w:ind w:firstLine="720"/>
        <w:jc w:val="both"/>
        <w:rPr>
          <w:rFonts w:ascii="Arial" w:hAnsi="Arial"/>
          <w:b/>
          <w:sz w:val="24"/>
          <w:szCs w:val="24"/>
        </w:rPr>
      </w:pPr>
      <w:r w:rsidRPr="00517B6A">
        <w:rPr>
          <w:rFonts w:ascii="Arial" w:hAnsi="Arial"/>
          <w:sz w:val="24"/>
          <w:szCs w:val="24"/>
        </w:rPr>
        <w:t>The Eramet-related information contained within the Eramet schedule is competitively sensitive and highly proprietary business and financial information falling within the statutory characterization of a trade secret.</w:t>
      </w:r>
      <w:r w:rsidRPr="00517B6A">
        <w:rPr>
          <w:rStyle w:val="FootnoteReference"/>
          <w:rFonts w:ascii="Arial" w:hAnsi="Arial"/>
          <w:sz w:val="24"/>
          <w:szCs w:val="24"/>
        </w:rPr>
        <w:footnoteReference w:id="9"/>
      </w:r>
      <w:r w:rsidRPr="00517B6A">
        <w:rPr>
          <w:rFonts w:ascii="Arial" w:hAnsi="Arial"/>
          <w:sz w:val="24"/>
          <w:szCs w:val="24"/>
        </w:rPr>
        <w:t xml:space="preserve">  </w:t>
      </w:r>
      <w:r w:rsidRPr="00517B6A">
        <w:rPr>
          <w:rFonts w:ascii="Arial" w:hAnsi="Arial" w:cs="Arial"/>
          <w:sz w:val="24"/>
          <w:szCs w:val="24"/>
        </w:rPr>
        <w:t xml:space="preserve">The information for which protective treatment is sought includes Eramet’s billings paid for electricity based upon its actual and estimated usage.  </w:t>
      </w:r>
      <w:r w:rsidRPr="00517B6A">
        <w:rPr>
          <w:rFonts w:ascii="Arial" w:hAnsi="Arial"/>
          <w:sz w:val="24"/>
          <w:szCs w:val="24"/>
        </w:rPr>
        <w:t>Public disclosure of the pricing information would jeopardize Eramet’s business position and its ability to compete.  The actual and projected billing information Eramet seeks to protect derives independent economic value from not being generally known and not being readily ascertainable by proper means by Eramet’s competitors.  Additionally, the efforts to protect the confidential pricing information are reasonable under the circumstances.  Further, actual customer usage and pricing terms are routinely accorded protected status by the Commission, and the Commission has previously accorded such treatment to Eramet’s information in other AEP-Ohio EDR cases.</w:t>
      </w:r>
      <w:r w:rsidRPr="00517B6A">
        <w:rPr>
          <w:rStyle w:val="FootnoteReference"/>
          <w:rFonts w:ascii="Arial" w:hAnsi="Arial"/>
          <w:sz w:val="24"/>
          <w:szCs w:val="24"/>
        </w:rPr>
        <w:footnoteReference w:id="10"/>
      </w:r>
      <w:r w:rsidRPr="00517B6A">
        <w:rPr>
          <w:rFonts w:ascii="Arial" w:hAnsi="Arial"/>
          <w:sz w:val="24"/>
          <w:szCs w:val="24"/>
        </w:rPr>
        <w:t xml:space="preserve">  Finally, the Commission has already found in this proceeding </w:t>
      </w:r>
      <w:r w:rsidRPr="00517B6A">
        <w:rPr>
          <w:rFonts w:ascii="Arial" w:hAnsi="Arial"/>
          <w:sz w:val="24"/>
          <w:szCs w:val="24"/>
        </w:rPr>
        <w:lastRenderedPageBreak/>
        <w:t>that Eramet’s customer-specific information filed under seal in the confidential version of AEP-Ohio’s application was a trade secret and should be afforded protected status.</w:t>
      </w:r>
      <w:r w:rsidRPr="00517B6A">
        <w:rPr>
          <w:rStyle w:val="FootnoteReference"/>
          <w:rFonts w:ascii="Arial" w:hAnsi="Arial"/>
          <w:sz w:val="24"/>
          <w:szCs w:val="24"/>
        </w:rPr>
        <w:footnoteReference w:id="11"/>
      </w:r>
    </w:p>
    <w:p w:rsidR="00517B6A" w:rsidRDefault="00517B6A" w:rsidP="00517B6A">
      <w:pPr>
        <w:pStyle w:val="BodyText3"/>
        <w:widowControl w:val="0"/>
        <w:spacing w:line="480" w:lineRule="auto"/>
        <w:ind w:firstLine="720"/>
        <w:jc w:val="both"/>
        <w:rPr>
          <w:rFonts w:ascii="Arial" w:hAnsi="Arial"/>
          <w:sz w:val="24"/>
          <w:szCs w:val="24"/>
        </w:rPr>
      </w:pPr>
      <w:r w:rsidRPr="00517B6A">
        <w:rPr>
          <w:rFonts w:ascii="Arial" w:hAnsi="Arial"/>
          <w:sz w:val="24"/>
          <w:szCs w:val="24"/>
        </w:rPr>
        <w:t>The non-disclosure of the actual usage and pricing information will not impair the purposes of Title 49 as the Commission and its Staff will have full access to the confidential information in order to complete its review process.  Because Eramet’s information constitutes a trade secret, it should be accorded protected status.</w:t>
      </w:r>
    </w:p>
    <w:p w:rsidR="001535F1" w:rsidRDefault="001535F1">
      <w:pPr>
        <w:rPr>
          <w:rFonts w:ascii="Arial" w:hAnsi="Arial" w:cs="Arial"/>
          <w:b/>
          <w:bCs/>
          <w:color w:val="010000"/>
        </w:rPr>
      </w:pPr>
      <w:r>
        <w:br w:type="page"/>
      </w:r>
    </w:p>
    <w:p w:rsidR="00517B6A" w:rsidRPr="003733F9" w:rsidRDefault="00517B6A" w:rsidP="00517B6A">
      <w:pPr>
        <w:pStyle w:val="Heading1"/>
        <w:numPr>
          <w:ilvl w:val="0"/>
          <w:numId w:val="4"/>
        </w:numPr>
      </w:pPr>
      <w:r w:rsidRPr="003733F9">
        <w:lastRenderedPageBreak/>
        <w:t>CONCLUSION</w:t>
      </w:r>
    </w:p>
    <w:p w:rsidR="00517B6A" w:rsidRPr="00517B6A" w:rsidRDefault="00517B6A" w:rsidP="00517B6A">
      <w:pPr>
        <w:pStyle w:val="BodyText3"/>
        <w:widowControl w:val="0"/>
        <w:spacing w:line="480" w:lineRule="auto"/>
        <w:ind w:firstLine="720"/>
        <w:jc w:val="both"/>
        <w:rPr>
          <w:rFonts w:ascii="Arial" w:hAnsi="Arial"/>
          <w:b/>
          <w:sz w:val="24"/>
          <w:szCs w:val="24"/>
        </w:rPr>
      </w:pPr>
      <w:r w:rsidRPr="00517B6A">
        <w:rPr>
          <w:rFonts w:ascii="Arial" w:hAnsi="Arial"/>
          <w:sz w:val="24"/>
          <w:szCs w:val="24"/>
        </w:rPr>
        <w:t>Eramet respectfully requests that this Motion to Extend the Protective Order be granted and the Protective Order be extended for a period of 24 months for the reasons set forth herein.</w:t>
      </w:r>
    </w:p>
    <w:p w:rsidR="00517B6A" w:rsidRPr="00517B6A" w:rsidRDefault="00517B6A" w:rsidP="00517B6A">
      <w:pPr>
        <w:pStyle w:val="BodyTextIndent"/>
        <w:spacing w:after="0"/>
        <w:ind w:left="4320"/>
      </w:pPr>
      <w:r w:rsidRPr="00517B6A">
        <w:t>Respectfully submitted,</w:t>
      </w:r>
    </w:p>
    <w:p w:rsidR="00517B6A" w:rsidRPr="00517B6A" w:rsidRDefault="00517B6A" w:rsidP="00517B6A">
      <w:pPr>
        <w:pStyle w:val="BodyTextIndent"/>
        <w:spacing w:after="0"/>
        <w:ind w:left="4320"/>
      </w:pPr>
    </w:p>
    <w:p w:rsidR="00517B6A" w:rsidRPr="000439D1" w:rsidRDefault="00517B6A" w:rsidP="00517B6A">
      <w:pPr>
        <w:tabs>
          <w:tab w:val="left" w:pos="-1440"/>
          <w:tab w:val="left" w:pos="-720"/>
          <w:tab w:val="left" w:pos="3600"/>
          <w:tab w:val="left" w:pos="4320"/>
          <w:tab w:val="left" w:pos="4680"/>
          <w:tab w:val="left" w:pos="5040"/>
        </w:tabs>
        <w:ind w:left="4320"/>
        <w:jc w:val="both"/>
        <w:rPr>
          <w:rFonts w:ascii="Arial" w:hAnsi="Arial" w:cs="Arial"/>
          <w:i/>
          <w:u w:val="single"/>
        </w:rPr>
      </w:pPr>
      <w:r w:rsidRPr="000439D1">
        <w:rPr>
          <w:rFonts w:ascii="Arial" w:hAnsi="Arial" w:cs="Arial"/>
          <w:i/>
          <w:u w:val="single"/>
        </w:rPr>
        <w:t>/s/ Matthew R. Pritchard</w:t>
      </w:r>
      <w:r w:rsidRPr="000439D1">
        <w:rPr>
          <w:rFonts w:ascii="Arial" w:hAnsi="Arial" w:cs="Arial"/>
          <w:i/>
          <w:u w:val="single"/>
        </w:rPr>
        <w:tab/>
      </w:r>
      <w:r w:rsidRPr="000439D1">
        <w:rPr>
          <w:rFonts w:ascii="Arial" w:hAnsi="Arial" w:cs="Arial"/>
          <w:i/>
          <w:u w:val="single"/>
        </w:rPr>
        <w:tab/>
      </w:r>
      <w:r w:rsidRPr="000439D1">
        <w:rPr>
          <w:rFonts w:ascii="Arial" w:hAnsi="Arial" w:cs="Arial"/>
          <w:i/>
          <w:u w:val="single"/>
        </w:rPr>
        <w:tab/>
      </w:r>
      <w:r w:rsidRPr="000439D1">
        <w:rPr>
          <w:rFonts w:ascii="Arial" w:hAnsi="Arial" w:cs="Arial"/>
          <w:i/>
          <w:u w:val="single"/>
        </w:rPr>
        <w:tab/>
      </w:r>
    </w:p>
    <w:p w:rsidR="00517B6A" w:rsidRDefault="00C94B23" w:rsidP="00C94B23">
      <w:pPr>
        <w:widowControl w:val="0"/>
        <w:tabs>
          <w:tab w:val="left" w:pos="4320"/>
        </w:tabs>
        <w:rPr>
          <w:rFonts w:ascii="Arial" w:eastAsiaTheme="minorHAnsi" w:hAnsi="Arial" w:cs="Arial"/>
        </w:rPr>
      </w:pPr>
      <w:r>
        <w:rPr>
          <w:rFonts w:ascii="Arial" w:eastAsiaTheme="minorHAnsi" w:hAnsi="Arial" w:cs="Arial"/>
          <w:bCs/>
        </w:rPr>
        <w:tab/>
      </w:r>
      <w:r w:rsidR="00517B6A" w:rsidRPr="00D00701">
        <w:rPr>
          <w:rFonts w:ascii="Arial" w:eastAsiaTheme="minorHAnsi" w:hAnsi="Arial" w:cs="Arial"/>
          <w:bCs/>
        </w:rPr>
        <w:t>Frank P. Darr (Reg. No. 0025469)</w:t>
      </w:r>
      <w:r w:rsidR="00517B6A" w:rsidRPr="0069249F">
        <w:rPr>
          <w:rFonts w:ascii="Arial" w:eastAsiaTheme="minorHAnsi" w:hAnsi="Arial" w:cs="Arial"/>
        </w:rPr>
        <w:t xml:space="preserve"> </w:t>
      </w:r>
    </w:p>
    <w:p w:rsidR="00517B6A" w:rsidRPr="00D00701" w:rsidRDefault="00517B6A" w:rsidP="00517B6A">
      <w:pPr>
        <w:widowControl w:val="0"/>
        <w:tabs>
          <w:tab w:val="left" w:pos="4320"/>
        </w:tabs>
        <w:ind w:left="4320"/>
        <w:rPr>
          <w:rFonts w:ascii="Arial" w:eastAsiaTheme="minorHAnsi" w:hAnsi="Arial" w:cs="Arial"/>
          <w:bCs/>
        </w:rPr>
      </w:pPr>
      <w:r w:rsidRPr="00D00701">
        <w:rPr>
          <w:rFonts w:ascii="Arial" w:eastAsiaTheme="minorHAnsi" w:hAnsi="Arial" w:cs="Arial"/>
        </w:rPr>
        <w:t>(Counsel of Record)</w:t>
      </w:r>
    </w:p>
    <w:p w:rsidR="00517B6A" w:rsidRPr="00D00701" w:rsidRDefault="00517B6A" w:rsidP="00517B6A">
      <w:pPr>
        <w:widowControl w:val="0"/>
        <w:tabs>
          <w:tab w:val="left" w:pos="4320"/>
        </w:tabs>
        <w:ind w:left="4320"/>
        <w:rPr>
          <w:rFonts w:ascii="Arial" w:eastAsiaTheme="minorHAnsi" w:hAnsi="Arial" w:cs="Arial"/>
          <w:b/>
          <w:bCs/>
        </w:rPr>
      </w:pPr>
      <w:r w:rsidRPr="00D00701">
        <w:rPr>
          <w:rFonts w:ascii="Arial" w:eastAsiaTheme="minorHAnsi" w:hAnsi="Arial" w:cs="Arial"/>
          <w:bCs/>
        </w:rPr>
        <w:t>Matthew R. Pritchard (Reg. No. 0088070)</w:t>
      </w:r>
    </w:p>
    <w:p w:rsidR="00517B6A" w:rsidRDefault="00517B6A" w:rsidP="00517B6A">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517B6A" w:rsidRDefault="00517B6A" w:rsidP="00517B6A">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517B6A" w:rsidRDefault="00517B6A" w:rsidP="00517B6A">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517B6A" w:rsidRDefault="00517B6A" w:rsidP="00517B6A">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517B6A" w:rsidRDefault="00517B6A" w:rsidP="00517B6A">
      <w:pPr>
        <w:pStyle w:val="BodyText"/>
        <w:tabs>
          <w:tab w:val="left" w:pos="4320"/>
        </w:tabs>
        <w:ind w:left="4320" w:hanging="4320"/>
      </w:pPr>
      <w:r>
        <w:tab/>
        <w:t>Telecopier:  (614) 469-4653</w:t>
      </w:r>
    </w:p>
    <w:p w:rsidR="00517B6A" w:rsidRDefault="00517B6A" w:rsidP="00517B6A">
      <w:pPr>
        <w:pStyle w:val="BodyText"/>
        <w:ind w:left="4320"/>
      </w:pPr>
      <w:r>
        <w:t>fdarr@mwncmh.com</w:t>
      </w:r>
    </w:p>
    <w:p w:rsidR="00517B6A" w:rsidRDefault="00517B6A" w:rsidP="00517B6A">
      <w:pPr>
        <w:pStyle w:val="BodyText"/>
        <w:ind w:left="4320"/>
      </w:pPr>
      <w:r>
        <w:t>mpritchard@mwncmh.com</w:t>
      </w:r>
    </w:p>
    <w:p w:rsidR="00517B6A" w:rsidRDefault="00517B6A" w:rsidP="00517B6A">
      <w:pPr>
        <w:pStyle w:val="BodyText"/>
      </w:pPr>
    </w:p>
    <w:p w:rsidR="00517B6A" w:rsidRDefault="00517B6A" w:rsidP="00C94B23">
      <w:pPr>
        <w:rPr>
          <w:rFonts w:ascii="Arial Bold" w:hAnsi="Arial Bold"/>
          <w:b/>
          <w:smallCaps/>
          <w:sz w:val="28"/>
          <w:u w:val="single"/>
        </w:rPr>
        <w:sectPr w:rsidR="00517B6A" w:rsidSect="001535F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noEndnote/>
          <w:titlePg/>
          <w:docGrid w:linePitch="78"/>
        </w:sectPr>
      </w:pPr>
      <w:r>
        <w:tab/>
      </w:r>
      <w:r>
        <w:tab/>
      </w:r>
      <w:r>
        <w:tab/>
      </w:r>
      <w:r>
        <w:tab/>
      </w:r>
      <w:r>
        <w:tab/>
      </w:r>
      <w:r>
        <w:tab/>
      </w:r>
      <w:r w:rsidRPr="00C13459">
        <w:rPr>
          <w:rFonts w:ascii="Arial" w:hAnsi="Arial" w:cs="Arial"/>
          <w:b/>
        </w:rPr>
        <w:t>Attorneys f</w:t>
      </w:r>
      <w:r>
        <w:rPr>
          <w:rFonts w:ascii="Arial" w:hAnsi="Arial" w:cs="Arial"/>
          <w:b/>
        </w:rPr>
        <w:t>or Eramet Marietta Inc.</w:t>
      </w:r>
    </w:p>
    <w:p w:rsidR="0024281A" w:rsidRDefault="0024281A" w:rsidP="0024281A">
      <w:pPr>
        <w:tabs>
          <w:tab w:val="left" w:pos="2160"/>
          <w:tab w:val="left" w:pos="2280"/>
        </w:tabs>
        <w:jc w:val="center"/>
        <w:rPr>
          <w:rFonts w:ascii="Arial Bold" w:hAnsi="Arial Bold"/>
          <w:b/>
          <w:smallCaps/>
          <w:sz w:val="28"/>
          <w:u w:val="single"/>
        </w:rPr>
      </w:pPr>
      <w:r>
        <w:rPr>
          <w:rFonts w:ascii="Arial Bold" w:hAnsi="Arial Bold"/>
          <w:b/>
          <w:smallCaps/>
          <w:sz w:val="28"/>
          <w:u w:val="single"/>
        </w:rPr>
        <w:lastRenderedPageBreak/>
        <w:t>Certificate Of Service</w:t>
      </w:r>
      <w:bookmarkEnd w:id="0"/>
      <w:bookmarkEnd w:id="1"/>
    </w:p>
    <w:p w:rsidR="0024281A" w:rsidRDefault="0024281A" w:rsidP="0024281A"/>
    <w:p w:rsidR="0024281A" w:rsidRDefault="0024281A" w:rsidP="0024281A">
      <w:pPr>
        <w:pStyle w:val="BodyText"/>
        <w:spacing w:line="480" w:lineRule="auto"/>
        <w:ind w:firstLine="720"/>
      </w:pPr>
      <w:r>
        <w:t>In accordance with Rule 4901-1-05, Ohio Administrative Code, the PUCO's e</w:t>
      </w:r>
      <w:r>
        <w:noBreakHyphen/>
        <w:t xml:space="preserve">filing system will electronically serve notice of the filing of this document upon the following parties.  In addition, I hereby certify that a service copy of the foregoing </w:t>
      </w:r>
      <w:r w:rsidR="00C94B23">
        <w:rPr>
          <w:i/>
        </w:rPr>
        <w:t xml:space="preserve">Motion of Eramet Marietta Inc. to Extend the Protective Order and Memorandum in Support </w:t>
      </w:r>
      <w:r>
        <w:t xml:space="preserve">was sent by, or on behalf of, the undersigned counsel for Eramet Marietta Inc., to the following parties of record this </w:t>
      </w:r>
      <w:r w:rsidR="00F36F28">
        <w:t>1</w:t>
      </w:r>
      <w:r w:rsidR="00647D2D">
        <w:t>9</w:t>
      </w:r>
      <w:r w:rsidR="00C94B23" w:rsidRPr="00C94B23">
        <w:rPr>
          <w:vertAlign w:val="superscript"/>
        </w:rPr>
        <w:t>th</w:t>
      </w:r>
      <w:r w:rsidR="00C94B23">
        <w:t xml:space="preserve"> </w:t>
      </w:r>
      <w:r>
        <w:t xml:space="preserve">day of </w:t>
      </w:r>
      <w:r w:rsidR="00C94B23">
        <w:t xml:space="preserve">January </w:t>
      </w:r>
      <w:r>
        <w:t>201</w:t>
      </w:r>
      <w:r w:rsidR="00C94B23">
        <w:t>8</w:t>
      </w:r>
      <w:r>
        <w:t xml:space="preserve">, </w:t>
      </w:r>
      <w:r>
        <w:rPr>
          <w:i/>
        </w:rPr>
        <w:t>via</w:t>
      </w:r>
      <w:r>
        <w:t xml:space="preserve"> electronic transmission.</w:t>
      </w:r>
    </w:p>
    <w:p w:rsidR="0024281A" w:rsidRPr="00C43FF8" w:rsidRDefault="0024281A" w:rsidP="0024281A">
      <w:pPr>
        <w:pStyle w:val="Title"/>
        <w:tabs>
          <w:tab w:val="left" w:pos="5040"/>
          <w:tab w:val="right" w:pos="9270"/>
        </w:tabs>
        <w:ind w:left="5040"/>
        <w:rPr>
          <w:b w:val="0"/>
          <w:i/>
          <w:smallCaps/>
          <w:u w:val="single"/>
        </w:rPr>
      </w:pPr>
      <w:r w:rsidRPr="00C43FF8">
        <w:rPr>
          <w:b w:val="0"/>
          <w:i/>
          <w:u w:val="single"/>
        </w:rPr>
        <w:t>/s/ Matthew R. Pritchard</w:t>
      </w:r>
      <w:r w:rsidRPr="00C43FF8">
        <w:rPr>
          <w:b w:val="0"/>
          <w:i/>
          <w:u w:val="single"/>
        </w:rPr>
        <w:tab/>
      </w:r>
    </w:p>
    <w:p w:rsidR="0024281A" w:rsidRDefault="0024281A" w:rsidP="0024281A">
      <w:pPr>
        <w:pStyle w:val="Title"/>
        <w:tabs>
          <w:tab w:val="left" w:pos="5040"/>
        </w:tabs>
        <w:ind w:left="5040"/>
        <w:jc w:val="left"/>
        <w:rPr>
          <w:b w:val="0"/>
          <w:smallCaps/>
        </w:rPr>
      </w:pPr>
      <w:r>
        <w:rPr>
          <w:b w:val="0"/>
          <w:smallCaps/>
        </w:rPr>
        <w:tab/>
        <w:t>Matthew R. Pritchard</w:t>
      </w:r>
    </w:p>
    <w:p w:rsidR="004E55D0" w:rsidRDefault="004E55D0" w:rsidP="0024281A">
      <w:pPr>
        <w:pStyle w:val="Title"/>
        <w:tabs>
          <w:tab w:val="left" w:pos="5040"/>
        </w:tabs>
        <w:ind w:left="5040"/>
        <w:jc w:val="left"/>
        <w:rPr>
          <w:b w:val="0"/>
          <w:smallCaps/>
        </w:rPr>
      </w:pPr>
    </w:p>
    <w:p w:rsidR="004E55D0" w:rsidRDefault="004E55D0" w:rsidP="0024281A">
      <w:pPr>
        <w:pStyle w:val="Title"/>
        <w:tabs>
          <w:tab w:val="left" w:pos="5040"/>
        </w:tabs>
        <w:ind w:left="5040"/>
        <w:jc w:val="left"/>
        <w:rPr>
          <w:b w:val="0"/>
          <w:smallCaps/>
        </w:rPr>
      </w:pPr>
    </w:p>
    <w:p w:rsidR="0024281A" w:rsidRDefault="0024281A" w:rsidP="0024281A">
      <w:pPr>
        <w:jc w:val="both"/>
        <w:rPr>
          <w:sz w:val="22"/>
          <w:szCs w:val="22"/>
        </w:rPr>
        <w:sectPr w:rsidR="0024281A">
          <w:pgSz w:w="12240" w:h="15840"/>
          <w:pgMar w:top="1440" w:right="1440" w:bottom="1440" w:left="1440" w:header="720" w:footer="720" w:gutter="0"/>
          <w:pgNumType w:start="1"/>
          <w:cols w:space="720"/>
          <w:noEndnote/>
          <w:titlePg/>
          <w:docGrid w:linePitch="78"/>
        </w:sectPr>
      </w:pPr>
    </w:p>
    <w:p w:rsidR="00CE2356" w:rsidRPr="00FD0A6E" w:rsidRDefault="00CE2356" w:rsidP="00CE2356">
      <w:pPr>
        <w:pStyle w:val="Title"/>
        <w:tabs>
          <w:tab w:val="left" w:pos="5040"/>
        </w:tabs>
        <w:jc w:val="left"/>
        <w:rPr>
          <w:b w:val="0"/>
          <w:smallCaps/>
          <w:sz w:val="22"/>
          <w:szCs w:val="22"/>
        </w:rPr>
      </w:pPr>
      <w:r w:rsidRPr="00FD0A6E">
        <w:rPr>
          <w:b w:val="0"/>
          <w:sz w:val="22"/>
          <w:szCs w:val="22"/>
        </w:rPr>
        <w:t>Steven T. Nourse</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Matthew J. Satterwhite</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American Electric Power Service Corporation</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1 Riverside Plaza, 29</w:t>
      </w:r>
      <w:r w:rsidRPr="00FD0A6E">
        <w:rPr>
          <w:rFonts w:ascii="Arial" w:eastAsiaTheme="minorHAnsi" w:hAnsi="Arial" w:cs="Arial"/>
          <w:sz w:val="22"/>
          <w:szCs w:val="22"/>
          <w:vertAlign w:val="superscript"/>
        </w:rPr>
        <w:t>th</w:t>
      </w:r>
      <w:r w:rsidRPr="00FD0A6E">
        <w:rPr>
          <w:rFonts w:ascii="Arial" w:eastAsiaTheme="minorHAnsi" w:hAnsi="Arial" w:cs="Arial"/>
          <w:sz w:val="22"/>
          <w:szCs w:val="22"/>
        </w:rPr>
        <w:t xml:space="preserve"> Floor</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Columbus, OH  43215</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stnourse@aep.com</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mjsatterwhite@aep.com</w:t>
      </w:r>
    </w:p>
    <w:p w:rsidR="00CE2356" w:rsidRPr="00FD0A6E" w:rsidRDefault="00CE2356" w:rsidP="00CE2356">
      <w:pPr>
        <w:autoSpaceDE w:val="0"/>
        <w:autoSpaceDN w:val="0"/>
        <w:adjustRightInd w:val="0"/>
        <w:rPr>
          <w:rFonts w:ascii="Arial" w:eastAsiaTheme="minorHAnsi" w:hAnsi="Arial" w:cs="Arial"/>
          <w:sz w:val="22"/>
          <w:szCs w:val="22"/>
        </w:rPr>
      </w:pPr>
    </w:p>
    <w:p w:rsidR="00CE2356" w:rsidRPr="00FD0A6E" w:rsidRDefault="00CE2356" w:rsidP="00CE2356">
      <w:pPr>
        <w:rPr>
          <w:rFonts w:ascii="Arial" w:hAnsi="Arial" w:cs="Arial"/>
          <w:b/>
          <w:smallCaps/>
          <w:sz w:val="22"/>
          <w:szCs w:val="22"/>
        </w:rPr>
      </w:pPr>
      <w:r w:rsidRPr="00FD0A6E">
        <w:rPr>
          <w:rFonts w:ascii="Arial" w:hAnsi="Arial" w:cs="Arial"/>
          <w:b/>
          <w:smallCaps/>
          <w:sz w:val="22"/>
          <w:szCs w:val="22"/>
        </w:rPr>
        <w:t xml:space="preserve">On Behalf of Ohio Power Company </w:t>
      </w:r>
    </w:p>
    <w:p w:rsidR="00CE2356" w:rsidRPr="00FD0A6E" w:rsidRDefault="00CE2356" w:rsidP="00CE2356">
      <w:pPr>
        <w:rPr>
          <w:rFonts w:ascii="Arial" w:hAnsi="Arial" w:cs="Arial"/>
          <w:b/>
          <w:smallCaps/>
          <w:sz w:val="22"/>
          <w:szCs w:val="22"/>
        </w:rPr>
      </w:pP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Michael J. Settineri (0073369)</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Stephen M. Howard (0022421)</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William A. Sieck (0071813)</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Vorys, Sater, Seymour and Pease LLP</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52 East Gay Street</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P.O. Box 1008</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 xml:space="preserve">Columbus, </w:t>
      </w:r>
      <w:r w:rsidR="001535F1">
        <w:rPr>
          <w:rFonts w:ascii="Arial" w:eastAsiaTheme="minorHAnsi" w:hAnsi="Arial" w:cs="Arial"/>
          <w:sz w:val="22"/>
          <w:szCs w:val="22"/>
        </w:rPr>
        <w:t xml:space="preserve">OH  </w:t>
      </w:r>
      <w:r w:rsidRPr="00FD0A6E">
        <w:rPr>
          <w:rFonts w:ascii="Arial" w:eastAsiaTheme="minorHAnsi" w:hAnsi="Arial" w:cs="Arial"/>
          <w:sz w:val="22"/>
          <w:szCs w:val="22"/>
        </w:rPr>
        <w:t>43216-1008</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mjsettineri@vorys.com</w:t>
      </w:r>
    </w:p>
    <w:p w:rsidR="00CE2356" w:rsidRPr="00FD0A6E" w:rsidRDefault="00CE2356" w:rsidP="00CE2356">
      <w:pPr>
        <w:rPr>
          <w:rFonts w:ascii="Arial" w:eastAsiaTheme="minorHAnsi" w:hAnsi="Arial" w:cs="Arial"/>
          <w:sz w:val="22"/>
          <w:szCs w:val="22"/>
        </w:rPr>
      </w:pPr>
      <w:r w:rsidRPr="00FD0A6E">
        <w:rPr>
          <w:rFonts w:ascii="Arial" w:eastAsiaTheme="minorHAnsi" w:hAnsi="Arial" w:cs="Arial"/>
          <w:sz w:val="22"/>
          <w:szCs w:val="22"/>
        </w:rPr>
        <w:t>smhoward@vorys.com</w:t>
      </w:r>
    </w:p>
    <w:p w:rsidR="00CE2356" w:rsidRPr="00FD0A6E" w:rsidRDefault="00CE2356" w:rsidP="00CE2356">
      <w:pPr>
        <w:rPr>
          <w:rFonts w:ascii="Arial" w:eastAsia="Calibri" w:hAnsi="Arial"/>
          <w:sz w:val="22"/>
          <w:szCs w:val="22"/>
        </w:rPr>
      </w:pPr>
      <w:r w:rsidRPr="00FD0A6E">
        <w:rPr>
          <w:rFonts w:ascii="Arial" w:eastAsia="Calibri" w:hAnsi="Arial"/>
          <w:sz w:val="22"/>
          <w:szCs w:val="22"/>
        </w:rPr>
        <w:t>wasieck@vorys.com</w:t>
      </w:r>
    </w:p>
    <w:p w:rsidR="00CE2356" w:rsidRPr="00FD0A6E" w:rsidRDefault="00CE2356" w:rsidP="00CE2356">
      <w:pPr>
        <w:rPr>
          <w:rFonts w:ascii="Arial Bold" w:eastAsiaTheme="minorHAnsi" w:hAnsi="Arial Bold" w:cs="Arial"/>
          <w:sz w:val="22"/>
          <w:szCs w:val="22"/>
        </w:rPr>
      </w:pPr>
    </w:p>
    <w:p w:rsidR="00CE2356" w:rsidRPr="00FD0A6E" w:rsidRDefault="00CE2356" w:rsidP="00CE2356">
      <w:pPr>
        <w:rPr>
          <w:rFonts w:ascii="Arial Bold" w:hAnsi="Arial Bold" w:cs="Arial"/>
          <w:b/>
          <w:smallCaps/>
          <w:sz w:val="22"/>
          <w:szCs w:val="22"/>
        </w:rPr>
      </w:pPr>
      <w:r w:rsidRPr="00FD0A6E">
        <w:rPr>
          <w:rFonts w:ascii="Arial Bold" w:eastAsiaTheme="minorHAnsi" w:hAnsi="Arial Bold" w:cs="Arial"/>
          <w:b/>
          <w:smallCaps/>
          <w:sz w:val="22"/>
          <w:szCs w:val="22"/>
        </w:rPr>
        <w:t>On Behalf of Globe Metallurgical, Inc.</w:t>
      </w:r>
    </w:p>
    <w:p w:rsidR="00CE2356" w:rsidRPr="00FD0A6E" w:rsidRDefault="00CE2356" w:rsidP="00CE2356">
      <w:pPr>
        <w:rPr>
          <w:rFonts w:ascii="Arial" w:hAnsi="Arial" w:cs="Arial"/>
          <w:b/>
          <w:smallCaps/>
          <w:sz w:val="22"/>
          <w:szCs w:val="22"/>
        </w:rPr>
      </w:pP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hAnsi="Arial" w:cs="Arial"/>
          <w:color w:val="000000" w:themeColor="text1"/>
          <w:sz w:val="22"/>
          <w:szCs w:val="22"/>
        </w:rPr>
        <w:br w:type="column"/>
      </w:r>
      <w:r w:rsidRPr="00FD0A6E">
        <w:rPr>
          <w:rFonts w:ascii="Arial" w:eastAsiaTheme="minorHAnsi" w:hAnsi="Arial" w:cs="Arial"/>
          <w:sz w:val="22"/>
          <w:szCs w:val="22"/>
        </w:rPr>
        <w:t>Michael J. Settineri (0073369)</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Stephen M. Howard (0022421)</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Vorys, Sater, Seymour and Pease LLP</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52 East Gay Street</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P.O. Box 1008</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 xml:space="preserve">Columbus, </w:t>
      </w:r>
      <w:r w:rsidR="001535F1">
        <w:rPr>
          <w:rFonts w:ascii="Arial" w:eastAsiaTheme="minorHAnsi" w:hAnsi="Arial" w:cs="Arial"/>
          <w:sz w:val="22"/>
          <w:szCs w:val="22"/>
        </w:rPr>
        <w:t xml:space="preserve">OH  </w:t>
      </w:r>
      <w:r w:rsidRPr="00FD0A6E">
        <w:rPr>
          <w:rFonts w:ascii="Arial" w:eastAsiaTheme="minorHAnsi" w:hAnsi="Arial" w:cs="Arial"/>
          <w:sz w:val="22"/>
          <w:szCs w:val="22"/>
        </w:rPr>
        <w:t>43216-1008</w:t>
      </w:r>
    </w:p>
    <w:p w:rsidR="00CE2356" w:rsidRPr="00FD0A6E" w:rsidRDefault="00CE2356" w:rsidP="00CE2356">
      <w:pPr>
        <w:autoSpaceDE w:val="0"/>
        <w:autoSpaceDN w:val="0"/>
        <w:adjustRightInd w:val="0"/>
        <w:rPr>
          <w:rFonts w:ascii="Arial" w:eastAsiaTheme="minorHAnsi" w:hAnsi="Arial" w:cs="Arial"/>
          <w:sz w:val="22"/>
          <w:szCs w:val="22"/>
        </w:rPr>
      </w:pPr>
      <w:r w:rsidRPr="00FD0A6E">
        <w:rPr>
          <w:rFonts w:ascii="Arial" w:eastAsiaTheme="minorHAnsi" w:hAnsi="Arial" w:cs="Arial"/>
          <w:sz w:val="22"/>
          <w:szCs w:val="22"/>
        </w:rPr>
        <w:t>mjsettineri@vorys.com</w:t>
      </w:r>
    </w:p>
    <w:p w:rsidR="00CE2356" w:rsidRPr="00FD0A6E" w:rsidRDefault="00CE2356" w:rsidP="00CE2356">
      <w:pPr>
        <w:rPr>
          <w:rFonts w:ascii="Arial" w:eastAsiaTheme="minorHAnsi" w:hAnsi="Arial" w:cs="Arial"/>
          <w:sz w:val="22"/>
          <w:szCs w:val="22"/>
        </w:rPr>
      </w:pPr>
      <w:r w:rsidRPr="00FD0A6E">
        <w:rPr>
          <w:rFonts w:ascii="Arial" w:eastAsiaTheme="minorHAnsi" w:hAnsi="Arial" w:cs="Arial"/>
          <w:sz w:val="22"/>
          <w:szCs w:val="22"/>
        </w:rPr>
        <w:t>smhoward@vorys.com</w:t>
      </w:r>
    </w:p>
    <w:p w:rsidR="00CE2356" w:rsidRPr="00FD0A6E" w:rsidRDefault="00CE2356" w:rsidP="00CE2356">
      <w:pPr>
        <w:rPr>
          <w:rFonts w:ascii="Arial Bold" w:eastAsiaTheme="minorHAnsi" w:hAnsi="Arial Bold" w:cs="Arial"/>
          <w:sz w:val="22"/>
          <w:szCs w:val="22"/>
        </w:rPr>
      </w:pPr>
    </w:p>
    <w:p w:rsidR="00CE2356" w:rsidRPr="00FD0A6E" w:rsidRDefault="00CE2356" w:rsidP="00CE2356">
      <w:pPr>
        <w:rPr>
          <w:rFonts w:ascii="Arial Bold" w:hAnsi="Arial Bold" w:cs="Arial"/>
          <w:b/>
          <w:smallCaps/>
          <w:sz w:val="22"/>
          <w:szCs w:val="22"/>
        </w:rPr>
      </w:pPr>
      <w:r w:rsidRPr="00FD0A6E">
        <w:rPr>
          <w:rFonts w:ascii="Arial Bold" w:eastAsiaTheme="minorHAnsi" w:hAnsi="Arial Bold" w:cs="Arial"/>
          <w:b/>
          <w:smallCaps/>
          <w:sz w:val="22"/>
          <w:szCs w:val="22"/>
        </w:rPr>
        <w:t>On Behalf of TimkenSteel Corporation</w:t>
      </w:r>
    </w:p>
    <w:p w:rsidR="00CE2356" w:rsidRPr="00FD0A6E" w:rsidRDefault="00CE2356" w:rsidP="00CE2356">
      <w:pPr>
        <w:rPr>
          <w:rFonts w:ascii="Arial" w:hAnsi="Arial" w:cs="Arial"/>
          <w:b/>
          <w:smallCaps/>
          <w:sz w:val="22"/>
          <w:szCs w:val="22"/>
        </w:rPr>
      </w:pPr>
    </w:p>
    <w:p w:rsidR="00CE2356" w:rsidRPr="00FD0A6E" w:rsidRDefault="00CE2356" w:rsidP="00CE2356">
      <w:pPr>
        <w:tabs>
          <w:tab w:val="left" w:pos="2160"/>
          <w:tab w:val="left" w:pos="2280"/>
        </w:tabs>
        <w:rPr>
          <w:rFonts w:ascii="Arial" w:hAnsi="Arial" w:cs="Arial"/>
          <w:color w:val="000000" w:themeColor="text1"/>
          <w:sz w:val="22"/>
          <w:szCs w:val="22"/>
        </w:rPr>
      </w:pPr>
      <w:r w:rsidRPr="00FD0A6E">
        <w:rPr>
          <w:rFonts w:ascii="Arial" w:hAnsi="Arial" w:cs="Arial"/>
          <w:color w:val="000000" w:themeColor="text1"/>
          <w:sz w:val="22"/>
          <w:szCs w:val="22"/>
        </w:rPr>
        <w:t>William Wright</w:t>
      </w:r>
    </w:p>
    <w:p w:rsidR="00CE2356" w:rsidRPr="00FD0A6E" w:rsidRDefault="00CE2356" w:rsidP="00CE2356">
      <w:pPr>
        <w:tabs>
          <w:tab w:val="left" w:pos="2160"/>
          <w:tab w:val="left" w:pos="2280"/>
        </w:tabs>
        <w:rPr>
          <w:rFonts w:ascii="Arial" w:hAnsi="Arial" w:cs="Arial"/>
          <w:color w:val="000000" w:themeColor="text1"/>
          <w:sz w:val="22"/>
          <w:szCs w:val="22"/>
        </w:rPr>
      </w:pPr>
      <w:r w:rsidRPr="00FD0A6E">
        <w:rPr>
          <w:rFonts w:ascii="Arial" w:hAnsi="Arial" w:cs="Arial"/>
          <w:color w:val="000000" w:themeColor="text1"/>
          <w:sz w:val="22"/>
          <w:szCs w:val="22"/>
        </w:rPr>
        <w:t>Assistant Attorney General</w:t>
      </w:r>
    </w:p>
    <w:p w:rsidR="00CE2356" w:rsidRPr="00FD0A6E" w:rsidRDefault="00CE2356" w:rsidP="00CE2356">
      <w:pPr>
        <w:tabs>
          <w:tab w:val="left" w:pos="2160"/>
          <w:tab w:val="left" w:pos="2280"/>
        </w:tabs>
        <w:rPr>
          <w:rFonts w:ascii="Arial" w:hAnsi="Arial" w:cs="Arial"/>
          <w:color w:val="000000" w:themeColor="text1"/>
          <w:sz w:val="22"/>
          <w:szCs w:val="22"/>
        </w:rPr>
      </w:pPr>
      <w:r w:rsidRPr="00FD0A6E">
        <w:rPr>
          <w:rFonts w:ascii="Arial" w:hAnsi="Arial" w:cs="Arial"/>
          <w:color w:val="000000" w:themeColor="text1"/>
          <w:sz w:val="22"/>
          <w:szCs w:val="22"/>
        </w:rPr>
        <w:t>Chief, Public Utilities Section</w:t>
      </w:r>
    </w:p>
    <w:p w:rsidR="00CE2356" w:rsidRPr="00FD0A6E" w:rsidRDefault="00CE2356" w:rsidP="00CE235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 xml:space="preserve">30 </w:t>
      </w:r>
      <w:r w:rsidRPr="00FD0A6E">
        <w:rPr>
          <w:rFonts w:ascii="Arial" w:hAnsi="Arial" w:cs="Arial"/>
          <w:color w:val="000000" w:themeColor="text1"/>
          <w:sz w:val="22"/>
          <w:szCs w:val="22"/>
        </w:rPr>
        <w:t xml:space="preserve">E. Broad Street, </w:t>
      </w:r>
      <w:r>
        <w:rPr>
          <w:rFonts w:ascii="Arial" w:hAnsi="Arial" w:cs="Arial"/>
          <w:color w:val="000000" w:themeColor="text1"/>
          <w:sz w:val="22"/>
          <w:szCs w:val="22"/>
        </w:rPr>
        <w:t>1</w:t>
      </w:r>
      <w:r w:rsidRPr="00FD0A6E">
        <w:rPr>
          <w:rFonts w:ascii="Arial" w:hAnsi="Arial" w:cs="Arial"/>
          <w:color w:val="000000" w:themeColor="text1"/>
          <w:sz w:val="22"/>
          <w:szCs w:val="22"/>
        </w:rPr>
        <w:t>6</w:t>
      </w:r>
      <w:r w:rsidRPr="00FD0A6E">
        <w:rPr>
          <w:rFonts w:ascii="Arial" w:hAnsi="Arial" w:cs="Arial"/>
          <w:color w:val="000000" w:themeColor="text1"/>
          <w:sz w:val="22"/>
          <w:szCs w:val="22"/>
          <w:vertAlign w:val="superscript"/>
        </w:rPr>
        <w:t>th</w:t>
      </w:r>
      <w:r w:rsidRPr="00FD0A6E">
        <w:rPr>
          <w:rFonts w:ascii="Arial" w:hAnsi="Arial" w:cs="Arial"/>
          <w:color w:val="000000" w:themeColor="text1"/>
          <w:sz w:val="22"/>
          <w:szCs w:val="22"/>
        </w:rPr>
        <w:t xml:space="preserve"> Floor</w:t>
      </w:r>
    </w:p>
    <w:p w:rsidR="00CE2356" w:rsidRPr="00FD0A6E" w:rsidRDefault="00CE2356" w:rsidP="00CE2356">
      <w:pPr>
        <w:tabs>
          <w:tab w:val="left" w:pos="2160"/>
          <w:tab w:val="left" w:pos="2280"/>
        </w:tabs>
        <w:rPr>
          <w:rFonts w:ascii="Arial" w:hAnsi="Arial" w:cs="Arial"/>
          <w:color w:val="000000" w:themeColor="text1"/>
          <w:sz w:val="22"/>
          <w:szCs w:val="22"/>
        </w:rPr>
      </w:pPr>
      <w:r w:rsidRPr="00FD0A6E">
        <w:rPr>
          <w:rFonts w:ascii="Arial" w:hAnsi="Arial" w:cs="Arial"/>
          <w:color w:val="000000" w:themeColor="text1"/>
          <w:sz w:val="22"/>
          <w:szCs w:val="22"/>
        </w:rPr>
        <w:t>Columbus, OH  43215-3793</w:t>
      </w:r>
    </w:p>
    <w:p w:rsidR="00CE2356" w:rsidRPr="00FD0A6E" w:rsidRDefault="00CE2356" w:rsidP="00CE2356">
      <w:pPr>
        <w:tabs>
          <w:tab w:val="left" w:pos="2160"/>
          <w:tab w:val="left" w:pos="2280"/>
        </w:tabs>
        <w:rPr>
          <w:rFonts w:ascii="Arial" w:hAnsi="Arial" w:cs="Arial"/>
          <w:b/>
          <w:smallCaps/>
          <w:color w:val="000000" w:themeColor="text1"/>
          <w:sz w:val="22"/>
          <w:szCs w:val="22"/>
        </w:rPr>
      </w:pPr>
      <w:r w:rsidRPr="00FD0A6E">
        <w:rPr>
          <w:rFonts w:ascii="Arial" w:hAnsi="Arial" w:cs="Arial"/>
          <w:color w:val="000000" w:themeColor="text1"/>
          <w:sz w:val="22"/>
          <w:szCs w:val="22"/>
        </w:rPr>
        <w:t>william.wright@</w:t>
      </w:r>
      <w:r w:rsidR="001535F1">
        <w:rPr>
          <w:rFonts w:ascii="Arial" w:hAnsi="Arial" w:cs="Arial"/>
          <w:color w:val="000000" w:themeColor="text1"/>
          <w:sz w:val="22"/>
          <w:szCs w:val="22"/>
        </w:rPr>
        <w:t>ohioattorneygeneral.gov</w:t>
      </w:r>
    </w:p>
    <w:p w:rsidR="00CE2356" w:rsidRPr="00FD0A6E" w:rsidRDefault="00CE2356" w:rsidP="00CE2356">
      <w:pPr>
        <w:tabs>
          <w:tab w:val="left" w:pos="2160"/>
          <w:tab w:val="left" w:pos="2280"/>
        </w:tabs>
        <w:rPr>
          <w:rFonts w:ascii="Arial" w:hAnsi="Arial" w:cs="Arial"/>
          <w:color w:val="000000" w:themeColor="text1"/>
          <w:sz w:val="22"/>
          <w:szCs w:val="22"/>
        </w:rPr>
      </w:pPr>
    </w:p>
    <w:p w:rsidR="00CE2356" w:rsidRPr="00FD0A6E" w:rsidRDefault="00CE2356" w:rsidP="00CE2356">
      <w:pPr>
        <w:tabs>
          <w:tab w:val="left" w:pos="2160"/>
          <w:tab w:val="left" w:pos="2280"/>
        </w:tabs>
        <w:rPr>
          <w:rFonts w:ascii="Arial" w:hAnsi="Arial" w:cs="Arial"/>
          <w:b/>
          <w:smallCaps/>
          <w:color w:val="000000" w:themeColor="text1"/>
          <w:sz w:val="22"/>
          <w:szCs w:val="22"/>
        </w:rPr>
      </w:pPr>
      <w:r w:rsidRPr="00FD0A6E">
        <w:rPr>
          <w:rFonts w:ascii="Arial" w:hAnsi="Arial" w:cs="Arial"/>
          <w:b/>
          <w:smallCaps/>
          <w:color w:val="000000" w:themeColor="text1"/>
          <w:sz w:val="22"/>
          <w:szCs w:val="22"/>
        </w:rPr>
        <w:t>On Behalf of the Staff of the Public Utilities Commission of Ohio</w:t>
      </w:r>
    </w:p>
    <w:p w:rsidR="00CE2356" w:rsidRPr="00FD0A6E" w:rsidRDefault="00CE2356" w:rsidP="00CE2356">
      <w:pPr>
        <w:rPr>
          <w:rFonts w:ascii="Arial" w:hAnsi="Arial" w:cs="Arial"/>
          <w:sz w:val="22"/>
          <w:szCs w:val="22"/>
        </w:rPr>
      </w:pPr>
    </w:p>
    <w:p w:rsidR="00CE2356" w:rsidRPr="00FD0A6E" w:rsidRDefault="00CE2356" w:rsidP="00CE2356">
      <w:pPr>
        <w:rPr>
          <w:rFonts w:ascii="Arial" w:hAnsi="Arial" w:cs="Arial"/>
          <w:color w:val="000000" w:themeColor="text1"/>
          <w:sz w:val="22"/>
          <w:szCs w:val="22"/>
        </w:rPr>
      </w:pPr>
      <w:r w:rsidRPr="00FD0A6E">
        <w:rPr>
          <w:rFonts w:ascii="Arial" w:hAnsi="Arial" w:cs="Arial"/>
          <w:color w:val="000000" w:themeColor="text1"/>
          <w:sz w:val="22"/>
          <w:szCs w:val="22"/>
        </w:rPr>
        <w:t>Sarah Parrott</w:t>
      </w:r>
    </w:p>
    <w:p w:rsidR="00CE2356" w:rsidRPr="00FD0A6E" w:rsidRDefault="00CE2356" w:rsidP="00CE2356">
      <w:pPr>
        <w:rPr>
          <w:rFonts w:ascii="Arial" w:hAnsi="Arial" w:cs="Arial"/>
          <w:color w:val="000000" w:themeColor="text1"/>
          <w:sz w:val="22"/>
          <w:szCs w:val="22"/>
        </w:rPr>
      </w:pPr>
      <w:r w:rsidRPr="00FD0A6E">
        <w:rPr>
          <w:rFonts w:ascii="Arial" w:hAnsi="Arial" w:cs="Arial"/>
          <w:color w:val="000000" w:themeColor="text1"/>
          <w:sz w:val="22"/>
          <w:szCs w:val="22"/>
        </w:rPr>
        <w:t>Greta See</w:t>
      </w:r>
    </w:p>
    <w:p w:rsidR="00CE2356" w:rsidRPr="00FD0A6E" w:rsidRDefault="00CE2356" w:rsidP="00CE2356">
      <w:pPr>
        <w:rPr>
          <w:rFonts w:ascii="Arial" w:hAnsi="Arial" w:cs="Arial"/>
          <w:color w:val="000000" w:themeColor="text1"/>
          <w:sz w:val="22"/>
          <w:szCs w:val="22"/>
        </w:rPr>
      </w:pPr>
      <w:r w:rsidRPr="00FD0A6E">
        <w:rPr>
          <w:rFonts w:ascii="Arial" w:hAnsi="Arial" w:cs="Arial"/>
          <w:color w:val="000000" w:themeColor="text1"/>
          <w:sz w:val="22"/>
          <w:szCs w:val="22"/>
        </w:rPr>
        <w:t>Attorney Examiners</w:t>
      </w:r>
    </w:p>
    <w:p w:rsidR="00CE2356" w:rsidRPr="00FD0A6E" w:rsidRDefault="00CE2356" w:rsidP="00CE2356">
      <w:pPr>
        <w:rPr>
          <w:rFonts w:ascii="Arial" w:hAnsi="Arial" w:cs="Arial"/>
          <w:color w:val="000000" w:themeColor="text1"/>
          <w:sz w:val="22"/>
          <w:szCs w:val="22"/>
        </w:rPr>
      </w:pPr>
      <w:r w:rsidRPr="00FD0A6E">
        <w:rPr>
          <w:rFonts w:ascii="Arial" w:hAnsi="Arial" w:cs="Arial"/>
          <w:color w:val="000000" w:themeColor="text1"/>
          <w:sz w:val="22"/>
          <w:szCs w:val="22"/>
        </w:rPr>
        <w:t>Public Utilities Commission of Ohio</w:t>
      </w:r>
    </w:p>
    <w:p w:rsidR="00CE2356" w:rsidRPr="00FD0A6E" w:rsidRDefault="00CE2356" w:rsidP="00CE2356">
      <w:pPr>
        <w:rPr>
          <w:rFonts w:ascii="Arial" w:hAnsi="Arial" w:cs="Arial"/>
          <w:color w:val="000000" w:themeColor="text1"/>
          <w:sz w:val="22"/>
          <w:szCs w:val="22"/>
        </w:rPr>
      </w:pPr>
      <w:r w:rsidRPr="00FD0A6E">
        <w:rPr>
          <w:rFonts w:ascii="Arial" w:hAnsi="Arial" w:cs="Arial"/>
          <w:color w:val="000000" w:themeColor="text1"/>
          <w:sz w:val="22"/>
          <w:szCs w:val="22"/>
        </w:rPr>
        <w:t>180 E. Broad Street</w:t>
      </w:r>
    </w:p>
    <w:p w:rsidR="00CE2356" w:rsidRPr="00FD0A6E" w:rsidRDefault="00CE2356" w:rsidP="00CE2356">
      <w:pPr>
        <w:rPr>
          <w:rFonts w:ascii="Arial" w:hAnsi="Arial" w:cs="Arial"/>
          <w:color w:val="000000" w:themeColor="text1"/>
          <w:sz w:val="22"/>
          <w:szCs w:val="22"/>
        </w:rPr>
      </w:pPr>
      <w:r w:rsidRPr="00FD0A6E">
        <w:rPr>
          <w:rFonts w:ascii="Arial" w:hAnsi="Arial" w:cs="Arial"/>
          <w:color w:val="000000" w:themeColor="text1"/>
          <w:sz w:val="22"/>
          <w:szCs w:val="22"/>
        </w:rPr>
        <w:t xml:space="preserve">Columbus, </w:t>
      </w:r>
      <w:r w:rsidR="001535F1">
        <w:rPr>
          <w:rFonts w:ascii="Arial" w:hAnsi="Arial" w:cs="Arial"/>
          <w:color w:val="000000" w:themeColor="text1"/>
          <w:sz w:val="22"/>
          <w:szCs w:val="22"/>
        </w:rPr>
        <w:t xml:space="preserve">OH  </w:t>
      </w:r>
      <w:r w:rsidRPr="00FD0A6E">
        <w:rPr>
          <w:rFonts w:ascii="Arial" w:hAnsi="Arial" w:cs="Arial"/>
          <w:color w:val="000000" w:themeColor="text1"/>
          <w:sz w:val="22"/>
          <w:szCs w:val="22"/>
        </w:rPr>
        <w:t>43215</w:t>
      </w:r>
    </w:p>
    <w:p w:rsidR="00CE2356" w:rsidRPr="00FD0A6E" w:rsidRDefault="00CE2356" w:rsidP="00CE2356">
      <w:pPr>
        <w:rPr>
          <w:rFonts w:ascii="Arial" w:hAnsi="Arial" w:cs="Arial"/>
          <w:color w:val="000000" w:themeColor="text1"/>
          <w:sz w:val="22"/>
          <w:szCs w:val="22"/>
        </w:rPr>
      </w:pPr>
      <w:r w:rsidRPr="00FD0A6E">
        <w:rPr>
          <w:rFonts w:ascii="Arial" w:hAnsi="Arial" w:cs="Arial"/>
          <w:color w:val="000000" w:themeColor="text1"/>
          <w:sz w:val="22"/>
          <w:szCs w:val="22"/>
        </w:rPr>
        <w:t>Sarah.parrott@puc.state.oh.us</w:t>
      </w:r>
    </w:p>
    <w:p w:rsidR="00CE2356" w:rsidRPr="00FD0A6E" w:rsidRDefault="00CE2356" w:rsidP="00CE2356">
      <w:pPr>
        <w:rPr>
          <w:rFonts w:ascii="Arial" w:hAnsi="Arial" w:cs="Arial"/>
          <w:color w:val="000000" w:themeColor="text1"/>
          <w:sz w:val="22"/>
          <w:szCs w:val="22"/>
        </w:rPr>
      </w:pPr>
      <w:r w:rsidRPr="00A80C5A">
        <w:rPr>
          <w:rFonts w:ascii="Arial" w:hAnsi="Arial" w:cs="Arial"/>
          <w:sz w:val="22"/>
          <w:szCs w:val="22"/>
        </w:rPr>
        <w:t>Greta.see@puc.state.oh.us</w:t>
      </w:r>
    </w:p>
    <w:p w:rsidR="00CE2356" w:rsidRPr="00FD0A6E" w:rsidRDefault="00CE2356" w:rsidP="00CE2356">
      <w:pPr>
        <w:rPr>
          <w:rFonts w:ascii="Arial" w:hAnsi="Arial" w:cs="Arial"/>
          <w:color w:val="000000" w:themeColor="text1"/>
          <w:sz w:val="22"/>
          <w:szCs w:val="22"/>
        </w:rPr>
      </w:pPr>
    </w:p>
    <w:p w:rsidR="00A77C49" w:rsidRPr="00FD0A6E" w:rsidRDefault="00CE2356" w:rsidP="00CE2356">
      <w:pPr>
        <w:rPr>
          <w:rFonts w:ascii="Arial" w:hAnsi="Arial" w:cs="Arial"/>
          <w:sz w:val="22"/>
          <w:szCs w:val="22"/>
        </w:rPr>
      </w:pPr>
      <w:r w:rsidRPr="00FD0A6E">
        <w:rPr>
          <w:rFonts w:ascii="Arial" w:hAnsi="Arial" w:cs="Arial"/>
          <w:b/>
          <w:smallCaps/>
          <w:color w:val="000000" w:themeColor="text1"/>
          <w:sz w:val="22"/>
          <w:szCs w:val="22"/>
        </w:rPr>
        <w:t>Attorney Examiner</w:t>
      </w:r>
      <w:r>
        <w:rPr>
          <w:rFonts w:ascii="Arial" w:hAnsi="Arial" w:cs="Arial"/>
          <w:b/>
          <w:smallCaps/>
          <w:color w:val="000000" w:themeColor="text1"/>
          <w:sz w:val="22"/>
          <w:szCs w:val="22"/>
        </w:rPr>
        <w:t>s</w:t>
      </w:r>
    </w:p>
    <w:sectPr w:rsidR="00A77C49" w:rsidRPr="00FD0A6E">
      <w:type w:val="continuous"/>
      <w:pgSz w:w="12240" w:h="15840"/>
      <w:pgMar w:top="1440" w:right="1440" w:bottom="1440" w:left="1440" w:header="720" w:footer="720" w:gutter="0"/>
      <w:pgNumType w:start="1"/>
      <w:cols w:num="2" w:space="720"/>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81A" w:rsidRDefault="0024281A" w:rsidP="0024281A">
      <w:r>
        <w:separator/>
      </w:r>
    </w:p>
  </w:endnote>
  <w:endnote w:type="continuationSeparator" w:id="0">
    <w:p w:rsidR="0024281A" w:rsidRDefault="0024281A" w:rsidP="0024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B6A" w:rsidRDefault="00517B6A">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sidR="00A80C5A">
      <w:rPr>
        <w:rStyle w:val="PageNumber"/>
        <w:noProof/>
      </w:rPr>
      <w:t>1</w:t>
    </w:r>
    <w:r>
      <w:rPr>
        <w:rStyle w:val="PageNumber"/>
      </w:rPr>
      <w:fldChar w:fldCharType="end"/>
    </w:r>
  </w:p>
  <w:p w:rsidR="00517B6A" w:rsidRDefault="00517B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B6A" w:rsidRPr="003534FC" w:rsidRDefault="00734F87" w:rsidP="00930940">
    <w:pPr>
      <w:pStyle w:val="Footer"/>
      <w:ind w:right="360"/>
      <w:jc w:val="both"/>
    </w:pPr>
    <w:r w:rsidRPr="00734F87">
      <w:rPr>
        <w:noProof/>
        <w:vanish/>
        <w:sz w:val="16"/>
      </w:rPr>
      <w:t>{</w:t>
    </w:r>
    <w:r w:rsidRPr="00734F87">
      <w:rPr>
        <w:noProof/>
        <w:sz w:val="16"/>
      </w:rPr>
      <w:t>C0107822:1</w:t>
    </w:r>
    <w:r w:rsidRPr="00734F87">
      <w:rPr>
        <w:noProof/>
        <w:vanish/>
        <w:sz w:val="16"/>
      </w:rPr>
      <w:t>}</w:t>
    </w:r>
    <w:r w:rsidR="00517B6A">
      <w:rPr>
        <w:noProof/>
        <w:sz w:val="16"/>
      </w:rPr>
      <w:tab/>
    </w:r>
    <w:r w:rsidR="00517B6A" w:rsidRPr="00930940">
      <w:rPr>
        <w:noProof/>
        <w:sz w:val="22"/>
        <w:szCs w:val="22"/>
      </w:rPr>
      <w:fldChar w:fldCharType="begin"/>
    </w:r>
    <w:r w:rsidR="00517B6A" w:rsidRPr="00930940">
      <w:rPr>
        <w:noProof/>
        <w:sz w:val="22"/>
        <w:szCs w:val="22"/>
      </w:rPr>
      <w:instrText xml:space="preserve"> PAGE   \* MERGEFORMAT </w:instrText>
    </w:r>
    <w:r w:rsidR="00517B6A" w:rsidRPr="00930940">
      <w:rPr>
        <w:noProof/>
        <w:sz w:val="22"/>
        <w:szCs w:val="22"/>
      </w:rPr>
      <w:fldChar w:fldCharType="separate"/>
    </w:r>
    <w:r w:rsidR="00A80C5A">
      <w:rPr>
        <w:noProof/>
        <w:sz w:val="22"/>
        <w:szCs w:val="22"/>
      </w:rPr>
      <w:t>1</w:t>
    </w:r>
    <w:r w:rsidR="00517B6A" w:rsidRPr="00930940">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B6A" w:rsidRPr="001B0849" w:rsidRDefault="00734F87">
    <w:pPr>
      <w:pStyle w:val="Footer"/>
      <w:rPr>
        <w:rFonts w:ascii="Arial" w:hAnsi="Arial" w:cs="Arial"/>
      </w:rPr>
    </w:pPr>
    <w:r w:rsidRPr="00734F87">
      <w:rPr>
        <w:rFonts w:ascii="Arial" w:hAnsi="Arial" w:cs="Arial"/>
        <w:noProof/>
        <w:vanish/>
        <w:sz w:val="16"/>
      </w:rPr>
      <w:t>{</w:t>
    </w:r>
    <w:r w:rsidRPr="00734F87">
      <w:rPr>
        <w:rFonts w:ascii="Arial" w:hAnsi="Arial" w:cs="Arial"/>
        <w:noProof/>
        <w:sz w:val="16"/>
      </w:rPr>
      <w:t>C0107822:1</w:t>
    </w:r>
    <w:r w:rsidRPr="00734F87">
      <w:rPr>
        <w:rFonts w:ascii="Arial" w:hAnsi="Arial" w:cs="Arial"/>
        <w:noProof/>
        <w:vanish/>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81A" w:rsidRDefault="002428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81A" w:rsidRPr="001B0849" w:rsidRDefault="00734F87">
    <w:pPr>
      <w:pStyle w:val="Footer"/>
      <w:rPr>
        <w:rFonts w:ascii="Arial" w:hAnsi="Arial" w:cs="Arial"/>
      </w:rPr>
    </w:pPr>
    <w:r w:rsidRPr="00734F87">
      <w:rPr>
        <w:rFonts w:ascii="Arial" w:hAnsi="Arial" w:cs="Arial"/>
        <w:noProof/>
        <w:vanish/>
        <w:sz w:val="16"/>
      </w:rPr>
      <w:t>{</w:t>
    </w:r>
    <w:r w:rsidRPr="00734F87">
      <w:rPr>
        <w:rFonts w:ascii="Arial" w:hAnsi="Arial" w:cs="Arial"/>
        <w:noProof/>
        <w:sz w:val="16"/>
      </w:rPr>
      <w:t>C0107822:1</w:t>
    </w:r>
    <w:r w:rsidRPr="00734F87">
      <w:rPr>
        <w:rFonts w:ascii="Arial" w:hAnsi="Arial" w:cs="Arial"/>
        <w:noProof/>
        <w:vanish/>
        <w:sz w:val="16"/>
      </w:rPr>
      <w:t>}</w:t>
    </w:r>
    <w:r w:rsidR="00FF4633" w:rsidRPr="001B0849">
      <w:rPr>
        <w:rFonts w:ascii="Arial" w:hAnsi="Arial" w:cs="Arial"/>
        <w:noProof/>
        <w:sz w:val="22"/>
      </w:rPr>
      <w:tab/>
    </w:r>
    <w:r w:rsidR="00FF4633" w:rsidRPr="001B0849">
      <w:rPr>
        <w:rFonts w:ascii="Arial" w:hAnsi="Arial" w:cs="Arial"/>
        <w:noProof/>
        <w:sz w:val="22"/>
      </w:rPr>
      <w:fldChar w:fldCharType="begin"/>
    </w:r>
    <w:r w:rsidR="00FF4633" w:rsidRPr="001B0849">
      <w:rPr>
        <w:rFonts w:ascii="Arial" w:hAnsi="Arial" w:cs="Arial"/>
        <w:noProof/>
        <w:sz w:val="22"/>
      </w:rPr>
      <w:instrText xml:space="preserve"> PAGE   \* MERGEFORMAT </w:instrText>
    </w:r>
    <w:r w:rsidR="00FF4633" w:rsidRPr="001B0849">
      <w:rPr>
        <w:rFonts w:ascii="Arial" w:hAnsi="Arial" w:cs="Arial"/>
        <w:noProof/>
        <w:sz w:val="22"/>
      </w:rPr>
      <w:fldChar w:fldCharType="separate"/>
    </w:r>
    <w:r w:rsidR="00A80C5A">
      <w:rPr>
        <w:rFonts w:ascii="Arial" w:hAnsi="Arial" w:cs="Arial"/>
        <w:noProof/>
        <w:sz w:val="22"/>
      </w:rPr>
      <w:t>3</w:t>
    </w:r>
    <w:r w:rsidR="00FF4633" w:rsidRPr="001B0849">
      <w:rPr>
        <w:rFonts w:ascii="Arial" w:hAnsi="Arial" w:cs="Arial"/>
        <w:noProof/>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81A" w:rsidRPr="001B0849" w:rsidRDefault="00734F87">
    <w:pPr>
      <w:pStyle w:val="Footer"/>
      <w:rPr>
        <w:rFonts w:ascii="Arial" w:hAnsi="Arial" w:cs="Arial"/>
      </w:rPr>
    </w:pPr>
    <w:r w:rsidRPr="00734F87">
      <w:rPr>
        <w:rFonts w:ascii="Arial" w:hAnsi="Arial" w:cs="Arial"/>
        <w:noProof/>
        <w:vanish/>
        <w:sz w:val="16"/>
      </w:rPr>
      <w:t>{</w:t>
    </w:r>
    <w:r w:rsidRPr="00734F87">
      <w:rPr>
        <w:rFonts w:ascii="Arial" w:hAnsi="Arial" w:cs="Arial"/>
        <w:noProof/>
        <w:sz w:val="16"/>
      </w:rPr>
      <w:t>C0107822:1</w:t>
    </w:r>
    <w:r w:rsidRPr="00734F87">
      <w:rPr>
        <w:rFonts w:ascii="Arial" w:hAnsi="Arial" w:cs="Arial"/>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81A" w:rsidRDefault="0024281A" w:rsidP="0024281A">
      <w:pPr>
        <w:rPr>
          <w:noProof/>
        </w:rPr>
      </w:pPr>
      <w:r>
        <w:rPr>
          <w:noProof/>
        </w:rPr>
        <w:separator/>
      </w:r>
    </w:p>
  </w:footnote>
  <w:footnote w:type="continuationSeparator" w:id="0">
    <w:p w:rsidR="0024281A" w:rsidRDefault="0024281A" w:rsidP="0024281A">
      <w:r>
        <w:continuationSeparator/>
      </w:r>
    </w:p>
  </w:footnote>
  <w:footnote w:id="1">
    <w:p w:rsidR="00517B6A" w:rsidRPr="00A63D5C" w:rsidRDefault="00517B6A" w:rsidP="00517B6A">
      <w:pPr>
        <w:pStyle w:val="FootnoteText"/>
        <w:spacing w:after="120"/>
        <w:jc w:val="both"/>
        <w:rPr>
          <w:rFonts w:cs="Arial"/>
        </w:rPr>
      </w:pPr>
      <w:r w:rsidRPr="00A63D5C">
        <w:rPr>
          <w:rStyle w:val="FootnoteReference"/>
          <w:rFonts w:cs="Arial"/>
        </w:rPr>
        <w:footnoteRef/>
      </w:r>
      <w:r w:rsidRPr="00A63D5C">
        <w:rPr>
          <w:rFonts w:cs="Arial"/>
        </w:rPr>
        <w:t xml:space="preserve"> </w:t>
      </w:r>
      <w:r w:rsidRPr="00A63D5C">
        <w:rPr>
          <w:rFonts w:cs="Arial"/>
          <w:i/>
        </w:rPr>
        <w:t>In the Matter of the Application for Establishment of a Reasonable Arrangement between Eramet Marietta Inc. and Columbus Southern Power Company</w:t>
      </w:r>
      <w:r w:rsidRPr="00A63D5C">
        <w:rPr>
          <w:rFonts w:cs="Arial"/>
        </w:rPr>
        <w:t>, Case No. 09-516-EL-AEC, (June 19, 2009) (“</w:t>
      </w:r>
      <w:r w:rsidRPr="00A63D5C">
        <w:rPr>
          <w:rFonts w:cs="Arial"/>
          <w:i/>
        </w:rPr>
        <w:t>Eramet RA Case</w:t>
      </w:r>
      <w:r w:rsidRPr="00A63D5C">
        <w:rPr>
          <w:rFonts w:cs="Arial"/>
        </w:rPr>
        <w:t>”).  The application, as filed and approved, was between Eramet and Columbus Southern Power Company (“CSP”).  However, CSP has since merged with Ohio Power Company.</w:t>
      </w:r>
    </w:p>
  </w:footnote>
  <w:footnote w:id="2">
    <w:p w:rsidR="00517B6A" w:rsidRDefault="00517B6A" w:rsidP="00517B6A">
      <w:pPr>
        <w:pStyle w:val="InsideAddress"/>
        <w:spacing w:after="120"/>
        <w:jc w:val="both"/>
      </w:pPr>
      <w:r w:rsidRPr="00A63D5C">
        <w:rPr>
          <w:rStyle w:val="FootnoteReference"/>
          <w:rFonts w:ascii="Arial" w:hAnsi="Arial" w:cs="Arial"/>
          <w:sz w:val="20"/>
        </w:rPr>
        <w:footnoteRef/>
      </w:r>
      <w:r w:rsidRPr="00A63D5C">
        <w:rPr>
          <w:rFonts w:ascii="Arial" w:hAnsi="Arial" w:cs="Arial"/>
          <w:sz w:val="20"/>
        </w:rPr>
        <w:t xml:space="preserve"> </w:t>
      </w:r>
      <w:r w:rsidRPr="00A63D5C">
        <w:rPr>
          <w:rFonts w:ascii="Arial" w:hAnsi="Arial" w:cs="Arial"/>
          <w:i/>
          <w:sz w:val="20"/>
        </w:rPr>
        <w:t xml:space="preserve">Eramet RA Case, </w:t>
      </w:r>
      <w:r>
        <w:rPr>
          <w:rFonts w:ascii="Arial" w:hAnsi="Arial" w:cs="Arial"/>
          <w:sz w:val="20"/>
        </w:rPr>
        <w:t>Stipulation (Aug. 5, 2009).</w:t>
      </w:r>
    </w:p>
  </w:footnote>
  <w:footnote w:id="3">
    <w:p w:rsidR="00517B6A" w:rsidRDefault="00517B6A" w:rsidP="00517B6A">
      <w:pPr>
        <w:pStyle w:val="FootnoteText"/>
        <w:spacing w:after="120"/>
        <w:jc w:val="both"/>
      </w:pPr>
      <w:r>
        <w:rPr>
          <w:rStyle w:val="FootnoteReference"/>
        </w:rPr>
        <w:footnoteRef/>
      </w:r>
      <w:r>
        <w:t xml:space="preserve"> </w:t>
      </w:r>
      <w:r>
        <w:rPr>
          <w:i/>
        </w:rPr>
        <w:t>In the Matter of the Application of Columbus Southern Power Company for Approval of an Electric Security Plan; an Amendment to its Corporate Separation Plan; and the Sale or Transfer of Certain Generating Assets</w:t>
      </w:r>
      <w:r>
        <w:t xml:space="preserve">, Case Nos. 08-917-EL-SSO, </w:t>
      </w:r>
      <w:r>
        <w:rPr>
          <w:i/>
        </w:rPr>
        <w:t>et al.,</w:t>
      </w:r>
      <w:r>
        <w:t xml:space="preserve"> Opinion and Order at 47-48 (Mar. 18, 2009). </w:t>
      </w:r>
    </w:p>
  </w:footnote>
  <w:footnote w:id="4">
    <w:p w:rsidR="00517B6A" w:rsidRDefault="00517B6A" w:rsidP="00517B6A">
      <w:pPr>
        <w:pStyle w:val="FootnoteText"/>
        <w:spacing w:after="120"/>
        <w:jc w:val="both"/>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Pr>
          <w:i/>
        </w:rPr>
        <w:t>et al</w:t>
      </w:r>
      <w:r>
        <w:t xml:space="preserve">., Opinion and Order at 66-67 (Aug. 8, 2012); </w:t>
      </w:r>
      <w:r w:rsidRPr="0008529A">
        <w:rPr>
          <w:i/>
        </w:rPr>
        <w:t>In the Matter of the Application of Ohio Power Company for Authority to Establish a Standard Service Offer Pursuant to R.C. 4928.143, in the Form of an Electric Security Plan, Case Nos. 13-2385-EL-SSO, et al.</w:t>
      </w:r>
      <w:r>
        <w:t>, Opinion and Order at 69 (Feb. 25, 2015).</w:t>
      </w:r>
    </w:p>
  </w:footnote>
  <w:footnote w:id="5">
    <w:p w:rsidR="00517B6A" w:rsidRDefault="00517B6A" w:rsidP="00517B6A">
      <w:pPr>
        <w:pStyle w:val="FootnoteText"/>
        <w:spacing w:after="120"/>
      </w:pPr>
      <w:r>
        <w:rPr>
          <w:rStyle w:val="FootnoteReference"/>
        </w:rPr>
        <w:footnoteRef/>
      </w:r>
      <w:r>
        <w:t xml:space="preserve"> Finding and Order at 4.</w:t>
      </w:r>
    </w:p>
  </w:footnote>
  <w:footnote w:id="6">
    <w:p w:rsidR="00517B6A" w:rsidRDefault="00517B6A" w:rsidP="00517B6A">
      <w:pPr>
        <w:pStyle w:val="FootnoteText"/>
        <w:spacing w:after="120"/>
        <w:rPr>
          <w:i/>
        </w:rPr>
      </w:pPr>
      <w:r>
        <w:rPr>
          <w:rStyle w:val="FootnoteReference"/>
        </w:rPr>
        <w:footnoteRef/>
      </w:r>
      <w:r>
        <w:t xml:space="preserve"> </w:t>
      </w:r>
      <w:r w:rsidRPr="0097437F">
        <w:rPr>
          <w:i/>
        </w:rPr>
        <w:t>Id.</w:t>
      </w:r>
    </w:p>
  </w:footnote>
  <w:footnote w:id="7">
    <w:p w:rsidR="00517B6A" w:rsidRDefault="00517B6A" w:rsidP="00517B6A">
      <w:pPr>
        <w:pStyle w:val="FootnoteText"/>
        <w:spacing w:after="120"/>
        <w:jc w:val="both"/>
      </w:pPr>
      <w:r>
        <w:rPr>
          <w:rStyle w:val="FootnoteReference"/>
        </w:rPr>
        <w:footnoteRef/>
      </w:r>
      <w:r>
        <w:t xml:space="preserve"> </w:t>
      </w:r>
      <w:r>
        <w:rPr>
          <w:i/>
        </w:rPr>
        <w:t>See</w:t>
      </w:r>
      <w:r>
        <w:t xml:space="preserve"> R.C. 4901.12 and 4905.07.</w:t>
      </w:r>
    </w:p>
  </w:footnote>
  <w:footnote w:id="8">
    <w:p w:rsidR="00517B6A" w:rsidRDefault="00517B6A" w:rsidP="00517B6A">
      <w:pPr>
        <w:pStyle w:val="FootnoteText"/>
        <w:spacing w:after="120"/>
        <w:jc w:val="both"/>
      </w:pPr>
      <w:r>
        <w:rPr>
          <w:rStyle w:val="FootnoteReference"/>
        </w:rPr>
        <w:footnoteRef/>
      </w:r>
      <w:r>
        <w:t xml:space="preserve"> R.C. 149.43(A)(1)(v); </w:t>
      </w:r>
      <w:r>
        <w:rPr>
          <w:i/>
        </w:rPr>
        <w:t>State ex rel. The Plain Dealer v. Ohio Dept. of Insurance</w:t>
      </w:r>
      <w:r>
        <w:t>, 80 Ohio St.3d 513, 530 (1997).</w:t>
      </w:r>
    </w:p>
  </w:footnote>
  <w:footnote w:id="9">
    <w:p w:rsidR="00517B6A" w:rsidRDefault="00517B6A" w:rsidP="00517B6A">
      <w:pPr>
        <w:pStyle w:val="FootnoteText"/>
        <w:spacing w:after="120"/>
        <w:jc w:val="both"/>
      </w:pPr>
      <w:r>
        <w:rPr>
          <w:rStyle w:val="FootnoteReference"/>
        </w:rPr>
        <w:footnoteRef/>
      </w:r>
      <w:r>
        <w:t xml:space="preserve"> R.C. 1333.61(D).</w:t>
      </w:r>
    </w:p>
  </w:footnote>
  <w:footnote w:id="10">
    <w:p w:rsidR="00517B6A" w:rsidRPr="000439D1" w:rsidRDefault="00517B6A" w:rsidP="00517B6A">
      <w:pPr>
        <w:spacing w:after="120"/>
        <w:jc w:val="both"/>
      </w:pPr>
      <w:r>
        <w:rPr>
          <w:rStyle w:val="FootnoteReference"/>
          <w:rFonts w:ascii="Arial" w:hAnsi="Arial" w:cs="Arial"/>
          <w:sz w:val="20"/>
          <w:szCs w:val="20"/>
        </w:rPr>
        <w:footnoteRef/>
      </w:r>
      <w:r>
        <w:rPr>
          <w:rFonts w:ascii="Arial" w:hAnsi="Arial" w:cs="Arial"/>
          <w:sz w:val="20"/>
          <w:szCs w:val="20"/>
        </w:rPr>
        <w:t xml:space="preserve"> </w:t>
      </w:r>
      <w:r>
        <w:rPr>
          <w:rFonts w:ascii="Arial" w:eastAsiaTheme="minorHAnsi" w:hAnsi="Arial" w:cs="Arial"/>
          <w:i/>
          <w:sz w:val="20"/>
          <w:szCs w:val="20"/>
        </w:rPr>
        <w:t>In the Matter of the Application of Columbus Southern Power Company and Ohio Power Company to Adjust Their Economic Development Cost Recovery Rider Pursuant to Rule 4901:1-38-08(A)(5), Ohio Administrative Code</w:t>
      </w:r>
      <w:r>
        <w:rPr>
          <w:rFonts w:ascii="Arial" w:eastAsiaTheme="minorHAnsi" w:hAnsi="Arial" w:cs="Arial"/>
          <w:sz w:val="20"/>
          <w:szCs w:val="20"/>
        </w:rPr>
        <w:t xml:space="preserve">, Case No. 11-4570-EL-RDR, Finding and Order at 4 (Oct. 12, 2011); </w:t>
      </w:r>
      <w:r>
        <w:rPr>
          <w:rFonts w:ascii="Arial" w:hAnsi="Arial" w:cs="Arial"/>
          <w:i/>
          <w:sz w:val="20"/>
          <w:szCs w:val="20"/>
        </w:rPr>
        <w:t>In the Matter of the Application of Ohio Power Company to Adjust Its Economic Development Cost Recovery Rider Pursuant to Rule 4901:1-38-08(A)(5), Ohio Administrative Code</w:t>
      </w:r>
      <w:r>
        <w:rPr>
          <w:rFonts w:ascii="Arial" w:hAnsi="Arial" w:cs="Arial"/>
          <w:sz w:val="20"/>
          <w:szCs w:val="20"/>
        </w:rPr>
        <w:t xml:space="preserve">, </w:t>
      </w:r>
      <w:r>
        <w:rPr>
          <w:rFonts w:ascii="Arial" w:eastAsiaTheme="minorHAnsi" w:hAnsi="Arial" w:cs="Arial"/>
          <w:sz w:val="20"/>
          <w:szCs w:val="20"/>
        </w:rPr>
        <w:t>Case No.</w:t>
      </w:r>
      <w:r>
        <w:rPr>
          <w:rFonts w:ascii="Arial" w:hAnsi="Arial" w:cs="Arial"/>
          <w:sz w:val="20"/>
          <w:szCs w:val="20"/>
        </w:rPr>
        <w:t xml:space="preserve"> </w:t>
      </w:r>
      <w:r>
        <w:rPr>
          <w:rFonts w:ascii="Arial" w:hAnsi="Arial" w:cs="Arial"/>
          <w:position w:val="-2"/>
          <w:sz w:val="20"/>
          <w:szCs w:val="20"/>
        </w:rPr>
        <w:t xml:space="preserve">12-688-EL-RDR, Finding and Order at 4-5 (Mar. 28, 2012); </w:t>
      </w:r>
      <w:r>
        <w:rPr>
          <w:rFonts w:ascii="Arial" w:hAnsi="Arial" w:cs="Arial"/>
          <w:i/>
          <w:position w:val="-2"/>
          <w:sz w:val="20"/>
          <w:szCs w:val="20"/>
        </w:rPr>
        <w:t>In the Matter of the Application of Ohio Power Company to Adjust Its Economic Development Cost Recovery Rider Pursuant to Rule 4901:1-38-08(A)(5), Ohio Administrative Code</w:t>
      </w:r>
      <w:r>
        <w:rPr>
          <w:rFonts w:ascii="Arial" w:hAnsi="Arial" w:cs="Arial"/>
          <w:position w:val="-2"/>
          <w:sz w:val="20"/>
          <w:szCs w:val="20"/>
        </w:rPr>
        <w:t xml:space="preserve">, Case No. 12-2210-EL-RDR, Finding and Order at 4-5 (Sept. 26, 2012); </w:t>
      </w:r>
      <w:r>
        <w:rPr>
          <w:rFonts w:ascii="Arial" w:hAnsi="Arial" w:cs="Arial"/>
          <w:i/>
          <w:position w:val="-2"/>
          <w:sz w:val="20"/>
          <w:szCs w:val="20"/>
        </w:rPr>
        <w:t>In the Matter of the Application of Ohio Power Company to Adjust Its Economic Development Cost Recovery Rider Pursuant to Rule 4901:1-38-08(A)(5), Ohio Administrative Code</w:t>
      </w:r>
      <w:r>
        <w:rPr>
          <w:rFonts w:ascii="Arial" w:hAnsi="Arial" w:cs="Arial"/>
          <w:position w:val="-2"/>
          <w:sz w:val="20"/>
          <w:szCs w:val="20"/>
        </w:rPr>
        <w:t>, Case No. 13</w:t>
      </w:r>
      <w:r>
        <w:rPr>
          <w:rFonts w:ascii="Arial" w:hAnsi="Arial" w:cs="Arial"/>
          <w:position w:val="-2"/>
          <w:sz w:val="20"/>
          <w:szCs w:val="20"/>
        </w:rPr>
        <w:noBreakHyphen/>
        <w:t>325</w:t>
      </w:r>
      <w:r>
        <w:rPr>
          <w:rFonts w:ascii="Arial" w:hAnsi="Arial" w:cs="Arial"/>
          <w:position w:val="-2"/>
          <w:sz w:val="20"/>
          <w:szCs w:val="20"/>
        </w:rPr>
        <w:noBreakHyphen/>
        <w:t>EL</w:t>
      </w:r>
      <w:r>
        <w:rPr>
          <w:rFonts w:ascii="Arial" w:hAnsi="Arial" w:cs="Arial"/>
          <w:position w:val="-2"/>
          <w:sz w:val="20"/>
          <w:szCs w:val="20"/>
        </w:rPr>
        <w:noBreakHyphen/>
        <w:t xml:space="preserve">RDR, Finding and Order at 4 (Mar. 27, 2013); </w:t>
      </w:r>
      <w:r>
        <w:rPr>
          <w:rFonts w:ascii="Arial" w:hAnsi="Arial" w:cs="Arial"/>
          <w:i/>
          <w:position w:val="-2"/>
          <w:sz w:val="20"/>
          <w:szCs w:val="20"/>
        </w:rPr>
        <w:t>In the Matter of the Application of Ohio Power Company to Adjust Its Economic Development Cost Recovery Rider Rate</w:t>
      </w:r>
      <w:r>
        <w:rPr>
          <w:rFonts w:ascii="Arial" w:hAnsi="Arial" w:cs="Arial"/>
          <w:position w:val="-2"/>
          <w:sz w:val="20"/>
          <w:szCs w:val="20"/>
        </w:rPr>
        <w:t>, Case No. 13</w:t>
      </w:r>
      <w:r>
        <w:rPr>
          <w:rFonts w:ascii="Arial" w:hAnsi="Arial" w:cs="Arial"/>
          <w:position w:val="-2"/>
          <w:sz w:val="20"/>
          <w:szCs w:val="20"/>
        </w:rPr>
        <w:noBreakHyphen/>
        <w:t>1739</w:t>
      </w:r>
      <w:r>
        <w:rPr>
          <w:rFonts w:ascii="Arial" w:hAnsi="Arial" w:cs="Arial"/>
          <w:position w:val="-2"/>
          <w:sz w:val="20"/>
          <w:szCs w:val="20"/>
        </w:rPr>
        <w:noBreakHyphen/>
        <w:t>EL</w:t>
      </w:r>
      <w:r>
        <w:rPr>
          <w:rFonts w:ascii="Arial" w:hAnsi="Arial" w:cs="Arial"/>
          <w:position w:val="-2"/>
          <w:sz w:val="20"/>
          <w:szCs w:val="20"/>
        </w:rPr>
        <w:noBreakHyphen/>
        <w:t xml:space="preserve">RDR, Finding and Order at 4 (Sept. 18, 2013); </w:t>
      </w:r>
      <w:r>
        <w:rPr>
          <w:rFonts w:ascii="Arial" w:hAnsi="Arial" w:cs="Arial"/>
          <w:i/>
          <w:position w:val="-2"/>
          <w:sz w:val="20"/>
          <w:szCs w:val="20"/>
        </w:rPr>
        <w:t>In the Matter of the Application of Ohio Power Company to Adjust Its Economic Development Cost Recovery Rider Pursuant to Rule 4901:1-38-08(A)(5), Ohio Administrative Code</w:t>
      </w:r>
      <w:r>
        <w:rPr>
          <w:rFonts w:ascii="Arial" w:hAnsi="Arial" w:cs="Arial"/>
          <w:position w:val="-2"/>
          <w:sz w:val="20"/>
          <w:szCs w:val="20"/>
        </w:rPr>
        <w:t>, Case No. 13</w:t>
      </w:r>
      <w:r>
        <w:rPr>
          <w:rFonts w:ascii="Arial" w:hAnsi="Arial" w:cs="Arial"/>
          <w:position w:val="-2"/>
          <w:sz w:val="20"/>
          <w:szCs w:val="20"/>
        </w:rPr>
        <w:noBreakHyphen/>
        <w:t>325</w:t>
      </w:r>
      <w:r>
        <w:rPr>
          <w:rFonts w:ascii="Arial" w:hAnsi="Arial" w:cs="Arial"/>
          <w:position w:val="-2"/>
          <w:sz w:val="20"/>
          <w:szCs w:val="20"/>
        </w:rPr>
        <w:noBreakHyphen/>
        <w:t>EL</w:t>
      </w:r>
      <w:r>
        <w:rPr>
          <w:rFonts w:ascii="Arial" w:hAnsi="Arial" w:cs="Arial"/>
          <w:position w:val="-2"/>
          <w:sz w:val="20"/>
          <w:szCs w:val="20"/>
        </w:rPr>
        <w:noBreakHyphen/>
        <w:t xml:space="preserve">RDR, Finding and Order at 4 (Mar. 27, 2013); </w:t>
      </w:r>
      <w:r>
        <w:rPr>
          <w:rFonts w:ascii="Arial" w:hAnsi="Arial" w:cs="Arial"/>
          <w:i/>
          <w:position w:val="-2"/>
          <w:sz w:val="20"/>
          <w:szCs w:val="20"/>
        </w:rPr>
        <w:t>In the Matter of the Application of Ohio Power Company to Adjust Its Economic Development Cost Recovery Rider Rate</w:t>
      </w:r>
      <w:r>
        <w:rPr>
          <w:rFonts w:ascii="Arial" w:hAnsi="Arial" w:cs="Arial"/>
          <w:position w:val="-2"/>
          <w:sz w:val="20"/>
          <w:szCs w:val="20"/>
        </w:rPr>
        <w:t>, Case No. 13</w:t>
      </w:r>
      <w:r>
        <w:rPr>
          <w:rFonts w:ascii="Arial" w:hAnsi="Arial" w:cs="Arial"/>
          <w:position w:val="-2"/>
          <w:sz w:val="20"/>
          <w:szCs w:val="20"/>
        </w:rPr>
        <w:noBreakHyphen/>
        <w:t>1739</w:t>
      </w:r>
      <w:r>
        <w:rPr>
          <w:rFonts w:ascii="Arial" w:hAnsi="Arial" w:cs="Arial"/>
          <w:position w:val="-2"/>
          <w:sz w:val="20"/>
          <w:szCs w:val="20"/>
        </w:rPr>
        <w:noBreakHyphen/>
        <w:t>EL</w:t>
      </w:r>
      <w:r>
        <w:rPr>
          <w:rFonts w:ascii="Arial" w:hAnsi="Arial" w:cs="Arial"/>
          <w:position w:val="-2"/>
          <w:sz w:val="20"/>
          <w:szCs w:val="20"/>
        </w:rPr>
        <w:noBreakHyphen/>
        <w:t xml:space="preserve">RDR, Finding and Order at 4 (Sept. 18, 2013); </w:t>
      </w:r>
      <w:r>
        <w:rPr>
          <w:rFonts w:ascii="Arial" w:hAnsi="Arial" w:cs="Arial"/>
          <w:i/>
          <w:position w:val="-2"/>
          <w:sz w:val="20"/>
          <w:szCs w:val="20"/>
        </w:rPr>
        <w:t>In the Matter of the Application of Ohio Power Company to Adjust Its Economic Development Rider Rate</w:t>
      </w:r>
      <w:r>
        <w:rPr>
          <w:rFonts w:ascii="Arial" w:hAnsi="Arial" w:cs="Arial"/>
          <w:position w:val="-2"/>
          <w:sz w:val="20"/>
          <w:szCs w:val="20"/>
        </w:rPr>
        <w:t>, Case No. 14</w:t>
      </w:r>
      <w:r>
        <w:rPr>
          <w:rFonts w:ascii="Arial" w:hAnsi="Arial" w:cs="Arial"/>
          <w:position w:val="-2"/>
          <w:sz w:val="20"/>
          <w:szCs w:val="20"/>
        </w:rPr>
        <w:noBreakHyphen/>
        <w:t>193</w:t>
      </w:r>
      <w:r>
        <w:rPr>
          <w:rFonts w:ascii="Arial" w:hAnsi="Arial" w:cs="Arial"/>
          <w:position w:val="-2"/>
          <w:sz w:val="20"/>
          <w:szCs w:val="20"/>
        </w:rPr>
        <w:noBreakHyphen/>
        <w:t>EL</w:t>
      </w:r>
      <w:r>
        <w:rPr>
          <w:rFonts w:ascii="Arial" w:hAnsi="Arial" w:cs="Arial"/>
          <w:position w:val="-2"/>
          <w:sz w:val="20"/>
          <w:szCs w:val="20"/>
        </w:rPr>
        <w:noBreakHyphen/>
        <w:t xml:space="preserve">RDR, Finding and Order at 4-5 (Mar. 26, 2014); </w:t>
      </w:r>
      <w:r>
        <w:rPr>
          <w:rFonts w:ascii="Arial" w:hAnsi="Arial" w:cs="Arial"/>
          <w:i/>
          <w:position w:val="-2"/>
          <w:sz w:val="20"/>
          <w:szCs w:val="20"/>
        </w:rPr>
        <w:t>In the Matter of the Application of Ohio Power Company to Adjust Its Economic Development Rider Rate</w:t>
      </w:r>
      <w:r>
        <w:rPr>
          <w:rFonts w:ascii="Arial" w:hAnsi="Arial" w:cs="Arial"/>
          <w:position w:val="-2"/>
          <w:sz w:val="20"/>
          <w:szCs w:val="20"/>
        </w:rPr>
        <w:t xml:space="preserve">, Case No. 15-279-EL-RDR, Finding and Order at 3-4 (Mar. 18, 2015); </w:t>
      </w:r>
      <w:r>
        <w:rPr>
          <w:rFonts w:ascii="Arial" w:hAnsi="Arial" w:cs="Arial"/>
          <w:i/>
          <w:position w:val="-2"/>
          <w:sz w:val="20"/>
          <w:szCs w:val="20"/>
        </w:rPr>
        <w:t>In the Matter of the Application of Ohio Power Company to Adjust Its Economic Development Rider Rate</w:t>
      </w:r>
      <w:r>
        <w:rPr>
          <w:rFonts w:ascii="Arial" w:hAnsi="Arial" w:cs="Arial"/>
          <w:position w:val="-2"/>
          <w:sz w:val="20"/>
          <w:szCs w:val="20"/>
        </w:rPr>
        <w:t>, Case No. 15</w:t>
      </w:r>
      <w:r>
        <w:rPr>
          <w:rFonts w:ascii="Arial" w:hAnsi="Arial" w:cs="Arial"/>
          <w:position w:val="-2"/>
          <w:sz w:val="20"/>
          <w:szCs w:val="20"/>
        </w:rPr>
        <w:noBreakHyphen/>
        <w:t>1400</w:t>
      </w:r>
      <w:r>
        <w:rPr>
          <w:rFonts w:ascii="Arial" w:hAnsi="Arial" w:cs="Arial"/>
          <w:position w:val="-2"/>
          <w:sz w:val="20"/>
          <w:szCs w:val="20"/>
        </w:rPr>
        <w:noBreakHyphen/>
        <w:t>EL</w:t>
      </w:r>
      <w:r>
        <w:rPr>
          <w:rFonts w:ascii="Arial" w:hAnsi="Arial" w:cs="Arial"/>
          <w:position w:val="-2"/>
          <w:sz w:val="20"/>
          <w:szCs w:val="20"/>
        </w:rPr>
        <w:noBreakHyphen/>
        <w:t xml:space="preserve">RDR, Finding and Order at 3-4 (Nov. 18, 2015); </w:t>
      </w:r>
      <w:r>
        <w:rPr>
          <w:rFonts w:ascii="Arial" w:hAnsi="Arial" w:cs="Arial"/>
          <w:i/>
          <w:position w:val="-2"/>
          <w:sz w:val="20"/>
          <w:szCs w:val="20"/>
        </w:rPr>
        <w:t>In the Matter of the Application of Ohio Power Company to Adjust Its Economic Development Rider Rate</w:t>
      </w:r>
      <w:r>
        <w:rPr>
          <w:rFonts w:ascii="Arial" w:hAnsi="Arial" w:cs="Arial"/>
          <w:position w:val="-2"/>
          <w:sz w:val="20"/>
          <w:szCs w:val="20"/>
        </w:rPr>
        <w:t>, Case No. 16</w:t>
      </w:r>
      <w:r>
        <w:rPr>
          <w:rFonts w:ascii="Arial" w:hAnsi="Arial" w:cs="Arial"/>
          <w:position w:val="-2"/>
          <w:sz w:val="20"/>
          <w:szCs w:val="20"/>
        </w:rPr>
        <w:noBreakHyphen/>
        <w:t>260</w:t>
      </w:r>
      <w:r>
        <w:rPr>
          <w:rFonts w:ascii="Arial" w:hAnsi="Arial" w:cs="Arial"/>
          <w:position w:val="-2"/>
          <w:sz w:val="20"/>
          <w:szCs w:val="20"/>
        </w:rPr>
        <w:noBreakHyphen/>
        <w:t>EL</w:t>
      </w:r>
      <w:r>
        <w:rPr>
          <w:rFonts w:ascii="Arial" w:hAnsi="Arial" w:cs="Arial"/>
          <w:position w:val="-2"/>
          <w:sz w:val="20"/>
          <w:szCs w:val="20"/>
        </w:rPr>
        <w:noBreakHyphen/>
        <w:t xml:space="preserve">RDR, Finding and Order at 3-4 (Mar. 31, 2016); </w:t>
      </w:r>
      <w:r>
        <w:rPr>
          <w:rFonts w:ascii="Arial" w:hAnsi="Arial" w:cs="Arial"/>
          <w:i/>
          <w:position w:val="-2"/>
          <w:sz w:val="20"/>
          <w:szCs w:val="20"/>
        </w:rPr>
        <w:t>In the Matter of the Application of Ohio Power Company to Adjust Its Economic Development Rider Rate</w:t>
      </w:r>
      <w:r>
        <w:rPr>
          <w:rFonts w:ascii="Arial" w:hAnsi="Arial" w:cs="Arial"/>
          <w:position w:val="-2"/>
          <w:sz w:val="20"/>
          <w:szCs w:val="20"/>
        </w:rPr>
        <w:t>, Case No. 16</w:t>
      </w:r>
      <w:r>
        <w:rPr>
          <w:rFonts w:ascii="Arial" w:hAnsi="Arial" w:cs="Arial"/>
          <w:position w:val="-2"/>
          <w:sz w:val="20"/>
          <w:szCs w:val="20"/>
        </w:rPr>
        <w:noBreakHyphen/>
        <w:t>1684</w:t>
      </w:r>
      <w:r>
        <w:rPr>
          <w:rFonts w:ascii="Arial" w:hAnsi="Arial" w:cs="Arial"/>
          <w:position w:val="-2"/>
          <w:sz w:val="20"/>
          <w:szCs w:val="20"/>
        </w:rPr>
        <w:noBreakHyphen/>
        <w:t>EL</w:t>
      </w:r>
      <w:r>
        <w:rPr>
          <w:rFonts w:ascii="Arial" w:hAnsi="Arial" w:cs="Arial"/>
          <w:position w:val="-2"/>
          <w:sz w:val="20"/>
          <w:szCs w:val="20"/>
        </w:rPr>
        <w:noBreakHyphen/>
        <w:t xml:space="preserve">RDR, Finding and Order at 4 (Sept. 22, 2016); </w:t>
      </w:r>
      <w:r>
        <w:rPr>
          <w:rFonts w:ascii="Arial" w:hAnsi="Arial" w:cs="Arial"/>
          <w:i/>
          <w:position w:val="-2"/>
          <w:sz w:val="20"/>
          <w:szCs w:val="20"/>
        </w:rPr>
        <w:t>In the Matter of the Application of Ohio Power Company to Adjust Its Economic Development Rider Rate</w:t>
      </w:r>
      <w:r>
        <w:rPr>
          <w:rFonts w:ascii="Arial" w:hAnsi="Arial" w:cs="Arial"/>
          <w:position w:val="-2"/>
          <w:sz w:val="20"/>
          <w:szCs w:val="20"/>
        </w:rPr>
        <w:t>, Case No. 17</w:t>
      </w:r>
      <w:r>
        <w:rPr>
          <w:rFonts w:ascii="Arial" w:hAnsi="Arial" w:cs="Arial"/>
          <w:position w:val="-2"/>
          <w:sz w:val="20"/>
          <w:szCs w:val="20"/>
        </w:rPr>
        <w:noBreakHyphen/>
        <w:t>295</w:t>
      </w:r>
      <w:r>
        <w:rPr>
          <w:rFonts w:ascii="Arial" w:hAnsi="Arial" w:cs="Arial"/>
          <w:position w:val="-2"/>
          <w:sz w:val="20"/>
          <w:szCs w:val="20"/>
        </w:rPr>
        <w:noBreakHyphen/>
        <w:t>EL</w:t>
      </w:r>
      <w:r>
        <w:rPr>
          <w:rFonts w:ascii="Arial" w:hAnsi="Arial" w:cs="Arial"/>
          <w:position w:val="-2"/>
          <w:sz w:val="20"/>
          <w:szCs w:val="20"/>
        </w:rPr>
        <w:noBreakHyphen/>
        <w:t xml:space="preserve">RDR, Finding and Order at 4 (Mar. 29, 2017); </w:t>
      </w:r>
      <w:r w:rsidR="00C94B23">
        <w:rPr>
          <w:rFonts w:ascii="Arial" w:hAnsi="Arial" w:cs="Arial"/>
          <w:i/>
          <w:position w:val="-2"/>
          <w:sz w:val="20"/>
          <w:szCs w:val="20"/>
        </w:rPr>
        <w:t>In the Matter of the Application of Ohio Power Company to Adjust its Economic Development Rider Rate</w:t>
      </w:r>
      <w:r w:rsidR="00C94B23">
        <w:rPr>
          <w:rFonts w:ascii="Arial" w:hAnsi="Arial" w:cs="Arial"/>
          <w:position w:val="-2"/>
          <w:sz w:val="20"/>
          <w:szCs w:val="20"/>
        </w:rPr>
        <w:t>, Case No. 17-1714-EL-RDR, Finding and Order (Sept. 13, 2017).</w:t>
      </w:r>
    </w:p>
  </w:footnote>
  <w:footnote w:id="11">
    <w:p w:rsidR="00517B6A" w:rsidRDefault="00517B6A" w:rsidP="00517B6A">
      <w:pPr>
        <w:pStyle w:val="FootnoteText"/>
        <w:spacing w:after="120"/>
      </w:pPr>
      <w:r>
        <w:rPr>
          <w:rStyle w:val="FootnoteReference"/>
        </w:rPr>
        <w:footnoteRef/>
      </w:r>
      <w:r>
        <w:t xml:space="preserve"> Finding and Order at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C5A" w:rsidRDefault="00A80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C5A" w:rsidRDefault="00A80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C5A" w:rsidRDefault="00A80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81A" w:rsidRDefault="002428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81A" w:rsidRDefault="002428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81A" w:rsidRDefault="00242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135A"/>
    <w:multiLevelType w:val="hybridMultilevel"/>
    <w:tmpl w:val="D0E2FDF4"/>
    <w:lvl w:ilvl="0" w:tplc="ED8EE5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91282"/>
    <w:multiLevelType w:val="multilevel"/>
    <w:tmpl w:val="EAAC5B4C"/>
    <w:name w:val="IEU-Ohio PUCO Basic-Scheme 1"/>
    <w:lvl w:ilvl="0">
      <w:start w:val="1"/>
      <w:numFmt w:val="upperRoman"/>
      <w:pStyle w:val="Heading1"/>
      <w:lvlText w:val="%1."/>
      <w:lvlJc w:val="left"/>
      <w:pPr>
        <w:tabs>
          <w:tab w:val="num" w:pos="720"/>
        </w:tabs>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tabs>
          <w:tab w:val="num" w:pos="1440"/>
        </w:tabs>
        <w:ind w:left="1440" w:hanging="720"/>
      </w:pPr>
      <w:rPr>
        <w:rFonts w:hint="default"/>
        <w:b/>
        <w:caps w:val="0"/>
        <w:vanish w:val="0"/>
        <w:color w:val="010000"/>
        <w:u w:val="none"/>
      </w:rPr>
    </w:lvl>
    <w:lvl w:ilvl="2">
      <w:start w:val="1"/>
      <w:numFmt w:val="decimal"/>
      <w:pStyle w:val="Heading3"/>
      <w:lvlText w:val="%3."/>
      <w:lvlJc w:val="left"/>
      <w:pPr>
        <w:tabs>
          <w:tab w:val="num" w:pos="2160"/>
        </w:tabs>
        <w:ind w:left="2160" w:hanging="720"/>
      </w:pPr>
      <w:rPr>
        <w:rFonts w:hint="default"/>
        <w:b/>
        <w:i w:val="0"/>
        <w:caps w:val="0"/>
        <w:vanish w:val="0"/>
        <w:color w:val="010000"/>
        <w:u w:val="none"/>
      </w:rPr>
    </w:lvl>
    <w:lvl w:ilvl="3">
      <w:start w:val="1"/>
      <w:numFmt w:val="lowerLetter"/>
      <w:pStyle w:val="Heading4"/>
      <w:lvlText w:val="%4."/>
      <w:lvlJc w:val="left"/>
      <w:pPr>
        <w:tabs>
          <w:tab w:val="num" w:pos="2880"/>
        </w:tabs>
        <w:ind w:left="2880" w:hanging="720"/>
      </w:pPr>
      <w:rPr>
        <w:rFonts w:hint="default"/>
        <w:b/>
        <w:i/>
        <w:caps w:val="0"/>
        <w:vanish w:val="0"/>
        <w:color w:val="010000"/>
        <w:u w:val="none"/>
      </w:rPr>
    </w:lvl>
    <w:lvl w:ilvl="4">
      <w:start w:val="1"/>
      <w:numFmt w:val="lowerRoman"/>
      <w:pStyle w:val="Heading5"/>
      <w:lvlText w:val="%5."/>
      <w:lvlJc w:val="left"/>
      <w:pPr>
        <w:tabs>
          <w:tab w:val="num" w:pos="3600"/>
        </w:tabs>
        <w:ind w:left="3600" w:hanging="720"/>
      </w:pPr>
      <w:rPr>
        <w:rFonts w:hint="default"/>
        <w:caps w:val="0"/>
        <w:vanish w:val="0"/>
        <w:color w:val="010000"/>
        <w:u w:val="none"/>
      </w:rPr>
    </w:lvl>
    <w:lvl w:ilvl="5">
      <w:start w:val="1"/>
      <w:numFmt w:val="lowerLetter"/>
      <w:pStyle w:val="Heading6"/>
      <w:lvlText w:val="(%6)"/>
      <w:lvlJc w:val="left"/>
      <w:pPr>
        <w:tabs>
          <w:tab w:val="num" w:pos="4320"/>
        </w:tabs>
        <w:ind w:left="4320" w:hanging="720"/>
      </w:pPr>
      <w:rPr>
        <w:rFonts w:hint="default"/>
        <w:caps w:val="0"/>
        <w:vanish w:val="0"/>
        <w:color w:val="010000"/>
        <w:u w:val="none"/>
      </w:rPr>
    </w:lvl>
    <w:lvl w:ilvl="6">
      <w:start w:val="1"/>
      <w:numFmt w:val="decimal"/>
      <w:pStyle w:val="Heading7"/>
      <w:lvlText w:val="(%7)"/>
      <w:lvlJc w:val="left"/>
      <w:pPr>
        <w:tabs>
          <w:tab w:val="num" w:pos="5040"/>
        </w:tabs>
        <w:ind w:left="5040" w:hanging="720"/>
      </w:pPr>
      <w:rPr>
        <w:rFonts w:hint="default"/>
        <w:caps w:val="0"/>
        <w:vanish w:val="0"/>
        <w:color w:val="010000"/>
        <w:u w:val="none"/>
      </w:rPr>
    </w:lvl>
    <w:lvl w:ilvl="7">
      <w:start w:val="1"/>
      <w:numFmt w:val="lowerRoman"/>
      <w:pStyle w:val="Heading8"/>
      <w:lvlText w:val="%8)"/>
      <w:lvlJc w:val="left"/>
      <w:pPr>
        <w:tabs>
          <w:tab w:val="num" w:pos="5760"/>
        </w:tabs>
        <w:ind w:left="5760" w:hanging="720"/>
      </w:pPr>
      <w:rPr>
        <w:rFonts w:hint="default"/>
        <w:caps w:val="0"/>
        <w:vanish w:val="0"/>
        <w:color w:val="010000"/>
        <w:u w:val="none"/>
      </w:rPr>
    </w:lvl>
    <w:lvl w:ilvl="8">
      <w:start w:val="1"/>
      <w:numFmt w:val="lowerLetter"/>
      <w:pStyle w:val="Heading9"/>
      <w:lvlText w:val="%9)"/>
      <w:lvlJc w:val="left"/>
      <w:pPr>
        <w:tabs>
          <w:tab w:val="num" w:pos="6480"/>
        </w:tabs>
        <w:ind w:left="6480" w:hanging="720"/>
      </w:pPr>
      <w:rPr>
        <w:rFonts w:hint="default"/>
        <w:caps w:val="0"/>
        <w:vanish w:val="0"/>
        <w:color w:val="010000"/>
        <w:u w:val="none"/>
      </w:rPr>
    </w:lvl>
  </w:abstractNum>
  <w:abstractNum w:abstractNumId="2" w15:restartNumberingAfterBreak="0">
    <w:nsid w:val="6DD54320"/>
    <w:multiLevelType w:val="hybridMultilevel"/>
    <w:tmpl w:val="1526D3D0"/>
    <w:lvl w:ilvl="0" w:tplc="8D3C9FB8">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2"/>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1A"/>
    <w:rsid w:val="00095BC7"/>
    <w:rsid w:val="001115F5"/>
    <w:rsid w:val="001535F1"/>
    <w:rsid w:val="00155382"/>
    <w:rsid w:val="001B0849"/>
    <w:rsid w:val="001F3042"/>
    <w:rsid w:val="00217E3F"/>
    <w:rsid w:val="0024281A"/>
    <w:rsid w:val="003733F9"/>
    <w:rsid w:val="003A1B0D"/>
    <w:rsid w:val="004E55D0"/>
    <w:rsid w:val="00517B6A"/>
    <w:rsid w:val="005A3F80"/>
    <w:rsid w:val="00647D2D"/>
    <w:rsid w:val="00734F87"/>
    <w:rsid w:val="00740DDD"/>
    <w:rsid w:val="00754C29"/>
    <w:rsid w:val="008E3BF4"/>
    <w:rsid w:val="009B3572"/>
    <w:rsid w:val="009C381B"/>
    <w:rsid w:val="009E55D9"/>
    <w:rsid w:val="00A151A9"/>
    <w:rsid w:val="00A1672A"/>
    <w:rsid w:val="00A77C49"/>
    <w:rsid w:val="00A80C5A"/>
    <w:rsid w:val="00AE4924"/>
    <w:rsid w:val="00C0405A"/>
    <w:rsid w:val="00C94B23"/>
    <w:rsid w:val="00CE2356"/>
    <w:rsid w:val="00D646CC"/>
    <w:rsid w:val="00F36F28"/>
    <w:rsid w:val="00FD0A6E"/>
    <w:rsid w:val="00FF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80E2C-A5EA-4DEB-A059-38BE98B6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81A"/>
    <w:rPr>
      <w:rFonts w:ascii="Times New Roman" w:eastAsia="Times New Roman" w:hAnsi="Times New Roman" w:cs="Times New Roman"/>
    </w:rPr>
  </w:style>
  <w:style w:type="paragraph" w:styleId="Heading1">
    <w:name w:val="heading 1"/>
    <w:basedOn w:val="Normal"/>
    <w:next w:val="Normal"/>
    <w:link w:val="Heading1Char"/>
    <w:qFormat/>
    <w:rsid w:val="00517B6A"/>
    <w:pPr>
      <w:numPr>
        <w:numId w:val="3"/>
      </w:numPr>
      <w:spacing w:before="180" w:after="240"/>
      <w:jc w:val="both"/>
      <w:outlineLvl w:val="0"/>
    </w:pPr>
    <w:rPr>
      <w:rFonts w:ascii="Arial" w:hAnsi="Arial" w:cs="Arial"/>
      <w:b/>
      <w:bCs/>
      <w:color w:val="010000"/>
    </w:rPr>
  </w:style>
  <w:style w:type="paragraph" w:styleId="Heading2">
    <w:name w:val="heading 2"/>
    <w:basedOn w:val="Normal"/>
    <w:next w:val="Normal"/>
    <w:link w:val="Heading2Char"/>
    <w:uiPriority w:val="9"/>
    <w:semiHidden/>
    <w:unhideWhenUsed/>
    <w:qFormat/>
    <w:rsid w:val="00517B6A"/>
    <w:pPr>
      <w:numPr>
        <w:ilvl w:val="1"/>
        <w:numId w:val="3"/>
      </w:numPr>
      <w:tabs>
        <w:tab w:val="left" w:pos="1440"/>
      </w:tabs>
      <w:spacing w:after="240"/>
      <w:jc w:val="both"/>
      <w:outlineLvl w:val="1"/>
    </w:pPr>
    <w:rPr>
      <w:rFonts w:eastAsiaTheme="majorEastAsia"/>
      <w:b/>
      <w:bCs/>
      <w:szCs w:val="26"/>
    </w:rPr>
  </w:style>
  <w:style w:type="paragraph" w:styleId="Heading3">
    <w:name w:val="heading 3"/>
    <w:basedOn w:val="Normal"/>
    <w:next w:val="Normal"/>
    <w:link w:val="Heading3Char"/>
    <w:uiPriority w:val="9"/>
    <w:semiHidden/>
    <w:unhideWhenUsed/>
    <w:qFormat/>
    <w:rsid w:val="00517B6A"/>
    <w:pPr>
      <w:numPr>
        <w:ilvl w:val="2"/>
        <w:numId w:val="3"/>
      </w:numPr>
      <w:tabs>
        <w:tab w:val="left" w:pos="2160"/>
      </w:tabs>
      <w:spacing w:after="240"/>
      <w:jc w:val="both"/>
      <w:outlineLvl w:val="2"/>
    </w:pPr>
    <w:rPr>
      <w:rFonts w:eastAsiaTheme="majorEastAsia"/>
      <w:b/>
    </w:rPr>
  </w:style>
  <w:style w:type="paragraph" w:styleId="Heading4">
    <w:name w:val="heading 4"/>
    <w:basedOn w:val="Normal"/>
    <w:next w:val="Normal"/>
    <w:link w:val="Heading4Char"/>
    <w:uiPriority w:val="9"/>
    <w:semiHidden/>
    <w:unhideWhenUsed/>
    <w:qFormat/>
    <w:rsid w:val="00517B6A"/>
    <w:pPr>
      <w:numPr>
        <w:ilvl w:val="3"/>
        <w:numId w:val="3"/>
      </w:numPr>
      <w:tabs>
        <w:tab w:val="left" w:pos="2880"/>
      </w:tabs>
      <w:spacing w:after="240"/>
      <w:jc w:val="both"/>
      <w:outlineLvl w:val="3"/>
    </w:pPr>
    <w:rPr>
      <w:rFonts w:eastAsiaTheme="majorEastAsia"/>
      <w:b/>
      <w:i/>
      <w:iCs/>
    </w:rPr>
  </w:style>
  <w:style w:type="paragraph" w:styleId="Heading5">
    <w:name w:val="heading 5"/>
    <w:basedOn w:val="Normal"/>
    <w:next w:val="Normal"/>
    <w:link w:val="Heading5Char"/>
    <w:uiPriority w:val="9"/>
    <w:semiHidden/>
    <w:unhideWhenUsed/>
    <w:qFormat/>
    <w:rsid w:val="00517B6A"/>
    <w:pPr>
      <w:numPr>
        <w:ilvl w:val="4"/>
        <w:numId w:val="3"/>
      </w:numPr>
      <w:tabs>
        <w:tab w:val="left" w:pos="3600"/>
      </w:tabs>
      <w:spacing w:after="240"/>
      <w:jc w:val="both"/>
      <w:outlineLvl w:val="4"/>
    </w:pPr>
    <w:rPr>
      <w:rFonts w:eastAsiaTheme="majorEastAsia"/>
      <w:color w:val="243F60" w:themeColor="accent1" w:themeShade="7F"/>
    </w:rPr>
  </w:style>
  <w:style w:type="paragraph" w:styleId="Heading6">
    <w:name w:val="heading 6"/>
    <w:basedOn w:val="Normal"/>
    <w:next w:val="Normal"/>
    <w:link w:val="Heading6Char"/>
    <w:uiPriority w:val="9"/>
    <w:semiHidden/>
    <w:unhideWhenUsed/>
    <w:qFormat/>
    <w:rsid w:val="00517B6A"/>
    <w:pPr>
      <w:numPr>
        <w:ilvl w:val="5"/>
        <w:numId w:val="3"/>
      </w:numPr>
      <w:tabs>
        <w:tab w:val="left" w:pos="4320"/>
      </w:tabs>
      <w:spacing w:after="240"/>
      <w:jc w:val="both"/>
      <w:outlineLvl w:val="5"/>
    </w:pPr>
    <w:rPr>
      <w:rFonts w:eastAsiaTheme="majorEastAsia"/>
      <w:color w:val="243F60" w:themeColor="accent1" w:themeShade="7F"/>
    </w:rPr>
  </w:style>
  <w:style w:type="paragraph" w:styleId="Heading7">
    <w:name w:val="heading 7"/>
    <w:basedOn w:val="Normal"/>
    <w:next w:val="Normal"/>
    <w:link w:val="Heading7Char"/>
    <w:uiPriority w:val="9"/>
    <w:semiHidden/>
    <w:unhideWhenUsed/>
    <w:qFormat/>
    <w:rsid w:val="00517B6A"/>
    <w:pPr>
      <w:numPr>
        <w:ilvl w:val="6"/>
        <w:numId w:val="3"/>
      </w:numPr>
      <w:tabs>
        <w:tab w:val="left" w:pos="5040"/>
      </w:tabs>
      <w:spacing w:after="240"/>
      <w:jc w:val="both"/>
      <w:outlineLvl w:val="6"/>
    </w:pPr>
    <w:rPr>
      <w:rFonts w:eastAsiaTheme="majorEastAsia"/>
      <w:iCs/>
      <w:color w:val="404040" w:themeColor="text1" w:themeTint="BF"/>
    </w:rPr>
  </w:style>
  <w:style w:type="paragraph" w:styleId="Heading8">
    <w:name w:val="heading 8"/>
    <w:basedOn w:val="Normal"/>
    <w:next w:val="Normal"/>
    <w:link w:val="Heading8Char"/>
    <w:uiPriority w:val="9"/>
    <w:semiHidden/>
    <w:unhideWhenUsed/>
    <w:qFormat/>
    <w:rsid w:val="00517B6A"/>
    <w:pPr>
      <w:numPr>
        <w:ilvl w:val="7"/>
        <w:numId w:val="3"/>
      </w:numPr>
      <w:tabs>
        <w:tab w:val="left" w:pos="5760"/>
      </w:tabs>
      <w:spacing w:after="240"/>
      <w:jc w:val="both"/>
      <w:outlineLvl w:val="7"/>
    </w:pPr>
    <w:rPr>
      <w:rFonts w:eastAsiaTheme="majorEastAsia"/>
      <w:color w:val="404040" w:themeColor="text1" w:themeTint="BF"/>
      <w:szCs w:val="21"/>
    </w:rPr>
  </w:style>
  <w:style w:type="paragraph" w:styleId="Heading9">
    <w:name w:val="heading 9"/>
    <w:basedOn w:val="Normal"/>
    <w:next w:val="Normal"/>
    <w:link w:val="Heading9Char"/>
    <w:uiPriority w:val="9"/>
    <w:semiHidden/>
    <w:unhideWhenUsed/>
    <w:qFormat/>
    <w:rsid w:val="00517B6A"/>
    <w:pPr>
      <w:numPr>
        <w:ilvl w:val="8"/>
        <w:numId w:val="3"/>
      </w:numPr>
      <w:tabs>
        <w:tab w:val="left" w:pos="6480"/>
      </w:tabs>
      <w:spacing w:after="240"/>
      <w:jc w:val="both"/>
      <w:outlineLvl w:val="8"/>
    </w:pPr>
    <w:rPr>
      <w:rFonts w:eastAsiaTheme="majorEastAsia"/>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3F80"/>
    <w:pPr>
      <w:framePr w:w="7920" w:h="1980" w:hRule="exact" w:hSpace="180" w:wrap="auto" w:hAnchor="page" w:xAlign="center" w:yAlign="bottom"/>
      <w:ind w:left="2880"/>
    </w:pPr>
    <w:rPr>
      <w:rFonts w:ascii="Calibri" w:eastAsiaTheme="majorEastAsia" w:hAnsi="Calibri" w:cstheme="majorBidi"/>
      <w:sz w:val="28"/>
    </w:rPr>
  </w:style>
  <w:style w:type="paragraph" w:styleId="BodyText">
    <w:name w:val="Body Text"/>
    <w:basedOn w:val="Normal"/>
    <w:link w:val="BodyTextChar"/>
    <w:rsid w:val="0024281A"/>
    <w:pPr>
      <w:jc w:val="both"/>
    </w:pPr>
    <w:rPr>
      <w:rFonts w:ascii="Arial" w:hAnsi="Arial"/>
    </w:rPr>
  </w:style>
  <w:style w:type="character" w:customStyle="1" w:styleId="BodyTextChar">
    <w:name w:val="Body Text Char"/>
    <w:basedOn w:val="DefaultParagraphFont"/>
    <w:link w:val="BodyText"/>
    <w:rsid w:val="0024281A"/>
    <w:rPr>
      <w:rFonts w:eastAsia="Times New Roman" w:cs="Times New Roman"/>
    </w:rPr>
  </w:style>
  <w:style w:type="paragraph" w:styleId="Title">
    <w:name w:val="Title"/>
    <w:basedOn w:val="Normal"/>
    <w:link w:val="TitleChar"/>
    <w:qFormat/>
    <w:rsid w:val="0024281A"/>
    <w:pPr>
      <w:jc w:val="center"/>
    </w:pPr>
    <w:rPr>
      <w:rFonts w:ascii="Arial" w:hAnsi="Arial"/>
      <w:b/>
      <w:szCs w:val="20"/>
    </w:rPr>
  </w:style>
  <w:style w:type="character" w:customStyle="1" w:styleId="TitleChar">
    <w:name w:val="Title Char"/>
    <w:basedOn w:val="DefaultParagraphFont"/>
    <w:link w:val="Title"/>
    <w:rsid w:val="0024281A"/>
    <w:rPr>
      <w:rFonts w:eastAsia="Times New Roman" w:cs="Times New Roman"/>
      <w:b/>
      <w:szCs w:val="20"/>
    </w:rPr>
  </w:style>
  <w:style w:type="paragraph" w:styleId="Header">
    <w:name w:val="header"/>
    <w:basedOn w:val="Normal"/>
    <w:link w:val="HeaderChar"/>
    <w:uiPriority w:val="99"/>
    <w:unhideWhenUsed/>
    <w:rsid w:val="0024281A"/>
    <w:pPr>
      <w:tabs>
        <w:tab w:val="center" w:pos="4680"/>
        <w:tab w:val="right" w:pos="9360"/>
      </w:tabs>
    </w:pPr>
  </w:style>
  <w:style w:type="character" w:customStyle="1" w:styleId="HeaderChar">
    <w:name w:val="Header Char"/>
    <w:basedOn w:val="DefaultParagraphFont"/>
    <w:link w:val="Header"/>
    <w:uiPriority w:val="99"/>
    <w:rsid w:val="0024281A"/>
    <w:rPr>
      <w:rFonts w:ascii="Times New Roman" w:eastAsia="Times New Roman" w:hAnsi="Times New Roman" w:cs="Times New Roman"/>
    </w:rPr>
  </w:style>
  <w:style w:type="paragraph" w:styleId="Footer">
    <w:name w:val="footer"/>
    <w:basedOn w:val="Normal"/>
    <w:link w:val="FooterChar"/>
    <w:uiPriority w:val="99"/>
    <w:unhideWhenUsed/>
    <w:rsid w:val="0024281A"/>
    <w:pPr>
      <w:tabs>
        <w:tab w:val="center" w:pos="4680"/>
        <w:tab w:val="right" w:pos="9360"/>
      </w:tabs>
    </w:pPr>
  </w:style>
  <w:style w:type="character" w:customStyle="1" w:styleId="FooterChar">
    <w:name w:val="Footer Char"/>
    <w:basedOn w:val="DefaultParagraphFont"/>
    <w:link w:val="Footer"/>
    <w:uiPriority w:val="99"/>
    <w:rsid w:val="0024281A"/>
    <w:rPr>
      <w:rFonts w:ascii="Times New Roman" w:eastAsia="Times New Roman" w:hAnsi="Times New Roman" w:cs="Times New Roman"/>
    </w:rPr>
  </w:style>
  <w:style w:type="character" w:styleId="Hyperlink">
    <w:name w:val="Hyperlink"/>
    <w:basedOn w:val="DefaultParagraphFont"/>
    <w:uiPriority w:val="99"/>
    <w:unhideWhenUsed/>
    <w:rsid w:val="004E55D0"/>
    <w:rPr>
      <w:color w:val="0000FF" w:themeColor="hyperlink"/>
      <w:u w:val="single"/>
    </w:rPr>
  </w:style>
  <w:style w:type="paragraph" w:styleId="BodyText3">
    <w:name w:val="Body Text 3"/>
    <w:basedOn w:val="Normal"/>
    <w:link w:val="BodyText3Char"/>
    <w:uiPriority w:val="99"/>
    <w:semiHidden/>
    <w:unhideWhenUsed/>
    <w:rsid w:val="00517B6A"/>
    <w:pPr>
      <w:spacing w:after="120"/>
    </w:pPr>
    <w:rPr>
      <w:sz w:val="16"/>
      <w:szCs w:val="16"/>
    </w:rPr>
  </w:style>
  <w:style w:type="character" w:customStyle="1" w:styleId="BodyText3Char">
    <w:name w:val="Body Text 3 Char"/>
    <w:basedOn w:val="DefaultParagraphFont"/>
    <w:link w:val="BodyText3"/>
    <w:uiPriority w:val="99"/>
    <w:semiHidden/>
    <w:rsid w:val="00517B6A"/>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517B6A"/>
    <w:rPr>
      <w:rFonts w:eastAsia="Times New Roman" w:cs="Arial"/>
      <w:b/>
      <w:bCs/>
      <w:color w:val="010000"/>
    </w:rPr>
  </w:style>
  <w:style w:type="character" w:customStyle="1" w:styleId="Heading2Char">
    <w:name w:val="Heading 2 Char"/>
    <w:basedOn w:val="DefaultParagraphFont"/>
    <w:link w:val="Heading2"/>
    <w:uiPriority w:val="9"/>
    <w:semiHidden/>
    <w:rsid w:val="00517B6A"/>
    <w:rPr>
      <w:rFonts w:ascii="Times New Roman" w:eastAsiaTheme="majorEastAsia" w:hAnsi="Times New Roman" w:cs="Times New Roman"/>
      <w:b/>
      <w:bCs/>
      <w:szCs w:val="26"/>
    </w:rPr>
  </w:style>
  <w:style w:type="character" w:customStyle="1" w:styleId="Heading3Char">
    <w:name w:val="Heading 3 Char"/>
    <w:basedOn w:val="DefaultParagraphFont"/>
    <w:link w:val="Heading3"/>
    <w:uiPriority w:val="9"/>
    <w:semiHidden/>
    <w:rsid w:val="00517B6A"/>
    <w:rPr>
      <w:rFonts w:ascii="Times New Roman" w:eastAsiaTheme="majorEastAsia" w:hAnsi="Times New Roman" w:cs="Times New Roman"/>
      <w:b/>
    </w:rPr>
  </w:style>
  <w:style w:type="character" w:customStyle="1" w:styleId="Heading4Char">
    <w:name w:val="Heading 4 Char"/>
    <w:basedOn w:val="DefaultParagraphFont"/>
    <w:link w:val="Heading4"/>
    <w:uiPriority w:val="9"/>
    <w:semiHidden/>
    <w:rsid w:val="00517B6A"/>
    <w:rPr>
      <w:rFonts w:ascii="Times New Roman" w:eastAsiaTheme="majorEastAsia" w:hAnsi="Times New Roman" w:cs="Times New Roman"/>
      <w:b/>
      <w:i/>
      <w:iCs/>
    </w:rPr>
  </w:style>
  <w:style w:type="character" w:customStyle="1" w:styleId="Heading5Char">
    <w:name w:val="Heading 5 Char"/>
    <w:basedOn w:val="DefaultParagraphFont"/>
    <w:link w:val="Heading5"/>
    <w:uiPriority w:val="9"/>
    <w:semiHidden/>
    <w:rsid w:val="00517B6A"/>
    <w:rPr>
      <w:rFonts w:ascii="Times New Roman" w:eastAsiaTheme="majorEastAsia"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517B6A"/>
    <w:rPr>
      <w:rFonts w:ascii="Times New Roman" w:eastAsiaTheme="majorEastAsia" w:hAnsi="Times New Roman" w:cs="Times New Roman"/>
      <w:color w:val="243F60" w:themeColor="accent1" w:themeShade="7F"/>
    </w:rPr>
  </w:style>
  <w:style w:type="character" w:customStyle="1" w:styleId="Heading7Char">
    <w:name w:val="Heading 7 Char"/>
    <w:basedOn w:val="DefaultParagraphFont"/>
    <w:link w:val="Heading7"/>
    <w:uiPriority w:val="9"/>
    <w:semiHidden/>
    <w:rsid w:val="00517B6A"/>
    <w:rPr>
      <w:rFonts w:ascii="Times New Roman" w:eastAsiaTheme="majorEastAsia" w:hAnsi="Times New Roman" w:cs="Times New Roman"/>
      <w:iCs/>
      <w:color w:val="404040" w:themeColor="text1" w:themeTint="BF"/>
    </w:rPr>
  </w:style>
  <w:style w:type="character" w:customStyle="1" w:styleId="Heading8Char">
    <w:name w:val="Heading 8 Char"/>
    <w:basedOn w:val="DefaultParagraphFont"/>
    <w:link w:val="Heading8"/>
    <w:uiPriority w:val="9"/>
    <w:semiHidden/>
    <w:rsid w:val="00517B6A"/>
    <w:rPr>
      <w:rFonts w:ascii="Times New Roman" w:eastAsiaTheme="majorEastAsia" w:hAnsi="Times New Roman" w:cs="Times New Roman"/>
      <w:color w:val="404040" w:themeColor="text1" w:themeTint="BF"/>
      <w:szCs w:val="21"/>
    </w:rPr>
  </w:style>
  <w:style w:type="character" w:customStyle="1" w:styleId="Heading9Char">
    <w:name w:val="Heading 9 Char"/>
    <w:basedOn w:val="DefaultParagraphFont"/>
    <w:link w:val="Heading9"/>
    <w:uiPriority w:val="9"/>
    <w:semiHidden/>
    <w:rsid w:val="00517B6A"/>
    <w:rPr>
      <w:rFonts w:ascii="Times New Roman" w:eastAsiaTheme="majorEastAsia" w:hAnsi="Times New Roman" w:cs="Times New Roman"/>
      <w:iCs/>
      <w:color w:val="404040" w:themeColor="text1" w:themeTint="BF"/>
      <w:szCs w:val="21"/>
    </w:rPr>
  </w:style>
  <w:style w:type="character" w:styleId="PageNumber">
    <w:name w:val="page number"/>
    <w:basedOn w:val="DefaultParagraphFont"/>
    <w:rsid w:val="00517B6A"/>
  </w:style>
  <w:style w:type="paragraph" w:styleId="FootnoteText">
    <w:name w:val="footnote text"/>
    <w:basedOn w:val="Normal"/>
    <w:link w:val="FootnoteTextChar"/>
    <w:semiHidden/>
    <w:rsid w:val="00517B6A"/>
    <w:rPr>
      <w:rFonts w:ascii="Arial" w:hAnsi="Arial"/>
      <w:sz w:val="20"/>
      <w:szCs w:val="20"/>
    </w:rPr>
  </w:style>
  <w:style w:type="character" w:customStyle="1" w:styleId="FootnoteTextChar">
    <w:name w:val="Footnote Text Char"/>
    <w:basedOn w:val="DefaultParagraphFont"/>
    <w:link w:val="FootnoteText"/>
    <w:semiHidden/>
    <w:rsid w:val="00517B6A"/>
    <w:rPr>
      <w:rFonts w:eastAsia="Times New Roman" w:cs="Times New Roman"/>
      <w:sz w:val="20"/>
      <w:szCs w:val="20"/>
    </w:rPr>
  </w:style>
  <w:style w:type="character" w:styleId="FootnoteReference">
    <w:name w:val="footnote reference"/>
    <w:basedOn w:val="DefaultParagraphFont"/>
    <w:semiHidden/>
    <w:rsid w:val="00517B6A"/>
    <w:rPr>
      <w:vertAlign w:val="superscript"/>
    </w:rPr>
  </w:style>
  <w:style w:type="paragraph" w:styleId="BodyTextIndent">
    <w:name w:val="Body Text Indent"/>
    <w:basedOn w:val="Normal"/>
    <w:link w:val="BodyTextIndentChar"/>
    <w:rsid w:val="00517B6A"/>
    <w:pPr>
      <w:spacing w:after="120"/>
      <w:ind w:left="360"/>
    </w:pPr>
    <w:rPr>
      <w:rFonts w:ascii="Arial" w:hAnsi="Arial" w:cs="Arial"/>
    </w:rPr>
  </w:style>
  <w:style w:type="character" w:customStyle="1" w:styleId="BodyTextIndentChar">
    <w:name w:val="Body Text Indent Char"/>
    <w:basedOn w:val="DefaultParagraphFont"/>
    <w:link w:val="BodyTextIndent"/>
    <w:rsid w:val="00517B6A"/>
    <w:rPr>
      <w:rFonts w:eastAsia="Times New Roman" w:cs="Arial"/>
    </w:rPr>
  </w:style>
  <w:style w:type="paragraph" w:customStyle="1" w:styleId="InsideAddress">
    <w:name w:val="Inside Address"/>
    <w:basedOn w:val="Normal"/>
    <w:uiPriority w:val="99"/>
    <w:rsid w:val="00517B6A"/>
    <w:rPr>
      <w:rFonts w:ascii="Times" w:eastAsia="Calibri" w:hAnsi="Times"/>
      <w:szCs w:val="20"/>
    </w:rPr>
  </w:style>
  <w:style w:type="paragraph" w:styleId="ListParagraph">
    <w:name w:val="List Paragraph"/>
    <w:basedOn w:val="Normal"/>
    <w:uiPriority w:val="34"/>
    <w:qFormat/>
    <w:rsid w:val="00517B6A"/>
    <w:pPr>
      <w:ind w:left="720"/>
      <w:contextualSpacing/>
    </w:pPr>
  </w:style>
  <w:style w:type="paragraph" w:styleId="BalloonText">
    <w:name w:val="Balloon Text"/>
    <w:basedOn w:val="Normal"/>
    <w:link w:val="BalloonTextChar"/>
    <w:uiPriority w:val="99"/>
    <w:semiHidden/>
    <w:unhideWhenUsed/>
    <w:rsid w:val="00FF4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6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1502</Words>
  <Characters>8846</Characters>
  <Application>Microsoft Office Word</Application>
  <DocSecurity>0</DocSecurity>
  <PresentationFormat>15|.DOCX</PresentationFormat>
  <Lines>269</Lines>
  <Paragraphs>125</Paragraphs>
  <ScaleCrop>false</ScaleCrop>
  <HeadingPairs>
    <vt:vector size="2" baseType="variant">
      <vt:variant>
        <vt:lpstr>Title</vt:lpstr>
      </vt:variant>
      <vt:variant>
        <vt:i4>1</vt:i4>
      </vt:variant>
    </vt:vector>
  </HeadingPairs>
  <TitlesOfParts>
    <vt:vector size="1" baseType="lpstr">
      <vt:lpstr>16-260-EL-RDR Motion to Extend Protective Order (C0107822-1).DOCX</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Eramet Motion to Extend Protective Order 16-260.DOCX</dc:title>
  <dc:subject/>
  <dc:creator/>
  <cp:keywords/>
  <dc:description/>
  <cp:lastModifiedBy>Ryan, Debbie</cp:lastModifiedBy>
  <cp:revision>4</cp:revision>
  <cp:lastPrinted>2018-01-11T18:57:00Z</cp:lastPrinted>
  <dcterms:created xsi:type="dcterms:W3CDTF">2018-01-19T18:02:00Z</dcterms:created>
  <dcterms:modified xsi:type="dcterms:W3CDTF">2018-01-19T18:04:00Z</dcterms:modified>
</cp:coreProperties>
</file>