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F15FE9" w:rsidRPr="00B8029E" w:rsidP="00F15FE9" w14:paraId="2357161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8029E">
        <w:rPr>
          <w:rFonts w:ascii="Times New Roman" w:eastAsia="Calibri" w:hAnsi="Times New Roman" w:cs="Times New Roman"/>
          <w:b/>
          <w:bCs/>
          <w:sz w:val="24"/>
          <w:szCs w:val="24"/>
        </w:rPr>
        <w:t>BEFORE</w:t>
      </w:r>
    </w:p>
    <w:p w:rsidR="00F15FE9" w:rsidRPr="00B8029E" w:rsidP="00F15FE9" w14:paraId="5EF7B3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8029E">
        <w:rPr>
          <w:rFonts w:ascii="Times New Roman" w:eastAsia="Calibri" w:hAnsi="Times New Roman" w:cs="Times New Roman"/>
          <w:b/>
          <w:bCs/>
          <w:sz w:val="24"/>
          <w:szCs w:val="24"/>
        </w:rPr>
        <w:t>THE PUBLIC UTILITIES COMMISSION OF OHIO</w:t>
      </w:r>
    </w:p>
    <w:p w:rsidR="00F15FE9" w:rsidRPr="00B8029E" w:rsidP="00F15FE9" w14:paraId="5FA71C64" w14:textId="77777777">
      <w:pPr>
        <w:pStyle w:val="HTMLPreformatted"/>
        <w:jc w:val="center"/>
        <w:rPr>
          <w:rFonts w:ascii="Times New Roman" w:hAnsi="Times New Roman" w:cs="Times New Roman"/>
          <w:b/>
          <w:bCs/>
          <w:sz w:val="24"/>
          <w:szCs w:val="24"/>
        </w:rPr>
      </w:pPr>
    </w:p>
    <w:tbl>
      <w:tblPr>
        <w:tblW w:w="8730" w:type="dxa"/>
        <w:tblLook w:val="01E0"/>
      </w:tblPr>
      <w:tblGrid>
        <w:gridCol w:w="4332"/>
        <w:gridCol w:w="360"/>
        <w:gridCol w:w="4038"/>
      </w:tblGrid>
      <w:tr w14:paraId="3BC91EED" w14:textId="77777777" w:rsidTr="006D09FB">
        <w:tblPrEx>
          <w:tblW w:w="8730" w:type="dxa"/>
          <w:tblLook w:val="01E0"/>
        </w:tblPrEx>
        <w:trPr>
          <w:trHeight w:val="807"/>
        </w:trPr>
        <w:tc>
          <w:tcPr>
            <w:tcW w:w="4332" w:type="dxa"/>
            <w:shd w:val="clear" w:color="auto" w:fill="auto"/>
          </w:tcPr>
          <w:p w:rsidR="00F15FE9" w:rsidRPr="00B8029E" w:rsidP="006D09FB" w14:paraId="28F90CBC"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In the Matter of the Application of the Ohio Department of Development for an Order Approving Adjustments to the Universal Service Fund Riders of Jurisdictional Ohio Electric Distribution Utilities.</w:t>
            </w:r>
          </w:p>
        </w:tc>
        <w:tc>
          <w:tcPr>
            <w:tcW w:w="360" w:type="dxa"/>
            <w:shd w:val="clear" w:color="auto" w:fill="auto"/>
          </w:tcPr>
          <w:p w:rsidR="00F15FE9" w:rsidRPr="00B8029E" w:rsidP="006D09FB" w14:paraId="756A4B0E"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F15FE9" w:rsidRPr="00B8029E" w:rsidP="006D09FB" w14:paraId="09CE5239"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F15FE9" w:rsidRPr="00B8029E" w:rsidP="006D09FB" w14:paraId="4B350B2E"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F15FE9" w:rsidRPr="00B8029E" w:rsidP="006D09FB" w14:paraId="4CFABF93"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F15FE9" w:rsidRPr="00B8029E" w:rsidP="006D09FB" w14:paraId="4A943867"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F15FE9" w:rsidRPr="00B8029E" w:rsidP="006D09FB" w14:paraId="3344A4A1"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tc>
        <w:tc>
          <w:tcPr>
            <w:tcW w:w="4038" w:type="dxa"/>
            <w:shd w:val="clear" w:color="auto" w:fill="auto"/>
          </w:tcPr>
          <w:p w:rsidR="00F15FE9" w:rsidRPr="00B8029E" w:rsidP="006D09FB" w14:paraId="6B6C8CD4" w14:textId="77777777">
            <w:pPr>
              <w:pStyle w:val="HTMLPreformatted"/>
              <w:rPr>
                <w:rFonts w:ascii="Times New Roman" w:hAnsi="Times New Roman" w:cs="Times New Roman"/>
                <w:sz w:val="24"/>
                <w:szCs w:val="24"/>
              </w:rPr>
            </w:pPr>
          </w:p>
          <w:p w:rsidR="00F15FE9" w:rsidRPr="00B8029E" w:rsidP="006D09FB" w14:paraId="3E6380C6" w14:textId="77777777">
            <w:pPr>
              <w:pStyle w:val="HTMLPreformatted"/>
              <w:rPr>
                <w:rFonts w:ascii="Times New Roman" w:hAnsi="Times New Roman" w:cs="Times New Roman"/>
                <w:sz w:val="24"/>
                <w:szCs w:val="24"/>
              </w:rPr>
            </w:pPr>
          </w:p>
          <w:p w:rsidR="00F15FE9" w:rsidRPr="00B8029E" w:rsidP="006D09FB" w14:paraId="0A500B2B"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Case No. 22-556-EL-USF</w:t>
            </w:r>
          </w:p>
        </w:tc>
      </w:tr>
    </w:tbl>
    <w:p w:rsidR="00F15FE9" w:rsidRPr="00B8029E" w:rsidP="00F15FE9" w14:paraId="2DB44DAE"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F15FE9" w:rsidRPr="00B8029E" w:rsidP="00F15FE9" w14:paraId="7914CF0B" w14:textId="77777777">
      <w:pPr>
        <w:autoSpaceDE w:val="0"/>
        <w:autoSpaceDN w:val="0"/>
        <w:adjustRightInd w:val="0"/>
        <w:spacing w:after="0" w:line="240" w:lineRule="auto"/>
        <w:rPr>
          <w:rFonts w:ascii="Times New Roman" w:eastAsia="Calibri" w:hAnsi="Times New Roman" w:cs="Times New Roman"/>
          <w:sz w:val="24"/>
          <w:szCs w:val="24"/>
        </w:rPr>
      </w:pPr>
    </w:p>
    <w:p w:rsidR="00F15FE9" w:rsidRPr="00B8029E" w:rsidP="00F15FE9" w14:paraId="2E57DA19" w14:textId="77777777">
      <w:pPr>
        <w:widowControl w:val="0"/>
        <w:spacing w:after="0" w:line="240" w:lineRule="auto"/>
        <w:jc w:val="center"/>
        <w:rPr>
          <w:rFonts w:ascii="Times New Roman" w:hAnsi="Times New Roman" w:cs="Times New Roman"/>
          <w:b/>
          <w:sz w:val="24"/>
          <w:szCs w:val="24"/>
        </w:rPr>
      </w:pPr>
      <w:r w:rsidRPr="00B8029E">
        <w:rPr>
          <w:rFonts w:ascii="Times New Roman" w:hAnsi="Times New Roman" w:cs="Times New Roman"/>
          <w:b/>
          <w:sz w:val="24"/>
          <w:szCs w:val="24"/>
        </w:rPr>
        <w:t xml:space="preserve">APPLICATION FOR REHEARING </w:t>
      </w:r>
    </w:p>
    <w:p w:rsidR="00F15FE9" w:rsidRPr="00B8029E" w:rsidP="00F15FE9" w14:paraId="7B56C9B8" w14:textId="77777777">
      <w:pPr>
        <w:widowControl w:val="0"/>
        <w:spacing w:after="0" w:line="240" w:lineRule="auto"/>
        <w:jc w:val="center"/>
        <w:rPr>
          <w:rFonts w:ascii="Times New Roman" w:hAnsi="Times New Roman" w:cs="Times New Roman"/>
          <w:b/>
          <w:sz w:val="24"/>
          <w:szCs w:val="24"/>
        </w:rPr>
      </w:pPr>
      <w:r w:rsidRPr="00B8029E">
        <w:rPr>
          <w:rFonts w:ascii="Times New Roman" w:hAnsi="Times New Roman" w:cs="Times New Roman"/>
          <w:b/>
          <w:sz w:val="24"/>
          <w:szCs w:val="24"/>
        </w:rPr>
        <w:t>BY</w:t>
      </w:r>
    </w:p>
    <w:p w:rsidR="00F15FE9" w:rsidRPr="00B8029E" w:rsidP="00F15FE9" w14:paraId="4B85937A" w14:textId="77777777">
      <w:pPr>
        <w:spacing w:after="0" w:line="240" w:lineRule="auto"/>
        <w:jc w:val="center"/>
        <w:rPr>
          <w:rFonts w:ascii="Times New Roman" w:hAnsi="Times New Roman" w:cs="Times New Roman"/>
          <w:b/>
          <w:sz w:val="24"/>
          <w:szCs w:val="24"/>
        </w:rPr>
      </w:pPr>
      <w:r w:rsidRPr="00B8029E">
        <w:rPr>
          <w:rFonts w:ascii="Times New Roman" w:hAnsi="Times New Roman" w:cs="Times New Roman"/>
          <w:b/>
          <w:sz w:val="24"/>
          <w:szCs w:val="24"/>
        </w:rPr>
        <w:t>OFFICE OF THE OHIO CONSUMERS’ COUNSEL</w:t>
      </w:r>
    </w:p>
    <w:p w:rsidR="00F15FE9" w:rsidRPr="00B8029E" w:rsidP="00F15FE9" w14:paraId="5E777E12"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F15FE9" w:rsidRPr="00B8029E" w:rsidP="00F15FE9" w14:paraId="4593D457" w14:textId="36284EDC">
      <w:pPr>
        <w:rPr>
          <w:rFonts w:ascii="Times New Roman" w:eastAsia="Calibri" w:hAnsi="Times New Roman" w:cs="Times New Roman"/>
          <w:b/>
          <w:bCs/>
          <w:sz w:val="24"/>
          <w:szCs w:val="24"/>
        </w:rPr>
      </w:pPr>
    </w:p>
    <w:p w:rsidR="00F15FE9" w:rsidRPr="00B8029E" w:rsidP="00F15FE9" w14:paraId="19641B90" w14:textId="77777777">
      <w:pPr>
        <w:tabs>
          <w:tab w:val="left" w:pos="4320"/>
          <w:tab w:val="center" w:pos="4680"/>
          <w:tab w:val="right" w:pos="9360"/>
        </w:tabs>
        <w:spacing w:after="0" w:line="240" w:lineRule="auto"/>
        <w:ind w:left="3600"/>
        <w:rPr>
          <w:rFonts w:ascii="Times New Roman" w:eastAsia="Calibri" w:hAnsi="Times New Roman" w:cs="Times New Roman"/>
          <w:sz w:val="24"/>
          <w:szCs w:val="24"/>
        </w:rPr>
      </w:pPr>
      <w:r w:rsidRPr="00B8029E">
        <w:rPr>
          <w:rFonts w:ascii="Times New Roman" w:eastAsia="Calibri" w:hAnsi="Times New Roman" w:cs="Times New Roman"/>
          <w:sz w:val="24"/>
          <w:szCs w:val="24"/>
        </w:rPr>
        <w:t>Bruce Weston (0016973)</w:t>
      </w:r>
    </w:p>
    <w:p w:rsidR="00F15FE9" w:rsidRPr="00B8029E" w:rsidP="00F15FE9" w14:paraId="30822E2B" w14:textId="77777777">
      <w:pPr>
        <w:tabs>
          <w:tab w:val="left" w:pos="4320"/>
        </w:tabs>
        <w:spacing w:after="0" w:line="240" w:lineRule="auto"/>
        <w:ind w:left="3600"/>
        <w:rPr>
          <w:rFonts w:ascii="Times New Roman" w:eastAsia="Calibri" w:hAnsi="Times New Roman" w:cs="Times New Roman"/>
          <w:sz w:val="24"/>
          <w:szCs w:val="24"/>
        </w:rPr>
      </w:pPr>
      <w:r w:rsidRPr="00B8029E">
        <w:rPr>
          <w:rFonts w:ascii="Times New Roman" w:eastAsia="Calibri" w:hAnsi="Times New Roman" w:cs="Times New Roman"/>
          <w:sz w:val="24"/>
          <w:szCs w:val="24"/>
        </w:rPr>
        <w:t>Ohio Consumers’ Counsel</w:t>
      </w:r>
    </w:p>
    <w:p w:rsidR="00F15FE9" w:rsidRPr="00B8029E" w:rsidP="00F15FE9" w14:paraId="0D31ECB5" w14:textId="77777777">
      <w:pPr>
        <w:tabs>
          <w:tab w:val="left" w:pos="4320"/>
        </w:tabs>
        <w:spacing w:after="0" w:line="240" w:lineRule="auto"/>
        <w:ind w:left="3600"/>
        <w:rPr>
          <w:rFonts w:ascii="Times New Roman" w:eastAsia="Calibri" w:hAnsi="Times New Roman" w:cs="Times New Roman"/>
          <w:sz w:val="24"/>
          <w:szCs w:val="24"/>
        </w:rPr>
      </w:pPr>
      <w:r w:rsidRPr="00B8029E">
        <w:rPr>
          <w:rFonts w:ascii="Times New Roman" w:eastAsia="Calibri" w:hAnsi="Times New Roman" w:cs="Times New Roman"/>
          <w:sz w:val="24"/>
          <w:szCs w:val="24"/>
        </w:rPr>
        <w:tab/>
      </w:r>
    </w:p>
    <w:p w:rsidR="00F15FE9" w:rsidRPr="00B8029E" w:rsidP="00F15FE9" w14:paraId="4F52A15D" w14:textId="77777777">
      <w:pPr>
        <w:tabs>
          <w:tab w:val="left" w:pos="4320"/>
        </w:tabs>
        <w:spacing w:after="0" w:line="240" w:lineRule="auto"/>
        <w:ind w:left="3600"/>
        <w:rPr>
          <w:rFonts w:ascii="Times New Roman" w:eastAsia="Calibri" w:hAnsi="Times New Roman" w:cs="Times New Roman"/>
          <w:sz w:val="24"/>
          <w:szCs w:val="24"/>
        </w:rPr>
      </w:pPr>
      <w:r w:rsidRPr="00B8029E">
        <w:rPr>
          <w:rFonts w:ascii="Times New Roman" w:eastAsia="Calibri" w:hAnsi="Times New Roman" w:cs="Times New Roman"/>
          <w:sz w:val="24"/>
          <w:szCs w:val="24"/>
        </w:rPr>
        <w:t>Amy Botschner O’Brien (0074423)</w:t>
      </w:r>
    </w:p>
    <w:p w:rsidR="00F15FE9" w:rsidRPr="00B8029E" w:rsidP="00F15FE9" w14:paraId="30053CCF" w14:textId="77777777">
      <w:pPr>
        <w:tabs>
          <w:tab w:val="left" w:pos="4320"/>
        </w:tabs>
        <w:spacing w:after="0" w:line="240" w:lineRule="auto"/>
        <w:ind w:left="3600"/>
        <w:rPr>
          <w:rFonts w:ascii="Times New Roman" w:eastAsia="Calibri" w:hAnsi="Times New Roman" w:cs="Times New Roman"/>
          <w:sz w:val="24"/>
          <w:szCs w:val="24"/>
        </w:rPr>
      </w:pPr>
      <w:r w:rsidRPr="00B8029E">
        <w:rPr>
          <w:rFonts w:ascii="Times New Roman" w:eastAsia="Calibri" w:hAnsi="Times New Roman" w:cs="Times New Roman"/>
          <w:sz w:val="24"/>
          <w:szCs w:val="24"/>
        </w:rPr>
        <w:t>Counsel of Record</w:t>
      </w:r>
    </w:p>
    <w:p w:rsidR="00F15FE9" w:rsidRPr="00B8029E" w:rsidP="00F15FE9" w14:paraId="53FAAABD" w14:textId="77777777">
      <w:pPr>
        <w:tabs>
          <w:tab w:val="left" w:pos="4320"/>
        </w:tabs>
        <w:spacing w:after="0" w:line="240" w:lineRule="auto"/>
        <w:ind w:left="3600"/>
        <w:rPr>
          <w:rFonts w:ascii="Times New Roman" w:eastAsia="Calibri" w:hAnsi="Times New Roman" w:cs="Times New Roman"/>
          <w:sz w:val="24"/>
          <w:szCs w:val="24"/>
        </w:rPr>
      </w:pPr>
      <w:r w:rsidRPr="00B8029E">
        <w:rPr>
          <w:rFonts w:ascii="Times New Roman" w:eastAsia="Calibri" w:hAnsi="Times New Roman" w:cs="Times New Roman"/>
          <w:sz w:val="24"/>
          <w:szCs w:val="24"/>
        </w:rPr>
        <w:t>Assistant Consumers’ Counsel</w:t>
      </w:r>
    </w:p>
    <w:p w:rsidR="00F15FE9" w:rsidRPr="00B8029E" w:rsidP="00F15FE9" w14:paraId="5274F0D2" w14:textId="77777777">
      <w:pPr>
        <w:tabs>
          <w:tab w:val="left" w:pos="4320"/>
        </w:tabs>
        <w:spacing w:after="0" w:line="240" w:lineRule="auto"/>
        <w:ind w:left="3600"/>
        <w:rPr>
          <w:rFonts w:ascii="Times New Roman" w:eastAsia="Calibri" w:hAnsi="Times New Roman" w:cs="Times New Roman"/>
          <w:sz w:val="24"/>
          <w:szCs w:val="24"/>
        </w:rPr>
      </w:pPr>
    </w:p>
    <w:p w:rsidR="00F15FE9" w:rsidRPr="00B8029E" w:rsidP="00F15FE9" w14:paraId="6B479229" w14:textId="77777777">
      <w:pPr>
        <w:spacing w:after="0" w:line="240" w:lineRule="auto"/>
        <w:ind w:left="3600"/>
        <w:rPr>
          <w:rFonts w:ascii="Times New Roman" w:eastAsia="Calibri" w:hAnsi="Times New Roman" w:cs="Times New Roman"/>
          <w:b/>
          <w:bCs/>
          <w:sz w:val="24"/>
          <w:szCs w:val="24"/>
        </w:rPr>
      </w:pPr>
      <w:r w:rsidRPr="00B8029E">
        <w:rPr>
          <w:rFonts w:ascii="Times New Roman" w:eastAsia="Calibri" w:hAnsi="Times New Roman" w:cs="Times New Roman"/>
          <w:b/>
          <w:bCs/>
          <w:sz w:val="24"/>
          <w:szCs w:val="24"/>
        </w:rPr>
        <w:t>Office of the Ohio Consumers’ Counsel</w:t>
      </w:r>
    </w:p>
    <w:p w:rsidR="00F15FE9" w:rsidRPr="00B8029E" w:rsidP="00F15FE9" w14:paraId="33BF21FC" w14:textId="77777777">
      <w:pPr>
        <w:spacing w:after="0" w:line="240" w:lineRule="auto"/>
        <w:ind w:left="3600"/>
        <w:rPr>
          <w:rFonts w:ascii="Times New Roman" w:eastAsia="Calibri" w:hAnsi="Times New Roman" w:cs="Times New Roman"/>
          <w:b/>
          <w:sz w:val="24"/>
          <w:szCs w:val="24"/>
        </w:rPr>
      </w:pPr>
      <w:r w:rsidRPr="00B8029E">
        <w:rPr>
          <w:rFonts w:ascii="Times New Roman" w:eastAsia="Calibri" w:hAnsi="Times New Roman" w:cs="Times New Roman"/>
          <w:sz w:val="24"/>
          <w:szCs w:val="24"/>
        </w:rPr>
        <w:t>65 East State Street, Suite 700</w:t>
      </w:r>
    </w:p>
    <w:p w:rsidR="00F15FE9" w:rsidRPr="00B8029E" w:rsidP="00F15FE9" w14:paraId="46879A63" w14:textId="77777777">
      <w:pPr>
        <w:spacing w:after="0" w:line="240" w:lineRule="auto"/>
        <w:ind w:left="3600"/>
        <w:rPr>
          <w:rFonts w:ascii="Times New Roman" w:eastAsia="Calibri" w:hAnsi="Times New Roman" w:cs="Times New Roman"/>
          <w:b/>
          <w:sz w:val="24"/>
          <w:szCs w:val="24"/>
        </w:rPr>
      </w:pPr>
      <w:r w:rsidRPr="00B8029E">
        <w:rPr>
          <w:rFonts w:ascii="Times New Roman" w:eastAsia="Calibri" w:hAnsi="Times New Roman" w:cs="Times New Roman"/>
          <w:sz w:val="24"/>
          <w:szCs w:val="24"/>
        </w:rPr>
        <w:t>Columbus, Ohio 43215</w:t>
      </w:r>
    </w:p>
    <w:p w:rsidR="00F15FE9" w:rsidRPr="00B8029E" w:rsidP="00F15FE9" w14:paraId="5B3A99A3" w14:textId="77777777">
      <w:pPr>
        <w:autoSpaceDE w:val="0"/>
        <w:autoSpaceDN w:val="0"/>
        <w:adjustRightInd w:val="0"/>
        <w:spacing w:after="0" w:line="240" w:lineRule="auto"/>
        <w:ind w:left="3600"/>
        <w:rPr>
          <w:rFonts w:ascii="Times New Roman" w:eastAsia="Calibri" w:hAnsi="Times New Roman" w:cs="Times New Roman"/>
          <w:sz w:val="24"/>
          <w:szCs w:val="24"/>
        </w:rPr>
      </w:pPr>
      <w:r w:rsidRPr="00B8029E">
        <w:rPr>
          <w:rFonts w:ascii="Times New Roman" w:eastAsia="Calibri" w:hAnsi="Times New Roman" w:cs="Times New Roman"/>
          <w:sz w:val="24"/>
          <w:szCs w:val="24"/>
        </w:rPr>
        <w:t>Telephone [Botschner O’Brien]: (614) 466-9575</w:t>
      </w:r>
    </w:p>
    <w:p w:rsidR="00F15FE9" w:rsidRPr="00B8029E" w:rsidP="00F15FE9" w14:paraId="7224DB9A" w14:textId="77777777">
      <w:pPr>
        <w:autoSpaceDE w:val="0"/>
        <w:autoSpaceDN w:val="0"/>
        <w:adjustRightInd w:val="0"/>
        <w:spacing w:after="0" w:line="240" w:lineRule="auto"/>
        <w:ind w:left="3600"/>
        <w:rPr>
          <w:rFonts w:ascii="Times New Roman" w:eastAsia="Calibri" w:hAnsi="Times New Roman" w:cs="Times New Roman"/>
          <w:sz w:val="24"/>
          <w:szCs w:val="24"/>
        </w:rPr>
      </w:pPr>
      <w:hyperlink r:id="rId6" w:history="1">
        <w:r w:rsidRPr="00B8029E" w:rsidR="00AF6E11">
          <w:rPr>
            <w:rFonts w:ascii="Times New Roman" w:eastAsia="Calibri" w:hAnsi="Times New Roman" w:cs="Times New Roman"/>
            <w:color w:val="0000FF"/>
            <w:sz w:val="24"/>
            <w:szCs w:val="24"/>
            <w:u w:val="single"/>
          </w:rPr>
          <w:t>amy.botschner.obrien@occ.ohio.gov</w:t>
        </w:r>
      </w:hyperlink>
    </w:p>
    <w:p w:rsidR="00F15FE9" w:rsidRPr="00B8029E" w:rsidP="00F15FE9" w14:paraId="0B09978A" w14:textId="78300076">
      <w:pPr>
        <w:spacing w:after="0" w:line="240" w:lineRule="auto"/>
        <w:ind w:left="3600" w:hanging="3600"/>
        <w:rPr>
          <w:rFonts w:ascii="Times New Roman" w:eastAsia="Calibri" w:hAnsi="Times New Roman" w:cs="Times New Roman"/>
          <w:sz w:val="24"/>
          <w:szCs w:val="24"/>
        </w:rPr>
      </w:pPr>
      <w:r w:rsidRPr="00B8029E">
        <w:rPr>
          <w:rFonts w:ascii="Times New Roman" w:eastAsia="Calibri" w:hAnsi="Times New Roman" w:cs="Times New Roman"/>
          <w:sz w:val="24"/>
          <w:szCs w:val="24"/>
        </w:rPr>
        <w:t>January 13</w:t>
      </w:r>
      <w:r w:rsidRPr="00B8029E" w:rsidR="00D70A40">
        <w:rPr>
          <w:rFonts w:ascii="Times New Roman" w:eastAsia="Calibri" w:hAnsi="Times New Roman" w:cs="Times New Roman"/>
          <w:sz w:val="24"/>
          <w:szCs w:val="24"/>
        </w:rPr>
        <w:t>, 202</w:t>
      </w:r>
      <w:r w:rsidRPr="00B8029E">
        <w:rPr>
          <w:rFonts w:ascii="Times New Roman" w:eastAsia="Calibri" w:hAnsi="Times New Roman" w:cs="Times New Roman"/>
          <w:sz w:val="24"/>
          <w:szCs w:val="24"/>
        </w:rPr>
        <w:t>3</w:t>
      </w:r>
      <w:r w:rsidRPr="00B8029E" w:rsidR="00D70A40">
        <w:rPr>
          <w:rFonts w:ascii="Times New Roman" w:eastAsia="Calibri" w:hAnsi="Times New Roman" w:cs="Times New Roman"/>
          <w:sz w:val="24"/>
          <w:szCs w:val="24"/>
        </w:rPr>
        <w:tab/>
        <w:t>(willing to accept service by e-mail)</w:t>
      </w:r>
    </w:p>
    <w:p w:rsidR="00F15FE9" w:rsidRPr="00B8029E" w:rsidP="00F15FE9" w14:paraId="43661999" w14:textId="77777777">
      <w:pPr>
        <w:rPr>
          <w:rFonts w:ascii="Times New Roman" w:eastAsia="Calibri" w:hAnsi="Times New Roman" w:cs="Times New Roman"/>
          <w:b/>
          <w:bCs/>
          <w:sz w:val="24"/>
          <w:szCs w:val="24"/>
        </w:rPr>
      </w:pPr>
    </w:p>
    <w:p w:rsidR="00F15FE9" w:rsidRPr="00B8029E" w:rsidP="00F15FE9" w14:paraId="6905ECB7" w14:textId="2096041B">
      <w:pPr>
        <w:tabs>
          <w:tab w:val="left" w:pos="774"/>
        </w:tabs>
        <w:rPr>
          <w:rFonts w:ascii="Times New Roman" w:eastAsia="Calibri" w:hAnsi="Times New Roman" w:cs="Times New Roman"/>
          <w:sz w:val="24"/>
          <w:szCs w:val="24"/>
        </w:rPr>
        <w:sectPr w:rsidSect="00AC1A13">
          <w:footerReference w:type="default" r:id="rId7"/>
          <w:pgSz w:w="12240" w:h="15840"/>
          <w:pgMar w:top="1440" w:right="1800" w:bottom="1440" w:left="1800" w:header="720" w:footer="720" w:gutter="0"/>
          <w:pgNumType w:start="1"/>
          <w:cols w:space="720"/>
          <w:titlePg/>
          <w:docGrid w:linePitch="360"/>
        </w:sectPr>
      </w:pPr>
      <w:r w:rsidRPr="00B8029E">
        <w:rPr>
          <w:rFonts w:ascii="Times New Roman" w:eastAsia="Calibri" w:hAnsi="Times New Roman" w:cs="Times New Roman"/>
          <w:sz w:val="24"/>
          <w:szCs w:val="24"/>
        </w:rPr>
        <w:tab/>
      </w:r>
    </w:p>
    <w:p w:rsidR="00152A74" w:rsidRPr="00B8029E" w:rsidP="00152A74" w14:paraId="10AF7151" w14:textId="67D6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8029E">
        <w:rPr>
          <w:rFonts w:ascii="Times New Roman" w:eastAsia="Calibri" w:hAnsi="Times New Roman" w:cs="Times New Roman"/>
          <w:b/>
          <w:bCs/>
          <w:sz w:val="24"/>
          <w:szCs w:val="24"/>
        </w:rPr>
        <w:t>BEFORE</w:t>
      </w:r>
    </w:p>
    <w:p w:rsidR="00AD677D" w:rsidRPr="00B8029E" w:rsidP="00152A74" w14:paraId="67B71915" w14:textId="48E2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8029E">
        <w:rPr>
          <w:rFonts w:ascii="Times New Roman" w:eastAsia="Calibri" w:hAnsi="Times New Roman" w:cs="Times New Roman"/>
          <w:b/>
          <w:bCs/>
          <w:sz w:val="24"/>
          <w:szCs w:val="24"/>
        </w:rPr>
        <w:t>THE PUBLIC UTILITIES COMMISSION OF OHIO</w:t>
      </w:r>
    </w:p>
    <w:p w:rsidR="00D20C8D" w:rsidRPr="00B8029E" w:rsidP="00D20C8D" w14:paraId="00D37463" w14:textId="77777777">
      <w:pPr>
        <w:pStyle w:val="HTMLPreformatted"/>
        <w:jc w:val="center"/>
        <w:rPr>
          <w:rFonts w:ascii="Times New Roman" w:hAnsi="Times New Roman" w:cs="Times New Roman"/>
          <w:b/>
          <w:bCs/>
          <w:sz w:val="24"/>
          <w:szCs w:val="24"/>
        </w:rPr>
      </w:pPr>
    </w:p>
    <w:tbl>
      <w:tblPr>
        <w:tblW w:w="8730" w:type="dxa"/>
        <w:tblLook w:val="01E0"/>
      </w:tblPr>
      <w:tblGrid>
        <w:gridCol w:w="4332"/>
        <w:gridCol w:w="360"/>
        <w:gridCol w:w="4038"/>
      </w:tblGrid>
      <w:tr w14:paraId="4C27725D" w14:textId="77777777" w:rsidTr="006D09FB">
        <w:tblPrEx>
          <w:tblW w:w="8730" w:type="dxa"/>
          <w:tblLook w:val="01E0"/>
        </w:tblPrEx>
        <w:trPr>
          <w:trHeight w:val="807"/>
        </w:trPr>
        <w:tc>
          <w:tcPr>
            <w:tcW w:w="4332" w:type="dxa"/>
            <w:shd w:val="clear" w:color="auto" w:fill="auto"/>
          </w:tcPr>
          <w:p w:rsidR="0055060E" w:rsidRPr="00B8029E" w:rsidP="006D09FB" w14:paraId="45DF56A0"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In the Matter of the Application of the Ohio Department of Development for an Order Approving Adjustments to the Universal Service Fund Riders of Jurisdictional Ohio Electric Distribution Utilities.</w:t>
            </w:r>
          </w:p>
        </w:tc>
        <w:tc>
          <w:tcPr>
            <w:tcW w:w="360" w:type="dxa"/>
            <w:shd w:val="clear" w:color="auto" w:fill="auto"/>
          </w:tcPr>
          <w:p w:rsidR="0055060E" w:rsidRPr="00B8029E" w:rsidP="006D09FB" w14:paraId="240B00F5"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55307FC2"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40A21DA1"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26576F66"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03596198"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1701A6EA"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tc>
        <w:tc>
          <w:tcPr>
            <w:tcW w:w="4038" w:type="dxa"/>
            <w:shd w:val="clear" w:color="auto" w:fill="auto"/>
          </w:tcPr>
          <w:p w:rsidR="0055060E" w:rsidRPr="00B8029E" w:rsidP="006D09FB" w14:paraId="356D164E" w14:textId="77777777">
            <w:pPr>
              <w:pStyle w:val="HTMLPreformatted"/>
              <w:rPr>
                <w:rFonts w:ascii="Times New Roman" w:hAnsi="Times New Roman" w:cs="Times New Roman"/>
                <w:sz w:val="24"/>
                <w:szCs w:val="24"/>
              </w:rPr>
            </w:pPr>
          </w:p>
          <w:p w:rsidR="0055060E" w:rsidRPr="00B8029E" w:rsidP="006D09FB" w14:paraId="34FD8A20" w14:textId="77777777">
            <w:pPr>
              <w:pStyle w:val="HTMLPreformatted"/>
              <w:rPr>
                <w:rFonts w:ascii="Times New Roman" w:hAnsi="Times New Roman" w:cs="Times New Roman"/>
                <w:sz w:val="24"/>
                <w:szCs w:val="24"/>
              </w:rPr>
            </w:pPr>
          </w:p>
          <w:p w:rsidR="0055060E" w:rsidRPr="00B8029E" w:rsidP="006D09FB" w14:paraId="7DA8B4A7"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Case No. 22-556-EL-USF</w:t>
            </w:r>
          </w:p>
        </w:tc>
      </w:tr>
    </w:tbl>
    <w:p w:rsidR="00152A74" w:rsidRPr="00B8029E" w:rsidP="000E48AE"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B8029E" w:rsidP="00152A74" w14:paraId="05405E47" w14:textId="77777777">
      <w:pPr>
        <w:autoSpaceDE w:val="0"/>
        <w:autoSpaceDN w:val="0"/>
        <w:adjustRightInd w:val="0"/>
        <w:spacing w:after="0" w:line="240" w:lineRule="auto"/>
        <w:rPr>
          <w:rFonts w:ascii="Times New Roman" w:eastAsia="Calibri" w:hAnsi="Times New Roman" w:cs="Times New Roman"/>
          <w:sz w:val="24"/>
          <w:szCs w:val="24"/>
        </w:rPr>
      </w:pPr>
    </w:p>
    <w:p w:rsidR="00C42A1E" w:rsidRPr="00B8029E" w:rsidP="00C42A1E" w14:paraId="4EE39B9A" w14:textId="19F5A587">
      <w:pPr>
        <w:widowControl w:val="0"/>
        <w:spacing w:after="0" w:line="240" w:lineRule="auto"/>
        <w:jc w:val="center"/>
        <w:rPr>
          <w:rFonts w:ascii="Times New Roman" w:hAnsi="Times New Roman" w:cs="Times New Roman"/>
          <w:b/>
          <w:sz w:val="24"/>
          <w:szCs w:val="24"/>
        </w:rPr>
      </w:pPr>
      <w:r w:rsidRPr="00B8029E">
        <w:rPr>
          <w:rFonts w:ascii="Times New Roman" w:hAnsi="Times New Roman" w:cs="Times New Roman"/>
          <w:b/>
          <w:sz w:val="24"/>
          <w:szCs w:val="24"/>
        </w:rPr>
        <w:t xml:space="preserve">APPLICATION FOR REHEARING </w:t>
      </w:r>
    </w:p>
    <w:p w:rsidR="00C42A1E" w:rsidRPr="00B8029E" w:rsidP="00C42A1E" w14:paraId="0CD53166" w14:textId="77777777">
      <w:pPr>
        <w:widowControl w:val="0"/>
        <w:spacing w:after="0" w:line="240" w:lineRule="auto"/>
        <w:jc w:val="center"/>
        <w:rPr>
          <w:rFonts w:ascii="Times New Roman" w:hAnsi="Times New Roman" w:cs="Times New Roman"/>
          <w:b/>
          <w:sz w:val="24"/>
          <w:szCs w:val="24"/>
        </w:rPr>
      </w:pPr>
      <w:r w:rsidRPr="00B8029E">
        <w:rPr>
          <w:rFonts w:ascii="Times New Roman" w:hAnsi="Times New Roman" w:cs="Times New Roman"/>
          <w:b/>
          <w:sz w:val="24"/>
          <w:szCs w:val="24"/>
        </w:rPr>
        <w:t>BY</w:t>
      </w:r>
    </w:p>
    <w:p w:rsidR="00C42A1E" w:rsidRPr="00B8029E" w:rsidP="00C42A1E" w14:paraId="69D4D059" w14:textId="77777777">
      <w:pPr>
        <w:spacing w:after="0" w:line="240" w:lineRule="auto"/>
        <w:jc w:val="center"/>
        <w:rPr>
          <w:rFonts w:ascii="Times New Roman" w:hAnsi="Times New Roman" w:cs="Times New Roman"/>
          <w:b/>
          <w:sz w:val="24"/>
          <w:szCs w:val="24"/>
        </w:rPr>
      </w:pPr>
      <w:r w:rsidRPr="00B8029E">
        <w:rPr>
          <w:rFonts w:ascii="Times New Roman" w:hAnsi="Times New Roman" w:cs="Times New Roman"/>
          <w:b/>
          <w:sz w:val="24"/>
          <w:szCs w:val="24"/>
        </w:rPr>
        <w:t>OFFICE OF THE OHIO CONSUMERS’ COUNSEL</w:t>
      </w:r>
    </w:p>
    <w:p w:rsidR="00152A74" w:rsidRPr="00B8029E" w:rsidP="007633FA" w14:paraId="6EA3305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0E48AE" w:rsidRPr="00B8029E" w:rsidP="000E48AE" w14:paraId="6CC4ED9C" w14:textId="77777777">
      <w:pPr>
        <w:kinsoku w:val="0"/>
        <w:overflowPunct w:val="0"/>
        <w:autoSpaceDE w:val="0"/>
        <w:autoSpaceDN w:val="0"/>
        <w:adjustRightInd w:val="0"/>
        <w:spacing w:after="0" w:line="240" w:lineRule="auto"/>
        <w:ind w:firstLine="720"/>
        <w:rPr>
          <w:rFonts w:ascii="Times New Roman" w:hAnsi="Times New Roman" w:cs="Times New Roman"/>
          <w:sz w:val="24"/>
          <w:szCs w:val="24"/>
        </w:rPr>
      </w:pPr>
    </w:p>
    <w:p w:rsidR="00DA211A" w:rsidRPr="00B8029E" w:rsidP="00897E6F" w14:paraId="6DAF95D6" w14:textId="37105132">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The PUCO</w:t>
      </w:r>
      <w:r w:rsidRPr="00B8029E" w:rsidR="00CD3D6D">
        <w:rPr>
          <w:rFonts w:ascii="Times New Roman" w:hAnsi="Times New Roman" w:cs="Times New Roman"/>
          <w:sz w:val="24"/>
          <w:szCs w:val="24"/>
        </w:rPr>
        <w:t xml:space="preserve">’s </w:t>
      </w:r>
      <w:r w:rsidRPr="00B8029E" w:rsidR="00935361">
        <w:rPr>
          <w:rFonts w:ascii="Times New Roman" w:hAnsi="Times New Roman" w:cs="Times New Roman"/>
          <w:sz w:val="24"/>
          <w:szCs w:val="24"/>
        </w:rPr>
        <w:t xml:space="preserve">Opinion </w:t>
      </w:r>
      <w:r w:rsidRPr="00B8029E" w:rsidR="00421452">
        <w:rPr>
          <w:rFonts w:ascii="Times New Roman" w:hAnsi="Times New Roman" w:cs="Times New Roman"/>
          <w:sz w:val="24"/>
          <w:szCs w:val="24"/>
        </w:rPr>
        <w:t>and Order</w:t>
      </w:r>
      <w:r>
        <w:rPr>
          <w:rStyle w:val="FootnoteReference"/>
          <w:rFonts w:ascii="Times New Roman" w:hAnsi="Times New Roman" w:cs="Times New Roman"/>
          <w:sz w:val="24"/>
          <w:szCs w:val="24"/>
        </w:rPr>
        <w:footnoteReference w:id="3"/>
      </w:r>
      <w:r w:rsidRPr="00B8029E" w:rsidR="00CD3D6D">
        <w:rPr>
          <w:rFonts w:ascii="Times New Roman" w:hAnsi="Times New Roman" w:cs="Times New Roman"/>
          <w:sz w:val="24"/>
          <w:szCs w:val="24"/>
        </w:rPr>
        <w:t xml:space="preserve"> </w:t>
      </w:r>
      <w:r w:rsidRPr="00B8029E" w:rsidR="002341D4">
        <w:rPr>
          <w:rFonts w:ascii="Times New Roman" w:hAnsi="Times New Roman" w:cs="Times New Roman"/>
          <w:sz w:val="24"/>
          <w:szCs w:val="24"/>
        </w:rPr>
        <w:t xml:space="preserve">accepting </w:t>
      </w:r>
      <w:r w:rsidRPr="00B8029E" w:rsidR="00B06C02">
        <w:rPr>
          <w:rFonts w:ascii="Times New Roman" w:hAnsi="Times New Roman" w:cs="Times New Roman"/>
          <w:sz w:val="24"/>
          <w:szCs w:val="24"/>
        </w:rPr>
        <w:t>the Settlement</w:t>
      </w:r>
      <w:r>
        <w:rPr>
          <w:rStyle w:val="FootnoteReference"/>
          <w:rFonts w:ascii="Times New Roman" w:hAnsi="Times New Roman" w:cs="Times New Roman"/>
          <w:sz w:val="24"/>
          <w:szCs w:val="24"/>
        </w:rPr>
        <w:footnoteReference w:id="4"/>
      </w:r>
      <w:r w:rsidRPr="00B8029E" w:rsidR="00B06C02">
        <w:rPr>
          <w:rFonts w:ascii="Times New Roman" w:hAnsi="Times New Roman" w:cs="Times New Roman"/>
          <w:sz w:val="24"/>
          <w:szCs w:val="24"/>
        </w:rPr>
        <w:t xml:space="preserve"> </w:t>
      </w:r>
      <w:r w:rsidRPr="00B8029E" w:rsidR="00DE2935">
        <w:rPr>
          <w:rFonts w:ascii="Times New Roman" w:hAnsi="Times New Roman" w:cs="Times New Roman"/>
          <w:sz w:val="24"/>
          <w:szCs w:val="24"/>
        </w:rPr>
        <w:t>on the Universal Service Fund (</w:t>
      </w:r>
      <w:r w:rsidR="009371C6">
        <w:rPr>
          <w:rFonts w:ascii="Times New Roman" w:hAnsi="Times New Roman" w:cs="Times New Roman"/>
          <w:sz w:val="24"/>
          <w:szCs w:val="24"/>
        </w:rPr>
        <w:t>“</w:t>
      </w:r>
      <w:r w:rsidRPr="00B8029E" w:rsidR="00DE2935">
        <w:rPr>
          <w:rFonts w:ascii="Times New Roman" w:hAnsi="Times New Roman" w:cs="Times New Roman"/>
          <w:sz w:val="24"/>
          <w:szCs w:val="24"/>
        </w:rPr>
        <w:t>USF</w:t>
      </w:r>
      <w:r w:rsidR="009371C6">
        <w:rPr>
          <w:rFonts w:ascii="Times New Roman" w:hAnsi="Times New Roman" w:cs="Times New Roman"/>
          <w:sz w:val="24"/>
          <w:szCs w:val="24"/>
        </w:rPr>
        <w:t>”</w:t>
      </w:r>
      <w:r w:rsidRPr="00B8029E" w:rsidR="00DE2935">
        <w:rPr>
          <w:rFonts w:ascii="Times New Roman" w:hAnsi="Times New Roman" w:cs="Times New Roman"/>
          <w:sz w:val="24"/>
          <w:szCs w:val="24"/>
        </w:rPr>
        <w:t>) rider rates of jurisdictional Ohio electric distribution utilities</w:t>
      </w:r>
      <w:r w:rsidRPr="00B8029E" w:rsidR="002341D4">
        <w:rPr>
          <w:rFonts w:ascii="Times New Roman" w:hAnsi="Times New Roman" w:cs="Times New Roman"/>
          <w:sz w:val="24"/>
          <w:szCs w:val="24"/>
        </w:rPr>
        <w:t xml:space="preserve"> </w:t>
      </w:r>
      <w:r w:rsidRPr="00B8029E" w:rsidR="00515009">
        <w:rPr>
          <w:rFonts w:ascii="Times New Roman" w:hAnsi="Times New Roman" w:cs="Times New Roman"/>
          <w:sz w:val="24"/>
          <w:szCs w:val="24"/>
        </w:rPr>
        <w:t>fails consumers</w:t>
      </w:r>
      <w:r w:rsidRPr="00B8029E" w:rsidR="00FA6EBD">
        <w:rPr>
          <w:rFonts w:ascii="Times New Roman" w:hAnsi="Times New Roman" w:cs="Times New Roman"/>
          <w:sz w:val="24"/>
          <w:szCs w:val="24"/>
        </w:rPr>
        <w:t>.</w:t>
      </w:r>
      <w:r w:rsidRPr="00B8029E" w:rsidR="00515009">
        <w:rPr>
          <w:rFonts w:ascii="Times New Roman" w:hAnsi="Times New Roman" w:cs="Times New Roman"/>
          <w:sz w:val="24"/>
          <w:szCs w:val="24"/>
        </w:rPr>
        <w:t xml:space="preserve"> </w:t>
      </w:r>
      <w:r w:rsidRPr="00B8029E" w:rsidR="00FA6EBD">
        <w:rPr>
          <w:rFonts w:ascii="Times New Roman" w:hAnsi="Times New Roman" w:cs="Times New Roman"/>
          <w:sz w:val="24"/>
          <w:szCs w:val="24"/>
        </w:rPr>
        <w:t xml:space="preserve">It allows at-risk PIPP consumers, the most vulnerable Ohioans, to be charged electricity prices that are higher than the standard service offer charged to other consumers served by each of Ohio’s electric distribution utilities. And increases charges to all residential consumers. R.C. 4928.542 prohibits exactly that. </w:t>
      </w:r>
    </w:p>
    <w:p w:rsidR="002B5E0F" w:rsidRPr="00B8029E" w:rsidP="002B5E0F" w14:paraId="6D78184E" w14:textId="77777777">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The PUCO erred in adopting a Settlement that is contrary to Ohio law. The staggering increases in the USF Rider rates are unjust and unreasonable in violation of R.C. 4905.22. The Settlement violates Ohio’s policy in R.C. 4928.02(A) for reasonably priced electric service to consumers. The Settlement fails Ohio’s policy law that the state must protect at-risk consumers, per R.C. 4928.02(L). </w:t>
      </w:r>
    </w:p>
    <w:p w:rsidR="00B10F10" w:rsidRPr="00B8029E" w:rsidP="00897E6F" w14:paraId="5538C69D" w14:textId="7C0E2318">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The Order is also unreasonable because it does not address going forward th</w:t>
      </w:r>
      <w:r w:rsidRPr="00B8029E" w:rsidR="001E1B32">
        <w:rPr>
          <w:rFonts w:ascii="Times New Roman" w:hAnsi="Times New Roman" w:cs="Times New Roman"/>
          <w:sz w:val="24"/>
          <w:szCs w:val="24"/>
        </w:rPr>
        <w:t>e</w:t>
      </w:r>
      <w:r w:rsidRPr="00B8029E">
        <w:rPr>
          <w:rFonts w:ascii="Times New Roman" w:hAnsi="Times New Roman" w:cs="Times New Roman"/>
          <w:sz w:val="24"/>
          <w:szCs w:val="24"/>
        </w:rPr>
        <w:t xml:space="preserve"> untenable situation surrounding the Universal Service Fund</w:t>
      </w:r>
      <w:r w:rsidRPr="00B8029E" w:rsidR="00973C32">
        <w:rPr>
          <w:rFonts w:ascii="Times New Roman" w:hAnsi="Times New Roman" w:cs="Times New Roman"/>
          <w:sz w:val="24"/>
          <w:szCs w:val="24"/>
        </w:rPr>
        <w:t xml:space="preserve"> and in effect, “kicks the can down the road.” </w:t>
      </w:r>
      <w:r w:rsidRPr="00B8029E" w:rsidR="00DA211A">
        <w:rPr>
          <w:rFonts w:ascii="Times New Roman" w:hAnsi="Times New Roman" w:cs="Times New Roman"/>
          <w:sz w:val="24"/>
          <w:szCs w:val="24"/>
        </w:rPr>
        <w:t>No mechanism is proposed to prevent the same scenario in May 2023 (</w:t>
      </w:r>
      <w:r w:rsidRPr="00B8029E" w:rsidR="001E1B32">
        <w:rPr>
          <w:rFonts w:ascii="Times New Roman" w:hAnsi="Times New Roman" w:cs="Times New Roman"/>
          <w:sz w:val="24"/>
          <w:szCs w:val="24"/>
        </w:rPr>
        <w:t xml:space="preserve">which is </w:t>
      </w:r>
      <w:r w:rsidRPr="00B8029E" w:rsidR="00DA211A">
        <w:rPr>
          <w:rFonts w:ascii="Times New Roman" w:hAnsi="Times New Roman" w:cs="Times New Roman"/>
          <w:sz w:val="24"/>
          <w:szCs w:val="24"/>
        </w:rPr>
        <w:t xml:space="preserve">the next USF filing) </w:t>
      </w:r>
      <w:r w:rsidRPr="00B8029E" w:rsidR="007675E4">
        <w:rPr>
          <w:rFonts w:ascii="Times New Roman" w:hAnsi="Times New Roman" w:cs="Times New Roman"/>
          <w:sz w:val="24"/>
          <w:szCs w:val="24"/>
        </w:rPr>
        <w:t xml:space="preserve">or any future year </w:t>
      </w:r>
      <w:r w:rsidRPr="00B8029E" w:rsidR="00DA211A">
        <w:rPr>
          <w:rFonts w:ascii="Times New Roman" w:hAnsi="Times New Roman" w:cs="Times New Roman"/>
          <w:sz w:val="24"/>
          <w:szCs w:val="24"/>
        </w:rPr>
        <w:t xml:space="preserve">as occurred this year. </w:t>
      </w:r>
      <w:r w:rsidRPr="00B8029E" w:rsidR="002C0383">
        <w:rPr>
          <w:rFonts w:ascii="Times New Roman" w:hAnsi="Times New Roman" w:cs="Times New Roman"/>
          <w:sz w:val="24"/>
          <w:szCs w:val="24"/>
        </w:rPr>
        <w:t xml:space="preserve">The </w:t>
      </w:r>
      <w:r w:rsidRPr="00B8029E" w:rsidR="00935361">
        <w:rPr>
          <w:rFonts w:ascii="Times New Roman" w:hAnsi="Times New Roman" w:cs="Times New Roman"/>
          <w:sz w:val="24"/>
          <w:szCs w:val="24"/>
        </w:rPr>
        <w:t xml:space="preserve">Opinion </w:t>
      </w:r>
      <w:r w:rsidRPr="00B8029E" w:rsidR="002C0383">
        <w:rPr>
          <w:rFonts w:ascii="Times New Roman" w:hAnsi="Times New Roman" w:cs="Times New Roman"/>
          <w:sz w:val="24"/>
          <w:szCs w:val="24"/>
        </w:rPr>
        <w:t>and Order</w:t>
      </w:r>
      <w:r w:rsidRPr="00B8029E" w:rsidR="00CC6A3B">
        <w:rPr>
          <w:rFonts w:ascii="Times New Roman" w:hAnsi="Times New Roman" w:cs="Times New Roman"/>
          <w:sz w:val="24"/>
          <w:szCs w:val="24"/>
        </w:rPr>
        <w:t xml:space="preserve"> </w:t>
      </w:r>
      <w:r w:rsidRPr="00B8029E" w:rsidR="007675E4">
        <w:rPr>
          <w:rFonts w:ascii="Times New Roman" w:hAnsi="Times New Roman" w:cs="Times New Roman"/>
          <w:sz w:val="24"/>
          <w:szCs w:val="24"/>
        </w:rPr>
        <w:t xml:space="preserve">is contrary to state policy and is an energy injustice. </w:t>
      </w:r>
    </w:p>
    <w:p w:rsidR="00403913" w:rsidRPr="00B8029E" w:rsidP="00403913" w14:paraId="2285826C" w14:textId="1DDF38B1">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Accordingly, under R.C. 4903.10, OCC applies for rehearing of the </w:t>
      </w:r>
      <w:r w:rsidRPr="00B8029E" w:rsidR="00D80419">
        <w:rPr>
          <w:rFonts w:ascii="Times New Roman" w:hAnsi="Times New Roman" w:cs="Times New Roman"/>
          <w:sz w:val="24"/>
          <w:szCs w:val="24"/>
        </w:rPr>
        <w:t>PUCO’s December 14, 2022</w:t>
      </w:r>
      <w:r w:rsidRPr="00B8029E" w:rsidR="000C1234">
        <w:rPr>
          <w:rFonts w:ascii="Times New Roman" w:hAnsi="Times New Roman" w:cs="Times New Roman"/>
          <w:sz w:val="24"/>
          <w:szCs w:val="24"/>
        </w:rPr>
        <w:t xml:space="preserve"> </w:t>
      </w:r>
      <w:r w:rsidRPr="00B8029E" w:rsidR="001D0116">
        <w:rPr>
          <w:rFonts w:ascii="Times New Roman" w:hAnsi="Times New Roman" w:cs="Times New Roman"/>
          <w:sz w:val="24"/>
          <w:szCs w:val="24"/>
        </w:rPr>
        <w:t>Opinion and</w:t>
      </w:r>
      <w:r w:rsidRPr="00B8029E">
        <w:rPr>
          <w:rFonts w:ascii="Times New Roman" w:hAnsi="Times New Roman" w:cs="Times New Roman"/>
          <w:sz w:val="24"/>
          <w:szCs w:val="24"/>
        </w:rPr>
        <w:t xml:space="preserve"> Order</w:t>
      </w:r>
      <w:r w:rsidRPr="00B8029E" w:rsidR="004E5118">
        <w:rPr>
          <w:rFonts w:ascii="Times New Roman" w:hAnsi="Times New Roman" w:cs="Times New Roman"/>
          <w:sz w:val="24"/>
          <w:szCs w:val="24"/>
        </w:rPr>
        <w:t xml:space="preserve">, which </w:t>
      </w:r>
      <w:r w:rsidRPr="00B8029E">
        <w:rPr>
          <w:rFonts w:ascii="Times New Roman" w:hAnsi="Times New Roman" w:cs="Times New Roman"/>
          <w:sz w:val="24"/>
          <w:szCs w:val="24"/>
        </w:rPr>
        <w:t xml:space="preserve">was </w:t>
      </w:r>
      <w:r w:rsidRPr="00B8029E" w:rsidR="00177147">
        <w:rPr>
          <w:rFonts w:ascii="Times New Roman" w:hAnsi="Times New Roman" w:cs="Times New Roman"/>
          <w:sz w:val="24"/>
          <w:szCs w:val="24"/>
        </w:rPr>
        <w:t>un</w:t>
      </w:r>
      <w:r w:rsidRPr="00B8029E" w:rsidR="00D80419">
        <w:rPr>
          <w:rFonts w:ascii="Times New Roman" w:hAnsi="Times New Roman" w:cs="Times New Roman"/>
          <w:sz w:val="24"/>
          <w:szCs w:val="24"/>
        </w:rPr>
        <w:t xml:space="preserve">lawful and </w:t>
      </w:r>
      <w:r w:rsidRPr="00B8029E" w:rsidR="00DC2BE6">
        <w:rPr>
          <w:rFonts w:ascii="Times New Roman" w:hAnsi="Times New Roman" w:cs="Times New Roman"/>
          <w:sz w:val="24"/>
          <w:szCs w:val="24"/>
        </w:rPr>
        <w:t>un</w:t>
      </w:r>
      <w:r w:rsidRPr="00B8029E" w:rsidR="00177147">
        <w:rPr>
          <w:rFonts w:ascii="Times New Roman" w:hAnsi="Times New Roman" w:cs="Times New Roman"/>
          <w:sz w:val="24"/>
          <w:szCs w:val="24"/>
        </w:rPr>
        <w:t xml:space="preserve">reasonable </w:t>
      </w:r>
      <w:r w:rsidRPr="00B8029E">
        <w:rPr>
          <w:rFonts w:ascii="Times New Roman" w:hAnsi="Times New Roman" w:cs="Times New Roman"/>
          <w:sz w:val="24"/>
          <w:szCs w:val="24"/>
        </w:rPr>
        <w:t xml:space="preserve">in the following respects: </w:t>
      </w:r>
    </w:p>
    <w:p w:rsidR="00A27F65" w:rsidRPr="00B8029E" w:rsidP="00D9398D" w14:paraId="0CC82E91" w14:textId="316F9CB4">
      <w:pPr>
        <w:widowControl w:val="0"/>
        <w:spacing w:after="0" w:line="240" w:lineRule="auto"/>
        <w:ind w:left="720"/>
        <w:rPr>
          <w:rFonts w:ascii="Times New Roman" w:hAnsi="Times New Roman" w:cs="Times New Roman"/>
          <w:sz w:val="24"/>
          <w:szCs w:val="24"/>
        </w:rPr>
      </w:pPr>
      <w:bookmarkStart w:id="0" w:name="_Hlk98511697"/>
      <w:bookmarkStart w:id="1" w:name="_Hlk124172121"/>
      <w:bookmarkStart w:id="2" w:name="_Hlk118468753"/>
      <w:r w:rsidRPr="00B8029E">
        <w:rPr>
          <w:rFonts w:ascii="Times New Roman" w:hAnsi="Times New Roman" w:cs="Times New Roman"/>
          <w:sz w:val="24"/>
          <w:szCs w:val="24"/>
        </w:rPr>
        <w:t xml:space="preserve">ASSIGNMENT OF ERROR NO. 1: </w:t>
      </w:r>
      <w:r w:rsidRPr="00B8029E" w:rsidR="00160015">
        <w:rPr>
          <w:rFonts w:ascii="Times New Roman" w:hAnsi="Times New Roman" w:cs="Times New Roman"/>
          <w:sz w:val="24"/>
          <w:szCs w:val="24"/>
        </w:rPr>
        <w:t xml:space="preserve">The PUCO erred </w:t>
      </w:r>
      <w:r w:rsidRPr="00B8029E" w:rsidR="004427DD">
        <w:rPr>
          <w:rFonts w:ascii="Times New Roman" w:hAnsi="Times New Roman" w:cs="Times New Roman"/>
          <w:sz w:val="24"/>
          <w:szCs w:val="24"/>
        </w:rPr>
        <w:t xml:space="preserve">because it did not address </w:t>
      </w:r>
      <w:r w:rsidRPr="00B8029E" w:rsidR="00F379AA">
        <w:rPr>
          <w:rFonts w:ascii="Times New Roman" w:hAnsi="Times New Roman" w:cs="Times New Roman"/>
          <w:sz w:val="24"/>
          <w:szCs w:val="24"/>
        </w:rPr>
        <w:t>that</w:t>
      </w:r>
      <w:r w:rsidRPr="00B8029E" w:rsidR="004427DD">
        <w:rPr>
          <w:rFonts w:ascii="Times New Roman" w:hAnsi="Times New Roman" w:cs="Times New Roman"/>
          <w:sz w:val="24"/>
          <w:szCs w:val="24"/>
        </w:rPr>
        <w:t xml:space="preserve"> the proposed increases in the Universal Service Fund rider rates are unjust and unreasonable </w:t>
      </w:r>
      <w:r w:rsidRPr="00B8029E" w:rsidR="00B06C02">
        <w:rPr>
          <w:rFonts w:ascii="Times New Roman" w:hAnsi="Times New Roman" w:cs="Times New Roman"/>
          <w:sz w:val="24"/>
          <w:szCs w:val="24"/>
        </w:rPr>
        <w:t>in violation</w:t>
      </w:r>
      <w:r w:rsidRPr="00B8029E" w:rsidR="004427DD">
        <w:rPr>
          <w:rFonts w:ascii="Times New Roman" w:hAnsi="Times New Roman" w:cs="Times New Roman"/>
          <w:sz w:val="24"/>
          <w:szCs w:val="24"/>
        </w:rPr>
        <w:t xml:space="preserve"> of</w:t>
      </w:r>
      <w:r w:rsidRPr="00B8029E" w:rsidR="00160015">
        <w:rPr>
          <w:rFonts w:ascii="Times New Roman" w:hAnsi="Times New Roman" w:cs="Times New Roman"/>
          <w:sz w:val="24"/>
          <w:szCs w:val="24"/>
        </w:rPr>
        <w:t xml:space="preserve"> R.C. 4905.22 </w:t>
      </w:r>
      <w:r w:rsidRPr="00B8029E" w:rsidR="00C51608">
        <w:rPr>
          <w:rFonts w:ascii="Times New Roman" w:hAnsi="Times New Roman" w:cs="Times New Roman"/>
          <w:color w:val="333333"/>
          <w:sz w:val="24"/>
          <w:szCs w:val="24"/>
        </w:rPr>
        <w:t xml:space="preserve">and </w:t>
      </w:r>
      <w:r w:rsidRPr="00B8029E" w:rsidR="004427DD">
        <w:rPr>
          <w:rFonts w:ascii="Times New Roman" w:hAnsi="Times New Roman" w:cs="Times New Roman"/>
          <w:color w:val="333333"/>
          <w:sz w:val="24"/>
          <w:szCs w:val="24"/>
        </w:rPr>
        <w:t xml:space="preserve">fails to protect at-risk consumers in violation of </w:t>
      </w:r>
      <w:r w:rsidRPr="00B8029E" w:rsidR="00C51608">
        <w:rPr>
          <w:rFonts w:ascii="Times New Roman" w:hAnsi="Times New Roman" w:cs="Times New Roman"/>
          <w:color w:val="333333"/>
          <w:sz w:val="24"/>
          <w:szCs w:val="24"/>
        </w:rPr>
        <w:t>R.C. 4928.02(L)</w:t>
      </w:r>
      <w:r w:rsidRPr="00B8029E" w:rsidR="00160015">
        <w:rPr>
          <w:rFonts w:ascii="Times New Roman" w:hAnsi="Times New Roman" w:cs="Times New Roman"/>
          <w:sz w:val="24"/>
          <w:szCs w:val="24"/>
        </w:rPr>
        <w:t xml:space="preserve"> and rates charged to PIPP consumers in excess of the rates charged to utilities’ standard service offer consumers </w:t>
      </w:r>
      <w:r w:rsidRPr="00B8029E" w:rsidR="00794798">
        <w:rPr>
          <w:rFonts w:ascii="Times New Roman" w:hAnsi="Times New Roman" w:cs="Times New Roman"/>
          <w:sz w:val="24"/>
          <w:szCs w:val="24"/>
        </w:rPr>
        <w:t xml:space="preserve">in </w:t>
      </w:r>
      <w:r w:rsidRPr="00B8029E" w:rsidR="00160015">
        <w:rPr>
          <w:rFonts w:ascii="Times New Roman" w:hAnsi="Times New Roman" w:cs="Times New Roman"/>
          <w:sz w:val="24"/>
          <w:szCs w:val="24"/>
        </w:rPr>
        <w:t>violat</w:t>
      </w:r>
      <w:r w:rsidRPr="00B8029E" w:rsidR="00794798">
        <w:rPr>
          <w:rFonts w:ascii="Times New Roman" w:hAnsi="Times New Roman" w:cs="Times New Roman"/>
          <w:sz w:val="24"/>
          <w:szCs w:val="24"/>
        </w:rPr>
        <w:t>ion of</w:t>
      </w:r>
      <w:r w:rsidRPr="00B8029E" w:rsidR="00160015">
        <w:rPr>
          <w:rFonts w:ascii="Times New Roman" w:hAnsi="Times New Roman" w:cs="Times New Roman"/>
          <w:sz w:val="24"/>
          <w:szCs w:val="24"/>
        </w:rPr>
        <w:t xml:space="preserve"> R.C. 4928.542.</w:t>
      </w:r>
    </w:p>
    <w:p w:rsidR="00DA211A" w:rsidRPr="00B8029E" w:rsidP="00D9398D" w14:paraId="63710D27" w14:textId="03127BF2">
      <w:pPr>
        <w:widowControl w:val="0"/>
        <w:spacing w:after="0" w:line="240" w:lineRule="auto"/>
        <w:ind w:left="720"/>
        <w:rPr>
          <w:rFonts w:ascii="Times New Roman" w:hAnsi="Times New Roman" w:cs="Times New Roman"/>
          <w:sz w:val="24"/>
          <w:szCs w:val="24"/>
        </w:rPr>
      </w:pPr>
    </w:p>
    <w:p w:rsidR="00DA211A" w:rsidRPr="00B8029E" w:rsidP="00D9398D" w14:paraId="7729A02B" w14:textId="497DBD9B">
      <w:pPr>
        <w:widowControl w:val="0"/>
        <w:spacing w:after="0" w:line="240" w:lineRule="auto"/>
        <w:ind w:left="720"/>
        <w:rPr>
          <w:rFonts w:ascii="Times New Roman" w:hAnsi="Times New Roman" w:cs="Times New Roman"/>
          <w:b/>
          <w:bCs/>
          <w:color w:val="000000" w:themeColor="text1"/>
          <w:sz w:val="24"/>
          <w:szCs w:val="24"/>
        </w:rPr>
      </w:pPr>
      <w:r w:rsidRPr="00B8029E">
        <w:rPr>
          <w:rFonts w:ascii="Times New Roman" w:hAnsi="Times New Roman" w:cs="Times New Roman"/>
          <w:sz w:val="24"/>
          <w:szCs w:val="24"/>
        </w:rPr>
        <w:t xml:space="preserve">ASSIGNMENT OF ERROR NO. 2: </w:t>
      </w:r>
      <w:r w:rsidRPr="00B8029E" w:rsidR="000554B5">
        <w:rPr>
          <w:rFonts w:ascii="Times New Roman" w:hAnsi="Times New Roman" w:cs="Times New Roman"/>
          <w:sz w:val="24"/>
          <w:szCs w:val="24"/>
        </w:rPr>
        <w:t>The PUCO erred by unreasonably adopting a Settlement that does not benefit consumers and the public interest because higher PIPP generation charges harms PIPP customers as well as all Ohio electric consumers</w:t>
      </w:r>
      <w:r w:rsidRPr="00B8029E" w:rsidR="00794798">
        <w:rPr>
          <w:rFonts w:ascii="Times New Roman" w:hAnsi="Times New Roman" w:cs="Times New Roman"/>
          <w:sz w:val="24"/>
          <w:szCs w:val="24"/>
        </w:rPr>
        <w:t xml:space="preserve"> who pay the Universal Service Rider</w:t>
      </w:r>
      <w:r w:rsidRPr="00B8029E" w:rsidR="000554B5">
        <w:rPr>
          <w:rFonts w:ascii="Times New Roman" w:hAnsi="Times New Roman" w:cs="Times New Roman"/>
          <w:sz w:val="24"/>
          <w:szCs w:val="24"/>
        </w:rPr>
        <w:t xml:space="preserve">. </w:t>
      </w:r>
    </w:p>
    <w:p w:rsidR="00D9398D" w:rsidRPr="00B8029E" w:rsidP="00D9398D" w14:paraId="3B9854F6" w14:textId="77777777">
      <w:pPr>
        <w:widowControl w:val="0"/>
        <w:spacing w:after="0" w:line="240" w:lineRule="auto"/>
        <w:ind w:left="720"/>
        <w:rPr>
          <w:rFonts w:ascii="Times New Roman" w:hAnsi="Times New Roman" w:cs="Times New Roman"/>
          <w:b/>
          <w:bCs/>
          <w:color w:val="000000" w:themeColor="text1"/>
          <w:sz w:val="24"/>
          <w:szCs w:val="24"/>
        </w:rPr>
      </w:pPr>
    </w:p>
    <w:bookmarkEnd w:id="0"/>
    <w:p w:rsidR="000C6247" w:rsidRPr="00B8029E" w:rsidP="000C6247" w14:paraId="2A0C8A88" w14:textId="2E0247A8">
      <w:pPr>
        <w:widowControl w:val="0"/>
        <w:spacing w:after="0" w:line="240" w:lineRule="auto"/>
        <w:ind w:left="720"/>
        <w:rPr>
          <w:rFonts w:ascii="Times New Roman" w:hAnsi="Times New Roman" w:cs="Times New Roman"/>
          <w:sz w:val="24"/>
          <w:szCs w:val="24"/>
        </w:rPr>
      </w:pPr>
      <w:r w:rsidRPr="00B8029E">
        <w:rPr>
          <w:rFonts w:ascii="Times New Roman" w:hAnsi="Times New Roman" w:cs="Times New Roman"/>
          <w:sz w:val="24"/>
          <w:szCs w:val="24"/>
        </w:rPr>
        <w:t xml:space="preserve">ASSIGNMENT OF ERROR NO. </w:t>
      </w:r>
      <w:r w:rsidRPr="00B8029E" w:rsidR="00DA211A">
        <w:rPr>
          <w:rFonts w:ascii="Times New Roman" w:hAnsi="Times New Roman" w:cs="Times New Roman"/>
          <w:sz w:val="24"/>
          <w:szCs w:val="24"/>
        </w:rPr>
        <w:t>3</w:t>
      </w:r>
      <w:r w:rsidRPr="00B8029E">
        <w:rPr>
          <w:rFonts w:ascii="Times New Roman" w:hAnsi="Times New Roman" w:cs="Times New Roman"/>
          <w:sz w:val="24"/>
          <w:szCs w:val="24"/>
        </w:rPr>
        <w:t xml:space="preserve">: The PUCO erred by unreasonably </w:t>
      </w:r>
      <w:r w:rsidRPr="00B8029E" w:rsidR="00B254A7">
        <w:rPr>
          <w:rFonts w:ascii="Times New Roman" w:hAnsi="Times New Roman" w:cs="Times New Roman"/>
          <w:sz w:val="24"/>
          <w:szCs w:val="24"/>
        </w:rPr>
        <w:t xml:space="preserve">declining to address </w:t>
      </w:r>
      <w:r w:rsidRPr="00B8029E" w:rsidR="00A51EBC">
        <w:rPr>
          <w:rFonts w:ascii="Times New Roman" w:hAnsi="Times New Roman" w:cs="Times New Roman"/>
          <w:sz w:val="24"/>
          <w:szCs w:val="24"/>
        </w:rPr>
        <w:t xml:space="preserve">and remedy </w:t>
      </w:r>
      <w:r w:rsidRPr="00B8029E" w:rsidR="00B254A7">
        <w:rPr>
          <w:rFonts w:ascii="Times New Roman" w:hAnsi="Times New Roman" w:cs="Times New Roman"/>
          <w:sz w:val="24"/>
          <w:szCs w:val="24"/>
        </w:rPr>
        <w:t>th</w:t>
      </w:r>
      <w:r w:rsidRPr="00B8029E" w:rsidR="00DA211A">
        <w:rPr>
          <w:rFonts w:ascii="Times New Roman" w:hAnsi="Times New Roman" w:cs="Times New Roman"/>
          <w:sz w:val="24"/>
          <w:szCs w:val="24"/>
        </w:rPr>
        <w:t>e</w:t>
      </w:r>
      <w:r w:rsidRPr="00B8029E" w:rsidR="00B254A7">
        <w:rPr>
          <w:rFonts w:ascii="Times New Roman" w:hAnsi="Times New Roman" w:cs="Times New Roman"/>
          <w:sz w:val="24"/>
          <w:szCs w:val="24"/>
        </w:rPr>
        <w:t xml:space="preserve"> untenable situation </w:t>
      </w:r>
      <w:r w:rsidRPr="00B8029E" w:rsidR="000554B5">
        <w:rPr>
          <w:rFonts w:ascii="Times New Roman" w:hAnsi="Times New Roman" w:cs="Times New Roman"/>
          <w:sz w:val="24"/>
          <w:szCs w:val="24"/>
        </w:rPr>
        <w:t xml:space="preserve">resulting </w:t>
      </w:r>
      <w:r w:rsidRPr="00B8029E" w:rsidR="00DA211A">
        <w:rPr>
          <w:rFonts w:ascii="Times New Roman" w:hAnsi="Times New Roman" w:cs="Times New Roman"/>
          <w:sz w:val="24"/>
          <w:szCs w:val="24"/>
        </w:rPr>
        <w:t xml:space="preserve">from </w:t>
      </w:r>
      <w:r w:rsidRPr="00B8029E" w:rsidR="00B254A7">
        <w:rPr>
          <w:rFonts w:ascii="Times New Roman" w:hAnsi="Times New Roman" w:cs="Times New Roman"/>
          <w:sz w:val="24"/>
          <w:szCs w:val="24"/>
        </w:rPr>
        <w:t>this year’s U</w:t>
      </w:r>
      <w:r w:rsidRPr="00B8029E" w:rsidR="00794798">
        <w:rPr>
          <w:rFonts w:ascii="Times New Roman" w:hAnsi="Times New Roman" w:cs="Times New Roman"/>
          <w:sz w:val="24"/>
          <w:szCs w:val="24"/>
        </w:rPr>
        <w:t xml:space="preserve">niversal </w:t>
      </w:r>
      <w:r w:rsidRPr="00B8029E" w:rsidR="00B254A7">
        <w:rPr>
          <w:rFonts w:ascii="Times New Roman" w:hAnsi="Times New Roman" w:cs="Times New Roman"/>
          <w:sz w:val="24"/>
          <w:szCs w:val="24"/>
        </w:rPr>
        <w:t>S</w:t>
      </w:r>
      <w:r w:rsidRPr="00B8029E" w:rsidR="00794798">
        <w:rPr>
          <w:rFonts w:ascii="Times New Roman" w:hAnsi="Times New Roman" w:cs="Times New Roman"/>
          <w:sz w:val="24"/>
          <w:szCs w:val="24"/>
        </w:rPr>
        <w:t xml:space="preserve">ervice </w:t>
      </w:r>
      <w:r w:rsidRPr="00B8029E" w:rsidR="00B254A7">
        <w:rPr>
          <w:rFonts w:ascii="Times New Roman" w:hAnsi="Times New Roman" w:cs="Times New Roman"/>
          <w:sz w:val="24"/>
          <w:szCs w:val="24"/>
        </w:rPr>
        <w:t>F</w:t>
      </w:r>
      <w:r w:rsidRPr="00B8029E" w:rsidR="00794798">
        <w:rPr>
          <w:rFonts w:ascii="Times New Roman" w:hAnsi="Times New Roman" w:cs="Times New Roman"/>
          <w:sz w:val="24"/>
          <w:szCs w:val="24"/>
        </w:rPr>
        <w:t>und</w:t>
      </w:r>
      <w:r w:rsidRPr="00B8029E" w:rsidR="00B254A7">
        <w:rPr>
          <w:rFonts w:ascii="Times New Roman" w:hAnsi="Times New Roman" w:cs="Times New Roman"/>
          <w:sz w:val="24"/>
          <w:szCs w:val="24"/>
        </w:rPr>
        <w:t xml:space="preserve"> proceeding, harming consumers by this inaction.</w:t>
      </w:r>
      <w:r w:rsidRPr="00B8029E" w:rsidR="00CF4611">
        <w:rPr>
          <w:rFonts w:ascii="Times New Roman" w:hAnsi="Times New Roman" w:cs="Times New Roman"/>
          <w:sz w:val="24"/>
          <w:szCs w:val="24"/>
        </w:rPr>
        <w:t xml:space="preserve"> </w:t>
      </w:r>
    </w:p>
    <w:bookmarkEnd w:id="1"/>
    <w:p w:rsidR="000C6247" w:rsidRPr="00B8029E" w:rsidP="000C6247" w14:paraId="3E2B3E13" w14:textId="77777777">
      <w:pPr>
        <w:widowControl w:val="0"/>
        <w:spacing w:after="0" w:line="240" w:lineRule="auto"/>
        <w:ind w:left="720"/>
        <w:rPr>
          <w:rFonts w:ascii="Times New Roman" w:hAnsi="Times New Roman" w:cs="Times New Roman"/>
          <w:sz w:val="24"/>
          <w:szCs w:val="24"/>
        </w:rPr>
      </w:pPr>
    </w:p>
    <w:bookmarkEnd w:id="2"/>
    <w:p w:rsidR="009D6F53" w:rsidRPr="00B8029E" w:rsidP="007B5C0D" w14:paraId="2F570B49" w14:textId="1C9BDE0F">
      <w:pPr>
        <w:spacing w:after="0" w:line="240" w:lineRule="auto"/>
        <w:ind w:left="2880" w:firstLine="720"/>
        <w:rPr>
          <w:rFonts w:ascii="Times New Roman" w:hAnsi="Times New Roman" w:cs="Times New Roman"/>
          <w:sz w:val="24"/>
          <w:szCs w:val="24"/>
        </w:rPr>
      </w:pPr>
      <w:r w:rsidRPr="00B8029E">
        <w:rPr>
          <w:rFonts w:ascii="Times New Roman" w:hAnsi="Times New Roman" w:cs="Times New Roman"/>
          <w:sz w:val="24"/>
          <w:szCs w:val="24"/>
        </w:rPr>
        <w:t>Respectfully submitted,</w:t>
      </w:r>
    </w:p>
    <w:p w:rsidR="002F6E16" w:rsidRPr="00B8029E" w:rsidP="007B5C0D" w14:paraId="34A179ED" w14:textId="77777777">
      <w:pPr>
        <w:pStyle w:val="Footer"/>
        <w:rPr>
          <w:rFonts w:ascii="Times New Roman" w:hAnsi="Times New Roman" w:cs="Times New Roman"/>
          <w:sz w:val="24"/>
          <w:szCs w:val="24"/>
        </w:rPr>
      </w:pPr>
    </w:p>
    <w:p w:rsidR="009D6F53" w:rsidRPr="00B8029E" w:rsidP="007B5C0D" w14:paraId="1CA21213" w14:textId="26FF8BC3">
      <w:pPr>
        <w:pStyle w:val="Footer"/>
        <w:ind w:left="3600"/>
        <w:rPr>
          <w:rFonts w:ascii="Times New Roman" w:hAnsi="Times New Roman" w:cs="Times New Roman"/>
          <w:sz w:val="24"/>
          <w:szCs w:val="24"/>
        </w:rPr>
      </w:pPr>
      <w:r w:rsidRPr="00B8029E">
        <w:rPr>
          <w:rFonts w:ascii="Times New Roman" w:hAnsi="Times New Roman" w:cs="Times New Roman"/>
          <w:sz w:val="24"/>
          <w:szCs w:val="24"/>
        </w:rPr>
        <w:t>Bruce Weston (0016973)</w:t>
      </w:r>
    </w:p>
    <w:p w:rsidR="009D6F53" w:rsidRPr="00B8029E" w:rsidP="007B5C0D" w14:paraId="109C134F" w14:textId="77777777">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Ohio Consumers’ Counsel</w:t>
      </w:r>
    </w:p>
    <w:p w:rsidR="009D6F53" w:rsidRPr="00B8029E" w:rsidP="007B5C0D" w14:paraId="4E9D7E36" w14:textId="77777777">
      <w:pPr>
        <w:tabs>
          <w:tab w:val="left" w:pos="4320"/>
        </w:tabs>
        <w:spacing w:after="0" w:line="240" w:lineRule="auto"/>
        <w:ind w:left="3600"/>
        <w:rPr>
          <w:rFonts w:ascii="Times New Roman" w:hAnsi="Times New Roman" w:cs="Times New Roman"/>
          <w:i/>
          <w:sz w:val="24"/>
          <w:szCs w:val="24"/>
          <w:u w:val="single"/>
        </w:rPr>
      </w:pPr>
    </w:p>
    <w:p w:rsidR="009D6F53" w:rsidRPr="00B8029E" w:rsidP="007B5C0D" w14:paraId="0AFFC685" w14:textId="16B53BD2">
      <w:pPr>
        <w:spacing w:after="0" w:line="240" w:lineRule="auto"/>
        <w:ind w:left="3600"/>
        <w:rPr>
          <w:rFonts w:ascii="Times New Roman" w:hAnsi="Times New Roman" w:cs="Times New Roman"/>
          <w:bCs/>
          <w:i/>
          <w:iCs/>
          <w:sz w:val="24"/>
          <w:szCs w:val="24"/>
          <w:u w:val="single"/>
        </w:rPr>
      </w:pPr>
      <w:r w:rsidRPr="00B8029E">
        <w:rPr>
          <w:rFonts w:ascii="Times New Roman" w:hAnsi="Times New Roman" w:cs="Times New Roman"/>
          <w:bCs/>
          <w:i/>
          <w:iCs/>
          <w:sz w:val="24"/>
          <w:szCs w:val="24"/>
          <w:u w:val="single"/>
        </w:rPr>
        <w:t xml:space="preserve">/s/ </w:t>
      </w:r>
      <w:r w:rsidRPr="00B8029E" w:rsidR="00692851">
        <w:rPr>
          <w:rFonts w:ascii="Times New Roman" w:hAnsi="Times New Roman" w:cs="Times New Roman"/>
          <w:bCs/>
          <w:i/>
          <w:iCs/>
          <w:sz w:val="24"/>
          <w:szCs w:val="24"/>
          <w:u w:val="single"/>
        </w:rPr>
        <w:t>Amy Botschner O’Brien</w:t>
      </w:r>
    </w:p>
    <w:p w:rsidR="009D6F53" w:rsidRPr="00B8029E" w:rsidP="007B5C0D" w14:paraId="116F9B2F" w14:textId="6A518325">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Amy Botschner O’Brien</w:t>
      </w:r>
      <w:r w:rsidRPr="00B8029E" w:rsidR="00A01D6F">
        <w:rPr>
          <w:rFonts w:ascii="Times New Roman" w:hAnsi="Times New Roman" w:cs="Times New Roman"/>
          <w:sz w:val="24"/>
          <w:szCs w:val="24"/>
        </w:rPr>
        <w:t xml:space="preserve"> (007</w:t>
      </w:r>
      <w:r w:rsidRPr="00B8029E">
        <w:rPr>
          <w:rFonts w:ascii="Times New Roman" w:hAnsi="Times New Roman" w:cs="Times New Roman"/>
          <w:sz w:val="24"/>
          <w:szCs w:val="24"/>
        </w:rPr>
        <w:t>4423)</w:t>
      </w:r>
    </w:p>
    <w:p w:rsidR="009D6F53" w:rsidRPr="00B8029E" w:rsidP="007B5C0D" w14:paraId="01A11CC4" w14:textId="77777777">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Counsel of Record</w:t>
      </w:r>
    </w:p>
    <w:p w:rsidR="009D6F53" w:rsidRPr="00B8029E" w:rsidP="007B5C0D" w14:paraId="1CD931A5" w14:textId="77777777">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Assistant Consumers’ Counsel</w:t>
      </w:r>
    </w:p>
    <w:p w:rsidR="009D6F53" w:rsidRPr="00B8029E" w:rsidP="007B5C0D" w14:paraId="53524163" w14:textId="77777777">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ab/>
      </w:r>
    </w:p>
    <w:p w:rsidR="009D6F53" w:rsidRPr="00B8029E" w:rsidP="007B5C0D" w14:paraId="15A34C05" w14:textId="77777777">
      <w:pPr>
        <w:spacing w:after="0" w:line="240" w:lineRule="auto"/>
        <w:ind w:left="3600"/>
        <w:rPr>
          <w:rFonts w:ascii="Times New Roman" w:hAnsi="Times New Roman" w:cs="Times New Roman"/>
          <w:b/>
          <w:bCs/>
          <w:sz w:val="24"/>
          <w:szCs w:val="24"/>
        </w:rPr>
      </w:pPr>
      <w:r w:rsidRPr="00B8029E">
        <w:rPr>
          <w:rFonts w:ascii="Times New Roman" w:hAnsi="Times New Roman" w:cs="Times New Roman"/>
          <w:b/>
          <w:bCs/>
          <w:sz w:val="24"/>
          <w:szCs w:val="24"/>
        </w:rPr>
        <w:t>Office of the Ohio Consumers’ Counsel</w:t>
      </w:r>
    </w:p>
    <w:p w:rsidR="009D6F53" w:rsidRPr="00B8029E" w:rsidP="007B5C0D" w14:paraId="34A81DE7" w14:textId="77777777">
      <w:pPr>
        <w:spacing w:after="0" w:line="240" w:lineRule="auto"/>
        <w:ind w:left="3600"/>
        <w:rPr>
          <w:rFonts w:ascii="Times New Roman" w:hAnsi="Times New Roman" w:cs="Times New Roman"/>
          <w:b/>
          <w:sz w:val="24"/>
          <w:szCs w:val="24"/>
        </w:rPr>
      </w:pPr>
      <w:r w:rsidRPr="00B8029E">
        <w:rPr>
          <w:rFonts w:ascii="Times New Roman" w:hAnsi="Times New Roman" w:cs="Times New Roman"/>
          <w:sz w:val="24"/>
          <w:szCs w:val="24"/>
        </w:rPr>
        <w:t>65 East State Street, Suite 700</w:t>
      </w:r>
    </w:p>
    <w:p w:rsidR="009D6F53" w:rsidRPr="00B8029E" w:rsidP="007B5C0D" w14:paraId="309008B3" w14:textId="77777777">
      <w:pPr>
        <w:spacing w:after="0" w:line="240" w:lineRule="auto"/>
        <w:ind w:left="3600"/>
        <w:rPr>
          <w:rFonts w:ascii="Times New Roman" w:hAnsi="Times New Roman" w:cs="Times New Roman"/>
          <w:b/>
          <w:sz w:val="24"/>
          <w:szCs w:val="24"/>
        </w:rPr>
      </w:pPr>
      <w:r w:rsidRPr="00B8029E">
        <w:rPr>
          <w:rFonts w:ascii="Times New Roman" w:hAnsi="Times New Roman" w:cs="Times New Roman"/>
          <w:sz w:val="24"/>
          <w:szCs w:val="24"/>
        </w:rPr>
        <w:t>Columbus, Ohio 43215</w:t>
      </w:r>
    </w:p>
    <w:p w:rsidR="009D6F53" w:rsidRPr="00B8029E" w:rsidP="007B5C0D" w14:paraId="20AA9671" w14:textId="49D3F05F">
      <w:pPr>
        <w:autoSpaceDE w:val="0"/>
        <w:autoSpaceDN w:val="0"/>
        <w:adjustRightInd w:val="0"/>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Telephone [</w:t>
      </w:r>
      <w:r w:rsidRPr="00B8029E" w:rsidR="00692851">
        <w:rPr>
          <w:rFonts w:ascii="Times New Roman" w:hAnsi="Times New Roman" w:cs="Times New Roman"/>
          <w:sz w:val="24"/>
          <w:szCs w:val="24"/>
        </w:rPr>
        <w:t>Botschner O’Brien</w:t>
      </w:r>
      <w:r w:rsidRPr="00B8029E">
        <w:rPr>
          <w:rFonts w:ascii="Times New Roman" w:hAnsi="Times New Roman" w:cs="Times New Roman"/>
          <w:sz w:val="24"/>
          <w:szCs w:val="24"/>
        </w:rPr>
        <w:t>]: (614) 466-</w:t>
      </w:r>
      <w:r w:rsidRPr="00B8029E" w:rsidR="00692851">
        <w:rPr>
          <w:rFonts w:ascii="Times New Roman" w:hAnsi="Times New Roman" w:cs="Times New Roman"/>
          <w:sz w:val="24"/>
          <w:szCs w:val="24"/>
        </w:rPr>
        <w:t>9575</w:t>
      </w:r>
    </w:p>
    <w:p w:rsidR="009D6F53" w:rsidRPr="00B8029E" w:rsidP="007B5C0D" w14:paraId="4B5A379B" w14:textId="65C5330A">
      <w:pPr>
        <w:autoSpaceDE w:val="0"/>
        <w:autoSpaceDN w:val="0"/>
        <w:adjustRightInd w:val="0"/>
        <w:spacing w:after="0" w:line="240" w:lineRule="auto"/>
        <w:ind w:left="3600"/>
        <w:rPr>
          <w:rStyle w:val="Hyperlink"/>
          <w:rFonts w:ascii="Times New Roman" w:hAnsi="Times New Roman" w:cs="Times New Roman"/>
          <w:color w:val="0000FF"/>
          <w:sz w:val="24"/>
          <w:szCs w:val="24"/>
        </w:rPr>
      </w:pPr>
      <w:r w:rsidRPr="00B8029E">
        <w:rPr>
          <w:rStyle w:val="Hyperlink"/>
          <w:rFonts w:ascii="Times New Roman" w:hAnsi="Times New Roman" w:cs="Times New Roman"/>
          <w:color w:val="0000FF"/>
          <w:sz w:val="24"/>
          <w:szCs w:val="24"/>
        </w:rPr>
        <w:t>amy.botschner.obrien@occ.ohio.gov</w:t>
      </w:r>
    </w:p>
    <w:p w:rsidR="009D6F53" w:rsidRPr="00B8029E" w:rsidP="007B5C0D" w14:paraId="5F1404E2" w14:textId="77777777">
      <w:pPr>
        <w:kinsoku w:val="0"/>
        <w:overflowPunct w:val="0"/>
        <w:autoSpaceDE w:val="0"/>
        <w:autoSpaceDN w:val="0"/>
        <w:adjustRightInd w:val="0"/>
        <w:spacing w:after="0" w:line="240" w:lineRule="auto"/>
        <w:ind w:left="2880" w:firstLine="720"/>
        <w:rPr>
          <w:rFonts w:ascii="Times New Roman" w:hAnsi="Times New Roman" w:cs="Times New Roman"/>
          <w:sz w:val="24"/>
          <w:szCs w:val="24"/>
        </w:rPr>
        <w:sectPr w:rsidSect="00AB16D0">
          <w:pgSz w:w="12240" w:h="15840"/>
          <w:pgMar w:top="1440" w:right="1800" w:bottom="1440" w:left="1800" w:header="720" w:footer="720" w:gutter="0"/>
          <w:pgNumType w:start="1"/>
          <w:cols w:space="720"/>
          <w:docGrid w:linePitch="360"/>
        </w:sectPr>
      </w:pPr>
      <w:r w:rsidRPr="00B8029E">
        <w:rPr>
          <w:rFonts w:ascii="Times New Roman" w:hAnsi="Times New Roman" w:cs="Times New Roman"/>
          <w:sz w:val="24"/>
          <w:szCs w:val="24"/>
        </w:rPr>
        <w:t>(willing to accept service by e-mail)</w:t>
      </w:r>
    </w:p>
    <w:p w:rsidR="00610EAB" w:rsidRPr="00B8029E" w:rsidP="00610EAB" w14:paraId="0CCFE448" w14:textId="77777777">
      <w:pPr>
        <w:jc w:val="center"/>
        <w:rPr>
          <w:rFonts w:ascii="Times New Roman" w:hAnsi="Times New Roman" w:cs="Times New Roman"/>
          <w:b/>
          <w:caps/>
          <w:sz w:val="24"/>
          <w:szCs w:val="24"/>
          <w:u w:val="single"/>
          <w:lang w:eastAsia="ja-JP"/>
        </w:rPr>
      </w:pPr>
      <w:bookmarkStart w:id="3" w:name="_Toc98520146"/>
      <w:r w:rsidRPr="00B8029E">
        <w:rPr>
          <w:rFonts w:ascii="Times New Roman" w:hAnsi="Times New Roman" w:cs="Times New Roman"/>
          <w:b/>
          <w:caps/>
          <w:sz w:val="24"/>
          <w:szCs w:val="24"/>
          <w:u w:val="single"/>
          <w:lang w:eastAsia="ja-JP"/>
        </w:rPr>
        <w:t>TABLE OF CONTENTS</w:t>
      </w:r>
    </w:p>
    <w:p w:rsidR="00610EAB" w:rsidRPr="00B8029E" w:rsidP="00610EAB" w14:paraId="1E755BD3" w14:textId="77777777">
      <w:pPr>
        <w:jc w:val="right"/>
        <w:rPr>
          <w:rFonts w:ascii="Times New Roman" w:hAnsi="Times New Roman" w:cs="Times New Roman"/>
          <w:b/>
          <w:caps/>
          <w:sz w:val="24"/>
          <w:szCs w:val="24"/>
          <w:lang w:eastAsia="ja-JP"/>
        </w:rPr>
      </w:pPr>
      <w:r w:rsidRPr="00B8029E">
        <w:rPr>
          <w:rFonts w:ascii="Times New Roman" w:hAnsi="Times New Roman" w:cs="Times New Roman"/>
          <w:b/>
          <w:caps/>
          <w:sz w:val="24"/>
          <w:szCs w:val="24"/>
          <w:lang w:eastAsia="ja-JP"/>
        </w:rPr>
        <w:t>PAGE</w:t>
      </w:r>
    </w:p>
    <w:p w:rsidR="00DE36D4" w14:paraId="4FCAA982" w14:textId="5BFC9A67">
      <w:pPr>
        <w:pStyle w:val="TOC1"/>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24515675" w:history="1">
        <w:r w:rsidRPr="00185435">
          <w:rPr>
            <w:rStyle w:val="Hyperlink"/>
            <w:noProof/>
          </w:rPr>
          <w:t>I.</w:t>
        </w:r>
        <w:r>
          <w:rPr>
            <w:rFonts w:asciiTheme="minorHAnsi" w:eastAsiaTheme="minorEastAsia" w:hAnsiTheme="minorHAnsi"/>
            <w:noProof/>
            <w:sz w:val="22"/>
          </w:rPr>
          <w:tab/>
        </w:r>
        <w:r w:rsidRPr="00185435">
          <w:rPr>
            <w:rStyle w:val="Hyperlink"/>
            <w:noProof/>
          </w:rPr>
          <w:t>INTRODUCTION</w:t>
        </w:r>
        <w:r>
          <w:rPr>
            <w:noProof/>
            <w:webHidden/>
          </w:rPr>
          <w:tab/>
        </w:r>
        <w:r>
          <w:rPr>
            <w:noProof/>
            <w:webHidden/>
          </w:rPr>
          <w:fldChar w:fldCharType="begin"/>
        </w:r>
        <w:r>
          <w:rPr>
            <w:noProof/>
            <w:webHidden/>
          </w:rPr>
          <w:instrText xml:space="preserve"> PAGEREF _Toc124515675 \h </w:instrText>
        </w:r>
        <w:r>
          <w:rPr>
            <w:noProof/>
            <w:webHidden/>
          </w:rPr>
          <w:fldChar w:fldCharType="separate"/>
        </w:r>
        <w:r>
          <w:rPr>
            <w:noProof/>
            <w:webHidden/>
          </w:rPr>
          <w:t>1</w:t>
        </w:r>
        <w:r>
          <w:rPr>
            <w:noProof/>
            <w:webHidden/>
          </w:rPr>
          <w:fldChar w:fldCharType="end"/>
        </w:r>
      </w:hyperlink>
    </w:p>
    <w:p w:rsidR="00DE36D4" w14:paraId="2CD5D1AB" w14:textId="0AD50576">
      <w:pPr>
        <w:pStyle w:val="TOC1"/>
        <w:rPr>
          <w:rFonts w:asciiTheme="minorHAnsi" w:eastAsiaTheme="minorEastAsia" w:hAnsiTheme="minorHAnsi"/>
          <w:noProof/>
          <w:sz w:val="22"/>
        </w:rPr>
      </w:pPr>
      <w:hyperlink w:anchor="_Toc124515676" w:history="1">
        <w:r w:rsidRPr="00185435">
          <w:rPr>
            <w:rStyle w:val="Hyperlink"/>
            <w:noProof/>
          </w:rPr>
          <w:t>II.</w:t>
        </w:r>
        <w:r>
          <w:rPr>
            <w:rFonts w:asciiTheme="minorHAnsi" w:eastAsiaTheme="minorEastAsia" w:hAnsiTheme="minorHAnsi"/>
            <w:noProof/>
            <w:sz w:val="22"/>
          </w:rPr>
          <w:tab/>
        </w:r>
        <w:r w:rsidRPr="00185435">
          <w:rPr>
            <w:rStyle w:val="Hyperlink"/>
            <w:noProof/>
          </w:rPr>
          <w:t>MATTERS FOR CONSIDERATION</w:t>
        </w:r>
        <w:r>
          <w:rPr>
            <w:noProof/>
            <w:webHidden/>
          </w:rPr>
          <w:tab/>
        </w:r>
        <w:r>
          <w:rPr>
            <w:noProof/>
            <w:webHidden/>
          </w:rPr>
          <w:fldChar w:fldCharType="begin"/>
        </w:r>
        <w:r>
          <w:rPr>
            <w:noProof/>
            <w:webHidden/>
          </w:rPr>
          <w:instrText xml:space="preserve"> PAGEREF _Toc124515676 \h </w:instrText>
        </w:r>
        <w:r>
          <w:rPr>
            <w:noProof/>
            <w:webHidden/>
          </w:rPr>
          <w:fldChar w:fldCharType="separate"/>
        </w:r>
        <w:r>
          <w:rPr>
            <w:noProof/>
            <w:webHidden/>
          </w:rPr>
          <w:t>3</w:t>
        </w:r>
        <w:r>
          <w:rPr>
            <w:noProof/>
            <w:webHidden/>
          </w:rPr>
          <w:fldChar w:fldCharType="end"/>
        </w:r>
      </w:hyperlink>
    </w:p>
    <w:p w:rsidR="00DE36D4" w14:paraId="21D9671D" w14:textId="0EA7457D">
      <w:pPr>
        <w:pStyle w:val="TOC2"/>
        <w:rPr>
          <w:rFonts w:asciiTheme="minorHAnsi" w:eastAsiaTheme="minorEastAsia" w:hAnsiTheme="minorHAnsi"/>
          <w:noProof/>
          <w:sz w:val="22"/>
        </w:rPr>
      </w:pPr>
      <w:hyperlink w:anchor="_Toc124515677" w:history="1">
        <w:r w:rsidRPr="00185435">
          <w:rPr>
            <w:rStyle w:val="Hyperlink"/>
            <w:noProof/>
          </w:rPr>
          <w:t>A.</w:t>
        </w:r>
        <w:r>
          <w:rPr>
            <w:rFonts w:asciiTheme="minorHAnsi" w:eastAsiaTheme="minorEastAsia" w:hAnsiTheme="minorHAnsi"/>
            <w:noProof/>
            <w:sz w:val="22"/>
          </w:rPr>
          <w:tab/>
        </w:r>
        <w:r w:rsidRPr="00185435">
          <w:rPr>
            <w:rStyle w:val="Hyperlink"/>
            <w:noProof/>
          </w:rPr>
          <w:t xml:space="preserve">ASSIGNMENT OF ERROR NO. 1: The PUCO erred because it </w:t>
        </w:r>
        <w:r>
          <w:rPr>
            <w:rStyle w:val="Hyperlink"/>
            <w:noProof/>
          </w:rPr>
          <w:br/>
        </w:r>
        <w:r w:rsidRPr="00185435">
          <w:rPr>
            <w:rStyle w:val="Hyperlink"/>
            <w:noProof/>
          </w:rPr>
          <w:t xml:space="preserve">did not address that the proposed increases in the Universal </w:t>
        </w:r>
        <w:r>
          <w:rPr>
            <w:rStyle w:val="Hyperlink"/>
            <w:noProof/>
          </w:rPr>
          <w:br/>
        </w:r>
        <w:r w:rsidRPr="00185435">
          <w:rPr>
            <w:rStyle w:val="Hyperlink"/>
            <w:noProof/>
          </w:rPr>
          <w:t xml:space="preserve">Service Fund rider rates are unjust and unreasonable in violation </w:t>
        </w:r>
        <w:r>
          <w:rPr>
            <w:rStyle w:val="Hyperlink"/>
            <w:noProof/>
          </w:rPr>
          <w:br/>
        </w:r>
        <w:r w:rsidRPr="00185435">
          <w:rPr>
            <w:rStyle w:val="Hyperlink"/>
            <w:noProof/>
          </w:rPr>
          <w:t xml:space="preserve">of R.C. 4905.22 and fails to protect at-risk consumers in violation </w:t>
        </w:r>
        <w:r>
          <w:rPr>
            <w:rStyle w:val="Hyperlink"/>
            <w:noProof/>
          </w:rPr>
          <w:br/>
        </w:r>
        <w:r w:rsidRPr="00185435">
          <w:rPr>
            <w:rStyle w:val="Hyperlink"/>
            <w:noProof/>
          </w:rPr>
          <w:t xml:space="preserve">of R.C. 4928.02(L) and rates charged to PIPP consumers in excess </w:t>
        </w:r>
        <w:r>
          <w:rPr>
            <w:rStyle w:val="Hyperlink"/>
            <w:noProof/>
          </w:rPr>
          <w:br/>
        </w:r>
        <w:r w:rsidRPr="00185435">
          <w:rPr>
            <w:rStyle w:val="Hyperlink"/>
            <w:noProof/>
          </w:rPr>
          <w:t>of the rates charged to utilities’ standard service offer consumers in violation of R.C. 4928.542.</w:t>
        </w:r>
        <w:r>
          <w:rPr>
            <w:noProof/>
            <w:webHidden/>
          </w:rPr>
          <w:tab/>
        </w:r>
        <w:r>
          <w:rPr>
            <w:noProof/>
            <w:webHidden/>
          </w:rPr>
          <w:fldChar w:fldCharType="begin"/>
        </w:r>
        <w:r>
          <w:rPr>
            <w:noProof/>
            <w:webHidden/>
          </w:rPr>
          <w:instrText xml:space="preserve"> PAGEREF _Toc124515677 \h </w:instrText>
        </w:r>
        <w:r>
          <w:rPr>
            <w:noProof/>
            <w:webHidden/>
          </w:rPr>
          <w:fldChar w:fldCharType="separate"/>
        </w:r>
        <w:r>
          <w:rPr>
            <w:noProof/>
            <w:webHidden/>
          </w:rPr>
          <w:t>3</w:t>
        </w:r>
        <w:r>
          <w:rPr>
            <w:noProof/>
            <w:webHidden/>
          </w:rPr>
          <w:fldChar w:fldCharType="end"/>
        </w:r>
      </w:hyperlink>
    </w:p>
    <w:p w:rsidR="00DE36D4" w14:paraId="2C557CC8" w14:textId="624C5E11">
      <w:pPr>
        <w:pStyle w:val="TOC2"/>
        <w:rPr>
          <w:rFonts w:asciiTheme="minorHAnsi" w:eastAsiaTheme="minorEastAsia" w:hAnsiTheme="minorHAnsi"/>
          <w:noProof/>
          <w:sz w:val="22"/>
        </w:rPr>
      </w:pPr>
      <w:hyperlink w:anchor="_Toc124515678" w:history="1">
        <w:r w:rsidRPr="00185435">
          <w:rPr>
            <w:rStyle w:val="Hyperlink"/>
            <w:noProof/>
          </w:rPr>
          <w:t>B.</w:t>
        </w:r>
        <w:r>
          <w:rPr>
            <w:rFonts w:asciiTheme="minorHAnsi" w:eastAsiaTheme="minorEastAsia" w:hAnsiTheme="minorHAnsi"/>
            <w:noProof/>
            <w:sz w:val="22"/>
          </w:rPr>
          <w:tab/>
        </w:r>
        <w:r w:rsidRPr="00185435">
          <w:rPr>
            <w:rStyle w:val="Hyperlink"/>
            <w:noProof/>
          </w:rPr>
          <w:t xml:space="preserve">ASSIGNMENT OF ERROR NO. 2: The PUCO erred by </w:t>
        </w:r>
        <w:r>
          <w:rPr>
            <w:rStyle w:val="Hyperlink"/>
            <w:noProof/>
          </w:rPr>
          <w:br/>
        </w:r>
        <w:r w:rsidRPr="00185435">
          <w:rPr>
            <w:rStyle w:val="Hyperlink"/>
            <w:noProof/>
          </w:rPr>
          <w:t xml:space="preserve">unreasonably adopting a Settlement that does not benefit </w:t>
        </w:r>
        <w:r>
          <w:rPr>
            <w:rStyle w:val="Hyperlink"/>
            <w:noProof/>
          </w:rPr>
          <w:br/>
        </w:r>
        <w:r w:rsidRPr="00185435">
          <w:rPr>
            <w:rStyle w:val="Hyperlink"/>
            <w:noProof/>
          </w:rPr>
          <w:t xml:space="preserve">consumers and the public interest because higher PIPP </w:t>
        </w:r>
        <w:r>
          <w:rPr>
            <w:rStyle w:val="Hyperlink"/>
            <w:noProof/>
          </w:rPr>
          <w:br/>
        </w:r>
        <w:r w:rsidRPr="00185435">
          <w:rPr>
            <w:rStyle w:val="Hyperlink"/>
            <w:noProof/>
          </w:rPr>
          <w:t xml:space="preserve">generation charges harms PIPP customers as well as all Ohio </w:t>
        </w:r>
        <w:r>
          <w:rPr>
            <w:rStyle w:val="Hyperlink"/>
            <w:noProof/>
          </w:rPr>
          <w:br/>
        </w:r>
        <w:r w:rsidRPr="00185435">
          <w:rPr>
            <w:rStyle w:val="Hyperlink"/>
            <w:noProof/>
          </w:rPr>
          <w:t>electric consumers who pay the Universal Service Rider.</w:t>
        </w:r>
        <w:r>
          <w:rPr>
            <w:noProof/>
            <w:webHidden/>
          </w:rPr>
          <w:tab/>
        </w:r>
        <w:r>
          <w:rPr>
            <w:noProof/>
            <w:webHidden/>
          </w:rPr>
          <w:fldChar w:fldCharType="begin"/>
        </w:r>
        <w:r>
          <w:rPr>
            <w:noProof/>
            <w:webHidden/>
          </w:rPr>
          <w:instrText xml:space="preserve"> PAGEREF _Toc124515678 \h </w:instrText>
        </w:r>
        <w:r>
          <w:rPr>
            <w:noProof/>
            <w:webHidden/>
          </w:rPr>
          <w:fldChar w:fldCharType="separate"/>
        </w:r>
        <w:r>
          <w:rPr>
            <w:noProof/>
            <w:webHidden/>
          </w:rPr>
          <w:t>6</w:t>
        </w:r>
        <w:r>
          <w:rPr>
            <w:noProof/>
            <w:webHidden/>
          </w:rPr>
          <w:fldChar w:fldCharType="end"/>
        </w:r>
      </w:hyperlink>
    </w:p>
    <w:p w:rsidR="00DE36D4" w14:paraId="66A0D5CD" w14:textId="26A511AC">
      <w:pPr>
        <w:pStyle w:val="TOC2"/>
        <w:rPr>
          <w:rFonts w:asciiTheme="minorHAnsi" w:eastAsiaTheme="minorEastAsia" w:hAnsiTheme="minorHAnsi"/>
          <w:noProof/>
          <w:sz w:val="22"/>
        </w:rPr>
      </w:pPr>
      <w:hyperlink w:anchor="_Toc124515679" w:history="1">
        <w:r w:rsidRPr="00185435">
          <w:rPr>
            <w:rStyle w:val="Hyperlink"/>
            <w:noProof/>
          </w:rPr>
          <w:t>C.</w:t>
        </w:r>
        <w:r>
          <w:rPr>
            <w:rFonts w:asciiTheme="minorHAnsi" w:eastAsiaTheme="minorEastAsia" w:hAnsiTheme="minorHAnsi"/>
            <w:noProof/>
            <w:sz w:val="22"/>
          </w:rPr>
          <w:tab/>
        </w:r>
        <w:r w:rsidRPr="00185435">
          <w:rPr>
            <w:rStyle w:val="Hyperlink"/>
            <w:noProof/>
          </w:rPr>
          <w:t xml:space="preserve">ASSIGNMENT OF ERROR NO. 3: The PUCO erred by </w:t>
        </w:r>
        <w:r>
          <w:rPr>
            <w:rStyle w:val="Hyperlink"/>
            <w:noProof/>
          </w:rPr>
          <w:br/>
        </w:r>
        <w:r w:rsidRPr="00185435">
          <w:rPr>
            <w:rStyle w:val="Hyperlink"/>
            <w:noProof/>
          </w:rPr>
          <w:t xml:space="preserve">unreasonably declining to address and remedy the untenable </w:t>
        </w:r>
        <w:r>
          <w:rPr>
            <w:rStyle w:val="Hyperlink"/>
            <w:noProof/>
          </w:rPr>
          <w:br/>
        </w:r>
        <w:r w:rsidRPr="00185435">
          <w:rPr>
            <w:rStyle w:val="Hyperlink"/>
            <w:noProof/>
          </w:rPr>
          <w:t xml:space="preserve">situation resulting from this year’s Universal Service Fund </w:t>
        </w:r>
        <w:r>
          <w:rPr>
            <w:rStyle w:val="Hyperlink"/>
            <w:noProof/>
          </w:rPr>
          <w:br/>
        </w:r>
        <w:r w:rsidRPr="00185435">
          <w:rPr>
            <w:rStyle w:val="Hyperlink"/>
            <w:noProof/>
          </w:rPr>
          <w:t>proceeding, harming consumers by this inaction.</w:t>
        </w:r>
        <w:r>
          <w:rPr>
            <w:noProof/>
            <w:webHidden/>
          </w:rPr>
          <w:tab/>
        </w:r>
        <w:r>
          <w:rPr>
            <w:noProof/>
            <w:webHidden/>
          </w:rPr>
          <w:fldChar w:fldCharType="begin"/>
        </w:r>
        <w:r>
          <w:rPr>
            <w:noProof/>
            <w:webHidden/>
          </w:rPr>
          <w:instrText xml:space="preserve"> PAGEREF _Toc124515679 \h </w:instrText>
        </w:r>
        <w:r>
          <w:rPr>
            <w:noProof/>
            <w:webHidden/>
          </w:rPr>
          <w:fldChar w:fldCharType="separate"/>
        </w:r>
        <w:r>
          <w:rPr>
            <w:noProof/>
            <w:webHidden/>
          </w:rPr>
          <w:t>10</w:t>
        </w:r>
        <w:r>
          <w:rPr>
            <w:noProof/>
            <w:webHidden/>
          </w:rPr>
          <w:fldChar w:fldCharType="end"/>
        </w:r>
      </w:hyperlink>
    </w:p>
    <w:p w:rsidR="00DE36D4" w14:paraId="43370ECF" w14:textId="3AEDE647">
      <w:pPr>
        <w:pStyle w:val="TOC1"/>
        <w:rPr>
          <w:rFonts w:asciiTheme="minorHAnsi" w:eastAsiaTheme="minorEastAsia" w:hAnsiTheme="minorHAnsi"/>
          <w:noProof/>
          <w:sz w:val="22"/>
        </w:rPr>
      </w:pPr>
      <w:hyperlink w:anchor="_Toc124515680" w:history="1">
        <w:r w:rsidRPr="00185435">
          <w:rPr>
            <w:rStyle w:val="Hyperlink"/>
            <w:noProof/>
          </w:rPr>
          <w:t>III.</w:t>
        </w:r>
        <w:r>
          <w:rPr>
            <w:rFonts w:asciiTheme="minorHAnsi" w:eastAsiaTheme="minorEastAsia" w:hAnsiTheme="minorHAnsi"/>
            <w:noProof/>
            <w:sz w:val="22"/>
          </w:rPr>
          <w:tab/>
        </w:r>
        <w:r w:rsidRPr="00185435">
          <w:rPr>
            <w:rStyle w:val="Hyperlink"/>
            <w:noProof/>
          </w:rPr>
          <w:t>CONCLUSION</w:t>
        </w:r>
        <w:r>
          <w:rPr>
            <w:noProof/>
            <w:webHidden/>
          </w:rPr>
          <w:tab/>
        </w:r>
        <w:r>
          <w:rPr>
            <w:noProof/>
            <w:webHidden/>
          </w:rPr>
          <w:fldChar w:fldCharType="begin"/>
        </w:r>
        <w:r>
          <w:rPr>
            <w:noProof/>
            <w:webHidden/>
          </w:rPr>
          <w:instrText xml:space="preserve"> PAGEREF _Toc124515680 \h </w:instrText>
        </w:r>
        <w:r>
          <w:rPr>
            <w:noProof/>
            <w:webHidden/>
          </w:rPr>
          <w:fldChar w:fldCharType="separate"/>
        </w:r>
        <w:r>
          <w:rPr>
            <w:noProof/>
            <w:webHidden/>
          </w:rPr>
          <w:t>13</w:t>
        </w:r>
        <w:r>
          <w:rPr>
            <w:noProof/>
            <w:webHidden/>
          </w:rPr>
          <w:fldChar w:fldCharType="end"/>
        </w:r>
      </w:hyperlink>
    </w:p>
    <w:p w:rsidR="00610EAB" w:rsidRPr="00B8029E" w:rsidP="00610EAB" w14:paraId="3ED89929" w14:textId="3240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sectPr w:rsidSect="0051382B">
          <w:headerReference w:type="default" r:id="rId8"/>
          <w:footerReference w:type="default" r:id="rId9"/>
          <w:pgSz w:w="12240" w:h="15840"/>
          <w:pgMar w:top="1440" w:right="1800" w:bottom="1440" w:left="1800" w:header="720" w:footer="720" w:gutter="0"/>
          <w:pgNumType w:fmt="lowerRoman" w:start="1"/>
          <w:cols w:space="720"/>
          <w:docGrid w:linePitch="360"/>
        </w:sectPr>
      </w:pPr>
      <w:r>
        <w:rPr>
          <w:rFonts w:ascii="Times New Roman" w:hAnsi="Times New Roman" w:cs="Times New Roman"/>
          <w:sz w:val="24"/>
          <w:szCs w:val="24"/>
        </w:rPr>
        <w:fldChar w:fldCharType="end"/>
      </w:r>
    </w:p>
    <w:p w:rsidR="009D6F53" w:rsidRPr="00B8029E" w:rsidP="009D6F53" w14:paraId="4A2FF0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8029E">
        <w:rPr>
          <w:rFonts w:ascii="Times New Roman" w:eastAsia="Calibri" w:hAnsi="Times New Roman" w:cs="Times New Roman"/>
          <w:b/>
          <w:bCs/>
          <w:sz w:val="24"/>
          <w:szCs w:val="24"/>
        </w:rPr>
        <w:t>BEFORE</w:t>
      </w:r>
    </w:p>
    <w:p w:rsidR="009D6F53" w:rsidRPr="00B8029E" w:rsidP="009D6F53" w14:paraId="2C3BF4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8029E">
        <w:rPr>
          <w:rFonts w:ascii="Times New Roman" w:eastAsia="Calibri" w:hAnsi="Times New Roman" w:cs="Times New Roman"/>
          <w:b/>
          <w:bCs/>
          <w:sz w:val="24"/>
          <w:szCs w:val="24"/>
        </w:rPr>
        <w:t>THE PUBLIC UTILITIES COMMISSION OF OHIO</w:t>
      </w:r>
    </w:p>
    <w:p w:rsidR="009D6F53" w:rsidRPr="00B8029E" w:rsidP="009D6F53" w14:paraId="132CD664" w14:textId="77777777">
      <w:pPr>
        <w:pStyle w:val="HTMLPreformatted"/>
        <w:jc w:val="center"/>
        <w:rPr>
          <w:rFonts w:ascii="Times New Roman" w:hAnsi="Times New Roman" w:cs="Times New Roman"/>
          <w:b/>
          <w:bCs/>
          <w:sz w:val="24"/>
          <w:szCs w:val="24"/>
        </w:rPr>
      </w:pPr>
    </w:p>
    <w:tbl>
      <w:tblPr>
        <w:tblW w:w="8730" w:type="dxa"/>
        <w:tblLook w:val="01E0"/>
      </w:tblPr>
      <w:tblGrid>
        <w:gridCol w:w="4332"/>
        <w:gridCol w:w="360"/>
        <w:gridCol w:w="4038"/>
      </w:tblGrid>
      <w:tr w14:paraId="6A8234CA" w14:textId="77777777" w:rsidTr="006D09FB">
        <w:tblPrEx>
          <w:tblW w:w="8730" w:type="dxa"/>
          <w:tblLook w:val="01E0"/>
        </w:tblPrEx>
        <w:trPr>
          <w:trHeight w:val="807"/>
        </w:trPr>
        <w:tc>
          <w:tcPr>
            <w:tcW w:w="4332" w:type="dxa"/>
            <w:shd w:val="clear" w:color="auto" w:fill="auto"/>
          </w:tcPr>
          <w:p w:rsidR="0055060E" w:rsidRPr="00B8029E" w:rsidP="006D09FB" w14:paraId="4A82D047"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In the Matter of the Application of the Ohio Department of Development for an Order Approving Adjustments to the Universal Service Fund Riders of Jurisdictional Ohio Electric Distribution Utilities.</w:t>
            </w:r>
          </w:p>
        </w:tc>
        <w:tc>
          <w:tcPr>
            <w:tcW w:w="360" w:type="dxa"/>
            <w:shd w:val="clear" w:color="auto" w:fill="auto"/>
          </w:tcPr>
          <w:p w:rsidR="0055060E" w:rsidRPr="00B8029E" w:rsidP="006D09FB" w14:paraId="177D0578"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32477F9F"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7BF7C4FC"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6B4CE9A9"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00ACEAD0"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p w:rsidR="0055060E" w:rsidRPr="00B8029E" w:rsidP="006D09FB" w14:paraId="04B8EF21"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w:t>
            </w:r>
          </w:p>
        </w:tc>
        <w:tc>
          <w:tcPr>
            <w:tcW w:w="4038" w:type="dxa"/>
            <w:shd w:val="clear" w:color="auto" w:fill="auto"/>
          </w:tcPr>
          <w:p w:rsidR="0055060E" w:rsidRPr="00B8029E" w:rsidP="006D09FB" w14:paraId="45BA75FE" w14:textId="77777777">
            <w:pPr>
              <w:pStyle w:val="HTMLPreformatted"/>
              <w:rPr>
                <w:rFonts w:ascii="Times New Roman" w:hAnsi="Times New Roman" w:cs="Times New Roman"/>
                <w:sz w:val="24"/>
                <w:szCs w:val="24"/>
              </w:rPr>
            </w:pPr>
          </w:p>
          <w:p w:rsidR="0055060E" w:rsidRPr="00B8029E" w:rsidP="006D09FB" w14:paraId="1D4D6EAB" w14:textId="77777777">
            <w:pPr>
              <w:pStyle w:val="HTMLPreformatted"/>
              <w:rPr>
                <w:rFonts w:ascii="Times New Roman" w:hAnsi="Times New Roman" w:cs="Times New Roman"/>
                <w:sz w:val="24"/>
                <w:szCs w:val="24"/>
              </w:rPr>
            </w:pPr>
          </w:p>
          <w:p w:rsidR="0055060E" w:rsidRPr="00B8029E" w:rsidP="006D09FB" w14:paraId="3E9B6519" w14:textId="77777777">
            <w:pPr>
              <w:pStyle w:val="HTMLPreformatted"/>
              <w:rPr>
                <w:rFonts w:ascii="Times New Roman" w:hAnsi="Times New Roman" w:cs="Times New Roman"/>
                <w:sz w:val="24"/>
                <w:szCs w:val="24"/>
              </w:rPr>
            </w:pPr>
            <w:r w:rsidRPr="00B8029E">
              <w:rPr>
                <w:rFonts w:ascii="Times New Roman" w:hAnsi="Times New Roman" w:cs="Times New Roman"/>
                <w:sz w:val="24"/>
                <w:szCs w:val="24"/>
              </w:rPr>
              <w:t>Case No. 22-556-EL-USF</w:t>
            </w:r>
          </w:p>
        </w:tc>
      </w:tr>
    </w:tbl>
    <w:p w:rsidR="009D6F53" w:rsidRPr="00B8029E" w:rsidP="009D6F53" w14:paraId="7AF01027"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9D6F53" w:rsidRPr="00B8029E" w:rsidP="009D6F53" w14:paraId="66A89590" w14:textId="77777777">
      <w:pPr>
        <w:autoSpaceDE w:val="0"/>
        <w:autoSpaceDN w:val="0"/>
        <w:adjustRightInd w:val="0"/>
        <w:spacing w:after="0" w:line="240" w:lineRule="auto"/>
        <w:rPr>
          <w:rFonts w:ascii="Times New Roman" w:eastAsia="Calibri" w:hAnsi="Times New Roman" w:cs="Times New Roman"/>
          <w:sz w:val="24"/>
          <w:szCs w:val="24"/>
        </w:rPr>
      </w:pPr>
    </w:p>
    <w:p w:rsidR="009D6F53" w:rsidRPr="00B8029E" w:rsidP="009D6F53" w14:paraId="6C7E96A4" w14:textId="2B159B04">
      <w:pPr>
        <w:widowControl w:val="0"/>
        <w:spacing w:after="0" w:line="240" w:lineRule="auto"/>
        <w:jc w:val="center"/>
        <w:rPr>
          <w:rFonts w:ascii="Times New Roman" w:hAnsi="Times New Roman" w:cs="Times New Roman"/>
          <w:b/>
          <w:sz w:val="24"/>
          <w:szCs w:val="24"/>
        </w:rPr>
      </w:pPr>
      <w:r w:rsidRPr="00B8029E">
        <w:rPr>
          <w:rFonts w:ascii="Times New Roman" w:hAnsi="Times New Roman" w:cs="Times New Roman"/>
          <w:b/>
          <w:sz w:val="24"/>
          <w:szCs w:val="24"/>
        </w:rPr>
        <w:t>MEMORANDUM IN SUPPORT</w:t>
      </w:r>
      <w:r w:rsidRPr="00B8029E" w:rsidR="00D70A40">
        <w:rPr>
          <w:rFonts w:ascii="Times New Roman" w:hAnsi="Times New Roman" w:cs="Times New Roman"/>
          <w:b/>
          <w:sz w:val="24"/>
          <w:szCs w:val="24"/>
        </w:rPr>
        <w:t xml:space="preserve"> </w:t>
      </w:r>
    </w:p>
    <w:p w:rsidR="009D6F53" w:rsidRPr="00B8029E" w:rsidP="004352ED" w14:paraId="6F769361" w14:textId="77777777">
      <w:pPr>
        <w:pBdr>
          <w:bottom w:val="single" w:sz="12" w:space="1" w:color="auto"/>
        </w:pBdr>
        <w:autoSpaceDE w:val="0"/>
        <w:autoSpaceDN w:val="0"/>
        <w:adjustRightInd w:val="0"/>
        <w:spacing w:after="240" w:line="240" w:lineRule="auto"/>
        <w:jc w:val="center"/>
        <w:rPr>
          <w:rFonts w:ascii="Times New Roman" w:eastAsia="Calibri" w:hAnsi="Times New Roman" w:cs="Times New Roman"/>
          <w:b/>
          <w:bCs/>
          <w:sz w:val="24"/>
          <w:szCs w:val="24"/>
        </w:rPr>
      </w:pPr>
    </w:p>
    <w:p w:rsidR="00AF4FFB" w:rsidRPr="00B8029E" w:rsidP="006A1BDB" w14:paraId="395737C1" w14:textId="1DC7A498">
      <w:pPr>
        <w:pStyle w:val="Heading1"/>
      </w:pPr>
      <w:bookmarkStart w:id="4" w:name="_Toc124515675"/>
      <w:r w:rsidRPr="00B8029E">
        <w:t>INTRODUCTION</w:t>
      </w:r>
      <w:bookmarkEnd w:id="3"/>
      <w:bookmarkEnd w:id="4"/>
    </w:p>
    <w:p w:rsidR="009004E7" w:rsidRPr="00B8029E" w:rsidP="009004E7" w14:paraId="6306BDE5" w14:textId="3C5DEDAB">
      <w:pPr>
        <w:spacing w:after="0" w:line="480" w:lineRule="auto"/>
        <w:ind w:firstLine="720"/>
        <w:rPr>
          <w:rFonts w:ascii="Times New Roman" w:hAnsi="Times New Roman" w:cs="Times New Roman"/>
          <w:iCs/>
          <w:sz w:val="24"/>
          <w:szCs w:val="24"/>
        </w:rPr>
      </w:pPr>
      <w:r w:rsidRPr="00B8029E">
        <w:rPr>
          <w:rFonts w:ascii="Times New Roman" w:hAnsi="Times New Roman" w:cs="Times New Roman"/>
          <w:color w:val="000000" w:themeColor="text1"/>
          <w:sz w:val="24"/>
          <w:szCs w:val="24"/>
          <w:shd w:val="clear" w:color="auto" w:fill="FFFFFF"/>
        </w:rPr>
        <w:t>The PUCO</w:t>
      </w:r>
      <w:r w:rsidRPr="00B8029E">
        <w:rPr>
          <w:rFonts w:ascii="Times New Roman" w:hAnsi="Times New Roman" w:cs="Times New Roman"/>
          <w:color w:val="000000" w:themeColor="text1"/>
          <w:sz w:val="24"/>
          <w:szCs w:val="24"/>
          <w:shd w:val="clear" w:color="auto" w:fill="FFFFFF"/>
        </w:rPr>
        <w:t>’s</w:t>
      </w:r>
      <w:r w:rsidRPr="00B8029E">
        <w:rPr>
          <w:rFonts w:ascii="Times New Roman" w:hAnsi="Times New Roman" w:cs="Times New Roman"/>
          <w:color w:val="000000" w:themeColor="text1"/>
          <w:sz w:val="24"/>
          <w:szCs w:val="24"/>
          <w:shd w:val="clear" w:color="auto" w:fill="FFFFFF"/>
        </w:rPr>
        <w:t xml:space="preserve"> </w:t>
      </w:r>
      <w:r w:rsidRPr="00B8029E" w:rsidR="000C6247">
        <w:rPr>
          <w:rFonts w:ascii="Times New Roman" w:hAnsi="Times New Roman" w:cs="Times New Roman"/>
          <w:color w:val="000000" w:themeColor="text1"/>
          <w:sz w:val="24"/>
          <w:szCs w:val="24"/>
          <w:shd w:val="clear" w:color="auto" w:fill="FFFFFF"/>
        </w:rPr>
        <w:t>Opinion</w:t>
      </w:r>
      <w:r w:rsidRPr="00B8029E">
        <w:rPr>
          <w:rFonts w:ascii="Times New Roman" w:hAnsi="Times New Roman" w:cs="Times New Roman"/>
          <w:color w:val="000000" w:themeColor="text1"/>
          <w:sz w:val="24"/>
          <w:szCs w:val="24"/>
          <w:shd w:val="clear" w:color="auto" w:fill="FFFFFF"/>
        </w:rPr>
        <w:t xml:space="preserve"> and Order </w:t>
      </w:r>
      <w:r w:rsidRPr="00B8029E" w:rsidR="009330EF">
        <w:rPr>
          <w:rFonts w:ascii="Times New Roman" w:hAnsi="Times New Roman" w:cs="Times New Roman"/>
          <w:color w:val="000000" w:themeColor="text1"/>
          <w:sz w:val="24"/>
          <w:szCs w:val="24"/>
          <w:shd w:val="clear" w:color="auto" w:fill="FFFFFF"/>
        </w:rPr>
        <w:t>is unlawful</w:t>
      </w:r>
      <w:r w:rsidRPr="00B8029E" w:rsidR="00B21BBE">
        <w:rPr>
          <w:rFonts w:ascii="Times New Roman" w:hAnsi="Times New Roman" w:cs="Times New Roman"/>
          <w:color w:val="000000" w:themeColor="text1"/>
          <w:sz w:val="24"/>
          <w:szCs w:val="24"/>
          <w:shd w:val="clear" w:color="auto" w:fill="FFFFFF"/>
        </w:rPr>
        <w:t xml:space="preserve"> and unreasonable.</w:t>
      </w:r>
      <w:r w:rsidRPr="00B8029E">
        <w:rPr>
          <w:rFonts w:ascii="Times New Roman" w:hAnsi="Times New Roman" w:cs="Times New Roman"/>
          <w:color w:val="000000" w:themeColor="text1"/>
          <w:sz w:val="24"/>
          <w:szCs w:val="24"/>
          <w:shd w:val="clear" w:color="auto" w:fill="FFFFFF"/>
        </w:rPr>
        <w:t xml:space="preserve"> The PUCO </w:t>
      </w:r>
      <w:r w:rsidRPr="00B8029E" w:rsidR="000C6247">
        <w:rPr>
          <w:rFonts w:ascii="Times New Roman" w:hAnsi="Times New Roman" w:cs="Times New Roman"/>
          <w:color w:val="000000" w:themeColor="text1"/>
          <w:sz w:val="24"/>
          <w:szCs w:val="24"/>
          <w:shd w:val="clear" w:color="auto" w:fill="FFFFFF"/>
        </w:rPr>
        <w:t xml:space="preserve">approved the </w:t>
      </w:r>
      <w:r w:rsidRPr="00B8029E" w:rsidR="00310B25">
        <w:rPr>
          <w:rFonts w:ascii="Times New Roman" w:hAnsi="Times New Roman" w:cs="Times New Roman"/>
          <w:color w:val="000000" w:themeColor="text1"/>
          <w:sz w:val="24"/>
          <w:szCs w:val="24"/>
          <w:shd w:val="clear" w:color="auto" w:fill="FFFFFF"/>
        </w:rPr>
        <w:t xml:space="preserve">2022 Adjustment </w:t>
      </w:r>
      <w:r w:rsidRPr="00B8029E" w:rsidR="000C6247">
        <w:rPr>
          <w:rFonts w:ascii="Times New Roman" w:hAnsi="Times New Roman" w:cs="Times New Roman"/>
          <w:color w:val="000000" w:themeColor="text1"/>
          <w:sz w:val="24"/>
          <w:szCs w:val="24"/>
          <w:shd w:val="clear" w:color="auto" w:fill="FFFFFF"/>
        </w:rPr>
        <w:t xml:space="preserve">Settlement authorizing </w:t>
      </w:r>
      <w:r w:rsidRPr="00B8029E" w:rsidR="00B254A7">
        <w:rPr>
          <w:rFonts w:ascii="Times New Roman" w:hAnsi="Times New Roman" w:cs="Times New Roman"/>
          <w:color w:val="000000" w:themeColor="text1"/>
          <w:sz w:val="24"/>
          <w:szCs w:val="24"/>
          <w:shd w:val="clear" w:color="auto" w:fill="FFFFFF"/>
        </w:rPr>
        <w:t>excessive rider rate adjustments for each electric distribution utility</w:t>
      </w:r>
      <w:r w:rsidR="00801ABF">
        <w:rPr>
          <w:rFonts w:ascii="Times New Roman" w:hAnsi="Times New Roman" w:cs="Times New Roman"/>
          <w:color w:val="000000" w:themeColor="text1"/>
          <w:sz w:val="24"/>
          <w:szCs w:val="24"/>
          <w:shd w:val="clear" w:color="auto" w:fill="FFFFFF"/>
        </w:rPr>
        <w:t xml:space="preserve"> </w:t>
      </w:r>
      <w:r w:rsidRPr="00B8029E">
        <w:rPr>
          <w:rFonts w:ascii="Times New Roman" w:hAnsi="Times New Roman" w:cs="Times New Roman"/>
          <w:color w:val="000000" w:themeColor="text1"/>
          <w:sz w:val="24"/>
          <w:szCs w:val="24"/>
          <w:shd w:val="clear" w:color="auto" w:fill="FFFFFF"/>
        </w:rPr>
        <w:t xml:space="preserve">that </w:t>
      </w:r>
      <w:r w:rsidRPr="00B8029E" w:rsidR="00CB7B0A">
        <w:rPr>
          <w:rFonts w:ascii="Times New Roman" w:hAnsi="Times New Roman" w:cs="Times New Roman"/>
          <w:color w:val="000000" w:themeColor="text1"/>
          <w:sz w:val="24"/>
          <w:szCs w:val="24"/>
          <w:shd w:val="clear" w:color="auto" w:fill="FFFFFF"/>
        </w:rPr>
        <w:t xml:space="preserve">all </w:t>
      </w:r>
      <w:r w:rsidRPr="00B8029E">
        <w:rPr>
          <w:rFonts w:ascii="Times New Roman" w:hAnsi="Times New Roman" w:cs="Times New Roman"/>
          <w:color w:val="000000" w:themeColor="text1"/>
          <w:sz w:val="24"/>
          <w:szCs w:val="24"/>
          <w:shd w:val="clear" w:color="auto" w:fill="FFFFFF"/>
        </w:rPr>
        <w:t>consumers must pay for</w:t>
      </w:r>
      <w:r w:rsidRPr="00B8029E" w:rsidR="00B254A7">
        <w:rPr>
          <w:rFonts w:ascii="Times New Roman" w:hAnsi="Times New Roman" w:cs="Times New Roman"/>
          <w:color w:val="000000" w:themeColor="text1"/>
          <w:sz w:val="24"/>
          <w:szCs w:val="24"/>
          <w:shd w:val="clear" w:color="auto" w:fill="FFFFFF"/>
        </w:rPr>
        <w:t xml:space="preserve">. </w:t>
      </w:r>
      <w:r w:rsidRPr="00B8029E">
        <w:rPr>
          <w:rFonts w:ascii="Times New Roman" w:hAnsi="Times New Roman" w:cs="Times New Roman"/>
          <w:iCs/>
          <w:sz w:val="24"/>
          <w:szCs w:val="24"/>
        </w:rPr>
        <w:t xml:space="preserve">Across each of the electric utilities, PIPP generation rates are significantly higher than the rates charged to </w:t>
      </w:r>
      <w:r w:rsidRPr="00B8029E" w:rsidR="007675E4">
        <w:rPr>
          <w:rFonts w:ascii="Times New Roman" w:hAnsi="Times New Roman" w:cs="Times New Roman"/>
          <w:iCs/>
          <w:sz w:val="24"/>
          <w:szCs w:val="24"/>
        </w:rPr>
        <w:t xml:space="preserve">all other non-PIPP </w:t>
      </w:r>
      <w:r w:rsidRPr="00B8029E">
        <w:rPr>
          <w:rFonts w:ascii="Times New Roman" w:hAnsi="Times New Roman" w:cs="Times New Roman"/>
          <w:iCs/>
          <w:sz w:val="24"/>
          <w:szCs w:val="24"/>
        </w:rPr>
        <w:t>standard offer consumers. OCC has previously addressed in the earlier phase of this proceeding how this is in violation of R.C. 4928.542(B),</w:t>
      </w:r>
      <w:r>
        <w:rPr>
          <w:rStyle w:val="FootnoteReference"/>
          <w:rFonts w:ascii="Times New Roman" w:hAnsi="Times New Roman" w:cs="Times New Roman"/>
          <w:iCs/>
          <w:sz w:val="24"/>
          <w:szCs w:val="24"/>
        </w:rPr>
        <w:footnoteReference w:id="5"/>
      </w:r>
      <w:r w:rsidRPr="00B8029E">
        <w:rPr>
          <w:rFonts w:ascii="Times New Roman" w:hAnsi="Times New Roman" w:cs="Times New Roman"/>
          <w:iCs/>
          <w:sz w:val="24"/>
          <w:szCs w:val="24"/>
        </w:rPr>
        <w:t xml:space="preserve"> and </w:t>
      </w:r>
      <w:r w:rsidRPr="00B8029E" w:rsidR="00F379AA">
        <w:rPr>
          <w:rFonts w:ascii="Times New Roman" w:hAnsi="Times New Roman" w:cs="Times New Roman"/>
          <w:iCs/>
          <w:sz w:val="24"/>
          <w:szCs w:val="24"/>
        </w:rPr>
        <w:t xml:space="preserve">OCC </w:t>
      </w:r>
      <w:r w:rsidRPr="00B8029E">
        <w:rPr>
          <w:rFonts w:ascii="Times New Roman" w:hAnsi="Times New Roman" w:cs="Times New Roman"/>
          <w:iCs/>
          <w:sz w:val="24"/>
          <w:szCs w:val="24"/>
        </w:rPr>
        <w:t>incorporates by reference our arguments from the Notice of Intent phase.</w:t>
      </w:r>
      <w:r>
        <w:rPr>
          <w:rStyle w:val="FootnoteReference"/>
          <w:rFonts w:ascii="Times New Roman" w:hAnsi="Times New Roman" w:cs="Times New Roman"/>
          <w:iCs/>
          <w:sz w:val="24"/>
          <w:szCs w:val="24"/>
        </w:rPr>
        <w:footnoteReference w:id="6"/>
      </w:r>
      <w:r w:rsidRPr="00B8029E">
        <w:rPr>
          <w:rFonts w:ascii="Times New Roman" w:hAnsi="Times New Roman" w:cs="Times New Roman"/>
          <w:iCs/>
          <w:sz w:val="24"/>
          <w:szCs w:val="24"/>
        </w:rPr>
        <w:t xml:space="preserve"> </w:t>
      </w:r>
      <w:r w:rsidRPr="00B8029E" w:rsidR="00CB7B0A">
        <w:rPr>
          <w:rFonts w:ascii="Times New Roman" w:hAnsi="Times New Roman" w:cs="Times New Roman"/>
          <w:iCs/>
          <w:sz w:val="24"/>
          <w:szCs w:val="24"/>
        </w:rPr>
        <w:t>And the PUCO has ignored OCC’s pleas.</w:t>
      </w:r>
      <w:r w:rsidR="00B8029E">
        <w:rPr>
          <w:rFonts w:ascii="Times New Roman" w:hAnsi="Times New Roman" w:cs="Times New Roman"/>
          <w:iCs/>
          <w:sz w:val="24"/>
          <w:szCs w:val="24"/>
        </w:rPr>
        <w:t xml:space="preserve"> </w:t>
      </w:r>
    </w:p>
    <w:p w:rsidR="009004E7" w:rsidRPr="00B8029E" w:rsidP="009004E7" w14:paraId="14AFE365" w14:textId="68A6FA95">
      <w:pPr>
        <w:spacing w:after="0" w:line="480" w:lineRule="auto"/>
        <w:ind w:firstLine="720"/>
        <w:rPr>
          <w:rFonts w:ascii="Times New Roman" w:hAnsi="Times New Roman" w:cs="Times New Roman"/>
          <w:color w:val="333333"/>
          <w:sz w:val="24"/>
          <w:szCs w:val="24"/>
        </w:rPr>
      </w:pPr>
      <w:r w:rsidRPr="00B8029E">
        <w:rPr>
          <w:rFonts w:ascii="Times New Roman" w:hAnsi="Times New Roman" w:cs="Times New Roman"/>
          <w:i/>
          <w:sz w:val="24"/>
          <w:szCs w:val="24"/>
        </w:rPr>
        <w:t>But all other Ohio electric consumers are harmed, and not only PIPP consumers.</w:t>
      </w:r>
      <w:r w:rsidRPr="00B8029E">
        <w:rPr>
          <w:rFonts w:ascii="Times New Roman" w:hAnsi="Times New Roman" w:cs="Times New Roman"/>
          <w:iCs/>
          <w:sz w:val="24"/>
          <w:szCs w:val="24"/>
        </w:rPr>
        <w:t xml:space="preserve"> That is because the difference between </w:t>
      </w:r>
      <w:r w:rsidRPr="00B8029E">
        <w:rPr>
          <w:rFonts w:ascii="Times New Roman" w:hAnsi="Times New Roman" w:cs="Times New Roman"/>
          <w:color w:val="333333"/>
          <w:sz w:val="24"/>
          <w:szCs w:val="24"/>
        </w:rPr>
        <w:t>the actual electric bill and the PIPP customer payment is paid by all consumers through the USF rider. PIPP rates that exceed the SSO rates for generation are an unreasonable additional cost on the USF that all customers (including PIPP consumers) are responsible for paying. And the burden on all consumers is even greater when and if PIPP customers are unable to pay their total electric bill</w:t>
      </w:r>
      <w:r w:rsidRPr="00B8029E" w:rsidR="007675E4">
        <w:rPr>
          <w:rFonts w:ascii="Times New Roman" w:hAnsi="Times New Roman" w:cs="Times New Roman"/>
          <w:color w:val="333333"/>
          <w:sz w:val="24"/>
          <w:szCs w:val="24"/>
        </w:rPr>
        <w:t xml:space="preserve"> resulting in higher arrearages</w:t>
      </w:r>
      <w:r w:rsidRPr="00B8029E">
        <w:rPr>
          <w:rFonts w:ascii="Times New Roman" w:hAnsi="Times New Roman" w:cs="Times New Roman"/>
          <w:color w:val="333333"/>
          <w:sz w:val="24"/>
          <w:szCs w:val="24"/>
        </w:rPr>
        <w:t>.</w:t>
      </w:r>
    </w:p>
    <w:p w:rsidR="00091ECD" w:rsidRPr="00B8029E" w:rsidP="009004E7" w14:paraId="33F75E9A" w14:textId="26FA4704">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For this reason, </w:t>
      </w:r>
      <w:r w:rsidRPr="00B8029E" w:rsidR="00993679">
        <w:rPr>
          <w:rFonts w:ascii="Times New Roman" w:hAnsi="Times New Roman" w:cs="Times New Roman"/>
          <w:sz w:val="24"/>
          <w:szCs w:val="24"/>
        </w:rPr>
        <w:t xml:space="preserve">the PUCO erred in finding that the </w:t>
      </w:r>
      <w:r w:rsidRPr="00B8029E">
        <w:rPr>
          <w:rFonts w:ascii="Times New Roman" w:hAnsi="Times New Roman" w:cs="Times New Roman"/>
          <w:sz w:val="24"/>
          <w:szCs w:val="24"/>
        </w:rPr>
        <w:t xml:space="preserve">Settlement </w:t>
      </w:r>
      <w:r w:rsidRPr="00B8029E" w:rsidR="00993679">
        <w:rPr>
          <w:rFonts w:ascii="Times New Roman" w:hAnsi="Times New Roman" w:cs="Times New Roman"/>
          <w:sz w:val="24"/>
          <w:szCs w:val="24"/>
        </w:rPr>
        <w:t>benefits</w:t>
      </w:r>
      <w:r w:rsidRPr="00B8029E">
        <w:rPr>
          <w:rFonts w:ascii="Times New Roman" w:hAnsi="Times New Roman" w:cs="Times New Roman"/>
          <w:sz w:val="24"/>
          <w:szCs w:val="24"/>
        </w:rPr>
        <w:t xml:space="preserve"> customers and the public interest. The Settlement harms consumers and the public interest, instead of benefiting them. </w:t>
      </w:r>
      <w:r w:rsidRPr="00B8029E" w:rsidR="00993679">
        <w:rPr>
          <w:rFonts w:ascii="Times New Roman" w:hAnsi="Times New Roman" w:cs="Times New Roman"/>
          <w:sz w:val="24"/>
          <w:szCs w:val="24"/>
        </w:rPr>
        <w:t xml:space="preserve">The PUCO further erred in not addressing OCC’s argument that R.C. 4905.22, which requires just and reasonable rates, is violated. </w:t>
      </w:r>
    </w:p>
    <w:p w:rsidR="00224851" w:rsidRPr="00B8029E" w:rsidP="00224851" w14:paraId="33A461B7" w14:textId="51208D4F">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F</w:t>
      </w:r>
      <w:r w:rsidRPr="00B8029E" w:rsidR="00993679">
        <w:rPr>
          <w:rFonts w:ascii="Times New Roman" w:hAnsi="Times New Roman" w:cs="Times New Roman"/>
          <w:sz w:val="24"/>
          <w:szCs w:val="24"/>
        </w:rPr>
        <w:t xml:space="preserve">inally, </w:t>
      </w:r>
      <w:r w:rsidRPr="00B8029E">
        <w:rPr>
          <w:rFonts w:ascii="Times New Roman" w:hAnsi="Times New Roman" w:cs="Times New Roman"/>
          <w:sz w:val="24"/>
          <w:szCs w:val="24"/>
        </w:rPr>
        <w:t xml:space="preserve">the PUCO’s Order is unreasonable because it does not provide a mechanism by which to address the issue of high PIPP rates in relation to the standard </w:t>
      </w:r>
      <w:r w:rsidRPr="00B8029E" w:rsidR="00F379AA">
        <w:rPr>
          <w:rFonts w:ascii="Times New Roman" w:hAnsi="Times New Roman" w:cs="Times New Roman"/>
          <w:sz w:val="24"/>
          <w:szCs w:val="24"/>
        </w:rPr>
        <w:t xml:space="preserve">service </w:t>
      </w:r>
      <w:r w:rsidRPr="00B8029E">
        <w:rPr>
          <w:rFonts w:ascii="Times New Roman" w:hAnsi="Times New Roman" w:cs="Times New Roman"/>
          <w:sz w:val="24"/>
          <w:szCs w:val="24"/>
        </w:rPr>
        <w:t>offer rates going forward. Recommending that ODOD host an annual meeting of the USF Working Group</w:t>
      </w:r>
      <w:r w:rsidRPr="00B8029E" w:rsidR="00B97F5B">
        <w:rPr>
          <w:rFonts w:ascii="Times New Roman" w:hAnsi="Times New Roman" w:cs="Times New Roman"/>
          <w:sz w:val="24"/>
          <w:szCs w:val="24"/>
        </w:rPr>
        <w:t xml:space="preserve"> with the parties</w:t>
      </w:r>
      <w:r w:rsidRPr="00B8029E">
        <w:rPr>
          <w:rFonts w:ascii="Times New Roman" w:hAnsi="Times New Roman" w:cs="Times New Roman"/>
          <w:sz w:val="24"/>
          <w:szCs w:val="24"/>
        </w:rPr>
        <w:t xml:space="preserve"> “to consider the impacts of the USF rates on residential and other consumers”</w:t>
      </w:r>
      <w:r>
        <w:rPr>
          <w:rStyle w:val="FootnoteReference"/>
          <w:rFonts w:ascii="Times New Roman" w:hAnsi="Times New Roman" w:cs="Times New Roman"/>
          <w:sz w:val="24"/>
          <w:szCs w:val="24"/>
        </w:rPr>
        <w:footnoteReference w:id="7"/>
      </w:r>
      <w:r w:rsidRPr="00B8029E" w:rsidR="00B97F5B">
        <w:rPr>
          <w:rFonts w:ascii="Times New Roman" w:hAnsi="Times New Roman" w:cs="Times New Roman"/>
          <w:sz w:val="24"/>
          <w:szCs w:val="24"/>
        </w:rPr>
        <w:t xml:space="preserve"> is not the same as the PUCO </w:t>
      </w:r>
      <w:r w:rsidRPr="00B8029E" w:rsidR="001D1B6D">
        <w:rPr>
          <w:rFonts w:ascii="Times New Roman" w:hAnsi="Times New Roman" w:cs="Times New Roman"/>
          <w:sz w:val="24"/>
          <w:szCs w:val="24"/>
        </w:rPr>
        <w:t>(</w:t>
      </w:r>
      <w:r w:rsidRPr="00B8029E" w:rsidR="00B97F5B">
        <w:rPr>
          <w:rFonts w:ascii="Times New Roman" w:hAnsi="Times New Roman" w:cs="Times New Roman"/>
          <w:sz w:val="24"/>
          <w:szCs w:val="24"/>
        </w:rPr>
        <w:t xml:space="preserve">as a regulatory </w:t>
      </w:r>
      <w:r w:rsidRPr="00B8029E" w:rsidR="001D1B6D">
        <w:rPr>
          <w:rFonts w:ascii="Times New Roman" w:hAnsi="Times New Roman" w:cs="Times New Roman"/>
          <w:sz w:val="24"/>
          <w:szCs w:val="24"/>
        </w:rPr>
        <w:t>agency)</w:t>
      </w:r>
      <w:r w:rsidRPr="00B8029E" w:rsidR="00B97F5B">
        <w:rPr>
          <w:rFonts w:ascii="Times New Roman" w:hAnsi="Times New Roman" w:cs="Times New Roman"/>
          <w:sz w:val="24"/>
          <w:szCs w:val="24"/>
        </w:rPr>
        <w:t xml:space="preserve"> addressing this issue</w:t>
      </w:r>
      <w:r w:rsidRPr="00B8029E" w:rsidR="007675E4">
        <w:rPr>
          <w:rFonts w:ascii="Times New Roman" w:hAnsi="Times New Roman" w:cs="Times New Roman"/>
          <w:sz w:val="24"/>
          <w:szCs w:val="24"/>
        </w:rPr>
        <w:t xml:space="preserve"> head-on</w:t>
      </w:r>
      <w:r w:rsidRPr="00B8029E" w:rsidR="00B97F5B">
        <w:rPr>
          <w:rFonts w:ascii="Times New Roman" w:hAnsi="Times New Roman" w:cs="Times New Roman"/>
          <w:sz w:val="24"/>
          <w:szCs w:val="24"/>
        </w:rPr>
        <w:t xml:space="preserve">. ODOD’s next USF filing, in May 2023, will surely see the same </w:t>
      </w:r>
      <w:r w:rsidRPr="00B8029E" w:rsidR="00F379AA">
        <w:rPr>
          <w:rFonts w:ascii="Times New Roman" w:hAnsi="Times New Roman" w:cs="Times New Roman"/>
          <w:sz w:val="24"/>
          <w:szCs w:val="24"/>
        </w:rPr>
        <w:t>issues presented</w:t>
      </w:r>
      <w:r w:rsidRPr="00B8029E" w:rsidR="00B97F5B">
        <w:rPr>
          <w:rFonts w:ascii="Times New Roman" w:hAnsi="Times New Roman" w:cs="Times New Roman"/>
          <w:sz w:val="24"/>
          <w:szCs w:val="24"/>
        </w:rPr>
        <w:t xml:space="preserve"> in this proceeding if </w:t>
      </w:r>
      <w:r w:rsidRPr="00B8029E" w:rsidR="007675E4">
        <w:rPr>
          <w:rFonts w:ascii="Times New Roman" w:hAnsi="Times New Roman" w:cs="Times New Roman"/>
          <w:sz w:val="24"/>
          <w:szCs w:val="24"/>
        </w:rPr>
        <w:t xml:space="preserve">the PUCO does not take the necessary actions to address them </w:t>
      </w:r>
      <w:r w:rsidRPr="00B8029E" w:rsidR="00B97F5B">
        <w:rPr>
          <w:rFonts w:ascii="Times New Roman" w:hAnsi="Times New Roman" w:cs="Times New Roman"/>
          <w:sz w:val="24"/>
          <w:szCs w:val="24"/>
        </w:rPr>
        <w:t>before then</w:t>
      </w:r>
      <w:r w:rsidRPr="00B8029E">
        <w:rPr>
          <w:rFonts w:ascii="Times New Roman" w:hAnsi="Times New Roman" w:cs="Times New Roman"/>
          <w:sz w:val="24"/>
          <w:szCs w:val="24"/>
        </w:rPr>
        <w:t>.</w:t>
      </w:r>
      <w:r w:rsidRPr="00B8029E" w:rsidR="00CB7B0A">
        <w:rPr>
          <w:rFonts w:ascii="Times New Roman" w:hAnsi="Times New Roman" w:cs="Times New Roman"/>
          <w:sz w:val="24"/>
          <w:szCs w:val="24"/>
        </w:rPr>
        <w:t xml:space="preserve"> This is a real issue that is affecting all Ohioans and must be addressed now.</w:t>
      </w:r>
    </w:p>
    <w:p w:rsidR="00AF4FFB" w:rsidRPr="00B8029E" w:rsidP="00580702" w14:paraId="4919B535" w14:textId="6043C228">
      <w:pPr>
        <w:pStyle w:val="BodyTextIndent3"/>
        <w:widowControl w:val="0"/>
        <w:spacing w:line="480" w:lineRule="auto"/>
        <w:ind w:right="-312"/>
        <w:rPr>
          <w:rFonts w:eastAsiaTheme="minorHAnsi"/>
          <w:color w:val="000000" w:themeColor="text1"/>
          <w:szCs w:val="24"/>
        </w:rPr>
      </w:pPr>
      <w:r w:rsidRPr="00B8029E">
        <w:rPr>
          <w:rFonts w:eastAsiaTheme="minorHAnsi"/>
          <w:szCs w:val="24"/>
        </w:rPr>
        <w:t xml:space="preserve">The </w:t>
      </w:r>
      <w:r w:rsidRPr="00B8029E">
        <w:rPr>
          <w:rFonts w:eastAsiaTheme="minorHAnsi"/>
          <w:color w:val="000000" w:themeColor="text1"/>
          <w:szCs w:val="24"/>
        </w:rPr>
        <w:t>PUCO should grant OCC’s Application for Rehearing</w:t>
      </w:r>
      <w:r w:rsidRPr="00B8029E" w:rsidR="00035F75">
        <w:rPr>
          <w:rFonts w:eastAsiaTheme="minorHAnsi"/>
          <w:color w:val="000000" w:themeColor="text1"/>
          <w:szCs w:val="24"/>
        </w:rPr>
        <w:t xml:space="preserve"> </w:t>
      </w:r>
      <w:r w:rsidRPr="00B8029E" w:rsidR="003C22CB">
        <w:rPr>
          <w:rFonts w:eastAsiaTheme="minorHAnsi"/>
          <w:color w:val="000000" w:themeColor="text1"/>
          <w:szCs w:val="24"/>
        </w:rPr>
        <w:t xml:space="preserve">as further explained below to protect </w:t>
      </w:r>
      <w:r w:rsidRPr="00B8029E" w:rsidR="00B97F5B">
        <w:rPr>
          <w:rFonts w:eastAsiaTheme="minorHAnsi"/>
          <w:color w:val="000000" w:themeColor="text1"/>
          <w:szCs w:val="24"/>
        </w:rPr>
        <w:t>all Ohio consumers from paying excessive USF charges.</w:t>
      </w:r>
    </w:p>
    <w:p w:rsidR="000F540A" w14:paraId="3BF0840F" w14:textId="418719F9">
      <w:pPr>
        <w:rPr>
          <w:rFonts w:ascii="Times New Roman" w:eastAsia="Times New Roman" w:hAnsi="Times New Roman" w:cs="Times New Roman"/>
          <w:color w:val="000000" w:themeColor="text1"/>
          <w:sz w:val="24"/>
          <w:szCs w:val="24"/>
        </w:rPr>
      </w:pPr>
      <w:r>
        <w:rPr>
          <w:color w:val="000000" w:themeColor="text1"/>
          <w:szCs w:val="24"/>
        </w:rPr>
        <w:br w:type="page"/>
      </w:r>
    </w:p>
    <w:p w:rsidR="00E95F3D" w:rsidRPr="00B8029E" w:rsidP="006A1BDB" w14:paraId="67FDAEC9" w14:textId="1507196E">
      <w:pPr>
        <w:pStyle w:val="Heading1"/>
        <w:rPr>
          <w:color w:val="000000" w:themeColor="text1"/>
        </w:rPr>
      </w:pPr>
      <w:bookmarkStart w:id="5" w:name="_Toc53576255"/>
      <w:bookmarkStart w:id="6" w:name="_Toc53576320"/>
      <w:bookmarkStart w:id="7" w:name="_Toc92365887"/>
      <w:bookmarkStart w:id="8" w:name="_Toc98520147"/>
      <w:bookmarkStart w:id="9" w:name="_Toc124515676"/>
      <w:r w:rsidRPr="00B8029E">
        <w:rPr>
          <w:color w:val="000000" w:themeColor="text1"/>
        </w:rPr>
        <w:t>MATTER</w:t>
      </w:r>
      <w:r w:rsidRPr="00B8029E" w:rsidR="009A2761">
        <w:rPr>
          <w:color w:val="000000" w:themeColor="text1"/>
        </w:rPr>
        <w:t>S</w:t>
      </w:r>
      <w:r w:rsidRPr="00B8029E">
        <w:rPr>
          <w:color w:val="000000" w:themeColor="text1"/>
        </w:rPr>
        <w:t xml:space="preserve"> FOR CONSIDERATION</w:t>
      </w:r>
      <w:bookmarkEnd w:id="5"/>
      <w:bookmarkEnd w:id="6"/>
      <w:bookmarkEnd w:id="7"/>
      <w:bookmarkEnd w:id="8"/>
      <w:bookmarkEnd w:id="9"/>
    </w:p>
    <w:p w:rsidR="000F540A" w:rsidRPr="00B8029E" w:rsidP="000F540A" w14:paraId="30656F0C" w14:textId="45760884">
      <w:pPr>
        <w:pStyle w:val="Heading2"/>
      </w:pPr>
      <w:bookmarkStart w:id="10" w:name="_Toc124515677"/>
      <w:bookmarkStart w:id="11" w:name="_Toc118472306"/>
      <w:r w:rsidRPr="000F540A">
        <w:t>A.</w:t>
      </w:r>
      <w:r w:rsidRPr="000F540A">
        <w:tab/>
      </w:r>
      <w:r w:rsidRPr="000F540A" w:rsidR="00D70A40">
        <w:t>ASSIGNMENT OF ERROR NO. 1:</w:t>
      </w:r>
      <w:r w:rsidRPr="000F540A">
        <w:t xml:space="preserve"> </w:t>
      </w:r>
      <w:r w:rsidRPr="000F540A" w:rsidR="00B826D4">
        <w:t xml:space="preserve">The PUCO erred </w:t>
      </w:r>
      <w:r w:rsidRPr="000F540A" w:rsidR="00E95946">
        <w:t xml:space="preserve">because it did not address </w:t>
      </w:r>
      <w:r w:rsidRPr="000F540A" w:rsidR="00F379AA">
        <w:t>that</w:t>
      </w:r>
      <w:r w:rsidRPr="000F540A" w:rsidR="00E95946">
        <w:t xml:space="preserve"> the proposed increases in the Universal Service Fund rider rates are unjust and unreasonable in violation </w:t>
      </w:r>
      <w:r w:rsidRPr="000F540A" w:rsidR="00B06C02">
        <w:t>of R.C.</w:t>
      </w:r>
      <w:r w:rsidRPr="000F540A" w:rsidR="00B826D4">
        <w:t xml:space="preserve"> 4905.22</w:t>
      </w:r>
      <w:r w:rsidR="00291287">
        <w:t xml:space="preserve"> and</w:t>
      </w:r>
      <w:r w:rsidRPr="000F540A" w:rsidR="00E95946">
        <w:t xml:space="preserve"> </w:t>
      </w:r>
      <w:r w:rsidRPr="000F540A" w:rsidR="00913B1E">
        <w:t>fail</w:t>
      </w:r>
      <w:r w:rsidRPr="000F540A" w:rsidR="004427DD">
        <w:t>s</w:t>
      </w:r>
      <w:r w:rsidRPr="000F540A" w:rsidR="00913B1E">
        <w:t xml:space="preserve"> to protect at-risk consumers in violation </w:t>
      </w:r>
      <w:r w:rsidRPr="000F540A" w:rsidR="00B06C02">
        <w:t>of R.C.</w:t>
      </w:r>
      <w:r w:rsidRPr="000F540A" w:rsidR="00E95946">
        <w:t xml:space="preserve"> 4928.02(L) </w:t>
      </w:r>
      <w:r w:rsidRPr="000F540A" w:rsidR="00B826D4">
        <w:t xml:space="preserve">and rates charged to PIPP consumers in excess of the rates charged to utilities’ standard service offer consumers </w:t>
      </w:r>
      <w:r w:rsidRPr="000F540A" w:rsidR="00E95946">
        <w:t xml:space="preserve">in </w:t>
      </w:r>
      <w:r w:rsidRPr="000F540A" w:rsidR="00B826D4">
        <w:t>violat</w:t>
      </w:r>
      <w:r w:rsidRPr="000F540A" w:rsidR="00803B67">
        <w:t>ion of</w:t>
      </w:r>
      <w:r w:rsidRPr="000F540A" w:rsidR="00B826D4">
        <w:t xml:space="preserve"> R.C. 4928.542.</w:t>
      </w:r>
      <w:bookmarkEnd w:id="10"/>
    </w:p>
    <w:bookmarkEnd w:id="11"/>
    <w:p w:rsidR="00310B25" w:rsidRPr="00B8029E" w:rsidP="00310B25" w14:paraId="5E126333" w14:textId="0125EED4">
      <w:pPr>
        <w:spacing w:after="0" w:line="480" w:lineRule="auto"/>
        <w:ind w:firstLine="720"/>
        <w:rPr>
          <w:rFonts w:ascii="Times New Roman" w:hAnsi="Times New Roman" w:cs="Times New Roman"/>
          <w:color w:val="333333"/>
          <w:sz w:val="24"/>
          <w:szCs w:val="24"/>
        </w:rPr>
      </w:pPr>
      <w:r w:rsidRPr="00B8029E">
        <w:rPr>
          <w:rFonts w:ascii="Times New Roman" w:hAnsi="Times New Roman" w:cs="Times New Roman"/>
          <w:iCs/>
          <w:sz w:val="24"/>
          <w:szCs w:val="24"/>
        </w:rPr>
        <w:t xml:space="preserve">The PUCO </w:t>
      </w:r>
      <w:bookmarkStart w:id="12" w:name="_Hlk124253052"/>
      <w:r w:rsidRPr="00B8029E">
        <w:rPr>
          <w:rFonts w:ascii="Times New Roman" w:hAnsi="Times New Roman" w:cs="Times New Roman"/>
          <w:iCs/>
          <w:sz w:val="24"/>
          <w:szCs w:val="24"/>
        </w:rPr>
        <w:t>erred by ap</w:t>
      </w:r>
      <w:bookmarkEnd w:id="12"/>
      <w:r w:rsidRPr="00B8029E">
        <w:rPr>
          <w:rFonts w:ascii="Times New Roman" w:hAnsi="Times New Roman" w:cs="Times New Roman"/>
          <w:iCs/>
          <w:sz w:val="24"/>
          <w:szCs w:val="24"/>
        </w:rPr>
        <w:t xml:space="preserve">proving a Settlement authorizing </w:t>
      </w:r>
      <w:r w:rsidRPr="00B8029E">
        <w:rPr>
          <w:rFonts w:ascii="Times New Roman" w:hAnsi="Times New Roman" w:cs="Times New Roman"/>
          <w:color w:val="333333"/>
          <w:sz w:val="24"/>
          <w:szCs w:val="24"/>
        </w:rPr>
        <w:t>USF rates to be collected from consumers in 2023 that violate Ohio law.</w:t>
      </w:r>
      <w:r>
        <w:rPr>
          <w:rStyle w:val="FootnoteReference"/>
          <w:rFonts w:ascii="Times New Roman" w:hAnsi="Times New Roman" w:cs="Times New Roman"/>
          <w:color w:val="333333"/>
          <w:sz w:val="24"/>
          <w:szCs w:val="24"/>
        </w:rPr>
        <w:footnoteReference w:id="8"/>
      </w:r>
      <w:r w:rsidRPr="00B8029E">
        <w:rPr>
          <w:rFonts w:ascii="Times New Roman" w:hAnsi="Times New Roman" w:cs="Times New Roman"/>
          <w:color w:val="333333"/>
          <w:sz w:val="24"/>
          <w:szCs w:val="24"/>
        </w:rPr>
        <w:t xml:space="preserve"> And the PUCO erred by not addressing OCC’s argument</w:t>
      </w:r>
      <w:r w:rsidRPr="00B8029E" w:rsidR="00803B67">
        <w:rPr>
          <w:rFonts w:ascii="Times New Roman" w:hAnsi="Times New Roman" w:cs="Times New Roman"/>
          <w:color w:val="333333"/>
          <w:sz w:val="24"/>
          <w:szCs w:val="24"/>
        </w:rPr>
        <w:t>s</w:t>
      </w:r>
      <w:r>
        <w:rPr>
          <w:rStyle w:val="FootnoteReference"/>
          <w:rFonts w:ascii="Times New Roman" w:hAnsi="Times New Roman" w:cs="Times New Roman"/>
          <w:color w:val="333333"/>
          <w:sz w:val="24"/>
          <w:szCs w:val="24"/>
        </w:rPr>
        <w:footnoteReference w:id="9"/>
      </w:r>
      <w:r w:rsidRPr="00B8029E">
        <w:rPr>
          <w:rFonts w:ascii="Times New Roman" w:hAnsi="Times New Roman" w:cs="Times New Roman"/>
          <w:color w:val="333333"/>
          <w:sz w:val="24"/>
          <w:szCs w:val="24"/>
        </w:rPr>
        <w:t xml:space="preserve"> that R.C. 4905.22 </w:t>
      </w:r>
      <w:r w:rsidRPr="00B8029E" w:rsidR="00CD11F5">
        <w:rPr>
          <w:rFonts w:ascii="Times New Roman" w:hAnsi="Times New Roman" w:cs="Times New Roman"/>
          <w:color w:val="333333"/>
          <w:sz w:val="24"/>
          <w:szCs w:val="24"/>
        </w:rPr>
        <w:t>and R.C. 4928.02(L)</w:t>
      </w:r>
      <w:r w:rsidRPr="00B8029E" w:rsidR="00803B67">
        <w:rPr>
          <w:rFonts w:ascii="Times New Roman" w:hAnsi="Times New Roman" w:cs="Times New Roman"/>
          <w:color w:val="333333"/>
          <w:sz w:val="24"/>
          <w:szCs w:val="24"/>
        </w:rPr>
        <w:t xml:space="preserve"> are</w:t>
      </w:r>
      <w:r w:rsidRPr="00B8029E">
        <w:rPr>
          <w:rFonts w:ascii="Times New Roman" w:hAnsi="Times New Roman" w:cs="Times New Roman"/>
          <w:color w:val="333333"/>
          <w:sz w:val="24"/>
          <w:szCs w:val="24"/>
        </w:rPr>
        <w:t xml:space="preserve"> violated. </w:t>
      </w:r>
    </w:p>
    <w:p w:rsidR="00922A23" w:rsidRPr="00B8029E" w:rsidP="00922A23" w14:paraId="0EFA6BCE" w14:textId="4E5BB111">
      <w:pPr>
        <w:spacing w:after="0" w:line="480" w:lineRule="auto"/>
        <w:ind w:firstLine="720"/>
        <w:rPr>
          <w:rFonts w:ascii="Times New Roman" w:hAnsi="Times New Roman" w:cs="Times New Roman"/>
          <w:color w:val="333333"/>
          <w:sz w:val="24"/>
          <w:szCs w:val="24"/>
        </w:rPr>
      </w:pPr>
      <w:r w:rsidRPr="00B8029E">
        <w:rPr>
          <w:rFonts w:ascii="Times New Roman" w:hAnsi="Times New Roman" w:cs="Times New Roman"/>
          <w:color w:val="333333"/>
          <w:sz w:val="24"/>
          <w:szCs w:val="24"/>
        </w:rPr>
        <w:t xml:space="preserve">R.C. 4905.22 requires that rates be just and reasonable. It is not just and reasonable to charge </w:t>
      </w:r>
      <w:r w:rsidRPr="00B8029E" w:rsidR="007675E4">
        <w:rPr>
          <w:rFonts w:ascii="Times New Roman" w:hAnsi="Times New Roman" w:cs="Times New Roman"/>
          <w:color w:val="333333"/>
          <w:sz w:val="24"/>
          <w:szCs w:val="24"/>
        </w:rPr>
        <w:t xml:space="preserve">low-income </w:t>
      </w:r>
      <w:r w:rsidRPr="00B8029E">
        <w:rPr>
          <w:rFonts w:ascii="Times New Roman" w:hAnsi="Times New Roman" w:cs="Times New Roman"/>
          <w:color w:val="333333"/>
          <w:sz w:val="24"/>
          <w:szCs w:val="24"/>
        </w:rPr>
        <w:t xml:space="preserve">PIPP consumers higher rates than the rates charged to </w:t>
      </w:r>
      <w:r w:rsidRPr="00B8029E" w:rsidR="007675E4">
        <w:rPr>
          <w:rFonts w:ascii="Times New Roman" w:hAnsi="Times New Roman" w:cs="Times New Roman"/>
          <w:color w:val="333333"/>
          <w:sz w:val="24"/>
          <w:szCs w:val="24"/>
        </w:rPr>
        <w:t xml:space="preserve">non-PIPP </w:t>
      </w:r>
      <w:r w:rsidRPr="00B8029E">
        <w:rPr>
          <w:rFonts w:ascii="Times New Roman" w:hAnsi="Times New Roman" w:cs="Times New Roman"/>
          <w:color w:val="333333"/>
          <w:sz w:val="24"/>
          <w:szCs w:val="24"/>
        </w:rPr>
        <w:t>standard service offer consumers. And it is not just and reasonable to charge all consumers excessive</w:t>
      </w:r>
      <w:r w:rsidRPr="00B8029E" w:rsidR="007675E4">
        <w:rPr>
          <w:rFonts w:ascii="Times New Roman" w:hAnsi="Times New Roman" w:cs="Times New Roman"/>
          <w:color w:val="333333"/>
          <w:sz w:val="24"/>
          <w:szCs w:val="24"/>
        </w:rPr>
        <w:t>ly high</w:t>
      </w:r>
      <w:r w:rsidRPr="00B8029E">
        <w:rPr>
          <w:rFonts w:ascii="Times New Roman" w:hAnsi="Times New Roman" w:cs="Times New Roman"/>
          <w:color w:val="333333"/>
          <w:sz w:val="24"/>
          <w:szCs w:val="24"/>
        </w:rPr>
        <w:t xml:space="preserve"> USF rider rates.</w:t>
      </w:r>
      <w:r w:rsidRPr="00B8029E" w:rsidR="00CD11F5">
        <w:rPr>
          <w:rFonts w:ascii="Times New Roman" w:hAnsi="Times New Roman" w:cs="Times New Roman"/>
          <w:iCs/>
          <w:sz w:val="24"/>
          <w:szCs w:val="24"/>
        </w:rPr>
        <w:t xml:space="preserve"> A 92% increase</w:t>
      </w:r>
      <w:r>
        <w:rPr>
          <w:rStyle w:val="FootnoteReference"/>
          <w:rFonts w:ascii="Times New Roman" w:hAnsi="Times New Roman" w:cs="Times New Roman"/>
          <w:iCs/>
          <w:sz w:val="24"/>
          <w:szCs w:val="24"/>
        </w:rPr>
        <w:footnoteReference w:id="10"/>
      </w:r>
      <w:r w:rsidRPr="00B8029E" w:rsidR="00CD11F5">
        <w:rPr>
          <w:rFonts w:ascii="Times New Roman" w:hAnsi="Times New Roman" w:cs="Times New Roman"/>
          <w:iCs/>
          <w:sz w:val="24"/>
          <w:szCs w:val="24"/>
        </w:rPr>
        <w:t xml:space="preserve"> in the USF rider revenue requirement, which all Ohio consumers are required to pay, is not just and reasonable. The increase in the revenue requirement is largely attributed to the increases in the cost of electric supply for PIPP consumers.</w:t>
      </w:r>
      <w:r>
        <w:rPr>
          <w:rStyle w:val="FootnoteReference"/>
          <w:rFonts w:ascii="Times New Roman" w:hAnsi="Times New Roman" w:cs="Times New Roman"/>
          <w:iCs/>
          <w:sz w:val="24"/>
          <w:szCs w:val="24"/>
        </w:rPr>
        <w:footnoteReference w:id="11"/>
      </w:r>
      <w:r w:rsidR="00B8029E">
        <w:rPr>
          <w:rFonts w:ascii="Times New Roman" w:hAnsi="Times New Roman" w:cs="Times New Roman"/>
          <w:iCs/>
          <w:sz w:val="24"/>
          <w:szCs w:val="24"/>
        </w:rPr>
        <w:t xml:space="preserve"> </w:t>
      </w:r>
    </w:p>
    <w:p w:rsidR="00922A23" w:rsidRPr="00B8029E" w:rsidP="00922A23" w14:paraId="380682EC" w14:textId="7D88E83C">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The PUCO’s Order states that it “considered but rejected OCC’s claims raised in the first phase of this case.”</w:t>
      </w:r>
      <w:r>
        <w:rPr>
          <w:rStyle w:val="FootnoteReference"/>
          <w:rFonts w:ascii="Times New Roman" w:hAnsi="Times New Roman" w:cs="Times New Roman"/>
          <w:sz w:val="24"/>
          <w:szCs w:val="24"/>
        </w:rPr>
        <w:footnoteReference w:id="12"/>
      </w:r>
      <w:r w:rsidRPr="00B8029E">
        <w:rPr>
          <w:rFonts w:ascii="Times New Roman" w:hAnsi="Times New Roman" w:cs="Times New Roman"/>
          <w:sz w:val="24"/>
          <w:szCs w:val="24"/>
        </w:rPr>
        <w:t xml:space="preserve"> But in fact, R.C. 4905.22 was never addressed in the PUCO’s Order in the first phase of the case.</w:t>
      </w:r>
      <w:r>
        <w:rPr>
          <w:rStyle w:val="FootnoteReference"/>
          <w:rFonts w:ascii="Times New Roman" w:hAnsi="Times New Roman" w:cs="Times New Roman"/>
          <w:sz w:val="24"/>
          <w:szCs w:val="24"/>
        </w:rPr>
        <w:footnoteReference w:id="13"/>
      </w:r>
      <w:r w:rsidRPr="00B8029E" w:rsidR="00DD17EC">
        <w:rPr>
          <w:rFonts w:ascii="Times New Roman" w:hAnsi="Times New Roman" w:cs="Times New Roman"/>
          <w:sz w:val="24"/>
          <w:szCs w:val="24"/>
        </w:rPr>
        <w:t xml:space="preserve"> </w:t>
      </w:r>
      <w:r w:rsidRPr="00B8029E">
        <w:rPr>
          <w:rFonts w:ascii="Times New Roman" w:hAnsi="Times New Roman" w:cs="Times New Roman"/>
          <w:sz w:val="24"/>
          <w:szCs w:val="24"/>
        </w:rPr>
        <w:t xml:space="preserve">R.C. 4922.05 was not addressed in either </w:t>
      </w:r>
      <w:r w:rsidRPr="00B8029E" w:rsidR="001D1B6D">
        <w:rPr>
          <w:rFonts w:ascii="Times New Roman" w:hAnsi="Times New Roman" w:cs="Times New Roman"/>
          <w:sz w:val="24"/>
          <w:szCs w:val="24"/>
        </w:rPr>
        <w:t xml:space="preserve">the </w:t>
      </w:r>
      <w:r w:rsidRPr="00B8029E" w:rsidR="00A52FC7">
        <w:rPr>
          <w:rFonts w:ascii="Times New Roman" w:hAnsi="Times New Roman" w:cs="Times New Roman"/>
          <w:sz w:val="24"/>
          <w:szCs w:val="24"/>
        </w:rPr>
        <w:t xml:space="preserve">PUCO’s </w:t>
      </w:r>
      <w:r w:rsidRPr="00B8029E" w:rsidR="001D1B6D">
        <w:rPr>
          <w:rFonts w:ascii="Times New Roman" w:hAnsi="Times New Roman" w:cs="Times New Roman"/>
          <w:sz w:val="24"/>
          <w:szCs w:val="24"/>
        </w:rPr>
        <w:t xml:space="preserve">October 5, 2022 </w:t>
      </w:r>
      <w:r w:rsidRPr="00B8029E" w:rsidR="00913B1E">
        <w:rPr>
          <w:rFonts w:ascii="Times New Roman" w:hAnsi="Times New Roman" w:cs="Times New Roman"/>
          <w:sz w:val="24"/>
          <w:szCs w:val="24"/>
        </w:rPr>
        <w:t xml:space="preserve">Order adopting the Settlement setting forth </w:t>
      </w:r>
      <w:r w:rsidRPr="00B8029E" w:rsidR="007E61F2">
        <w:rPr>
          <w:rFonts w:ascii="Times New Roman" w:hAnsi="Times New Roman" w:cs="Times New Roman"/>
          <w:sz w:val="24"/>
          <w:szCs w:val="24"/>
        </w:rPr>
        <w:t>the USF rate design methodology</w:t>
      </w:r>
      <w:r w:rsidRPr="00B8029E" w:rsidR="001D1B6D">
        <w:rPr>
          <w:rFonts w:ascii="Times New Roman" w:hAnsi="Times New Roman" w:cs="Times New Roman"/>
          <w:sz w:val="24"/>
          <w:szCs w:val="24"/>
        </w:rPr>
        <w:t xml:space="preserve"> or the December 14, 2022</w:t>
      </w:r>
      <w:r w:rsidR="00B8029E">
        <w:rPr>
          <w:rFonts w:ascii="Times New Roman" w:hAnsi="Times New Roman" w:cs="Times New Roman"/>
          <w:sz w:val="24"/>
          <w:szCs w:val="24"/>
        </w:rPr>
        <w:t xml:space="preserve"> </w:t>
      </w:r>
      <w:r w:rsidRPr="00B8029E" w:rsidR="001D1B6D">
        <w:rPr>
          <w:rFonts w:ascii="Times New Roman" w:hAnsi="Times New Roman" w:cs="Times New Roman"/>
          <w:sz w:val="24"/>
          <w:szCs w:val="24"/>
        </w:rPr>
        <w:t>Order</w:t>
      </w:r>
      <w:r w:rsidRPr="00B8029E" w:rsidR="00B06C02">
        <w:rPr>
          <w:rFonts w:ascii="Times New Roman" w:hAnsi="Times New Roman" w:cs="Times New Roman"/>
          <w:sz w:val="24"/>
          <w:szCs w:val="24"/>
        </w:rPr>
        <w:t xml:space="preserve"> a</w:t>
      </w:r>
      <w:r w:rsidRPr="00B8029E" w:rsidR="007E61F2">
        <w:rPr>
          <w:rFonts w:ascii="Times New Roman" w:hAnsi="Times New Roman" w:cs="Times New Roman"/>
          <w:sz w:val="24"/>
          <w:szCs w:val="24"/>
        </w:rPr>
        <w:t xml:space="preserve">dopting the Settlement that adjusted the Universal Service Fund rates for jurisdictional Ohio electric distribution utilities. </w:t>
      </w:r>
    </w:p>
    <w:p w:rsidR="00FD7265" w:rsidRPr="00B8029E" w:rsidP="00FD7265" w14:paraId="333C90E6" w14:textId="3D080DFE">
      <w:pPr>
        <w:kinsoku w:val="0"/>
        <w:overflowPunct w:val="0"/>
        <w:autoSpaceDE w:val="0"/>
        <w:autoSpaceDN w:val="0"/>
        <w:adjustRightInd w:val="0"/>
        <w:spacing w:after="0" w:line="480" w:lineRule="auto"/>
        <w:ind w:firstLine="720"/>
        <w:rPr>
          <w:rFonts w:ascii="Times New Roman" w:hAnsi="Times New Roman" w:cs="Times New Roman"/>
          <w:iCs/>
          <w:sz w:val="24"/>
          <w:szCs w:val="24"/>
        </w:rPr>
      </w:pPr>
      <w:r w:rsidRPr="00B8029E">
        <w:rPr>
          <w:rFonts w:ascii="Times New Roman" w:hAnsi="Times New Roman" w:cs="Times New Roman"/>
          <w:sz w:val="24"/>
          <w:szCs w:val="24"/>
        </w:rPr>
        <w:t>The PUCO erred by not addressing OCC’s argument</w:t>
      </w:r>
      <w:r w:rsidRPr="00B8029E" w:rsidR="00DF352D">
        <w:rPr>
          <w:rFonts w:ascii="Times New Roman" w:hAnsi="Times New Roman" w:cs="Times New Roman"/>
          <w:sz w:val="24"/>
          <w:szCs w:val="24"/>
        </w:rPr>
        <w:t>s</w:t>
      </w:r>
      <w:r>
        <w:rPr>
          <w:rStyle w:val="FootnoteReference"/>
          <w:rFonts w:ascii="Times New Roman" w:hAnsi="Times New Roman" w:cs="Times New Roman"/>
          <w:sz w:val="24"/>
          <w:szCs w:val="24"/>
        </w:rPr>
        <w:footnoteReference w:id="14"/>
      </w:r>
      <w:r w:rsidRPr="00B8029E">
        <w:rPr>
          <w:rFonts w:ascii="Times New Roman" w:hAnsi="Times New Roman" w:cs="Times New Roman"/>
          <w:sz w:val="24"/>
          <w:szCs w:val="24"/>
        </w:rPr>
        <w:t xml:space="preserve"> that significant rate increases in a single rider over one month represent unjust and unreasonable rates</w:t>
      </w:r>
      <w:r w:rsidRPr="00B8029E" w:rsidR="007E61F2">
        <w:rPr>
          <w:rFonts w:ascii="Times New Roman" w:hAnsi="Times New Roman" w:cs="Times New Roman"/>
          <w:sz w:val="24"/>
          <w:szCs w:val="24"/>
        </w:rPr>
        <w:t xml:space="preserve"> in violation of R.C. </w:t>
      </w:r>
      <w:r w:rsidRPr="00B8029E" w:rsidR="00F221BD">
        <w:rPr>
          <w:rFonts w:ascii="Times New Roman" w:hAnsi="Times New Roman" w:cs="Times New Roman"/>
          <w:sz w:val="24"/>
          <w:szCs w:val="24"/>
        </w:rPr>
        <w:t xml:space="preserve">4905.22. </w:t>
      </w:r>
      <w:r w:rsidRPr="00B8029E">
        <w:rPr>
          <w:rFonts w:ascii="Times New Roman" w:hAnsi="Times New Roman" w:cs="Times New Roman"/>
          <w:iCs/>
          <w:sz w:val="24"/>
          <w:szCs w:val="24"/>
        </w:rPr>
        <w:t>Across each of the electric utilities, PIPP generation rates are significantly higher than the rates charged to standard service offer consumers. OCC has previously addressed in the earlier phase of this proceeding how this is in violation of R.C. 4928.542(B).</w:t>
      </w:r>
      <w:r>
        <w:rPr>
          <w:rStyle w:val="FootnoteReference"/>
          <w:rFonts w:ascii="Times New Roman" w:hAnsi="Times New Roman" w:cs="Times New Roman"/>
          <w:iCs/>
          <w:sz w:val="24"/>
          <w:szCs w:val="24"/>
        </w:rPr>
        <w:footnoteReference w:id="15"/>
      </w:r>
      <w:r w:rsidRPr="00B8029E">
        <w:rPr>
          <w:rFonts w:ascii="Times New Roman" w:hAnsi="Times New Roman" w:cs="Times New Roman"/>
          <w:iCs/>
          <w:sz w:val="24"/>
          <w:szCs w:val="24"/>
        </w:rPr>
        <w:t xml:space="preserve"> Although the PUCO stated that</w:t>
      </w:r>
      <w:r w:rsidRPr="00B8029E" w:rsidR="0078667A">
        <w:rPr>
          <w:rFonts w:ascii="Times New Roman" w:hAnsi="Times New Roman" w:cs="Times New Roman"/>
          <w:iCs/>
          <w:sz w:val="24"/>
          <w:szCs w:val="24"/>
        </w:rPr>
        <w:t xml:space="preserve"> it</w:t>
      </w:r>
      <w:r w:rsidRPr="00B8029E">
        <w:rPr>
          <w:rFonts w:ascii="Times New Roman" w:hAnsi="Times New Roman" w:cs="Times New Roman"/>
          <w:iCs/>
          <w:sz w:val="24"/>
          <w:szCs w:val="24"/>
        </w:rPr>
        <w:t xml:space="preserve"> considered and rejected OCC’s claims </w:t>
      </w:r>
      <w:r w:rsidR="00D52CC0">
        <w:rPr>
          <w:rFonts w:ascii="Times New Roman" w:hAnsi="Times New Roman" w:cs="Times New Roman"/>
          <w:iCs/>
          <w:sz w:val="24"/>
          <w:szCs w:val="24"/>
        </w:rPr>
        <w:t>raised</w:t>
      </w:r>
      <w:r w:rsidR="00801ABF">
        <w:rPr>
          <w:rFonts w:ascii="Times New Roman" w:hAnsi="Times New Roman" w:cs="Times New Roman"/>
          <w:iCs/>
          <w:sz w:val="24"/>
          <w:szCs w:val="24"/>
        </w:rPr>
        <w:t xml:space="preserve"> </w:t>
      </w:r>
      <w:r w:rsidRPr="00B8029E" w:rsidR="00DF352D">
        <w:rPr>
          <w:rFonts w:ascii="Times New Roman" w:hAnsi="Times New Roman" w:cs="Times New Roman"/>
          <w:iCs/>
          <w:sz w:val="24"/>
          <w:szCs w:val="24"/>
        </w:rPr>
        <w:t xml:space="preserve">in the first phase of the case, </w:t>
      </w:r>
      <w:r w:rsidRPr="00B8029E" w:rsidR="0078667A">
        <w:rPr>
          <w:rFonts w:ascii="Times New Roman" w:hAnsi="Times New Roman" w:cs="Times New Roman"/>
          <w:iCs/>
          <w:sz w:val="24"/>
          <w:szCs w:val="24"/>
        </w:rPr>
        <w:t xml:space="preserve">in fact </w:t>
      </w:r>
      <w:r w:rsidRPr="00B8029E" w:rsidR="00DF352D">
        <w:rPr>
          <w:rFonts w:ascii="Times New Roman" w:hAnsi="Times New Roman" w:cs="Times New Roman"/>
          <w:iCs/>
          <w:sz w:val="24"/>
          <w:szCs w:val="24"/>
        </w:rPr>
        <w:t>the PUCO did not</w:t>
      </w:r>
      <w:r w:rsidRPr="00B8029E" w:rsidR="00B81DBB">
        <w:rPr>
          <w:rFonts w:ascii="Times New Roman" w:hAnsi="Times New Roman" w:cs="Times New Roman"/>
          <w:iCs/>
          <w:sz w:val="24"/>
          <w:szCs w:val="24"/>
        </w:rPr>
        <w:t xml:space="preserve"> mention R.C. 490</w:t>
      </w:r>
      <w:r w:rsidRPr="00B8029E" w:rsidR="00770EA9">
        <w:rPr>
          <w:rFonts w:ascii="Times New Roman" w:hAnsi="Times New Roman" w:cs="Times New Roman"/>
          <w:iCs/>
          <w:sz w:val="24"/>
          <w:szCs w:val="24"/>
        </w:rPr>
        <w:t>5</w:t>
      </w:r>
      <w:r w:rsidRPr="00B8029E" w:rsidR="00B81DBB">
        <w:rPr>
          <w:rFonts w:ascii="Times New Roman" w:hAnsi="Times New Roman" w:cs="Times New Roman"/>
          <w:iCs/>
          <w:sz w:val="24"/>
          <w:szCs w:val="24"/>
        </w:rPr>
        <w:t>.22 in the first Order</w:t>
      </w:r>
      <w:r w:rsidRPr="00B8029E" w:rsidR="00DF352D">
        <w:rPr>
          <w:rFonts w:ascii="Times New Roman" w:hAnsi="Times New Roman" w:cs="Times New Roman"/>
          <w:iCs/>
          <w:sz w:val="24"/>
          <w:szCs w:val="24"/>
        </w:rPr>
        <w:t xml:space="preserve">. </w:t>
      </w:r>
      <w:r w:rsidRPr="00B8029E" w:rsidR="0078667A">
        <w:rPr>
          <w:rFonts w:ascii="Times New Roman" w:hAnsi="Times New Roman" w:cs="Times New Roman"/>
          <w:iCs/>
          <w:sz w:val="24"/>
          <w:szCs w:val="24"/>
        </w:rPr>
        <w:t>Nor did it</w:t>
      </w:r>
      <w:r w:rsidRPr="00B8029E" w:rsidR="00DF352D">
        <w:rPr>
          <w:rFonts w:ascii="Times New Roman" w:hAnsi="Times New Roman" w:cs="Times New Roman"/>
          <w:iCs/>
          <w:sz w:val="24"/>
          <w:szCs w:val="24"/>
        </w:rPr>
        <w:t xml:space="preserve"> address OCC’s claims that R.C. 4905.22 was violated in this Order.</w:t>
      </w:r>
    </w:p>
    <w:p w:rsidR="001D0608" w:rsidRPr="00B8029E" w:rsidP="00B06C02" w14:paraId="7E2C6CF7" w14:textId="44C652C7">
      <w:pPr>
        <w:spacing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The PUCO erred in not addressing OCC’s arguments. T</w:t>
      </w:r>
      <w:r w:rsidRPr="00B8029E" w:rsidR="00085EE4">
        <w:rPr>
          <w:rFonts w:ascii="Times New Roman" w:hAnsi="Times New Roman" w:cs="Times New Roman"/>
          <w:sz w:val="24"/>
          <w:szCs w:val="24"/>
        </w:rPr>
        <w:t>he Court has held that the PUCO must address the arguments raised by the parties.</w:t>
      </w:r>
      <w:r>
        <w:rPr>
          <w:rStyle w:val="FootnoteReference"/>
          <w:rFonts w:ascii="Times New Roman" w:hAnsi="Times New Roman" w:cs="Times New Roman"/>
          <w:sz w:val="24"/>
          <w:szCs w:val="24"/>
        </w:rPr>
        <w:footnoteReference w:id="16"/>
      </w:r>
      <w:r w:rsidRPr="00B8029E" w:rsidR="00085EE4">
        <w:rPr>
          <w:rFonts w:ascii="Times New Roman" w:hAnsi="Times New Roman" w:cs="Times New Roman"/>
          <w:sz w:val="24"/>
          <w:szCs w:val="24"/>
        </w:rPr>
        <w:t xml:space="preserve"> In </w:t>
      </w:r>
      <w:r w:rsidRPr="00B8029E" w:rsidR="00085EE4">
        <w:rPr>
          <w:rFonts w:ascii="Times New Roman" w:hAnsi="Times New Roman" w:cs="Times New Roman"/>
          <w:i/>
          <w:iCs/>
          <w:sz w:val="24"/>
          <w:szCs w:val="24"/>
        </w:rPr>
        <w:t>In re Comm’n Review of the Capacity Charges of Ohio Power Co</w:t>
      </w:r>
      <w:r w:rsidRPr="00B8029E" w:rsidR="00085EE4">
        <w:rPr>
          <w:rFonts w:ascii="Times New Roman" w:hAnsi="Times New Roman" w:cs="Times New Roman"/>
          <w:sz w:val="24"/>
          <w:szCs w:val="24"/>
        </w:rPr>
        <w:t xml:space="preserve">., the Court reversed part of the PUCO’s </w:t>
      </w:r>
      <w:r w:rsidR="00D52CC0">
        <w:rPr>
          <w:rFonts w:ascii="Times New Roman" w:hAnsi="Times New Roman" w:cs="Times New Roman"/>
          <w:sz w:val="24"/>
          <w:szCs w:val="24"/>
        </w:rPr>
        <w:t>O</w:t>
      </w:r>
      <w:r w:rsidRPr="00B8029E" w:rsidR="00085EE4">
        <w:rPr>
          <w:rFonts w:ascii="Times New Roman" w:hAnsi="Times New Roman" w:cs="Times New Roman"/>
          <w:sz w:val="24"/>
          <w:szCs w:val="24"/>
        </w:rPr>
        <w:t>rder and directed the PUCO on remand to substantively address AEP’s arguments.</w:t>
      </w:r>
      <w:r>
        <w:rPr>
          <w:rStyle w:val="FootnoteReference"/>
          <w:rFonts w:ascii="Times New Roman" w:hAnsi="Times New Roman" w:cs="Times New Roman"/>
          <w:sz w:val="24"/>
          <w:szCs w:val="24"/>
        </w:rPr>
        <w:footnoteReference w:id="17"/>
      </w:r>
      <w:r w:rsidRPr="00B8029E" w:rsidR="00085EE4">
        <w:rPr>
          <w:rFonts w:ascii="Times New Roman" w:hAnsi="Times New Roman" w:cs="Times New Roman"/>
          <w:sz w:val="24"/>
          <w:szCs w:val="24"/>
        </w:rPr>
        <w:t xml:space="preserve"> </w:t>
      </w:r>
    </w:p>
    <w:p w:rsidR="00111AD8" w:rsidRPr="00B8029E" w:rsidP="00DF352D" w14:paraId="7274CED5" w14:textId="605BC1E3">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The PUCO also did not address OCC’s argument</w:t>
      </w:r>
      <w:r w:rsidRPr="00B8029E" w:rsidR="00DF352D">
        <w:rPr>
          <w:rFonts w:ascii="Times New Roman" w:hAnsi="Times New Roman" w:cs="Times New Roman"/>
          <w:sz w:val="24"/>
          <w:szCs w:val="24"/>
        </w:rPr>
        <w:t>s</w:t>
      </w:r>
      <w:r>
        <w:rPr>
          <w:rStyle w:val="FootnoteReference"/>
          <w:rFonts w:ascii="Times New Roman" w:hAnsi="Times New Roman" w:cs="Times New Roman"/>
          <w:sz w:val="24"/>
          <w:szCs w:val="24"/>
        </w:rPr>
        <w:footnoteReference w:id="18"/>
      </w:r>
      <w:r w:rsidRPr="00B8029E" w:rsidR="00DF352D">
        <w:rPr>
          <w:rFonts w:ascii="Times New Roman" w:hAnsi="Times New Roman" w:cs="Times New Roman"/>
          <w:sz w:val="24"/>
          <w:szCs w:val="24"/>
        </w:rPr>
        <w:t xml:space="preserve"> </w:t>
      </w:r>
      <w:r w:rsidRPr="00B8029E">
        <w:rPr>
          <w:rFonts w:ascii="Times New Roman" w:hAnsi="Times New Roman" w:cs="Times New Roman"/>
          <w:sz w:val="24"/>
          <w:szCs w:val="24"/>
        </w:rPr>
        <w:t xml:space="preserve">that R.C. 4928.02(A) and R.C. 4928.02(L) </w:t>
      </w:r>
      <w:r w:rsidRPr="00B8029E" w:rsidR="00B06C02">
        <w:rPr>
          <w:rFonts w:ascii="Times New Roman" w:hAnsi="Times New Roman" w:cs="Times New Roman"/>
          <w:sz w:val="24"/>
          <w:szCs w:val="24"/>
        </w:rPr>
        <w:t>are violated</w:t>
      </w:r>
      <w:r w:rsidRPr="00B8029E">
        <w:rPr>
          <w:rFonts w:ascii="Times New Roman" w:hAnsi="Times New Roman" w:cs="Times New Roman"/>
          <w:sz w:val="24"/>
          <w:szCs w:val="24"/>
        </w:rPr>
        <w:t xml:space="preserve">. </w:t>
      </w:r>
      <w:r w:rsidRPr="00B8029E">
        <w:rPr>
          <w:rFonts w:ascii="Times New Roman" w:hAnsi="Times New Roman" w:cs="Times New Roman"/>
          <w:sz w:val="24"/>
          <w:szCs w:val="24"/>
        </w:rPr>
        <w:t>The PUCO</w:t>
      </w:r>
      <w:r w:rsidR="00D52CC0">
        <w:rPr>
          <w:rFonts w:ascii="Times New Roman" w:hAnsi="Times New Roman" w:cs="Times New Roman"/>
          <w:sz w:val="24"/>
          <w:szCs w:val="24"/>
        </w:rPr>
        <w:t>’s Order</w:t>
      </w:r>
      <w:r w:rsidRPr="00B8029E">
        <w:rPr>
          <w:rFonts w:ascii="Times New Roman" w:hAnsi="Times New Roman" w:cs="Times New Roman"/>
          <w:sz w:val="24"/>
          <w:szCs w:val="24"/>
        </w:rPr>
        <w:t xml:space="preserve"> </w:t>
      </w:r>
      <w:r w:rsidRPr="00B8029E" w:rsidR="00B81DBB">
        <w:rPr>
          <w:rFonts w:ascii="Times New Roman" w:hAnsi="Times New Roman" w:cs="Times New Roman"/>
          <w:sz w:val="24"/>
          <w:szCs w:val="24"/>
        </w:rPr>
        <w:t>s</w:t>
      </w:r>
      <w:r w:rsidRPr="00B8029E">
        <w:rPr>
          <w:rFonts w:ascii="Times New Roman" w:hAnsi="Times New Roman" w:cs="Times New Roman"/>
          <w:sz w:val="24"/>
          <w:szCs w:val="24"/>
        </w:rPr>
        <w:t>tate</w:t>
      </w:r>
      <w:r w:rsidR="00D52CC0">
        <w:rPr>
          <w:rFonts w:ascii="Times New Roman" w:hAnsi="Times New Roman" w:cs="Times New Roman"/>
          <w:sz w:val="24"/>
          <w:szCs w:val="24"/>
        </w:rPr>
        <w:t>s</w:t>
      </w:r>
      <w:r w:rsidRPr="00B8029E">
        <w:rPr>
          <w:rFonts w:ascii="Times New Roman" w:hAnsi="Times New Roman" w:cs="Times New Roman"/>
          <w:sz w:val="24"/>
          <w:szCs w:val="24"/>
        </w:rPr>
        <w:t xml:space="preserve"> that it “considered but rejected OCC’s claims raised in the first phase of the proceeding,” which presumably refers to the PUCO's statement in the October Order that it “find[s] these arguments to be without merit.”</w:t>
      </w:r>
      <w:r>
        <w:rPr>
          <w:rStyle w:val="FootnoteReference"/>
          <w:rFonts w:ascii="Times New Roman" w:hAnsi="Times New Roman" w:cs="Times New Roman"/>
          <w:sz w:val="24"/>
          <w:szCs w:val="24"/>
        </w:rPr>
        <w:footnoteReference w:id="19"/>
      </w:r>
      <w:r w:rsidRPr="00B8029E">
        <w:rPr>
          <w:rFonts w:ascii="Times New Roman" w:hAnsi="Times New Roman" w:cs="Times New Roman"/>
          <w:sz w:val="24"/>
          <w:szCs w:val="24"/>
        </w:rPr>
        <w:t xml:space="preserve"> </w:t>
      </w:r>
    </w:p>
    <w:p w:rsidR="00566E39" w:rsidRPr="00B8029E" w:rsidP="00DF352D" w14:paraId="310A5CE7" w14:textId="1C4B44B3">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Yet the PUCO did not address OCC’s arguments</w:t>
      </w:r>
      <w:r>
        <w:rPr>
          <w:rStyle w:val="FootnoteReference"/>
          <w:rFonts w:ascii="Times New Roman" w:hAnsi="Times New Roman" w:cs="Times New Roman"/>
          <w:sz w:val="24"/>
          <w:szCs w:val="24"/>
        </w:rPr>
        <w:footnoteReference w:id="20"/>
      </w:r>
      <w:r w:rsidRPr="00B8029E">
        <w:rPr>
          <w:rFonts w:ascii="Times New Roman" w:hAnsi="Times New Roman" w:cs="Times New Roman"/>
          <w:sz w:val="24"/>
          <w:szCs w:val="24"/>
        </w:rPr>
        <w:t xml:space="preserve"> regarding these statutes in either its October or December Order</w:t>
      </w:r>
      <w:r w:rsidRPr="00B8029E">
        <w:rPr>
          <w:rFonts w:ascii="Times New Roman" w:hAnsi="Times New Roman" w:cs="Times New Roman"/>
          <w:sz w:val="24"/>
          <w:szCs w:val="24"/>
        </w:rPr>
        <w:t>, and it was an error for the PUCO not to do so.</w:t>
      </w:r>
      <w:r>
        <w:rPr>
          <w:rStyle w:val="FootnoteReference"/>
          <w:rFonts w:ascii="Times New Roman" w:hAnsi="Times New Roman" w:cs="Times New Roman"/>
          <w:sz w:val="24"/>
          <w:szCs w:val="24"/>
        </w:rPr>
        <w:footnoteReference w:id="21"/>
      </w:r>
      <w:r w:rsidRPr="00B8029E">
        <w:rPr>
          <w:rFonts w:ascii="Times New Roman" w:hAnsi="Times New Roman" w:cs="Times New Roman"/>
          <w:sz w:val="24"/>
          <w:szCs w:val="24"/>
        </w:rPr>
        <w:t xml:space="preserve"> In the October Order, the PUCO simply concluded that the “Stipulation ensures funding for programs which support low-income residential consumers including PIPP consumers.”</w:t>
      </w:r>
      <w:r>
        <w:rPr>
          <w:rStyle w:val="FootnoteReference"/>
          <w:rFonts w:ascii="Times New Roman" w:hAnsi="Times New Roman" w:cs="Times New Roman"/>
          <w:sz w:val="24"/>
          <w:szCs w:val="24"/>
        </w:rPr>
        <w:footnoteReference w:id="22"/>
      </w:r>
      <w:r w:rsidRPr="00B8029E">
        <w:rPr>
          <w:rFonts w:ascii="Times New Roman" w:hAnsi="Times New Roman" w:cs="Times New Roman"/>
          <w:sz w:val="24"/>
          <w:szCs w:val="24"/>
        </w:rPr>
        <w:t xml:space="preserve"> But how this statement applies t</w:t>
      </w:r>
      <w:r w:rsidRPr="00B8029E" w:rsidR="009A29AC">
        <w:rPr>
          <w:rFonts w:ascii="Times New Roman" w:hAnsi="Times New Roman" w:cs="Times New Roman"/>
          <w:sz w:val="24"/>
          <w:szCs w:val="24"/>
        </w:rPr>
        <w:t xml:space="preserve">o </w:t>
      </w:r>
      <w:r w:rsidRPr="00B8029E">
        <w:rPr>
          <w:rFonts w:ascii="Times New Roman" w:hAnsi="Times New Roman" w:cs="Times New Roman"/>
          <w:sz w:val="24"/>
          <w:szCs w:val="24"/>
        </w:rPr>
        <w:t>R.C. 4928.02(L) and (A) w</w:t>
      </w:r>
      <w:r w:rsidRPr="00B8029E" w:rsidR="00803B67">
        <w:rPr>
          <w:rFonts w:ascii="Times New Roman" w:hAnsi="Times New Roman" w:cs="Times New Roman"/>
          <w:sz w:val="24"/>
          <w:szCs w:val="24"/>
        </w:rPr>
        <w:t xml:space="preserve">as not </w:t>
      </w:r>
      <w:r w:rsidRPr="00B8029E" w:rsidR="00B81DBB">
        <w:rPr>
          <w:rFonts w:ascii="Times New Roman" w:hAnsi="Times New Roman" w:cs="Times New Roman"/>
          <w:sz w:val="24"/>
          <w:szCs w:val="24"/>
        </w:rPr>
        <w:t>indicated</w:t>
      </w:r>
      <w:r w:rsidRPr="00B8029E">
        <w:rPr>
          <w:rFonts w:ascii="Times New Roman" w:hAnsi="Times New Roman" w:cs="Times New Roman"/>
          <w:sz w:val="24"/>
          <w:szCs w:val="24"/>
        </w:rPr>
        <w:t xml:space="preserve"> </w:t>
      </w:r>
      <w:r w:rsidRPr="00B8029E" w:rsidR="009A29AC">
        <w:rPr>
          <w:rFonts w:ascii="Times New Roman" w:hAnsi="Times New Roman" w:cs="Times New Roman"/>
          <w:sz w:val="24"/>
          <w:szCs w:val="24"/>
        </w:rPr>
        <w:t xml:space="preserve">in either the October Order or the </w:t>
      </w:r>
      <w:r w:rsidRPr="00B8029E">
        <w:rPr>
          <w:rFonts w:ascii="Times New Roman" w:hAnsi="Times New Roman" w:cs="Times New Roman"/>
          <w:sz w:val="24"/>
          <w:szCs w:val="24"/>
        </w:rPr>
        <w:t xml:space="preserve">December Order, </w:t>
      </w:r>
      <w:r w:rsidRPr="00B8029E" w:rsidR="009A29AC">
        <w:rPr>
          <w:rFonts w:ascii="Times New Roman" w:hAnsi="Times New Roman" w:cs="Times New Roman"/>
          <w:sz w:val="24"/>
          <w:szCs w:val="24"/>
        </w:rPr>
        <w:t>but</w:t>
      </w:r>
      <w:r w:rsidRPr="00B8029E">
        <w:rPr>
          <w:rFonts w:ascii="Times New Roman" w:hAnsi="Times New Roman" w:cs="Times New Roman"/>
          <w:sz w:val="24"/>
          <w:szCs w:val="24"/>
        </w:rPr>
        <w:t xml:space="preserve"> should have been. </w:t>
      </w:r>
    </w:p>
    <w:p w:rsidR="00DF352D" w:rsidRPr="00B8029E" w:rsidP="00DF352D" w14:paraId="7ABC6F22" w14:textId="2150010A">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R.C. </w:t>
      </w:r>
      <w:r w:rsidRPr="00B8029E">
        <w:rPr>
          <w:rFonts w:ascii="Times New Roman" w:hAnsi="Times New Roman" w:cs="Times New Roman"/>
          <w:iCs/>
          <w:sz w:val="24"/>
          <w:szCs w:val="24"/>
        </w:rPr>
        <w:t>4928.02(L) states that, a</w:t>
      </w:r>
      <w:r w:rsidRPr="00B8029E">
        <w:rPr>
          <w:rFonts w:ascii="Times New Roman" w:hAnsi="Times New Roman" w:cs="Times New Roman"/>
          <w:sz w:val="24"/>
          <w:szCs w:val="24"/>
        </w:rPr>
        <w:t xml:space="preserve">s a matter of Ohio policy, the PUCO and ODOD must “protect at-risk populations.” Utilities’ low-income PIPP consumers are vulnerable to poverty, food and housing insecurity, inflation, and a resurging pandemic. They are at-risk. </w:t>
      </w:r>
      <w:r w:rsidRPr="00B8029E" w:rsidR="00566E39">
        <w:rPr>
          <w:rFonts w:ascii="Times New Roman" w:hAnsi="Times New Roman" w:cs="Times New Roman"/>
          <w:sz w:val="24"/>
          <w:szCs w:val="24"/>
        </w:rPr>
        <w:t>OCC’s argument that a</w:t>
      </w:r>
      <w:r w:rsidRPr="00B8029E">
        <w:rPr>
          <w:rFonts w:ascii="Times New Roman" w:hAnsi="Times New Roman" w:cs="Times New Roman"/>
          <w:sz w:val="24"/>
          <w:szCs w:val="24"/>
        </w:rPr>
        <w:t>uthorizing utilities to charge low-income PIPP consumers higher rates than the standard service offer harms, rather than protects, an at-risk population</w:t>
      </w:r>
      <w:r w:rsidRPr="00B8029E" w:rsidR="00B81DBB">
        <w:rPr>
          <w:rFonts w:ascii="Times New Roman" w:hAnsi="Times New Roman" w:cs="Times New Roman"/>
          <w:sz w:val="24"/>
          <w:szCs w:val="24"/>
        </w:rPr>
        <w:t xml:space="preserve"> in violation of this statute</w:t>
      </w:r>
      <w:r>
        <w:rPr>
          <w:rStyle w:val="FootnoteReference"/>
          <w:rFonts w:ascii="Times New Roman" w:hAnsi="Times New Roman" w:cs="Times New Roman"/>
          <w:sz w:val="24"/>
          <w:szCs w:val="24"/>
        </w:rPr>
        <w:footnoteReference w:id="23"/>
      </w:r>
      <w:r w:rsidRPr="00B8029E" w:rsidR="00566E39">
        <w:rPr>
          <w:rFonts w:ascii="Times New Roman" w:hAnsi="Times New Roman" w:cs="Times New Roman"/>
          <w:sz w:val="24"/>
          <w:szCs w:val="24"/>
        </w:rPr>
        <w:t xml:space="preserve"> was not addressed.</w:t>
      </w:r>
      <w:r w:rsidRPr="00B8029E">
        <w:rPr>
          <w:rFonts w:ascii="Times New Roman" w:hAnsi="Times New Roman" w:cs="Times New Roman"/>
          <w:sz w:val="24"/>
          <w:szCs w:val="24"/>
        </w:rPr>
        <w:t xml:space="preserve"> </w:t>
      </w:r>
    </w:p>
    <w:p w:rsidR="00FE2E05" w:rsidRPr="00B8029E" w:rsidP="00FE2E05" w14:paraId="21000D99" w14:textId="73981391">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R.C. 4928.02(A) is an Ohio policy (and regulatory principle) that requires the availability to consumers of adequate, reliable, safe, efficient, not discriminatory, and reasonably priced retail electric service. </w:t>
      </w:r>
      <w:r w:rsidRPr="00B8029E" w:rsidR="009A29AC">
        <w:rPr>
          <w:rFonts w:ascii="Times New Roman" w:hAnsi="Times New Roman" w:cs="Times New Roman"/>
          <w:sz w:val="24"/>
          <w:szCs w:val="24"/>
        </w:rPr>
        <w:t>OCC’s argument that t</w:t>
      </w:r>
      <w:r w:rsidRPr="00B8029E">
        <w:rPr>
          <w:rFonts w:ascii="Times New Roman" w:hAnsi="Times New Roman" w:cs="Times New Roman"/>
          <w:sz w:val="24"/>
          <w:szCs w:val="24"/>
        </w:rPr>
        <w:t>he high PIPP rates are unreasonably priced retail service considering the lower rates that non-PIPP residential consumers are charged under the standard service offer</w:t>
      </w:r>
      <w:r w:rsidRPr="00B8029E" w:rsidR="009A29AC">
        <w:rPr>
          <w:rFonts w:ascii="Times New Roman" w:hAnsi="Times New Roman" w:cs="Times New Roman"/>
          <w:sz w:val="24"/>
          <w:szCs w:val="24"/>
        </w:rPr>
        <w:t xml:space="preserve"> in violation of R.C. 4928.02(A)</w:t>
      </w:r>
      <w:r>
        <w:rPr>
          <w:rStyle w:val="FootnoteReference"/>
          <w:rFonts w:ascii="Times New Roman" w:hAnsi="Times New Roman" w:cs="Times New Roman"/>
          <w:sz w:val="24"/>
          <w:szCs w:val="24"/>
        </w:rPr>
        <w:footnoteReference w:id="24"/>
      </w:r>
      <w:r w:rsidRPr="00B8029E" w:rsidR="009A29AC">
        <w:rPr>
          <w:rFonts w:ascii="Times New Roman" w:hAnsi="Times New Roman" w:cs="Times New Roman"/>
          <w:sz w:val="24"/>
          <w:szCs w:val="24"/>
        </w:rPr>
        <w:t xml:space="preserve"> was not addressed.</w:t>
      </w:r>
      <w:r w:rsidRPr="00B8029E">
        <w:rPr>
          <w:rFonts w:ascii="Times New Roman" w:hAnsi="Times New Roman" w:cs="Times New Roman"/>
          <w:sz w:val="24"/>
          <w:szCs w:val="24"/>
        </w:rPr>
        <w:t xml:space="preserve"> And the</w:t>
      </w:r>
      <w:r w:rsidRPr="00B8029E" w:rsidR="009E7D9C">
        <w:rPr>
          <w:rFonts w:ascii="Times New Roman" w:hAnsi="Times New Roman" w:cs="Times New Roman"/>
          <w:sz w:val="24"/>
          <w:szCs w:val="24"/>
        </w:rPr>
        <w:t>se</w:t>
      </w:r>
      <w:r w:rsidRPr="00B8029E">
        <w:rPr>
          <w:rFonts w:ascii="Times New Roman" w:hAnsi="Times New Roman" w:cs="Times New Roman"/>
          <w:sz w:val="24"/>
          <w:szCs w:val="24"/>
        </w:rPr>
        <w:t xml:space="preserve"> rates increase charges for all consumers that pay the USF. Ohio regulatory policy and principles are thus violated.</w:t>
      </w:r>
      <w:r w:rsidRPr="00B8029E" w:rsidR="00566E39">
        <w:rPr>
          <w:rFonts w:ascii="Times New Roman" w:hAnsi="Times New Roman" w:cs="Times New Roman"/>
          <w:sz w:val="24"/>
          <w:szCs w:val="24"/>
        </w:rPr>
        <w:t xml:space="preserve"> </w:t>
      </w:r>
    </w:p>
    <w:p w:rsidR="00965C46" w:rsidRPr="00B8029E" w:rsidP="00156DDF" w14:paraId="4630F9CF" w14:textId="17B6898F">
      <w:pPr>
        <w:spacing w:after="0" w:line="480" w:lineRule="auto"/>
        <w:ind w:firstLine="720"/>
        <w:rPr>
          <w:rFonts w:ascii="Times New Roman" w:hAnsi="Times New Roman" w:cs="Times New Roman"/>
          <w:iCs/>
          <w:sz w:val="24"/>
          <w:szCs w:val="24"/>
        </w:rPr>
      </w:pPr>
      <w:r w:rsidRPr="00B8029E">
        <w:rPr>
          <w:rFonts w:ascii="Times New Roman" w:hAnsi="Times New Roman" w:cs="Times New Roman"/>
          <w:iCs/>
          <w:sz w:val="24"/>
          <w:szCs w:val="24"/>
        </w:rPr>
        <w:t>The PUCO unlawfully and unreasonably erred in not</w:t>
      </w:r>
      <w:r w:rsidR="00801ABF">
        <w:rPr>
          <w:rFonts w:ascii="Times New Roman" w:hAnsi="Times New Roman" w:cs="Times New Roman"/>
          <w:iCs/>
          <w:sz w:val="24"/>
          <w:szCs w:val="24"/>
        </w:rPr>
        <w:t xml:space="preserve"> </w:t>
      </w:r>
      <w:r w:rsidRPr="00B8029E">
        <w:rPr>
          <w:rFonts w:ascii="Times New Roman" w:hAnsi="Times New Roman" w:cs="Times New Roman"/>
          <w:iCs/>
          <w:sz w:val="24"/>
          <w:szCs w:val="24"/>
        </w:rPr>
        <w:t xml:space="preserve">addressing OCC’s argument </w:t>
      </w:r>
      <w:r w:rsidRPr="00B8029E" w:rsidR="00310B25">
        <w:rPr>
          <w:rFonts w:ascii="Times New Roman" w:hAnsi="Times New Roman" w:cs="Times New Roman"/>
          <w:iCs/>
          <w:sz w:val="24"/>
          <w:szCs w:val="24"/>
        </w:rPr>
        <w:t xml:space="preserve">(but claiming that it did) </w:t>
      </w:r>
      <w:r w:rsidRPr="00B8029E">
        <w:rPr>
          <w:rFonts w:ascii="Times New Roman" w:hAnsi="Times New Roman" w:cs="Times New Roman"/>
          <w:iCs/>
          <w:sz w:val="24"/>
          <w:szCs w:val="24"/>
        </w:rPr>
        <w:t>that the proposed increases in the USF rider rates are unjust and unreasonable</w:t>
      </w:r>
      <w:r w:rsidRPr="00B8029E" w:rsidR="00310B25">
        <w:rPr>
          <w:rFonts w:ascii="Times New Roman" w:hAnsi="Times New Roman" w:cs="Times New Roman"/>
          <w:iCs/>
          <w:sz w:val="24"/>
          <w:szCs w:val="24"/>
        </w:rPr>
        <w:t xml:space="preserve"> in violation of R.C. 4905.22</w:t>
      </w:r>
      <w:r w:rsidRPr="00B8029E">
        <w:rPr>
          <w:rFonts w:ascii="Times New Roman" w:hAnsi="Times New Roman" w:cs="Times New Roman"/>
          <w:iCs/>
          <w:sz w:val="24"/>
          <w:szCs w:val="24"/>
        </w:rPr>
        <w:t>.</w:t>
      </w:r>
      <w:r w:rsidRPr="00B8029E" w:rsidR="00DD17EC">
        <w:rPr>
          <w:rFonts w:ascii="Times New Roman" w:hAnsi="Times New Roman" w:cs="Times New Roman"/>
          <w:iCs/>
          <w:sz w:val="24"/>
          <w:szCs w:val="24"/>
        </w:rPr>
        <w:t xml:space="preserve"> </w:t>
      </w:r>
      <w:r w:rsidRPr="00B8029E" w:rsidR="00566E39">
        <w:rPr>
          <w:rFonts w:ascii="Times New Roman" w:hAnsi="Times New Roman" w:cs="Times New Roman"/>
          <w:iCs/>
          <w:sz w:val="24"/>
          <w:szCs w:val="24"/>
        </w:rPr>
        <w:t xml:space="preserve">And the PUCO erred in </w:t>
      </w:r>
      <w:r w:rsidRPr="00B8029E" w:rsidR="009A29AC">
        <w:rPr>
          <w:rFonts w:ascii="Times New Roman" w:hAnsi="Times New Roman" w:cs="Times New Roman"/>
          <w:iCs/>
          <w:sz w:val="24"/>
          <w:szCs w:val="24"/>
        </w:rPr>
        <w:t xml:space="preserve">not addressing OCC’s arguments regarding R.C. 4928.02(L) and (A) in this Order. </w:t>
      </w:r>
      <w:r w:rsidRPr="00B8029E">
        <w:rPr>
          <w:rFonts w:ascii="Times New Roman" w:hAnsi="Times New Roman" w:cs="Times New Roman"/>
          <w:iCs/>
          <w:sz w:val="24"/>
          <w:szCs w:val="24"/>
        </w:rPr>
        <w:t>Rehearing should be granted.</w:t>
      </w:r>
    </w:p>
    <w:p w:rsidR="00310B25" w:rsidRPr="00B8029E" w:rsidP="000F540A" w14:paraId="4F02BB9B" w14:textId="5850CB5D">
      <w:pPr>
        <w:pStyle w:val="Heading2"/>
      </w:pPr>
      <w:bookmarkStart w:id="13" w:name="_Toc124515678"/>
      <w:r>
        <w:t>B.</w:t>
      </w:r>
      <w:r>
        <w:tab/>
      </w:r>
      <w:r w:rsidRPr="00B8029E">
        <w:t>ASSIGNMENT OF ERROR NO. 2: The PUCO erred by unreasonably adopting a Settlement that does not benefit consumers and the public interest because higher PIPP generation charges harms PIPP customers as well as all Ohio electric consumers</w:t>
      </w:r>
      <w:r w:rsidRPr="00B8029E" w:rsidR="009A29AC">
        <w:t xml:space="preserve"> who pay the Universal Service Rider.</w:t>
      </w:r>
      <w:bookmarkEnd w:id="13"/>
      <w:r w:rsidRPr="00B8029E">
        <w:t xml:space="preserve"> </w:t>
      </w:r>
    </w:p>
    <w:p w:rsidR="002F31FF" w:rsidRPr="00B8029E" w:rsidP="002F31FF" w14:paraId="33C65C7A" w14:textId="170B95F5">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The PUCO </w:t>
      </w:r>
      <w:r w:rsidRPr="00B8029E" w:rsidR="00FE2E05">
        <w:rPr>
          <w:rFonts w:ascii="Times New Roman" w:hAnsi="Times New Roman" w:cs="Times New Roman"/>
          <w:sz w:val="24"/>
          <w:szCs w:val="24"/>
        </w:rPr>
        <w:t xml:space="preserve">erred in </w:t>
      </w:r>
      <w:r w:rsidRPr="00B8029E" w:rsidR="00B32205">
        <w:rPr>
          <w:rFonts w:ascii="Times New Roman" w:hAnsi="Times New Roman" w:cs="Times New Roman"/>
          <w:sz w:val="24"/>
          <w:szCs w:val="24"/>
        </w:rPr>
        <w:t xml:space="preserve">finding </w:t>
      </w:r>
      <w:r w:rsidRPr="00B8029E" w:rsidR="00FE2E05">
        <w:rPr>
          <w:rFonts w:ascii="Times New Roman" w:hAnsi="Times New Roman" w:cs="Times New Roman"/>
          <w:sz w:val="24"/>
          <w:szCs w:val="24"/>
        </w:rPr>
        <w:t>that the</w:t>
      </w:r>
      <w:r w:rsidRPr="00B8029E">
        <w:rPr>
          <w:rFonts w:ascii="Times New Roman" w:hAnsi="Times New Roman" w:cs="Times New Roman"/>
          <w:sz w:val="24"/>
          <w:szCs w:val="24"/>
        </w:rPr>
        <w:t xml:space="preserve"> 2022 Adjustment Settlement benefits </w:t>
      </w:r>
      <w:r w:rsidRPr="00B8029E" w:rsidR="009E7D9C">
        <w:rPr>
          <w:rFonts w:ascii="Times New Roman" w:hAnsi="Times New Roman" w:cs="Times New Roman"/>
          <w:sz w:val="24"/>
          <w:szCs w:val="24"/>
        </w:rPr>
        <w:t>consumers</w:t>
      </w:r>
      <w:r w:rsidRPr="00B8029E">
        <w:rPr>
          <w:rFonts w:ascii="Times New Roman" w:hAnsi="Times New Roman" w:cs="Times New Roman"/>
          <w:sz w:val="24"/>
          <w:szCs w:val="24"/>
        </w:rPr>
        <w:t xml:space="preserve"> and the public interest “given that </w:t>
      </w:r>
      <w:r w:rsidRPr="00B8029E" w:rsidR="00FE2E05">
        <w:rPr>
          <w:rFonts w:ascii="Times New Roman" w:hAnsi="Times New Roman" w:cs="Times New Roman"/>
          <w:sz w:val="24"/>
          <w:szCs w:val="24"/>
        </w:rPr>
        <w:t>the Stipulation facilitates adequate funding, at the minimum USF rider rates necessary to continue the low-income customer assistance programs and the consumer education program offered by ODOD.”</w:t>
      </w:r>
      <w:r>
        <w:rPr>
          <w:rStyle w:val="FootnoteReference"/>
          <w:rFonts w:ascii="Times New Roman" w:hAnsi="Times New Roman" w:cs="Times New Roman"/>
          <w:sz w:val="24"/>
          <w:szCs w:val="24"/>
        </w:rPr>
        <w:footnoteReference w:id="25"/>
      </w:r>
      <w:r w:rsidRPr="00B8029E" w:rsidR="00FE2E05">
        <w:rPr>
          <w:rFonts w:ascii="Times New Roman" w:hAnsi="Times New Roman" w:cs="Times New Roman"/>
          <w:sz w:val="24"/>
          <w:szCs w:val="24"/>
        </w:rPr>
        <w:t xml:space="preserve"> But</w:t>
      </w:r>
      <w:r w:rsidRPr="00B8029E" w:rsidR="00CB7B0A">
        <w:rPr>
          <w:rFonts w:ascii="Times New Roman" w:hAnsi="Times New Roman" w:cs="Times New Roman"/>
          <w:sz w:val="24"/>
          <w:szCs w:val="24"/>
        </w:rPr>
        <w:t xml:space="preserve"> the PUCO missed the big picture</w:t>
      </w:r>
      <w:r w:rsidRPr="00B8029E" w:rsidR="009E7D9C">
        <w:rPr>
          <w:rFonts w:ascii="Times New Roman" w:hAnsi="Times New Roman" w:cs="Times New Roman"/>
          <w:sz w:val="24"/>
          <w:szCs w:val="24"/>
        </w:rPr>
        <w:t>. T</w:t>
      </w:r>
      <w:r w:rsidRPr="00B8029E" w:rsidR="00FE2E05">
        <w:rPr>
          <w:rFonts w:ascii="Times New Roman" w:hAnsi="Times New Roman" w:cs="Times New Roman"/>
          <w:sz w:val="24"/>
          <w:szCs w:val="24"/>
        </w:rPr>
        <w:t xml:space="preserve">he </w:t>
      </w:r>
      <w:r w:rsidRPr="00B8029E" w:rsidR="00FE2E05">
        <w:rPr>
          <w:rFonts w:ascii="Times New Roman" w:hAnsi="Times New Roman" w:cs="Times New Roman"/>
          <w:iCs/>
          <w:sz w:val="24"/>
          <w:szCs w:val="24"/>
        </w:rPr>
        <w:t xml:space="preserve">Settlement adopting the significantly increased USF rider rates is not beneficial consumers who pay the USF rider. It’s contrary to the public interest. </w:t>
      </w:r>
      <w:r w:rsidRPr="00B8029E" w:rsidR="00A1689B">
        <w:rPr>
          <w:rFonts w:ascii="Times New Roman" w:hAnsi="Times New Roman" w:cs="Times New Roman"/>
          <w:iCs/>
          <w:sz w:val="24"/>
          <w:szCs w:val="24"/>
        </w:rPr>
        <w:t>The PUCO erred in not considering the impact of the significant</w:t>
      </w:r>
      <w:r w:rsidRPr="00B8029E" w:rsidR="002B6379">
        <w:rPr>
          <w:rFonts w:ascii="Times New Roman" w:hAnsi="Times New Roman" w:cs="Times New Roman"/>
          <w:iCs/>
          <w:sz w:val="24"/>
          <w:szCs w:val="24"/>
        </w:rPr>
        <w:t>ly</w:t>
      </w:r>
      <w:r w:rsidRPr="00B8029E" w:rsidR="00A1689B">
        <w:rPr>
          <w:rFonts w:ascii="Times New Roman" w:hAnsi="Times New Roman" w:cs="Times New Roman"/>
          <w:iCs/>
          <w:sz w:val="24"/>
          <w:szCs w:val="24"/>
        </w:rPr>
        <w:t xml:space="preserve"> increased USF charges to all consumers who pay the USF.</w:t>
      </w:r>
      <w:r w:rsidRPr="00B8029E" w:rsidR="00DD17EC">
        <w:rPr>
          <w:rFonts w:ascii="Times New Roman" w:hAnsi="Times New Roman" w:cs="Times New Roman"/>
          <w:iCs/>
          <w:sz w:val="24"/>
          <w:szCs w:val="24"/>
        </w:rPr>
        <w:t xml:space="preserve"> </w:t>
      </w:r>
    </w:p>
    <w:p w:rsidR="00722595" w:rsidRPr="00EB4DD3" w:rsidP="00EB4DD3" w14:paraId="758E3216" w14:textId="600298FE">
      <w:pPr>
        <w:spacing w:after="0" w:line="480" w:lineRule="auto"/>
        <w:ind w:firstLine="720"/>
        <w:rPr>
          <w:rFonts w:ascii="Times New Roman" w:hAnsi="Times New Roman" w:cs="Times New Roman"/>
          <w:iCs/>
          <w:sz w:val="24"/>
          <w:szCs w:val="24"/>
        </w:rPr>
      </w:pPr>
      <w:r w:rsidRPr="00B8029E">
        <w:rPr>
          <w:rFonts w:ascii="Times New Roman" w:hAnsi="Times New Roman" w:cs="Times New Roman"/>
          <w:iCs/>
          <w:sz w:val="24"/>
          <w:szCs w:val="24"/>
        </w:rPr>
        <w:t xml:space="preserve">The table below </w:t>
      </w:r>
      <w:r w:rsidRPr="00B8029E" w:rsidR="00702E43">
        <w:rPr>
          <w:rFonts w:ascii="Times New Roman" w:hAnsi="Times New Roman" w:cs="Times New Roman"/>
          <w:iCs/>
          <w:sz w:val="24"/>
          <w:szCs w:val="24"/>
        </w:rPr>
        <w:t>was presented in testimony</w:t>
      </w:r>
      <w:r>
        <w:rPr>
          <w:rStyle w:val="FootnoteReference"/>
          <w:rFonts w:ascii="Times New Roman" w:hAnsi="Times New Roman" w:cs="Times New Roman"/>
          <w:iCs/>
          <w:sz w:val="24"/>
          <w:szCs w:val="24"/>
        </w:rPr>
        <w:footnoteReference w:id="26"/>
      </w:r>
      <w:r w:rsidRPr="00B8029E" w:rsidR="00702E43">
        <w:rPr>
          <w:rFonts w:ascii="Times New Roman" w:hAnsi="Times New Roman" w:cs="Times New Roman"/>
          <w:iCs/>
          <w:sz w:val="24"/>
          <w:szCs w:val="24"/>
        </w:rPr>
        <w:t xml:space="preserve"> and </w:t>
      </w:r>
      <w:r w:rsidRPr="00B8029E" w:rsidR="00FE2E05">
        <w:rPr>
          <w:rFonts w:ascii="Times New Roman" w:hAnsi="Times New Roman" w:cs="Times New Roman"/>
          <w:iCs/>
          <w:sz w:val="24"/>
          <w:szCs w:val="24"/>
        </w:rPr>
        <w:t xml:space="preserve">OCC’s </w:t>
      </w:r>
      <w:r w:rsidRPr="00B8029E" w:rsidR="00702E43">
        <w:rPr>
          <w:rFonts w:ascii="Times New Roman" w:hAnsi="Times New Roman" w:cs="Times New Roman"/>
          <w:iCs/>
          <w:sz w:val="24"/>
          <w:szCs w:val="24"/>
        </w:rPr>
        <w:t>post-hearing brief.</w:t>
      </w:r>
      <w:r>
        <w:rPr>
          <w:rStyle w:val="FootnoteReference"/>
          <w:rFonts w:ascii="Times New Roman" w:hAnsi="Times New Roman" w:cs="Times New Roman"/>
          <w:iCs/>
          <w:sz w:val="24"/>
          <w:szCs w:val="24"/>
        </w:rPr>
        <w:footnoteReference w:id="27"/>
      </w:r>
      <w:r w:rsidR="00B8029E">
        <w:rPr>
          <w:rFonts w:ascii="Times New Roman" w:hAnsi="Times New Roman" w:cs="Times New Roman"/>
          <w:iCs/>
          <w:sz w:val="24"/>
          <w:szCs w:val="24"/>
        </w:rPr>
        <w:t xml:space="preserve"> </w:t>
      </w:r>
      <w:r w:rsidRPr="00B8029E" w:rsidR="009E7D9C">
        <w:rPr>
          <w:rFonts w:ascii="Times New Roman" w:hAnsi="Times New Roman" w:cs="Times New Roman"/>
          <w:iCs/>
          <w:sz w:val="24"/>
          <w:szCs w:val="24"/>
        </w:rPr>
        <w:t>The table</w:t>
      </w:r>
      <w:r w:rsidRPr="00B8029E" w:rsidR="00702E43">
        <w:rPr>
          <w:rFonts w:ascii="Times New Roman" w:hAnsi="Times New Roman" w:cs="Times New Roman"/>
          <w:iCs/>
          <w:sz w:val="24"/>
          <w:szCs w:val="24"/>
        </w:rPr>
        <w:t xml:space="preserve"> show</w:t>
      </w:r>
      <w:r w:rsidRPr="00B8029E" w:rsidR="009E7D9C">
        <w:rPr>
          <w:rFonts w:ascii="Times New Roman" w:hAnsi="Times New Roman" w:cs="Times New Roman"/>
          <w:iCs/>
          <w:sz w:val="24"/>
          <w:szCs w:val="24"/>
        </w:rPr>
        <w:t>s</w:t>
      </w:r>
      <w:r w:rsidRPr="00B8029E" w:rsidR="00702E43">
        <w:rPr>
          <w:rFonts w:ascii="Times New Roman" w:hAnsi="Times New Roman" w:cs="Times New Roman"/>
          <w:iCs/>
          <w:sz w:val="24"/>
          <w:szCs w:val="24"/>
        </w:rPr>
        <w:t xml:space="preserve"> the</w:t>
      </w:r>
      <w:r w:rsidRPr="00B8029E">
        <w:rPr>
          <w:rFonts w:ascii="Times New Roman" w:hAnsi="Times New Roman" w:cs="Times New Roman"/>
          <w:iCs/>
          <w:sz w:val="24"/>
          <w:szCs w:val="24"/>
        </w:rPr>
        <w:t xml:space="preserve"> increase in rider charges to consumers that </w:t>
      </w:r>
      <w:r w:rsidRPr="00B8029E" w:rsidR="00702E43">
        <w:rPr>
          <w:rFonts w:ascii="Times New Roman" w:hAnsi="Times New Roman" w:cs="Times New Roman"/>
          <w:iCs/>
          <w:sz w:val="24"/>
          <w:szCs w:val="24"/>
        </w:rPr>
        <w:t>result from the Settlement.</w:t>
      </w:r>
      <w:r w:rsidRPr="00B8029E">
        <w:rPr>
          <w:rFonts w:ascii="Times New Roman" w:hAnsi="Times New Roman" w:cs="Times New Roman"/>
          <w:iCs/>
          <w:sz w:val="24"/>
          <w:szCs w:val="24"/>
        </w:rPr>
        <w:t xml:space="preserve"> For example, charges to Duke consumers would more than triple, increasing from about $11 million in 2022 to about $34 million in 2023. Charges to AES (DP&amp;L) consumers would similarly more than triple, going from about $9 million in 2022 to over $40 million in 2023. AEP charges would increase by about $100 million, going from about $81 million in 2022 to about $181 million in 2023</w:t>
      </w:r>
      <w:r w:rsidRPr="00B8029E" w:rsidR="00702E43">
        <w:rPr>
          <w:rFonts w:ascii="Times New Roman" w:hAnsi="Times New Roman" w:cs="Times New Roman"/>
          <w:iCs/>
          <w:sz w:val="24"/>
          <w:szCs w:val="24"/>
        </w:rPr>
        <w:t>:</w:t>
      </w:r>
    </w:p>
    <w:p w:rsidR="00842256" w:rsidRPr="00B8029E" w:rsidP="00842256" w14:paraId="3DF5C438" w14:textId="75811EF9">
      <w:pPr>
        <w:spacing w:after="0" w:line="480" w:lineRule="auto"/>
        <w:ind w:left="720" w:hanging="720"/>
        <w:jc w:val="center"/>
        <w:rPr>
          <w:rFonts w:ascii="Times New Roman" w:hAnsi="Times New Roman" w:cs="Times New Roman"/>
          <w:b/>
          <w:sz w:val="24"/>
          <w:szCs w:val="24"/>
        </w:rPr>
      </w:pPr>
      <w:r w:rsidRPr="00B8029E">
        <w:rPr>
          <w:rFonts w:ascii="Times New Roman" w:hAnsi="Times New Roman" w:cs="Times New Roman"/>
          <w:b/>
          <w:sz w:val="24"/>
          <w:szCs w:val="24"/>
        </w:rPr>
        <w:t>Table 1: Comparison of 2023 USF Revenue Requirement with 2022</w:t>
      </w:r>
      <w:r>
        <w:rPr>
          <w:rStyle w:val="FootnoteReference"/>
          <w:rFonts w:ascii="Times New Roman" w:hAnsi="Times New Roman" w:cs="Times New Roman"/>
          <w:b/>
          <w:sz w:val="24"/>
          <w:szCs w:val="24"/>
        </w:rPr>
        <w:footnoteReference w:id="28"/>
      </w:r>
    </w:p>
    <w:tbl>
      <w:tblPr>
        <w:tblStyle w:val="TableGrid"/>
        <w:tblW w:w="0" w:type="auto"/>
        <w:tblInd w:w="607" w:type="dxa"/>
        <w:tblLook w:val="04A0"/>
      </w:tblPr>
      <w:tblGrid>
        <w:gridCol w:w="1553"/>
        <w:gridCol w:w="1625"/>
        <w:gridCol w:w="1625"/>
        <w:gridCol w:w="1625"/>
        <w:gridCol w:w="1482"/>
      </w:tblGrid>
      <w:tr w14:paraId="5F9B99C3" w14:textId="77777777" w:rsidTr="00BB494E">
        <w:tblPrEx>
          <w:tblW w:w="0" w:type="auto"/>
          <w:tblInd w:w="607" w:type="dxa"/>
          <w:tblLook w:val="04A0"/>
        </w:tblPrEx>
        <w:trPr>
          <w:trHeight w:val="845"/>
        </w:trPr>
        <w:tc>
          <w:tcPr>
            <w:tcW w:w="1553" w:type="dxa"/>
          </w:tcPr>
          <w:p w:rsidR="00842256" w:rsidRPr="00B8029E" w:rsidP="00BB494E" w14:paraId="18757D33" w14:textId="77777777">
            <w:pPr>
              <w:rPr>
                <w:iCs/>
                <w:sz w:val="24"/>
                <w:szCs w:val="24"/>
              </w:rPr>
            </w:pPr>
            <w:r w:rsidRPr="00B8029E">
              <w:rPr>
                <w:iCs/>
                <w:sz w:val="24"/>
                <w:szCs w:val="24"/>
              </w:rPr>
              <w:t>EDU</w:t>
            </w:r>
          </w:p>
        </w:tc>
        <w:tc>
          <w:tcPr>
            <w:tcW w:w="1625" w:type="dxa"/>
          </w:tcPr>
          <w:p w:rsidR="00842256" w:rsidRPr="00B8029E" w:rsidP="00BB494E" w14:paraId="6E50D3BC" w14:textId="77777777">
            <w:pPr>
              <w:rPr>
                <w:iCs/>
                <w:sz w:val="24"/>
                <w:szCs w:val="24"/>
              </w:rPr>
            </w:pPr>
            <w:r w:rsidRPr="00B8029E">
              <w:rPr>
                <w:iCs/>
                <w:sz w:val="24"/>
                <w:szCs w:val="24"/>
              </w:rPr>
              <w:t>2023 USF Revenue Requirement</w:t>
            </w:r>
          </w:p>
        </w:tc>
        <w:tc>
          <w:tcPr>
            <w:tcW w:w="1625" w:type="dxa"/>
          </w:tcPr>
          <w:p w:rsidR="00842256" w:rsidRPr="00B8029E" w:rsidP="00BB494E" w14:paraId="2DD7B4B5" w14:textId="77777777">
            <w:pPr>
              <w:rPr>
                <w:iCs/>
                <w:sz w:val="24"/>
                <w:szCs w:val="24"/>
              </w:rPr>
            </w:pPr>
            <w:r w:rsidRPr="00B8029E">
              <w:rPr>
                <w:iCs/>
                <w:sz w:val="24"/>
                <w:szCs w:val="24"/>
              </w:rPr>
              <w:t>2022 USF Revenue Requirement</w:t>
            </w:r>
          </w:p>
        </w:tc>
        <w:tc>
          <w:tcPr>
            <w:tcW w:w="1625" w:type="dxa"/>
          </w:tcPr>
          <w:p w:rsidR="00842256" w:rsidRPr="00B8029E" w:rsidP="00BB494E" w14:paraId="473C3C53" w14:textId="77777777">
            <w:pPr>
              <w:rPr>
                <w:iCs/>
                <w:sz w:val="24"/>
                <w:szCs w:val="24"/>
              </w:rPr>
            </w:pPr>
            <w:r w:rsidRPr="00B8029E">
              <w:rPr>
                <w:iCs/>
                <w:sz w:val="24"/>
                <w:szCs w:val="24"/>
              </w:rPr>
              <w:t>Difference</w:t>
            </w:r>
          </w:p>
        </w:tc>
        <w:tc>
          <w:tcPr>
            <w:tcW w:w="1482" w:type="dxa"/>
          </w:tcPr>
          <w:p w:rsidR="00842256" w:rsidRPr="00B8029E" w:rsidP="00BB494E" w14:paraId="6CE31B4F" w14:textId="77777777">
            <w:pPr>
              <w:rPr>
                <w:iCs/>
                <w:sz w:val="24"/>
                <w:szCs w:val="24"/>
              </w:rPr>
            </w:pPr>
            <w:r w:rsidRPr="00B8029E">
              <w:rPr>
                <w:iCs/>
                <w:sz w:val="24"/>
                <w:szCs w:val="24"/>
              </w:rPr>
              <w:t>Percentage Increase</w:t>
            </w:r>
          </w:p>
        </w:tc>
      </w:tr>
      <w:tr w14:paraId="231995C4" w14:textId="77777777" w:rsidTr="00BB494E">
        <w:tblPrEx>
          <w:tblW w:w="0" w:type="auto"/>
          <w:tblInd w:w="607" w:type="dxa"/>
          <w:tblLook w:val="04A0"/>
        </w:tblPrEx>
        <w:tc>
          <w:tcPr>
            <w:tcW w:w="1553" w:type="dxa"/>
          </w:tcPr>
          <w:p w:rsidR="00842256" w:rsidRPr="00B8029E" w:rsidP="00BB494E" w14:paraId="6F66B59D" w14:textId="77777777">
            <w:pPr>
              <w:rPr>
                <w:iCs/>
                <w:sz w:val="24"/>
                <w:szCs w:val="24"/>
              </w:rPr>
            </w:pPr>
            <w:r w:rsidRPr="00B8029E">
              <w:rPr>
                <w:iCs/>
                <w:sz w:val="24"/>
                <w:szCs w:val="24"/>
              </w:rPr>
              <w:t>AEP Ohio</w:t>
            </w:r>
          </w:p>
        </w:tc>
        <w:tc>
          <w:tcPr>
            <w:tcW w:w="1625" w:type="dxa"/>
          </w:tcPr>
          <w:p w:rsidR="00842256" w:rsidRPr="00B8029E" w:rsidP="00BB494E" w14:paraId="525237D4" w14:textId="77777777">
            <w:pPr>
              <w:rPr>
                <w:iCs/>
                <w:sz w:val="24"/>
                <w:szCs w:val="24"/>
              </w:rPr>
            </w:pPr>
            <w:r w:rsidRPr="00B8029E">
              <w:rPr>
                <w:iCs/>
                <w:sz w:val="24"/>
                <w:szCs w:val="24"/>
              </w:rPr>
              <w:t>$180,761,552</w:t>
            </w:r>
          </w:p>
        </w:tc>
        <w:tc>
          <w:tcPr>
            <w:tcW w:w="1625" w:type="dxa"/>
          </w:tcPr>
          <w:p w:rsidR="00842256" w:rsidRPr="00B8029E" w:rsidP="00BB494E" w14:paraId="37349A28" w14:textId="77777777">
            <w:pPr>
              <w:rPr>
                <w:iCs/>
                <w:sz w:val="24"/>
                <w:szCs w:val="24"/>
              </w:rPr>
            </w:pPr>
            <w:r w:rsidRPr="00B8029E">
              <w:rPr>
                <w:iCs/>
                <w:sz w:val="24"/>
                <w:szCs w:val="24"/>
              </w:rPr>
              <w:t>$80,600,646</w:t>
            </w:r>
          </w:p>
        </w:tc>
        <w:tc>
          <w:tcPr>
            <w:tcW w:w="1625" w:type="dxa"/>
          </w:tcPr>
          <w:p w:rsidR="00842256" w:rsidRPr="00B8029E" w:rsidP="00BB494E" w14:paraId="780AB7B6" w14:textId="77777777">
            <w:pPr>
              <w:rPr>
                <w:iCs/>
                <w:sz w:val="24"/>
                <w:szCs w:val="24"/>
              </w:rPr>
            </w:pPr>
            <w:r w:rsidRPr="00B8029E">
              <w:rPr>
                <w:iCs/>
                <w:sz w:val="24"/>
                <w:szCs w:val="24"/>
              </w:rPr>
              <w:t>$100,160,906</w:t>
            </w:r>
          </w:p>
        </w:tc>
        <w:tc>
          <w:tcPr>
            <w:tcW w:w="1482" w:type="dxa"/>
          </w:tcPr>
          <w:p w:rsidR="00842256" w:rsidRPr="00B8029E" w:rsidP="00BB494E" w14:paraId="4E36B063" w14:textId="77777777">
            <w:pPr>
              <w:rPr>
                <w:iCs/>
                <w:sz w:val="24"/>
                <w:szCs w:val="24"/>
              </w:rPr>
            </w:pPr>
            <w:r w:rsidRPr="00B8029E">
              <w:rPr>
                <w:iCs/>
                <w:sz w:val="24"/>
                <w:szCs w:val="24"/>
              </w:rPr>
              <w:t>124.3%</w:t>
            </w:r>
          </w:p>
        </w:tc>
      </w:tr>
      <w:tr w14:paraId="2C546EAB" w14:textId="77777777" w:rsidTr="00BB494E">
        <w:tblPrEx>
          <w:tblW w:w="0" w:type="auto"/>
          <w:tblInd w:w="607" w:type="dxa"/>
          <w:tblLook w:val="04A0"/>
        </w:tblPrEx>
        <w:tc>
          <w:tcPr>
            <w:tcW w:w="1553" w:type="dxa"/>
          </w:tcPr>
          <w:p w:rsidR="00842256" w:rsidRPr="00B8029E" w:rsidP="00BB494E" w14:paraId="279344D7" w14:textId="77777777">
            <w:pPr>
              <w:rPr>
                <w:iCs/>
                <w:sz w:val="24"/>
                <w:szCs w:val="24"/>
              </w:rPr>
            </w:pPr>
            <w:r w:rsidRPr="00B8029E">
              <w:rPr>
                <w:iCs/>
                <w:sz w:val="24"/>
                <w:szCs w:val="24"/>
              </w:rPr>
              <w:t>AES Ohio</w:t>
            </w:r>
          </w:p>
        </w:tc>
        <w:tc>
          <w:tcPr>
            <w:tcW w:w="1625" w:type="dxa"/>
          </w:tcPr>
          <w:p w:rsidR="00842256" w:rsidRPr="00B8029E" w:rsidP="00BB494E" w14:paraId="57C4AE44" w14:textId="77777777">
            <w:pPr>
              <w:rPr>
                <w:iCs/>
                <w:sz w:val="24"/>
                <w:szCs w:val="24"/>
              </w:rPr>
            </w:pPr>
            <w:r w:rsidRPr="00B8029E">
              <w:rPr>
                <w:iCs/>
                <w:sz w:val="24"/>
                <w:szCs w:val="24"/>
              </w:rPr>
              <w:t>$40,905,828</w:t>
            </w:r>
          </w:p>
        </w:tc>
        <w:tc>
          <w:tcPr>
            <w:tcW w:w="1625" w:type="dxa"/>
          </w:tcPr>
          <w:p w:rsidR="00842256" w:rsidRPr="00B8029E" w:rsidP="00BB494E" w14:paraId="2F5E4F74" w14:textId="77777777">
            <w:pPr>
              <w:rPr>
                <w:iCs/>
                <w:sz w:val="24"/>
                <w:szCs w:val="24"/>
              </w:rPr>
            </w:pPr>
            <w:r w:rsidRPr="00B8029E">
              <w:rPr>
                <w:iCs/>
                <w:sz w:val="24"/>
                <w:szCs w:val="24"/>
              </w:rPr>
              <w:t>$9,547,863</w:t>
            </w:r>
          </w:p>
        </w:tc>
        <w:tc>
          <w:tcPr>
            <w:tcW w:w="1625" w:type="dxa"/>
          </w:tcPr>
          <w:p w:rsidR="00842256" w:rsidRPr="00B8029E" w:rsidP="00BB494E" w14:paraId="501AEC6E" w14:textId="77777777">
            <w:pPr>
              <w:rPr>
                <w:iCs/>
                <w:sz w:val="24"/>
                <w:szCs w:val="24"/>
              </w:rPr>
            </w:pPr>
            <w:r w:rsidRPr="00B8029E">
              <w:rPr>
                <w:iCs/>
                <w:sz w:val="24"/>
                <w:szCs w:val="24"/>
              </w:rPr>
              <w:t>$31,357,964</w:t>
            </w:r>
          </w:p>
        </w:tc>
        <w:tc>
          <w:tcPr>
            <w:tcW w:w="1482" w:type="dxa"/>
          </w:tcPr>
          <w:p w:rsidR="00842256" w:rsidRPr="00B8029E" w:rsidP="00BB494E" w14:paraId="33ED2941" w14:textId="77777777">
            <w:pPr>
              <w:rPr>
                <w:iCs/>
                <w:sz w:val="24"/>
                <w:szCs w:val="24"/>
              </w:rPr>
            </w:pPr>
            <w:r w:rsidRPr="00B8029E">
              <w:rPr>
                <w:iCs/>
                <w:sz w:val="24"/>
                <w:szCs w:val="24"/>
              </w:rPr>
              <w:t>328.4%</w:t>
            </w:r>
          </w:p>
        </w:tc>
      </w:tr>
      <w:tr w14:paraId="468B5327" w14:textId="77777777" w:rsidTr="00BB494E">
        <w:tblPrEx>
          <w:tblW w:w="0" w:type="auto"/>
          <w:tblInd w:w="607" w:type="dxa"/>
          <w:tblLook w:val="04A0"/>
        </w:tblPrEx>
        <w:tc>
          <w:tcPr>
            <w:tcW w:w="1553" w:type="dxa"/>
          </w:tcPr>
          <w:p w:rsidR="00842256" w:rsidRPr="00B8029E" w:rsidP="00BB494E" w14:paraId="3E26579C" w14:textId="77777777">
            <w:pPr>
              <w:rPr>
                <w:iCs/>
                <w:sz w:val="24"/>
                <w:szCs w:val="24"/>
              </w:rPr>
            </w:pPr>
            <w:r w:rsidRPr="00B8029E">
              <w:rPr>
                <w:iCs/>
                <w:sz w:val="24"/>
                <w:szCs w:val="24"/>
              </w:rPr>
              <w:t>Duke Energy Ohio</w:t>
            </w:r>
          </w:p>
        </w:tc>
        <w:tc>
          <w:tcPr>
            <w:tcW w:w="1625" w:type="dxa"/>
          </w:tcPr>
          <w:p w:rsidR="00842256" w:rsidRPr="00B8029E" w:rsidP="00BB494E" w14:paraId="5FFBCC11" w14:textId="77777777">
            <w:pPr>
              <w:rPr>
                <w:iCs/>
                <w:sz w:val="24"/>
                <w:szCs w:val="24"/>
              </w:rPr>
            </w:pPr>
            <w:r w:rsidRPr="00B8029E">
              <w:rPr>
                <w:iCs/>
                <w:sz w:val="24"/>
                <w:szCs w:val="24"/>
              </w:rPr>
              <w:t>$34,784,697</w:t>
            </w:r>
          </w:p>
        </w:tc>
        <w:tc>
          <w:tcPr>
            <w:tcW w:w="1625" w:type="dxa"/>
          </w:tcPr>
          <w:p w:rsidR="00842256" w:rsidRPr="00B8029E" w:rsidP="00BB494E" w14:paraId="59D0A48E" w14:textId="77777777">
            <w:pPr>
              <w:rPr>
                <w:iCs/>
                <w:sz w:val="24"/>
                <w:szCs w:val="24"/>
              </w:rPr>
            </w:pPr>
            <w:r w:rsidRPr="00B8029E">
              <w:rPr>
                <w:iCs/>
                <w:sz w:val="24"/>
                <w:szCs w:val="24"/>
              </w:rPr>
              <w:t>$11,485,776</w:t>
            </w:r>
          </w:p>
        </w:tc>
        <w:tc>
          <w:tcPr>
            <w:tcW w:w="1625" w:type="dxa"/>
          </w:tcPr>
          <w:p w:rsidR="00842256" w:rsidRPr="00B8029E" w:rsidP="00BB494E" w14:paraId="3445C982" w14:textId="77777777">
            <w:pPr>
              <w:rPr>
                <w:iCs/>
                <w:sz w:val="24"/>
                <w:szCs w:val="24"/>
              </w:rPr>
            </w:pPr>
            <w:r w:rsidRPr="00B8029E">
              <w:rPr>
                <w:iCs/>
                <w:sz w:val="24"/>
                <w:szCs w:val="24"/>
              </w:rPr>
              <w:t>$23,298,921</w:t>
            </w:r>
          </w:p>
        </w:tc>
        <w:tc>
          <w:tcPr>
            <w:tcW w:w="1482" w:type="dxa"/>
          </w:tcPr>
          <w:p w:rsidR="00842256" w:rsidRPr="00B8029E" w:rsidP="00BB494E" w14:paraId="7450459B" w14:textId="77777777">
            <w:pPr>
              <w:rPr>
                <w:iCs/>
                <w:sz w:val="24"/>
                <w:szCs w:val="24"/>
              </w:rPr>
            </w:pPr>
            <w:r w:rsidRPr="00B8029E">
              <w:rPr>
                <w:iCs/>
                <w:sz w:val="24"/>
                <w:szCs w:val="24"/>
              </w:rPr>
              <w:t>202.9%</w:t>
            </w:r>
          </w:p>
        </w:tc>
      </w:tr>
      <w:tr w14:paraId="2E81AAB3" w14:textId="77777777" w:rsidTr="00BB494E">
        <w:tblPrEx>
          <w:tblW w:w="0" w:type="auto"/>
          <w:tblInd w:w="607" w:type="dxa"/>
          <w:tblLook w:val="04A0"/>
        </w:tblPrEx>
        <w:tc>
          <w:tcPr>
            <w:tcW w:w="1553" w:type="dxa"/>
          </w:tcPr>
          <w:p w:rsidR="00842256" w:rsidRPr="00B8029E" w:rsidP="00BB494E" w14:paraId="6A01E525" w14:textId="77777777">
            <w:pPr>
              <w:rPr>
                <w:iCs/>
                <w:sz w:val="24"/>
                <w:szCs w:val="24"/>
              </w:rPr>
            </w:pPr>
            <w:r w:rsidRPr="00B8029E">
              <w:rPr>
                <w:iCs/>
                <w:sz w:val="24"/>
                <w:szCs w:val="24"/>
              </w:rPr>
              <w:t>Cleveland Electric Illuminating</w:t>
            </w:r>
          </w:p>
        </w:tc>
        <w:tc>
          <w:tcPr>
            <w:tcW w:w="1625" w:type="dxa"/>
          </w:tcPr>
          <w:p w:rsidR="00842256" w:rsidRPr="00B8029E" w:rsidP="00BB494E" w14:paraId="65C09E72" w14:textId="77777777">
            <w:pPr>
              <w:rPr>
                <w:iCs/>
                <w:sz w:val="24"/>
                <w:szCs w:val="24"/>
              </w:rPr>
            </w:pPr>
            <w:r w:rsidRPr="00B8029E">
              <w:rPr>
                <w:iCs/>
                <w:sz w:val="24"/>
                <w:szCs w:val="24"/>
              </w:rPr>
              <w:t>$30,434,758</w:t>
            </w:r>
          </w:p>
        </w:tc>
        <w:tc>
          <w:tcPr>
            <w:tcW w:w="1625" w:type="dxa"/>
          </w:tcPr>
          <w:p w:rsidR="00842256" w:rsidRPr="00B8029E" w:rsidP="00BB494E" w14:paraId="298B6BBC" w14:textId="77777777">
            <w:pPr>
              <w:rPr>
                <w:iCs/>
                <w:sz w:val="24"/>
                <w:szCs w:val="24"/>
              </w:rPr>
            </w:pPr>
            <w:r w:rsidRPr="00B8029E">
              <w:rPr>
                <w:iCs/>
                <w:sz w:val="24"/>
                <w:szCs w:val="24"/>
              </w:rPr>
              <w:t>$23,243,736</w:t>
            </w:r>
          </w:p>
        </w:tc>
        <w:tc>
          <w:tcPr>
            <w:tcW w:w="1625" w:type="dxa"/>
          </w:tcPr>
          <w:p w:rsidR="00842256" w:rsidRPr="00B8029E" w:rsidP="00BB494E" w14:paraId="64B0C97C" w14:textId="77777777">
            <w:pPr>
              <w:rPr>
                <w:iCs/>
                <w:sz w:val="24"/>
                <w:szCs w:val="24"/>
              </w:rPr>
            </w:pPr>
            <w:r w:rsidRPr="00B8029E">
              <w:rPr>
                <w:iCs/>
                <w:sz w:val="24"/>
                <w:szCs w:val="24"/>
              </w:rPr>
              <w:t>$7,191,022</w:t>
            </w:r>
          </w:p>
        </w:tc>
        <w:tc>
          <w:tcPr>
            <w:tcW w:w="1482" w:type="dxa"/>
          </w:tcPr>
          <w:p w:rsidR="00842256" w:rsidRPr="00B8029E" w:rsidP="00BB494E" w14:paraId="6D2E911B" w14:textId="77777777">
            <w:pPr>
              <w:rPr>
                <w:iCs/>
                <w:sz w:val="24"/>
                <w:szCs w:val="24"/>
              </w:rPr>
            </w:pPr>
            <w:r w:rsidRPr="00B8029E">
              <w:rPr>
                <w:iCs/>
                <w:sz w:val="24"/>
                <w:szCs w:val="24"/>
              </w:rPr>
              <w:t>30.9%</w:t>
            </w:r>
          </w:p>
        </w:tc>
      </w:tr>
      <w:tr w14:paraId="392A95EE" w14:textId="77777777" w:rsidTr="00BB494E">
        <w:tblPrEx>
          <w:tblW w:w="0" w:type="auto"/>
          <w:tblInd w:w="607" w:type="dxa"/>
          <w:tblLook w:val="04A0"/>
        </w:tblPrEx>
        <w:tc>
          <w:tcPr>
            <w:tcW w:w="1553" w:type="dxa"/>
          </w:tcPr>
          <w:p w:rsidR="00842256" w:rsidRPr="00B8029E" w:rsidP="00BB494E" w14:paraId="3F7E7277" w14:textId="77777777">
            <w:pPr>
              <w:rPr>
                <w:iCs/>
                <w:sz w:val="24"/>
                <w:szCs w:val="24"/>
              </w:rPr>
            </w:pPr>
            <w:r w:rsidRPr="00B8029E">
              <w:rPr>
                <w:iCs/>
                <w:sz w:val="24"/>
                <w:szCs w:val="24"/>
              </w:rPr>
              <w:t>Ohio Edison</w:t>
            </w:r>
          </w:p>
        </w:tc>
        <w:tc>
          <w:tcPr>
            <w:tcW w:w="1625" w:type="dxa"/>
          </w:tcPr>
          <w:p w:rsidR="00842256" w:rsidRPr="00B8029E" w:rsidP="00BB494E" w14:paraId="70FA061C" w14:textId="77777777">
            <w:pPr>
              <w:rPr>
                <w:iCs/>
                <w:sz w:val="24"/>
                <w:szCs w:val="24"/>
              </w:rPr>
            </w:pPr>
            <w:r w:rsidRPr="00B8029E">
              <w:rPr>
                <w:iCs/>
                <w:sz w:val="24"/>
                <w:szCs w:val="24"/>
              </w:rPr>
              <w:t>$62,368,675</w:t>
            </w:r>
          </w:p>
        </w:tc>
        <w:tc>
          <w:tcPr>
            <w:tcW w:w="1625" w:type="dxa"/>
          </w:tcPr>
          <w:p w:rsidR="00842256" w:rsidRPr="00B8029E" w:rsidP="00BB494E" w14:paraId="42C959EE" w14:textId="77777777">
            <w:pPr>
              <w:rPr>
                <w:iCs/>
                <w:sz w:val="24"/>
                <w:szCs w:val="24"/>
              </w:rPr>
            </w:pPr>
            <w:r w:rsidRPr="00B8029E">
              <w:rPr>
                <w:iCs/>
                <w:sz w:val="24"/>
                <w:szCs w:val="24"/>
              </w:rPr>
              <w:t>$47,307,588</w:t>
            </w:r>
          </w:p>
        </w:tc>
        <w:tc>
          <w:tcPr>
            <w:tcW w:w="1625" w:type="dxa"/>
          </w:tcPr>
          <w:p w:rsidR="00842256" w:rsidRPr="00B8029E" w:rsidP="00BB494E" w14:paraId="418BDFBE" w14:textId="77777777">
            <w:pPr>
              <w:rPr>
                <w:iCs/>
                <w:sz w:val="24"/>
                <w:szCs w:val="24"/>
              </w:rPr>
            </w:pPr>
            <w:r w:rsidRPr="00B8029E">
              <w:rPr>
                <w:iCs/>
                <w:sz w:val="24"/>
                <w:szCs w:val="24"/>
              </w:rPr>
              <w:t>$15,061,087</w:t>
            </w:r>
          </w:p>
        </w:tc>
        <w:tc>
          <w:tcPr>
            <w:tcW w:w="1482" w:type="dxa"/>
          </w:tcPr>
          <w:p w:rsidR="00842256" w:rsidRPr="00B8029E" w:rsidP="00BB494E" w14:paraId="2E136586" w14:textId="77777777">
            <w:pPr>
              <w:rPr>
                <w:iCs/>
                <w:sz w:val="24"/>
                <w:szCs w:val="24"/>
              </w:rPr>
            </w:pPr>
            <w:r w:rsidRPr="00B8029E">
              <w:rPr>
                <w:iCs/>
                <w:sz w:val="24"/>
                <w:szCs w:val="24"/>
              </w:rPr>
              <w:t>31.8%</w:t>
            </w:r>
          </w:p>
        </w:tc>
      </w:tr>
      <w:tr w14:paraId="34519877" w14:textId="77777777" w:rsidTr="00BB494E">
        <w:tblPrEx>
          <w:tblW w:w="0" w:type="auto"/>
          <w:tblInd w:w="607" w:type="dxa"/>
          <w:tblLook w:val="04A0"/>
        </w:tblPrEx>
        <w:tc>
          <w:tcPr>
            <w:tcW w:w="1553" w:type="dxa"/>
          </w:tcPr>
          <w:p w:rsidR="00842256" w:rsidRPr="00B8029E" w:rsidP="00BB494E" w14:paraId="31C6938B" w14:textId="77777777">
            <w:pPr>
              <w:rPr>
                <w:iCs/>
                <w:sz w:val="24"/>
                <w:szCs w:val="24"/>
              </w:rPr>
            </w:pPr>
            <w:r w:rsidRPr="00B8029E">
              <w:rPr>
                <w:iCs/>
                <w:sz w:val="24"/>
                <w:szCs w:val="24"/>
              </w:rPr>
              <w:t>Toledo Edison</w:t>
            </w:r>
          </w:p>
        </w:tc>
        <w:tc>
          <w:tcPr>
            <w:tcW w:w="1625" w:type="dxa"/>
          </w:tcPr>
          <w:p w:rsidR="00842256" w:rsidRPr="00B8029E" w:rsidP="00BB494E" w14:paraId="2A170B4C" w14:textId="77777777">
            <w:pPr>
              <w:rPr>
                <w:iCs/>
                <w:sz w:val="24"/>
                <w:szCs w:val="24"/>
              </w:rPr>
            </w:pPr>
            <w:r w:rsidRPr="00B8029E">
              <w:rPr>
                <w:iCs/>
                <w:sz w:val="24"/>
                <w:szCs w:val="24"/>
              </w:rPr>
              <w:t>$18,776,773</w:t>
            </w:r>
          </w:p>
        </w:tc>
        <w:tc>
          <w:tcPr>
            <w:tcW w:w="1625" w:type="dxa"/>
          </w:tcPr>
          <w:p w:rsidR="00842256" w:rsidRPr="00B8029E" w:rsidP="00BB494E" w14:paraId="5119273E" w14:textId="77777777">
            <w:pPr>
              <w:rPr>
                <w:iCs/>
                <w:sz w:val="24"/>
                <w:szCs w:val="24"/>
              </w:rPr>
            </w:pPr>
            <w:r w:rsidRPr="00B8029E">
              <w:rPr>
                <w:iCs/>
                <w:sz w:val="24"/>
                <w:szCs w:val="24"/>
              </w:rPr>
              <w:t>$15,073,083</w:t>
            </w:r>
          </w:p>
        </w:tc>
        <w:tc>
          <w:tcPr>
            <w:tcW w:w="1625" w:type="dxa"/>
          </w:tcPr>
          <w:p w:rsidR="00842256" w:rsidRPr="00B8029E" w:rsidP="00BB494E" w14:paraId="4D035E0C" w14:textId="77777777">
            <w:pPr>
              <w:rPr>
                <w:iCs/>
                <w:sz w:val="24"/>
                <w:szCs w:val="24"/>
              </w:rPr>
            </w:pPr>
            <w:r w:rsidRPr="00B8029E">
              <w:rPr>
                <w:iCs/>
                <w:sz w:val="24"/>
                <w:szCs w:val="24"/>
              </w:rPr>
              <w:t>$3,703,690</w:t>
            </w:r>
          </w:p>
        </w:tc>
        <w:tc>
          <w:tcPr>
            <w:tcW w:w="1482" w:type="dxa"/>
          </w:tcPr>
          <w:p w:rsidR="00842256" w:rsidRPr="00B8029E" w:rsidP="00BB494E" w14:paraId="153BDB1D" w14:textId="77777777">
            <w:pPr>
              <w:rPr>
                <w:iCs/>
                <w:sz w:val="24"/>
                <w:szCs w:val="24"/>
              </w:rPr>
            </w:pPr>
            <w:r w:rsidRPr="00B8029E">
              <w:rPr>
                <w:iCs/>
                <w:sz w:val="24"/>
                <w:szCs w:val="24"/>
              </w:rPr>
              <w:t>24.6%</w:t>
            </w:r>
          </w:p>
        </w:tc>
      </w:tr>
      <w:tr w14:paraId="298B164A" w14:textId="77777777" w:rsidTr="00BB494E">
        <w:tblPrEx>
          <w:tblW w:w="0" w:type="auto"/>
          <w:tblInd w:w="607" w:type="dxa"/>
          <w:tblLook w:val="04A0"/>
        </w:tblPrEx>
        <w:tc>
          <w:tcPr>
            <w:tcW w:w="1553" w:type="dxa"/>
          </w:tcPr>
          <w:p w:rsidR="00842256" w:rsidRPr="00B8029E" w:rsidP="00BB494E" w14:paraId="3952D829" w14:textId="77777777">
            <w:pPr>
              <w:rPr>
                <w:iCs/>
                <w:sz w:val="24"/>
                <w:szCs w:val="24"/>
              </w:rPr>
            </w:pPr>
            <w:r w:rsidRPr="00B8029E">
              <w:rPr>
                <w:iCs/>
                <w:sz w:val="24"/>
                <w:szCs w:val="24"/>
              </w:rPr>
              <w:t>Total</w:t>
            </w:r>
          </w:p>
        </w:tc>
        <w:tc>
          <w:tcPr>
            <w:tcW w:w="1625" w:type="dxa"/>
          </w:tcPr>
          <w:p w:rsidR="00842256" w:rsidRPr="00B8029E" w:rsidP="00BB494E" w14:paraId="3A3B68F3" w14:textId="77777777">
            <w:pPr>
              <w:rPr>
                <w:iCs/>
                <w:sz w:val="24"/>
                <w:szCs w:val="24"/>
              </w:rPr>
            </w:pPr>
            <w:r w:rsidRPr="00B8029E">
              <w:rPr>
                <w:iCs/>
                <w:sz w:val="24"/>
                <w:szCs w:val="24"/>
              </w:rPr>
              <w:t>$358, 924,849</w:t>
            </w:r>
          </w:p>
        </w:tc>
        <w:tc>
          <w:tcPr>
            <w:tcW w:w="1625" w:type="dxa"/>
          </w:tcPr>
          <w:p w:rsidR="00842256" w:rsidRPr="00B8029E" w:rsidP="00BB494E" w14:paraId="1435F3C5" w14:textId="77777777">
            <w:pPr>
              <w:rPr>
                <w:iCs/>
                <w:sz w:val="24"/>
                <w:szCs w:val="24"/>
              </w:rPr>
            </w:pPr>
            <w:r w:rsidRPr="00B8029E">
              <w:rPr>
                <w:iCs/>
                <w:sz w:val="24"/>
                <w:szCs w:val="24"/>
              </w:rPr>
              <w:t>$187,258,690</w:t>
            </w:r>
          </w:p>
        </w:tc>
        <w:tc>
          <w:tcPr>
            <w:tcW w:w="1625" w:type="dxa"/>
          </w:tcPr>
          <w:p w:rsidR="00842256" w:rsidRPr="00B8029E" w:rsidP="00BB494E" w14:paraId="74D57699" w14:textId="77777777">
            <w:pPr>
              <w:rPr>
                <w:iCs/>
                <w:sz w:val="24"/>
                <w:szCs w:val="24"/>
              </w:rPr>
            </w:pPr>
            <w:r w:rsidRPr="00B8029E">
              <w:rPr>
                <w:iCs/>
                <w:sz w:val="24"/>
                <w:szCs w:val="24"/>
              </w:rPr>
              <w:t>$171,666,159</w:t>
            </w:r>
          </w:p>
        </w:tc>
        <w:tc>
          <w:tcPr>
            <w:tcW w:w="1482" w:type="dxa"/>
          </w:tcPr>
          <w:p w:rsidR="00842256" w:rsidRPr="00B8029E" w:rsidP="00BB494E" w14:paraId="3C33C7F7" w14:textId="77777777">
            <w:pPr>
              <w:rPr>
                <w:iCs/>
                <w:sz w:val="24"/>
                <w:szCs w:val="24"/>
              </w:rPr>
            </w:pPr>
            <w:r w:rsidRPr="00B8029E">
              <w:rPr>
                <w:iCs/>
                <w:sz w:val="24"/>
                <w:szCs w:val="24"/>
              </w:rPr>
              <w:t>91.7%</w:t>
            </w:r>
          </w:p>
        </w:tc>
      </w:tr>
    </w:tbl>
    <w:p w:rsidR="00842256" w:rsidRPr="00B8029E" w:rsidP="00842256" w14:paraId="57E2DA44" w14:textId="77777777">
      <w:pPr>
        <w:spacing w:after="0" w:line="240" w:lineRule="auto"/>
        <w:ind w:firstLine="720"/>
        <w:rPr>
          <w:rFonts w:ascii="Times New Roman" w:hAnsi="Times New Roman" w:cs="Times New Roman"/>
          <w:iCs/>
          <w:sz w:val="24"/>
          <w:szCs w:val="24"/>
        </w:rPr>
      </w:pPr>
    </w:p>
    <w:p w:rsidR="00D6279D" w:rsidRPr="00B8029E" w:rsidP="00842256" w14:paraId="56543E5A" w14:textId="22CB13A6">
      <w:pPr>
        <w:spacing w:after="0" w:line="480" w:lineRule="auto"/>
        <w:ind w:firstLine="720"/>
        <w:rPr>
          <w:rFonts w:ascii="Times New Roman" w:hAnsi="Times New Roman" w:cs="Times New Roman"/>
          <w:iCs/>
          <w:sz w:val="24"/>
          <w:szCs w:val="24"/>
        </w:rPr>
      </w:pPr>
      <w:r w:rsidRPr="00B8029E">
        <w:rPr>
          <w:rFonts w:ascii="Times New Roman" w:hAnsi="Times New Roman" w:cs="Times New Roman"/>
          <w:iCs/>
          <w:sz w:val="24"/>
          <w:szCs w:val="24"/>
        </w:rPr>
        <w:t>In all instances, the higher costs which are added to PIPP consumers</w:t>
      </w:r>
      <w:r w:rsidRPr="00B8029E" w:rsidR="009E7D9C">
        <w:rPr>
          <w:rFonts w:ascii="Times New Roman" w:hAnsi="Times New Roman" w:cs="Times New Roman"/>
          <w:iCs/>
          <w:sz w:val="24"/>
          <w:szCs w:val="24"/>
        </w:rPr>
        <w:t>’</w:t>
      </w:r>
      <w:r w:rsidRPr="00B8029E">
        <w:rPr>
          <w:rFonts w:ascii="Times New Roman" w:hAnsi="Times New Roman" w:cs="Times New Roman"/>
          <w:iCs/>
          <w:sz w:val="24"/>
          <w:szCs w:val="24"/>
        </w:rPr>
        <w:t xml:space="preserve"> arrearages are paid by all consumers via the USF rider. This will result in increases in all consumers’ bills. The amount of the additional charges is reflected in </w:t>
      </w:r>
      <w:r w:rsidR="00E179AE">
        <w:rPr>
          <w:rFonts w:ascii="Times New Roman" w:hAnsi="Times New Roman" w:cs="Times New Roman"/>
          <w:iCs/>
          <w:sz w:val="24"/>
          <w:szCs w:val="24"/>
        </w:rPr>
        <w:t>Table Two (below)</w:t>
      </w:r>
      <w:r w:rsidR="00801ABF">
        <w:rPr>
          <w:rFonts w:ascii="Times New Roman" w:hAnsi="Times New Roman" w:cs="Times New Roman"/>
          <w:iCs/>
          <w:sz w:val="24"/>
          <w:szCs w:val="24"/>
        </w:rPr>
        <w:t xml:space="preserve"> </w:t>
      </w:r>
      <w:r w:rsidRPr="00B8029E">
        <w:rPr>
          <w:rFonts w:ascii="Times New Roman" w:hAnsi="Times New Roman" w:cs="Times New Roman"/>
          <w:iCs/>
          <w:sz w:val="24"/>
          <w:szCs w:val="24"/>
        </w:rPr>
        <w:t xml:space="preserve">from Mr. Williams’ testimony. </w:t>
      </w:r>
    </w:p>
    <w:p w:rsidR="00467DAA" w:rsidP="00BC6069" w14:paraId="56810365" w14:textId="6D213D70">
      <w:pPr>
        <w:spacing w:after="0" w:line="480" w:lineRule="auto"/>
        <w:ind w:firstLine="720"/>
        <w:rPr>
          <w:rFonts w:ascii="Times New Roman" w:hAnsi="Times New Roman" w:cs="Times New Roman"/>
          <w:b/>
          <w:bCs/>
          <w:iCs/>
          <w:sz w:val="24"/>
          <w:szCs w:val="24"/>
        </w:rPr>
      </w:pPr>
      <w:r w:rsidRPr="00B8029E">
        <w:rPr>
          <w:rFonts w:ascii="Times New Roman" w:hAnsi="Times New Roman" w:cs="Times New Roman"/>
          <w:iCs/>
          <w:sz w:val="24"/>
          <w:szCs w:val="24"/>
        </w:rPr>
        <w:t>Under the USF rider, residential consumers pay the first USF block rate (because their usage is under 833,000 kWh)</w:t>
      </w:r>
      <w:r w:rsidRPr="00B8029E" w:rsidR="00D6279D">
        <w:rPr>
          <w:rFonts w:ascii="Times New Roman" w:hAnsi="Times New Roman" w:cs="Times New Roman"/>
          <w:iCs/>
          <w:sz w:val="24"/>
          <w:szCs w:val="24"/>
        </w:rPr>
        <w:t xml:space="preserve"> and are bearing the brunt of the increased charges.</w:t>
      </w:r>
      <w:r>
        <w:rPr>
          <w:rStyle w:val="FootnoteReference"/>
          <w:rFonts w:ascii="Times New Roman" w:hAnsi="Times New Roman" w:cs="Times New Roman"/>
          <w:iCs/>
          <w:sz w:val="24"/>
          <w:szCs w:val="24"/>
        </w:rPr>
        <w:footnoteReference w:id="29"/>
      </w:r>
      <w:r w:rsidRPr="00B8029E">
        <w:rPr>
          <w:rFonts w:ascii="Times New Roman" w:hAnsi="Times New Roman" w:cs="Times New Roman"/>
          <w:iCs/>
          <w:sz w:val="24"/>
          <w:szCs w:val="24"/>
        </w:rPr>
        <w:t xml:space="preserve"> The significant increased percentage difference between first block rates for each utility in 2022 compared to 2023 is summarized in the below table from OCC witness Williams’ testimony. T</w:t>
      </w:r>
      <w:r w:rsidRPr="00B8029E" w:rsidR="00D6279D">
        <w:rPr>
          <w:rFonts w:ascii="Times New Roman" w:hAnsi="Times New Roman" w:cs="Times New Roman"/>
          <w:iCs/>
          <w:sz w:val="24"/>
          <w:szCs w:val="24"/>
        </w:rPr>
        <w:t>his table</w:t>
      </w:r>
      <w:r w:rsidRPr="00B8029E">
        <w:rPr>
          <w:rFonts w:ascii="Times New Roman" w:hAnsi="Times New Roman" w:cs="Times New Roman"/>
          <w:iCs/>
          <w:sz w:val="24"/>
          <w:szCs w:val="24"/>
        </w:rPr>
        <w:t xml:space="preserve"> also shows the estimated annual USF cost for average residential consumers based on monthly and annual usage information filed by ODOD to support the amended application.</w:t>
      </w:r>
      <w:r>
        <w:rPr>
          <w:rStyle w:val="FootnoteReference"/>
          <w:rFonts w:ascii="Times New Roman" w:hAnsi="Times New Roman" w:cs="Times New Roman"/>
          <w:iCs/>
          <w:sz w:val="24"/>
          <w:szCs w:val="24"/>
        </w:rPr>
        <w:footnoteReference w:id="30"/>
      </w:r>
      <w:r>
        <w:rPr>
          <w:rFonts w:ascii="Times New Roman" w:hAnsi="Times New Roman" w:cs="Times New Roman"/>
          <w:b/>
          <w:bCs/>
          <w:iCs/>
          <w:sz w:val="24"/>
          <w:szCs w:val="24"/>
        </w:rPr>
        <w:br w:type="page"/>
      </w:r>
    </w:p>
    <w:p w:rsidR="00842256" w:rsidRPr="00B8029E" w:rsidP="00842256" w14:paraId="7A7C02BA" w14:textId="338A2A2E">
      <w:pPr>
        <w:spacing w:after="0" w:line="480" w:lineRule="auto"/>
        <w:ind w:left="720" w:hanging="720"/>
        <w:jc w:val="center"/>
        <w:rPr>
          <w:rFonts w:ascii="Times New Roman" w:hAnsi="Times New Roman" w:cs="Times New Roman"/>
          <w:b/>
          <w:bCs/>
          <w:iCs/>
          <w:sz w:val="24"/>
          <w:szCs w:val="24"/>
        </w:rPr>
      </w:pPr>
      <w:r w:rsidRPr="00B8029E">
        <w:rPr>
          <w:rFonts w:ascii="Times New Roman" w:hAnsi="Times New Roman" w:cs="Times New Roman"/>
          <w:b/>
          <w:bCs/>
          <w:iCs/>
          <w:sz w:val="24"/>
          <w:szCs w:val="24"/>
        </w:rPr>
        <w:t>Table 2: Comparison of 2023 USF Rates Compared with 2022 USF Rates</w:t>
      </w:r>
      <w:r>
        <w:rPr>
          <w:rStyle w:val="FootnoteReference"/>
          <w:rFonts w:ascii="Times New Roman" w:hAnsi="Times New Roman" w:cs="Times New Roman"/>
          <w:b/>
          <w:bCs/>
          <w:iCs/>
          <w:sz w:val="24"/>
          <w:szCs w:val="24"/>
        </w:rPr>
        <w:footnoteReference w:id="31"/>
      </w:r>
    </w:p>
    <w:tbl>
      <w:tblPr>
        <w:tblStyle w:val="TableGrid"/>
        <w:tblW w:w="8995" w:type="dxa"/>
        <w:tblInd w:w="-5" w:type="dxa"/>
        <w:tblLook w:val="04A0"/>
      </w:tblPr>
      <w:tblGrid>
        <w:gridCol w:w="765"/>
        <w:gridCol w:w="1359"/>
        <w:gridCol w:w="1359"/>
        <w:gridCol w:w="1359"/>
        <w:gridCol w:w="1359"/>
        <w:gridCol w:w="1349"/>
        <w:gridCol w:w="1445"/>
      </w:tblGrid>
      <w:tr w14:paraId="277CC79F" w14:textId="77777777" w:rsidTr="00BB494E">
        <w:tblPrEx>
          <w:tblW w:w="8995" w:type="dxa"/>
          <w:tblInd w:w="-5" w:type="dxa"/>
          <w:tblLook w:val="04A0"/>
        </w:tblPrEx>
        <w:tc>
          <w:tcPr>
            <w:tcW w:w="783" w:type="dxa"/>
          </w:tcPr>
          <w:p w:rsidR="00842256" w:rsidRPr="00B8029E" w:rsidP="00BB494E" w14:paraId="028191DF" w14:textId="77777777">
            <w:pPr>
              <w:jc w:val="center"/>
              <w:rPr>
                <w:iCs/>
                <w:sz w:val="24"/>
                <w:szCs w:val="24"/>
              </w:rPr>
            </w:pPr>
            <w:r w:rsidRPr="00B8029E">
              <w:rPr>
                <w:iCs/>
                <w:sz w:val="24"/>
                <w:szCs w:val="24"/>
              </w:rPr>
              <w:t>EDU</w:t>
            </w:r>
          </w:p>
        </w:tc>
        <w:tc>
          <w:tcPr>
            <w:tcW w:w="1361" w:type="dxa"/>
          </w:tcPr>
          <w:p w:rsidR="00842256" w:rsidRPr="00B8029E" w:rsidP="00BB494E" w14:paraId="3FC5D049" w14:textId="77777777">
            <w:pPr>
              <w:jc w:val="center"/>
              <w:rPr>
                <w:iCs/>
                <w:sz w:val="24"/>
                <w:szCs w:val="24"/>
              </w:rPr>
            </w:pPr>
            <w:r w:rsidRPr="00B8029E">
              <w:rPr>
                <w:b/>
                <w:bCs/>
                <w:iCs/>
                <w:sz w:val="24"/>
                <w:szCs w:val="24"/>
              </w:rPr>
              <w:t>2023</w:t>
            </w:r>
            <w:r w:rsidRPr="00B8029E">
              <w:rPr>
                <w:iCs/>
                <w:sz w:val="24"/>
                <w:szCs w:val="24"/>
              </w:rPr>
              <w:t xml:space="preserve"> First 833,000 kWh</w:t>
            </w:r>
          </w:p>
        </w:tc>
        <w:tc>
          <w:tcPr>
            <w:tcW w:w="1361" w:type="dxa"/>
          </w:tcPr>
          <w:p w:rsidR="00842256" w:rsidRPr="00B8029E" w:rsidP="00BB494E" w14:paraId="22D443CF" w14:textId="77777777">
            <w:pPr>
              <w:jc w:val="center"/>
              <w:rPr>
                <w:iCs/>
                <w:sz w:val="24"/>
                <w:szCs w:val="24"/>
              </w:rPr>
            </w:pPr>
            <w:r w:rsidRPr="00B8029E">
              <w:rPr>
                <w:iCs/>
                <w:sz w:val="24"/>
                <w:szCs w:val="24"/>
              </w:rPr>
              <w:t>2023 Above 833,000 kWh</w:t>
            </w:r>
          </w:p>
        </w:tc>
        <w:tc>
          <w:tcPr>
            <w:tcW w:w="1361" w:type="dxa"/>
          </w:tcPr>
          <w:p w:rsidR="00842256" w:rsidRPr="00B8029E" w:rsidP="00BB494E" w14:paraId="443A2B06" w14:textId="77777777">
            <w:pPr>
              <w:jc w:val="center"/>
              <w:rPr>
                <w:iCs/>
                <w:sz w:val="24"/>
                <w:szCs w:val="24"/>
              </w:rPr>
            </w:pPr>
            <w:r w:rsidRPr="00B8029E">
              <w:rPr>
                <w:b/>
                <w:bCs/>
                <w:iCs/>
                <w:sz w:val="24"/>
                <w:szCs w:val="24"/>
              </w:rPr>
              <w:t>2022</w:t>
            </w:r>
            <w:r w:rsidRPr="00B8029E">
              <w:rPr>
                <w:iCs/>
                <w:sz w:val="24"/>
                <w:szCs w:val="24"/>
              </w:rPr>
              <w:t xml:space="preserve"> First 833,000 kWh</w:t>
            </w:r>
          </w:p>
        </w:tc>
        <w:tc>
          <w:tcPr>
            <w:tcW w:w="1361" w:type="dxa"/>
          </w:tcPr>
          <w:p w:rsidR="00842256" w:rsidRPr="00B8029E" w:rsidP="00BB494E" w14:paraId="06916252" w14:textId="77777777">
            <w:pPr>
              <w:jc w:val="center"/>
              <w:rPr>
                <w:iCs/>
                <w:sz w:val="24"/>
                <w:szCs w:val="24"/>
              </w:rPr>
            </w:pPr>
            <w:r w:rsidRPr="00B8029E">
              <w:rPr>
                <w:iCs/>
                <w:sz w:val="24"/>
                <w:szCs w:val="24"/>
              </w:rPr>
              <w:t>2022 Above 833,000 kWh</w:t>
            </w:r>
          </w:p>
        </w:tc>
        <w:tc>
          <w:tcPr>
            <w:tcW w:w="1280" w:type="dxa"/>
          </w:tcPr>
          <w:p w:rsidR="00842256" w:rsidRPr="00B8029E" w:rsidP="00BB494E" w14:paraId="12758ECD" w14:textId="77777777">
            <w:pPr>
              <w:jc w:val="center"/>
              <w:rPr>
                <w:iCs/>
                <w:sz w:val="24"/>
                <w:szCs w:val="24"/>
              </w:rPr>
            </w:pPr>
            <w:r w:rsidRPr="00B8029E">
              <w:rPr>
                <w:b/>
                <w:bCs/>
                <w:iCs/>
                <w:sz w:val="24"/>
                <w:szCs w:val="24"/>
              </w:rPr>
              <w:t>Percentage Difference</w:t>
            </w:r>
            <w:r w:rsidRPr="00B8029E">
              <w:rPr>
                <w:iCs/>
                <w:sz w:val="24"/>
                <w:szCs w:val="24"/>
              </w:rPr>
              <w:t xml:space="preserve"> (1st Block)</w:t>
            </w:r>
          </w:p>
        </w:tc>
        <w:tc>
          <w:tcPr>
            <w:tcW w:w="1488" w:type="dxa"/>
          </w:tcPr>
          <w:p w:rsidR="00842256" w:rsidRPr="00B8029E" w:rsidP="00BB494E" w14:paraId="42F40BFD" w14:textId="77777777">
            <w:pPr>
              <w:jc w:val="center"/>
              <w:rPr>
                <w:b/>
                <w:bCs/>
                <w:iCs/>
                <w:sz w:val="24"/>
                <w:szCs w:val="24"/>
              </w:rPr>
            </w:pPr>
            <w:r w:rsidRPr="00B8029E">
              <w:rPr>
                <w:b/>
                <w:bCs/>
                <w:iCs/>
                <w:sz w:val="24"/>
                <w:szCs w:val="24"/>
              </w:rPr>
              <w:t>Estimated Annual USF Cost for Average Residential Consumers</w:t>
            </w:r>
          </w:p>
        </w:tc>
      </w:tr>
      <w:tr w14:paraId="3529AF4F" w14:textId="77777777" w:rsidTr="00BB494E">
        <w:tblPrEx>
          <w:tblW w:w="8995" w:type="dxa"/>
          <w:tblInd w:w="-5" w:type="dxa"/>
          <w:tblLook w:val="04A0"/>
        </w:tblPrEx>
        <w:tc>
          <w:tcPr>
            <w:tcW w:w="783" w:type="dxa"/>
          </w:tcPr>
          <w:p w:rsidR="00842256" w:rsidRPr="00B8029E" w:rsidP="00BB494E" w14:paraId="7902E903" w14:textId="77777777">
            <w:pPr>
              <w:jc w:val="center"/>
              <w:rPr>
                <w:iCs/>
                <w:sz w:val="24"/>
                <w:szCs w:val="24"/>
              </w:rPr>
            </w:pPr>
            <w:r w:rsidRPr="00B8029E">
              <w:rPr>
                <w:iCs/>
                <w:sz w:val="24"/>
                <w:szCs w:val="24"/>
              </w:rPr>
              <w:t>AEP Ohio</w:t>
            </w:r>
          </w:p>
        </w:tc>
        <w:tc>
          <w:tcPr>
            <w:tcW w:w="1361" w:type="dxa"/>
          </w:tcPr>
          <w:p w:rsidR="00842256" w:rsidRPr="00B8029E" w:rsidP="00BB494E" w14:paraId="7FB21883" w14:textId="77777777">
            <w:pPr>
              <w:jc w:val="center"/>
              <w:rPr>
                <w:iCs/>
                <w:sz w:val="24"/>
                <w:szCs w:val="24"/>
              </w:rPr>
            </w:pPr>
            <w:r w:rsidRPr="00B8029E">
              <w:rPr>
                <w:iCs/>
                <w:sz w:val="24"/>
                <w:szCs w:val="24"/>
              </w:rPr>
              <w:t>$0.0053667</w:t>
            </w:r>
          </w:p>
        </w:tc>
        <w:tc>
          <w:tcPr>
            <w:tcW w:w="1361" w:type="dxa"/>
          </w:tcPr>
          <w:p w:rsidR="00842256" w:rsidRPr="00B8029E" w:rsidP="00BB494E" w14:paraId="6E6366AD" w14:textId="77777777">
            <w:pPr>
              <w:jc w:val="center"/>
              <w:rPr>
                <w:iCs/>
                <w:sz w:val="24"/>
                <w:szCs w:val="24"/>
              </w:rPr>
            </w:pPr>
            <w:r w:rsidRPr="00B8029E">
              <w:rPr>
                <w:iCs/>
                <w:sz w:val="24"/>
                <w:szCs w:val="24"/>
              </w:rPr>
              <w:t>$0.0001756</w:t>
            </w:r>
          </w:p>
        </w:tc>
        <w:tc>
          <w:tcPr>
            <w:tcW w:w="1361" w:type="dxa"/>
          </w:tcPr>
          <w:p w:rsidR="00842256" w:rsidRPr="00B8029E" w:rsidP="00BB494E" w14:paraId="7666FC3F" w14:textId="77777777">
            <w:pPr>
              <w:jc w:val="center"/>
              <w:rPr>
                <w:iCs/>
                <w:sz w:val="24"/>
                <w:szCs w:val="24"/>
              </w:rPr>
            </w:pPr>
            <w:r w:rsidRPr="00B8029E">
              <w:rPr>
                <w:iCs/>
                <w:sz w:val="24"/>
                <w:szCs w:val="24"/>
              </w:rPr>
              <w:t>$0.0024127</w:t>
            </w:r>
          </w:p>
        </w:tc>
        <w:tc>
          <w:tcPr>
            <w:tcW w:w="1361" w:type="dxa"/>
          </w:tcPr>
          <w:p w:rsidR="00842256" w:rsidRPr="00B8029E" w:rsidP="00BB494E" w14:paraId="67E7F166" w14:textId="77777777">
            <w:pPr>
              <w:jc w:val="center"/>
              <w:rPr>
                <w:iCs/>
                <w:sz w:val="24"/>
                <w:szCs w:val="24"/>
              </w:rPr>
            </w:pPr>
            <w:r w:rsidRPr="00B8029E">
              <w:rPr>
                <w:iCs/>
                <w:sz w:val="24"/>
                <w:szCs w:val="24"/>
              </w:rPr>
              <w:t>$0.0001756</w:t>
            </w:r>
          </w:p>
        </w:tc>
        <w:tc>
          <w:tcPr>
            <w:tcW w:w="1280" w:type="dxa"/>
          </w:tcPr>
          <w:p w:rsidR="00842256" w:rsidRPr="00B8029E" w:rsidP="00BB494E" w14:paraId="4824C147" w14:textId="77777777">
            <w:pPr>
              <w:jc w:val="center"/>
              <w:rPr>
                <w:iCs/>
                <w:sz w:val="24"/>
                <w:szCs w:val="24"/>
              </w:rPr>
            </w:pPr>
            <w:r w:rsidRPr="00B8029E">
              <w:rPr>
                <w:iCs/>
                <w:sz w:val="24"/>
                <w:szCs w:val="24"/>
              </w:rPr>
              <w:t>122.4%</w:t>
            </w:r>
          </w:p>
        </w:tc>
        <w:tc>
          <w:tcPr>
            <w:tcW w:w="1488" w:type="dxa"/>
          </w:tcPr>
          <w:p w:rsidR="00842256" w:rsidRPr="00B8029E" w:rsidP="00BB494E" w14:paraId="451797DC" w14:textId="77777777">
            <w:pPr>
              <w:jc w:val="center"/>
              <w:rPr>
                <w:iCs/>
                <w:sz w:val="24"/>
                <w:szCs w:val="24"/>
              </w:rPr>
            </w:pPr>
            <w:r w:rsidRPr="00B8029E">
              <w:rPr>
                <w:iCs/>
                <w:sz w:val="24"/>
                <w:szCs w:val="24"/>
              </w:rPr>
              <w:t>$62.79</w:t>
            </w:r>
            <w:r>
              <w:rPr>
                <w:rStyle w:val="FootnoteReference"/>
                <w:iCs/>
                <w:sz w:val="24"/>
                <w:szCs w:val="24"/>
              </w:rPr>
              <w:footnoteReference w:id="32"/>
            </w:r>
          </w:p>
        </w:tc>
      </w:tr>
      <w:tr w14:paraId="7026782F" w14:textId="77777777" w:rsidTr="00BB494E">
        <w:tblPrEx>
          <w:tblW w:w="8995" w:type="dxa"/>
          <w:tblInd w:w="-5" w:type="dxa"/>
          <w:tblLook w:val="04A0"/>
        </w:tblPrEx>
        <w:tc>
          <w:tcPr>
            <w:tcW w:w="783" w:type="dxa"/>
          </w:tcPr>
          <w:p w:rsidR="00842256" w:rsidRPr="00B8029E" w:rsidP="00BB494E" w14:paraId="1B37421E" w14:textId="77777777">
            <w:pPr>
              <w:jc w:val="center"/>
              <w:rPr>
                <w:iCs/>
                <w:sz w:val="24"/>
                <w:szCs w:val="24"/>
              </w:rPr>
            </w:pPr>
            <w:r w:rsidRPr="00B8029E">
              <w:rPr>
                <w:iCs/>
                <w:sz w:val="24"/>
                <w:szCs w:val="24"/>
              </w:rPr>
              <w:t>AES</w:t>
            </w:r>
          </w:p>
        </w:tc>
        <w:tc>
          <w:tcPr>
            <w:tcW w:w="1361" w:type="dxa"/>
          </w:tcPr>
          <w:p w:rsidR="00842256" w:rsidRPr="00B8029E" w:rsidP="00BB494E" w14:paraId="31F03943" w14:textId="77777777">
            <w:pPr>
              <w:jc w:val="center"/>
              <w:rPr>
                <w:iCs/>
                <w:sz w:val="24"/>
                <w:szCs w:val="24"/>
              </w:rPr>
            </w:pPr>
            <w:r w:rsidRPr="00B8029E">
              <w:rPr>
                <w:iCs/>
                <w:sz w:val="24"/>
                <w:szCs w:val="24"/>
              </w:rPr>
              <w:t>$0.0035110</w:t>
            </w:r>
          </w:p>
        </w:tc>
        <w:tc>
          <w:tcPr>
            <w:tcW w:w="1361" w:type="dxa"/>
          </w:tcPr>
          <w:p w:rsidR="00842256" w:rsidRPr="00B8029E" w:rsidP="00BB494E" w14:paraId="67D19A4D" w14:textId="77777777">
            <w:pPr>
              <w:jc w:val="center"/>
              <w:rPr>
                <w:iCs/>
                <w:sz w:val="24"/>
                <w:szCs w:val="24"/>
              </w:rPr>
            </w:pPr>
            <w:r w:rsidRPr="00B8029E">
              <w:rPr>
                <w:iCs/>
                <w:sz w:val="24"/>
                <w:szCs w:val="24"/>
              </w:rPr>
              <w:t>$0.0005700</w:t>
            </w:r>
          </w:p>
        </w:tc>
        <w:tc>
          <w:tcPr>
            <w:tcW w:w="1361" w:type="dxa"/>
          </w:tcPr>
          <w:p w:rsidR="00842256" w:rsidRPr="00B8029E" w:rsidP="00BB494E" w14:paraId="6F196971" w14:textId="77777777">
            <w:pPr>
              <w:jc w:val="center"/>
              <w:rPr>
                <w:iCs/>
                <w:sz w:val="24"/>
                <w:szCs w:val="24"/>
              </w:rPr>
            </w:pPr>
            <w:r w:rsidRPr="00B8029E">
              <w:rPr>
                <w:iCs/>
                <w:sz w:val="24"/>
                <w:szCs w:val="24"/>
              </w:rPr>
              <w:t>$0.0007223</w:t>
            </w:r>
          </w:p>
        </w:tc>
        <w:tc>
          <w:tcPr>
            <w:tcW w:w="1361" w:type="dxa"/>
          </w:tcPr>
          <w:p w:rsidR="00842256" w:rsidRPr="00B8029E" w:rsidP="00BB494E" w14:paraId="3CEEFC5A" w14:textId="77777777">
            <w:pPr>
              <w:jc w:val="center"/>
              <w:rPr>
                <w:iCs/>
                <w:sz w:val="24"/>
                <w:szCs w:val="24"/>
              </w:rPr>
            </w:pPr>
            <w:r w:rsidRPr="00B8029E">
              <w:rPr>
                <w:iCs/>
                <w:sz w:val="24"/>
                <w:szCs w:val="24"/>
              </w:rPr>
              <w:t>$0.0004213</w:t>
            </w:r>
          </w:p>
        </w:tc>
        <w:tc>
          <w:tcPr>
            <w:tcW w:w="1280" w:type="dxa"/>
          </w:tcPr>
          <w:p w:rsidR="00842256" w:rsidRPr="00B8029E" w:rsidP="00BB494E" w14:paraId="3753DC8A" w14:textId="77777777">
            <w:pPr>
              <w:jc w:val="center"/>
              <w:rPr>
                <w:iCs/>
                <w:sz w:val="24"/>
                <w:szCs w:val="24"/>
              </w:rPr>
            </w:pPr>
            <w:r w:rsidRPr="00B8029E">
              <w:rPr>
                <w:iCs/>
                <w:sz w:val="24"/>
                <w:szCs w:val="24"/>
              </w:rPr>
              <w:t>386.1%</w:t>
            </w:r>
          </w:p>
        </w:tc>
        <w:tc>
          <w:tcPr>
            <w:tcW w:w="1488" w:type="dxa"/>
          </w:tcPr>
          <w:p w:rsidR="00842256" w:rsidRPr="00B8029E" w:rsidP="00BB494E" w14:paraId="27407DCA" w14:textId="77777777">
            <w:pPr>
              <w:jc w:val="center"/>
              <w:rPr>
                <w:iCs/>
                <w:sz w:val="24"/>
                <w:szCs w:val="24"/>
              </w:rPr>
            </w:pPr>
            <w:r w:rsidRPr="00B8029E">
              <w:rPr>
                <w:iCs/>
                <w:sz w:val="24"/>
                <w:szCs w:val="24"/>
              </w:rPr>
              <w:t>$42.55</w:t>
            </w:r>
            <w:r>
              <w:rPr>
                <w:rStyle w:val="FootnoteReference"/>
                <w:iCs/>
                <w:sz w:val="24"/>
                <w:szCs w:val="24"/>
              </w:rPr>
              <w:footnoteReference w:id="33"/>
            </w:r>
          </w:p>
        </w:tc>
      </w:tr>
      <w:tr w14:paraId="5E5F6F89" w14:textId="77777777" w:rsidTr="00BB494E">
        <w:tblPrEx>
          <w:tblW w:w="8995" w:type="dxa"/>
          <w:tblInd w:w="-5" w:type="dxa"/>
          <w:tblLook w:val="04A0"/>
        </w:tblPrEx>
        <w:tc>
          <w:tcPr>
            <w:tcW w:w="783" w:type="dxa"/>
          </w:tcPr>
          <w:p w:rsidR="00842256" w:rsidRPr="00B8029E" w:rsidP="00BB494E" w14:paraId="0EDDA00F" w14:textId="77777777">
            <w:pPr>
              <w:jc w:val="center"/>
              <w:rPr>
                <w:iCs/>
                <w:sz w:val="24"/>
                <w:szCs w:val="24"/>
              </w:rPr>
            </w:pPr>
            <w:r w:rsidRPr="00B8029E">
              <w:rPr>
                <w:iCs/>
                <w:sz w:val="24"/>
                <w:szCs w:val="24"/>
              </w:rPr>
              <w:t>Duke</w:t>
            </w:r>
          </w:p>
        </w:tc>
        <w:tc>
          <w:tcPr>
            <w:tcW w:w="1361" w:type="dxa"/>
          </w:tcPr>
          <w:p w:rsidR="00842256" w:rsidRPr="00B8029E" w:rsidP="00BB494E" w14:paraId="67521206" w14:textId="77777777">
            <w:pPr>
              <w:jc w:val="center"/>
              <w:rPr>
                <w:iCs/>
                <w:sz w:val="24"/>
                <w:szCs w:val="24"/>
              </w:rPr>
            </w:pPr>
            <w:r w:rsidRPr="00B8029E">
              <w:rPr>
                <w:iCs/>
                <w:sz w:val="24"/>
                <w:szCs w:val="24"/>
              </w:rPr>
              <w:t>$0.0021270</w:t>
            </w:r>
          </w:p>
        </w:tc>
        <w:tc>
          <w:tcPr>
            <w:tcW w:w="1361" w:type="dxa"/>
          </w:tcPr>
          <w:p w:rsidR="00842256" w:rsidRPr="00B8029E" w:rsidP="00BB494E" w14:paraId="528A6152" w14:textId="77777777">
            <w:pPr>
              <w:jc w:val="center"/>
              <w:rPr>
                <w:iCs/>
                <w:sz w:val="24"/>
                <w:szCs w:val="24"/>
              </w:rPr>
            </w:pPr>
            <w:r w:rsidRPr="00B8029E">
              <w:rPr>
                <w:iCs/>
                <w:sz w:val="24"/>
                <w:szCs w:val="24"/>
              </w:rPr>
              <w:t>$0.0004690</w:t>
            </w:r>
          </w:p>
        </w:tc>
        <w:tc>
          <w:tcPr>
            <w:tcW w:w="1361" w:type="dxa"/>
          </w:tcPr>
          <w:p w:rsidR="00842256" w:rsidRPr="00B8029E" w:rsidP="00BB494E" w14:paraId="21C46B45" w14:textId="77777777">
            <w:pPr>
              <w:jc w:val="center"/>
              <w:rPr>
                <w:iCs/>
                <w:sz w:val="24"/>
                <w:szCs w:val="24"/>
              </w:rPr>
            </w:pPr>
            <w:r w:rsidRPr="00B8029E">
              <w:rPr>
                <w:iCs/>
                <w:sz w:val="24"/>
                <w:szCs w:val="24"/>
              </w:rPr>
              <w:t>$0.0006075</w:t>
            </w:r>
          </w:p>
        </w:tc>
        <w:tc>
          <w:tcPr>
            <w:tcW w:w="1361" w:type="dxa"/>
          </w:tcPr>
          <w:p w:rsidR="00842256" w:rsidRPr="00B8029E" w:rsidP="00BB494E" w14:paraId="0753FFCD" w14:textId="77777777">
            <w:pPr>
              <w:jc w:val="center"/>
              <w:rPr>
                <w:iCs/>
                <w:sz w:val="24"/>
                <w:szCs w:val="24"/>
              </w:rPr>
            </w:pPr>
            <w:r w:rsidRPr="00B8029E">
              <w:rPr>
                <w:iCs/>
                <w:sz w:val="24"/>
                <w:szCs w:val="24"/>
              </w:rPr>
              <w:t>$0.0003477</w:t>
            </w:r>
          </w:p>
        </w:tc>
        <w:tc>
          <w:tcPr>
            <w:tcW w:w="1280" w:type="dxa"/>
          </w:tcPr>
          <w:p w:rsidR="00842256" w:rsidRPr="00B8029E" w:rsidP="00BB494E" w14:paraId="3C8904C2" w14:textId="77777777">
            <w:pPr>
              <w:jc w:val="center"/>
              <w:rPr>
                <w:iCs/>
                <w:sz w:val="24"/>
                <w:szCs w:val="24"/>
              </w:rPr>
            </w:pPr>
            <w:r w:rsidRPr="00B8029E">
              <w:rPr>
                <w:iCs/>
                <w:sz w:val="24"/>
                <w:szCs w:val="24"/>
              </w:rPr>
              <w:t>250.1%</w:t>
            </w:r>
          </w:p>
        </w:tc>
        <w:tc>
          <w:tcPr>
            <w:tcW w:w="1488" w:type="dxa"/>
          </w:tcPr>
          <w:p w:rsidR="00842256" w:rsidRPr="00B8029E" w:rsidP="00BB494E" w14:paraId="6F886389" w14:textId="77777777">
            <w:pPr>
              <w:jc w:val="center"/>
              <w:rPr>
                <w:iCs/>
                <w:sz w:val="24"/>
                <w:szCs w:val="24"/>
              </w:rPr>
            </w:pPr>
            <w:r w:rsidRPr="00B8029E">
              <w:rPr>
                <w:iCs/>
                <w:sz w:val="24"/>
                <w:szCs w:val="24"/>
              </w:rPr>
              <w:t>$26.70</w:t>
            </w:r>
            <w:r>
              <w:rPr>
                <w:rStyle w:val="FootnoteReference"/>
                <w:iCs/>
                <w:sz w:val="24"/>
                <w:szCs w:val="24"/>
              </w:rPr>
              <w:footnoteReference w:id="34"/>
            </w:r>
          </w:p>
        </w:tc>
      </w:tr>
      <w:tr w14:paraId="4561E37C" w14:textId="77777777" w:rsidTr="00BB494E">
        <w:tblPrEx>
          <w:tblW w:w="8995" w:type="dxa"/>
          <w:tblInd w:w="-5" w:type="dxa"/>
          <w:tblLook w:val="04A0"/>
        </w:tblPrEx>
        <w:tc>
          <w:tcPr>
            <w:tcW w:w="783" w:type="dxa"/>
          </w:tcPr>
          <w:p w:rsidR="00842256" w:rsidRPr="00B8029E" w:rsidP="00BB494E" w14:paraId="0E46C2D9" w14:textId="77777777">
            <w:pPr>
              <w:jc w:val="center"/>
              <w:rPr>
                <w:iCs/>
                <w:sz w:val="24"/>
                <w:szCs w:val="24"/>
              </w:rPr>
            </w:pPr>
            <w:r w:rsidRPr="00B8029E">
              <w:rPr>
                <w:iCs/>
                <w:sz w:val="24"/>
                <w:szCs w:val="24"/>
              </w:rPr>
              <w:t>CEI</w:t>
            </w:r>
          </w:p>
        </w:tc>
        <w:tc>
          <w:tcPr>
            <w:tcW w:w="1361" w:type="dxa"/>
          </w:tcPr>
          <w:p w:rsidR="00842256" w:rsidRPr="00B8029E" w:rsidP="00BB494E" w14:paraId="4BADBDC5" w14:textId="77777777">
            <w:pPr>
              <w:jc w:val="center"/>
              <w:rPr>
                <w:iCs/>
                <w:sz w:val="24"/>
                <w:szCs w:val="24"/>
              </w:rPr>
            </w:pPr>
            <w:r w:rsidRPr="00B8029E">
              <w:rPr>
                <w:iCs/>
                <w:sz w:val="24"/>
                <w:szCs w:val="24"/>
              </w:rPr>
              <w:t>$0.0020060</w:t>
            </w:r>
          </w:p>
        </w:tc>
        <w:tc>
          <w:tcPr>
            <w:tcW w:w="1361" w:type="dxa"/>
          </w:tcPr>
          <w:p w:rsidR="00842256" w:rsidRPr="00B8029E" w:rsidP="00BB494E" w14:paraId="63561E95" w14:textId="77777777">
            <w:pPr>
              <w:jc w:val="center"/>
              <w:rPr>
                <w:iCs/>
                <w:sz w:val="24"/>
                <w:szCs w:val="24"/>
              </w:rPr>
            </w:pPr>
            <w:r w:rsidRPr="00B8029E">
              <w:rPr>
                <w:iCs/>
                <w:sz w:val="24"/>
                <w:szCs w:val="24"/>
              </w:rPr>
              <w:t>$0.0005680</w:t>
            </w:r>
          </w:p>
        </w:tc>
        <w:tc>
          <w:tcPr>
            <w:tcW w:w="1361" w:type="dxa"/>
          </w:tcPr>
          <w:p w:rsidR="00842256" w:rsidRPr="00B8029E" w:rsidP="00BB494E" w14:paraId="79E0292B" w14:textId="77777777">
            <w:pPr>
              <w:jc w:val="center"/>
              <w:rPr>
                <w:iCs/>
                <w:sz w:val="24"/>
                <w:szCs w:val="24"/>
              </w:rPr>
            </w:pPr>
            <w:r w:rsidRPr="00B8029E">
              <w:rPr>
                <w:iCs/>
                <w:sz w:val="24"/>
                <w:szCs w:val="24"/>
              </w:rPr>
              <w:t>$0.0015450</w:t>
            </w:r>
          </w:p>
        </w:tc>
        <w:tc>
          <w:tcPr>
            <w:tcW w:w="1361" w:type="dxa"/>
          </w:tcPr>
          <w:p w:rsidR="00842256" w:rsidRPr="00B8029E" w:rsidP="00BB494E" w14:paraId="27985E2B" w14:textId="77777777">
            <w:pPr>
              <w:jc w:val="center"/>
              <w:rPr>
                <w:iCs/>
                <w:sz w:val="24"/>
                <w:szCs w:val="24"/>
              </w:rPr>
            </w:pPr>
            <w:r w:rsidRPr="00B8029E">
              <w:rPr>
                <w:iCs/>
                <w:sz w:val="24"/>
                <w:szCs w:val="24"/>
              </w:rPr>
              <w:t>$0.0005680</w:t>
            </w:r>
          </w:p>
        </w:tc>
        <w:tc>
          <w:tcPr>
            <w:tcW w:w="1280" w:type="dxa"/>
          </w:tcPr>
          <w:p w:rsidR="00842256" w:rsidRPr="00B8029E" w:rsidP="00BB494E" w14:paraId="1B6161BA" w14:textId="77777777">
            <w:pPr>
              <w:jc w:val="center"/>
              <w:rPr>
                <w:iCs/>
                <w:sz w:val="24"/>
                <w:szCs w:val="24"/>
              </w:rPr>
            </w:pPr>
            <w:r w:rsidRPr="00B8029E">
              <w:rPr>
                <w:iCs/>
                <w:sz w:val="24"/>
                <w:szCs w:val="24"/>
              </w:rPr>
              <w:t>29.8%</w:t>
            </w:r>
          </w:p>
        </w:tc>
        <w:tc>
          <w:tcPr>
            <w:tcW w:w="1488" w:type="dxa"/>
          </w:tcPr>
          <w:p w:rsidR="00842256" w:rsidRPr="00B8029E" w:rsidP="00BB494E" w14:paraId="01EEE8B4" w14:textId="77777777">
            <w:pPr>
              <w:jc w:val="center"/>
              <w:rPr>
                <w:iCs/>
                <w:sz w:val="24"/>
                <w:szCs w:val="24"/>
              </w:rPr>
            </w:pPr>
            <w:r w:rsidRPr="00B8029E">
              <w:rPr>
                <w:iCs/>
                <w:sz w:val="24"/>
                <w:szCs w:val="24"/>
              </w:rPr>
              <w:t>$17.24</w:t>
            </w:r>
            <w:r>
              <w:rPr>
                <w:rStyle w:val="FootnoteReference"/>
                <w:iCs/>
                <w:sz w:val="24"/>
                <w:szCs w:val="24"/>
              </w:rPr>
              <w:footnoteReference w:id="35"/>
            </w:r>
          </w:p>
        </w:tc>
      </w:tr>
      <w:tr w14:paraId="46B9E2C5" w14:textId="77777777" w:rsidTr="00BB494E">
        <w:tblPrEx>
          <w:tblW w:w="8995" w:type="dxa"/>
          <w:tblInd w:w="-5" w:type="dxa"/>
          <w:tblLook w:val="04A0"/>
        </w:tblPrEx>
        <w:tc>
          <w:tcPr>
            <w:tcW w:w="783" w:type="dxa"/>
          </w:tcPr>
          <w:p w:rsidR="00842256" w:rsidRPr="00B8029E" w:rsidP="00BB494E" w14:paraId="5760D853" w14:textId="77777777">
            <w:pPr>
              <w:jc w:val="center"/>
              <w:rPr>
                <w:iCs/>
                <w:sz w:val="24"/>
                <w:szCs w:val="24"/>
              </w:rPr>
            </w:pPr>
            <w:r w:rsidRPr="00B8029E">
              <w:rPr>
                <w:iCs/>
                <w:sz w:val="24"/>
                <w:szCs w:val="24"/>
              </w:rPr>
              <w:t>OE</w:t>
            </w:r>
          </w:p>
        </w:tc>
        <w:tc>
          <w:tcPr>
            <w:tcW w:w="1361" w:type="dxa"/>
          </w:tcPr>
          <w:p w:rsidR="00842256" w:rsidRPr="00B8029E" w:rsidP="00BB494E" w14:paraId="3957D58C" w14:textId="77777777">
            <w:pPr>
              <w:jc w:val="center"/>
              <w:rPr>
                <w:iCs/>
                <w:sz w:val="24"/>
                <w:szCs w:val="24"/>
              </w:rPr>
            </w:pPr>
            <w:r w:rsidRPr="00B8029E">
              <w:rPr>
                <w:iCs/>
                <w:sz w:val="24"/>
                <w:szCs w:val="24"/>
              </w:rPr>
              <w:t>$0.0029592</w:t>
            </w:r>
          </w:p>
        </w:tc>
        <w:tc>
          <w:tcPr>
            <w:tcW w:w="1361" w:type="dxa"/>
          </w:tcPr>
          <w:p w:rsidR="00842256" w:rsidRPr="00B8029E" w:rsidP="00BB494E" w14:paraId="79A83D30" w14:textId="77777777">
            <w:pPr>
              <w:jc w:val="center"/>
              <w:rPr>
                <w:iCs/>
                <w:sz w:val="24"/>
                <w:szCs w:val="24"/>
              </w:rPr>
            </w:pPr>
            <w:r w:rsidRPr="00B8029E">
              <w:rPr>
                <w:iCs/>
                <w:sz w:val="24"/>
                <w:szCs w:val="24"/>
              </w:rPr>
              <w:t>$0.0010461</w:t>
            </w:r>
          </w:p>
        </w:tc>
        <w:tc>
          <w:tcPr>
            <w:tcW w:w="1361" w:type="dxa"/>
          </w:tcPr>
          <w:p w:rsidR="00842256" w:rsidRPr="00B8029E" w:rsidP="00BB494E" w14:paraId="464058C4" w14:textId="77777777">
            <w:pPr>
              <w:jc w:val="center"/>
              <w:rPr>
                <w:iCs/>
                <w:sz w:val="24"/>
                <w:szCs w:val="24"/>
              </w:rPr>
            </w:pPr>
            <w:r w:rsidRPr="00B8029E">
              <w:rPr>
                <w:iCs/>
                <w:sz w:val="24"/>
                <w:szCs w:val="24"/>
              </w:rPr>
              <w:t>$0.0022477</w:t>
            </w:r>
          </w:p>
        </w:tc>
        <w:tc>
          <w:tcPr>
            <w:tcW w:w="1361" w:type="dxa"/>
          </w:tcPr>
          <w:p w:rsidR="00842256" w:rsidRPr="00B8029E" w:rsidP="00BB494E" w14:paraId="2D9A3AA2" w14:textId="77777777">
            <w:pPr>
              <w:jc w:val="center"/>
              <w:rPr>
                <w:iCs/>
                <w:sz w:val="24"/>
                <w:szCs w:val="24"/>
              </w:rPr>
            </w:pPr>
            <w:r w:rsidRPr="00B8029E">
              <w:rPr>
                <w:iCs/>
                <w:sz w:val="24"/>
                <w:szCs w:val="24"/>
              </w:rPr>
              <w:t>$0.0010461</w:t>
            </w:r>
          </w:p>
        </w:tc>
        <w:tc>
          <w:tcPr>
            <w:tcW w:w="1280" w:type="dxa"/>
          </w:tcPr>
          <w:p w:rsidR="00842256" w:rsidRPr="00B8029E" w:rsidP="00BB494E" w14:paraId="10C8341E" w14:textId="77777777">
            <w:pPr>
              <w:jc w:val="center"/>
              <w:rPr>
                <w:iCs/>
                <w:sz w:val="24"/>
                <w:szCs w:val="24"/>
              </w:rPr>
            </w:pPr>
            <w:r w:rsidRPr="00B8029E">
              <w:rPr>
                <w:iCs/>
                <w:sz w:val="24"/>
                <w:szCs w:val="24"/>
              </w:rPr>
              <w:t>31.6%</w:t>
            </w:r>
          </w:p>
        </w:tc>
        <w:tc>
          <w:tcPr>
            <w:tcW w:w="1488" w:type="dxa"/>
          </w:tcPr>
          <w:p w:rsidR="00842256" w:rsidRPr="00B8029E" w:rsidP="00BB494E" w14:paraId="6B841F83" w14:textId="77777777">
            <w:pPr>
              <w:jc w:val="center"/>
              <w:rPr>
                <w:iCs/>
                <w:sz w:val="24"/>
                <w:szCs w:val="24"/>
              </w:rPr>
            </w:pPr>
            <w:r w:rsidRPr="00B8029E">
              <w:rPr>
                <w:iCs/>
                <w:sz w:val="24"/>
                <w:szCs w:val="24"/>
              </w:rPr>
              <w:t>$30.43</w:t>
            </w:r>
            <w:r>
              <w:rPr>
                <w:rStyle w:val="FootnoteReference"/>
                <w:iCs/>
                <w:sz w:val="24"/>
                <w:szCs w:val="24"/>
              </w:rPr>
              <w:footnoteReference w:id="36"/>
            </w:r>
          </w:p>
        </w:tc>
      </w:tr>
      <w:tr w14:paraId="3E0C1D71" w14:textId="77777777" w:rsidTr="00BB494E">
        <w:tblPrEx>
          <w:tblW w:w="8995" w:type="dxa"/>
          <w:tblInd w:w="-5" w:type="dxa"/>
          <w:tblLook w:val="04A0"/>
        </w:tblPrEx>
        <w:tc>
          <w:tcPr>
            <w:tcW w:w="783" w:type="dxa"/>
          </w:tcPr>
          <w:p w:rsidR="00842256" w:rsidRPr="00B8029E" w:rsidP="00BB494E" w14:paraId="643D74E8" w14:textId="77777777">
            <w:pPr>
              <w:jc w:val="center"/>
              <w:rPr>
                <w:iCs/>
                <w:sz w:val="24"/>
                <w:szCs w:val="24"/>
              </w:rPr>
            </w:pPr>
            <w:r w:rsidRPr="00B8029E">
              <w:rPr>
                <w:iCs/>
                <w:sz w:val="24"/>
                <w:szCs w:val="24"/>
              </w:rPr>
              <w:t>TE</w:t>
            </w:r>
          </w:p>
        </w:tc>
        <w:tc>
          <w:tcPr>
            <w:tcW w:w="1361" w:type="dxa"/>
          </w:tcPr>
          <w:p w:rsidR="00842256" w:rsidRPr="00B8029E" w:rsidP="00BB494E" w14:paraId="24BAE437" w14:textId="77777777">
            <w:pPr>
              <w:jc w:val="center"/>
              <w:rPr>
                <w:iCs/>
                <w:sz w:val="24"/>
                <w:szCs w:val="24"/>
              </w:rPr>
            </w:pPr>
            <w:r w:rsidRPr="00B8029E">
              <w:rPr>
                <w:iCs/>
                <w:sz w:val="24"/>
                <w:szCs w:val="24"/>
              </w:rPr>
              <w:t>$0.0027352</w:t>
            </w:r>
          </w:p>
        </w:tc>
        <w:tc>
          <w:tcPr>
            <w:tcW w:w="1361" w:type="dxa"/>
          </w:tcPr>
          <w:p w:rsidR="00842256" w:rsidRPr="00B8029E" w:rsidP="00BB494E" w14:paraId="30D1D617" w14:textId="77777777">
            <w:pPr>
              <w:jc w:val="center"/>
              <w:rPr>
                <w:iCs/>
                <w:sz w:val="24"/>
                <w:szCs w:val="24"/>
              </w:rPr>
            </w:pPr>
            <w:r w:rsidRPr="00B8029E">
              <w:rPr>
                <w:iCs/>
                <w:sz w:val="24"/>
                <w:szCs w:val="24"/>
              </w:rPr>
              <w:t>$0.0005610</w:t>
            </w:r>
          </w:p>
        </w:tc>
        <w:tc>
          <w:tcPr>
            <w:tcW w:w="1361" w:type="dxa"/>
          </w:tcPr>
          <w:p w:rsidR="00842256" w:rsidRPr="00B8029E" w:rsidP="00BB494E" w14:paraId="7D0F0E76" w14:textId="77777777">
            <w:pPr>
              <w:jc w:val="center"/>
              <w:rPr>
                <w:iCs/>
                <w:sz w:val="24"/>
                <w:szCs w:val="24"/>
              </w:rPr>
            </w:pPr>
            <w:r w:rsidRPr="00B8029E">
              <w:rPr>
                <w:iCs/>
                <w:sz w:val="24"/>
                <w:szCs w:val="24"/>
              </w:rPr>
              <w:t>$0.0021160</w:t>
            </w:r>
          </w:p>
        </w:tc>
        <w:tc>
          <w:tcPr>
            <w:tcW w:w="1361" w:type="dxa"/>
          </w:tcPr>
          <w:p w:rsidR="00842256" w:rsidRPr="00B8029E" w:rsidP="00BB494E" w14:paraId="45AACA77" w14:textId="77777777">
            <w:pPr>
              <w:jc w:val="center"/>
              <w:rPr>
                <w:iCs/>
                <w:sz w:val="24"/>
                <w:szCs w:val="24"/>
              </w:rPr>
            </w:pPr>
            <w:r w:rsidRPr="00B8029E">
              <w:rPr>
                <w:iCs/>
                <w:sz w:val="24"/>
                <w:szCs w:val="24"/>
              </w:rPr>
              <w:t>$0.0005610</w:t>
            </w:r>
          </w:p>
        </w:tc>
        <w:tc>
          <w:tcPr>
            <w:tcW w:w="1280" w:type="dxa"/>
          </w:tcPr>
          <w:p w:rsidR="00842256" w:rsidRPr="00B8029E" w:rsidP="00BB494E" w14:paraId="44260BF9" w14:textId="77777777">
            <w:pPr>
              <w:jc w:val="center"/>
              <w:rPr>
                <w:iCs/>
                <w:sz w:val="24"/>
                <w:szCs w:val="24"/>
              </w:rPr>
            </w:pPr>
            <w:r w:rsidRPr="00B8029E">
              <w:rPr>
                <w:iCs/>
                <w:sz w:val="24"/>
                <w:szCs w:val="24"/>
              </w:rPr>
              <w:t>29.3%</w:t>
            </w:r>
          </w:p>
        </w:tc>
        <w:tc>
          <w:tcPr>
            <w:tcW w:w="1488" w:type="dxa"/>
          </w:tcPr>
          <w:p w:rsidR="00842256" w:rsidRPr="00B8029E" w:rsidP="00BB494E" w14:paraId="02A63A02" w14:textId="77777777">
            <w:pPr>
              <w:jc w:val="center"/>
              <w:rPr>
                <w:iCs/>
                <w:sz w:val="24"/>
                <w:szCs w:val="24"/>
              </w:rPr>
            </w:pPr>
            <w:r w:rsidRPr="00B8029E">
              <w:rPr>
                <w:iCs/>
                <w:sz w:val="24"/>
                <w:szCs w:val="24"/>
              </w:rPr>
              <w:t>$26.00</w:t>
            </w:r>
            <w:r>
              <w:rPr>
                <w:rStyle w:val="FootnoteReference"/>
                <w:iCs/>
                <w:sz w:val="24"/>
                <w:szCs w:val="24"/>
              </w:rPr>
              <w:footnoteReference w:id="37"/>
            </w:r>
          </w:p>
        </w:tc>
      </w:tr>
    </w:tbl>
    <w:p w:rsidR="00722595" w:rsidRPr="00B8029E" w:rsidP="00722595" w14:paraId="6F2DC10C" w14:textId="77777777">
      <w:pPr>
        <w:spacing w:after="0" w:line="240" w:lineRule="auto"/>
        <w:ind w:firstLine="720"/>
        <w:rPr>
          <w:rFonts w:ascii="Times New Roman" w:hAnsi="Times New Roman" w:cs="Times New Roman"/>
          <w:sz w:val="24"/>
          <w:szCs w:val="24"/>
        </w:rPr>
      </w:pPr>
    </w:p>
    <w:p w:rsidR="00842256" w:rsidRPr="00B8029E" w:rsidP="00842256" w14:paraId="51E0A526" w14:textId="6B246B1A">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The percentage of the increase from 2022 to 2023 is staggering. </w:t>
      </w:r>
      <w:r w:rsidRPr="00B8029E">
        <w:rPr>
          <w:rFonts w:ascii="Times New Roman" w:hAnsi="Times New Roman" w:cs="Times New Roman"/>
          <w:i/>
          <w:iCs/>
          <w:sz w:val="24"/>
          <w:szCs w:val="24"/>
        </w:rPr>
        <w:t xml:space="preserve">And the impact is primarily on </w:t>
      </w:r>
      <w:r w:rsidRPr="00B8029E" w:rsidR="007675E4">
        <w:rPr>
          <w:rFonts w:ascii="Times New Roman" w:hAnsi="Times New Roman" w:cs="Times New Roman"/>
          <w:i/>
          <w:iCs/>
          <w:sz w:val="24"/>
          <w:szCs w:val="24"/>
        </w:rPr>
        <w:t xml:space="preserve">lower use </w:t>
      </w:r>
      <w:r w:rsidRPr="00B8029E">
        <w:rPr>
          <w:rFonts w:ascii="Times New Roman" w:hAnsi="Times New Roman" w:cs="Times New Roman"/>
          <w:i/>
          <w:iCs/>
          <w:sz w:val="24"/>
          <w:szCs w:val="24"/>
        </w:rPr>
        <w:t>residential consumers, who pay the first block</w:t>
      </w:r>
      <w:r w:rsidRPr="00B8029E">
        <w:rPr>
          <w:rFonts w:ascii="Times New Roman" w:hAnsi="Times New Roman" w:cs="Times New Roman"/>
          <w:sz w:val="24"/>
          <w:szCs w:val="24"/>
        </w:rPr>
        <w:t xml:space="preserve">. As OCC witness Williams </w:t>
      </w:r>
      <w:r w:rsidRPr="00B8029E" w:rsidR="00197E70">
        <w:rPr>
          <w:rFonts w:ascii="Times New Roman" w:hAnsi="Times New Roman" w:cs="Times New Roman"/>
          <w:sz w:val="24"/>
          <w:szCs w:val="24"/>
        </w:rPr>
        <w:t xml:space="preserve">had </w:t>
      </w:r>
      <w:r w:rsidRPr="00B8029E">
        <w:rPr>
          <w:rFonts w:ascii="Times New Roman" w:hAnsi="Times New Roman" w:cs="Times New Roman"/>
          <w:sz w:val="24"/>
          <w:szCs w:val="24"/>
        </w:rPr>
        <w:t xml:space="preserve">testified: </w:t>
      </w:r>
    </w:p>
    <w:p w:rsidR="00842256" w:rsidRPr="00B8029E" w:rsidP="00842256" w14:paraId="322C75AD" w14:textId="77777777">
      <w:pPr>
        <w:spacing w:after="0" w:line="240" w:lineRule="auto"/>
        <w:ind w:left="1440" w:right="1440"/>
        <w:rPr>
          <w:rFonts w:ascii="Times New Roman" w:hAnsi="Times New Roman" w:cs="Times New Roman"/>
          <w:iCs/>
          <w:sz w:val="24"/>
          <w:szCs w:val="24"/>
        </w:rPr>
      </w:pPr>
      <w:r w:rsidRPr="00B8029E">
        <w:rPr>
          <w:rFonts w:ascii="Times New Roman" w:hAnsi="Times New Roman" w:cs="Times New Roman"/>
          <w:iCs/>
          <w:sz w:val="24"/>
          <w:szCs w:val="24"/>
        </w:rPr>
        <w:t>The proposed Joint Settlement results in unreasonably high USF rates that contradict Ohio policy supporting reasonably priced retail electric service.</w:t>
      </w:r>
      <w:r>
        <w:rPr>
          <w:rStyle w:val="FootnoteReference"/>
          <w:rFonts w:ascii="Times New Roman" w:hAnsi="Times New Roman" w:cs="Times New Roman"/>
          <w:iCs/>
          <w:sz w:val="24"/>
          <w:szCs w:val="24"/>
        </w:rPr>
        <w:footnoteReference w:id="38"/>
      </w:r>
      <w:r w:rsidRPr="00B8029E">
        <w:rPr>
          <w:rFonts w:ascii="Times New Roman" w:hAnsi="Times New Roman" w:cs="Times New Roman"/>
          <w:iCs/>
          <w:sz w:val="24"/>
          <w:szCs w:val="24"/>
        </w:rPr>
        <w:t xml:space="preserve"> Assuming 1,100 kWh monthly usage, a customer of AEP Ohio will experience a USF rate increase from $2.65 in December 2022 to $5.90 in January 2023. This is a $3.25 or 123% increase for AEP consumers. AES Ohio customers will experience a USF rate increase from $0.79 in December 2022 to $3.86 in January 2023. For AES consumers, this is a $3.07 or 389% increase. Customers of Duke Energy Ohio will experience a USF rate increase of $0.67 in December 2022 to $2.34 in January 2023. This is a $1.67 or 249% increase for Duke consumers. These are significant rate increases in a single rider over one month that do not consider the impact of other rate increases, rising electricity costs, and on-going inflationary concerns.</w:t>
      </w:r>
      <w:r>
        <w:rPr>
          <w:rStyle w:val="FootnoteReference"/>
          <w:rFonts w:ascii="Times New Roman" w:hAnsi="Times New Roman" w:cs="Times New Roman"/>
          <w:iCs/>
          <w:sz w:val="24"/>
          <w:szCs w:val="24"/>
        </w:rPr>
        <w:footnoteReference w:id="39"/>
      </w:r>
      <w:r w:rsidRPr="00B8029E">
        <w:rPr>
          <w:rFonts w:ascii="Times New Roman" w:hAnsi="Times New Roman" w:cs="Times New Roman"/>
          <w:iCs/>
          <w:sz w:val="24"/>
          <w:szCs w:val="24"/>
        </w:rPr>
        <w:t xml:space="preserve"> </w:t>
      </w:r>
    </w:p>
    <w:p w:rsidR="00842256" w:rsidRPr="00B8029E" w:rsidP="00842256" w14:paraId="6EAB43A3" w14:textId="77777777">
      <w:pPr>
        <w:spacing w:after="0" w:line="240" w:lineRule="auto"/>
        <w:ind w:left="1440" w:right="1440"/>
        <w:rPr>
          <w:rFonts w:ascii="Times New Roman" w:hAnsi="Times New Roman" w:cs="Times New Roman"/>
          <w:iCs/>
          <w:sz w:val="24"/>
          <w:szCs w:val="24"/>
        </w:rPr>
      </w:pPr>
    </w:p>
    <w:p w:rsidR="00965C46" w:rsidRPr="00B8029E" w:rsidP="00AA32DE" w14:paraId="7C1F8942" w14:textId="1B34F1FD">
      <w:pPr>
        <w:spacing w:after="0" w:line="480" w:lineRule="auto"/>
        <w:ind w:firstLine="720"/>
        <w:rPr>
          <w:rFonts w:ascii="Times New Roman" w:hAnsi="Times New Roman" w:cs="Times New Roman"/>
          <w:iCs/>
          <w:sz w:val="24"/>
          <w:szCs w:val="24"/>
        </w:rPr>
      </w:pPr>
      <w:r w:rsidRPr="00B8029E">
        <w:rPr>
          <w:rFonts w:ascii="Times New Roman" w:hAnsi="Times New Roman" w:cs="Times New Roman"/>
          <w:iCs/>
          <w:sz w:val="24"/>
          <w:szCs w:val="24"/>
        </w:rPr>
        <w:t>The PUCO unreasonably</w:t>
      </w:r>
      <w:r w:rsidRPr="00B8029E" w:rsidR="00682769">
        <w:rPr>
          <w:rFonts w:ascii="Times New Roman" w:hAnsi="Times New Roman" w:cs="Times New Roman"/>
          <w:iCs/>
          <w:sz w:val="24"/>
          <w:szCs w:val="24"/>
        </w:rPr>
        <w:t xml:space="preserve"> erred in finding that the Settlement was in the public interest given the adverse</w:t>
      </w:r>
      <w:r w:rsidRPr="00B8029E">
        <w:rPr>
          <w:rFonts w:ascii="Times New Roman" w:hAnsi="Times New Roman" w:cs="Times New Roman"/>
          <w:iCs/>
          <w:sz w:val="24"/>
          <w:szCs w:val="24"/>
        </w:rPr>
        <w:t xml:space="preserve"> impact of the significant</w:t>
      </w:r>
      <w:r w:rsidRPr="00B8029E" w:rsidR="002B6379">
        <w:rPr>
          <w:rFonts w:ascii="Times New Roman" w:hAnsi="Times New Roman" w:cs="Times New Roman"/>
          <w:iCs/>
          <w:sz w:val="24"/>
          <w:szCs w:val="24"/>
        </w:rPr>
        <w:t>ly</w:t>
      </w:r>
      <w:r w:rsidRPr="00B8029E">
        <w:rPr>
          <w:rFonts w:ascii="Times New Roman" w:hAnsi="Times New Roman" w:cs="Times New Roman"/>
          <w:iCs/>
          <w:sz w:val="24"/>
          <w:szCs w:val="24"/>
        </w:rPr>
        <w:t xml:space="preserve"> increased USF charges to all consumers who pay the USF.</w:t>
      </w:r>
      <w:r w:rsidRPr="00B8029E" w:rsidR="00DD17EC">
        <w:rPr>
          <w:rFonts w:ascii="Times New Roman" w:hAnsi="Times New Roman" w:cs="Times New Roman"/>
          <w:iCs/>
          <w:sz w:val="24"/>
          <w:szCs w:val="24"/>
        </w:rPr>
        <w:t xml:space="preserve"> </w:t>
      </w:r>
      <w:r w:rsidRPr="00B8029E">
        <w:rPr>
          <w:rFonts w:ascii="Times New Roman" w:hAnsi="Times New Roman" w:cs="Times New Roman"/>
          <w:iCs/>
          <w:sz w:val="24"/>
          <w:szCs w:val="24"/>
        </w:rPr>
        <w:t>Rehearing should be granted.</w:t>
      </w:r>
    </w:p>
    <w:p w:rsidR="00D6279D" w:rsidRPr="00B8029E" w:rsidP="000F540A" w14:paraId="63B1012D" w14:textId="0F72316C">
      <w:pPr>
        <w:pStyle w:val="Heading2"/>
      </w:pPr>
      <w:bookmarkStart w:id="14" w:name="_Toc124515679"/>
      <w:r>
        <w:t>C.</w:t>
      </w:r>
      <w:r>
        <w:tab/>
      </w:r>
      <w:r w:rsidRPr="00B8029E">
        <w:t xml:space="preserve">ASSIGNMENT OF ERROR NO. 3: The PUCO erred by unreasonably declining to address </w:t>
      </w:r>
      <w:r w:rsidRPr="00B8029E" w:rsidR="00A51EBC">
        <w:t xml:space="preserve">and remedy </w:t>
      </w:r>
      <w:r w:rsidRPr="00B8029E">
        <w:t>the untenable situation resulting from this year’s U</w:t>
      </w:r>
      <w:r w:rsidRPr="00B8029E" w:rsidR="00682769">
        <w:t xml:space="preserve">niversal </w:t>
      </w:r>
      <w:r w:rsidRPr="00B8029E">
        <w:t>S</w:t>
      </w:r>
      <w:r w:rsidRPr="00B8029E" w:rsidR="00682769">
        <w:t xml:space="preserve">ervice </w:t>
      </w:r>
      <w:r w:rsidRPr="00B8029E">
        <w:t>F</w:t>
      </w:r>
      <w:r w:rsidRPr="00B8029E" w:rsidR="00682769">
        <w:t>und</w:t>
      </w:r>
      <w:r w:rsidRPr="00B8029E">
        <w:t xml:space="preserve"> proceeding, harming consumers by this inaction.</w:t>
      </w:r>
      <w:bookmarkEnd w:id="14"/>
      <w:r w:rsidRPr="00B8029E">
        <w:t xml:space="preserve"> </w:t>
      </w:r>
    </w:p>
    <w:p w:rsidR="00CA55F9" w:rsidRPr="00B8029E" w:rsidP="00CA55F9" w14:paraId="5990E556" w14:textId="77725872">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The PUCO’s Order is unreasonable because it does not provide a mechanism or a specific direction by which to address the issue of high PIPP rates in relation to the standard </w:t>
      </w:r>
      <w:r w:rsidR="00E179AE">
        <w:rPr>
          <w:rFonts w:ascii="Times New Roman" w:hAnsi="Times New Roman" w:cs="Times New Roman"/>
          <w:sz w:val="24"/>
          <w:szCs w:val="24"/>
        </w:rPr>
        <w:t xml:space="preserve">service </w:t>
      </w:r>
      <w:r w:rsidRPr="00B8029E">
        <w:rPr>
          <w:rFonts w:ascii="Times New Roman" w:hAnsi="Times New Roman" w:cs="Times New Roman"/>
          <w:sz w:val="24"/>
          <w:szCs w:val="24"/>
        </w:rPr>
        <w:t xml:space="preserve">offer rates going forward. The PUCO “recommends” that ODOD </w:t>
      </w:r>
      <w:r w:rsidRPr="00B8029E" w:rsidR="007675E4">
        <w:rPr>
          <w:rFonts w:ascii="Times New Roman" w:hAnsi="Times New Roman" w:cs="Times New Roman"/>
          <w:sz w:val="24"/>
          <w:szCs w:val="24"/>
        </w:rPr>
        <w:t xml:space="preserve">as the administrator of the electric PIPP program </w:t>
      </w:r>
      <w:r w:rsidRPr="00B8029E">
        <w:rPr>
          <w:rFonts w:ascii="Times New Roman" w:hAnsi="Times New Roman" w:cs="Times New Roman"/>
          <w:sz w:val="24"/>
          <w:szCs w:val="24"/>
        </w:rPr>
        <w:t xml:space="preserve">host an annual meeting of the USF Working Group with the </w:t>
      </w:r>
      <w:r w:rsidRPr="00B8029E" w:rsidR="00965C46">
        <w:rPr>
          <w:rFonts w:ascii="Times New Roman" w:hAnsi="Times New Roman" w:cs="Times New Roman"/>
          <w:sz w:val="24"/>
          <w:szCs w:val="24"/>
        </w:rPr>
        <w:t>“</w:t>
      </w:r>
      <w:r w:rsidRPr="00B8029E">
        <w:rPr>
          <w:rFonts w:ascii="Times New Roman" w:hAnsi="Times New Roman" w:cs="Times New Roman"/>
          <w:sz w:val="24"/>
          <w:szCs w:val="24"/>
        </w:rPr>
        <w:t>parties to the prior USF proceeding</w:t>
      </w:r>
      <w:r w:rsidRPr="00B8029E" w:rsidR="00965C46">
        <w:rPr>
          <w:rFonts w:ascii="Times New Roman" w:hAnsi="Times New Roman" w:cs="Times New Roman"/>
          <w:sz w:val="24"/>
          <w:szCs w:val="24"/>
        </w:rPr>
        <w:t>”</w:t>
      </w:r>
      <w:r w:rsidRPr="00B8029E">
        <w:rPr>
          <w:rFonts w:ascii="Times New Roman" w:hAnsi="Times New Roman" w:cs="Times New Roman"/>
          <w:sz w:val="24"/>
          <w:szCs w:val="24"/>
        </w:rPr>
        <w:t xml:space="preserve"> to </w:t>
      </w:r>
      <w:r w:rsidRPr="00B8029E" w:rsidR="00965C46">
        <w:rPr>
          <w:rFonts w:ascii="Times New Roman" w:hAnsi="Times New Roman" w:cs="Times New Roman"/>
          <w:sz w:val="24"/>
          <w:szCs w:val="24"/>
        </w:rPr>
        <w:t>“</w:t>
      </w:r>
      <w:r w:rsidRPr="00B8029E">
        <w:rPr>
          <w:rFonts w:ascii="Times New Roman" w:hAnsi="Times New Roman" w:cs="Times New Roman"/>
          <w:sz w:val="24"/>
          <w:szCs w:val="24"/>
        </w:rPr>
        <w:t xml:space="preserve">consider the impacts of the USF rates on residential and other consumers. </w:t>
      </w:r>
      <w:r>
        <w:rPr>
          <w:rStyle w:val="FootnoteReference"/>
          <w:rFonts w:ascii="Times New Roman" w:hAnsi="Times New Roman" w:cs="Times New Roman"/>
          <w:sz w:val="24"/>
          <w:szCs w:val="24"/>
        </w:rPr>
        <w:footnoteReference w:id="40"/>
      </w:r>
      <w:r w:rsidR="00801ABF">
        <w:rPr>
          <w:rFonts w:ascii="Times New Roman" w:hAnsi="Times New Roman" w:cs="Times New Roman"/>
          <w:sz w:val="24"/>
          <w:szCs w:val="24"/>
        </w:rPr>
        <w:t xml:space="preserve"> </w:t>
      </w:r>
      <w:r w:rsidR="00E179AE">
        <w:rPr>
          <w:rFonts w:ascii="Times New Roman" w:hAnsi="Times New Roman" w:cs="Times New Roman"/>
          <w:sz w:val="24"/>
          <w:szCs w:val="24"/>
        </w:rPr>
        <w:t>But s</w:t>
      </w:r>
      <w:r w:rsidRPr="00B8029E" w:rsidR="00D12FFA">
        <w:rPr>
          <w:rFonts w:ascii="Times New Roman" w:hAnsi="Times New Roman" w:cs="Times New Roman"/>
          <w:sz w:val="24"/>
          <w:szCs w:val="24"/>
        </w:rPr>
        <w:t>imply e</w:t>
      </w:r>
      <w:r w:rsidRPr="00B8029E">
        <w:rPr>
          <w:rFonts w:ascii="Times New Roman" w:hAnsi="Times New Roman" w:cs="Times New Roman"/>
          <w:sz w:val="24"/>
          <w:szCs w:val="24"/>
        </w:rPr>
        <w:t xml:space="preserve">ncouraging </w:t>
      </w:r>
      <w:r w:rsidRPr="00B8029E" w:rsidR="00965C46">
        <w:rPr>
          <w:rFonts w:ascii="Times New Roman" w:hAnsi="Times New Roman" w:cs="Times New Roman"/>
          <w:sz w:val="24"/>
          <w:szCs w:val="24"/>
        </w:rPr>
        <w:t xml:space="preserve">that </w:t>
      </w:r>
      <w:r w:rsidRPr="00B8029E">
        <w:rPr>
          <w:rFonts w:ascii="Times New Roman" w:hAnsi="Times New Roman" w:cs="Times New Roman"/>
          <w:sz w:val="24"/>
          <w:szCs w:val="24"/>
        </w:rPr>
        <w:t>a Working Group meet (</w:t>
      </w:r>
      <w:r w:rsidRPr="00B8029E" w:rsidR="00197E70">
        <w:rPr>
          <w:rFonts w:ascii="Times New Roman" w:hAnsi="Times New Roman" w:cs="Times New Roman"/>
          <w:sz w:val="24"/>
          <w:szCs w:val="24"/>
        </w:rPr>
        <w:t xml:space="preserve">a group </w:t>
      </w:r>
      <w:r w:rsidRPr="00B8029E">
        <w:rPr>
          <w:rFonts w:ascii="Times New Roman" w:hAnsi="Times New Roman" w:cs="Times New Roman"/>
          <w:sz w:val="24"/>
          <w:szCs w:val="24"/>
        </w:rPr>
        <w:t xml:space="preserve">that has not met for </w:t>
      </w:r>
      <w:r w:rsidRPr="00B8029E" w:rsidR="0045093A">
        <w:rPr>
          <w:rFonts w:ascii="Times New Roman" w:hAnsi="Times New Roman" w:cs="Times New Roman"/>
          <w:sz w:val="24"/>
          <w:szCs w:val="24"/>
        </w:rPr>
        <w:t>several years</w:t>
      </w:r>
      <w:r w:rsidRPr="00B8029E">
        <w:rPr>
          <w:rFonts w:ascii="Times New Roman" w:hAnsi="Times New Roman" w:cs="Times New Roman"/>
          <w:sz w:val="24"/>
          <w:szCs w:val="24"/>
        </w:rPr>
        <w:t>)</w:t>
      </w:r>
      <w:r>
        <w:rPr>
          <w:rStyle w:val="FootnoteReference"/>
          <w:rFonts w:ascii="Times New Roman" w:hAnsi="Times New Roman" w:cs="Times New Roman"/>
          <w:sz w:val="24"/>
          <w:szCs w:val="24"/>
        </w:rPr>
        <w:footnoteReference w:id="41"/>
      </w:r>
      <w:r w:rsidR="00B8029E">
        <w:rPr>
          <w:rFonts w:ascii="Times New Roman" w:hAnsi="Times New Roman" w:cs="Times New Roman"/>
          <w:sz w:val="24"/>
          <w:szCs w:val="24"/>
        </w:rPr>
        <w:t xml:space="preserve"> </w:t>
      </w:r>
      <w:r w:rsidRPr="00B8029E" w:rsidR="00D12FFA">
        <w:rPr>
          <w:rFonts w:ascii="Times New Roman" w:hAnsi="Times New Roman" w:cs="Times New Roman"/>
          <w:sz w:val="24"/>
          <w:szCs w:val="24"/>
        </w:rPr>
        <w:t xml:space="preserve">and discuss issues will not cure the problem. </w:t>
      </w:r>
      <w:r w:rsidRPr="00B8029E">
        <w:rPr>
          <w:rFonts w:ascii="Times New Roman" w:hAnsi="Times New Roman" w:cs="Times New Roman"/>
          <w:sz w:val="24"/>
          <w:szCs w:val="24"/>
        </w:rPr>
        <w:t xml:space="preserve">ODOD’s next USF filing, in May 2023, will surely see the same issues presented in this proceeding if they are not addressed before then. </w:t>
      </w:r>
    </w:p>
    <w:p w:rsidR="00EA14E5" w:rsidRPr="00B8029E" w:rsidP="00A51EBC" w14:paraId="27EFD523" w14:textId="7E7DDF14">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It was unreasonable for the PUCO to defer </w:t>
      </w:r>
      <w:r w:rsidRPr="00B8029E" w:rsidR="00197E70">
        <w:rPr>
          <w:rFonts w:ascii="Times New Roman" w:hAnsi="Times New Roman" w:cs="Times New Roman"/>
          <w:sz w:val="24"/>
          <w:szCs w:val="24"/>
        </w:rPr>
        <w:t>the high</w:t>
      </w:r>
      <w:r w:rsidRPr="00B8029E" w:rsidR="00A51EBC">
        <w:rPr>
          <w:rFonts w:ascii="Times New Roman" w:hAnsi="Times New Roman" w:cs="Times New Roman"/>
          <w:sz w:val="24"/>
          <w:szCs w:val="24"/>
        </w:rPr>
        <w:t xml:space="preserve"> PIPP rate issue in relation to the standard</w:t>
      </w:r>
      <w:r w:rsidRPr="00B8029E" w:rsidR="002B6379">
        <w:rPr>
          <w:rFonts w:ascii="Times New Roman" w:hAnsi="Times New Roman" w:cs="Times New Roman"/>
          <w:sz w:val="24"/>
          <w:szCs w:val="24"/>
        </w:rPr>
        <w:t xml:space="preserve"> service</w:t>
      </w:r>
      <w:r w:rsidRPr="00B8029E" w:rsidR="00A51EBC">
        <w:rPr>
          <w:rFonts w:ascii="Times New Roman" w:hAnsi="Times New Roman" w:cs="Times New Roman"/>
          <w:sz w:val="24"/>
          <w:szCs w:val="24"/>
        </w:rPr>
        <w:t xml:space="preserve"> offer</w:t>
      </w:r>
      <w:r w:rsidRPr="00B8029E" w:rsidR="00197E70">
        <w:rPr>
          <w:rFonts w:ascii="Times New Roman" w:hAnsi="Times New Roman" w:cs="Times New Roman"/>
          <w:sz w:val="24"/>
          <w:szCs w:val="24"/>
        </w:rPr>
        <w:t xml:space="preserve"> to</w:t>
      </w:r>
      <w:r w:rsidRPr="00B8029E">
        <w:rPr>
          <w:rFonts w:ascii="Times New Roman" w:hAnsi="Times New Roman" w:cs="Times New Roman"/>
          <w:sz w:val="24"/>
          <w:szCs w:val="24"/>
        </w:rPr>
        <w:t xml:space="preserve"> a Working Group </w:t>
      </w:r>
      <w:r w:rsidRPr="00B8029E" w:rsidR="00A51EBC">
        <w:rPr>
          <w:rFonts w:ascii="Times New Roman" w:hAnsi="Times New Roman" w:cs="Times New Roman"/>
          <w:sz w:val="24"/>
          <w:szCs w:val="24"/>
        </w:rPr>
        <w:t xml:space="preserve">which </w:t>
      </w:r>
      <w:r w:rsidRPr="00B8029E" w:rsidR="00CB7B0A">
        <w:rPr>
          <w:rFonts w:ascii="Times New Roman" w:hAnsi="Times New Roman" w:cs="Times New Roman"/>
          <w:sz w:val="24"/>
          <w:szCs w:val="24"/>
        </w:rPr>
        <w:t>has no regulatory authority</w:t>
      </w:r>
      <w:r w:rsidRPr="00B8029E" w:rsidR="002B6379">
        <w:rPr>
          <w:rFonts w:ascii="Times New Roman" w:hAnsi="Times New Roman" w:cs="Times New Roman"/>
          <w:sz w:val="24"/>
          <w:szCs w:val="24"/>
        </w:rPr>
        <w:t>.</w:t>
      </w:r>
      <w:r w:rsidR="00B8029E">
        <w:rPr>
          <w:rFonts w:ascii="Times New Roman" w:hAnsi="Times New Roman" w:cs="Times New Roman"/>
          <w:sz w:val="24"/>
          <w:szCs w:val="24"/>
        </w:rPr>
        <w:t xml:space="preserve"> </w:t>
      </w:r>
      <w:r w:rsidRPr="00B8029E" w:rsidR="002B6379">
        <w:rPr>
          <w:rFonts w:ascii="Times New Roman" w:hAnsi="Times New Roman" w:cs="Times New Roman"/>
          <w:sz w:val="24"/>
          <w:szCs w:val="24"/>
        </w:rPr>
        <w:t xml:space="preserve">The PUCO approach merely </w:t>
      </w:r>
      <w:r w:rsidR="00E179AE">
        <w:rPr>
          <w:rFonts w:ascii="Times New Roman" w:hAnsi="Times New Roman" w:cs="Times New Roman"/>
          <w:sz w:val="24"/>
          <w:szCs w:val="24"/>
        </w:rPr>
        <w:t>“</w:t>
      </w:r>
      <w:r w:rsidRPr="00B8029E" w:rsidR="00A51EBC">
        <w:rPr>
          <w:rFonts w:ascii="Times New Roman" w:hAnsi="Times New Roman" w:cs="Times New Roman"/>
          <w:sz w:val="24"/>
          <w:szCs w:val="24"/>
        </w:rPr>
        <w:t>kicks the can</w:t>
      </w:r>
      <w:r w:rsidR="00E179AE">
        <w:rPr>
          <w:rFonts w:ascii="Times New Roman" w:hAnsi="Times New Roman" w:cs="Times New Roman"/>
          <w:sz w:val="24"/>
          <w:szCs w:val="24"/>
        </w:rPr>
        <w:t>”</w:t>
      </w:r>
      <w:r w:rsidRPr="00B8029E" w:rsidR="00A51EBC">
        <w:rPr>
          <w:rFonts w:ascii="Times New Roman" w:hAnsi="Times New Roman" w:cs="Times New Roman"/>
          <w:sz w:val="24"/>
          <w:szCs w:val="24"/>
        </w:rPr>
        <w:t xml:space="preserve"> down the road</w:t>
      </w:r>
      <w:r w:rsidRPr="00B8029E" w:rsidR="00965C46">
        <w:rPr>
          <w:rFonts w:ascii="Times New Roman" w:hAnsi="Times New Roman" w:cs="Times New Roman"/>
          <w:sz w:val="24"/>
          <w:szCs w:val="24"/>
        </w:rPr>
        <w:t>. R</w:t>
      </w:r>
      <w:r w:rsidRPr="00B8029E">
        <w:rPr>
          <w:rFonts w:ascii="Times New Roman" w:hAnsi="Times New Roman" w:cs="Times New Roman"/>
          <w:sz w:val="24"/>
          <w:szCs w:val="24"/>
        </w:rPr>
        <w:t>ather, the PUCO should initiate a proceeding</w:t>
      </w:r>
      <w:r w:rsidRPr="00B8029E" w:rsidR="00A51EBC">
        <w:rPr>
          <w:rFonts w:ascii="Times New Roman" w:hAnsi="Times New Roman" w:cs="Times New Roman"/>
          <w:sz w:val="24"/>
          <w:szCs w:val="24"/>
        </w:rPr>
        <w:t xml:space="preserve"> on its own motion to address the impacts of the USF rates on residential consumers. The PUCO erred by unreasonably declining to address the untenable situation resulting from this year’s USF proceeding, harming consumers by this inaction.</w:t>
      </w:r>
      <w:r w:rsidRPr="00B8029E" w:rsidR="00DD17EC">
        <w:rPr>
          <w:rFonts w:ascii="Times New Roman" w:hAnsi="Times New Roman" w:cs="Times New Roman"/>
          <w:sz w:val="24"/>
          <w:szCs w:val="24"/>
        </w:rPr>
        <w:t xml:space="preserve"> </w:t>
      </w:r>
    </w:p>
    <w:p w:rsidR="00E361BB" w:rsidRPr="00B8029E" w:rsidP="00E361BB" w14:paraId="7B1EA1DD" w14:textId="17F1A6D4">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The </w:t>
      </w:r>
      <w:r w:rsidRPr="00B8029E">
        <w:rPr>
          <w:rFonts w:ascii="Times New Roman" w:hAnsi="Times New Roman" w:cs="Times New Roman"/>
          <w:i/>
          <w:iCs/>
          <w:sz w:val="24"/>
          <w:szCs w:val="24"/>
        </w:rPr>
        <w:t>2016 RF</w:t>
      </w:r>
      <w:r w:rsidRPr="00B8029E" w:rsidR="007675E4">
        <w:rPr>
          <w:rFonts w:ascii="Times New Roman" w:hAnsi="Times New Roman" w:cs="Times New Roman"/>
          <w:i/>
          <w:iCs/>
          <w:sz w:val="24"/>
          <w:szCs w:val="24"/>
        </w:rPr>
        <w:t>P</w:t>
      </w:r>
      <w:r w:rsidRPr="00B8029E">
        <w:rPr>
          <w:rFonts w:ascii="Times New Roman" w:hAnsi="Times New Roman" w:cs="Times New Roman"/>
          <w:i/>
          <w:iCs/>
          <w:sz w:val="24"/>
          <w:szCs w:val="24"/>
        </w:rPr>
        <w:t xml:space="preserve"> Auction Order</w:t>
      </w:r>
      <w:r>
        <w:rPr>
          <w:rStyle w:val="FootnoteReference"/>
          <w:rFonts w:ascii="Times New Roman" w:hAnsi="Times New Roman" w:cs="Times New Roman"/>
          <w:sz w:val="24"/>
          <w:szCs w:val="24"/>
        </w:rPr>
        <w:footnoteReference w:id="42"/>
      </w:r>
      <w:r w:rsidRPr="00B8029E">
        <w:rPr>
          <w:rFonts w:ascii="Times New Roman" w:hAnsi="Times New Roman" w:cs="Times New Roman"/>
          <w:i/>
          <w:iCs/>
          <w:sz w:val="24"/>
          <w:szCs w:val="24"/>
        </w:rPr>
        <w:t xml:space="preserve"> </w:t>
      </w:r>
      <w:r w:rsidRPr="00B8029E">
        <w:rPr>
          <w:rFonts w:ascii="Times New Roman" w:hAnsi="Times New Roman" w:cs="Times New Roman"/>
          <w:sz w:val="24"/>
          <w:szCs w:val="24"/>
        </w:rPr>
        <w:t xml:space="preserve">regarding the PIPP auction process </w:t>
      </w:r>
      <w:r w:rsidRPr="00B8029E" w:rsidR="007675E4">
        <w:rPr>
          <w:rFonts w:ascii="Times New Roman" w:hAnsi="Times New Roman" w:cs="Times New Roman"/>
          <w:sz w:val="24"/>
          <w:szCs w:val="24"/>
        </w:rPr>
        <w:t>may have been</w:t>
      </w:r>
      <w:r w:rsidRPr="00B8029E">
        <w:rPr>
          <w:rFonts w:ascii="Times New Roman" w:hAnsi="Times New Roman" w:cs="Times New Roman"/>
          <w:sz w:val="24"/>
          <w:szCs w:val="24"/>
        </w:rPr>
        <w:t xml:space="preserve"> reasonable at the time it was entered. But times change and circumstances change, and the method of procuring PIPP generation needs </w:t>
      </w:r>
      <w:r w:rsidRPr="00B8029E" w:rsidR="00D02F5B">
        <w:rPr>
          <w:rFonts w:ascii="Times New Roman" w:hAnsi="Times New Roman" w:cs="Times New Roman"/>
          <w:sz w:val="24"/>
          <w:szCs w:val="24"/>
        </w:rPr>
        <w:t>must be</w:t>
      </w:r>
      <w:r w:rsidRPr="00B8029E">
        <w:rPr>
          <w:rFonts w:ascii="Times New Roman" w:hAnsi="Times New Roman" w:cs="Times New Roman"/>
          <w:sz w:val="24"/>
          <w:szCs w:val="24"/>
        </w:rPr>
        <w:t xml:space="preserve"> revisited in order to comply with the law.</w:t>
      </w:r>
      <w:r>
        <w:rPr>
          <w:rStyle w:val="FootnoteReference"/>
          <w:rFonts w:ascii="Times New Roman" w:hAnsi="Times New Roman" w:cs="Times New Roman"/>
          <w:sz w:val="24"/>
          <w:szCs w:val="24"/>
        </w:rPr>
        <w:footnoteReference w:id="43"/>
      </w:r>
      <w:r w:rsidRPr="00B8029E">
        <w:rPr>
          <w:rFonts w:ascii="Times New Roman" w:hAnsi="Times New Roman" w:cs="Times New Roman"/>
          <w:sz w:val="24"/>
          <w:szCs w:val="24"/>
        </w:rPr>
        <w:t xml:space="preserve"> The PUCO Staff itself recognized that possibility in its September 2, 2016 Staff Report filed in that case:</w:t>
      </w:r>
    </w:p>
    <w:p w:rsidR="00E361BB" w:rsidRPr="00B8029E" w:rsidP="00E361BB" w14:paraId="6134895A" w14:textId="77777777">
      <w:pPr>
        <w:spacing w:after="0" w:line="240" w:lineRule="auto"/>
        <w:ind w:left="1440" w:right="1440"/>
        <w:rPr>
          <w:rFonts w:ascii="Times New Roman" w:hAnsi="Times New Roman" w:cs="Times New Roman"/>
          <w:sz w:val="24"/>
          <w:szCs w:val="24"/>
        </w:rPr>
      </w:pPr>
      <w:r w:rsidRPr="00B8029E">
        <w:rPr>
          <w:rFonts w:ascii="Times New Roman" w:hAnsi="Times New Roman" w:cs="Times New Roman"/>
          <w:sz w:val="24"/>
          <w:szCs w:val="24"/>
        </w:rPr>
        <w:t>Staff recommends that the PIPP RFP Auction continues as a separate auction from the SSO as ordered by the Commission, but that the process should be closely monitored and evaluated by Staff. While the initial auctions resulted in lower initial prices for PIPP customers, the additional factors discussed in the report, and the limited sample size, leads Staff to question if the results are simply a consequence of timing. The low participation rate is a significant concern for Staff and should be monitored closely in future auctions. Staff will continue to work with parties to allow the PIPP auction process to improve. If at any point through Staff’s monitoring and evaluation efforts, Staff identifies a concern that should be brought before the Commission, Staff will at that time provide its analysis to the Commission.</w:t>
      </w:r>
      <w:r>
        <w:rPr>
          <w:rStyle w:val="FootnoteReference"/>
          <w:rFonts w:ascii="Times New Roman" w:hAnsi="Times New Roman" w:cs="Times New Roman"/>
          <w:sz w:val="24"/>
          <w:szCs w:val="24"/>
        </w:rPr>
        <w:footnoteReference w:id="44"/>
      </w:r>
    </w:p>
    <w:p w:rsidR="00E361BB" w:rsidRPr="00B8029E" w:rsidP="00E361BB" w14:paraId="37863B74" w14:textId="77777777">
      <w:pPr>
        <w:spacing w:after="0" w:line="240" w:lineRule="auto"/>
        <w:ind w:left="1440" w:right="1440"/>
        <w:rPr>
          <w:rFonts w:ascii="Times New Roman" w:hAnsi="Times New Roman" w:cs="Times New Roman"/>
          <w:sz w:val="24"/>
          <w:szCs w:val="24"/>
        </w:rPr>
      </w:pPr>
    </w:p>
    <w:p w:rsidR="00E361BB" w:rsidRPr="00B8029E" w:rsidP="00E361BB" w14:paraId="190F4D8C" w14:textId="10F90F4C">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PIPP consumers of each of the six </w:t>
      </w:r>
      <w:r w:rsidR="00A02B47">
        <w:rPr>
          <w:rFonts w:ascii="Times New Roman" w:hAnsi="Times New Roman" w:cs="Times New Roman"/>
          <w:sz w:val="24"/>
          <w:szCs w:val="24"/>
        </w:rPr>
        <w:t>electric distribution utilities</w:t>
      </w:r>
      <w:r w:rsidRPr="00B8029E">
        <w:rPr>
          <w:rFonts w:ascii="Times New Roman" w:hAnsi="Times New Roman" w:cs="Times New Roman"/>
          <w:sz w:val="24"/>
          <w:szCs w:val="24"/>
        </w:rPr>
        <w:t xml:space="preserve"> are paying significantly more than standard service offer consumers for the same service, which wasn’t the case in 2016 when the </w:t>
      </w:r>
      <w:r w:rsidRPr="00B8029E">
        <w:rPr>
          <w:rFonts w:ascii="Times New Roman" w:hAnsi="Times New Roman" w:cs="Times New Roman"/>
          <w:i/>
          <w:iCs/>
          <w:sz w:val="24"/>
          <w:szCs w:val="24"/>
        </w:rPr>
        <w:t>RFP Auction Order</w:t>
      </w:r>
      <w:r w:rsidRPr="00B8029E">
        <w:rPr>
          <w:rFonts w:ascii="Times New Roman" w:hAnsi="Times New Roman" w:cs="Times New Roman"/>
          <w:sz w:val="24"/>
          <w:szCs w:val="24"/>
        </w:rPr>
        <w:t xml:space="preserve"> was entered.</w:t>
      </w:r>
      <w:r>
        <w:rPr>
          <w:rStyle w:val="FootnoteReference"/>
          <w:rFonts w:ascii="Times New Roman" w:hAnsi="Times New Roman" w:cs="Times New Roman"/>
          <w:sz w:val="24"/>
          <w:szCs w:val="24"/>
        </w:rPr>
        <w:footnoteReference w:id="45"/>
      </w:r>
      <w:r w:rsidRPr="00B8029E" w:rsidR="008E5BB9">
        <w:rPr>
          <w:rFonts w:ascii="Times New Roman" w:hAnsi="Times New Roman" w:cs="Times New Roman"/>
          <w:sz w:val="24"/>
          <w:szCs w:val="24"/>
        </w:rPr>
        <w:t xml:space="preserve"> The PUCO erred by not recognizing that </w:t>
      </w:r>
      <w:r w:rsidRPr="00B8029E" w:rsidR="00791428">
        <w:rPr>
          <w:rFonts w:ascii="Times New Roman" w:hAnsi="Times New Roman" w:cs="Times New Roman"/>
          <w:sz w:val="24"/>
          <w:szCs w:val="24"/>
        </w:rPr>
        <w:t xml:space="preserve">it is time for </w:t>
      </w:r>
      <w:r w:rsidRPr="00B8029E" w:rsidR="008E5BB9">
        <w:rPr>
          <w:rFonts w:ascii="Times New Roman" w:hAnsi="Times New Roman" w:cs="Times New Roman"/>
          <w:sz w:val="24"/>
          <w:szCs w:val="24"/>
        </w:rPr>
        <w:t xml:space="preserve">the RFP Auction Order </w:t>
      </w:r>
      <w:r w:rsidRPr="00B8029E" w:rsidR="00791428">
        <w:rPr>
          <w:rFonts w:ascii="Times New Roman" w:hAnsi="Times New Roman" w:cs="Times New Roman"/>
          <w:sz w:val="24"/>
          <w:szCs w:val="24"/>
        </w:rPr>
        <w:t>to be</w:t>
      </w:r>
      <w:r w:rsidRPr="00B8029E" w:rsidR="008E5BB9">
        <w:rPr>
          <w:rFonts w:ascii="Times New Roman" w:hAnsi="Times New Roman" w:cs="Times New Roman"/>
          <w:sz w:val="24"/>
          <w:szCs w:val="24"/>
        </w:rPr>
        <w:t xml:space="preserve"> revisited</w:t>
      </w:r>
      <w:r w:rsidRPr="00B8029E" w:rsidR="00A52FC7">
        <w:rPr>
          <w:rFonts w:ascii="Times New Roman" w:hAnsi="Times New Roman" w:cs="Times New Roman"/>
          <w:sz w:val="24"/>
          <w:szCs w:val="24"/>
        </w:rPr>
        <w:t>,</w:t>
      </w:r>
      <w:r w:rsidRPr="00B8029E" w:rsidR="008E5BB9">
        <w:rPr>
          <w:rFonts w:ascii="Times New Roman" w:hAnsi="Times New Roman" w:cs="Times New Roman"/>
          <w:sz w:val="24"/>
          <w:szCs w:val="24"/>
        </w:rPr>
        <w:t xml:space="preserve"> instead </w:t>
      </w:r>
      <w:r w:rsidRPr="00B8029E" w:rsidR="00965C46">
        <w:rPr>
          <w:rFonts w:ascii="Times New Roman" w:hAnsi="Times New Roman" w:cs="Times New Roman"/>
          <w:sz w:val="24"/>
          <w:szCs w:val="24"/>
        </w:rPr>
        <w:t xml:space="preserve">of </w:t>
      </w:r>
      <w:r w:rsidRPr="00B8029E" w:rsidR="008E5BB9">
        <w:rPr>
          <w:rFonts w:ascii="Times New Roman" w:hAnsi="Times New Roman" w:cs="Times New Roman"/>
          <w:sz w:val="24"/>
          <w:szCs w:val="24"/>
        </w:rPr>
        <w:t xml:space="preserve">deferring the problem to a parties’ Working Group. </w:t>
      </w:r>
    </w:p>
    <w:p w:rsidR="00EA14E5" w:rsidRPr="00B8029E" w:rsidP="00EA14E5" w14:paraId="4EECF670" w14:textId="35C69990">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Moreover, fixing</w:t>
      </w:r>
      <w:r w:rsidRPr="00B8029E">
        <w:rPr>
          <w:rFonts w:ascii="Times New Roman" w:hAnsi="Times New Roman" w:cs="Times New Roman"/>
          <w:sz w:val="24"/>
          <w:szCs w:val="24"/>
        </w:rPr>
        <w:t xml:space="preserve"> the problem going forward is just part of what </w:t>
      </w:r>
      <w:r w:rsidRPr="00B8029E" w:rsidR="00791428">
        <w:rPr>
          <w:rFonts w:ascii="Times New Roman" w:hAnsi="Times New Roman" w:cs="Times New Roman"/>
          <w:sz w:val="24"/>
          <w:szCs w:val="24"/>
        </w:rPr>
        <w:t>was</w:t>
      </w:r>
      <w:r w:rsidRPr="00B8029E">
        <w:rPr>
          <w:rFonts w:ascii="Times New Roman" w:hAnsi="Times New Roman" w:cs="Times New Roman"/>
          <w:sz w:val="24"/>
          <w:szCs w:val="24"/>
        </w:rPr>
        <w:t xml:space="preserve"> needed for the utilities’ PIPP consumers. They need help now. They are presently being charged higher electricity prices in violation of law, R.C. 4928.542. Th</w:t>
      </w:r>
      <w:r w:rsidRPr="00B8029E">
        <w:rPr>
          <w:rFonts w:ascii="Times New Roman" w:hAnsi="Times New Roman" w:cs="Times New Roman"/>
          <w:sz w:val="24"/>
          <w:szCs w:val="24"/>
        </w:rPr>
        <w:t>e PUCO erred by not remedying this situation in th</w:t>
      </w:r>
      <w:r w:rsidRPr="00B8029E" w:rsidR="0027573F">
        <w:rPr>
          <w:rFonts w:ascii="Times New Roman" w:hAnsi="Times New Roman" w:cs="Times New Roman"/>
          <w:sz w:val="24"/>
          <w:szCs w:val="24"/>
        </w:rPr>
        <w:t>is</w:t>
      </w:r>
      <w:r w:rsidRPr="00B8029E">
        <w:rPr>
          <w:rFonts w:ascii="Times New Roman" w:hAnsi="Times New Roman" w:cs="Times New Roman"/>
          <w:sz w:val="24"/>
          <w:szCs w:val="24"/>
        </w:rPr>
        <w:t xml:space="preserve"> USF adjustment phase, which the PUCO could have and should have done. The PUCO should have required that</w:t>
      </w:r>
      <w:r w:rsidRPr="00B8029E">
        <w:rPr>
          <w:rFonts w:ascii="Times New Roman" w:hAnsi="Times New Roman" w:cs="Times New Roman"/>
          <w:sz w:val="24"/>
          <w:szCs w:val="24"/>
        </w:rPr>
        <w:t xml:space="preserve"> PIPP consumers be billed no more than the SSO rate that is used for non-PIPP consumers. </w:t>
      </w:r>
    </w:p>
    <w:p w:rsidR="00EA14E5" w:rsidRPr="00B8029E" w:rsidP="00EA14E5" w14:paraId="73B6F6A2" w14:textId="3DCC9FAA">
      <w:pPr>
        <w:spacing w:after="0" w:line="480" w:lineRule="auto"/>
        <w:ind w:firstLine="720"/>
        <w:rPr>
          <w:rFonts w:ascii="Times New Roman" w:hAnsi="Times New Roman" w:cs="Times New Roman"/>
          <w:sz w:val="24"/>
          <w:szCs w:val="24"/>
        </w:rPr>
      </w:pPr>
      <w:r w:rsidRPr="00B8029E">
        <w:rPr>
          <w:rFonts w:ascii="Times New Roman" w:hAnsi="Times New Roman" w:cs="Times New Roman"/>
          <w:sz w:val="24"/>
          <w:szCs w:val="24"/>
        </w:rPr>
        <w:t xml:space="preserve">The USF revenue requirement </w:t>
      </w:r>
      <w:r w:rsidRPr="00B8029E" w:rsidR="00702B51">
        <w:rPr>
          <w:rFonts w:ascii="Times New Roman" w:hAnsi="Times New Roman" w:cs="Times New Roman"/>
          <w:sz w:val="24"/>
          <w:szCs w:val="24"/>
        </w:rPr>
        <w:t>should</w:t>
      </w:r>
      <w:r w:rsidRPr="00B8029E">
        <w:rPr>
          <w:rFonts w:ascii="Times New Roman" w:hAnsi="Times New Roman" w:cs="Times New Roman"/>
          <w:sz w:val="24"/>
          <w:szCs w:val="24"/>
        </w:rPr>
        <w:t xml:space="preserve"> be calculated based on the 2022 SSO rate not the 2022 PIPP auction rate, and utilities should be required to pay the difference between the SSO auction results and the PIPP auction results.</w:t>
      </w:r>
      <w:r>
        <w:rPr>
          <w:rStyle w:val="FootnoteReference"/>
          <w:rFonts w:ascii="Times New Roman" w:hAnsi="Times New Roman" w:cs="Times New Roman"/>
          <w:sz w:val="24"/>
          <w:szCs w:val="24"/>
        </w:rPr>
        <w:footnoteReference w:id="46"/>
      </w:r>
      <w:r w:rsidRPr="00B8029E">
        <w:rPr>
          <w:rFonts w:ascii="Times New Roman" w:hAnsi="Times New Roman" w:cs="Times New Roman"/>
          <w:iCs/>
          <w:sz w:val="24"/>
          <w:szCs w:val="24"/>
        </w:rPr>
        <w:t xml:space="preserve"> The PUCO erred in declining to consider this recommendation</w:t>
      </w:r>
      <w:r w:rsidRPr="00B8029E" w:rsidR="008E5BB9">
        <w:rPr>
          <w:rFonts w:ascii="Times New Roman" w:hAnsi="Times New Roman" w:cs="Times New Roman"/>
          <w:iCs/>
          <w:sz w:val="24"/>
          <w:szCs w:val="24"/>
        </w:rPr>
        <w:t xml:space="preserve"> </w:t>
      </w:r>
      <w:r w:rsidRPr="00B8029E" w:rsidR="00702B51">
        <w:rPr>
          <w:rFonts w:ascii="Times New Roman" w:hAnsi="Times New Roman" w:cs="Times New Roman"/>
          <w:iCs/>
          <w:sz w:val="24"/>
          <w:szCs w:val="24"/>
        </w:rPr>
        <w:t xml:space="preserve">that </w:t>
      </w:r>
      <w:r w:rsidRPr="00B8029E" w:rsidR="008E5BB9">
        <w:rPr>
          <w:rFonts w:ascii="Times New Roman" w:hAnsi="Times New Roman" w:cs="Times New Roman"/>
          <w:iCs/>
          <w:sz w:val="24"/>
          <w:szCs w:val="24"/>
        </w:rPr>
        <w:t xml:space="preserve">OCC </w:t>
      </w:r>
      <w:r w:rsidRPr="00B8029E" w:rsidR="00702B51">
        <w:rPr>
          <w:rFonts w:ascii="Times New Roman" w:hAnsi="Times New Roman" w:cs="Times New Roman"/>
          <w:iCs/>
          <w:sz w:val="24"/>
          <w:szCs w:val="24"/>
        </w:rPr>
        <w:t xml:space="preserve">had </w:t>
      </w:r>
      <w:r w:rsidRPr="00B8029E" w:rsidR="008E5BB9">
        <w:rPr>
          <w:rFonts w:ascii="Times New Roman" w:hAnsi="Times New Roman" w:cs="Times New Roman"/>
          <w:iCs/>
          <w:sz w:val="24"/>
          <w:szCs w:val="24"/>
        </w:rPr>
        <w:t xml:space="preserve">presented in the </w:t>
      </w:r>
      <w:r w:rsidRPr="00B8029E" w:rsidR="00682769">
        <w:rPr>
          <w:rFonts w:ascii="Times New Roman" w:hAnsi="Times New Roman" w:cs="Times New Roman"/>
          <w:iCs/>
          <w:sz w:val="24"/>
          <w:szCs w:val="24"/>
        </w:rPr>
        <w:t xml:space="preserve">earlier </w:t>
      </w:r>
      <w:r w:rsidRPr="00B8029E" w:rsidR="008E5BB9">
        <w:rPr>
          <w:rFonts w:ascii="Times New Roman" w:hAnsi="Times New Roman" w:cs="Times New Roman"/>
          <w:iCs/>
          <w:sz w:val="24"/>
          <w:szCs w:val="24"/>
        </w:rPr>
        <w:t xml:space="preserve">phase </w:t>
      </w:r>
      <w:r w:rsidRPr="00B8029E" w:rsidR="00682769">
        <w:rPr>
          <w:rFonts w:ascii="Times New Roman" w:hAnsi="Times New Roman" w:cs="Times New Roman"/>
          <w:iCs/>
          <w:sz w:val="24"/>
          <w:szCs w:val="24"/>
        </w:rPr>
        <w:t xml:space="preserve">of this proceeding intended </w:t>
      </w:r>
      <w:r w:rsidRPr="00B8029E" w:rsidR="008E5BB9">
        <w:rPr>
          <w:rFonts w:ascii="Times New Roman" w:hAnsi="Times New Roman" w:cs="Times New Roman"/>
          <w:iCs/>
          <w:sz w:val="24"/>
          <w:szCs w:val="24"/>
        </w:rPr>
        <w:t>to be implemented in th</w:t>
      </w:r>
      <w:r w:rsidRPr="00B8029E" w:rsidR="00702B51">
        <w:rPr>
          <w:rFonts w:ascii="Times New Roman" w:hAnsi="Times New Roman" w:cs="Times New Roman"/>
          <w:iCs/>
          <w:sz w:val="24"/>
          <w:szCs w:val="24"/>
        </w:rPr>
        <w:t>is</w:t>
      </w:r>
      <w:r w:rsidRPr="00B8029E" w:rsidR="008E5BB9">
        <w:rPr>
          <w:rFonts w:ascii="Times New Roman" w:hAnsi="Times New Roman" w:cs="Times New Roman"/>
          <w:iCs/>
          <w:sz w:val="24"/>
          <w:szCs w:val="24"/>
        </w:rPr>
        <w:t xml:space="preserve"> phase.</w:t>
      </w:r>
      <w:r w:rsidRPr="00B8029E">
        <w:rPr>
          <w:rFonts w:ascii="Times New Roman" w:hAnsi="Times New Roman" w:cs="Times New Roman"/>
          <w:iCs/>
          <w:sz w:val="24"/>
          <w:szCs w:val="24"/>
        </w:rPr>
        <w:t xml:space="preserve"> Such a result would be consistent with R.C. 4928.542(B)’s requirement that a winning bid </w:t>
      </w:r>
      <w:r w:rsidRPr="00B8029E">
        <w:rPr>
          <w:rFonts w:ascii="Times New Roman" w:hAnsi="Times New Roman" w:cs="Times New Roman"/>
          <w:b/>
          <w:bCs/>
          <w:i/>
          <w:sz w:val="24"/>
          <w:szCs w:val="24"/>
        </w:rPr>
        <w:t>shall</w:t>
      </w:r>
      <w:r w:rsidRPr="00B8029E">
        <w:rPr>
          <w:rFonts w:ascii="Times New Roman" w:hAnsi="Times New Roman" w:cs="Times New Roman"/>
          <w:iCs/>
          <w:sz w:val="24"/>
          <w:szCs w:val="24"/>
        </w:rPr>
        <w:t xml:space="preserve"> </w:t>
      </w:r>
      <w:r w:rsidRPr="00B8029E">
        <w:rPr>
          <w:rFonts w:ascii="Times New Roman" w:hAnsi="Times New Roman" w:cs="Times New Roman"/>
          <w:b/>
          <w:bCs/>
          <w:i/>
          <w:sz w:val="24"/>
          <w:szCs w:val="24"/>
        </w:rPr>
        <w:t>reduce</w:t>
      </w:r>
      <w:r w:rsidRPr="00B8029E">
        <w:rPr>
          <w:rFonts w:ascii="Times New Roman" w:hAnsi="Times New Roman" w:cs="Times New Roman"/>
          <w:iCs/>
          <w:sz w:val="24"/>
          <w:szCs w:val="24"/>
        </w:rPr>
        <w:t xml:space="preserve"> the cost of the PIPP program relative to the otherwise applicable standard service offer rate established and R.C. 4928.542(C)’s requirement that a winning bid shall result in the </w:t>
      </w:r>
      <w:r w:rsidRPr="00B8029E">
        <w:rPr>
          <w:rFonts w:ascii="Times New Roman" w:hAnsi="Times New Roman" w:cs="Times New Roman"/>
          <w:b/>
          <w:bCs/>
          <w:i/>
          <w:sz w:val="24"/>
          <w:szCs w:val="24"/>
        </w:rPr>
        <w:t>best value</w:t>
      </w:r>
      <w:r w:rsidRPr="00B8029E">
        <w:rPr>
          <w:rFonts w:ascii="Times New Roman" w:hAnsi="Times New Roman" w:cs="Times New Roman"/>
          <w:iCs/>
          <w:sz w:val="24"/>
          <w:szCs w:val="24"/>
        </w:rPr>
        <w:t xml:space="preserve"> for persons paying the universal service rider.</w:t>
      </w:r>
      <w:r w:rsidRPr="00B8029E">
        <w:rPr>
          <w:rFonts w:ascii="Times New Roman" w:hAnsi="Times New Roman" w:cs="Times New Roman"/>
          <w:sz w:val="24"/>
          <w:szCs w:val="24"/>
        </w:rPr>
        <w:t xml:space="preserve"> </w:t>
      </w:r>
    </w:p>
    <w:p w:rsidR="001D5B69" w:rsidRPr="00B8029E" w:rsidP="006A68D6" w14:paraId="141DDA7A" w14:textId="4F4028B3">
      <w:pPr>
        <w:spacing w:after="0" w:line="480" w:lineRule="auto"/>
        <w:ind w:firstLine="720"/>
        <w:rPr>
          <w:rFonts w:ascii="Times New Roman" w:hAnsi="Times New Roman" w:cs="Times New Roman"/>
          <w:sz w:val="24"/>
          <w:szCs w:val="24"/>
        </w:rPr>
      </w:pPr>
      <w:r w:rsidRPr="00B8029E">
        <w:rPr>
          <w:rFonts w:ascii="Times New Roman" w:hAnsi="Times New Roman" w:cs="Times New Roman"/>
          <w:iCs/>
          <w:sz w:val="24"/>
          <w:szCs w:val="24"/>
        </w:rPr>
        <w:t>The PUCO should interpret Ohio law in a way that gives proper force and effect to each and all related statutes. It failed to do so</w:t>
      </w:r>
      <w:r w:rsidRPr="00B8029E" w:rsidR="00625EDE">
        <w:rPr>
          <w:rFonts w:ascii="Times New Roman" w:hAnsi="Times New Roman" w:cs="Times New Roman"/>
          <w:iCs/>
          <w:sz w:val="24"/>
          <w:szCs w:val="24"/>
        </w:rPr>
        <w:t xml:space="preserve"> in </w:t>
      </w:r>
      <w:r w:rsidRPr="00B8029E" w:rsidR="002B5E0F">
        <w:rPr>
          <w:rFonts w:ascii="Times New Roman" w:hAnsi="Times New Roman" w:cs="Times New Roman"/>
          <w:iCs/>
          <w:sz w:val="24"/>
          <w:szCs w:val="24"/>
        </w:rPr>
        <w:t xml:space="preserve">approving </w:t>
      </w:r>
      <w:r w:rsidRPr="00B8029E" w:rsidR="002B5E0F">
        <w:rPr>
          <w:rFonts w:ascii="Times New Roman" w:hAnsi="Times New Roman" w:cs="Times New Roman"/>
          <w:sz w:val="24"/>
          <w:szCs w:val="24"/>
        </w:rPr>
        <w:t>this</w:t>
      </w:r>
      <w:r w:rsidRPr="00B8029E" w:rsidR="00682769">
        <w:rPr>
          <w:rFonts w:ascii="Times New Roman" w:hAnsi="Times New Roman" w:cs="Times New Roman"/>
          <w:sz w:val="24"/>
          <w:szCs w:val="24"/>
        </w:rPr>
        <w:t xml:space="preserve"> </w:t>
      </w:r>
      <w:r w:rsidRPr="00B8029E" w:rsidR="008E5BBF">
        <w:rPr>
          <w:rFonts w:ascii="Times New Roman" w:hAnsi="Times New Roman" w:cs="Times New Roman"/>
          <w:sz w:val="24"/>
          <w:szCs w:val="24"/>
        </w:rPr>
        <w:t xml:space="preserve">Settlement, </w:t>
      </w:r>
      <w:r w:rsidRPr="00B8029E" w:rsidR="00625EDE">
        <w:rPr>
          <w:rFonts w:ascii="Times New Roman" w:hAnsi="Times New Roman" w:cs="Times New Roman"/>
          <w:sz w:val="24"/>
          <w:szCs w:val="24"/>
        </w:rPr>
        <w:t xml:space="preserve">which results in a higher rate for low-income PIPP consumers than consumers on utilities’ standard service offers. The Settlement </w:t>
      </w:r>
      <w:r w:rsidRPr="00B8029E" w:rsidR="00A01D6F">
        <w:rPr>
          <w:rFonts w:ascii="Times New Roman" w:hAnsi="Times New Roman" w:cs="Times New Roman"/>
          <w:sz w:val="24"/>
          <w:szCs w:val="24"/>
        </w:rPr>
        <w:t xml:space="preserve">does not improve the plight of PIPP consumers, present or future, but it should. </w:t>
      </w:r>
      <w:r w:rsidRPr="00B8029E" w:rsidR="00530D1E">
        <w:rPr>
          <w:rFonts w:ascii="Times New Roman" w:hAnsi="Times New Roman" w:cs="Times New Roman"/>
          <w:sz w:val="24"/>
          <w:szCs w:val="24"/>
        </w:rPr>
        <w:t xml:space="preserve">Instead, it continues with the same process that has harmed low-income consumers in recent auctions. </w:t>
      </w:r>
      <w:r w:rsidRPr="00B8029E">
        <w:rPr>
          <w:rFonts w:ascii="Times New Roman" w:hAnsi="Times New Roman" w:cs="Times New Roman"/>
          <w:sz w:val="24"/>
          <w:szCs w:val="24"/>
        </w:rPr>
        <w:t xml:space="preserve">The PUCO </w:t>
      </w:r>
      <w:r w:rsidRPr="00B8029E" w:rsidR="00A01D6F">
        <w:rPr>
          <w:rFonts w:ascii="Times New Roman" w:hAnsi="Times New Roman" w:cs="Times New Roman"/>
          <w:sz w:val="24"/>
          <w:szCs w:val="24"/>
        </w:rPr>
        <w:t xml:space="preserve">should protect its low-income PIPP </w:t>
      </w:r>
      <w:r w:rsidRPr="00B8029E" w:rsidR="008E2040">
        <w:rPr>
          <w:rFonts w:ascii="Times New Roman" w:hAnsi="Times New Roman" w:cs="Times New Roman"/>
          <w:sz w:val="24"/>
          <w:szCs w:val="24"/>
        </w:rPr>
        <w:t>consumers,</w:t>
      </w:r>
      <w:r w:rsidRPr="00B8029E" w:rsidR="00CE126A">
        <w:rPr>
          <w:rFonts w:ascii="Times New Roman" w:hAnsi="Times New Roman" w:cs="Times New Roman"/>
          <w:sz w:val="24"/>
          <w:szCs w:val="24"/>
        </w:rPr>
        <w:t xml:space="preserve"> but it did not</w:t>
      </w:r>
      <w:r w:rsidRPr="00B8029E" w:rsidR="00A01D6F">
        <w:rPr>
          <w:rFonts w:ascii="Times New Roman" w:hAnsi="Times New Roman" w:cs="Times New Roman"/>
          <w:sz w:val="24"/>
          <w:szCs w:val="24"/>
        </w:rPr>
        <w:t xml:space="preserve">. </w:t>
      </w:r>
      <w:r w:rsidRPr="00B8029E">
        <w:rPr>
          <w:rFonts w:ascii="Times New Roman" w:hAnsi="Times New Roman" w:cs="Times New Roman"/>
          <w:sz w:val="24"/>
          <w:szCs w:val="24"/>
        </w:rPr>
        <w:t>The</w:t>
      </w:r>
      <w:r w:rsidRPr="00B8029E" w:rsidR="00A01D6F">
        <w:rPr>
          <w:rFonts w:ascii="Times New Roman" w:hAnsi="Times New Roman" w:cs="Times New Roman"/>
          <w:sz w:val="24"/>
          <w:szCs w:val="24"/>
        </w:rPr>
        <w:t xml:space="preserve"> PUCO should take action to give PIPP consumers</w:t>
      </w:r>
      <w:r w:rsidRPr="00B8029E" w:rsidR="004D6F43">
        <w:rPr>
          <w:rFonts w:ascii="Times New Roman" w:hAnsi="Times New Roman" w:cs="Times New Roman"/>
          <w:sz w:val="24"/>
          <w:szCs w:val="24"/>
        </w:rPr>
        <w:t>, some of the most vulnerable in the state,</w:t>
      </w:r>
      <w:r w:rsidRPr="00B8029E" w:rsidR="00A01D6F">
        <w:rPr>
          <w:rFonts w:ascii="Times New Roman" w:hAnsi="Times New Roman" w:cs="Times New Roman"/>
          <w:sz w:val="24"/>
          <w:szCs w:val="24"/>
        </w:rPr>
        <w:t xml:space="preserve"> the protection of the law for their electric generation rates. </w:t>
      </w:r>
      <w:r w:rsidRPr="00B8029E" w:rsidR="008E5BBF">
        <w:rPr>
          <w:rFonts w:ascii="Times New Roman" w:hAnsi="Times New Roman" w:cs="Times New Roman"/>
          <w:sz w:val="24"/>
          <w:szCs w:val="24"/>
        </w:rPr>
        <w:t>Rehearing should be granted.</w:t>
      </w:r>
    </w:p>
    <w:p w:rsidR="00D9250A" w:rsidRPr="00B8029E" w:rsidP="00D9250A" w14:paraId="310B9B62" w14:textId="77777777">
      <w:pPr>
        <w:spacing w:after="0" w:line="240" w:lineRule="auto"/>
        <w:ind w:left="1440" w:right="1440"/>
        <w:rPr>
          <w:rFonts w:ascii="Times New Roman" w:hAnsi="Times New Roman" w:cs="Times New Roman"/>
          <w:sz w:val="24"/>
          <w:szCs w:val="24"/>
        </w:rPr>
      </w:pPr>
    </w:p>
    <w:p w:rsidR="00801376" w:rsidRPr="00B8029E" w:rsidP="00A2307A" w14:paraId="13823C1C" w14:textId="645F2213">
      <w:pPr>
        <w:pStyle w:val="Heading1"/>
      </w:pPr>
      <w:bookmarkStart w:id="15" w:name="_Toc124515680"/>
      <w:r w:rsidRPr="00B8029E">
        <w:t>CONCLUSION</w:t>
      </w:r>
      <w:bookmarkEnd w:id="15"/>
      <w:r w:rsidRPr="00B8029E" w:rsidR="007327BD">
        <w:t xml:space="preserve"> </w:t>
      </w:r>
    </w:p>
    <w:p w:rsidR="00B850B2" w:rsidRPr="00B8029E" w:rsidP="00B850B2" w14:paraId="556CACD2" w14:textId="55DB2A3A">
      <w:pPr>
        <w:spacing w:after="0" w:line="480" w:lineRule="auto"/>
        <w:ind w:firstLine="720"/>
        <w:rPr>
          <w:rFonts w:ascii="Times New Roman" w:hAnsi="Times New Roman" w:cs="Times New Roman"/>
          <w:color w:val="000000"/>
          <w:sz w:val="24"/>
          <w:szCs w:val="24"/>
        </w:rPr>
      </w:pPr>
      <w:r w:rsidRPr="00B8029E">
        <w:rPr>
          <w:rFonts w:ascii="Times New Roman" w:hAnsi="Times New Roman" w:cs="Times New Roman"/>
          <w:sz w:val="24"/>
          <w:szCs w:val="24"/>
        </w:rPr>
        <w:t>“[T]he purpose of the PUCO * * * is to protect the customers of public utilities.”</w:t>
      </w:r>
      <w:r>
        <w:rPr>
          <w:rStyle w:val="FootnoteReference"/>
          <w:rFonts w:ascii="Times New Roman" w:hAnsi="Times New Roman" w:cs="Times New Roman"/>
          <w:sz w:val="24"/>
          <w:szCs w:val="24"/>
        </w:rPr>
        <w:footnoteReference w:id="47"/>
      </w:r>
      <w:r w:rsidRPr="00B8029E">
        <w:rPr>
          <w:rFonts w:ascii="Times New Roman" w:hAnsi="Times New Roman" w:cs="Times New Roman"/>
          <w:sz w:val="24"/>
          <w:szCs w:val="24"/>
        </w:rPr>
        <w:t xml:space="preserve"> </w:t>
      </w:r>
      <w:r w:rsidRPr="00B8029E" w:rsidR="00587B74">
        <w:rPr>
          <w:rFonts w:ascii="Times New Roman" w:hAnsi="Times New Roman" w:cs="Times New Roman"/>
          <w:sz w:val="24"/>
          <w:szCs w:val="24"/>
        </w:rPr>
        <w:t xml:space="preserve">The PUCO should protect at-risk consumers, as required under 4928.02(L). </w:t>
      </w:r>
      <w:r w:rsidRPr="00B8029E" w:rsidR="00385288">
        <w:rPr>
          <w:rFonts w:ascii="Times New Roman" w:hAnsi="Times New Roman" w:cs="Times New Roman"/>
          <w:sz w:val="24"/>
          <w:szCs w:val="24"/>
        </w:rPr>
        <w:t xml:space="preserve">The 2022 Adjustment Settlement is not in the public interest, harms consumers, and violates regulatory principles and practices. </w:t>
      </w:r>
      <w:r w:rsidRPr="00B8029E" w:rsidR="00CB7B0A">
        <w:rPr>
          <w:rFonts w:ascii="Times New Roman" w:hAnsi="Times New Roman" w:cs="Times New Roman"/>
          <w:sz w:val="24"/>
          <w:szCs w:val="24"/>
        </w:rPr>
        <w:t xml:space="preserve">PIPP generation costs are increasing at a much faster rate than </w:t>
      </w:r>
      <w:r w:rsidRPr="00B8029E" w:rsidR="00072F90">
        <w:rPr>
          <w:rFonts w:ascii="Times New Roman" w:hAnsi="Times New Roman" w:cs="Times New Roman"/>
          <w:sz w:val="24"/>
          <w:szCs w:val="24"/>
        </w:rPr>
        <w:t>standard service offer</w:t>
      </w:r>
      <w:r w:rsidRPr="00B8029E" w:rsidR="00CB7B0A">
        <w:rPr>
          <w:rFonts w:ascii="Times New Roman" w:hAnsi="Times New Roman" w:cs="Times New Roman"/>
          <w:sz w:val="24"/>
          <w:szCs w:val="24"/>
        </w:rPr>
        <w:t xml:space="preserve"> costs. </w:t>
      </w:r>
      <w:r w:rsidRPr="00B8029E">
        <w:rPr>
          <w:rFonts w:ascii="Times New Roman" w:hAnsi="Times New Roman" w:cs="Times New Roman"/>
          <w:sz w:val="24"/>
          <w:szCs w:val="24"/>
        </w:rPr>
        <w:t xml:space="preserve">The PUCO </w:t>
      </w:r>
      <w:r w:rsidRPr="00B8029E" w:rsidR="00385288">
        <w:rPr>
          <w:rFonts w:ascii="Times New Roman" w:hAnsi="Times New Roman" w:cs="Times New Roman"/>
          <w:sz w:val="24"/>
          <w:szCs w:val="24"/>
        </w:rPr>
        <w:t>should p</w:t>
      </w:r>
      <w:r w:rsidRPr="00B8029E" w:rsidR="00B829AC">
        <w:rPr>
          <w:rFonts w:ascii="Times New Roman" w:hAnsi="Times New Roman" w:cs="Times New Roman"/>
          <w:sz w:val="24"/>
          <w:szCs w:val="24"/>
        </w:rPr>
        <w:t xml:space="preserve">rotect consumers </w:t>
      </w:r>
      <w:r w:rsidRPr="00B8029E" w:rsidR="00A2307A">
        <w:rPr>
          <w:rFonts w:ascii="Times New Roman" w:hAnsi="Times New Roman" w:cs="Times New Roman"/>
          <w:sz w:val="24"/>
          <w:szCs w:val="24"/>
        </w:rPr>
        <w:t xml:space="preserve">by </w:t>
      </w:r>
      <w:r w:rsidRPr="00B8029E" w:rsidR="00B829AC">
        <w:rPr>
          <w:rFonts w:ascii="Times New Roman" w:hAnsi="Times New Roman" w:cs="Times New Roman"/>
          <w:sz w:val="24"/>
          <w:szCs w:val="24"/>
        </w:rPr>
        <w:t xml:space="preserve">granting rehearing and </w:t>
      </w:r>
      <w:r w:rsidRPr="00B8029E">
        <w:rPr>
          <w:rFonts w:ascii="Times New Roman" w:hAnsi="Times New Roman" w:cs="Times New Roman"/>
          <w:sz w:val="24"/>
          <w:szCs w:val="24"/>
        </w:rPr>
        <w:t>rejecting or modifying the Opinion and</w:t>
      </w:r>
      <w:r w:rsidRPr="00B8029E" w:rsidR="00350036">
        <w:rPr>
          <w:rFonts w:ascii="Times New Roman" w:hAnsi="Times New Roman" w:cs="Times New Roman"/>
          <w:sz w:val="24"/>
          <w:szCs w:val="24"/>
        </w:rPr>
        <w:t xml:space="preserve"> Order</w:t>
      </w:r>
      <w:r w:rsidRPr="00B8029E" w:rsidR="00A2307A">
        <w:rPr>
          <w:rFonts w:ascii="Times New Roman" w:hAnsi="Times New Roman" w:cs="Times New Roman"/>
          <w:sz w:val="24"/>
          <w:szCs w:val="24"/>
        </w:rPr>
        <w:t xml:space="preserve"> </w:t>
      </w:r>
      <w:r w:rsidRPr="00B8029E" w:rsidR="00527CB3">
        <w:rPr>
          <w:rFonts w:ascii="Times New Roman" w:hAnsi="Times New Roman" w:cs="Times New Roman"/>
          <w:sz w:val="24"/>
          <w:szCs w:val="24"/>
        </w:rPr>
        <w:t xml:space="preserve">so that electricity </w:t>
      </w:r>
      <w:r w:rsidRPr="00B8029E" w:rsidR="00FF2994">
        <w:rPr>
          <w:rFonts w:ascii="Times New Roman" w:hAnsi="Times New Roman" w:cs="Times New Roman"/>
          <w:sz w:val="24"/>
          <w:szCs w:val="24"/>
        </w:rPr>
        <w:t xml:space="preserve">service rates </w:t>
      </w:r>
      <w:r w:rsidRPr="00B8029E" w:rsidR="00527CB3">
        <w:rPr>
          <w:rFonts w:ascii="Times New Roman" w:hAnsi="Times New Roman" w:cs="Times New Roman"/>
          <w:sz w:val="24"/>
          <w:szCs w:val="24"/>
        </w:rPr>
        <w:t>for</w:t>
      </w:r>
      <w:r w:rsidRPr="00B8029E" w:rsidR="00D242E6">
        <w:rPr>
          <w:rFonts w:ascii="Times New Roman" w:hAnsi="Times New Roman" w:cs="Times New Roman"/>
          <w:sz w:val="24"/>
          <w:szCs w:val="24"/>
        </w:rPr>
        <w:t xml:space="preserve"> low-income</w:t>
      </w:r>
      <w:r w:rsidRPr="00B8029E" w:rsidR="00527CB3">
        <w:rPr>
          <w:rFonts w:ascii="Times New Roman" w:hAnsi="Times New Roman" w:cs="Times New Roman"/>
          <w:sz w:val="24"/>
          <w:szCs w:val="24"/>
        </w:rPr>
        <w:t xml:space="preserve"> PIPP consumers </w:t>
      </w:r>
      <w:r w:rsidRPr="00B8029E" w:rsidR="00FF2994">
        <w:rPr>
          <w:rFonts w:ascii="Times New Roman" w:hAnsi="Times New Roman" w:cs="Times New Roman"/>
          <w:sz w:val="24"/>
          <w:szCs w:val="24"/>
        </w:rPr>
        <w:t>do</w:t>
      </w:r>
      <w:r w:rsidRPr="00B8029E" w:rsidR="00EA6C3B">
        <w:rPr>
          <w:rFonts w:ascii="Times New Roman" w:hAnsi="Times New Roman" w:cs="Times New Roman"/>
          <w:sz w:val="24"/>
          <w:szCs w:val="24"/>
        </w:rPr>
        <w:t xml:space="preserve"> not exceed the standard service offer.</w:t>
      </w:r>
      <w:r w:rsidRPr="00B8029E" w:rsidR="00587F3C">
        <w:rPr>
          <w:rFonts w:ascii="Times New Roman" w:hAnsi="Times New Roman" w:cs="Times New Roman"/>
          <w:sz w:val="24"/>
          <w:szCs w:val="24"/>
        </w:rPr>
        <w:t xml:space="preserve"> </w:t>
      </w:r>
      <w:r w:rsidRPr="00B8029E">
        <w:rPr>
          <w:rFonts w:ascii="Times New Roman" w:hAnsi="Times New Roman" w:cs="Times New Roman"/>
          <w:color w:val="000000"/>
          <w:sz w:val="24"/>
          <w:szCs w:val="24"/>
        </w:rPr>
        <w:t xml:space="preserve">This would be through a billing adjustment made through the USF that would be paid for by the electric utilities and not consumers. </w:t>
      </w:r>
    </w:p>
    <w:p w:rsidR="00965C46" w:rsidRPr="00B8029E" w:rsidP="00CA0AAB" w14:paraId="52D92C53" w14:textId="6251D6D2">
      <w:pPr>
        <w:spacing w:after="0" w:line="480" w:lineRule="auto"/>
        <w:ind w:firstLine="720"/>
        <w:rPr>
          <w:rFonts w:ascii="Times New Roman" w:hAnsi="Times New Roman" w:cs="Times New Roman"/>
          <w:iCs/>
          <w:sz w:val="24"/>
          <w:szCs w:val="24"/>
        </w:rPr>
      </w:pPr>
      <w:r w:rsidRPr="00B8029E">
        <w:rPr>
          <w:rFonts w:ascii="Times New Roman" w:hAnsi="Times New Roman" w:cs="Times New Roman"/>
          <w:color w:val="000000"/>
          <w:sz w:val="24"/>
          <w:szCs w:val="24"/>
        </w:rPr>
        <w:t xml:space="preserve">The PUCO should </w:t>
      </w:r>
      <w:r w:rsidRPr="00B8029E" w:rsidR="00385288">
        <w:rPr>
          <w:rFonts w:ascii="Times New Roman" w:hAnsi="Times New Roman" w:cs="Times New Roman"/>
          <w:color w:val="000000"/>
          <w:sz w:val="24"/>
          <w:szCs w:val="24"/>
        </w:rPr>
        <w:t xml:space="preserve">have </w:t>
      </w:r>
      <w:r w:rsidRPr="00B8029E">
        <w:rPr>
          <w:rFonts w:ascii="Times New Roman" w:hAnsi="Times New Roman" w:cs="Times New Roman"/>
          <w:color w:val="000000"/>
          <w:sz w:val="24"/>
          <w:szCs w:val="24"/>
        </w:rPr>
        <w:t>require</w:t>
      </w:r>
      <w:r w:rsidRPr="00B8029E" w:rsidR="00385288">
        <w:rPr>
          <w:rFonts w:ascii="Times New Roman" w:hAnsi="Times New Roman" w:cs="Times New Roman"/>
          <w:color w:val="000000"/>
          <w:sz w:val="24"/>
          <w:szCs w:val="24"/>
        </w:rPr>
        <w:t>d</w:t>
      </w:r>
      <w:r w:rsidRPr="00B8029E">
        <w:rPr>
          <w:rFonts w:ascii="Times New Roman" w:hAnsi="Times New Roman" w:cs="Times New Roman"/>
          <w:color w:val="000000"/>
          <w:sz w:val="24"/>
          <w:szCs w:val="24"/>
        </w:rPr>
        <w:t xml:space="preserve"> </w:t>
      </w:r>
      <w:r w:rsidRPr="00B8029E" w:rsidR="00B850B2">
        <w:rPr>
          <w:rFonts w:ascii="Times New Roman" w:hAnsi="Times New Roman" w:cs="Times New Roman"/>
          <w:color w:val="000000"/>
          <w:sz w:val="24"/>
          <w:szCs w:val="24"/>
        </w:rPr>
        <w:t>ODOD</w:t>
      </w:r>
      <w:r w:rsidRPr="00B8029E" w:rsidR="00B850B2">
        <w:rPr>
          <w:rFonts w:ascii="Times New Roman" w:hAnsi="Times New Roman" w:cs="Times New Roman"/>
          <w:iCs/>
          <w:sz w:val="24"/>
          <w:szCs w:val="24"/>
        </w:rPr>
        <w:t xml:space="preserve"> to calculate the USF rates for supporting the electric PIPP program based on utilities’ 2022 </w:t>
      </w:r>
      <w:r w:rsidRPr="00B8029E">
        <w:rPr>
          <w:rFonts w:ascii="Times New Roman" w:hAnsi="Times New Roman" w:cs="Times New Roman"/>
          <w:iCs/>
          <w:sz w:val="24"/>
          <w:szCs w:val="24"/>
        </w:rPr>
        <w:t>s</w:t>
      </w:r>
      <w:r w:rsidRPr="00B8029E" w:rsidR="00B850B2">
        <w:rPr>
          <w:rFonts w:ascii="Times New Roman" w:hAnsi="Times New Roman" w:cs="Times New Roman"/>
          <w:iCs/>
          <w:sz w:val="24"/>
          <w:szCs w:val="24"/>
        </w:rPr>
        <w:t xml:space="preserve">tandard </w:t>
      </w:r>
      <w:r w:rsidRPr="00B8029E">
        <w:rPr>
          <w:rFonts w:ascii="Times New Roman" w:hAnsi="Times New Roman" w:cs="Times New Roman"/>
          <w:iCs/>
          <w:sz w:val="24"/>
          <w:szCs w:val="24"/>
        </w:rPr>
        <w:t>s</w:t>
      </w:r>
      <w:r w:rsidRPr="00B8029E" w:rsidR="00B850B2">
        <w:rPr>
          <w:rFonts w:ascii="Times New Roman" w:hAnsi="Times New Roman" w:cs="Times New Roman"/>
          <w:iCs/>
          <w:sz w:val="24"/>
          <w:szCs w:val="24"/>
        </w:rPr>
        <w:t xml:space="preserve">ervice </w:t>
      </w:r>
      <w:r w:rsidRPr="00B8029E">
        <w:rPr>
          <w:rFonts w:ascii="Times New Roman" w:hAnsi="Times New Roman" w:cs="Times New Roman"/>
          <w:iCs/>
          <w:sz w:val="24"/>
          <w:szCs w:val="24"/>
        </w:rPr>
        <w:t>o</w:t>
      </w:r>
      <w:r w:rsidRPr="00B8029E" w:rsidR="00B850B2">
        <w:rPr>
          <w:rFonts w:ascii="Times New Roman" w:hAnsi="Times New Roman" w:cs="Times New Roman"/>
          <w:iCs/>
          <w:sz w:val="24"/>
          <w:szCs w:val="24"/>
        </w:rPr>
        <w:t xml:space="preserve">ffer rate and not the 2022 PIPP auction rate. Utilities should be required to make such adjustments through the USF to reflect lawful rates. This approach will protect consumers who are currently enrolled in PIPP </w:t>
      </w:r>
      <w:r w:rsidRPr="00B8029E" w:rsidR="00682769">
        <w:rPr>
          <w:rFonts w:ascii="Times New Roman" w:hAnsi="Times New Roman" w:cs="Times New Roman"/>
          <w:iCs/>
          <w:sz w:val="24"/>
          <w:szCs w:val="24"/>
        </w:rPr>
        <w:t>and PIPP enrollees in subsequent years</w:t>
      </w:r>
      <w:r w:rsidRPr="00B8029E" w:rsidR="00B850B2">
        <w:rPr>
          <w:rFonts w:ascii="Times New Roman" w:hAnsi="Times New Roman" w:cs="Times New Roman"/>
          <w:iCs/>
          <w:sz w:val="24"/>
          <w:szCs w:val="24"/>
        </w:rPr>
        <w:t xml:space="preserve">. It will also protect all consumers who pay the subsidy for the PIPP program consistent with R.C. 4928.542. </w:t>
      </w:r>
    </w:p>
    <w:p w:rsidR="00714F73" w:rsidRPr="00B8029E" w:rsidP="004B53D9" w14:paraId="0667153F" w14:textId="7B5DCC8E">
      <w:pPr>
        <w:spacing w:after="0" w:line="480" w:lineRule="auto"/>
        <w:ind w:left="2880" w:firstLine="720"/>
        <w:rPr>
          <w:rFonts w:ascii="Times New Roman" w:hAnsi="Times New Roman" w:cs="Times New Roman"/>
          <w:sz w:val="24"/>
          <w:szCs w:val="24"/>
        </w:rPr>
      </w:pPr>
      <w:r w:rsidRPr="00B8029E">
        <w:rPr>
          <w:rFonts w:ascii="Times New Roman" w:hAnsi="Times New Roman" w:cs="Times New Roman"/>
          <w:sz w:val="24"/>
          <w:szCs w:val="24"/>
        </w:rPr>
        <w:t>Respectfully submitted,</w:t>
      </w:r>
    </w:p>
    <w:p w:rsidR="00714F73" w:rsidRPr="00B8029E" w:rsidP="00714F73" w14:paraId="3BA6B614" w14:textId="77777777">
      <w:pPr>
        <w:pStyle w:val="Footer"/>
        <w:ind w:left="3600"/>
        <w:rPr>
          <w:rFonts w:ascii="Times New Roman" w:hAnsi="Times New Roman" w:cs="Times New Roman"/>
          <w:sz w:val="24"/>
          <w:szCs w:val="24"/>
        </w:rPr>
      </w:pPr>
      <w:r w:rsidRPr="00B8029E">
        <w:rPr>
          <w:rFonts w:ascii="Times New Roman" w:hAnsi="Times New Roman" w:cs="Times New Roman"/>
          <w:sz w:val="24"/>
          <w:szCs w:val="24"/>
        </w:rPr>
        <w:t>Bruce Weston (0016973)</w:t>
      </w:r>
    </w:p>
    <w:p w:rsidR="00714F73" w:rsidRPr="00B8029E" w:rsidP="00714F73" w14:paraId="05A3ECD8" w14:textId="77777777">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Ohio Consumers’ Counsel</w:t>
      </w:r>
    </w:p>
    <w:p w:rsidR="00714F73" w:rsidRPr="00B8029E" w:rsidP="00714F73" w14:paraId="7CC1CA32" w14:textId="77777777">
      <w:pPr>
        <w:tabs>
          <w:tab w:val="left" w:pos="4320"/>
        </w:tabs>
        <w:spacing w:after="0" w:line="240" w:lineRule="auto"/>
        <w:ind w:left="3600"/>
        <w:rPr>
          <w:rFonts w:ascii="Times New Roman" w:hAnsi="Times New Roman" w:cs="Times New Roman"/>
          <w:i/>
          <w:sz w:val="24"/>
          <w:szCs w:val="24"/>
          <w:u w:val="single"/>
        </w:rPr>
      </w:pPr>
    </w:p>
    <w:p w:rsidR="00714F73" w:rsidRPr="00B8029E" w:rsidP="00714F73" w14:paraId="3176D50E" w14:textId="77517246">
      <w:pPr>
        <w:spacing w:after="0" w:line="240" w:lineRule="auto"/>
        <w:ind w:left="3600"/>
        <w:rPr>
          <w:rFonts w:ascii="Times New Roman" w:hAnsi="Times New Roman" w:cs="Times New Roman"/>
          <w:bCs/>
          <w:i/>
          <w:iCs/>
          <w:sz w:val="24"/>
          <w:szCs w:val="24"/>
          <w:u w:val="single"/>
        </w:rPr>
      </w:pPr>
      <w:r w:rsidRPr="00B8029E">
        <w:rPr>
          <w:rFonts w:ascii="Times New Roman" w:hAnsi="Times New Roman" w:cs="Times New Roman"/>
          <w:bCs/>
          <w:i/>
          <w:iCs/>
          <w:sz w:val="24"/>
          <w:szCs w:val="24"/>
          <w:u w:val="single"/>
        </w:rPr>
        <w:t xml:space="preserve">/s/ </w:t>
      </w:r>
      <w:r w:rsidRPr="00B8029E" w:rsidR="00223875">
        <w:rPr>
          <w:rFonts w:ascii="Times New Roman" w:hAnsi="Times New Roman" w:cs="Times New Roman"/>
          <w:bCs/>
          <w:i/>
          <w:iCs/>
          <w:sz w:val="24"/>
          <w:szCs w:val="24"/>
          <w:u w:val="single"/>
        </w:rPr>
        <w:t>Amy Botschner O’Brien</w:t>
      </w:r>
    </w:p>
    <w:p w:rsidR="00714F73" w:rsidRPr="00B8029E" w:rsidP="00714F73" w14:paraId="36D83B59" w14:textId="2E6153EA">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Amy Botschner O’Brien</w:t>
      </w:r>
      <w:r w:rsidRPr="00B8029E" w:rsidR="00A01D6F">
        <w:rPr>
          <w:rFonts w:ascii="Times New Roman" w:hAnsi="Times New Roman" w:cs="Times New Roman"/>
          <w:sz w:val="24"/>
          <w:szCs w:val="24"/>
        </w:rPr>
        <w:t xml:space="preserve"> (007</w:t>
      </w:r>
      <w:r w:rsidRPr="00B8029E">
        <w:rPr>
          <w:rFonts w:ascii="Times New Roman" w:hAnsi="Times New Roman" w:cs="Times New Roman"/>
          <w:sz w:val="24"/>
          <w:szCs w:val="24"/>
        </w:rPr>
        <w:t>4423</w:t>
      </w:r>
      <w:r w:rsidRPr="00B8029E" w:rsidR="00A01D6F">
        <w:rPr>
          <w:rFonts w:ascii="Times New Roman" w:hAnsi="Times New Roman" w:cs="Times New Roman"/>
          <w:sz w:val="24"/>
          <w:szCs w:val="24"/>
        </w:rPr>
        <w:t>)</w:t>
      </w:r>
    </w:p>
    <w:p w:rsidR="00714F73" w:rsidRPr="00B8029E" w:rsidP="00714F73" w14:paraId="2069A731" w14:textId="77777777">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Counsel of Record</w:t>
      </w:r>
    </w:p>
    <w:p w:rsidR="00714F73" w:rsidRPr="00B8029E" w:rsidP="00714F73" w14:paraId="103FBED2" w14:textId="77777777">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Assistant Consumers’ Counsel</w:t>
      </w:r>
    </w:p>
    <w:p w:rsidR="00714F73" w:rsidRPr="00B8029E" w:rsidP="00714F73" w14:paraId="788844B8" w14:textId="77777777">
      <w:pPr>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ab/>
      </w:r>
    </w:p>
    <w:p w:rsidR="00714F73" w:rsidRPr="00B8029E" w:rsidP="00714F73" w14:paraId="1EC13D28" w14:textId="77777777">
      <w:pPr>
        <w:spacing w:after="0" w:line="240" w:lineRule="auto"/>
        <w:ind w:left="3600"/>
        <w:rPr>
          <w:rFonts w:ascii="Times New Roman" w:hAnsi="Times New Roman" w:cs="Times New Roman"/>
          <w:b/>
          <w:bCs/>
          <w:sz w:val="24"/>
          <w:szCs w:val="24"/>
        </w:rPr>
      </w:pPr>
      <w:r w:rsidRPr="00B8029E">
        <w:rPr>
          <w:rFonts w:ascii="Times New Roman" w:hAnsi="Times New Roman" w:cs="Times New Roman"/>
          <w:b/>
          <w:bCs/>
          <w:sz w:val="24"/>
          <w:szCs w:val="24"/>
        </w:rPr>
        <w:t>Office of the Ohio Consumers’ Counsel</w:t>
      </w:r>
    </w:p>
    <w:p w:rsidR="00714F73" w:rsidRPr="00B8029E" w:rsidP="00714F73" w14:paraId="7653FA2D" w14:textId="77777777">
      <w:pPr>
        <w:spacing w:after="0" w:line="240" w:lineRule="auto"/>
        <w:ind w:left="3600"/>
        <w:rPr>
          <w:rFonts w:ascii="Times New Roman" w:hAnsi="Times New Roman" w:cs="Times New Roman"/>
          <w:b/>
          <w:sz w:val="24"/>
          <w:szCs w:val="24"/>
        </w:rPr>
      </w:pPr>
      <w:r w:rsidRPr="00B8029E">
        <w:rPr>
          <w:rFonts w:ascii="Times New Roman" w:hAnsi="Times New Roman" w:cs="Times New Roman"/>
          <w:sz w:val="24"/>
          <w:szCs w:val="24"/>
        </w:rPr>
        <w:t>65 East State Street, Suite 700</w:t>
      </w:r>
    </w:p>
    <w:p w:rsidR="00714F73" w:rsidRPr="00B8029E" w:rsidP="00714F73" w14:paraId="0EB1779A" w14:textId="77777777">
      <w:pPr>
        <w:spacing w:after="0" w:line="240" w:lineRule="auto"/>
        <w:ind w:left="3600"/>
        <w:rPr>
          <w:rFonts w:ascii="Times New Roman" w:hAnsi="Times New Roman" w:cs="Times New Roman"/>
          <w:b/>
          <w:sz w:val="24"/>
          <w:szCs w:val="24"/>
        </w:rPr>
      </w:pPr>
      <w:r w:rsidRPr="00B8029E">
        <w:rPr>
          <w:rFonts w:ascii="Times New Roman" w:hAnsi="Times New Roman" w:cs="Times New Roman"/>
          <w:sz w:val="24"/>
          <w:szCs w:val="24"/>
        </w:rPr>
        <w:t>Columbus, Ohio 43215</w:t>
      </w:r>
    </w:p>
    <w:p w:rsidR="00714F73" w:rsidRPr="00B8029E" w:rsidP="00714F73" w14:paraId="49460E1C" w14:textId="5F0C420E">
      <w:pPr>
        <w:autoSpaceDE w:val="0"/>
        <w:autoSpaceDN w:val="0"/>
        <w:adjustRightInd w:val="0"/>
        <w:spacing w:after="0" w:line="240" w:lineRule="auto"/>
        <w:ind w:left="3600"/>
        <w:rPr>
          <w:rFonts w:ascii="Times New Roman" w:hAnsi="Times New Roman" w:cs="Times New Roman"/>
          <w:sz w:val="24"/>
          <w:szCs w:val="24"/>
        </w:rPr>
      </w:pPr>
      <w:r w:rsidRPr="00B8029E">
        <w:rPr>
          <w:rFonts w:ascii="Times New Roman" w:hAnsi="Times New Roman" w:cs="Times New Roman"/>
          <w:sz w:val="24"/>
          <w:szCs w:val="24"/>
        </w:rPr>
        <w:t>Telephone [</w:t>
      </w:r>
      <w:r w:rsidRPr="00B8029E" w:rsidR="00223875">
        <w:rPr>
          <w:rFonts w:ascii="Times New Roman" w:hAnsi="Times New Roman" w:cs="Times New Roman"/>
          <w:sz w:val="24"/>
          <w:szCs w:val="24"/>
        </w:rPr>
        <w:t>Botschner O’Brien</w:t>
      </w:r>
      <w:r w:rsidRPr="00B8029E">
        <w:rPr>
          <w:rFonts w:ascii="Times New Roman" w:hAnsi="Times New Roman" w:cs="Times New Roman"/>
          <w:sz w:val="24"/>
          <w:szCs w:val="24"/>
        </w:rPr>
        <w:t>]: (614) 466-</w:t>
      </w:r>
      <w:r w:rsidRPr="00B8029E" w:rsidR="00223875">
        <w:rPr>
          <w:rFonts w:ascii="Times New Roman" w:hAnsi="Times New Roman" w:cs="Times New Roman"/>
          <w:sz w:val="24"/>
          <w:szCs w:val="24"/>
        </w:rPr>
        <w:t>9575</w:t>
      </w:r>
    </w:p>
    <w:p w:rsidR="00714F73" w:rsidRPr="00B8029E" w:rsidP="004B53D9" w14:paraId="1F9826BC" w14:textId="6E4532D7">
      <w:pPr>
        <w:autoSpaceDE w:val="0"/>
        <w:autoSpaceDN w:val="0"/>
        <w:adjustRightInd w:val="0"/>
        <w:spacing w:after="0" w:line="240" w:lineRule="auto"/>
        <w:ind w:left="3600"/>
        <w:rPr>
          <w:rStyle w:val="Hyperlink"/>
          <w:rFonts w:ascii="Times New Roman" w:hAnsi="Times New Roman" w:cs="Times New Roman"/>
          <w:color w:val="auto"/>
          <w:sz w:val="24"/>
          <w:szCs w:val="24"/>
          <w:u w:val="none"/>
        </w:rPr>
      </w:pPr>
      <w:hyperlink r:id="rId10" w:history="1">
        <w:r w:rsidRPr="00B8029E" w:rsidR="009957F7">
          <w:rPr>
            <w:rStyle w:val="Hyperlink"/>
            <w:rFonts w:ascii="Times New Roman" w:hAnsi="Times New Roman" w:cs="Times New Roman"/>
            <w:sz w:val="24"/>
            <w:szCs w:val="24"/>
          </w:rPr>
          <w:t>amy.</w:t>
        </w:r>
      </w:hyperlink>
      <w:r w:rsidRPr="00B8029E" w:rsidR="005842CA">
        <w:rPr>
          <w:rStyle w:val="Hyperlink"/>
          <w:rFonts w:ascii="Times New Roman" w:hAnsi="Times New Roman" w:cs="Times New Roman"/>
          <w:sz w:val="24"/>
          <w:szCs w:val="24"/>
        </w:rPr>
        <w:t>botschner.obrien@occ.ohio.gov</w:t>
      </w:r>
    </w:p>
    <w:p w:rsidR="005F52FB" w:rsidRPr="00B8029E" w:rsidP="00714F73" w14:paraId="2B12B69E" w14:textId="689FEC0E">
      <w:pPr>
        <w:kinsoku w:val="0"/>
        <w:overflowPunct w:val="0"/>
        <w:autoSpaceDE w:val="0"/>
        <w:autoSpaceDN w:val="0"/>
        <w:adjustRightInd w:val="0"/>
        <w:spacing w:after="0" w:line="480" w:lineRule="auto"/>
        <w:ind w:left="2880" w:firstLine="720"/>
        <w:rPr>
          <w:rFonts w:ascii="Times New Roman" w:hAnsi="Times New Roman" w:cs="Times New Roman"/>
          <w:sz w:val="24"/>
          <w:szCs w:val="24"/>
        </w:rPr>
      </w:pPr>
      <w:r w:rsidRPr="00B8029E">
        <w:rPr>
          <w:rFonts w:ascii="Times New Roman" w:hAnsi="Times New Roman" w:cs="Times New Roman"/>
          <w:sz w:val="24"/>
          <w:szCs w:val="24"/>
        </w:rPr>
        <w:t>(willing to accept service by e-mail)</w:t>
      </w:r>
    </w:p>
    <w:p w:rsidR="005F52FB" w:rsidRPr="00B8029E" w14:paraId="5A2FB5AB" w14:textId="77777777">
      <w:pPr>
        <w:rPr>
          <w:rFonts w:ascii="Times New Roman" w:hAnsi="Times New Roman" w:cs="Times New Roman"/>
          <w:sz w:val="24"/>
          <w:szCs w:val="24"/>
        </w:rPr>
      </w:pPr>
      <w:r w:rsidRPr="00B8029E">
        <w:rPr>
          <w:rFonts w:ascii="Times New Roman" w:hAnsi="Times New Roman" w:cs="Times New Roman"/>
          <w:sz w:val="24"/>
          <w:szCs w:val="24"/>
        </w:rPr>
        <w:br w:type="page"/>
      </w:r>
    </w:p>
    <w:p w:rsidR="00527CB3" w:rsidRPr="00B8029E" w:rsidP="006225E6" w14:paraId="738E1EC6" w14:textId="77777777">
      <w:pPr>
        <w:spacing w:after="0" w:line="240" w:lineRule="auto"/>
        <w:jc w:val="center"/>
        <w:rPr>
          <w:rFonts w:ascii="Times New Roman" w:hAnsi="Times New Roman" w:cs="Times New Roman"/>
          <w:b/>
          <w:bCs/>
          <w:sz w:val="24"/>
          <w:szCs w:val="24"/>
          <w:u w:val="single"/>
        </w:rPr>
      </w:pPr>
      <w:r w:rsidRPr="00B8029E">
        <w:rPr>
          <w:rFonts w:ascii="Times New Roman" w:hAnsi="Times New Roman" w:cs="Times New Roman"/>
          <w:b/>
          <w:bCs/>
          <w:sz w:val="24"/>
          <w:szCs w:val="24"/>
          <w:u w:val="single"/>
        </w:rPr>
        <w:t>CERTIFICATE OF SERVICE</w:t>
      </w:r>
    </w:p>
    <w:p w:rsidR="006225E6" w:rsidRPr="00B8029E" w:rsidP="006225E6" w14:paraId="6C574E10" w14:textId="0C9C46F6">
      <w:pPr>
        <w:spacing w:line="480" w:lineRule="atLeast"/>
        <w:rPr>
          <w:rFonts w:ascii="Times New Roman" w:hAnsi="Times New Roman" w:cs="Times New Roman"/>
          <w:sz w:val="24"/>
          <w:szCs w:val="24"/>
        </w:rPr>
      </w:pPr>
      <w:r w:rsidRPr="00B8029E">
        <w:rPr>
          <w:rFonts w:ascii="Times New Roman" w:hAnsi="Times New Roman" w:cs="Times New Roman"/>
          <w:sz w:val="24"/>
          <w:szCs w:val="24"/>
        </w:rPr>
        <w:tab/>
        <w:t xml:space="preserve">I hereby certify that a copy of this </w:t>
      </w:r>
      <w:r w:rsidRPr="00B8029E">
        <w:rPr>
          <w:rFonts w:ascii="Times New Roman" w:hAnsi="Times New Roman" w:cs="Times New Roman"/>
          <w:iCs/>
          <w:sz w:val="24"/>
          <w:szCs w:val="24"/>
        </w:rPr>
        <w:t>Application for Rehearing</w:t>
      </w:r>
      <w:r w:rsidRPr="00B8029E">
        <w:rPr>
          <w:rFonts w:ascii="Times New Roman" w:hAnsi="Times New Roman" w:cs="Times New Roman"/>
          <w:sz w:val="24"/>
          <w:szCs w:val="24"/>
        </w:rPr>
        <w:t xml:space="preserve"> was served on the persons stated below</w:t>
      </w:r>
      <w:r w:rsidRPr="00B8029E">
        <w:rPr>
          <w:rFonts w:ascii="Times New Roman" w:hAnsi="Times New Roman" w:cs="Times New Roman"/>
          <w:iCs/>
          <w:sz w:val="24"/>
          <w:szCs w:val="24"/>
        </w:rPr>
        <w:t xml:space="preserve"> via </w:t>
      </w:r>
      <w:r w:rsidRPr="00B8029E">
        <w:rPr>
          <w:rFonts w:ascii="Times New Roman" w:hAnsi="Times New Roman" w:cs="Times New Roman"/>
          <w:sz w:val="24"/>
          <w:szCs w:val="24"/>
        </w:rPr>
        <w:t xml:space="preserve">electronic transmission, this </w:t>
      </w:r>
      <w:r w:rsidRPr="00B8029E" w:rsidR="00385288">
        <w:rPr>
          <w:rFonts w:ascii="Times New Roman" w:hAnsi="Times New Roman" w:cs="Times New Roman"/>
          <w:sz w:val="24"/>
          <w:szCs w:val="24"/>
        </w:rPr>
        <w:t>13</w:t>
      </w:r>
      <w:r w:rsidRPr="00B8029E" w:rsidR="00223875">
        <w:rPr>
          <w:rFonts w:ascii="Times New Roman" w:hAnsi="Times New Roman" w:cs="Times New Roman"/>
          <w:sz w:val="24"/>
          <w:szCs w:val="24"/>
          <w:vertAlign w:val="superscript"/>
        </w:rPr>
        <w:t>th</w:t>
      </w:r>
      <w:r w:rsidRPr="00B8029E" w:rsidR="00223875">
        <w:rPr>
          <w:rFonts w:ascii="Times New Roman" w:hAnsi="Times New Roman" w:cs="Times New Roman"/>
          <w:sz w:val="24"/>
          <w:szCs w:val="24"/>
        </w:rPr>
        <w:t xml:space="preserve"> </w:t>
      </w:r>
      <w:r w:rsidRPr="00B8029E">
        <w:rPr>
          <w:rFonts w:ascii="Times New Roman" w:hAnsi="Times New Roman" w:cs="Times New Roman"/>
          <w:sz w:val="24"/>
          <w:szCs w:val="24"/>
        </w:rPr>
        <w:t xml:space="preserve">day of </w:t>
      </w:r>
      <w:r w:rsidRPr="00B8029E" w:rsidR="00385288">
        <w:rPr>
          <w:rFonts w:ascii="Times New Roman" w:hAnsi="Times New Roman" w:cs="Times New Roman"/>
          <w:sz w:val="24"/>
          <w:szCs w:val="24"/>
        </w:rPr>
        <w:t>January</w:t>
      </w:r>
      <w:r w:rsidRPr="00B8029E" w:rsidR="00223875">
        <w:rPr>
          <w:rFonts w:ascii="Times New Roman" w:hAnsi="Times New Roman" w:cs="Times New Roman"/>
          <w:sz w:val="24"/>
          <w:szCs w:val="24"/>
        </w:rPr>
        <w:t xml:space="preserve"> </w:t>
      </w:r>
      <w:r w:rsidRPr="00B8029E">
        <w:rPr>
          <w:rFonts w:ascii="Times New Roman" w:hAnsi="Times New Roman" w:cs="Times New Roman"/>
          <w:sz w:val="24"/>
          <w:szCs w:val="24"/>
        </w:rPr>
        <w:t>202</w:t>
      </w:r>
      <w:r w:rsidRPr="00B8029E" w:rsidR="00385288">
        <w:rPr>
          <w:rFonts w:ascii="Times New Roman" w:hAnsi="Times New Roman" w:cs="Times New Roman"/>
          <w:sz w:val="24"/>
          <w:szCs w:val="24"/>
        </w:rPr>
        <w:t>3</w:t>
      </w:r>
      <w:r w:rsidRPr="00B8029E">
        <w:rPr>
          <w:rFonts w:ascii="Times New Roman" w:hAnsi="Times New Roman" w:cs="Times New Roman"/>
          <w:sz w:val="24"/>
          <w:szCs w:val="24"/>
        </w:rPr>
        <w:t>.</w:t>
      </w:r>
    </w:p>
    <w:p w:rsidR="006225E6" w:rsidRPr="00B8029E" w:rsidP="006225E6" w14:paraId="6C5AACA7" w14:textId="54F5A0AE">
      <w:pPr>
        <w:tabs>
          <w:tab w:val="left" w:pos="4320"/>
        </w:tabs>
        <w:spacing w:after="0" w:line="240" w:lineRule="auto"/>
        <w:rPr>
          <w:rFonts w:ascii="Times New Roman" w:hAnsi="Times New Roman" w:cs="Times New Roman"/>
          <w:i/>
          <w:iCs/>
          <w:sz w:val="24"/>
          <w:szCs w:val="24"/>
          <w:u w:val="single"/>
        </w:rPr>
      </w:pPr>
      <w:r w:rsidRPr="00B8029E">
        <w:rPr>
          <w:rFonts w:ascii="Times New Roman" w:hAnsi="Times New Roman" w:cs="Times New Roman"/>
          <w:sz w:val="24"/>
          <w:szCs w:val="24"/>
        </w:rPr>
        <w:tab/>
      </w:r>
      <w:r w:rsidRPr="00B8029E">
        <w:rPr>
          <w:rFonts w:ascii="Times New Roman" w:hAnsi="Times New Roman" w:cs="Times New Roman"/>
          <w:i/>
          <w:iCs/>
          <w:sz w:val="24"/>
          <w:szCs w:val="24"/>
          <w:u w:val="single"/>
        </w:rPr>
        <w:t xml:space="preserve">/s/ </w:t>
      </w:r>
      <w:r w:rsidRPr="00B8029E" w:rsidR="00223875">
        <w:rPr>
          <w:rFonts w:ascii="Times New Roman" w:hAnsi="Times New Roman" w:cs="Times New Roman"/>
          <w:i/>
          <w:iCs/>
          <w:sz w:val="24"/>
          <w:szCs w:val="24"/>
          <w:u w:val="single"/>
        </w:rPr>
        <w:t>Amy Botschner O’Brien</w:t>
      </w:r>
    </w:p>
    <w:p w:rsidR="006225E6" w:rsidRPr="00B8029E" w:rsidP="006225E6" w14:paraId="6D9E71C9" w14:textId="7B4703FE">
      <w:pPr>
        <w:tabs>
          <w:tab w:val="left" w:pos="4320"/>
        </w:tabs>
        <w:spacing w:after="0" w:line="240" w:lineRule="auto"/>
        <w:rPr>
          <w:rFonts w:ascii="Times New Roman" w:hAnsi="Times New Roman" w:cs="Times New Roman"/>
          <w:sz w:val="24"/>
          <w:szCs w:val="24"/>
        </w:rPr>
      </w:pPr>
      <w:r w:rsidRPr="00B8029E">
        <w:rPr>
          <w:rFonts w:ascii="Times New Roman" w:hAnsi="Times New Roman" w:cs="Times New Roman"/>
          <w:sz w:val="24"/>
          <w:szCs w:val="24"/>
        </w:rPr>
        <w:tab/>
      </w:r>
      <w:r w:rsidRPr="00B8029E" w:rsidR="00223875">
        <w:rPr>
          <w:rFonts w:ascii="Times New Roman" w:hAnsi="Times New Roman" w:cs="Times New Roman"/>
          <w:sz w:val="24"/>
          <w:szCs w:val="24"/>
        </w:rPr>
        <w:t>Amy Botschner O’Brien</w:t>
      </w:r>
    </w:p>
    <w:p w:rsidR="006225E6" w:rsidRPr="00B8029E" w:rsidP="006225E6" w14:paraId="7280143E" w14:textId="77777777">
      <w:pPr>
        <w:tabs>
          <w:tab w:val="left" w:pos="4320"/>
        </w:tabs>
        <w:spacing w:after="0" w:line="240" w:lineRule="auto"/>
        <w:rPr>
          <w:rFonts w:ascii="Times New Roman" w:hAnsi="Times New Roman" w:cs="Times New Roman"/>
          <w:sz w:val="24"/>
          <w:szCs w:val="24"/>
        </w:rPr>
      </w:pPr>
      <w:r w:rsidRPr="00B8029E">
        <w:rPr>
          <w:rFonts w:ascii="Times New Roman" w:hAnsi="Times New Roman" w:cs="Times New Roman"/>
          <w:sz w:val="24"/>
          <w:szCs w:val="24"/>
        </w:rPr>
        <w:tab/>
        <w:t>Assistant Consumers’ Counsel</w:t>
      </w:r>
    </w:p>
    <w:p w:rsidR="006225E6" w:rsidRPr="00B8029E" w:rsidP="006225E6" w14:paraId="369581D7" w14:textId="77777777">
      <w:pPr>
        <w:tabs>
          <w:tab w:val="left" w:pos="4320"/>
        </w:tabs>
        <w:spacing w:after="0" w:line="240" w:lineRule="auto"/>
        <w:rPr>
          <w:rFonts w:ascii="Times New Roman" w:hAnsi="Times New Roman" w:cs="Times New Roman"/>
          <w:sz w:val="24"/>
          <w:szCs w:val="24"/>
        </w:rPr>
      </w:pPr>
    </w:p>
    <w:p w:rsidR="006225E6" w:rsidRPr="00B8029E" w:rsidP="006225E6" w14:paraId="20A2DD90" w14:textId="77777777">
      <w:pPr>
        <w:rPr>
          <w:rFonts w:ascii="Times New Roman" w:hAnsi="Times New Roman" w:cs="Times New Roman"/>
          <w:sz w:val="24"/>
          <w:szCs w:val="24"/>
        </w:rPr>
      </w:pPr>
      <w:r w:rsidRPr="00B8029E">
        <w:rPr>
          <w:rFonts w:ascii="Times New Roman" w:hAnsi="Times New Roman" w:cs="Times New Roman"/>
          <w:sz w:val="24"/>
          <w:szCs w:val="24"/>
        </w:rPr>
        <w:t>The PUCO’s e-filing system will electronically serve notice of the filing of this document on the following parties:</w:t>
      </w:r>
    </w:p>
    <w:p w:rsidR="006225E6" w:rsidRPr="00B8029E" w:rsidP="006225E6" w14:paraId="231AA997" w14:textId="77777777">
      <w:pPr>
        <w:pStyle w:val="CommentText"/>
        <w:spacing w:after="0"/>
        <w:jc w:val="center"/>
        <w:rPr>
          <w:rFonts w:ascii="Times New Roman" w:hAnsi="Times New Roman" w:cs="Times New Roman"/>
          <w:b/>
          <w:sz w:val="24"/>
          <w:szCs w:val="24"/>
          <w:u w:val="single"/>
        </w:rPr>
      </w:pPr>
      <w:bookmarkStart w:id="16" w:name="_Hlk89680211"/>
      <w:r w:rsidRPr="00B8029E">
        <w:rPr>
          <w:rFonts w:ascii="Times New Roman" w:hAnsi="Times New Roman" w:cs="Times New Roman"/>
          <w:b/>
          <w:sz w:val="24"/>
          <w:szCs w:val="24"/>
          <w:u w:val="single"/>
        </w:rPr>
        <w:t>SERVICE LIST</w:t>
      </w:r>
    </w:p>
    <w:p w:rsidR="006225E6" w:rsidRPr="00B8029E" w:rsidP="006225E6" w14:paraId="50E8DC3F" w14:textId="77777777">
      <w:pPr>
        <w:pStyle w:val="CommentText"/>
        <w:spacing w:after="0"/>
        <w:jc w:val="center"/>
        <w:rPr>
          <w:rFonts w:ascii="Times New Roman" w:hAnsi="Times New Roman" w:cs="Times New Roman"/>
          <w:b/>
          <w:sz w:val="24"/>
          <w:szCs w:val="24"/>
          <w:u w:val="single"/>
        </w:rPr>
      </w:pPr>
    </w:p>
    <w:tbl>
      <w:tblPr>
        <w:tblW w:w="0" w:type="auto"/>
        <w:tblLook w:val="04A0"/>
      </w:tblPr>
      <w:tblGrid>
        <w:gridCol w:w="4336"/>
        <w:gridCol w:w="4304"/>
      </w:tblGrid>
      <w:tr w14:paraId="6BBCBEE6" w14:textId="77777777" w:rsidTr="00767D92">
        <w:tblPrEx>
          <w:tblW w:w="0" w:type="auto"/>
          <w:tblLook w:val="04A0"/>
        </w:tblPrEx>
        <w:tc>
          <w:tcPr>
            <w:tcW w:w="4428" w:type="dxa"/>
            <w:shd w:val="clear" w:color="auto" w:fill="auto"/>
          </w:tcPr>
          <w:bookmarkEnd w:id="16"/>
          <w:p w:rsidR="000212CC" w:rsidRPr="00B8029E" w:rsidP="000212CC" w14:paraId="39183AD2" w14:textId="77777777">
            <w:pPr>
              <w:spacing w:after="0" w:line="240" w:lineRule="auto"/>
              <w:rPr>
                <w:rFonts w:ascii="Times New Roman" w:eastAsia="Times New Roman" w:hAnsi="Times New Roman" w:cs="Times New Roman"/>
                <w:sz w:val="24"/>
                <w:szCs w:val="24"/>
              </w:rPr>
            </w:pPr>
            <w:hyperlink r:id="rId11" w:history="1">
              <w:r w:rsidRPr="00B8029E">
                <w:rPr>
                  <w:rFonts w:ascii="Times New Roman" w:eastAsia="Times New Roman" w:hAnsi="Times New Roman" w:cs="Times New Roman"/>
                  <w:color w:val="0000FF"/>
                  <w:sz w:val="24"/>
                  <w:szCs w:val="24"/>
                  <w:u w:val="single"/>
                </w:rPr>
                <w:t>sarah.feldkamp@ohioAGO.gov</w:t>
              </w:r>
            </w:hyperlink>
          </w:p>
          <w:p w:rsidR="000212CC" w:rsidRPr="00B8029E" w:rsidP="000212CC" w14:paraId="719549D3" w14:textId="77777777">
            <w:pPr>
              <w:spacing w:after="0" w:line="240" w:lineRule="auto"/>
              <w:rPr>
                <w:rFonts w:ascii="Times New Roman" w:eastAsia="Times New Roman" w:hAnsi="Times New Roman" w:cs="Times New Roman"/>
                <w:sz w:val="24"/>
                <w:szCs w:val="24"/>
              </w:rPr>
            </w:pPr>
            <w:hyperlink r:id="rId12" w:history="1">
              <w:r w:rsidRPr="00B8029E">
                <w:rPr>
                  <w:rFonts w:ascii="Times New Roman" w:eastAsia="Times New Roman" w:hAnsi="Times New Roman" w:cs="Times New Roman"/>
                  <w:color w:val="0000FF"/>
                  <w:sz w:val="24"/>
                  <w:szCs w:val="24"/>
                  <w:u w:val="single"/>
                </w:rPr>
                <w:t>steven.beeler@ohioAGO.gov</w:t>
              </w:r>
            </w:hyperlink>
          </w:p>
          <w:p w:rsidR="000212CC" w:rsidRPr="00B8029E" w:rsidP="000212CC" w14:paraId="073E250F"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2" w:history="1">
              <w:r w:rsidRPr="00B8029E">
                <w:rPr>
                  <w:rFonts w:ascii="Times New Roman" w:eastAsia="Times New Roman" w:hAnsi="Times New Roman" w:cs="Times New Roman"/>
                  <w:color w:val="0000FF"/>
                  <w:sz w:val="24"/>
                  <w:szCs w:val="24"/>
                  <w:u w:val="single"/>
                </w:rPr>
                <w:t>mkurtz@BKLlawfirm.com</w:t>
              </w:r>
            </w:hyperlink>
          </w:p>
          <w:p w:rsidR="000212CC" w:rsidRPr="00B8029E" w:rsidP="000212CC" w14:paraId="7620583C"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2" w:history="1">
              <w:r w:rsidRPr="00B8029E">
                <w:rPr>
                  <w:rFonts w:ascii="Times New Roman" w:eastAsia="Times New Roman" w:hAnsi="Times New Roman" w:cs="Times New Roman"/>
                  <w:color w:val="0000FF"/>
                  <w:sz w:val="24"/>
                  <w:szCs w:val="24"/>
                  <w:u w:val="single"/>
                </w:rPr>
                <w:t>kboehm@BKLlawfirm.com</w:t>
              </w:r>
            </w:hyperlink>
          </w:p>
          <w:p w:rsidR="000212CC" w:rsidRPr="00B8029E" w:rsidP="000212CC" w14:paraId="51E5E0F2" w14:textId="77777777">
            <w:pPr>
              <w:spacing w:after="0" w:line="240" w:lineRule="auto"/>
              <w:rPr>
                <w:rFonts w:ascii="Times New Roman" w:eastAsia="Times New Roman" w:hAnsi="Times New Roman" w:cs="Times New Roman"/>
                <w:color w:val="0000FF"/>
                <w:sz w:val="24"/>
                <w:szCs w:val="24"/>
                <w:u w:val="single"/>
              </w:rPr>
            </w:pPr>
            <w:hyperlink r:id="rId12" w:history="1">
              <w:r w:rsidRPr="00B8029E">
                <w:rPr>
                  <w:rFonts w:ascii="Times New Roman" w:eastAsia="Times New Roman" w:hAnsi="Times New Roman" w:cs="Times New Roman"/>
                  <w:color w:val="0000FF"/>
                  <w:sz w:val="24"/>
                  <w:szCs w:val="24"/>
                  <w:u w:val="single"/>
                </w:rPr>
                <w:t>jkylercohn@BKLlawfirm.com</w:t>
              </w:r>
            </w:hyperlink>
          </w:p>
          <w:p w:rsidR="000212CC" w:rsidRPr="00B8029E" w:rsidP="000212CC" w14:paraId="7AF37429" w14:textId="77777777">
            <w:pPr>
              <w:spacing w:after="0" w:line="240" w:lineRule="auto"/>
              <w:rPr>
                <w:rFonts w:ascii="Times New Roman" w:eastAsia="Times New Roman" w:hAnsi="Times New Roman" w:cs="Times New Roman"/>
                <w:color w:val="0000FF"/>
                <w:sz w:val="24"/>
                <w:szCs w:val="24"/>
              </w:rPr>
            </w:pPr>
            <w:hyperlink r:id="rId13" w:history="1">
              <w:r w:rsidRPr="00B8029E">
                <w:rPr>
                  <w:rFonts w:ascii="Times New Roman" w:eastAsia="Times New Roman" w:hAnsi="Times New Roman" w:cs="Times New Roman"/>
                  <w:color w:val="0000FF"/>
                  <w:sz w:val="24"/>
                  <w:szCs w:val="24"/>
                  <w:u w:val="single"/>
                </w:rPr>
                <w:t>christopher.hollon@aes.com</w:t>
              </w:r>
            </w:hyperlink>
          </w:p>
          <w:p w:rsidR="000212CC" w:rsidRPr="00B8029E" w:rsidP="000212CC" w14:paraId="68BC3756" w14:textId="77777777">
            <w:pPr>
              <w:spacing w:after="0" w:line="240" w:lineRule="auto"/>
              <w:rPr>
                <w:rFonts w:ascii="Times New Roman" w:eastAsia="Times New Roman" w:hAnsi="Times New Roman" w:cs="Times New Roman"/>
                <w:color w:val="0000FF"/>
                <w:sz w:val="24"/>
                <w:szCs w:val="24"/>
              </w:rPr>
            </w:pPr>
            <w:hyperlink r:id="rId14" w:history="1">
              <w:r w:rsidRPr="00B8029E">
                <w:rPr>
                  <w:rFonts w:ascii="Times New Roman" w:eastAsia="Times New Roman" w:hAnsi="Times New Roman" w:cs="Times New Roman"/>
                  <w:color w:val="0000FF"/>
                  <w:sz w:val="24"/>
                  <w:szCs w:val="24"/>
                  <w:u w:val="single"/>
                </w:rPr>
                <w:t>mjschuler@aep.com</w:t>
              </w:r>
            </w:hyperlink>
          </w:p>
          <w:p w:rsidR="000212CC" w:rsidRPr="00B8029E" w:rsidP="000212CC" w14:paraId="17A3D48F" w14:textId="77777777">
            <w:pPr>
              <w:spacing w:after="0" w:line="240" w:lineRule="auto"/>
              <w:rPr>
                <w:rFonts w:ascii="Times New Roman" w:eastAsia="Times New Roman" w:hAnsi="Times New Roman" w:cs="Times New Roman"/>
                <w:color w:val="0000FF"/>
                <w:sz w:val="24"/>
                <w:szCs w:val="24"/>
              </w:rPr>
            </w:pPr>
          </w:p>
          <w:p w:rsidR="000212CC" w:rsidRPr="00B8029E" w:rsidP="000212CC" w14:paraId="031E1E29" w14:textId="77777777">
            <w:pPr>
              <w:spacing w:after="0" w:line="240" w:lineRule="auto"/>
              <w:rPr>
                <w:rFonts w:ascii="Times New Roman" w:eastAsia="Times New Roman" w:hAnsi="Times New Roman" w:cs="Times New Roman"/>
                <w:sz w:val="24"/>
                <w:szCs w:val="24"/>
              </w:rPr>
            </w:pPr>
            <w:r w:rsidRPr="00B8029E">
              <w:rPr>
                <w:rFonts w:ascii="Times New Roman" w:eastAsia="Times New Roman" w:hAnsi="Times New Roman" w:cs="Times New Roman"/>
                <w:sz w:val="24"/>
                <w:szCs w:val="24"/>
              </w:rPr>
              <w:t>Attorney Examiners:</w:t>
            </w:r>
          </w:p>
          <w:p w:rsidR="000212CC" w:rsidRPr="00B8029E" w:rsidP="000212CC" w14:paraId="3577C4D1" w14:textId="77777777">
            <w:pPr>
              <w:spacing w:after="0" w:line="240" w:lineRule="auto"/>
              <w:rPr>
                <w:rFonts w:ascii="Times New Roman" w:eastAsia="Times New Roman" w:hAnsi="Times New Roman" w:cs="Times New Roman"/>
                <w:color w:val="0000FF"/>
                <w:sz w:val="24"/>
                <w:szCs w:val="24"/>
                <w:u w:val="single"/>
              </w:rPr>
            </w:pPr>
            <w:hyperlink r:id="rId15" w:history="1">
              <w:r w:rsidRPr="00B8029E">
                <w:rPr>
                  <w:rFonts w:ascii="Times New Roman" w:eastAsia="Times New Roman" w:hAnsi="Times New Roman" w:cs="Times New Roman"/>
                  <w:color w:val="0000FF"/>
                  <w:sz w:val="24"/>
                  <w:szCs w:val="24"/>
                  <w:u w:val="single"/>
                </w:rPr>
                <w:t>greta.see@puco.ohio.gov</w:t>
              </w:r>
            </w:hyperlink>
          </w:p>
          <w:p w:rsidR="000212CC" w:rsidRPr="00B8029E" w:rsidP="000212CC" w14:paraId="4EC64910" w14:textId="77777777">
            <w:pPr>
              <w:spacing w:after="0" w:line="240" w:lineRule="auto"/>
              <w:rPr>
                <w:rFonts w:ascii="Times New Roman" w:eastAsia="Times New Roman" w:hAnsi="Times New Roman" w:cs="Times New Roman"/>
                <w:color w:val="0000FF"/>
                <w:sz w:val="24"/>
                <w:szCs w:val="24"/>
              </w:rPr>
            </w:pPr>
            <w:hyperlink r:id="rId16" w:history="1">
              <w:r w:rsidRPr="00B8029E">
                <w:rPr>
                  <w:rFonts w:ascii="Times New Roman" w:eastAsia="Times New Roman" w:hAnsi="Times New Roman" w:cs="Times New Roman"/>
                  <w:color w:val="0000FF"/>
                  <w:sz w:val="24"/>
                  <w:szCs w:val="24"/>
                  <w:u w:val="single"/>
                </w:rPr>
                <w:t>isabel.marcelletti@puco.ohio.gov</w:t>
              </w:r>
            </w:hyperlink>
          </w:p>
          <w:p w:rsidR="000212CC" w:rsidRPr="00B8029E" w:rsidP="000212CC" w14:paraId="27EDD211" w14:textId="77777777">
            <w:pPr>
              <w:spacing w:after="0" w:line="240" w:lineRule="auto"/>
              <w:rPr>
                <w:rFonts w:ascii="Times New Roman" w:eastAsia="Times New Roman" w:hAnsi="Times New Roman" w:cs="Times New Roman"/>
                <w:color w:val="0000FF"/>
                <w:sz w:val="24"/>
                <w:szCs w:val="24"/>
              </w:rPr>
            </w:pPr>
          </w:p>
          <w:p w:rsidR="000212CC" w:rsidRPr="00B8029E" w:rsidP="000212CC" w14:paraId="69A09530" w14:textId="77777777">
            <w:pPr>
              <w:spacing w:after="0" w:line="240" w:lineRule="auto"/>
              <w:rPr>
                <w:rFonts w:ascii="Times New Roman" w:eastAsia="Times New Roman" w:hAnsi="Times New Roman" w:cs="Times New Roman"/>
                <w:sz w:val="24"/>
                <w:szCs w:val="24"/>
              </w:rPr>
            </w:pPr>
          </w:p>
        </w:tc>
        <w:tc>
          <w:tcPr>
            <w:tcW w:w="4428" w:type="dxa"/>
            <w:shd w:val="clear" w:color="auto" w:fill="auto"/>
          </w:tcPr>
          <w:p w:rsidR="000212CC" w:rsidRPr="00B8029E" w:rsidP="000212CC" w14:paraId="5088496C" w14:textId="77777777">
            <w:pPr>
              <w:spacing w:after="0" w:line="240" w:lineRule="auto"/>
              <w:ind w:left="502"/>
              <w:rPr>
                <w:rFonts w:ascii="Times New Roman" w:eastAsia="Times New Roman" w:hAnsi="Times New Roman" w:cs="Times New Roman"/>
                <w:color w:val="0000FF"/>
                <w:sz w:val="24"/>
                <w:szCs w:val="24"/>
                <w:u w:val="single"/>
              </w:rPr>
            </w:pPr>
            <w:hyperlink r:id="rId12" w:history="1">
              <w:r w:rsidRPr="00B8029E">
                <w:rPr>
                  <w:rFonts w:ascii="Times New Roman" w:eastAsia="Times New Roman" w:hAnsi="Times New Roman" w:cs="Times New Roman"/>
                  <w:color w:val="0000FF"/>
                  <w:sz w:val="24"/>
                  <w:szCs w:val="24"/>
                  <w:u w:val="single"/>
                </w:rPr>
                <w:t>dstinson@bricker.com</w:t>
              </w:r>
            </w:hyperlink>
          </w:p>
          <w:p w:rsidR="000212CC" w:rsidRPr="00B8029E" w:rsidP="000212CC" w14:paraId="17759F29" w14:textId="77777777">
            <w:pPr>
              <w:spacing w:after="0" w:line="240" w:lineRule="auto"/>
              <w:ind w:left="502"/>
              <w:rPr>
                <w:rFonts w:ascii="Times New Roman" w:eastAsia="Times New Roman" w:hAnsi="Times New Roman" w:cs="Times New Roman"/>
                <w:sz w:val="24"/>
                <w:szCs w:val="24"/>
              </w:rPr>
            </w:pPr>
            <w:hyperlink r:id="rId17" w:history="1">
              <w:r w:rsidRPr="00B8029E">
                <w:rPr>
                  <w:rFonts w:ascii="Times New Roman" w:eastAsia="Times New Roman" w:hAnsi="Times New Roman" w:cs="Times New Roman"/>
                  <w:color w:val="0000FF"/>
                  <w:sz w:val="24"/>
                  <w:szCs w:val="24"/>
                  <w:u w:val="single"/>
                </w:rPr>
                <w:t>dproano@bakerlaw.com</w:t>
              </w:r>
            </w:hyperlink>
          </w:p>
          <w:p w:rsidR="000212CC" w:rsidRPr="00B8029E" w:rsidP="000212CC" w14:paraId="1667A317" w14:textId="77777777">
            <w:pPr>
              <w:spacing w:after="0" w:line="240" w:lineRule="auto"/>
              <w:ind w:left="502"/>
              <w:rPr>
                <w:rFonts w:ascii="Times New Roman" w:eastAsia="Times New Roman" w:hAnsi="Times New Roman" w:cs="Times New Roman"/>
                <w:sz w:val="24"/>
                <w:szCs w:val="24"/>
              </w:rPr>
            </w:pPr>
            <w:hyperlink r:id="rId18" w:history="1">
              <w:r w:rsidRPr="00B8029E">
                <w:rPr>
                  <w:rFonts w:ascii="Times New Roman" w:eastAsia="Times New Roman" w:hAnsi="Times New Roman" w:cs="Times New Roman"/>
                  <w:color w:val="0000FF"/>
                  <w:sz w:val="24"/>
                  <w:szCs w:val="24"/>
                  <w:u w:val="single"/>
                </w:rPr>
                <w:t>ahaque@bakerlaw.com</w:t>
              </w:r>
            </w:hyperlink>
          </w:p>
          <w:p w:rsidR="000212CC" w:rsidRPr="00B8029E" w:rsidP="000212CC" w14:paraId="20E86FDD" w14:textId="77777777">
            <w:pPr>
              <w:spacing w:after="0" w:line="240" w:lineRule="auto"/>
              <w:ind w:left="502"/>
              <w:rPr>
                <w:rFonts w:ascii="Times New Roman" w:eastAsia="Times New Roman" w:hAnsi="Times New Roman" w:cs="Times New Roman"/>
                <w:sz w:val="24"/>
                <w:szCs w:val="24"/>
              </w:rPr>
            </w:pPr>
            <w:hyperlink r:id="rId19" w:history="1">
              <w:r w:rsidRPr="00B8029E">
                <w:rPr>
                  <w:rFonts w:ascii="Times New Roman" w:eastAsia="Times New Roman" w:hAnsi="Times New Roman" w:cs="Times New Roman"/>
                  <w:color w:val="0000FF"/>
                  <w:sz w:val="24"/>
                  <w:szCs w:val="24"/>
                  <w:u w:val="single"/>
                </w:rPr>
                <w:t>eprouty@bakerlaw.com</w:t>
              </w:r>
            </w:hyperlink>
          </w:p>
          <w:p w:rsidR="000212CC" w:rsidRPr="00B8029E" w:rsidP="000212CC" w14:paraId="10184835" w14:textId="77777777">
            <w:pPr>
              <w:spacing w:after="0" w:line="240" w:lineRule="auto"/>
              <w:ind w:left="535"/>
              <w:rPr>
                <w:rFonts w:ascii="Times New Roman" w:eastAsia="Times New Roman" w:hAnsi="Times New Roman" w:cs="Times New Roman"/>
                <w:sz w:val="24"/>
                <w:szCs w:val="24"/>
              </w:rPr>
            </w:pPr>
            <w:hyperlink r:id="rId20" w:history="1">
              <w:r w:rsidRPr="00B8029E">
                <w:rPr>
                  <w:rFonts w:ascii="Times New Roman" w:eastAsia="Times New Roman" w:hAnsi="Times New Roman" w:cs="Times New Roman"/>
                  <w:color w:val="0000FF"/>
                  <w:sz w:val="24"/>
                  <w:szCs w:val="24"/>
                  <w:u w:val="single"/>
                </w:rPr>
                <w:t>rocco.dascenzo@duke-energy.com</w:t>
              </w:r>
            </w:hyperlink>
          </w:p>
          <w:p w:rsidR="000212CC" w:rsidRPr="00B8029E" w:rsidP="000212CC" w14:paraId="0E96C158" w14:textId="77777777">
            <w:pPr>
              <w:spacing w:after="0" w:line="240" w:lineRule="auto"/>
              <w:ind w:left="535"/>
              <w:rPr>
                <w:rFonts w:ascii="Times New Roman" w:eastAsia="Times New Roman" w:hAnsi="Times New Roman" w:cs="Times New Roman"/>
                <w:sz w:val="24"/>
                <w:szCs w:val="24"/>
              </w:rPr>
            </w:pPr>
            <w:hyperlink r:id="rId21" w:history="1">
              <w:r w:rsidRPr="00B8029E">
                <w:rPr>
                  <w:rFonts w:ascii="Times New Roman" w:eastAsia="Times New Roman" w:hAnsi="Times New Roman" w:cs="Times New Roman"/>
                  <w:color w:val="0000FF"/>
                  <w:sz w:val="24"/>
                  <w:szCs w:val="24"/>
                  <w:u w:val="single"/>
                </w:rPr>
                <w:t>jeanne.kingery@duke-energy.com</w:t>
              </w:r>
            </w:hyperlink>
          </w:p>
          <w:p w:rsidR="000212CC" w:rsidRPr="00B8029E" w:rsidP="000212CC" w14:paraId="48840743" w14:textId="77777777">
            <w:pPr>
              <w:spacing w:after="0" w:line="240" w:lineRule="auto"/>
              <w:ind w:left="535"/>
              <w:rPr>
                <w:rFonts w:ascii="Times New Roman" w:eastAsia="Times New Roman" w:hAnsi="Times New Roman" w:cs="Times New Roman"/>
                <w:sz w:val="24"/>
                <w:szCs w:val="24"/>
              </w:rPr>
            </w:pPr>
            <w:hyperlink r:id="rId22" w:history="1">
              <w:r w:rsidRPr="00B8029E">
                <w:rPr>
                  <w:rFonts w:ascii="Times New Roman" w:eastAsia="Times New Roman" w:hAnsi="Times New Roman" w:cs="Times New Roman"/>
                  <w:color w:val="0000FF"/>
                  <w:sz w:val="24"/>
                  <w:szCs w:val="24"/>
                  <w:u w:val="single"/>
                </w:rPr>
                <w:t>larisa.vaysman@duke-energy.com</w:t>
              </w:r>
            </w:hyperlink>
          </w:p>
          <w:p w:rsidR="000212CC" w:rsidRPr="00B8029E" w:rsidP="000212CC" w14:paraId="0C177B52" w14:textId="77777777">
            <w:pPr>
              <w:spacing w:after="0" w:line="240" w:lineRule="auto"/>
              <w:ind w:left="535"/>
              <w:rPr>
                <w:rFonts w:ascii="Times New Roman" w:eastAsia="Times New Roman" w:hAnsi="Times New Roman" w:cs="Times New Roman"/>
                <w:sz w:val="24"/>
                <w:szCs w:val="24"/>
              </w:rPr>
            </w:pPr>
            <w:hyperlink r:id="rId23" w:history="1">
              <w:r w:rsidRPr="00B8029E">
                <w:rPr>
                  <w:rFonts w:ascii="Times New Roman" w:eastAsia="Times New Roman" w:hAnsi="Times New Roman" w:cs="Times New Roman"/>
                  <w:color w:val="0000FF"/>
                  <w:sz w:val="24"/>
                  <w:szCs w:val="24"/>
                  <w:u w:val="single"/>
                </w:rPr>
                <w:t>elyse.akhbari@duke-energy.com</w:t>
              </w:r>
            </w:hyperlink>
          </w:p>
          <w:p w:rsidR="000212CC" w:rsidRPr="00B8029E" w:rsidP="000212CC" w14:paraId="7BE2B46E" w14:textId="77777777">
            <w:pPr>
              <w:spacing w:after="0" w:line="240" w:lineRule="auto"/>
              <w:ind w:left="535"/>
              <w:rPr>
                <w:rFonts w:ascii="Times New Roman" w:eastAsia="Times New Roman" w:hAnsi="Times New Roman" w:cs="Times New Roman"/>
                <w:sz w:val="24"/>
                <w:szCs w:val="24"/>
              </w:rPr>
            </w:pPr>
            <w:hyperlink r:id="rId24" w:history="1">
              <w:r w:rsidRPr="00B8029E">
                <w:rPr>
                  <w:rFonts w:ascii="Times New Roman" w:eastAsia="Times New Roman" w:hAnsi="Times New Roman" w:cs="Times New Roman"/>
                  <w:color w:val="0000FF"/>
                  <w:sz w:val="24"/>
                  <w:szCs w:val="24"/>
                  <w:u w:val="single"/>
                </w:rPr>
                <w:t>jbreig@beneschlaw.com</w:t>
              </w:r>
            </w:hyperlink>
          </w:p>
          <w:p w:rsidR="000212CC" w:rsidRPr="00B8029E" w:rsidP="000212CC" w14:paraId="4330D047" w14:textId="77777777">
            <w:pPr>
              <w:spacing w:after="0" w:line="240" w:lineRule="auto"/>
              <w:ind w:left="535"/>
              <w:rPr>
                <w:rFonts w:ascii="Times New Roman" w:eastAsia="Times New Roman" w:hAnsi="Times New Roman" w:cs="Times New Roman"/>
                <w:sz w:val="24"/>
                <w:szCs w:val="24"/>
              </w:rPr>
            </w:pPr>
          </w:p>
          <w:p w:rsidR="000212CC" w:rsidRPr="00B8029E" w:rsidP="000212CC" w14:paraId="42B3186C" w14:textId="77777777">
            <w:pPr>
              <w:spacing w:after="0" w:line="240" w:lineRule="auto"/>
              <w:ind w:left="535"/>
              <w:rPr>
                <w:rFonts w:ascii="Times New Roman" w:eastAsia="Times New Roman" w:hAnsi="Times New Roman" w:cs="Times New Roman"/>
                <w:sz w:val="24"/>
                <w:szCs w:val="24"/>
              </w:rPr>
            </w:pPr>
          </w:p>
        </w:tc>
      </w:tr>
    </w:tbl>
    <w:p w:rsidR="00D713F9" w:rsidRPr="00B8029E" w:rsidP="006225E6" w14:paraId="0A9E69BC" w14:textId="578D4730">
      <w:pPr>
        <w:spacing w:line="480" w:lineRule="atLeast"/>
        <w:rPr>
          <w:rFonts w:ascii="Times New Roman" w:hAnsi="Times New Roman" w:cs="Times New Roman"/>
          <w:b/>
          <w:sz w:val="24"/>
          <w:szCs w:val="24"/>
          <w:u w:val="single"/>
        </w:rPr>
      </w:pPr>
    </w:p>
    <w:p w:rsidR="0069795B" w:rsidRPr="00B8029E" w:rsidP="0069795B" w14:paraId="61F0D2AE" w14:textId="6ECF39AB">
      <w:pPr>
        <w:tabs>
          <w:tab w:val="left" w:pos="4986"/>
        </w:tabs>
        <w:rPr>
          <w:rFonts w:ascii="Times New Roman" w:hAnsi="Times New Roman" w:cs="Times New Roman"/>
          <w:sz w:val="24"/>
          <w:szCs w:val="24"/>
        </w:rPr>
      </w:pPr>
      <w:r w:rsidRPr="00B8029E">
        <w:rPr>
          <w:rFonts w:ascii="Times New Roman" w:hAnsi="Times New Roman" w:cs="Times New Roman"/>
          <w:sz w:val="24"/>
          <w:szCs w:val="24"/>
        </w:rPr>
        <w:tab/>
      </w:r>
    </w:p>
    <w:sectPr w:rsidSect="009D4E1D">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0242749"/>
      <w:docPartObj>
        <w:docPartGallery w:val="Page Numbers (Bottom of Page)"/>
        <w:docPartUnique/>
      </w:docPartObj>
    </w:sdtPr>
    <w:sdtEndPr>
      <w:rPr>
        <w:rFonts w:ascii="Times New Roman" w:hAnsi="Times New Roman" w:cs="Times New Roman"/>
        <w:noProof/>
        <w:sz w:val="24"/>
        <w:szCs w:val="24"/>
      </w:rPr>
    </w:sdtEndPr>
    <w:sdtContent>
      <w:p w:rsidR="009D6F53" w:rsidRPr="00AC1A13" w14:paraId="1E0C2832" w14:textId="77777777">
        <w:pPr>
          <w:pStyle w:val="Footer"/>
          <w:jc w:val="center"/>
          <w:rPr>
            <w:rFonts w:ascii="Times New Roman" w:hAnsi="Times New Roman" w:cs="Times New Roman"/>
            <w:sz w:val="24"/>
            <w:szCs w:val="24"/>
          </w:rPr>
        </w:pPr>
        <w:r w:rsidRPr="00AC1A13">
          <w:rPr>
            <w:rFonts w:ascii="Times New Roman" w:hAnsi="Times New Roman" w:cs="Times New Roman"/>
            <w:sz w:val="24"/>
            <w:szCs w:val="24"/>
          </w:rPr>
          <w:fldChar w:fldCharType="begin"/>
        </w:r>
        <w:r w:rsidRPr="00AC1A13">
          <w:rPr>
            <w:rFonts w:ascii="Times New Roman" w:hAnsi="Times New Roman" w:cs="Times New Roman"/>
            <w:sz w:val="24"/>
            <w:szCs w:val="24"/>
          </w:rPr>
          <w:instrText xml:space="preserve"> PAGE   \* MERGEFORMAT </w:instrText>
        </w:r>
        <w:r w:rsidRPr="00AC1A13">
          <w:rPr>
            <w:rFonts w:ascii="Times New Roman" w:hAnsi="Times New Roman" w:cs="Times New Roman"/>
            <w:sz w:val="24"/>
            <w:szCs w:val="24"/>
          </w:rPr>
          <w:fldChar w:fldCharType="separate"/>
        </w:r>
        <w:r w:rsidRPr="00AC1A13">
          <w:rPr>
            <w:rFonts w:ascii="Times New Roman" w:hAnsi="Times New Roman" w:cs="Times New Roman"/>
            <w:noProof/>
            <w:sz w:val="24"/>
            <w:szCs w:val="24"/>
          </w:rPr>
          <w:t>2</w:t>
        </w:r>
        <w:r w:rsidRPr="00AC1A1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4531951"/>
      <w:docPartObj>
        <w:docPartGallery w:val="Page Numbers (Bottom of Page)"/>
        <w:docPartUnique/>
      </w:docPartObj>
    </w:sdtPr>
    <w:sdtEndPr>
      <w:rPr>
        <w:rFonts w:ascii="Times New Roman" w:hAnsi="Times New Roman" w:cs="Times New Roman"/>
        <w:noProof/>
        <w:sz w:val="24"/>
        <w:szCs w:val="24"/>
      </w:rPr>
    </w:sdtEndPr>
    <w:sdtContent>
      <w:p w:rsidR="009D4E1D" w:rsidRPr="00AC1A13" w14:paraId="1715FFE7" w14:textId="77777777">
        <w:pPr>
          <w:pStyle w:val="Footer"/>
          <w:jc w:val="center"/>
          <w:rPr>
            <w:rFonts w:ascii="Times New Roman" w:hAnsi="Times New Roman" w:cs="Times New Roman"/>
            <w:sz w:val="24"/>
            <w:szCs w:val="24"/>
          </w:rPr>
        </w:pPr>
        <w:r w:rsidRPr="00AC1A13">
          <w:rPr>
            <w:rFonts w:ascii="Times New Roman" w:hAnsi="Times New Roman" w:cs="Times New Roman"/>
            <w:sz w:val="24"/>
            <w:szCs w:val="24"/>
          </w:rPr>
          <w:fldChar w:fldCharType="begin"/>
        </w:r>
        <w:r w:rsidRPr="00AC1A13">
          <w:rPr>
            <w:rFonts w:ascii="Times New Roman" w:hAnsi="Times New Roman" w:cs="Times New Roman"/>
            <w:sz w:val="24"/>
            <w:szCs w:val="24"/>
          </w:rPr>
          <w:instrText xml:space="preserve"> PAGE   \* MERGEFORMAT </w:instrText>
        </w:r>
        <w:r w:rsidRPr="00AC1A13">
          <w:rPr>
            <w:rFonts w:ascii="Times New Roman" w:hAnsi="Times New Roman" w:cs="Times New Roman"/>
            <w:sz w:val="24"/>
            <w:szCs w:val="24"/>
          </w:rPr>
          <w:fldChar w:fldCharType="separate"/>
        </w:r>
        <w:r w:rsidRPr="00AC1A13">
          <w:rPr>
            <w:rFonts w:ascii="Times New Roman" w:hAnsi="Times New Roman" w:cs="Times New Roman"/>
            <w:noProof/>
            <w:sz w:val="24"/>
            <w:szCs w:val="24"/>
          </w:rPr>
          <w:t>2</w:t>
        </w:r>
        <w:r w:rsidRPr="00AC1A1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73F7B" w:rsidRPr="00B32B7E" w:rsidP="00B32B7E" w14:paraId="25372124" w14:textId="77777777">
      <w:pPr>
        <w:pStyle w:val="Footer"/>
      </w:pPr>
      <w:r>
        <w:separator/>
      </w:r>
    </w:p>
  </w:footnote>
  <w:footnote w:type="continuationSeparator" w:id="1">
    <w:p w:rsidR="00E73F7B" w:rsidRPr="00B32B7E" w:rsidP="00B32B7E" w14:paraId="30401CD4" w14:textId="77777777">
      <w:pPr>
        <w:pStyle w:val="Footer"/>
      </w:pPr>
      <w:r>
        <w:continuationSeparator/>
      </w:r>
    </w:p>
  </w:footnote>
  <w:footnote w:type="continuationNotice" w:id="2">
    <w:p w:rsidR="00E73F7B" w14:paraId="34A267B0" w14:textId="77777777">
      <w:pPr>
        <w:spacing w:after="0" w:line="240" w:lineRule="auto"/>
      </w:pPr>
    </w:p>
  </w:footnote>
  <w:footnote w:id="3">
    <w:p w:rsidR="00FE747D" w:rsidRPr="00A26039" w:rsidP="00480026" w14:paraId="26A1933E" w14:textId="675A32E7">
      <w:pPr>
        <w:pStyle w:val="FootnoteText"/>
        <w:widowControl w:val="0"/>
        <w:spacing w:after="120"/>
        <w:rPr>
          <w:rFonts w:cs="Times New Roman"/>
        </w:rPr>
      </w:pPr>
      <w:r w:rsidRPr="00A26039">
        <w:rPr>
          <w:rStyle w:val="FootnoteReference"/>
          <w:rFonts w:cs="Times New Roman"/>
        </w:rPr>
        <w:footnoteRef/>
      </w:r>
      <w:r w:rsidRPr="00A26039">
        <w:rPr>
          <w:rFonts w:cs="Times New Roman"/>
        </w:rPr>
        <w:t xml:space="preserve"> </w:t>
      </w:r>
      <w:r w:rsidRPr="00A26039" w:rsidR="00692851">
        <w:rPr>
          <w:rFonts w:cs="Times New Roman"/>
        </w:rPr>
        <w:t>Opinion</w:t>
      </w:r>
      <w:r w:rsidRPr="00A26039">
        <w:rPr>
          <w:rFonts w:cs="Times New Roman"/>
        </w:rPr>
        <w:t xml:space="preserve"> and Order (</w:t>
      </w:r>
      <w:r w:rsidR="00515009">
        <w:rPr>
          <w:rFonts w:cs="Times New Roman"/>
        </w:rPr>
        <w:t>December 14, 2022</w:t>
      </w:r>
      <w:r w:rsidRPr="00A26039">
        <w:rPr>
          <w:rFonts w:cs="Times New Roman"/>
        </w:rPr>
        <w:t>).</w:t>
      </w:r>
    </w:p>
  </w:footnote>
  <w:footnote w:id="4">
    <w:p w:rsidR="00DE2935" w:rsidP="00480026" w14:paraId="4AF93283" w14:textId="163E7667">
      <w:pPr>
        <w:pStyle w:val="FootnoteText"/>
        <w:spacing w:after="120"/>
      </w:pPr>
      <w:r>
        <w:rPr>
          <w:rStyle w:val="FootnoteReference"/>
        </w:rPr>
        <w:footnoteRef/>
      </w:r>
      <w:r>
        <w:t xml:space="preserve"> </w:t>
      </w:r>
      <w:r w:rsidRPr="00A26039">
        <w:rPr>
          <w:rFonts w:cs="Times New Roman"/>
        </w:rPr>
        <w:t xml:space="preserve">Joint Stipulation and Recommendation </w:t>
      </w:r>
      <w:r w:rsidR="00E95946">
        <w:rPr>
          <w:rFonts w:cs="Times New Roman"/>
        </w:rPr>
        <w:t xml:space="preserve">(“2022 Adjustment Settlement”) </w:t>
      </w:r>
      <w:r w:rsidRPr="00A26039">
        <w:rPr>
          <w:rFonts w:cs="Times New Roman"/>
        </w:rPr>
        <w:t>(</w:t>
      </w:r>
      <w:r>
        <w:rPr>
          <w:rFonts w:cs="Times New Roman"/>
        </w:rPr>
        <w:t>November 23, 2022</w:t>
      </w:r>
      <w:r w:rsidRPr="00A26039">
        <w:rPr>
          <w:rFonts w:cs="Times New Roman"/>
        </w:rPr>
        <w:t>).</w:t>
      </w:r>
    </w:p>
  </w:footnote>
  <w:footnote w:id="5">
    <w:p w:rsidR="009004E7" w:rsidRPr="00575DE3" w:rsidP="00480026" w14:paraId="0BC6BABF" w14:textId="77777777">
      <w:pPr>
        <w:pStyle w:val="FootnoteText"/>
        <w:spacing w:after="120"/>
        <w:rPr>
          <w:rFonts w:cs="Times New Roman"/>
        </w:rPr>
      </w:pPr>
      <w:r w:rsidRPr="00575DE3">
        <w:rPr>
          <w:rStyle w:val="FootnoteReference"/>
          <w:rFonts w:cs="Times New Roman"/>
        </w:rPr>
        <w:footnoteRef/>
      </w:r>
      <w:r w:rsidRPr="00575DE3">
        <w:rPr>
          <w:rFonts w:cs="Times New Roman"/>
        </w:rPr>
        <w:t xml:space="preserve"> U</w:t>
      </w:r>
      <w:r w:rsidRPr="00575DE3">
        <w:rPr>
          <w:rFonts w:cs="Times New Roman"/>
          <w:iCs/>
        </w:rPr>
        <w:t xml:space="preserve">nder R.C. 4928.542(B), an energy marketer’s winning bid shall </w:t>
      </w:r>
      <w:r w:rsidRPr="00575DE3">
        <w:rPr>
          <w:rFonts w:cs="Times New Roman"/>
          <w:b/>
          <w:bCs/>
          <w:i/>
        </w:rPr>
        <w:t>reduce</w:t>
      </w:r>
      <w:r w:rsidRPr="00575DE3">
        <w:rPr>
          <w:rFonts w:cs="Times New Roman"/>
          <w:iCs/>
        </w:rPr>
        <w:t xml:space="preserve"> the cost of the PIPP program relative to the otherwise applicable standard service offer rate established under R.C. 4928.141, 4928.142 and 4928.143. And a winning bid shall result in the </w:t>
      </w:r>
      <w:r w:rsidRPr="00575DE3">
        <w:rPr>
          <w:rFonts w:cs="Times New Roman"/>
          <w:b/>
          <w:bCs/>
          <w:i/>
        </w:rPr>
        <w:t>best value</w:t>
      </w:r>
      <w:r w:rsidRPr="00575DE3">
        <w:rPr>
          <w:rFonts w:cs="Times New Roman"/>
          <w:iCs/>
        </w:rPr>
        <w:t xml:space="preserve"> for persons paying the universal service rider, under R.C. 4928.542.</w:t>
      </w:r>
    </w:p>
  </w:footnote>
  <w:footnote w:id="6">
    <w:p w:rsidR="009004E7" w:rsidP="00480026" w14:paraId="628DAA65" w14:textId="594D5AE9">
      <w:pPr>
        <w:pStyle w:val="FootnoteText"/>
        <w:spacing w:after="120"/>
      </w:pPr>
      <w:r>
        <w:rPr>
          <w:rStyle w:val="FootnoteReference"/>
        </w:rPr>
        <w:footnoteRef/>
      </w:r>
      <w:r>
        <w:t xml:space="preserve"> </w:t>
      </w:r>
      <w:r w:rsidRPr="00993679">
        <w:rPr>
          <w:i/>
          <w:iCs/>
        </w:rPr>
        <w:t>See</w:t>
      </w:r>
      <w:r>
        <w:t xml:space="preserve">, Testimony Recommending Consumer Protections by James D. Williams (August 19, 2022); Post-Hearing Brief for Consumer Protection by Office of the Ohio Consumers’ Counsel (September 12, 2022); Reply Brief </w:t>
      </w:r>
      <w:r w:rsidR="00993679">
        <w:t>for Consumer Protection by Office of the Ohio Consumers’ Counsel (September 23, 2022); Application for Rehearing by Office of the Ohio Consumers’ Counsel (November 4, 2022).</w:t>
      </w:r>
    </w:p>
  </w:footnote>
  <w:footnote w:id="7">
    <w:p w:rsidR="00B97F5B" w:rsidP="00480026" w14:paraId="75BFC3E2" w14:textId="46145562">
      <w:pPr>
        <w:pStyle w:val="FootnoteText"/>
        <w:spacing w:after="120"/>
      </w:pPr>
      <w:r>
        <w:rPr>
          <w:rStyle w:val="FootnoteReference"/>
        </w:rPr>
        <w:footnoteRef/>
      </w:r>
      <w:r>
        <w:t xml:space="preserve"> Opinion and Order at 28. </w:t>
      </w:r>
    </w:p>
  </w:footnote>
  <w:footnote w:id="8">
    <w:p w:rsidR="002B5E0F" w:rsidP="00480026" w14:paraId="2680BC6E" w14:textId="4179D2A3">
      <w:pPr>
        <w:pStyle w:val="FootnoteText"/>
        <w:spacing w:after="120"/>
      </w:pPr>
      <w:r>
        <w:rPr>
          <w:rStyle w:val="FootnoteReference"/>
        </w:rPr>
        <w:footnoteRef/>
      </w:r>
      <w:r>
        <w:t xml:space="preserve"> R.C. 4928.542(B)</w:t>
      </w:r>
      <w:r w:rsidR="009371C6">
        <w:t>, R.C. 4905.22, R.C. 4928.02(L), R.C. 4928.02(A).</w:t>
      </w:r>
    </w:p>
  </w:footnote>
  <w:footnote w:id="9">
    <w:p w:rsidR="00803B67" w:rsidP="00480026" w14:paraId="5B3616DA" w14:textId="79EE96BB">
      <w:pPr>
        <w:pStyle w:val="FootnoteText"/>
        <w:spacing w:after="120"/>
      </w:pPr>
      <w:r>
        <w:rPr>
          <w:rStyle w:val="FootnoteReference"/>
        </w:rPr>
        <w:footnoteRef/>
      </w:r>
      <w:r>
        <w:t xml:space="preserve"> Post-Hearing Brief for Consumer Protection by Office of the Ohio Consumers’ Counsel (“OCC Post-Hearing Brief”) (December 6, 2022) at 8-13.</w:t>
      </w:r>
    </w:p>
  </w:footnote>
  <w:footnote w:id="10">
    <w:p w:rsidR="00CD11F5" w:rsidRPr="00575DE3" w:rsidP="00480026" w14:paraId="5E7F3235" w14:textId="77777777">
      <w:pPr>
        <w:pStyle w:val="FootnoteText"/>
        <w:spacing w:after="120"/>
        <w:rPr>
          <w:rFonts w:cs="Times New Roman"/>
        </w:rPr>
      </w:pPr>
      <w:r w:rsidRPr="00575DE3">
        <w:rPr>
          <w:rStyle w:val="FootnoteReference"/>
          <w:rFonts w:cs="Times New Roman"/>
        </w:rPr>
        <w:footnoteRef/>
      </w:r>
      <w:r w:rsidRPr="00575DE3">
        <w:rPr>
          <w:rFonts w:cs="Times New Roman"/>
        </w:rPr>
        <w:t xml:space="preserve"> OCC Ex. 1 (</w:t>
      </w:r>
      <w:r>
        <w:rPr>
          <w:rFonts w:cs="Times New Roman"/>
        </w:rPr>
        <w:t xml:space="preserve">November 23, 2022 </w:t>
      </w:r>
      <w:r w:rsidRPr="00575DE3">
        <w:rPr>
          <w:rFonts w:cs="Times New Roman"/>
        </w:rPr>
        <w:t>Testimony of James D. Williams) Table 1 at 6. The 2022 USF Revenue Requirement was $187,258,690. The 2023 USF Revenue Requirement is $358,924,849. $187,258,690 - $358,924,849 = -$-171,666,159/$187,258,690 = 91.7% (rounds to 92%) increase.</w:t>
      </w:r>
    </w:p>
  </w:footnote>
  <w:footnote w:id="11">
    <w:p w:rsidR="00CD11F5" w:rsidRPr="00A26039" w:rsidP="00480026" w14:paraId="50B60248"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Id</w:t>
      </w:r>
      <w:r w:rsidRPr="00A26039">
        <w:rPr>
          <w:rFonts w:cs="Times New Roman"/>
        </w:rPr>
        <w:t>.; Testimony of Megan Meadows at 27.</w:t>
      </w:r>
    </w:p>
  </w:footnote>
  <w:footnote w:id="12">
    <w:p w:rsidR="00922A23" w:rsidP="00480026" w14:paraId="6CD95D57" w14:textId="77777777">
      <w:pPr>
        <w:pStyle w:val="FootnoteText"/>
        <w:spacing w:after="120"/>
      </w:pPr>
      <w:r>
        <w:rPr>
          <w:rStyle w:val="FootnoteReference"/>
        </w:rPr>
        <w:footnoteRef/>
      </w:r>
      <w:r>
        <w:t xml:space="preserve"> Opinion and Order at 27.</w:t>
      </w:r>
    </w:p>
  </w:footnote>
  <w:footnote w:id="13">
    <w:p w:rsidR="00922A23" w:rsidP="00480026" w14:paraId="69DEC8FD" w14:textId="49BBA81E">
      <w:pPr>
        <w:pStyle w:val="FootnoteText"/>
        <w:spacing w:after="120"/>
      </w:pPr>
      <w:r>
        <w:rPr>
          <w:rStyle w:val="FootnoteReference"/>
        </w:rPr>
        <w:footnoteRef/>
      </w:r>
      <w:r>
        <w:t xml:space="preserve"> </w:t>
      </w:r>
      <w:r w:rsidRPr="00E90837">
        <w:rPr>
          <w:i/>
          <w:iCs/>
        </w:rPr>
        <w:t>See</w:t>
      </w:r>
      <w:r>
        <w:t>, Case No. 22-556-EL-USF, Opinion and Order</w:t>
      </w:r>
      <w:r w:rsidR="007E61F2">
        <w:t xml:space="preserve"> (“NOI Settlement Order”)</w:t>
      </w:r>
      <w:r>
        <w:t xml:space="preserve"> (October 5, 2022).</w:t>
      </w:r>
    </w:p>
  </w:footnote>
  <w:footnote w:id="14">
    <w:p w:rsidR="00DF352D" w:rsidP="00480026" w14:paraId="11BB8AC0" w14:textId="6A13F7E2">
      <w:pPr>
        <w:pStyle w:val="FootnoteText"/>
        <w:spacing w:after="120"/>
      </w:pPr>
      <w:r>
        <w:rPr>
          <w:rStyle w:val="FootnoteReference"/>
        </w:rPr>
        <w:footnoteRef/>
      </w:r>
      <w:r>
        <w:t xml:space="preserve"> </w:t>
      </w:r>
      <w:r w:rsidR="00803B67">
        <w:t xml:space="preserve">OCC Post-Hearing Brief at </w:t>
      </w:r>
      <w:r>
        <w:t>9-13</w:t>
      </w:r>
      <w:r w:rsidR="00803B67">
        <w:t xml:space="preserve">; </w:t>
      </w:r>
      <w:r w:rsidRPr="00575DE3" w:rsidR="00803B67">
        <w:rPr>
          <w:rFonts w:cs="Times New Roman"/>
        </w:rPr>
        <w:t>OCC Ex. 1 (</w:t>
      </w:r>
      <w:r w:rsidR="00803B67">
        <w:rPr>
          <w:rFonts w:cs="Times New Roman"/>
        </w:rPr>
        <w:t xml:space="preserve">November 23, 2022 </w:t>
      </w:r>
      <w:r w:rsidRPr="00575DE3" w:rsidR="00803B67">
        <w:rPr>
          <w:rFonts w:cs="Times New Roman"/>
        </w:rPr>
        <w:t>Testimony of James D. Williams)</w:t>
      </w:r>
      <w:r>
        <w:t>.</w:t>
      </w:r>
    </w:p>
  </w:footnote>
  <w:footnote w:id="15">
    <w:p w:rsidR="00FD7265" w:rsidRPr="00575DE3" w:rsidP="00480026" w14:paraId="610FFE4B" w14:textId="77777777">
      <w:pPr>
        <w:pStyle w:val="FootnoteText"/>
        <w:spacing w:after="120"/>
        <w:rPr>
          <w:rFonts w:cs="Times New Roman"/>
        </w:rPr>
      </w:pPr>
      <w:r w:rsidRPr="00575DE3">
        <w:rPr>
          <w:rStyle w:val="FootnoteReference"/>
          <w:rFonts w:cs="Times New Roman"/>
        </w:rPr>
        <w:footnoteRef/>
      </w:r>
      <w:r w:rsidRPr="00575DE3">
        <w:rPr>
          <w:rFonts w:cs="Times New Roman"/>
        </w:rPr>
        <w:t xml:space="preserve"> U</w:t>
      </w:r>
      <w:r w:rsidRPr="00575DE3">
        <w:rPr>
          <w:rFonts w:cs="Times New Roman"/>
          <w:iCs/>
        </w:rPr>
        <w:t xml:space="preserve">nder R.C. 4928.542(B), an energy marketer’s winning bid shall </w:t>
      </w:r>
      <w:r w:rsidRPr="00575DE3">
        <w:rPr>
          <w:rFonts w:cs="Times New Roman"/>
          <w:b/>
          <w:bCs/>
          <w:i/>
        </w:rPr>
        <w:t>reduce</w:t>
      </w:r>
      <w:r w:rsidRPr="00575DE3">
        <w:rPr>
          <w:rFonts w:cs="Times New Roman"/>
          <w:iCs/>
        </w:rPr>
        <w:t xml:space="preserve"> the cost of the PIPP program relative to the otherwise applicable standard service offer rate established under R.C. 4928.141, 4928.142 and 4928.143. And a winning bid shall result in the </w:t>
      </w:r>
      <w:r w:rsidRPr="00575DE3">
        <w:rPr>
          <w:rFonts w:cs="Times New Roman"/>
          <w:b/>
          <w:bCs/>
          <w:i/>
        </w:rPr>
        <w:t>best value</w:t>
      </w:r>
      <w:r w:rsidRPr="00575DE3">
        <w:rPr>
          <w:rFonts w:cs="Times New Roman"/>
          <w:iCs/>
        </w:rPr>
        <w:t xml:space="preserve"> for persons paying the universal service rider, under R.C. 4928.542.</w:t>
      </w:r>
    </w:p>
  </w:footnote>
  <w:footnote w:id="16">
    <w:p w:rsidR="00085EE4" w:rsidP="00480026" w14:paraId="40608DCE" w14:textId="6530ABFB">
      <w:pPr>
        <w:pStyle w:val="FootnoteText"/>
        <w:spacing w:after="120"/>
      </w:pPr>
      <w:r>
        <w:rPr>
          <w:rStyle w:val="FootnoteReference"/>
        </w:rPr>
        <w:footnoteRef/>
      </w:r>
      <w:r>
        <w:t xml:space="preserve"> </w:t>
      </w:r>
      <w:r w:rsidRPr="00B06C02">
        <w:rPr>
          <w:i/>
          <w:iCs/>
        </w:rPr>
        <w:t>In re Comm’n Review of the Capacity Charges of Ohio Power Co</w:t>
      </w:r>
      <w:r>
        <w:t>., 147 Ohio St.3d 59, 60 N.E.3d 1221</w:t>
      </w:r>
      <w:r w:rsidR="00FD7265">
        <w:t xml:space="preserve">, 2016-Ohio-1607 </w:t>
      </w:r>
      <w:r>
        <w:t>(2016).</w:t>
      </w:r>
    </w:p>
  </w:footnote>
  <w:footnote w:id="17">
    <w:p w:rsidR="00085EE4" w:rsidP="00480026" w14:paraId="69CB3546" w14:textId="14D33D03">
      <w:pPr>
        <w:pStyle w:val="FootnoteText"/>
        <w:spacing w:after="120"/>
      </w:pPr>
      <w:r>
        <w:rPr>
          <w:rStyle w:val="FootnoteReference"/>
        </w:rPr>
        <w:footnoteRef/>
      </w:r>
      <w:r>
        <w:t xml:space="preserve"> </w:t>
      </w:r>
      <w:r w:rsidRPr="00B06C02">
        <w:rPr>
          <w:i/>
          <w:iCs/>
        </w:rPr>
        <w:t>Id</w:t>
      </w:r>
      <w:r>
        <w:t xml:space="preserve">. at </w:t>
      </w:r>
      <w:r w:rsidR="00D6168A">
        <w:t>¶¶</w:t>
      </w:r>
      <w:r>
        <w:t xml:space="preserve"> </w:t>
      </w:r>
      <w:r w:rsidR="00FD7265">
        <w:t>53-57.</w:t>
      </w:r>
    </w:p>
  </w:footnote>
  <w:footnote w:id="18">
    <w:p w:rsidR="00DF352D" w:rsidP="00480026" w14:paraId="55F7CB5F" w14:textId="79A81063">
      <w:pPr>
        <w:pStyle w:val="FootnoteText"/>
        <w:spacing w:after="120"/>
      </w:pPr>
      <w:r>
        <w:rPr>
          <w:rStyle w:val="FootnoteReference"/>
        </w:rPr>
        <w:footnoteRef/>
      </w:r>
      <w:r>
        <w:t xml:space="preserve"> </w:t>
      </w:r>
      <w:r w:rsidR="0078667A">
        <w:t xml:space="preserve">OCC </w:t>
      </w:r>
      <w:r>
        <w:t xml:space="preserve">Post-Hearing Brief (December 6, 2022) at 8-11. </w:t>
      </w:r>
    </w:p>
  </w:footnote>
  <w:footnote w:id="19">
    <w:p w:rsidR="00111AD8" w:rsidP="00480026" w14:paraId="3203A3A9" w14:textId="469521C3">
      <w:pPr>
        <w:pStyle w:val="FootnoteText"/>
        <w:spacing w:after="120"/>
      </w:pPr>
      <w:r>
        <w:rPr>
          <w:rStyle w:val="FootnoteReference"/>
        </w:rPr>
        <w:footnoteRef/>
      </w:r>
      <w:r>
        <w:t xml:space="preserve"> Opinion and Order (October 5, 2022) at 26.</w:t>
      </w:r>
    </w:p>
  </w:footnote>
  <w:footnote w:id="20">
    <w:p w:rsidR="00D52CC0" w:rsidP="00480026" w14:paraId="384D4639" w14:textId="1247727C">
      <w:pPr>
        <w:pStyle w:val="FootnoteText"/>
        <w:spacing w:after="120"/>
      </w:pPr>
      <w:r>
        <w:rPr>
          <w:rStyle w:val="FootnoteReference"/>
        </w:rPr>
        <w:footnoteRef/>
      </w:r>
      <w:r>
        <w:t xml:space="preserve"> </w:t>
      </w:r>
      <w:r w:rsidRPr="00801ABF">
        <w:rPr>
          <w:i/>
          <w:iCs/>
        </w:rPr>
        <w:t>See</w:t>
      </w:r>
      <w:r>
        <w:t xml:space="preserve">, OCC Post-Hearing Brief (December 6, 2022) at 8-13 (December 6, 2022); Post-Hearing Brief for Consumer Protection by Office of the Ohio Consumers’ Counsel at 8-9, 16-17, 20 (September 12, 2022), </w:t>
      </w:r>
    </w:p>
  </w:footnote>
  <w:footnote w:id="21">
    <w:p w:rsidR="00566E39" w:rsidP="00480026" w14:paraId="13878E8F" w14:textId="65AFE765">
      <w:pPr>
        <w:pStyle w:val="FootnoteText"/>
        <w:spacing w:after="120"/>
      </w:pPr>
      <w:r>
        <w:rPr>
          <w:rStyle w:val="FootnoteReference"/>
        </w:rPr>
        <w:footnoteRef/>
      </w:r>
      <w:r>
        <w:t xml:space="preserve"> </w:t>
      </w:r>
      <w:r w:rsidRPr="00B06C02">
        <w:rPr>
          <w:i/>
          <w:iCs/>
        </w:rPr>
        <w:t>In re Comm’n Review of the Capacity Charges of Ohio Power Co</w:t>
      </w:r>
      <w:r>
        <w:t xml:space="preserve">., 147 Ohio St.3d 59 at </w:t>
      </w:r>
      <w:r w:rsidR="00D6168A">
        <w:t>¶¶</w:t>
      </w:r>
      <w:r>
        <w:t xml:space="preserve"> 53-57. </w:t>
      </w:r>
    </w:p>
  </w:footnote>
  <w:footnote w:id="22">
    <w:p w:rsidR="00B81DBB" w:rsidP="00480026" w14:paraId="3CB2FEF4" w14:textId="60A7DFDE">
      <w:pPr>
        <w:pStyle w:val="FootnoteText"/>
        <w:spacing w:after="120"/>
      </w:pPr>
      <w:r>
        <w:rPr>
          <w:rStyle w:val="FootnoteReference"/>
        </w:rPr>
        <w:footnoteRef/>
      </w:r>
      <w:r>
        <w:t xml:space="preserve"> Opinion and Order (October 5, 2022) at 26.</w:t>
      </w:r>
    </w:p>
  </w:footnote>
  <w:footnote w:id="23">
    <w:p w:rsidR="009A29AC" w:rsidP="00480026" w14:paraId="59CC9F6A" w14:textId="12B0F9A1">
      <w:pPr>
        <w:pStyle w:val="FootnoteText"/>
        <w:spacing w:after="120"/>
      </w:pPr>
      <w:r>
        <w:rPr>
          <w:rStyle w:val="FootnoteReference"/>
        </w:rPr>
        <w:footnoteRef/>
      </w:r>
      <w:r>
        <w:t xml:space="preserve"> </w:t>
      </w:r>
      <w:r w:rsidRPr="009E7D9C" w:rsidR="00803B67">
        <w:rPr>
          <w:i/>
          <w:iCs/>
        </w:rPr>
        <w:t>See</w:t>
      </w:r>
      <w:r w:rsidR="00803B67">
        <w:t xml:space="preserve">, </w:t>
      </w:r>
      <w:r>
        <w:t xml:space="preserve">OCC Post-Hearing Brief (December 6, 2022) at 8. </w:t>
      </w:r>
    </w:p>
  </w:footnote>
  <w:footnote w:id="24">
    <w:p w:rsidR="009A29AC" w:rsidP="00480026" w14:paraId="52B3DF1C" w14:textId="3292290F">
      <w:pPr>
        <w:pStyle w:val="FootnoteText"/>
        <w:spacing w:after="120"/>
      </w:pPr>
      <w:r>
        <w:rPr>
          <w:rStyle w:val="FootnoteReference"/>
        </w:rPr>
        <w:footnoteRef/>
      </w:r>
      <w:r>
        <w:t xml:space="preserve"> </w:t>
      </w:r>
      <w:r w:rsidRPr="00B06C02" w:rsidR="0078667A">
        <w:rPr>
          <w:i/>
          <w:iCs/>
        </w:rPr>
        <w:t>Id</w:t>
      </w:r>
      <w:r w:rsidR="0078667A">
        <w:t>. at</w:t>
      </w:r>
      <w:r>
        <w:t xml:space="preserve"> 13. </w:t>
      </w:r>
    </w:p>
  </w:footnote>
  <w:footnote w:id="25">
    <w:p w:rsidR="00FE2E05" w:rsidP="00480026" w14:paraId="6F99E8F3" w14:textId="32A26FD3">
      <w:pPr>
        <w:pStyle w:val="FootnoteText"/>
        <w:spacing w:after="120"/>
      </w:pPr>
      <w:r>
        <w:rPr>
          <w:rStyle w:val="FootnoteReference"/>
        </w:rPr>
        <w:footnoteRef/>
      </w:r>
      <w:r>
        <w:t xml:space="preserve"> Opinion and Order at 25-26. </w:t>
      </w:r>
    </w:p>
  </w:footnote>
  <w:footnote w:id="26">
    <w:p w:rsidR="00702E43" w:rsidP="00480026" w14:paraId="61D54480" w14:textId="78B03C06">
      <w:pPr>
        <w:pStyle w:val="FootnoteText"/>
        <w:spacing w:after="120"/>
      </w:pPr>
      <w:r>
        <w:rPr>
          <w:rStyle w:val="FootnoteReference"/>
        </w:rPr>
        <w:footnoteRef/>
      </w:r>
      <w:r>
        <w:t xml:space="preserve"> OCC Ex. 1 (Testimony of James D. Williams) Table 1 at 6</w:t>
      </w:r>
      <w:r w:rsidR="00FE2E05">
        <w:t>.</w:t>
      </w:r>
    </w:p>
  </w:footnote>
  <w:footnote w:id="27">
    <w:p w:rsidR="009E7D9C" w:rsidP="00480026" w14:paraId="55538B7D" w14:textId="75C59D11">
      <w:pPr>
        <w:pStyle w:val="FootnoteText"/>
        <w:spacing w:after="120"/>
      </w:pPr>
      <w:r>
        <w:rPr>
          <w:rStyle w:val="FootnoteReference"/>
        </w:rPr>
        <w:footnoteRef/>
      </w:r>
      <w:r>
        <w:t xml:space="preserve"> OCC Post-Hearing Brief (December 6, 2022) at 10-11.</w:t>
      </w:r>
    </w:p>
  </w:footnote>
  <w:footnote w:id="28">
    <w:p w:rsidR="00842256" w:rsidRPr="00575DE3" w:rsidP="00480026" w14:paraId="67738447" w14:textId="33394EB0">
      <w:pPr>
        <w:pStyle w:val="FootnoteText"/>
        <w:spacing w:after="120"/>
        <w:rPr>
          <w:rFonts w:cs="Times New Roman"/>
        </w:rPr>
      </w:pPr>
      <w:r w:rsidRPr="00575DE3">
        <w:rPr>
          <w:rStyle w:val="FootnoteReference"/>
          <w:rFonts w:cs="Times New Roman"/>
        </w:rPr>
        <w:footnoteRef/>
      </w:r>
      <w:r w:rsidRPr="00575DE3">
        <w:rPr>
          <w:rFonts w:cs="Times New Roman"/>
        </w:rPr>
        <w:t xml:space="preserve"> OCC Ex. 1 (Testimony of James D. Williams) at 6</w:t>
      </w:r>
      <w:r w:rsidR="00D76547">
        <w:rPr>
          <w:rFonts w:cs="Times New Roman"/>
        </w:rPr>
        <w:t xml:space="preserve">; OCC Post-Hearing Brief </w:t>
      </w:r>
      <w:r w:rsidR="004427DD">
        <w:rPr>
          <w:rFonts w:cs="Times New Roman"/>
        </w:rPr>
        <w:t xml:space="preserve">(December 6, 2022) </w:t>
      </w:r>
      <w:r w:rsidR="00D76547">
        <w:rPr>
          <w:rFonts w:cs="Times New Roman"/>
        </w:rPr>
        <w:t>at 10</w:t>
      </w:r>
      <w:r w:rsidRPr="00575DE3">
        <w:rPr>
          <w:rFonts w:cs="Times New Roman"/>
        </w:rPr>
        <w:t>.</w:t>
      </w:r>
    </w:p>
  </w:footnote>
  <w:footnote w:id="29">
    <w:p w:rsidR="00197E70" w:rsidP="00480026" w14:paraId="39C780AF" w14:textId="65B7609E">
      <w:pPr>
        <w:pStyle w:val="FootnoteText"/>
        <w:spacing w:after="120"/>
      </w:pPr>
      <w:r>
        <w:rPr>
          <w:rStyle w:val="FootnoteReference"/>
        </w:rPr>
        <w:footnoteRef/>
      </w:r>
      <w:r>
        <w:t xml:space="preserve"> </w:t>
      </w:r>
      <w:r w:rsidR="00E179AE">
        <w:t>This is reflected in the</w:t>
      </w:r>
      <w:r>
        <w:t xml:space="preserve"> Opinion and Order at 7, Table comparing the current USF Rider and the proposed USF rider for the two kWh blocks. </w:t>
      </w:r>
    </w:p>
  </w:footnote>
  <w:footnote w:id="30">
    <w:p w:rsidR="00842256" w:rsidRPr="00575DE3" w:rsidP="00480026" w14:paraId="5DA7AD7A" w14:textId="77777777">
      <w:pPr>
        <w:pStyle w:val="FootnoteText"/>
        <w:spacing w:after="120"/>
        <w:rPr>
          <w:rFonts w:cs="Times New Roman"/>
        </w:rPr>
      </w:pPr>
      <w:r w:rsidRPr="00575DE3">
        <w:rPr>
          <w:rStyle w:val="FootnoteReference"/>
          <w:rFonts w:cs="Times New Roman"/>
        </w:rPr>
        <w:footnoteRef/>
      </w:r>
      <w:r w:rsidRPr="00575DE3">
        <w:rPr>
          <w:rFonts w:cs="Times New Roman"/>
        </w:rPr>
        <w:t xml:space="preserve"> ODOD Ex. 4 (Supplemental Testimony of Megan Meadows) at MM-25 through MM-30.</w:t>
      </w:r>
    </w:p>
  </w:footnote>
  <w:footnote w:id="31">
    <w:p w:rsidR="00842256" w:rsidRPr="00575DE3" w:rsidP="00480026" w14:paraId="04B704AE" w14:textId="0411B7BB">
      <w:pPr>
        <w:pStyle w:val="FootnoteText"/>
        <w:spacing w:after="120"/>
        <w:rPr>
          <w:rFonts w:cs="Times New Roman"/>
        </w:rPr>
      </w:pPr>
      <w:r w:rsidRPr="00575DE3">
        <w:rPr>
          <w:rStyle w:val="FootnoteReference"/>
          <w:rFonts w:cs="Times New Roman"/>
        </w:rPr>
        <w:footnoteRef/>
      </w:r>
      <w:r w:rsidRPr="00575DE3">
        <w:rPr>
          <w:rFonts w:cs="Times New Roman"/>
        </w:rPr>
        <w:t xml:space="preserve"> OCC Ex. 1 (Testimony of James D. Williams) at 6; table taken from Joint Ex. 1 at 4 (Settlement)</w:t>
      </w:r>
      <w:r w:rsidR="0078667A">
        <w:rPr>
          <w:rFonts w:cs="Times New Roman"/>
        </w:rPr>
        <w:t xml:space="preserve">; </w:t>
      </w:r>
      <w:r w:rsidRPr="00C939EC" w:rsidR="009E7D9C">
        <w:rPr>
          <w:rFonts w:cs="Times New Roman"/>
          <w:i/>
          <w:iCs/>
        </w:rPr>
        <w:t>see</w:t>
      </w:r>
      <w:r w:rsidR="009E7D9C">
        <w:rPr>
          <w:rFonts w:cs="Times New Roman"/>
        </w:rPr>
        <w:t xml:space="preserve">, </w:t>
      </w:r>
      <w:r w:rsidR="0078667A">
        <w:rPr>
          <w:rFonts w:cs="Times New Roman"/>
        </w:rPr>
        <w:t>OCC Post-Hearing Brief at 11</w:t>
      </w:r>
      <w:r w:rsidRPr="00575DE3">
        <w:rPr>
          <w:rFonts w:cs="Times New Roman"/>
        </w:rPr>
        <w:t>.</w:t>
      </w:r>
    </w:p>
  </w:footnote>
  <w:footnote w:id="32">
    <w:p w:rsidR="00842256" w:rsidRPr="00575DE3" w:rsidP="00480026" w14:paraId="7C3B3523" w14:textId="47CC7F8F">
      <w:pPr>
        <w:pStyle w:val="FootnoteText"/>
        <w:spacing w:after="120"/>
        <w:rPr>
          <w:rFonts w:cs="Times New Roman"/>
        </w:rPr>
      </w:pPr>
      <w:r w:rsidRPr="00575DE3">
        <w:rPr>
          <w:rStyle w:val="FootnoteReference"/>
          <w:rFonts w:cs="Times New Roman"/>
        </w:rPr>
        <w:footnoteRef/>
      </w:r>
      <w:r w:rsidRPr="00575DE3">
        <w:rPr>
          <w:rFonts w:cs="Times New Roman"/>
        </w:rPr>
        <w:t xml:space="preserve"> ODOD Ex 4 (Supplemental Testimony of Megan Meadows) at Attachment MM-25. Monthly 975 kWh X 12 = 11,700 X $0.0053667 = $62.79</w:t>
      </w:r>
      <w:r w:rsidR="0078667A">
        <w:rPr>
          <w:rFonts w:cs="Times New Roman"/>
        </w:rPr>
        <w:t xml:space="preserve">; </w:t>
      </w:r>
      <w:r w:rsidRPr="00A97CD2" w:rsidR="009E7D9C">
        <w:rPr>
          <w:rFonts w:cs="Times New Roman"/>
          <w:i/>
          <w:iCs/>
        </w:rPr>
        <w:t>see</w:t>
      </w:r>
      <w:r w:rsidR="009E7D9C">
        <w:rPr>
          <w:rFonts w:cs="Times New Roman"/>
        </w:rPr>
        <w:t xml:space="preserve">, </w:t>
      </w:r>
      <w:r w:rsidR="0078667A">
        <w:rPr>
          <w:rFonts w:cs="Times New Roman"/>
        </w:rPr>
        <w:t>OCC Post-Hearing Brief at 11</w:t>
      </w:r>
      <w:r w:rsidRPr="00575DE3">
        <w:rPr>
          <w:rFonts w:cs="Times New Roman"/>
        </w:rPr>
        <w:t>.</w:t>
      </w:r>
    </w:p>
  </w:footnote>
  <w:footnote w:id="33">
    <w:p w:rsidR="00842256" w:rsidRPr="00575DE3" w:rsidP="00480026" w14:paraId="06728D2F" w14:textId="6048D391">
      <w:pPr>
        <w:pStyle w:val="FootnoteText"/>
        <w:spacing w:after="120"/>
        <w:rPr>
          <w:rFonts w:cs="Times New Roman"/>
        </w:rPr>
      </w:pPr>
      <w:r w:rsidRPr="00575DE3">
        <w:rPr>
          <w:rStyle w:val="FootnoteReference"/>
          <w:rFonts w:cs="Times New Roman"/>
        </w:rPr>
        <w:footnoteRef/>
      </w:r>
      <w:r w:rsidRPr="00575DE3">
        <w:rPr>
          <w:rFonts w:cs="Times New Roman"/>
        </w:rPr>
        <w:t xml:space="preserve"> ODOD Ex 4 (Supplemental Testimony of Megan Meadows) at Attachment MM-26. Monthly 1010 kWh X 12 = 12,120 X $0.0035110 = $42.55</w:t>
      </w:r>
      <w:r w:rsidR="0078667A">
        <w:rPr>
          <w:rFonts w:cs="Times New Roman"/>
        </w:rPr>
        <w:t xml:space="preserve">; </w:t>
      </w:r>
      <w:r w:rsidRPr="00A97CD2" w:rsidR="009E7D9C">
        <w:rPr>
          <w:rFonts w:cs="Times New Roman"/>
          <w:i/>
          <w:iCs/>
        </w:rPr>
        <w:t>see</w:t>
      </w:r>
      <w:r w:rsidR="009E7D9C">
        <w:rPr>
          <w:rFonts w:cs="Times New Roman"/>
        </w:rPr>
        <w:t xml:space="preserve">, </w:t>
      </w:r>
      <w:r w:rsidR="0078667A">
        <w:rPr>
          <w:rFonts w:cs="Times New Roman"/>
        </w:rPr>
        <w:t>OCC Post-Hearing Brief at 11</w:t>
      </w:r>
      <w:r w:rsidRPr="00575DE3">
        <w:rPr>
          <w:rFonts w:cs="Times New Roman"/>
        </w:rPr>
        <w:t>.</w:t>
      </w:r>
    </w:p>
  </w:footnote>
  <w:footnote w:id="34">
    <w:p w:rsidR="00842256" w:rsidRPr="00575DE3" w:rsidP="00480026" w14:paraId="739EF526" w14:textId="01D5B542">
      <w:pPr>
        <w:pStyle w:val="FootnoteText"/>
        <w:spacing w:after="120"/>
        <w:rPr>
          <w:rFonts w:cs="Times New Roman"/>
        </w:rPr>
      </w:pPr>
      <w:r w:rsidRPr="00575DE3">
        <w:rPr>
          <w:rStyle w:val="FootnoteReference"/>
          <w:rFonts w:cs="Times New Roman"/>
        </w:rPr>
        <w:footnoteRef/>
      </w:r>
      <w:r w:rsidRPr="00575DE3">
        <w:rPr>
          <w:rFonts w:cs="Times New Roman"/>
        </w:rPr>
        <w:t xml:space="preserve"> ODOD Ex 4 (Supplemental Testimony of Megan Meadows) at Attachment MM-27. Monthly 1,046 kWh X 12 = 12,552 X $0.0021270 = $26.70</w:t>
      </w:r>
      <w:r w:rsidR="0078667A">
        <w:rPr>
          <w:rFonts w:cs="Times New Roman"/>
        </w:rPr>
        <w:t xml:space="preserve">; </w:t>
      </w:r>
      <w:r w:rsidRPr="00A97CD2" w:rsidR="009E7D9C">
        <w:rPr>
          <w:rFonts w:cs="Times New Roman"/>
          <w:i/>
          <w:iCs/>
        </w:rPr>
        <w:t>see</w:t>
      </w:r>
      <w:r w:rsidR="009E7D9C">
        <w:rPr>
          <w:rFonts w:cs="Times New Roman"/>
        </w:rPr>
        <w:t xml:space="preserve">, </w:t>
      </w:r>
      <w:r w:rsidR="0078667A">
        <w:rPr>
          <w:rFonts w:cs="Times New Roman"/>
        </w:rPr>
        <w:t>OCC Post-Hearing Brief at 11</w:t>
      </w:r>
      <w:r w:rsidRPr="00575DE3">
        <w:rPr>
          <w:rFonts w:cs="Times New Roman"/>
        </w:rPr>
        <w:t>.</w:t>
      </w:r>
    </w:p>
  </w:footnote>
  <w:footnote w:id="35">
    <w:p w:rsidR="00842256" w:rsidRPr="00575DE3" w:rsidP="00480026" w14:paraId="342FB209" w14:textId="769EB756">
      <w:pPr>
        <w:pStyle w:val="FootnoteText"/>
        <w:spacing w:after="120"/>
        <w:rPr>
          <w:rFonts w:cs="Times New Roman"/>
        </w:rPr>
      </w:pPr>
      <w:r w:rsidRPr="00575DE3">
        <w:rPr>
          <w:rStyle w:val="FootnoteReference"/>
          <w:rFonts w:cs="Times New Roman"/>
        </w:rPr>
        <w:footnoteRef/>
      </w:r>
      <w:r w:rsidRPr="00575DE3">
        <w:rPr>
          <w:rFonts w:cs="Times New Roman"/>
        </w:rPr>
        <w:t xml:space="preserve"> ODOD Ex 4 (Supplemental Testimony of Megan Meadows) at Attachment MM-28. Monthly 716 kWh X 12 = 8,592 X $0.0020060 = $17.24</w:t>
      </w:r>
      <w:r w:rsidR="0078667A">
        <w:rPr>
          <w:rFonts w:cs="Times New Roman"/>
        </w:rPr>
        <w:t xml:space="preserve">; </w:t>
      </w:r>
      <w:r w:rsidRPr="00A97CD2" w:rsidR="009E7D9C">
        <w:rPr>
          <w:rFonts w:cs="Times New Roman"/>
          <w:i/>
          <w:iCs/>
        </w:rPr>
        <w:t>see</w:t>
      </w:r>
      <w:r w:rsidR="009E7D9C">
        <w:rPr>
          <w:rFonts w:cs="Times New Roman"/>
        </w:rPr>
        <w:t xml:space="preserve">, </w:t>
      </w:r>
      <w:r w:rsidR="0078667A">
        <w:rPr>
          <w:rFonts w:cs="Times New Roman"/>
        </w:rPr>
        <w:t>OCC Post-Hearing Brief at 11</w:t>
      </w:r>
      <w:r w:rsidRPr="00575DE3">
        <w:rPr>
          <w:rFonts w:cs="Times New Roman"/>
        </w:rPr>
        <w:t>.</w:t>
      </w:r>
    </w:p>
  </w:footnote>
  <w:footnote w:id="36">
    <w:p w:rsidR="00842256" w:rsidRPr="00575DE3" w:rsidP="00480026" w14:paraId="24CDC73B" w14:textId="36B42D8B">
      <w:pPr>
        <w:pStyle w:val="FootnoteText"/>
        <w:spacing w:after="120"/>
        <w:rPr>
          <w:rFonts w:cs="Times New Roman"/>
        </w:rPr>
      </w:pPr>
      <w:r w:rsidRPr="00575DE3">
        <w:rPr>
          <w:rStyle w:val="FootnoteReference"/>
          <w:rFonts w:cs="Times New Roman"/>
        </w:rPr>
        <w:footnoteRef/>
      </w:r>
      <w:r w:rsidRPr="00575DE3">
        <w:rPr>
          <w:rFonts w:cs="Times New Roman"/>
        </w:rPr>
        <w:t xml:space="preserve"> ODOD Ex 4 (Supplemental Testimony of Megan Meadows) at Attachment MM-29. Monthly 857 kWh X 12 = 10,284 X $0.0029592 = $30.43</w:t>
      </w:r>
      <w:r w:rsidR="0078667A">
        <w:rPr>
          <w:rFonts w:cs="Times New Roman"/>
        </w:rPr>
        <w:t xml:space="preserve">; </w:t>
      </w:r>
      <w:r w:rsidRPr="00A97CD2" w:rsidR="009E7D9C">
        <w:rPr>
          <w:rFonts w:cs="Times New Roman"/>
          <w:i/>
          <w:iCs/>
        </w:rPr>
        <w:t>see</w:t>
      </w:r>
      <w:r w:rsidR="009E7D9C">
        <w:rPr>
          <w:rFonts w:cs="Times New Roman"/>
        </w:rPr>
        <w:t xml:space="preserve">, </w:t>
      </w:r>
      <w:r w:rsidR="0078667A">
        <w:rPr>
          <w:rFonts w:cs="Times New Roman"/>
        </w:rPr>
        <w:t>OCC Post-Hearing Brief at 11.</w:t>
      </w:r>
    </w:p>
  </w:footnote>
  <w:footnote w:id="37">
    <w:p w:rsidR="00842256" w:rsidRPr="00575DE3" w:rsidP="00480026" w14:paraId="0560F29C" w14:textId="2A5B35FF">
      <w:pPr>
        <w:pStyle w:val="FootnoteText"/>
        <w:spacing w:after="120"/>
        <w:rPr>
          <w:rFonts w:cs="Times New Roman"/>
        </w:rPr>
      </w:pPr>
      <w:r w:rsidRPr="00575DE3">
        <w:rPr>
          <w:rStyle w:val="FootnoteReference"/>
          <w:rFonts w:cs="Times New Roman"/>
        </w:rPr>
        <w:footnoteRef/>
      </w:r>
      <w:r w:rsidRPr="00575DE3">
        <w:rPr>
          <w:rFonts w:cs="Times New Roman"/>
        </w:rPr>
        <w:t xml:space="preserve"> ODOD Ex 4 (Supplemental Testimony of Megan Meadows) at Attachment MM-30. Monthly 792 kWh X 12 = 12,120 X $0.0027352 = $26.00</w:t>
      </w:r>
      <w:r w:rsidR="0078667A">
        <w:rPr>
          <w:rFonts w:cs="Times New Roman"/>
        </w:rPr>
        <w:t>;</w:t>
      </w:r>
      <w:r w:rsidR="009E7D9C">
        <w:rPr>
          <w:rFonts w:cs="Times New Roman"/>
        </w:rPr>
        <w:t xml:space="preserve"> </w:t>
      </w:r>
      <w:r w:rsidRPr="00A97CD2" w:rsidR="009E7D9C">
        <w:rPr>
          <w:rFonts w:cs="Times New Roman"/>
          <w:i/>
          <w:iCs/>
        </w:rPr>
        <w:t>see</w:t>
      </w:r>
      <w:r w:rsidR="009E7D9C">
        <w:rPr>
          <w:rFonts w:cs="Times New Roman"/>
        </w:rPr>
        <w:t>,</w:t>
      </w:r>
      <w:r w:rsidR="0078667A">
        <w:rPr>
          <w:rFonts w:cs="Times New Roman"/>
        </w:rPr>
        <w:t xml:space="preserve"> OCC Post-Hearing Brief at 11.</w:t>
      </w:r>
    </w:p>
  </w:footnote>
  <w:footnote w:id="38">
    <w:p w:rsidR="00842256" w:rsidRPr="00575DE3" w:rsidP="00480026" w14:paraId="57B26FF7" w14:textId="77777777">
      <w:pPr>
        <w:pStyle w:val="FootnoteText"/>
        <w:spacing w:after="120"/>
        <w:rPr>
          <w:rFonts w:cs="Times New Roman"/>
        </w:rPr>
      </w:pPr>
      <w:r w:rsidRPr="00575DE3">
        <w:rPr>
          <w:rStyle w:val="FootnoteReference"/>
          <w:rFonts w:cs="Times New Roman"/>
        </w:rPr>
        <w:footnoteRef/>
      </w:r>
      <w:r w:rsidRPr="00575DE3">
        <w:rPr>
          <w:rFonts w:cs="Times New Roman"/>
        </w:rPr>
        <w:t xml:space="preserve"> R.C. 4928.02(A).</w:t>
      </w:r>
    </w:p>
  </w:footnote>
  <w:footnote w:id="39">
    <w:p w:rsidR="00842256" w:rsidRPr="00575DE3" w:rsidP="00480026" w14:paraId="737E3716" w14:textId="6D140D5C">
      <w:pPr>
        <w:pStyle w:val="FootnoteText"/>
        <w:spacing w:after="120"/>
        <w:rPr>
          <w:rFonts w:cs="Times New Roman"/>
        </w:rPr>
      </w:pPr>
      <w:r w:rsidRPr="00575DE3">
        <w:rPr>
          <w:rStyle w:val="FootnoteReference"/>
          <w:rFonts w:cs="Times New Roman"/>
        </w:rPr>
        <w:footnoteRef/>
      </w:r>
      <w:r w:rsidRPr="00575DE3">
        <w:rPr>
          <w:rFonts w:cs="Times New Roman"/>
        </w:rPr>
        <w:t xml:space="preserve"> OCC Ex. 1 (Testimony of James D. Williams) at 8-9</w:t>
      </w:r>
      <w:r w:rsidR="0078667A">
        <w:rPr>
          <w:rFonts w:cs="Times New Roman"/>
        </w:rPr>
        <w:t xml:space="preserve">; OCC Post-Hearing Brief at </w:t>
      </w:r>
      <w:r w:rsidR="001A02C8">
        <w:rPr>
          <w:rFonts w:cs="Times New Roman"/>
        </w:rPr>
        <w:t>9</w:t>
      </w:r>
      <w:r w:rsidRPr="00575DE3">
        <w:rPr>
          <w:rFonts w:cs="Times New Roman"/>
        </w:rPr>
        <w:t>.</w:t>
      </w:r>
    </w:p>
  </w:footnote>
  <w:footnote w:id="40">
    <w:p w:rsidR="00CA55F9" w:rsidP="00480026" w14:paraId="017D64FA" w14:textId="77777777">
      <w:pPr>
        <w:pStyle w:val="FootnoteText"/>
        <w:spacing w:after="120"/>
      </w:pPr>
      <w:r>
        <w:rPr>
          <w:rStyle w:val="FootnoteReference"/>
        </w:rPr>
        <w:footnoteRef/>
      </w:r>
      <w:r>
        <w:t xml:space="preserve"> Opinion and Order at 28. </w:t>
      </w:r>
    </w:p>
  </w:footnote>
  <w:footnote w:id="41">
    <w:p w:rsidR="00CA55F9" w:rsidP="00480026" w14:paraId="328EB4FC" w14:textId="4FBBEF0B">
      <w:pPr>
        <w:pStyle w:val="FootnoteText"/>
        <w:spacing w:after="120"/>
      </w:pPr>
      <w:r>
        <w:rPr>
          <w:rStyle w:val="FootnoteReference"/>
        </w:rPr>
        <w:footnoteRef/>
      </w:r>
      <w:r>
        <w:t xml:space="preserve"> Tr. at </w:t>
      </w:r>
      <w:r w:rsidR="0045093A">
        <w:t>55.</w:t>
      </w:r>
    </w:p>
  </w:footnote>
  <w:footnote w:id="42">
    <w:p w:rsidR="00E361BB" w:rsidRPr="00955306" w:rsidP="00480026" w14:paraId="29D785DD" w14:textId="77777777">
      <w:pPr>
        <w:pStyle w:val="FootnoteText"/>
        <w:spacing w:after="120"/>
        <w:rPr>
          <w:rFonts w:cs="Times New Roman"/>
        </w:rPr>
      </w:pPr>
      <w:r w:rsidRPr="00955306">
        <w:rPr>
          <w:rStyle w:val="FootnoteReference"/>
          <w:rFonts w:cs="Times New Roman"/>
        </w:rPr>
        <w:footnoteRef/>
      </w:r>
      <w:r w:rsidRPr="00955306">
        <w:rPr>
          <w:rFonts w:cs="Times New Roman"/>
        </w:rPr>
        <w:t xml:space="preserve"> </w:t>
      </w:r>
      <w:r w:rsidRPr="00955306">
        <w:rPr>
          <w:rFonts w:cs="Times New Roman"/>
          <w:i/>
          <w:iCs/>
        </w:rPr>
        <w:t>In the Matter of the Implementation of Sections 4928.54 and 4928.544 of the Revised Code</w:t>
      </w:r>
      <w:r w:rsidRPr="00955306">
        <w:rPr>
          <w:rFonts w:cs="Times New Roman"/>
        </w:rPr>
        <w:t>, Case No. 16-247-EL-UNC, Finding and Order (March 2, 2016).</w:t>
      </w:r>
    </w:p>
  </w:footnote>
  <w:footnote w:id="43">
    <w:p w:rsidR="00E361BB" w:rsidRPr="00955306" w:rsidP="00480026" w14:paraId="4C3743A7" w14:textId="5BAC8ED0">
      <w:pPr>
        <w:pStyle w:val="FootnoteText"/>
        <w:spacing w:after="120"/>
        <w:rPr>
          <w:rFonts w:cs="Times New Roman"/>
        </w:rPr>
      </w:pPr>
      <w:r w:rsidRPr="00955306">
        <w:rPr>
          <w:rStyle w:val="FootnoteReference"/>
          <w:rFonts w:cs="Times New Roman"/>
        </w:rPr>
        <w:footnoteRef/>
      </w:r>
      <w:r w:rsidRPr="00955306">
        <w:rPr>
          <w:rFonts w:cs="Times New Roman"/>
        </w:rPr>
        <w:t xml:space="preserve"> </w:t>
      </w:r>
      <w:r w:rsidRPr="00EC4F41">
        <w:rPr>
          <w:rFonts w:cs="Times New Roman"/>
          <w:i/>
          <w:iCs/>
        </w:rPr>
        <w:t>See, e.g.,</w:t>
      </w:r>
      <w:r w:rsidRPr="00955306">
        <w:rPr>
          <w:rFonts w:cs="Times New Roman"/>
        </w:rPr>
        <w:t xml:space="preserve"> R.C. 4905.22, </w:t>
      </w:r>
      <w:r w:rsidR="00965C46">
        <w:rPr>
          <w:rFonts w:cs="Times New Roman"/>
        </w:rPr>
        <w:t xml:space="preserve">R.C. 4928.02(L), </w:t>
      </w:r>
      <w:r w:rsidRPr="00955306">
        <w:rPr>
          <w:rFonts w:cs="Times New Roman"/>
        </w:rPr>
        <w:t>R.C. 4928.02(A) and R.C. 4928.542(B).</w:t>
      </w:r>
    </w:p>
  </w:footnote>
  <w:footnote w:id="44">
    <w:p w:rsidR="00E361BB" w:rsidRPr="00955306" w:rsidP="00480026" w14:paraId="7F2B4BBC" w14:textId="77777777">
      <w:pPr>
        <w:pStyle w:val="FootnoteText"/>
        <w:spacing w:after="120"/>
        <w:rPr>
          <w:rFonts w:cs="Times New Roman"/>
        </w:rPr>
      </w:pPr>
      <w:r w:rsidRPr="00955306">
        <w:rPr>
          <w:rStyle w:val="FootnoteReference"/>
          <w:rFonts w:cs="Times New Roman"/>
        </w:rPr>
        <w:footnoteRef/>
      </w:r>
      <w:r w:rsidRPr="00955306">
        <w:rPr>
          <w:rFonts w:cs="Times New Roman"/>
        </w:rPr>
        <w:t xml:space="preserve"> </w:t>
      </w:r>
      <w:r w:rsidRPr="00955306">
        <w:rPr>
          <w:rFonts w:cs="Times New Roman"/>
          <w:i/>
          <w:iCs/>
        </w:rPr>
        <w:t>In the Matter of the Implementation of Sections 4928.54 and 4928.544 of the Revised Code</w:t>
      </w:r>
      <w:r w:rsidRPr="00955306">
        <w:rPr>
          <w:rFonts w:cs="Times New Roman"/>
        </w:rPr>
        <w:t>, Case No. 16-247-EL-UNC, Staff Report (September 2, 2016).</w:t>
      </w:r>
    </w:p>
  </w:footnote>
  <w:footnote w:id="45">
    <w:p w:rsidR="00E361BB" w:rsidRPr="00955306" w:rsidP="00480026" w14:paraId="3B0564FB" w14:textId="5582B23F">
      <w:pPr>
        <w:pStyle w:val="FootnoteText"/>
        <w:spacing w:after="120"/>
        <w:rPr>
          <w:rFonts w:cs="Times New Roman"/>
        </w:rPr>
      </w:pPr>
      <w:r w:rsidRPr="00955306">
        <w:rPr>
          <w:rStyle w:val="FootnoteReference"/>
          <w:rFonts w:cs="Times New Roman"/>
        </w:rPr>
        <w:footnoteRef/>
      </w:r>
      <w:r w:rsidRPr="00955306">
        <w:rPr>
          <w:rFonts w:cs="Times New Roman"/>
        </w:rPr>
        <w:t xml:space="preserve"> OCC Post-Hearing Brief </w:t>
      </w:r>
      <w:r w:rsidR="00A52FC7">
        <w:rPr>
          <w:rFonts w:cs="Times New Roman"/>
        </w:rPr>
        <w:t xml:space="preserve">(December 6, 2022) </w:t>
      </w:r>
      <w:r w:rsidRPr="00955306">
        <w:rPr>
          <w:rFonts w:cs="Times New Roman"/>
        </w:rPr>
        <w:t xml:space="preserve">at 1; </w:t>
      </w:r>
      <w:r w:rsidRPr="00D55611">
        <w:rPr>
          <w:rFonts w:cs="Times New Roman"/>
          <w:i/>
          <w:iCs/>
        </w:rPr>
        <w:t>see also</w:t>
      </w:r>
      <w:r w:rsidRPr="00955306">
        <w:rPr>
          <w:rFonts w:cs="Times New Roman"/>
        </w:rPr>
        <w:t xml:space="preserve">, OCC Initial Brief at 1-2 (September 12, 2022). </w:t>
      </w:r>
      <w:r w:rsidR="008E5BB9">
        <w:rPr>
          <w:rFonts w:cs="Times New Roman"/>
        </w:rPr>
        <w:t>T</w:t>
      </w:r>
      <w:r w:rsidRPr="00955306">
        <w:rPr>
          <w:rFonts w:cs="Times New Roman"/>
        </w:rPr>
        <w:t xml:space="preserve">he annual electricity billings for an individual low-income PIPP consumer (for the year ending May 31, 2023) will exceed the standard offers by approximately $1,154 for AEP PIPP consumers, $1,289 for Duke PIPP consumers, $584 for AES PIPP consumers, $334 for CEI PIPP consumers, $331 for Toledo Edison PIPP consumers, and $339 for Ohio Edison PIPP consumers. </w:t>
      </w:r>
    </w:p>
  </w:footnote>
  <w:footnote w:id="46">
    <w:p w:rsidR="00EA14E5" w:rsidRPr="00A26039" w:rsidP="00480026" w14:paraId="4D209DC9" w14:textId="64526CCC">
      <w:pPr>
        <w:pStyle w:val="FootnoteText"/>
        <w:spacing w:after="120"/>
        <w:rPr>
          <w:rFonts w:cs="Times New Roman"/>
        </w:rPr>
      </w:pPr>
      <w:r w:rsidRPr="00A26039">
        <w:rPr>
          <w:rStyle w:val="FootnoteReference"/>
          <w:rFonts w:cs="Times New Roman"/>
        </w:rPr>
        <w:footnoteRef/>
      </w:r>
      <w:r w:rsidRPr="00A26039">
        <w:rPr>
          <w:rFonts w:cs="Times New Roman"/>
        </w:rPr>
        <w:t xml:space="preserve"> OCC Ex. 1 (</w:t>
      </w:r>
      <w:r w:rsidR="008E5BBF">
        <w:rPr>
          <w:rFonts w:cs="Times New Roman"/>
        </w:rPr>
        <w:t xml:space="preserve">August 19, 2022 </w:t>
      </w:r>
      <w:r w:rsidRPr="00A26039">
        <w:rPr>
          <w:rFonts w:cs="Times New Roman"/>
        </w:rPr>
        <w:t xml:space="preserve">Testimony of James D. Williams) at 27; OCC Post Hearing Brief </w:t>
      </w:r>
      <w:r w:rsidR="00385288">
        <w:rPr>
          <w:rFonts w:cs="Times New Roman"/>
        </w:rPr>
        <w:t>(September 1</w:t>
      </w:r>
      <w:r w:rsidR="00E90837">
        <w:rPr>
          <w:rFonts w:cs="Times New Roman"/>
        </w:rPr>
        <w:t>2</w:t>
      </w:r>
      <w:r w:rsidR="00385288">
        <w:rPr>
          <w:rFonts w:cs="Times New Roman"/>
        </w:rPr>
        <w:t xml:space="preserve">, 2022) </w:t>
      </w:r>
      <w:r w:rsidRPr="00A26039">
        <w:rPr>
          <w:rFonts w:cs="Times New Roman"/>
        </w:rPr>
        <w:t xml:space="preserve">at 20-21; OCC Reply Brief </w:t>
      </w:r>
      <w:r w:rsidR="008E5BBF">
        <w:rPr>
          <w:rFonts w:cs="Times New Roman"/>
        </w:rPr>
        <w:t>(September 23, 2022) at</w:t>
      </w:r>
      <w:r w:rsidRPr="00A26039">
        <w:rPr>
          <w:rFonts w:cs="Times New Roman"/>
        </w:rPr>
        <w:t xml:space="preserve"> 24-25.</w:t>
      </w:r>
    </w:p>
  </w:footnote>
  <w:footnote w:id="47">
    <w:p w:rsidR="00801376" w:rsidRPr="00A26039" w:rsidP="00480026" w14:paraId="57C5FA56" w14:textId="53B049AE">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sidR="00B829AC">
        <w:rPr>
          <w:rFonts w:cs="Times New Roman"/>
          <w:i/>
          <w:iCs/>
        </w:rPr>
        <w:t>Ohio Consumers’ Counsel v. Pub. Util. Comm</w:t>
      </w:r>
      <w:r w:rsidRPr="00A26039" w:rsidR="00B829AC">
        <w:rPr>
          <w:rFonts w:cs="Times New Roman"/>
        </w:rPr>
        <w:t>., 121 Ohio St.3d 362, 372 (2009) (Pfeifer, J. dissenting).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046C" w14:paraId="1B783A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CF14E00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A26557C"/>
    <w:multiLevelType w:val="hybridMultilevel"/>
    <w:tmpl w:val="2A2097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28F0AAC"/>
    <w:multiLevelType w:val="hybridMultilevel"/>
    <w:tmpl w:val="CCE64A9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9">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7F6470"/>
    <w:multiLevelType w:val="hybridMultilevel"/>
    <w:tmpl w:val="9F46A91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76F3CAA"/>
    <w:multiLevelType w:val="hybridMultilevel"/>
    <w:tmpl w:val="4062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3"/>
  </w:num>
  <w:num w:numId="2">
    <w:abstractNumId w:val="12"/>
  </w:num>
  <w:num w:numId="3">
    <w:abstractNumId w:val="0"/>
  </w:num>
  <w:num w:numId="4">
    <w:abstractNumId w:val="0"/>
    <w:lvlOverride w:ilvl="0">
      <w:startOverride w:val="1"/>
    </w:lvlOverride>
  </w:num>
  <w:num w:numId="5">
    <w:abstractNumId w:val="0"/>
    <w:lvlOverride w:ilvl="0">
      <w:startOverride w:val="1"/>
    </w:lvlOverride>
  </w:num>
  <w:num w:numId="6">
    <w:abstractNumId w:val="21"/>
  </w:num>
  <w:num w:numId="7">
    <w:abstractNumId w:val="2"/>
  </w:num>
  <w:num w:numId="8">
    <w:abstractNumId w:val="5"/>
  </w:num>
  <w:num w:numId="9">
    <w:abstractNumId w:val="10"/>
  </w:num>
  <w:num w:numId="10">
    <w:abstractNumId w:val="18"/>
  </w:num>
  <w:num w:numId="11">
    <w:abstractNumId w:val="4"/>
  </w:num>
  <w:num w:numId="12">
    <w:abstractNumId w:val="13"/>
  </w:num>
  <w:num w:numId="13">
    <w:abstractNumId w:val="13"/>
  </w:num>
  <w:num w:numId="14">
    <w:abstractNumId w:val="14"/>
  </w:num>
  <w:num w:numId="15">
    <w:abstractNumId w:val="13"/>
  </w:num>
  <w:num w:numId="16">
    <w:abstractNumId w:val="13"/>
  </w:num>
  <w:num w:numId="17">
    <w:abstractNumId w:val="6"/>
  </w:num>
  <w:num w:numId="18">
    <w:abstractNumId w:val="17"/>
  </w:num>
  <w:num w:numId="19">
    <w:abstractNumId w:val="12"/>
  </w:num>
  <w:num w:numId="20">
    <w:abstractNumId w:val="12"/>
  </w:num>
  <w:num w:numId="21">
    <w:abstractNumId w:val="12"/>
  </w:num>
  <w:num w:numId="22">
    <w:abstractNumId w:val="12"/>
  </w:num>
  <w:num w:numId="23">
    <w:abstractNumId w:val="9"/>
  </w:num>
  <w:num w:numId="24">
    <w:abstractNumId w:val="13"/>
  </w:num>
  <w:num w:numId="25">
    <w:abstractNumId w:val="12"/>
  </w:num>
  <w:num w:numId="26">
    <w:abstractNumId w:val="11"/>
  </w:num>
  <w:num w:numId="27">
    <w:abstractNumId w:val="13"/>
  </w:num>
  <w:num w:numId="28">
    <w:abstractNumId w:val="13"/>
  </w:num>
  <w:num w:numId="29">
    <w:abstractNumId w:val="13"/>
  </w:num>
  <w:num w:numId="30">
    <w:abstractNumId w:val="15"/>
  </w:num>
  <w:num w:numId="31">
    <w:abstractNumId w:val="19"/>
  </w:num>
  <w:num w:numId="32">
    <w:abstractNumId w:val="13"/>
  </w:num>
  <w:num w:numId="33">
    <w:abstractNumId w:val="1"/>
  </w:num>
  <w:num w:numId="34">
    <w:abstractNumId w:val="8"/>
  </w:num>
  <w:num w:numId="35">
    <w:abstractNumId w:val="0"/>
    <w:lvlOverride w:ilvl="0">
      <w:startOverride w:val="1"/>
    </w:lvlOverride>
  </w:num>
  <w:num w:numId="36">
    <w:abstractNumId w:val="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03A6E"/>
    <w:rsid w:val="00006A9C"/>
    <w:rsid w:val="00011060"/>
    <w:rsid w:val="0001597C"/>
    <w:rsid w:val="000202A0"/>
    <w:rsid w:val="000212CC"/>
    <w:rsid w:val="00024B4B"/>
    <w:rsid w:val="00030205"/>
    <w:rsid w:val="00030E37"/>
    <w:rsid w:val="00033D2A"/>
    <w:rsid w:val="00035F75"/>
    <w:rsid w:val="000373BB"/>
    <w:rsid w:val="00037D3C"/>
    <w:rsid w:val="00037D47"/>
    <w:rsid w:val="000404DE"/>
    <w:rsid w:val="00041D32"/>
    <w:rsid w:val="00045734"/>
    <w:rsid w:val="000473A8"/>
    <w:rsid w:val="00050B87"/>
    <w:rsid w:val="00051420"/>
    <w:rsid w:val="0005286A"/>
    <w:rsid w:val="00053781"/>
    <w:rsid w:val="000554B5"/>
    <w:rsid w:val="0005730C"/>
    <w:rsid w:val="000605B2"/>
    <w:rsid w:val="00060C07"/>
    <w:rsid w:val="00060D4E"/>
    <w:rsid w:val="00061F69"/>
    <w:rsid w:val="00062C1C"/>
    <w:rsid w:val="00064A76"/>
    <w:rsid w:val="00072F90"/>
    <w:rsid w:val="00073318"/>
    <w:rsid w:val="000739CD"/>
    <w:rsid w:val="00075EBA"/>
    <w:rsid w:val="00080E58"/>
    <w:rsid w:val="00081412"/>
    <w:rsid w:val="00081FBA"/>
    <w:rsid w:val="00082471"/>
    <w:rsid w:val="000825EA"/>
    <w:rsid w:val="00082907"/>
    <w:rsid w:val="00083F95"/>
    <w:rsid w:val="000844C0"/>
    <w:rsid w:val="00085EE4"/>
    <w:rsid w:val="00087E80"/>
    <w:rsid w:val="00091ECD"/>
    <w:rsid w:val="00092CC5"/>
    <w:rsid w:val="00094235"/>
    <w:rsid w:val="00094330"/>
    <w:rsid w:val="00095AFD"/>
    <w:rsid w:val="00097221"/>
    <w:rsid w:val="000A4DA2"/>
    <w:rsid w:val="000A6B46"/>
    <w:rsid w:val="000A6CAB"/>
    <w:rsid w:val="000A6F51"/>
    <w:rsid w:val="000A759E"/>
    <w:rsid w:val="000A76B6"/>
    <w:rsid w:val="000B0F09"/>
    <w:rsid w:val="000B2302"/>
    <w:rsid w:val="000C1234"/>
    <w:rsid w:val="000C164C"/>
    <w:rsid w:val="000C1D3F"/>
    <w:rsid w:val="000C2A58"/>
    <w:rsid w:val="000C3998"/>
    <w:rsid w:val="000C43F6"/>
    <w:rsid w:val="000C5917"/>
    <w:rsid w:val="000C5C25"/>
    <w:rsid w:val="000C6247"/>
    <w:rsid w:val="000D1486"/>
    <w:rsid w:val="000D1576"/>
    <w:rsid w:val="000D2431"/>
    <w:rsid w:val="000D2871"/>
    <w:rsid w:val="000D2DB4"/>
    <w:rsid w:val="000D4657"/>
    <w:rsid w:val="000D531E"/>
    <w:rsid w:val="000D5DBB"/>
    <w:rsid w:val="000D63DF"/>
    <w:rsid w:val="000E3685"/>
    <w:rsid w:val="000E48AE"/>
    <w:rsid w:val="000E4B69"/>
    <w:rsid w:val="000E7D3E"/>
    <w:rsid w:val="000F25CF"/>
    <w:rsid w:val="000F2856"/>
    <w:rsid w:val="000F540A"/>
    <w:rsid w:val="000F73BA"/>
    <w:rsid w:val="00104401"/>
    <w:rsid w:val="0010744E"/>
    <w:rsid w:val="00110913"/>
    <w:rsid w:val="00110C27"/>
    <w:rsid w:val="0011118D"/>
    <w:rsid w:val="00111AD8"/>
    <w:rsid w:val="00113A8A"/>
    <w:rsid w:val="00120147"/>
    <w:rsid w:val="00120FB5"/>
    <w:rsid w:val="001258E8"/>
    <w:rsid w:val="00126ABB"/>
    <w:rsid w:val="00131BF5"/>
    <w:rsid w:val="00133EF9"/>
    <w:rsid w:val="001347B8"/>
    <w:rsid w:val="0014095B"/>
    <w:rsid w:val="00141BD6"/>
    <w:rsid w:val="00141D69"/>
    <w:rsid w:val="00142A17"/>
    <w:rsid w:val="00144814"/>
    <w:rsid w:val="001458FF"/>
    <w:rsid w:val="001466C2"/>
    <w:rsid w:val="00147A90"/>
    <w:rsid w:val="00151937"/>
    <w:rsid w:val="001529BC"/>
    <w:rsid w:val="00152A74"/>
    <w:rsid w:val="0015444F"/>
    <w:rsid w:val="00154D35"/>
    <w:rsid w:val="00156DDF"/>
    <w:rsid w:val="001571FA"/>
    <w:rsid w:val="00160015"/>
    <w:rsid w:val="00161424"/>
    <w:rsid w:val="00161965"/>
    <w:rsid w:val="00167711"/>
    <w:rsid w:val="001708F3"/>
    <w:rsid w:val="001727CB"/>
    <w:rsid w:val="00174FD5"/>
    <w:rsid w:val="0017656C"/>
    <w:rsid w:val="00177147"/>
    <w:rsid w:val="00177C12"/>
    <w:rsid w:val="00177F88"/>
    <w:rsid w:val="001802E9"/>
    <w:rsid w:val="001808EA"/>
    <w:rsid w:val="00180A02"/>
    <w:rsid w:val="00181C1D"/>
    <w:rsid w:val="00182457"/>
    <w:rsid w:val="00183ABC"/>
    <w:rsid w:val="00185435"/>
    <w:rsid w:val="00186CB5"/>
    <w:rsid w:val="001874FE"/>
    <w:rsid w:val="0019099B"/>
    <w:rsid w:val="001917A0"/>
    <w:rsid w:val="001921EE"/>
    <w:rsid w:val="00193A65"/>
    <w:rsid w:val="001948AA"/>
    <w:rsid w:val="00195C32"/>
    <w:rsid w:val="00197E6E"/>
    <w:rsid w:val="00197E70"/>
    <w:rsid w:val="001A02C8"/>
    <w:rsid w:val="001A3D9F"/>
    <w:rsid w:val="001A5A4A"/>
    <w:rsid w:val="001B0488"/>
    <w:rsid w:val="001B2B4F"/>
    <w:rsid w:val="001B71B7"/>
    <w:rsid w:val="001C0CE2"/>
    <w:rsid w:val="001C25DD"/>
    <w:rsid w:val="001C3961"/>
    <w:rsid w:val="001C5693"/>
    <w:rsid w:val="001C7E06"/>
    <w:rsid w:val="001D0116"/>
    <w:rsid w:val="001D0608"/>
    <w:rsid w:val="001D1B6D"/>
    <w:rsid w:val="001D2205"/>
    <w:rsid w:val="001D5557"/>
    <w:rsid w:val="001D57D5"/>
    <w:rsid w:val="001D5B69"/>
    <w:rsid w:val="001D64D0"/>
    <w:rsid w:val="001E1932"/>
    <w:rsid w:val="001E1B32"/>
    <w:rsid w:val="001E2D93"/>
    <w:rsid w:val="001E3A88"/>
    <w:rsid w:val="001E4C9A"/>
    <w:rsid w:val="001E56B9"/>
    <w:rsid w:val="001F06AB"/>
    <w:rsid w:val="001F13F5"/>
    <w:rsid w:val="001F17C8"/>
    <w:rsid w:val="001F2033"/>
    <w:rsid w:val="001F4B10"/>
    <w:rsid w:val="001F6B49"/>
    <w:rsid w:val="001F6CC6"/>
    <w:rsid w:val="002051F1"/>
    <w:rsid w:val="0020599E"/>
    <w:rsid w:val="00205C1D"/>
    <w:rsid w:val="00206857"/>
    <w:rsid w:val="002070B4"/>
    <w:rsid w:val="0021078E"/>
    <w:rsid w:val="00210EE4"/>
    <w:rsid w:val="00211D48"/>
    <w:rsid w:val="00214E0C"/>
    <w:rsid w:val="00217F94"/>
    <w:rsid w:val="00223875"/>
    <w:rsid w:val="00224851"/>
    <w:rsid w:val="00225214"/>
    <w:rsid w:val="00225A6F"/>
    <w:rsid w:val="00233023"/>
    <w:rsid w:val="002341D4"/>
    <w:rsid w:val="00236827"/>
    <w:rsid w:val="0023728D"/>
    <w:rsid w:val="00240ACF"/>
    <w:rsid w:val="00244209"/>
    <w:rsid w:val="00244C5E"/>
    <w:rsid w:val="00246318"/>
    <w:rsid w:val="00247431"/>
    <w:rsid w:val="0025005C"/>
    <w:rsid w:val="002552CD"/>
    <w:rsid w:val="002571AE"/>
    <w:rsid w:val="00262AC3"/>
    <w:rsid w:val="00262F26"/>
    <w:rsid w:val="00262F47"/>
    <w:rsid w:val="0026585C"/>
    <w:rsid w:val="00266DCF"/>
    <w:rsid w:val="0026704F"/>
    <w:rsid w:val="00267105"/>
    <w:rsid w:val="00267587"/>
    <w:rsid w:val="002677A9"/>
    <w:rsid w:val="00270D5D"/>
    <w:rsid w:val="00274D3B"/>
    <w:rsid w:val="0027560B"/>
    <w:rsid w:val="0027573F"/>
    <w:rsid w:val="00281B40"/>
    <w:rsid w:val="00283060"/>
    <w:rsid w:val="00286582"/>
    <w:rsid w:val="00290D6C"/>
    <w:rsid w:val="00291287"/>
    <w:rsid w:val="00293E41"/>
    <w:rsid w:val="002942A7"/>
    <w:rsid w:val="002A01FC"/>
    <w:rsid w:val="002A046C"/>
    <w:rsid w:val="002A16B7"/>
    <w:rsid w:val="002A3963"/>
    <w:rsid w:val="002A3BA1"/>
    <w:rsid w:val="002A6933"/>
    <w:rsid w:val="002A79E4"/>
    <w:rsid w:val="002A7BF9"/>
    <w:rsid w:val="002B0278"/>
    <w:rsid w:val="002B11DE"/>
    <w:rsid w:val="002B21E6"/>
    <w:rsid w:val="002B5D0E"/>
    <w:rsid w:val="002B5E0F"/>
    <w:rsid w:val="002B6379"/>
    <w:rsid w:val="002B6E51"/>
    <w:rsid w:val="002B7DA4"/>
    <w:rsid w:val="002C0344"/>
    <w:rsid w:val="002C0383"/>
    <w:rsid w:val="002C1871"/>
    <w:rsid w:val="002C4209"/>
    <w:rsid w:val="002C45BB"/>
    <w:rsid w:val="002C4B2E"/>
    <w:rsid w:val="002C6125"/>
    <w:rsid w:val="002D4B35"/>
    <w:rsid w:val="002D4C63"/>
    <w:rsid w:val="002E2564"/>
    <w:rsid w:val="002E277F"/>
    <w:rsid w:val="002E3822"/>
    <w:rsid w:val="002E5502"/>
    <w:rsid w:val="002E7088"/>
    <w:rsid w:val="002F094C"/>
    <w:rsid w:val="002F210E"/>
    <w:rsid w:val="002F31FF"/>
    <w:rsid w:val="002F5B5B"/>
    <w:rsid w:val="002F5C81"/>
    <w:rsid w:val="002F6E16"/>
    <w:rsid w:val="002F77D2"/>
    <w:rsid w:val="0030017B"/>
    <w:rsid w:val="00302DF2"/>
    <w:rsid w:val="003040BD"/>
    <w:rsid w:val="0030470B"/>
    <w:rsid w:val="00310581"/>
    <w:rsid w:val="00310B25"/>
    <w:rsid w:val="00312ABA"/>
    <w:rsid w:val="003155AF"/>
    <w:rsid w:val="00315C87"/>
    <w:rsid w:val="00321E47"/>
    <w:rsid w:val="003235AC"/>
    <w:rsid w:val="00327FF2"/>
    <w:rsid w:val="00331BE8"/>
    <w:rsid w:val="00334C84"/>
    <w:rsid w:val="0034017B"/>
    <w:rsid w:val="00343BC8"/>
    <w:rsid w:val="00345138"/>
    <w:rsid w:val="00346E6C"/>
    <w:rsid w:val="003471F4"/>
    <w:rsid w:val="00347834"/>
    <w:rsid w:val="00347A74"/>
    <w:rsid w:val="00350036"/>
    <w:rsid w:val="003503CC"/>
    <w:rsid w:val="003524E1"/>
    <w:rsid w:val="00354CB1"/>
    <w:rsid w:val="003554C4"/>
    <w:rsid w:val="003554D5"/>
    <w:rsid w:val="00357E2A"/>
    <w:rsid w:val="00364CF1"/>
    <w:rsid w:val="00370D3A"/>
    <w:rsid w:val="0037284E"/>
    <w:rsid w:val="00373484"/>
    <w:rsid w:val="00374BEA"/>
    <w:rsid w:val="00375DEA"/>
    <w:rsid w:val="00381B68"/>
    <w:rsid w:val="00381E10"/>
    <w:rsid w:val="00383BC2"/>
    <w:rsid w:val="00383FE2"/>
    <w:rsid w:val="00385288"/>
    <w:rsid w:val="00385584"/>
    <w:rsid w:val="0038632E"/>
    <w:rsid w:val="00387143"/>
    <w:rsid w:val="00387D64"/>
    <w:rsid w:val="003902EC"/>
    <w:rsid w:val="00391F0E"/>
    <w:rsid w:val="003A47DC"/>
    <w:rsid w:val="003A5E01"/>
    <w:rsid w:val="003A7CEB"/>
    <w:rsid w:val="003B178A"/>
    <w:rsid w:val="003B38D8"/>
    <w:rsid w:val="003B3A6C"/>
    <w:rsid w:val="003B5352"/>
    <w:rsid w:val="003C0BC9"/>
    <w:rsid w:val="003C1E55"/>
    <w:rsid w:val="003C22CB"/>
    <w:rsid w:val="003C25DC"/>
    <w:rsid w:val="003C312E"/>
    <w:rsid w:val="003C44FC"/>
    <w:rsid w:val="003C4F75"/>
    <w:rsid w:val="003D0B7A"/>
    <w:rsid w:val="003D103B"/>
    <w:rsid w:val="003D3D8D"/>
    <w:rsid w:val="003D4E6A"/>
    <w:rsid w:val="003D4FBD"/>
    <w:rsid w:val="003D5EA5"/>
    <w:rsid w:val="003E2553"/>
    <w:rsid w:val="003E28B1"/>
    <w:rsid w:val="003E4C1A"/>
    <w:rsid w:val="003E6576"/>
    <w:rsid w:val="003E760B"/>
    <w:rsid w:val="003E77CE"/>
    <w:rsid w:val="003E7971"/>
    <w:rsid w:val="003F14C3"/>
    <w:rsid w:val="003F440A"/>
    <w:rsid w:val="003F474A"/>
    <w:rsid w:val="003F5C5D"/>
    <w:rsid w:val="00401E4F"/>
    <w:rsid w:val="004027F0"/>
    <w:rsid w:val="00403913"/>
    <w:rsid w:val="0040480E"/>
    <w:rsid w:val="0040593E"/>
    <w:rsid w:val="004077ED"/>
    <w:rsid w:val="00407811"/>
    <w:rsid w:val="00407943"/>
    <w:rsid w:val="00410BC6"/>
    <w:rsid w:val="00411B0F"/>
    <w:rsid w:val="00412B54"/>
    <w:rsid w:val="004133EE"/>
    <w:rsid w:val="004169C1"/>
    <w:rsid w:val="0042093B"/>
    <w:rsid w:val="00421452"/>
    <w:rsid w:val="00424275"/>
    <w:rsid w:val="004242CB"/>
    <w:rsid w:val="00432523"/>
    <w:rsid w:val="004352ED"/>
    <w:rsid w:val="004353CA"/>
    <w:rsid w:val="0043559C"/>
    <w:rsid w:val="00435BB4"/>
    <w:rsid w:val="00441F01"/>
    <w:rsid w:val="004427DD"/>
    <w:rsid w:val="00444595"/>
    <w:rsid w:val="004448B2"/>
    <w:rsid w:val="004458A2"/>
    <w:rsid w:val="0045093A"/>
    <w:rsid w:val="00453A2C"/>
    <w:rsid w:val="00454254"/>
    <w:rsid w:val="00454401"/>
    <w:rsid w:val="00457099"/>
    <w:rsid w:val="00461179"/>
    <w:rsid w:val="00461696"/>
    <w:rsid w:val="0046199B"/>
    <w:rsid w:val="00461AFC"/>
    <w:rsid w:val="0046415A"/>
    <w:rsid w:val="00464B9F"/>
    <w:rsid w:val="004667E0"/>
    <w:rsid w:val="00467DAA"/>
    <w:rsid w:val="0047275D"/>
    <w:rsid w:val="00473139"/>
    <w:rsid w:val="00477E9D"/>
    <w:rsid w:val="00480026"/>
    <w:rsid w:val="00480E3D"/>
    <w:rsid w:val="00482B78"/>
    <w:rsid w:val="0048302F"/>
    <w:rsid w:val="00485F7F"/>
    <w:rsid w:val="00485FB2"/>
    <w:rsid w:val="004911A5"/>
    <w:rsid w:val="00495680"/>
    <w:rsid w:val="004A0F6F"/>
    <w:rsid w:val="004A298C"/>
    <w:rsid w:val="004A3147"/>
    <w:rsid w:val="004A4C41"/>
    <w:rsid w:val="004B0AA7"/>
    <w:rsid w:val="004B17DA"/>
    <w:rsid w:val="004B1E22"/>
    <w:rsid w:val="004B524B"/>
    <w:rsid w:val="004B53D9"/>
    <w:rsid w:val="004B69DB"/>
    <w:rsid w:val="004B7BE8"/>
    <w:rsid w:val="004B7DC4"/>
    <w:rsid w:val="004C0E4E"/>
    <w:rsid w:val="004C165E"/>
    <w:rsid w:val="004C2959"/>
    <w:rsid w:val="004C3FC7"/>
    <w:rsid w:val="004C40ED"/>
    <w:rsid w:val="004C5B01"/>
    <w:rsid w:val="004D1D07"/>
    <w:rsid w:val="004D22DD"/>
    <w:rsid w:val="004D23A0"/>
    <w:rsid w:val="004D49A4"/>
    <w:rsid w:val="004D5120"/>
    <w:rsid w:val="004D576B"/>
    <w:rsid w:val="004D6F43"/>
    <w:rsid w:val="004E09DF"/>
    <w:rsid w:val="004E1FEB"/>
    <w:rsid w:val="004E2FBD"/>
    <w:rsid w:val="004E4647"/>
    <w:rsid w:val="004E4F14"/>
    <w:rsid w:val="004E5118"/>
    <w:rsid w:val="004E6A72"/>
    <w:rsid w:val="004F1637"/>
    <w:rsid w:val="004F4474"/>
    <w:rsid w:val="004F558E"/>
    <w:rsid w:val="004F5C91"/>
    <w:rsid w:val="00500930"/>
    <w:rsid w:val="00511959"/>
    <w:rsid w:val="00511C31"/>
    <w:rsid w:val="00512DCB"/>
    <w:rsid w:val="0051382B"/>
    <w:rsid w:val="00515009"/>
    <w:rsid w:val="005162FB"/>
    <w:rsid w:val="00516417"/>
    <w:rsid w:val="005165F0"/>
    <w:rsid w:val="00521A79"/>
    <w:rsid w:val="00521C37"/>
    <w:rsid w:val="00522047"/>
    <w:rsid w:val="00522D56"/>
    <w:rsid w:val="0052329A"/>
    <w:rsid w:val="005245BC"/>
    <w:rsid w:val="00524879"/>
    <w:rsid w:val="00527CB3"/>
    <w:rsid w:val="00530A4E"/>
    <w:rsid w:val="00530D1E"/>
    <w:rsid w:val="00532A68"/>
    <w:rsid w:val="0053379B"/>
    <w:rsid w:val="00533E30"/>
    <w:rsid w:val="00534B66"/>
    <w:rsid w:val="0053578E"/>
    <w:rsid w:val="00535BCF"/>
    <w:rsid w:val="005365F6"/>
    <w:rsid w:val="0054591D"/>
    <w:rsid w:val="00550275"/>
    <w:rsid w:val="0055060E"/>
    <w:rsid w:val="00552277"/>
    <w:rsid w:val="005535FB"/>
    <w:rsid w:val="005538EA"/>
    <w:rsid w:val="00553E4D"/>
    <w:rsid w:val="00556829"/>
    <w:rsid w:val="00557E2F"/>
    <w:rsid w:val="00560BCF"/>
    <w:rsid w:val="005616F4"/>
    <w:rsid w:val="005639A5"/>
    <w:rsid w:val="00566E39"/>
    <w:rsid w:val="00567686"/>
    <w:rsid w:val="00567EA9"/>
    <w:rsid w:val="00572515"/>
    <w:rsid w:val="00575DE3"/>
    <w:rsid w:val="00575F9A"/>
    <w:rsid w:val="00580702"/>
    <w:rsid w:val="005809F8"/>
    <w:rsid w:val="005826D4"/>
    <w:rsid w:val="0058396F"/>
    <w:rsid w:val="005842CA"/>
    <w:rsid w:val="005859A7"/>
    <w:rsid w:val="005868F1"/>
    <w:rsid w:val="00587B74"/>
    <w:rsid w:val="00587F3C"/>
    <w:rsid w:val="00590698"/>
    <w:rsid w:val="00590F7B"/>
    <w:rsid w:val="00591476"/>
    <w:rsid w:val="0059395A"/>
    <w:rsid w:val="00593CAB"/>
    <w:rsid w:val="00594532"/>
    <w:rsid w:val="005946CC"/>
    <w:rsid w:val="00596B6D"/>
    <w:rsid w:val="00597D62"/>
    <w:rsid w:val="005A0312"/>
    <w:rsid w:val="005A0BDB"/>
    <w:rsid w:val="005A1581"/>
    <w:rsid w:val="005A1FBE"/>
    <w:rsid w:val="005A2279"/>
    <w:rsid w:val="005A29AE"/>
    <w:rsid w:val="005A4A93"/>
    <w:rsid w:val="005A7045"/>
    <w:rsid w:val="005B5644"/>
    <w:rsid w:val="005B5DBE"/>
    <w:rsid w:val="005B6560"/>
    <w:rsid w:val="005C1525"/>
    <w:rsid w:val="005C351C"/>
    <w:rsid w:val="005C50ED"/>
    <w:rsid w:val="005C5447"/>
    <w:rsid w:val="005C5DB8"/>
    <w:rsid w:val="005C6900"/>
    <w:rsid w:val="005C7F50"/>
    <w:rsid w:val="005D3D3C"/>
    <w:rsid w:val="005D5FBA"/>
    <w:rsid w:val="005E0638"/>
    <w:rsid w:val="005E1F02"/>
    <w:rsid w:val="005E26FA"/>
    <w:rsid w:val="005E3CAE"/>
    <w:rsid w:val="005E3D2C"/>
    <w:rsid w:val="005F0886"/>
    <w:rsid w:val="005F0DA2"/>
    <w:rsid w:val="005F13DD"/>
    <w:rsid w:val="005F3639"/>
    <w:rsid w:val="005F52FB"/>
    <w:rsid w:val="005F6507"/>
    <w:rsid w:val="005F6BA4"/>
    <w:rsid w:val="006018FA"/>
    <w:rsid w:val="00601BB4"/>
    <w:rsid w:val="00604931"/>
    <w:rsid w:val="00610EAB"/>
    <w:rsid w:val="0061332B"/>
    <w:rsid w:val="00613F2D"/>
    <w:rsid w:val="006154B4"/>
    <w:rsid w:val="006225E6"/>
    <w:rsid w:val="00623446"/>
    <w:rsid w:val="00624C8F"/>
    <w:rsid w:val="00625EDE"/>
    <w:rsid w:val="00627945"/>
    <w:rsid w:val="00631FBC"/>
    <w:rsid w:val="00632968"/>
    <w:rsid w:val="00647287"/>
    <w:rsid w:val="0065148F"/>
    <w:rsid w:val="00652897"/>
    <w:rsid w:val="00652A85"/>
    <w:rsid w:val="006540D9"/>
    <w:rsid w:val="006550F3"/>
    <w:rsid w:val="00655E90"/>
    <w:rsid w:val="00663AC9"/>
    <w:rsid w:val="00663CE9"/>
    <w:rsid w:val="00665004"/>
    <w:rsid w:val="006745A7"/>
    <w:rsid w:val="006774BE"/>
    <w:rsid w:val="00682769"/>
    <w:rsid w:val="00682D8F"/>
    <w:rsid w:val="00683B78"/>
    <w:rsid w:val="006840A8"/>
    <w:rsid w:val="0068469D"/>
    <w:rsid w:val="0068678A"/>
    <w:rsid w:val="006868EB"/>
    <w:rsid w:val="00690446"/>
    <w:rsid w:val="006916CE"/>
    <w:rsid w:val="00692851"/>
    <w:rsid w:val="00692D8F"/>
    <w:rsid w:val="00693D82"/>
    <w:rsid w:val="00695BFF"/>
    <w:rsid w:val="0069795B"/>
    <w:rsid w:val="006A0331"/>
    <w:rsid w:val="006A1BDB"/>
    <w:rsid w:val="006A305C"/>
    <w:rsid w:val="006A351C"/>
    <w:rsid w:val="006A3FBF"/>
    <w:rsid w:val="006A4048"/>
    <w:rsid w:val="006A47F4"/>
    <w:rsid w:val="006A64C8"/>
    <w:rsid w:val="006A68D6"/>
    <w:rsid w:val="006B0865"/>
    <w:rsid w:val="006B09C2"/>
    <w:rsid w:val="006B0EF8"/>
    <w:rsid w:val="006B181E"/>
    <w:rsid w:val="006B1FCE"/>
    <w:rsid w:val="006B2369"/>
    <w:rsid w:val="006B3079"/>
    <w:rsid w:val="006B3086"/>
    <w:rsid w:val="006B49FB"/>
    <w:rsid w:val="006B5637"/>
    <w:rsid w:val="006B5ACA"/>
    <w:rsid w:val="006B5AE4"/>
    <w:rsid w:val="006B6172"/>
    <w:rsid w:val="006B6256"/>
    <w:rsid w:val="006B7858"/>
    <w:rsid w:val="006C1552"/>
    <w:rsid w:val="006C3419"/>
    <w:rsid w:val="006C4A7C"/>
    <w:rsid w:val="006C5C84"/>
    <w:rsid w:val="006C5DCE"/>
    <w:rsid w:val="006C7401"/>
    <w:rsid w:val="006D09FB"/>
    <w:rsid w:val="006D0F29"/>
    <w:rsid w:val="006D1940"/>
    <w:rsid w:val="006D19FD"/>
    <w:rsid w:val="006D215E"/>
    <w:rsid w:val="006D23C9"/>
    <w:rsid w:val="006D38A6"/>
    <w:rsid w:val="006D56D1"/>
    <w:rsid w:val="006D60F3"/>
    <w:rsid w:val="006D6D8C"/>
    <w:rsid w:val="006D7423"/>
    <w:rsid w:val="006D7B0A"/>
    <w:rsid w:val="006E3C8D"/>
    <w:rsid w:val="006E5926"/>
    <w:rsid w:val="006E70D2"/>
    <w:rsid w:val="006E7478"/>
    <w:rsid w:val="006F032E"/>
    <w:rsid w:val="006F05B8"/>
    <w:rsid w:val="006F1B22"/>
    <w:rsid w:val="006F34B6"/>
    <w:rsid w:val="006F4D75"/>
    <w:rsid w:val="006F6F08"/>
    <w:rsid w:val="0070006F"/>
    <w:rsid w:val="00701E93"/>
    <w:rsid w:val="007025EA"/>
    <w:rsid w:val="00702B51"/>
    <w:rsid w:val="00702E43"/>
    <w:rsid w:val="00707050"/>
    <w:rsid w:val="0071093D"/>
    <w:rsid w:val="00712A0B"/>
    <w:rsid w:val="00713075"/>
    <w:rsid w:val="00714B4F"/>
    <w:rsid w:val="00714F73"/>
    <w:rsid w:val="00716FE6"/>
    <w:rsid w:val="00722595"/>
    <w:rsid w:val="0072296F"/>
    <w:rsid w:val="007241A8"/>
    <w:rsid w:val="00726CB4"/>
    <w:rsid w:val="00727DB4"/>
    <w:rsid w:val="007307DB"/>
    <w:rsid w:val="00732470"/>
    <w:rsid w:val="007327BD"/>
    <w:rsid w:val="00737BBC"/>
    <w:rsid w:val="00740B4F"/>
    <w:rsid w:val="00740EAB"/>
    <w:rsid w:val="00742CA2"/>
    <w:rsid w:val="00743C57"/>
    <w:rsid w:val="00747035"/>
    <w:rsid w:val="00751792"/>
    <w:rsid w:val="007523DF"/>
    <w:rsid w:val="007531A4"/>
    <w:rsid w:val="0075402C"/>
    <w:rsid w:val="007546CB"/>
    <w:rsid w:val="00757CDD"/>
    <w:rsid w:val="007633FA"/>
    <w:rsid w:val="00764A31"/>
    <w:rsid w:val="00765233"/>
    <w:rsid w:val="00766364"/>
    <w:rsid w:val="00766FAD"/>
    <w:rsid w:val="00767538"/>
    <w:rsid w:val="007675E4"/>
    <w:rsid w:val="00770EA9"/>
    <w:rsid w:val="00770FBC"/>
    <w:rsid w:val="007733BE"/>
    <w:rsid w:val="00773B01"/>
    <w:rsid w:val="00774221"/>
    <w:rsid w:val="00774830"/>
    <w:rsid w:val="00774C64"/>
    <w:rsid w:val="007775D1"/>
    <w:rsid w:val="00780806"/>
    <w:rsid w:val="0078667A"/>
    <w:rsid w:val="00786A76"/>
    <w:rsid w:val="00790068"/>
    <w:rsid w:val="0079077A"/>
    <w:rsid w:val="00791428"/>
    <w:rsid w:val="00794798"/>
    <w:rsid w:val="00796761"/>
    <w:rsid w:val="00796D7B"/>
    <w:rsid w:val="00797BC9"/>
    <w:rsid w:val="007A1F0D"/>
    <w:rsid w:val="007A2EB4"/>
    <w:rsid w:val="007A4382"/>
    <w:rsid w:val="007A651E"/>
    <w:rsid w:val="007B127B"/>
    <w:rsid w:val="007B39ED"/>
    <w:rsid w:val="007B5C0D"/>
    <w:rsid w:val="007B6463"/>
    <w:rsid w:val="007B7097"/>
    <w:rsid w:val="007B7A85"/>
    <w:rsid w:val="007C011F"/>
    <w:rsid w:val="007C2559"/>
    <w:rsid w:val="007C38B2"/>
    <w:rsid w:val="007C57D4"/>
    <w:rsid w:val="007C70D0"/>
    <w:rsid w:val="007D128F"/>
    <w:rsid w:val="007D54D1"/>
    <w:rsid w:val="007D6461"/>
    <w:rsid w:val="007E0244"/>
    <w:rsid w:val="007E0816"/>
    <w:rsid w:val="007E1B70"/>
    <w:rsid w:val="007E2F68"/>
    <w:rsid w:val="007E32B9"/>
    <w:rsid w:val="007E3FF9"/>
    <w:rsid w:val="007E61F2"/>
    <w:rsid w:val="007F0242"/>
    <w:rsid w:val="007F0FC2"/>
    <w:rsid w:val="007F2B58"/>
    <w:rsid w:val="007F5D9A"/>
    <w:rsid w:val="00801376"/>
    <w:rsid w:val="00801953"/>
    <w:rsid w:val="00801ABF"/>
    <w:rsid w:val="00801C81"/>
    <w:rsid w:val="00803B67"/>
    <w:rsid w:val="008047B0"/>
    <w:rsid w:val="00806A25"/>
    <w:rsid w:val="0081140E"/>
    <w:rsid w:val="00811BA1"/>
    <w:rsid w:val="00811FBB"/>
    <w:rsid w:val="00815C44"/>
    <w:rsid w:val="00821B8C"/>
    <w:rsid w:val="008230B5"/>
    <w:rsid w:val="00823CC7"/>
    <w:rsid w:val="008259C3"/>
    <w:rsid w:val="00825D8A"/>
    <w:rsid w:val="00826AF5"/>
    <w:rsid w:val="0082747F"/>
    <w:rsid w:val="00827AF5"/>
    <w:rsid w:val="00831217"/>
    <w:rsid w:val="008334CB"/>
    <w:rsid w:val="00835B53"/>
    <w:rsid w:val="008372D3"/>
    <w:rsid w:val="00837BC6"/>
    <w:rsid w:val="0084066D"/>
    <w:rsid w:val="00842256"/>
    <w:rsid w:val="00846B16"/>
    <w:rsid w:val="008475D8"/>
    <w:rsid w:val="0085792B"/>
    <w:rsid w:val="00857F42"/>
    <w:rsid w:val="0086090C"/>
    <w:rsid w:val="00861D0B"/>
    <w:rsid w:val="008637AB"/>
    <w:rsid w:val="0087004A"/>
    <w:rsid w:val="0087136D"/>
    <w:rsid w:val="0087231D"/>
    <w:rsid w:val="00874F94"/>
    <w:rsid w:val="00874FE7"/>
    <w:rsid w:val="008759AB"/>
    <w:rsid w:val="00880797"/>
    <w:rsid w:val="00882FBE"/>
    <w:rsid w:val="0088308C"/>
    <w:rsid w:val="00884302"/>
    <w:rsid w:val="00885295"/>
    <w:rsid w:val="00887D08"/>
    <w:rsid w:val="00890B40"/>
    <w:rsid w:val="0089116E"/>
    <w:rsid w:val="0089228A"/>
    <w:rsid w:val="00892728"/>
    <w:rsid w:val="00896CE5"/>
    <w:rsid w:val="00897E6F"/>
    <w:rsid w:val="00897FD6"/>
    <w:rsid w:val="008A0B9A"/>
    <w:rsid w:val="008A1195"/>
    <w:rsid w:val="008A296C"/>
    <w:rsid w:val="008A5C93"/>
    <w:rsid w:val="008B1BB4"/>
    <w:rsid w:val="008B1E83"/>
    <w:rsid w:val="008B2645"/>
    <w:rsid w:val="008B291E"/>
    <w:rsid w:val="008B4F01"/>
    <w:rsid w:val="008B509B"/>
    <w:rsid w:val="008B50F4"/>
    <w:rsid w:val="008C05FC"/>
    <w:rsid w:val="008C076D"/>
    <w:rsid w:val="008C1323"/>
    <w:rsid w:val="008C60E0"/>
    <w:rsid w:val="008C724F"/>
    <w:rsid w:val="008D4E32"/>
    <w:rsid w:val="008D5478"/>
    <w:rsid w:val="008E05CC"/>
    <w:rsid w:val="008E086E"/>
    <w:rsid w:val="008E1C65"/>
    <w:rsid w:val="008E2040"/>
    <w:rsid w:val="008E3C9C"/>
    <w:rsid w:val="008E5BB9"/>
    <w:rsid w:val="008E5BBF"/>
    <w:rsid w:val="008E6FE7"/>
    <w:rsid w:val="008F31F7"/>
    <w:rsid w:val="008F498C"/>
    <w:rsid w:val="008F62D6"/>
    <w:rsid w:val="0090042C"/>
    <w:rsid w:val="009004E7"/>
    <w:rsid w:val="00903329"/>
    <w:rsid w:val="009038A1"/>
    <w:rsid w:val="00903F6D"/>
    <w:rsid w:val="00905443"/>
    <w:rsid w:val="00910F74"/>
    <w:rsid w:val="009112E5"/>
    <w:rsid w:val="00913B1E"/>
    <w:rsid w:val="0091474A"/>
    <w:rsid w:val="009166C0"/>
    <w:rsid w:val="0091751C"/>
    <w:rsid w:val="00921A7A"/>
    <w:rsid w:val="009221C4"/>
    <w:rsid w:val="00922A23"/>
    <w:rsid w:val="00923731"/>
    <w:rsid w:val="00926015"/>
    <w:rsid w:val="00930EAB"/>
    <w:rsid w:val="009327E7"/>
    <w:rsid w:val="009330EF"/>
    <w:rsid w:val="0093408D"/>
    <w:rsid w:val="009344B5"/>
    <w:rsid w:val="00934A7B"/>
    <w:rsid w:val="00935361"/>
    <w:rsid w:val="009371C6"/>
    <w:rsid w:val="009400C9"/>
    <w:rsid w:val="00945974"/>
    <w:rsid w:val="009537FE"/>
    <w:rsid w:val="00954447"/>
    <w:rsid w:val="009547F4"/>
    <w:rsid w:val="00955306"/>
    <w:rsid w:val="00955679"/>
    <w:rsid w:val="00955CE4"/>
    <w:rsid w:val="009571FC"/>
    <w:rsid w:val="00965C46"/>
    <w:rsid w:val="009712D3"/>
    <w:rsid w:val="00971714"/>
    <w:rsid w:val="00973254"/>
    <w:rsid w:val="00973C32"/>
    <w:rsid w:val="00973D9A"/>
    <w:rsid w:val="009758B2"/>
    <w:rsid w:val="00980123"/>
    <w:rsid w:val="00981935"/>
    <w:rsid w:val="00985D4A"/>
    <w:rsid w:val="00990051"/>
    <w:rsid w:val="0099037D"/>
    <w:rsid w:val="0099116F"/>
    <w:rsid w:val="00993679"/>
    <w:rsid w:val="0099412E"/>
    <w:rsid w:val="00994FA0"/>
    <w:rsid w:val="009957F7"/>
    <w:rsid w:val="009A057B"/>
    <w:rsid w:val="009A2761"/>
    <w:rsid w:val="009A29AC"/>
    <w:rsid w:val="009A3B8F"/>
    <w:rsid w:val="009A6008"/>
    <w:rsid w:val="009A696C"/>
    <w:rsid w:val="009A7647"/>
    <w:rsid w:val="009A76E3"/>
    <w:rsid w:val="009B2491"/>
    <w:rsid w:val="009B40D3"/>
    <w:rsid w:val="009B580E"/>
    <w:rsid w:val="009B5A16"/>
    <w:rsid w:val="009B6232"/>
    <w:rsid w:val="009C46A9"/>
    <w:rsid w:val="009D029C"/>
    <w:rsid w:val="009D0F75"/>
    <w:rsid w:val="009D1FC3"/>
    <w:rsid w:val="009D2BFD"/>
    <w:rsid w:val="009D4E1D"/>
    <w:rsid w:val="009D54F0"/>
    <w:rsid w:val="009D5526"/>
    <w:rsid w:val="009D6CD8"/>
    <w:rsid w:val="009D6F53"/>
    <w:rsid w:val="009E5565"/>
    <w:rsid w:val="009E6EF2"/>
    <w:rsid w:val="009E7D9C"/>
    <w:rsid w:val="009F0417"/>
    <w:rsid w:val="009F1C12"/>
    <w:rsid w:val="009F219B"/>
    <w:rsid w:val="009F50CE"/>
    <w:rsid w:val="009F7C69"/>
    <w:rsid w:val="00A01551"/>
    <w:rsid w:val="00A019D6"/>
    <w:rsid w:val="00A01D6F"/>
    <w:rsid w:val="00A02B47"/>
    <w:rsid w:val="00A03618"/>
    <w:rsid w:val="00A04BD0"/>
    <w:rsid w:val="00A06A04"/>
    <w:rsid w:val="00A07DE5"/>
    <w:rsid w:val="00A111EA"/>
    <w:rsid w:val="00A12155"/>
    <w:rsid w:val="00A13E3E"/>
    <w:rsid w:val="00A1421D"/>
    <w:rsid w:val="00A1444C"/>
    <w:rsid w:val="00A15099"/>
    <w:rsid w:val="00A1689B"/>
    <w:rsid w:val="00A17FD0"/>
    <w:rsid w:val="00A2307A"/>
    <w:rsid w:val="00A24B61"/>
    <w:rsid w:val="00A24BD2"/>
    <w:rsid w:val="00A2553B"/>
    <w:rsid w:val="00A25CDD"/>
    <w:rsid w:val="00A26039"/>
    <w:rsid w:val="00A2727E"/>
    <w:rsid w:val="00A27F65"/>
    <w:rsid w:val="00A27F8B"/>
    <w:rsid w:val="00A306C0"/>
    <w:rsid w:val="00A30F55"/>
    <w:rsid w:val="00A32A92"/>
    <w:rsid w:val="00A3424B"/>
    <w:rsid w:val="00A40081"/>
    <w:rsid w:val="00A43584"/>
    <w:rsid w:val="00A43E83"/>
    <w:rsid w:val="00A4450B"/>
    <w:rsid w:val="00A44808"/>
    <w:rsid w:val="00A45337"/>
    <w:rsid w:val="00A45FC3"/>
    <w:rsid w:val="00A46520"/>
    <w:rsid w:val="00A50B0E"/>
    <w:rsid w:val="00A51EBC"/>
    <w:rsid w:val="00A52C85"/>
    <w:rsid w:val="00A52FC7"/>
    <w:rsid w:val="00A53576"/>
    <w:rsid w:val="00A543AC"/>
    <w:rsid w:val="00A55BA7"/>
    <w:rsid w:val="00A55DFD"/>
    <w:rsid w:val="00A570BD"/>
    <w:rsid w:val="00A5711A"/>
    <w:rsid w:val="00A5782D"/>
    <w:rsid w:val="00A60082"/>
    <w:rsid w:val="00A6165D"/>
    <w:rsid w:val="00A6307B"/>
    <w:rsid w:val="00A67243"/>
    <w:rsid w:val="00A71CE5"/>
    <w:rsid w:val="00A72D65"/>
    <w:rsid w:val="00A743CF"/>
    <w:rsid w:val="00A76F84"/>
    <w:rsid w:val="00A77C16"/>
    <w:rsid w:val="00A808CE"/>
    <w:rsid w:val="00A80BBB"/>
    <w:rsid w:val="00A858BC"/>
    <w:rsid w:val="00A85CC9"/>
    <w:rsid w:val="00A87C0A"/>
    <w:rsid w:val="00A90073"/>
    <w:rsid w:val="00A92215"/>
    <w:rsid w:val="00A92822"/>
    <w:rsid w:val="00A9306F"/>
    <w:rsid w:val="00A9537B"/>
    <w:rsid w:val="00A97C46"/>
    <w:rsid w:val="00A97CD2"/>
    <w:rsid w:val="00AA0A82"/>
    <w:rsid w:val="00AA28C0"/>
    <w:rsid w:val="00AA2E90"/>
    <w:rsid w:val="00AA32DE"/>
    <w:rsid w:val="00AA7147"/>
    <w:rsid w:val="00AA76E9"/>
    <w:rsid w:val="00AA7B4B"/>
    <w:rsid w:val="00AB0362"/>
    <w:rsid w:val="00AB16D0"/>
    <w:rsid w:val="00AB3A22"/>
    <w:rsid w:val="00AB4A0C"/>
    <w:rsid w:val="00AB531B"/>
    <w:rsid w:val="00AB583D"/>
    <w:rsid w:val="00AC1A13"/>
    <w:rsid w:val="00AC26B8"/>
    <w:rsid w:val="00AC34B3"/>
    <w:rsid w:val="00AC5ABB"/>
    <w:rsid w:val="00AC68C4"/>
    <w:rsid w:val="00AD1173"/>
    <w:rsid w:val="00AD18D2"/>
    <w:rsid w:val="00AD1F5C"/>
    <w:rsid w:val="00AD4052"/>
    <w:rsid w:val="00AD677D"/>
    <w:rsid w:val="00AE0445"/>
    <w:rsid w:val="00AE4BB8"/>
    <w:rsid w:val="00AF071D"/>
    <w:rsid w:val="00AF16D3"/>
    <w:rsid w:val="00AF467B"/>
    <w:rsid w:val="00AF4FFB"/>
    <w:rsid w:val="00AF691B"/>
    <w:rsid w:val="00AF6E11"/>
    <w:rsid w:val="00B026B5"/>
    <w:rsid w:val="00B02E5B"/>
    <w:rsid w:val="00B05388"/>
    <w:rsid w:val="00B068D9"/>
    <w:rsid w:val="00B06C02"/>
    <w:rsid w:val="00B06C79"/>
    <w:rsid w:val="00B10F10"/>
    <w:rsid w:val="00B1245E"/>
    <w:rsid w:val="00B1359D"/>
    <w:rsid w:val="00B1448E"/>
    <w:rsid w:val="00B21BBE"/>
    <w:rsid w:val="00B23417"/>
    <w:rsid w:val="00B24DB1"/>
    <w:rsid w:val="00B254A7"/>
    <w:rsid w:val="00B25CB8"/>
    <w:rsid w:val="00B32205"/>
    <w:rsid w:val="00B3293D"/>
    <w:rsid w:val="00B32B7E"/>
    <w:rsid w:val="00B34F81"/>
    <w:rsid w:val="00B35828"/>
    <w:rsid w:val="00B35C49"/>
    <w:rsid w:val="00B35D5A"/>
    <w:rsid w:val="00B36981"/>
    <w:rsid w:val="00B36AD7"/>
    <w:rsid w:val="00B400D0"/>
    <w:rsid w:val="00B4131D"/>
    <w:rsid w:val="00B415B7"/>
    <w:rsid w:val="00B41CE7"/>
    <w:rsid w:val="00B41D45"/>
    <w:rsid w:val="00B42677"/>
    <w:rsid w:val="00B44D5D"/>
    <w:rsid w:val="00B46F0E"/>
    <w:rsid w:val="00B47216"/>
    <w:rsid w:val="00B52A65"/>
    <w:rsid w:val="00B54BC2"/>
    <w:rsid w:val="00B60417"/>
    <w:rsid w:val="00B62B55"/>
    <w:rsid w:val="00B674CF"/>
    <w:rsid w:val="00B730B8"/>
    <w:rsid w:val="00B76BB1"/>
    <w:rsid w:val="00B8029E"/>
    <w:rsid w:val="00B81DBB"/>
    <w:rsid w:val="00B826D4"/>
    <w:rsid w:val="00B829AC"/>
    <w:rsid w:val="00B83470"/>
    <w:rsid w:val="00B84CA5"/>
    <w:rsid w:val="00B850B2"/>
    <w:rsid w:val="00B85AEF"/>
    <w:rsid w:val="00B871E7"/>
    <w:rsid w:val="00B90B9A"/>
    <w:rsid w:val="00B92465"/>
    <w:rsid w:val="00B93AB4"/>
    <w:rsid w:val="00B9551E"/>
    <w:rsid w:val="00B95F9D"/>
    <w:rsid w:val="00B96317"/>
    <w:rsid w:val="00B96C83"/>
    <w:rsid w:val="00B97F5B"/>
    <w:rsid w:val="00BA2019"/>
    <w:rsid w:val="00BA4B9B"/>
    <w:rsid w:val="00BA54AB"/>
    <w:rsid w:val="00BA6A05"/>
    <w:rsid w:val="00BA7A25"/>
    <w:rsid w:val="00BA7EF9"/>
    <w:rsid w:val="00BB04C2"/>
    <w:rsid w:val="00BB0A91"/>
    <w:rsid w:val="00BB12AA"/>
    <w:rsid w:val="00BB2048"/>
    <w:rsid w:val="00BB2F23"/>
    <w:rsid w:val="00BB35FD"/>
    <w:rsid w:val="00BB494E"/>
    <w:rsid w:val="00BC10A9"/>
    <w:rsid w:val="00BC180F"/>
    <w:rsid w:val="00BC1FE4"/>
    <w:rsid w:val="00BC326E"/>
    <w:rsid w:val="00BC376F"/>
    <w:rsid w:val="00BC4D2C"/>
    <w:rsid w:val="00BC523A"/>
    <w:rsid w:val="00BC5AC8"/>
    <w:rsid w:val="00BC6069"/>
    <w:rsid w:val="00BC6C6D"/>
    <w:rsid w:val="00BC6E68"/>
    <w:rsid w:val="00BC76C2"/>
    <w:rsid w:val="00BD0312"/>
    <w:rsid w:val="00BD1A13"/>
    <w:rsid w:val="00BD2E2B"/>
    <w:rsid w:val="00BD366E"/>
    <w:rsid w:val="00BD4EDC"/>
    <w:rsid w:val="00BD5570"/>
    <w:rsid w:val="00BD5A99"/>
    <w:rsid w:val="00BD5D3A"/>
    <w:rsid w:val="00BE1310"/>
    <w:rsid w:val="00BE38CB"/>
    <w:rsid w:val="00BF051A"/>
    <w:rsid w:val="00BF05D9"/>
    <w:rsid w:val="00BF05F4"/>
    <w:rsid w:val="00BF06D6"/>
    <w:rsid w:val="00BF7DD2"/>
    <w:rsid w:val="00C032CB"/>
    <w:rsid w:val="00C04F4C"/>
    <w:rsid w:val="00C0647C"/>
    <w:rsid w:val="00C06C6E"/>
    <w:rsid w:val="00C07A51"/>
    <w:rsid w:val="00C07C51"/>
    <w:rsid w:val="00C07F8B"/>
    <w:rsid w:val="00C10A73"/>
    <w:rsid w:val="00C118A6"/>
    <w:rsid w:val="00C13DFE"/>
    <w:rsid w:val="00C14842"/>
    <w:rsid w:val="00C226B2"/>
    <w:rsid w:val="00C27DC3"/>
    <w:rsid w:val="00C30E9F"/>
    <w:rsid w:val="00C33C34"/>
    <w:rsid w:val="00C33D78"/>
    <w:rsid w:val="00C343CF"/>
    <w:rsid w:val="00C3556D"/>
    <w:rsid w:val="00C36EAC"/>
    <w:rsid w:val="00C42A1E"/>
    <w:rsid w:val="00C47A96"/>
    <w:rsid w:val="00C47AEB"/>
    <w:rsid w:val="00C51608"/>
    <w:rsid w:val="00C5323E"/>
    <w:rsid w:val="00C535BB"/>
    <w:rsid w:val="00C54D79"/>
    <w:rsid w:val="00C57879"/>
    <w:rsid w:val="00C614D8"/>
    <w:rsid w:val="00C62044"/>
    <w:rsid w:val="00C63163"/>
    <w:rsid w:val="00C6396E"/>
    <w:rsid w:val="00C6467F"/>
    <w:rsid w:val="00C66F64"/>
    <w:rsid w:val="00C716B6"/>
    <w:rsid w:val="00C723F5"/>
    <w:rsid w:val="00C754C7"/>
    <w:rsid w:val="00C76AB9"/>
    <w:rsid w:val="00C8163B"/>
    <w:rsid w:val="00C824E9"/>
    <w:rsid w:val="00C83D0A"/>
    <w:rsid w:val="00C8701D"/>
    <w:rsid w:val="00C8797A"/>
    <w:rsid w:val="00C90AD2"/>
    <w:rsid w:val="00C92A1A"/>
    <w:rsid w:val="00C939EC"/>
    <w:rsid w:val="00C94927"/>
    <w:rsid w:val="00C96ACC"/>
    <w:rsid w:val="00CA04D1"/>
    <w:rsid w:val="00CA0AAB"/>
    <w:rsid w:val="00CA0ACD"/>
    <w:rsid w:val="00CA0BF3"/>
    <w:rsid w:val="00CA3256"/>
    <w:rsid w:val="00CA55F9"/>
    <w:rsid w:val="00CA5929"/>
    <w:rsid w:val="00CA77AF"/>
    <w:rsid w:val="00CB1F0F"/>
    <w:rsid w:val="00CB2918"/>
    <w:rsid w:val="00CB3239"/>
    <w:rsid w:val="00CB7B0A"/>
    <w:rsid w:val="00CC144D"/>
    <w:rsid w:val="00CC37BE"/>
    <w:rsid w:val="00CC39ED"/>
    <w:rsid w:val="00CC3EE7"/>
    <w:rsid w:val="00CC5E5D"/>
    <w:rsid w:val="00CC67B2"/>
    <w:rsid w:val="00CC6A3B"/>
    <w:rsid w:val="00CD11F5"/>
    <w:rsid w:val="00CD1BE1"/>
    <w:rsid w:val="00CD357D"/>
    <w:rsid w:val="00CD3D6D"/>
    <w:rsid w:val="00CD772A"/>
    <w:rsid w:val="00CE126A"/>
    <w:rsid w:val="00CE3168"/>
    <w:rsid w:val="00CE3E78"/>
    <w:rsid w:val="00CE4F1F"/>
    <w:rsid w:val="00CE6C48"/>
    <w:rsid w:val="00CF0879"/>
    <w:rsid w:val="00CF0AF6"/>
    <w:rsid w:val="00CF351A"/>
    <w:rsid w:val="00CF3A7A"/>
    <w:rsid w:val="00CF4611"/>
    <w:rsid w:val="00CF6242"/>
    <w:rsid w:val="00CF6FFE"/>
    <w:rsid w:val="00D00562"/>
    <w:rsid w:val="00D00963"/>
    <w:rsid w:val="00D01E94"/>
    <w:rsid w:val="00D02F5B"/>
    <w:rsid w:val="00D03395"/>
    <w:rsid w:val="00D05459"/>
    <w:rsid w:val="00D05CC3"/>
    <w:rsid w:val="00D05D67"/>
    <w:rsid w:val="00D12D7D"/>
    <w:rsid w:val="00D12FFA"/>
    <w:rsid w:val="00D13065"/>
    <w:rsid w:val="00D139DE"/>
    <w:rsid w:val="00D15061"/>
    <w:rsid w:val="00D156A0"/>
    <w:rsid w:val="00D15C08"/>
    <w:rsid w:val="00D20C8D"/>
    <w:rsid w:val="00D2308A"/>
    <w:rsid w:val="00D242E6"/>
    <w:rsid w:val="00D2552C"/>
    <w:rsid w:val="00D25DA2"/>
    <w:rsid w:val="00D25F55"/>
    <w:rsid w:val="00D3104F"/>
    <w:rsid w:val="00D378FE"/>
    <w:rsid w:val="00D37DF5"/>
    <w:rsid w:val="00D45099"/>
    <w:rsid w:val="00D47BE8"/>
    <w:rsid w:val="00D5085C"/>
    <w:rsid w:val="00D50DD1"/>
    <w:rsid w:val="00D51534"/>
    <w:rsid w:val="00D52CC0"/>
    <w:rsid w:val="00D52EAF"/>
    <w:rsid w:val="00D54435"/>
    <w:rsid w:val="00D55611"/>
    <w:rsid w:val="00D566CF"/>
    <w:rsid w:val="00D6168A"/>
    <w:rsid w:val="00D6279D"/>
    <w:rsid w:val="00D637E1"/>
    <w:rsid w:val="00D66904"/>
    <w:rsid w:val="00D67D3C"/>
    <w:rsid w:val="00D70A40"/>
    <w:rsid w:val="00D713BE"/>
    <w:rsid w:val="00D713F9"/>
    <w:rsid w:val="00D72F3F"/>
    <w:rsid w:val="00D76547"/>
    <w:rsid w:val="00D80419"/>
    <w:rsid w:val="00D83BA4"/>
    <w:rsid w:val="00D85F68"/>
    <w:rsid w:val="00D86566"/>
    <w:rsid w:val="00D90BE5"/>
    <w:rsid w:val="00D9250A"/>
    <w:rsid w:val="00D9398D"/>
    <w:rsid w:val="00D95018"/>
    <w:rsid w:val="00D962E3"/>
    <w:rsid w:val="00DA0E6F"/>
    <w:rsid w:val="00DA1DE2"/>
    <w:rsid w:val="00DA211A"/>
    <w:rsid w:val="00DA3D7B"/>
    <w:rsid w:val="00DA45C7"/>
    <w:rsid w:val="00DA6754"/>
    <w:rsid w:val="00DA6A1B"/>
    <w:rsid w:val="00DB137C"/>
    <w:rsid w:val="00DB3A52"/>
    <w:rsid w:val="00DB43AD"/>
    <w:rsid w:val="00DB68BA"/>
    <w:rsid w:val="00DC1B36"/>
    <w:rsid w:val="00DC2BE6"/>
    <w:rsid w:val="00DC6393"/>
    <w:rsid w:val="00DD14C9"/>
    <w:rsid w:val="00DD1785"/>
    <w:rsid w:val="00DD17EC"/>
    <w:rsid w:val="00DD1F9F"/>
    <w:rsid w:val="00DD5027"/>
    <w:rsid w:val="00DD749E"/>
    <w:rsid w:val="00DD7D17"/>
    <w:rsid w:val="00DD7D1D"/>
    <w:rsid w:val="00DE083A"/>
    <w:rsid w:val="00DE27AB"/>
    <w:rsid w:val="00DE2935"/>
    <w:rsid w:val="00DE36D4"/>
    <w:rsid w:val="00DE3D19"/>
    <w:rsid w:val="00DE4513"/>
    <w:rsid w:val="00DE4642"/>
    <w:rsid w:val="00DF0263"/>
    <w:rsid w:val="00DF0DB7"/>
    <w:rsid w:val="00DF352D"/>
    <w:rsid w:val="00DF594B"/>
    <w:rsid w:val="00DF7EA9"/>
    <w:rsid w:val="00E00339"/>
    <w:rsid w:val="00E029BB"/>
    <w:rsid w:val="00E02CB6"/>
    <w:rsid w:val="00E075E8"/>
    <w:rsid w:val="00E1191E"/>
    <w:rsid w:val="00E11D43"/>
    <w:rsid w:val="00E12A9C"/>
    <w:rsid w:val="00E12AC9"/>
    <w:rsid w:val="00E159FC"/>
    <w:rsid w:val="00E17120"/>
    <w:rsid w:val="00E179AE"/>
    <w:rsid w:val="00E218D5"/>
    <w:rsid w:val="00E23631"/>
    <w:rsid w:val="00E25FAB"/>
    <w:rsid w:val="00E26150"/>
    <w:rsid w:val="00E27339"/>
    <w:rsid w:val="00E31BE2"/>
    <w:rsid w:val="00E32B0C"/>
    <w:rsid w:val="00E33BF5"/>
    <w:rsid w:val="00E34D15"/>
    <w:rsid w:val="00E361BB"/>
    <w:rsid w:val="00E36504"/>
    <w:rsid w:val="00E37E16"/>
    <w:rsid w:val="00E4279E"/>
    <w:rsid w:val="00E42A6B"/>
    <w:rsid w:val="00E50CCD"/>
    <w:rsid w:val="00E53A42"/>
    <w:rsid w:val="00E6088A"/>
    <w:rsid w:val="00E6104B"/>
    <w:rsid w:val="00E613C2"/>
    <w:rsid w:val="00E62CFE"/>
    <w:rsid w:val="00E6300C"/>
    <w:rsid w:val="00E66D8A"/>
    <w:rsid w:val="00E70C6D"/>
    <w:rsid w:val="00E71775"/>
    <w:rsid w:val="00E71F7E"/>
    <w:rsid w:val="00E7212D"/>
    <w:rsid w:val="00E72B5D"/>
    <w:rsid w:val="00E73014"/>
    <w:rsid w:val="00E73F7B"/>
    <w:rsid w:val="00E75E84"/>
    <w:rsid w:val="00E75F83"/>
    <w:rsid w:val="00E77623"/>
    <w:rsid w:val="00E80965"/>
    <w:rsid w:val="00E81B8D"/>
    <w:rsid w:val="00E81DCE"/>
    <w:rsid w:val="00E8202E"/>
    <w:rsid w:val="00E83C2C"/>
    <w:rsid w:val="00E84797"/>
    <w:rsid w:val="00E8646F"/>
    <w:rsid w:val="00E874B9"/>
    <w:rsid w:val="00E9024D"/>
    <w:rsid w:val="00E90837"/>
    <w:rsid w:val="00E91454"/>
    <w:rsid w:val="00E93C6C"/>
    <w:rsid w:val="00E93D08"/>
    <w:rsid w:val="00E95946"/>
    <w:rsid w:val="00E95F3D"/>
    <w:rsid w:val="00EA03A8"/>
    <w:rsid w:val="00EA08F1"/>
    <w:rsid w:val="00EA14E5"/>
    <w:rsid w:val="00EA502F"/>
    <w:rsid w:val="00EA58F3"/>
    <w:rsid w:val="00EA6C3B"/>
    <w:rsid w:val="00EA6EEF"/>
    <w:rsid w:val="00EA7408"/>
    <w:rsid w:val="00EB081E"/>
    <w:rsid w:val="00EB4DD3"/>
    <w:rsid w:val="00EB4F93"/>
    <w:rsid w:val="00EC11DC"/>
    <w:rsid w:val="00EC12B7"/>
    <w:rsid w:val="00EC2356"/>
    <w:rsid w:val="00EC3D4A"/>
    <w:rsid w:val="00EC4F41"/>
    <w:rsid w:val="00EC64F9"/>
    <w:rsid w:val="00EC7B3F"/>
    <w:rsid w:val="00ED06F4"/>
    <w:rsid w:val="00ED1785"/>
    <w:rsid w:val="00ED1830"/>
    <w:rsid w:val="00ED3F6C"/>
    <w:rsid w:val="00ED5F68"/>
    <w:rsid w:val="00EE06DF"/>
    <w:rsid w:val="00EE266E"/>
    <w:rsid w:val="00EE33E9"/>
    <w:rsid w:val="00EE3514"/>
    <w:rsid w:val="00EE68FA"/>
    <w:rsid w:val="00EE7799"/>
    <w:rsid w:val="00EF0048"/>
    <w:rsid w:val="00EF039F"/>
    <w:rsid w:val="00EF0E39"/>
    <w:rsid w:val="00EF1535"/>
    <w:rsid w:val="00EF1C07"/>
    <w:rsid w:val="00EF223C"/>
    <w:rsid w:val="00EF22B9"/>
    <w:rsid w:val="00EF2BBA"/>
    <w:rsid w:val="00EF6CF8"/>
    <w:rsid w:val="00EF7273"/>
    <w:rsid w:val="00F00592"/>
    <w:rsid w:val="00F0395E"/>
    <w:rsid w:val="00F044A0"/>
    <w:rsid w:val="00F05CF3"/>
    <w:rsid w:val="00F07532"/>
    <w:rsid w:val="00F1027C"/>
    <w:rsid w:val="00F115FB"/>
    <w:rsid w:val="00F14C8F"/>
    <w:rsid w:val="00F15FE9"/>
    <w:rsid w:val="00F176BC"/>
    <w:rsid w:val="00F221BD"/>
    <w:rsid w:val="00F265C1"/>
    <w:rsid w:val="00F269B1"/>
    <w:rsid w:val="00F314DF"/>
    <w:rsid w:val="00F33ECA"/>
    <w:rsid w:val="00F34961"/>
    <w:rsid w:val="00F3640E"/>
    <w:rsid w:val="00F379AA"/>
    <w:rsid w:val="00F4018E"/>
    <w:rsid w:val="00F43DCA"/>
    <w:rsid w:val="00F44EE5"/>
    <w:rsid w:val="00F5035E"/>
    <w:rsid w:val="00F5295D"/>
    <w:rsid w:val="00F64C96"/>
    <w:rsid w:val="00F66057"/>
    <w:rsid w:val="00F666E3"/>
    <w:rsid w:val="00F6707A"/>
    <w:rsid w:val="00F717B3"/>
    <w:rsid w:val="00F72698"/>
    <w:rsid w:val="00F740D6"/>
    <w:rsid w:val="00F7426E"/>
    <w:rsid w:val="00F75811"/>
    <w:rsid w:val="00F81654"/>
    <w:rsid w:val="00F85250"/>
    <w:rsid w:val="00F94022"/>
    <w:rsid w:val="00F946BD"/>
    <w:rsid w:val="00F94F11"/>
    <w:rsid w:val="00F967F5"/>
    <w:rsid w:val="00F9715C"/>
    <w:rsid w:val="00F973E9"/>
    <w:rsid w:val="00FA411E"/>
    <w:rsid w:val="00FA471A"/>
    <w:rsid w:val="00FA5A61"/>
    <w:rsid w:val="00FA640A"/>
    <w:rsid w:val="00FA6EBD"/>
    <w:rsid w:val="00FA738C"/>
    <w:rsid w:val="00FB1C91"/>
    <w:rsid w:val="00FB1E86"/>
    <w:rsid w:val="00FB2AF4"/>
    <w:rsid w:val="00FB5962"/>
    <w:rsid w:val="00FB64F7"/>
    <w:rsid w:val="00FC20CD"/>
    <w:rsid w:val="00FC5AC9"/>
    <w:rsid w:val="00FC5FD1"/>
    <w:rsid w:val="00FC7687"/>
    <w:rsid w:val="00FC773D"/>
    <w:rsid w:val="00FD2287"/>
    <w:rsid w:val="00FD3694"/>
    <w:rsid w:val="00FD5310"/>
    <w:rsid w:val="00FD7137"/>
    <w:rsid w:val="00FD7265"/>
    <w:rsid w:val="00FE1D6E"/>
    <w:rsid w:val="00FE2815"/>
    <w:rsid w:val="00FE2E05"/>
    <w:rsid w:val="00FE35CB"/>
    <w:rsid w:val="00FE747D"/>
    <w:rsid w:val="00FE7E62"/>
    <w:rsid w:val="00FF012B"/>
    <w:rsid w:val="00FF211F"/>
    <w:rsid w:val="00FF2994"/>
    <w:rsid w:val="00FF33AA"/>
    <w:rsid w:val="00FF614F"/>
    <w:rsid w:val="00FF72D9"/>
    <w:rsid w:val="00FF73F1"/>
    <w:rsid w:val="00FF7A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329"/>
  </w:style>
  <w:style w:type="paragraph" w:styleId="Heading1">
    <w:name w:val="heading 1"/>
    <w:basedOn w:val="Normal"/>
    <w:next w:val="Normal"/>
    <w:link w:val="Heading1Char"/>
    <w:autoRedefine/>
    <w:uiPriority w:val="9"/>
    <w:qFormat/>
    <w:rsid w:val="004352ED"/>
    <w:pPr>
      <w:keepNext/>
      <w:keepLines/>
      <w:numPr>
        <w:numId w:val="40"/>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0F540A"/>
    <w:pPr>
      <w:spacing w:after="240" w:line="240" w:lineRule="auto"/>
      <w:ind w:left="1440" w:hanging="720"/>
      <w:outlineLvl w:val="1"/>
    </w:pPr>
    <w:rPr>
      <w:rFonts w:ascii="Times New Roman" w:eastAsia="Times New Roman" w:hAnsi="Times New Roman" w:cs="Times New Roman"/>
      <w:b/>
      <w:bCs/>
      <w:color w:val="000000" w:themeColor="text1"/>
      <w:sz w:val="24"/>
      <w:szCs w:val="24"/>
    </w:rPr>
  </w:style>
  <w:style w:type="paragraph" w:styleId="Heading3">
    <w:name w:val="heading 3"/>
    <w:basedOn w:val="Normal"/>
    <w:next w:val="Normal"/>
    <w:link w:val="Heading3Char"/>
    <w:autoRedefine/>
    <w:uiPriority w:val="9"/>
    <w:unhideWhenUsed/>
    <w:qFormat/>
    <w:rsid w:val="00F666E3"/>
    <w:pPr>
      <w:keepNext/>
      <w:keepLines/>
      <w:spacing w:after="240" w:line="240" w:lineRule="auto"/>
      <w:ind w:left="2160" w:hanging="720"/>
      <w:outlineLvl w:val="2"/>
    </w:pPr>
    <w:rPr>
      <w:rFonts w:ascii="Times New Roman" w:hAnsi="Times New Roman"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0F540A"/>
    <w:rPr>
      <w:rFonts w:ascii="Times New Roman" w:eastAsia="Times New Roman" w:hAnsi="Times New Roman" w:cs="Times New Roman"/>
      <w:b/>
      <w:bCs/>
      <w:color w:val="000000" w:themeColor="text1"/>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uiPriority w:val="39"/>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52ED"/>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F666E3"/>
    <w:rPr>
      <w:rFonts w:ascii="Times New Roman" w:hAnsi="Times New Roman"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D00963"/>
    <w:pPr>
      <w:tabs>
        <w:tab w:val="decimal" w:leader="dot" w:pos="9360"/>
      </w:tabs>
      <w:spacing w:after="240" w:line="240" w:lineRule="auto"/>
      <w:ind w:left="720" w:hanging="720"/>
      <w:outlineLvl w:val="0"/>
    </w:pPr>
    <w:rPr>
      <w:rFonts w:ascii="Times New Roman" w:hAnsi="Times New Roman"/>
      <w:sz w:val="24"/>
    </w:rPr>
  </w:style>
  <w:style w:type="paragraph" w:styleId="TOC2">
    <w:name w:val="toc 2"/>
    <w:basedOn w:val="Normal"/>
    <w:next w:val="Normal"/>
    <w:autoRedefine/>
    <w:uiPriority w:val="39"/>
    <w:unhideWhenUsed/>
    <w:qFormat/>
    <w:rsid w:val="00DE36D4"/>
    <w:pPr>
      <w:tabs>
        <w:tab w:val="left" w:pos="2160"/>
        <w:tab w:val="decimal" w:leader="dot" w:pos="9360"/>
      </w:tabs>
      <w:spacing w:after="240" w:line="240" w:lineRule="auto"/>
      <w:ind w:left="1440" w:hanging="720"/>
      <w:outlineLvl w:val="1"/>
    </w:pPr>
    <w:rPr>
      <w:rFonts w:ascii="Times New Roman" w:hAnsi="Times New Roman"/>
      <w:sz w:val="24"/>
    </w:rPr>
  </w:style>
  <w:style w:type="paragraph" w:styleId="TOC3">
    <w:name w:val="toc 3"/>
    <w:basedOn w:val="Normal"/>
    <w:next w:val="Normal"/>
    <w:autoRedefine/>
    <w:uiPriority w:val="39"/>
    <w:unhideWhenUsed/>
    <w:rsid w:val="00D00963"/>
    <w:pPr>
      <w:tabs>
        <w:tab w:val="decimal" w:leader="dot" w:pos="936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paragraph" w:styleId="BodyText">
    <w:name w:val="Body Text"/>
    <w:basedOn w:val="Normal"/>
    <w:link w:val="BodyTextChar"/>
    <w:uiPriority w:val="99"/>
    <w:semiHidden/>
    <w:unhideWhenUsed/>
    <w:rsid w:val="00954447"/>
    <w:pPr>
      <w:spacing w:after="120"/>
    </w:pPr>
  </w:style>
  <w:style w:type="character" w:customStyle="1" w:styleId="BodyTextChar">
    <w:name w:val="Body Text Char"/>
    <w:basedOn w:val="DefaultParagraphFont"/>
    <w:link w:val="BodyText"/>
    <w:uiPriority w:val="99"/>
    <w:semiHidden/>
    <w:rsid w:val="00954447"/>
  </w:style>
  <w:style w:type="paragraph" w:styleId="Revision">
    <w:name w:val="Revision"/>
    <w:hidden/>
    <w:uiPriority w:val="99"/>
    <w:semiHidden/>
    <w:rsid w:val="00E36504"/>
    <w:pPr>
      <w:spacing w:after="0" w:line="240" w:lineRule="auto"/>
    </w:pPr>
  </w:style>
  <w:style w:type="paragraph" w:customStyle="1" w:styleId="xmsonormal">
    <w:name w:val="x_msonormal"/>
    <w:basedOn w:val="Normal"/>
    <w:rsid w:val="00346E6C"/>
    <w:pPr>
      <w:spacing w:after="0" w:line="240" w:lineRule="auto"/>
    </w:pPr>
    <w:rPr>
      <w:rFonts w:ascii="Verdana" w:hAnsi="Verdana" w:cs="Calibri"/>
      <w:color w:val="00277A"/>
      <w:sz w:val="24"/>
      <w:szCs w:val="24"/>
    </w:rPr>
  </w:style>
  <w:style w:type="character" w:customStyle="1" w:styleId="xmsofootnotereference">
    <w:name w:val="x_msofootnotereference"/>
    <w:basedOn w:val="DefaultParagraphFont"/>
    <w:rsid w:val="00346E6C"/>
    <w:rPr>
      <w:vertAlign w:val="superscript"/>
    </w:rPr>
  </w:style>
  <w:style w:type="paragraph" w:styleId="NormalWeb">
    <w:name w:val="Normal (Web)"/>
    <w:basedOn w:val="Normal"/>
    <w:uiPriority w:val="99"/>
    <w:unhideWhenUsed/>
    <w:rsid w:val="009A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702"/>
    <w:rPr>
      <w:rFonts w:ascii="Segoe UI" w:hAnsi="Segoe UI" w:cs="Segoe UI" w:hint="default"/>
      <w:sz w:val="18"/>
      <w:szCs w:val="18"/>
    </w:rPr>
  </w:style>
  <w:style w:type="character" w:customStyle="1" w:styleId="apple-converted-space">
    <w:name w:val="apple-converted-space"/>
    <w:basedOn w:val="DefaultParagraphFont"/>
    <w:rsid w:val="00BD4EDC"/>
  </w:style>
  <w:style w:type="character" w:customStyle="1" w:styleId="UnresolvedMention4">
    <w:name w:val="Unresolved Mention4"/>
    <w:basedOn w:val="DefaultParagraphFont"/>
    <w:uiPriority w:val="99"/>
    <w:rsid w:val="00692851"/>
    <w:rPr>
      <w:color w:val="605E5C"/>
      <w:shd w:val="clear" w:color="auto" w:fill="E1DFDD"/>
    </w:rPr>
  </w:style>
  <w:style w:type="character" w:customStyle="1" w:styleId="ssrfcsection">
    <w:name w:val="ss_rfcsection"/>
    <w:basedOn w:val="DefaultParagraphFont"/>
    <w:rsid w:val="0009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my.botschner.obiren@occ.ohio.gov" TargetMode="External" /><Relationship Id="rId11" Type="http://schemas.openxmlformats.org/officeDocument/2006/relationships/hyperlink" Target="mailto:sarah.feldkamp@ohioAGO.gov" TargetMode="External" /><Relationship Id="rId12" Type="http://schemas.openxmlformats.org/officeDocument/2006/relationships/hyperlink" Target="about:blank" TargetMode="External" /><Relationship Id="rId13" Type="http://schemas.openxmlformats.org/officeDocument/2006/relationships/hyperlink" Target="mailto:christopher.hollon@aes.com" TargetMode="External" /><Relationship Id="rId14" Type="http://schemas.openxmlformats.org/officeDocument/2006/relationships/hyperlink" Target="mailto:mjschuler@aep.com" TargetMode="External" /><Relationship Id="rId15" Type="http://schemas.openxmlformats.org/officeDocument/2006/relationships/hyperlink" Target="mailto:greta.see@puco.ohio.gov" TargetMode="External" /><Relationship Id="rId16" Type="http://schemas.openxmlformats.org/officeDocument/2006/relationships/hyperlink" Target="mailto:isabel.marcelletti@puco.ohio.gov" TargetMode="External" /><Relationship Id="rId17" Type="http://schemas.openxmlformats.org/officeDocument/2006/relationships/hyperlink" Target="mailto:dproano@bakerlaw.com" TargetMode="External" /><Relationship Id="rId18" Type="http://schemas.openxmlformats.org/officeDocument/2006/relationships/hyperlink" Target="mailto:ahaque@bakerlaw.com" TargetMode="External" /><Relationship Id="rId19" Type="http://schemas.openxmlformats.org/officeDocument/2006/relationships/hyperlink" Target="mailto:eprouty@bakerlaw.com" TargetMode="External" /><Relationship Id="rId2" Type="http://schemas.openxmlformats.org/officeDocument/2006/relationships/settings" Target="settings.xml" /><Relationship Id="rId20" Type="http://schemas.openxmlformats.org/officeDocument/2006/relationships/hyperlink" Target="mailto:rocco.dascenzo@duke-energy.com" TargetMode="External" /><Relationship Id="rId21" Type="http://schemas.openxmlformats.org/officeDocument/2006/relationships/hyperlink" Target="mailto:jeanne.kingery@duke-energy.com" TargetMode="External" /><Relationship Id="rId22" Type="http://schemas.openxmlformats.org/officeDocument/2006/relationships/hyperlink" Target="mailto:larisa.vaysman@duke-energy.com" TargetMode="External" /><Relationship Id="rId23" Type="http://schemas.openxmlformats.org/officeDocument/2006/relationships/hyperlink" Target="mailto:elyse.akhbari@duke-energy.com" TargetMode="External" /><Relationship Id="rId24" Type="http://schemas.openxmlformats.org/officeDocument/2006/relationships/hyperlink" Target="mailto:jbreig@beneschlaw.com"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USF AfR 22-556--edits accepted  (00550761.DOCX;1)</vt:lpstr>
    </vt:vector>
  </TitlesOfParts>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2023-01-13T21:32:41Z</dcterms:created>
  <dcterms:modified xsi:type="dcterms:W3CDTF">2023-01-13T21:32:41Z</dcterms:modified>
</cp:coreProperties>
</file>