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C7060" w:rsidRPr="00271C33" w:rsidP="00DC7060" w14:paraId="4FFEDACB" w14:textId="69D5AD6C">
      <w:pPr>
        <w:jc w:val="center"/>
        <w:rPr>
          <w:b/>
        </w:rPr>
      </w:pPr>
      <w:r w:rsidRPr="00271C33">
        <w:rPr>
          <w:b/>
        </w:rPr>
        <w:t>BEFORE</w:t>
      </w:r>
    </w:p>
    <w:p w:rsidR="00DC7060" w:rsidRPr="00271C33" w:rsidP="00DC7060" w14:paraId="7F1C8AD7" w14:textId="77777777">
      <w:pPr>
        <w:jc w:val="center"/>
        <w:rPr>
          <w:b/>
        </w:rPr>
      </w:pPr>
      <w:r w:rsidRPr="00271C33">
        <w:rPr>
          <w:b/>
        </w:rPr>
        <w:t>THE PUBLIC UTILITIES COMMISSION OF OHIO</w:t>
      </w:r>
    </w:p>
    <w:p w:rsidR="00DC7060" w:rsidRPr="00271C33" w:rsidP="00DC7060" w14:paraId="050745EE" w14:textId="77777777">
      <w:pPr>
        <w:jc w:val="center"/>
        <w:rPr>
          <w:b/>
        </w:rPr>
      </w:pPr>
    </w:p>
    <w:tbl>
      <w:tblPr>
        <w:tblW w:w="9092" w:type="dxa"/>
        <w:tblLook w:val="01E0"/>
      </w:tblPr>
      <w:tblGrid>
        <w:gridCol w:w="4320"/>
        <w:gridCol w:w="630"/>
        <w:gridCol w:w="4142"/>
      </w:tblGrid>
      <w:tr w14:paraId="039E33A9" w14:textId="77777777" w:rsidTr="00297AA4">
        <w:tblPrEx>
          <w:tblW w:w="9092" w:type="dxa"/>
          <w:tblLook w:val="01E0"/>
        </w:tblPrEx>
        <w:trPr>
          <w:trHeight w:val="807"/>
        </w:trPr>
        <w:tc>
          <w:tcPr>
            <w:tcW w:w="4320" w:type="dxa"/>
            <w:shd w:val="clear" w:color="auto" w:fill="auto"/>
          </w:tcPr>
          <w:p w:rsidR="004B784A" w:rsidRPr="00271C33" w:rsidP="004B784A" w14:paraId="2C2E06F5" w14:textId="53321460">
            <w:pPr>
              <w:autoSpaceDE w:val="0"/>
              <w:autoSpaceDN w:val="0"/>
              <w:adjustRightInd w:val="0"/>
            </w:pPr>
            <w:r w:rsidRPr="00271C33">
              <w:t xml:space="preserve">In the Matter of the Application </w:t>
            </w:r>
            <w:r w:rsidRPr="00271C33" w:rsidR="008C2116">
              <w:t xml:space="preserve">of </w:t>
            </w:r>
          </w:p>
          <w:p w:rsidR="004B784A" w:rsidRPr="00271C33" w:rsidP="004B784A" w14:paraId="03127DA0" w14:textId="7CCDB2B3">
            <w:pPr>
              <w:autoSpaceDE w:val="0"/>
              <w:autoSpaceDN w:val="0"/>
              <w:adjustRightInd w:val="0"/>
            </w:pPr>
            <w:r w:rsidRPr="00271C33">
              <w:t xml:space="preserve">Duke Energy Ohio, Inc. for Recovery of Program Costs, Lost Distribution Revenue and Performance Incentives Related to its Energy Efficiency and Demand Response Programs. </w:t>
            </w:r>
          </w:p>
        </w:tc>
        <w:tc>
          <w:tcPr>
            <w:tcW w:w="630" w:type="dxa"/>
            <w:shd w:val="clear" w:color="auto" w:fill="auto"/>
          </w:tcPr>
          <w:p w:rsidR="004B784A" w:rsidRPr="00271C33" w:rsidP="004B784A" w14:paraId="0BDDDA2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71C33">
              <w:rPr>
                <w:rFonts w:eastAsia="Courier New"/>
              </w:rPr>
              <w:t>)</w:t>
            </w:r>
          </w:p>
          <w:p w:rsidR="004B784A" w:rsidRPr="00271C33" w:rsidP="004B784A" w14:paraId="5907F50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71C33">
              <w:rPr>
                <w:rFonts w:eastAsia="Courier New"/>
              </w:rPr>
              <w:t>)</w:t>
            </w:r>
          </w:p>
          <w:p w:rsidR="004B784A" w:rsidRPr="00271C33" w:rsidP="004B784A" w14:paraId="21509B2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71C33">
              <w:rPr>
                <w:rFonts w:eastAsia="Courier New"/>
              </w:rPr>
              <w:t>)</w:t>
            </w:r>
          </w:p>
          <w:p w:rsidR="004B784A" w:rsidRPr="00271C33" w:rsidP="004B784A" w14:paraId="2C5C560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71C33">
              <w:rPr>
                <w:rFonts w:eastAsia="Courier New"/>
              </w:rPr>
              <w:t>)</w:t>
            </w:r>
          </w:p>
          <w:p w:rsidR="004B784A" w:rsidRPr="00271C33" w:rsidP="004B784A" w14:paraId="6D5CE28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71C33">
              <w:rPr>
                <w:rFonts w:eastAsia="Courier New"/>
              </w:rPr>
              <w:t>)</w:t>
            </w:r>
          </w:p>
          <w:p w:rsidR="004B784A" w:rsidRPr="00271C33" w:rsidP="004B784A" w14:paraId="43E03272" w14:textId="1F6AE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71C33">
              <w:rPr>
                <w:rFonts w:eastAsia="Courier New"/>
              </w:rPr>
              <w:t>)</w:t>
            </w:r>
          </w:p>
        </w:tc>
        <w:tc>
          <w:tcPr>
            <w:tcW w:w="4142" w:type="dxa"/>
            <w:shd w:val="clear" w:color="auto" w:fill="auto"/>
          </w:tcPr>
          <w:p w:rsidR="004B784A" w:rsidRPr="00271C33" w:rsidP="004B784A" w14:paraId="7F2CFF26" w14:textId="77777777"/>
          <w:p w:rsidR="004B784A" w:rsidRPr="00271C33" w:rsidP="004B784A" w14:paraId="7C455D3F" w14:textId="77777777"/>
          <w:p w:rsidR="004B784A" w:rsidRPr="00271C33" w:rsidP="004B784A" w14:paraId="3B8BF762" w14:textId="0C173140">
            <w:r w:rsidRPr="00271C33">
              <w:t>Case No. 21-482-EL-RDR</w:t>
            </w:r>
          </w:p>
        </w:tc>
      </w:tr>
    </w:tbl>
    <w:p w:rsidR="00DC7060" w:rsidRPr="00271C33" w:rsidP="00DC7060" w14:paraId="673091B1" w14:textId="77777777">
      <w:pPr>
        <w:pBdr>
          <w:bottom w:val="single" w:sz="12" w:space="1" w:color="auto"/>
        </w:pBdr>
      </w:pPr>
    </w:p>
    <w:p w:rsidR="00F02B94" w:rsidRPr="00271C33" w:rsidP="00F02B94" w14:paraId="296903F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02B94" w:rsidRPr="00271C33" w:rsidP="00F02B94" w14:paraId="5BF8F396" w14:textId="33874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1C33">
        <w:rPr>
          <w:b/>
        </w:rPr>
        <w:t xml:space="preserve">INITIAL </w:t>
      </w:r>
      <w:r w:rsidRPr="00271C33" w:rsidR="00821231">
        <w:rPr>
          <w:b/>
        </w:rPr>
        <w:t>COMMENTS</w:t>
      </w:r>
    </w:p>
    <w:p w:rsidR="00F02B94" w:rsidRPr="00271C33" w:rsidP="00F02B94" w14:paraId="78A5B28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1C33">
        <w:rPr>
          <w:b/>
        </w:rPr>
        <w:t>BY</w:t>
      </w:r>
    </w:p>
    <w:p w:rsidR="00F02B94" w:rsidRPr="00271C33" w:rsidP="00F02B94" w14:paraId="07BFF577" w14:textId="33778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r w:rsidRPr="00271C33">
        <w:rPr>
          <w:b/>
        </w:rPr>
        <w:t>OFFICE OF THE OHIO CONSUMERS' COUNSEL</w:t>
      </w:r>
    </w:p>
    <w:p w:rsidR="00F02B94" w:rsidRPr="00271C33" w:rsidP="00F02B94" w14:paraId="6A387DB7" w14:textId="7777777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rPr>
      </w:pPr>
    </w:p>
    <w:p w:rsidR="00D9762B" w:rsidRPr="00271C33" w:rsidP="00D9762B" w14:paraId="15D876EC" w14:textId="77777777">
      <w:pPr>
        <w:pStyle w:val="Heading1"/>
        <w:spacing w:after="0"/>
        <w:ind w:left="0" w:firstLine="0"/>
        <w:rPr>
          <w:rFonts w:ascii="Times New Roman" w:hAnsi="Times New Roman" w:cs="Times New Roman"/>
          <w:szCs w:val="24"/>
        </w:rPr>
      </w:pPr>
      <w:bookmarkStart w:id="0" w:name="_Toc25592383"/>
      <w:bookmarkStart w:id="1" w:name="_Toc25592664"/>
      <w:bookmarkStart w:id="2" w:name="_Toc25592785"/>
    </w:p>
    <w:p w:rsidR="00A85645" w:rsidRPr="00271C33" w:rsidP="00EC7971" w14:paraId="568A24B2" w14:textId="2EA1F248">
      <w:pPr>
        <w:pStyle w:val="Heading1"/>
        <w:ind w:left="0" w:firstLine="0"/>
        <w:rPr>
          <w:rFonts w:ascii="Times New Roman" w:hAnsi="Times New Roman" w:cs="Times New Roman"/>
          <w:szCs w:val="24"/>
        </w:rPr>
      </w:pPr>
      <w:r w:rsidRPr="00271C33">
        <w:rPr>
          <w:rFonts w:ascii="Times New Roman" w:hAnsi="Times New Roman" w:cs="Times New Roman"/>
          <w:szCs w:val="24"/>
        </w:rPr>
        <w:t>I.</w:t>
      </w:r>
      <w:r w:rsidRPr="00271C33" w:rsidR="00CF0043">
        <w:rPr>
          <w:rFonts w:ascii="Times New Roman" w:hAnsi="Times New Roman" w:cs="Times New Roman"/>
          <w:szCs w:val="24"/>
        </w:rPr>
        <w:t xml:space="preserve"> </w:t>
      </w:r>
      <w:r w:rsidRPr="00271C33">
        <w:rPr>
          <w:rFonts w:ascii="Times New Roman" w:hAnsi="Times New Roman" w:cs="Times New Roman"/>
          <w:szCs w:val="24"/>
        </w:rPr>
        <w:tab/>
      </w:r>
      <w:r w:rsidRPr="00271C33">
        <w:rPr>
          <w:rFonts w:ascii="Times New Roman" w:hAnsi="Times New Roman" w:cs="Times New Roman"/>
          <w:szCs w:val="24"/>
        </w:rPr>
        <w:t>INTRODUCTION</w:t>
      </w:r>
    </w:p>
    <w:p w:rsidR="002A6020" w:rsidRPr="00271C33" w:rsidP="002A6020" w14:paraId="0012AAF3" w14:textId="38DD550F">
      <w:pPr>
        <w:pStyle w:val="BodyTextIndent3"/>
        <w:spacing w:after="0" w:line="480" w:lineRule="auto"/>
        <w:ind w:left="0" w:firstLine="720"/>
        <w:rPr>
          <w:sz w:val="24"/>
          <w:szCs w:val="24"/>
        </w:rPr>
      </w:pPr>
      <w:bookmarkStart w:id="3" w:name="_Toc25592388"/>
      <w:bookmarkStart w:id="4" w:name="_Toc25592669"/>
      <w:bookmarkStart w:id="5" w:name="_Toc25592790"/>
      <w:bookmarkEnd w:id="0"/>
      <w:bookmarkEnd w:id="1"/>
      <w:bookmarkEnd w:id="2"/>
      <w:r w:rsidRPr="00271C33">
        <w:rPr>
          <w:sz w:val="24"/>
          <w:szCs w:val="24"/>
        </w:rPr>
        <w:t xml:space="preserve">For years, Duke has tried to impose unlawful charges on consumers </w:t>
      </w:r>
      <w:r w:rsidRPr="00271C33" w:rsidR="00AC7C99">
        <w:rPr>
          <w:sz w:val="24"/>
          <w:szCs w:val="24"/>
        </w:rPr>
        <w:t xml:space="preserve">through </w:t>
      </w:r>
      <w:r w:rsidRPr="00271C33">
        <w:rPr>
          <w:sz w:val="24"/>
          <w:szCs w:val="24"/>
        </w:rPr>
        <w:t>its energy efficiency rider</w:t>
      </w:r>
      <w:r w:rsidRPr="00271C33">
        <w:rPr>
          <w:sz w:val="24"/>
          <w:szCs w:val="24"/>
        </w:rPr>
        <w:t xml:space="preserve">. In </w:t>
      </w:r>
      <w:r w:rsidRPr="00271C33">
        <w:rPr>
          <w:sz w:val="24"/>
          <w:szCs w:val="24"/>
        </w:rPr>
        <w:t>a</w:t>
      </w:r>
      <w:r w:rsidRPr="00271C33">
        <w:rPr>
          <w:sz w:val="24"/>
          <w:szCs w:val="24"/>
        </w:rPr>
        <w:t xml:space="preserve"> prior energy efficiency cas</w:t>
      </w:r>
      <w:r w:rsidRPr="00271C33">
        <w:rPr>
          <w:sz w:val="24"/>
          <w:szCs w:val="24"/>
        </w:rPr>
        <w:t>e</w:t>
      </w:r>
      <w:r w:rsidRPr="00271C33">
        <w:rPr>
          <w:sz w:val="24"/>
          <w:szCs w:val="24"/>
        </w:rPr>
        <w:t>, the PUCO found that Duke demonstrated a “continued refusal to comply with the dictates of the [PUCO’s] rules” and that the PUCO would “no longer tolerate Duke’s unwillingness to follow our directives.”</w:t>
      </w:r>
      <w:r>
        <w:rPr>
          <w:rStyle w:val="FootnoteReference"/>
          <w:sz w:val="24"/>
          <w:szCs w:val="24"/>
        </w:rPr>
        <w:footnoteReference w:id="2"/>
      </w:r>
      <w:r w:rsidRPr="00271C33">
        <w:rPr>
          <w:sz w:val="24"/>
          <w:szCs w:val="24"/>
        </w:rPr>
        <w:t xml:space="preserve"> Given Duke’s persistent refusal t</w:t>
      </w:r>
      <w:r w:rsidRPr="00271C33">
        <w:rPr>
          <w:sz w:val="24"/>
          <w:szCs w:val="24"/>
        </w:rPr>
        <w:t xml:space="preserve">o </w:t>
      </w:r>
      <w:r w:rsidRPr="00271C33" w:rsidR="003322D7">
        <w:rPr>
          <w:sz w:val="24"/>
          <w:szCs w:val="24"/>
        </w:rPr>
        <w:t>stop its</w:t>
      </w:r>
      <w:r w:rsidRPr="00271C33">
        <w:rPr>
          <w:sz w:val="24"/>
          <w:szCs w:val="24"/>
        </w:rPr>
        <w:t xml:space="preserve"> inappropriate </w:t>
      </w:r>
      <w:r w:rsidRPr="00271C33" w:rsidR="003322D7">
        <w:rPr>
          <w:sz w:val="24"/>
          <w:szCs w:val="24"/>
        </w:rPr>
        <w:t>energy efficiency rider charges</w:t>
      </w:r>
      <w:r w:rsidRPr="00271C33">
        <w:rPr>
          <w:sz w:val="24"/>
          <w:szCs w:val="24"/>
        </w:rPr>
        <w:t xml:space="preserve">, the PUCO should act to protect consumers. </w:t>
      </w:r>
      <w:r w:rsidRPr="00271C33" w:rsidR="00AC7C99">
        <w:rPr>
          <w:sz w:val="24"/>
          <w:szCs w:val="24"/>
        </w:rPr>
        <w:t>Consumers should be protected by ordering an independent audit of Duke’s energy efficiency charges.</w:t>
      </w:r>
      <w:r w:rsidR="00271C33">
        <w:rPr>
          <w:sz w:val="24"/>
          <w:szCs w:val="24"/>
        </w:rPr>
        <w:t xml:space="preserve"> </w:t>
      </w:r>
      <w:r w:rsidRPr="00271C33" w:rsidR="00AC7C99">
        <w:rPr>
          <w:sz w:val="24"/>
          <w:szCs w:val="24"/>
        </w:rPr>
        <w:t>And the PUCO should levy forfeitures against Duke for its continued non-compliance with PUCO orders.</w:t>
      </w:r>
      <w:r w:rsidR="00271C33">
        <w:rPr>
          <w:sz w:val="24"/>
          <w:szCs w:val="24"/>
        </w:rPr>
        <w:t xml:space="preserve"> </w:t>
      </w:r>
    </w:p>
    <w:p w:rsidR="00532FF8" w:rsidRPr="00271C33" w14:paraId="65165B67" w14:textId="6F0C8982">
      <w:r w:rsidRPr="00271C33">
        <w:br w:type="page"/>
      </w:r>
    </w:p>
    <w:p w:rsidR="00701495" w:rsidRPr="00271C33" w:rsidP="00701495" w14:paraId="6289557A" w14:textId="05D2395E">
      <w:pPr>
        <w:pStyle w:val="Heading1"/>
        <w:rPr>
          <w:rFonts w:ascii="Times New Roman" w:hAnsi="Times New Roman" w:cs="Times New Roman"/>
          <w:szCs w:val="24"/>
        </w:rPr>
      </w:pPr>
      <w:r w:rsidRPr="00271C33">
        <w:rPr>
          <w:rFonts w:ascii="Times New Roman" w:hAnsi="Times New Roman" w:cs="Times New Roman"/>
          <w:szCs w:val="24"/>
        </w:rPr>
        <w:t>II.</w:t>
      </w:r>
      <w:r w:rsidRPr="00271C33">
        <w:rPr>
          <w:rFonts w:ascii="Times New Roman" w:hAnsi="Times New Roman" w:cs="Times New Roman"/>
          <w:szCs w:val="24"/>
        </w:rPr>
        <w:tab/>
        <w:t>RECOMMENDATIONS</w:t>
      </w:r>
      <w:bookmarkStart w:id="6" w:name="_Toc25592391"/>
      <w:bookmarkStart w:id="7" w:name="_Toc25592672"/>
      <w:bookmarkStart w:id="8" w:name="_Toc25592793"/>
      <w:bookmarkEnd w:id="3"/>
      <w:bookmarkEnd w:id="4"/>
      <w:bookmarkEnd w:id="5"/>
    </w:p>
    <w:p w:rsidR="00B5315F" w:rsidRPr="00271C33" w:rsidP="00474FEE" w14:paraId="6FE622E0" w14:textId="00B99738">
      <w:pPr>
        <w:pStyle w:val="Heading2"/>
        <w:rPr>
          <w:rFonts w:ascii="Times New Roman" w:hAnsi="Times New Roman" w:cs="Times New Roman"/>
          <w:szCs w:val="24"/>
        </w:rPr>
      </w:pPr>
      <w:bookmarkStart w:id="9" w:name="_Toc25592399"/>
      <w:bookmarkStart w:id="10" w:name="_Toc25592680"/>
      <w:bookmarkStart w:id="11" w:name="_Toc25592801"/>
      <w:bookmarkEnd w:id="6"/>
      <w:bookmarkEnd w:id="7"/>
      <w:bookmarkEnd w:id="8"/>
      <w:r w:rsidRPr="00271C33">
        <w:rPr>
          <w:rFonts w:ascii="Times New Roman" w:hAnsi="Times New Roman" w:cs="Times New Roman"/>
          <w:szCs w:val="24"/>
        </w:rPr>
        <w:t>A.</w:t>
      </w:r>
      <w:r w:rsidRPr="00271C33">
        <w:rPr>
          <w:rFonts w:ascii="Times New Roman" w:hAnsi="Times New Roman" w:cs="Times New Roman"/>
          <w:szCs w:val="24"/>
        </w:rPr>
        <w:tab/>
      </w:r>
      <w:r w:rsidRPr="00271C33">
        <w:rPr>
          <w:rFonts w:ascii="Times New Roman" w:hAnsi="Times New Roman" w:cs="Times New Roman"/>
          <w:szCs w:val="24"/>
        </w:rPr>
        <w:t xml:space="preserve">To protect consumers, the PUCO should </w:t>
      </w:r>
      <w:r w:rsidRPr="00271C33" w:rsidR="00006AFF">
        <w:rPr>
          <w:rFonts w:ascii="Times New Roman" w:hAnsi="Times New Roman" w:cs="Times New Roman"/>
          <w:szCs w:val="24"/>
        </w:rPr>
        <w:t xml:space="preserve">order an independent audit of Duke’s energy efficiency charges and levy forfeitures against Duke for any inappropriate charges the audit reveals. </w:t>
      </w:r>
    </w:p>
    <w:p w:rsidR="008E7CD4" w:rsidRPr="00271C33" w:rsidP="008E7CD4" w14:paraId="2BD085E8" w14:textId="00B86746">
      <w:pPr>
        <w:pStyle w:val="BodyTextIndent3"/>
        <w:spacing w:after="0" w:line="480" w:lineRule="auto"/>
        <w:ind w:left="0" w:firstLine="720"/>
        <w:rPr>
          <w:sz w:val="24"/>
          <w:szCs w:val="24"/>
        </w:rPr>
      </w:pPr>
      <w:r w:rsidRPr="00271C33">
        <w:rPr>
          <w:sz w:val="24"/>
          <w:szCs w:val="24"/>
        </w:rPr>
        <w:t>Duke has routinely failed to follow PUCO orders regarding its energy efficiency programs. In Duke’s 2014 energy efficiency rider case,</w:t>
      </w:r>
      <w:r>
        <w:rPr>
          <w:rStyle w:val="FootnoteReference"/>
          <w:sz w:val="24"/>
          <w:szCs w:val="24"/>
        </w:rPr>
        <w:footnoteReference w:id="3"/>
      </w:r>
      <w:r w:rsidRPr="00271C33">
        <w:rPr>
          <w:sz w:val="24"/>
          <w:szCs w:val="24"/>
        </w:rPr>
        <w:t xml:space="preserve"> the</w:t>
      </w:r>
      <w:r w:rsidRPr="00271C33" w:rsidR="00B5315F">
        <w:rPr>
          <w:sz w:val="24"/>
          <w:szCs w:val="24"/>
        </w:rPr>
        <w:t xml:space="preserve"> PUCO ruled that Duke could not charge customers for utility employee incentive pay, meals and entertainment for Duke employees, baseball tickets, and utility employee cell phone bills.</w:t>
      </w:r>
      <w:r>
        <w:rPr>
          <w:rStyle w:val="FootnoteReference"/>
          <w:sz w:val="24"/>
          <w:szCs w:val="24"/>
        </w:rPr>
        <w:footnoteReference w:id="4"/>
      </w:r>
    </w:p>
    <w:p w:rsidR="008E7CD4" w:rsidRPr="00271C33" w:rsidP="002A6020" w14:paraId="2C89E84E" w14:textId="67283905">
      <w:pPr>
        <w:pStyle w:val="BodyTextIndent3"/>
        <w:spacing w:after="0" w:line="480" w:lineRule="auto"/>
        <w:ind w:left="0" w:firstLine="720"/>
        <w:rPr>
          <w:sz w:val="24"/>
          <w:szCs w:val="24"/>
        </w:rPr>
      </w:pPr>
      <w:r w:rsidRPr="00271C33">
        <w:rPr>
          <w:sz w:val="24"/>
          <w:szCs w:val="24"/>
        </w:rPr>
        <w:t>Duke tried to charge consumers for utility employee incentive pay again anyway in its 2015 energy efficiency rider case.</w:t>
      </w:r>
      <w:r>
        <w:rPr>
          <w:rStyle w:val="FootnoteReference"/>
          <w:sz w:val="24"/>
          <w:szCs w:val="24"/>
        </w:rPr>
        <w:footnoteReference w:id="5"/>
      </w:r>
      <w:r w:rsidRPr="00271C33">
        <w:rPr>
          <w:sz w:val="24"/>
          <w:szCs w:val="24"/>
        </w:rPr>
        <w:t xml:space="preserve"> PUCO Staff again recommended rejection of Duke’s proposed charges.</w:t>
      </w:r>
      <w:r>
        <w:rPr>
          <w:rStyle w:val="FootnoteReference"/>
          <w:sz w:val="24"/>
          <w:szCs w:val="24"/>
        </w:rPr>
        <w:footnoteReference w:id="6"/>
      </w:r>
      <w:r w:rsidRPr="00271C33">
        <w:rPr>
          <w:sz w:val="24"/>
          <w:szCs w:val="24"/>
        </w:rPr>
        <w:t xml:space="preserve"> The PUCO again agreed and </w:t>
      </w:r>
      <w:r w:rsidRPr="00271C33" w:rsidR="002A6020">
        <w:rPr>
          <w:sz w:val="24"/>
          <w:szCs w:val="24"/>
        </w:rPr>
        <w:t xml:space="preserve">disallowed Duke charges for </w:t>
      </w:r>
      <w:r w:rsidRPr="00271C33">
        <w:rPr>
          <w:sz w:val="24"/>
          <w:szCs w:val="24"/>
        </w:rPr>
        <w:t>these expenses, which totaled $276,290.</w:t>
      </w:r>
      <w:r>
        <w:rPr>
          <w:rStyle w:val="FootnoteReference"/>
          <w:sz w:val="24"/>
          <w:szCs w:val="24"/>
        </w:rPr>
        <w:footnoteReference w:id="7"/>
      </w:r>
    </w:p>
    <w:p w:rsidR="008E7CD4" w:rsidRPr="00271C33" w:rsidP="008E7CD4" w14:paraId="33F3C311" w14:textId="77777777">
      <w:pPr>
        <w:pStyle w:val="BodyTextIndent3"/>
        <w:spacing w:after="0" w:line="480" w:lineRule="auto"/>
        <w:ind w:left="0" w:firstLine="720"/>
        <w:rPr>
          <w:sz w:val="24"/>
          <w:szCs w:val="24"/>
        </w:rPr>
      </w:pPr>
      <w:r w:rsidRPr="00271C33">
        <w:rPr>
          <w:sz w:val="24"/>
          <w:szCs w:val="24"/>
        </w:rPr>
        <w:t>The PUCO yet again rejected Duke’s attempts to charge consumers $299,822 for utility employee incentive pay in Duke’s 2016 energy efficiency rider case</w:t>
      </w:r>
      <w:r>
        <w:rPr>
          <w:rStyle w:val="FootnoteReference"/>
          <w:sz w:val="24"/>
          <w:szCs w:val="24"/>
        </w:rPr>
        <w:footnoteReference w:id="8"/>
      </w:r>
      <w:r w:rsidRPr="00271C33">
        <w:rPr>
          <w:sz w:val="24"/>
          <w:szCs w:val="24"/>
        </w:rPr>
        <w:t xml:space="preserve"> and $314,219 in Duke’s 2017 energy efficiency rider case</w:t>
      </w:r>
      <w:r>
        <w:rPr>
          <w:rStyle w:val="FootnoteReference"/>
          <w:sz w:val="24"/>
          <w:szCs w:val="24"/>
        </w:rPr>
        <w:footnoteReference w:id="9"/>
      </w:r>
      <w:r w:rsidRPr="00271C33">
        <w:rPr>
          <w:sz w:val="24"/>
          <w:szCs w:val="24"/>
        </w:rPr>
        <w:t xml:space="preserve">. </w:t>
      </w:r>
    </w:p>
    <w:p w:rsidR="008E7CD4" w:rsidRPr="00271C33" w:rsidP="008E7CD4" w14:paraId="12E8F200" w14:textId="0D205747">
      <w:pPr>
        <w:pStyle w:val="BodyTextIndent3"/>
        <w:spacing w:after="0" w:line="480" w:lineRule="auto"/>
        <w:ind w:left="0" w:firstLine="720"/>
        <w:rPr>
          <w:sz w:val="24"/>
          <w:szCs w:val="24"/>
        </w:rPr>
      </w:pPr>
      <w:r w:rsidRPr="00271C33">
        <w:rPr>
          <w:sz w:val="24"/>
          <w:szCs w:val="24"/>
        </w:rPr>
        <w:t>In Duke’s 2018 energy efficiency rider case,</w:t>
      </w:r>
      <w:r>
        <w:rPr>
          <w:rStyle w:val="FootnoteReference"/>
          <w:sz w:val="24"/>
          <w:szCs w:val="24"/>
        </w:rPr>
        <w:footnoteReference w:id="10"/>
      </w:r>
      <w:r w:rsidRPr="00271C33">
        <w:rPr>
          <w:sz w:val="24"/>
          <w:szCs w:val="24"/>
        </w:rPr>
        <w:t xml:space="preserve"> the PUCO Staff again found that Duke was trying to charge customers for $288,593 in employee incentives and recommended denying Duke’s request.</w:t>
      </w:r>
      <w:r>
        <w:rPr>
          <w:rStyle w:val="FootnoteReference"/>
          <w:sz w:val="24"/>
          <w:szCs w:val="24"/>
        </w:rPr>
        <w:footnoteReference w:id="11"/>
      </w:r>
      <w:r w:rsidRPr="00271C33">
        <w:rPr>
          <w:sz w:val="24"/>
          <w:szCs w:val="24"/>
        </w:rPr>
        <w:t xml:space="preserve"> Apparently frustrated that Duke continued to </w:t>
      </w:r>
      <w:r w:rsidRPr="00271C33">
        <w:rPr>
          <w:sz w:val="24"/>
          <w:szCs w:val="24"/>
        </w:rPr>
        <w:t>include these charges in the rider, the PUCO Staff recommended that the PUCO instruct Duke “to no longer include these expense categories in future Rider EE-PDR filings.”</w:t>
      </w:r>
      <w:r>
        <w:rPr>
          <w:rStyle w:val="FootnoteReference"/>
          <w:sz w:val="24"/>
          <w:szCs w:val="24"/>
        </w:rPr>
        <w:footnoteReference w:id="12"/>
      </w:r>
      <w:r w:rsidRPr="00271C33">
        <w:rPr>
          <w:sz w:val="24"/>
          <w:szCs w:val="24"/>
        </w:rPr>
        <w:t xml:space="preserve"> </w:t>
      </w:r>
    </w:p>
    <w:p w:rsidR="008E7CD4" w:rsidRPr="00271C33" w:rsidP="008E7CD4" w14:paraId="35480672" w14:textId="2CC0E5D5">
      <w:pPr>
        <w:pStyle w:val="BodyTextIndent3"/>
        <w:spacing w:after="0" w:line="480" w:lineRule="auto"/>
        <w:ind w:left="0" w:firstLine="720"/>
        <w:rPr>
          <w:sz w:val="24"/>
          <w:szCs w:val="24"/>
        </w:rPr>
      </w:pPr>
      <w:r w:rsidRPr="00271C33">
        <w:rPr>
          <w:sz w:val="24"/>
          <w:szCs w:val="24"/>
        </w:rPr>
        <w:t>Duke apparently was not convinced. Despite the PUCO rejecting the request four years in a row, Duke once again included charges to consumers for utility incentive pay, totaling $292,925 for 2019.</w:t>
      </w:r>
      <w:r>
        <w:rPr>
          <w:rStyle w:val="FootnoteReference"/>
          <w:sz w:val="24"/>
          <w:szCs w:val="24"/>
        </w:rPr>
        <w:footnoteReference w:id="13"/>
      </w:r>
      <w:r w:rsidRPr="00271C33">
        <w:rPr>
          <w:sz w:val="24"/>
          <w:szCs w:val="24"/>
        </w:rPr>
        <w:t xml:space="preserve"> </w:t>
      </w:r>
    </w:p>
    <w:p w:rsidR="00A84C3C" w:rsidRPr="00271C33" w:rsidP="001A3570" w14:paraId="47C8E78F" w14:textId="77777777">
      <w:pPr>
        <w:spacing w:line="480" w:lineRule="auto"/>
        <w:ind w:firstLine="720"/>
      </w:pPr>
      <w:r w:rsidRPr="00271C33">
        <w:t>Considering</w:t>
      </w:r>
      <w:r w:rsidRPr="00271C33" w:rsidR="00B5315F">
        <w:t xml:space="preserve"> Duke’s continued </w:t>
      </w:r>
      <w:r w:rsidRPr="00271C33" w:rsidR="003322D7">
        <w:t>disregard of the PUCO’s disallowance of charges for employee incentives</w:t>
      </w:r>
      <w:r w:rsidRPr="00271C33" w:rsidR="00B5315F">
        <w:t xml:space="preserve">, </w:t>
      </w:r>
      <w:r w:rsidRPr="00271C33" w:rsidR="001A3570">
        <w:t xml:space="preserve">the PUCO should order an independent audit of Duke’s energy efficiency rider charges. The PUCO Staff’s audit is an essential part of the process in cases where customer rates are adjusted outside of a base rate case. </w:t>
      </w:r>
    </w:p>
    <w:p w:rsidR="001A3570" w:rsidRPr="00271C33" w:rsidP="001A3570" w14:paraId="6D9CC3BF" w14:textId="65D449DA">
      <w:pPr>
        <w:spacing w:line="480" w:lineRule="auto"/>
        <w:ind w:firstLine="720"/>
      </w:pPr>
      <w:r w:rsidRPr="00271C33">
        <w:t>But</w:t>
      </w:r>
      <w:r w:rsidRPr="00271C33">
        <w:t xml:space="preserve"> OCC understands that the PUCO Staff audit is generally a sampling of Duke’s expenses, not a comprehensive review of every receipt. </w:t>
      </w:r>
      <w:r w:rsidRPr="00271C33" w:rsidR="002A6020">
        <w:t>So</w:t>
      </w:r>
      <w:r w:rsidRPr="00271C33">
        <w:t xml:space="preserve">, </w:t>
      </w:r>
      <w:r w:rsidRPr="00271C33" w:rsidR="002A6020">
        <w:t>it is possible</w:t>
      </w:r>
      <w:r w:rsidRPr="00271C33">
        <w:t xml:space="preserve"> inappropriate expenses are still being charged to customers because they </w:t>
      </w:r>
      <w:r w:rsidRPr="00271C33" w:rsidR="002A6020">
        <w:t>are not identified in PUCO Staff audit</w:t>
      </w:r>
      <w:r w:rsidRPr="00271C33" w:rsidR="003322D7">
        <w:t>s</w:t>
      </w:r>
      <w:r w:rsidRPr="00271C33">
        <w:t xml:space="preserve"> and not disallowed. </w:t>
      </w:r>
      <w:r w:rsidRPr="00271C33" w:rsidR="002A6020">
        <w:t xml:space="preserve">An independent audit would ensure Duke is not </w:t>
      </w:r>
      <w:r w:rsidRPr="00271C33" w:rsidR="00AC7C99">
        <w:t xml:space="preserve">charging consumers for charges that are </w:t>
      </w:r>
      <w:r w:rsidRPr="00271C33" w:rsidR="002A6020">
        <w:t>improper</w:t>
      </w:r>
      <w:r w:rsidRPr="00271C33" w:rsidR="00AC7C99">
        <w:t xml:space="preserve"> for collection</w:t>
      </w:r>
      <w:r w:rsidRPr="00271C33" w:rsidR="00F040B8">
        <w:t>, as they have shown a proclivity to do so</w:t>
      </w:r>
      <w:r w:rsidRPr="00271C33" w:rsidR="00AC7C99">
        <w:t>.</w:t>
      </w:r>
      <w:r w:rsidR="00271C33">
        <w:t xml:space="preserve"> </w:t>
      </w:r>
    </w:p>
    <w:p w:rsidR="00800EE1" w:rsidRPr="00271C33" w:rsidP="001A3570" w14:paraId="7060EDAB" w14:textId="7F8D2D22">
      <w:pPr>
        <w:spacing w:line="480" w:lineRule="auto"/>
        <w:ind w:firstLine="720"/>
      </w:pPr>
      <w:r w:rsidRPr="00271C33">
        <w:t xml:space="preserve">And even when the PUCO Staff’s audit does catch Duke’s improper expenses, there </w:t>
      </w:r>
      <w:r w:rsidRPr="00271C33">
        <w:t xml:space="preserve">has so far been </w:t>
      </w:r>
      <w:r w:rsidRPr="00271C33">
        <w:t xml:space="preserve">no penalty </w:t>
      </w:r>
      <w:r w:rsidRPr="00271C33" w:rsidR="00350229">
        <w:t>for</w:t>
      </w:r>
      <w:r w:rsidRPr="00271C33">
        <w:t xml:space="preserve"> Duke</w:t>
      </w:r>
      <w:r w:rsidRPr="00271C33" w:rsidR="00AC7C99">
        <w:t>’s non-</w:t>
      </w:r>
      <w:r w:rsidRPr="00271C33" w:rsidR="00F040B8">
        <w:t>compliance</w:t>
      </w:r>
      <w:r w:rsidRPr="00271C33">
        <w:t xml:space="preserve"> but a dollar-for-dollar disallowance. That puts Duke in the same place as if it excluded the expenses itself. </w:t>
      </w:r>
    </w:p>
    <w:p w:rsidR="001A3570" w:rsidRPr="00271C33" w:rsidP="00800EE1" w14:paraId="6BACAFEF" w14:textId="25CBBCA7">
      <w:pPr>
        <w:spacing w:line="480" w:lineRule="auto"/>
        <w:ind w:firstLine="720"/>
      </w:pPr>
      <w:r w:rsidRPr="00271C33">
        <w:t>To disincentivize Duk</w:t>
      </w:r>
      <w:r w:rsidRPr="00271C33" w:rsidR="003322D7">
        <w:t xml:space="preserve">e’s </w:t>
      </w:r>
      <w:r w:rsidRPr="00271C33" w:rsidR="00A84C3C">
        <w:t>behavior (which is to ignore prior PUCO directives)</w:t>
      </w:r>
      <w:r w:rsidRPr="00271C33">
        <w:t>, the PUCO should also</w:t>
      </w:r>
      <w:r w:rsidRPr="00271C33" w:rsidR="00800EE1">
        <w:t xml:space="preserve"> levy a forfeiture against Duke. </w:t>
      </w:r>
      <w:r>
        <w:rPr>
          <w:rStyle w:val="FootnoteReference"/>
        </w:rPr>
        <w:footnoteReference w:id="14"/>
      </w:r>
      <w:r w:rsidRPr="00271C33">
        <w:t xml:space="preserve"> </w:t>
      </w:r>
      <w:r w:rsidRPr="00271C33" w:rsidR="00A84C3C">
        <w:t xml:space="preserve">The PUCO has authority to levy </w:t>
      </w:r>
      <w:r w:rsidRPr="00271C33" w:rsidR="002A2D38">
        <w:t>forfeitures</w:t>
      </w:r>
      <w:r w:rsidRPr="00271C33" w:rsidR="00800EE1">
        <w:t xml:space="preserve"> “against a public utility…that violates a provision of [R.C. 4901, 4903, 4907, </w:t>
      </w:r>
      <w:r w:rsidRPr="00271C33" w:rsidR="00800EE1">
        <w:t>and 4909] or that after due notice fails to comply with an order, direction, or requirement of the commission that was officially promulgated.” Under such violations, the PUCO can assess a forfeiture for each violation of up to $10,000 per day.</w:t>
      </w:r>
      <w:r>
        <w:rPr>
          <w:rStyle w:val="FootnoteReference"/>
        </w:rPr>
        <w:footnoteReference w:id="15"/>
      </w:r>
      <w:r w:rsidR="00271C33">
        <w:t xml:space="preserve"> </w:t>
      </w:r>
      <w:r w:rsidRPr="00271C33" w:rsidR="0055440B">
        <w:t xml:space="preserve">The PUCO should levy forfeitures against Duke. </w:t>
      </w:r>
      <w:r w:rsidRPr="00271C33" w:rsidR="00800EE1">
        <w:t xml:space="preserve">Duke has received due notice of its unlawful employee incentive charges through numerous PUCO orders; </w:t>
      </w:r>
      <w:r w:rsidRPr="00271C33" w:rsidR="00350229">
        <w:t>yet</w:t>
      </w:r>
      <w:r w:rsidRPr="00271C33" w:rsidR="00800EE1">
        <w:t xml:space="preserve"> it continued to include them in its energy efficiency riders.</w:t>
      </w:r>
      <w:r w:rsidRPr="00271C33" w:rsidR="00F040B8">
        <w:t xml:space="preserve"> </w:t>
      </w:r>
      <w:r w:rsidRPr="00271C33" w:rsidR="0055440B">
        <w:t>The PUCO recently directed First Energy to show cause why it should not be assessed a forfeiture</w:t>
      </w:r>
      <w:r w:rsidRPr="00271C33" w:rsidR="00282D64">
        <w:t xml:space="preserve"> for delayed responses to data requests by a Commission-approved auditor</w:t>
      </w:r>
      <w:r w:rsidRPr="00271C33" w:rsidR="0055440B">
        <w:t>.</w:t>
      </w:r>
      <w:r>
        <w:rPr>
          <w:rStyle w:val="FootnoteReference"/>
        </w:rPr>
        <w:footnoteReference w:id="16"/>
      </w:r>
      <w:r w:rsidRPr="00271C33" w:rsidR="00282D64">
        <w:t xml:space="preserve"> By continuing to include employee incentive charges in its energy efficiency rider, Duke goes further and ignores prior PUCO directives</w:t>
      </w:r>
      <w:r w:rsidRPr="00271C33" w:rsidR="003C0A02">
        <w:t xml:space="preserve"> altogether</w:t>
      </w:r>
      <w:r w:rsidRPr="00271C33" w:rsidR="00282D64">
        <w:t>. Duke should pay forfeitures for including these improper charges.</w:t>
      </w:r>
      <w:r w:rsidR="00271C33">
        <w:t xml:space="preserve"> </w:t>
      </w:r>
    </w:p>
    <w:p w:rsidR="00EC7971" w:rsidRPr="00271C33" w:rsidP="00EC7971" w14:paraId="7152517E" w14:textId="265D1055">
      <w:pPr>
        <w:spacing w:line="480" w:lineRule="auto"/>
        <w:ind w:firstLine="720"/>
      </w:pPr>
      <w:r w:rsidRPr="00271C33">
        <w:t xml:space="preserve">For years, Duke has attempted to use its energy efficiency rider to impose inappropriate charges on consumers. The PUCO </w:t>
      </w:r>
      <w:r w:rsidRPr="00271C33" w:rsidR="003322D7">
        <w:t>should</w:t>
      </w:r>
      <w:r w:rsidRPr="00271C33">
        <w:t xml:space="preserve"> stop it by ordering</w:t>
      </w:r>
      <w:r w:rsidRPr="00271C33" w:rsidR="001A3570">
        <w:t xml:space="preserve"> an independent audit </w:t>
      </w:r>
      <w:r w:rsidRPr="00271C33" w:rsidR="003322D7">
        <w:t>of Duke’s energy efficiency rider and imposing</w:t>
      </w:r>
      <w:r w:rsidRPr="00271C33" w:rsidR="002A6020">
        <w:t xml:space="preserve"> forfeitures if improper charges are uncovered.</w:t>
      </w:r>
    </w:p>
    <w:p w:rsidR="00857751" w:rsidRPr="00271C33" w:rsidP="00857751" w14:paraId="749866D9" w14:textId="77777777"/>
    <w:p w:rsidR="008E2B12" w:rsidRPr="00271C33" w:rsidP="005A7BFA" w14:paraId="0AEFE889" w14:textId="0BFC4FA2">
      <w:pPr>
        <w:pStyle w:val="Heading1"/>
        <w:rPr>
          <w:rFonts w:ascii="Times New Roman" w:hAnsi="Times New Roman" w:cs="Times New Roman"/>
          <w:szCs w:val="24"/>
        </w:rPr>
      </w:pPr>
      <w:r w:rsidRPr="00271C33">
        <w:rPr>
          <w:rFonts w:ascii="Times New Roman" w:hAnsi="Times New Roman" w:cs="Times New Roman"/>
          <w:szCs w:val="24"/>
        </w:rPr>
        <w:t>III.</w:t>
      </w:r>
      <w:r w:rsidRPr="00271C33">
        <w:rPr>
          <w:rFonts w:ascii="Times New Roman" w:hAnsi="Times New Roman" w:cs="Times New Roman"/>
          <w:szCs w:val="24"/>
        </w:rPr>
        <w:tab/>
        <w:t>CONCLUSION</w:t>
      </w:r>
      <w:bookmarkEnd w:id="9"/>
      <w:bookmarkEnd w:id="10"/>
      <w:bookmarkEnd w:id="11"/>
    </w:p>
    <w:p w:rsidR="00F02B94" w:rsidRPr="00271C33" w:rsidP="004A6F0D" w14:paraId="4655C995" w14:textId="01E308DE">
      <w:pPr>
        <w:pStyle w:val="BodyTextIndent3"/>
        <w:widowControl w:val="0"/>
        <w:spacing w:line="480" w:lineRule="auto"/>
        <w:ind w:left="0" w:right="-672" w:firstLine="720"/>
        <w:rPr>
          <w:sz w:val="24"/>
          <w:szCs w:val="24"/>
        </w:rPr>
      </w:pPr>
      <w:r w:rsidRPr="00271C33">
        <w:rPr>
          <w:sz w:val="24"/>
          <w:szCs w:val="24"/>
        </w:rPr>
        <w:t>T</w:t>
      </w:r>
      <w:r w:rsidRPr="00271C33" w:rsidR="002A6020">
        <w:rPr>
          <w:sz w:val="24"/>
          <w:szCs w:val="24"/>
        </w:rPr>
        <w:t xml:space="preserve">he PUCO should require an independent audit of Duke’s energy efficiency rider charges, given Duke’s past refusal to </w:t>
      </w:r>
      <w:r w:rsidRPr="00271C33" w:rsidR="00AC7C99">
        <w:rPr>
          <w:sz w:val="24"/>
          <w:szCs w:val="24"/>
        </w:rPr>
        <w:t xml:space="preserve">comply with </w:t>
      </w:r>
      <w:r w:rsidRPr="00271C33" w:rsidR="002A6020">
        <w:rPr>
          <w:sz w:val="24"/>
          <w:szCs w:val="24"/>
        </w:rPr>
        <w:t xml:space="preserve">PUCO orders disallowing </w:t>
      </w:r>
      <w:r w:rsidRPr="00271C33" w:rsidR="00DC3888">
        <w:rPr>
          <w:sz w:val="24"/>
          <w:szCs w:val="24"/>
        </w:rPr>
        <w:t>employee incentive charges</w:t>
      </w:r>
      <w:r w:rsidRPr="00271C33" w:rsidR="002A6020">
        <w:rPr>
          <w:sz w:val="24"/>
          <w:szCs w:val="24"/>
        </w:rPr>
        <w:t>. The PUCO should levy forfeitures against Duke.</w:t>
      </w:r>
      <w:r w:rsidRPr="00271C33">
        <w:rPr>
          <w:sz w:val="24"/>
          <w:szCs w:val="24"/>
        </w:rPr>
        <w:t xml:space="preserve"> </w:t>
      </w:r>
    </w:p>
    <w:p w:rsidR="00AA4F22" w:rsidRPr="00271C33" w14:paraId="3BB1C24D" w14:textId="77777777">
      <w:pPr>
        <w:rPr>
          <w:rFonts w:eastAsia="Times New Roman"/>
        </w:rPr>
      </w:pPr>
      <w:r w:rsidRPr="00271C33">
        <w:rPr>
          <w:rFonts w:eastAsia="Times New Roman"/>
        </w:rPr>
        <w:br w:type="page"/>
      </w:r>
    </w:p>
    <w:p w:rsidR="0037304E" w:rsidRPr="00271C33" w:rsidP="0037304E" w14:paraId="21B02968" w14:textId="38AF6490">
      <w:pPr>
        <w:ind w:firstLine="4320"/>
        <w:rPr>
          <w:rFonts w:eastAsia="Times New Roman"/>
        </w:rPr>
      </w:pPr>
      <w:r w:rsidRPr="00271C33">
        <w:rPr>
          <w:rFonts w:eastAsia="Times New Roman"/>
        </w:rPr>
        <w:t>Respectfully submitted,</w:t>
      </w:r>
    </w:p>
    <w:p w:rsidR="0037304E" w:rsidRPr="00271C33" w:rsidP="0037304E" w14:paraId="3A9EBB03" w14:textId="77777777">
      <w:pPr>
        <w:ind w:firstLine="4320"/>
      </w:pPr>
    </w:p>
    <w:p w:rsidR="0037304E" w:rsidRPr="00271C33" w:rsidP="0037304E" w14:paraId="7E3143D5" w14:textId="55B9F448">
      <w:pPr>
        <w:ind w:firstLine="4320"/>
      </w:pPr>
      <w:r w:rsidRPr="00271C33">
        <w:t>Bruce Weston (0016973)</w:t>
      </w:r>
    </w:p>
    <w:p w:rsidR="0037304E" w:rsidRPr="00271C33" w:rsidP="0037304E" w14:paraId="43044667" w14:textId="5B174427">
      <w:pPr>
        <w:tabs>
          <w:tab w:val="left" w:pos="4320"/>
        </w:tabs>
        <w:ind w:left="4320"/>
      </w:pPr>
      <w:r w:rsidRPr="00271C33">
        <w:t>Ohio Consumers' Counsel</w:t>
      </w:r>
    </w:p>
    <w:p w:rsidR="0037304E" w:rsidRPr="00271C33" w:rsidP="0037304E" w14:paraId="160DB95C" w14:textId="77777777">
      <w:pPr>
        <w:tabs>
          <w:tab w:val="left" w:pos="4320"/>
        </w:tabs>
        <w:ind w:left="4320"/>
      </w:pPr>
    </w:p>
    <w:p w:rsidR="0037304E" w:rsidRPr="00271C33" w:rsidP="0037304E" w14:paraId="278CAD07" w14:textId="52128AB2">
      <w:pPr>
        <w:autoSpaceDE w:val="0"/>
        <w:autoSpaceDN w:val="0"/>
        <w:adjustRightInd w:val="0"/>
        <w:ind w:left="4320"/>
        <w:rPr>
          <w:u w:val="single"/>
        </w:rPr>
      </w:pPr>
      <w:r w:rsidRPr="00271C33">
        <w:rPr>
          <w:u w:val="single"/>
        </w:rPr>
        <w:t xml:space="preserve">/s/ </w:t>
      </w:r>
      <w:r w:rsidRPr="00271C33" w:rsidR="00701495">
        <w:rPr>
          <w:i/>
          <w:u w:val="single"/>
        </w:rPr>
        <w:t>Connor Sempl</w:t>
      </w:r>
      <w:r w:rsidRPr="00271C33" w:rsidR="004A6F0D">
        <w:rPr>
          <w:i/>
          <w:u w:val="single"/>
        </w:rPr>
        <w:t>e</w:t>
      </w:r>
    </w:p>
    <w:p w:rsidR="0037304E" w:rsidRPr="00271C33" w:rsidP="0037304E" w14:paraId="5AD6BEA2" w14:textId="3C7D8049">
      <w:pPr>
        <w:autoSpaceDE w:val="0"/>
        <w:autoSpaceDN w:val="0"/>
        <w:adjustRightInd w:val="0"/>
        <w:ind w:left="4320"/>
      </w:pPr>
      <w:r w:rsidRPr="00271C33">
        <w:t>Connor Semple (0101102</w:t>
      </w:r>
      <w:r w:rsidRPr="00271C33" w:rsidR="00821231">
        <w:t>)</w:t>
      </w:r>
      <w:r w:rsidRPr="00271C33" w:rsidR="00821231">
        <w:br/>
        <w:t>Counsel of Record</w:t>
      </w:r>
    </w:p>
    <w:p w:rsidR="000C3C2C" w:rsidRPr="00271C33" w:rsidP="0037304E" w14:paraId="62FE4D7C" w14:textId="2F1FA806">
      <w:pPr>
        <w:autoSpaceDE w:val="0"/>
        <w:autoSpaceDN w:val="0"/>
        <w:adjustRightInd w:val="0"/>
        <w:ind w:left="4320"/>
      </w:pPr>
      <w:r w:rsidRPr="00271C33">
        <w:t>Assistant Consumers’ Counsel</w:t>
      </w:r>
    </w:p>
    <w:p w:rsidR="0037304E" w:rsidRPr="00271C33" w:rsidP="0037304E" w14:paraId="7B5C2590" w14:textId="77777777">
      <w:pPr>
        <w:tabs>
          <w:tab w:val="left" w:pos="4320"/>
        </w:tabs>
        <w:ind w:left="4320"/>
      </w:pPr>
    </w:p>
    <w:p w:rsidR="0037304E" w:rsidRPr="00271C33" w:rsidP="0037304E" w14:paraId="191A07EA" w14:textId="77777777">
      <w:pPr>
        <w:ind w:left="4320"/>
        <w:rPr>
          <w:b/>
        </w:rPr>
      </w:pPr>
      <w:r w:rsidRPr="00271C33">
        <w:rPr>
          <w:b/>
        </w:rPr>
        <w:t>Office of the Ohio Consumers' Counsel</w:t>
      </w:r>
    </w:p>
    <w:p w:rsidR="0037304E" w:rsidRPr="00271C33" w:rsidP="0037304E" w14:paraId="16AE6690" w14:textId="68CC6A3D">
      <w:pPr>
        <w:ind w:left="4320"/>
      </w:pPr>
      <w:r w:rsidRPr="00271C33">
        <w:t xml:space="preserve">65 East State Street, </w:t>
      </w:r>
      <w:r w:rsidRPr="00271C33" w:rsidR="00904433">
        <w:t>Suite 700</w:t>
      </w:r>
    </w:p>
    <w:p w:rsidR="0037304E" w:rsidRPr="00271C33" w:rsidP="0037304E" w14:paraId="3BA171E3" w14:textId="77777777">
      <w:pPr>
        <w:ind w:left="4320"/>
      </w:pPr>
      <w:r w:rsidRPr="00271C33">
        <w:t>Columbus, Ohio 43215</w:t>
      </w:r>
    </w:p>
    <w:p w:rsidR="0037304E" w:rsidRPr="00271C33" w:rsidP="0037304E" w14:paraId="3B9AE78F" w14:textId="4057D15A">
      <w:pPr>
        <w:autoSpaceDE w:val="0"/>
        <w:autoSpaceDN w:val="0"/>
        <w:adjustRightInd w:val="0"/>
        <w:ind w:left="3600" w:firstLine="720"/>
      </w:pPr>
      <w:r w:rsidRPr="00271C33">
        <w:t>Telephone: (614) 466-957</w:t>
      </w:r>
      <w:r w:rsidRPr="00271C33" w:rsidR="00701495">
        <w:t>5</w:t>
      </w:r>
    </w:p>
    <w:p w:rsidR="0037304E" w:rsidRPr="00271C33" w:rsidP="0037304E" w14:paraId="40B22779" w14:textId="2FBA9D9C">
      <w:pPr>
        <w:ind w:left="4320"/>
        <w:rPr>
          <w:rStyle w:val="Hyperlink"/>
          <w:color w:val="auto"/>
        </w:rPr>
      </w:pPr>
      <w:hyperlink r:id="rId6" w:history="1">
        <w:r w:rsidRPr="00271C33" w:rsidR="00701495">
          <w:rPr>
            <w:rStyle w:val="Hyperlink"/>
            <w:color w:val="auto"/>
          </w:rPr>
          <w:t>connor.semple@occ.ohio.gov</w:t>
        </w:r>
      </w:hyperlink>
    </w:p>
    <w:p w:rsidR="0037304E" w:rsidRPr="00271C33" w:rsidP="0037304E" w14:paraId="0DA13496" w14:textId="00B66503">
      <w:pPr>
        <w:ind w:left="4320"/>
      </w:pPr>
      <w:r w:rsidRPr="00271C33">
        <w:t>(willing to accept service by e-mail)</w:t>
      </w:r>
    </w:p>
    <w:p w:rsidR="00F02B94" w:rsidRPr="00271C33" w14:paraId="655B6307" w14:textId="77777777">
      <w:r w:rsidRPr="00271C33">
        <w:br w:type="page"/>
      </w:r>
    </w:p>
    <w:p w:rsidR="00F02B94" w:rsidRPr="00271C33" w:rsidP="00F02B94" w14:paraId="7DF2F342" w14:textId="77777777">
      <w:pPr>
        <w:jc w:val="center"/>
        <w:rPr>
          <w:rFonts w:eastAsiaTheme="minorEastAsia"/>
          <w:b/>
          <w:u w:val="single"/>
        </w:rPr>
      </w:pPr>
      <w:r w:rsidRPr="00271C33">
        <w:rPr>
          <w:rFonts w:eastAsiaTheme="minorEastAsia"/>
          <w:b/>
          <w:u w:val="single"/>
        </w:rPr>
        <w:t>CERTIFICATE OF SERVICE</w:t>
      </w:r>
    </w:p>
    <w:p w:rsidR="00F02B94" w:rsidRPr="00271C33" w:rsidP="00F02B94" w14:paraId="6C6B2482" w14:textId="77777777">
      <w:pPr>
        <w:jc w:val="center"/>
        <w:rPr>
          <w:rFonts w:eastAsiaTheme="minorEastAsia"/>
          <w:b/>
          <w:u w:val="single"/>
        </w:rPr>
      </w:pPr>
    </w:p>
    <w:p w:rsidR="00CB7C2E" w:rsidRPr="00271C33" w:rsidP="00CB7C2E" w14:paraId="75449371" w14:textId="414034A2">
      <w:pPr>
        <w:spacing w:line="480" w:lineRule="auto"/>
        <w:ind w:firstLine="720"/>
        <w:rPr>
          <w:rFonts w:eastAsiaTheme="minorEastAsia"/>
        </w:rPr>
      </w:pPr>
      <w:r w:rsidRPr="00271C33">
        <w:rPr>
          <w:rFonts w:eastAsiaTheme="minorEastAsia"/>
        </w:rPr>
        <w:t xml:space="preserve">I hereby certify that a copy of the foregoing </w:t>
      </w:r>
      <w:r w:rsidRPr="00271C33">
        <w:rPr>
          <w:rFonts w:eastAsiaTheme="minorEastAsia"/>
        </w:rPr>
        <w:t xml:space="preserve">Initial </w:t>
      </w:r>
      <w:r w:rsidRPr="00271C33">
        <w:rPr>
          <w:rFonts w:eastAsiaTheme="minorEastAsia"/>
        </w:rPr>
        <w:t xml:space="preserve">Comments was served on the persons stated below via electronic transmission, this </w:t>
      </w:r>
      <w:r w:rsidRPr="00271C33" w:rsidR="00701495">
        <w:rPr>
          <w:rFonts w:eastAsiaTheme="minorEastAsia"/>
        </w:rPr>
        <w:t>26</w:t>
      </w:r>
      <w:r w:rsidRPr="00271C33" w:rsidR="00701495">
        <w:rPr>
          <w:rFonts w:eastAsiaTheme="minorEastAsia"/>
          <w:vertAlign w:val="superscript"/>
        </w:rPr>
        <w:t>th</w:t>
      </w:r>
      <w:r w:rsidRPr="00271C33" w:rsidR="00701495">
        <w:rPr>
          <w:rFonts w:eastAsiaTheme="minorEastAsia"/>
        </w:rPr>
        <w:t xml:space="preserve"> day of April 2023.</w:t>
      </w:r>
    </w:p>
    <w:p w:rsidR="00F02B94" w:rsidRPr="00271C33" w:rsidP="00F02B94" w14:paraId="23F2D51B" w14:textId="133714C5">
      <w:pPr>
        <w:ind w:firstLine="720"/>
        <w:rPr>
          <w:rFonts w:eastAsiaTheme="minorEastAsia"/>
        </w:rPr>
      </w:pPr>
      <w:r w:rsidRPr="00271C33">
        <w:rPr>
          <w:rFonts w:eastAsiaTheme="minorEastAsia"/>
        </w:rPr>
        <w:tab/>
      </w:r>
      <w:r w:rsidRPr="00271C33">
        <w:rPr>
          <w:rFonts w:eastAsiaTheme="minorEastAsia"/>
        </w:rPr>
        <w:tab/>
      </w:r>
      <w:r w:rsidRPr="00271C33">
        <w:rPr>
          <w:rFonts w:eastAsiaTheme="minorEastAsia"/>
        </w:rPr>
        <w:tab/>
      </w:r>
      <w:r w:rsidRPr="00271C33">
        <w:rPr>
          <w:rFonts w:eastAsiaTheme="minorEastAsia"/>
        </w:rPr>
        <w:tab/>
      </w:r>
      <w:r w:rsidRPr="00271C33">
        <w:rPr>
          <w:rFonts w:eastAsiaTheme="minorEastAsia"/>
        </w:rPr>
        <w:tab/>
      </w:r>
      <w:r w:rsidRPr="00271C33">
        <w:rPr>
          <w:rFonts w:eastAsiaTheme="minorEastAsia"/>
        </w:rPr>
        <w:tab/>
      </w:r>
      <w:r w:rsidRPr="00271C33">
        <w:rPr>
          <w:rFonts w:eastAsiaTheme="minorEastAsia"/>
          <w:u w:val="single"/>
        </w:rPr>
        <w:t xml:space="preserve">/s/ </w:t>
      </w:r>
      <w:r w:rsidRPr="00271C33" w:rsidR="00701495">
        <w:rPr>
          <w:rFonts w:eastAsiaTheme="minorEastAsia"/>
          <w:i/>
          <w:u w:val="single"/>
        </w:rPr>
        <w:t>Connor Semple</w:t>
      </w:r>
    </w:p>
    <w:p w:rsidR="00F02B94" w:rsidRPr="00271C33" w:rsidP="00F02B94" w14:paraId="35E63BB6" w14:textId="5E9DAE61">
      <w:pPr>
        <w:ind w:firstLine="720"/>
        <w:rPr>
          <w:rFonts w:eastAsiaTheme="minorEastAsia"/>
        </w:rPr>
      </w:pPr>
      <w:r w:rsidRPr="00271C33">
        <w:rPr>
          <w:rFonts w:eastAsiaTheme="minorEastAsia"/>
        </w:rPr>
        <w:tab/>
      </w:r>
      <w:r w:rsidRPr="00271C33">
        <w:rPr>
          <w:rFonts w:eastAsiaTheme="minorEastAsia"/>
        </w:rPr>
        <w:tab/>
      </w:r>
      <w:r w:rsidRPr="00271C33">
        <w:rPr>
          <w:rFonts w:eastAsiaTheme="minorEastAsia"/>
        </w:rPr>
        <w:tab/>
      </w:r>
      <w:r w:rsidRPr="00271C33">
        <w:rPr>
          <w:rFonts w:eastAsiaTheme="minorEastAsia"/>
        </w:rPr>
        <w:tab/>
      </w:r>
      <w:r w:rsidRPr="00271C33">
        <w:rPr>
          <w:rFonts w:eastAsiaTheme="minorEastAsia"/>
        </w:rPr>
        <w:tab/>
      </w:r>
      <w:r w:rsidRPr="00271C33">
        <w:rPr>
          <w:rFonts w:eastAsiaTheme="minorEastAsia"/>
        </w:rPr>
        <w:tab/>
      </w:r>
      <w:r w:rsidRPr="00271C33" w:rsidR="00A85645">
        <w:rPr>
          <w:rFonts w:eastAsiaTheme="minorEastAsia"/>
        </w:rPr>
        <w:t>Connor Semple</w:t>
      </w:r>
    </w:p>
    <w:p w:rsidR="00F02B94" w:rsidRPr="00271C33" w:rsidP="00F02B94" w14:paraId="5C8D72DB" w14:textId="77777777">
      <w:pPr>
        <w:ind w:firstLine="720"/>
        <w:rPr>
          <w:rFonts w:eastAsiaTheme="minorEastAsia"/>
        </w:rPr>
      </w:pPr>
      <w:r w:rsidRPr="00271C33">
        <w:rPr>
          <w:rFonts w:eastAsiaTheme="minorEastAsia"/>
        </w:rPr>
        <w:tab/>
      </w:r>
      <w:r w:rsidRPr="00271C33">
        <w:rPr>
          <w:rFonts w:eastAsiaTheme="minorEastAsia"/>
        </w:rPr>
        <w:tab/>
      </w:r>
      <w:r w:rsidRPr="00271C33">
        <w:rPr>
          <w:rFonts w:eastAsiaTheme="minorEastAsia"/>
        </w:rPr>
        <w:tab/>
      </w:r>
      <w:r w:rsidRPr="00271C33">
        <w:rPr>
          <w:rFonts w:eastAsiaTheme="minorEastAsia"/>
        </w:rPr>
        <w:tab/>
      </w:r>
      <w:r w:rsidRPr="00271C33">
        <w:rPr>
          <w:rFonts w:eastAsiaTheme="minorEastAsia"/>
        </w:rPr>
        <w:tab/>
      </w:r>
      <w:r w:rsidRPr="00271C33">
        <w:rPr>
          <w:rFonts w:eastAsiaTheme="minorEastAsia"/>
        </w:rPr>
        <w:tab/>
        <w:t>Assistant Consumers' Counsel</w:t>
      </w:r>
    </w:p>
    <w:p w:rsidR="00F02B94" w:rsidRPr="00271C33" w:rsidP="00F02B94" w14:paraId="397C2F2C" w14:textId="77777777">
      <w:pPr>
        <w:jc w:val="center"/>
        <w:rPr>
          <w:b/>
          <w:u w:val="single"/>
        </w:rPr>
      </w:pPr>
    </w:p>
    <w:p w:rsidR="000A35CA" w:rsidRPr="00271C33" w:rsidP="000A35CA" w14:paraId="54D6DFA6" w14:textId="77777777">
      <w:r w:rsidRPr="00271C33">
        <w:t>The PUCO’s e-filing system will electronically serve notice of the filing of this document on the following parties:</w:t>
      </w:r>
    </w:p>
    <w:p w:rsidR="000A35CA" w:rsidRPr="00271C33" w:rsidP="000A35CA" w14:paraId="524EBF77" w14:textId="77777777">
      <w:pPr>
        <w:jc w:val="center"/>
        <w:rPr>
          <w:rFonts w:eastAsia="Times New Roman"/>
          <w:b/>
          <w:u w:val="single"/>
        </w:rPr>
      </w:pPr>
      <w:r w:rsidRPr="00271C33">
        <w:rPr>
          <w:rFonts w:eastAsia="Times New Roman"/>
          <w:b/>
          <w:u w:val="single"/>
        </w:rPr>
        <w:t>SERVICE LIST</w:t>
      </w:r>
    </w:p>
    <w:p w:rsidR="00A50606" w:rsidRPr="00271C33" w:rsidP="00A50606" w14:paraId="7F17A158" w14:textId="301BC8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5"/>
        <w:gridCol w:w="4315"/>
      </w:tblGrid>
      <w:tr w14:paraId="1DD2279F" w14:textId="77777777" w:rsidTr="0078603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15" w:type="dxa"/>
            <w:tcBorders>
              <w:top w:val="nil"/>
              <w:left w:val="nil"/>
              <w:bottom w:val="nil"/>
              <w:right w:val="nil"/>
            </w:tcBorders>
            <w:shd w:val="clear" w:color="auto" w:fill="auto"/>
          </w:tcPr>
          <w:p w:rsidR="00A50606" w:rsidRPr="00271C33" w:rsidP="00786038" w14:paraId="489599EA" w14:textId="77777777">
            <w:pPr>
              <w:pStyle w:val="CommentText"/>
              <w:rPr>
                <w:sz w:val="24"/>
                <w:szCs w:val="24"/>
                <w:lang w:eastAsia="x-none"/>
              </w:rPr>
            </w:pPr>
            <w:hyperlink r:id="rId7" w:history="1">
              <w:r w:rsidRPr="00271C33">
                <w:rPr>
                  <w:rStyle w:val="Hyperlink"/>
                  <w:sz w:val="24"/>
                  <w:szCs w:val="24"/>
                  <w:lang w:eastAsia="x-none"/>
                </w:rPr>
                <w:t>John.jones@ohioAGO.gov</w:t>
              </w:r>
            </w:hyperlink>
          </w:p>
          <w:p w:rsidR="00A50606" w:rsidRPr="00271C33" w:rsidP="00786038" w14:paraId="2E3E840B" w14:textId="77777777">
            <w:pPr>
              <w:pStyle w:val="CommentText"/>
              <w:rPr>
                <w:sz w:val="24"/>
                <w:szCs w:val="24"/>
                <w:lang w:eastAsia="x-none"/>
              </w:rPr>
            </w:pPr>
          </w:p>
          <w:p w:rsidR="00A50606" w:rsidRPr="00271C33" w:rsidP="00786038" w14:paraId="08984D22" w14:textId="2C83FC30">
            <w:pPr>
              <w:pStyle w:val="CommentText"/>
              <w:rPr>
                <w:bCs/>
                <w:sz w:val="24"/>
                <w:szCs w:val="24"/>
                <w:lang w:eastAsia="x-none"/>
              </w:rPr>
            </w:pPr>
            <w:r w:rsidRPr="00271C33">
              <w:rPr>
                <w:bCs/>
                <w:sz w:val="24"/>
                <w:szCs w:val="24"/>
                <w:lang w:eastAsia="x-none"/>
              </w:rPr>
              <w:t>Attorney Examiners:</w:t>
            </w:r>
          </w:p>
          <w:p w:rsidR="00A50606" w:rsidRPr="00271C33" w:rsidP="00786038" w14:paraId="55D3CE31" w14:textId="77777777">
            <w:pPr>
              <w:pStyle w:val="CommentText"/>
              <w:rPr>
                <w:bCs/>
                <w:sz w:val="24"/>
                <w:szCs w:val="24"/>
                <w:lang w:eastAsia="x-none"/>
              </w:rPr>
            </w:pPr>
            <w:hyperlink r:id="rId8" w:history="1">
              <w:r w:rsidRPr="00271C33">
                <w:rPr>
                  <w:rStyle w:val="Hyperlink"/>
                  <w:bCs/>
                  <w:sz w:val="24"/>
                  <w:szCs w:val="24"/>
                  <w:lang w:eastAsia="x-none"/>
                </w:rPr>
                <w:t>Matthew.sandor@puco.ohio.gov</w:t>
              </w:r>
            </w:hyperlink>
          </w:p>
          <w:p w:rsidR="00A50606" w:rsidRPr="00271C33" w:rsidP="00786038" w14:paraId="399A1A86" w14:textId="77777777">
            <w:pPr>
              <w:pStyle w:val="CommentText"/>
              <w:rPr>
                <w:bCs/>
                <w:sz w:val="24"/>
                <w:szCs w:val="24"/>
                <w:lang w:eastAsia="x-none"/>
              </w:rPr>
            </w:pPr>
            <w:hyperlink r:id="rId9" w:history="1">
              <w:r w:rsidRPr="00271C33">
                <w:rPr>
                  <w:rStyle w:val="Hyperlink"/>
                  <w:bCs/>
                  <w:sz w:val="24"/>
                  <w:szCs w:val="24"/>
                  <w:lang w:eastAsia="x-none"/>
                </w:rPr>
                <w:t>Nicholas.walstra@puco.ohio.gov</w:t>
              </w:r>
            </w:hyperlink>
          </w:p>
          <w:p w:rsidR="00A50606" w:rsidRPr="00271C33" w:rsidP="00786038" w14:paraId="67F84FA8" w14:textId="77777777">
            <w:pPr>
              <w:pStyle w:val="CommentText"/>
              <w:rPr>
                <w:bCs/>
                <w:sz w:val="24"/>
                <w:szCs w:val="24"/>
                <w:lang w:eastAsia="x-none"/>
              </w:rPr>
            </w:pPr>
          </w:p>
        </w:tc>
        <w:tc>
          <w:tcPr>
            <w:tcW w:w="4315" w:type="dxa"/>
            <w:tcBorders>
              <w:top w:val="nil"/>
              <w:left w:val="nil"/>
              <w:bottom w:val="nil"/>
              <w:right w:val="nil"/>
            </w:tcBorders>
            <w:shd w:val="clear" w:color="auto" w:fill="auto"/>
          </w:tcPr>
          <w:p w:rsidR="00A50606" w:rsidRPr="00271C33" w:rsidP="00786038" w14:paraId="3C14DD16" w14:textId="77777777">
            <w:pPr>
              <w:autoSpaceDE w:val="0"/>
              <w:autoSpaceDN w:val="0"/>
              <w:adjustRightInd w:val="0"/>
              <w:rPr>
                <w:color w:val="0000FF"/>
              </w:rPr>
            </w:pPr>
            <w:hyperlink r:id="rId10" w:history="1">
              <w:r w:rsidRPr="00271C33">
                <w:rPr>
                  <w:rStyle w:val="Hyperlink"/>
                </w:rPr>
                <w:t>Rocco.DAscenzo@duke-energy.com</w:t>
              </w:r>
            </w:hyperlink>
          </w:p>
          <w:p w:rsidR="00A50606" w:rsidRPr="00271C33" w:rsidP="00786038" w14:paraId="077274E7" w14:textId="77777777">
            <w:pPr>
              <w:autoSpaceDE w:val="0"/>
              <w:autoSpaceDN w:val="0"/>
              <w:adjustRightInd w:val="0"/>
              <w:rPr>
                <w:color w:val="0000FF"/>
              </w:rPr>
            </w:pPr>
            <w:hyperlink r:id="rId11" w:history="1">
              <w:r w:rsidRPr="00271C33">
                <w:rPr>
                  <w:rStyle w:val="Hyperlink"/>
                </w:rPr>
                <w:t>Jeanne.Kingery@duke-energy.com</w:t>
              </w:r>
            </w:hyperlink>
          </w:p>
          <w:p w:rsidR="00A50606" w:rsidRPr="00271C33" w:rsidP="00786038" w14:paraId="4CFB8893" w14:textId="77777777">
            <w:pPr>
              <w:pStyle w:val="CommentText"/>
              <w:rPr>
                <w:color w:val="0000FF"/>
                <w:sz w:val="24"/>
                <w:szCs w:val="24"/>
                <w:lang w:val="x-none" w:eastAsia="x-none"/>
              </w:rPr>
            </w:pPr>
            <w:hyperlink r:id="rId12" w:history="1">
              <w:r w:rsidRPr="00271C33">
                <w:rPr>
                  <w:rStyle w:val="Hyperlink"/>
                  <w:sz w:val="24"/>
                  <w:szCs w:val="24"/>
                  <w:lang w:val="x-none" w:eastAsia="x-none"/>
                </w:rPr>
                <w:t>Larisa.Vaysman@duke-energy.com</w:t>
              </w:r>
            </w:hyperlink>
          </w:p>
          <w:p w:rsidR="00A50606" w:rsidRPr="00271C33" w:rsidP="00786038" w14:paraId="68B35441" w14:textId="77777777">
            <w:pPr>
              <w:pStyle w:val="CommentText"/>
              <w:rPr>
                <w:bCs/>
                <w:sz w:val="24"/>
                <w:szCs w:val="24"/>
                <w:u w:val="single"/>
                <w:lang w:eastAsia="x-none"/>
              </w:rPr>
            </w:pPr>
            <w:hyperlink r:id="rId13" w:history="1">
              <w:r w:rsidRPr="00271C33">
                <w:rPr>
                  <w:rStyle w:val="Hyperlink"/>
                  <w:bCs/>
                  <w:sz w:val="24"/>
                  <w:szCs w:val="24"/>
                  <w:lang w:eastAsia="x-none"/>
                </w:rPr>
                <w:t>bojko@carpenterlipps.com</w:t>
              </w:r>
            </w:hyperlink>
          </w:p>
          <w:p w:rsidR="00A50606" w:rsidRPr="00271C33" w:rsidP="00786038" w14:paraId="42B42E2F" w14:textId="77777777">
            <w:pPr>
              <w:pStyle w:val="CommentText"/>
              <w:rPr>
                <w:bCs/>
                <w:sz w:val="24"/>
                <w:szCs w:val="24"/>
                <w:u w:val="single"/>
                <w:lang w:eastAsia="x-none"/>
              </w:rPr>
            </w:pPr>
            <w:hyperlink r:id="rId14" w:history="1">
              <w:r w:rsidRPr="00271C33">
                <w:rPr>
                  <w:rStyle w:val="Hyperlink"/>
                  <w:bCs/>
                  <w:sz w:val="24"/>
                  <w:szCs w:val="24"/>
                  <w:lang w:eastAsia="x-none"/>
                </w:rPr>
                <w:t>wygonski@carpenterlipps.com</w:t>
              </w:r>
            </w:hyperlink>
          </w:p>
          <w:p w:rsidR="00A50606" w:rsidRPr="00271C33" w:rsidP="00786038" w14:paraId="155CA27C" w14:textId="77777777">
            <w:pPr>
              <w:pStyle w:val="CommentText"/>
              <w:rPr>
                <w:b/>
                <w:sz w:val="24"/>
                <w:szCs w:val="24"/>
                <w:u w:val="single"/>
                <w:lang w:eastAsia="x-none"/>
              </w:rPr>
            </w:pPr>
          </w:p>
        </w:tc>
      </w:tr>
    </w:tbl>
    <w:p w:rsidR="00F02B94" w:rsidRPr="00271C33" w:rsidP="00A50606" w14:paraId="00471536" w14:textId="378EDF41"/>
    <w:sectPr w:rsidSect="00633119">
      <w:footerReference w:type="default" r:id="rId15"/>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85642033"/>
      <w:docPartObj>
        <w:docPartGallery w:val="Page Numbers (Bottom of Page)"/>
        <w:docPartUnique/>
      </w:docPartObj>
    </w:sdtPr>
    <w:sdtEndPr>
      <w:rPr>
        <w:noProof/>
      </w:rPr>
    </w:sdtEndPr>
    <w:sdtContent>
      <w:p w:rsidR="004049EE" w14:paraId="6BAE00E2" w14:textId="719469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28DF" w:rsidP="00E37410" w14:paraId="23ED565D" w14:textId="77777777">
      <w:r>
        <w:separator/>
      </w:r>
    </w:p>
  </w:footnote>
  <w:footnote w:type="continuationSeparator" w:id="1">
    <w:p w:rsidR="00F028DF" w:rsidP="00E37410" w14:paraId="01B6B2F7" w14:textId="77777777">
      <w:r>
        <w:continuationSeparator/>
      </w:r>
    </w:p>
  </w:footnote>
  <w:footnote w:id="2">
    <w:p w:rsidR="002A6020" w:rsidP="002E7639" w14:paraId="6734DACE" w14:textId="507348E3">
      <w:pPr>
        <w:pStyle w:val="FootnoteText"/>
        <w:spacing w:after="120"/>
      </w:pPr>
      <w:r>
        <w:rPr>
          <w:rStyle w:val="FootnoteReference"/>
        </w:rPr>
        <w:footnoteRef/>
      </w:r>
      <w:r>
        <w:t xml:space="preserve"> </w:t>
      </w:r>
      <w:r w:rsidRPr="001976BF">
        <w:rPr>
          <w:i/>
          <w:iCs/>
        </w:rPr>
        <w:t>In re Application of Duke Energy Ohio, Inc. for an Energy Efficiency Cost Recovery Mechanism</w:t>
      </w:r>
      <w:r>
        <w:t>, Case No. 11-4393-EL-RDR, Entry (May 9, 2012).</w:t>
      </w:r>
    </w:p>
  </w:footnote>
  <w:footnote w:id="3">
    <w:p w:rsidR="008E7CD4" w:rsidP="002E7639" w14:paraId="352B0077" w14:textId="77777777">
      <w:pPr>
        <w:pStyle w:val="FootnoteText"/>
        <w:spacing w:after="120"/>
      </w:pPr>
      <w:r>
        <w:rPr>
          <w:rStyle w:val="FootnoteReference"/>
        </w:rPr>
        <w:footnoteRef/>
      </w:r>
      <w:r>
        <w:t xml:space="preserve"> Case No. 15-534-EL-RDR.</w:t>
      </w:r>
    </w:p>
  </w:footnote>
  <w:footnote w:id="4">
    <w:p w:rsidR="008E7CD4" w:rsidP="002E7639" w14:paraId="5271EC1B" w14:textId="6EF3AC4E">
      <w:pPr>
        <w:pStyle w:val="FootnoteText"/>
        <w:spacing w:after="120"/>
      </w:pPr>
      <w:r>
        <w:rPr>
          <w:rStyle w:val="FootnoteReference"/>
        </w:rPr>
        <w:footnoteRef/>
      </w:r>
      <w:r>
        <w:t xml:space="preserve"> </w:t>
      </w:r>
      <w:r w:rsidR="00006AFF">
        <w:t>Case No. 15-534-EL-RDR, PUCO Staff Review and Recommendations (June 16, 2023).</w:t>
      </w:r>
    </w:p>
  </w:footnote>
  <w:footnote w:id="5">
    <w:p w:rsidR="008E7CD4" w:rsidP="002E7639" w14:paraId="2253B46F" w14:textId="7A68B0B8">
      <w:pPr>
        <w:pStyle w:val="FootnoteText"/>
        <w:spacing w:after="120"/>
      </w:pPr>
      <w:r>
        <w:rPr>
          <w:rStyle w:val="FootnoteReference"/>
        </w:rPr>
        <w:footnoteRef/>
      </w:r>
      <w:r>
        <w:t xml:space="preserve"> </w:t>
      </w:r>
      <w:r w:rsidR="00006AFF">
        <w:t xml:space="preserve">Case No. 16-664-EL-RDR. </w:t>
      </w:r>
    </w:p>
  </w:footnote>
  <w:footnote w:id="6">
    <w:p w:rsidR="008E7CD4" w:rsidP="002E7639" w14:paraId="539BF0D4" w14:textId="77777777">
      <w:pPr>
        <w:pStyle w:val="FootnoteText"/>
        <w:spacing w:after="120"/>
      </w:pPr>
      <w:r>
        <w:rPr>
          <w:rStyle w:val="FootnoteReference"/>
        </w:rPr>
        <w:footnoteRef/>
      </w:r>
      <w:r>
        <w:t xml:space="preserve"> Case No. 16-664-EL-RDR, PUCO Staff Review and Recommendations (Nov. 13, 2017).</w:t>
      </w:r>
    </w:p>
  </w:footnote>
  <w:footnote w:id="7">
    <w:p w:rsidR="008E7CD4" w:rsidP="002E7639" w14:paraId="2072DE5E" w14:textId="77777777">
      <w:pPr>
        <w:pStyle w:val="FootnoteText"/>
        <w:spacing w:after="120"/>
      </w:pPr>
      <w:r>
        <w:rPr>
          <w:rStyle w:val="FootnoteReference"/>
        </w:rPr>
        <w:footnoteRef/>
      </w:r>
      <w:r>
        <w:t xml:space="preserve"> Case No. 16-664-EL-RDR, Finding &amp; Order ¶¶ 11, 16-17 (May 15, 2019).</w:t>
      </w:r>
    </w:p>
  </w:footnote>
  <w:footnote w:id="8">
    <w:p w:rsidR="008E7CD4" w:rsidP="002E7639" w14:paraId="11AD6294" w14:textId="20ACF39E">
      <w:pPr>
        <w:pStyle w:val="FootnoteText"/>
        <w:spacing w:after="120"/>
      </w:pPr>
      <w:r>
        <w:rPr>
          <w:rStyle w:val="FootnoteReference"/>
        </w:rPr>
        <w:footnoteRef/>
      </w:r>
      <w:r>
        <w:t xml:space="preserve"> Case No. 17-781-EL-RDR, PUCO Staff Review and Recommendations (Sept. 11, 2018).</w:t>
      </w:r>
    </w:p>
  </w:footnote>
  <w:footnote w:id="9">
    <w:p w:rsidR="008E7CD4" w:rsidP="002E7639" w14:paraId="385DDC9B" w14:textId="67F2F02A">
      <w:pPr>
        <w:pStyle w:val="FootnoteText"/>
        <w:spacing w:after="120"/>
      </w:pPr>
      <w:r>
        <w:rPr>
          <w:rStyle w:val="FootnoteReference"/>
        </w:rPr>
        <w:footnoteRef/>
      </w:r>
      <w:r>
        <w:t xml:space="preserve"> Case No. 17-781-EL-RDR, Finding &amp; Order ¶¶ 13, 16-17 (May 15, 2019).</w:t>
      </w:r>
    </w:p>
  </w:footnote>
  <w:footnote w:id="10">
    <w:p w:rsidR="008E7CD4" w:rsidP="002E7639" w14:paraId="23606D67" w14:textId="6B357905">
      <w:pPr>
        <w:pStyle w:val="FootnoteText"/>
        <w:spacing w:after="120"/>
      </w:pPr>
      <w:r>
        <w:rPr>
          <w:rStyle w:val="FootnoteReference"/>
        </w:rPr>
        <w:footnoteRef/>
      </w:r>
      <w:r>
        <w:t xml:space="preserve"> Case No. 19-622-EL-RDR</w:t>
      </w:r>
      <w:r w:rsidR="00265A42">
        <w:t>.</w:t>
      </w:r>
    </w:p>
  </w:footnote>
  <w:footnote w:id="11">
    <w:p w:rsidR="008E7CD4" w:rsidP="002E7639" w14:paraId="4551BE11" w14:textId="77777777">
      <w:pPr>
        <w:pStyle w:val="FootnoteText"/>
        <w:spacing w:after="120"/>
      </w:pPr>
      <w:r>
        <w:rPr>
          <w:rStyle w:val="FootnoteReference"/>
        </w:rPr>
        <w:footnoteRef/>
      </w:r>
      <w:r>
        <w:t xml:space="preserve"> Case No. 19-622-EL-RDR, Staff Review and Recommendation (Dec. 12, 2019).</w:t>
      </w:r>
    </w:p>
  </w:footnote>
  <w:footnote w:id="12">
    <w:p w:rsidR="008E7CD4" w:rsidP="002E7639" w14:paraId="6BF56E1C" w14:textId="718A7BAB">
      <w:pPr>
        <w:pStyle w:val="FootnoteText"/>
        <w:spacing w:after="120"/>
      </w:pPr>
      <w:r>
        <w:rPr>
          <w:rStyle w:val="FootnoteReference"/>
        </w:rPr>
        <w:footnoteRef/>
      </w:r>
      <w:r>
        <w:t xml:space="preserve"> </w:t>
      </w:r>
      <w:r>
        <w:rPr>
          <w:i/>
        </w:rPr>
        <w:t xml:space="preserve">Id. </w:t>
      </w:r>
    </w:p>
  </w:footnote>
  <w:footnote w:id="13">
    <w:p w:rsidR="008E7CD4" w:rsidP="002E7639" w14:paraId="418E2381" w14:textId="1AE12751">
      <w:pPr>
        <w:pStyle w:val="FootnoteText"/>
        <w:spacing w:after="120"/>
      </w:pPr>
      <w:r>
        <w:rPr>
          <w:rStyle w:val="FootnoteReference"/>
        </w:rPr>
        <w:footnoteRef/>
      </w:r>
      <w:r>
        <w:t xml:space="preserve"> </w:t>
      </w:r>
      <w:r w:rsidR="00006AFF">
        <w:t>Case No. 19-622-EL-RDR, Direct Testimony of James E. Ziolkowski (March 25, 2022)</w:t>
      </w:r>
      <w:r>
        <w:t xml:space="preserve"> at 7.</w:t>
      </w:r>
    </w:p>
  </w:footnote>
  <w:footnote w:id="14">
    <w:p w:rsidR="002A6020" w:rsidP="002E7639" w14:paraId="5CEC5A63" w14:textId="170656D6">
      <w:pPr>
        <w:pStyle w:val="FootnoteText"/>
        <w:spacing w:after="120"/>
      </w:pPr>
      <w:r>
        <w:rPr>
          <w:rStyle w:val="FootnoteReference"/>
        </w:rPr>
        <w:footnoteRef/>
      </w:r>
      <w:r>
        <w:t xml:space="preserve"> R.C. 4905.54.</w:t>
      </w:r>
    </w:p>
  </w:footnote>
  <w:footnote w:id="15">
    <w:p w:rsidR="00800EE1" w:rsidRPr="002A6020" w:rsidP="002E7639" w14:paraId="09800150" w14:textId="77777777">
      <w:pPr>
        <w:pStyle w:val="FootnoteText"/>
        <w:spacing w:after="120"/>
        <w:rPr>
          <w:i/>
          <w:iCs/>
        </w:rPr>
      </w:pPr>
      <w:r>
        <w:rPr>
          <w:rStyle w:val="FootnoteReference"/>
        </w:rPr>
        <w:footnoteRef/>
      </w:r>
      <w:r>
        <w:t xml:space="preserve"> </w:t>
      </w:r>
      <w:r>
        <w:rPr>
          <w:i/>
          <w:iCs/>
        </w:rPr>
        <w:t xml:space="preserve">Id. </w:t>
      </w:r>
    </w:p>
  </w:footnote>
  <w:footnote w:id="16">
    <w:p w:rsidR="0055440B" w:rsidP="002E7639" w14:paraId="326E74A3" w14:textId="778824B6">
      <w:pPr>
        <w:pStyle w:val="FootnoteText"/>
        <w:spacing w:after="120"/>
      </w:pPr>
      <w:r>
        <w:rPr>
          <w:rStyle w:val="FootnoteReference"/>
        </w:rPr>
        <w:footnoteRef/>
      </w:r>
      <w:r>
        <w:t xml:space="preserve"> Case No. 22-391-EL-RDR, Entry (April 7, 2023) at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187D8B"/>
    <w:multiLevelType w:val="hybridMultilevel"/>
    <w:tmpl w:val="F7E24A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495021"/>
    <w:multiLevelType w:val="hybridMultilevel"/>
    <w:tmpl w:val="84FEA7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F7B62AC"/>
    <w:multiLevelType w:val="hybridMultilevel"/>
    <w:tmpl w:val="EC6C978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40BA6BC0"/>
    <w:multiLevelType w:val="hybridMultilevel"/>
    <w:tmpl w:val="2D100A1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A6253A2"/>
    <w:multiLevelType w:val="hybridMultilevel"/>
    <w:tmpl w:val="02DCF3A2"/>
    <w:lvl w:ilvl="0">
      <w:start w:val="1"/>
      <w:numFmt w:val="upperLetter"/>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14"/>
    <w:rsid w:val="00001346"/>
    <w:rsid w:val="00006AFF"/>
    <w:rsid w:val="00020C3A"/>
    <w:rsid w:val="00031584"/>
    <w:rsid w:val="0003722B"/>
    <w:rsid w:val="00051736"/>
    <w:rsid w:val="00067F3F"/>
    <w:rsid w:val="00071D75"/>
    <w:rsid w:val="0008038D"/>
    <w:rsid w:val="00082011"/>
    <w:rsid w:val="0008568A"/>
    <w:rsid w:val="0009468B"/>
    <w:rsid w:val="000A32AC"/>
    <w:rsid w:val="000A35CA"/>
    <w:rsid w:val="000A66D1"/>
    <w:rsid w:val="000B7834"/>
    <w:rsid w:val="000C3635"/>
    <w:rsid w:val="000C3C2C"/>
    <w:rsid w:val="000E19B5"/>
    <w:rsid w:val="000E6497"/>
    <w:rsid w:val="000E7F2F"/>
    <w:rsid w:val="000F3022"/>
    <w:rsid w:val="000F697D"/>
    <w:rsid w:val="001067C1"/>
    <w:rsid w:val="00113283"/>
    <w:rsid w:val="00116F32"/>
    <w:rsid w:val="00123E2C"/>
    <w:rsid w:val="0015596A"/>
    <w:rsid w:val="00156400"/>
    <w:rsid w:val="00187723"/>
    <w:rsid w:val="001976BF"/>
    <w:rsid w:val="001A0595"/>
    <w:rsid w:val="001A3570"/>
    <w:rsid w:val="001B4E1A"/>
    <w:rsid w:val="001B5429"/>
    <w:rsid w:val="001C10B9"/>
    <w:rsid w:val="001C4332"/>
    <w:rsid w:val="001E6928"/>
    <w:rsid w:val="002015B6"/>
    <w:rsid w:val="002050BE"/>
    <w:rsid w:val="00206457"/>
    <w:rsid w:val="00213408"/>
    <w:rsid w:val="00226CDD"/>
    <w:rsid w:val="002322B2"/>
    <w:rsid w:val="002373A4"/>
    <w:rsid w:val="00255931"/>
    <w:rsid w:val="00265A42"/>
    <w:rsid w:val="00271C33"/>
    <w:rsid w:val="0027765D"/>
    <w:rsid w:val="00277F57"/>
    <w:rsid w:val="002811AE"/>
    <w:rsid w:val="00282D64"/>
    <w:rsid w:val="002932E8"/>
    <w:rsid w:val="00297AA4"/>
    <w:rsid w:val="002A1740"/>
    <w:rsid w:val="002A2D38"/>
    <w:rsid w:val="002A46FD"/>
    <w:rsid w:val="002A6020"/>
    <w:rsid w:val="002B39B6"/>
    <w:rsid w:val="002C6D56"/>
    <w:rsid w:val="002D5BCB"/>
    <w:rsid w:val="002E06DC"/>
    <w:rsid w:val="002E7639"/>
    <w:rsid w:val="002F210A"/>
    <w:rsid w:val="002F57B5"/>
    <w:rsid w:val="002F79CB"/>
    <w:rsid w:val="003322D7"/>
    <w:rsid w:val="00340520"/>
    <w:rsid w:val="00350170"/>
    <w:rsid w:val="00350229"/>
    <w:rsid w:val="003647DC"/>
    <w:rsid w:val="0037183A"/>
    <w:rsid w:val="0037304E"/>
    <w:rsid w:val="0039331F"/>
    <w:rsid w:val="003A67E3"/>
    <w:rsid w:val="003B0A9E"/>
    <w:rsid w:val="003C0A02"/>
    <w:rsid w:val="003F26CA"/>
    <w:rsid w:val="00400A1B"/>
    <w:rsid w:val="00401FCD"/>
    <w:rsid w:val="004049EE"/>
    <w:rsid w:val="004310EF"/>
    <w:rsid w:val="00432311"/>
    <w:rsid w:val="00432E22"/>
    <w:rsid w:val="00445E93"/>
    <w:rsid w:val="00474FEE"/>
    <w:rsid w:val="00477857"/>
    <w:rsid w:val="00491A89"/>
    <w:rsid w:val="004A68D2"/>
    <w:rsid w:val="004A6F0D"/>
    <w:rsid w:val="004B0BDE"/>
    <w:rsid w:val="004B784A"/>
    <w:rsid w:val="004D4F5F"/>
    <w:rsid w:val="004D554C"/>
    <w:rsid w:val="004E36F0"/>
    <w:rsid w:val="004E78A8"/>
    <w:rsid w:val="00532FF8"/>
    <w:rsid w:val="00535462"/>
    <w:rsid w:val="005406B8"/>
    <w:rsid w:val="0055440B"/>
    <w:rsid w:val="005571E6"/>
    <w:rsid w:val="00557D7B"/>
    <w:rsid w:val="005634A2"/>
    <w:rsid w:val="00574725"/>
    <w:rsid w:val="0058331C"/>
    <w:rsid w:val="00585894"/>
    <w:rsid w:val="005858E6"/>
    <w:rsid w:val="00593E47"/>
    <w:rsid w:val="00597BFE"/>
    <w:rsid w:val="005A05F2"/>
    <w:rsid w:val="005A0E3F"/>
    <w:rsid w:val="005A7BFA"/>
    <w:rsid w:val="005B0DB6"/>
    <w:rsid w:val="005B3DE0"/>
    <w:rsid w:val="005C237C"/>
    <w:rsid w:val="005D3D64"/>
    <w:rsid w:val="005D7262"/>
    <w:rsid w:val="005F36A5"/>
    <w:rsid w:val="005F5789"/>
    <w:rsid w:val="00621628"/>
    <w:rsid w:val="00627A4A"/>
    <w:rsid w:val="00633119"/>
    <w:rsid w:val="006403FF"/>
    <w:rsid w:val="006559E5"/>
    <w:rsid w:val="006606B2"/>
    <w:rsid w:val="0066070B"/>
    <w:rsid w:val="0066194A"/>
    <w:rsid w:val="006776DC"/>
    <w:rsid w:val="006849DE"/>
    <w:rsid w:val="00685E81"/>
    <w:rsid w:val="00695DA0"/>
    <w:rsid w:val="006A5524"/>
    <w:rsid w:val="006A655D"/>
    <w:rsid w:val="006B7AC6"/>
    <w:rsid w:val="006D030C"/>
    <w:rsid w:val="006E464F"/>
    <w:rsid w:val="006F0E29"/>
    <w:rsid w:val="006F526B"/>
    <w:rsid w:val="006F65D2"/>
    <w:rsid w:val="00701495"/>
    <w:rsid w:val="007030AC"/>
    <w:rsid w:val="00705305"/>
    <w:rsid w:val="00713714"/>
    <w:rsid w:val="00713E67"/>
    <w:rsid w:val="00733D92"/>
    <w:rsid w:val="00735A4B"/>
    <w:rsid w:val="00743876"/>
    <w:rsid w:val="00752D56"/>
    <w:rsid w:val="0075682B"/>
    <w:rsid w:val="007605FD"/>
    <w:rsid w:val="00775A37"/>
    <w:rsid w:val="00776F42"/>
    <w:rsid w:val="007826FA"/>
    <w:rsid w:val="00786038"/>
    <w:rsid w:val="00796150"/>
    <w:rsid w:val="007B0A8D"/>
    <w:rsid w:val="007C4690"/>
    <w:rsid w:val="00800EE1"/>
    <w:rsid w:val="0080756B"/>
    <w:rsid w:val="00821231"/>
    <w:rsid w:val="00832A09"/>
    <w:rsid w:val="0083526F"/>
    <w:rsid w:val="00855AB5"/>
    <w:rsid w:val="00856A0D"/>
    <w:rsid w:val="00857751"/>
    <w:rsid w:val="00864AA2"/>
    <w:rsid w:val="00872EEC"/>
    <w:rsid w:val="00886B15"/>
    <w:rsid w:val="008B1848"/>
    <w:rsid w:val="008B1FD9"/>
    <w:rsid w:val="008B58AF"/>
    <w:rsid w:val="008C00C1"/>
    <w:rsid w:val="008C2116"/>
    <w:rsid w:val="008D14DC"/>
    <w:rsid w:val="008E2B12"/>
    <w:rsid w:val="008E2FF5"/>
    <w:rsid w:val="008E7CD4"/>
    <w:rsid w:val="008E7DB0"/>
    <w:rsid w:val="008F1612"/>
    <w:rsid w:val="008F25E1"/>
    <w:rsid w:val="009003C9"/>
    <w:rsid w:val="00904433"/>
    <w:rsid w:val="00916D99"/>
    <w:rsid w:val="0092160F"/>
    <w:rsid w:val="0092664A"/>
    <w:rsid w:val="0093400E"/>
    <w:rsid w:val="009422E4"/>
    <w:rsid w:val="00952DCF"/>
    <w:rsid w:val="0095363B"/>
    <w:rsid w:val="00965F88"/>
    <w:rsid w:val="00966921"/>
    <w:rsid w:val="00967F43"/>
    <w:rsid w:val="0097095B"/>
    <w:rsid w:val="009A2750"/>
    <w:rsid w:val="009B02BD"/>
    <w:rsid w:val="009B1821"/>
    <w:rsid w:val="009D28D5"/>
    <w:rsid w:val="009D789A"/>
    <w:rsid w:val="009E4441"/>
    <w:rsid w:val="009F1234"/>
    <w:rsid w:val="00A4515D"/>
    <w:rsid w:val="00A50454"/>
    <w:rsid w:val="00A50606"/>
    <w:rsid w:val="00A521FF"/>
    <w:rsid w:val="00A55056"/>
    <w:rsid w:val="00A55EE9"/>
    <w:rsid w:val="00A67F75"/>
    <w:rsid w:val="00A77863"/>
    <w:rsid w:val="00A84C3C"/>
    <w:rsid w:val="00A85645"/>
    <w:rsid w:val="00AA001C"/>
    <w:rsid w:val="00AA4F22"/>
    <w:rsid w:val="00AA4FE0"/>
    <w:rsid w:val="00AC1061"/>
    <w:rsid w:val="00AC29F8"/>
    <w:rsid w:val="00AC6815"/>
    <w:rsid w:val="00AC7C99"/>
    <w:rsid w:val="00AD2C7B"/>
    <w:rsid w:val="00AD664C"/>
    <w:rsid w:val="00AE422E"/>
    <w:rsid w:val="00AE7F14"/>
    <w:rsid w:val="00AF1C72"/>
    <w:rsid w:val="00AF62E5"/>
    <w:rsid w:val="00AF7F76"/>
    <w:rsid w:val="00B01AEF"/>
    <w:rsid w:val="00B0673B"/>
    <w:rsid w:val="00B144F9"/>
    <w:rsid w:val="00B20598"/>
    <w:rsid w:val="00B207DB"/>
    <w:rsid w:val="00B26459"/>
    <w:rsid w:val="00B47FE1"/>
    <w:rsid w:val="00B5315F"/>
    <w:rsid w:val="00B55627"/>
    <w:rsid w:val="00B57550"/>
    <w:rsid w:val="00B612D0"/>
    <w:rsid w:val="00B63405"/>
    <w:rsid w:val="00B7227C"/>
    <w:rsid w:val="00B76183"/>
    <w:rsid w:val="00B84E9C"/>
    <w:rsid w:val="00B9417C"/>
    <w:rsid w:val="00B946B2"/>
    <w:rsid w:val="00B95D66"/>
    <w:rsid w:val="00BA3B47"/>
    <w:rsid w:val="00BE0E75"/>
    <w:rsid w:val="00BE5759"/>
    <w:rsid w:val="00BE5EF9"/>
    <w:rsid w:val="00BF079C"/>
    <w:rsid w:val="00C02A70"/>
    <w:rsid w:val="00C10BBE"/>
    <w:rsid w:val="00C13528"/>
    <w:rsid w:val="00C159CB"/>
    <w:rsid w:val="00C2518E"/>
    <w:rsid w:val="00C3775D"/>
    <w:rsid w:val="00C41887"/>
    <w:rsid w:val="00C45D22"/>
    <w:rsid w:val="00C66A0B"/>
    <w:rsid w:val="00C75314"/>
    <w:rsid w:val="00C847B9"/>
    <w:rsid w:val="00C901BC"/>
    <w:rsid w:val="00CA12AA"/>
    <w:rsid w:val="00CA7F98"/>
    <w:rsid w:val="00CB7A84"/>
    <w:rsid w:val="00CB7C2E"/>
    <w:rsid w:val="00CD75D1"/>
    <w:rsid w:val="00CE3E70"/>
    <w:rsid w:val="00CF0043"/>
    <w:rsid w:val="00D23021"/>
    <w:rsid w:val="00D26313"/>
    <w:rsid w:val="00D307FD"/>
    <w:rsid w:val="00D47F18"/>
    <w:rsid w:val="00D60AFC"/>
    <w:rsid w:val="00D74880"/>
    <w:rsid w:val="00D91B24"/>
    <w:rsid w:val="00D9762B"/>
    <w:rsid w:val="00DA2C23"/>
    <w:rsid w:val="00DA7455"/>
    <w:rsid w:val="00DB1A7F"/>
    <w:rsid w:val="00DB3F3F"/>
    <w:rsid w:val="00DB6189"/>
    <w:rsid w:val="00DC14DB"/>
    <w:rsid w:val="00DC3888"/>
    <w:rsid w:val="00DC7060"/>
    <w:rsid w:val="00DD3A57"/>
    <w:rsid w:val="00DD3C2C"/>
    <w:rsid w:val="00DD3D99"/>
    <w:rsid w:val="00DD4AAD"/>
    <w:rsid w:val="00DD7B6F"/>
    <w:rsid w:val="00DF76F9"/>
    <w:rsid w:val="00E21AFF"/>
    <w:rsid w:val="00E37410"/>
    <w:rsid w:val="00E47828"/>
    <w:rsid w:val="00E50B5B"/>
    <w:rsid w:val="00E529BB"/>
    <w:rsid w:val="00E626E8"/>
    <w:rsid w:val="00E731E4"/>
    <w:rsid w:val="00E86852"/>
    <w:rsid w:val="00EA1A16"/>
    <w:rsid w:val="00EA5BD1"/>
    <w:rsid w:val="00EC7971"/>
    <w:rsid w:val="00EE1CD9"/>
    <w:rsid w:val="00EE3BD8"/>
    <w:rsid w:val="00F0243D"/>
    <w:rsid w:val="00F028DF"/>
    <w:rsid w:val="00F02B94"/>
    <w:rsid w:val="00F040B8"/>
    <w:rsid w:val="00F21268"/>
    <w:rsid w:val="00F21BB0"/>
    <w:rsid w:val="00F222B8"/>
    <w:rsid w:val="00F3037C"/>
    <w:rsid w:val="00F51F95"/>
    <w:rsid w:val="00F64D77"/>
    <w:rsid w:val="00F6621A"/>
    <w:rsid w:val="00F715A9"/>
    <w:rsid w:val="00F7277F"/>
    <w:rsid w:val="00F82087"/>
    <w:rsid w:val="00F953A1"/>
    <w:rsid w:val="00FB0D3C"/>
    <w:rsid w:val="00FC68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060"/>
  </w:style>
  <w:style w:type="paragraph" w:styleId="Heading1">
    <w:name w:val="heading 1"/>
    <w:basedOn w:val="Normal"/>
    <w:next w:val="Normal"/>
    <w:link w:val="Heading1Char"/>
    <w:uiPriority w:val="9"/>
    <w:qFormat/>
    <w:rsid w:val="00474FEE"/>
    <w:pPr>
      <w:keepNext/>
      <w:keepLines/>
      <w:spacing w:after="240"/>
      <w:ind w:left="720" w:hanging="720"/>
      <w:outlineLvl w:val="0"/>
    </w:pPr>
    <w:rPr>
      <w:rFonts w:ascii="Times New Roman Bold" w:hAnsi="Times New Roman Bold" w:eastAsiaTheme="majorEastAsia" w:cstheme="majorBidi"/>
      <w:b/>
      <w:szCs w:val="32"/>
    </w:rPr>
  </w:style>
  <w:style w:type="paragraph" w:styleId="Heading2">
    <w:name w:val="heading 2"/>
    <w:basedOn w:val="Normal"/>
    <w:next w:val="Normal"/>
    <w:link w:val="Heading2Char"/>
    <w:uiPriority w:val="9"/>
    <w:unhideWhenUsed/>
    <w:qFormat/>
    <w:rsid w:val="005A7BFA"/>
    <w:pPr>
      <w:keepNext/>
      <w:keepLines/>
      <w:spacing w:after="240"/>
      <w:ind w:left="1440" w:hanging="720"/>
      <w:outlineLvl w:val="1"/>
    </w:pPr>
    <w:rPr>
      <w:rFonts w:ascii="Times New Roman Bold" w:hAnsi="Times New Roman Bold" w:eastAsiaTheme="majorEastAsia" w:cs="Arial"/>
      <w:b/>
      <w:szCs w:val="22"/>
    </w:rPr>
  </w:style>
  <w:style w:type="paragraph" w:styleId="Heading3">
    <w:name w:val="heading 3"/>
    <w:basedOn w:val="Normal"/>
    <w:next w:val="Normal"/>
    <w:link w:val="Heading3Char"/>
    <w:uiPriority w:val="9"/>
    <w:unhideWhenUsed/>
    <w:qFormat/>
    <w:rsid w:val="005A7BFA"/>
    <w:pPr>
      <w:keepNext/>
      <w:keepLines/>
      <w:spacing w:after="240"/>
      <w:ind w:left="2160" w:hanging="720"/>
      <w:outlineLvl w:val="2"/>
    </w:pPr>
    <w:rPr>
      <w:rFonts w:ascii="Times New Roman Bold" w:hAnsi="Times New Roman Bold" w:eastAsiaTheme="majorEastAsia" w:cstheme="majorBidi"/>
      <w:b/>
    </w:rPr>
  </w:style>
  <w:style w:type="paragraph" w:styleId="Heading4">
    <w:name w:val="heading 4"/>
    <w:basedOn w:val="Normal"/>
    <w:next w:val="Normal"/>
    <w:link w:val="Heading4Char"/>
    <w:uiPriority w:val="9"/>
    <w:unhideWhenUsed/>
    <w:qFormat/>
    <w:rsid w:val="005A7BFA"/>
    <w:pPr>
      <w:keepNext/>
      <w:keepLines/>
      <w:spacing w:after="240"/>
      <w:ind w:left="2880" w:hanging="720"/>
      <w:outlineLvl w:val="3"/>
    </w:pPr>
    <w:rPr>
      <w:rFonts w:ascii="Times New Roman Bold" w:hAnsi="Times New Roman Bold" w:eastAsiaTheme="majorEastAsia" w:cstheme="majorBidi"/>
      <w:b/>
      <w:iCs/>
    </w:rPr>
  </w:style>
  <w:style w:type="paragraph" w:styleId="Heading5">
    <w:name w:val="heading 5"/>
    <w:basedOn w:val="Normal"/>
    <w:next w:val="Normal"/>
    <w:link w:val="Heading5Char"/>
    <w:uiPriority w:val="9"/>
    <w:unhideWhenUsed/>
    <w:qFormat/>
    <w:rsid w:val="000C3C2C"/>
    <w:pPr>
      <w:keepNext/>
      <w:keepLines/>
      <w:spacing w:after="240"/>
      <w:outlineLvl w:val="4"/>
    </w:pPr>
    <w:rPr>
      <w:rFonts w:ascii="Times New Roman Bold" w:hAnsi="Times New Roman Bold"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410"/>
    <w:pPr>
      <w:tabs>
        <w:tab w:val="center" w:pos="4680"/>
        <w:tab w:val="right" w:pos="9360"/>
      </w:tabs>
    </w:pPr>
  </w:style>
  <w:style w:type="character" w:customStyle="1" w:styleId="HeaderChar">
    <w:name w:val="Header Char"/>
    <w:basedOn w:val="DefaultParagraphFont"/>
    <w:link w:val="Header"/>
    <w:uiPriority w:val="99"/>
    <w:rsid w:val="00E37410"/>
  </w:style>
  <w:style w:type="paragraph" w:styleId="Footer">
    <w:name w:val="footer"/>
    <w:basedOn w:val="Normal"/>
    <w:link w:val="FooterChar"/>
    <w:uiPriority w:val="99"/>
    <w:unhideWhenUsed/>
    <w:rsid w:val="00E37410"/>
    <w:pPr>
      <w:tabs>
        <w:tab w:val="center" w:pos="4680"/>
        <w:tab w:val="right" w:pos="9360"/>
      </w:tabs>
    </w:pPr>
  </w:style>
  <w:style w:type="character" w:customStyle="1" w:styleId="FooterChar">
    <w:name w:val="Footer Char"/>
    <w:basedOn w:val="DefaultParagraphFont"/>
    <w:link w:val="Footer"/>
    <w:uiPriority w:val="99"/>
    <w:rsid w:val="00E37410"/>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nhideWhenUsed/>
    <w:rsid w:val="00F21268"/>
    <w:rPr>
      <w:sz w:val="20"/>
      <w:szCs w:val="20"/>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rsid w:val="00F21268"/>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nhideWhenUsed/>
    <w:rsid w:val="00F21268"/>
    <w:rPr>
      <w:vertAlign w:val="superscript"/>
    </w:rPr>
  </w:style>
  <w:style w:type="character" w:styleId="Hyperlink">
    <w:name w:val="Hyperlink"/>
    <w:basedOn w:val="DefaultParagraphFont"/>
    <w:uiPriority w:val="99"/>
    <w:unhideWhenUsed/>
    <w:rsid w:val="00F21268"/>
    <w:rPr>
      <w:color w:val="0000FF"/>
      <w:u w:val="single"/>
    </w:rPr>
  </w:style>
  <w:style w:type="character" w:customStyle="1" w:styleId="UnresolvedMention1">
    <w:name w:val="Unresolved Mention1"/>
    <w:basedOn w:val="DefaultParagraphFont"/>
    <w:uiPriority w:val="99"/>
    <w:semiHidden/>
    <w:unhideWhenUsed/>
    <w:rsid w:val="00F21268"/>
    <w:rPr>
      <w:color w:val="605E5C"/>
      <w:shd w:val="clear" w:color="auto" w:fill="E1DFDD"/>
    </w:rPr>
  </w:style>
  <w:style w:type="paragraph" w:styleId="ListParagraph">
    <w:name w:val="List Paragraph"/>
    <w:basedOn w:val="Normal"/>
    <w:uiPriority w:val="34"/>
    <w:qFormat/>
    <w:rsid w:val="00187723"/>
    <w:pPr>
      <w:ind w:left="720"/>
      <w:contextualSpacing/>
    </w:pPr>
  </w:style>
  <w:style w:type="table" w:styleId="TableGrid">
    <w:name w:val="Table Grid"/>
    <w:basedOn w:val="TableNormal"/>
    <w:rsid w:val="0078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59E5"/>
    <w:rPr>
      <w:sz w:val="16"/>
      <w:szCs w:val="16"/>
    </w:rPr>
  </w:style>
  <w:style w:type="paragraph" w:styleId="CommentText">
    <w:name w:val="annotation text"/>
    <w:basedOn w:val="Normal"/>
    <w:link w:val="CommentTextChar"/>
    <w:unhideWhenUsed/>
    <w:rsid w:val="006559E5"/>
    <w:rPr>
      <w:sz w:val="20"/>
      <w:szCs w:val="20"/>
    </w:rPr>
  </w:style>
  <w:style w:type="character" w:customStyle="1" w:styleId="CommentTextChar">
    <w:name w:val="Comment Text Char"/>
    <w:basedOn w:val="DefaultParagraphFont"/>
    <w:link w:val="CommentText"/>
    <w:rsid w:val="006559E5"/>
    <w:rPr>
      <w:sz w:val="20"/>
      <w:szCs w:val="20"/>
    </w:rPr>
  </w:style>
  <w:style w:type="paragraph" w:styleId="CommentSubject">
    <w:name w:val="annotation subject"/>
    <w:basedOn w:val="CommentText"/>
    <w:next w:val="CommentText"/>
    <w:link w:val="CommentSubjectChar"/>
    <w:uiPriority w:val="99"/>
    <w:semiHidden/>
    <w:unhideWhenUsed/>
    <w:rsid w:val="006559E5"/>
    <w:rPr>
      <w:b/>
      <w:bCs/>
    </w:rPr>
  </w:style>
  <w:style w:type="character" w:customStyle="1" w:styleId="CommentSubjectChar">
    <w:name w:val="Comment Subject Char"/>
    <w:basedOn w:val="CommentTextChar"/>
    <w:link w:val="CommentSubject"/>
    <w:uiPriority w:val="99"/>
    <w:semiHidden/>
    <w:rsid w:val="006559E5"/>
    <w:rPr>
      <w:b/>
      <w:bCs/>
      <w:sz w:val="20"/>
      <w:szCs w:val="20"/>
    </w:rPr>
  </w:style>
  <w:style w:type="paragraph" w:styleId="BalloonText">
    <w:name w:val="Balloon Text"/>
    <w:basedOn w:val="Normal"/>
    <w:link w:val="BalloonTextChar"/>
    <w:uiPriority w:val="99"/>
    <w:semiHidden/>
    <w:unhideWhenUsed/>
    <w:rsid w:val="006559E5"/>
    <w:rPr>
      <w:rFonts w:ascii="Tahoma" w:hAnsi="Tahoma" w:cs="Tahoma"/>
      <w:sz w:val="16"/>
      <w:szCs w:val="16"/>
    </w:rPr>
  </w:style>
  <w:style w:type="character" w:customStyle="1" w:styleId="BalloonTextChar">
    <w:name w:val="Balloon Text Char"/>
    <w:basedOn w:val="DefaultParagraphFont"/>
    <w:link w:val="BalloonText"/>
    <w:uiPriority w:val="99"/>
    <w:semiHidden/>
    <w:rsid w:val="006559E5"/>
    <w:rPr>
      <w:rFonts w:ascii="Tahoma" w:hAnsi="Tahoma" w:cs="Tahoma"/>
      <w:sz w:val="16"/>
      <w:szCs w:val="16"/>
    </w:rPr>
  </w:style>
  <w:style w:type="character" w:customStyle="1" w:styleId="Heading2Char">
    <w:name w:val="Heading 2 Char"/>
    <w:basedOn w:val="DefaultParagraphFont"/>
    <w:link w:val="Heading2"/>
    <w:uiPriority w:val="9"/>
    <w:rsid w:val="005A7BFA"/>
    <w:rPr>
      <w:rFonts w:ascii="Times New Roman Bold" w:hAnsi="Times New Roman Bold" w:eastAsiaTheme="majorEastAsia" w:cs="Arial"/>
      <w:b/>
      <w:szCs w:val="22"/>
    </w:rPr>
  </w:style>
  <w:style w:type="character" w:customStyle="1" w:styleId="UnresolvedMention2">
    <w:name w:val="Unresolved Mention2"/>
    <w:basedOn w:val="DefaultParagraphFont"/>
    <w:uiPriority w:val="99"/>
    <w:semiHidden/>
    <w:unhideWhenUsed/>
    <w:rsid w:val="002D5BCB"/>
    <w:rPr>
      <w:color w:val="605E5C"/>
      <w:shd w:val="clear" w:color="auto" w:fill="E1DFDD"/>
    </w:rPr>
  </w:style>
  <w:style w:type="character" w:styleId="FollowedHyperlink">
    <w:name w:val="FollowedHyperlink"/>
    <w:basedOn w:val="DefaultParagraphFont"/>
    <w:uiPriority w:val="99"/>
    <w:semiHidden/>
    <w:unhideWhenUsed/>
    <w:rsid w:val="002D5BCB"/>
    <w:rPr>
      <w:color w:val="954F72" w:themeColor="followedHyperlink"/>
      <w:u w:val="single"/>
    </w:rPr>
  </w:style>
  <w:style w:type="paragraph" w:styleId="HTMLPreformatted">
    <w:name w:val="HTML Preformatted"/>
    <w:basedOn w:val="Normal"/>
    <w:link w:val="HTMLPreformattedChar"/>
    <w:rsid w:val="00F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02B94"/>
    <w:rPr>
      <w:rFonts w:ascii="Courier New" w:eastAsia="Courier New" w:hAnsi="Courier New" w:cs="Courier New"/>
      <w:sz w:val="20"/>
      <w:szCs w:val="20"/>
    </w:rPr>
  </w:style>
  <w:style w:type="paragraph" w:styleId="BodyText">
    <w:name w:val="Body Text"/>
    <w:basedOn w:val="Normal"/>
    <w:link w:val="BodyTextChar"/>
    <w:rsid w:val="00F02B94"/>
    <w:pPr>
      <w:widowControl w:val="0"/>
      <w:overflowPunct w:val="0"/>
      <w:adjustRightInd w:val="0"/>
      <w:spacing w:after="120"/>
    </w:pPr>
    <w:rPr>
      <w:rFonts w:eastAsia="Times New Roman"/>
      <w:kern w:val="28"/>
    </w:rPr>
  </w:style>
  <w:style w:type="character" w:customStyle="1" w:styleId="BodyTextChar">
    <w:name w:val="Body Text Char"/>
    <w:basedOn w:val="DefaultParagraphFont"/>
    <w:link w:val="BodyText"/>
    <w:rsid w:val="00F02B94"/>
    <w:rPr>
      <w:rFonts w:eastAsia="Times New Roman"/>
      <w:kern w:val="28"/>
    </w:rPr>
  </w:style>
  <w:style w:type="character" w:customStyle="1" w:styleId="Heading1Char">
    <w:name w:val="Heading 1 Char"/>
    <w:basedOn w:val="DefaultParagraphFont"/>
    <w:link w:val="Heading1"/>
    <w:uiPriority w:val="9"/>
    <w:rsid w:val="00474FEE"/>
    <w:rPr>
      <w:rFonts w:ascii="Times New Roman Bold" w:hAnsi="Times New Roman Bold" w:eastAsiaTheme="majorEastAsia" w:cstheme="majorBidi"/>
      <w:b/>
      <w:szCs w:val="32"/>
    </w:rPr>
  </w:style>
  <w:style w:type="character" w:customStyle="1" w:styleId="Heading3Char">
    <w:name w:val="Heading 3 Char"/>
    <w:basedOn w:val="DefaultParagraphFont"/>
    <w:link w:val="Heading3"/>
    <w:uiPriority w:val="9"/>
    <w:rsid w:val="005A7BFA"/>
    <w:rPr>
      <w:rFonts w:ascii="Times New Roman Bold" w:hAnsi="Times New Roman Bold" w:eastAsiaTheme="majorEastAsia" w:cstheme="majorBidi"/>
      <w:b/>
    </w:rPr>
  </w:style>
  <w:style w:type="character" w:customStyle="1" w:styleId="Heading4Char">
    <w:name w:val="Heading 4 Char"/>
    <w:basedOn w:val="DefaultParagraphFont"/>
    <w:link w:val="Heading4"/>
    <w:uiPriority w:val="9"/>
    <w:rsid w:val="005A7BFA"/>
    <w:rPr>
      <w:rFonts w:ascii="Times New Roman Bold" w:hAnsi="Times New Roman Bold" w:eastAsiaTheme="majorEastAsia" w:cstheme="majorBidi"/>
      <w:b/>
      <w:iCs/>
    </w:rPr>
  </w:style>
  <w:style w:type="character" w:customStyle="1" w:styleId="Heading5Char">
    <w:name w:val="Heading 5 Char"/>
    <w:basedOn w:val="DefaultParagraphFont"/>
    <w:link w:val="Heading5"/>
    <w:uiPriority w:val="9"/>
    <w:rsid w:val="000C3C2C"/>
    <w:rPr>
      <w:rFonts w:ascii="Times New Roman Bold" w:hAnsi="Times New Roman Bold" w:eastAsiaTheme="majorEastAsia" w:cstheme="majorBidi"/>
      <w:b/>
    </w:rPr>
  </w:style>
  <w:style w:type="paragraph" w:styleId="TOC1">
    <w:name w:val="toc 1"/>
    <w:basedOn w:val="Normal"/>
    <w:next w:val="Normal"/>
    <w:autoRedefine/>
    <w:uiPriority w:val="39"/>
    <w:unhideWhenUsed/>
    <w:rsid w:val="00F0243D"/>
    <w:pPr>
      <w:tabs>
        <w:tab w:val="decimal" w:leader="dot" w:pos="8640"/>
      </w:tabs>
      <w:spacing w:after="240"/>
      <w:ind w:left="720" w:hanging="720"/>
    </w:pPr>
  </w:style>
  <w:style w:type="paragraph" w:styleId="TOC2">
    <w:name w:val="toc 2"/>
    <w:basedOn w:val="Normal"/>
    <w:next w:val="Normal"/>
    <w:autoRedefine/>
    <w:uiPriority w:val="39"/>
    <w:unhideWhenUsed/>
    <w:rsid w:val="00F0243D"/>
    <w:pPr>
      <w:tabs>
        <w:tab w:val="decimal" w:leader="dot" w:pos="8640"/>
      </w:tabs>
      <w:spacing w:after="240"/>
      <w:ind w:left="1440" w:hanging="720"/>
    </w:pPr>
  </w:style>
  <w:style w:type="paragraph" w:styleId="TOC3">
    <w:name w:val="toc 3"/>
    <w:basedOn w:val="Normal"/>
    <w:next w:val="Normal"/>
    <w:autoRedefine/>
    <w:uiPriority w:val="39"/>
    <w:unhideWhenUsed/>
    <w:rsid w:val="00F0243D"/>
    <w:pPr>
      <w:tabs>
        <w:tab w:val="decimal" w:leader="dot" w:pos="8640"/>
      </w:tabs>
      <w:spacing w:after="240"/>
      <w:ind w:left="2160" w:hanging="720"/>
    </w:pPr>
  </w:style>
  <w:style w:type="paragraph" w:styleId="TOC4">
    <w:name w:val="toc 4"/>
    <w:basedOn w:val="Normal"/>
    <w:next w:val="Normal"/>
    <w:autoRedefine/>
    <w:uiPriority w:val="39"/>
    <w:unhideWhenUsed/>
    <w:rsid w:val="00F0243D"/>
    <w:pPr>
      <w:tabs>
        <w:tab w:val="decimal" w:leader="dot" w:pos="8640"/>
      </w:tabs>
      <w:spacing w:after="240"/>
      <w:ind w:left="2880" w:hanging="720"/>
    </w:pPr>
  </w:style>
  <w:style w:type="paragraph" w:styleId="TOC5">
    <w:name w:val="toc 5"/>
    <w:basedOn w:val="Normal"/>
    <w:next w:val="Normal"/>
    <w:autoRedefine/>
    <w:uiPriority w:val="39"/>
    <w:unhideWhenUsed/>
    <w:rsid w:val="000C3C2C"/>
    <w:pPr>
      <w:tabs>
        <w:tab w:val="decimal" w:leader="dot" w:pos="8640"/>
      </w:tabs>
      <w:spacing w:after="240"/>
    </w:pPr>
  </w:style>
  <w:style w:type="paragraph" w:styleId="BodyTextIndent3">
    <w:name w:val="Body Text Indent 3"/>
    <w:basedOn w:val="Normal"/>
    <w:link w:val="BodyTextIndent3Char"/>
    <w:uiPriority w:val="99"/>
    <w:unhideWhenUsed/>
    <w:rsid w:val="004B784A"/>
    <w:pPr>
      <w:spacing w:after="120"/>
      <w:ind w:left="360"/>
    </w:pPr>
    <w:rPr>
      <w:sz w:val="16"/>
      <w:szCs w:val="16"/>
    </w:rPr>
  </w:style>
  <w:style w:type="character" w:customStyle="1" w:styleId="BodyTextIndent3Char">
    <w:name w:val="Body Text Indent 3 Char"/>
    <w:basedOn w:val="DefaultParagraphFont"/>
    <w:link w:val="BodyTextIndent3"/>
    <w:uiPriority w:val="99"/>
    <w:rsid w:val="004B784A"/>
    <w:rPr>
      <w:sz w:val="16"/>
      <w:szCs w:val="16"/>
    </w:rPr>
  </w:style>
  <w:style w:type="character" w:customStyle="1" w:styleId="UnresolvedMention">
    <w:name w:val="Unresolved Mention"/>
    <w:basedOn w:val="DefaultParagraphFont"/>
    <w:uiPriority w:val="99"/>
    <w:rsid w:val="00701495"/>
    <w:rPr>
      <w:color w:val="605E5C"/>
      <w:shd w:val="clear" w:color="auto" w:fill="E1DFDD"/>
    </w:rPr>
  </w:style>
  <w:style w:type="paragraph" w:styleId="Revision">
    <w:name w:val="Revision"/>
    <w:hidden/>
    <w:uiPriority w:val="99"/>
    <w:semiHidden/>
    <w:rsid w:val="002E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cco.DAscenzo@duke-energy.com" TargetMode="External" /><Relationship Id="rId11" Type="http://schemas.openxmlformats.org/officeDocument/2006/relationships/hyperlink" Target="mailto:Jeanne.Kingery@duke-energy.com" TargetMode="External" /><Relationship Id="rId12" Type="http://schemas.openxmlformats.org/officeDocument/2006/relationships/hyperlink" Target="mailto:Larisa.Vaysman@duke-energy.com" TargetMode="External" /><Relationship Id="rId13" Type="http://schemas.openxmlformats.org/officeDocument/2006/relationships/hyperlink" Target="mailto:bojko@carpenterlipps.com" TargetMode="External" /><Relationship Id="rId14" Type="http://schemas.openxmlformats.org/officeDocument/2006/relationships/hyperlink" Target="mailto:wygonski@carpenterlipps.com" TargetMode="Externa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onnor.semple@occ.ohio.gov" TargetMode="External" /><Relationship Id="rId7" Type="http://schemas.openxmlformats.org/officeDocument/2006/relationships/hyperlink" Target="mailto:John.jones@ohioAGO.gov" TargetMode="External" /><Relationship Id="rId8" Type="http://schemas.openxmlformats.org/officeDocument/2006/relationships/hyperlink" Target="mailto:Matthew.sandor@puco.ohio.gov" TargetMode="External" /><Relationship Id="rId9" Type="http://schemas.openxmlformats.org/officeDocument/2006/relationships/hyperlink" Target="mailto:Nicholas.walstra@puco.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C2DE-65C7-4A00-958D-98BA32AD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2023-04-26T18:48:03Z</dcterms:created>
  <dcterms:modified xsi:type="dcterms:W3CDTF">2023-04-26T18:48:03Z</dcterms:modified>
</cp:coreProperties>
</file>