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6B1F3F" w:rsidRPr="00CA55A7" w:rsidP="006B1F3F" w14:paraId="05090A90" w14:textId="45AA386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bookmarkStart w:id="0" w:name="_Hlk161831523"/>
      <w:r w:rsidRPr="00CA55A7">
        <w:rPr>
          <w:rFonts w:ascii="Times New Roman" w:eastAsia="Calibri" w:hAnsi="Times New Roman" w:cs="Times New Roman"/>
          <w:b/>
          <w:bCs/>
          <w:kern w:val="0"/>
          <w:sz w:val="24"/>
          <w:szCs w:val="24"/>
          <w14:ligatures w14:val="none"/>
        </w:rPr>
        <w:t>BEFORE</w:t>
      </w:r>
    </w:p>
    <w:p w:rsidR="006B1F3F" w:rsidRPr="00CA55A7" w:rsidP="006B1F3F" w14:paraId="46E6D927"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THE PUBLIC UTILITIES COMMISSION OF OHIO</w:t>
      </w:r>
    </w:p>
    <w:p w:rsidR="006B1F3F" w:rsidRPr="00CA55A7" w:rsidP="006B1F3F" w14:paraId="212598C4" w14:textId="77777777">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tbl>
      <w:tblPr>
        <w:tblW w:w="8641" w:type="dxa"/>
        <w:tblInd w:w="-90" w:type="dxa"/>
        <w:tblCellMar>
          <w:top w:w="0" w:type="dxa"/>
          <w:left w:w="108" w:type="dxa"/>
          <w:bottom w:w="0" w:type="dxa"/>
          <w:right w:w="108" w:type="dxa"/>
        </w:tblCellMar>
        <w:tblLook w:val="01E0"/>
      </w:tblPr>
      <w:tblGrid>
        <w:gridCol w:w="4320"/>
        <w:gridCol w:w="386"/>
        <w:gridCol w:w="3935"/>
      </w:tblGrid>
      <w:tr w14:paraId="7313AFD3" w14:textId="77777777" w:rsidTr="00C348C9">
        <w:tblPrEx>
          <w:tblW w:w="8641" w:type="dxa"/>
          <w:tblInd w:w="-90" w:type="dxa"/>
          <w:tblCellMar>
            <w:top w:w="0" w:type="dxa"/>
            <w:left w:w="108" w:type="dxa"/>
            <w:bottom w:w="0" w:type="dxa"/>
            <w:right w:w="108" w:type="dxa"/>
          </w:tblCellMar>
          <w:tblLook w:val="01E0"/>
        </w:tblPrEx>
        <w:trPr>
          <w:trHeight w:val="807"/>
        </w:trPr>
        <w:tc>
          <w:tcPr>
            <w:tcW w:w="4320" w:type="dxa"/>
            <w:shd w:val="clear" w:color="auto" w:fill="auto"/>
          </w:tcPr>
          <w:p w:rsidR="00974892" w:rsidRPr="00CA55A7" w:rsidP="00974892" w14:paraId="7533BA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Authority to Establish a Standard Service Offer Pursuant to R.C. 4928.143 in the Form of an Electric Security Plan.</w:t>
            </w:r>
          </w:p>
          <w:p w:rsidR="00974892" w:rsidRPr="00CA55A7" w:rsidP="00974892" w14:paraId="7D8948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974892" w:rsidRPr="00CA55A7" w:rsidP="00974892" w14:paraId="4FEF576B" w14:textId="50FFA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Approval of Certain Accounting Authority.</w:t>
            </w:r>
          </w:p>
        </w:tc>
        <w:tc>
          <w:tcPr>
            <w:tcW w:w="386" w:type="dxa"/>
            <w:shd w:val="clear" w:color="auto" w:fill="auto"/>
          </w:tcPr>
          <w:p w:rsidR="00974892" w:rsidRPr="00CA55A7" w:rsidP="00974892" w14:paraId="2BF976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1C362D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6589D7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74293B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4F5A2A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35C973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974892" w:rsidRPr="00CA55A7" w:rsidP="00974892" w14:paraId="41A48C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618C89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974892" w:rsidRPr="00CA55A7" w:rsidP="00974892" w14:paraId="6CE33203" w14:textId="677BA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tc>
        <w:tc>
          <w:tcPr>
            <w:tcW w:w="3935" w:type="dxa"/>
            <w:shd w:val="clear" w:color="auto" w:fill="auto"/>
          </w:tcPr>
          <w:p w:rsidR="00974892" w:rsidRPr="00CA55A7" w:rsidP="00974892" w14:paraId="630299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974892" w:rsidRPr="00CA55A7" w:rsidP="00974892" w14:paraId="75B81F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974892" w:rsidRPr="00CA55A7" w:rsidP="00974892" w14:paraId="339321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23-23-EL-SSO</w:t>
            </w:r>
          </w:p>
          <w:p w:rsidR="00974892" w:rsidRPr="00CA55A7" w:rsidP="00974892" w14:paraId="2E82C4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974892" w:rsidRPr="00CA55A7" w:rsidP="00974892" w14:paraId="58D905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840D21" w:rsidRPr="00CA55A7" w:rsidP="00974892" w14:paraId="523A2B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840D21" w:rsidRPr="00CA55A7" w:rsidP="00974892" w14:paraId="0090F8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840D21" w:rsidRPr="00CA55A7" w:rsidP="00974892" w14:paraId="69C2D935" w14:textId="051BF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23-24-EL-AAM</w:t>
            </w:r>
          </w:p>
        </w:tc>
      </w:tr>
    </w:tbl>
    <w:p w:rsidR="006B1F3F" w:rsidRPr="00CA55A7" w:rsidP="006B1F3F" w14:paraId="6B9B0E9F" w14:textId="77777777">
      <w:pPr>
        <w:pBdr>
          <w:bottom w:val="single" w:sz="12" w:space="1" w:color="auto"/>
        </w:pBdr>
        <w:autoSpaceDE w:val="0"/>
        <w:autoSpaceDN w:val="0"/>
        <w:adjustRightInd w:val="0"/>
        <w:spacing w:after="0" w:line="240" w:lineRule="auto"/>
        <w:rPr>
          <w:rFonts w:ascii="Times New Roman" w:eastAsia="Calibri" w:hAnsi="Times New Roman" w:cs="Times New Roman"/>
          <w:kern w:val="0"/>
          <w:sz w:val="24"/>
          <w:szCs w:val="24"/>
          <w14:ligatures w14:val="none"/>
        </w:rPr>
      </w:pPr>
    </w:p>
    <w:p w:rsidR="006B1F3F" w:rsidRPr="00CA55A7" w:rsidP="006B1F3F" w14:paraId="368CC83F" w14:textId="77777777">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6B1F3F" w:rsidRPr="00CA55A7" w:rsidP="006B1F3F" w14:paraId="51EAF4AC" w14:textId="0C5B5E82">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APPLICATION FOR REHEARING</w:t>
      </w:r>
    </w:p>
    <w:p w:rsidR="006B1F3F" w:rsidRPr="00CA55A7" w:rsidP="006B1F3F" w14:paraId="3DB957E1"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BY</w:t>
      </w:r>
    </w:p>
    <w:p w:rsidR="006B1F3F" w:rsidRPr="00CA55A7" w:rsidP="006B1F3F" w14:paraId="0A6D3413" w14:textId="090F9643">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OFFICE OF THE OHIO CONSUMERS</w:t>
      </w:r>
      <w:r w:rsidR="00CA55A7">
        <w:rPr>
          <w:rFonts w:ascii="Times New Roman" w:eastAsia="Calibri" w:hAnsi="Times New Roman" w:cs="Times New Roman"/>
          <w:b/>
          <w:bCs/>
          <w:kern w:val="0"/>
          <w:sz w:val="24"/>
          <w:szCs w:val="24"/>
          <w14:ligatures w14:val="none"/>
        </w:rPr>
        <w:t>’</w:t>
      </w:r>
      <w:r w:rsidRPr="00CA55A7">
        <w:rPr>
          <w:rFonts w:ascii="Times New Roman" w:eastAsia="Calibri" w:hAnsi="Times New Roman" w:cs="Times New Roman"/>
          <w:b/>
          <w:bCs/>
          <w:kern w:val="0"/>
          <w:sz w:val="24"/>
          <w:szCs w:val="24"/>
          <w14:ligatures w14:val="none"/>
        </w:rPr>
        <w:t xml:space="preserve"> COUNSEL</w:t>
      </w:r>
    </w:p>
    <w:p w:rsidR="006B1F3F" w:rsidRPr="00CA55A7" w:rsidP="006B1F3F" w14:paraId="1A736E82"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bookmarkEnd w:id="0"/>
    <w:p w:rsidR="006B1F3F" w:rsidRPr="00CA55A7" w:rsidP="00884B92" w14:paraId="4CEE0EC4" w14:textId="00AE9D55">
      <w:pPr>
        <w:autoSpaceDE w:val="0"/>
        <w:autoSpaceDN w:val="0"/>
        <w:adjustRightInd w:val="0"/>
        <w:spacing w:after="0" w:line="240" w:lineRule="auto"/>
        <w:rPr>
          <w:rFonts w:ascii="Times New Roman" w:eastAsia="Calibri" w:hAnsi="Times New Roman" w:cs="Times New Roman"/>
          <w:b/>
          <w:bCs/>
          <w:kern w:val="0"/>
          <w:sz w:val="24"/>
          <w:szCs w:val="24"/>
          <w14:ligatures w14:val="none"/>
        </w:rPr>
      </w:pPr>
    </w:p>
    <w:p w:rsidR="006B1F3F" w:rsidRPr="00CA55A7" w:rsidP="006B1F3F" w14:paraId="63B9606C"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rsidR="006B1F3F" w:rsidRPr="00CA55A7" w:rsidP="006B1F3F" w14:paraId="420F6CE8" w14:textId="77777777">
      <w:pPr>
        <w:tabs>
          <w:tab w:val="left" w:pos="4320"/>
        </w:tabs>
        <w:spacing w:after="0" w:line="256" w:lineRule="auto"/>
        <w:ind w:left="4320"/>
        <w:rPr>
          <w:rFonts w:ascii="Times New Roman" w:eastAsia="Calibri" w:hAnsi="Times New Roman" w:cs="Times New Roman"/>
          <w:bCs/>
          <w:kern w:val="0"/>
          <w:sz w:val="24"/>
          <w:szCs w:val="24"/>
          <w14:ligatures w14:val="none"/>
        </w:rPr>
      </w:pPr>
      <w:bookmarkStart w:id="1" w:name="_Hlk161831745"/>
      <w:r w:rsidRPr="00CA55A7">
        <w:rPr>
          <w:rFonts w:ascii="Times New Roman" w:eastAsia="Calibri" w:hAnsi="Times New Roman" w:cs="Times New Roman"/>
          <w:bCs/>
          <w:kern w:val="0"/>
          <w:sz w:val="24"/>
          <w:szCs w:val="24"/>
          <w14:ligatures w14:val="none"/>
        </w:rPr>
        <w:t>Maureen R. Willis (0020847)</w:t>
      </w:r>
    </w:p>
    <w:p w:rsidR="006B1F3F" w:rsidRPr="00CA55A7" w:rsidP="006B1F3F" w14:paraId="35C60DDC" w14:textId="79FFE70F">
      <w:pPr>
        <w:tabs>
          <w:tab w:val="left" w:pos="4320"/>
        </w:tabs>
        <w:spacing w:after="0" w:line="256" w:lineRule="auto"/>
        <w:ind w:left="4320"/>
        <w:rPr>
          <w:rFonts w:ascii="Times New Roman" w:eastAsia="Calibri" w:hAnsi="Times New Roman" w:cs="Times New Roman"/>
          <w:bCs/>
          <w:kern w:val="0"/>
          <w:sz w:val="24"/>
          <w:szCs w:val="24"/>
          <w14:ligatures w14:val="none"/>
        </w:rPr>
      </w:pPr>
      <w:r w:rsidRPr="00CA55A7">
        <w:rPr>
          <w:rFonts w:ascii="Times New Roman" w:eastAsia="Calibri" w:hAnsi="Times New Roman" w:cs="Times New Roman"/>
          <w:bCs/>
          <w:kern w:val="0"/>
          <w:sz w:val="24"/>
          <w:szCs w:val="24"/>
          <w14:ligatures w14:val="none"/>
        </w:rPr>
        <w:t>Ohio Consumers</w:t>
      </w:r>
      <w:r w:rsidR="00CA55A7">
        <w:rPr>
          <w:rFonts w:ascii="Times New Roman" w:eastAsia="Calibri" w:hAnsi="Times New Roman" w:cs="Times New Roman"/>
          <w:bCs/>
          <w:kern w:val="0"/>
          <w:sz w:val="24"/>
          <w:szCs w:val="24"/>
          <w14:ligatures w14:val="none"/>
        </w:rPr>
        <w:t>’</w:t>
      </w:r>
      <w:r w:rsidRPr="00CA55A7">
        <w:rPr>
          <w:rFonts w:ascii="Times New Roman" w:eastAsia="Calibri" w:hAnsi="Times New Roman" w:cs="Times New Roman"/>
          <w:bCs/>
          <w:kern w:val="0"/>
          <w:sz w:val="24"/>
          <w:szCs w:val="24"/>
          <w14:ligatures w14:val="none"/>
        </w:rPr>
        <w:t xml:space="preserve"> Counsel</w:t>
      </w:r>
    </w:p>
    <w:p w:rsidR="006B1F3F" w:rsidRPr="00CA55A7" w:rsidP="006B1F3F" w14:paraId="34BCA254" w14:textId="77777777">
      <w:pPr>
        <w:tabs>
          <w:tab w:val="left" w:pos="4320"/>
        </w:tabs>
        <w:spacing w:after="0" w:line="256" w:lineRule="auto"/>
        <w:ind w:left="4320"/>
        <w:rPr>
          <w:rFonts w:ascii="Times New Roman" w:eastAsia="Calibri" w:hAnsi="Times New Roman" w:cs="Times New Roman"/>
          <w:kern w:val="0"/>
          <w:sz w:val="24"/>
          <w:szCs w:val="24"/>
          <w14:ligatures w14:val="none"/>
        </w:rPr>
      </w:pPr>
    </w:p>
    <w:bookmarkEnd w:id="1"/>
    <w:p w:rsidR="00191F8F" w:rsidRPr="00CA55A7" w:rsidP="00191F8F" w14:paraId="3C3706FF"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William J. Michael (0070921) </w:t>
      </w:r>
      <w:r w:rsidRPr="00CA55A7">
        <w:rPr>
          <w:rFonts w:ascii="Times New Roman" w:eastAsia="Times New Roman" w:hAnsi="Times New Roman" w:cs="Times New Roman"/>
          <w:kern w:val="0"/>
          <w:sz w:val="24"/>
          <w:szCs w:val="24"/>
          <w14:ligatures w14:val="none"/>
        </w:rPr>
        <w:br/>
        <w:t>Counsel of Record</w:t>
      </w:r>
    </w:p>
    <w:p w:rsidR="00352A56" w:rsidRPr="00CA55A7" w:rsidP="00352A56" w14:paraId="2AA61BF0" w14:textId="4A1FFFB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191F8F" w:rsidRPr="00CA55A7" w:rsidP="00191F8F" w14:paraId="26142E98" w14:textId="08CB2615">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Angela D.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(0097579)</w:t>
      </w:r>
    </w:p>
    <w:p w:rsidR="00191F8F" w:rsidRPr="00CA55A7" w:rsidP="00191F8F" w14:paraId="6F4C3B68" w14:textId="0704C392">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Deputy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r w:rsidRPr="00CA55A7">
        <w:rPr>
          <w:rFonts w:ascii="Times New Roman" w:eastAsia="Times New Roman" w:hAnsi="Times New Roman" w:cs="Times New Roman"/>
          <w:kern w:val="0"/>
          <w:sz w:val="24"/>
          <w:szCs w:val="24"/>
          <w14:ligatures w14:val="none"/>
        </w:rPr>
        <w:br/>
        <w:t>Donald J. Kral (0042091)</w:t>
      </w:r>
    </w:p>
    <w:p w:rsidR="00191F8F" w:rsidRPr="00CA55A7" w:rsidP="00191F8F" w14:paraId="5A8FFBD7" w14:textId="1BD27ED6">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191F8F" w:rsidRPr="00CA55A7" w:rsidP="00191F8F" w14:paraId="60BD5912"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191F8F" w:rsidRPr="00CA55A7" w:rsidP="00191F8F" w14:paraId="5B0EEBF1" w14:textId="61B66B72">
      <w:pPr>
        <w:tabs>
          <w:tab w:val="left" w:pos="8730"/>
        </w:tabs>
        <w:spacing w:after="0" w:line="240" w:lineRule="auto"/>
        <w:ind w:left="4320"/>
        <w:rPr>
          <w:rFonts w:ascii="Times New Roman" w:eastAsia="Times New Roman" w:hAnsi="Times New Roman" w:cs="Times New Roman"/>
          <w:b/>
          <w:bCs/>
          <w:kern w:val="0"/>
          <w:sz w:val="24"/>
          <w:szCs w:val="24"/>
          <w14:ligatures w14:val="none"/>
        </w:rPr>
      </w:pPr>
      <w:r w:rsidRPr="00CA55A7">
        <w:rPr>
          <w:rFonts w:ascii="Times New Roman" w:eastAsia="Times New Roman" w:hAnsi="Times New Roman" w:cs="Times New Roman"/>
          <w:b/>
          <w:bCs/>
          <w:kern w:val="0"/>
          <w:sz w:val="24"/>
          <w:szCs w:val="24"/>
          <w14:ligatures w14:val="none"/>
        </w:rPr>
        <w:t>Office of the Ohio Consumers</w:t>
      </w:r>
      <w:r w:rsidR="00CA55A7">
        <w:rPr>
          <w:rFonts w:ascii="Times New Roman" w:eastAsia="Times New Roman" w:hAnsi="Times New Roman" w:cs="Times New Roman"/>
          <w:b/>
          <w:bCs/>
          <w:kern w:val="0"/>
          <w:sz w:val="24"/>
          <w:szCs w:val="24"/>
          <w14:ligatures w14:val="none"/>
        </w:rPr>
        <w:t>’</w:t>
      </w:r>
      <w:r w:rsidRPr="00CA55A7">
        <w:rPr>
          <w:rFonts w:ascii="Times New Roman" w:eastAsia="Times New Roman" w:hAnsi="Times New Roman" w:cs="Times New Roman"/>
          <w:b/>
          <w:bCs/>
          <w:kern w:val="0"/>
          <w:sz w:val="24"/>
          <w:szCs w:val="24"/>
          <w14:ligatures w14:val="none"/>
        </w:rPr>
        <w:t xml:space="preserve"> Counsel</w:t>
      </w:r>
    </w:p>
    <w:p w:rsidR="00191F8F" w:rsidRPr="00CA55A7" w:rsidP="00191F8F" w14:paraId="667E65AC"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65 East State Street, Suite 700</w:t>
      </w:r>
    </w:p>
    <w:p w:rsidR="00191F8F" w:rsidRPr="00CA55A7" w:rsidP="00191F8F" w14:paraId="1A0F719F"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Columbus, Ohio 43215</w:t>
      </w:r>
    </w:p>
    <w:p w:rsidR="00191F8F" w:rsidRPr="00CA55A7" w:rsidP="00191F8F" w14:paraId="5D869715" w14:textId="3748E364">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[Michael]: (614) 466-1291</w:t>
      </w:r>
    </w:p>
    <w:p w:rsidR="00191F8F" w:rsidRPr="00CA55A7" w:rsidP="00191F8F" w14:paraId="0F5EF4EC" w14:textId="20E2E2B3">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(614) 466-9531</w:t>
      </w:r>
    </w:p>
    <w:p w:rsidR="00191F8F" w:rsidRPr="00CA55A7" w:rsidP="00191F8F" w14:paraId="48E6B19D" w14:textId="2BF02ED8">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[Kral]: (614) 466-9571</w:t>
      </w:r>
    </w:p>
    <w:p w:rsidR="00191F8F" w:rsidRPr="00CA55A7" w:rsidP="00191F8F" w14:paraId="5538B07F" w14:textId="77777777">
      <w:pPr>
        <w:tabs>
          <w:tab w:val="left" w:pos="8730"/>
        </w:tabs>
        <w:spacing w:after="0" w:line="240" w:lineRule="auto"/>
        <w:ind w:left="4320"/>
        <w:rPr>
          <w:rFonts w:ascii="Times New Roman" w:eastAsia="Times New Roman" w:hAnsi="Times New Roman" w:cs="Times New Roman"/>
          <w:color w:val="0000FF"/>
          <w:kern w:val="0"/>
          <w:sz w:val="24"/>
          <w:szCs w:val="24"/>
          <w14:ligatures w14:val="none"/>
        </w:rPr>
      </w:pPr>
      <w:hyperlink r:id="rId6" w:history="1">
        <w:r w:rsidRPr="00CA55A7">
          <w:rPr>
            <w:rFonts w:ascii="Times New Roman" w:eastAsia="Times New Roman" w:hAnsi="Times New Roman" w:cs="Times New Roman"/>
            <w:color w:val="0000FF"/>
            <w:kern w:val="0"/>
            <w:sz w:val="24"/>
            <w:szCs w:val="24"/>
            <w:u w:val="single"/>
            <w14:ligatures w14:val="none"/>
          </w:rPr>
          <w:t>william.michael@occ.ohio.gov</w:t>
        </w:r>
      </w:hyperlink>
      <w:r w:rsidRPr="00CA55A7">
        <w:rPr>
          <w:rFonts w:ascii="Times New Roman" w:eastAsia="Times New Roman" w:hAnsi="Times New Roman" w:cs="Times New Roman"/>
          <w:color w:val="0000FF"/>
          <w:kern w:val="0"/>
          <w:sz w:val="24"/>
          <w:szCs w:val="24"/>
          <w14:ligatures w14:val="none"/>
        </w:rPr>
        <w:t xml:space="preserve"> </w:t>
      </w:r>
    </w:p>
    <w:p w:rsidR="00191F8F" w:rsidRPr="00CA55A7" w:rsidP="00191F8F" w14:paraId="7AD7D784"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hyperlink r:id="rId7" w:history="1">
        <w:r w:rsidRPr="00CA55A7">
          <w:rPr>
            <w:rFonts w:ascii="Times New Roman" w:eastAsia="Times New Roman" w:hAnsi="Times New Roman" w:cs="Times New Roman"/>
            <w:color w:val="0000FF"/>
            <w:kern w:val="0"/>
            <w:sz w:val="24"/>
            <w:szCs w:val="24"/>
            <w:u w:val="single"/>
            <w14:ligatures w14:val="none"/>
          </w:rPr>
          <w:t>angela.obrien@occ.ohio.gove</w:t>
        </w:r>
      </w:hyperlink>
    </w:p>
    <w:p w:rsidR="00191F8F" w:rsidRPr="00CA55A7" w:rsidP="00191F8F" w14:paraId="4573EBEC"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r w:rsidRPr="00CA55A7">
        <w:rPr>
          <w:rFonts w:ascii="Times New Roman" w:eastAsia="Times New Roman" w:hAnsi="Times New Roman" w:cs="Times New Roman"/>
          <w:color w:val="0000FF"/>
          <w:kern w:val="0"/>
          <w:sz w:val="24"/>
          <w:szCs w:val="24"/>
          <w:u w:val="single"/>
          <w14:ligatures w14:val="none"/>
        </w:rPr>
        <w:t>donald.kral@occ.ohio.gov</w:t>
      </w:r>
    </w:p>
    <w:p w:rsidR="00191F8F" w:rsidRPr="00CA55A7" w:rsidP="00191F8F" w14:paraId="0B2E9813" w14:textId="6456D212">
      <w:pPr>
        <w:tabs>
          <w:tab w:val="left" w:pos="8730"/>
        </w:tabs>
        <w:spacing w:after="0" w:line="240" w:lineRule="auto"/>
        <w:ind w:left="4320" w:hanging="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May 3</w:t>
      </w:r>
      <w:r w:rsidRPr="00CA55A7">
        <w:rPr>
          <w:rFonts w:ascii="Times New Roman" w:eastAsia="Times New Roman" w:hAnsi="Times New Roman" w:cs="Times New Roman"/>
          <w:kern w:val="0"/>
          <w:sz w:val="24"/>
          <w:szCs w:val="24"/>
          <w14:ligatures w14:val="none"/>
        </w:rPr>
        <w:t>, 2024</w:t>
      </w:r>
      <w:r w:rsidRPr="00CA55A7">
        <w:rPr>
          <w:rFonts w:ascii="Times New Roman" w:eastAsia="Times New Roman" w:hAnsi="Times New Roman" w:cs="Times New Roman"/>
          <w:kern w:val="0"/>
          <w:sz w:val="24"/>
          <w:szCs w:val="24"/>
          <w14:ligatures w14:val="none"/>
        </w:rPr>
        <w:tab/>
        <w:t xml:space="preserve">(willing to accept service by e-mail) </w:t>
      </w:r>
    </w:p>
    <w:p w:rsidR="00C5462C" w:rsidRPr="00CA55A7" w:rsidP="00191F8F" w14:paraId="0039CFAA" w14:textId="77777777">
      <w:pPr>
        <w:tabs>
          <w:tab w:val="left" w:pos="8730"/>
        </w:tabs>
        <w:spacing w:after="0" w:line="240" w:lineRule="auto"/>
        <w:ind w:left="4320" w:hanging="4320"/>
        <w:rPr>
          <w:rFonts w:ascii="Times New Roman" w:eastAsia="Times New Roman" w:hAnsi="Times New Roman" w:cs="Times New Roman"/>
          <w:kern w:val="0"/>
          <w:sz w:val="24"/>
          <w:szCs w:val="24"/>
          <w14:ligatures w14:val="none"/>
        </w:rPr>
      </w:pPr>
    </w:p>
    <w:p w:rsidR="00501A4A" w:rsidRPr="00CA55A7" w:rsidP="006B1F3F" w14:paraId="30025067"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sectPr w:rsidSect="00A8569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3029E9" w:rsidRPr="00CA55A7" w:rsidP="003029E9" w14:paraId="7BCFC365"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bookmarkStart w:id="2" w:name="_Hlk161843674"/>
      <w:bookmarkStart w:id="3" w:name="_Toc84601499"/>
      <w:r w:rsidRPr="00CA55A7">
        <w:rPr>
          <w:rFonts w:ascii="Times New Roman" w:eastAsia="Calibri" w:hAnsi="Times New Roman" w:cs="Times New Roman"/>
          <w:b/>
          <w:bCs/>
          <w:kern w:val="0"/>
          <w:sz w:val="24"/>
          <w:szCs w:val="24"/>
          <w14:ligatures w14:val="none"/>
        </w:rPr>
        <w:t>BEFORE</w:t>
      </w:r>
    </w:p>
    <w:p w:rsidR="003029E9" w:rsidRPr="00CA55A7" w:rsidP="003029E9" w14:paraId="6C87FCD0"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THE PUBLIC UTILITIES COMMISSION OF OHIO</w:t>
      </w:r>
    </w:p>
    <w:p w:rsidR="00C431E2" w:rsidRPr="00CA55A7" w:rsidP="003029E9" w14:paraId="08E60E0F"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bl>
      <w:tblPr>
        <w:tblW w:w="8641" w:type="dxa"/>
        <w:tblInd w:w="-90" w:type="dxa"/>
        <w:tblCellMar>
          <w:top w:w="0" w:type="dxa"/>
          <w:left w:w="108" w:type="dxa"/>
          <w:bottom w:w="0" w:type="dxa"/>
          <w:right w:w="108" w:type="dxa"/>
        </w:tblCellMar>
        <w:tblLook w:val="01E0"/>
      </w:tblPr>
      <w:tblGrid>
        <w:gridCol w:w="4320"/>
        <w:gridCol w:w="386"/>
        <w:gridCol w:w="3935"/>
      </w:tblGrid>
      <w:tr w14:paraId="11551435" w14:textId="77777777" w:rsidTr="00301FF7">
        <w:tblPrEx>
          <w:tblW w:w="8641" w:type="dxa"/>
          <w:tblInd w:w="-90" w:type="dxa"/>
          <w:tblCellMar>
            <w:top w:w="0" w:type="dxa"/>
            <w:left w:w="108" w:type="dxa"/>
            <w:bottom w:w="0" w:type="dxa"/>
            <w:right w:w="108" w:type="dxa"/>
          </w:tblCellMar>
          <w:tblLook w:val="01E0"/>
        </w:tblPrEx>
        <w:trPr>
          <w:trHeight w:val="807"/>
        </w:trPr>
        <w:tc>
          <w:tcPr>
            <w:tcW w:w="4320" w:type="dxa"/>
            <w:shd w:val="clear" w:color="auto" w:fill="auto"/>
          </w:tcPr>
          <w:p w:rsidR="00C431E2" w:rsidRPr="00CA55A7" w:rsidP="00301FF7" w14:paraId="0778CF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Authority to Establish a Standard Service Offer Pursuant to R.C. 4928.143 in the Form of an Electric Security Plan.</w:t>
            </w:r>
          </w:p>
          <w:p w:rsidR="00C431E2" w:rsidRPr="00CA55A7" w:rsidP="00301FF7" w14:paraId="40CE38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4267D7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Approval of Certain Accounting Authority.</w:t>
            </w:r>
          </w:p>
        </w:tc>
        <w:tc>
          <w:tcPr>
            <w:tcW w:w="386" w:type="dxa"/>
            <w:shd w:val="clear" w:color="auto" w:fill="auto"/>
          </w:tcPr>
          <w:p w:rsidR="00C431E2" w:rsidRPr="00CA55A7" w:rsidP="00301FF7" w14:paraId="24B17E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4846A6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5975848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0C6B14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02FF49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16BFE1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5A450C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25F5A6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5BF82C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tc>
        <w:tc>
          <w:tcPr>
            <w:tcW w:w="3935" w:type="dxa"/>
            <w:shd w:val="clear" w:color="auto" w:fill="auto"/>
          </w:tcPr>
          <w:p w:rsidR="00C431E2" w:rsidRPr="00CA55A7" w:rsidP="00301FF7" w14:paraId="5AC9AA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059DA5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0BE3B6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23-23-EL-SSO</w:t>
            </w:r>
          </w:p>
          <w:p w:rsidR="00C431E2" w:rsidRPr="00CA55A7" w:rsidP="00301FF7" w14:paraId="39E429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0117CE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0968C2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1301CD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47292A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23-24-EL-AAM</w:t>
            </w:r>
          </w:p>
        </w:tc>
      </w:tr>
    </w:tbl>
    <w:p w:rsidR="003029E9" w:rsidRPr="00CA55A7" w:rsidP="003029E9" w14:paraId="5057C1BE" w14:textId="77777777">
      <w:pPr>
        <w:pBdr>
          <w:bottom w:val="single" w:sz="12" w:space="1" w:color="auto"/>
        </w:pBdr>
        <w:autoSpaceDE w:val="0"/>
        <w:autoSpaceDN w:val="0"/>
        <w:adjustRightInd w:val="0"/>
        <w:spacing w:after="0" w:line="240" w:lineRule="auto"/>
        <w:rPr>
          <w:rFonts w:ascii="Times New Roman" w:eastAsia="Calibri" w:hAnsi="Times New Roman" w:cs="Times New Roman"/>
          <w:kern w:val="0"/>
          <w:sz w:val="24"/>
          <w:szCs w:val="24"/>
          <w14:ligatures w14:val="none"/>
        </w:rPr>
      </w:pPr>
    </w:p>
    <w:p w:rsidR="003029E9" w:rsidRPr="00CA55A7" w:rsidP="003029E9" w14:paraId="51B06C57" w14:textId="77777777">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3029E9" w:rsidRPr="00CA55A7" w:rsidP="003029E9" w14:paraId="78392908"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APPLICATION FOR REHEARING</w:t>
      </w:r>
    </w:p>
    <w:p w:rsidR="003029E9" w:rsidRPr="00CA55A7" w:rsidP="003029E9" w14:paraId="43E81988"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BY</w:t>
      </w:r>
    </w:p>
    <w:p w:rsidR="003029E9" w:rsidRPr="00CA55A7" w:rsidP="003029E9" w14:paraId="3A285989" w14:textId="47F4AA33">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OFFICE OF THE OHIO CONSUMERS</w:t>
      </w:r>
      <w:r w:rsidR="00CA55A7">
        <w:rPr>
          <w:rFonts w:ascii="Times New Roman" w:eastAsia="Calibri" w:hAnsi="Times New Roman" w:cs="Times New Roman"/>
          <w:b/>
          <w:bCs/>
          <w:kern w:val="0"/>
          <w:sz w:val="24"/>
          <w:szCs w:val="24"/>
          <w14:ligatures w14:val="none"/>
        </w:rPr>
        <w:t>’</w:t>
      </w:r>
      <w:r w:rsidRPr="00CA55A7">
        <w:rPr>
          <w:rFonts w:ascii="Times New Roman" w:eastAsia="Calibri" w:hAnsi="Times New Roman" w:cs="Times New Roman"/>
          <w:b/>
          <w:bCs/>
          <w:kern w:val="0"/>
          <w:sz w:val="24"/>
          <w:szCs w:val="24"/>
          <w14:ligatures w14:val="none"/>
        </w:rPr>
        <w:t xml:space="preserve"> COUNSEL</w:t>
      </w:r>
    </w:p>
    <w:p w:rsidR="003029E9" w:rsidRPr="00CA55A7" w:rsidP="003029E9" w14:paraId="38FFC286"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rsidR="003029E9" w:rsidRPr="00CA55A7" w:rsidP="003029E9" w14:paraId="46D65BC8" w14:textId="77777777">
      <w:pPr>
        <w:autoSpaceDE w:val="0"/>
        <w:autoSpaceDN w:val="0"/>
        <w:adjustRightInd w:val="0"/>
        <w:spacing w:after="0" w:line="240" w:lineRule="auto"/>
        <w:rPr>
          <w:rFonts w:ascii="Times New Roman" w:eastAsia="Calibri" w:hAnsi="Times New Roman" w:cs="Times New Roman"/>
          <w:kern w:val="0"/>
          <w:sz w:val="24"/>
          <w:szCs w:val="24"/>
          <w14:ligatures w14:val="none"/>
        </w:rPr>
      </w:pPr>
    </w:p>
    <w:bookmarkEnd w:id="2"/>
    <w:p w:rsidR="004028CC" w:rsidRPr="00CA55A7" w:rsidP="008264D5" w14:paraId="04FB9338" w14:textId="0E58C02B">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The Office of the Ohio Consumers</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 Counsel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OCC</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files this application for rehearing</w:t>
      </w:r>
      <w:r>
        <w:rPr>
          <w:rStyle w:val="FootnoteReference"/>
          <w:rFonts w:ascii="Times New Roman" w:eastAsia="Calibri" w:hAnsi="Times New Roman" w:cs="Times New Roman"/>
          <w:kern w:val="0"/>
          <w:sz w:val="24"/>
          <w:szCs w:val="24"/>
          <w14:ligatures w14:val="none"/>
        </w:rPr>
        <w:footnoteReference w:id="2"/>
      </w:r>
      <w:r w:rsidRPr="00CA55A7">
        <w:rPr>
          <w:rFonts w:ascii="Times New Roman" w:eastAsia="Calibri" w:hAnsi="Times New Roman" w:cs="Times New Roman"/>
          <w:kern w:val="0"/>
          <w:sz w:val="24"/>
          <w:szCs w:val="24"/>
          <w14:ligatures w14:val="none"/>
        </w:rPr>
        <w:t xml:space="preserve"> to protect the 1.2 million residential consumers of the Ohio Power Company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AEP</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from</w:t>
      </w:r>
      <w:r w:rsidR="00CA55A7">
        <w:rPr>
          <w:rFonts w:ascii="Times New Roman" w:eastAsia="Calibri" w:hAnsi="Times New Roman" w:cs="Times New Roman"/>
          <w:kern w:val="0"/>
          <w:sz w:val="24"/>
          <w:szCs w:val="24"/>
          <w14:ligatures w14:val="none"/>
        </w:rPr>
        <w:t xml:space="preserve"> </w:t>
      </w:r>
      <w:r w:rsidRPr="00CA55A7" w:rsidR="00A77D2F">
        <w:rPr>
          <w:rFonts w:ascii="Times New Roman" w:eastAsia="Calibri" w:hAnsi="Times New Roman" w:cs="Times New Roman"/>
          <w:kern w:val="0"/>
          <w:sz w:val="24"/>
          <w:szCs w:val="24"/>
          <w14:ligatures w14:val="none"/>
        </w:rPr>
        <w:t xml:space="preserve">being charged </w:t>
      </w:r>
      <w:r w:rsidRPr="00CA55A7" w:rsidR="00FD296D">
        <w:rPr>
          <w:rFonts w:ascii="Times New Roman" w:eastAsia="Calibri" w:hAnsi="Times New Roman" w:cs="Times New Roman"/>
          <w:kern w:val="0"/>
          <w:sz w:val="24"/>
          <w:szCs w:val="24"/>
          <w14:ligatures w14:val="none"/>
        </w:rPr>
        <w:t xml:space="preserve">more than $1 billion </w:t>
      </w:r>
      <w:r w:rsidRPr="00CA55A7">
        <w:rPr>
          <w:rFonts w:ascii="Times New Roman" w:eastAsia="Calibri" w:hAnsi="Times New Roman" w:cs="Times New Roman"/>
          <w:kern w:val="0"/>
          <w:sz w:val="24"/>
          <w:szCs w:val="24"/>
          <w14:ligatures w14:val="none"/>
        </w:rPr>
        <w:t xml:space="preserve">in </w:t>
      </w:r>
      <w:r w:rsidRPr="00CA55A7" w:rsidR="00A77D2F">
        <w:rPr>
          <w:rFonts w:ascii="Times New Roman" w:eastAsia="Calibri" w:hAnsi="Times New Roman" w:cs="Times New Roman"/>
          <w:kern w:val="0"/>
          <w:sz w:val="24"/>
          <w:szCs w:val="24"/>
          <w14:ligatures w14:val="none"/>
        </w:rPr>
        <w:t>increase</w:t>
      </w:r>
      <w:r w:rsidRPr="00CA55A7" w:rsidR="000F1DCF">
        <w:rPr>
          <w:rFonts w:ascii="Times New Roman" w:eastAsia="Calibri" w:hAnsi="Times New Roman" w:cs="Times New Roman"/>
          <w:kern w:val="0"/>
          <w:sz w:val="24"/>
          <w:szCs w:val="24"/>
          <w14:ligatures w14:val="none"/>
        </w:rPr>
        <w:t>d</w:t>
      </w:r>
      <w:r w:rsidRPr="00CA55A7" w:rsidR="00A77D2F">
        <w:rPr>
          <w:rFonts w:ascii="Times New Roman" w:eastAsia="Calibri" w:hAnsi="Times New Roman" w:cs="Times New Roman"/>
          <w:kern w:val="0"/>
          <w:sz w:val="24"/>
          <w:szCs w:val="24"/>
          <w14:ligatures w14:val="none"/>
        </w:rPr>
        <w:t xml:space="preserve"> rates</w:t>
      </w:r>
      <w:r w:rsidR="00CA55A7">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 xml:space="preserve">under </w:t>
      </w:r>
      <w:r w:rsidRPr="00CA55A7" w:rsidR="00A77D2F">
        <w:rPr>
          <w:rFonts w:ascii="Times New Roman" w:eastAsia="Calibri" w:hAnsi="Times New Roman" w:cs="Times New Roman"/>
          <w:kern w:val="0"/>
          <w:sz w:val="24"/>
          <w:szCs w:val="24"/>
          <w14:ligatures w14:val="none"/>
        </w:rPr>
        <w:t>its</w:t>
      </w:r>
      <w:r w:rsidR="00CA55A7">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unlawful and unreasonable Electric Security Plan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ESP</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w:t>
      </w:r>
      <w:r w:rsidRPr="00CA55A7" w:rsidR="00E20ADA">
        <w:rPr>
          <w:rFonts w:ascii="Times New Roman" w:eastAsia="Calibri" w:hAnsi="Times New Roman" w:cs="Times New Roman"/>
          <w:kern w:val="0"/>
          <w:sz w:val="24"/>
          <w:szCs w:val="24"/>
          <w14:ligatures w14:val="none"/>
        </w:rPr>
        <w:t xml:space="preserve"> </w:t>
      </w:r>
      <w:r w:rsidRPr="00CA55A7" w:rsidR="00A77D2F">
        <w:rPr>
          <w:rFonts w:ascii="Times New Roman" w:eastAsia="Calibri" w:hAnsi="Times New Roman" w:cs="Times New Roman"/>
          <w:kern w:val="0"/>
          <w:sz w:val="24"/>
          <w:szCs w:val="24"/>
          <w14:ligatures w14:val="none"/>
        </w:rPr>
        <w:t xml:space="preserve">OCC was </w:t>
      </w:r>
      <w:r w:rsidRPr="00CA55A7" w:rsidR="000F1DCF">
        <w:rPr>
          <w:rFonts w:ascii="Times New Roman" w:eastAsia="Calibri" w:hAnsi="Times New Roman" w:cs="Times New Roman"/>
          <w:kern w:val="0"/>
          <w:sz w:val="24"/>
          <w:szCs w:val="24"/>
          <w14:ligatures w14:val="none"/>
        </w:rPr>
        <w:t xml:space="preserve">one of </w:t>
      </w:r>
      <w:r w:rsidRPr="00CA55A7" w:rsidR="00A77D2F">
        <w:rPr>
          <w:rFonts w:ascii="Times New Roman" w:eastAsia="Calibri" w:hAnsi="Times New Roman" w:cs="Times New Roman"/>
          <w:kern w:val="0"/>
          <w:sz w:val="24"/>
          <w:szCs w:val="24"/>
          <w14:ligatures w14:val="none"/>
        </w:rPr>
        <w:t xml:space="preserve">the </w:t>
      </w:r>
      <w:r w:rsidRPr="00CA55A7" w:rsidR="000F1DCF">
        <w:rPr>
          <w:rFonts w:ascii="Times New Roman" w:eastAsia="Calibri" w:hAnsi="Times New Roman" w:cs="Times New Roman"/>
          <w:kern w:val="0"/>
          <w:sz w:val="24"/>
          <w:szCs w:val="24"/>
          <w14:ligatures w14:val="none"/>
        </w:rPr>
        <w:t xml:space="preserve">few </w:t>
      </w:r>
      <w:r w:rsidRPr="00CA55A7" w:rsidR="00BC20CD">
        <w:rPr>
          <w:rFonts w:ascii="Times New Roman" w:eastAsia="Calibri" w:hAnsi="Times New Roman" w:cs="Times New Roman"/>
          <w:kern w:val="0"/>
          <w:sz w:val="24"/>
          <w:szCs w:val="24"/>
          <w14:ligatures w14:val="none"/>
        </w:rPr>
        <w:t>holdouts</w:t>
      </w:r>
      <w:r w:rsidRPr="00CA55A7" w:rsidR="00A77D2F">
        <w:rPr>
          <w:rFonts w:ascii="Times New Roman" w:eastAsia="Calibri" w:hAnsi="Times New Roman" w:cs="Times New Roman"/>
          <w:kern w:val="0"/>
          <w:sz w:val="24"/>
          <w:szCs w:val="24"/>
          <w14:ligatures w14:val="none"/>
        </w:rPr>
        <w:t xml:space="preserve"> in that case as parties lined up to support the utility</w:t>
      </w:r>
      <w:r w:rsidR="00CA55A7">
        <w:rPr>
          <w:rFonts w:ascii="Times New Roman" w:eastAsia="Calibri" w:hAnsi="Times New Roman" w:cs="Times New Roman"/>
          <w:kern w:val="0"/>
          <w:sz w:val="24"/>
          <w:szCs w:val="24"/>
          <w14:ligatures w14:val="none"/>
        </w:rPr>
        <w:t>’</w:t>
      </w:r>
      <w:r w:rsidRPr="00CA55A7" w:rsidR="00A77D2F">
        <w:rPr>
          <w:rFonts w:ascii="Times New Roman" w:eastAsia="Calibri" w:hAnsi="Times New Roman" w:cs="Times New Roman"/>
          <w:kern w:val="0"/>
          <w:sz w:val="24"/>
          <w:szCs w:val="24"/>
          <w14:ligatures w14:val="none"/>
        </w:rPr>
        <w:t xml:space="preserve">s plan in exchange for their pet projects. </w:t>
      </w:r>
    </w:p>
    <w:p w:rsidR="00B165B5" w:rsidRPr="00CA55A7" w:rsidP="008264D5" w14:paraId="004C11A4" w14:textId="6D325348">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 xml:space="preserve"> </w:t>
      </w:r>
      <w:r w:rsidRPr="00CA55A7" w:rsidR="008346E8">
        <w:rPr>
          <w:rFonts w:ascii="Times New Roman" w:eastAsia="Calibri" w:hAnsi="Times New Roman" w:cs="Times New Roman"/>
          <w:kern w:val="0"/>
          <w:sz w:val="24"/>
          <w:szCs w:val="24"/>
          <w14:ligatures w14:val="none"/>
        </w:rPr>
        <w:t xml:space="preserve">The </w:t>
      </w:r>
      <w:r w:rsidRPr="00CA55A7">
        <w:rPr>
          <w:rFonts w:ascii="Times New Roman" w:eastAsia="Calibri" w:hAnsi="Times New Roman" w:cs="Times New Roman"/>
          <w:kern w:val="0"/>
          <w:sz w:val="24"/>
          <w:szCs w:val="24"/>
          <w14:ligatures w14:val="none"/>
        </w:rPr>
        <w:t>PUCO approved the nearly unanimous settlement with its</w:t>
      </w:r>
      <w:r w:rsidR="00CA55A7">
        <w:rPr>
          <w:rFonts w:ascii="Times New Roman" w:eastAsia="Calibri" w:hAnsi="Times New Roman" w:cs="Times New Roman"/>
          <w:kern w:val="0"/>
          <w:sz w:val="24"/>
          <w:szCs w:val="24"/>
          <w14:ligatures w14:val="none"/>
        </w:rPr>
        <w:t xml:space="preserve"> </w:t>
      </w:r>
      <w:r w:rsidRPr="00CA55A7" w:rsidR="008346E8">
        <w:rPr>
          <w:rFonts w:ascii="Times New Roman" w:eastAsia="Calibri" w:hAnsi="Times New Roman" w:cs="Times New Roman"/>
          <w:kern w:val="0"/>
          <w:sz w:val="24"/>
          <w:szCs w:val="24"/>
          <w14:ligatures w14:val="none"/>
        </w:rPr>
        <w:t xml:space="preserve">$1 billion </w:t>
      </w:r>
      <w:r w:rsidRPr="00CA55A7">
        <w:rPr>
          <w:rFonts w:ascii="Times New Roman" w:eastAsia="Calibri" w:hAnsi="Times New Roman" w:cs="Times New Roman"/>
          <w:kern w:val="0"/>
          <w:sz w:val="24"/>
          <w:szCs w:val="24"/>
          <w14:ligatures w14:val="none"/>
        </w:rPr>
        <w:t xml:space="preserve">of charges to consumers </w:t>
      </w:r>
      <w:r w:rsidRPr="00CA55A7" w:rsidR="008346E8">
        <w:rPr>
          <w:rFonts w:ascii="Times New Roman" w:eastAsia="Calibri" w:hAnsi="Times New Roman" w:cs="Times New Roman"/>
          <w:kern w:val="0"/>
          <w:sz w:val="24"/>
          <w:szCs w:val="24"/>
          <w14:ligatures w14:val="none"/>
        </w:rPr>
        <w:t>over the next four years</w:t>
      </w:r>
      <w:r w:rsidRPr="00CA55A7" w:rsidR="001E1C19">
        <w:rPr>
          <w:rFonts w:ascii="Times New Roman" w:eastAsia="Calibri" w:hAnsi="Times New Roman" w:cs="Times New Roman"/>
          <w:kern w:val="0"/>
          <w:sz w:val="24"/>
          <w:szCs w:val="24"/>
          <w14:ligatures w14:val="none"/>
        </w:rPr>
        <w:t xml:space="preserve">. </w:t>
      </w:r>
      <w:r w:rsidRPr="00CA55A7" w:rsidR="009B6130">
        <w:rPr>
          <w:rFonts w:ascii="Times New Roman" w:eastAsia="Calibri" w:hAnsi="Times New Roman" w:cs="Times New Roman"/>
          <w:kern w:val="0"/>
          <w:sz w:val="24"/>
          <w:szCs w:val="24"/>
          <w14:ligatures w14:val="none"/>
        </w:rPr>
        <w:t xml:space="preserve">At the same time the PUCO </w:t>
      </w:r>
      <w:r w:rsidRPr="00CA55A7" w:rsidR="00B678F7">
        <w:rPr>
          <w:rFonts w:ascii="Times New Roman" w:eastAsia="Calibri" w:hAnsi="Times New Roman" w:cs="Times New Roman"/>
          <w:kern w:val="0"/>
          <w:sz w:val="24"/>
          <w:szCs w:val="24"/>
          <w14:ligatures w14:val="none"/>
        </w:rPr>
        <w:t xml:space="preserve">brushed aside the very real and compelling issue before it: </w:t>
      </w:r>
      <w:r w:rsidRPr="00CA55A7" w:rsidR="004028CC">
        <w:rPr>
          <w:rFonts w:ascii="Times New Roman" w:eastAsia="Calibri" w:hAnsi="Times New Roman" w:cs="Times New Roman"/>
          <w:kern w:val="0"/>
          <w:sz w:val="24"/>
          <w:szCs w:val="24"/>
          <w14:ligatures w14:val="none"/>
        </w:rPr>
        <w:t xml:space="preserve">the alarming rate at which AEP </w:t>
      </w:r>
      <w:r w:rsidRPr="00CA55A7" w:rsidR="00B678F7">
        <w:rPr>
          <w:rFonts w:ascii="Times New Roman" w:eastAsia="Calibri" w:hAnsi="Times New Roman" w:cs="Times New Roman"/>
          <w:kern w:val="0"/>
          <w:sz w:val="24"/>
          <w:szCs w:val="24"/>
          <w14:ligatures w14:val="none"/>
        </w:rPr>
        <w:t xml:space="preserve">is </w:t>
      </w:r>
      <w:r w:rsidRPr="00CA55A7" w:rsidR="004028CC">
        <w:rPr>
          <w:rFonts w:ascii="Times New Roman" w:eastAsia="Calibri" w:hAnsi="Times New Roman" w:cs="Times New Roman"/>
          <w:kern w:val="0"/>
          <w:sz w:val="24"/>
          <w:szCs w:val="24"/>
          <w14:ligatures w14:val="none"/>
        </w:rPr>
        <w:t>disconnecting its consumers.</w:t>
      </w:r>
      <w:r w:rsidR="00CA55A7">
        <w:rPr>
          <w:rFonts w:ascii="Times New Roman" w:eastAsia="Calibri" w:hAnsi="Times New Roman" w:cs="Times New Roman"/>
          <w:kern w:val="0"/>
          <w:sz w:val="24"/>
          <w:szCs w:val="24"/>
          <w14:ligatures w14:val="none"/>
        </w:rPr>
        <w:t xml:space="preserve"> </w:t>
      </w:r>
      <w:r w:rsidRPr="00CA55A7" w:rsidR="004028CC">
        <w:rPr>
          <w:rFonts w:ascii="Times New Roman" w:eastAsia="Calibri" w:hAnsi="Times New Roman" w:cs="Times New Roman"/>
          <w:kern w:val="0"/>
          <w:sz w:val="24"/>
          <w:szCs w:val="24"/>
          <w14:ligatures w14:val="none"/>
        </w:rPr>
        <w:t>With this latest increase we fear that AEP</w:t>
      </w:r>
      <w:r w:rsidR="00CA55A7">
        <w:rPr>
          <w:rFonts w:ascii="Times New Roman" w:eastAsia="Calibri" w:hAnsi="Times New Roman" w:cs="Times New Roman"/>
          <w:kern w:val="0"/>
          <w:sz w:val="24"/>
          <w:szCs w:val="24"/>
          <w14:ligatures w14:val="none"/>
        </w:rPr>
        <w:t>’</w:t>
      </w:r>
      <w:r w:rsidRPr="00CA55A7" w:rsidR="004028CC">
        <w:rPr>
          <w:rFonts w:ascii="Times New Roman" w:eastAsia="Calibri" w:hAnsi="Times New Roman" w:cs="Times New Roman"/>
          <w:kern w:val="0"/>
          <w:sz w:val="24"/>
          <w:szCs w:val="24"/>
          <w14:ligatures w14:val="none"/>
        </w:rPr>
        <w:t>s already outrageous number of disconnections could skyrocket, especially for AEP</w:t>
      </w:r>
      <w:r w:rsidR="00CA55A7">
        <w:rPr>
          <w:rFonts w:ascii="Times New Roman" w:eastAsia="Calibri" w:hAnsi="Times New Roman" w:cs="Times New Roman"/>
          <w:kern w:val="0"/>
          <w:sz w:val="24"/>
          <w:szCs w:val="24"/>
          <w14:ligatures w14:val="none"/>
        </w:rPr>
        <w:t>’</w:t>
      </w:r>
      <w:r w:rsidRPr="00CA55A7" w:rsidR="004028CC">
        <w:rPr>
          <w:rFonts w:ascii="Times New Roman" w:eastAsia="Calibri" w:hAnsi="Times New Roman" w:cs="Times New Roman"/>
          <w:kern w:val="0"/>
          <w:sz w:val="24"/>
          <w:szCs w:val="24"/>
          <w14:ligatures w14:val="none"/>
        </w:rPr>
        <w:t>s at-risk consumers.</w:t>
      </w:r>
      <w:r w:rsidR="00CA55A7">
        <w:rPr>
          <w:rFonts w:ascii="Times New Roman" w:eastAsia="Calibri" w:hAnsi="Times New Roman" w:cs="Times New Roman"/>
          <w:kern w:val="0"/>
          <w:sz w:val="24"/>
          <w:szCs w:val="24"/>
          <w14:ligatures w14:val="none"/>
        </w:rPr>
        <w:t xml:space="preserve"> </w:t>
      </w:r>
    </w:p>
    <w:p w:rsidR="00B77B40" w:rsidRPr="00CA55A7" w:rsidP="00B678F7" w14:paraId="149AF652" w14:textId="6FA48CFD">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order adopting the settleme</w:t>
      </w:r>
      <w:r w:rsidRPr="00CA55A7" w:rsidR="00B678F7">
        <w:rPr>
          <w:rFonts w:ascii="Times New Roman" w:eastAsia="Calibri" w:hAnsi="Times New Roman" w:cs="Times New Roman"/>
          <w:kern w:val="0"/>
          <w:sz w:val="24"/>
          <w:szCs w:val="24"/>
          <w14:ligatures w14:val="none"/>
        </w:rPr>
        <w:t>nt</w:t>
      </w:r>
      <w:r w:rsidRPr="00CA55A7">
        <w:rPr>
          <w:rFonts w:ascii="Times New Roman" w:eastAsia="Calibri" w:hAnsi="Times New Roman" w:cs="Times New Roman"/>
          <w:kern w:val="0"/>
          <w:sz w:val="24"/>
          <w:szCs w:val="24"/>
          <w14:ligatures w14:val="none"/>
        </w:rPr>
        <w:t xml:space="preserve"> is premised on the notion that AEP </w:t>
      </w:r>
      <w:r w:rsidRPr="00CA55A7" w:rsidR="00B678F7">
        <w:rPr>
          <w:rFonts w:ascii="Times New Roman" w:eastAsia="Calibri" w:hAnsi="Times New Roman" w:cs="Times New Roman"/>
          <w:kern w:val="0"/>
          <w:sz w:val="24"/>
          <w:szCs w:val="24"/>
          <w14:ligatures w14:val="none"/>
        </w:rPr>
        <w:t xml:space="preserve">needs an enormous cash infusion from its current consumers to continue to provide </w:t>
      </w:r>
      <w:r w:rsidRPr="00CA55A7">
        <w:rPr>
          <w:rFonts w:ascii="Times New Roman" w:eastAsia="Calibri" w:hAnsi="Times New Roman" w:cs="Times New Roman"/>
          <w:kern w:val="0"/>
          <w:sz w:val="24"/>
          <w:szCs w:val="24"/>
          <w14:ligatures w14:val="none"/>
        </w:rPr>
        <w:t>reliable service.</w:t>
      </w:r>
      <w:r w:rsidR="00CA55A7">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But n</w:t>
      </w:r>
      <w:r w:rsidRPr="00CA55A7" w:rsidR="001E1C19">
        <w:rPr>
          <w:rFonts w:ascii="Times New Roman" w:eastAsia="Calibri" w:hAnsi="Times New Roman" w:cs="Times New Roman"/>
          <w:kern w:val="0"/>
          <w:sz w:val="24"/>
          <w:szCs w:val="24"/>
          <w14:ligatures w14:val="none"/>
        </w:rPr>
        <w:t>either AEP</w:t>
      </w:r>
      <w:r w:rsidR="00CA55A7">
        <w:rPr>
          <w:rFonts w:ascii="Times New Roman" w:eastAsia="Calibri" w:hAnsi="Times New Roman" w:cs="Times New Roman"/>
          <w:kern w:val="0"/>
          <w:sz w:val="24"/>
          <w:szCs w:val="24"/>
          <w14:ligatures w14:val="none"/>
        </w:rPr>
        <w:t>’</w:t>
      </w:r>
      <w:r w:rsidRPr="00CA55A7" w:rsidR="001E1C19">
        <w:rPr>
          <w:rFonts w:ascii="Times New Roman" w:eastAsia="Calibri" w:hAnsi="Times New Roman" w:cs="Times New Roman"/>
          <w:kern w:val="0"/>
          <w:sz w:val="24"/>
          <w:szCs w:val="24"/>
          <w14:ligatures w14:val="none"/>
        </w:rPr>
        <w:t>s filings, nor the PUCO</w:t>
      </w:r>
      <w:r w:rsidR="00CA55A7">
        <w:rPr>
          <w:rFonts w:ascii="Times New Roman" w:eastAsia="Calibri" w:hAnsi="Times New Roman" w:cs="Times New Roman"/>
          <w:kern w:val="0"/>
          <w:sz w:val="24"/>
          <w:szCs w:val="24"/>
          <w14:ligatures w14:val="none"/>
        </w:rPr>
        <w:t>’</w:t>
      </w:r>
      <w:r w:rsidRPr="00CA55A7" w:rsidR="001E1C19">
        <w:rPr>
          <w:rFonts w:ascii="Times New Roman" w:eastAsia="Calibri" w:hAnsi="Times New Roman" w:cs="Times New Roman"/>
          <w:kern w:val="0"/>
          <w:sz w:val="24"/>
          <w:szCs w:val="24"/>
          <w14:ligatures w14:val="none"/>
        </w:rPr>
        <w:t>s Opinion and Order, set forth any factual basis to support th</w:t>
      </w:r>
      <w:r w:rsidRPr="00CA55A7">
        <w:rPr>
          <w:rFonts w:ascii="Times New Roman" w:eastAsia="Calibri" w:hAnsi="Times New Roman" w:cs="Times New Roman"/>
          <w:kern w:val="0"/>
          <w:sz w:val="24"/>
          <w:szCs w:val="24"/>
          <w14:ligatures w14:val="none"/>
        </w:rPr>
        <w:t>at notion.</w:t>
      </w:r>
      <w:r w:rsidR="00CA55A7">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In fact, the evidence in the record shows th</w:t>
      </w:r>
      <w:r w:rsidRPr="00CA55A7" w:rsidR="00292CAA">
        <w:rPr>
          <w:rFonts w:ascii="Times New Roman" w:eastAsia="Calibri" w:hAnsi="Times New Roman" w:cs="Times New Roman"/>
          <w:kern w:val="0"/>
          <w:sz w:val="24"/>
          <w:szCs w:val="24"/>
          <w14:ligatures w14:val="none"/>
        </w:rPr>
        <w:t>e opposite—</w:t>
      </w:r>
      <w:r w:rsidRPr="00CA55A7" w:rsidR="00292CAA">
        <w:rPr>
          <w:rFonts w:ascii="Times New Roman" w:hAnsi="Times New Roman" w:cs="Times New Roman"/>
          <w:kern w:val="0"/>
          <w:sz w:val="24"/>
          <w:szCs w:val="24"/>
        </w:rPr>
        <w:t>with</w:t>
      </w:r>
      <w:r w:rsidR="00CA55A7">
        <w:rPr>
          <w:rFonts w:ascii="Times New Roman" w:hAnsi="Times New Roman" w:cs="Times New Roman"/>
          <w:kern w:val="0"/>
          <w:sz w:val="24"/>
          <w:szCs w:val="24"/>
        </w:rPr>
        <w:t xml:space="preserve"> </w:t>
      </w:r>
      <w:r w:rsidRPr="00CA55A7" w:rsidR="00292CAA">
        <w:rPr>
          <w:rFonts w:ascii="Times New Roman" w:hAnsi="Times New Roman" w:cs="Times New Roman"/>
          <w:kern w:val="0"/>
          <w:sz w:val="24"/>
          <w:szCs w:val="24"/>
        </w:rPr>
        <w:t>much lower spending during the past few years,</w:t>
      </w:r>
      <w:r w:rsidR="00CA55A7">
        <w:rPr>
          <w:rFonts w:ascii="Times New Roman" w:hAnsi="Times New Roman" w:cs="Times New Roman"/>
          <w:kern w:val="0"/>
          <w:sz w:val="24"/>
          <w:szCs w:val="24"/>
        </w:rPr>
        <w:t xml:space="preserve"> </w:t>
      </w:r>
      <w:r w:rsidRPr="00CA55A7" w:rsidR="00292CAA">
        <w:rPr>
          <w:rFonts w:ascii="Times New Roman" w:hAnsi="Times New Roman" w:cs="Times New Roman"/>
          <w:kern w:val="0"/>
          <w:sz w:val="24"/>
          <w:szCs w:val="24"/>
        </w:rPr>
        <w:t>AEP has met or exceeded the PUCO</w:t>
      </w:r>
      <w:r w:rsidR="00CA55A7">
        <w:rPr>
          <w:rFonts w:ascii="Times New Roman" w:hAnsi="Times New Roman" w:cs="Times New Roman"/>
          <w:kern w:val="0"/>
          <w:sz w:val="24"/>
          <w:szCs w:val="24"/>
        </w:rPr>
        <w:t>’</w:t>
      </w:r>
      <w:r w:rsidRPr="00CA55A7" w:rsidR="00292CAA">
        <w:rPr>
          <w:rFonts w:ascii="Times New Roman" w:hAnsi="Times New Roman" w:cs="Times New Roman"/>
          <w:kern w:val="0"/>
          <w:sz w:val="24"/>
          <w:szCs w:val="24"/>
        </w:rPr>
        <w:t>s reliability standards</w:t>
      </w:r>
      <w:r w:rsidRPr="00CA55A7" w:rsidR="00225769">
        <w:rPr>
          <w:rFonts w:ascii="Times New Roman" w:hAnsi="Times New Roman" w:cs="Times New Roman"/>
          <w:kern w:val="0"/>
          <w:sz w:val="24"/>
          <w:szCs w:val="24"/>
        </w:rPr>
        <w:t>.</w:t>
      </w:r>
      <w:r w:rsidR="00CA55A7">
        <w:rPr>
          <w:rFonts w:ascii="Times New Roman" w:hAnsi="Times New Roman" w:cs="Times New Roman"/>
          <w:kern w:val="0"/>
          <w:sz w:val="24"/>
          <w:szCs w:val="24"/>
        </w:rPr>
        <w:t xml:space="preserve"> </w:t>
      </w:r>
      <w:r w:rsidRPr="00CA55A7" w:rsidR="005830F0">
        <w:rPr>
          <w:rFonts w:ascii="Times New Roman" w:hAnsi="Times New Roman" w:cs="Times New Roman"/>
          <w:kern w:val="0"/>
          <w:sz w:val="24"/>
          <w:szCs w:val="24"/>
        </w:rPr>
        <w:t>So,</w:t>
      </w:r>
      <w:r w:rsidR="00CA55A7">
        <w:rPr>
          <w:rFonts w:ascii="Times New Roman" w:hAnsi="Times New Roman" w:cs="Times New Roman"/>
          <w:kern w:val="0"/>
          <w:sz w:val="24"/>
          <w:szCs w:val="24"/>
        </w:rPr>
        <w:t xml:space="preserve"> </w:t>
      </w:r>
      <w:r w:rsidRPr="00CA55A7" w:rsidR="001E1C19">
        <w:rPr>
          <w:rFonts w:ascii="Times New Roman" w:eastAsia="Calibri" w:hAnsi="Times New Roman" w:cs="Times New Roman"/>
          <w:kern w:val="0"/>
          <w:sz w:val="24"/>
          <w:szCs w:val="24"/>
          <w14:ligatures w14:val="none"/>
        </w:rPr>
        <w:t xml:space="preserve">charging consumers an additional $1 billion </w:t>
      </w:r>
      <w:r w:rsidRPr="00CA55A7" w:rsidR="00292CAA">
        <w:rPr>
          <w:rFonts w:ascii="Times New Roman" w:eastAsia="Calibri" w:hAnsi="Times New Roman" w:cs="Times New Roman"/>
          <w:kern w:val="0"/>
          <w:sz w:val="24"/>
          <w:szCs w:val="24"/>
          <w14:ligatures w14:val="none"/>
        </w:rPr>
        <w:t xml:space="preserve">over the next four years </w:t>
      </w:r>
      <w:r w:rsidRPr="00CA55A7" w:rsidR="001E1C19">
        <w:rPr>
          <w:rFonts w:ascii="Times New Roman" w:eastAsia="Calibri" w:hAnsi="Times New Roman" w:cs="Times New Roman"/>
          <w:kern w:val="0"/>
          <w:sz w:val="24"/>
          <w:szCs w:val="24"/>
          <w14:ligatures w14:val="none"/>
        </w:rPr>
        <w:t>to maintain or improve reliability</w:t>
      </w:r>
      <w:r w:rsidRPr="00CA55A7" w:rsidR="00B678F7">
        <w:rPr>
          <w:rFonts w:ascii="Times New Roman" w:eastAsia="Calibri" w:hAnsi="Times New Roman" w:cs="Times New Roman"/>
          <w:kern w:val="0"/>
          <w:sz w:val="24"/>
          <w:szCs w:val="24"/>
          <w14:ligatures w14:val="none"/>
        </w:rPr>
        <w:t xml:space="preserve"> </w:t>
      </w:r>
      <w:r w:rsidRPr="00CA55A7" w:rsidR="00292CAA">
        <w:rPr>
          <w:rFonts w:ascii="Times New Roman" w:eastAsia="Calibri" w:hAnsi="Times New Roman" w:cs="Times New Roman"/>
          <w:kern w:val="0"/>
          <w:sz w:val="24"/>
          <w:szCs w:val="24"/>
          <w14:ligatures w14:val="none"/>
        </w:rPr>
        <w:t>is not only excessive, but it lacks evidentiary support,</w:t>
      </w:r>
      <w:r w:rsidR="00CA55A7">
        <w:rPr>
          <w:rFonts w:ascii="Times New Roman" w:eastAsia="Calibri" w:hAnsi="Times New Roman" w:cs="Times New Roman"/>
          <w:kern w:val="0"/>
          <w:sz w:val="24"/>
          <w:szCs w:val="24"/>
          <w14:ligatures w14:val="none"/>
        </w:rPr>
        <w:t xml:space="preserve"> </w:t>
      </w:r>
      <w:r w:rsidRPr="00CA55A7" w:rsidR="001E1C19">
        <w:rPr>
          <w:rFonts w:ascii="Times New Roman" w:eastAsia="Calibri" w:hAnsi="Times New Roman" w:cs="Times New Roman"/>
          <w:kern w:val="0"/>
          <w:sz w:val="24"/>
          <w:szCs w:val="24"/>
          <w14:ligatures w14:val="none"/>
        </w:rPr>
        <w:t>violat</w:t>
      </w:r>
      <w:r w:rsidRPr="00CA55A7" w:rsidR="00292CAA">
        <w:rPr>
          <w:rFonts w:ascii="Times New Roman" w:eastAsia="Calibri" w:hAnsi="Times New Roman" w:cs="Times New Roman"/>
          <w:kern w:val="0"/>
          <w:sz w:val="24"/>
          <w:szCs w:val="24"/>
          <w14:ligatures w14:val="none"/>
        </w:rPr>
        <w:t>ing</w:t>
      </w:r>
      <w:r w:rsidRPr="00CA55A7" w:rsidR="001E1C19">
        <w:rPr>
          <w:rFonts w:ascii="Times New Roman" w:eastAsia="Calibri" w:hAnsi="Times New Roman" w:cs="Times New Roman"/>
          <w:kern w:val="0"/>
          <w:sz w:val="24"/>
          <w:szCs w:val="24"/>
          <w14:ligatures w14:val="none"/>
        </w:rPr>
        <w:t xml:space="preserve"> R.C. 4903.09.</w:t>
      </w:r>
      <w:r w:rsidRPr="00CA55A7" w:rsidR="00225769">
        <w:rPr>
          <w:rFonts w:ascii="Times New Roman" w:eastAsia="Calibri" w:hAnsi="Times New Roman" w:cs="Times New Roman"/>
          <w:kern w:val="0"/>
          <w:sz w:val="24"/>
          <w:szCs w:val="24"/>
          <w14:ligatures w14:val="none"/>
        </w:rPr>
        <w:t xml:space="preserve"> </w:t>
      </w:r>
    </w:p>
    <w:p w:rsidR="00292CAA" w:rsidRPr="00CA55A7" w:rsidP="00B678F7" w14:paraId="70DE52D2" w14:textId="5199F3F9">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 xml:space="preserve">It should not be lost on the PUCO </w:t>
      </w:r>
      <w:r w:rsidRPr="00CA55A7" w:rsidR="00B77B40">
        <w:rPr>
          <w:rFonts w:ascii="Times New Roman" w:eastAsia="Calibri" w:hAnsi="Times New Roman" w:cs="Times New Roman"/>
          <w:kern w:val="0"/>
          <w:sz w:val="24"/>
          <w:szCs w:val="24"/>
          <w14:ligatures w14:val="none"/>
        </w:rPr>
        <w:t xml:space="preserve">or the public </w:t>
      </w:r>
      <w:r w:rsidRPr="00CA55A7">
        <w:rPr>
          <w:rFonts w:ascii="Times New Roman" w:eastAsia="Calibri" w:hAnsi="Times New Roman" w:cs="Times New Roman"/>
          <w:kern w:val="0"/>
          <w:sz w:val="24"/>
          <w:szCs w:val="24"/>
          <w14:ligatures w14:val="none"/>
        </w:rPr>
        <w:t xml:space="preserve">that the </w:t>
      </w:r>
      <w:r w:rsidRPr="00CA55A7">
        <w:rPr>
          <w:rFonts w:ascii="Times New Roman" w:eastAsia="Calibri" w:hAnsi="Times New Roman" w:cs="Times New Roman"/>
          <w:i/>
          <w:iCs/>
          <w:kern w:val="0"/>
          <w:sz w:val="24"/>
          <w:szCs w:val="24"/>
          <w14:ligatures w14:val="none"/>
        </w:rPr>
        <w:t xml:space="preserve">real </w:t>
      </w:r>
      <w:r w:rsidRPr="00CA55A7">
        <w:rPr>
          <w:rFonts w:ascii="Times New Roman" w:eastAsia="Calibri" w:hAnsi="Times New Roman" w:cs="Times New Roman"/>
          <w:kern w:val="0"/>
          <w:sz w:val="24"/>
          <w:szCs w:val="24"/>
          <w14:ligatures w14:val="none"/>
        </w:rPr>
        <w:t>motivation for AEP</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s money-grab from consumers </w:t>
      </w:r>
      <w:r w:rsidRPr="00CA55A7" w:rsidR="0028014E">
        <w:rPr>
          <w:rFonts w:ascii="Times New Roman" w:eastAsia="Calibri" w:hAnsi="Times New Roman" w:cs="Times New Roman"/>
          <w:kern w:val="0"/>
          <w:sz w:val="24"/>
          <w:szCs w:val="24"/>
          <w14:ligatures w14:val="none"/>
        </w:rPr>
        <w:t>may be</w:t>
      </w:r>
      <w:r w:rsidRPr="00CA55A7">
        <w:rPr>
          <w:rFonts w:ascii="Times New Roman" w:eastAsia="Calibri" w:hAnsi="Times New Roman" w:cs="Times New Roman"/>
          <w:kern w:val="0"/>
          <w:sz w:val="24"/>
          <w:szCs w:val="24"/>
          <w14:ligatures w14:val="none"/>
        </w:rPr>
        <w:t xml:space="preserve"> about paving the way to serve large, commercial/industrial customers (such as data centers). Indeed, AEP witness Mayhan testified that the first purported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benefit</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 of the increased spending is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better position[ing] the Company to react to the ever-increasing new customer growth in the AEP Ohio service territory . . . .</w:t>
      </w:r>
      <w:r w:rsidR="00CA55A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3"/>
      </w:r>
      <w:r w:rsidRPr="00CA55A7" w:rsidR="00E20ADA">
        <w:rPr>
          <w:rFonts w:ascii="Times New Roman" w:eastAsia="Calibri" w:hAnsi="Times New Roman" w:cs="Times New Roman"/>
          <w:kern w:val="0"/>
          <w:sz w:val="24"/>
          <w:szCs w:val="24"/>
          <w14:ligatures w14:val="none"/>
        </w:rPr>
        <w:t xml:space="preserve"> </w:t>
      </w:r>
    </w:p>
    <w:p w:rsidR="00893774" w:rsidRPr="00CA55A7" w:rsidP="008264D5" w14:paraId="6E3094DC" w14:textId="36910884">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 xml:space="preserve">Adding to that PUCO error, is the fact that AEP failed to show that its plan is </w:t>
      </w:r>
      <w:r w:rsidR="000831D7">
        <w:rPr>
          <w:rFonts w:ascii="Times New Roman" w:eastAsia="Calibri" w:hAnsi="Times New Roman" w:cs="Times New Roman"/>
          <w:kern w:val="0"/>
          <w:sz w:val="24"/>
          <w:szCs w:val="24"/>
          <w14:ligatures w14:val="none"/>
        </w:rPr>
        <w:t xml:space="preserve">more </w:t>
      </w:r>
      <w:r w:rsidRPr="00CA55A7" w:rsidR="008346E8">
        <w:rPr>
          <w:rFonts w:ascii="Times New Roman" w:eastAsia="Calibri" w:hAnsi="Times New Roman" w:cs="Times New Roman"/>
          <w:kern w:val="0"/>
          <w:sz w:val="24"/>
          <w:szCs w:val="24"/>
          <w14:ligatures w14:val="none"/>
        </w:rPr>
        <w:t xml:space="preserve">favorable in the aggregate </w:t>
      </w:r>
      <w:r w:rsidRPr="00CA55A7" w:rsidR="001E1C19">
        <w:rPr>
          <w:rFonts w:ascii="Times New Roman" w:eastAsia="Calibri" w:hAnsi="Times New Roman" w:cs="Times New Roman"/>
          <w:kern w:val="0"/>
          <w:sz w:val="24"/>
          <w:szCs w:val="24"/>
          <w14:ligatures w14:val="none"/>
        </w:rPr>
        <w:t xml:space="preserve">than a market </w:t>
      </w:r>
      <w:r w:rsidR="00B522B2">
        <w:rPr>
          <w:rFonts w:ascii="Times New Roman" w:eastAsia="Calibri" w:hAnsi="Times New Roman" w:cs="Times New Roman"/>
          <w:kern w:val="0"/>
          <w:sz w:val="24"/>
          <w:szCs w:val="24"/>
          <w14:ligatures w14:val="none"/>
        </w:rPr>
        <w:t xml:space="preserve">rate </w:t>
      </w:r>
      <w:r w:rsidRPr="00CA55A7" w:rsidR="001E1C19">
        <w:rPr>
          <w:rFonts w:ascii="Times New Roman" w:eastAsia="Calibri" w:hAnsi="Times New Roman" w:cs="Times New Roman"/>
          <w:kern w:val="0"/>
          <w:sz w:val="24"/>
          <w:szCs w:val="24"/>
          <w14:ligatures w14:val="none"/>
        </w:rPr>
        <w:t>offer for</w:t>
      </w:r>
      <w:r w:rsidRPr="00CA55A7" w:rsidR="008346E8">
        <w:rPr>
          <w:rFonts w:ascii="Times New Roman" w:eastAsia="Calibri" w:hAnsi="Times New Roman" w:cs="Times New Roman"/>
          <w:kern w:val="0"/>
          <w:sz w:val="24"/>
          <w:szCs w:val="24"/>
          <w14:ligatures w14:val="none"/>
        </w:rPr>
        <w:t xml:space="preserve"> consumers. </w:t>
      </w:r>
      <w:r w:rsidRPr="00CA55A7" w:rsidR="001E1C19">
        <w:rPr>
          <w:rFonts w:ascii="Times New Roman" w:eastAsia="Calibri" w:hAnsi="Times New Roman" w:cs="Times New Roman"/>
          <w:kern w:val="0"/>
          <w:sz w:val="24"/>
          <w:szCs w:val="24"/>
          <w14:ligatures w14:val="none"/>
        </w:rPr>
        <w:t xml:space="preserve">Approving it violates R.C. 4928.143(C)(1). </w:t>
      </w:r>
      <w:r w:rsidRPr="00CA55A7" w:rsidR="00B678F7">
        <w:rPr>
          <w:rFonts w:ascii="Times New Roman" w:eastAsia="Calibri" w:hAnsi="Times New Roman" w:cs="Times New Roman"/>
          <w:kern w:val="0"/>
          <w:sz w:val="24"/>
          <w:szCs w:val="24"/>
          <w14:ligatures w14:val="none"/>
        </w:rPr>
        <w:t>And,</w:t>
      </w:r>
      <w:r w:rsidR="00CA55A7">
        <w:rPr>
          <w:rFonts w:ascii="Times New Roman" w:eastAsia="Calibri" w:hAnsi="Times New Roman" w:cs="Times New Roman"/>
          <w:kern w:val="0"/>
          <w:sz w:val="24"/>
          <w:szCs w:val="24"/>
          <w14:ligatures w14:val="none"/>
        </w:rPr>
        <w:t xml:space="preserve"> </w:t>
      </w:r>
      <w:r w:rsidRPr="00CA55A7" w:rsidR="00B678F7">
        <w:rPr>
          <w:rFonts w:ascii="Times New Roman" w:eastAsia="Calibri" w:hAnsi="Times New Roman" w:cs="Times New Roman"/>
          <w:kern w:val="0"/>
          <w:sz w:val="24"/>
          <w:szCs w:val="24"/>
          <w14:ligatures w14:val="none"/>
        </w:rPr>
        <w:t>AEP</w:t>
      </w:r>
      <w:r w:rsidR="00CA55A7">
        <w:rPr>
          <w:rFonts w:ascii="Times New Roman" w:eastAsia="Calibri" w:hAnsi="Times New Roman" w:cs="Times New Roman"/>
          <w:kern w:val="0"/>
          <w:sz w:val="24"/>
          <w:szCs w:val="24"/>
          <w14:ligatures w14:val="none"/>
        </w:rPr>
        <w:t>’</w:t>
      </w:r>
      <w:r w:rsidRPr="00CA55A7" w:rsidR="00B678F7">
        <w:rPr>
          <w:rFonts w:ascii="Times New Roman" w:eastAsia="Calibri" w:hAnsi="Times New Roman" w:cs="Times New Roman"/>
          <w:kern w:val="0"/>
          <w:sz w:val="24"/>
          <w:szCs w:val="24"/>
          <w14:ligatures w14:val="none"/>
        </w:rPr>
        <w:t>s</w:t>
      </w:r>
      <w:r w:rsidR="00CA55A7">
        <w:rPr>
          <w:rFonts w:ascii="Times New Roman" w:eastAsia="Calibri" w:hAnsi="Times New Roman" w:cs="Times New Roman"/>
          <w:kern w:val="0"/>
          <w:sz w:val="24"/>
          <w:szCs w:val="24"/>
          <w14:ligatures w14:val="none"/>
        </w:rPr>
        <w:t xml:space="preserve"> </w:t>
      </w:r>
      <w:r w:rsidRPr="00CA55A7" w:rsidR="008346E8">
        <w:rPr>
          <w:rFonts w:ascii="Times New Roman" w:eastAsia="Calibri" w:hAnsi="Times New Roman" w:cs="Times New Roman"/>
          <w:kern w:val="0"/>
          <w:sz w:val="24"/>
          <w:szCs w:val="24"/>
          <w14:ligatures w14:val="none"/>
        </w:rPr>
        <w:t xml:space="preserve">excessive </w:t>
      </w:r>
      <w:r w:rsidRPr="00CA55A7" w:rsidR="00B678F7">
        <w:rPr>
          <w:rFonts w:ascii="Times New Roman" w:eastAsia="Calibri" w:hAnsi="Times New Roman" w:cs="Times New Roman"/>
          <w:kern w:val="0"/>
          <w:sz w:val="24"/>
          <w:szCs w:val="24"/>
          <w14:ligatures w14:val="none"/>
        </w:rPr>
        <w:t xml:space="preserve">distribution </w:t>
      </w:r>
      <w:r w:rsidRPr="00CA55A7" w:rsidR="008346E8">
        <w:rPr>
          <w:rFonts w:ascii="Times New Roman" w:eastAsia="Calibri" w:hAnsi="Times New Roman" w:cs="Times New Roman"/>
          <w:kern w:val="0"/>
          <w:sz w:val="24"/>
          <w:szCs w:val="24"/>
          <w14:ligatures w14:val="none"/>
        </w:rPr>
        <w:t>charges</w:t>
      </w:r>
      <w:r w:rsidRPr="00CA55A7" w:rsidR="00B678F7">
        <w:rPr>
          <w:rFonts w:ascii="Times New Roman" w:eastAsia="Calibri" w:hAnsi="Times New Roman" w:cs="Times New Roman"/>
          <w:kern w:val="0"/>
          <w:sz w:val="24"/>
          <w:szCs w:val="24"/>
          <w14:ligatures w14:val="none"/>
        </w:rPr>
        <w:t>, all in the name of improving reliability,</w:t>
      </w:r>
      <w:r w:rsidRPr="00CA55A7" w:rsidR="008346E8">
        <w:rPr>
          <w:rFonts w:ascii="Times New Roman" w:eastAsia="Calibri" w:hAnsi="Times New Roman" w:cs="Times New Roman"/>
          <w:kern w:val="0"/>
          <w:sz w:val="24"/>
          <w:szCs w:val="24"/>
          <w14:ligatures w14:val="none"/>
        </w:rPr>
        <w:t xml:space="preserve"> </w:t>
      </w:r>
      <w:r w:rsidRPr="00CA55A7" w:rsidR="001E1C19">
        <w:rPr>
          <w:rFonts w:ascii="Times New Roman" w:eastAsia="Calibri" w:hAnsi="Times New Roman" w:cs="Times New Roman"/>
          <w:kern w:val="0"/>
          <w:sz w:val="24"/>
          <w:szCs w:val="24"/>
          <w14:ligatures w14:val="none"/>
        </w:rPr>
        <w:t>violate</w:t>
      </w:r>
      <w:r w:rsidRPr="00CA55A7" w:rsidR="008346E8">
        <w:rPr>
          <w:rFonts w:ascii="Times New Roman" w:eastAsia="Calibri" w:hAnsi="Times New Roman" w:cs="Times New Roman"/>
          <w:kern w:val="0"/>
          <w:sz w:val="24"/>
          <w:szCs w:val="24"/>
          <w14:ligatures w14:val="none"/>
        </w:rPr>
        <w:t xml:space="preserve"> R.C. 4928.02(A)</w:t>
      </w:r>
      <w:r w:rsidR="00CA55A7">
        <w:rPr>
          <w:rFonts w:ascii="Times New Roman" w:eastAsia="Calibri" w:hAnsi="Times New Roman" w:cs="Times New Roman"/>
          <w:kern w:val="0"/>
          <w:sz w:val="24"/>
          <w:szCs w:val="24"/>
          <w14:ligatures w14:val="none"/>
        </w:rPr>
        <w:t>’</w:t>
      </w:r>
      <w:r w:rsidRPr="00CA55A7" w:rsidR="008346E8">
        <w:rPr>
          <w:rFonts w:ascii="Times New Roman" w:eastAsia="Calibri" w:hAnsi="Times New Roman" w:cs="Times New Roman"/>
          <w:kern w:val="0"/>
          <w:sz w:val="24"/>
          <w:szCs w:val="24"/>
          <w14:ligatures w14:val="none"/>
        </w:rPr>
        <w:t>s requirement of reasonably priced electric service. The</w:t>
      </w:r>
      <w:r w:rsidRPr="00CA55A7" w:rsidR="003029E9">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w:t>
      </w:r>
      <w:r w:rsidRPr="00CA55A7" w:rsidR="008346E8">
        <w:rPr>
          <w:rFonts w:ascii="Times New Roman" w:eastAsia="Calibri" w:hAnsi="Times New Roman" w:cs="Times New Roman"/>
          <w:kern w:val="0"/>
          <w:sz w:val="24"/>
          <w:szCs w:val="24"/>
          <w14:ligatures w14:val="none"/>
        </w:rPr>
        <w:t xml:space="preserve"> April 3, 2024 Opinion and Order approving the Stipulation and </w:t>
      </w:r>
      <w:r w:rsidRPr="00CA55A7" w:rsidR="001013E7">
        <w:rPr>
          <w:rFonts w:ascii="Times New Roman" w:eastAsia="Calibri" w:hAnsi="Times New Roman" w:cs="Times New Roman"/>
          <w:kern w:val="0"/>
          <w:sz w:val="24"/>
          <w:szCs w:val="24"/>
          <w14:ligatures w14:val="none"/>
        </w:rPr>
        <w:t>R</w:t>
      </w:r>
      <w:r w:rsidRPr="00CA55A7" w:rsidR="008346E8">
        <w:rPr>
          <w:rFonts w:ascii="Times New Roman" w:eastAsia="Calibri" w:hAnsi="Times New Roman" w:cs="Times New Roman"/>
          <w:kern w:val="0"/>
          <w:sz w:val="24"/>
          <w:szCs w:val="24"/>
          <w14:ligatures w14:val="none"/>
        </w:rPr>
        <w:t>ecommendation (</w:t>
      </w:r>
      <w:r w:rsidR="00CA55A7">
        <w:rPr>
          <w:rFonts w:ascii="Times New Roman" w:eastAsia="Calibri" w:hAnsi="Times New Roman" w:cs="Times New Roman"/>
          <w:kern w:val="0"/>
          <w:sz w:val="24"/>
          <w:szCs w:val="24"/>
          <w14:ligatures w14:val="none"/>
        </w:rPr>
        <w:t>“</w:t>
      </w:r>
      <w:r w:rsidRPr="00CA55A7" w:rsidR="008346E8">
        <w:rPr>
          <w:rFonts w:ascii="Times New Roman" w:eastAsia="Calibri" w:hAnsi="Times New Roman" w:cs="Times New Roman"/>
          <w:kern w:val="0"/>
          <w:sz w:val="24"/>
          <w:szCs w:val="24"/>
          <w14:ligatures w14:val="none"/>
        </w:rPr>
        <w:t>Settlement</w:t>
      </w:r>
      <w:r w:rsidR="00CA55A7">
        <w:rPr>
          <w:rFonts w:ascii="Times New Roman" w:eastAsia="Calibri" w:hAnsi="Times New Roman" w:cs="Times New Roman"/>
          <w:kern w:val="0"/>
          <w:sz w:val="24"/>
          <w:szCs w:val="24"/>
          <w14:ligatures w14:val="none"/>
        </w:rPr>
        <w:t>”</w:t>
      </w:r>
      <w:r w:rsidRPr="00CA55A7" w:rsidR="008346E8">
        <w:rPr>
          <w:rFonts w:ascii="Times New Roman" w:eastAsia="Calibri" w:hAnsi="Times New Roman" w:cs="Times New Roman"/>
          <w:kern w:val="0"/>
          <w:sz w:val="24"/>
          <w:szCs w:val="24"/>
          <w14:ligatures w14:val="none"/>
        </w:rPr>
        <w:t>) is unlawful and unreasonable.</w:t>
      </w:r>
      <w:r w:rsidRPr="00CA55A7" w:rsidR="003029E9">
        <w:rPr>
          <w:rFonts w:ascii="Times New Roman" w:eastAsia="Calibri" w:hAnsi="Times New Roman" w:cs="Times New Roman"/>
          <w:kern w:val="0"/>
          <w:sz w:val="24"/>
          <w:szCs w:val="24"/>
          <w14:ligatures w14:val="none"/>
        </w:rPr>
        <w:t xml:space="preserve"> </w:t>
      </w:r>
    </w:p>
    <w:p w:rsidR="003029E9" w:rsidRPr="00CA55A7" w:rsidP="001E1C19" w14:paraId="693CBAA1" w14:textId="085F9198">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 xml:space="preserve"> </w:t>
      </w:r>
      <w:r w:rsidRPr="00CA55A7" w:rsidR="001E1C19">
        <w:rPr>
          <w:rFonts w:ascii="Times New Roman" w:eastAsia="Calibri" w:hAnsi="Times New Roman" w:cs="Times New Roman"/>
          <w:kern w:val="0"/>
          <w:sz w:val="24"/>
          <w:szCs w:val="24"/>
          <w14:ligatures w14:val="none"/>
        </w:rPr>
        <w:t>T</w:t>
      </w:r>
      <w:r w:rsidRPr="00CA55A7">
        <w:rPr>
          <w:rFonts w:ascii="Times New Roman" w:eastAsia="Calibri" w:hAnsi="Times New Roman" w:cs="Times New Roman"/>
          <w:kern w:val="0"/>
          <w:sz w:val="24"/>
          <w:szCs w:val="24"/>
          <w14:ligatures w14:val="none"/>
        </w:rPr>
        <w: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s </w:t>
      </w:r>
      <w:r w:rsidRPr="00CA55A7" w:rsidR="002C7742">
        <w:rPr>
          <w:rFonts w:ascii="Times New Roman" w:eastAsia="Calibri" w:hAnsi="Times New Roman" w:cs="Times New Roman"/>
          <w:kern w:val="0"/>
          <w:sz w:val="24"/>
          <w:szCs w:val="24"/>
          <w14:ligatures w14:val="none"/>
        </w:rPr>
        <w:t>April 3</w:t>
      </w:r>
      <w:r w:rsidRPr="00CA55A7">
        <w:rPr>
          <w:rFonts w:ascii="Times New Roman" w:eastAsia="Calibri" w:hAnsi="Times New Roman" w:cs="Times New Roman"/>
          <w:kern w:val="0"/>
          <w:sz w:val="24"/>
          <w:szCs w:val="24"/>
          <w14:ligatures w14:val="none"/>
        </w:rPr>
        <w:t>, 202</w:t>
      </w:r>
      <w:r w:rsidRPr="00CA55A7" w:rsidR="005B4F52">
        <w:rPr>
          <w:rFonts w:ascii="Times New Roman" w:eastAsia="Calibri" w:hAnsi="Times New Roman" w:cs="Times New Roman"/>
          <w:kern w:val="0"/>
          <w:sz w:val="24"/>
          <w:szCs w:val="24"/>
          <w14:ligatures w14:val="none"/>
        </w:rPr>
        <w:t>4</w:t>
      </w:r>
      <w:r w:rsidRPr="00CA55A7">
        <w:rPr>
          <w:rFonts w:ascii="Times New Roman" w:eastAsia="Calibri" w:hAnsi="Times New Roman" w:cs="Times New Roman"/>
          <w:kern w:val="0"/>
          <w:sz w:val="24"/>
          <w:szCs w:val="24"/>
          <w14:ligatures w14:val="none"/>
        </w:rPr>
        <w:t xml:space="preserve"> Order is unreasonable and unlawful for the following reasons: </w:t>
      </w:r>
    </w:p>
    <w:p w:rsidR="001E1C19" w:rsidRPr="00CA55A7" w:rsidP="001E1C19" w14:paraId="4BF8B5B3" w14:textId="311DD557">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b/>
          <w:bCs/>
          <w:kern w:val="0"/>
          <w:sz w:val="24"/>
          <w:szCs w:val="24"/>
          <w14:ligatures w14:val="none"/>
        </w:rPr>
        <w:t>ASSIGNMENT OF ERROR 1:</w:t>
      </w:r>
      <w:r w:rsidRPr="00CA55A7">
        <w:rPr>
          <w:rFonts w:ascii="Times New Roman" w:eastAsia="Calibri" w:hAnsi="Times New Roman" w:cs="Times New Roman"/>
          <w:kern w:val="0"/>
          <w:sz w:val="24"/>
          <w:szCs w:val="24"/>
          <w14:ligatures w14:val="none"/>
        </w:rPr>
        <w:t xml:space="preserve"> </w:t>
      </w:r>
      <w:r w:rsidRPr="00CA55A7" w:rsidR="007C0CBD">
        <w:rPr>
          <w:rFonts w:ascii="Times New Roman" w:hAnsi="Times New Roman" w:cs="Times New Roman"/>
          <w:kern w:val="0"/>
          <w:sz w:val="24"/>
          <w:szCs w:val="24"/>
        </w:rPr>
        <w:t>The PUCO</w:t>
      </w:r>
      <w:r w:rsidR="00CA55A7">
        <w:rPr>
          <w:rFonts w:ascii="Times New Roman" w:hAnsi="Times New Roman" w:cs="Times New Roman"/>
          <w:kern w:val="0"/>
          <w:sz w:val="24"/>
          <w:szCs w:val="24"/>
        </w:rPr>
        <w:t>’</w:t>
      </w:r>
      <w:r w:rsidRPr="00CA55A7" w:rsidR="007C0CBD">
        <w:rPr>
          <w:rFonts w:ascii="Times New Roman" w:hAnsi="Times New Roman" w:cs="Times New Roman"/>
          <w:kern w:val="0"/>
          <w:sz w:val="24"/>
          <w:szCs w:val="24"/>
        </w:rPr>
        <w:t>s Order is unreasonable and unlawful because it approved substantially increased charges to consumers for distribution reliability without record evidence, in violation of R.C. 4903.09. The PUCO</w:t>
      </w:r>
      <w:r w:rsidR="00CA55A7">
        <w:rPr>
          <w:rFonts w:ascii="Times New Roman" w:hAnsi="Times New Roman" w:cs="Times New Roman"/>
          <w:kern w:val="0"/>
          <w:sz w:val="24"/>
          <w:szCs w:val="24"/>
        </w:rPr>
        <w:t>’</w:t>
      </w:r>
      <w:r w:rsidRPr="00CA55A7" w:rsidR="007C0CBD">
        <w:rPr>
          <w:rFonts w:ascii="Times New Roman" w:hAnsi="Times New Roman" w:cs="Times New Roman"/>
          <w:kern w:val="0"/>
          <w:sz w:val="24"/>
          <w:szCs w:val="24"/>
        </w:rPr>
        <w:t>s Order conflicts with the</w:t>
      </w:r>
      <w:r w:rsidR="00CA55A7">
        <w:rPr>
          <w:rFonts w:ascii="Times New Roman" w:hAnsi="Times New Roman" w:cs="Times New Roman"/>
          <w:kern w:val="0"/>
          <w:sz w:val="24"/>
          <w:szCs w:val="24"/>
        </w:rPr>
        <w:t xml:space="preserve"> </w:t>
      </w:r>
      <w:r w:rsidRPr="00CA55A7" w:rsidR="007C0CBD">
        <w:rPr>
          <w:rFonts w:ascii="Times New Roman" w:hAnsi="Times New Roman" w:cs="Times New Roman"/>
          <w:kern w:val="0"/>
          <w:sz w:val="24"/>
          <w:szCs w:val="24"/>
        </w:rPr>
        <w:t>PUCO findings that AEP repeatedly met or exceeded its reliability standards and consumer reliability expectations under dramatically lower spending levels.</w:t>
      </w:r>
    </w:p>
    <w:p w:rsidR="001E1C19" w:rsidRPr="00CA55A7" w:rsidP="001E1C19" w14:paraId="4DEC7658" w14:textId="77777777">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p>
    <w:p w:rsidR="003029E9" w:rsidRPr="00CA55A7" w:rsidP="001E1C19" w14:paraId="33814336" w14:textId="4470EBCF">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b/>
          <w:bCs/>
          <w:kern w:val="0"/>
          <w:sz w:val="24"/>
          <w:szCs w:val="24"/>
          <w14:ligatures w14:val="none"/>
        </w:rPr>
        <w:t>ASSIGNMENT OF ERROR 2:</w:t>
      </w:r>
      <w:r w:rsidRPr="00CA55A7">
        <w:rPr>
          <w:rFonts w:ascii="Times New Roman" w:eastAsia="Calibri" w:hAnsi="Times New Roman" w:cs="Times New Roman"/>
          <w:kern w:val="0"/>
          <w:sz w:val="24"/>
          <w:szCs w:val="24"/>
          <w14:ligatures w14:val="none"/>
        </w:rPr>
        <w:t xml:space="preserve"> 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s Order is unreasonable and unlawful under R.C. </w:t>
      </w:r>
      <w:r w:rsidRPr="00CA55A7">
        <w:rPr>
          <w:rFonts w:ascii="Times New Roman" w:hAnsi="Times New Roman" w:cs="Times New Roman"/>
          <w:kern w:val="0"/>
          <w:sz w:val="24"/>
          <w:szCs w:val="24"/>
        </w:rPr>
        <w:t xml:space="preserve">4928.143(C)(1) </w:t>
      </w:r>
      <w:r w:rsidRPr="00CA55A7">
        <w:rPr>
          <w:rFonts w:ascii="Times New Roman" w:eastAsia="Calibri" w:hAnsi="Times New Roman" w:cs="Times New Roman"/>
          <w:kern w:val="0"/>
          <w:sz w:val="24"/>
          <w:szCs w:val="24"/>
          <w14:ligatures w14:val="none"/>
        </w:rPr>
        <w:t>because AEP</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ESP is not more favorable in the aggregate than a</w:t>
      </w:r>
      <w:r w:rsidR="00B522B2">
        <w:rPr>
          <w:rFonts w:ascii="Times New Roman" w:eastAsia="Calibri" w:hAnsi="Times New Roman" w:cs="Times New Roman"/>
          <w:kern w:val="0"/>
          <w:sz w:val="24"/>
          <w:szCs w:val="24"/>
          <w14:ligatures w14:val="none"/>
        </w:rPr>
        <w:t xml:space="preserve"> market rate offer</w:t>
      </w:r>
      <w:r w:rsidRPr="00CA55A7">
        <w:rPr>
          <w:rFonts w:ascii="Times New Roman" w:eastAsia="Calibri" w:hAnsi="Times New Roman" w:cs="Times New Roman"/>
          <w:kern w:val="0"/>
          <w:sz w:val="24"/>
          <w:szCs w:val="24"/>
          <w14:ligatures w14:val="none"/>
        </w:rPr>
        <w:t>.</w:t>
      </w:r>
      <w:r w:rsidRPr="00CA55A7" w:rsidR="00E20ADA">
        <w:rPr>
          <w:rFonts w:ascii="Times New Roman" w:eastAsia="Calibri" w:hAnsi="Times New Roman" w:cs="Times New Roman"/>
          <w:kern w:val="0"/>
          <w:sz w:val="24"/>
          <w:szCs w:val="24"/>
          <w14:ligatures w14:val="none"/>
        </w:rPr>
        <w:t xml:space="preserve"> </w:t>
      </w:r>
    </w:p>
    <w:p w:rsidR="001E1C19" w:rsidRPr="00CA55A7" w:rsidP="001E1C19" w14:paraId="3166C207" w14:textId="77777777">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p>
    <w:p w:rsidR="003029E9" w:rsidRPr="00CA55A7" w:rsidP="001E1C19" w14:paraId="5E0C2508" w14:textId="78D747C0">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b/>
          <w:bCs/>
          <w:kern w:val="0"/>
          <w:sz w:val="24"/>
          <w:szCs w:val="24"/>
          <w14:ligatures w14:val="none"/>
        </w:rPr>
        <w:t xml:space="preserve">ASSIGNMENT OF ERROR </w:t>
      </w:r>
      <w:r w:rsidRPr="00CA55A7" w:rsidR="001E1C19">
        <w:rPr>
          <w:rFonts w:ascii="Times New Roman" w:eastAsia="Calibri" w:hAnsi="Times New Roman" w:cs="Times New Roman"/>
          <w:b/>
          <w:bCs/>
          <w:kern w:val="0"/>
          <w:sz w:val="24"/>
          <w:szCs w:val="24"/>
          <w14:ligatures w14:val="none"/>
        </w:rPr>
        <w:t>3</w:t>
      </w:r>
      <w:r w:rsidRPr="00CA55A7">
        <w:rPr>
          <w:rFonts w:ascii="Times New Roman" w:eastAsia="Calibri" w:hAnsi="Times New Roman" w:cs="Times New Roman"/>
          <w:b/>
          <w:bCs/>
          <w:kern w:val="0"/>
          <w:sz w:val="24"/>
          <w:szCs w:val="24"/>
          <w14:ligatures w14:val="none"/>
        </w:rPr>
        <w:t>:</w:t>
      </w:r>
      <w:r w:rsidRPr="00CA55A7" w:rsidR="00E20ADA">
        <w:rPr>
          <w:rFonts w:ascii="Times New Roman" w:eastAsia="Calibri" w:hAnsi="Times New Roman" w:cs="Times New Roman"/>
          <w:kern w:val="0"/>
          <w:sz w:val="24"/>
          <w:szCs w:val="24"/>
          <w14:ligatures w14:val="none"/>
        </w:rPr>
        <w:t xml:space="preserve"> </w:t>
      </w:r>
      <w:r w:rsidRPr="00CA55A7" w:rsidR="00D62BDA">
        <w:rPr>
          <w:rFonts w:ascii="Times New Roman" w:eastAsia="Calibri" w:hAnsi="Times New Roman" w:cs="Times New Roman"/>
          <w:kern w:val="0"/>
          <w:sz w:val="24"/>
          <w:szCs w:val="24"/>
          <w14:ligatures w14:val="none"/>
        </w:rPr>
        <w:t>The PUCO</w:t>
      </w:r>
      <w:r w:rsidR="00CA55A7">
        <w:rPr>
          <w:rFonts w:ascii="Times New Roman" w:eastAsia="Calibri" w:hAnsi="Times New Roman" w:cs="Times New Roman"/>
          <w:kern w:val="0"/>
          <w:sz w:val="24"/>
          <w:szCs w:val="24"/>
          <w14:ligatures w14:val="none"/>
        </w:rPr>
        <w:t>’</w:t>
      </w:r>
      <w:r w:rsidRPr="00CA55A7" w:rsidR="00D62BDA">
        <w:rPr>
          <w:rFonts w:ascii="Times New Roman" w:eastAsia="Calibri" w:hAnsi="Times New Roman" w:cs="Times New Roman"/>
          <w:kern w:val="0"/>
          <w:sz w:val="24"/>
          <w:szCs w:val="24"/>
          <w14:ligatures w14:val="none"/>
        </w:rPr>
        <w:t xml:space="preserve">s Order is unreasonable and unlawful because it fails to ensure the availability to consumers of reasonably priced retail electric service, </w:t>
      </w:r>
      <w:r w:rsidRPr="00CA55A7" w:rsidR="00893774">
        <w:rPr>
          <w:rFonts w:ascii="Times New Roman" w:eastAsia="Calibri" w:hAnsi="Times New Roman" w:cs="Times New Roman"/>
          <w:kern w:val="0"/>
          <w:sz w:val="24"/>
          <w:szCs w:val="24"/>
          <w14:ligatures w14:val="none"/>
        </w:rPr>
        <w:t>in violation of</w:t>
      </w:r>
      <w:r w:rsidRPr="00CA55A7" w:rsidR="00D62BDA">
        <w:rPr>
          <w:rFonts w:ascii="Times New Roman" w:eastAsia="Calibri" w:hAnsi="Times New Roman" w:cs="Times New Roman"/>
          <w:kern w:val="0"/>
          <w:sz w:val="24"/>
          <w:szCs w:val="24"/>
          <w14:ligatures w14:val="none"/>
        </w:rPr>
        <w:t xml:space="preserve"> R.C. 4928.02.</w:t>
      </w:r>
      <w:r w:rsidRPr="00CA55A7">
        <w:rPr>
          <w:rFonts w:ascii="Times New Roman" w:eastAsia="Calibri" w:hAnsi="Times New Roman" w:cs="Times New Roman"/>
          <w:kern w:val="0"/>
          <w:sz w:val="24"/>
          <w:szCs w:val="24"/>
          <w14:ligatures w14:val="none"/>
        </w:rPr>
        <w:t xml:space="preserve"> </w:t>
      </w:r>
    </w:p>
    <w:p w:rsidR="001E1C19" w:rsidRPr="00CA55A7" w:rsidP="001E1C19" w14:paraId="45AAA997" w14:textId="77777777">
      <w:pPr>
        <w:autoSpaceDE w:val="0"/>
        <w:autoSpaceDN w:val="0"/>
        <w:adjustRightInd w:val="0"/>
        <w:spacing w:after="0" w:line="240" w:lineRule="auto"/>
        <w:ind w:left="720"/>
        <w:rPr>
          <w:rFonts w:ascii="Times New Roman" w:eastAsia="Calibri" w:hAnsi="Times New Roman" w:cs="Times New Roman"/>
          <w:kern w:val="0"/>
          <w:sz w:val="24"/>
          <w:szCs w:val="24"/>
          <w14:ligatures w14:val="none"/>
        </w:rPr>
      </w:pPr>
    </w:p>
    <w:p w:rsidR="003E4827" w:rsidRPr="00CA55A7" w:rsidP="0043723F" w14:paraId="05534BBB" w14:textId="075CEA97">
      <w:pPr>
        <w:autoSpaceDE w:val="0"/>
        <w:autoSpaceDN w:val="0"/>
        <w:adjustRightInd w:val="0"/>
        <w:spacing w:after="0" w:line="480" w:lineRule="auto"/>
        <w:ind w:firstLine="720"/>
        <w:rPr>
          <w:rFonts w:ascii="Times New Roman" w:eastAsia="Times New Roman"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The reasons in support of this Application for rehearing are set forth in the accompanying memorandum in support.</w:t>
      </w:r>
      <w:r w:rsidRPr="00CA55A7" w:rsidR="00E20ADA">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 xml:space="preserve">The PUCO should grant rehearing and modify its </w:t>
      </w:r>
      <w:r w:rsidRPr="00CA55A7" w:rsidR="008245D9">
        <w:rPr>
          <w:rFonts w:ascii="Times New Roman" w:eastAsia="Calibri" w:hAnsi="Times New Roman" w:cs="Times New Roman"/>
          <w:kern w:val="0"/>
          <w:sz w:val="24"/>
          <w:szCs w:val="24"/>
          <w14:ligatures w14:val="none"/>
        </w:rPr>
        <w:t>Order</w:t>
      </w:r>
      <w:r w:rsidRPr="00CA55A7">
        <w:rPr>
          <w:rFonts w:ascii="Times New Roman" w:eastAsia="Calibri" w:hAnsi="Times New Roman" w:cs="Times New Roman"/>
          <w:kern w:val="0"/>
          <w:sz w:val="24"/>
          <w:szCs w:val="24"/>
          <w14:ligatures w14:val="none"/>
        </w:rPr>
        <w:t>.</w:t>
      </w:r>
    </w:p>
    <w:p w:rsidR="00063F79" w:rsidRPr="00CA55A7" w:rsidP="00063F79" w14:paraId="5B0B1560" w14:textId="32FF4052">
      <w:pPr>
        <w:widowControl w:val="0"/>
        <w:spacing w:after="0" w:line="480" w:lineRule="auto"/>
        <w:ind w:firstLine="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Respectfully submitted,</w:t>
      </w:r>
    </w:p>
    <w:p w:rsidR="00063F79" w:rsidRPr="00CA55A7" w:rsidP="00063F79" w14:paraId="533FFD68"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Maureen R. Willis (0020847) </w:t>
      </w:r>
    </w:p>
    <w:p w:rsidR="00063F79" w:rsidRPr="00CA55A7" w:rsidP="00063F79" w14:paraId="58E97072" w14:textId="75FC7329">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Ohio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063F79" w:rsidRPr="00CA55A7" w:rsidP="00063F79" w14:paraId="0E8BB450"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063F79" w:rsidRPr="00CA55A7" w:rsidP="00063F79" w14:paraId="20910DF2" w14:textId="77777777">
      <w:pPr>
        <w:tabs>
          <w:tab w:val="left" w:pos="8730"/>
        </w:tabs>
        <w:spacing w:after="0" w:line="240" w:lineRule="auto"/>
        <w:ind w:left="4320"/>
        <w:rPr>
          <w:rFonts w:ascii="Times New Roman" w:eastAsia="Times New Roman" w:hAnsi="Times New Roman" w:cs="Times New Roman"/>
          <w:i/>
          <w:kern w:val="0"/>
          <w:sz w:val="24"/>
          <w:szCs w:val="24"/>
          <w:u w:val="single"/>
          <w14:ligatures w14:val="none"/>
        </w:rPr>
      </w:pPr>
      <w:r w:rsidRPr="00CA55A7">
        <w:rPr>
          <w:rFonts w:ascii="Times New Roman" w:eastAsia="Times New Roman" w:hAnsi="Times New Roman" w:cs="Times New Roman"/>
          <w:i/>
          <w:kern w:val="0"/>
          <w:sz w:val="24"/>
          <w:szCs w:val="24"/>
          <w:u w:val="single"/>
          <w14:ligatures w14:val="none"/>
        </w:rPr>
        <w:t>/s/ William J. Michael</w:t>
      </w:r>
    </w:p>
    <w:p w:rsidR="00063F79" w:rsidRPr="00CA55A7" w:rsidP="00063F79" w14:paraId="77D0CF2F"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William J. Michael (0070921) </w:t>
      </w:r>
      <w:r w:rsidRPr="00CA55A7">
        <w:rPr>
          <w:rFonts w:ascii="Times New Roman" w:eastAsia="Times New Roman" w:hAnsi="Times New Roman" w:cs="Times New Roman"/>
          <w:kern w:val="0"/>
          <w:sz w:val="24"/>
          <w:szCs w:val="24"/>
          <w14:ligatures w14:val="none"/>
        </w:rPr>
        <w:br/>
        <w:t>Counsel of Record</w:t>
      </w:r>
    </w:p>
    <w:p w:rsidR="003E4827" w:rsidRPr="00CA55A7" w:rsidP="003E4827" w14:paraId="243F0510" w14:textId="189218FD">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063F79" w:rsidRPr="00CA55A7" w:rsidP="00063F79" w14:paraId="20A928D9" w14:textId="0FC636CB">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Angela D.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(0097579)</w:t>
      </w:r>
    </w:p>
    <w:p w:rsidR="00063F79" w:rsidRPr="00CA55A7" w:rsidP="00063F79" w14:paraId="1490E088" w14:textId="63C97A83">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Deputy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r w:rsidRPr="00CA55A7">
        <w:rPr>
          <w:rFonts w:ascii="Times New Roman" w:eastAsia="Times New Roman" w:hAnsi="Times New Roman" w:cs="Times New Roman"/>
          <w:kern w:val="0"/>
          <w:sz w:val="24"/>
          <w:szCs w:val="24"/>
          <w14:ligatures w14:val="none"/>
        </w:rPr>
        <w:br/>
        <w:t>Donald J. Kral (0042091)</w:t>
      </w:r>
    </w:p>
    <w:p w:rsidR="00063F79" w:rsidRPr="00CA55A7" w:rsidP="00063F79" w14:paraId="150270C4" w14:textId="6BFAC6BE">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063F79" w:rsidRPr="00CA55A7" w:rsidP="00063F79" w14:paraId="19ACBAE4"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063F79" w:rsidRPr="00CA55A7" w:rsidP="00063F79" w14:paraId="128A6C56" w14:textId="46BCF2FD">
      <w:pPr>
        <w:tabs>
          <w:tab w:val="left" w:pos="8730"/>
        </w:tabs>
        <w:spacing w:after="0" w:line="240" w:lineRule="auto"/>
        <w:ind w:left="4320"/>
        <w:rPr>
          <w:rFonts w:ascii="Times New Roman" w:eastAsia="Times New Roman" w:hAnsi="Times New Roman" w:cs="Times New Roman"/>
          <w:b/>
          <w:bCs/>
          <w:kern w:val="0"/>
          <w:sz w:val="24"/>
          <w:szCs w:val="24"/>
          <w14:ligatures w14:val="none"/>
        </w:rPr>
      </w:pPr>
      <w:r w:rsidRPr="00CA55A7">
        <w:rPr>
          <w:rFonts w:ascii="Times New Roman" w:eastAsia="Times New Roman" w:hAnsi="Times New Roman" w:cs="Times New Roman"/>
          <w:b/>
          <w:bCs/>
          <w:kern w:val="0"/>
          <w:sz w:val="24"/>
          <w:szCs w:val="24"/>
          <w14:ligatures w14:val="none"/>
        </w:rPr>
        <w:t>Office of the Ohio Consumers</w:t>
      </w:r>
      <w:r w:rsidR="00CA55A7">
        <w:rPr>
          <w:rFonts w:ascii="Times New Roman" w:eastAsia="Times New Roman" w:hAnsi="Times New Roman" w:cs="Times New Roman"/>
          <w:b/>
          <w:bCs/>
          <w:kern w:val="0"/>
          <w:sz w:val="24"/>
          <w:szCs w:val="24"/>
          <w14:ligatures w14:val="none"/>
        </w:rPr>
        <w:t>’</w:t>
      </w:r>
      <w:r w:rsidRPr="00CA55A7">
        <w:rPr>
          <w:rFonts w:ascii="Times New Roman" w:eastAsia="Times New Roman" w:hAnsi="Times New Roman" w:cs="Times New Roman"/>
          <w:b/>
          <w:bCs/>
          <w:kern w:val="0"/>
          <w:sz w:val="24"/>
          <w:szCs w:val="24"/>
          <w14:ligatures w14:val="none"/>
        </w:rPr>
        <w:t xml:space="preserve"> Counsel</w:t>
      </w:r>
    </w:p>
    <w:p w:rsidR="00063F79" w:rsidRPr="00CA55A7" w:rsidP="00063F79" w14:paraId="636AD8DC"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65 East State Street, Suite 700</w:t>
      </w:r>
    </w:p>
    <w:p w:rsidR="00063F79" w:rsidRPr="00CA55A7" w:rsidP="00063F79" w14:paraId="150E63EA"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Columbus, Ohio 43215</w:t>
      </w:r>
    </w:p>
    <w:p w:rsidR="00063F79" w:rsidRPr="00CA55A7" w:rsidP="00063F79" w14:paraId="641BC260" w14:textId="47704721">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[Michael]: (614) 466-1291</w:t>
      </w:r>
    </w:p>
    <w:p w:rsidR="00063F79" w:rsidRPr="00CA55A7" w:rsidP="00063F79" w14:paraId="17FCC9D3" w14:textId="1F3F7184">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(614) 466-9531</w:t>
      </w:r>
    </w:p>
    <w:p w:rsidR="00063F79" w:rsidRPr="00CA55A7" w:rsidP="00063F79" w14:paraId="57D75B2C" w14:textId="0A8E86B9">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[Kral]: (614) 466-9571</w:t>
      </w:r>
    </w:p>
    <w:p w:rsidR="00063F79" w:rsidRPr="00CA55A7" w:rsidP="00063F79" w14:paraId="7BD197AC" w14:textId="77777777">
      <w:pPr>
        <w:tabs>
          <w:tab w:val="left" w:pos="8730"/>
        </w:tabs>
        <w:spacing w:after="0" w:line="240" w:lineRule="auto"/>
        <w:ind w:left="4320"/>
        <w:rPr>
          <w:rFonts w:ascii="Times New Roman" w:eastAsia="Times New Roman" w:hAnsi="Times New Roman" w:cs="Times New Roman"/>
          <w:color w:val="0000FF"/>
          <w:kern w:val="0"/>
          <w:sz w:val="24"/>
          <w:szCs w:val="24"/>
          <w14:ligatures w14:val="none"/>
        </w:rPr>
      </w:pPr>
      <w:hyperlink r:id="rId6" w:history="1">
        <w:r w:rsidRPr="00CA55A7">
          <w:rPr>
            <w:rFonts w:ascii="Times New Roman" w:eastAsia="Times New Roman" w:hAnsi="Times New Roman" w:cs="Times New Roman"/>
            <w:color w:val="0000FF"/>
            <w:kern w:val="0"/>
            <w:sz w:val="24"/>
            <w:szCs w:val="24"/>
            <w:u w:val="single"/>
            <w14:ligatures w14:val="none"/>
          </w:rPr>
          <w:t>william.michael@occ.ohio.gov</w:t>
        </w:r>
      </w:hyperlink>
      <w:r w:rsidRPr="00CA55A7">
        <w:rPr>
          <w:rFonts w:ascii="Times New Roman" w:eastAsia="Times New Roman" w:hAnsi="Times New Roman" w:cs="Times New Roman"/>
          <w:color w:val="0000FF"/>
          <w:kern w:val="0"/>
          <w:sz w:val="24"/>
          <w:szCs w:val="24"/>
          <w14:ligatures w14:val="none"/>
        </w:rPr>
        <w:t xml:space="preserve"> </w:t>
      </w:r>
    </w:p>
    <w:p w:rsidR="00063F79" w:rsidRPr="00CA55A7" w:rsidP="00063F79" w14:paraId="32B4A8E2"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hyperlink r:id="rId7" w:history="1">
        <w:r w:rsidRPr="00CA55A7">
          <w:rPr>
            <w:rFonts w:ascii="Times New Roman" w:eastAsia="Times New Roman" w:hAnsi="Times New Roman" w:cs="Times New Roman"/>
            <w:color w:val="0000FF"/>
            <w:kern w:val="0"/>
            <w:sz w:val="24"/>
            <w:szCs w:val="24"/>
            <w:u w:val="single"/>
            <w14:ligatures w14:val="none"/>
          </w:rPr>
          <w:t>angela.obrien@occ.ohio.gove</w:t>
        </w:r>
      </w:hyperlink>
    </w:p>
    <w:p w:rsidR="00063F79" w:rsidRPr="00CA55A7" w:rsidP="00063F79" w14:paraId="57BFA245"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hyperlink r:id="rId14" w:history="1">
        <w:r w:rsidRPr="00CA55A7">
          <w:rPr>
            <w:rFonts w:ascii="Times New Roman" w:eastAsia="Times New Roman" w:hAnsi="Times New Roman" w:cs="Times New Roman"/>
            <w:color w:val="0000FF"/>
            <w:kern w:val="0"/>
            <w:sz w:val="24"/>
            <w:szCs w:val="24"/>
            <w:u w:val="single"/>
            <w14:ligatures w14:val="none"/>
          </w:rPr>
          <w:t>donald.kral@occ.ohio.gov</w:t>
        </w:r>
      </w:hyperlink>
    </w:p>
    <w:p w:rsidR="00CF3751" w:rsidRPr="00CA55A7" w:rsidP="00063F79" w14:paraId="13D816DC" w14:textId="12A045C6">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(willing to accept service by e-mail) </w:t>
      </w:r>
    </w:p>
    <w:p w:rsidR="00A24BE9" w:rsidRPr="00CA55A7" w:rsidP="00063F79" w14:paraId="1D7EEC0D"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A24BE9" w:rsidRPr="00CA55A7" w:rsidP="00063F79" w14:paraId="666D4CB1"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sectPr w:rsidSect="00A85695">
          <w:footerReference w:type="default" r:id="rId15"/>
          <w:pgSz w:w="12240" w:h="15840"/>
          <w:pgMar w:top="1440" w:right="1800" w:bottom="1440" w:left="1800" w:header="720" w:footer="720" w:gutter="0"/>
          <w:pgNumType w:start="1"/>
          <w:cols w:space="720"/>
          <w:docGrid w:linePitch="360"/>
        </w:sectPr>
      </w:pPr>
    </w:p>
    <w:p w:rsidR="00A24BE9" w:rsidRPr="00CA55A7" w:rsidP="00A24BE9" w14:paraId="0A240117" w14:textId="77777777">
      <w:pPr>
        <w:autoSpaceDE w:val="0"/>
        <w:autoSpaceDN w:val="0"/>
        <w:adjustRightInd w:val="0"/>
        <w:spacing w:after="0" w:line="240" w:lineRule="auto"/>
        <w:jc w:val="center"/>
        <w:rPr>
          <w:rFonts w:ascii="Times New Roman" w:hAnsi="Times New Roman" w:cs="Times New Roman"/>
          <w:b/>
          <w:bCs/>
          <w:kern w:val="0"/>
          <w:sz w:val="24"/>
          <w:szCs w:val="24"/>
          <w:u w:val="single"/>
        </w:rPr>
      </w:pPr>
      <w:r w:rsidRPr="00CA55A7">
        <w:rPr>
          <w:rFonts w:ascii="Times New Roman" w:hAnsi="Times New Roman" w:cs="Times New Roman"/>
          <w:b/>
          <w:bCs/>
          <w:kern w:val="0"/>
          <w:sz w:val="24"/>
          <w:szCs w:val="24"/>
          <w:u w:val="single"/>
        </w:rPr>
        <w:t>TABLE OF CONTENTS</w:t>
      </w:r>
    </w:p>
    <w:p w:rsidR="00A24BE9" w:rsidRPr="00CA55A7" w:rsidP="00A24BE9" w14:paraId="224A7A37" w14:textId="77777777">
      <w:pPr>
        <w:autoSpaceDE w:val="0"/>
        <w:autoSpaceDN w:val="0"/>
        <w:adjustRightInd w:val="0"/>
        <w:spacing w:after="0" w:line="240" w:lineRule="auto"/>
        <w:jc w:val="center"/>
        <w:rPr>
          <w:rFonts w:ascii="Times New Roman" w:hAnsi="Times New Roman" w:cs="Times New Roman"/>
          <w:b/>
          <w:bCs/>
          <w:kern w:val="0"/>
          <w:sz w:val="24"/>
          <w:szCs w:val="24"/>
          <w:u w:val="single"/>
        </w:rPr>
      </w:pPr>
    </w:p>
    <w:p w:rsidR="00BF0E18" w:rsidRPr="00CA55A7" w:rsidP="00BF0E18" w14:paraId="7DF9FE6B" w14:textId="77777777">
      <w:pPr>
        <w:widowControl w:val="0"/>
        <w:autoSpaceDE w:val="0"/>
        <w:autoSpaceDN w:val="0"/>
        <w:spacing w:after="0" w:line="240" w:lineRule="auto"/>
        <w:jc w:val="right"/>
        <w:rPr>
          <w:rFonts w:ascii="Times New Roman" w:eastAsia="Times New Roman" w:hAnsi="Times New Roman" w:cs="Times New Roman"/>
          <w:b/>
          <w:bCs/>
          <w:kern w:val="0"/>
          <w:sz w:val="24"/>
          <w:szCs w:val="24"/>
          <w14:ligatures w14:val="none"/>
        </w:rPr>
      </w:pPr>
      <w:r w:rsidRPr="00CA55A7">
        <w:rPr>
          <w:rFonts w:ascii="Times New Roman" w:eastAsia="Times New Roman" w:hAnsi="Times New Roman" w:cs="Times New Roman"/>
          <w:b/>
          <w:bCs/>
          <w:kern w:val="0"/>
          <w:sz w:val="24"/>
          <w:szCs w:val="24"/>
          <w14:ligatures w14:val="none"/>
        </w:rPr>
        <w:t>PAGE</w:t>
      </w:r>
    </w:p>
    <w:p w:rsidR="00BF0E18" w:rsidRPr="00CA55A7" w:rsidP="00BF0E18" w14:paraId="7AA23B24" w14:textId="77777777">
      <w:pPr>
        <w:widowControl w:val="0"/>
        <w:autoSpaceDE w:val="0"/>
        <w:autoSpaceDN w:val="0"/>
        <w:spacing w:after="0" w:line="240" w:lineRule="auto"/>
        <w:jc w:val="right"/>
        <w:rPr>
          <w:rFonts w:ascii="Times New Roman" w:eastAsia="Times New Roman" w:hAnsi="Times New Roman" w:cs="Times New Roman"/>
          <w:b/>
          <w:bCs/>
          <w:kern w:val="0"/>
          <w:sz w:val="24"/>
          <w:szCs w:val="24"/>
          <w14:ligatures w14:val="none"/>
        </w:rPr>
      </w:pPr>
    </w:p>
    <w:p w:rsidR="00635263" w14:paraId="7A4BF5A4" w14:textId="28D88863">
      <w:pPr>
        <w:pStyle w:val="TOC1"/>
        <w:rPr>
          <w:rFonts w:asciiTheme="minorHAnsi" w:eastAsiaTheme="minorEastAsia" w:hAnsiTheme="minorHAnsi" w:cstheme="minorBidi"/>
          <w:caps w:val="0"/>
          <w:noProof/>
          <w:kern w:val="2"/>
          <w:szCs w:val="24"/>
          <w14:ligatures w14:val="standardContextual"/>
        </w:rPr>
      </w:pPr>
      <w:r w:rsidRPr="00CA55A7">
        <w:rPr>
          <w:b/>
          <w:bCs/>
          <w:caps w:val="0"/>
          <w:szCs w:val="24"/>
        </w:rPr>
        <w:fldChar w:fldCharType="begin"/>
      </w:r>
      <w:r w:rsidRPr="00CA55A7">
        <w:rPr>
          <w:b/>
          <w:bCs/>
          <w:caps w:val="0"/>
          <w:szCs w:val="24"/>
        </w:rPr>
        <w:instrText xml:space="preserve"> TOC \o "1-2" \h \z \t "Heading 3,3" </w:instrText>
      </w:r>
      <w:r w:rsidRPr="00CA55A7">
        <w:rPr>
          <w:b/>
          <w:bCs/>
          <w:caps w:val="0"/>
          <w:szCs w:val="24"/>
        </w:rPr>
        <w:fldChar w:fldCharType="separate"/>
      </w:r>
      <w:hyperlink w:anchor="_Toc165626690" w:history="1">
        <w:r w:rsidRPr="00D6349E">
          <w:rPr>
            <w:rStyle w:val="Hyperlink"/>
            <w:noProof/>
          </w:rPr>
          <w:t>I.</w:t>
        </w:r>
        <w:r>
          <w:rPr>
            <w:rFonts w:asciiTheme="minorHAnsi" w:eastAsiaTheme="minorEastAsia" w:hAnsiTheme="minorHAnsi" w:cstheme="minorBidi"/>
            <w:caps w:val="0"/>
            <w:noProof/>
            <w:kern w:val="2"/>
            <w:szCs w:val="24"/>
            <w14:ligatures w14:val="standardContextual"/>
          </w:rPr>
          <w:tab/>
        </w:r>
        <w:r w:rsidRPr="00D6349E">
          <w:rPr>
            <w:rStyle w:val="Hyperlink"/>
            <w:noProof/>
          </w:rPr>
          <w:t>INTRODUCTION</w:t>
        </w:r>
        <w:r>
          <w:rPr>
            <w:noProof/>
            <w:webHidden/>
          </w:rPr>
          <w:tab/>
        </w:r>
        <w:r>
          <w:rPr>
            <w:noProof/>
            <w:webHidden/>
          </w:rPr>
          <w:fldChar w:fldCharType="begin"/>
        </w:r>
        <w:r>
          <w:rPr>
            <w:noProof/>
            <w:webHidden/>
          </w:rPr>
          <w:instrText xml:space="preserve"> PAGEREF _Toc165626690 \h </w:instrText>
        </w:r>
        <w:r>
          <w:rPr>
            <w:noProof/>
            <w:webHidden/>
          </w:rPr>
          <w:fldChar w:fldCharType="separate"/>
        </w:r>
        <w:r>
          <w:rPr>
            <w:noProof/>
            <w:webHidden/>
          </w:rPr>
          <w:t>1</w:t>
        </w:r>
        <w:r>
          <w:rPr>
            <w:noProof/>
            <w:webHidden/>
          </w:rPr>
          <w:fldChar w:fldCharType="end"/>
        </w:r>
      </w:hyperlink>
    </w:p>
    <w:p w:rsidR="00635263" w14:paraId="4F1B851F" w14:textId="5CF19606">
      <w:pPr>
        <w:pStyle w:val="TOC1"/>
        <w:rPr>
          <w:rFonts w:asciiTheme="minorHAnsi" w:eastAsiaTheme="minorEastAsia" w:hAnsiTheme="minorHAnsi" w:cstheme="minorBidi"/>
          <w:caps w:val="0"/>
          <w:noProof/>
          <w:kern w:val="2"/>
          <w:szCs w:val="24"/>
          <w14:ligatures w14:val="standardContextual"/>
        </w:rPr>
      </w:pPr>
      <w:hyperlink w:anchor="_Toc165626691" w:history="1">
        <w:r w:rsidRPr="00D6349E">
          <w:rPr>
            <w:rStyle w:val="Hyperlink"/>
            <w:noProof/>
          </w:rPr>
          <w:t>II.</w:t>
        </w:r>
        <w:r>
          <w:rPr>
            <w:rFonts w:asciiTheme="minorHAnsi" w:eastAsiaTheme="minorEastAsia" w:hAnsiTheme="minorHAnsi" w:cstheme="minorBidi"/>
            <w:caps w:val="0"/>
            <w:noProof/>
            <w:kern w:val="2"/>
            <w:szCs w:val="24"/>
            <w14:ligatures w14:val="standardContextual"/>
          </w:rPr>
          <w:tab/>
        </w:r>
        <w:r w:rsidRPr="00D6349E">
          <w:rPr>
            <w:rStyle w:val="Hyperlink"/>
            <w:noProof/>
          </w:rPr>
          <w:t>ASSIGNMENTS OF ERROR</w:t>
        </w:r>
        <w:r>
          <w:rPr>
            <w:noProof/>
            <w:webHidden/>
          </w:rPr>
          <w:tab/>
        </w:r>
        <w:r>
          <w:rPr>
            <w:noProof/>
            <w:webHidden/>
          </w:rPr>
          <w:fldChar w:fldCharType="begin"/>
        </w:r>
        <w:r>
          <w:rPr>
            <w:noProof/>
            <w:webHidden/>
          </w:rPr>
          <w:instrText xml:space="preserve"> PAGEREF _Toc165626691 \h </w:instrText>
        </w:r>
        <w:r>
          <w:rPr>
            <w:noProof/>
            <w:webHidden/>
          </w:rPr>
          <w:fldChar w:fldCharType="separate"/>
        </w:r>
        <w:r>
          <w:rPr>
            <w:noProof/>
            <w:webHidden/>
          </w:rPr>
          <w:t>3</w:t>
        </w:r>
        <w:r>
          <w:rPr>
            <w:noProof/>
            <w:webHidden/>
          </w:rPr>
          <w:fldChar w:fldCharType="end"/>
        </w:r>
      </w:hyperlink>
    </w:p>
    <w:p w:rsidR="00635263" w14:paraId="6DCEC981" w14:textId="0B908F7D">
      <w:pPr>
        <w:pStyle w:val="TOC2"/>
        <w:rPr>
          <w:rFonts w:asciiTheme="minorHAnsi" w:eastAsiaTheme="minorEastAsia" w:hAnsiTheme="minorHAnsi" w:cstheme="minorBidi"/>
          <w:noProof/>
          <w:kern w:val="2"/>
          <w:szCs w:val="24"/>
          <w14:ligatures w14:val="standardContextual"/>
        </w:rPr>
      </w:pPr>
      <w:hyperlink w:anchor="_Toc165626692" w:history="1">
        <w:r w:rsidRPr="00D6349E">
          <w:rPr>
            <w:rStyle w:val="Hyperlink"/>
            <w:noProof/>
          </w:rPr>
          <w:t xml:space="preserve">ASSIGNMENT OF ERROR 1: The PUCO’s Order is unreasonable and </w:t>
        </w:r>
        <w:r>
          <w:rPr>
            <w:rStyle w:val="Hyperlink"/>
            <w:noProof/>
          </w:rPr>
          <w:br/>
        </w:r>
        <w:r w:rsidRPr="00D6349E">
          <w:rPr>
            <w:rStyle w:val="Hyperlink"/>
            <w:noProof/>
          </w:rPr>
          <w:t xml:space="preserve">unlawful because it approved substantially increased charges to consumers </w:t>
        </w:r>
        <w:r>
          <w:rPr>
            <w:rStyle w:val="Hyperlink"/>
            <w:noProof/>
          </w:rPr>
          <w:br/>
        </w:r>
        <w:r w:rsidRPr="00D6349E">
          <w:rPr>
            <w:rStyle w:val="Hyperlink"/>
            <w:noProof/>
          </w:rPr>
          <w:t xml:space="preserve">for distribution reliability without record evidence, in violation of R.C. </w:t>
        </w:r>
        <w:r>
          <w:rPr>
            <w:rStyle w:val="Hyperlink"/>
            <w:noProof/>
          </w:rPr>
          <w:br/>
        </w:r>
        <w:r w:rsidRPr="00D6349E">
          <w:rPr>
            <w:rStyle w:val="Hyperlink"/>
            <w:noProof/>
          </w:rPr>
          <w:t>4903.09. The PUCO’s Order conflicts with the PUCO findings that AEP repeatedly met or exceeded its reliability standards and consumer reliability expectations under dramatically lower spending levels.</w:t>
        </w:r>
        <w:r>
          <w:rPr>
            <w:noProof/>
            <w:webHidden/>
          </w:rPr>
          <w:tab/>
        </w:r>
        <w:r>
          <w:rPr>
            <w:noProof/>
            <w:webHidden/>
          </w:rPr>
          <w:fldChar w:fldCharType="begin"/>
        </w:r>
        <w:r>
          <w:rPr>
            <w:noProof/>
            <w:webHidden/>
          </w:rPr>
          <w:instrText xml:space="preserve"> PAGEREF _Toc165626692 \h </w:instrText>
        </w:r>
        <w:r>
          <w:rPr>
            <w:noProof/>
            <w:webHidden/>
          </w:rPr>
          <w:fldChar w:fldCharType="separate"/>
        </w:r>
        <w:r>
          <w:rPr>
            <w:noProof/>
            <w:webHidden/>
          </w:rPr>
          <w:t>3</w:t>
        </w:r>
        <w:r>
          <w:rPr>
            <w:noProof/>
            <w:webHidden/>
          </w:rPr>
          <w:fldChar w:fldCharType="end"/>
        </w:r>
      </w:hyperlink>
    </w:p>
    <w:p w:rsidR="00635263" w14:paraId="31155280" w14:textId="1FF56825">
      <w:pPr>
        <w:pStyle w:val="TOC2"/>
        <w:rPr>
          <w:rFonts w:asciiTheme="minorHAnsi" w:eastAsiaTheme="minorEastAsia" w:hAnsiTheme="minorHAnsi" w:cstheme="minorBidi"/>
          <w:noProof/>
          <w:kern w:val="2"/>
          <w:szCs w:val="24"/>
          <w14:ligatures w14:val="standardContextual"/>
        </w:rPr>
      </w:pPr>
      <w:hyperlink w:anchor="_Toc165626693" w:history="1">
        <w:r w:rsidRPr="00D6349E">
          <w:rPr>
            <w:rStyle w:val="Hyperlink"/>
            <w:noProof/>
          </w:rPr>
          <w:t xml:space="preserve">ASSIGNMENT OF ERROR 2: The PUCO’s Order is unreasonable and </w:t>
        </w:r>
        <w:r>
          <w:rPr>
            <w:rStyle w:val="Hyperlink"/>
            <w:noProof/>
          </w:rPr>
          <w:br/>
        </w:r>
        <w:r w:rsidRPr="00D6349E">
          <w:rPr>
            <w:rStyle w:val="Hyperlink"/>
            <w:noProof/>
          </w:rPr>
          <w:t xml:space="preserve">unlawful under R.C. 4928.143(C)(1) because AEP’s ESP is not more </w:t>
        </w:r>
        <w:r>
          <w:rPr>
            <w:rStyle w:val="Hyperlink"/>
            <w:noProof/>
          </w:rPr>
          <w:br/>
        </w:r>
        <w:r w:rsidRPr="00D6349E">
          <w:rPr>
            <w:rStyle w:val="Hyperlink"/>
            <w:noProof/>
          </w:rPr>
          <w:t>favorable in the aggregate than a market rate offer.</w:t>
        </w:r>
        <w:r>
          <w:rPr>
            <w:noProof/>
            <w:webHidden/>
          </w:rPr>
          <w:tab/>
        </w:r>
        <w:r>
          <w:rPr>
            <w:noProof/>
            <w:webHidden/>
          </w:rPr>
          <w:fldChar w:fldCharType="begin"/>
        </w:r>
        <w:r>
          <w:rPr>
            <w:noProof/>
            <w:webHidden/>
          </w:rPr>
          <w:instrText xml:space="preserve"> PAGEREF _Toc165626693 \h </w:instrText>
        </w:r>
        <w:r>
          <w:rPr>
            <w:noProof/>
            <w:webHidden/>
          </w:rPr>
          <w:fldChar w:fldCharType="separate"/>
        </w:r>
        <w:r>
          <w:rPr>
            <w:noProof/>
            <w:webHidden/>
          </w:rPr>
          <w:t>7</w:t>
        </w:r>
        <w:r>
          <w:rPr>
            <w:noProof/>
            <w:webHidden/>
          </w:rPr>
          <w:fldChar w:fldCharType="end"/>
        </w:r>
      </w:hyperlink>
    </w:p>
    <w:p w:rsidR="00635263" w14:paraId="1A0ABD10" w14:textId="24A927D0">
      <w:pPr>
        <w:pStyle w:val="TOC2"/>
        <w:rPr>
          <w:rFonts w:asciiTheme="minorHAnsi" w:eastAsiaTheme="minorEastAsia" w:hAnsiTheme="minorHAnsi" w:cstheme="minorBidi"/>
          <w:noProof/>
          <w:kern w:val="2"/>
          <w:szCs w:val="24"/>
          <w14:ligatures w14:val="standardContextual"/>
        </w:rPr>
      </w:pPr>
      <w:hyperlink w:anchor="_Toc165626694" w:history="1">
        <w:r w:rsidRPr="00D6349E">
          <w:rPr>
            <w:rStyle w:val="Hyperlink"/>
            <w:noProof/>
          </w:rPr>
          <w:t xml:space="preserve">ASSIGNMENT OF ERROR 3: The PUCO’s Order is unreasonable and </w:t>
        </w:r>
        <w:r>
          <w:rPr>
            <w:rStyle w:val="Hyperlink"/>
            <w:noProof/>
          </w:rPr>
          <w:br/>
        </w:r>
        <w:r w:rsidRPr="00D6349E">
          <w:rPr>
            <w:rStyle w:val="Hyperlink"/>
            <w:noProof/>
          </w:rPr>
          <w:t>unlawful because it fails to ensure the availability to consumers of reasonably priced retail electric service, in violation of R.C. 4928.02.</w:t>
        </w:r>
        <w:r>
          <w:rPr>
            <w:noProof/>
            <w:webHidden/>
          </w:rPr>
          <w:tab/>
        </w:r>
        <w:r>
          <w:rPr>
            <w:noProof/>
            <w:webHidden/>
          </w:rPr>
          <w:fldChar w:fldCharType="begin"/>
        </w:r>
        <w:r>
          <w:rPr>
            <w:noProof/>
            <w:webHidden/>
          </w:rPr>
          <w:instrText xml:space="preserve"> PAGEREF _Toc165626694 \h </w:instrText>
        </w:r>
        <w:r>
          <w:rPr>
            <w:noProof/>
            <w:webHidden/>
          </w:rPr>
          <w:fldChar w:fldCharType="separate"/>
        </w:r>
        <w:r>
          <w:rPr>
            <w:noProof/>
            <w:webHidden/>
          </w:rPr>
          <w:t>8</w:t>
        </w:r>
        <w:r>
          <w:rPr>
            <w:noProof/>
            <w:webHidden/>
          </w:rPr>
          <w:fldChar w:fldCharType="end"/>
        </w:r>
      </w:hyperlink>
    </w:p>
    <w:p w:rsidR="00635263" w14:paraId="2903CA02" w14:textId="1C16456A">
      <w:pPr>
        <w:pStyle w:val="TOC1"/>
        <w:rPr>
          <w:rFonts w:asciiTheme="minorHAnsi" w:eastAsiaTheme="minorEastAsia" w:hAnsiTheme="minorHAnsi" w:cstheme="minorBidi"/>
          <w:caps w:val="0"/>
          <w:noProof/>
          <w:kern w:val="2"/>
          <w:szCs w:val="24"/>
          <w14:ligatures w14:val="standardContextual"/>
        </w:rPr>
      </w:pPr>
      <w:hyperlink w:anchor="_Toc165626695" w:history="1">
        <w:r w:rsidRPr="00D6349E">
          <w:rPr>
            <w:rStyle w:val="Hyperlink"/>
            <w:noProof/>
          </w:rPr>
          <w:t>III.</w:t>
        </w:r>
        <w:r>
          <w:rPr>
            <w:rFonts w:asciiTheme="minorHAnsi" w:eastAsiaTheme="minorEastAsia" w:hAnsiTheme="minorHAnsi" w:cstheme="minorBidi"/>
            <w:caps w:val="0"/>
            <w:noProof/>
            <w:kern w:val="2"/>
            <w:szCs w:val="24"/>
            <w14:ligatures w14:val="standardContextual"/>
          </w:rPr>
          <w:tab/>
        </w:r>
        <w:r w:rsidRPr="00D6349E">
          <w:rPr>
            <w:rStyle w:val="Hyperlink"/>
            <w:noProof/>
          </w:rPr>
          <w:t>CONCLUSION</w:t>
        </w:r>
        <w:r>
          <w:rPr>
            <w:noProof/>
            <w:webHidden/>
          </w:rPr>
          <w:tab/>
        </w:r>
        <w:r>
          <w:rPr>
            <w:noProof/>
            <w:webHidden/>
          </w:rPr>
          <w:fldChar w:fldCharType="begin"/>
        </w:r>
        <w:r>
          <w:rPr>
            <w:noProof/>
            <w:webHidden/>
          </w:rPr>
          <w:instrText xml:space="preserve"> PAGEREF _Toc165626695 \h </w:instrText>
        </w:r>
        <w:r>
          <w:rPr>
            <w:noProof/>
            <w:webHidden/>
          </w:rPr>
          <w:fldChar w:fldCharType="separate"/>
        </w:r>
        <w:r>
          <w:rPr>
            <w:noProof/>
            <w:webHidden/>
          </w:rPr>
          <w:t>11</w:t>
        </w:r>
        <w:r>
          <w:rPr>
            <w:noProof/>
            <w:webHidden/>
          </w:rPr>
          <w:fldChar w:fldCharType="end"/>
        </w:r>
      </w:hyperlink>
    </w:p>
    <w:p w:rsidR="00A24BE9" w:rsidRPr="00CA55A7" w:rsidP="00072E41" w14:paraId="5E03A1FA" w14:textId="1169753D">
      <w:pPr>
        <w:spacing w:after="0" w:line="240" w:lineRule="auto"/>
        <w:ind w:left="4320"/>
        <w:rPr>
          <w:rFonts w:ascii="Times New Roman" w:eastAsia="Times New Roman" w:hAnsi="Times New Roman" w:cs="Times New Roman"/>
          <w:kern w:val="0"/>
          <w:sz w:val="24"/>
          <w:szCs w:val="24"/>
          <w14:ligatures w14:val="none"/>
        </w:rPr>
        <w:sectPr w:rsidSect="00A85695">
          <w:footerReference w:type="default" r:id="rId16"/>
          <w:pgSz w:w="12240" w:h="15840"/>
          <w:pgMar w:top="1440" w:right="1800" w:bottom="1440" w:left="1800" w:header="720" w:footer="720" w:gutter="0"/>
          <w:pgNumType w:fmt="lowerRoman" w:start="1"/>
          <w:cols w:space="720"/>
          <w:docGrid w:linePitch="360"/>
        </w:sectPr>
      </w:pPr>
      <w:r w:rsidRPr="00CA55A7">
        <w:rPr>
          <w:rFonts w:ascii="Times New Roman" w:eastAsia="Times New Roman" w:hAnsi="Times New Roman" w:cs="Times New Roman"/>
          <w:b/>
          <w:bCs/>
          <w:caps/>
          <w:kern w:val="0"/>
          <w:sz w:val="24"/>
          <w:szCs w:val="24"/>
          <w14:ligatures w14:val="none"/>
        </w:rPr>
        <w:fldChar w:fldCharType="end"/>
      </w:r>
    </w:p>
    <w:p w:rsidR="008471C1" w:rsidRPr="00CA55A7" w:rsidP="008471C1" w14:paraId="0E0C36FE"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BEFORE</w:t>
      </w:r>
    </w:p>
    <w:p w:rsidR="008471C1" w:rsidRPr="00CA55A7" w:rsidP="008471C1" w14:paraId="05A67948"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THE PUBLIC UTILITIES COMMISSION OF OHIO</w:t>
      </w:r>
    </w:p>
    <w:p w:rsidR="00C431E2" w:rsidRPr="00CA55A7" w:rsidP="008471C1" w14:paraId="73569143" w14:textId="77777777">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bl>
      <w:tblPr>
        <w:tblW w:w="8641" w:type="dxa"/>
        <w:tblInd w:w="-90" w:type="dxa"/>
        <w:tblCellMar>
          <w:top w:w="0" w:type="dxa"/>
          <w:left w:w="108" w:type="dxa"/>
          <w:bottom w:w="0" w:type="dxa"/>
          <w:right w:w="108" w:type="dxa"/>
        </w:tblCellMar>
        <w:tblLook w:val="01E0"/>
      </w:tblPr>
      <w:tblGrid>
        <w:gridCol w:w="4320"/>
        <w:gridCol w:w="386"/>
        <w:gridCol w:w="3935"/>
      </w:tblGrid>
      <w:tr w14:paraId="02381E9A" w14:textId="77777777" w:rsidTr="00301FF7">
        <w:tblPrEx>
          <w:tblW w:w="8641" w:type="dxa"/>
          <w:tblInd w:w="-90" w:type="dxa"/>
          <w:tblCellMar>
            <w:top w:w="0" w:type="dxa"/>
            <w:left w:w="108" w:type="dxa"/>
            <w:bottom w:w="0" w:type="dxa"/>
            <w:right w:w="108" w:type="dxa"/>
          </w:tblCellMar>
          <w:tblLook w:val="01E0"/>
        </w:tblPrEx>
        <w:trPr>
          <w:trHeight w:val="807"/>
        </w:trPr>
        <w:tc>
          <w:tcPr>
            <w:tcW w:w="4320" w:type="dxa"/>
            <w:shd w:val="clear" w:color="auto" w:fill="auto"/>
          </w:tcPr>
          <w:p w:rsidR="00C431E2" w:rsidRPr="00CA55A7" w:rsidP="00301FF7" w14:paraId="7CB5FE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Authority to Establish a Standard Service Offer Pursuant to R.C. 4928.143 in the Form of an Electric Security Plan.</w:t>
            </w:r>
          </w:p>
          <w:p w:rsidR="00C431E2" w:rsidRPr="00CA55A7" w:rsidP="00301FF7" w14:paraId="6CE630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55D661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In the Matter of the Application of Ohio Power Company for Approval of Certain Accounting Authority.</w:t>
            </w:r>
          </w:p>
        </w:tc>
        <w:tc>
          <w:tcPr>
            <w:tcW w:w="386" w:type="dxa"/>
            <w:shd w:val="clear" w:color="auto" w:fill="auto"/>
          </w:tcPr>
          <w:p w:rsidR="00C431E2" w:rsidRPr="00CA55A7" w:rsidP="00301FF7" w14:paraId="1C6DA3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3519EF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3EF99E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095148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0E658E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6909FF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3F999D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033BC5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p w:rsidR="00C431E2" w:rsidRPr="00CA55A7" w:rsidP="00301FF7" w14:paraId="27236A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w:t>
            </w:r>
          </w:p>
        </w:tc>
        <w:tc>
          <w:tcPr>
            <w:tcW w:w="3935" w:type="dxa"/>
            <w:shd w:val="clear" w:color="auto" w:fill="auto"/>
          </w:tcPr>
          <w:p w:rsidR="00C431E2" w:rsidRPr="00CA55A7" w:rsidP="00301FF7" w14:paraId="14B9DD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396B25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5E7BC37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23-23-EL-SSO</w:t>
            </w:r>
          </w:p>
          <w:p w:rsidR="00C431E2" w:rsidRPr="00CA55A7" w:rsidP="00301FF7" w14:paraId="4D05B4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6EDEBC7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71F0834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32E862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p>
          <w:p w:rsidR="00C431E2" w:rsidRPr="00CA55A7" w:rsidP="00301FF7" w14:paraId="180490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Courier New" w:hAnsi="Times New Roman" w:cs="Times New Roman"/>
                <w:kern w:val="0"/>
                <w:sz w:val="24"/>
                <w:szCs w:val="24"/>
                <w:lang w:val="en-US" w:eastAsia="en-US" w:bidi="ar-SA"/>
                <w14:ligatures w14:val="none"/>
              </w:rPr>
            </w:pPr>
            <w:r w:rsidRPr="00CA55A7">
              <w:rPr>
                <w:rFonts w:ascii="Times New Roman" w:eastAsia="Courier New" w:hAnsi="Times New Roman" w:cs="Times New Roman"/>
                <w:kern w:val="0"/>
                <w:sz w:val="24"/>
                <w:szCs w:val="24"/>
                <w:lang w:val="en-US" w:eastAsia="en-US" w:bidi="ar-SA"/>
                <w14:ligatures w14:val="none"/>
              </w:rPr>
              <w:t>Case No. 23-24-EL-AAM</w:t>
            </w:r>
          </w:p>
        </w:tc>
      </w:tr>
    </w:tbl>
    <w:p w:rsidR="008471C1" w:rsidRPr="00CA55A7" w:rsidP="008471C1" w14:paraId="50186B7C" w14:textId="77777777">
      <w:pPr>
        <w:pBdr>
          <w:bottom w:val="single" w:sz="12" w:space="1" w:color="auto"/>
        </w:pBdr>
        <w:autoSpaceDE w:val="0"/>
        <w:autoSpaceDN w:val="0"/>
        <w:adjustRightInd w:val="0"/>
        <w:spacing w:after="0" w:line="240" w:lineRule="auto"/>
        <w:rPr>
          <w:rFonts w:ascii="Times New Roman" w:eastAsia="Calibri" w:hAnsi="Times New Roman" w:cs="Times New Roman"/>
          <w:kern w:val="0"/>
          <w:sz w:val="24"/>
          <w:szCs w:val="24"/>
          <w14:ligatures w14:val="none"/>
        </w:rPr>
      </w:pPr>
    </w:p>
    <w:p w:rsidR="008471C1" w:rsidRPr="00CA55A7" w:rsidP="008471C1" w14:paraId="53E05441" w14:textId="77777777">
      <w:pPr>
        <w:autoSpaceDE w:val="0"/>
        <w:autoSpaceDN w:val="0"/>
        <w:adjustRightInd w:val="0"/>
        <w:spacing w:after="0" w:line="240" w:lineRule="auto"/>
        <w:rPr>
          <w:rFonts w:ascii="Times New Roman" w:eastAsia="Calibri" w:hAnsi="Times New Roman" w:cs="Times New Roman"/>
          <w:kern w:val="0"/>
          <w:sz w:val="24"/>
          <w:szCs w:val="24"/>
          <w14:ligatures w14:val="none"/>
        </w:rPr>
      </w:pPr>
    </w:p>
    <w:p w:rsidR="008471C1" w:rsidRPr="00CA55A7" w:rsidP="008471C1" w14:paraId="24D7BA45" w14:textId="739DBE8C">
      <w:pPr>
        <w:pBdr>
          <w:bottom w:val="single" w:sz="12" w:space="1" w:color="auto"/>
        </w:pBd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A55A7">
        <w:rPr>
          <w:rFonts w:ascii="Times New Roman" w:eastAsia="Calibri" w:hAnsi="Times New Roman" w:cs="Times New Roman"/>
          <w:b/>
          <w:bCs/>
          <w:kern w:val="0"/>
          <w:sz w:val="24"/>
          <w:szCs w:val="24"/>
          <w14:ligatures w14:val="none"/>
        </w:rPr>
        <w:t>MEMORANDUM IN SUPPORT</w:t>
      </w:r>
    </w:p>
    <w:p w:rsidR="008471C1" w:rsidRPr="00CA55A7" w:rsidP="008471C1" w14:paraId="0311BC77"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rsidR="004A47ED" w:rsidRPr="00CA55A7" w:rsidP="004A47ED" w14:paraId="18B63491" w14:textId="77777777">
      <w:pPr>
        <w:keepNext/>
        <w:spacing w:after="0" w:line="240" w:lineRule="auto"/>
        <w:outlineLvl w:val="0"/>
        <w:rPr>
          <w:rFonts w:ascii="Times New Roman" w:eastAsia="Times New Roman" w:hAnsi="Times New Roman" w:cs="Times New Roman"/>
          <w:b/>
          <w:caps/>
          <w:kern w:val="0"/>
          <w:sz w:val="24"/>
          <w:szCs w:val="24"/>
          <w14:ligatures w14:val="none"/>
        </w:rPr>
      </w:pPr>
    </w:p>
    <w:p w:rsidR="00B83367" w:rsidRPr="00CA55A7" w:rsidP="000739E5" w14:paraId="721B0775" w14:textId="6F5CB2CC">
      <w:pPr>
        <w:pStyle w:val="Heading1"/>
      </w:pPr>
      <w:bookmarkStart w:id="4" w:name="_Toc165626690"/>
      <w:r w:rsidRPr="00CA55A7">
        <w:t>INTRODUCTION</w:t>
      </w:r>
      <w:bookmarkEnd w:id="3"/>
      <w:bookmarkEnd w:id="4"/>
      <w:r w:rsidRPr="00CA55A7">
        <w:tab/>
      </w:r>
    </w:p>
    <w:p w:rsidR="00B04D34" w:rsidRPr="00CA55A7" w:rsidP="00996F88" w14:paraId="3FDA7A3E" w14:textId="4CAE7B8A">
      <w:pPr>
        <w:spacing w:after="0" w:line="480" w:lineRule="auto"/>
        <w:ind w:firstLine="720"/>
        <w:outlineLvl w:val="0"/>
        <w:rPr>
          <w:rFonts w:ascii="Times New Roman" w:eastAsia="Times New Roman" w:hAnsi="Times New Roman" w:cs="Times New Roman"/>
          <w:bCs/>
          <w:kern w:val="0"/>
          <w:sz w:val="24"/>
          <w:szCs w:val="24"/>
          <w14:ligatures w14:val="none"/>
        </w:rPr>
      </w:pPr>
      <w:r w:rsidRPr="00CA55A7">
        <w:rPr>
          <w:rFonts w:ascii="Times New Roman" w:eastAsia="Times New Roman" w:hAnsi="Times New Roman" w:cs="Times New Roman"/>
          <w:bCs/>
          <w:kern w:val="0"/>
          <w:sz w:val="24"/>
          <w:szCs w:val="24"/>
          <w14:ligatures w14:val="none"/>
        </w:rPr>
        <w:t>Electric Security Plans (</w:t>
      </w:r>
      <w:r w:rsidR="00CA55A7">
        <w:rPr>
          <w:rFonts w:ascii="Times New Roman" w:eastAsia="Times New Roman" w:hAnsi="Times New Roman" w:cs="Times New Roman"/>
          <w:bCs/>
          <w:kern w:val="0"/>
          <w:sz w:val="24"/>
          <w:szCs w:val="24"/>
          <w14:ligatures w14:val="none"/>
        </w:rPr>
        <w:t>“</w:t>
      </w:r>
      <w:r w:rsidRPr="00CA55A7">
        <w:rPr>
          <w:rFonts w:ascii="Times New Roman" w:eastAsia="Times New Roman" w:hAnsi="Times New Roman" w:cs="Times New Roman"/>
          <w:bCs/>
          <w:kern w:val="0"/>
          <w:sz w:val="24"/>
          <w:szCs w:val="24"/>
          <w14:ligatures w14:val="none"/>
        </w:rPr>
        <w:t>ESPs</w:t>
      </w:r>
      <w:r w:rsidR="00CA55A7">
        <w:rPr>
          <w:rFonts w:ascii="Times New Roman" w:eastAsia="Times New Roman" w:hAnsi="Times New Roman" w:cs="Times New Roman"/>
          <w:bCs/>
          <w:kern w:val="0"/>
          <w:sz w:val="24"/>
          <w:szCs w:val="24"/>
          <w14:ligatures w14:val="none"/>
        </w:rPr>
        <w:t>”</w:t>
      </w:r>
      <w:r w:rsidRPr="00CA55A7">
        <w:rPr>
          <w:rFonts w:ascii="Times New Roman" w:eastAsia="Times New Roman" w:hAnsi="Times New Roman" w:cs="Times New Roman"/>
          <w:bCs/>
          <w:kern w:val="0"/>
          <w:sz w:val="24"/>
          <w:szCs w:val="24"/>
          <w14:ligatures w14:val="none"/>
        </w:rPr>
        <w:t>) are an alternative form of Standard Service Offer (</w:t>
      </w:r>
      <w:r w:rsidR="00CA55A7">
        <w:rPr>
          <w:rFonts w:ascii="Times New Roman" w:eastAsia="Times New Roman" w:hAnsi="Times New Roman" w:cs="Times New Roman"/>
          <w:bCs/>
          <w:kern w:val="0"/>
          <w:sz w:val="24"/>
          <w:szCs w:val="24"/>
          <w14:ligatures w14:val="none"/>
        </w:rPr>
        <w:t>“</w:t>
      </w:r>
      <w:r w:rsidRPr="00CA55A7">
        <w:rPr>
          <w:rFonts w:ascii="Times New Roman" w:eastAsia="Times New Roman" w:hAnsi="Times New Roman" w:cs="Times New Roman"/>
          <w:bCs/>
          <w:kern w:val="0"/>
          <w:sz w:val="24"/>
          <w:szCs w:val="24"/>
          <w14:ligatures w14:val="none"/>
        </w:rPr>
        <w:t>SSO</w:t>
      </w:r>
      <w:r w:rsidR="00CA55A7">
        <w:rPr>
          <w:rFonts w:ascii="Times New Roman" w:eastAsia="Times New Roman" w:hAnsi="Times New Roman" w:cs="Times New Roman"/>
          <w:bCs/>
          <w:kern w:val="0"/>
          <w:sz w:val="24"/>
          <w:szCs w:val="24"/>
          <w14:ligatures w14:val="none"/>
        </w:rPr>
        <w:t>”</w:t>
      </w:r>
      <w:r w:rsidRPr="00CA55A7">
        <w:rPr>
          <w:rFonts w:ascii="Times New Roman" w:eastAsia="Times New Roman" w:hAnsi="Times New Roman" w:cs="Times New Roman"/>
          <w:bCs/>
          <w:kern w:val="0"/>
          <w:sz w:val="24"/>
          <w:szCs w:val="24"/>
          <w14:ligatures w14:val="none"/>
        </w:rPr>
        <w:t>)</w:t>
      </w:r>
      <w:r w:rsidRPr="00CA55A7" w:rsidR="00820D48">
        <w:rPr>
          <w:rFonts w:ascii="Times New Roman" w:eastAsia="Times New Roman" w:hAnsi="Times New Roman" w:cs="Times New Roman"/>
          <w:bCs/>
          <w:kern w:val="0"/>
          <w:sz w:val="24"/>
          <w:szCs w:val="24"/>
          <w14:ligatures w14:val="none"/>
        </w:rPr>
        <w:t xml:space="preserve"> that favor utilities over consumers</w:t>
      </w:r>
      <w:r w:rsidRPr="00CA55A7" w:rsidR="00893774">
        <w:rPr>
          <w:rFonts w:ascii="Times New Roman" w:eastAsia="Times New Roman" w:hAnsi="Times New Roman" w:cs="Times New Roman"/>
          <w:bCs/>
          <w:kern w:val="0"/>
          <w:sz w:val="24"/>
          <w:szCs w:val="24"/>
          <w14:ligatures w14:val="none"/>
        </w:rPr>
        <w:t>. They</w:t>
      </w:r>
      <w:r w:rsidRPr="00CA55A7">
        <w:rPr>
          <w:rFonts w:ascii="Times New Roman" w:eastAsia="Times New Roman" w:hAnsi="Times New Roman" w:cs="Times New Roman"/>
          <w:bCs/>
          <w:kern w:val="0"/>
          <w:sz w:val="24"/>
          <w:szCs w:val="24"/>
          <w14:ligatures w14:val="none"/>
        </w:rPr>
        <w:t xml:space="preserve"> are only </w:t>
      </w:r>
      <w:r w:rsidRPr="00CA55A7" w:rsidR="00A77D2F">
        <w:rPr>
          <w:rFonts w:ascii="Times New Roman" w:eastAsia="Times New Roman" w:hAnsi="Times New Roman" w:cs="Times New Roman"/>
          <w:bCs/>
          <w:kern w:val="0"/>
          <w:sz w:val="24"/>
          <w:szCs w:val="24"/>
          <w14:ligatures w14:val="none"/>
        </w:rPr>
        <w:t>permitted under Ohio law where the utility can make a showing that</w:t>
      </w:r>
      <w:r w:rsidRPr="00CA55A7" w:rsidR="00B77B40">
        <w:rPr>
          <w:rFonts w:ascii="Times New Roman" w:eastAsia="Times New Roman" w:hAnsi="Times New Roman" w:cs="Times New Roman"/>
          <w:bCs/>
          <w:kern w:val="0"/>
          <w:sz w:val="24"/>
          <w:szCs w:val="24"/>
          <w14:ligatures w14:val="none"/>
        </w:rPr>
        <w:t xml:space="preserve"> </w:t>
      </w:r>
      <w:r w:rsidRPr="00CA55A7">
        <w:rPr>
          <w:rFonts w:ascii="Times New Roman" w:eastAsia="Calibri" w:hAnsi="Times New Roman" w:cs="Times New Roman"/>
          <w:kern w:val="0"/>
          <w:sz w:val="24"/>
          <w:szCs w:val="24"/>
          <w14:ligatures w14:val="none"/>
        </w:rPr>
        <w:t xml:space="preserve">the ESP is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more favorable in the aggregate [to </w:t>
      </w:r>
      <w:r w:rsidRPr="00CA55A7" w:rsidR="00893774">
        <w:rPr>
          <w:rFonts w:ascii="Times New Roman" w:eastAsia="Calibri" w:hAnsi="Times New Roman" w:cs="Times New Roman"/>
          <w:kern w:val="0"/>
          <w:sz w:val="24"/>
          <w:szCs w:val="24"/>
          <w14:ligatures w14:val="none"/>
        </w:rPr>
        <w:t>consumers</w:t>
      </w:r>
      <w:r w:rsidRPr="00CA55A7">
        <w:rPr>
          <w:rFonts w:ascii="Times New Roman" w:eastAsia="Calibri" w:hAnsi="Times New Roman" w:cs="Times New Roman"/>
          <w:kern w:val="0"/>
          <w:sz w:val="24"/>
          <w:szCs w:val="24"/>
          <w14:ligatures w14:val="none"/>
        </w:rPr>
        <w:t>] as compared to the expected results that would otherwise apply</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 in a Market Rate Offer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MRO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under section 4928.142 of the Revised Code.</w:t>
      </w:r>
      <w:r>
        <w:rPr>
          <w:rStyle w:val="FootnoteReference"/>
          <w:rFonts w:ascii="Times New Roman" w:eastAsia="Calibri" w:hAnsi="Times New Roman" w:cs="Times New Roman"/>
          <w:kern w:val="0"/>
          <w:sz w:val="24"/>
          <w:szCs w:val="24"/>
          <w14:ligatures w14:val="none"/>
        </w:rPr>
        <w:footnoteReference w:id="4"/>
      </w:r>
      <w:r w:rsidRPr="00CA55A7" w:rsidR="00E20ADA">
        <w:rPr>
          <w:rFonts w:ascii="Times New Roman" w:eastAsia="Calibri" w:hAnsi="Times New Roman" w:cs="Times New Roman"/>
          <w:kern w:val="0"/>
          <w:sz w:val="24"/>
          <w:szCs w:val="24"/>
          <w14:ligatures w14:val="none"/>
        </w:rPr>
        <w:t xml:space="preserve"> </w:t>
      </w:r>
      <w:r w:rsidRPr="00CA55A7" w:rsidR="006C3232">
        <w:rPr>
          <w:rFonts w:ascii="Times New Roman" w:eastAsia="Times New Roman" w:hAnsi="Times New Roman" w:cs="Times New Roman"/>
          <w:bCs/>
          <w:kern w:val="0"/>
          <w:sz w:val="24"/>
          <w:szCs w:val="24"/>
          <w14:ligatures w14:val="none"/>
        </w:rPr>
        <w:t xml:space="preserve">Reviewing the </w:t>
      </w:r>
      <w:r w:rsidRPr="00CA55A7" w:rsidR="00526633">
        <w:rPr>
          <w:rFonts w:ascii="Times New Roman" w:eastAsia="Times New Roman" w:hAnsi="Times New Roman" w:cs="Times New Roman"/>
          <w:bCs/>
          <w:kern w:val="0"/>
          <w:sz w:val="24"/>
          <w:szCs w:val="24"/>
          <w14:ligatures w14:val="none"/>
        </w:rPr>
        <w:t>Settlement</w:t>
      </w:r>
      <w:r w:rsidRPr="00CA55A7" w:rsidR="006C3232">
        <w:rPr>
          <w:rFonts w:ascii="Times New Roman" w:eastAsia="Times New Roman" w:hAnsi="Times New Roman" w:cs="Times New Roman"/>
          <w:bCs/>
          <w:kern w:val="0"/>
          <w:sz w:val="24"/>
          <w:szCs w:val="24"/>
          <w14:ligatures w14:val="none"/>
        </w:rPr>
        <w:t>, and considering only those charges that have a specific dollar value attached to them, consumers will be subjected to an astronomical $1.337 billion in charges over the course of AEP</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s ESP V</w:t>
      </w:r>
      <w:r w:rsidRPr="00CA55A7" w:rsidR="00893774">
        <w:rPr>
          <w:rFonts w:ascii="Times New Roman" w:eastAsia="Times New Roman" w:hAnsi="Times New Roman" w:cs="Times New Roman"/>
          <w:bCs/>
          <w:kern w:val="0"/>
          <w:sz w:val="24"/>
          <w:szCs w:val="24"/>
          <w14:ligatures w14:val="none"/>
        </w:rPr>
        <w:t>.</w:t>
      </w:r>
      <w:r>
        <w:rPr>
          <w:rStyle w:val="FootnoteReference"/>
          <w:rFonts w:ascii="Times New Roman" w:eastAsia="Times New Roman" w:hAnsi="Times New Roman" w:cs="Times New Roman"/>
          <w:bCs/>
          <w:kern w:val="0"/>
          <w:sz w:val="24"/>
          <w:szCs w:val="24"/>
          <w14:ligatures w14:val="none"/>
        </w:rPr>
        <w:footnoteReference w:id="5"/>
      </w:r>
      <w:r w:rsidRPr="00CA55A7">
        <w:rPr>
          <w:rFonts w:ascii="Times New Roman" w:eastAsia="Times New Roman" w:hAnsi="Times New Roman" w:cs="Times New Roman"/>
          <w:bCs/>
          <w:kern w:val="0"/>
          <w:sz w:val="24"/>
          <w:szCs w:val="24"/>
          <w14:ligatures w14:val="none"/>
        </w:rPr>
        <w:t xml:space="preserve"> </w:t>
      </w:r>
    </w:p>
    <w:p w:rsidR="00550E1E" w:rsidRPr="00CA55A7" w:rsidP="001E0FDF" w14:paraId="21470424" w14:textId="460A9DA1">
      <w:pPr>
        <w:keepNext/>
        <w:spacing w:after="0" w:line="480" w:lineRule="auto"/>
        <w:ind w:firstLine="720"/>
        <w:outlineLvl w:val="0"/>
        <w:rPr>
          <w:rFonts w:ascii="Times New Roman" w:eastAsia="Times New Roman" w:hAnsi="Times New Roman" w:cs="Times New Roman"/>
          <w:bCs/>
          <w:caps/>
          <w:kern w:val="0"/>
          <w:sz w:val="24"/>
          <w:szCs w:val="24"/>
          <w14:ligatures w14:val="none"/>
        </w:rPr>
      </w:pPr>
      <w:r w:rsidRPr="00CA55A7">
        <w:rPr>
          <w:rFonts w:ascii="Times New Roman" w:eastAsia="Times New Roman" w:hAnsi="Times New Roman" w:cs="Times New Roman"/>
          <w:bCs/>
          <w:kern w:val="0"/>
          <w:sz w:val="24"/>
          <w:szCs w:val="24"/>
          <w14:ligatures w14:val="none"/>
        </w:rPr>
        <w:t>O</w:t>
      </w:r>
      <w:r w:rsidRPr="00CA55A7" w:rsidR="00B04BD0">
        <w:rPr>
          <w:rFonts w:ascii="Times New Roman" w:eastAsia="Times New Roman" w:hAnsi="Times New Roman" w:cs="Times New Roman"/>
          <w:bCs/>
          <w:kern w:val="0"/>
          <w:sz w:val="24"/>
          <w:szCs w:val="24"/>
          <w14:ligatures w14:val="none"/>
        </w:rPr>
        <w:t>ver $1 billion of charges</w:t>
      </w:r>
      <w:r w:rsidRPr="00CA55A7" w:rsidR="00824C0F">
        <w:rPr>
          <w:rFonts w:ascii="Times New Roman" w:eastAsia="Times New Roman" w:hAnsi="Times New Roman" w:cs="Times New Roman"/>
          <w:bCs/>
          <w:kern w:val="0"/>
          <w:sz w:val="24"/>
          <w:szCs w:val="24"/>
          <w14:ligatures w14:val="none"/>
        </w:rPr>
        <w:t xml:space="preserve"> </w:t>
      </w:r>
      <w:r w:rsidRPr="00CA55A7" w:rsidR="00B04BD0">
        <w:rPr>
          <w:rFonts w:ascii="Times New Roman" w:eastAsia="Times New Roman" w:hAnsi="Times New Roman" w:cs="Times New Roman"/>
          <w:bCs/>
          <w:kern w:val="0"/>
          <w:sz w:val="24"/>
          <w:szCs w:val="24"/>
          <w14:ligatures w14:val="none"/>
        </w:rPr>
        <w:t>ultimately authorized by the PUCO</w:t>
      </w:r>
      <w:r w:rsidR="00CA55A7">
        <w:rPr>
          <w:rFonts w:ascii="Times New Roman" w:eastAsia="Times New Roman" w:hAnsi="Times New Roman" w:cs="Times New Roman"/>
          <w:bCs/>
          <w:kern w:val="0"/>
          <w:sz w:val="24"/>
          <w:szCs w:val="24"/>
          <w14:ligatures w14:val="none"/>
        </w:rPr>
        <w:t>’</w:t>
      </w:r>
      <w:r w:rsidRPr="00CA55A7" w:rsidR="00B04BD0">
        <w:rPr>
          <w:rFonts w:ascii="Times New Roman" w:eastAsia="Times New Roman" w:hAnsi="Times New Roman" w:cs="Times New Roman"/>
          <w:bCs/>
          <w:kern w:val="0"/>
          <w:sz w:val="24"/>
          <w:szCs w:val="24"/>
          <w14:ligatures w14:val="none"/>
        </w:rPr>
        <w:t xml:space="preserve">s </w:t>
      </w:r>
      <w:r w:rsidRPr="00CA55A7" w:rsidR="00824C0F">
        <w:rPr>
          <w:rFonts w:ascii="Times New Roman" w:eastAsia="Times New Roman" w:hAnsi="Times New Roman" w:cs="Times New Roman"/>
          <w:bCs/>
          <w:kern w:val="0"/>
          <w:sz w:val="24"/>
          <w:szCs w:val="24"/>
          <w14:ligatures w14:val="none"/>
        </w:rPr>
        <w:t xml:space="preserve">Order </w:t>
      </w:r>
      <w:r w:rsidRPr="00CA55A7" w:rsidR="00425E31">
        <w:rPr>
          <w:rFonts w:ascii="Times New Roman" w:eastAsia="Times New Roman" w:hAnsi="Times New Roman" w:cs="Times New Roman"/>
          <w:bCs/>
          <w:kern w:val="0"/>
          <w:sz w:val="24"/>
          <w:szCs w:val="24"/>
          <w14:ligatures w14:val="none"/>
        </w:rPr>
        <w:t xml:space="preserve">are </w:t>
      </w:r>
      <w:r w:rsidRPr="00CA55A7" w:rsidR="00B04BD0">
        <w:rPr>
          <w:rFonts w:ascii="Times New Roman" w:eastAsia="Times New Roman" w:hAnsi="Times New Roman" w:cs="Times New Roman"/>
          <w:bCs/>
          <w:kern w:val="0"/>
          <w:sz w:val="24"/>
          <w:szCs w:val="24"/>
          <w14:ligatures w14:val="none"/>
        </w:rPr>
        <w:t xml:space="preserve">additional charges purportedly </w:t>
      </w:r>
      <w:r w:rsidRPr="00CA55A7" w:rsidR="00B04D34">
        <w:rPr>
          <w:rFonts w:ascii="Times New Roman" w:eastAsia="Times New Roman" w:hAnsi="Times New Roman" w:cs="Times New Roman"/>
          <w:bCs/>
          <w:kern w:val="0"/>
          <w:sz w:val="24"/>
          <w:szCs w:val="24"/>
          <w14:ligatures w14:val="none"/>
        </w:rPr>
        <w:t>for</w:t>
      </w:r>
      <w:r w:rsidRPr="00CA55A7" w:rsidR="00526633">
        <w:rPr>
          <w:rFonts w:ascii="Times New Roman" w:eastAsia="Times New Roman" w:hAnsi="Times New Roman" w:cs="Times New Roman"/>
          <w:bCs/>
          <w:kern w:val="0"/>
          <w:sz w:val="24"/>
          <w:szCs w:val="24"/>
          <w14:ligatures w14:val="none"/>
        </w:rPr>
        <w:t xml:space="preserve"> service reliability</w:t>
      </w:r>
      <w:r w:rsidRPr="00CA55A7" w:rsidR="00B04BD0">
        <w:rPr>
          <w:rFonts w:ascii="Times New Roman" w:eastAsia="Times New Roman" w:hAnsi="Times New Roman" w:cs="Times New Roman"/>
          <w:bCs/>
          <w:kern w:val="0"/>
          <w:sz w:val="24"/>
          <w:szCs w:val="24"/>
          <w14:ligatures w14:val="none"/>
        </w:rPr>
        <w:t xml:space="preserve"> and infrastructure.</w:t>
      </w:r>
      <w:r>
        <w:rPr>
          <w:rStyle w:val="FootnoteReference"/>
          <w:rFonts w:ascii="Times New Roman" w:eastAsia="Times New Roman" w:hAnsi="Times New Roman" w:cs="Times New Roman"/>
          <w:bCs/>
          <w:kern w:val="0"/>
          <w:sz w:val="24"/>
          <w:szCs w:val="24"/>
          <w14:ligatures w14:val="none"/>
        </w:rPr>
        <w:footnoteReference w:id="6"/>
      </w:r>
      <w:r w:rsidRPr="00CA55A7" w:rsidR="00E20ADA">
        <w:rPr>
          <w:rFonts w:ascii="Times New Roman" w:eastAsia="Times New Roman" w:hAnsi="Times New Roman" w:cs="Times New Roman"/>
          <w:bCs/>
          <w:kern w:val="0"/>
          <w:sz w:val="24"/>
          <w:szCs w:val="24"/>
          <w14:ligatures w14:val="none"/>
        </w:rPr>
        <w:t xml:space="preserve"> </w:t>
      </w:r>
      <w:r w:rsidRPr="00CA55A7">
        <w:rPr>
          <w:rFonts w:ascii="Times New Roman" w:eastAsia="Times New Roman" w:hAnsi="Times New Roman" w:cs="Times New Roman"/>
          <w:bCs/>
          <w:kern w:val="0"/>
          <w:sz w:val="24"/>
          <w:szCs w:val="24"/>
          <w14:ligatures w14:val="none"/>
        </w:rPr>
        <w:t>Adding insult to consumers</w:t>
      </w:r>
      <w:r w:rsidR="00CA55A7">
        <w:rPr>
          <w:rFonts w:ascii="Times New Roman" w:eastAsia="Times New Roman" w:hAnsi="Times New Roman" w:cs="Times New Roman"/>
          <w:bCs/>
          <w:kern w:val="0"/>
          <w:sz w:val="24"/>
          <w:szCs w:val="24"/>
          <w14:ligatures w14:val="none"/>
        </w:rPr>
        <w:t>’</w:t>
      </w:r>
      <w:r w:rsidRPr="00CA55A7">
        <w:rPr>
          <w:rFonts w:ascii="Times New Roman" w:eastAsia="Times New Roman" w:hAnsi="Times New Roman" w:cs="Times New Roman"/>
          <w:bCs/>
          <w:kern w:val="0"/>
          <w:sz w:val="24"/>
          <w:szCs w:val="24"/>
          <w14:ligatures w14:val="none"/>
        </w:rPr>
        <w:t xml:space="preserve"> injury, t</w:t>
      </w:r>
      <w:r w:rsidRPr="00CA55A7" w:rsidR="006C3232">
        <w:rPr>
          <w:rFonts w:ascii="Times New Roman" w:eastAsia="Times New Roman" w:hAnsi="Times New Roman" w:cs="Times New Roman"/>
          <w:bCs/>
          <w:kern w:val="0"/>
          <w:sz w:val="24"/>
          <w:szCs w:val="24"/>
          <w14:ligatures w14:val="none"/>
        </w:rPr>
        <w:t>hat number does not include the Advanced Distribution Management System (</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ADMS</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w:t>
      </w:r>
      <w:r>
        <w:rPr>
          <w:rStyle w:val="FootnoteReference"/>
          <w:rFonts w:ascii="Times New Roman" w:eastAsia="Times New Roman" w:hAnsi="Times New Roman" w:cs="Times New Roman"/>
          <w:bCs/>
          <w:kern w:val="0"/>
          <w:sz w:val="24"/>
          <w:szCs w:val="24"/>
          <w14:ligatures w14:val="none"/>
        </w:rPr>
        <w:footnoteReference w:id="7"/>
      </w:r>
      <w:r w:rsidRPr="00CA55A7" w:rsidR="00E20ADA">
        <w:rPr>
          <w:rFonts w:ascii="Times New Roman" w:eastAsia="Times New Roman" w:hAnsi="Times New Roman" w:cs="Times New Roman"/>
          <w:bCs/>
          <w:kern w:val="0"/>
          <w:sz w:val="24"/>
          <w:szCs w:val="24"/>
          <w14:ligatures w14:val="none"/>
        </w:rPr>
        <w:t xml:space="preserve"> </w:t>
      </w:r>
      <w:r w:rsidRPr="00CA55A7" w:rsidR="006C3232">
        <w:rPr>
          <w:rFonts w:ascii="Times New Roman" w:eastAsia="Times New Roman" w:hAnsi="Times New Roman" w:cs="Times New Roman"/>
          <w:bCs/>
          <w:kern w:val="0"/>
          <w:sz w:val="24"/>
          <w:szCs w:val="24"/>
          <w14:ligatures w14:val="none"/>
        </w:rPr>
        <w:t>and heat map charges (which the Settlement authorizes but does not quantify)</w:t>
      </w:r>
      <w:r w:rsidRPr="00CA55A7">
        <w:rPr>
          <w:rFonts w:ascii="Times New Roman" w:eastAsia="Times New Roman" w:hAnsi="Times New Roman" w:cs="Times New Roman"/>
          <w:bCs/>
          <w:kern w:val="0"/>
          <w:sz w:val="24"/>
          <w:szCs w:val="24"/>
          <w14:ligatures w14:val="none"/>
        </w:rPr>
        <w:t>,</w:t>
      </w:r>
      <w:r>
        <w:rPr>
          <w:rStyle w:val="FootnoteReference"/>
          <w:rFonts w:ascii="Times New Roman" w:eastAsia="Times New Roman" w:hAnsi="Times New Roman" w:cs="Times New Roman"/>
          <w:bCs/>
          <w:kern w:val="0"/>
          <w:sz w:val="24"/>
          <w:szCs w:val="24"/>
          <w14:ligatures w14:val="none"/>
        </w:rPr>
        <w:footnoteReference w:id="8"/>
      </w:r>
      <w:r w:rsidRPr="00CA55A7" w:rsidR="006C3232">
        <w:rPr>
          <w:rFonts w:ascii="Times New Roman" w:eastAsia="Times New Roman" w:hAnsi="Times New Roman" w:cs="Times New Roman"/>
          <w:bCs/>
          <w:kern w:val="0"/>
          <w:sz w:val="24"/>
          <w:szCs w:val="24"/>
          <w14:ligatures w14:val="none"/>
        </w:rPr>
        <w:t xml:space="preserve"> the Customer Information System (</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CIS</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 charges that the Settlement allows AEP to recoup in a later case (plus 5% annual interest)</w:t>
      </w:r>
      <w:r w:rsidRPr="00CA55A7">
        <w:rPr>
          <w:rFonts w:ascii="Times New Roman" w:eastAsia="Times New Roman" w:hAnsi="Times New Roman" w:cs="Times New Roman"/>
          <w:bCs/>
          <w:kern w:val="0"/>
          <w:sz w:val="24"/>
          <w:szCs w:val="24"/>
          <w14:ligatures w14:val="none"/>
        </w:rPr>
        <w:t>,</w:t>
      </w:r>
      <w:r>
        <w:rPr>
          <w:rStyle w:val="FootnoteReference"/>
          <w:rFonts w:ascii="Times New Roman" w:eastAsia="Times New Roman" w:hAnsi="Times New Roman" w:cs="Times New Roman"/>
          <w:bCs/>
          <w:kern w:val="0"/>
          <w:sz w:val="24"/>
          <w:szCs w:val="24"/>
          <w14:ligatures w14:val="none"/>
        </w:rPr>
        <w:footnoteReference w:id="9"/>
      </w:r>
      <w:r w:rsidRPr="00CA55A7" w:rsidR="006C3232">
        <w:rPr>
          <w:rFonts w:ascii="Times New Roman" w:eastAsia="Times New Roman" w:hAnsi="Times New Roman" w:cs="Times New Roman"/>
          <w:bCs/>
          <w:kern w:val="0"/>
          <w:sz w:val="24"/>
          <w:szCs w:val="24"/>
          <w14:ligatures w14:val="none"/>
        </w:rPr>
        <w:t xml:space="preserve"> or the potential for an additional $8-16 million in Cost In Aid Of Construction (</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CIAC</w:t>
      </w:r>
      <w:r w:rsidR="00CA55A7">
        <w:rPr>
          <w:rFonts w:ascii="Times New Roman" w:eastAsia="Times New Roman" w:hAnsi="Times New Roman" w:cs="Times New Roman"/>
          <w:bCs/>
          <w:kern w:val="0"/>
          <w:sz w:val="24"/>
          <w:szCs w:val="24"/>
          <w14:ligatures w14:val="none"/>
        </w:rPr>
        <w:t>”</w:t>
      </w:r>
      <w:r w:rsidRPr="00CA55A7" w:rsidR="006C3232">
        <w:rPr>
          <w:rFonts w:ascii="Times New Roman" w:eastAsia="Times New Roman" w:hAnsi="Times New Roman" w:cs="Times New Roman"/>
          <w:bCs/>
          <w:kern w:val="0"/>
          <w:sz w:val="24"/>
          <w:szCs w:val="24"/>
          <w14:ligatures w14:val="none"/>
        </w:rPr>
        <w:t>) expenditures.</w:t>
      </w:r>
      <w:r>
        <w:rPr>
          <w:rStyle w:val="FootnoteReference"/>
          <w:rFonts w:ascii="Times New Roman" w:eastAsia="Times New Roman" w:hAnsi="Times New Roman" w:cs="Times New Roman"/>
          <w:bCs/>
          <w:kern w:val="0"/>
          <w:sz w:val="24"/>
          <w:szCs w:val="24"/>
          <w14:ligatures w14:val="none"/>
        </w:rPr>
        <w:footnoteReference w:id="10"/>
      </w:r>
      <w:r w:rsidRPr="00CA55A7" w:rsidR="00E20ADA">
        <w:rPr>
          <w:rFonts w:ascii="Times New Roman" w:eastAsia="Times New Roman" w:hAnsi="Times New Roman" w:cs="Times New Roman"/>
          <w:bCs/>
          <w:caps/>
          <w:kern w:val="0"/>
          <w:sz w:val="24"/>
          <w:szCs w:val="24"/>
          <w14:ligatures w14:val="none"/>
        </w:rPr>
        <w:t xml:space="preserve"> </w:t>
      </w:r>
    </w:p>
    <w:p w:rsidR="00073261" w:rsidRPr="00CA55A7" w:rsidP="006A4EEC" w14:paraId="5A6D8BAA" w14:textId="46404FD6">
      <w:pPr>
        <w:keepNext/>
        <w:spacing w:after="0" w:line="480" w:lineRule="auto"/>
        <w:ind w:firstLine="720"/>
        <w:outlineLvl w:val="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Throughout ESP IV</w:t>
      </w:r>
      <w:r w:rsidRPr="00CA55A7" w:rsidR="00B04BD0">
        <w:rPr>
          <w:rFonts w:ascii="Times New Roman" w:eastAsia="Times New Roman" w:hAnsi="Times New Roman" w:cs="Times New Roman"/>
          <w:kern w:val="0"/>
          <w:sz w:val="24"/>
          <w:szCs w:val="24"/>
          <w14:ligatures w14:val="none"/>
        </w:rPr>
        <w:t>, specifically from 2020 through 2022</w:t>
      </w:r>
      <w:r w:rsidRPr="00CA55A7">
        <w:rPr>
          <w:rFonts w:ascii="Times New Roman" w:eastAsia="Times New Roman" w:hAnsi="Times New Roman" w:cs="Times New Roman"/>
          <w:kern w:val="0"/>
          <w:sz w:val="24"/>
          <w:szCs w:val="24"/>
          <w14:ligatures w14:val="none"/>
        </w:rPr>
        <w:t>, the PUCO found</w:t>
      </w:r>
      <w:r w:rsidRPr="00CA55A7" w:rsidR="00B04BD0">
        <w:rPr>
          <w:rFonts w:ascii="Times New Roman" w:eastAsia="Times New Roman" w:hAnsi="Times New Roman" w:cs="Times New Roman"/>
          <w:kern w:val="0"/>
          <w:sz w:val="24"/>
          <w:szCs w:val="24"/>
          <w14:ligatures w14:val="none"/>
        </w:rPr>
        <w:t xml:space="preserve"> that</w:t>
      </w:r>
      <w:r w:rsidRPr="00CA55A7">
        <w:rPr>
          <w:rFonts w:ascii="Times New Roman" w:eastAsia="Times New Roman" w:hAnsi="Times New Roman" w:cs="Times New Roman"/>
          <w:kern w:val="0"/>
          <w:sz w:val="24"/>
          <w:szCs w:val="24"/>
          <w14:ligatures w14:val="none"/>
        </w:rPr>
        <w:t xml:space="preserve"> AEP routinely met its reliability standards and its </w:t>
      </w:r>
      <w:r w:rsidRPr="00CA55A7" w:rsidR="00893774">
        <w:rPr>
          <w:rFonts w:ascii="Times New Roman" w:eastAsia="Times New Roman" w:hAnsi="Times New Roman" w:cs="Times New Roman"/>
          <w:kern w:val="0"/>
          <w:sz w:val="24"/>
          <w:szCs w:val="24"/>
          <w14:ligatures w14:val="none"/>
        </w:rPr>
        <w:t xml:space="preserve">consumers </w:t>
      </w:r>
      <w:r w:rsidRPr="00CA55A7">
        <w:rPr>
          <w:rFonts w:ascii="Times New Roman" w:eastAsia="Times New Roman" w:hAnsi="Times New Roman" w:cs="Times New Roman"/>
          <w:kern w:val="0"/>
          <w:sz w:val="24"/>
          <w:szCs w:val="24"/>
          <w14:ligatures w14:val="none"/>
        </w:rPr>
        <w:t>were satisfied with the reliability of electric services AEP</w:t>
      </w:r>
      <w:r w:rsidRPr="00CA55A7">
        <w:rPr>
          <w:rFonts w:ascii="Times New Roman" w:eastAsia="Times New Roman" w:hAnsi="Times New Roman" w:cs="Times New Roman"/>
          <w:kern w:val="0"/>
          <w:sz w:val="24"/>
          <w:szCs w:val="24"/>
          <w14:ligatures w14:val="none"/>
        </w:rPr>
        <w:t xml:space="preserve"> provided</w:t>
      </w:r>
      <w:r w:rsidRPr="00CA55A7" w:rsidR="00893774">
        <w:rPr>
          <w:rFonts w:ascii="Times New Roman" w:eastAsia="Times New Roman" w:hAnsi="Times New Roman" w:cs="Times New Roman"/>
          <w:kern w:val="0"/>
          <w:sz w:val="24"/>
          <w:szCs w:val="24"/>
          <w14:ligatures w14:val="none"/>
        </w:rPr>
        <w:t>.</w:t>
      </w:r>
      <w:r>
        <w:rPr>
          <w:rStyle w:val="FootnoteReference"/>
          <w:rFonts w:ascii="Times New Roman" w:eastAsia="Times New Roman" w:hAnsi="Times New Roman" w:cs="Times New Roman"/>
          <w:kern w:val="0"/>
          <w:sz w:val="24"/>
          <w:szCs w:val="24"/>
          <w14:ligatures w14:val="none"/>
        </w:rPr>
        <w:footnoteReference w:id="11"/>
      </w:r>
      <w:r w:rsidRPr="00CA55A7" w:rsidR="00E20ADA">
        <w:rPr>
          <w:rFonts w:ascii="Times New Roman" w:eastAsia="Times New Roman" w:hAnsi="Times New Roman" w:cs="Times New Roman"/>
          <w:kern w:val="0"/>
          <w:sz w:val="24"/>
          <w:szCs w:val="24"/>
          <w14:ligatures w14:val="none"/>
        </w:rPr>
        <w:t xml:space="preserve"> </w:t>
      </w:r>
      <w:r w:rsidRPr="00CA55A7" w:rsidR="00812C43">
        <w:rPr>
          <w:rFonts w:ascii="Times New Roman" w:eastAsia="Times New Roman" w:hAnsi="Times New Roman" w:cs="Times New Roman"/>
          <w:kern w:val="0"/>
          <w:sz w:val="24"/>
          <w:szCs w:val="24"/>
          <w14:ligatures w14:val="none"/>
        </w:rPr>
        <w:t>Yet</w:t>
      </w:r>
      <w:r w:rsidRPr="00CA55A7">
        <w:rPr>
          <w:rFonts w:ascii="Times New Roman" w:eastAsia="Times New Roman" w:hAnsi="Times New Roman" w:cs="Times New Roman"/>
          <w:kern w:val="0"/>
          <w:sz w:val="24"/>
          <w:szCs w:val="24"/>
          <w14:ligatures w14:val="none"/>
        </w:rPr>
        <w:t xml:space="preserve"> </w:t>
      </w:r>
      <w:r w:rsidRPr="00CA55A7" w:rsidR="006C3232">
        <w:rPr>
          <w:rFonts w:ascii="Times New Roman" w:eastAsia="Times New Roman" w:hAnsi="Times New Roman" w:cs="Times New Roman"/>
          <w:kern w:val="0"/>
          <w:sz w:val="24"/>
          <w:szCs w:val="24"/>
          <w14:ligatures w14:val="none"/>
        </w:rPr>
        <w:t xml:space="preserve">the </w:t>
      </w:r>
      <w:r w:rsidRPr="00CA55A7" w:rsidR="00B04BD0">
        <w:rPr>
          <w:rFonts w:ascii="Times New Roman" w:eastAsia="Times New Roman" w:hAnsi="Times New Roman" w:cs="Times New Roman"/>
          <w:kern w:val="0"/>
          <w:sz w:val="24"/>
          <w:szCs w:val="24"/>
          <w14:ligatures w14:val="none"/>
        </w:rPr>
        <w:t xml:space="preserve">Settlement </w:t>
      </w:r>
      <w:r w:rsidRPr="00CA55A7" w:rsidR="000D42B6">
        <w:rPr>
          <w:rFonts w:ascii="Times New Roman" w:eastAsia="Times New Roman" w:hAnsi="Times New Roman" w:cs="Times New Roman"/>
          <w:kern w:val="0"/>
          <w:sz w:val="24"/>
          <w:szCs w:val="24"/>
          <w14:ligatures w14:val="none"/>
        </w:rPr>
        <w:t>allows</w:t>
      </w:r>
      <w:r w:rsidRPr="00CA55A7" w:rsidR="006C3232">
        <w:rPr>
          <w:rFonts w:ascii="Times New Roman" w:eastAsia="Times New Roman" w:hAnsi="Times New Roman" w:cs="Times New Roman"/>
          <w:kern w:val="0"/>
          <w:sz w:val="24"/>
          <w:szCs w:val="24"/>
          <w14:ligatures w14:val="none"/>
        </w:rPr>
        <w:t xml:space="preserve"> AEP to charge consumers nearly three times more for ESP V than what was approved for ESP IV</w:t>
      </w:r>
      <w:r w:rsidRPr="00CA55A7" w:rsidR="00812C43">
        <w:rPr>
          <w:rFonts w:ascii="Times New Roman" w:eastAsia="Times New Roman" w:hAnsi="Times New Roman" w:cs="Times New Roman"/>
          <w:kern w:val="0"/>
          <w:sz w:val="24"/>
          <w:szCs w:val="24"/>
          <w14:ligatures w14:val="none"/>
        </w:rPr>
        <w:t xml:space="preserve"> – </w:t>
      </w:r>
      <w:r w:rsidRPr="00CA55A7" w:rsidR="006C3232">
        <w:rPr>
          <w:rFonts w:ascii="Times New Roman" w:eastAsia="Times New Roman" w:hAnsi="Times New Roman" w:cs="Times New Roman"/>
          <w:kern w:val="0"/>
          <w:sz w:val="24"/>
          <w:szCs w:val="24"/>
          <w14:ligatures w14:val="none"/>
        </w:rPr>
        <w:t>nearly $1 billion in additional charges to consumers</w:t>
      </w:r>
      <w:r w:rsidRPr="00CA55A7" w:rsidR="00812C43">
        <w:rPr>
          <w:rFonts w:ascii="Times New Roman" w:eastAsia="Times New Roman" w:hAnsi="Times New Roman" w:cs="Times New Roman"/>
          <w:kern w:val="0"/>
          <w:sz w:val="24"/>
          <w:szCs w:val="24"/>
          <w14:ligatures w14:val="none"/>
        </w:rPr>
        <w:t>.</w:t>
      </w:r>
      <w:r>
        <w:rPr>
          <w:rStyle w:val="FootnoteReference"/>
          <w:rFonts w:ascii="Times New Roman" w:eastAsia="Times New Roman" w:hAnsi="Times New Roman" w:cs="Times New Roman"/>
          <w:kern w:val="0"/>
          <w:sz w:val="24"/>
          <w:szCs w:val="24"/>
          <w14:ligatures w14:val="none"/>
        </w:rPr>
        <w:footnoteReference w:id="12"/>
      </w:r>
      <w:r w:rsidRPr="00CA55A7" w:rsidR="0028014E">
        <w:rPr>
          <w:rFonts w:ascii="Times New Roman" w:eastAsia="Calibri" w:hAnsi="Times New Roman" w:cs="Times New Roman"/>
          <w:kern w:val="0"/>
          <w:sz w:val="24"/>
          <w:szCs w:val="24"/>
          <w14:ligatures w14:val="none"/>
        </w:rPr>
        <w:t xml:space="preserve"> In light of AEP</w:t>
      </w:r>
      <w:r w:rsidR="00CA55A7">
        <w:rPr>
          <w:rFonts w:ascii="Times New Roman" w:eastAsia="Calibri" w:hAnsi="Times New Roman" w:cs="Times New Roman"/>
          <w:kern w:val="0"/>
          <w:sz w:val="24"/>
          <w:szCs w:val="24"/>
          <w14:ligatures w14:val="none"/>
        </w:rPr>
        <w:t>’</w:t>
      </w:r>
      <w:r w:rsidRPr="00CA55A7" w:rsidR="0028014E">
        <w:rPr>
          <w:rFonts w:ascii="Times New Roman" w:eastAsia="Calibri" w:hAnsi="Times New Roman" w:cs="Times New Roman"/>
          <w:kern w:val="0"/>
          <w:sz w:val="24"/>
          <w:szCs w:val="24"/>
          <w14:ligatures w14:val="none"/>
        </w:rPr>
        <w:t xml:space="preserve">s past reliability performance, the enormous increased charges purportedly for reliability raises the question of whether the </w:t>
      </w:r>
      <w:r w:rsidRPr="00CA55A7" w:rsidR="0028014E">
        <w:rPr>
          <w:rFonts w:ascii="Times New Roman" w:eastAsia="Calibri" w:hAnsi="Times New Roman" w:cs="Times New Roman"/>
          <w:i/>
          <w:iCs/>
          <w:kern w:val="0"/>
          <w:sz w:val="24"/>
          <w:szCs w:val="24"/>
          <w14:ligatures w14:val="none"/>
        </w:rPr>
        <w:t xml:space="preserve">real </w:t>
      </w:r>
      <w:r w:rsidRPr="00CA55A7" w:rsidR="0028014E">
        <w:rPr>
          <w:rFonts w:ascii="Times New Roman" w:eastAsia="Calibri" w:hAnsi="Times New Roman" w:cs="Times New Roman"/>
          <w:kern w:val="0"/>
          <w:sz w:val="24"/>
          <w:szCs w:val="24"/>
          <w14:ligatures w14:val="none"/>
        </w:rPr>
        <w:t>motivation for AEP</w:t>
      </w:r>
      <w:r w:rsidR="00CA55A7">
        <w:rPr>
          <w:rFonts w:ascii="Times New Roman" w:eastAsia="Calibri" w:hAnsi="Times New Roman" w:cs="Times New Roman"/>
          <w:kern w:val="0"/>
          <w:sz w:val="24"/>
          <w:szCs w:val="24"/>
          <w14:ligatures w14:val="none"/>
        </w:rPr>
        <w:t>’</w:t>
      </w:r>
      <w:r w:rsidRPr="00CA55A7" w:rsidR="0028014E">
        <w:rPr>
          <w:rFonts w:ascii="Times New Roman" w:eastAsia="Calibri" w:hAnsi="Times New Roman" w:cs="Times New Roman"/>
          <w:kern w:val="0"/>
          <w:sz w:val="24"/>
          <w:szCs w:val="24"/>
          <w14:ligatures w14:val="none"/>
        </w:rPr>
        <w:t xml:space="preserve">s money-grab from consumers </w:t>
      </w:r>
      <w:r w:rsidRPr="00CA55A7" w:rsidR="007C0CBD">
        <w:rPr>
          <w:rFonts w:ascii="Times New Roman" w:eastAsia="Calibri" w:hAnsi="Times New Roman" w:cs="Times New Roman"/>
          <w:kern w:val="0"/>
          <w:sz w:val="24"/>
          <w:szCs w:val="24"/>
          <w14:ligatures w14:val="none"/>
        </w:rPr>
        <w:t>is</w:t>
      </w:r>
      <w:r w:rsidRPr="00CA55A7" w:rsidR="0028014E">
        <w:rPr>
          <w:rFonts w:ascii="Times New Roman" w:eastAsia="Calibri" w:hAnsi="Times New Roman" w:cs="Times New Roman"/>
          <w:kern w:val="0"/>
          <w:sz w:val="24"/>
          <w:szCs w:val="24"/>
          <w14:ligatures w14:val="none"/>
        </w:rPr>
        <w:t xml:space="preserve"> about paving the way to serve large, commercial/industrial customers (such as data centers).</w:t>
      </w:r>
      <w:r>
        <w:rPr>
          <w:rStyle w:val="FootnoteReference"/>
          <w:rFonts w:ascii="Times New Roman" w:eastAsia="Calibri" w:hAnsi="Times New Roman" w:cs="Times New Roman"/>
          <w:kern w:val="0"/>
          <w:sz w:val="24"/>
          <w:szCs w:val="24"/>
          <w14:ligatures w14:val="none"/>
        </w:rPr>
        <w:footnoteReference w:id="13"/>
      </w:r>
      <w:r w:rsidR="00CA55A7">
        <w:rPr>
          <w:rFonts w:ascii="Times New Roman" w:eastAsia="Calibri" w:hAnsi="Times New Roman" w:cs="Times New Roman"/>
          <w:kern w:val="0"/>
          <w:sz w:val="24"/>
          <w:szCs w:val="24"/>
          <w14:ligatures w14:val="none"/>
        </w:rPr>
        <w:t xml:space="preserve"> </w:t>
      </w:r>
    </w:p>
    <w:p w:rsidR="006C3232" w:rsidRPr="00CA55A7" w:rsidP="006A4EEC" w14:paraId="24059FFA" w14:textId="37A37D43">
      <w:pPr>
        <w:keepNext/>
        <w:spacing w:after="0" w:line="480" w:lineRule="auto"/>
        <w:ind w:firstLine="720"/>
        <w:outlineLvl w:val="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The PUCO relies on</w:t>
      </w:r>
      <w:r w:rsidRPr="00CA55A7" w:rsidR="006A4EEC">
        <w:rPr>
          <w:rFonts w:ascii="Times New Roman" w:eastAsia="Times New Roman" w:hAnsi="Times New Roman" w:cs="Times New Roman"/>
          <w:kern w:val="0"/>
          <w:sz w:val="24"/>
          <w:szCs w:val="24"/>
          <w14:ligatures w14:val="none"/>
        </w:rPr>
        <w:t xml:space="preserve"> service reliability as the main justification for these additional charges</w:t>
      </w:r>
      <w:r w:rsidRPr="00CA55A7">
        <w:rPr>
          <w:rFonts w:ascii="Times New Roman" w:eastAsia="Times New Roman" w:hAnsi="Times New Roman" w:cs="Times New Roman"/>
          <w:kern w:val="0"/>
          <w:sz w:val="24"/>
          <w:szCs w:val="24"/>
          <w14:ligatures w14:val="none"/>
        </w:rPr>
        <w:t>.</w:t>
      </w:r>
      <w:r>
        <w:rPr>
          <w:rStyle w:val="FootnoteReference"/>
          <w:rFonts w:ascii="Times New Roman" w:eastAsia="Times New Roman" w:hAnsi="Times New Roman" w:cs="Times New Roman"/>
          <w:kern w:val="0"/>
          <w:sz w:val="24"/>
          <w:szCs w:val="24"/>
          <w14:ligatures w14:val="none"/>
        </w:rPr>
        <w:footnoteReference w:id="14"/>
      </w:r>
      <w:r w:rsidRPr="00CA55A7" w:rsidR="00E20ADA">
        <w:rPr>
          <w:rFonts w:ascii="Times New Roman" w:eastAsia="Times New Roman" w:hAnsi="Times New Roman" w:cs="Times New Roman"/>
          <w:kern w:val="0"/>
          <w:sz w:val="24"/>
          <w:szCs w:val="24"/>
          <w14:ligatures w14:val="none"/>
        </w:rPr>
        <w:t xml:space="preserve"> </w:t>
      </w:r>
      <w:r w:rsidRPr="00CA55A7" w:rsidR="00425E31">
        <w:rPr>
          <w:rFonts w:ascii="Times New Roman" w:eastAsia="Times New Roman" w:hAnsi="Times New Roman" w:cs="Times New Roman"/>
          <w:kern w:val="0"/>
          <w:sz w:val="24"/>
          <w:szCs w:val="24"/>
          <w14:ligatures w14:val="none"/>
        </w:rPr>
        <w:t>But t</w:t>
      </w:r>
      <w:r w:rsidRPr="00CA55A7" w:rsidR="00CF6012">
        <w:rPr>
          <w:rFonts w:ascii="Times New Roman" w:eastAsia="Times New Roman" w:hAnsi="Times New Roman" w:cs="Times New Roman"/>
          <w:kern w:val="0"/>
          <w:sz w:val="24"/>
          <w:szCs w:val="24"/>
          <w14:ligatures w14:val="none"/>
        </w:rPr>
        <w:t xml:space="preserve">he record </w:t>
      </w:r>
      <w:r w:rsidRPr="00CA55A7" w:rsidR="006A4EEC">
        <w:rPr>
          <w:rFonts w:ascii="Times New Roman" w:eastAsia="Times New Roman" w:hAnsi="Times New Roman" w:cs="Times New Roman"/>
          <w:kern w:val="0"/>
          <w:sz w:val="24"/>
          <w:szCs w:val="24"/>
          <w14:ligatures w14:val="none"/>
        </w:rPr>
        <w:t xml:space="preserve">in this matter </w:t>
      </w:r>
      <w:r w:rsidRPr="00CA55A7" w:rsidR="003A3550">
        <w:rPr>
          <w:rFonts w:ascii="Times New Roman" w:eastAsia="Times New Roman" w:hAnsi="Times New Roman" w:cs="Times New Roman"/>
          <w:kern w:val="0"/>
          <w:sz w:val="24"/>
          <w:szCs w:val="24"/>
          <w14:ligatures w14:val="none"/>
        </w:rPr>
        <w:t>is wholly</w:t>
      </w:r>
      <w:r w:rsidRPr="00CA55A7" w:rsidR="00CF6012">
        <w:rPr>
          <w:rFonts w:ascii="Times New Roman" w:eastAsia="Times New Roman" w:hAnsi="Times New Roman" w:cs="Times New Roman"/>
          <w:kern w:val="0"/>
          <w:sz w:val="24"/>
          <w:szCs w:val="24"/>
          <w14:ligatures w14:val="none"/>
        </w:rPr>
        <w:t xml:space="preserve"> devoid of evidentiary support for increase</w:t>
      </w:r>
      <w:r w:rsidRPr="00CA55A7" w:rsidR="003A3550">
        <w:rPr>
          <w:rFonts w:ascii="Times New Roman" w:eastAsia="Times New Roman" w:hAnsi="Times New Roman" w:cs="Times New Roman"/>
          <w:kern w:val="0"/>
          <w:sz w:val="24"/>
          <w:szCs w:val="24"/>
          <w14:ligatures w14:val="none"/>
        </w:rPr>
        <w:t>d</w:t>
      </w:r>
      <w:r w:rsidRPr="00CA55A7" w:rsidR="00CF6012">
        <w:rPr>
          <w:rFonts w:ascii="Times New Roman" w:eastAsia="Times New Roman" w:hAnsi="Times New Roman" w:cs="Times New Roman"/>
          <w:kern w:val="0"/>
          <w:sz w:val="24"/>
          <w:szCs w:val="24"/>
          <w14:ligatures w14:val="none"/>
        </w:rPr>
        <w:t xml:space="preserve"> </w:t>
      </w:r>
      <w:r w:rsidRPr="00CA55A7" w:rsidR="003A3550">
        <w:rPr>
          <w:rFonts w:ascii="Times New Roman" w:eastAsia="Times New Roman" w:hAnsi="Times New Roman" w:cs="Times New Roman"/>
          <w:kern w:val="0"/>
          <w:sz w:val="24"/>
          <w:szCs w:val="24"/>
          <w14:ligatures w14:val="none"/>
        </w:rPr>
        <w:t>reliability</w:t>
      </w:r>
      <w:r w:rsidRPr="00CA55A7" w:rsidR="00073261">
        <w:rPr>
          <w:rFonts w:ascii="Times New Roman" w:eastAsia="Times New Roman" w:hAnsi="Times New Roman" w:cs="Times New Roman"/>
          <w:kern w:val="0"/>
          <w:sz w:val="24"/>
          <w:szCs w:val="24"/>
          <w14:ligatures w14:val="none"/>
        </w:rPr>
        <w:t xml:space="preserve"> spending</w:t>
      </w:r>
      <w:r w:rsidRPr="00CA55A7" w:rsidR="003A3550">
        <w:rPr>
          <w:rFonts w:ascii="Times New Roman" w:eastAsia="Times New Roman" w:hAnsi="Times New Roman" w:cs="Times New Roman"/>
          <w:kern w:val="0"/>
          <w:sz w:val="24"/>
          <w:szCs w:val="24"/>
          <w14:ligatures w14:val="none"/>
        </w:rPr>
        <w:t>.</w:t>
      </w:r>
      <w:r w:rsidRPr="00CA55A7" w:rsidR="00E20ADA">
        <w:rPr>
          <w:rFonts w:ascii="Times New Roman" w:eastAsia="Times New Roman" w:hAnsi="Times New Roman" w:cs="Times New Roman"/>
          <w:kern w:val="0"/>
          <w:sz w:val="24"/>
          <w:szCs w:val="24"/>
          <w14:ligatures w14:val="none"/>
        </w:rPr>
        <w:t xml:space="preserve"> </w:t>
      </w:r>
      <w:r w:rsidRPr="00CA55A7" w:rsidR="003A3550">
        <w:rPr>
          <w:rFonts w:ascii="Times New Roman" w:eastAsia="Times New Roman" w:hAnsi="Times New Roman" w:cs="Times New Roman"/>
          <w:kern w:val="0"/>
          <w:sz w:val="24"/>
          <w:szCs w:val="24"/>
          <w14:ligatures w14:val="none"/>
        </w:rPr>
        <w:t>Therefore, the Order is unreasonable, unlawfully violates the PUCO</w:t>
      </w:r>
      <w:r w:rsidR="00CA55A7">
        <w:rPr>
          <w:rFonts w:ascii="Times New Roman" w:eastAsia="Times New Roman" w:hAnsi="Times New Roman" w:cs="Times New Roman"/>
          <w:kern w:val="0"/>
          <w:sz w:val="24"/>
          <w:szCs w:val="24"/>
          <w14:ligatures w14:val="none"/>
        </w:rPr>
        <w:t>’</w:t>
      </w:r>
      <w:r w:rsidRPr="00CA55A7" w:rsidR="003A3550">
        <w:rPr>
          <w:rFonts w:ascii="Times New Roman" w:eastAsia="Times New Roman" w:hAnsi="Times New Roman" w:cs="Times New Roman"/>
          <w:kern w:val="0"/>
          <w:sz w:val="24"/>
          <w:szCs w:val="24"/>
          <w14:ligatures w14:val="none"/>
        </w:rPr>
        <w:t>s statutory obligations under R.C. 4928.02 and 4928.06, and should be modified</w:t>
      </w:r>
      <w:r w:rsidRPr="00CA55A7" w:rsidR="00073261">
        <w:rPr>
          <w:rFonts w:ascii="Times New Roman" w:eastAsia="Times New Roman" w:hAnsi="Times New Roman" w:cs="Times New Roman"/>
          <w:kern w:val="0"/>
          <w:sz w:val="24"/>
          <w:szCs w:val="24"/>
          <w14:ligatures w14:val="none"/>
        </w:rPr>
        <w:t xml:space="preserve"> to </w:t>
      </w:r>
      <w:r w:rsidRPr="00CA55A7" w:rsidR="003A3550">
        <w:rPr>
          <w:rFonts w:ascii="Times New Roman" w:eastAsia="Times New Roman" w:hAnsi="Times New Roman" w:cs="Times New Roman"/>
          <w:kern w:val="0"/>
          <w:sz w:val="24"/>
          <w:szCs w:val="24"/>
          <w14:ligatures w14:val="none"/>
        </w:rPr>
        <w:t>comply with Ohio regulatory principles and practices.</w:t>
      </w:r>
    </w:p>
    <w:p w:rsidR="00550E1E" w:rsidRPr="00CA55A7" w:rsidP="00BF5F1A" w14:paraId="43E7C8CE" w14:textId="77777777">
      <w:pPr>
        <w:keepNext/>
        <w:spacing w:after="0" w:line="240" w:lineRule="auto"/>
        <w:outlineLvl w:val="0"/>
        <w:rPr>
          <w:rFonts w:ascii="Times New Roman" w:eastAsia="Times New Roman" w:hAnsi="Times New Roman" w:cs="Times New Roman"/>
          <w:b/>
          <w:caps/>
          <w:kern w:val="0"/>
          <w:sz w:val="24"/>
          <w:szCs w:val="24"/>
          <w14:ligatures w14:val="none"/>
        </w:rPr>
      </w:pPr>
    </w:p>
    <w:p w:rsidR="00B83367" w:rsidRPr="00CA55A7" w:rsidP="00606152" w14:paraId="4D25EB4C" w14:textId="7451036A">
      <w:pPr>
        <w:pStyle w:val="Heading1"/>
      </w:pPr>
      <w:bookmarkStart w:id="5" w:name="_Toc165626691"/>
      <w:r w:rsidRPr="00CA55A7">
        <w:t xml:space="preserve">ASSIGNMENTS OF </w:t>
      </w:r>
      <w:r w:rsidRPr="00CA55A7">
        <w:t>ERROR</w:t>
      </w:r>
      <w:bookmarkEnd w:id="5"/>
    </w:p>
    <w:p w:rsidR="006C59BD" w:rsidRPr="00CA55A7" w:rsidP="004C7D13" w14:paraId="77385BEC" w14:textId="70C3E893">
      <w:pPr>
        <w:pStyle w:val="Heading2"/>
      </w:pPr>
      <w:bookmarkStart w:id="6" w:name="_Toc165626692"/>
      <w:r w:rsidRPr="00CA55A7">
        <w:t xml:space="preserve">ASSIGNMENT OF ERROR 1: </w:t>
      </w:r>
      <w:bookmarkStart w:id="7" w:name="_Hlk161872676"/>
      <w:r w:rsidRPr="00CA55A7" w:rsidR="001E1C19">
        <w:t>The PUCO</w:t>
      </w:r>
      <w:r w:rsidR="00CA55A7">
        <w:t>’</w:t>
      </w:r>
      <w:r w:rsidRPr="00CA55A7" w:rsidR="001E1C19">
        <w:t xml:space="preserve">s Order is unreasonable and unlawful because it approved substantially increased charges </w:t>
      </w:r>
      <w:r w:rsidRPr="00CA55A7" w:rsidR="00B04D34">
        <w:t xml:space="preserve">to consumers for distribution reliability </w:t>
      </w:r>
      <w:r w:rsidRPr="00CA55A7" w:rsidR="001E1C19">
        <w:t>without record evidence</w:t>
      </w:r>
      <w:r w:rsidRPr="00CA55A7" w:rsidR="00B04D34">
        <w:t>,</w:t>
      </w:r>
      <w:r w:rsidRPr="00CA55A7" w:rsidR="001E1C19">
        <w:t xml:space="preserve"> in violation of R.C. 4903.09. The PUCO</w:t>
      </w:r>
      <w:r w:rsidR="00CA55A7">
        <w:t>’</w:t>
      </w:r>
      <w:r w:rsidRPr="00CA55A7" w:rsidR="001E1C19">
        <w:t xml:space="preserve">s Order </w:t>
      </w:r>
      <w:r w:rsidRPr="00CA55A7" w:rsidR="00B04D34">
        <w:t>conflicts with the</w:t>
      </w:r>
      <w:r w:rsidR="00CA55A7">
        <w:t xml:space="preserve"> </w:t>
      </w:r>
      <w:r w:rsidRPr="00CA55A7" w:rsidR="001E1C19">
        <w:t>PUCO findings that AEP repeatedly met or exceeded its reliability standards and consumer reliability expectations under dramatically lower spending levels.</w:t>
      </w:r>
      <w:bookmarkEnd w:id="7"/>
      <w:r>
        <w:rPr>
          <w:rStyle w:val="FootnoteReference"/>
        </w:rPr>
        <w:footnoteReference w:id="15"/>
      </w:r>
      <w:bookmarkEnd w:id="6"/>
    </w:p>
    <w:p w:rsidR="003D246A" w:rsidRPr="00CA55A7" w:rsidP="002353D7" w14:paraId="18300193" w14:textId="094E9BE9">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 xml:space="preserve">In the past, the PUCO has approved </w:t>
      </w:r>
      <w:r w:rsidRPr="00CA55A7" w:rsidR="00073261">
        <w:rPr>
          <w:rFonts w:ascii="Times New Roman" w:hAnsi="Times New Roman" w:cs="Times New Roman"/>
          <w:kern w:val="0"/>
          <w:sz w:val="24"/>
          <w:szCs w:val="24"/>
        </w:rPr>
        <w:t>chargin</w:t>
      </w:r>
      <w:r w:rsidRPr="00CA55A7" w:rsidR="00B04D34">
        <w:rPr>
          <w:rFonts w:ascii="Times New Roman" w:hAnsi="Times New Roman" w:cs="Times New Roman"/>
          <w:kern w:val="0"/>
          <w:sz w:val="24"/>
          <w:szCs w:val="24"/>
        </w:rPr>
        <w:t>g</w:t>
      </w:r>
      <w:r w:rsidR="00CA55A7">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 xml:space="preserve">consumers </w:t>
      </w:r>
      <w:r w:rsidRPr="00CA55A7" w:rsidR="00073261">
        <w:rPr>
          <w:rFonts w:ascii="Times New Roman" w:hAnsi="Times New Roman" w:cs="Times New Roman"/>
          <w:kern w:val="0"/>
          <w:sz w:val="24"/>
          <w:szCs w:val="24"/>
        </w:rPr>
        <w:t>for</w:t>
      </w:r>
      <w:r w:rsidR="00CA55A7">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significant spending by AEP to support and improve service reliability.</w:t>
      </w:r>
      <w:r>
        <w:rPr>
          <w:rStyle w:val="FootnoteReference"/>
          <w:rFonts w:ascii="Times New Roman" w:hAnsi="Times New Roman" w:cs="Times New Roman"/>
          <w:kern w:val="0"/>
          <w:sz w:val="24"/>
          <w:szCs w:val="24"/>
        </w:rPr>
        <w:footnoteReference w:id="16"/>
      </w:r>
      <w:r w:rsidRPr="00CA55A7" w:rsidR="00E20ADA">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But</w:t>
      </w:r>
      <w:r w:rsidRPr="00CA55A7" w:rsidR="00E20ADA">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the PUCO</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s Order unreasonably, unlawfully, and dramatically increases 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w:t>
      </w:r>
      <w:r w:rsidRPr="00CA55A7" w:rsidR="00073261">
        <w:rPr>
          <w:rFonts w:ascii="Times New Roman" w:hAnsi="Times New Roman" w:cs="Times New Roman"/>
          <w:kern w:val="0"/>
          <w:sz w:val="24"/>
          <w:szCs w:val="24"/>
        </w:rPr>
        <w:t>charges to</w:t>
      </w:r>
      <w:r w:rsidR="00CA55A7">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 xml:space="preserve">consumers </w:t>
      </w:r>
      <w:r w:rsidRPr="00CA55A7">
        <w:rPr>
          <w:rFonts w:ascii="Times New Roman" w:hAnsi="Times New Roman" w:cs="Times New Roman"/>
          <w:kern w:val="0"/>
          <w:sz w:val="24"/>
          <w:szCs w:val="24"/>
        </w:rPr>
        <w:t xml:space="preserve">under the DIR, ESSR, and gridSMART </w:t>
      </w:r>
      <w:r w:rsidRPr="00CA55A7" w:rsidR="00073261">
        <w:rPr>
          <w:rFonts w:ascii="Times New Roman" w:hAnsi="Times New Roman" w:cs="Times New Roman"/>
          <w:kern w:val="0"/>
          <w:sz w:val="24"/>
          <w:szCs w:val="24"/>
        </w:rPr>
        <w:t>riders</w:t>
      </w:r>
      <w:r w:rsidRPr="00CA55A7" w:rsidR="003113BC">
        <w:rPr>
          <w:rFonts w:ascii="Times New Roman" w:hAnsi="Times New Roman" w:cs="Times New Roman"/>
          <w:kern w:val="0"/>
          <w:sz w:val="24"/>
          <w:szCs w:val="24"/>
        </w:rPr>
        <w:t>, based nearly exclusively on service reliability</w:t>
      </w:r>
      <w:r w:rsidRPr="00CA55A7" w:rsidR="00812C43">
        <w:rPr>
          <w:rFonts w:ascii="Times New Roman" w:hAnsi="Times New Roman" w:cs="Times New Roman"/>
          <w:kern w:val="0"/>
          <w:sz w:val="24"/>
          <w:szCs w:val="24"/>
        </w:rPr>
        <w:t xml:space="preserve">. This </w:t>
      </w:r>
      <w:r w:rsidRPr="00CA55A7" w:rsidR="00073261">
        <w:rPr>
          <w:rFonts w:ascii="Times New Roman" w:hAnsi="Times New Roman" w:cs="Times New Roman"/>
          <w:kern w:val="0"/>
          <w:sz w:val="24"/>
          <w:szCs w:val="24"/>
        </w:rPr>
        <w:t>contradicts the</w:t>
      </w:r>
      <w:r w:rsidR="00CA55A7">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PUCO</w:t>
      </w:r>
      <w:r w:rsidR="00CA55A7">
        <w:rPr>
          <w:rFonts w:ascii="Times New Roman" w:hAnsi="Times New Roman" w:cs="Times New Roman"/>
          <w:kern w:val="0"/>
          <w:sz w:val="24"/>
          <w:szCs w:val="24"/>
        </w:rPr>
        <w:t>’</w:t>
      </w:r>
      <w:r w:rsidRPr="00CA55A7" w:rsidR="00812C43">
        <w:rPr>
          <w:rFonts w:ascii="Times New Roman" w:hAnsi="Times New Roman" w:cs="Times New Roman"/>
          <w:kern w:val="0"/>
          <w:sz w:val="24"/>
          <w:szCs w:val="24"/>
        </w:rPr>
        <w:t xml:space="preserve">s </w:t>
      </w:r>
      <w:r w:rsidRPr="00CA55A7">
        <w:rPr>
          <w:rFonts w:ascii="Times New Roman" w:hAnsi="Times New Roman" w:cs="Times New Roman"/>
          <w:kern w:val="0"/>
          <w:sz w:val="24"/>
          <w:szCs w:val="24"/>
        </w:rPr>
        <w:t xml:space="preserve">own findings regarding </w:t>
      </w:r>
      <w:r w:rsidRPr="00CA55A7" w:rsidR="00812C43">
        <w:rPr>
          <w:rFonts w:ascii="Times New Roman" w:hAnsi="Times New Roman" w:cs="Times New Roman"/>
          <w:kern w:val="0"/>
          <w:sz w:val="24"/>
          <w:szCs w:val="24"/>
        </w:rPr>
        <w:t>AEP</w:t>
      </w:r>
      <w:r w:rsidR="00CA55A7">
        <w:rPr>
          <w:rFonts w:ascii="Times New Roman" w:hAnsi="Times New Roman" w:cs="Times New Roman"/>
          <w:kern w:val="0"/>
          <w:sz w:val="24"/>
          <w:szCs w:val="24"/>
        </w:rPr>
        <w:t>’</w:t>
      </w:r>
      <w:r w:rsidRPr="00CA55A7" w:rsidR="00812C43">
        <w:rPr>
          <w:rFonts w:ascii="Times New Roman" w:hAnsi="Times New Roman" w:cs="Times New Roman"/>
          <w:kern w:val="0"/>
          <w:sz w:val="24"/>
          <w:szCs w:val="24"/>
        </w:rPr>
        <w:t xml:space="preserve">s </w:t>
      </w:r>
      <w:r w:rsidRPr="00CA55A7">
        <w:rPr>
          <w:rFonts w:ascii="Times New Roman" w:hAnsi="Times New Roman" w:cs="Times New Roman"/>
          <w:kern w:val="0"/>
          <w:sz w:val="24"/>
          <w:szCs w:val="24"/>
        </w:rPr>
        <w:t xml:space="preserve">reliability and </w:t>
      </w:r>
      <w:r w:rsidRPr="00CA55A7" w:rsidR="00812C43">
        <w:rPr>
          <w:rFonts w:ascii="Times New Roman" w:hAnsi="Times New Roman" w:cs="Times New Roman"/>
          <w:kern w:val="0"/>
          <w:sz w:val="24"/>
          <w:szCs w:val="24"/>
        </w:rPr>
        <w:t xml:space="preserve">consumer </w:t>
      </w:r>
      <w:r w:rsidRPr="00CA55A7">
        <w:rPr>
          <w:rFonts w:ascii="Times New Roman" w:hAnsi="Times New Roman" w:cs="Times New Roman"/>
          <w:kern w:val="0"/>
          <w:sz w:val="24"/>
          <w:szCs w:val="24"/>
        </w:rPr>
        <w:t>satisfaction</w:t>
      </w:r>
      <w:r w:rsidRPr="00CA55A7" w:rsidR="00073261">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 xml:space="preserve">For </w:t>
      </w:r>
      <w:r w:rsidRPr="00CA55A7" w:rsidR="003113BC">
        <w:rPr>
          <w:rFonts w:ascii="Times New Roman" w:hAnsi="Times New Roman" w:cs="Times New Roman"/>
          <w:kern w:val="0"/>
          <w:sz w:val="24"/>
          <w:szCs w:val="24"/>
        </w:rPr>
        <w:t>these</w:t>
      </w:r>
      <w:r w:rsidRPr="00CA55A7">
        <w:rPr>
          <w:rFonts w:ascii="Times New Roman" w:hAnsi="Times New Roman" w:cs="Times New Roman"/>
          <w:kern w:val="0"/>
          <w:sz w:val="24"/>
          <w:szCs w:val="24"/>
        </w:rPr>
        <w:t xml:space="preserve"> reason</w:t>
      </w:r>
      <w:r w:rsidRPr="00CA55A7" w:rsidR="003113BC">
        <w:rPr>
          <w:rFonts w:ascii="Times New Roman" w:hAnsi="Times New Roman" w:cs="Times New Roman"/>
          <w:kern w:val="0"/>
          <w:sz w:val="24"/>
          <w:szCs w:val="24"/>
        </w:rPr>
        <w:t>s</w:t>
      </w:r>
      <w:r w:rsidRPr="00CA55A7">
        <w:rPr>
          <w:rFonts w:ascii="Times New Roman" w:hAnsi="Times New Roman" w:cs="Times New Roman"/>
          <w:kern w:val="0"/>
          <w:sz w:val="24"/>
          <w:szCs w:val="24"/>
        </w:rPr>
        <w:t xml:space="preserve">, the PUCO should modify its Order to reduce </w:t>
      </w:r>
      <w:r w:rsidRPr="00CA55A7" w:rsidR="003113BC">
        <w:rPr>
          <w:rFonts w:ascii="Times New Roman" w:hAnsi="Times New Roman" w:cs="Times New Roman"/>
          <w:kern w:val="0"/>
          <w:sz w:val="24"/>
          <w:szCs w:val="24"/>
        </w:rPr>
        <w:t xml:space="preserve">the </w:t>
      </w:r>
      <w:r w:rsidRPr="00CA55A7" w:rsidR="00073261">
        <w:rPr>
          <w:rFonts w:ascii="Times New Roman" w:hAnsi="Times New Roman" w:cs="Times New Roman"/>
          <w:kern w:val="0"/>
          <w:sz w:val="24"/>
          <w:szCs w:val="24"/>
        </w:rPr>
        <w:t>amount of distribution charges approved under the settlement</w:t>
      </w:r>
      <w:r w:rsidR="00CA55A7">
        <w:rPr>
          <w:rFonts w:ascii="Times New Roman" w:hAnsi="Times New Roman" w:cs="Times New Roman"/>
          <w:kern w:val="0"/>
          <w:sz w:val="24"/>
          <w:szCs w:val="24"/>
        </w:rPr>
        <w:t xml:space="preserve"> </w:t>
      </w:r>
      <w:r w:rsidRPr="00CA55A7" w:rsidR="00425E31">
        <w:rPr>
          <w:rFonts w:ascii="Times New Roman" w:hAnsi="Times New Roman" w:cs="Times New Roman"/>
          <w:kern w:val="0"/>
          <w:sz w:val="24"/>
          <w:szCs w:val="24"/>
        </w:rPr>
        <w:t>as recommended by OCC</w:t>
      </w:r>
      <w:r w:rsidRPr="00CA55A7" w:rsidR="003113BC">
        <w:rPr>
          <w:rFonts w:ascii="Times New Roman" w:hAnsi="Times New Roman" w:cs="Times New Roman"/>
          <w:kern w:val="0"/>
          <w:sz w:val="24"/>
          <w:szCs w:val="24"/>
        </w:rPr>
        <w:t>.</w:t>
      </w:r>
      <w:r w:rsidRPr="00CA55A7" w:rsidR="007C0CBD">
        <w:rPr>
          <w:rFonts w:ascii="Times New Roman" w:hAnsi="Times New Roman" w:cs="Times New Roman"/>
          <w:kern w:val="0"/>
          <w:sz w:val="24"/>
          <w:szCs w:val="24"/>
        </w:rPr>
        <w:t xml:space="preserve"> As OCC witness Williams testified, for example, </w:t>
      </w:r>
      <w:r w:rsidR="00CA55A7">
        <w:rPr>
          <w:rFonts w:ascii="Times New Roman" w:hAnsi="Times New Roman" w:cs="Times New Roman"/>
          <w:kern w:val="0"/>
          <w:sz w:val="24"/>
          <w:szCs w:val="24"/>
        </w:rPr>
        <w:t>“</w:t>
      </w:r>
      <w:r w:rsidRPr="00CA55A7" w:rsidR="007C0CBD">
        <w:rPr>
          <w:rFonts w:ascii="Times New Roman" w:hAnsi="Times New Roman" w:cs="Times New Roman"/>
          <w:kern w:val="0"/>
          <w:sz w:val="24"/>
          <w:szCs w:val="24"/>
        </w:rPr>
        <w:t>[t]he ESP V annual DIR revenue caps should be maintained at levels that are relatively close to the currently approved DIR revenue caps for 2021 through May 2024.</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17"/>
      </w:r>
    </w:p>
    <w:p w:rsidR="00073261" w:rsidRPr="00CA55A7" w:rsidP="002353D7" w14:paraId="2B0D31CE" w14:textId="0864A7F7">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As part of its Order approving the Settlement, the PUCO approves multiple provisions regarding distribution infrastructure and modernization incentives, primarily the DIR, ESSR, and gridSM</w:t>
      </w:r>
      <w:r w:rsidR="00A27270">
        <w:rPr>
          <w:rFonts w:ascii="Times New Roman" w:hAnsi="Times New Roman" w:cs="Times New Roman"/>
          <w:kern w:val="0"/>
          <w:sz w:val="24"/>
          <w:szCs w:val="24"/>
        </w:rPr>
        <w:t>ART</w:t>
      </w:r>
      <w:r w:rsidRPr="00CA55A7">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charges</w:t>
      </w:r>
      <w:r w:rsidRPr="00CA55A7">
        <w:rPr>
          <w:rFonts w:ascii="Times New Roman" w:hAnsi="Times New Roman" w:cs="Times New Roman"/>
          <w:kern w:val="0"/>
          <w:sz w:val="24"/>
          <w:szCs w:val="24"/>
        </w:rPr>
        <w:t>.</w:t>
      </w:r>
      <w:r w:rsidRPr="00CA55A7" w:rsidR="00E20ADA">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R.C. 4928.143</w:t>
      </w:r>
      <w:r w:rsidRPr="00CA55A7" w:rsidR="003A00CB">
        <w:rPr>
          <w:rFonts w:ascii="Times New Roman" w:hAnsi="Times New Roman" w:cs="Times New Roman"/>
          <w:kern w:val="0"/>
          <w:sz w:val="24"/>
          <w:szCs w:val="24"/>
        </w:rPr>
        <w:t xml:space="preserve"> governs application for, and approval of, </w:t>
      </w:r>
      <w:r w:rsidRPr="00CA55A7" w:rsidR="00812C43">
        <w:rPr>
          <w:rFonts w:ascii="Times New Roman" w:hAnsi="Times New Roman" w:cs="Times New Roman"/>
          <w:kern w:val="0"/>
          <w:sz w:val="24"/>
          <w:szCs w:val="24"/>
        </w:rPr>
        <w:t>ESPs</w:t>
      </w:r>
      <w:r w:rsidRPr="00CA55A7" w:rsidR="003A00CB">
        <w:rPr>
          <w:rFonts w:ascii="Times New Roman" w:hAnsi="Times New Roman" w:cs="Times New Roman"/>
          <w:kern w:val="0"/>
          <w:sz w:val="24"/>
          <w:szCs w:val="24"/>
        </w:rPr>
        <w:t>.</w:t>
      </w:r>
      <w:r w:rsidRPr="00CA55A7" w:rsidR="00E20ADA">
        <w:rPr>
          <w:rFonts w:ascii="Times New Roman" w:hAnsi="Times New Roman" w:cs="Times New Roman"/>
          <w:kern w:val="0"/>
          <w:sz w:val="24"/>
          <w:szCs w:val="24"/>
        </w:rPr>
        <w:t xml:space="preserve"> </w:t>
      </w:r>
      <w:r w:rsidRPr="00CA55A7" w:rsidR="003A00CB">
        <w:rPr>
          <w:rFonts w:ascii="Times New Roman" w:hAnsi="Times New Roman" w:cs="Times New Roman"/>
          <w:kern w:val="0"/>
          <w:sz w:val="24"/>
          <w:szCs w:val="24"/>
        </w:rPr>
        <w:t xml:space="preserve">When reviewing </w:t>
      </w:r>
      <w:r w:rsidRPr="00CA55A7" w:rsidR="00812C43">
        <w:rPr>
          <w:rFonts w:ascii="Times New Roman" w:hAnsi="Times New Roman" w:cs="Times New Roman"/>
          <w:kern w:val="0"/>
          <w:sz w:val="24"/>
          <w:szCs w:val="24"/>
        </w:rPr>
        <w:t>AEP</w:t>
      </w:r>
      <w:r w:rsidR="00CA55A7">
        <w:rPr>
          <w:rFonts w:ascii="Times New Roman" w:hAnsi="Times New Roman" w:cs="Times New Roman"/>
          <w:kern w:val="0"/>
          <w:sz w:val="24"/>
          <w:szCs w:val="24"/>
        </w:rPr>
        <w:t>’</w:t>
      </w:r>
      <w:r w:rsidRPr="00CA55A7" w:rsidR="00812C43">
        <w:rPr>
          <w:rFonts w:ascii="Times New Roman" w:hAnsi="Times New Roman" w:cs="Times New Roman"/>
          <w:kern w:val="0"/>
          <w:sz w:val="24"/>
          <w:szCs w:val="24"/>
        </w:rPr>
        <w:t>s ESP</w:t>
      </w:r>
      <w:r w:rsidRPr="00CA55A7" w:rsidR="003A00CB">
        <w:rPr>
          <w:rFonts w:ascii="Times New Roman" w:hAnsi="Times New Roman" w:cs="Times New Roman"/>
          <w:kern w:val="0"/>
          <w:sz w:val="24"/>
          <w:szCs w:val="24"/>
        </w:rPr>
        <w:t xml:space="preserve"> distribution service terms, including distribution infrastructure and modernization incentives such as the DIR, ESRR, and gridSMART </w:t>
      </w:r>
      <w:r w:rsidRPr="00CA55A7" w:rsidR="00812C43">
        <w:rPr>
          <w:rFonts w:ascii="Times New Roman" w:hAnsi="Times New Roman" w:cs="Times New Roman"/>
          <w:kern w:val="0"/>
          <w:sz w:val="24"/>
          <w:szCs w:val="24"/>
        </w:rPr>
        <w:t>charges</w:t>
      </w:r>
      <w:r w:rsidRPr="00CA55A7" w:rsidR="003A00CB">
        <w:rPr>
          <w:rFonts w:ascii="Times New Roman" w:hAnsi="Times New Roman" w:cs="Times New Roman"/>
          <w:kern w:val="0"/>
          <w:sz w:val="24"/>
          <w:szCs w:val="24"/>
        </w:rPr>
        <w:t xml:space="preserve">, the PUCO is required to </w:t>
      </w:r>
      <w:r w:rsidR="00CA55A7">
        <w:rPr>
          <w:rFonts w:ascii="Times New Roman" w:hAnsi="Times New Roman" w:cs="Times New Roman"/>
          <w:kern w:val="0"/>
          <w:sz w:val="24"/>
          <w:szCs w:val="24"/>
        </w:rPr>
        <w:t>“</w:t>
      </w:r>
      <w:r w:rsidRPr="00CA55A7" w:rsidR="003A00CB">
        <w:rPr>
          <w:rFonts w:ascii="Times New Roman" w:hAnsi="Times New Roman" w:cs="Times New Roman"/>
          <w:kern w:val="0"/>
          <w:sz w:val="24"/>
          <w:szCs w:val="24"/>
        </w:rPr>
        <w:t>examine the reliability of [AEP</w:t>
      </w:r>
      <w:r w:rsidR="00CA55A7">
        <w:rPr>
          <w:rFonts w:ascii="Times New Roman" w:hAnsi="Times New Roman" w:cs="Times New Roman"/>
          <w:kern w:val="0"/>
          <w:sz w:val="24"/>
          <w:szCs w:val="24"/>
        </w:rPr>
        <w:t>’</w:t>
      </w:r>
      <w:r w:rsidRPr="00CA55A7" w:rsidR="003A00CB">
        <w:rPr>
          <w:rFonts w:ascii="Times New Roman" w:hAnsi="Times New Roman" w:cs="Times New Roman"/>
          <w:kern w:val="0"/>
          <w:sz w:val="24"/>
          <w:szCs w:val="24"/>
        </w:rPr>
        <w:t>s] distribution system and ensure that customers</w:t>
      </w:r>
      <w:r w:rsidR="00CA55A7">
        <w:rPr>
          <w:rFonts w:ascii="Times New Roman" w:hAnsi="Times New Roman" w:cs="Times New Roman"/>
          <w:kern w:val="0"/>
          <w:sz w:val="24"/>
          <w:szCs w:val="24"/>
        </w:rPr>
        <w:t>’</w:t>
      </w:r>
      <w:r w:rsidRPr="00CA55A7" w:rsidR="003A00CB">
        <w:rPr>
          <w:rFonts w:ascii="Times New Roman" w:hAnsi="Times New Roman" w:cs="Times New Roman"/>
          <w:kern w:val="0"/>
          <w:sz w:val="24"/>
          <w:szCs w:val="24"/>
        </w:rPr>
        <w:t xml:space="preserve"> and [AEP</w:t>
      </w:r>
      <w:r w:rsidR="00CA55A7">
        <w:rPr>
          <w:rFonts w:ascii="Times New Roman" w:hAnsi="Times New Roman" w:cs="Times New Roman"/>
          <w:kern w:val="0"/>
          <w:sz w:val="24"/>
          <w:szCs w:val="24"/>
        </w:rPr>
        <w:t>’</w:t>
      </w:r>
      <w:r w:rsidRPr="00CA55A7" w:rsidR="003A00CB">
        <w:rPr>
          <w:rFonts w:ascii="Times New Roman" w:hAnsi="Times New Roman" w:cs="Times New Roman"/>
          <w:kern w:val="0"/>
          <w:sz w:val="24"/>
          <w:szCs w:val="24"/>
        </w:rPr>
        <w:t>s] expectations are aligned and that [AEP] is placing sufficient emphasis on and dedicating sufficient resources to the reliability of its distribution system.</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18"/>
      </w:r>
      <w:r w:rsidRPr="00CA55A7" w:rsidR="00E20ADA">
        <w:rPr>
          <w:rFonts w:ascii="Times New Roman" w:hAnsi="Times New Roman" w:cs="Times New Roman"/>
          <w:kern w:val="0"/>
          <w:sz w:val="24"/>
          <w:szCs w:val="24"/>
        </w:rPr>
        <w:t xml:space="preserve"> </w:t>
      </w:r>
    </w:p>
    <w:p w:rsidR="00360717" w:rsidRPr="00CA55A7" w:rsidP="002353D7" w14:paraId="67BDC013" w14:textId="3640CB4D">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An electric security plan can only be approved if the PUCO finds that the plan</w:t>
      </w:r>
      <w:r w:rsidR="00CA55A7">
        <w:rPr>
          <w:rFonts w:ascii="Times New Roman" w:hAnsi="Times New Roman" w:cs="Times New Roman"/>
          <w:kern w:val="0"/>
          <w:sz w:val="24"/>
          <w:szCs w:val="24"/>
        </w:rPr>
        <w:t xml:space="preserve"> </w:t>
      </w:r>
      <w:r w:rsidRPr="00CA55A7" w:rsidR="00346460">
        <w:rPr>
          <w:rFonts w:ascii="Times New Roman" w:hAnsi="Times New Roman" w:cs="Times New Roman"/>
          <w:kern w:val="0"/>
          <w:sz w:val="24"/>
          <w:szCs w:val="24"/>
        </w:rPr>
        <w:t xml:space="preserve">is more favorable in the aggregate as compared to the expected results that would otherwise apply under </w:t>
      </w:r>
      <w:r w:rsidRPr="00CA55A7">
        <w:rPr>
          <w:rFonts w:ascii="Times New Roman" w:hAnsi="Times New Roman" w:cs="Times New Roman"/>
          <w:kern w:val="0"/>
          <w:sz w:val="24"/>
          <w:szCs w:val="24"/>
        </w:rPr>
        <w:t>a market rate offer.</w:t>
      </w:r>
      <w:r>
        <w:rPr>
          <w:rStyle w:val="FootnoteReference"/>
          <w:rFonts w:ascii="Times New Roman" w:hAnsi="Times New Roman" w:cs="Times New Roman"/>
          <w:kern w:val="0"/>
          <w:sz w:val="24"/>
          <w:szCs w:val="24"/>
        </w:rPr>
        <w:footnoteReference w:id="19"/>
      </w:r>
      <w:r w:rsidRPr="00CA55A7" w:rsidR="00E20ADA">
        <w:rPr>
          <w:rFonts w:ascii="Times New Roman" w:hAnsi="Times New Roman" w:cs="Times New Roman"/>
          <w:kern w:val="0"/>
          <w:sz w:val="24"/>
          <w:szCs w:val="24"/>
        </w:rPr>
        <w:t xml:space="preserve"> </w:t>
      </w:r>
      <w:r w:rsidRPr="00CA55A7" w:rsidR="00346460">
        <w:rPr>
          <w:rFonts w:ascii="Times New Roman" w:hAnsi="Times New Roman" w:cs="Times New Roman"/>
          <w:kern w:val="0"/>
          <w:sz w:val="24"/>
          <w:szCs w:val="24"/>
        </w:rPr>
        <w:t>The burden of proving that an ESP is more favorable than a Market Rate Offer (</w:t>
      </w:r>
      <w:r w:rsidR="00CA55A7">
        <w:rPr>
          <w:rFonts w:ascii="Times New Roman" w:hAnsi="Times New Roman" w:cs="Times New Roman"/>
          <w:kern w:val="0"/>
          <w:sz w:val="24"/>
          <w:szCs w:val="24"/>
        </w:rPr>
        <w:t>“</w:t>
      </w:r>
      <w:r w:rsidRPr="00CA55A7" w:rsidR="00346460">
        <w:rPr>
          <w:rFonts w:ascii="Times New Roman" w:hAnsi="Times New Roman" w:cs="Times New Roman"/>
          <w:kern w:val="0"/>
          <w:sz w:val="24"/>
          <w:szCs w:val="24"/>
        </w:rPr>
        <w:t>MRO</w:t>
      </w:r>
      <w:r w:rsidR="00CA55A7">
        <w:rPr>
          <w:rFonts w:ascii="Times New Roman" w:hAnsi="Times New Roman" w:cs="Times New Roman"/>
          <w:kern w:val="0"/>
          <w:sz w:val="24"/>
          <w:szCs w:val="24"/>
        </w:rPr>
        <w:t>”</w:t>
      </w:r>
      <w:r w:rsidRPr="00CA55A7" w:rsidR="00346460">
        <w:rPr>
          <w:rFonts w:ascii="Times New Roman" w:hAnsi="Times New Roman" w:cs="Times New Roman"/>
          <w:kern w:val="0"/>
          <w:sz w:val="24"/>
          <w:szCs w:val="24"/>
        </w:rPr>
        <w:t xml:space="preserve">) under R.C. 4928.142 falls upon </w:t>
      </w:r>
      <w:r w:rsidRPr="00CA55A7">
        <w:rPr>
          <w:rFonts w:ascii="Times New Roman" w:hAnsi="Times New Roman" w:cs="Times New Roman"/>
          <w:kern w:val="0"/>
          <w:sz w:val="24"/>
          <w:szCs w:val="24"/>
        </w:rPr>
        <w:t>the utility</w:t>
      </w:r>
      <w:r w:rsidRPr="00CA55A7" w:rsidR="00346460">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0"/>
      </w:r>
      <w:r w:rsidRPr="00CA55A7" w:rsidR="00E20ADA">
        <w:rPr>
          <w:rFonts w:ascii="Times New Roman" w:hAnsi="Times New Roman" w:cs="Times New Roman"/>
          <w:kern w:val="0"/>
          <w:sz w:val="24"/>
          <w:szCs w:val="24"/>
        </w:rPr>
        <w:t xml:space="preserve"> </w:t>
      </w:r>
      <w:r w:rsidRPr="00CA55A7" w:rsidR="00812C43">
        <w:rPr>
          <w:rFonts w:ascii="Times New Roman" w:hAnsi="Times New Roman" w:cs="Times New Roman"/>
          <w:kern w:val="0"/>
          <w:sz w:val="24"/>
          <w:szCs w:val="24"/>
        </w:rPr>
        <w:t>Additionally</w:t>
      </w:r>
      <w:r w:rsidRPr="00CA55A7" w:rsidR="00346460">
        <w:rPr>
          <w:rFonts w:ascii="Times New Roman" w:hAnsi="Times New Roman" w:cs="Times New Roman"/>
          <w:kern w:val="0"/>
          <w:sz w:val="24"/>
          <w:szCs w:val="24"/>
        </w:rPr>
        <w:t xml:space="preserve">, the PUCO is statutorily obligated to </w:t>
      </w:r>
      <w:r w:rsidR="00CA55A7">
        <w:rPr>
          <w:rFonts w:ascii="Times New Roman" w:hAnsi="Times New Roman" w:cs="Times New Roman"/>
          <w:kern w:val="0"/>
          <w:sz w:val="24"/>
          <w:szCs w:val="24"/>
        </w:rPr>
        <w:t>“</w:t>
      </w:r>
      <w:r w:rsidRPr="00CA55A7" w:rsidR="00812C43">
        <w:rPr>
          <w:rFonts w:ascii="Times New Roman" w:hAnsi="Times New Roman" w:cs="Times New Roman"/>
          <w:kern w:val="0"/>
          <w:sz w:val="24"/>
          <w:szCs w:val="24"/>
        </w:rPr>
        <w:t>[e]</w:t>
      </w:r>
      <w:r w:rsidRPr="00CA55A7" w:rsidR="00346460">
        <w:rPr>
          <w:rFonts w:ascii="Times New Roman" w:hAnsi="Times New Roman" w:cs="Times New Roman"/>
          <w:kern w:val="0"/>
          <w:sz w:val="24"/>
          <w:szCs w:val="24"/>
        </w:rPr>
        <w:t>nsure the availability to consumers of adequate, reliable, safe, efficient, nondiscriminatory, and reasonably priced retail electric service.</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1"/>
      </w:r>
      <w:r w:rsidRPr="00CA55A7" w:rsidR="00E20ADA">
        <w:rPr>
          <w:rFonts w:ascii="Times New Roman" w:hAnsi="Times New Roman" w:cs="Times New Roman"/>
          <w:kern w:val="0"/>
          <w:sz w:val="24"/>
          <w:szCs w:val="24"/>
        </w:rPr>
        <w:t xml:space="preserve"> </w:t>
      </w:r>
      <w:r w:rsidRPr="00CA55A7" w:rsidR="00274E0F">
        <w:rPr>
          <w:rFonts w:ascii="Times New Roman" w:hAnsi="Times New Roman" w:cs="Times New Roman"/>
          <w:kern w:val="0"/>
          <w:sz w:val="24"/>
          <w:szCs w:val="24"/>
        </w:rPr>
        <w:t>Ultimately, the PUCO</w:t>
      </w:r>
      <w:r w:rsidR="00CA55A7">
        <w:rPr>
          <w:rFonts w:ascii="Times New Roman" w:hAnsi="Times New Roman" w:cs="Times New Roman"/>
          <w:kern w:val="0"/>
          <w:sz w:val="24"/>
          <w:szCs w:val="24"/>
        </w:rPr>
        <w:t>’</w:t>
      </w:r>
      <w:r w:rsidRPr="00CA55A7" w:rsidR="00274E0F">
        <w:rPr>
          <w:rFonts w:ascii="Times New Roman" w:hAnsi="Times New Roman" w:cs="Times New Roman"/>
          <w:kern w:val="0"/>
          <w:sz w:val="24"/>
          <w:szCs w:val="24"/>
        </w:rPr>
        <w:t xml:space="preserve">s Order must support its decision with </w:t>
      </w:r>
      <w:r w:rsidR="00CA55A7">
        <w:rPr>
          <w:rFonts w:ascii="Times New Roman" w:hAnsi="Times New Roman" w:cs="Times New Roman"/>
          <w:kern w:val="0"/>
          <w:sz w:val="24"/>
          <w:szCs w:val="24"/>
        </w:rPr>
        <w:t>“</w:t>
      </w:r>
      <w:r w:rsidRPr="00CA55A7" w:rsidR="00274E0F">
        <w:rPr>
          <w:rFonts w:ascii="Times New Roman" w:hAnsi="Times New Roman" w:cs="Times New Roman"/>
          <w:kern w:val="0"/>
          <w:sz w:val="24"/>
          <w:szCs w:val="24"/>
        </w:rPr>
        <w:t>findings of fact and written opinions setting forth the reasons prompting the decisions arrived at, based upon said findings of fact</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2"/>
      </w:r>
      <w:r w:rsidRPr="00CA55A7" w:rsidR="00274E0F">
        <w:rPr>
          <w:rFonts w:ascii="Times New Roman" w:hAnsi="Times New Roman" w:cs="Times New Roman"/>
          <w:kern w:val="0"/>
          <w:sz w:val="24"/>
          <w:szCs w:val="24"/>
        </w:rPr>
        <w:t xml:space="preserve"> and provide sufficient details to enable a court to determine how the PUCO reached that decision.</w:t>
      </w:r>
      <w:r>
        <w:rPr>
          <w:rStyle w:val="FootnoteReference"/>
          <w:rFonts w:ascii="Times New Roman" w:hAnsi="Times New Roman" w:cs="Times New Roman"/>
          <w:kern w:val="0"/>
          <w:sz w:val="24"/>
          <w:szCs w:val="24"/>
        </w:rPr>
        <w:footnoteReference w:id="23"/>
      </w:r>
    </w:p>
    <w:p w:rsidR="00820D48" w:rsidRPr="00CA55A7" w:rsidP="002353D7" w14:paraId="711D73D3" w14:textId="7A8EC877">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Many went along with 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s plan. This should come as no surprise, as many obtained pet projects in return. The Citizens Utility Board</w:t>
      </w:r>
      <w:r w:rsidRPr="00CA55A7" w:rsidR="00D42254">
        <w:rPr>
          <w:rFonts w:ascii="Times New Roman" w:hAnsi="Times New Roman" w:cs="Times New Roman"/>
          <w:kern w:val="0"/>
          <w:sz w:val="24"/>
          <w:szCs w:val="24"/>
        </w:rPr>
        <w:t xml:space="preserve">, Ohio Environmental Council, </w:t>
      </w:r>
      <w:r w:rsidRPr="00CA55A7" w:rsidR="0014286B">
        <w:rPr>
          <w:rFonts w:ascii="Times New Roman" w:hAnsi="Times New Roman" w:cs="Times New Roman"/>
          <w:kern w:val="0"/>
          <w:sz w:val="24"/>
          <w:szCs w:val="24"/>
        </w:rPr>
        <w:t xml:space="preserve">and the Environmental Law &amp; Policy Center </w:t>
      </w:r>
      <w:r w:rsidRPr="00CA55A7">
        <w:rPr>
          <w:rFonts w:ascii="Times New Roman" w:hAnsi="Times New Roman" w:cs="Times New Roman"/>
          <w:kern w:val="0"/>
          <w:sz w:val="24"/>
          <w:szCs w:val="24"/>
        </w:rPr>
        <w:t>got so-called energy efficiency programs (such as smart thermostats)</w:t>
      </w:r>
      <w:r w:rsidRPr="00CA55A7" w:rsidR="00FB5898">
        <w:rPr>
          <w:rFonts w:ascii="Times New Roman" w:hAnsi="Times New Roman" w:cs="Times New Roman"/>
          <w:kern w:val="0"/>
          <w:sz w:val="24"/>
          <w:szCs w:val="24"/>
        </w:rPr>
        <w:t xml:space="preserve"> paid for by residential consumers</w:t>
      </w:r>
      <w:r w:rsidRP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4"/>
      </w:r>
      <w:r w:rsidRPr="00CA55A7" w:rsidR="00E20ADA">
        <w:rPr>
          <w:rFonts w:ascii="Times New Roman" w:hAnsi="Times New Roman" w:cs="Times New Roman"/>
          <w:kern w:val="0"/>
          <w:sz w:val="24"/>
          <w:szCs w:val="24"/>
        </w:rPr>
        <w:t xml:space="preserve"> </w:t>
      </w:r>
      <w:r w:rsidRPr="00CA55A7" w:rsidR="00D42254">
        <w:rPr>
          <w:rFonts w:ascii="Times New Roman" w:hAnsi="Times New Roman" w:cs="Times New Roman"/>
          <w:kern w:val="0"/>
          <w:sz w:val="24"/>
          <w:szCs w:val="24"/>
        </w:rPr>
        <w:t>The Ohio Energy</w:t>
      </w:r>
      <w:r w:rsidR="003A30F4">
        <w:rPr>
          <w:rFonts w:ascii="Times New Roman" w:hAnsi="Times New Roman" w:cs="Times New Roman"/>
          <w:kern w:val="0"/>
          <w:sz w:val="24"/>
          <w:szCs w:val="24"/>
        </w:rPr>
        <w:t xml:space="preserve"> </w:t>
      </w:r>
      <w:r w:rsidR="00774C21">
        <w:rPr>
          <w:rFonts w:ascii="Times New Roman" w:hAnsi="Times New Roman" w:cs="Times New Roman"/>
          <w:kern w:val="0"/>
          <w:sz w:val="24"/>
          <w:szCs w:val="24"/>
        </w:rPr>
        <w:t>Leadership</w:t>
      </w:r>
      <w:r w:rsidRPr="00CA55A7" w:rsidR="00D42254">
        <w:rPr>
          <w:rFonts w:ascii="Times New Roman" w:hAnsi="Times New Roman" w:cs="Times New Roman"/>
          <w:kern w:val="0"/>
          <w:sz w:val="24"/>
          <w:szCs w:val="24"/>
        </w:rPr>
        <w:t xml:space="preserve"> Council </w:t>
      </w:r>
      <w:r w:rsidRPr="00CA55A7" w:rsidR="0014286B">
        <w:rPr>
          <w:rFonts w:ascii="Times New Roman" w:hAnsi="Times New Roman" w:cs="Times New Roman"/>
          <w:kern w:val="0"/>
          <w:sz w:val="24"/>
          <w:szCs w:val="24"/>
        </w:rPr>
        <w:t>and Ohio Energy Group got their</w:t>
      </w:r>
      <w:r w:rsidRPr="00CA55A7" w:rsidR="00D42254">
        <w:rPr>
          <w:rFonts w:ascii="Times New Roman" w:hAnsi="Times New Roman" w:cs="Times New Roman"/>
          <w:kern w:val="0"/>
          <w:sz w:val="24"/>
          <w:szCs w:val="24"/>
        </w:rPr>
        <w:t xml:space="preserve"> </w:t>
      </w:r>
      <w:r w:rsidRPr="00CA55A7" w:rsidR="0014286B">
        <w:rPr>
          <w:rFonts w:ascii="Times New Roman" w:hAnsi="Times New Roman" w:cs="Times New Roman"/>
          <w:kern w:val="0"/>
          <w:sz w:val="24"/>
          <w:szCs w:val="24"/>
        </w:rPr>
        <w:t>interruptible rate</w:t>
      </w:r>
      <w:r w:rsidRPr="00CA55A7" w:rsidR="00D42254">
        <w:rPr>
          <w:rFonts w:ascii="Times New Roman" w:hAnsi="Times New Roman" w:cs="Times New Roman"/>
          <w:kern w:val="0"/>
          <w:sz w:val="24"/>
          <w:szCs w:val="24"/>
        </w:rPr>
        <w:t xml:space="preserve"> programs</w:t>
      </w:r>
      <w:r w:rsidRPr="00CA55A7" w:rsidR="00B77B40">
        <w:rPr>
          <w:rFonts w:ascii="Times New Roman" w:hAnsi="Times New Roman" w:cs="Times New Roman"/>
          <w:kern w:val="0"/>
          <w:sz w:val="24"/>
          <w:szCs w:val="24"/>
        </w:rPr>
        <w:t>, funded by other customers, including the residential consumers OCC represents</w:t>
      </w:r>
      <w:r w:rsidRPr="00CA55A7" w:rsidR="00D42254">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5"/>
      </w:r>
      <w:r w:rsidRPr="00CA55A7" w:rsidR="00D42254">
        <w:rPr>
          <w:rFonts w:ascii="Times New Roman" w:hAnsi="Times New Roman" w:cs="Times New Roman"/>
          <w:kern w:val="0"/>
          <w:sz w:val="24"/>
          <w:szCs w:val="24"/>
        </w:rPr>
        <w:t xml:space="preserve"> And competitive retail electric service providers got smart thermostat demand response programs, functionality </w:t>
      </w:r>
      <w:r w:rsidRPr="00CA55A7" w:rsidR="0014286B">
        <w:rPr>
          <w:rFonts w:ascii="Times New Roman" w:hAnsi="Times New Roman" w:cs="Times New Roman"/>
          <w:kern w:val="0"/>
          <w:sz w:val="24"/>
          <w:szCs w:val="24"/>
        </w:rPr>
        <w:t>in</w:t>
      </w:r>
      <w:r w:rsidRPr="00CA55A7" w:rsidR="00D42254">
        <w:rPr>
          <w:rFonts w:ascii="Times New Roman" w:hAnsi="Times New Roman" w:cs="Times New Roman"/>
          <w:kern w:val="0"/>
          <w:sz w:val="24"/>
          <w:szCs w:val="24"/>
        </w:rPr>
        <w:t xml:space="preserve"> AEP</w:t>
      </w:r>
      <w:r w:rsidR="00CA55A7">
        <w:rPr>
          <w:rFonts w:ascii="Times New Roman" w:hAnsi="Times New Roman" w:cs="Times New Roman"/>
          <w:kern w:val="0"/>
          <w:sz w:val="24"/>
          <w:szCs w:val="24"/>
        </w:rPr>
        <w:t>’</w:t>
      </w:r>
      <w:r w:rsidRPr="00CA55A7" w:rsidR="00D42254">
        <w:rPr>
          <w:rFonts w:ascii="Times New Roman" w:hAnsi="Times New Roman" w:cs="Times New Roman"/>
          <w:kern w:val="0"/>
          <w:sz w:val="24"/>
          <w:szCs w:val="24"/>
        </w:rPr>
        <w:t>s Customer Information System, and a working group to discuss time-of-use rates</w:t>
      </w:r>
      <w:r w:rsidRPr="00CA55A7" w:rsidR="00FB5898">
        <w:rPr>
          <w:rFonts w:ascii="Times New Roman" w:hAnsi="Times New Roman" w:cs="Times New Roman"/>
          <w:kern w:val="0"/>
          <w:sz w:val="24"/>
          <w:szCs w:val="24"/>
        </w:rPr>
        <w:t xml:space="preserve"> paid for with consumer dollars</w:t>
      </w:r>
      <w:r w:rsidRPr="00CA55A7" w:rsidR="00D42254">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6"/>
      </w:r>
      <w:r w:rsidRPr="00CA55A7" w:rsidR="0014286B">
        <w:rPr>
          <w:rFonts w:ascii="Times New Roman" w:hAnsi="Times New Roman" w:cs="Times New Roman"/>
          <w:kern w:val="0"/>
          <w:sz w:val="24"/>
          <w:szCs w:val="24"/>
        </w:rPr>
        <w:t xml:space="preserve"> But pet projects</w:t>
      </w:r>
      <w:r w:rsidRPr="00CA55A7" w:rsidR="00B77B40">
        <w:rPr>
          <w:rFonts w:ascii="Times New Roman" w:hAnsi="Times New Roman" w:cs="Times New Roman"/>
          <w:kern w:val="0"/>
          <w:sz w:val="24"/>
          <w:szCs w:val="24"/>
        </w:rPr>
        <w:t>, that look a lot like cash payments (or their equivalent)</w:t>
      </w:r>
      <w:r w:rsidR="00774C21">
        <w:rPr>
          <w:rFonts w:ascii="Times New Roman" w:hAnsi="Times New Roman" w:cs="Times New Roman"/>
          <w:kern w:val="0"/>
          <w:sz w:val="24"/>
          <w:szCs w:val="24"/>
        </w:rPr>
        <w:t>,</w:t>
      </w:r>
      <w:r w:rsidR="00CA55A7">
        <w:rPr>
          <w:rFonts w:ascii="Times New Roman" w:hAnsi="Times New Roman" w:cs="Times New Roman"/>
          <w:kern w:val="0"/>
          <w:sz w:val="24"/>
          <w:szCs w:val="24"/>
        </w:rPr>
        <w:t xml:space="preserve"> </w:t>
      </w:r>
      <w:r w:rsidRPr="00CA55A7" w:rsidR="0014286B">
        <w:rPr>
          <w:rFonts w:ascii="Times New Roman" w:hAnsi="Times New Roman" w:cs="Times New Roman"/>
          <w:kern w:val="0"/>
          <w:sz w:val="24"/>
          <w:szCs w:val="24"/>
        </w:rPr>
        <w:t>are not enough to approve the Settlement or protect consumers.</w:t>
      </w:r>
    </w:p>
    <w:p w:rsidR="003113BC" w:rsidRPr="00CA55A7" w:rsidP="002353D7" w14:paraId="3157A10B" w14:textId="50CE235F">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In this matter, AEP has failed to produce, and the PUCO has failed to cite in its Order, an</w:t>
      </w:r>
      <w:r w:rsidRPr="00CA55A7" w:rsidR="00274E0F">
        <w:rPr>
          <w:rFonts w:ascii="Times New Roman" w:hAnsi="Times New Roman" w:cs="Times New Roman"/>
          <w:kern w:val="0"/>
          <w:sz w:val="24"/>
          <w:szCs w:val="24"/>
        </w:rPr>
        <w:t>y</w:t>
      </w:r>
      <w:r w:rsidRPr="00CA55A7">
        <w:rPr>
          <w:rFonts w:ascii="Times New Roman" w:hAnsi="Times New Roman" w:cs="Times New Roman"/>
          <w:kern w:val="0"/>
          <w:sz w:val="24"/>
          <w:szCs w:val="24"/>
        </w:rPr>
        <w:t xml:space="preserve"> evidence supporting the need to so </w:t>
      </w:r>
      <w:r w:rsidRPr="00CA55A7" w:rsidR="00274E0F">
        <w:rPr>
          <w:rFonts w:ascii="Times New Roman" w:hAnsi="Times New Roman" w:cs="Times New Roman"/>
          <w:kern w:val="0"/>
          <w:sz w:val="24"/>
          <w:szCs w:val="24"/>
        </w:rPr>
        <w:t>significantly</w:t>
      </w:r>
      <w:r w:rsidRPr="00CA55A7">
        <w:rPr>
          <w:rFonts w:ascii="Times New Roman" w:hAnsi="Times New Roman" w:cs="Times New Roman"/>
          <w:kern w:val="0"/>
          <w:sz w:val="24"/>
          <w:szCs w:val="24"/>
        </w:rPr>
        <w:t xml:space="preserve"> inflate 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w:t>
      </w:r>
      <w:r w:rsidRPr="00CA55A7" w:rsidR="00274E0F">
        <w:rPr>
          <w:rFonts w:ascii="Times New Roman" w:hAnsi="Times New Roman" w:cs="Times New Roman"/>
          <w:kern w:val="0"/>
          <w:sz w:val="24"/>
          <w:szCs w:val="24"/>
        </w:rPr>
        <w:t>spending relating to service reliability.</w:t>
      </w:r>
      <w:r w:rsidRPr="00CA55A7" w:rsidR="00E20ADA">
        <w:rPr>
          <w:rFonts w:ascii="Times New Roman" w:hAnsi="Times New Roman" w:cs="Times New Roman"/>
          <w:kern w:val="0"/>
          <w:sz w:val="24"/>
          <w:szCs w:val="24"/>
        </w:rPr>
        <w:t xml:space="preserve"> </w:t>
      </w:r>
      <w:r w:rsidRPr="00CA55A7" w:rsidR="00B504FB">
        <w:rPr>
          <w:rFonts w:ascii="Times New Roman" w:hAnsi="Times New Roman" w:cs="Times New Roman"/>
          <w:kern w:val="0"/>
          <w:sz w:val="24"/>
          <w:szCs w:val="24"/>
        </w:rPr>
        <w:t>Indeed, it appears that AEP</w:t>
      </w:r>
      <w:r w:rsidR="00CA55A7">
        <w:rPr>
          <w:rFonts w:ascii="Times New Roman" w:hAnsi="Times New Roman" w:cs="Times New Roman"/>
          <w:kern w:val="0"/>
          <w:sz w:val="24"/>
          <w:szCs w:val="24"/>
        </w:rPr>
        <w:t>’</w:t>
      </w:r>
      <w:r w:rsidRPr="00CA55A7" w:rsidR="00B504FB">
        <w:rPr>
          <w:rFonts w:ascii="Times New Roman" w:hAnsi="Times New Roman" w:cs="Times New Roman"/>
          <w:kern w:val="0"/>
          <w:sz w:val="24"/>
          <w:szCs w:val="24"/>
        </w:rPr>
        <w:t>s real motivation to increase spending is paving the way for large commercial/industrial customers – not residential consumers.</w:t>
      </w:r>
      <w:r>
        <w:rPr>
          <w:rStyle w:val="FootnoteReference"/>
          <w:rFonts w:ascii="Times New Roman" w:hAnsi="Times New Roman" w:cs="Times New Roman"/>
          <w:kern w:val="0"/>
          <w:sz w:val="24"/>
          <w:szCs w:val="24"/>
        </w:rPr>
        <w:footnoteReference w:id="27"/>
      </w:r>
      <w:r w:rsidRPr="00CA55A7" w:rsidR="00B504FB">
        <w:rPr>
          <w:rFonts w:ascii="Times New Roman" w:hAnsi="Times New Roman" w:cs="Times New Roman"/>
          <w:kern w:val="0"/>
          <w:sz w:val="24"/>
          <w:szCs w:val="24"/>
        </w:rPr>
        <w:t xml:space="preserve"> </w:t>
      </w:r>
      <w:r w:rsidRPr="00CA55A7" w:rsidR="00274E0F">
        <w:rPr>
          <w:rFonts w:ascii="Times New Roman" w:hAnsi="Times New Roman" w:cs="Times New Roman"/>
          <w:kern w:val="0"/>
          <w:sz w:val="24"/>
          <w:szCs w:val="24"/>
        </w:rPr>
        <w:t>As a result, to comply with Ohio law and this state</w:t>
      </w:r>
      <w:r w:rsidR="00CA55A7">
        <w:rPr>
          <w:rFonts w:ascii="Times New Roman" w:hAnsi="Times New Roman" w:cs="Times New Roman"/>
          <w:kern w:val="0"/>
          <w:sz w:val="24"/>
          <w:szCs w:val="24"/>
        </w:rPr>
        <w:t>’</w:t>
      </w:r>
      <w:r w:rsidRPr="00CA55A7" w:rsidR="00274E0F">
        <w:rPr>
          <w:rFonts w:ascii="Times New Roman" w:hAnsi="Times New Roman" w:cs="Times New Roman"/>
          <w:kern w:val="0"/>
          <w:sz w:val="24"/>
          <w:szCs w:val="24"/>
        </w:rPr>
        <w:t xml:space="preserve">s regulatory </w:t>
      </w:r>
      <w:r w:rsidRPr="00CA55A7" w:rsidR="000C3AE6">
        <w:rPr>
          <w:rFonts w:ascii="Times New Roman" w:hAnsi="Times New Roman" w:cs="Times New Roman"/>
          <w:kern w:val="0"/>
          <w:sz w:val="24"/>
          <w:szCs w:val="24"/>
        </w:rPr>
        <w:t>principles and practices, the PUCO</w:t>
      </w:r>
      <w:r w:rsidR="00CA55A7">
        <w:rPr>
          <w:rFonts w:ascii="Times New Roman" w:hAnsi="Times New Roman" w:cs="Times New Roman"/>
          <w:kern w:val="0"/>
          <w:sz w:val="24"/>
          <w:szCs w:val="24"/>
        </w:rPr>
        <w:t>’</w:t>
      </w:r>
      <w:r w:rsidRPr="00CA55A7" w:rsidR="000C3AE6">
        <w:rPr>
          <w:rFonts w:ascii="Times New Roman" w:hAnsi="Times New Roman" w:cs="Times New Roman"/>
          <w:kern w:val="0"/>
          <w:sz w:val="24"/>
          <w:szCs w:val="24"/>
        </w:rPr>
        <w:t xml:space="preserve">s Order must be modified to reduce the recovery caps for these </w:t>
      </w:r>
      <w:r w:rsidRPr="00CA55A7" w:rsidR="00425E31">
        <w:rPr>
          <w:rFonts w:ascii="Times New Roman" w:hAnsi="Times New Roman" w:cs="Times New Roman"/>
          <w:kern w:val="0"/>
          <w:sz w:val="24"/>
          <w:szCs w:val="24"/>
        </w:rPr>
        <w:t>charges as recommended by OCC</w:t>
      </w:r>
      <w:r w:rsidRPr="00CA55A7" w:rsidR="000C3AE6">
        <w:rPr>
          <w:rFonts w:ascii="Times New Roman" w:hAnsi="Times New Roman" w:cs="Times New Roman"/>
          <w:kern w:val="0"/>
          <w:sz w:val="24"/>
          <w:szCs w:val="24"/>
        </w:rPr>
        <w:t>.</w:t>
      </w:r>
      <w:r w:rsidRPr="00CA55A7" w:rsidR="00E20ADA">
        <w:rPr>
          <w:rFonts w:ascii="Times New Roman" w:hAnsi="Times New Roman" w:cs="Times New Roman"/>
          <w:kern w:val="0"/>
          <w:sz w:val="24"/>
          <w:szCs w:val="24"/>
        </w:rPr>
        <w:t xml:space="preserve"> </w:t>
      </w:r>
    </w:p>
    <w:p w:rsidR="004C28F4" w:rsidRPr="00CA55A7" w:rsidP="00073261" w14:paraId="3CB287C0" w14:textId="174680B2">
      <w:pPr>
        <w:spacing w:after="0" w:line="480" w:lineRule="auto"/>
        <w:ind w:firstLine="720"/>
        <w:rPr>
          <w:rFonts w:ascii="Times New Roman" w:hAnsi="Times New Roman" w:cs="Times New Roman"/>
          <w:b/>
          <w:bCs/>
          <w:kern w:val="0"/>
          <w:sz w:val="24"/>
          <w:szCs w:val="24"/>
        </w:rPr>
      </w:pPr>
      <w:r w:rsidRPr="00CA55A7">
        <w:rPr>
          <w:rFonts w:ascii="Times New Roman" w:hAnsi="Times New Roman" w:cs="Times New Roman"/>
          <w:kern w:val="0"/>
          <w:sz w:val="24"/>
          <w:szCs w:val="24"/>
        </w:rPr>
        <w:t>The PUCO</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Order </w:t>
      </w:r>
      <w:r w:rsidRPr="00CA55A7" w:rsidR="00E057E2">
        <w:rPr>
          <w:rFonts w:ascii="Times New Roman" w:hAnsi="Times New Roman" w:cs="Times New Roman"/>
          <w:kern w:val="0"/>
          <w:sz w:val="24"/>
          <w:szCs w:val="24"/>
        </w:rPr>
        <w:t>dramatically</w:t>
      </w:r>
      <w:r w:rsidRPr="00CA55A7">
        <w:rPr>
          <w:rFonts w:ascii="Times New Roman" w:hAnsi="Times New Roman" w:cs="Times New Roman"/>
          <w:kern w:val="0"/>
          <w:sz w:val="24"/>
          <w:szCs w:val="24"/>
        </w:rPr>
        <w:t xml:space="preserve"> and unreasonably increases the c</w:t>
      </w:r>
      <w:r w:rsidRPr="00CA55A7" w:rsidR="00E057E2">
        <w:rPr>
          <w:rFonts w:ascii="Times New Roman" w:hAnsi="Times New Roman" w:cs="Times New Roman"/>
          <w:kern w:val="0"/>
          <w:sz w:val="24"/>
          <w:szCs w:val="24"/>
        </w:rPr>
        <w:t>harges</w:t>
      </w:r>
      <w:r w:rsidRPr="00CA55A7">
        <w:rPr>
          <w:rFonts w:ascii="Times New Roman" w:hAnsi="Times New Roman" w:cs="Times New Roman"/>
          <w:kern w:val="0"/>
          <w:sz w:val="24"/>
          <w:szCs w:val="24"/>
        </w:rPr>
        <w:t xml:space="preserve"> AEP </w:t>
      </w:r>
      <w:r w:rsidRPr="00CA55A7" w:rsidR="00E057E2">
        <w:rPr>
          <w:rFonts w:ascii="Times New Roman" w:hAnsi="Times New Roman" w:cs="Times New Roman"/>
          <w:kern w:val="0"/>
          <w:sz w:val="24"/>
          <w:szCs w:val="24"/>
        </w:rPr>
        <w:t>may impose on</w:t>
      </w:r>
      <w:r w:rsidRPr="00CA55A7">
        <w:rPr>
          <w:rFonts w:ascii="Times New Roman" w:hAnsi="Times New Roman" w:cs="Times New Roman"/>
          <w:kern w:val="0"/>
          <w:sz w:val="24"/>
          <w:szCs w:val="24"/>
        </w:rPr>
        <w:t xml:space="preserve"> consumers</w:t>
      </w:r>
      <w:bookmarkStart w:id="8" w:name="_Hlk165419295"/>
      <w:r w:rsidRPr="00CA55A7" w:rsidR="00E057E2">
        <w:rPr>
          <w:rFonts w:ascii="Times New Roman" w:hAnsi="Times New Roman" w:cs="Times New Roman"/>
          <w:kern w:val="0"/>
          <w:sz w:val="24"/>
          <w:szCs w:val="24"/>
        </w:rPr>
        <w:t xml:space="preserve"> and </w:t>
      </w:r>
      <w:r w:rsidRPr="00CA55A7" w:rsidR="002846A3">
        <w:rPr>
          <w:rFonts w:ascii="Times New Roman" w:hAnsi="Times New Roman" w:cs="Times New Roman"/>
          <w:kern w:val="0"/>
          <w:sz w:val="24"/>
          <w:szCs w:val="24"/>
        </w:rPr>
        <w:t xml:space="preserve">collect </w:t>
      </w:r>
      <w:r w:rsidRPr="00CA55A7" w:rsidR="00E057E2">
        <w:rPr>
          <w:rFonts w:ascii="Times New Roman" w:hAnsi="Times New Roman" w:cs="Times New Roman"/>
          <w:kern w:val="0"/>
          <w:sz w:val="24"/>
          <w:szCs w:val="24"/>
        </w:rPr>
        <w:t xml:space="preserve">through </w:t>
      </w:r>
      <w:r w:rsidRPr="00CA55A7" w:rsidR="002846A3">
        <w:rPr>
          <w:rFonts w:ascii="Times New Roman" w:hAnsi="Times New Roman" w:cs="Times New Roman"/>
          <w:kern w:val="0"/>
          <w:sz w:val="24"/>
          <w:szCs w:val="24"/>
        </w:rPr>
        <w:t>charges</w:t>
      </w:r>
      <w:r w:rsidRPr="00CA55A7" w:rsidR="00E057E2">
        <w:rPr>
          <w:rFonts w:ascii="Times New Roman" w:hAnsi="Times New Roman" w:cs="Times New Roman"/>
          <w:kern w:val="0"/>
          <w:sz w:val="24"/>
          <w:szCs w:val="24"/>
        </w:rPr>
        <w:t>, citing only continued service reliability and related benefits as justification for these charges</w:t>
      </w:r>
      <w:r w:rsidRP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8"/>
      </w:r>
      <w:r w:rsidRPr="00CA55A7" w:rsidR="00E20ADA">
        <w:rPr>
          <w:rFonts w:ascii="Times New Roman" w:hAnsi="Times New Roman" w:cs="Times New Roman"/>
          <w:kern w:val="0"/>
          <w:sz w:val="24"/>
          <w:szCs w:val="24"/>
        </w:rPr>
        <w:t xml:space="preserve"> </w:t>
      </w:r>
      <w:bookmarkStart w:id="9" w:name="_Hlk165419936"/>
      <w:bookmarkEnd w:id="8"/>
      <w:r w:rsidRPr="00CA55A7">
        <w:rPr>
          <w:rFonts w:ascii="Times New Roman" w:hAnsi="Times New Roman" w:cs="Times New Roman"/>
          <w:kern w:val="0"/>
          <w:sz w:val="24"/>
          <w:szCs w:val="24"/>
        </w:rPr>
        <w:t xml:space="preserve">During </w:t>
      </w:r>
      <w:r w:rsidRPr="00CA55A7" w:rsidR="002846A3">
        <w:rPr>
          <w:rFonts w:ascii="Times New Roman" w:hAnsi="Times New Roman" w:cs="Times New Roman"/>
          <w:kern w:val="0"/>
          <w:sz w:val="24"/>
          <w:szCs w:val="24"/>
        </w:rPr>
        <w:t>AEP</w:t>
      </w:r>
      <w:r w:rsidR="00CA55A7">
        <w:rPr>
          <w:rFonts w:ascii="Times New Roman" w:hAnsi="Times New Roman" w:cs="Times New Roman"/>
          <w:kern w:val="0"/>
          <w:sz w:val="24"/>
          <w:szCs w:val="24"/>
        </w:rPr>
        <w:t>’</w:t>
      </w:r>
      <w:r w:rsidRPr="00CA55A7" w:rsidR="002846A3">
        <w:rPr>
          <w:rFonts w:ascii="Times New Roman" w:hAnsi="Times New Roman" w:cs="Times New Roman"/>
          <w:kern w:val="0"/>
          <w:sz w:val="24"/>
          <w:szCs w:val="24"/>
        </w:rPr>
        <w:t xml:space="preserve">s previous </w:t>
      </w:r>
      <w:r w:rsidRPr="00CA55A7">
        <w:rPr>
          <w:rFonts w:ascii="Times New Roman" w:hAnsi="Times New Roman" w:cs="Times New Roman"/>
          <w:kern w:val="0"/>
          <w:sz w:val="24"/>
          <w:szCs w:val="24"/>
        </w:rPr>
        <w:t xml:space="preserve">ESP, consumers were </w:t>
      </w:r>
      <w:r w:rsidRPr="00CA55A7" w:rsidR="00073261">
        <w:rPr>
          <w:rFonts w:ascii="Times New Roman" w:hAnsi="Times New Roman" w:cs="Times New Roman"/>
          <w:kern w:val="0"/>
          <w:sz w:val="24"/>
          <w:szCs w:val="24"/>
        </w:rPr>
        <w:t>charged approximately $315 million under the utility</w:t>
      </w:r>
      <w:r w:rsidR="00CA55A7">
        <w:rPr>
          <w:rFonts w:ascii="Times New Roman" w:hAnsi="Times New Roman" w:cs="Times New Roman"/>
          <w:kern w:val="0"/>
          <w:sz w:val="24"/>
          <w:szCs w:val="24"/>
        </w:rPr>
        <w:t>’</w:t>
      </w:r>
      <w:r w:rsidRPr="00CA55A7" w:rsidR="00073261">
        <w:rPr>
          <w:rFonts w:ascii="Times New Roman" w:hAnsi="Times New Roman" w:cs="Times New Roman"/>
          <w:kern w:val="0"/>
          <w:sz w:val="24"/>
          <w:szCs w:val="24"/>
        </w:rPr>
        <w:t>s</w:t>
      </w:r>
      <w:r w:rsidR="00CA55A7">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Distribution Investment Rider (</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DIR</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w:t>
      </w:r>
      <w:r w:rsidRPr="00CA55A7" w:rsidR="00073261">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29"/>
      </w:r>
      <w:r w:rsidRPr="00CA55A7">
        <w:rPr>
          <w:rFonts w:ascii="Times New Roman" w:hAnsi="Times New Roman" w:cs="Times New Roman"/>
          <w:kern w:val="0"/>
          <w:sz w:val="24"/>
          <w:szCs w:val="24"/>
        </w:rPr>
        <w:t xml:space="preserve"> </w:t>
      </w:r>
      <w:r w:rsidRPr="00CA55A7" w:rsidR="00073261">
        <w:rPr>
          <w:rFonts w:ascii="Times New Roman" w:hAnsi="Times New Roman" w:cs="Times New Roman"/>
          <w:kern w:val="0"/>
          <w:sz w:val="24"/>
          <w:szCs w:val="24"/>
        </w:rPr>
        <w:t>And under AEP</w:t>
      </w:r>
      <w:r w:rsidR="00CA55A7">
        <w:rPr>
          <w:rFonts w:ascii="Times New Roman" w:hAnsi="Times New Roman" w:cs="Times New Roman"/>
          <w:kern w:val="0"/>
          <w:sz w:val="24"/>
          <w:szCs w:val="24"/>
        </w:rPr>
        <w:t>’</w:t>
      </w:r>
      <w:r w:rsidRPr="00CA55A7" w:rsidR="00073261">
        <w:rPr>
          <w:rFonts w:ascii="Times New Roman" w:hAnsi="Times New Roman" w:cs="Times New Roman"/>
          <w:kern w:val="0"/>
          <w:sz w:val="24"/>
          <w:szCs w:val="24"/>
        </w:rPr>
        <w:t>s last plan consumers were charged approximately $45 million annually (or approximately $153.75 million over the term of the ESP) under AEP</w:t>
      </w:r>
      <w:r w:rsidR="00CA55A7">
        <w:rPr>
          <w:rFonts w:ascii="Times New Roman" w:hAnsi="Times New Roman" w:cs="Times New Roman"/>
          <w:kern w:val="0"/>
          <w:sz w:val="24"/>
          <w:szCs w:val="24"/>
        </w:rPr>
        <w:t>’</w:t>
      </w:r>
      <w:r w:rsidRPr="00CA55A7" w:rsidR="00073261">
        <w:rPr>
          <w:rFonts w:ascii="Times New Roman" w:hAnsi="Times New Roman" w:cs="Times New Roman"/>
          <w:kern w:val="0"/>
          <w:sz w:val="24"/>
          <w:szCs w:val="24"/>
        </w:rPr>
        <w:t>s</w:t>
      </w:r>
      <w:r w:rsidR="00CA55A7">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Electric Service Reliability Rider (</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ESRR</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30"/>
      </w:r>
      <w:r w:rsidRPr="00CA55A7" w:rsidR="00E20ADA">
        <w:rPr>
          <w:rFonts w:ascii="Times New Roman" w:hAnsi="Times New Roman" w:cs="Times New Roman"/>
          <w:b/>
          <w:bCs/>
          <w:kern w:val="0"/>
          <w:sz w:val="24"/>
          <w:szCs w:val="24"/>
        </w:rPr>
        <w:t xml:space="preserve"> </w:t>
      </w:r>
      <w:r w:rsidRPr="00CA55A7">
        <w:rPr>
          <w:rFonts w:ascii="Times New Roman" w:hAnsi="Times New Roman" w:cs="Times New Roman"/>
          <w:kern w:val="0"/>
          <w:sz w:val="24"/>
          <w:szCs w:val="24"/>
        </w:rPr>
        <w:t xml:space="preserve">Excluding unquantified charges under the Settlement, the Settlement would allow AEP to charge consumers nearly three times more for </w:t>
      </w:r>
      <w:r w:rsidRPr="00CA55A7" w:rsidR="002846A3">
        <w:rPr>
          <w:rFonts w:ascii="Times New Roman" w:hAnsi="Times New Roman" w:cs="Times New Roman"/>
          <w:kern w:val="0"/>
          <w:sz w:val="24"/>
          <w:szCs w:val="24"/>
        </w:rPr>
        <w:t xml:space="preserve">this </w:t>
      </w:r>
      <w:r w:rsidRPr="00CA55A7">
        <w:rPr>
          <w:rFonts w:ascii="Times New Roman" w:hAnsi="Times New Roman" w:cs="Times New Roman"/>
          <w:kern w:val="0"/>
          <w:sz w:val="24"/>
          <w:szCs w:val="24"/>
        </w:rPr>
        <w:t xml:space="preserve">ESP than what was approved for </w:t>
      </w:r>
      <w:r w:rsidRPr="00CA55A7" w:rsidR="002846A3">
        <w:rPr>
          <w:rFonts w:ascii="Times New Roman" w:hAnsi="Times New Roman" w:cs="Times New Roman"/>
          <w:kern w:val="0"/>
          <w:sz w:val="24"/>
          <w:szCs w:val="24"/>
        </w:rPr>
        <w:t xml:space="preserve">the previous </w:t>
      </w:r>
      <w:r w:rsidRPr="00CA55A7">
        <w:rPr>
          <w:rFonts w:ascii="Times New Roman" w:hAnsi="Times New Roman" w:cs="Times New Roman"/>
          <w:kern w:val="0"/>
          <w:sz w:val="24"/>
          <w:szCs w:val="24"/>
        </w:rPr>
        <w:t xml:space="preserve">ESP </w:t>
      </w:r>
      <w:r w:rsidR="00774C21">
        <w:rPr>
          <w:rFonts w:ascii="Times New Roman" w:hAnsi="Times New Roman" w:cs="Times New Roman"/>
          <w:kern w:val="0"/>
          <w:sz w:val="24"/>
          <w:szCs w:val="24"/>
        </w:rPr>
        <w:t>–</w:t>
      </w:r>
      <w:r w:rsidRPr="00CA55A7" w:rsidR="002846A3">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nearly $1 billion in additional charges to consumers.</w:t>
      </w:r>
      <w:bookmarkEnd w:id="9"/>
    </w:p>
    <w:p w:rsidR="00E764AE" w:rsidRPr="00CA55A7" w:rsidP="002353D7" w14:paraId="08F395BC" w14:textId="43968703">
      <w:pPr>
        <w:pStyle w:val="NormalWeb"/>
        <w:shd w:val="clear" w:color="auto" w:fill="FFFFFF"/>
        <w:spacing w:before="0" w:beforeAutospacing="0" w:after="0" w:afterAutospacing="0" w:line="480" w:lineRule="auto"/>
        <w:ind w:firstLine="720"/>
        <w:textAlignment w:val="baseline"/>
      </w:pPr>
      <w:r w:rsidRPr="00CA55A7">
        <w:t>AEP has not produced</w:t>
      </w:r>
      <w:r w:rsidRPr="00CA55A7" w:rsidR="00023A5E">
        <w:t>, nor has the PUCO cited in the Order, any record</w:t>
      </w:r>
      <w:r w:rsidRPr="00CA55A7">
        <w:t xml:space="preserve"> evidence to </w:t>
      </w:r>
      <w:r w:rsidRPr="00CA55A7" w:rsidR="00023A5E">
        <w:t>support</w:t>
      </w:r>
      <w:r w:rsidRPr="00CA55A7">
        <w:t xml:space="preserve"> an additional $1 billion dollars in </w:t>
      </w:r>
      <w:r w:rsidRPr="00CA55A7" w:rsidR="00023A5E">
        <w:t>charges</w:t>
      </w:r>
      <w:r w:rsidRPr="00CA55A7">
        <w:t xml:space="preserve"> to consumers.</w:t>
      </w:r>
      <w:r w:rsidRPr="00CA55A7" w:rsidR="00E20ADA">
        <w:rPr>
          <w:b/>
          <w:bCs/>
        </w:rPr>
        <w:t xml:space="preserve"> </w:t>
      </w:r>
      <w:r w:rsidRPr="00CA55A7" w:rsidR="00023A5E">
        <w:t xml:space="preserve">In fact, the only benefits to consumers </w:t>
      </w:r>
      <w:r w:rsidRPr="00CA55A7" w:rsidR="002846A3">
        <w:t xml:space="preserve">that </w:t>
      </w:r>
      <w:r w:rsidRPr="00CA55A7" w:rsidR="00023A5E">
        <w:t>the PUCO cites as justification for the approved increase</w:t>
      </w:r>
      <w:r w:rsidRPr="00CA55A7" w:rsidR="00CF14A4">
        <w:t xml:space="preserve">d </w:t>
      </w:r>
      <w:r w:rsidRPr="00CA55A7" w:rsidR="002846A3">
        <w:t xml:space="preserve">charge </w:t>
      </w:r>
      <w:r w:rsidRPr="00CA55A7" w:rsidR="00CF14A4">
        <w:t xml:space="preserve">caps </w:t>
      </w:r>
      <w:r w:rsidRPr="00CA55A7" w:rsidR="00023A5E">
        <w:t>are related to service reliability.</w:t>
      </w:r>
      <w:r>
        <w:rPr>
          <w:rStyle w:val="FootnoteReference"/>
        </w:rPr>
        <w:footnoteReference w:id="31"/>
      </w:r>
      <w:r w:rsidRPr="00CA55A7" w:rsidR="00E20ADA">
        <w:t xml:space="preserve"> </w:t>
      </w:r>
      <w:r w:rsidRPr="00CA55A7" w:rsidR="002846A3">
        <w:t>But</w:t>
      </w:r>
      <w:r w:rsidRPr="00CA55A7" w:rsidR="00023A5E">
        <w:t xml:space="preserve"> as the Order clearly finds, AEP has met or exceeded its reliability standards for 2020 through 2022</w:t>
      </w:r>
      <w:r w:rsidRPr="00CA55A7" w:rsidR="00CF14A4">
        <w:t xml:space="preserve">, and met its </w:t>
      </w:r>
      <w:r w:rsidRPr="00CA55A7" w:rsidR="002846A3">
        <w:t>consumers</w:t>
      </w:r>
      <w:r w:rsidR="00CA55A7">
        <w:t>’</w:t>
      </w:r>
      <w:r w:rsidRPr="00CA55A7" w:rsidR="002846A3">
        <w:t xml:space="preserve"> </w:t>
      </w:r>
      <w:r w:rsidRPr="00CA55A7" w:rsidR="00CF14A4">
        <w:t>expectations with regard to reliability,</w:t>
      </w:r>
      <w:r w:rsidRPr="00CA55A7" w:rsidR="00023A5E">
        <w:t xml:space="preserve"> </w:t>
      </w:r>
      <w:r w:rsidRPr="00CA55A7" w:rsidR="002846A3">
        <w:t xml:space="preserve">under </w:t>
      </w:r>
      <w:r w:rsidRPr="00CA55A7" w:rsidR="00023A5E">
        <w:t xml:space="preserve">the </w:t>
      </w:r>
      <w:r w:rsidRPr="00CA55A7" w:rsidR="002353D7">
        <w:t xml:space="preserve">significantly lower </w:t>
      </w:r>
      <w:r w:rsidRPr="00CA55A7" w:rsidR="002846A3">
        <w:t>charge</w:t>
      </w:r>
      <w:r w:rsidRPr="00CA55A7" w:rsidR="009B6130">
        <w:t xml:space="preserve">s to consumers </w:t>
      </w:r>
      <w:r w:rsidRPr="00CA55A7" w:rsidR="002846A3">
        <w:t>from AEP</w:t>
      </w:r>
      <w:r w:rsidR="00CA55A7">
        <w:t>’</w:t>
      </w:r>
      <w:r w:rsidRPr="00CA55A7" w:rsidR="002846A3">
        <w:t>s previous ESP</w:t>
      </w:r>
      <w:r w:rsidRPr="00CA55A7" w:rsidR="002353D7">
        <w:t>.</w:t>
      </w:r>
      <w:r>
        <w:rPr>
          <w:rStyle w:val="FootnoteReference"/>
        </w:rPr>
        <w:footnoteReference w:id="32"/>
      </w:r>
      <w:r w:rsidRPr="00CA55A7" w:rsidR="00E20ADA">
        <w:t xml:space="preserve"> </w:t>
      </w:r>
      <w:r w:rsidRPr="00CA55A7" w:rsidR="00B504FB">
        <w:t>In light of AEP</w:t>
      </w:r>
      <w:r w:rsidR="00CA55A7">
        <w:t>’</w:t>
      </w:r>
      <w:r w:rsidRPr="00CA55A7" w:rsidR="00B504FB">
        <w:t>s reliability performance, there is no record evidence to support increasing charges to consumers. Increasing charges on consumers would violate R.C. 4903.09. It would also be unreasonable, as t</w:t>
      </w:r>
      <w:r w:rsidRPr="00CA55A7">
        <w:t>here is simply no justification for the PUCO</w:t>
      </w:r>
      <w:r w:rsidR="00CA55A7">
        <w:t>’</w:t>
      </w:r>
      <w:r w:rsidRPr="00CA55A7">
        <w:t xml:space="preserve">s approval of such dramatically increased </w:t>
      </w:r>
      <w:r w:rsidRPr="00CA55A7" w:rsidR="002846A3">
        <w:t xml:space="preserve">charge </w:t>
      </w:r>
      <w:r w:rsidRPr="00CA55A7">
        <w:t xml:space="preserve">caps and the exorbitant </w:t>
      </w:r>
      <w:r w:rsidRPr="00CA55A7" w:rsidR="002846A3">
        <w:t>charges AEP</w:t>
      </w:r>
      <w:r w:rsidR="00CA55A7">
        <w:t>’</w:t>
      </w:r>
      <w:r w:rsidRPr="00CA55A7" w:rsidR="002846A3">
        <w:t>s consumers will pay under them.</w:t>
      </w:r>
      <w:r w:rsidRPr="00CA55A7" w:rsidR="00B504FB">
        <w:t xml:space="preserve"> </w:t>
      </w:r>
    </w:p>
    <w:p w:rsidR="001E1C19" w:rsidRPr="00CA55A7" w:rsidP="00A06C04" w14:paraId="4A87E616" w14:textId="564AF1FC">
      <w:pPr>
        <w:pStyle w:val="Heading2"/>
      </w:pPr>
      <w:bookmarkStart w:id="10" w:name="_Toc165626693"/>
      <w:r w:rsidRPr="00CA55A7">
        <w:t>ASSIGNMENT OF ERROR 2: The PUCO</w:t>
      </w:r>
      <w:r w:rsidR="00CA55A7">
        <w:t>’</w:t>
      </w:r>
      <w:r w:rsidRPr="00CA55A7">
        <w:t>s Order is unreasonable and unlawful under R.C. 4928.143(C)(1) because AEP</w:t>
      </w:r>
      <w:r w:rsidR="00CA55A7">
        <w:t>’</w:t>
      </w:r>
      <w:r w:rsidRPr="00CA55A7">
        <w:t>s ESP is not more favorable in the aggregate than a</w:t>
      </w:r>
      <w:r w:rsidR="00F3198E">
        <w:t xml:space="preserve"> market rate offer</w:t>
      </w:r>
      <w:r w:rsidRPr="00CA55A7">
        <w:t>.</w:t>
      </w:r>
      <w:bookmarkEnd w:id="10"/>
      <w:r w:rsidRPr="00CA55A7" w:rsidR="00E20ADA">
        <w:t xml:space="preserve"> </w:t>
      </w:r>
    </w:p>
    <w:p w:rsidR="004C28F4" w:rsidRPr="00CA55A7" w:rsidP="002353D7" w14:paraId="2E2A3957" w14:textId="388F2E55">
      <w:pPr>
        <w:pStyle w:val="NormalWeb"/>
        <w:shd w:val="clear" w:color="auto" w:fill="FFFFFF"/>
        <w:spacing w:before="0" w:beforeAutospacing="0" w:after="0" w:afterAutospacing="0" w:line="480" w:lineRule="auto"/>
        <w:ind w:firstLine="720"/>
        <w:textAlignment w:val="baseline"/>
        <w:rPr>
          <w:rFonts w:eastAsia="Calibri"/>
        </w:rPr>
      </w:pPr>
      <w:r w:rsidRPr="00CA55A7">
        <w:t xml:space="preserve">Even if </w:t>
      </w:r>
      <w:r w:rsidRPr="00CA55A7" w:rsidR="00E764AE">
        <w:t xml:space="preserve">the approved increase in spending could somehow dramatically </w:t>
      </w:r>
      <w:r w:rsidRPr="00CA55A7">
        <w:t>increase</w:t>
      </w:r>
      <w:r w:rsidRPr="00CA55A7" w:rsidR="001E1C19">
        <w:t xml:space="preserve"> AEP</w:t>
      </w:r>
      <w:r w:rsidR="00CA55A7">
        <w:t>’</w:t>
      </w:r>
      <w:r w:rsidRPr="00CA55A7" w:rsidR="001E1C19">
        <w:t>s</w:t>
      </w:r>
      <w:r w:rsidRPr="00CA55A7">
        <w:t xml:space="preserve"> reliability </w:t>
      </w:r>
      <w:r w:rsidRPr="00CA55A7" w:rsidR="009B6130">
        <w:t xml:space="preserve">(which is not needed) </w:t>
      </w:r>
      <w:r w:rsidRPr="00CA55A7" w:rsidR="00045DAE">
        <w:t>AEP</w:t>
      </w:r>
      <w:r w:rsidR="00CA55A7">
        <w:t>’</w:t>
      </w:r>
      <w:r w:rsidRPr="00CA55A7" w:rsidR="00045DAE">
        <w:t>s ESP</w:t>
      </w:r>
      <w:r w:rsidRPr="00CA55A7" w:rsidR="00C94B44">
        <w:t xml:space="preserve"> </w:t>
      </w:r>
      <w:r w:rsidRPr="00CA55A7" w:rsidR="002353D7">
        <w:t>does</w:t>
      </w:r>
      <w:r w:rsidRPr="00CA55A7">
        <w:t xml:space="preserve"> not </w:t>
      </w:r>
      <w:r w:rsidRPr="00CA55A7" w:rsidR="00C94B44">
        <w:t>provide sufficient benefits to</w:t>
      </w:r>
      <w:r w:rsidRPr="00CA55A7">
        <w:t xml:space="preserve"> consumers</w:t>
      </w:r>
      <w:r w:rsidRPr="00CA55A7" w:rsidR="00C94B44">
        <w:t xml:space="preserve"> to outweigh the excessive burden of an additional $1 billion in utility service charges</w:t>
      </w:r>
      <w:r w:rsidRPr="00CA55A7">
        <w:t>.</w:t>
      </w:r>
      <w:r w:rsidRPr="00CA55A7" w:rsidR="00E20ADA">
        <w:t xml:space="preserve"> </w:t>
      </w:r>
      <w:r w:rsidRPr="00CA55A7">
        <w:t xml:space="preserve">The </w:t>
      </w:r>
      <w:r w:rsidRPr="00CA55A7" w:rsidR="002353D7">
        <w:t>Order</w:t>
      </w:r>
      <w:r w:rsidRPr="00CA55A7">
        <w:t xml:space="preserve"> fails to </w:t>
      </w:r>
      <w:r w:rsidRPr="00CA55A7" w:rsidR="00C94B44">
        <w:t xml:space="preserve">provide a more favorable result than </w:t>
      </w:r>
      <w:r w:rsidRPr="00CA55A7">
        <w:t xml:space="preserve">consumers </w:t>
      </w:r>
      <w:r w:rsidRPr="00CA55A7" w:rsidR="00045DAE">
        <w:t>would receive under</w:t>
      </w:r>
      <w:r w:rsidRPr="00CA55A7" w:rsidR="00C94B44">
        <w:t xml:space="preserve"> an MRO</w:t>
      </w:r>
      <w:r w:rsidRPr="00CA55A7" w:rsidR="009B6130">
        <w:t>.</w:t>
      </w:r>
      <w:r>
        <w:rPr>
          <w:rStyle w:val="FootnoteReference"/>
        </w:rPr>
        <w:footnoteReference w:id="33"/>
      </w:r>
      <w:r w:rsidR="00CA55A7">
        <w:t xml:space="preserve"> </w:t>
      </w:r>
      <w:r w:rsidRPr="00CA55A7" w:rsidR="009B6130">
        <w:t xml:space="preserve">The </w:t>
      </w:r>
      <w:r w:rsidRPr="00CA55A7">
        <w:t xml:space="preserve">additional $1 billion in costs over the course of </w:t>
      </w:r>
      <w:r w:rsidRPr="00CA55A7" w:rsidR="009B6130">
        <w:t>AEP</w:t>
      </w:r>
      <w:r w:rsidR="00CA55A7">
        <w:t>’</w:t>
      </w:r>
      <w:r w:rsidRPr="00CA55A7" w:rsidR="009B6130">
        <w:t xml:space="preserve">s </w:t>
      </w:r>
      <w:r w:rsidRPr="00CA55A7">
        <w:t>ESP V far exceed</w:t>
      </w:r>
      <w:r w:rsidRPr="00CA55A7" w:rsidR="009B6130">
        <w:t>s</w:t>
      </w:r>
      <w:r w:rsidRPr="00CA55A7">
        <w:t xml:space="preserve"> the value of </w:t>
      </w:r>
      <w:r w:rsidRPr="00CA55A7" w:rsidR="00C94B44">
        <w:t xml:space="preserve">any benefits it might </w:t>
      </w:r>
      <w:r w:rsidRPr="00CA55A7">
        <w:t>provide consumers</w:t>
      </w:r>
      <w:r w:rsidRPr="00CA55A7" w:rsidR="00C94B44">
        <w:t xml:space="preserve"> in the form of additional reliability</w:t>
      </w:r>
      <w:r w:rsidRPr="00CA55A7">
        <w:t>.</w:t>
      </w:r>
      <w:r>
        <w:rPr>
          <w:rStyle w:val="FootnoteReference"/>
        </w:rPr>
        <w:footnoteReference w:id="34"/>
      </w:r>
      <w:r w:rsidRPr="00CA55A7" w:rsidR="00E20ADA">
        <w:rPr>
          <w:b/>
          <w:bCs/>
        </w:rPr>
        <w:t xml:space="preserve"> </w:t>
      </w:r>
      <w:r w:rsidRPr="00CA55A7" w:rsidR="002353D7">
        <w:t>AEP</w:t>
      </w:r>
      <w:r w:rsidRPr="00CA55A7" w:rsidR="00C94B44">
        <w:t xml:space="preserve"> </w:t>
      </w:r>
      <w:r w:rsidRPr="00CA55A7" w:rsidR="002353D7">
        <w:t xml:space="preserve">met or exceeded its reliability standards for the last three years under the ESP IV </w:t>
      </w:r>
      <w:r w:rsidRPr="00CA55A7" w:rsidR="00045DAE">
        <w:t xml:space="preserve">charge </w:t>
      </w:r>
      <w:r w:rsidRPr="00CA55A7" w:rsidR="002353D7">
        <w:t>caps</w:t>
      </w:r>
      <w:r w:rsidRPr="00CA55A7" w:rsidR="00045DAE">
        <w:t>,</w:t>
      </w:r>
      <w:r>
        <w:rPr>
          <w:rStyle w:val="FootnoteReference"/>
        </w:rPr>
        <w:footnoteReference w:id="35"/>
      </w:r>
      <w:r w:rsidRPr="00CA55A7" w:rsidR="00E20ADA">
        <w:t xml:space="preserve"> </w:t>
      </w:r>
      <w:r w:rsidRPr="00CA55A7" w:rsidR="00C94B44">
        <w:t>and met its</w:t>
      </w:r>
      <w:r w:rsidRPr="00CA55A7" w:rsidR="002353D7">
        <w:t xml:space="preserve"> </w:t>
      </w:r>
      <w:r w:rsidRPr="00CA55A7" w:rsidR="00045DAE">
        <w:t>consumers</w:t>
      </w:r>
      <w:r w:rsidR="008B5615">
        <w:t>’</w:t>
      </w:r>
      <w:r w:rsidRPr="00CA55A7" w:rsidR="00045DAE">
        <w:t xml:space="preserve"> </w:t>
      </w:r>
      <w:r w:rsidRPr="00CA55A7" w:rsidR="002353D7">
        <w:t>expectations for reliability by spending at that those levels</w:t>
      </w:r>
      <w:r w:rsidRPr="00CA55A7" w:rsidR="009B6130">
        <w:t>.</w:t>
      </w:r>
      <w:r>
        <w:rPr>
          <w:rStyle w:val="FootnoteReference"/>
        </w:rPr>
        <w:footnoteReference w:id="36"/>
      </w:r>
      <w:r w:rsidRPr="00CA55A7" w:rsidR="002353D7">
        <w:t xml:space="preserve"> </w:t>
      </w:r>
      <w:r w:rsidRPr="00CA55A7" w:rsidR="009B6130">
        <w:t xml:space="preserve">Neither AEP nor any of its settlement partners </w:t>
      </w:r>
      <w:r w:rsidRPr="00CA55A7" w:rsidR="002353D7">
        <w:t xml:space="preserve">provided any evidence to support the requested dramatic increases in </w:t>
      </w:r>
      <w:r w:rsidRPr="00CA55A7" w:rsidR="00045DAE">
        <w:t xml:space="preserve">collection </w:t>
      </w:r>
      <w:r w:rsidRPr="00CA55A7" w:rsidR="002353D7">
        <w:t xml:space="preserve">under its </w:t>
      </w:r>
      <w:r w:rsidRPr="00CA55A7" w:rsidR="00045DAE">
        <w:t>charges. T</w:t>
      </w:r>
      <w:r w:rsidRPr="00CA55A7" w:rsidR="00C94B44">
        <w:t>he PUCO</w:t>
      </w:r>
      <w:r w:rsidR="00CA55A7">
        <w:t>’</w:t>
      </w:r>
      <w:r w:rsidRPr="00CA55A7" w:rsidR="00C94B44">
        <w:t xml:space="preserve">s Order approving dramatic increases in those </w:t>
      </w:r>
      <w:r w:rsidRPr="00CA55A7" w:rsidR="00045DAE">
        <w:t xml:space="preserve">charge </w:t>
      </w:r>
      <w:r w:rsidRPr="00CA55A7" w:rsidR="00C94B44">
        <w:t>spending caps is therefore wholly unsupported by the record in this matter</w:t>
      </w:r>
      <w:r w:rsidRPr="00CA55A7">
        <w:t>.</w:t>
      </w:r>
    </w:p>
    <w:p w:rsidR="004B46DF" w:rsidRPr="00CA55A7" w:rsidP="00820D48" w14:paraId="0D6D430C" w14:textId="1BB9252E">
      <w:pPr>
        <w:pStyle w:val="NormalWeb"/>
        <w:shd w:val="clear" w:color="auto" w:fill="FFFFFF"/>
        <w:spacing w:before="0" w:beforeAutospacing="0" w:after="0" w:afterAutospacing="0" w:line="480" w:lineRule="auto"/>
        <w:ind w:firstLine="720"/>
        <w:textAlignment w:val="baseline"/>
        <w:rPr>
          <w:rFonts w:eastAsia="Calibri"/>
        </w:rPr>
      </w:pPr>
      <w:r w:rsidRPr="00CA55A7">
        <w:rPr>
          <w:rFonts w:eastAsia="Calibri"/>
        </w:rPr>
        <w:t>Rehearing should be granted</w:t>
      </w:r>
      <w:r w:rsidRPr="00CA55A7" w:rsidR="00A21C0B">
        <w:rPr>
          <w:rFonts w:eastAsia="Calibri"/>
        </w:rPr>
        <w:t>,</w:t>
      </w:r>
      <w:r w:rsidRPr="00CA55A7">
        <w:rPr>
          <w:rFonts w:eastAsia="Calibri"/>
        </w:rPr>
        <w:t xml:space="preserve"> and the Order modified</w:t>
      </w:r>
      <w:r w:rsidRPr="00CA55A7" w:rsidR="00820D48">
        <w:rPr>
          <w:rFonts w:eastAsia="Calibri"/>
        </w:rPr>
        <w:t xml:space="preserve"> as recommended by OCC.</w:t>
      </w:r>
    </w:p>
    <w:p w:rsidR="00B83367" w:rsidRPr="00CA55A7" w:rsidP="00A21C0B" w14:paraId="4E4FDE6D" w14:textId="6DEA99A9">
      <w:pPr>
        <w:pStyle w:val="Heading2"/>
      </w:pPr>
      <w:bookmarkStart w:id="11" w:name="_Toc165626694"/>
      <w:bookmarkStart w:id="12" w:name="_Hlk165463266"/>
      <w:r w:rsidRPr="00CA55A7">
        <w:t xml:space="preserve">ASSIGNMENT OF ERROR </w:t>
      </w:r>
      <w:r w:rsidRPr="00CA55A7" w:rsidR="00820D48">
        <w:t>3</w:t>
      </w:r>
      <w:r w:rsidRPr="00CA55A7">
        <w:t>:</w:t>
      </w:r>
      <w:r w:rsidRPr="00CA55A7" w:rsidR="001B08F6">
        <w:t xml:space="preserve"> </w:t>
      </w:r>
      <w:bookmarkStart w:id="13" w:name="_Hlk161873293"/>
      <w:bookmarkStart w:id="14" w:name="_Hlk165442429"/>
      <w:r w:rsidRPr="00CA55A7" w:rsidR="00045DAE">
        <w:t>The PUCO</w:t>
      </w:r>
      <w:r w:rsidR="00CA55A7">
        <w:t>’</w:t>
      </w:r>
      <w:r w:rsidRPr="00CA55A7" w:rsidR="00045DAE">
        <w:t>s Order is unreasonable and unlawful because it fails to ensure the availability to consumers of reasonably priced retail electric service, in violation of R.C. 4928.02.</w:t>
      </w:r>
      <w:bookmarkEnd w:id="13"/>
      <w:bookmarkEnd w:id="14"/>
      <w:bookmarkEnd w:id="11"/>
    </w:p>
    <w:bookmarkEnd w:id="12"/>
    <w:p w:rsidR="00724AB6" w:rsidRPr="00CA55A7" w:rsidP="000540BE" w14:paraId="3DF523F2" w14:textId="47571BB6">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As discussed above, R.C. 4928.02(A) codifies Ohio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s policy to </w:t>
      </w:r>
      <w:r w:rsidR="00CA55A7">
        <w:rPr>
          <w:rFonts w:ascii="Times New Roman" w:eastAsia="Calibri" w:hAnsi="Times New Roman" w:cs="Times New Roman"/>
          <w:kern w:val="0"/>
          <w:sz w:val="24"/>
          <w:szCs w:val="24"/>
          <w14:ligatures w14:val="none"/>
        </w:rPr>
        <w:t>“</w:t>
      </w:r>
      <w:r w:rsidRPr="00CA55A7" w:rsidR="00045DAE">
        <w:rPr>
          <w:rFonts w:ascii="Times New Roman" w:eastAsia="Calibri" w:hAnsi="Times New Roman" w:cs="Times New Roman"/>
          <w:kern w:val="0"/>
          <w:sz w:val="24"/>
          <w:szCs w:val="24"/>
          <w14:ligatures w14:val="none"/>
        </w:rPr>
        <w:t>[e]</w:t>
      </w:r>
      <w:r w:rsidRPr="00CA55A7">
        <w:rPr>
          <w:rFonts w:ascii="Times New Roman" w:eastAsia="Calibri" w:hAnsi="Times New Roman" w:cs="Times New Roman"/>
          <w:kern w:val="0"/>
          <w:sz w:val="24"/>
          <w:szCs w:val="24"/>
          <w14:ligatures w14:val="none"/>
        </w:rPr>
        <w:t>nsure the availability to consumers of adequate, reliable, safe, efficient, nondiscriminatory, and reasonably priced retail electric service.</w:t>
      </w:r>
      <w:r w:rsidR="00CA55A7">
        <w:rPr>
          <w:rFonts w:ascii="Times New Roman" w:eastAsia="Calibri" w:hAnsi="Times New Roman" w:cs="Times New Roman"/>
          <w:kern w:val="0"/>
          <w:sz w:val="24"/>
          <w:szCs w:val="24"/>
          <w14:ligatures w14:val="none"/>
        </w:rPr>
        <w:t>”</w:t>
      </w:r>
      <w:r w:rsidRPr="00CA55A7" w:rsidR="00E20ADA">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 xml:space="preserve">Likewise, R.C. 4928.06(A) requires the PUCO to </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ensure that the policy specified in section 4928.02 of the Revised Code is effectuated.</w:t>
      </w:r>
      <w:r w:rsidR="00CA55A7">
        <w:rPr>
          <w:rFonts w:ascii="Times New Roman" w:eastAsia="Calibri" w:hAnsi="Times New Roman" w:cs="Times New Roman"/>
          <w:kern w:val="0"/>
          <w:sz w:val="24"/>
          <w:szCs w:val="24"/>
          <w14:ligatures w14:val="none"/>
        </w:rPr>
        <w:t>”</w:t>
      </w:r>
      <w:r w:rsidRPr="00CA55A7" w:rsidR="00E20ADA">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By failing to address AEP</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abysmal disconnection rates</w:t>
      </w:r>
      <w:r w:rsidR="002E2323">
        <w:rPr>
          <w:rFonts w:ascii="Times New Roman" w:eastAsia="Calibri" w:hAnsi="Times New Roman" w:cs="Times New Roman"/>
          <w:kern w:val="0"/>
          <w:sz w:val="24"/>
          <w:szCs w:val="24"/>
          <w14:ligatures w14:val="none"/>
        </w:rPr>
        <w:t xml:space="preserve">, </w:t>
      </w:r>
      <w:r w:rsidRPr="00CA55A7">
        <w:rPr>
          <w:rFonts w:ascii="Times New Roman" w:eastAsia="Calibri" w:hAnsi="Times New Roman" w:cs="Times New Roman"/>
          <w:kern w:val="0"/>
          <w:sz w:val="24"/>
          <w:szCs w:val="24"/>
          <w14:ligatures w14:val="none"/>
        </w:rPr>
        <w:t>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Order violates its statutory obligations under R.C. 4928.06 and must be modified.</w:t>
      </w:r>
      <w:r w:rsidRPr="00CA55A7" w:rsidR="008050B8">
        <w:rPr>
          <w:rFonts w:ascii="Times New Roman" w:eastAsia="Calibri" w:hAnsi="Times New Roman" w:cs="Times New Roman"/>
          <w:kern w:val="0"/>
          <w:sz w:val="24"/>
          <w:szCs w:val="24"/>
          <w14:ligatures w14:val="none"/>
        </w:rPr>
        <w:t xml:space="preserve"> This is especially so because the PUCO</w:t>
      </w:r>
      <w:r w:rsidR="00CA55A7">
        <w:rPr>
          <w:rFonts w:ascii="Times New Roman" w:eastAsia="Calibri" w:hAnsi="Times New Roman" w:cs="Times New Roman"/>
          <w:kern w:val="0"/>
          <w:sz w:val="24"/>
          <w:szCs w:val="24"/>
          <w14:ligatures w14:val="none"/>
        </w:rPr>
        <w:t>’</w:t>
      </w:r>
      <w:r w:rsidRPr="00CA55A7" w:rsidR="008050B8">
        <w:rPr>
          <w:rFonts w:ascii="Times New Roman" w:eastAsia="Calibri" w:hAnsi="Times New Roman" w:cs="Times New Roman"/>
          <w:kern w:val="0"/>
          <w:sz w:val="24"/>
          <w:szCs w:val="24"/>
          <w14:ligatures w14:val="none"/>
        </w:rPr>
        <w:t>s failure occurs at the same time that it is approving more than $1 billion in increased charges to consumers for which AEP has provided no evidentiary support</w:t>
      </w:r>
      <w:r w:rsidR="00205E48">
        <w:rPr>
          <w:rFonts w:ascii="Times New Roman" w:eastAsia="Calibri" w:hAnsi="Times New Roman" w:cs="Times New Roman"/>
          <w:kern w:val="0"/>
          <w:sz w:val="24"/>
          <w:szCs w:val="24"/>
          <w14:ligatures w14:val="none"/>
        </w:rPr>
        <w:t>.</w:t>
      </w:r>
    </w:p>
    <w:p w:rsidR="00574B0A" w:rsidRPr="00CA55A7" w:rsidP="000540BE" w14:paraId="51C87C9F" w14:textId="552D02E8">
      <w:pPr>
        <w:autoSpaceDE w:val="0"/>
        <w:autoSpaceDN w:val="0"/>
        <w:adjustRightInd w:val="0"/>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OCC witness Tinkham testified that the Settlement does nothing to specifically address the affordability of consumers</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 essential electric utility service or the unreasonably large number of AEP service disconnections that occurred in previous years.</w:t>
      </w:r>
      <w:r>
        <w:rPr>
          <w:rStyle w:val="FootnoteReference"/>
          <w:rFonts w:ascii="Times New Roman" w:hAnsi="Times New Roman" w:cs="Times New Roman"/>
          <w:kern w:val="0"/>
          <w:sz w:val="24"/>
          <w:szCs w:val="24"/>
        </w:rPr>
        <w:footnoteReference w:id="37"/>
      </w:r>
      <w:r w:rsidRPr="00CA55A7" w:rsidR="00E20ADA">
        <w:rPr>
          <w:rFonts w:ascii="Times New Roman" w:hAnsi="Times New Roman" w:cs="Times New Roman"/>
          <w:kern w:val="0"/>
          <w:sz w:val="24"/>
          <w:szCs w:val="24"/>
        </w:rPr>
        <w:t xml:space="preserve"> </w:t>
      </w:r>
      <w:r w:rsidRPr="00CA55A7" w:rsidR="004748A9">
        <w:rPr>
          <w:rFonts w:ascii="Times New Roman" w:hAnsi="Times New Roman" w:cs="Times New Roman"/>
          <w:kern w:val="0"/>
          <w:sz w:val="24"/>
          <w:szCs w:val="24"/>
        </w:rPr>
        <w:t>OCC was not alone in its concern about AEP</w:t>
      </w:r>
      <w:r w:rsidR="00CA55A7">
        <w:rPr>
          <w:rFonts w:ascii="Times New Roman" w:hAnsi="Times New Roman" w:cs="Times New Roman"/>
          <w:kern w:val="0"/>
          <w:sz w:val="24"/>
          <w:szCs w:val="24"/>
        </w:rPr>
        <w:t>’</w:t>
      </w:r>
      <w:r w:rsidRPr="00CA55A7" w:rsidR="004748A9">
        <w:rPr>
          <w:rFonts w:ascii="Times New Roman" w:hAnsi="Times New Roman" w:cs="Times New Roman"/>
          <w:kern w:val="0"/>
          <w:sz w:val="24"/>
          <w:szCs w:val="24"/>
        </w:rPr>
        <w:t>s disconnection rates.</w:t>
      </w:r>
      <w:r>
        <w:rPr>
          <w:rStyle w:val="FootnoteReference"/>
          <w:rFonts w:ascii="Times New Roman" w:hAnsi="Times New Roman" w:cs="Times New Roman"/>
          <w:kern w:val="0"/>
          <w:sz w:val="24"/>
          <w:szCs w:val="24"/>
        </w:rPr>
        <w:footnoteReference w:id="38"/>
      </w:r>
      <w:r w:rsidRPr="00CA55A7" w:rsidR="00E20ADA">
        <w:rPr>
          <w:rFonts w:ascii="Times New Roman" w:hAnsi="Times New Roman" w:cs="Times New Roman"/>
          <w:kern w:val="0"/>
          <w:sz w:val="24"/>
          <w:szCs w:val="24"/>
        </w:rPr>
        <w:t xml:space="preserve"> </w:t>
      </w:r>
      <w:r w:rsidRPr="00CA55A7" w:rsidR="0007055B">
        <w:rPr>
          <w:rFonts w:ascii="Times New Roman" w:hAnsi="Times New Roman" w:cs="Times New Roman"/>
          <w:kern w:val="0"/>
          <w:sz w:val="24"/>
          <w:szCs w:val="24"/>
        </w:rPr>
        <w:t>AEP</w:t>
      </w:r>
      <w:r w:rsidR="00CA55A7">
        <w:rPr>
          <w:rFonts w:ascii="Times New Roman" w:hAnsi="Times New Roman" w:cs="Times New Roman"/>
          <w:kern w:val="0"/>
          <w:sz w:val="24"/>
          <w:szCs w:val="24"/>
        </w:rPr>
        <w:t>’</w:t>
      </w:r>
      <w:r w:rsidRPr="00CA55A7" w:rsidR="0007055B">
        <w:rPr>
          <w:rFonts w:ascii="Times New Roman" w:hAnsi="Times New Roman" w:cs="Times New Roman"/>
          <w:kern w:val="0"/>
          <w:sz w:val="24"/>
          <w:szCs w:val="24"/>
        </w:rPr>
        <w:t xml:space="preserve">s unreasonably high disconnection rates are clear evidence that </w:t>
      </w:r>
      <w:r w:rsidR="00CA55A7">
        <w:rPr>
          <w:rFonts w:ascii="Times New Roman" w:hAnsi="Times New Roman" w:cs="Times New Roman"/>
          <w:kern w:val="0"/>
          <w:sz w:val="24"/>
          <w:szCs w:val="24"/>
        </w:rPr>
        <w:t>“</w:t>
      </w:r>
      <w:r w:rsidRPr="00CA55A7" w:rsidR="0007055B">
        <w:rPr>
          <w:rFonts w:ascii="Times New Roman" w:eastAsia="Calibri" w:hAnsi="Times New Roman" w:cs="Times New Roman"/>
          <w:kern w:val="0"/>
          <w:sz w:val="24"/>
          <w:szCs w:val="24"/>
          <w14:ligatures w14:val="none"/>
        </w:rPr>
        <w:t>adequate, reliable, safe, efficient, nondiscriminatory, and reasonably priced retail electric service</w:t>
      </w:r>
      <w:r w:rsidR="00CA55A7">
        <w:rPr>
          <w:rFonts w:ascii="Times New Roman" w:eastAsia="Calibri" w:hAnsi="Times New Roman" w:cs="Times New Roman"/>
          <w:kern w:val="0"/>
          <w:sz w:val="24"/>
          <w:szCs w:val="24"/>
          <w14:ligatures w14:val="none"/>
        </w:rPr>
        <w:t>”</w:t>
      </w:r>
      <w:r w:rsidRPr="00CA55A7" w:rsidR="0007055B">
        <w:rPr>
          <w:rFonts w:ascii="Times New Roman" w:eastAsia="Calibri" w:hAnsi="Times New Roman" w:cs="Times New Roman"/>
          <w:kern w:val="0"/>
          <w:sz w:val="24"/>
          <w:szCs w:val="24"/>
          <w14:ligatures w14:val="none"/>
        </w:rPr>
        <w:t xml:space="preserve"> is </w:t>
      </w:r>
      <w:r w:rsidRPr="00CA55A7" w:rsidR="00045DAE">
        <w:rPr>
          <w:rFonts w:ascii="Times New Roman" w:eastAsia="Calibri" w:hAnsi="Times New Roman" w:cs="Times New Roman"/>
          <w:kern w:val="0"/>
          <w:sz w:val="24"/>
          <w:szCs w:val="24"/>
          <w14:ligatures w14:val="none"/>
        </w:rPr>
        <w:t xml:space="preserve">not </w:t>
      </w:r>
      <w:r w:rsidRPr="00CA55A7" w:rsidR="0007055B">
        <w:rPr>
          <w:rFonts w:ascii="Times New Roman" w:eastAsia="Calibri" w:hAnsi="Times New Roman" w:cs="Times New Roman"/>
          <w:kern w:val="0"/>
          <w:sz w:val="24"/>
          <w:szCs w:val="24"/>
          <w14:ligatures w14:val="none"/>
        </w:rPr>
        <w:t>available to many of AEP</w:t>
      </w:r>
      <w:r w:rsidR="00CA55A7">
        <w:rPr>
          <w:rFonts w:ascii="Times New Roman" w:eastAsia="Calibri" w:hAnsi="Times New Roman" w:cs="Times New Roman"/>
          <w:kern w:val="0"/>
          <w:sz w:val="24"/>
          <w:szCs w:val="24"/>
          <w14:ligatures w14:val="none"/>
        </w:rPr>
        <w:t>’</w:t>
      </w:r>
      <w:r w:rsidRPr="00CA55A7" w:rsidR="0007055B">
        <w:rPr>
          <w:rFonts w:ascii="Times New Roman" w:eastAsia="Calibri" w:hAnsi="Times New Roman" w:cs="Times New Roman"/>
          <w:kern w:val="0"/>
          <w:sz w:val="24"/>
          <w:szCs w:val="24"/>
          <w14:ligatures w14:val="none"/>
        </w:rPr>
        <w:t>s consumers</w:t>
      </w:r>
      <w:r w:rsidRPr="00CA55A7" w:rsidR="00045DAE">
        <w:rPr>
          <w:rFonts w:ascii="Times New Roman" w:eastAsia="Calibri" w:hAnsi="Times New Roman" w:cs="Times New Roman"/>
          <w:kern w:val="0"/>
          <w:sz w:val="24"/>
          <w:szCs w:val="24"/>
          <w14:ligatures w14:val="none"/>
        </w:rPr>
        <w:t>. T</w:t>
      </w:r>
      <w:r w:rsidRPr="00CA55A7" w:rsidR="0007055B">
        <w:rPr>
          <w:rFonts w:ascii="Times New Roman" w:eastAsia="Calibri" w:hAnsi="Times New Roman" w:cs="Times New Roman"/>
          <w:kern w:val="0"/>
          <w:sz w:val="24"/>
          <w:szCs w:val="24"/>
          <w14:ligatures w14:val="none"/>
        </w:rPr>
        <w:t>he increased charges authorized by the Order only serve to make that situation worse.</w:t>
      </w:r>
      <w:r w:rsidRPr="00CA55A7" w:rsidR="00E20ADA">
        <w:rPr>
          <w:rFonts w:ascii="Times New Roman" w:hAnsi="Times New Roman" w:cs="Times New Roman"/>
          <w:kern w:val="0"/>
          <w:sz w:val="24"/>
          <w:szCs w:val="24"/>
        </w:rPr>
        <w:t xml:space="preserve"> </w:t>
      </w:r>
      <w:r w:rsidRPr="00CA55A7" w:rsidR="00045DAE">
        <w:rPr>
          <w:rFonts w:ascii="Times New Roman" w:hAnsi="Times New Roman" w:cs="Times New Roman"/>
          <w:kern w:val="0"/>
          <w:sz w:val="24"/>
          <w:szCs w:val="24"/>
        </w:rPr>
        <w:t>The</w:t>
      </w:r>
      <w:r w:rsidRPr="00CA55A7">
        <w:rPr>
          <w:rFonts w:ascii="Times New Roman" w:hAnsi="Times New Roman" w:cs="Times New Roman"/>
          <w:kern w:val="0"/>
          <w:sz w:val="24"/>
          <w:szCs w:val="24"/>
        </w:rPr>
        <w:t xml:space="preserve"> PUCO</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Order failed to </w:t>
      </w:r>
      <w:r w:rsidRPr="00CA55A7" w:rsidR="00E0013E">
        <w:rPr>
          <w:rFonts w:ascii="Times New Roman" w:hAnsi="Times New Roman" w:cs="Times New Roman"/>
          <w:kern w:val="0"/>
          <w:sz w:val="24"/>
          <w:szCs w:val="24"/>
        </w:rPr>
        <w:t xml:space="preserve">hold </w:t>
      </w:r>
      <w:r w:rsidRPr="00CA55A7">
        <w:rPr>
          <w:rFonts w:ascii="Times New Roman" w:hAnsi="Times New Roman" w:cs="Times New Roman"/>
          <w:kern w:val="0"/>
          <w:sz w:val="24"/>
          <w:szCs w:val="24"/>
        </w:rPr>
        <w:t>AEP</w:t>
      </w:r>
      <w:r w:rsidRPr="00CA55A7" w:rsidR="00E0013E">
        <w:rPr>
          <w:rFonts w:ascii="Times New Roman" w:hAnsi="Times New Roman" w:cs="Times New Roman"/>
          <w:kern w:val="0"/>
          <w:sz w:val="24"/>
          <w:szCs w:val="24"/>
        </w:rPr>
        <w:t xml:space="preserve"> accountable for its</w:t>
      </w:r>
      <w:r w:rsidRPr="00CA55A7">
        <w:rPr>
          <w:rFonts w:ascii="Times New Roman" w:hAnsi="Times New Roman" w:cs="Times New Roman"/>
          <w:kern w:val="0"/>
          <w:sz w:val="24"/>
          <w:szCs w:val="24"/>
        </w:rPr>
        <w:t xml:space="preserve"> unreasonable disconnection rates.</w:t>
      </w:r>
    </w:p>
    <w:p w:rsidR="009B6130" w:rsidRPr="00CA55A7" w:rsidP="000540BE" w14:paraId="55C51952" w14:textId="246BFCE7">
      <w:pPr>
        <w:autoSpaceDE w:val="0"/>
        <w:autoSpaceDN w:val="0"/>
        <w:adjustRightInd w:val="0"/>
        <w:spacing w:after="0" w:line="480" w:lineRule="auto"/>
        <w:ind w:firstLine="7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AEP</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s own 2022 to 2023 annual disconnection reports demonstrate that electric service is becoming less affordable for consumers.</w:t>
      </w:r>
      <w:r w:rsidRPr="00CA55A7" w:rsidR="00E20ADA">
        <w:rPr>
          <w:rFonts w:ascii="Times New Roman" w:eastAsia="Times New Roman" w:hAnsi="Times New Roman" w:cs="Times New Roman"/>
          <w:kern w:val="0"/>
          <w:sz w:val="24"/>
          <w:szCs w:val="24"/>
          <w14:ligatures w14:val="none"/>
        </w:rPr>
        <w:t xml:space="preserve"> </w:t>
      </w:r>
      <w:r w:rsidRPr="00CA55A7">
        <w:rPr>
          <w:rFonts w:ascii="Times New Roman" w:eastAsia="Times New Roman" w:hAnsi="Times New Roman" w:cs="Times New Roman"/>
          <w:kern w:val="0"/>
          <w:sz w:val="24"/>
          <w:szCs w:val="24"/>
          <w14:ligatures w14:val="none"/>
        </w:rPr>
        <w:t>The total dollar amount of unpaid bills represented by such disconnections tripled from $21,162,801</w:t>
      </w:r>
      <w:r>
        <w:rPr>
          <w:rFonts w:ascii="Times New Roman" w:eastAsia="Times New Roman" w:hAnsi="Times New Roman" w:cs="Times New Roman"/>
          <w:kern w:val="0"/>
          <w:sz w:val="24"/>
          <w:szCs w:val="24"/>
          <w:vertAlign w:val="superscript"/>
          <w14:ligatures w14:val="none"/>
        </w:rPr>
        <w:footnoteReference w:id="39"/>
      </w:r>
      <w:r w:rsidRPr="00CA55A7">
        <w:rPr>
          <w:rFonts w:ascii="Times New Roman" w:eastAsia="Times New Roman" w:hAnsi="Times New Roman" w:cs="Times New Roman"/>
          <w:kern w:val="0"/>
          <w:sz w:val="24"/>
          <w:szCs w:val="24"/>
          <w14:ligatures w14:val="none"/>
        </w:rPr>
        <w:t xml:space="preserve"> to $63,554,235.65,</w:t>
      </w:r>
      <w:r>
        <w:rPr>
          <w:rFonts w:ascii="Times New Roman" w:eastAsia="Times New Roman" w:hAnsi="Times New Roman" w:cs="Times New Roman"/>
          <w:kern w:val="0"/>
          <w:sz w:val="24"/>
          <w:szCs w:val="24"/>
          <w:vertAlign w:val="superscript"/>
          <w14:ligatures w14:val="none"/>
        </w:rPr>
        <w:footnoteReference w:id="40"/>
      </w:r>
      <w:r w:rsidRPr="00CA55A7">
        <w:rPr>
          <w:rFonts w:ascii="Times New Roman" w:eastAsia="Times New Roman" w:hAnsi="Times New Roman" w:cs="Times New Roman"/>
          <w:kern w:val="0"/>
          <w:sz w:val="24"/>
          <w:szCs w:val="24"/>
          <w14:ligatures w14:val="none"/>
        </w:rPr>
        <w:t xml:space="preserve"> which results in an increase of $42,391,434.65. Also, the number of final notices increased from 1,673,835</w:t>
      </w:r>
      <w:r>
        <w:rPr>
          <w:rFonts w:ascii="Times New Roman" w:eastAsia="Times New Roman" w:hAnsi="Times New Roman" w:cs="Times New Roman"/>
          <w:kern w:val="0"/>
          <w:sz w:val="24"/>
          <w:szCs w:val="24"/>
          <w:vertAlign w:val="superscript"/>
          <w14:ligatures w14:val="none"/>
        </w:rPr>
        <w:footnoteReference w:id="41"/>
      </w:r>
      <w:r w:rsidRPr="00CA55A7">
        <w:rPr>
          <w:rFonts w:ascii="Times New Roman" w:eastAsia="Times New Roman" w:hAnsi="Times New Roman" w:cs="Times New Roman"/>
          <w:kern w:val="0"/>
          <w:sz w:val="24"/>
          <w:szCs w:val="24"/>
          <w14:ligatures w14:val="none"/>
        </w:rPr>
        <w:t xml:space="preserve"> in 2022 to 1,789,128</w:t>
      </w:r>
      <w:r>
        <w:rPr>
          <w:rFonts w:ascii="Times New Roman" w:eastAsia="Times New Roman" w:hAnsi="Times New Roman" w:cs="Times New Roman"/>
          <w:kern w:val="0"/>
          <w:sz w:val="24"/>
          <w:szCs w:val="24"/>
          <w:vertAlign w:val="superscript"/>
          <w14:ligatures w14:val="none"/>
        </w:rPr>
        <w:footnoteReference w:id="42"/>
      </w:r>
      <w:r w:rsidRPr="00CA55A7">
        <w:rPr>
          <w:rFonts w:ascii="Times New Roman" w:eastAsia="Times New Roman" w:hAnsi="Times New Roman" w:cs="Times New Roman"/>
          <w:kern w:val="0"/>
          <w:sz w:val="24"/>
          <w:szCs w:val="24"/>
          <w14:ligatures w14:val="none"/>
        </w:rPr>
        <w:t xml:space="preserve"> in 2023, representing an increase of 115,293 final notices sent to residential consumers.</w:t>
      </w:r>
      <w:r w:rsidRPr="00CA55A7" w:rsidR="00E20ADA">
        <w:rPr>
          <w:rFonts w:ascii="Times New Roman" w:eastAsia="Times New Roman" w:hAnsi="Times New Roman" w:cs="Times New Roman"/>
          <w:kern w:val="0"/>
          <w:sz w:val="24"/>
          <w:szCs w:val="24"/>
          <w14:ligatures w14:val="none"/>
        </w:rPr>
        <w:t xml:space="preserve"> </w:t>
      </w:r>
      <w:r w:rsidRPr="00CA55A7">
        <w:rPr>
          <w:rFonts w:ascii="Times New Roman" w:eastAsia="Times New Roman" w:hAnsi="Times New Roman" w:cs="Times New Roman"/>
          <w:kern w:val="0"/>
          <w:sz w:val="24"/>
          <w:szCs w:val="24"/>
          <w14:ligatures w14:val="none"/>
        </w:rPr>
        <w:t>Finally, the total amount of unpaid balances on the final disconnection notices increased from $459,550,106</w:t>
      </w:r>
      <w:r>
        <w:rPr>
          <w:rFonts w:ascii="Times New Roman" w:eastAsia="Times New Roman" w:hAnsi="Times New Roman" w:cs="Times New Roman"/>
          <w:kern w:val="0"/>
          <w:sz w:val="24"/>
          <w:szCs w:val="24"/>
          <w:vertAlign w:val="superscript"/>
          <w14:ligatures w14:val="none"/>
        </w:rPr>
        <w:footnoteReference w:id="43"/>
      </w:r>
      <w:r w:rsidRPr="00CA55A7">
        <w:rPr>
          <w:rFonts w:ascii="Times New Roman" w:eastAsia="Times New Roman" w:hAnsi="Times New Roman" w:cs="Times New Roman"/>
          <w:kern w:val="0"/>
          <w:sz w:val="24"/>
          <w:szCs w:val="24"/>
          <w14:ligatures w14:val="none"/>
        </w:rPr>
        <w:t xml:space="preserve"> in 2022 to $542,345,458.50</w:t>
      </w:r>
      <w:r>
        <w:rPr>
          <w:rFonts w:ascii="Times New Roman" w:eastAsia="Times New Roman" w:hAnsi="Times New Roman" w:cs="Times New Roman"/>
          <w:kern w:val="0"/>
          <w:sz w:val="24"/>
          <w:szCs w:val="24"/>
          <w:vertAlign w:val="superscript"/>
          <w14:ligatures w14:val="none"/>
        </w:rPr>
        <w:footnoteReference w:id="44"/>
      </w:r>
      <w:r w:rsidRPr="00CA55A7">
        <w:rPr>
          <w:rFonts w:ascii="Times New Roman" w:eastAsia="Times New Roman" w:hAnsi="Times New Roman" w:cs="Times New Roman"/>
          <w:kern w:val="0"/>
          <w:sz w:val="24"/>
          <w:szCs w:val="24"/>
          <w14:ligatures w14:val="none"/>
        </w:rPr>
        <w:t xml:space="preserve"> in 2023, an increase of $82,795,352.50.</w:t>
      </w:r>
      <w:r w:rsidRPr="00CA55A7" w:rsidR="00E20ADA">
        <w:rPr>
          <w:rFonts w:ascii="Times New Roman" w:eastAsia="Times New Roman" w:hAnsi="Times New Roman" w:cs="Times New Roman"/>
          <w:kern w:val="0"/>
          <w:sz w:val="24"/>
          <w:szCs w:val="24"/>
          <w14:ligatures w14:val="none"/>
        </w:rPr>
        <w:t xml:space="preserve"> </w:t>
      </w:r>
    </w:p>
    <w:p w:rsidR="009F610E" w:rsidRPr="00CA55A7" w:rsidP="000540BE" w14:paraId="69DF510B" w14:textId="5A8B564E">
      <w:pPr>
        <w:autoSpaceDE w:val="0"/>
        <w:autoSpaceDN w:val="0"/>
        <w:adjustRightInd w:val="0"/>
        <w:spacing w:after="0" w:line="480" w:lineRule="auto"/>
        <w:ind w:firstLine="720"/>
        <w:rPr>
          <w:rFonts w:ascii="Times New Roman" w:hAnsi="Times New Roman" w:cs="Times New Roman"/>
          <w:kern w:val="0"/>
          <w:sz w:val="24"/>
          <w:szCs w:val="24"/>
        </w:rPr>
      </w:pPr>
      <w:r w:rsidRPr="00CA55A7">
        <w:rPr>
          <w:rFonts w:ascii="Times New Roman" w:eastAsia="Times New Roman" w:hAnsi="Times New Roman" w:cs="Times New Roman"/>
          <w:kern w:val="0"/>
          <w:sz w:val="24"/>
          <w:szCs w:val="24"/>
          <w14:ligatures w14:val="none"/>
        </w:rPr>
        <w:t>This data shows that service disconnections are increasing at an alarming rate for AEP</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s consumers.</w:t>
      </w:r>
      <w:r w:rsidRPr="00CA55A7" w:rsidR="00E20ADA">
        <w:rPr>
          <w:rFonts w:ascii="Times New Roman" w:eastAsia="Times New Roman" w:hAnsi="Times New Roman" w:cs="Times New Roman"/>
          <w:kern w:val="0"/>
          <w:sz w:val="24"/>
          <w:szCs w:val="24"/>
          <w14:ligatures w14:val="none"/>
        </w:rPr>
        <w:t xml:space="preserve"> </w:t>
      </w:r>
      <w:r w:rsidRPr="00CA55A7" w:rsidR="0097571D">
        <w:rPr>
          <w:rFonts w:ascii="Times New Roman" w:eastAsia="Times New Roman" w:hAnsi="Times New Roman" w:cs="Times New Roman"/>
          <w:kern w:val="0"/>
          <w:sz w:val="24"/>
          <w:szCs w:val="24"/>
          <w14:ligatures w14:val="none"/>
        </w:rPr>
        <w:t xml:space="preserve">In fact, if the disconnection numbers provided by AEP over the last five years are examined, </w:t>
      </w:r>
      <w:r w:rsidRPr="00CA55A7" w:rsidR="00045DAE">
        <w:rPr>
          <w:rFonts w:ascii="Times New Roman" w:eastAsia="Times New Roman" w:hAnsi="Times New Roman" w:cs="Times New Roman"/>
          <w:kern w:val="0"/>
          <w:sz w:val="24"/>
          <w:szCs w:val="24"/>
          <w14:ligatures w14:val="none"/>
        </w:rPr>
        <w:t xml:space="preserve">we see </w:t>
      </w:r>
      <w:r w:rsidRPr="00CA55A7" w:rsidR="0097571D">
        <w:rPr>
          <w:rFonts w:ascii="Times New Roman" w:eastAsia="Times New Roman" w:hAnsi="Times New Roman" w:cs="Times New Roman"/>
          <w:kern w:val="0"/>
          <w:sz w:val="24"/>
          <w:szCs w:val="24"/>
          <w14:ligatures w14:val="none"/>
        </w:rPr>
        <w:t>a steady and significant pattern of increase.</w:t>
      </w:r>
      <w:r>
        <w:rPr>
          <w:rStyle w:val="FootnoteReference"/>
          <w:rFonts w:ascii="Times New Roman" w:eastAsia="Times New Roman" w:hAnsi="Times New Roman" w:cs="Times New Roman"/>
          <w:kern w:val="0"/>
          <w:sz w:val="24"/>
          <w:szCs w:val="24"/>
          <w14:ligatures w14:val="none"/>
        </w:rPr>
        <w:footnoteReference w:id="45"/>
      </w:r>
      <w:r w:rsidRPr="00CA55A7" w:rsidR="00E20ADA">
        <w:rPr>
          <w:rFonts w:ascii="Times New Roman" w:eastAsia="Times New Roman" w:hAnsi="Times New Roman" w:cs="Times New Roman"/>
          <w:kern w:val="0"/>
          <w:sz w:val="24"/>
          <w:szCs w:val="24"/>
          <w14:ligatures w14:val="none"/>
        </w:rPr>
        <w:t xml:space="preserve"> </w:t>
      </w:r>
      <w:r w:rsidRPr="00CA55A7" w:rsidR="0097571D">
        <w:rPr>
          <w:rFonts w:ascii="Times New Roman" w:eastAsia="Times New Roman" w:hAnsi="Times New Roman" w:cs="Times New Roman"/>
          <w:kern w:val="0"/>
          <w:sz w:val="24"/>
          <w:szCs w:val="24"/>
          <w14:ligatures w14:val="none"/>
        </w:rPr>
        <w:t>Rather than take responsibility for this disturbing trend, or provide any potential solutions, AEP has simply provided excuses</w:t>
      </w:r>
      <w:r w:rsidRPr="00CA55A7" w:rsidR="00C067A4">
        <w:rPr>
          <w:rFonts w:ascii="Times New Roman" w:eastAsia="Times New Roman" w:hAnsi="Times New Roman" w:cs="Times New Roman"/>
          <w:kern w:val="0"/>
          <w:sz w:val="24"/>
          <w:szCs w:val="24"/>
          <w14:ligatures w14:val="none"/>
        </w:rPr>
        <w:t>,</w:t>
      </w:r>
      <w:r w:rsidRPr="00CA55A7" w:rsidR="0097571D">
        <w:rPr>
          <w:rFonts w:ascii="Times New Roman" w:eastAsia="Times New Roman" w:hAnsi="Times New Roman" w:cs="Times New Roman"/>
          <w:kern w:val="0"/>
          <w:sz w:val="24"/>
          <w:szCs w:val="24"/>
          <w14:ligatures w14:val="none"/>
        </w:rPr>
        <w:t xml:space="preserve"> and </w:t>
      </w:r>
      <w:r w:rsidRPr="00CA55A7" w:rsidR="0019249F">
        <w:rPr>
          <w:rFonts w:ascii="Times New Roman" w:eastAsia="Times New Roman" w:hAnsi="Times New Roman" w:cs="Times New Roman"/>
          <w:kern w:val="0"/>
          <w:sz w:val="24"/>
          <w:szCs w:val="24"/>
          <w14:ligatures w14:val="none"/>
        </w:rPr>
        <w:t>questioned</w:t>
      </w:r>
      <w:r w:rsidRPr="00CA55A7" w:rsidR="0097571D">
        <w:rPr>
          <w:rFonts w:ascii="Times New Roman" w:eastAsia="Times New Roman" w:hAnsi="Times New Roman" w:cs="Times New Roman"/>
          <w:kern w:val="0"/>
          <w:sz w:val="24"/>
          <w:szCs w:val="24"/>
          <w14:ligatures w14:val="none"/>
        </w:rPr>
        <w:t xml:space="preserve"> the validity of other utilities published disconnection rates.</w:t>
      </w:r>
      <w:r>
        <w:rPr>
          <w:rStyle w:val="FootnoteReference"/>
          <w:rFonts w:ascii="Times New Roman" w:eastAsia="Times New Roman" w:hAnsi="Times New Roman" w:cs="Times New Roman"/>
          <w:kern w:val="0"/>
          <w:sz w:val="24"/>
          <w:szCs w:val="24"/>
          <w14:ligatures w14:val="none"/>
        </w:rPr>
        <w:footnoteReference w:id="46"/>
      </w:r>
    </w:p>
    <w:p w:rsidR="00045DAE" w:rsidRPr="00CA55A7" w:rsidP="00DC3539" w14:paraId="000DAC57" w14:textId="2C21BDCC">
      <w:pPr>
        <w:autoSpaceDE w:val="0"/>
        <w:autoSpaceDN w:val="0"/>
        <w:adjustRightInd w:val="0"/>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 xml:space="preserve">The PUCO Order finds that the </w:t>
      </w:r>
      <w:r w:rsidRPr="00CA55A7">
        <w:rPr>
          <w:rFonts w:ascii="Times New Roman" w:hAnsi="Times New Roman" w:cs="Times New Roman"/>
          <w:kern w:val="0"/>
          <w:sz w:val="24"/>
          <w:szCs w:val="24"/>
        </w:rPr>
        <w:t xml:space="preserve">Settlement </w:t>
      </w:r>
      <w:r w:rsidRPr="00CA55A7">
        <w:rPr>
          <w:rFonts w:ascii="Times New Roman" w:hAnsi="Times New Roman" w:cs="Times New Roman"/>
          <w:kern w:val="0"/>
          <w:sz w:val="24"/>
          <w:szCs w:val="24"/>
        </w:rPr>
        <w:t>addresses 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disconnection rates by </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a modest bill increase for residential customers</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 </w:t>
      </w:r>
      <w:r w:rsidRPr="00CA55A7" w:rsidR="0044167C">
        <w:rPr>
          <w:rFonts w:ascii="Times New Roman" w:hAnsi="Times New Roman" w:cs="Times New Roman"/>
          <w:kern w:val="0"/>
          <w:sz w:val="24"/>
          <w:szCs w:val="24"/>
        </w:rPr>
        <w:t xml:space="preserve">and </w:t>
      </w:r>
      <w:r w:rsidR="001714DB">
        <w:rPr>
          <w:rFonts w:ascii="Times New Roman" w:hAnsi="Times New Roman" w:cs="Times New Roman"/>
          <w:kern w:val="0"/>
          <w:sz w:val="24"/>
          <w:szCs w:val="24"/>
        </w:rPr>
        <w:t>energy efficiency</w:t>
      </w:r>
      <w:r w:rsidRPr="00CA55A7">
        <w:rPr>
          <w:rFonts w:ascii="Times New Roman" w:hAnsi="Times New Roman" w:cs="Times New Roman"/>
          <w:kern w:val="0"/>
          <w:sz w:val="24"/>
          <w:szCs w:val="24"/>
        </w:rPr>
        <w:t xml:space="preserve"> programs (funded primarily by 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w:t>
      </w:r>
      <w:r w:rsidRPr="00CA55A7">
        <w:rPr>
          <w:rFonts w:ascii="Times New Roman" w:hAnsi="Times New Roman" w:cs="Times New Roman"/>
          <w:kern w:val="0"/>
          <w:sz w:val="24"/>
          <w:szCs w:val="24"/>
        </w:rPr>
        <w:t>consumers</w:t>
      </w:r>
      <w:r w:rsidRPr="00CA55A7">
        <w:rPr>
          <w:rFonts w:ascii="Times New Roman" w:hAnsi="Times New Roman" w:cs="Times New Roman"/>
          <w:kern w:val="0"/>
          <w:sz w:val="24"/>
          <w:szCs w:val="24"/>
        </w:rPr>
        <w:t>)</w:t>
      </w:r>
      <w:r w:rsidRPr="00CA55A7" w:rsidR="0044167C">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proposing</w:t>
      </w:r>
      <w:r w:rsidRPr="00CA55A7" w:rsidR="0044167C">
        <w:rPr>
          <w:rFonts w:ascii="Times New Roman" w:hAnsi="Times New Roman" w:cs="Times New Roman"/>
          <w:kern w:val="0"/>
          <w:sz w:val="24"/>
          <w:szCs w:val="24"/>
        </w:rPr>
        <w:t xml:space="preserve"> to provide bill payment assistance, weatherization, and lighting/appliance updates with the goal of reduc</w:t>
      </w:r>
      <w:r w:rsidRPr="00CA55A7" w:rsidR="00DC3539">
        <w:rPr>
          <w:rFonts w:ascii="Times New Roman" w:hAnsi="Times New Roman" w:cs="Times New Roman"/>
          <w:kern w:val="0"/>
          <w:sz w:val="24"/>
          <w:szCs w:val="24"/>
        </w:rPr>
        <w:t>ing energy usage and electric bills to improve affordability.</w:t>
      </w:r>
      <w:r>
        <w:rPr>
          <w:rStyle w:val="FootnoteReference"/>
          <w:rFonts w:ascii="Times New Roman" w:hAnsi="Times New Roman" w:cs="Times New Roman"/>
          <w:kern w:val="0"/>
          <w:sz w:val="24"/>
          <w:szCs w:val="24"/>
        </w:rPr>
        <w:footnoteReference w:id="47"/>
      </w:r>
      <w:r w:rsidRPr="00CA55A7" w:rsidR="00E20ADA">
        <w:rPr>
          <w:rFonts w:ascii="Times New Roman" w:hAnsi="Times New Roman" w:cs="Times New Roman"/>
          <w:kern w:val="0"/>
          <w:sz w:val="24"/>
          <w:szCs w:val="24"/>
        </w:rPr>
        <w:t xml:space="preserve"> </w:t>
      </w:r>
      <w:r w:rsidRPr="00CA55A7" w:rsidR="00DC3539">
        <w:rPr>
          <w:rFonts w:ascii="Times New Roman" w:hAnsi="Times New Roman" w:cs="Times New Roman"/>
          <w:kern w:val="0"/>
          <w:sz w:val="24"/>
          <w:szCs w:val="24"/>
        </w:rPr>
        <w:t xml:space="preserve">The PUCO cites its own rules and programs </w:t>
      </w:r>
      <w:r w:rsidR="00CA55A7">
        <w:rPr>
          <w:rFonts w:ascii="Times New Roman" w:hAnsi="Times New Roman" w:cs="Times New Roman"/>
          <w:kern w:val="0"/>
          <w:sz w:val="24"/>
          <w:szCs w:val="24"/>
        </w:rPr>
        <w:t>“</w:t>
      </w:r>
      <w:r w:rsidRPr="00CA55A7" w:rsidR="00DC3539">
        <w:rPr>
          <w:rFonts w:ascii="Times New Roman" w:hAnsi="Times New Roman" w:cs="Times New Roman"/>
          <w:kern w:val="0"/>
          <w:sz w:val="24"/>
          <w:szCs w:val="24"/>
        </w:rPr>
        <w:t>to address affordability and the threat of disconnection for residential customers, including the PIPP programs. PIPP Plus and Graduate PIPP Plus are designed to make electric and gas utility services more affordable for low-income customers.</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48"/>
      </w:r>
      <w:r w:rsidRPr="00CA55A7" w:rsidR="00E20ADA">
        <w:rPr>
          <w:rFonts w:ascii="Times New Roman" w:hAnsi="Times New Roman" w:cs="Times New Roman"/>
          <w:kern w:val="0"/>
          <w:sz w:val="24"/>
          <w:szCs w:val="24"/>
        </w:rPr>
        <w:t xml:space="preserve"> </w:t>
      </w:r>
      <w:r w:rsidRPr="00CA55A7" w:rsidR="00DC3539">
        <w:rPr>
          <w:rFonts w:ascii="Times New Roman" w:hAnsi="Times New Roman" w:cs="Times New Roman"/>
          <w:kern w:val="0"/>
          <w:sz w:val="24"/>
          <w:szCs w:val="24"/>
        </w:rPr>
        <w:t xml:space="preserve">The PUCO also cites </w:t>
      </w:r>
      <w:r w:rsidR="00CA55A7">
        <w:rPr>
          <w:rFonts w:ascii="Times New Roman" w:hAnsi="Times New Roman" w:cs="Times New Roman"/>
          <w:kern w:val="0"/>
          <w:sz w:val="24"/>
          <w:szCs w:val="24"/>
        </w:rPr>
        <w:t>“</w:t>
      </w:r>
      <w:r w:rsidRPr="00CA55A7" w:rsidR="00DC3539">
        <w:rPr>
          <w:rFonts w:ascii="Times New Roman" w:hAnsi="Times New Roman" w:cs="Times New Roman"/>
          <w:kern w:val="0"/>
          <w:sz w:val="24"/>
          <w:szCs w:val="24"/>
        </w:rPr>
        <w:t>Ohio Adm.Code 4901:1-18-05 [which requires AEP], like other electric, gas, and natural gas utilities, to offer any residential customer an extended payment plan to help make payments more affordable and avoid the possibility of disconnection [and the PUCO</w:t>
      </w:r>
      <w:r w:rsidR="00CA55A7">
        <w:rPr>
          <w:rFonts w:ascii="Times New Roman" w:hAnsi="Times New Roman" w:cs="Times New Roman"/>
          <w:kern w:val="0"/>
          <w:sz w:val="24"/>
          <w:szCs w:val="24"/>
        </w:rPr>
        <w:t>’</w:t>
      </w:r>
      <w:r w:rsidRPr="00CA55A7" w:rsidR="00DC3539">
        <w:rPr>
          <w:rFonts w:ascii="Times New Roman" w:hAnsi="Times New Roman" w:cs="Times New Roman"/>
          <w:kern w:val="0"/>
          <w:sz w:val="24"/>
          <w:szCs w:val="24"/>
        </w:rPr>
        <w:t>s nearly 40 years] of winter reconnection procedures.</w:t>
      </w:r>
      <w:r w:rsid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49"/>
      </w:r>
      <w:r w:rsidRPr="00CA55A7" w:rsidR="00E20ADA">
        <w:rPr>
          <w:rFonts w:ascii="Times New Roman" w:hAnsi="Times New Roman" w:cs="Times New Roman"/>
          <w:kern w:val="0"/>
          <w:sz w:val="24"/>
          <w:szCs w:val="24"/>
        </w:rPr>
        <w:t xml:space="preserve"> </w:t>
      </w:r>
    </w:p>
    <w:p w:rsidR="00FF223A" w:rsidRPr="00CA55A7" w:rsidP="00DC3539" w14:paraId="67F0362F" w14:textId="119EB959">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hAnsi="Times New Roman" w:cs="Times New Roman"/>
          <w:kern w:val="0"/>
          <w:sz w:val="24"/>
          <w:szCs w:val="24"/>
        </w:rPr>
        <w:t xml:space="preserve">But </w:t>
      </w:r>
      <w:r w:rsidRPr="00CA55A7" w:rsidR="00AE6547">
        <w:rPr>
          <w:rFonts w:ascii="Times New Roman" w:hAnsi="Times New Roman" w:cs="Times New Roman"/>
          <w:kern w:val="0"/>
          <w:sz w:val="24"/>
          <w:szCs w:val="24"/>
        </w:rPr>
        <w:t xml:space="preserve">the PUCO fails to recognize that the programs it cites as addressing </w:t>
      </w:r>
      <w:r w:rsidRPr="00CA55A7" w:rsidR="002746CB">
        <w:rPr>
          <w:rFonts w:ascii="Times New Roman" w:hAnsi="Times New Roman" w:cs="Times New Roman"/>
          <w:kern w:val="0"/>
          <w:sz w:val="24"/>
          <w:szCs w:val="24"/>
        </w:rPr>
        <w:t>disconnection</w:t>
      </w:r>
      <w:r w:rsidRPr="00CA55A7">
        <w:rPr>
          <w:rFonts w:ascii="Times New Roman" w:hAnsi="Times New Roman" w:cs="Times New Roman"/>
          <w:kern w:val="0"/>
          <w:sz w:val="24"/>
          <w:szCs w:val="24"/>
        </w:rPr>
        <w:t>s</w:t>
      </w:r>
      <w:r w:rsidRPr="00CA55A7" w:rsidR="002746CB">
        <w:rPr>
          <w:rFonts w:ascii="Times New Roman" w:hAnsi="Times New Roman" w:cs="Times New Roman"/>
          <w:kern w:val="0"/>
          <w:sz w:val="24"/>
          <w:szCs w:val="24"/>
        </w:rPr>
        <w:t xml:space="preserve"> </w:t>
      </w:r>
      <w:r w:rsidRPr="00CA55A7" w:rsidR="009B6130">
        <w:rPr>
          <w:rFonts w:ascii="Times New Roman" w:hAnsi="Times New Roman" w:cs="Times New Roman"/>
          <w:kern w:val="0"/>
          <w:sz w:val="24"/>
          <w:szCs w:val="24"/>
        </w:rPr>
        <w:t>are not new programs.</w:t>
      </w:r>
      <w:r w:rsidR="00CA55A7">
        <w:rPr>
          <w:rFonts w:ascii="Times New Roman" w:hAnsi="Times New Roman" w:cs="Times New Roman"/>
          <w:kern w:val="0"/>
          <w:sz w:val="24"/>
          <w:szCs w:val="24"/>
        </w:rPr>
        <w:t xml:space="preserve"> </w:t>
      </w:r>
      <w:r w:rsidRPr="00CA55A7" w:rsidR="009B6130">
        <w:rPr>
          <w:rFonts w:ascii="Times New Roman" w:hAnsi="Times New Roman" w:cs="Times New Roman"/>
          <w:kern w:val="0"/>
          <w:sz w:val="24"/>
          <w:szCs w:val="24"/>
        </w:rPr>
        <w:t xml:space="preserve">The programs </w:t>
      </w:r>
      <w:r w:rsidRPr="00CA55A7" w:rsidR="002746CB">
        <w:rPr>
          <w:rFonts w:ascii="Times New Roman" w:hAnsi="Times New Roman" w:cs="Times New Roman"/>
          <w:kern w:val="0"/>
          <w:sz w:val="24"/>
          <w:szCs w:val="24"/>
        </w:rPr>
        <w:t xml:space="preserve">have all been in place throughout the time period when AEP </w:t>
      </w:r>
      <w:r w:rsidRPr="00CA55A7" w:rsidR="009B6130">
        <w:rPr>
          <w:rFonts w:ascii="Times New Roman" w:hAnsi="Times New Roman" w:cs="Times New Roman"/>
          <w:kern w:val="0"/>
          <w:sz w:val="24"/>
          <w:szCs w:val="24"/>
        </w:rPr>
        <w:t>was disconnecting consumers left and right.</w:t>
      </w:r>
      <w:r w:rsidR="00CA55A7">
        <w:rPr>
          <w:rFonts w:ascii="Times New Roman" w:hAnsi="Times New Roman" w:cs="Times New Roman"/>
          <w:kern w:val="0"/>
          <w:sz w:val="24"/>
          <w:szCs w:val="24"/>
        </w:rPr>
        <w:t xml:space="preserve"> </w:t>
      </w:r>
      <w:r w:rsidRPr="00CA55A7" w:rsidR="002746CB">
        <w:rPr>
          <w:rFonts w:ascii="Times New Roman" w:hAnsi="Times New Roman" w:cs="Times New Roman"/>
          <w:kern w:val="0"/>
          <w:sz w:val="24"/>
          <w:szCs w:val="24"/>
        </w:rPr>
        <w:t>Further, as the PUCO even points out within its Order</w:t>
      </w:r>
      <w:r w:rsidRPr="00CA55A7">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50"/>
      </w:r>
      <w:r w:rsidRPr="00CA55A7" w:rsidR="002746CB">
        <w:rPr>
          <w:rFonts w:ascii="Times New Roman" w:hAnsi="Times New Roman" w:cs="Times New Roman"/>
          <w:kern w:val="0"/>
          <w:sz w:val="24"/>
          <w:szCs w:val="24"/>
        </w:rPr>
        <w:t xml:space="preserve"> those programs all apply to the other utilities providing electric service to </w:t>
      </w:r>
      <w:r w:rsidRPr="00CA55A7">
        <w:rPr>
          <w:rFonts w:ascii="Times New Roman" w:hAnsi="Times New Roman" w:cs="Times New Roman"/>
          <w:kern w:val="0"/>
          <w:sz w:val="24"/>
          <w:szCs w:val="24"/>
        </w:rPr>
        <w:t xml:space="preserve">Ohioans. They </w:t>
      </w:r>
      <w:r w:rsidRPr="00CA55A7" w:rsidR="002746CB">
        <w:rPr>
          <w:rFonts w:ascii="Times New Roman" w:hAnsi="Times New Roman" w:cs="Times New Roman"/>
          <w:kern w:val="0"/>
          <w:sz w:val="24"/>
          <w:szCs w:val="24"/>
        </w:rPr>
        <w:t>have posted substantially lower rates of disconnection in the same time periods</w:t>
      </w:r>
      <w:r w:rsidR="00E34758">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51"/>
      </w:r>
    </w:p>
    <w:p w:rsidR="00177338" w:rsidRPr="00CA55A7" w:rsidP="000540BE" w14:paraId="2404061A" w14:textId="726D9E90">
      <w:pPr>
        <w:autoSpaceDE w:val="0"/>
        <w:autoSpaceDN w:val="0"/>
        <w:adjustRightInd w:val="0"/>
        <w:spacing w:after="0" w:line="480" w:lineRule="auto"/>
        <w:ind w:firstLine="72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Rehearing should be granted</w:t>
      </w:r>
      <w:r w:rsidRPr="00CA55A7" w:rsidR="00BC0FEA">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 and the Order modified, to comply with 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statutory duties.</w:t>
      </w:r>
    </w:p>
    <w:p w:rsidR="00177338" w:rsidRPr="00CA55A7" w:rsidP="005C100A" w14:paraId="4FEC7E5F" w14:textId="03E9751A">
      <w:pPr>
        <w:spacing w:after="0" w:line="240" w:lineRule="auto"/>
        <w:rPr>
          <w:rFonts w:ascii="Times New Roman" w:eastAsia="Calibri" w:hAnsi="Times New Roman" w:cs="Times New Roman"/>
          <w:kern w:val="0"/>
          <w:sz w:val="24"/>
          <w:szCs w:val="24"/>
          <w14:ligatures w14:val="none"/>
        </w:rPr>
      </w:pPr>
    </w:p>
    <w:p w:rsidR="00123E07" w:rsidRPr="00CA55A7" w:rsidP="006758FC" w14:paraId="60E91C8E" w14:textId="69F94FAC">
      <w:pPr>
        <w:pStyle w:val="Heading1"/>
      </w:pPr>
      <w:bookmarkStart w:id="16" w:name="_Toc165626695"/>
      <w:r w:rsidRPr="00CA55A7">
        <w:t>CONCLUSION</w:t>
      </w:r>
      <w:bookmarkEnd w:id="16"/>
      <w:r w:rsidRPr="00CA55A7">
        <w:t xml:space="preserve"> </w:t>
      </w:r>
    </w:p>
    <w:p w:rsidR="00534CA4" w:rsidP="00360D8D" w14:paraId="6711CA4C" w14:textId="3C32FCFD">
      <w:pPr>
        <w:spacing w:after="0" w:line="480" w:lineRule="auto"/>
        <w:ind w:firstLine="720"/>
        <w:rPr>
          <w:rFonts w:ascii="Times New Roman" w:hAnsi="Times New Roman" w:cs="Times New Roman"/>
          <w:kern w:val="0"/>
          <w:sz w:val="24"/>
          <w:szCs w:val="24"/>
        </w:rPr>
      </w:pPr>
      <w:r w:rsidRPr="00CA55A7">
        <w:rPr>
          <w:rFonts w:ascii="Times New Roman" w:hAnsi="Times New Roman" w:cs="Times New Roman"/>
          <w:kern w:val="0"/>
          <w:sz w:val="24"/>
          <w:szCs w:val="24"/>
        </w:rPr>
        <w:t xml:space="preserve">To protect </w:t>
      </w:r>
      <w:r w:rsidRPr="00CA55A7" w:rsidR="002C20C1">
        <w:rPr>
          <w:rFonts w:ascii="Times New Roman" w:hAnsi="Times New Roman" w:cs="Times New Roman"/>
          <w:kern w:val="0"/>
          <w:sz w:val="24"/>
          <w:szCs w:val="24"/>
        </w:rPr>
        <w:t>AEP</w:t>
      </w:r>
      <w:r w:rsidR="00CA55A7">
        <w:rPr>
          <w:rFonts w:ascii="Times New Roman" w:hAnsi="Times New Roman" w:cs="Times New Roman"/>
          <w:kern w:val="0"/>
          <w:sz w:val="24"/>
          <w:szCs w:val="24"/>
        </w:rPr>
        <w:t>’</w:t>
      </w:r>
      <w:r w:rsidRPr="00CA55A7">
        <w:rPr>
          <w:rFonts w:ascii="Times New Roman" w:hAnsi="Times New Roman" w:cs="Times New Roman"/>
          <w:kern w:val="0"/>
          <w:sz w:val="24"/>
          <w:szCs w:val="24"/>
        </w:rPr>
        <w:t xml:space="preserve">s </w:t>
      </w:r>
      <w:r w:rsidRPr="00CA55A7" w:rsidR="002C20C1">
        <w:rPr>
          <w:rFonts w:ascii="Times New Roman" w:hAnsi="Times New Roman" w:cs="Times New Roman"/>
          <w:kern w:val="0"/>
          <w:sz w:val="24"/>
          <w:szCs w:val="24"/>
        </w:rPr>
        <w:t xml:space="preserve">1.2 million residential </w:t>
      </w:r>
      <w:r w:rsidRPr="00CA55A7">
        <w:rPr>
          <w:rFonts w:ascii="Times New Roman" w:hAnsi="Times New Roman" w:cs="Times New Roman"/>
          <w:kern w:val="0"/>
          <w:sz w:val="24"/>
          <w:szCs w:val="24"/>
        </w:rPr>
        <w:t>electric</w:t>
      </w:r>
      <w:r w:rsidRPr="00CA55A7" w:rsidR="00454EF1">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utility consumers</w:t>
      </w:r>
      <w:r w:rsidRPr="00CA55A7" w:rsidR="002C20C1">
        <w:rPr>
          <w:rFonts w:ascii="Times New Roman" w:hAnsi="Times New Roman" w:cs="Times New Roman"/>
          <w:kern w:val="0"/>
          <w:sz w:val="24"/>
          <w:szCs w:val="24"/>
        </w:rPr>
        <w:t xml:space="preserve"> from excessive and unjustified charges,</w:t>
      </w:r>
      <w:r w:rsidRPr="00CA55A7">
        <w:rPr>
          <w:rFonts w:ascii="Times New Roman" w:hAnsi="Times New Roman" w:cs="Times New Roman"/>
          <w:kern w:val="0"/>
          <w:sz w:val="24"/>
          <w:szCs w:val="24"/>
        </w:rPr>
        <w:t xml:space="preserve"> and help promote the state policy that consumers have adequate, reliable, safe, and efficient electric service</w:t>
      </w:r>
      <w:r w:rsidRPr="00CA55A7" w:rsidR="00BD3164">
        <w:rPr>
          <w:rFonts w:ascii="Times New Roman" w:hAnsi="Times New Roman" w:cs="Times New Roman"/>
          <w:kern w:val="0"/>
          <w:sz w:val="24"/>
          <w:szCs w:val="24"/>
        </w:rPr>
        <w:t>,</w:t>
      </w:r>
      <w:r>
        <w:rPr>
          <w:rStyle w:val="FootnoteReference"/>
          <w:rFonts w:ascii="Times New Roman" w:hAnsi="Times New Roman" w:cs="Times New Roman"/>
          <w:kern w:val="0"/>
          <w:sz w:val="24"/>
          <w:szCs w:val="24"/>
        </w:rPr>
        <w:footnoteReference w:id="52"/>
      </w:r>
      <w:r w:rsidRPr="00CA55A7">
        <w:rPr>
          <w:rFonts w:ascii="Times New Roman" w:hAnsi="Times New Roman" w:cs="Times New Roman"/>
          <w:kern w:val="0"/>
          <w:sz w:val="24"/>
          <w:szCs w:val="24"/>
        </w:rPr>
        <w:t xml:space="preserve"> the PUCO should grant rehearing and modify its Order consistent with </w:t>
      </w:r>
      <w:r w:rsidRPr="00CA55A7" w:rsidR="00820D48">
        <w:rPr>
          <w:rFonts w:ascii="Times New Roman" w:hAnsi="Times New Roman" w:cs="Times New Roman"/>
          <w:kern w:val="0"/>
          <w:sz w:val="24"/>
          <w:szCs w:val="24"/>
        </w:rPr>
        <w:t>OCC</w:t>
      </w:r>
      <w:r w:rsidR="001714DB">
        <w:rPr>
          <w:rFonts w:ascii="Times New Roman" w:hAnsi="Times New Roman" w:cs="Times New Roman"/>
          <w:kern w:val="0"/>
          <w:sz w:val="24"/>
          <w:szCs w:val="24"/>
        </w:rPr>
        <w:t>’s</w:t>
      </w:r>
      <w:r w:rsidRPr="00CA55A7" w:rsidR="00820D48">
        <w:rPr>
          <w:rFonts w:ascii="Times New Roman" w:hAnsi="Times New Roman" w:cs="Times New Roman"/>
          <w:kern w:val="0"/>
          <w:sz w:val="24"/>
          <w:szCs w:val="24"/>
        </w:rPr>
        <w:t xml:space="preserve"> </w:t>
      </w:r>
      <w:r w:rsidRPr="00CA55A7">
        <w:rPr>
          <w:rFonts w:ascii="Times New Roman" w:hAnsi="Times New Roman" w:cs="Times New Roman"/>
          <w:kern w:val="0"/>
          <w:sz w:val="24"/>
          <w:szCs w:val="24"/>
        </w:rPr>
        <w:t>recommendations.</w:t>
      </w:r>
    </w:p>
    <w:p w:rsidR="00534CA4" w14:paraId="4792382B" w14:textId="77777777">
      <w:pPr>
        <w:rPr>
          <w:rFonts w:ascii="Times New Roman" w:hAnsi="Times New Roman" w:cs="Times New Roman"/>
          <w:kern w:val="0"/>
          <w:sz w:val="24"/>
          <w:szCs w:val="24"/>
        </w:rPr>
      </w:pPr>
      <w:r>
        <w:rPr>
          <w:rFonts w:ascii="Times New Roman" w:hAnsi="Times New Roman" w:cs="Times New Roman"/>
          <w:kern w:val="0"/>
          <w:sz w:val="24"/>
          <w:szCs w:val="24"/>
        </w:rPr>
        <w:br w:type="page"/>
      </w:r>
    </w:p>
    <w:p w:rsidR="008A3149" w:rsidRPr="00CA55A7" w:rsidP="008A3149" w14:paraId="05E7B41C" w14:textId="77777777">
      <w:pPr>
        <w:widowControl w:val="0"/>
        <w:spacing w:after="0" w:line="480" w:lineRule="auto"/>
        <w:ind w:firstLine="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Respectfully submitted,</w:t>
      </w:r>
    </w:p>
    <w:p w:rsidR="008A3149" w:rsidRPr="00CA55A7" w:rsidP="008A3149" w14:paraId="24F53917"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Maureen R. Willis (0020847) </w:t>
      </w:r>
    </w:p>
    <w:p w:rsidR="008A3149" w:rsidRPr="00CA55A7" w:rsidP="008A3149" w14:paraId="6E9BF38E" w14:textId="457C8373">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Ohio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8A3149" w:rsidRPr="00CA55A7" w:rsidP="008A3149" w14:paraId="6FDB845F"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8A3149" w:rsidRPr="00CA55A7" w:rsidP="008A3149" w14:paraId="53721F08" w14:textId="77777777">
      <w:pPr>
        <w:tabs>
          <w:tab w:val="left" w:pos="8730"/>
        </w:tabs>
        <w:spacing w:after="0" w:line="240" w:lineRule="auto"/>
        <w:ind w:left="4320"/>
        <w:rPr>
          <w:rFonts w:ascii="Times New Roman" w:eastAsia="Times New Roman" w:hAnsi="Times New Roman" w:cs="Times New Roman"/>
          <w:i/>
          <w:kern w:val="0"/>
          <w:sz w:val="24"/>
          <w:szCs w:val="24"/>
          <w:u w:val="single"/>
          <w14:ligatures w14:val="none"/>
        </w:rPr>
      </w:pPr>
      <w:r w:rsidRPr="00CA55A7">
        <w:rPr>
          <w:rFonts w:ascii="Times New Roman" w:eastAsia="Times New Roman" w:hAnsi="Times New Roman" w:cs="Times New Roman"/>
          <w:i/>
          <w:kern w:val="0"/>
          <w:sz w:val="24"/>
          <w:szCs w:val="24"/>
          <w:u w:val="single"/>
          <w14:ligatures w14:val="none"/>
        </w:rPr>
        <w:t>/s/ William J. Michael</w:t>
      </w:r>
    </w:p>
    <w:p w:rsidR="008A3149" w:rsidRPr="00CA55A7" w:rsidP="008A3149" w14:paraId="5C1D4CBF"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William J. Michael (0070921) </w:t>
      </w:r>
      <w:r w:rsidRPr="00CA55A7">
        <w:rPr>
          <w:rFonts w:ascii="Times New Roman" w:eastAsia="Times New Roman" w:hAnsi="Times New Roman" w:cs="Times New Roman"/>
          <w:kern w:val="0"/>
          <w:sz w:val="24"/>
          <w:szCs w:val="24"/>
          <w14:ligatures w14:val="none"/>
        </w:rPr>
        <w:br/>
        <w:t>Counsel of Record</w:t>
      </w:r>
    </w:p>
    <w:p w:rsidR="008A3149" w:rsidRPr="00CA55A7" w:rsidP="008A3149" w14:paraId="6B16293B" w14:textId="27619BC6">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8A3149" w:rsidRPr="00CA55A7" w:rsidP="008A3149" w14:paraId="4C38A136" w14:textId="6960DBC1">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Angela D.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(0097579)</w:t>
      </w:r>
    </w:p>
    <w:p w:rsidR="008A3149" w:rsidRPr="00CA55A7" w:rsidP="008A3149" w14:paraId="338D7A4C" w14:textId="52BE0AA3">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Deputy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r w:rsidRPr="00CA55A7">
        <w:rPr>
          <w:rFonts w:ascii="Times New Roman" w:eastAsia="Times New Roman" w:hAnsi="Times New Roman" w:cs="Times New Roman"/>
          <w:kern w:val="0"/>
          <w:sz w:val="24"/>
          <w:szCs w:val="24"/>
          <w14:ligatures w14:val="none"/>
        </w:rPr>
        <w:br/>
        <w:t>Donald J. Kral (0042091)</w:t>
      </w:r>
    </w:p>
    <w:p w:rsidR="008A3149" w:rsidRPr="00CA55A7" w:rsidP="008A3149" w14:paraId="55997BBE" w14:textId="3ABB8FC2">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Assistant Consumers</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 xml:space="preserve"> Counsel</w:t>
      </w:r>
    </w:p>
    <w:p w:rsidR="008A3149" w:rsidRPr="00CA55A7" w:rsidP="008A3149" w14:paraId="7C2D0275"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p>
    <w:p w:rsidR="008A3149" w:rsidRPr="00CA55A7" w:rsidP="008A3149" w14:paraId="65C44BEC" w14:textId="7920B8DF">
      <w:pPr>
        <w:tabs>
          <w:tab w:val="left" w:pos="8730"/>
        </w:tabs>
        <w:spacing w:after="0" w:line="240" w:lineRule="auto"/>
        <w:ind w:left="4320"/>
        <w:rPr>
          <w:rFonts w:ascii="Times New Roman" w:eastAsia="Times New Roman" w:hAnsi="Times New Roman" w:cs="Times New Roman"/>
          <w:b/>
          <w:bCs/>
          <w:kern w:val="0"/>
          <w:sz w:val="24"/>
          <w:szCs w:val="24"/>
          <w14:ligatures w14:val="none"/>
        </w:rPr>
      </w:pPr>
      <w:r w:rsidRPr="00CA55A7">
        <w:rPr>
          <w:rFonts w:ascii="Times New Roman" w:eastAsia="Times New Roman" w:hAnsi="Times New Roman" w:cs="Times New Roman"/>
          <w:b/>
          <w:bCs/>
          <w:kern w:val="0"/>
          <w:sz w:val="24"/>
          <w:szCs w:val="24"/>
          <w14:ligatures w14:val="none"/>
        </w:rPr>
        <w:t>Office of the Ohio Consumers</w:t>
      </w:r>
      <w:r w:rsidR="00CA55A7">
        <w:rPr>
          <w:rFonts w:ascii="Times New Roman" w:eastAsia="Times New Roman" w:hAnsi="Times New Roman" w:cs="Times New Roman"/>
          <w:b/>
          <w:bCs/>
          <w:kern w:val="0"/>
          <w:sz w:val="24"/>
          <w:szCs w:val="24"/>
          <w14:ligatures w14:val="none"/>
        </w:rPr>
        <w:t>’</w:t>
      </w:r>
      <w:r w:rsidRPr="00CA55A7">
        <w:rPr>
          <w:rFonts w:ascii="Times New Roman" w:eastAsia="Times New Roman" w:hAnsi="Times New Roman" w:cs="Times New Roman"/>
          <w:b/>
          <w:bCs/>
          <w:kern w:val="0"/>
          <w:sz w:val="24"/>
          <w:szCs w:val="24"/>
          <w14:ligatures w14:val="none"/>
        </w:rPr>
        <w:t xml:space="preserve"> Counsel</w:t>
      </w:r>
    </w:p>
    <w:p w:rsidR="008A3149" w:rsidRPr="00CA55A7" w:rsidP="008A3149" w14:paraId="36A17BAB"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65 East State Street, Suite 700</w:t>
      </w:r>
    </w:p>
    <w:p w:rsidR="008A3149" w:rsidRPr="00CA55A7" w:rsidP="008A3149" w14:paraId="6C122E47"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Columbus, Ohio 43215</w:t>
      </w:r>
    </w:p>
    <w:p w:rsidR="008A3149" w:rsidRPr="00CA55A7" w:rsidP="008A3149" w14:paraId="10864DDC"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[Michael]: (614) 466-1291</w:t>
      </w:r>
    </w:p>
    <w:p w:rsidR="008A3149" w:rsidRPr="00CA55A7" w:rsidP="008A3149" w14:paraId="0B65B256" w14:textId="673FFF0A">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[O</w:t>
      </w:r>
      <w:r w:rsidR="00CA55A7">
        <w:rPr>
          <w:rFonts w:ascii="Times New Roman" w:eastAsia="Times New Roman" w:hAnsi="Times New Roman" w:cs="Times New Roman"/>
          <w:kern w:val="0"/>
          <w:sz w:val="24"/>
          <w:szCs w:val="24"/>
          <w14:ligatures w14:val="none"/>
        </w:rPr>
        <w:t>’</w:t>
      </w:r>
      <w:r w:rsidRPr="00CA55A7">
        <w:rPr>
          <w:rFonts w:ascii="Times New Roman" w:eastAsia="Times New Roman" w:hAnsi="Times New Roman" w:cs="Times New Roman"/>
          <w:kern w:val="0"/>
          <w:sz w:val="24"/>
          <w:szCs w:val="24"/>
          <w14:ligatures w14:val="none"/>
        </w:rPr>
        <w:t>Brien]: (614) 466-9531</w:t>
      </w:r>
    </w:p>
    <w:p w:rsidR="008A3149" w:rsidRPr="00CA55A7" w:rsidP="008A3149" w14:paraId="577756AC"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Telephone [Kral]: (614) 466-9571</w:t>
      </w:r>
    </w:p>
    <w:p w:rsidR="008A3149" w:rsidRPr="00CA55A7" w:rsidP="008A3149" w14:paraId="1844DEA0" w14:textId="77777777">
      <w:pPr>
        <w:tabs>
          <w:tab w:val="left" w:pos="8730"/>
        </w:tabs>
        <w:spacing w:after="0" w:line="240" w:lineRule="auto"/>
        <w:ind w:left="4320"/>
        <w:rPr>
          <w:rFonts w:ascii="Times New Roman" w:eastAsia="Times New Roman" w:hAnsi="Times New Roman" w:cs="Times New Roman"/>
          <w:color w:val="0000FF"/>
          <w:kern w:val="0"/>
          <w:sz w:val="24"/>
          <w:szCs w:val="24"/>
          <w14:ligatures w14:val="none"/>
        </w:rPr>
      </w:pPr>
      <w:hyperlink r:id="rId6" w:history="1">
        <w:r w:rsidRPr="00CA55A7">
          <w:rPr>
            <w:rFonts w:ascii="Times New Roman" w:eastAsia="Times New Roman" w:hAnsi="Times New Roman" w:cs="Times New Roman"/>
            <w:color w:val="0000FF"/>
            <w:kern w:val="0"/>
            <w:sz w:val="24"/>
            <w:szCs w:val="24"/>
            <w:u w:val="single"/>
            <w14:ligatures w14:val="none"/>
          </w:rPr>
          <w:t>william.michael@occ.ohio.gov</w:t>
        </w:r>
      </w:hyperlink>
      <w:r w:rsidRPr="00CA55A7">
        <w:rPr>
          <w:rFonts w:ascii="Times New Roman" w:eastAsia="Times New Roman" w:hAnsi="Times New Roman" w:cs="Times New Roman"/>
          <w:color w:val="0000FF"/>
          <w:kern w:val="0"/>
          <w:sz w:val="24"/>
          <w:szCs w:val="24"/>
          <w14:ligatures w14:val="none"/>
        </w:rPr>
        <w:t xml:space="preserve"> </w:t>
      </w:r>
    </w:p>
    <w:p w:rsidR="008A3149" w:rsidRPr="00CA55A7" w:rsidP="008A3149" w14:paraId="251D674F"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hyperlink r:id="rId7" w:history="1">
        <w:r w:rsidRPr="00CA55A7">
          <w:rPr>
            <w:rFonts w:ascii="Times New Roman" w:eastAsia="Times New Roman" w:hAnsi="Times New Roman" w:cs="Times New Roman"/>
            <w:color w:val="0000FF"/>
            <w:kern w:val="0"/>
            <w:sz w:val="24"/>
            <w:szCs w:val="24"/>
            <w:u w:val="single"/>
            <w14:ligatures w14:val="none"/>
          </w:rPr>
          <w:t>angela.obrien@occ.ohio.gove</w:t>
        </w:r>
      </w:hyperlink>
    </w:p>
    <w:p w:rsidR="008A3149" w:rsidRPr="00CA55A7" w:rsidP="008A3149" w14:paraId="74110A9A" w14:textId="77777777">
      <w:pPr>
        <w:tabs>
          <w:tab w:val="left" w:pos="8730"/>
        </w:tabs>
        <w:spacing w:after="0" w:line="240" w:lineRule="auto"/>
        <w:ind w:left="4320"/>
        <w:rPr>
          <w:rFonts w:ascii="Times New Roman" w:eastAsia="Times New Roman" w:hAnsi="Times New Roman" w:cs="Times New Roman"/>
          <w:color w:val="0000FF"/>
          <w:kern w:val="0"/>
          <w:sz w:val="24"/>
          <w:szCs w:val="24"/>
          <w:u w:val="single"/>
          <w14:ligatures w14:val="none"/>
        </w:rPr>
      </w:pPr>
      <w:hyperlink r:id="rId14" w:history="1">
        <w:r w:rsidRPr="00CA55A7">
          <w:rPr>
            <w:rFonts w:ascii="Times New Roman" w:eastAsia="Times New Roman" w:hAnsi="Times New Roman" w:cs="Times New Roman"/>
            <w:color w:val="0000FF"/>
            <w:kern w:val="0"/>
            <w:sz w:val="24"/>
            <w:szCs w:val="24"/>
            <w:u w:val="single"/>
            <w14:ligatures w14:val="none"/>
          </w:rPr>
          <w:t>donald.kral@occ.ohio.gov</w:t>
        </w:r>
      </w:hyperlink>
    </w:p>
    <w:p w:rsidR="008A3149" w:rsidRPr="00CA55A7" w:rsidP="008A3149" w14:paraId="4CD0AC08" w14:textId="77777777">
      <w:pPr>
        <w:tabs>
          <w:tab w:val="left" w:pos="8730"/>
        </w:tabs>
        <w:spacing w:after="0" w:line="240" w:lineRule="auto"/>
        <w:ind w:left="43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(willing to accept service by e-mail) </w:t>
      </w:r>
    </w:p>
    <w:p w:rsidR="00B42E26" w:rsidRPr="00CA55A7" w14:paraId="676BE4EA" w14:textId="348B1A3F">
      <w:pPr>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br w:type="page"/>
      </w:r>
    </w:p>
    <w:p w:rsidR="00B42E26" w:rsidRPr="00CA55A7" w:rsidP="00B42E26" w14:paraId="0F9FD1BE" w14:textId="77777777">
      <w:pPr>
        <w:widowControl w:val="0"/>
        <w:autoSpaceDE w:val="0"/>
        <w:autoSpaceDN w:val="0"/>
        <w:spacing w:after="0" w:line="240" w:lineRule="auto"/>
        <w:jc w:val="center"/>
        <w:rPr>
          <w:rFonts w:ascii="Times New Roman" w:eastAsia="Times New Roman" w:hAnsi="Times New Roman" w:cs="Times New Roman"/>
          <w:b/>
          <w:bCs/>
          <w:kern w:val="0"/>
          <w:sz w:val="24"/>
          <w:szCs w:val="24"/>
          <w:u w:val="single"/>
          <w14:ligatures w14:val="none"/>
        </w:rPr>
      </w:pPr>
      <w:r w:rsidRPr="00CA55A7">
        <w:rPr>
          <w:rFonts w:ascii="Times New Roman" w:eastAsia="Times New Roman" w:hAnsi="Times New Roman" w:cs="Times New Roman"/>
          <w:b/>
          <w:bCs/>
          <w:kern w:val="0"/>
          <w:sz w:val="24"/>
          <w:szCs w:val="24"/>
          <w:u w:val="single"/>
          <w14:ligatures w14:val="none"/>
        </w:rPr>
        <w:t>CERTIFICATE OF SERVICE</w:t>
      </w:r>
    </w:p>
    <w:p w:rsidR="00B42E26" w:rsidRPr="00CA55A7" w:rsidP="00B42E26" w14:paraId="013E14B5" w14:textId="77777777">
      <w:pPr>
        <w:widowControl w:val="0"/>
        <w:autoSpaceDE w:val="0"/>
        <w:autoSpaceDN w:val="0"/>
        <w:spacing w:after="0" w:line="240" w:lineRule="auto"/>
        <w:jc w:val="center"/>
        <w:rPr>
          <w:rFonts w:ascii="Times New Roman" w:eastAsia="Times New Roman" w:hAnsi="Times New Roman" w:cs="Times New Roman"/>
          <w:b/>
          <w:bCs/>
          <w:kern w:val="0"/>
          <w:sz w:val="24"/>
          <w:szCs w:val="24"/>
          <w:u w:val="single"/>
          <w14:ligatures w14:val="none"/>
        </w:rPr>
      </w:pPr>
    </w:p>
    <w:p w:rsidR="00B42E26" w:rsidRPr="00CA55A7" w:rsidP="00B42E26" w14:paraId="45AD1D73" w14:textId="3296CB33">
      <w:pPr>
        <w:widowControl w:val="0"/>
        <w:autoSpaceDE w:val="0"/>
        <w:autoSpaceDN w:val="0"/>
        <w:spacing w:after="0" w:line="480" w:lineRule="auto"/>
        <w:ind w:firstLine="720"/>
        <w:rPr>
          <w:rFonts w:ascii="Times New Roman" w:eastAsia="Times New Roman" w:hAnsi="Times New Roman" w:cs="Times New Roman"/>
          <w:kern w:val="0"/>
          <w:sz w:val="24"/>
          <w:szCs w:val="24"/>
          <w14:ligatures w14:val="none"/>
        </w:rPr>
      </w:pPr>
      <w:r w:rsidRPr="00CA55A7">
        <w:rPr>
          <w:rFonts w:ascii="Times New Roman" w:eastAsia="Times New Roman" w:hAnsi="Times New Roman" w:cs="Times New Roman"/>
          <w:kern w:val="0"/>
          <w:sz w:val="24"/>
          <w:szCs w:val="24"/>
          <w14:ligatures w14:val="none"/>
        </w:rPr>
        <w:t xml:space="preserve">I hereby certify that a copy of the foregoing </w:t>
      </w:r>
      <w:r w:rsidRPr="00CA55A7" w:rsidR="00BD34CC">
        <w:rPr>
          <w:rFonts w:ascii="Times New Roman" w:eastAsia="Times New Roman" w:hAnsi="Times New Roman" w:cs="Times New Roman"/>
          <w:kern w:val="0"/>
          <w:sz w:val="24"/>
          <w:szCs w:val="24"/>
          <w14:ligatures w14:val="none"/>
        </w:rPr>
        <w:t>Application for Rehearing</w:t>
      </w:r>
      <w:r w:rsidRPr="00CA55A7">
        <w:rPr>
          <w:rFonts w:ascii="Times New Roman" w:eastAsia="Times New Roman" w:hAnsi="Times New Roman" w:cs="Times New Roman"/>
          <w:kern w:val="0"/>
          <w:sz w:val="24"/>
          <w:szCs w:val="24"/>
          <w14:ligatures w14:val="none"/>
        </w:rPr>
        <w:t xml:space="preserve"> was served via electronic transmission upon the parties this </w:t>
      </w:r>
      <w:r w:rsidRPr="00CA55A7" w:rsidR="00BD34CC">
        <w:rPr>
          <w:rFonts w:ascii="Times New Roman" w:eastAsia="Times New Roman" w:hAnsi="Times New Roman" w:cs="Times New Roman"/>
          <w:kern w:val="0"/>
          <w:sz w:val="24"/>
          <w:szCs w:val="24"/>
          <w14:ligatures w14:val="none"/>
        </w:rPr>
        <w:t>3</w:t>
      </w:r>
      <w:r w:rsidRPr="00CA55A7" w:rsidR="00BD34CC">
        <w:rPr>
          <w:rFonts w:ascii="Times New Roman" w:eastAsia="Times New Roman" w:hAnsi="Times New Roman" w:cs="Times New Roman"/>
          <w:kern w:val="0"/>
          <w:sz w:val="24"/>
          <w:szCs w:val="24"/>
          <w:vertAlign w:val="superscript"/>
          <w14:ligatures w14:val="none"/>
        </w:rPr>
        <w:t>rd</w:t>
      </w:r>
      <w:r w:rsidRPr="00CA55A7" w:rsidR="00BD34CC">
        <w:rPr>
          <w:rFonts w:ascii="Times New Roman" w:eastAsia="Times New Roman" w:hAnsi="Times New Roman" w:cs="Times New Roman"/>
          <w:kern w:val="0"/>
          <w:sz w:val="24"/>
          <w:szCs w:val="24"/>
          <w14:ligatures w14:val="none"/>
        </w:rPr>
        <w:t xml:space="preserve"> </w:t>
      </w:r>
      <w:r w:rsidRPr="00CA55A7">
        <w:rPr>
          <w:rFonts w:ascii="Times New Roman" w:eastAsia="Times New Roman" w:hAnsi="Times New Roman" w:cs="Times New Roman"/>
          <w:kern w:val="0"/>
          <w:sz w:val="24"/>
          <w:szCs w:val="24"/>
          <w14:ligatures w14:val="none"/>
        </w:rPr>
        <w:t xml:space="preserve">day of </w:t>
      </w:r>
      <w:r w:rsidRPr="00CA55A7" w:rsidR="00BD34CC">
        <w:rPr>
          <w:rFonts w:ascii="Times New Roman" w:eastAsia="Times New Roman" w:hAnsi="Times New Roman" w:cs="Times New Roman"/>
          <w:kern w:val="0"/>
          <w:sz w:val="24"/>
          <w:szCs w:val="24"/>
          <w14:ligatures w14:val="none"/>
        </w:rPr>
        <w:t>May 2024.</w:t>
      </w:r>
    </w:p>
    <w:p w:rsidR="00B42E26" w:rsidRPr="00CA55A7" w:rsidP="00B42E26" w14:paraId="1D4F9960" w14:textId="77777777">
      <w:pPr>
        <w:tabs>
          <w:tab w:val="left" w:pos="4320"/>
        </w:tabs>
        <w:spacing w:after="0" w:line="240" w:lineRule="auto"/>
        <w:ind w:left="4680"/>
        <w:rPr>
          <w:rFonts w:ascii="Times New Roman" w:eastAsia="Calibri" w:hAnsi="Times New Roman" w:cs="Times New Roman"/>
          <w:i/>
          <w:iCs/>
          <w:kern w:val="0"/>
          <w:sz w:val="24"/>
          <w:szCs w:val="24"/>
          <w:u w:val="single"/>
          <w14:ligatures w14:val="none"/>
        </w:rPr>
      </w:pPr>
      <w:r w:rsidRPr="00CA55A7">
        <w:rPr>
          <w:rFonts w:ascii="Times New Roman" w:eastAsia="Calibri" w:hAnsi="Times New Roman" w:cs="Times New Roman"/>
          <w:kern w:val="0"/>
          <w:sz w:val="24"/>
          <w:szCs w:val="24"/>
          <w14:ligatures w14:val="none"/>
        </w:rPr>
        <w:tab/>
      </w:r>
      <w:r w:rsidRPr="00CA55A7">
        <w:rPr>
          <w:rFonts w:ascii="Times New Roman" w:eastAsia="Calibri" w:hAnsi="Times New Roman" w:cs="Times New Roman"/>
          <w:i/>
          <w:iCs/>
          <w:kern w:val="0"/>
          <w:sz w:val="24"/>
          <w:szCs w:val="24"/>
          <w:u w:val="single"/>
          <w14:ligatures w14:val="none"/>
        </w:rPr>
        <w:t>/s/ William J. Michael</w:t>
      </w:r>
    </w:p>
    <w:p w:rsidR="00B42E26" w:rsidRPr="00CA55A7" w:rsidP="00B42E26" w14:paraId="11BBB997" w14:textId="77777777">
      <w:pPr>
        <w:tabs>
          <w:tab w:val="left" w:pos="4320"/>
        </w:tabs>
        <w:spacing w:after="0" w:line="240" w:lineRule="auto"/>
        <w:ind w:left="468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ab/>
        <w:t>William J. Michael</w:t>
      </w:r>
    </w:p>
    <w:p w:rsidR="00B42E26" w:rsidRPr="00CA55A7" w:rsidP="00B42E26" w14:paraId="69CB94CB" w14:textId="2429E751">
      <w:pPr>
        <w:tabs>
          <w:tab w:val="left" w:pos="4320"/>
        </w:tabs>
        <w:spacing w:after="0" w:line="240" w:lineRule="auto"/>
        <w:ind w:left="4680"/>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ab/>
        <w:t>Assistant Consumers</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 xml:space="preserve"> Counsel</w:t>
      </w:r>
    </w:p>
    <w:p w:rsidR="00B42E26" w:rsidRPr="00CA55A7" w:rsidP="00B42E26" w14:paraId="42181FC4" w14:textId="77777777">
      <w:pPr>
        <w:tabs>
          <w:tab w:val="left" w:pos="4320"/>
        </w:tabs>
        <w:spacing w:after="0" w:line="240" w:lineRule="auto"/>
        <w:ind w:left="5040"/>
        <w:rPr>
          <w:rFonts w:ascii="Times New Roman" w:eastAsia="Calibri" w:hAnsi="Times New Roman" w:cs="Times New Roman"/>
          <w:kern w:val="0"/>
          <w:sz w:val="24"/>
          <w:szCs w:val="24"/>
          <w14:ligatures w14:val="none"/>
        </w:rPr>
      </w:pPr>
    </w:p>
    <w:p w:rsidR="00B42E26" w:rsidRPr="00CA55A7" w:rsidP="00B42E26" w14:paraId="32876AE2" w14:textId="54F99815">
      <w:pPr>
        <w:spacing w:after="0" w:line="240" w:lineRule="auto"/>
        <w:rPr>
          <w:rFonts w:ascii="Times New Roman" w:eastAsia="Calibri" w:hAnsi="Times New Roman" w:cs="Times New Roman"/>
          <w:kern w:val="0"/>
          <w:sz w:val="24"/>
          <w:szCs w:val="24"/>
          <w14:ligatures w14:val="none"/>
        </w:rPr>
      </w:pPr>
      <w:r w:rsidRPr="00CA55A7">
        <w:rPr>
          <w:rFonts w:ascii="Times New Roman" w:eastAsia="Calibri" w:hAnsi="Times New Roman" w:cs="Times New Roman"/>
          <w:kern w:val="0"/>
          <w:sz w:val="24"/>
          <w:szCs w:val="24"/>
          <w14:ligatures w14:val="none"/>
        </w:rPr>
        <w:t>The PUCO</w:t>
      </w:r>
      <w:r w:rsidR="00CA55A7">
        <w:rPr>
          <w:rFonts w:ascii="Times New Roman" w:eastAsia="Calibri" w:hAnsi="Times New Roman" w:cs="Times New Roman"/>
          <w:kern w:val="0"/>
          <w:sz w:val="24"/>
          <w:szCs w:val="24"/>
          <w14:ligatures w14:val="none"/>
        </w:rPr>
        <w:t>’</w:t>
      </w:r>
      <w:r w:rsidRPr="00CA55A7">
        <w:rPr>
          <w:rFonts w:ascii="Times New Roman" w:eastAsia="Calibri" w:hAnsi="Times New Roman" w:cs="Times New Roman"/>
          <w:kern w:val="0"/>
          <w:sz w:val="24"/>
          <w:szCs w:val="24"/>
          <w14:ligatures w14:val="none"/>
        </w:rPr>
        <w:t>s e-filing system will electronically serve notice of the filing of this document on the following parties:</w:t>
      </w:r>
    </w:p>
    <w:p w:rsidR="00B42E26" w:rsidRPr="00CA55A7" w:rsidP="00B42E26" w14:paraId="101C4149" w14:textId="77777777">
      <w:pPr>
        <w:spacing w:after="0" w:line="240" w:lineRule="auto"/>
        <w:rPr>
          <w:rFonts w:ascii="Times New Roman" w:eastAsia="Calibri" w:hAnsi="Times New Roman" w:cs="Times New Roman"/>
          <w:kern w:val="0"/>
          <w:sz w:val="24"/>
          <w:szCs w:val="24"/>
          <w14:ligatures w14:val="none"/>
        </w:rPr>
      </w:pPr>
    </w:p>
    <w:p w:rsidR="00B42E26" w:rsidRPr="00CA55A7" w:rsidP="00B42E26" w14:paraId="2701578D" w14:textId="77777777">
      <w:pPr>
        <w:spacing w:after="0" w:line="240" w:lineRule="auto"/>
        <w:jc w:val="center"/>
        <w:rPr>
          <w:rFonts w:ascii="Times New Roman" w:eastAsia="Calibri" w:hAnsi="Times New Roman" w:cs="Times New Roman"/>
          <w:b/>
          <w:kern w:val="0"/>
          <w:sz w:val="24"/>
          <w:szCs w:val="24"/>
          <w:u w:val="single"/>
          <w14:ligatures w14:val="none"/>
        </w:rPr>
      </w:pPr>
      <w:r w:rsidRPr="00CA55A7">
        <w:rPr>
          <w:rFonts w:ascii="Times New Roman" w:eastAsia="Calibri" w:hAnsi="Times New Roman" w:cs="Times New Roman"/>
          <w:b/>
          <w:kern w:val="0"/>
          <w:sz w:val="24"/>
          <w:szCs w:val="24"/>
          <w:u w:val="single"/>
          <w14:ligatures w14:val="none"/>
        </w:rPr>
        <w:t>SERVICE LIST</w:t>
      </w:r>
    </w:p>
    <w:p w:rsidR="00B42E26" w:rsidRPr="00CA55A7" w:rsidP="00B42E26" w14:paraId="79888161" w14:textId="77777777">
      <w:pPr>
        <w:spacing w:after="0" w:line="240" w:lineRule="auto"/>
        <w:jc w:val="center"/>
        <w:rPr>
          <w:rFonts w:ascii="Times New Roman" w:eastAsia="Calibri" w:hAnsi="Times New Roman" w:cs="Times New Roman"/>
          <w:b/>
          <w:kern w:val="0"/>
          <w:sz w:val="24"/>
          <w:szCs w:val="24"/>
          <w:u w:val="single"/>
          <w14:ligatures w14:val="none"/>
        </w:rPr>
      </w:pPr>
    </w:p>
    <w:tbl>
      <w:tblPr>
        <w:tblW w:w="0" w:type="auto"/>
        <w:tblInd w:w="0" w:type="dxa"/>
        <w:tblCellMar>
          <w:top w:w="0" w:type="dxa"/>
          <w:left w:w="108" w:type="dxa"/>
          <w:bottom w:w="0" w:type="dxa"/>
          <w:right w:w="108" w:type="dxa"/>
        </w:tblCellMar>
        <w:tblLook w:val="01E0"/>
      </w:tblPr>
      <w:tblGrid>
        <w:gridCol w:w="4476"/>
        <w:gridCol w:w="4164"/>
      </w:tblGrid>
      <w:tr w14:paraId="6679019C" w14:textId="77777777" w:rsidTr="00301FF7">
        <w:tblPrEx>
          <w:tblW w:w="0" w:type="auto"/>
          <w:tblInd w:w="0" w:type="dxa"/>
          <w:tblCellMar>
            <w:top w:w="0" w:type="dxa"/>
            <w:left w:w="108" w:type="dxa"/>
            <w:bottom w:w="0" w:type="dxa"/>
            <w:right w:w="108" w:type="dxa"/>
          </w:tblCellMar>
          <w:tblLook w:val="01E0"/>
        </w:tblPrEx>
        <w:tc>
          <w:tcPr>
            <w:tcW w:w="4476" w:type="dxa"/>
            <w:shd w:val="clear" w:color="auto" w:fill="auto"/>
          </w:tcPr>
          <w:p w:rsidR="00B42E26" w:rsidRPr="00CA55A7" w:rsidP="00B42E26" w14:paraId="7AE205C3"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17" w:history="1">
              <w:r w:rsidRPr="00CA55A7">
                <w:rPr>
                  <w:rFonts w:ascii="Times New Roman" w:eastAsia="Times New Roman" w:hAnsi="Times New Roman" w:cs="Times New Roman"/>
                  <w:color w:val="0000FF"/>
                  <w:kern w:val="0"/>
                  <w:sz w:val="24"/>
                  <w:szCs w:val="24"/>
                  <w:u w:val="single"/>
                  <w:lang w:val="en-US" w:eastAsia="en-US" w:bidi="ar-SA"/>
                  <w14:ligatures w14:val="none"/>
                </w:rPr>
                <w:t>ambrosia.wilson@ohioago.gov</w:t>
              </w:r>
            </w:hyperlink>
          </w:p>
          <w:p w:rsidR="00B42E26" w:rsidRPr="00CA55A7" w:rsidP="00B42E26" w14:paraId="4C03F1B1"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18" w:history="1">
              <w:r w:rsidRPr="00CA55A7">
                <w:rPr>
                  <w:rFonts w:ascii="Times New Roman" w:eastAsia="Times New Roman" w:hAnsi="Times New Roman" w:cs="Times New Roman"/>
                  <w:color w:val="0000FF"/>
                  <w:kern w:val="0"/>
                  <w:sz w:val="24"/>
                  <w:szCs w:val="24"/>
                  <w:u w:val="single"/>
                  <w:lang w:val="en-US" w:eastAsia="en-US" w:bidi="ar-SA"/>
                  <w14:ligatures w14:val="none"/>
                </w:rPr>
                <w:t>ashley.wnek@ohioago.gov</w:t>
              </w:r>
            </w:hyperlink>
          </w:p>
          <w:p w:rsidR="00B42E26" w:rsidRPr="00CA55A7" w:rsidP="00B42E26" w14:paraId="4E5BE3D9"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19" w:history="1">
              <w:r w:rsidRPr="00CA55A7">
                <w:rPr>
                  <w:rFonts w:ascii="Times New Roman" w:eastAsia="Times New Roman" w:hAnsi="Times New Roman" w:cs="Times New Roman"/>
                  <w:color w:val="0000FF"/>
                  <w:kern w:val="0"/>
                  <w:sz w:val="24"/>
                  <w:szCs w:val="24"/>
                  <w:u w:val="single"/>
                  <w:lang w:val="en-US" w:eastAsia="en-US" w:bidi="ar-SA"/>
                  <w14:ligatures w14:val="none"/>
                </w:rPr>
                <w:t>mkurtz@BKLlawfirm.com</w:t>
              </w:r>
            </w:hyperlink>
          </w:p>
          <w:p w:rsidR="00B42E26" w:rsidRPr="00CA55A7" w:rsidP="00B42E26" w14:paraId="3640DFCA"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0" w:history="1">
              <w:r w:rsidRPr="00CA55A7">
                <w:rPr>
                  <w:rFonts w:ascii="Times New Roman" w:eastAsia="Times New Roman" w:hAnsi="Times New Roman" w:cs="Times New Roman"/>
                  <w:color w:val="0000FF"/>
                  <w:kern w:val="0"/>
                  <w:sz w:val="24"/>
                  <w:szCs w:val="24"/>
                  <w:u w:val="single"/>
                  <w:lang w:val="en-US" w:eastAsia="en-US" w:bidi="ar-SA"/>
                  <w14:ligatures w14:val="none"/>
                </w:rPr>
                <w:t>kboehm@BKLlawfirm.com</w:t>
              </w:r>
            </w:hyperlink>
          </w:p>
          <w:p w:rsidR="00B42E26" w:rsidRPr="00CA55A7" w:rsidP="00B42E26" w14:paraId="71D607B2"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1" w:history="1">
              <w:r w:rsidRPr="00CA55A7">
                <w:rPr>
                  <w:rFonts w:ascii="Times New Roman" w:eastAsia="Times New Roman" w:hAnsi="Times New Roman" w:cs="Times New Roman"/>
                  <w:color w:val="0000FF"/>
                  <w:kern w:val="0"/>
                  <w:sz w:val="24"/>
                  <w:szCs w:val="24"/>
                  <w:u w:val="single"/>
                  <w:lang w:val="en-US" w:eastAsia="en-US" w:bidi="ar-SA"/>
                  <w14:ligatures w14:val="none"/>
                </w:rPr>
                <w:t>jkylercohn@BKLlawfirm.com</w:t>
              </w:r>
            </w:hyperlink>
          </w:p>
          <w:p w:rsidR="00B42E26" w:rsidRPr="00CA55A7" w:rsidP="00B42E26" w14:paraId="3AF22429"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2" w:history="1">
              <w:r w:rsidRPr="00CA55A7">
                <w:rPr>
                  <w:rFonts w:ascii="Times New Roman" w:eastAsia="Times New Roman" w:hAnsi="Times New Roman" w:cs="Times New Roman"/>
                  <w:color w:val="0000FF"/>
                  <w:kern w:val="0"/>
                  <w:sz w:val="24"/>
                  <w:szCs w:val="24"/>
                  <w:u w:val="single"/>
                  <w:lang w:val="en-US" w:eastAsia="en-US" w:bidi="ar-SA"/>
                  <w14:ligatures w14:val="none"/>
                </w:rPr>
                <w:t>knordstrom@theOEC.org</w:t>
              </w:r>
            </w:hyperlink>
          </w:p>
          <w:p w:rsidR="00B42E26" w:rsidRPr="00CA55A7" w:rsidP="00B42E26" w14:paraId="76621354"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3" w:history="1">
              <w:r w:rsidRPr="00CA55A7">
                <w:rPr>
                  <w:rFonts w:ascii="Times New Roman" w:eastAsia="Times New Roman" w:hAnsi="Times New Roman" w:cs="Times New Roman"/>
                  <w:color w:val="0000FF"/>
                  <w:kern w:val="0"/>
                  <w:sz w:val="24"/>
                  <w:szCs w:val="24"/>
                  <w:u w:val="single"/>
                  <w:lang w:val="en-US" w:eastAsia="en-US" w:bidi="ar-SA"/>
                  <w14:ligatures w14:val="none"/>
                </w:rPr>
                <w:t>ctavenor@theOEC.org</w:t>
              </w:r>
            </w:hyperlink>
          </w:p>
          <w:p w:rsidR="00B42E26" w:rsidRPr="00CA55A7" w:rsidP="00B42E26" w14:paraId="2B8C86F0"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4" w:history="1">
              <w:r w:rsidRPr="00CA55A7">
                <w:rPr>
                  <w:rFonts w:ascii="Times New Roman" w:eastAsia="Times New Roman" w:hAnsi="Times New Roman" w:cs="Times New Roman"/>
                  <w:color w:val="0000FF"/>
                  <w:kern w:val="0"/>
                  <w:sz w:val="24"/>
                  <w:szCs w:val="24"/>
                  <w:u w:val="single"/>
                  <w:lang w:val="en-US" w:eastAsia="en-US" w:bidi="ar-SA"/>
                  <w14:ligatures w14:val="none"/>
                </w:rPr>
                <w:t>little@litohio.com</w:t>
              </w:r>
            </w:hyperlink>
          </w:p>
          <w:p w:rsidR="00B42E26" w:rsidRPr="00CA55A7" w:rsidP="00B42E26" w14:paraId="49215DC2"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5" w:history="1">
              <w:r w:rsidRPr="00CA55A7">
                <w:rPr>
                  <w:rFonts w:ascii="Times New Roman" w:eastAsia="Times New Roman" w:hAnsi="Times New Roman" w:cs="Times New Roman"/>
                  <w:color w:val="0000FF"/>
                  <w:kern w:val="0"/>
                  <w:sz w:val="24"/>
                  <w:szCs w:val="24"/>
                  <w:u w:val="single"/>
                  <w:lang w:val="en-US" w:eastAsia="en-US" w:bidi="ar-SA"/>
                  <w14:ligatures w14:val="none"/>
                </w:rPr>
                <w:t>hogan@litohio.com</w:t>
              </w:r>
            </w:hyperlink>
          </w:p>
          <w:p w:rsidR="00B42E26" w:rsidRPr="00CA55A7" w:rsidP="00B42E26" w14:paraId="2016BAA3"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6" w:history="1">
              <w:r w:rsidRPr="00CA55A7">
                <w:rPr>
                  <w:rFonts w:ascii="Times New Roman" w:eastAsia="Times New Roman" w:hAnsi="Times New Roman" w:cs="Times New Roman"/>
                  <w:color w:val="0000FF"/>
                  <w:kern w:val="0"/>
                  <w:sz w:val="24"/>
                  <w:szCs w:val="24"/>
                  <w:u w:val="single"/>
                  <w:lang w:val="en-US" w:eastAsia="en-US" w:bidi="ar-SA"/>
                  <w14:ligatures w14:val="none"/>
                </w:rPr>
                <w:t>ktreadway@oneenergyllc.com</w:t>
              </w:r>
            </w:hyperlink>
          </w:p>
          <w:p w:rsidR="00B42E26" w:rsidRPr="00CA55A7" w:rsidP="00B42E26" w14:paraId="2302CCEB"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7" w:history="1">
              <w:r w:rsidRPr="00CA55A7">
                <w:rPr>
                  <w:rFonts w:ascii="Times New Roman" w:eastAsia="Times New Roman" w:hAnsi="Times New Roman" w:cs="Times New Roman"/>
                  <w:color w:val="0000FF"/>
                  <w:kern w:val="0"/>
                  <w:sz w:val="24"/>
                  <w:szCs w:val="24"/>
                  <w:u w:val="single"/>
                  <w:lang w:val="en-US" w:eastAsia="en-US" w:bidi="ar-SA"/>
                  <w14:ligatures w14:val="none"/>
                </w:rPr>
                <w:t>jdunn@oneenergyllc.com</w:t>
              </w:r>
            </w:hyperlink>
          </w:p>
          <w:p w:rsidR="00B42E26" w:rsidRPr="00CA55A7" w:rsidP="00B42E26" w14:paraId="3D7C14B6"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8" w:history="1">
              <w:r w:rsidRPr="00CA55A7">
                <w:rPr>
                  <w:rFonts w:ascii="Times New Roman" w:eastAsia="Times New Roman" w:hAnsi="Times New Roman" w:cs="Times New Roman"/>
                  <w:color w:val="0000FF"/>
                  <w:kern w:val="0"/>
                  <w:sz w:val="24"/>
                  <w:szCs w:val="24"/>
                  <w:u w:val="single"/>
                  <w:lang w:val="en-US" w:eastAsia="en-US" w:bidi="ar-SA"/>
                  <w14:ligatures w14:val="none"/>
                </w:rPr>
                <w:t>cgrundmann@spilmanlaw.com</w:t>
              </w:r>
            </w:hyperlink>
          </w:p>
          <w:p w:rsidR="00B42E26" w:rsidRPr="00CA55A7" w:rsidP="00B42E26" w14:paraId="5C334C94"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29" w:history="1">
              <w:r w:rsidRPr="00CA55A7">
                <w:rPr>
                  <w:rFonts w:ascii="Times New Roman" w:eastAsia="Times New Roman" w:hAnsi="Times New Roman" w:cs="Times New Roman"/>
                  <w:color w:val="0000FF"/>
                  <w:kern w:val="0"/>
                  <w:sz w:val="24"/>
                  <w:szCs w:val="24"/>
                  <w:u w:val="single"/>
                  <w:lang w:val="en-US" w:eastAsia="en-US" w:bidi="ar-SA"/>
                  <w14:ligatures w14:val="none"/>
                </w:rPr>
                <w:t>dwilliamson@spilmanlaw.com</w:t>
              </w:r>
            </w:hyperlink>
          </w:p>
          <w:p w:rsidR="00B42E26" w:rsidRPr="00CA55A7" w:rsidP="00B42E26" w14:paraId="370DA807"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0" w:history="1">
              <w:r w:rsidRPr="00CA55A7">
                <w:rPr>
                  <w:rFonts w:ascii="Times New Roman" w:eastAsia="Times New Roman" w:hAnsi="Times New Roman" w:cs="Times New Roman"/>
                  <w:color w:val="0000FF"/>
                  <w:kern w:val="0"/>
                  <w:sz w:val="24"/>
                  <w:szCs w:val="24"/>
                  <w:u w:val="single"/>
                  <w:lang w:val="en-US" w:eastAsia="en-US" w:bidi="ar-SA"/>
                  <w14:ligatures w14:val="none"/>
                </w:rPr>
                <w:t>slee@spilmanlaw.com</w:t>
              </w:r>
            </w:hyperlink>
          </w:p>
          <w:p w:rsidR="00B42E26" w:rsidRPr="00CA55A7" w:rsidP="00B42E26" w14:paraId="21F3DB5A"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1" w:history="1">
              <w:r w:rsidRPr="00CA55A7">
                <w:rPr>
                  <w:rFonts w:ascii="Times New Roman" w:eastAsia="Times New Roman" w:hAnsi="Times New Roman" w:cs="Times New Roman"/>
                  <w:color w:val="0000FF"/>
                  <w:kern w:val="0"/>
                  <w:sz w:val="24"/>
                  <w:szCs w:val="24"/>
                  <w:u w:val="single"/>
                  <w:lang w:val="en-US" w:eastAsia="en-US" w:bidi="ar-SA"/>
                  <w14:ligatures w14:val="none"/>
                </w:rPr>
                <w:t>brian.gibbs@nationwideenergypartners.com</w:t>
              </w:r>
            </w:hyperlink>
          </w:p>
          <w:p w:rsidR="00B42E26" w:rsidRPr="00CA55A7" w:rsidP="00B42E26" w14:paraId="2332D820"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2" w:history="1">
              <w:r w:rsidRPr="00CA55A7">
                <w:rPr>
                  <w:rFonts w:ascii="Times New Roman" w:eastAsia="Times New Roman" w:hAnsi="Times New Roman" w:cs="Times New Roman"/>
                  <w:color w:val="0000FF"/>
                  <w:kern w:val="0"/>
                  <w:sz w:val="24"/>
                  <w:szCs w:val="24"/>
                  <w:u w:val="single"/>
                  <w:lang w:val="en-US" w:eastAsia="en-US" w:bidi="ar-SA"/>
                  <w14:ligatures w14:val="none"/>
                </w:rPr>
                <w:t>rdove@keglerbrown.com</w:t>
              </w:r>
            </w:hyperlink>
          </w:p>
          <w:p w:rsidR="00B42E26" w:rsidRPr="00CA55A7" w:rsidP="00B42E26" w14:paraId="709A0197"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33" w:history="1">
              <w:r w:rsidRPr="00CA55A7">
                <w:rPr>
                  <w:rFonts w:ascii="Times New Roman" w:eastAsia="Times New Roman" w:hAnsi="Times New Roman" w:cs="Times New Roman"/>
                  <w:color w:val="0000FF"/>
                  <w:kern w:val="0"/>
                  <w:sz w:val="24"/>
                  <w:szCs w:val="24"/>
                  <w:u w:val="single"/>
                  <w:lang w:val="en-US" w:eastAsia="en-US" w:bidi="ar-SA"/>
                  <w14:ligatures w14:val="none"/>
                </w:rPr>
                <w:t>nbobb@keglerbrown.com</w:t>
              </w:r>
            </w:hyperlink>
          </w:p>
          <w:p w:rsidR="00B42E26" w:rsidRPr="00CA55A7" w:rsidP="00B42E26" w14:paraId="170DAB22"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4" w:history="1">
              <w:r w:rsidRPr="00CA55A7">
                <w:rPr>
                  <w:rFonts w:ascii="Times New Roman" w:eastAsia="Times New Roman" w:hAnsi="Times New Roman" w:cs="Times New Roman"/>
                  <w:color w:val="0000FF"/>
                  <w:kern w:val="0"/>
                  <w:sz w:val="24"/>
                  <w:szCs w:val="24"/>
                  <w:u w:val="single"/>
                  <w:lang w:val="en-US" w:eastAsia="en-US" w:bidi="ar-SA"/>
                  <w14:ligatures w14:val="none"/>
                </w:rPr>
                <w:t>mpritchard@mcneeslaw.com</w:t>
              </w:r>
            </w:hyperlink>
          </w:p>
          <w:p w:rsidR="00B42E26" w:rsidRPr="00CA55A7" w:rsidP="00B42E26" w14:paraId="026AFB3E"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5" w:history="1">
              <w:r w:rsidRPr="00CA55A7">
                <w:rPr>
                  <w:rFonts w:ascii="Times New Roman" w:eastAsia="Times New Roman" w:hAnsi="Times New Roman" w:cs="Times New Roman"/>
                  <w:color w:val="0000FF"/>
                  <w:kern w:val="0"/>
                  <w:sz w:val="24"/>
                  <w:szCs w:val="24"/>
                  <w:u w:val="single"/>
                  <w:lang w:val="en-US" w:eastAsia="en-US" w:bidi="ar-SA"/>
                  <w14:ligatures w14:val="none"/>
                </w:rPr>
                <w:t>awalke@mcneeslaw.com</w:t>
              </w:r>
            </w:hyperlink>
          </w:p>
          <w:p w:rsidR="00B42E26" w:rsidRPr="00CA55A7" w:rsidP="00B42E26" w14:paraId="5D351C5D"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36" w:history="1">
              <w:r w:rsidRPr="00CA55A7">
                <w:rPr>
                  <w:rFonts w:ascii="Times New Roman" w:eastAsia="Times New Roman" w:hAnsi="Times New Roman" w:cs="Times New Roman"/>
                  <w:color w:val="0000FF"/>
                  <w:kern w:val="0"/>
                  <w:sz w:val="24"/>
                  <w:szCs w:val="24"/>
                  <w:u w:val="single"/>
                  <w:lang w:val="en-US" w:eastAsia="en-US" w:bidi="ar-SA"/>
                  <w14:ligatures w14:val="none"/>
                </w:rPr>
                <w:t>mjsettineri@vorys.com</w:t>
              </w:r>
            </w:hyperlink>
          </w:p>
          <w:p w:rsidR="00B42E26" w:rsidRPr="00CA55A7" w:rsidP="00B42E26" w14:paraId="598E0762"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37" w:history="1">
              <w:r w:rsidRPr="00CA55A7">
                <w:rPr>
                  <w:rFonts w:ascii="Times New Roman" w:eastAsia="Times New Roman" w:hAnsi="Times New Roman" w:cs="Times New Roman"/>
                  <w:color w:val="0000FF"/>
                  <w:kern w:val="0"/>
                  <w:sz w:val="24"/>
                  <w:szCs w:val="24"/>
                  <w:u w:val="single"/>
                  <w:lang w:val="en-US" w:eastAsia="en-US" w:bidi="ar-SA"/>
                  <w14:ligatures w14:val="none"/>
                </w:rPr>
                <w:t>glpetrucci@vorys.com</w:t>
              </w:r>
            </w:hyperlink>
          </w:p>
          <w:p w:rsidR="00B42E26" w:rsidRPr="00CA55A7" w:rsidP="00B42E26" w14:paraId="38BE2526"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r w:rsidRPr="00CA55A7">
              <w:rPr>
                <w:rFonts w:ascii="Times New Roman" w:eastAsia="Times New Roman" w:hAnsi="Times New Roman" w:cs="Times New Roman"/>
                <w:color w:val="0000FF"/>
                <w:kern w:val="0"/>
                <w:sz w:val="24"/>
                <w:szCs w:val="24"/>
                <w:u w:val="single"/>
                <w:lang w:val="en-US" w:eastAsia="en-US" w:bidi="ar-SA"/>
                <w14:ligatures w14:val="none"/>
              </w:rPr>
              <w:t>aasanyal@vorys.com</w:t>
            </w:r>
          </w:p>
          <w:p w:rsidR="00B42E26" w:rsidRPr="00CA55A7" w:rsidP="00B42E26" w14:paraId="71A407E1"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38" w:history="1">
              <w:r w:rsidRPr="00CA55A7">
                <w:rPr>
                  <w:rFonts w:ascii="Times New Roman" w:eastAsia="Times New Roman" w:hAnsi="Times New Roman" w:cs="Times New Roman"/>
                  <w:color w:val="0000FF"/>
                  <w:kern w:val="0"/>
                  <w:sz w:val="24"/>
                  <w:szCs w:val="24"/>
                  <w:u w:val="single"/>
                  <w:lang w:val="en-US" w:eastAsia="en-US" w:bidi="ar-SA"/>
                  <w14:ligatures w14:val="none"/>
                </w:rPr>
                <w:t>cpirik@dickinsonwright.com</w:t>
              </w:r>
            </w:hyperlink>
          </w:p>
          <w:p w:rsidR="00B42E26" w:rsidRPr="00CA55A7" w:rsidP="00B42E26" w14:paraId="3CCF4437"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r w:rsidRPr="00CA55A7">
              <w:rPr>
                <w:rFonts w:ascii="Times New Roman" w:eastAsia="Times New Roman" w:hAnsi="Times New Roman" w:cs="Times New Roman"/>
                <w:color w:val="0000FF"/>
                <w:kern w:val="0"/>
                <w:sz w:val="24"/>
                <w:szCs w:val="24"/>
                <w:u w:val="single"/>
                <w:lang w:val="en-US" w:eastAsia="en-US" w:bidi="ar-SA"/>
                <w14:ligatures w14:val="none"/>
              </w:rPr>
              <w:t>bryce.mckenney@nrg.com</w:t>
            </w:r>
          </w:p>
          <w:p w:rsidR="00B42E26" w:rsidRPr="00CA55A7" w:rsidP="00B42E26" w14:paraId="7678C705"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p>
          <w:p w:rsidR="00B42E26" w:rsidRPr="00CA55A7" w:rsidP="00B42E26" w14:paraId="1278113E"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r w:rsidRPr="00CA55A7">
              <w:rPr>
                <w:rFonts w:ascii="Times New Roman" w:eastAsia="Times New Roman" w:hAnsi="Times New Roman" w:cs="Times New Roman"/>
                <w:kern w:val="0"/>
                <w:sz w:val="24"/>
                <w:szCs w:val="24"/>
                <w:lang w:val="en-US" w:eastAsia="en-US" w:bidi="ar-SA"/>
                <w14:ligatures w14:val="none"/>
              </w:rPr>
              <w:t>Attorney Examiners:</w:t>
            </w:r>
          </w:p>
          <w:p w:rsidR="00B42E26" w:rsidRPr="00CA55A7" w:rsidP="00B42E26" w14:paraId="233A25E8"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39" w:history="1">
              <w:r w:rsidRPr="00CA55A7">
                <w:rPr>
                  <w:rFonts w:ascii="Times New Roman" w:eastAsia="Times New Roman" w:hAnsi="Times New Roman" w:cs="Times New Roman"/>
                  <w:color w:val="0000FF"/>
                  <w:kern w:val="0"/>
                  <w:sz w:val="24"/>
                  <w:szCs w:val="24"/>
                  <w:u w:val="single"/>
                  <w:lang w:val="en-US" w:eastAsia="en-US" w:bidi="ar-SA"/>
                  <w14:ligatures w14:val="none"/>
                </w:rPr>
                <w:t>greta.see@puco.ohio.gov</w:t>
              </w:r>
            </w:hyperlink>
          </w:p>
          <w:p w:rsidR="00B42E26" w:rsidRPr="00CA55A7" w:rsidP="00B42E26" w14:paraId="08CCF978"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40" w:history="1">
              <w:r w:rsidRPr="00CA55A7">
                <w:rPr>
                  <w:rFonts w:ascii="Times New Roman" w:eastAsia="Times New Roman" w:hAnsi="Times New Roman" w:cs="Times New Roman"/>
                  <w:color w:val="0000FF"/>
                  <w:kern w:val="0"/>
                  <w:sz w:val="24"/>
                  <w:szCs w:val="24"/>
                  <w:u w:val="single"/>
                  <w:lang w:val="en-US" w:eastAsia="en-US" w:bidi="ar-SA"/>
                  <w14:ligatures w14:val="none"/>
                </w:rPr>
                <w:t>david.hicks@puco.ohio.gov</w:t>
              </w:r>
            </w:hyperlink>
          </w:p>
        </w:tc>
        <w:tc>
          <w:tcPr>
            <w:tcW w:w="4164" w:type="dxa"/>
            <w:shd w:val="clear" w:color="auto" w:fill="auto"/>
          </w:tcPr>
          <w:p w:rsidR="00B42E26" w:rsidRPr="00CA55A7" w:rsidP="00B42E26" w14:paraId="3A8B2F4F"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41" w:history="1">
              <w:r w:rsidRPr="00CA55A7">
                <w:rPr>
                  <w:rFonts w:ascii="Times New Roman" w:eastAsia="Times New Roman" w:hAnsi="Times New Roman" w:cs="Times New Roman"/>
                  <w:color w:val="0000FF"/>
                  <w:kern w:val="0"/>
                  <w:sz w:val="24"/>
                  <w:szCs w:val="24"/>
                  <w:u w:val="single"/>
                  <w:lang w:val="en-US" w:eastAsia="en-US" w:bidi="ar-SA"/>
                  <w14:ligatures w14:val="none"/>
                </w:rPr>
                <w:t>stnourse@aep.com</w:t>
              </w:r>
            </w:hyperlink>
          </w:p>
          <w:p w:rsidR="00B42E26" w:rsidRPr="00CA55A7" w:rsidP="00B42E26" w14:paraId="08A2C4D1"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42" w:history="1">
              <w:r w:rsidRPr="00CA55A7">
                <w:rPr>
                  <w:rFonts w:ascii="Times New Roman" w:eastAsia="Times New Roman" w:hAnsi="Times New Roman" w:cs="Times New Roman"/>
                  <w:color w:val="0000FF"/>
                  <w:kern w:val="0"/>
                  <w:sz w:val="24"/>
                  <w:szCs w:val="24"/>
                  <w:u w:val="single"/>
                  <w:lang w:val="en-US" w:eastAsia="en-US" w:bidi="ar-SA"/>
                  <w14:ligatures w14:val="none"/>
                </w:rPr>
                <w:t>mjschuler@aep.com</w:t>
              </w:r>
            </w:hyperlink>
          </w:p>
          <w:p w:rsidR="00B42E26" w:rsidRPr="00CA55A7" w:rsidP="00B42E26" w14:paraId="6765349B"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43" w:history="1">
              <w:r w:rsidRPr="00CA55A7">
                <w:rPr>
                  <w:rFonts w:ascii="Times New Roman" w:eastAsia="Times New Roman" w:hAnsi="Times New Roman" w:cs="Times New Roman"/>
                  <w:color w:val="0000FF"/>
                  <w:kern w:val="0"/>
                  <w:sz w:val="24"/>
                  <w:szCs w:val="24"/>
                  <w:u w:val="single"/>
                  <w:lang w:val="en-US" w:eastAsia="en-US" w:bidi="ar-SA"/>
                  <w14:ligatures w14:val="none"/>
                </w:rPr>
                <w:t>egallon@porterwright.com</w:t>
              </w:r>
            </w:hyperlink>
          </w:p>
          <w:p w:rsidR="00B42E26" w:rsidRPr="00CA55A7" w:rsidP="00B42E26" w14:paraId="04EE30BF" w14:textId="0A2F6083">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44" w:history="1">
              <w:r w:rsidRPr="00CA55A7">
                <w:rPr>
                  <w:rFonts w:ascii="Times New Roman" w:eastAsia="Times New Roman" w:hAnsi="Times New Roman" w:cs="Times New Roman"/>
                  <w:color w:val="0000FF"/>
                  <w:kern w:val="0"/>
                  <w:sz w:val="24"/>
                  <w:szCs w:val="24"/>
                  <w:u w:val="single"/>
                  <w:lang w:val="en-US" w:eastAsia="en-US" w:bidi="ar-SA"/>
                  <w14:ligatures w14:val="none"/>
                </w:rPr>
                <w:t>christopher.miller@icemiller.com</w:t>
              </w:r>
            </w:hyperlink>
          </w:p>
          <w:p w:rsidR="00B42E26" w:rsidRPr="00CA55A7" w:rsidP="00B42E26" w14:paraId="40D0C5A3"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45" w:history="1">
              <w:r w:rsidRPr="00CA55A7">
                <w:rPr>
                  <w:rFonts w:ascii="Times New Roman" w:eastAsia="Times New Roman" w:hAnsi="Times New Roman" w:cs="Times New Roman"/>
                  <w:color w:val="0000FF"/>
                  <w:kern w:val="0"/>
                  <w:sz w:val="24"/>
                  <w:szCs w:val="24"/>
                  <w:u w:val="single"/>
                  <w:lang w:val="en-US" w:eastAsia="en-US" w:bidi="ar-SA"/>
                  <w14:ligatures w14:val="none"/>
                </w:rPr>
                <w:t>dromig@armadapower.com</w:t>
              </w:r>
            </w:hyperlink>
          </w:p>
          <w:p w:rsidR="00B42E26" w:rsidRPr="00CA55A7" w:rsidP="00B42E26" w14:paraId="243AC52D"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46" w:history="1">
              <w:r w:rsidRPr="00CA55A7">
                <w:rPr>
                  <w:rFonts w:ascii="Times New Roman" w:eastAsia="Times New Roman" w:hAnsi="Times New Roman" w:cs="Times New Roman"/>
                  <w:color w:val="0000FF"/>
                  <w:kern w:val="0"/>
                  <w:sz w:val="24"/>
                  <w:szCs w:val="24"/>
                  <w:u w:val="single"/>
                  <w:lang w:val="en-US" w:eastAsia="en-US" w:bidi="ar-SA"/>
                  <w14:ligatures w14:val="none"/>
                </w:rPr>
                <w:t>bojko@carpenterlipps.com</w:t>
              </w:r>
            </w:hyperlink>
          </w:p>
          <w:p w:rsidR="00B42E26" w:rsidRPr="00CA55A7" w:rsidP="00B42E26" w14:paraId="7DAB0358"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47" w:history="1">
              <w:r w:rsidRPr="00CA55A7">
                <w:rPr>
                  <w:rFonts w:ascii="Times New Roman" w:eastAsia="Times New Roman" w:hAnsi="Times New Roman" w:cs="Times New Roman"/>
                  <w:color w:val="0000FF"/>
                  <w:kern w:val="0"/>
                  <w:sz w:val="24"/>
                  <w:szCs w:val="24"/>
                  <w:u w:val="single"/>
                  <w:lang w:val="en-US" w:eastAsia="en-US" w:bidi="ar-SA"/>
                  <w14:ligatures w14:val="none"/>
                </w:rPr>
                <w:t>easley@carpenterlipps.com</w:t>
              </w:r>
            </w:hyperlink>
          </w:p>
          <w:p w:rsidR="00B42E26" w:rsidRPr="00CA55A7" w:rsidP="00B42E26" w14:paraId="24AC496C"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hyperlink r:id="rId48" w:history="1">
              <w:r w:rsidRPr="00CA55A7">
                <w:rPr>
                  <w:rFonts w:ascii="Times New Roman" w:eastAsia="Times New Roman" w:hAnsi="Times New Roman" w:cs="Times New Roman"/>
                  <w:color w:val="0000FF"/>
                  <w:kern w:val="0"/>
                  <w:sz w:val="24"/>
                  <w:szCs w:val="24"/>
                  <w:u w:val="single"/>
                  <w:lang w:val="en-US" w:eastAsia="en-US" w:bidi="ar-SA"/>
                  <w14:ligatures w14:val="none"/>
                </w:rPr>
                <w:t>tdougherty@theoec.org</w:t>
              </w:r>
            </w:hyperlink>
          </w:p>
          <w:p w:rsidR="00B42E26" w:rsidRPr="00CA55A7" w:rsidP="00B42E26" w14:paraId="008970DB"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49" w:history="1">
              <w:r w:rsidRPr="00CA55A7">
                <w:rPr>
                  <w:rFonts w:ascii="Times New Roman" w:eastAsia="Times New Roman" w:hAnsi="Times New Roman" w:cs="Times New Roman"/>
                  <w:color w:val="0000FF"/>
                  <w:kern w:val="0"/>
                  <w:sz w:val="24"/>
                  <w:szCs w:val="24"/>
                  <w:u w:val="single"/>
                  <w:lang w:val="en-US" w:eastAsia="en-US" w:bidi="ar-SA"/>
                  <w14:ligatures w14:val="none"/>
                </w:rPr>
                <w:t>paul@carpenterlipps.com</w:t>
              </w:r>
            </w:hyperlink>
          </w:p>
          <w:p w:rsidR="00B42E26" w:rsidRPr="00CA55A7" w:rsidP="00B42E26" w14:paraId="33BB3303"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0" w:history="1">
              <w:r w:rsidRPr="00CA55A7">
                <w:rPr>
                  <w:rFonts w:ascii="Times New Roman" w:eastAsia="Times New Roman" w:hAnsi="Times New Roman" w:cs="Times New Roman"/>
                  <w:bCs/>
                  <w:color w:val="0000FF"/>
                  <w:kern w:val="0"/>
                  <w:sz w:val="24"/>
                  <w:szCs w:val="24"/>
                  <w:u w:val="single"/>
                  <w:lang w:val="en-US" w:eastAsia="en-US" w:bidi="ar-SA"/>
                  <w14:ligatures w14:val="none"/>
                </w:rPr>
                <w:t>wilcox@carpenterlipps.com</w:t>
              </w:r>
            </w:hyperlink>
          </w:p>
          <w:p w:rsidR="00B42E26" w:rsidRPr="00CA55A7" w:rsidP="00B42E26" w14:paraId="2FA0CF70"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1" w:history="1">
              <w:r w:rsidRPr="00CA55A7">
                <w:rPr>
                  <w:rFonts w:ascii="Times New Roman" w:eastAsia="Times New Roman" w:hAnsi="Times New Roman" w:cs="Times New Roman"/>
                  <w:color w:val="0000FF"/>
                  <w:kern w:val="0"/>
                  <w:sz w:val="24"/>
                  <w:szCs w:val="24"/>
                  <w:u w:val="single"/>
                  <w:lang w:val="en-US" w:eastAsia="en-US" w:bidi="ar-SA"/>
                  <w14:ligatures w14:val="none"/>
                </w:rPr>
                <w:t>emcconnell@elpc.org</w:t>
              </w:r>
            </w:hyperlink>
          </w:p>
          <w:p w:rsidR="00B42E26" w:rsidRPr="00CA55A7" w:rsidP="00B42E26" w14:paraId="4742B665"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2" w:history="1">
              <w:r w:rsidRPr="00CA55A7">
                <w:rPr>
                  <w:rFonts w:ascii="Times New Roman" w:eastAsia="Times New Roman" w:hAnsi="Times New Roman" w:cs="Times New Roman"/>
                  <w:color w:val="0000FF"/>
                  <w:kern w:val="0"/>
                  <w:sz w:val="24"/>
                  <w:szCs w:val="24"/>
                  <w:u w:val="single"/>
                  <w:lang w:val="en-US" w:eastAsia="en-US" w:bidi="ar-SA"/>
                  <w14:ligatures w14:val="none"/>
                </w:rPr>
                <w:t>rkelter@elpc.org</w:t>
              </w:r>
            </w:hyperlink>
          </w:p>
          <w:p w:rsidR="00B42E26" w:rsidRPr="00CA55A7" w:rsidP="00B42E26" w14:paraId="655C1373"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3" w:history="1">
              <w:r w:rsidRPr="00CA55A7">
                <w:rPr>
                  <w:rFonts w:ascii="Times New Roman" w:eastAsia="Times New Roman" w:hAnsi="Times New Roman" w:cs="Times New Roman"/>
                  <w:color w:val="0000FF"/>
                  <w:kern w:val="0"/>
                  <w:sz w:val="24"/>
                  <w:szCs w:val="24"/>
                  <w:u w:val="single"/>
                  <w:lang w:val="en-US" w:eastAsia="en-US" w:bidi="ar-SA"/>
                  <w14:ligatures w14:val="none"/>
                </w:rPr>
                <w:t>stacie.cathcart@igs.com</w:t>
              </w:r>
            </w:hyperlink>
          </w:p>
          <w:p w:rsidR="00B42E26" w:rsidRPr="00CA55A7" w:rsidP="00B42E26" w14:paraId="18630157"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54" w:history="1">
              <w:r w:rsidRPr="00CA55A7">
                <w:rPr>
                  <w:rFonts w:ascii="Times New Roman" w:eastAsia="Times New Roman" w:hAnsi="Times New Roman" w:cs="Times New Roman"/>
                  <w:color w:val="0000FF"/>
                  <w:kern w:val="0"/>
                  <w:sz w:val="24"/>
                  <w:szCs w:val="24"/>
                  <w:u w:val="single"/>
                  <w:lang w:val="en-US" w:eastAsia="en-US" w:bidi="ar-SA"/>
                  <w14:ligatures w14:val="none"/>
                </w:rPr>
                <w:t>michael.nugent@igs.com</w:t>
              </w:r>
            </w:hyperlink>
          </w:p>
          <w:p w:rsidR="00B42E26" w:rsidRPr="00CA55A7" w:rsidP="00B42E26" w14:paraId="293722ED" w14:textId="77777777">
            <w:pPr>
              <w:widowControl w:val="0"/>
              <w:autoSpaceDE w:val="0"/>
              <w:autoSpaceDN w:val="0"/>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r w:rsidRPr="00CA55A7">
              <w:rPr>
                <w:rFonts w:ascii="Times New Roman" w:eastAsia="Times New Roman" w:hAnsi="Times New Roman" w:cs="Times New Roman"/>
                <w:color w:val="0000FF"/>
                <w:kern w:val="0"/>
                <w:sz w:val="24"/>
                <w:szCs w:val="24"/>
                <w:u w:val="single"/>
                <w:lang w:val="en-US" w:eastAsia="en-US" w:bidi="ar-SA"/>
                <w14:ligatures w14:val="none"/>
              </w:rPr>
              <w:t>Joe.Oliker@igs.com</w:t>
            </w:r>
          </w:p>
          <w:p w:rsidR="00B42E26" w:rsidRPr="00CA55A7" w:rsidP="00B42E26" w14:paraId="43439A0A"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r w:rsidRPr="00CA55A7">
              <w:rPr>
                <w:rFonts w:ascii="Times New Roman" w:eastAsia="Times New Roman" w:hAnsi="Times New Roman" w:cs="Times New Roman"/>
                <w:bCs/>
                <w:color w:val="0000FF"/>
                <w:kern w:val="0"/>
                <w:sz w:val="24"/>
                <w:szCs w:val="24"/>
                <w:u w:val="single"/>
                <w:lang w:val="en-US" w:eastAsia="en-US" w:bidi="ar-SA"/>
                <w14:ligatures w14:val="none"/>
              </w:rPr>
              <w:t>jlang@calfee.com</w:t>
            </w:r>
          </w:p>
          <w:p w:rsidR="00B42E26" w:rsidRPr="00CA55A7" w:rsidP="00B42E26" w14:paraId="13795777"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55" w:history="1">
              <w:r w:rsidRPr="00CA55A7">
                <w:rPr>
                  <w:rFonts w:ascii="Times New Roman" w:eastAsia="Times New Roman" w:hAnsi="Times New Roman" w:cs="Times New Roman"/>
                  <w:color w:val="0000FF"/>
                  <w:kern w:val="0"/>
                  <w:sz w:val="24"/>
                  <w:szCs w:val="24"/>
                  <w:u w:val="single"/>
                  <w:lang w:val="en-US" w:eastAsia="en-US" w:bidi="ar-SA"/>
                  <w14:ligatures w14:val="none"/>
                </w:rPr>
                <w:t>dparram@brickergraydon.com</w:t>
              </w:r>
            </w:hyperlink>
          </w:p>
          <w:p w:rsidR="00B42E26" w:rsidRPr="00CA55A7" w:rsidP="00B42E26" w14:paraId="311D1DF0"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56" w:history="1">
              <w:r w:rsidRPr="00CA55A7">
                <w:rPr>
                  <w:rFonts w:ascii="Times New Roman" w:eastAsia="Times New Roman" w:hAnsi="Times New Roman" w:cs="Times New Roman"/>
                  <w:color w:val="0000FF"/>
                  <w:kern w:val="0"/>
                  <w:sz w:val="24"/>
                  <w:szCs w:val="24"/>
                  <w:u w:val="single"/>
                  <w:lang w:val="en-US" w:eastAsia="en-US" w:bidi="ar-SA"/>
                  <w14:ligatures w14:val="none"/>
                </w:rPr>
                <w:t>dborchers@brickergraydon.com</w:t>
              </w:r>
            </w:hyperlink>
          </w:p>
          <w:p w:rsidR="00B42E26" w:rsidRPr="00CA55A7" w:rsidP="00B42E26" w14:paraId="45125262"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57" w:history="1">
              <w:r w:rsidRPr="00CA55A7">
                <w:rPr>
                  <w:rFonts w:ascii="Times New Roman" w:eastAsia="Times New Roman" w:hAnsi="Times New Roman" w:cs="Times New Roman"/>
                  <w:color w:val="0000FF"/>
                  <w:kern w:val="0"/>
                  <w:sz w:val="24"/>
                  <w:szCs w:val="24"/>
                  <w:u w:val="single"/>
                  <w:lang w:val="en-US" w:eastAsia="en-US" w:bidi="ar-SA"/>
                  <w14:ligatures w14:val="none"/>
                </w:rPr>
                <w:t>rmains@brickergraydon.com</w:t>
              </w:r>
            </w:hyperlink>
          </w:p>
          <w:p w:rsidR="00B42E26" w:rsidRPr="00CA55A7" w:rsidP="00B42E26" w14:paraId="6AEF5D67"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8" w:history="1">
              <w:r w:rsidRPr="00CA55A7">
                <w:rPr>
                  <w:rFonts w:ascii="Times New Roman" w:eastAsia="Times New Roman" w:hAnsi="Times New Roman" w:cs="Times New Roman"/>
                  <w:color w:val="0000FF"/>
                  <w:kern w:val="0"/>
                  <w:sz w:val="24"/>
                  <w:szCs w:val="24"/>
                  <w:u w:val="single"/>
                  <w:lang w:val="en-US" w:eastAsia="en-US" w:bidi="ar-SA"/>
                  <w14:ligatures w14:val="none"/>
                </w:rPr>
                <w:t>kherrnstein@bricker.com</w:t>
              </w:r>
            </w:hyperlink>
          </w:p>
          <w:p w:rsidR="00B42E26" w:rsidRPr="00CA55A7" w:rsidP="00B42E26" w14:paraId="7BDF3685"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59" w:history="1">
              <w:r w:rsidRPr="00CA55A7">
                <w:rPr>
                  <w:rFonts w:ascii="Times New Roman" w:eastAsia="Times New Roman" w:hAnsi="Times New Roman" w:cs="Times New Roman"/>
                  <w:color w:val="0000FF"/>
                  <w:kern w:val="0"/>
                  <w:sz w:val="24"/>
                  <w:szCs w:val="24"/>
                  <w:u w:val="single"/>
                  <w:lang w:val="en-US" w:eastAsia="en-US" w:bidi="ar-SA"/>
                  <w14:ligatures w14:val="none"/>
                </w:rPr>
                <w:t>dproano@bakerlaw.com</w:t>
              </w:r>
            </w:hyperlink>
          </w:p>
          <w:p w:rsidR="00B42E26" w:rsidRPr="00CA55A7" w:rsidP="00B42E26" w14:paraId="3D3B8121"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60" w:history="1">
              <w:r w:rsidRPr="00CA55A7">
                <w:rPr>
                  <w:rFonts w:ascii="Times New Roman" w:eastAsia="Times New Roman" w:hAnsi="Times New Roman" w:cs="Times New Roman"/>
                  <w:color w:val="0000FF"/>
                  <w:kern w:val="0"/>
                  <w:sz w:val="24"/>
                  <w:szCs w:val="24"/>
                  <w:u w:val="single"/>
                  <w:lang w:val="en-US" w:eastAsia="en-US" w:bidi="ar-SA"/>
                  <w14:ligatures w14:val="none"/>
                </w:rPr>
                <w:t>ahaque@bakerlaw.com</w:t>
              </w:r>
            </w:hyperlink>
          </w:p>
          <w:p w:rsidR="00B42E26" w:rsidRPr="00CA55A7" w:rsidP="00B42E26" w14:paraId="2ED5AFB9"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hyperlink r:id="rId61" w:history="1">
              <w:r w:rsidRPr="00CA55A7">
                <w:rPr>
                  <w:rFonts w:ascii="Times New Roman" w:eastAsia="Times New Roman" w:hAnsi="Times New Roman" w:cs="Times New Roman"/>
                  <w:color w:val="0000FF"/>
                  <w:kern w:val="0"/>
                  <w:sz w:val="24"/>
                  <w:szCs w:val="24"/>
                  <w:u w:val="single"/>
                  <w:lang w:val="en-US" w:eastAsia="en-US" w:bidi="ar-SA"/>
                  <w14:ligatures w14:val="none"/>
                </w:rPr>
                <w:t>eprouty@bakerlaw.com</w:t>
              </w:r>
            </w:hyperlink>
          </w:p>
          <w:p w:rsidR="00B42E26" w:rsidRPr="00CA55A7" w:rsidP="00B42E26" w14:paraId="56C312CA"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r w:rsidRPr="00CA55A7">
              <w:rPr>
                <w:rFonts w:ascii="Times New Roman" w:eastAsia="Times New Roman" w:hAnsi="Times New Roman" w:cs="Times New Roman"/>
                <w:color w:val="0000FF"/>
                <w:kern w:val="0"/>
                <w:sz w:val="24"/>
                <w:szCs w:val="24"/>
                <w:u w:val="single"/>
                <w:lang w:val="en-US" w:eastAsia="en-US" w:bidi="ar-SA"/>
                <w14:ligatures w14:val="none"/>
              </w:rPr>
              <w:t>pwillison@bakerlaw.com</w:t>
            </w:r>
          </w:p>
          <w:p w:rsidR="00B42E26" w:rsidRPr="00CA55A7" w:rsidP="00B42E26" w14:paraId="14B4AD45"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hyperlink r:id="rId62" w:history="1">
              <w:r w:rsidRPr="00CA55A7">
                <w:rPr>
                  <w:rFonts w:ascii="Times New Roman" w:eastAsia="Times New Roman" w:hAnsi="Times New Roman" w:cs="Times New Roman"/>
                  <w:color w:val="0000FF"/>
                  <w:kern w:val="0"/>
                  <w:sz w:val="24"/>
                  <w:szCs w:val="24"/>
                  <w:u w:val="single"/>
                  <w:lang w:val="en-US" w:eastAsia="en-US" w:bidi="ar-SA"/>
                  <w14:ligatures w14:val="none"/>
                </w:rPr>
                <w:t>Fdarr2019@gmail.com</w:t>
              </w:r>
            </w:hyperlink>
          </w:p>
          <w:p w:rsidR="00B42E26" w:rsidRPr="00CA55A7" w:rsidP="00B42E26" w14:paraId="7267FA64"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63" w:history="1">
              <w:r w:rsidRPr="00CA55A7">
                <w:rPr>
                  <w:rFonts w:ascii="Times New Roman" w:eastAsia="Times New Roman" w:hAnsi="Times New Roman" w:cs="Times New Roman"/>
                  <w:color w:val="0000FF"/>
                  <w:kern w:val="0"/>
                  <w:sz w:val="24"/>
                  <w:szCs w:val="24"/>
                  <w:u w:val="single"/>
                  <w:lang w:val="en-US" w:eastAsia="en-US" w:bidi="ar-SA"/>
                  <w14:ligatures w14:val="none"/>
                </w:rPr>
                <w:t>dstinson@bricker.com</w:t>
              </w:r>
            </w:hyperlink>
          </w:p>
          <w:p w:rsidR="00B42E26" w:rsidRPr="00CA55A7" w:rsidP="00B42E26" w14:paraId="19FDD5BA" w14:textId="77777777">
            <w:pPr>
              <w:widowControl w:val="0"/>
              <w:autoSpaceDE w:val="0"/>
              <w:autoSpaceDN w:val="0"/>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hyperlink r:id="rId64" w:history="1">
              <w:r w:rsidRPr="00CA55A7">
                <w:rPr>
                  <w:rFonts w:ascii="Times New Roman" w:eastAsia="Times New Roman" w:hAnsi="Times New Roman" w:cs="Times New Roman"/>
                  <w:color w:val="0000FF"/>
                  <w:kern w:val="0"/>
                  <w:sz w:val="24"/>
                  <w:szCs w:val="24"/>
                  <w:u w:val="single"/>
                  <w:lang w:val="en-US" w:eastAsia="en-US" w:bidi="ar-SA"/>
                  <w14:ligatures w14:val="none"/>
                </w:rPr>
                <w:t>gkrassen@nopec.org</w:t>
              </w:r>
            </w:hyperlink>
          </w:p>
          <w:p w:rsidR="00B42E26" w:rsidRPr="00CA55A7" w:rsidP="00B42E26" w14:paraId="39FCFCBD" w14:textId="77777777">
            <w:pPr>
              <w:widowControl w:val="0"/>
              <w:autoSpaceDE w:val="0"/>
              <w:autoSpaceDN w:val="0"/>
              <w:spacing w:after="0" w:line="240" w:lineRule="auto"/>
              <w:rPr>
                <w:rFonts w:ascii="Times New Roman" w:eastAsia="Times New Roman" w:hAnsi="Times New Roman" w:cs="Times New Roman"/>
                <w:kern w:val="0"/>
                <w:sz w:val="24"/>
                <w:szCs w:val="24"/>
                <w:lang w:val="en-US" w:eastAsia="en-US" w:bidi="ar-SA"/>
                <w14:ligatures w14:val="none"/>
              </w:rPr>
            </w:pPr>
            <w:hyperlink r:id="rId65" w:history="1">
              <w:r w:rsidRPr="00CA55A7">
                <w:rPr>
                  <w:rFonts w:ascii="Times New Roman" w:eastAsia="Times New Roman" w:hAnsi="Times New Roman" w:cs="Times New Roman"/>
                  <w:color w:val="0000FF"/>
                  <w:kern w:val="0"/>
                  <w:sz w:val="24"/>
                  <w:szCs w:val="24"/>
                  <w:u w:val="single"/>
                  <w:lang w:val="en-US" w:eastAsia="en-US" w:bidi="ar-SA"/>
                  <w14:ligatures w14:val="none"/>
                </w:rPr>
                <w:t>todonnell@dickinsonwright.com</w:t>
              </w:r>
            </w:hyperlink>
          </w:p>
          <w:p w:rsidR="00B42E26" w:rsidRPr="00CA55A7" w:rsidP="00B42E26" w14:paraId="3978B308" w14:textId="77777777">
            <w:pPr>
              <w:widowControl w:val="0"/>
              <w:autoSpaceDE w:val="0"/>
              <w:autoSpaceDN w:val="0"/>
              <w:spacing w:after="0" w:line="240" w:lineRule="auto"/>
              <w:rPr>
                <w:rFonts w:ascii="Times New Roman" w:eastAsia="Times New Roman" w:hAnsi="Times New Roman" w:cs="Times New Roman"/>
                <w:bCs/>
                <w:kern w:val="0"/>
                <w:sz w:val="24"/>
                <w:szCs w:val="24"/>
                <w:lang w:val="en-US" w:eastAsia="en-US" w:bidi="ar-SA"/>
                <w14:ligatures w14:val="none"/>
              </w:rPr>
            </w:pPr>
            <w:hyperlink r:id="rId66" w:history="1">
              <w:r w:rsidRPr="00CA55A7">
                <w:rPr>
                  <w:rFonts w:ascii="Times New Roman" w:eastAsia="Times New Roman" w:hAnsi="Times New Roman" w:cs="Times New Roman"/>
                  <w:color w:val="0000FF"/>
                  <w:kern w:val="0"/>
                  <w:sz w:val="24"/>
                  <w:szCs w:val="24"/>
                  <w:u w:val="single"/>
                  <w:lang w:val="en-US" w:eastAsia="en-US" w:bidi="ar-SA"/>
                  <w14:ligatures w14:val="none"/>
                </w:rPr>
                <w:t>kshimp@dickinsonwright.com</w:t>
              </w:r>
            </w:hyperlink>
          </w:p>
        </w:tc>
      </w:tr>
    </w:tbl>
    <w:p w:rsidR="00624872" w:rsidRPr="00CA55A7" w:rsidP="002E7DC8" w14:paraId="75C71E57" w14:textId="77777777">
      <w:pPr>
        <w:spacing w:after="0" w:line="480" w:lineRule="auto"/>
        <w:rPr>
          <w:rFonts w:ascii="Times New Roman" w:hAnsi="Times New Roman" w:cs="Times New Roman"/>
          <w:kern w:val="0"/>
          <w:sz w:val="24"/>
          <w:szCs w:val="24"/>
        </w:rPr>
      </w:pPr>
    </w:p>
    <w:sectPr w:rsidSect="00A85695">
      <w:footerReference w:type="default" r:id="rId6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FKai-SB">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3C1DC8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4B1BAC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7FC9C82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1713961"/>
      <w:docPartObj>
        <w:docPartGallery w:val="Page Numbers (Bottom of Page)"/>
        <w:docPartUnique/>
      </w:docPartObj>
    </w:sdtPr>
    <w:sdtEndPr>
      <w:rPr>
        <w:rFonts w:ascii="Times New Roman" w:hAnsi="Times New Roman" w:cs="Times New Roman"/>
        <w:noProof/>
        <w:sz w:val="24"/>
        <w:szCs w:val="24"/>
      </w:rPr>
    </w:sdtEndPr>
    <w:sdtContent>
      <w:p w:rsidR="006D5AAE" w:rsidRPr="00AF0E01" w14:paraId="5101FB33" w14:textId="77777777">
        <w:pPr>
          <w:pStyle w:val="Footer"/>
          <w:jc w:val="center"/>
          <w:rPr>
            <w:rFonts w:ascii="Times New Roman" w:hAnsi="Times New Roman" w:cs="Times New Roman"/>
            <w:sz w:val="24"/>
            <w:szCs w:val="24"/>
          </w:rPr>
        </w:pPr>
        <w:r w:rsidRPr="00AF0E01">
          <w:rPr>
            <w:rFonts w:ascii="Times New Roman" w:hAnsi="Times New Roman" w:cs="Times New Roman"/>
            <w:sz w:val="24"/>
            <w:szCs w:val="24"/>
          </w:rPr>
          <w:fldChar w:fldCharType="begin"/>
        </w:r>
        <w:r w:rsidRPr="00AF0E01">
          <w:rPr>
            <w:rFonts w:ascii="Times New Roman" w:hAnsi="Times New Roman" w:cs="Times New Roman"/>
            <w:sz w:val="24"/>
            <w:szCs w:val="24"/>
          </w:rPr>
          <w:instrText xml:space="preserve"> PAGE   \* MERGEFORMAT </w:instrText>
        </w:r>
        <w:r w:rsidRPr="00AF0E01">
          <w:rPr>
            <w:rFonts w:ascii="Times New Roman" w:hAnsi="Times New Roman" w:cs="Times New Roman"/>
            <w:sz w:val="24"/>
            <w:szCs w:val="24"/>
          </w:rPr>
          <w:fldChar w:fldCharType="separate"/>
        </w:r>
        <w:r w:rsidRPr="00AF0E01">
          <w:rPr>
            <w:rFonts w:ascii="Times New Roman" w:hAnsi="Times New Roman" w:cs="Times New Roman"/>
            <w:noProof/>
            <w:sz w:val="24"/>
            <w:szCs w:val="24"/>
          </w:rPr>
          <w:t>2</w:t>
        </w:r>
        <w:r w:rsidRPr="00AF0E01">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7235151"/>
      <w:docPartObj>
        <w:docPartGallery w:val="Page Numbers (Bottom of Page)"/>
        <w:docPartUnique/>
      </w:docPartObj>
    </w:sdtPr>
    <w:sdtEndPr>
      <w:rPr>
        <w:rFonts w:ascii="Times New Roman" w:hAnsi="Times New Roman" w:cs="Times New Roman"/>
        <w:noProof/>
        <w:sz w:val="24"/>
        <w:szCs w:val="24"/>
      </w:rPr>
    </w:sdtEndPr>
    <w:sdtContent>
      <w:p w:rsidR="00A24BE9" w:rsidRPr="00AF0E01" w14:paraId="07C30692" w14:textId="77777777">
        <w:pPr>
          <w:pStyle w:val="Footer"/>
          <w:jc w:val="center"/>
          <w:rPr>
            <w:rFonts w:ascii="Times New Roman" w:hAnsi="Times New Roman" w:cs="Times New Roman"/>
            <w:sz w:val="24"/>
            <w:szCs w:val="24"/>
          </w:rPr>
        </w:pPr>
        <w:r w:rsidRPr="00AF0E01">
          <w:rPr>
            <w:rFonts w:ascii="Times New Roman" w:hAnsi="Times New Roman" w:cs="Times New Roman"/>
            <w:sz w:val="24"/>
            <w:szCs w:val="24"/>
          </w:rPr>
          <w:fldChar w:fldCharType="begin"/>
        </w:r>
        <w:r w:rsidRPr="00AF0E01">
          <w:rPr>
            <w:rFonts w:ascii="Times New Roman" w:hAnsi="Times New Roman" w:cs="Times New Roman"/>
            <w:sz w:val="24"/>
            <w:szCs w:val="24"/>
          </w:rPr>
          <w:instrText xml:space="preserve"> PAGE   \* MERGEFORMAT </w:instrText>
        </w:r>
        <w:r w:rsidRPr="00AF0E01">
          <w:rPr>
            <w:rFonts w:ascii="Times New Roman" w:hAnsi="Times New Roman" w:cs="Times New Roman"/>
            <w:sz w:val="24"/>
            <w:szCs w:val="24"/>
          </w:rPr>
          <w:fldChar w:fldCharType="separate"/>
        </w:r>
        <w:r w:rsidRPr="00AF0E01">
          <w:rPr>
            <w:rFonts w:ascii="Times New Roman" w:hAnsi="Times New Roman" w:cs="Times New Roman"/>
            <w:noProof/>
            <w:sz w:val="24"/>
            <w:szCs w:val="24"/>
          </w:rPr>
          <w:t>2</w:t>
        </w:r>
        <w:r w:rsidRPr="00AF0E01">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4913289"/>
      <w:docPartObj>
        <w:docPartGallery w:val="Page Numbers (Bottom of Page)"/>
        <w:docPartUnique/>
      </w:docPartObj>
    </w:sdtPr>
    <w:sdtEndPr>
      <w:rPr>
        <w:rFonts w:ascii="Times New Roman" w:hAnsi="Times New Roman" w:cs="Times New Roman"/>
        <w:noProof/>
        <w:sz w:val="24"/>
        <w:szCs w:val="24"/>
      </w:rPr>
    </w:sdtEndPr>
    <w:sdtContent>
      <w:p w:rsidR="006D5AAE" w:rsidRPr="00AF0E01" w14:paraId="194AA942" w14:textId="77777777">
        <w:pPr>
          <w:pStyle w:val="Footer"/>
          <w:jc w:val="center"/>
          <w:rPr>
            <w:rFonts w:ascii="Times New Roman" w:hAnsi="Times New Roman" w:cs="Times New Roman"/>
            <w:sz w:val="24"/>
            <w:szCs w:val="24"/>
          </w:rPr>
        </w:pPr>
        <w:r w:rsidRPr="00AF0E01">
          <w:rPr>
            <w:rFonts w:ascii="Times New Roman" w:hAnsi="Times New Roman" w:cs="Times New Roman"/>
            <w:sz w:val="24"/>
            <w:szCs w:val="24"/>
          </w:rPr>
          <w:fldChar w:fldCharType="begin"/>
        </w:r>
        <w:r w:rsidRPr="00AF0E01">
          <w:rPr>
            <w:rFonts w:ascii="Times New Roman" w:hAnsi="Times New Roman" w:cs="Times New Roman"/>
            <w:sz w:val="24"/>
            <w:szCs w:val="24"/>
          </w:rPr>
          <w:instrText xml:space="preserve"> PAGE   \* MERGEFORMAT </w:instrText>
        </w:r>
        <w:r w:rsidRPr="00AF0E01">
          <w:rPr>
            <w:rFonts w:ascii="Times New Roman" w:hAnsi="Times New Roman" w:cs="Times New Roman"/>
            <w:sz w:val="24"/>
            <w:szCs w:val="24"/>
          </w:rPr>
          <w:fldChar w:fldCharType="separate"/>
        </w:r>
        <w:r w:rsidRPr="00AF0E01">
          <w:rPr>
            <w:rFonts w:ascii="Times New Roman" w:hAnsi="Times New Roman" w:cs="Times New Roman"/>
            <w:noProof/>
            <w:sz w:val="24"/>
            <w:szCs w:val="24"/>
          </w:rPr>
          <w:t>2</w:t>
        </w:r>
        <w:r w:rsidRPr="00AF0E0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695" w:rsidP="007A6B18" w14:paraId="4EEA9EEE" w14:textId="77777777">
      <w:pPr>
        <w:spacing w:after="0" w:line="240" w:lineRule="auto"/>
      </w:pPr>
      <w:r>
        <w:separator/>
      </w:r>
    </w:p>
  </w:footnote>
  <w:footnote w:type="continuationSeparator" w:id="1">
    <w:p w:rsidR="00A85695" w:rsidP="007A6B18" w14:paraId="404E8513" w14:textId="77777777">
      <w:pPr>
        <w:spacing w:after="0" w:line="240" w:lineRule="auto"/>
      </w:pPr>
      <w:r>
        <w:continuationSeparator/>
      </w:r>
    </w:p>
  </w:footnote>
  <w:footnote w:id="2">
    <w:p w:rsidR="00DB41D3" w:rsidRPr="00CA55A7" w:rsidP="00CA55A7" w14:paraId="67566C5D" w14:textId="480EB2F9">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This application for rehearing is authorized by R.C. 4903.10 and </w:t>
      </w:r>
      <w:r w:rsidRPr="00CA55A7" w:rsidR="00ED335B">
        <w:rPr>
          <w:rFonts w:ascii="Times New Roman" w:hAnsi="Times New Roman" w:cs="Times New Roman"/>
          <w:kern w:val="0"/>
        </w:rPr>
        <w:t>O.A.C.</w:t>
      </w:r>
      <w:r w:rsidRPr="00CA55A7">
        <w:rPr>
          <w:rFonts w:ascii="Times New Roman" w:hAnsi="Times New Roman" w:cs="Times New Roman"/>
          <w:kern w:val="0"/>
        </w:rPr>
        <w:t xml:space="preserve"> 4901-1-35.</w:t>
      </w:r>
    </w:p>
  </w:footnote>
  <w:footnote w:id="3">
    <w:p w:rsidR="00225769" w:rsidRPr="00CA55A7" w:rsidP="00CA55A7" w14:paraId="68CBED15" w14:textId="32E8F8FA">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sidR="0028014E">
        <w:rPr>
          <w:rFonts w:ascii="Times New Roman" w:hAnsi="Times New Roman" w:cs="Times New Roman"/>
          <w:kern w:val="0"/>
        </w:rPr>
        <w:t>AEP Ohio Ex. 2 at 21-22</w:t>
      </w:r>
      <w:r w:rsidRPr="00CA55A7" w:rsidR="007C0CBD">
        <w:rPr>
          <w:rFonts w:ascii="Times New Roman" w:hAnsi="Times New Roman" w:cs="Times New Roman"/>
          <w:kern w:val="0"/>
        </w:rPr>
        <w:t xml:space="preserve"> (Mayhan testimony)</w:t>
      </w:r>
      <w:r w:rsidRPr="00CA55A7" w:rsidR="0028014E">
        <w:rPr>
          <w:rFonts w:ascii="Times New Roman" w:hAnsi="Times New Roman" w:cs="Times New Roman"/>
          <w:kern w:val="0"/>
        </w:rPr>
        <w:t>.</w:t>
      </w:r>
    </w:p>
  </w:footnote>
  <w:footnote w:id="4">
    <w:p w:rsidR="00824C0F" w:rsidRPr="00CA55A7" w:rsidP="00CA55A7" w14:paraId="5C8A6FD6" w14:textId="7777777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4928.143(C)(1).</w:t>
      </w:r>
    </w:p>
  </w:footnote>
  <w:footnote w:id="5">
    <w:p w:rsidR="00526633" w:rsidRPr="00CA55A7" w:rsidP="00CA55A7" w14:paraId="3DA2E493" w14:textId="17491812">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i/>
          <w:iCs/>
          <w:kern w:val="0"/>
          <w14:ligatures w14:val="none"/>
        </w:rPr>
        <w:t>See</w:t>
      </w:r>
      <w:r w:rsidRPr="00CA55A7">
        <w:rPr>
          <w:rFonts w:ascii="Times New Roman" w:eastAsia="Times New Roman" w:hAnsi="Times New Roman" w:cs="Times New Roman"/>
          <w:kern w:val="0"/>
          <w14:ligatures w14:val="none"/>
        </w:rPr>
        <w:t xml:space="preserve"> </w:t>
      </w:r>
      <w:r w:rsidRPr="00CA55A7" w:rsidR="00E546AF">
        <w:rPr>
          <w:rFonts w:ascii="Times New Roman" w:eastAsia="Calibri" w:hAnsi="Times New Roman" w:cs="Times New Roman"/>
          <w:i/>
          <w:iCs/>
          <w:kern w:val="0"/>
          <w:lang w:eastAsia="zh-CN"/>
          <w14:ligatures w14:val="none"/>
        </w:rPr>
        <w:t>In the Matter of the Application of Ohio Power Company for Authority to Establish a Standard Service Offer</w:t>
      </w:r>
      <w:r w:rsidRPr="00CA55A7" w:rsidR="00E546AF">
        <w:rPr>
          <w:rFonts w:ascii="Times New Roman" w:eastAsia="Calibri" w:hAnsi="Times New Roman" w:cs="Times New Roman"/>
          <w:kern w:val="0"/>
          <w:lang w:eastAsia="zh-CN"/>
          <w14:ligatures w14:val="none"/>
        </w:rPr>
        <w:t>, Case Nos. 23-23-EL-SSO</w:t>
      </w:r>
      <w:r w:rsidRPr="00CA55A7" w:rsidR="00720B19">
        <w:rPr>
          <w:rFonts w:ascii="Times New Roman" w:eastAsia="Calibri" w:hAnsi="Times New Roman" w:cs="Times New Roman"/>
          <w:kern w:val="0"/>
          <w:lang w:eastAsia="zh-CN"/>
          <w14:ligatures w14:val="none"/>
        </w:rPr>
        <w:t>,</w:t>
      </w:r>
      <w:r w:rsidRPr="00CA55A7" w:rsidR="00E546AF">
        <w:rPr>
          <w:rFonts w:ascii="Times New Roman" w:eastAsia="Calibri" w:hAnsi="Times New Roman" w:cs="Times New Roman"/>
          <w:kern w:val="0"/>
          <w:lang w:eastAsia="zh-CN"/>
          <w14:ligatures w14:val="none"/>
        </w:rPr>
        <w:t xml:space="preserve"> et al., Joint Stipulation and Recommendation </w:t>
      </w:r>
      <w:r w:rsidRPr="00CA55A7" w:rsidR="009E4731">
        <w:rPr>
          <w:rFonts w:ascii="Times New Roman" w:eastAsia="Calibri" w:hAnsi="Times New Roman" w:cs="Times New Roman"/>
          <w:kern w:val="0"/>
          <w:lang w:eastAsia="zh-CN"/>
          <w14:ligatures w14:val="none"/>
        </w:rPr>
        <w:t xml:space="preserve">(Sept. 6, 2023) </w:t>
      </w:r>
      <w:r w:rsidRPr="00CA55A7" w:rsidR="00E546AF">
        <w:rPr>
          <w:rFonts w:ascii="Times New Roman" w:eastAsia="Calibri" w:hAnsi="Times New Roman" w:cs="Times New Roman"/>
          <w:kern w:val="0"/>
          <w:lang w:eastAsia="zh-CN"/>
          <w14:ligatures w14:val="none"/>
        </w:rPr>
        <w:t>(</w:t>
      </w:r>
      <w:r w:rsidRPr="00CA55A7" w:rsidR="00CA55A7">
        <w:rPr>
          <w:rFonts w:ascii="Times New Roman" w:eastAsia="Calibri" w:hAnsi="Times New Roman" w:cs="Times New Roman"/>
          <w:kern w:val="0"/>
          <w:lang w:eastAsia="zh-CN"/>
          <w14:ligatures w14:val="none"/>
        </w:rPr>
        <w:t>“</w:t>
      </w:r>
      <w:r w:rsidRPr="00CA55A7">
        <w:rPr>
          <w:rFonts w:ascii="Times New Roman" w:eastAsia="Times New Roman" w:hAnsi="Times New Roman" w:cs="Times New Roman"/>
          <w:kern w:val="0"/>
          <w14:ligatures w14:val="none"/>
        </w:rPr>
        <w:t>Settlement</w:t>
      </w:r>
      <w:r w:rsidRPr="00CA55A7" w:rsidR="00CA55A7">
        <w:rPr>
          <w:rFonts w:ascii="Times New Roman" w:eastAsia="Times New Roman" w:hAnsi="Times New Roman" w:cs="Times New Roman"/>
          <w:kern w:val="0"/>
          <w14:ligatures w14:val="none"/>
        </w:rPr>
        <w:t>”</w:t>
      </w:r>
      <w:r w:rsidRPr="00CA55A7" w:rsidR="00E546AF">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 xml:space="preserve"> at III.H.25 (DIR charges total $1.022 Billion), III.E.8 (ESRR charges total $244 Million), III.L.37-38 (Energy Efficiency Rider charges total $48 Million), III.I.34 (Smart Thermostat charges total $20 Million), III.K.36 (Customer Experience Rider charges Totaling $1.8 Million), and III.F.10 (Electric Transportation Plan charges totaling $1.2 Million).</w:t>
      </w:r>
    </w:p>
  </w:footnote>
  <w:footnote w:id="6">
    <w:p w:rsidR="00526633" w:rsidRPr="00CA55A7" w:rsidP="00CA55A7" w14:paraId="66136C32" w14:textId="066597D2">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Calibri" w:hAnsi="Times New Roman" w:cs="Times New Roman"/>
          <w:i/>
          <w:iCs/>
          <w:kern w:val="0"/>
          <w:lang w:eastAsia="zh-CN"/>
          <w14:ligatures w14:val="none"/>
        </w:rPr>
        <w:t>In the Matter of the Application of Ohio Power Company for Authority to Establish a Standard Service Offer</w:t>
      </w:r>
      <w:r w:rsidRPr="00CA55A7">
        <w:rPr>
          <w:rFonts w:ascii="Times New Roman" w:eastAsia="Calibri" w:hAnsi="Times New Roman" w:cs="Times New Roman"/>
          <w:kern w:val="0"/>
          <w:lang w:eastAsia="zh-CN"/>
          <w14:ligatures w14:val="none"/>
        </w:rPr>
        <w:t>, Case Nos. 23-23-EL-SSO</w:t>
      </w:r>
      <w:r w:rsidRPr="00CA55A7" w:rsidR="00901FC5">
        <w:rPr>
          <w:rFonts w:ascii="Times New Roman" w:eastAsia="Calibri" w:hAnsi="Times New Roman" w:cs="Times New Roman"/>
          <w:kern w:val="0"/>
          <w:lang w:eastAsia="zh-CN"/>
          <w14:ligatures w14:val="none"/>
        </w:rPr>
        <w:t>,</w:t>
      </w:r>
      <w:r w:rsidRPr="00CA55A7">
        <w:rPr>
          <w:rFonts w:ascii="Times New Roman" w:eastAsia="Calibri" w:hAnsi="Times New Roman" w:cs="Times New Roman"/>
          <w:kern w:val="0"/>
          <w:lang w:eastAsia="zh-CN"/>
          <w14:ligatures w14:val="none"/>
        </w:rPr>
        <w:t xml:space="preserve"> et al., Opinion and Order (April 3, 2024) (</w:t>
      </w:r>
      <w:r w:rsidRPr="00CA55A7" w:rsidR="00CA55A7">
        <w:rPr>
          <w:rFonts w:ascii="Times New Roman" w:eastAsia="Calibri" w:hAnsi="Times New Roman" w:cs="Times New Roman"/>
          <w:kern w:val="0"/>
          <w:lang w:eastAsia="zh-CN"/>
          <w14:ligatures w14:val="none"/>
        </w:rPr>
        <w:t>“</w:t>
      </w:r>
      <w:r w:rsidRPr="00CA55A7">
        <w:rPr>
          <w:rFonts w:ascii="Times New Roman" w:eastAsia="Calibri" w:hAnsi="Times New Roman" w:cs="Times New Roman"/>
          <w:kern w:val="0"/>
          <w:lang w:eastAsia="zh-CN"/>
          <w14:ligatures w14:val="none"/>
        </w:rPr>
        <w:t>Order</w:t>
      </w:r>
      <w:r w:rsidRPr="00CA55A7" w:rsidR="00CA55A7">
        <w:rPr>
          <w:rFonts w:ascii="Times New Roman" w:eastAsia="Calibri" w:hAnsi="Times New Roman" w:cs="Times New Roman"/>
          <w:kern w:val="0"/>
          <w:lang w:eastAsia="zh-CN"/>
          <w14:ligatures w14:val="none"/>
        </w:rPr>
        <w:t>”</w:t>
      </w:r>
      <w:r w:rsidRPr="00CA55A7">
        <w:rPr>
          <w:rFonts w:ascii="Times New Roman" w:eastAsia="Calibri" w:hAnsi="Times New Roman" w:cs="Times New Roman"/>
          <w:kern w:val="0"/>
          <w:lang w:eastAsia="zh-CN"/>
          <w14:ligatures w14:val="none"/>
        </w:rPr>
        <w:t>) at ¶¶ 100 &amp; 104.</w:t>
      </w:r>
    </w:p>
  </w:footnote>
  <w:footnote w:id="7">
    <w:p w:rsidR="006C3232" w:rsidRPr="00CA55A7" w:rsidP="00CA55A7" w14:paraId="517C23DB" w14:textId="522437E0">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i/>
          <w:iCs/>
          <w:kern w:val="0"/>
          <w14:ligatures w14:val="none"/>
        </w:rPr>
        <w:t>See</w:t>
      </w:r>
      <w:r w:rsidRPr="00CA55A7">
        <w:rPr>
          <w:rFonts w:ascii="Times New Roman" w:eastAsia="Times New Roman" w:hAnsi="Times New Roman" w:cs="Times New Roman"/>
          <w:kern w:val="0"/>
          <w14:ligatures w14:val="none"/>
        </w:rPr>
        <w:t xml:space="preserve"> </w:t>
      </w:r>
      <w:r w:rsidRPr="00CA55A7" w:rsidR="00E546AF">
        <w:rPr>
          <w:rFonts w:ascii="Times New Roman" w:eastAsia="Calibri" w:hAnsi="Times New Roman" w:cs="Times New Roman"/>
          <w:i/>
          <w:iCs/>
          <w:kern w:val="0"/>
          <w:lang w:eastAsia="zh-CN"/>
          <w14:ligatures w14:val="none"/>
        </w:rPr>
        <w:t>In the Matter of the Application of Ohio Power Company for Authority to Establish a Standard Service Offer</w:t>
      </w:r>
      <w:r w:rsidRPr="00CA55A7" w:rsidR="00E546AF">
        <w:rPr>
          <w:rFonts w:ascii="Times New Roman" w:eastAsia="Calibri" w:hAnsi="Times New Roman" w:cs="Times New Roman"/>
          <w:kern w:val="0"/>
          <w:lang w:eastAsia="zh-CN"/>
          <w14:ligatures w14:val="none"/>
        </w:rPr>
        <w:t>, Case Nos. 23-23-EL-SSO</w:t>
      </w:r>
      <w:r w:rsidRPr="00CA55A7" w:rsidR="006A0F34">
        <w:rPr>
          <w:rFonts w:ascii="Times New Roman" w:eastAsia="Calibri" w:hAnsi="Times New Roman" w:cs="Times New Roman"/>
          <w:kern w:val="0"/>
          <w:lang w:eastAsia="zh-CN"/>
          <w14:ligatures w14:val="none"/>
        </w:rPr>
        <w:t>,</w:t>
      </w:r>
      <w:r w:rsidRPr="00CA55A7" w:rsidR="00E546AF">
        <w:rPr>
          <w:rFonts w:ascii="Times New Roman" w:eastAsia="Calibri" w:hAnsi="Times New Roman" w:cs="Times New Roman"/>
          <w:kern w:val="0"/>
          <w:lang w:eastAsia="zh-CN"/>
          <w14:ligatures w14:val="none"/>
        </w:rPr>
        <w:t xml:space="preserve"> et al., </w:t>
      </w:r>
      <w:r w:rsidRPr="00CA55A7">
        <w:rPr>
          <w:rFonts w:ascii="Times New Roman" w:eastAsia="Times New Roman" w:hAnsi="Times New Roman" w:cs="Times New Roman"/>
          <w:kern w:val="0"/>
          <w14:ligatures w14:val="none"/>
        </w:rPr>
        <w:t>Direct Testimony of Chris M. Shafer in Support of AEP Ohio</w:t>
      </w:r>
      <w:r w:rsidRPr="00CA55A7" w:rsidR="00CA55A7">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s Electric Security Plan (Jan</w:t>
      </w:r>
      <w:r w:rsidRPr="00CA55A7" w:rsidR="006C708F">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 xml:space="preserve"> 6, 2023) (</w:t>
      </w:r>
      <w:r w:rsidRPr="00CA55A7" w:rsidR="00CA55A7">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Shafer Testimony</w:t>
      </w:r>
      <w:r w:rsidRPr="00CA55A7" w:rsidR="00CA55A7">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 at 15:11-16:9 (stating AEP</w:t>
      </w:r>
      <w:r w:rsidRPr="00CA55A7" w:rsidR="00CA55A7">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s estimate for Ohio Power ADMS costs is $25.554 Million, which AEP intends to collect from consumers through the Customer Experience Rider).</w:t>
      </w:r>
    </w:p>
  </w:footnote>
  <w:footnote w:id="8">
    <w:p w:rsidR="006C3232" w:rsidRPr="00CA55A7" w:rsidP="00CA55A7" w14:paraId="55131B57" w14:textId="295AB21C">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i/>
          <w:iCs/>
          <w:kern w:val="0"/>
          <w14:ligatures w14:val="none"/>
        </w:rPr>
        <w:t>See</w:t>
      </w:r>
      <w:r w:rsidRPr="00CA55A7">
        <w:rPr>
          <w:rFonts w:ascii="Times New Roman" w:eastAsia="Times New Roman" w:hAnsi="Times New Roman" w:cs="Times New Roman"/>
          <w:kern w:val="0"/>
          <w14:ligatures w14:val="none"/>
        </w:rPr>
        <w:t xml:space="preserve"> Settlement at III.F.10-11 and III.I.33.</w:t>
      </w:r>
    </w:p>
  </w:footnote>
  <w:footnote w:id="9">
    <w:p w:rsidR="006C3232" w:rsidRPr="00CA55A7" w:rsidP="00CA55A7" w14:paraId="28B1E885" w14:textId="22E99D23">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i/>
          <w:iCs/>
          <w:kern w:val="0"/>
          <w14:ligatures w14:val="none"/>
        </w:rPr>
        <w:t>See</w:t>
      </w:r>
      <w:r w:rsidRPr="00CA55A7">
        <w:rPr>
          <w:rFonts w:ascii="Times New Roman" w:eastAsia="Times New Roman" w:hAnsi="Times New Roman" w:cs="Times New Roman"/>
          <w:kern w:val="0"/>
          <w14:ligatures w14:val="none"/>
        </w:rPr>
        <w:t xml:space="preserve"> Settlement at III.C.6; </w:t>
      </w:r>
      <w:r w:rsidRPr="00CA55A7">
        <w:rPr>
          <w:rFonts w:ascii="Times New Roman" w:eastAsia="Times New Roman" w:hAnsi="Times New Roman" w:cs="Times New Roman"/>
          <w:i/>
          <w:iCs/>
          <w:kern w:val="0"/>
          <w14:ligatures w14:val="none"/>
        </w:rPr>
        <w:t>See also</w:t>
      </w:r>
      <w:r w:rsidRPr="00CA55A7">
        <w:rPr>
          <w:rFonts w:ascii="Times New Roman" w:eastAsia="Times New Roman" w:hAnsi="Times New Roman" w:cs="Times New Roman"/>
          <w:kern w:val="0"/>
          <w14:ligatures w14:val="none"/>
        </w:rPr>
        <w:t xml:space="preserve"> Direct Testimony of Stacey D. Gabbard on Behalf of Ohio Power Company (Jan. 6, 2023) at 17:13-8:2 (Stating AEP</w:t>
      </w:r>
      <w:r w:rsidRPr="00CA55A7" w:rsidR="00CA55A7">
        <w:rPr>
          <w:rFonts w:ascii="Times New Roman" w:eastAsia="Times New Roman" w:hAnsi="Times New Roman" w:cs="Times New Roman"/>
          <w:kern w:val="0"/>
          <w14:ligatures w14:val="none"/>
        </w:rPr>
        <w:t>’</w:t>
      </w:r>
      <w:r w:rsidRPr="00CA55A7">
        <w:rPr>
          <w:rFonts w:ascii="Times New Roman" w:eastAsia="Times New Roman" w:hAnsi="Times New Roman" w:cs="Times New Roman"/>
          <w:kern w:val="0"/>
          <w14:ligatures w14:val="none"/>
        </w:rPr>
        <w:t>s January 2023 estimate of CIS costs to be recouped from consumers total $183.476 Million).</w:t>
      </w:r>
    </w:p>
  </w:footnote>
  <w:footnote w:id="10">
    <w:p w:rsidR="006C3232" w:rsidRPr="00CA55A7" w:rsidP="00CA55A7" w14:paraId="6CD96C9C" w14:textId="7CF82768">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i/>
          <w:iCs/>
          <w:kern w:val="0"/>
          <w14:ligatures w14:val="none"/>
        </w:rPr>
        <w:t>See</w:t>
      </w:r>
      <w:r w:rsidRPr="00CA55A7">
        <w:rPr>
          <w:rFonts w:ascii="Times New Roman" w:eastAsia="Times New Roman" w:hAnsi="Times New Roman" w:cs="Times New Roman"/>
          <w:kern w:val="0"/>
          <w14:ligatures w14:val="none"/>
        </w:rPr>
        <w:t xml:space="preserve"> Settlement at III.F.14-15.</w:t>
      </w:r>
    </w:p>
  </w:footnote>
  <w:footnote w:id="11">
    <w:p w:rsidR="00B04BD0" w:rsidRPr="00CA55A7" w:rsidP="00CA55A7" w14:paraId="2C22D94B" w14:textId="1058B1BF">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97, 99 &amp; 104.</w:t>
      </w:r>
    </w:p>
  </w:footnote>
  <w:footnote w:id="12">
    <w:p w:rsidR="006A4EEC" w:rsidRPr="00CA55A7" w:rsidP="00CA55A7" w14:paraId="71FFE995" w14:textId="494BC302">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Settlement at III.H.25, III.E.8, III.L.37-38, III.I.34, III.K.36 and III.F.10.</w:t>
      </w:r>
    </w:p>
  </w:footnote>
  <w:footnote w:id="13">
    <w:p w:rsidR="0028014E" w:rsidRPr="00CA55A7" w:rsidP="00CA55A7" w14:paraId="6520961A" w14:textId="331FE572">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sidR="007C0CBD">
        <w:rPr>
          <w:rFonts w:ascii="Times New Roman" w:hAnsi="Times New Roman" w:cs="Times New Roman"/>
          <w:i/>
          <w:iCs/>
          <w:kern w:val="0"/>
        </w:rPr>
        <w:t xml:space="preserve">See </w:t>
      </w:r>
      <w:r w:rsidRPr="00CA55A7">
        <w:rPr>
          <w:rFonts w:ascii="Times New Roman" w:hAnsi="Times New Roman" w:cs="Times New Roman"/>
          <w:kern w:val="0"/>
        </w:rPr>
        <w:t>AEP Ohio Ex. 2 at 21-22</w:t>
      </w:r>
      <w:r w:rsidRPr="00CA55A7" w:rsidR="007C0CBD">
        <w:rPr>
          <w:rFonts w:ascii="Times New Roman" w:hAnsi="Times New Roman" w:cs="Times New Roman"/>
          <w:kern w:val="0"/>
        </w:rPr>
        <w:t xml:space="preserve"> (Mayhan Testimony)</w:t>
      </w:r>
      <w:r w:rsidRPr="00CA55A7">
        <w:rPr>
          <w:rFonts w:ascii="Times New Roman" w:hAnsi="Times New Roman" w:cs="Times New Roman"/>
          <w:kern w:val="0"/>
        </w:rPr>
        <w:t>.</w:t>
      </w:r>
    </w:p>
  </w:footnote>
  <w:footnote w:id="14">
    <w:p w:rsidR="006A4EEC" w:rsidRPr="00CA55A7" w:rsidP="00CA55A7" w14:paraId="0C59A91B" w14:textId="2694CC0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100 &amp; 104.</w:t>
      </w:r>
    </w:p>
  </w:footnote>
  <w:footnote w:id="15">
    <w:p w:rsidR="00210030" w:rsidRPr="00CA55A7" w:rsidP="00CA55A7" w14:paraId="5C7BEAB4" w14:textId="65C8B2F3">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w:t>
      </w:r>
      <w:r w:rsidRPr="00CA55A7" w:rsidR="00F470D6">
        <w:rPr>
          <w:rFonts w:ascii="Times New Roman" w:hAnsi="Times New Roman" w:cs="Times New Roman"/>
          <w:kern w:val="0"/>
        </w:rPr>
        <w:t>¶</w:t>
      </w:r>
      <w:r w:rsidRPr="00CA55A7">
        <w:rPr>
          <w:rFonts w:ascii="Times New Roman" w:hAnsi="Times New Roman" w:cs="Times New Roman"/>
          <w:kern w:val="0"/>
        </w:rPr>
        <w:t xml:space="preserve"> </w:t>
      </w:r>
      <w:r w:rsidRPr="00CA55A7" w:rsidR="00F470D6">
        <w:rPr>
          <w:rFonts w:ascii="Times New Roman" w:hAnsi="Times New Roman" w:cs="Times New Roman"/>
          <w:kern w:val="0"/>
        </w:rPr>
        <w:t>97, 99, 100, and 104</w:t>
      </w:r>
      <w:r w:rsidRPr="00CA55A7">
        <w:rPr>
          <w:rFonts w:ascii="Times New Roman" w:hAnsi="Times New Roman" w:cs="Times New Roman"/>
          <w:kern w:val="0"/>
        </w:rPr>
        <w:t>.</w:t>
      </w:r>
    </w:p>
  </w:footnote>
  <w:footnote w:id="16">
    <w:p w:rsidR="003D246A" w:rsidRPr="00CA55A7" w:rsidP="00CA55A7" w14:paraId="74ECEBC4" w14:textId="283E7679">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91.</w:t>
      </w:r>
    </w:p>
  </w:footnote>
  <w:footnote w:id="17">
    <w:p w:rsidR="007C0CBD" w:rsidRPr="00CA55A7" w:rsidP="00CA55A7" w14:paraId="02D17E5B" w14:textId="2310737D">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OCC Ex. 4 (Testimony Recommending Modification of the Stipulation of James D. Williams on Behalf of the Office of the Ohio Consumers</w:t>
      </w:r>
      <w:r w:rsidRPr="00CA55A7" w:rsidR="00CA55A7">
        <w:rPr>
          <w:rFonts w:ascii="Times New Roman" w:hAnsi="Times New Roman" w:cs="Times New Roman"/>
          <w:kern w:val="0"/>
        </w:rPr>
        <w:t>’</w:t>
      </w:r>
      <w:r w:rsidRPr="00CA55A7">
        <w:rPr>
          <w:rFonts w:ascii="Times New Roman" w:hAnsi="Times New Roman" w:cs="Times New Roman"/>
          <w:kern w:val="0"/>
        </w:rPr>
        <w:t xml:space="preserve"> Counsel) (Sept. 20, 2023) (</w:t>
      </w:r>
      <w:r w:rsidRPr="00CA55A7" w:rsidR="00CA55A7">
        <w:rPr>
          <w:rFonts w:ascii="Times New Roman" w:hAnsi="Times New Roman" w:cs="Times New Roman"/>
          <w:kern w:val="0"/>
        </w:rPr>
        <w:t>“</w:t>
      </w:r>
      <w:r w:rsidRPr="00CA55A7">
        <w:rPr>
          <w:rFonts w:ascii="Times New Roman" w:hAnsi="Times New Roman" w:cs="Times New Roman"/>
          <w:kern w:val="0"/>
        </w:rPr>
        <w:t>Williams Testimony</w:t>
      </w:r>
      <w:r w:rsidRPr="00CA55A7" w:rsidR="00CA55A7">
        <w:rPr>
          <w:rFonts w:ascii="Times New Roman" w:hAnsi="Times New Roman" w:cs="Times New Roman"/>
          <w:kern w:val="0"/>
        </w:rPr>
        <w:t>”</w:t>
      </w:r>
      <w:r w:rsidRPr="00CA55A7">
        <w:rPr>
          <w:rFonts w:ascii="Times New Roman" w:hAnsi="Times New Roman" w:cs="Times New Roman"/>
          <w:kern w:val="0"/>
        </w:rPr>
        <w:t xml:space="preserve">) at 9:6-14; </w:t>
      </w:r>
      <w:r w:rsidRPr="00CA55A7">
        <w:rPr>
          <w:rFonts w:ascii="Times New Roman" w:hAnsi="Times New Roman" w:cs="Times New Roman"/>
          <w:i/>
          <w:iCs/>
          <w:kern w:val="0"/>
        </w:rPr>
        <w:t xml:space="preserve">see also id. </w:t>
      </w:r>
      <w:r w:rsidRPr="00CA55A7">
        <w:rPr>
          <w:rFonts w:ascii="Times New Roman" w:hAnsi="Times New Roman" w:cs="Times New Roman"/>
          <w:kern w:val="0"/>
        </w:rPr>
        <w:t>at 12-15 (PUCO should reject increased tree-trimming expenses).</w:t>
      </w:r>
    </w:p>
  </w:footnote>
  <w:footnote w:id="18">
    <w:p w:rsidR="003A00CB" w:rsidRPr="00CA55A7" w:rsidP="00CA55A7" w14:paraId="0DB93884" w14:textId="405D5FF8">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4928.143(B)(2)(h).</w:t>
      </w:r>
    </w:p>
  </w:footnote>
  <w:footnote w:id="19">
    <w:p w:rsidR="00346460" w:rsidRPr="00CA55A7" w:rsidP="00CA55A7" w14:paraId="1D2460F8" w14:textId="2C6AFA65">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4928.143(C)(1).</w:t>
      </w:r>
    </w:p>
  </w:footnote>
  <w:footnote w:id="20">
    <w:p w:rsidR="00346460" w:rsidRPr="00CA55A7" w:rsidP="00CA55A7" w14:paraId="16BDE9D2" w14:textId="456D8A18">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Id.</w:t>
      </w:r>
    </w:p>
  </w:footnote>
  <w:footnote w:id="21">
    <w:p w:rsidR="00346460" w:rsidRPr="00CA55A7" w:rsidP="00CA55A7" w14:paraId="0320E2C7" w14:textId="5EDB08DC">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4928.02 and R.C. 4928.06.</w:t>
      </w:r>
    </w:p>
  </w:footnote>
  <w:footnote w:id="22">
    <w:p w:rsidR="00274E0F" w:rsidRPr="00CA55A7" w:rsidP="00CA55A7" w14:paraId="68F4B669" w14:textId="6C7A83C4">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4903.09.</w:t>
      </w:r>
    </w:p>
  </w:footnote>
  <w:footnote w:id="23">
    <w:p w:rsidR="00274E0F" w:rsidRPr="00CA55A7" w:rsidP="00CA55A7" w14:paraId="296D03DF" w14:textId="441B5DE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Allnet Communs. Servs. v. PUC of Ohio</w:t>
      </w:r>
      <w:r w:rsidRPr="00CA55A7">
        <w:rPr>
          <w:rFonts w:ascii="Times New Roman" w:hAnsi="Times New Roman" w:cs="Times New Roman"/>
          <w:kern w:val="0"/>
        </w:rPr>
        <w:t>, 70 Ohio St.3d 202, 209, 638 N.E.2d 516 (1994).</w:t>
      </w:r>
    </w:p>
  </w:footnote>
  <w:footnote w:id="24">
    <w:p w:rsidR="00360717" w:rsidRPr="00CA55A7" w:rsidP="00CA55A7" w14:paraId="5E44D51A" w14:textId="1B46058D">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 xml:space="preserve">See </w:t>
      </w:r>
      <w:r w:rsidRPr="00CA55A7">
        <w:rPr>
          <w:rFonts w:ascii="Times New Roman" w:hAnsi="Times New Roman" w:cs="Times New Roman"/>
          <w:kern w:val="0"/>
        </w:rPr>
        <w:t>Initial Post-Hearing Brief by the Citizens</w:t>
      </w:r>
      <w:r w:rsidRPr="00CA55A7" w:rsidR="00CA55A7">
        <w:rPr>
          <w:rFonts w:ascii="Times New Roman" w:hAnsi="Times New Roman" w:cs="Times New Roman"/>
          <w:kern w:val="0"/>
        </w:rPr>
        <w:t>’</w:t>
      </w:r>
      <w:r w:rsidRPr="00CA55A7">
        <w:rPr>
          <w:rFonts w:ascii="Times New Roman" w:hAnsi="Times New Roman" w:cs="Times New Roman"/>
          <w:kern w:val="0"/>
        </w:rPr>
        <w:t xml:space="preserve"> Utility Board of Ohio at </w:t>
      </w:r>
      <w:r w:rsidRPr="00CA55A7" w:rsidR="00D42254">
        <w:rPr>
          <w:rFonts w:ascii="Times New Roman" w:hAnsi="Times New Roman" w:cs="Times New Roman"/>
          <w:kern w:val="0"/>
        </w:rPr>
        <w:t>5-8; Initial Brief of the Ohio Environmental Council at 9-10</w:t>
      </w:r>
      <w:r w:rsidRPr="00CA55A7" w:rsidR="0014286B">
        <w:rPr>
          <w:rFonts w:ascii="Times New Roman" w:hAnsi="Times New Roman" w:cs="Times New Roman"/>
          <w:kern w:val="0"/>
        </w:rPr>
        <w:t>; Initial Post-Hearing Brief of the Environmental Law &amp; Policy Center at 4-8</w:t>
      </w:r>
      <w:r w:rsidRPr="00CA55A7" w:rsidR="00D42254">
        <w:rPr>
          <w:rFonts w:ascii="Times New Roman" w:hAnsi="Times New Roman" w:cs="Times New Roman"/>
          <w:kern w:val="0"/>
        </w:rPr>
        <w:t>.</w:t>
      </w:r>
    </w:p>
  </w:footnote>
  <w:footnote w:id="25">
    <w:p w:rsidR="00D42254" w:rsidRPr="00CA55A7" w:rsidP="00CA55A7" w14:paraId="440CA165" w14:textId="13E2E06C">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 xml:space="preserve">See </w:t>
      </w:r>
      <w:r w:rsidRPr="00CA55A7">
        <w:rPr>
          <w:rFonts w:ascii="Times New Roman" w:hAnsi="Times New Roman" w:cs="Times New Roman"/>
          <w:kern w:val="0"/>
        </w:rPr>
        <w:t>Initial Post-Hearing Brief of the Ohio Energy Leadership Council at 5-7</w:t>
      </w:r>
      <w:r w:rsidRPr="00CA55A7" w:rsidR="0014286B">
        <w:rPr>
          <w:rFonts w:ascii="Times New Roman" w:hAnsi="Times New Roman" w:cs="Times New Roman"/>
          <w:kern w:val="0"/>
        </w:rPr>
        <w:t>; Post-Hearing Brief of the Ohio Energy Group at 4</w:t>
      </w:r>
      <w:r w:rsidRPr="00CA55A7">
        <w:rPr>
          <w:rFonts w:ascii="Times New Roman" w:hAnsi="Times New Roman" w:cs="Times New Roman"/>
          <w:kern w:val="0"/>
        </w:rPr>
        <w:t>.</w:t>
      </w:r>
    </w:p>
  </w:footnote>
  <w:footnote w:id="26">
    <w:p w:rsidR="00D42254" w:rsidRPr="00CA55A7" w:rsidP="00CA55A7" w14:paraId="338EDB23" w14:textId="3332432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 xml:space="preserve">See, e.g., </w:t>
      </w:r>
      <w:r w:rsidRPr="00CA55A7">
        <w:rPr>
          <w:rFonts w:ascii="Times New Roman" w:hAnsi="Times New Roman" w:cs="Times New Roman"/>
          <w:kern w:val="0"/>
        </w:rPr>
        <w:t>Initial Brief of Direct Energy at 5-6.</w:t>
      </w:r>
    </w:p>
  </w:footnote>
  <w:footnote w:id="27">
    <w:p w:rsidR="00B504FB" w:rsidRPr="00CA55A7" w:rsidP="00CA55A7" w14:paraId="23BFD1E4" w14:textId="46BC2E79">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 xml:space="preserve">See </w:t>
      </w:r>
      <w:r w:rsidRPr="00CA55A7">
        <w:rPr>
          <w:rFonts w:ascii="Times New Roman" w:hAnsi="Times New Roman" w:cs="Times New Roman"/>
          <w:kern w:val="0"/>
        </w:rPr>
        <w:t>AEP Ohio Ex. 2 at 21-22 (Mayhan Testimony).</w:t>
      </w:r>
    </w:p>
  </w:footnote>
  <w:footnote w:id="28">
    <w:p w:rsidR="00E057E2" w:rsidRPr="00CA55A7" w:rsidP="00CA55A7" w14:paraId="40A91212" w14:textId="3161B2B0">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100 &amp; 104</w:t>
      </w:r>
      <w:r w:rsidRPr="00CA55A7" w:rsidR="00B617FB">
        <w:rPr>
          <w:rFonts w:ascii="Times New Roman" w:hAnsi="Times New Roman" w:cs="Times New Roman"/>
          <w:kern w:val="0"/>
        </w:rPr>
        <w:t>.</w:t>
      </w:r>
    </w:p>
  </w:footnote>
  <w:footnote w:id="29">
    <w:p w:rsidR="004C28F4" w:rsidRPr="00CA55A7" w:rsidP="00CA55A7" w14:paraId="6C91FFFA" w14:textId="54C23C9C">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OCC Ex. 4 (Testimony Recommending Modification of the Stipulation of James D. Williams on Behalf of the Office of the Ohio Consumers</w:t>
      </w:r>
      <w:r w:rsidRPr="00CA55A7" w:rsidR="00CA55A7">
        <w:rPr>
          <w:rFonts w:ascii="Times New Roman" w:hAnsi="Times New Roman" w:cs="Times New Roman"/>
          <w:kern w:val="0"/>
        </w:rPr>
        <w:t>’</w:t>
      </w:r>
      <w:r w:rsidRPr="00CA55A7">
        <w:rPr>
          <w:rFonts w:ascii="Times New Roman" w:hAnsi="Times New Roman" w:cs="Times New Roman"/>
          <w:kern w:val="0"/>
        </w:rPr>
        <w:t xml:space="preserve"> Counsel) (Sept</w:t>
      </w:r>
      <w:r w:rsidRPr="00CA55A7" w:rsidR="008E3759">
        <w:rPr>
          <w:rFonts w:ascii="Times New Roman" w:hAnsi="Times New Roman" w:cs="Times New Roman"/>
          <w:kern w:val="0"/>
        </w:rPr>
        <w:t>.</w:t>
      </w:r>
      <w:r w:rsidRPr="00CA55A7">
        <w:rPr>
          <w:rFonts w:ascii="Times New Roman" w:hAnsi="Times New Roman" w:cs="Times New Roman"/>
          <w:kern w:val="0"/>
        </w:rPr>
        <w:t xml:space="preserve"> 20, 2023) (</w:t>
      </w:r>
      <w:r w:rsidRPr="00CA55A7" w:rsidR="00CA55A7">
        <w:rPr>
          <w:rFonts w:ascii="Times New Roman" w:hAnsi="Times New Roman" w:cs="Times New Roman"/>
          <w:kern w:val="0"/>
        </w:rPr>
        <w:t>“</w:t>
      </w:r>
      <w:r w:rsidRPr="00CA55A7">
        <w:rPr>
          <w:rFonts w:ascii="Times New Roman" w:hAnsi="Times New Roman" w:cs="Times New Roman"/>
          <w:kern w:val="0"/>
        </w:rPr>
        <w:t>Williams Testimony</w:t>
      </w:r>
      <w:r w:rsidRPr="00CA55A7" w:rsidR="00CA55A7">
        <w:rPr>
          <w:rFonts w:ascii="Times New Roman" w:hAnsi="Times New Roman" w:cs="Times New Roman"/>
          <w:kern w:val="0"/>
        </w:rPr>
        <w:t>”</w:t>
      </w:r>
      <w:r w:rsidRPr="00CA55A7">
        <w:rPr>
          <w:rFonts w:ascii="Times New Roman" w:hAnsi="Times New Roman" w:cs="Times New Roman"/>
          <w:kern w:val="0"/>
        </w:rPr>
        <w:t>) at 7:20-9:4.</w:t>
      </w:r>
    </w:p>
  </w:footnote>
  <w:footnote w:id="30">
    <w:p w:rsidR="004C28F4" w:rsidRPr="00CA55A7" w:rsidP="00CA55A7" w14:paraId="381619E0" w14:textId="3BC3A504">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In the Matter of the Application of Ohio Power Company for an Increase in Electric Distribution Rates</w:t>
      </w:r>
      <w:r w:rsidRPr="00CA55A7">
        <w:rPr>
          <w:rFonts w:ascii="Times New Roman" w:hAnsi="Times New Roman" w:cs="Times New Roman"/>
          <w:kern w:val="0"/>
        </w:rPr>
        <w:t>, Case No. 20-585-EL-AIR, Opinion and Order (Nov</w:t>
      </w:r>
      <w:r w:rsidRPr="00CA55A7" w:rsidR="0094582B">
        <w:rPr>
          <w:rFonts w:ascii="Times New Roman" w:hAnsi="Times New Roman" w:cs="Times New Roman"/>
          <w:kern w:val="0"/>
        </w:rPr>
        <w:t>.</w:t>
      </w:r>
      <w:r w:rsidRPr="00CA55A7">
        <w:rPr>
          <w:rFonts w:ascii="Times New Roman" w:hAnsi="Times New Roman" w:cs="Times New Roman"/>
          <w:kern w:val="0"/>
        </w:rPr>
        <w:t xml:space="preserve"> 17, 2021) at 23.</w:t>
      </w:r>
    </w:p>
  </w:footnote>
  <w:footnote w:id="31">
    <w:p w:rsidR="007154A5" w:rsidRPr="00CA55A7" w:rsidP="00CA55A7" w14:paraId="2154EF7B" w14:textId="0A23992C">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91, 100 &amp; 104.</w:t>
      </w:r>
    </w:p>
  </w:footnote>
  <w:footnote w:id="32">
    <w:p w:rsidR="00CF14A4" w:rsidRPr="00CA55A7" w:rsidP="00CA55A7" w14:paraId="1BFD95C7" w14:textId="1BDF28B4">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97, 99, 100 &amp; 104.</w:t>
      </w:r>
    </w:p>
  </w:footnote>
  <w:footnote w:id="33">
    <w:p w:rsidR="008050B8" w:rsidRPr="00CA55A7" w:rsidP="00CA55A7" w14:paraId="5716207B" w14:textId="0F8D1770">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OCC Ex. 8 (Testimony Recommending Modification of the Stipulation of Joseph P. Buckley on Behalf of the Office of the Ohio Consumers</w:t>
      </w:r>
      <w:r w:rsidRPr="00CA55A7" w:rsidR="00CA55A7">
        <w:rPr>
          <w:rFonts w:ascii="Times New Roman" w:hAnsi="Times New Roman" w:cs="Times New Roman"/>
          <w:kern w:val="0"/>
        </w:rPr>
        <w:t>’</w:t>
      </w:r>
      <w:r w:rsidRPr="00CA55A7">
        <w:rPr>
          <w:rFonts w:ascii="Times New Roman" w:hAnsi="Times New Roman" w:cs="Times New Roman"/>
          <w:kern w:val="0"/>
        </w:rPr>
        <w:t xml:space="preserve"> Counsel) (Sept. 20, 2023) (</w:t>
      </w:r>
      <w:r w:rsidRPr="00CA55A7" w:rsidR="00CA55A7">
        <w:rPr>
          <w:rFonts w:ascii="Times New Roman" w:hAnsi="Times New Roman" w:cs="Times New Roman"/>
          <w:kern w:val="0"/>
        </w:rPr>
        <w:t>“</w:t>
      </w:r>
      <w:r w:rsidRPr="00CA55A7">
        <w:rPr>
          <w:rFonts w:ascii="Times New Roman" w:hAnsi="Times New Roman" w:cs="Times New Roman"/>
          <w:kern w:val="0"/>
        </w:rPr>
        <w:t>Buckley Testimony</w:t>
      </w:r>
      <w:r w:rsidRPr="00CA55A7" w:rsidR="00CA55A7">
        <w:rPr>
          <w:rFonts w:ascii="Times New Roman" w:hAnsi="Times New Roman" w:cs="Times New Roman"/>
          <w:kern w:val="0"/>
        </w:rPr>
        <w:t>”</w:t>
      </w:r>
      <w:r w:rsidRPr="00CA55A7">
        <w:rPr>
          <w:rFonts w:ascii="Times New Roman" w:hAnsi="Times New Roman" w:cs="Times New Roman"/>
          <w:kern w:val="0"/>
        </w:rPr>
        <w:t>) at 13-20.</w:t>
      </w:r>
    </w:p>
  </w:footnote>
  <w:footnote w:id="34">
    <w:p w:rsidR="008050B8" w:rsidRPr="00CA55A7" w:rsidP="00CA55A7" w14:paraId="1B7721EA" w14:textId="77DE6415">
      <w:pPr>
        <w:pStyle w:val="FootnoteText"/>
        <w:spacing w:after="120"/>
        <w:rPr>
          <w:rFonts w:ascii="Times New Roman" w:hAnsi="Times New Roman" w:cs="Times New Roman"/>
          <w:i/>
          <w:iCs/>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Id.</w:t>
      </w:r>
    </w:p>
  </w:footnote>
  <w:footnote w:id="35">
    <w:p w:rsidR="002353D7" w:rsidRPr="00CA55A7" w:rsidP="00CA55A7" w14:paraId="1DDC5C0E" w14:textId="566DDF5D">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97 </w:t>
      </w:r>
      <w:r w:rsidRPr="00CA55A7" w:rsidR="00CF14A4">
        <w:rPr>
          <w:rFonts w:ascii="Times New Roman" w:hAnsi="Times New Roman" w:cs="Times New Roman"/>
          <w:kern w:val="0"/>
        </w:rPr>
        <w:t>&amp;</w:t>
      </w:r>
      <w:r w:rsidRPr="00CA55A7">
        <w:rPr>
          <w:rFonts w:ascii="Times New Roman" w:hAnsi="Times New Roman" w:cs="Times New Roman"/>
          <w:kern w:val="0"/>
        </w:rPr>
        <w:t xml:space="preserve"> 104. </w:t>
      </w:r>
    </w:p>
  </w:footnote>
  <w:footnote w:id="36">
    <w:p w:rsidR="002353D7" w:rsidRPr="00CA55A7" w:rsidP="00CA55A7" w14:paraId="09832203" w14:textId="1E21B024">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99.</w:t>
      </w:r>
    </w:p>
  </w:footnote>
  <w:footnote w:id="37">
    <w:p w:rsidR="00574B0A" w:rsidRPr="00CA55A7" w:rsidP="00CA55A7" w14:paraId="44777292" w14:textId="5CF08391">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OCC Ex. 1 (Testimony Recommending Modification of the Stipulation of Andrew R. Tinkham on Behalf of the Office of the Ohio Consumers</w:t>
      </w:r>
      <w:r w:rsidRPr="00CA55A7" w:rsidR="00CA55A7">
        <w:rPr>
          <w:rFonts w:ascii="Times New Roman" w:hAnsi="Times New Roman" w:cs="Times New Roman"/>
          <w:kern w:val="0"/>
        </w:rPr>
        <w:t>’</w:t>
      </w:r>
      <w:r w:rsidRPr="00CA55A7">
        <w:rPr>
          <w:rFonts w:ascii="Times New Roman" w:hAnsi="Times New Roman" w:cs="Times New Roman"/>
          <w:kern w:val="0"/>
        </w:rPr>
        <w:t xml:space="preserve"> Counsel) (Sept. 20, 2023) (</w:t>
      </w:r>
      <w:r w:rsidRPr="00CA55A7" w:rsidR="00CA55A7">
        <w:rPr>
          <w:rFonts w:ascii="Times New Roman" w:hAnsi="Times New Roman" w:cs="Times New Roman"/>
          <w:kern w:val="0"/>
        </w:rPr>
        <w:t>“</w:t>
      </w:r>
      <w:r w:rsidRPr="00CA55A7">
        <w:rPr>
          <w:rFonts w:ascii="Times New Roman" w:hAnsi="Times New Roman" w:cs="Times New Roman"/>
          <w:kern w:val="0"/>
        </w:rPr>
        <w:t>Tinkham Testimony</w:t>
      </w:r>
      <w:r w:rsidRPr="00CA55A7" w:rsidR="00CA55A7">
        <w:rPr>
          <w:rFonts w:ascii="Times New Roman" w:hAnsi="Times New Roman" w:cs="Times New Roman"/>
          <w:kern w:val="0"/>
        </w:rPr>
        <w:t>”</w:t>
      </w:r>
      <w:r w:rsidRPr="00CA55A7">
        <w:rPr>
          <w:rFonts w:ascii="Times New Roman" w:hAnsi="Times New Roman" w:cs="Times New Roman"/>
          <w:kern w:val="0"/>
        </w:rPr>
        <w:t>) at 6:10-9:2.</w:t>
      </w:r>
    </w:p>
  </w:footnote>
  <w:footnote w:id="38">
    <w:p w:rsidR="004748A9" w:rsidRPr="00CA55A7" w:rsidP="00CA55A7" w14:paraId="11F383BA" w14:textId="602622F3">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w:t>
      </w:r>
      <w:r w:rsidRPr="00CA55A7" w:rsidR="00E0013E">
        <w:rPr>
          <w:rFonts w:ascii="Times New Roman" w:hAnsi="Times New Roman" w:cs="Times New Roman"/>
          <w:kern w:val="0"/>
        </w:rPr>
        <w:t>¶ 134.</w:t>
      </w:r>
      <w:r w:rsidRPr="00CA55A7" w:rsidR="00CA55A7">
        <w:rPr>
          <w:rFonts w:ascii="Times New Roman" w:hAnsi="Times New Roman" w:cs="Times New Roman"/>
          <w:kern w:val="0"/>
        </w:rPr>
        <w:t xml:space="preserve"> </w:t>
      </w:r>
      <w:r w:rsidRPr="00CA55A7" w:rsidR="00B77B40">
        <w:rPr>
          <w:rFonts w:ascii="Times New Roman" w:hAnsi="Times New Roman" w:cs="Times New Roman"/>
          <w:kern w:val="0"/>
        </w:rPr>
        <w:t xml:space="preserve">CUB Ohio noted these concerns but that did not keep them from signing onto the settlement. </w:t>
      </w:r>
    </w:p>
  </w:footnote>
  <w:footnote w:id="39">
    <w:p w:rsidR="009F610E" w:rsidRPr="00CA55A7" w:rsidP="00CA55A7" w14:paraId="44BB8FDB" w14:textId="77777777">
      <w:pPr>
        <w:pStyle w:val="FootnoteText"/>
        <w:spacing w:after="120"/>
        <w:rPr>
          <w:rFonts w:ascii="Times New Roman" w:hAnsi="Times New Roman" w:cs="Times New Roman"/>
          <w:kern w:val="0"/>
          <w:highlight w:val="yellow"/>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w:t>
      </w:r>
      <w:bookmarkStart w:id="15" w:name="_Hlk152115196"/>
      <w:r w:rsidRPr="00CA55A7">
        <w:rPr>
          <w:rFonts w:ascii="Times New Roman" w:hAnsi="Times New Roman" w:cs="Times New Roman"/>
          <w:kern w:val="0"/>
        </w:rPr>
        <w:t xml:space="preserve"> Attachment ART-1 pp. 3-6.</w:t>
      </w:r>
      <w:bookmarkEnd w:id="15"/>
    </w:p>
  </w:footnote>
  <w:footnote w:id="40">
    <w:p w:rsidR="009F610E" w:rsidRPr="00CA55A7" w:rsidP="00CA55A7" w14:paraId="6A8AA9EF" w14:textId="7777777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 Attachment ART-2 pp. 3-6</w:t>
      </w:r>
      <w:r w:rsidRPr="00CA55A7">
        <w:rPr>
          <w:rFonts w:ascii="Times New Roman" w:hAnsi="Times New Roman" w:cs="Times New Roman"/>
          <w:i/>
          <w:iCs/>
          <w:kern w:val="0"/>
        </w:rPr>
        <w:t>.</w:t>
      </w:r>
    </w:p>
  </w:footnote>
  <w:footnote w:id="41">
    <w:p w:rsidR="009F610E" w:rsidRPr="00CA55A7" w:rsidP="00CA55A7" w14:paraId="60B23C59" w14:textId="77777777">
      <w:pPr>
        <w:pStyle w:val="FootnoteText"/>
        <w:spacing w:after="120"/>
        <w:rPr>
          <w:rFonts w:ascii="Times New Roman" w:hAnsi="Times New Roman" w:cs="Times New Roman"/>
          <w:i/>
          <w:iCs/>
          <w:kern w:val="0"/>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 Attachment ART-1 pp. 3-6.</w:t>
      </w:r>
    </w:p>
  </w:footnote>
  <w:footnote w:id="42">
    <w:p w:rsidR="009F610E" w:rsidRPr="00CA55A7" w:rsidP="00CA55A7" w14:paraId="3E0FA783" w14:textId="77777777">
      <w:pPr>
        <w:pStyle w:val="FootnoteText"/>
        <w:spacing w:after="120"/>
        <w:rPr>
          <w:rFonts w:ascii="Times New Roman" w:hAnsi="Times New Roman" w:cs="Times New Roman"/>
          <w:i/>
          <w:iCs/>
          <w:kern w:val="0"/>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 Attachment ART-2 pp. 3-6</w:t>
      </w:r>
      <w:r w:rsidRPr="00CA55A7">
        <w:rPr>
          <w:rFonts w:ascii="Times New Roman" w:hAnsi="Times New Roman" w:cs="Times New Roman"/>
          <w:i/>
          <w:iCs/>
          <w:kern w:val="0"/>
        </w:rPr>
        <w:t>.</w:t>
      </w:r>
    </w:p>
  </w:footnote>
  <w:footnote w:id="43">
    <w:p w:rsidR="009F610E" w:rsidRPr="00CA55A7" w:rsidP="00CA55A7" w14:paraId="34DDE315" w14:textId="77777777">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 Attachment ART-1 pp. 3-6.</w:t>
      </w:r>
    </w:p>
  </w:footnote>
  <w:footnote w:id="44">
    <w:p w:rsidR="009F610E" w:rsidRPr="00CA55A7" w:rsidP="00CA55A7" w14:paraId="79C2ECEA" w14:textId="77777777">
      <w:pPr>
        <w:pStyle w:val="FootnoteText"/>
        <w:spacing w:after="120"/>
        <w:rPr>
          <w:rFonts w:ascii="Times New Roman" w:hAnsi="Times New Roman" w:cs="Times New Roman"/>
          <w:i/>
          <w:iCs/>
          <w:kern w:val="0"/>
        </w:rPr>
      </w:pPr>
      <w:r w:rsidRPr="00CA55A7">
        <w:rPr>
          <w:rStyle w:val="FootnoteReference"/>
          <w:rFonts w:ascii="Times New Roman" w:hAnsi="Times New Roman" w:cs="Times New Roman"/>
          <w:kern w:val="0"/>
        </w:rPr>
        <w:footnoteRef/>
      </w:r>
      <w:r w:rsidRPr="00CA55A7">
        <w:rPr>
          <w:rFonts w:ascii="Times New Roman" w:hAnsi="Times New Roman" w:cs="Times New Roman"/>
          <w:i/>
          <w:iCs/>
          <w:kern w:val="0"/>
        </w:rPr>
        <w:t xml:space="preserve"> Id. </w:t>
      </w:r>
      <w:r w:rsidRPr="00CA55A7">
        <w:rPr>
          <w:rFonts w:ascii="Times New Roman" w:hAnsi="Times New Roman" w:cs="Times New Roman"/>
          <w:kern w:val="0"/>
        </w:rPr>
        <w:t>at 6:10-9:2; Attachment ART-2 pp. 3-6</w:t>
      </w:r>
      <w:r w:rsidRPr="00CA55A7">
        <w:rPr>
          <w:rFonts w:ascii="Times New Roman" w:hAnsi="Times New Roman" w:cs="Times New Roman"/>
          <w:i/>
          <w:iCs/>
          <w:kern w:val="0"/>
        </w:rPr>
        <w:t>.</w:t>
      </w:r>
    </w:p>
  </w:footnote>
  <w:footnote w:id="45">
    <w:p w:rsidR="0097571D" w:rsidRPr="00CA55A7" w:rsidP="00CA55A7" w14:paraId="461D7688" w14:textId="714E3166">
      <w:pPr>
        <w:spacing w:after="120" w:line="240" w:lineRule="auto"/>
        <w:rPr>
          <w:rFonts w:ascii="Times New Roman" w:hAnsi="Times New Roman" w:cs="Times New Roman"/>
          <w:kern w:val="0"/>
          <w:sz w:val="20"/>
          <w:szCs w:val="20"/>
        </w:rPr>
      </w:pPr>
      <w:r w:rsidRPr="00CA55A7">
        <w:rPr>
          <w:rStyle w:val="FootnoteReference"/>
          <w:rFonts w:ascii="Times New Roman" w:hAnsi="Times New Roman" w:cs="Times New Roman"/>
          <w:kern w:val="0"/>
          <w:sz w:val="20"/>
          <w:szCs w:val="20"/>
        </w:rPr>
        <w:footnoteRef/>
      </w:r>
      <w:r w:rsidRPr="00CA55A7" w:rsidR="00B72BD6">
        <w:rPr>
          <w:rFonts w:ascii="Times New Roman" w:hAnsi="Times New Roman" w:cs="Times New Roman"/>
          <w:kern w:val="0"/>
          <w:sz w:val="20"/>
          <w:szCs w:val="20"/>
        </w:rPr>
        <w:t xml:space="preserve"> </w:t>
      </w:r>
      <w:r w:rsidRPr="00CA55A7" w:rsidR="00B72BD6">
        <w:rPr>
          <w:rFonts w:ascii="Times New Roman" w:hAnsi="Times New Roman" w:cs="Times New Roman"/>
          <w:i/>
          <w:iCs/>
          <w:kern w:val="0"/>
          <w:sz w:val="20"/>
          <w:szCs w:val="20"/>
        </w:rPr>
        <w:t>In the Matter of the Annual Report Required by R.C. 4933.123 Regarding Service Disconnections for Nonpayment</w:t>
      </w:r>
      <w:r w:rsidRPr="00CA55A7" w:rsidR="00B72BD6">
        <w:rPr>
          <w:rFonts w:ascii="Times New Roman" w:hAnsi="Times New Roman" w:cs="Times New Roman"/>
          <w:kern w:val="0"/>
          <w:sz w:val="20"/>
          <w:szCs w:val="20"/>
        </w:rPr>
        <w:t>, Case No. 23-532-GE-UNC, Report Of Service Disconnections For Nonpayment Of Ohio Power Company (June 30, 2023)</w:t>
      </w:r>
      <w:r w:rsidRPr="00CA55A7" w:rsidR="00812C43">
        <w:rPr>
          <w:rFonts w:ascii="Times New Roman" w:hAnsi="Times New Roman" w:cs="Times New Roman"/>
          <w:kern w:val="0"/>
          <w:sz w:val="20"/>
          <w:szCs w:val="20"/>
        </w:rPr>
        <w:t xml:space="preserve">;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xml:space="preserve">, Case No. 23-532-GE-UNC, Report Of Service Disconnections For Nonpayment Of Ohio Power Company (June 30, 2023);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xml:space="preserve">, Case No. 22-513-GE-UNC, Report Of Service Disconnections For Nonpayment Of Ohio Power Company (June 30, 2022);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xml:space="preserve">, Case No. 21-548-GE-UNC, Report Of Service Disconnections For Nonpayment Of Ohio Power Company (June 11, 2021);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xml:space="preserve">, Case No. 20-937-GE-UNC, Report Of Service Disconnections For Nonpayment Of Ohio Power Company (June 16, 2020);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xml:space="preserve">, Case No. 19-974-GE-UNC, Report Of Service Disconnections For Nonpayment Of Ohio Power Company (June 11, 2019); </w:t>
      </w:r>
      <w:r w:rsidRPr="00CA55A7" w:rsidR="00812C43">
        <w:rPr>
          <w:rFonts w:ascii="Times New Roman" w:hAnsi="Times New Roman" w:cs="Times New Roman"/>
          <w:i/>
          <w:iCs/>
          <w:kern w:val="0"/>
          <w:sz w:val="20"/>
          <w:szCs w:val="20"/>
        </w:rPr>
        <w:t>In the Matter of the Annual Report Required by R.C. 4933.123 Regarding Service Disconnections for Nonpayment</w:t>
      </w:r>
      <w:r w:rsidRPr="00CA55A7" w:rsidR="00812C43">
        <w:rPr>
          <w:rFonts w:ascii="Times New Roman" w:hAnsi="Times New Roman" w:cs="Times New Roman"/>
          <w:kern w:val="0"/>
          <w:sz w:val="20"/>
          <w:szCs w:val="20"/>
        </w:rPr>
        <w:t>, Case No. 18-757-GE-UNC, Report Of Service Disconnections For Nonpayment Of Ohio Power Company (July 5, 2018).</w:t>
      </w:r>
    </w:p>
  </w:footnote>
  <w:footnote w:id="46">
    <w:p w:rsidR="000C0BFA" w:rsidRPr="00CA55A7" w:rsidP="00CA55A7" w14:paraId="7C38F9D1" w14:textId="2000058B">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sidR="00C067A4">
        <w:rPr>
          <w:rFonts w:ascii="Times New Roman" w:hAnsi="Times New Roman" w:cs="Times New Roman"/>
          <w:kern w:val="0"/>
        </w:rPr>
        <w:t>Order at ¶ 133</w:t>
      </w:r>
      <w:r w:rsidRPr="00CA55A7" w:rsidR="00350741">
        <w:rPr>
          <w:rFonts w:ascii="Times New Roman" w:hAnsi="Times New Roman" w:cs="Times New Roman"/>
          <w:kern w:val="0"/>
        </w:rPr>
        <w:t xml:space="preserve">; </w:t>
      </w:r>
      <w:r w:rsidRPr="00CA55A7" w:rsidR="0007055B">
        <w:rPr>
          <w:rFonts w:ascii="Times New Roman" w:eastAsia="Calibri" w:hAnsi="Times New Roman" w:cs="Times New Roman"/>
          <w:i/>
          <w:iCs/>
          <w:kern w:val="0"/>
          <w:lang w:eastAsia="zh-CN"/>
          <w14:ligatures w14:val="none"/>
        </w:rPr>
        <w:t>In the Matter of the Application of Ohio Power Company for Authority to Establish a Standard Service Offer</w:t>
      </w:r>
      <w:r w:rsidRPr="00CA55A7" w:rsidR="0007055B">
        <w:rPr>
          <w:rFonts w:ascii="Times New Roman" w:eastAsia="Calibri" w:hAnsi="Times New Roman" w:cs="Times New Roman"/>
          <w:kern w:val="0"/>
          <w:lang w:eastAsia="zh-CN"/>
          <w14:ligatures w14:val="none"/>
        </w:rPr>
        <w:t>, Case Nos. 23-23-EL-SSO</w:t>
      </w:r>
      <w:r w:rsidRPr="00CA55A7" w:rsidR="00C71BBB">
        <w:rPr>
          <w:rFonts w:ascii="Times New Roman" w:eastAsia="Calibri" w:hAnsi="Times New Roman" w:cs="Times New Roman"/>
          <w:kern w:val="0"/>
          <w:lang w:eastAsia="zh-CN"/>
          <w14:ligatures w14:val="none"/>
        </w:rPr>
        <w:t>,</w:t>
      </w:r>
      <w:r w:rsidRPr="00CA55A7" w:rsidR="0007055B">
        <w:rPr>
          <w:rFonts w:ascii="Times New Roman" w:eastAsia="Calibri" w:hAnsi="Times New Roman" w:cs="Times New Roman"/>
          <w:kern w:val="0"/>
          <w:lang w:eastAsia="zh-CN"/>
          <w14:ligatures w14:val="none"/>
        </w:rPr>
        <w:t xml:space="preserve"> et al., Initial Post Hearing Brief </w:t>
      </w:r>
      <w:r w:rsidRPr="00CA55A7" w:rsidR="003C22C4">
        <w:rPr>
          <w:rFonts w:ascii="Times New Roman" w:eastAsia="Calibri" w:hAnsi="Times New Roman" w:cs="Times New Roman"/>
          <w:kern w:val="0"/>
          <w:lang w:eastAsia="zh-CN"/>
          <w14:ligatures w14:val="none"/>
        </w:rPr>
        <w:t>i</w:t>
      </w:r>
      <w:r w:rsidRPr="00CA55A7" w:rsidR="0007055B">
        <w:rPr>
          <w:rFonts w:ascii="Times New Roman" w:eastAsia="Calibri" w:hAnsi="Times New Roman" w:cs="Times New Roman"/>
          <w:kern w:val="0"/>
          <w:lang w:eastAsia="zh-CN"/>
          <w14:ligatures w14:val="none"/>
        </w:rPr>
        <w:t>n Support of Stipulation and Recommendation (Dec. 1, 2023)</w:t>
      </w:r>
      <w:r w:rsidRPr="00CA55A7" w:rsidR="0007055B">
        <w:rPr>
          <w:rFonts w:ascii="Times New Roman" w:hAnsi="Times New Roman" w:cs="Times New Roman"/>
          <w:kern w:val="0"/>
        </w:rPr>
        <w:t xml:space="preserve"> at 78.</w:t>
      </w:r>
    </w:p>
  </w:footnote>
  <w:footnote w:id="47">
    <w:p w:rsidR="00FF223A" w:rsidRPr="00CA55A7" w:rsidP="00CA55A7" w14:paraId="0F966197" w14:textId="1484C818">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135.</w:t>
      </w:r>
    </w:p>
  </w:footnote>
  <w:footnote w:id="48">
    <w:p w:rsidR="00DC3539" w:rsidRPr="00CA55A7" w:rsidP="00CA55A7" w14:paraId="4D5D502C" w14:textId="02F45E08">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w:t>
      </w:r>
      <w:r w:rsidRPr="00CA55A7" w:rsidR="00150BC7">
        <w:rPr>
          <w:rFonts w:ascii="Times New Roman" w:hAnsi="Times New Roman" w:cs="Times New Roman"/>
          <w:kern w:val="0"/>
        </w:rPr>
        <w:t xml:space="preserve"> </w:t>
      </w:r>
      <w:r w:rsidRPr="00CA55A7">
        <w:rPr>
          <w:rFonts w:ascii="Times New Roman" w:hAnsi="Times New Roman" w:cs="Times New Roman"/>
          <w:kern w:val="0"/>
        </w:rPr>
        <w:t>136.</w:t>
      </w:r>
    </w:p>
  </w:footnote>
  <w:footnote w:id="49">
    <w:p w:rsidR="00DC3539" w:rsidRPr="00CA55A7" w:rsidP="00CA55A7" w14:paraId="0A1CEDA7" w14:textId="6D9CFB5A">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hAnsi="Times New Roman" w:cs="Times New Roman"/>
          <w:i/>
          <w:iCs/>
          <w:kern w:val="0"/>
        </w:rPr>
        <w:t>Id.</w:t>
      </w:r>
    </w:p>
  </w:footnote>
  <w:footnote w:id="50">
    <w:p w:rsidR="00350741" w:rsidRPr="00CA55A7" w:rsidP="00CA55A7" w14:paraId="5C2E1C96" w14:textId="1C7B2C75">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Order at ¶ 136.</w:t>
      </w:r>
    </w:p>
  </w:footnote>
  <w:footnote w:id="51">
    <w:p w:rsidR="00350741" w:rsidRPr="00CA55A7" w:rsidP="00CA55A7" w14:paraId="6EA6A294" w14:textId="188DAC25">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w:t>
      </w:r>
      <w:r w:rsidRPr="00CA55A7">
        <w:rPr>
          <w:rFonts w:ascii="Times New Roman" w:eastAsia="Times New Roman" w:hAnsi="Times New Roman" w:cs="Times New Roman"/>
          <w:kern w:val="0"/>
          <w14:ligatures w14:val="none"/>
        </w:rPr>
        <w:t>Tinkham Testimony 6:10-9:2.</w:t>
      </w:r>
    </w:p>
  </w:footnote>
  <w:footnote w:id="52">
    <w:p w:rsidR="00123E07" w:rsidRPr="00CA55A7" w:rsidP="00CA55A7" w14:paraId="4C07DF6C" w14:textId="5B52C6BD">
      <w:pPr>
        <w:pStyle w:val="FootnoteText"/>
        <w:spacing w:after="120"/>
        <w:rPr>
          <w:rFonts w:ascii="Times New Roman" w:hAnsi="Times New Roman" w:cs="Times New Roman"/>
          <w:kern w:val="0"/>
        </w:rPr>
      </w:pPr>
      <w:r w:rsidRPr="00CA55A7">
        <w:rPr>
          <w:rStyle w:val="FootnoteReference"/>
          <w:rFonts w:ascii="Times New Roman" w:hAnsi="Times New Roman" w:cs="Times New Roman"/>
          <w:kern w:val="0"/>
        </w:rPr>
        <w:footnoteRef/>
      </w:r>
      <w:r w:rsidRPr="00CA55A7">
        <w:rPr>
          <w:rFonts w:ascii="Times New Roman" w:hAnsi="Times New Roman" w:cs="Times New Roman"/>
          <w:kern w:val="0"/>
        </w:rPr>
        <w:t xml:space="preserve"> R.C. 4928.02(A).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0A4592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7CD214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23AE" w14:paraId="6AF5B9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CA1450"/>
    <w:multiLevelType w:val="hybridMultilevel"/>
    <w:tmpl w:val="601455E0"/>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18"/>
    <w:rsid w:val="00006C46"/>
    <w:rsid w:val="00021311"/>
    <w:rsid w:val="00023A5E"/>
    <w:rsid w:val="0003766B"/>
    <w:rsid w:val="00045DAE"/>
    <w:rsid w:val="000511A2"/>
    <w:rsid w:val="000540BE"/>
    <w:rsid w:val="00063F79"/>
    <w:rsid w:val="0007055B"/>
    <w:rsid w:val="00072E41"/>
    <w:rsid w:val="00073261"/>
    <w:rsid w:val="000739E5"/>
    <w:rsid w:val="0007450F"/>
    <w:rsid w:val="000831D7"/>
    <w:rsid w:val="0009582B"/>
    <w:rsid w:val="000A65F6"/>
    <w:rsid w:val="000B19B2"/>
    <w:rsid w:val="000C0BFA"/>
    <w:rsid w:val="000C3AE6"/>
    <w:rsid w:val="000D28AD"/>
    <w:rsid w:val="000D2EC2"/>
    <w:rsid w:val="000D42B6"/>
    <w:rsid w:val="000F1DCF"/>
    <w:rsid w:val="000F4B2E"/>
    <w:rsid w:val="001013E7"/>
    <w:rsid w:val="00123E07"/>
    <w:rsid w:val="001327EA"/>
    <w:rsid w:val="00141B31"/>
    <w:rsid w:val="0014286B"/>
    <w:rsid w:val="0014467C"/>
    <w:rsid w:val="00144FC5"/>
    <w:rsid w:val="00150BC7"/>
    <w:rsid w:val="00157F96"/>
    <w:rsid w:val="0016189C"/>
    <w:rsid w:val="001714DB"/>
    <w:rsid w:val="00177131"/>
    <w:rsid w:val="00177338"/>
    <w:rsid w:val="00185101"/>
    <w:rsid w:val="00191F8F"/>
    <w:rsid w:val="0019249F"/>
    <w:rsid w:val="001B08F6"/>
    <w:rsid w:val="001B2160"/>
    <w:rsid w:val="001D2B17"/>
    <w:rsid w:val="001D6F4A"/>
    <w:rsid w:val="001E0FDF"/>
    <w:rsid w:val="001E1C19"/>
    <w:rsid w:val="00205E48"/>
    <w:rsid w:val="00210030"/>
    <w:rsid w:val="002212F4"/>
    <w:rsid w:val="00225769"/>
    <w:rsid w:val="002353D7"/>
    <w:rsid w:val="002365F9"/>
    <w:rsid w:val="0024224C"/>
    <w:rsid w:val="00244967"/>
    <w:rsid w:val="0025479B"/>
    <w:rsid w:val="00255BFA"/>
    <w:rsid w:val="002746CB"/>
    <w:rsid w:val="00274E0F"/>
    <w:rsid w:val="0028014E"/>
    <w:rsid w:val="002846A3"/>
    <w:rsid w:val="00292CAA"/>
    <w:rsid w:val="00296D21"/>
    <w:rsid w:val="002A0419"/>
    <w:rsid w:val="002A4F9E"/>
    <w:rsid w:val="002B61A4"/>
    <w:rsid w:val="002B6528"/>
    <w:rsid w:val="002C0AD5"/>
    <w:rsid w:val="002C1CEA"/>
    <w:rsid w:val="002C20C1"/>
    <w:rsid w:val="002C427E"/>
    <w:rsid w:val="002C73DD"/>
    <w:rsid w:val="002C7742"/>
    <w:rsid w:val="002D0888"/>
    <w:rsid w:val="002D39F1"/>
    <w:rsid w:val="002E2323"/>
    <w:rsid w:val="002E5077"/>
    <w:rsid w:val="002E7DC8"/>
    <w:rsid w:val="002F40C1"/>
    <w:rsid w:val="002F6E4D"/>
    <w:rsid w:val="00301FF7"/>
    <w:rsid w:val="003029E9"/>
    <w:rsid w:val="003113BC"/>
    <w:rsid w:val="00344DB5"/>
    <w:rsid w:val="00346460"/>
    <w:rsid w:val="00350741"/>
    <w:rsid w:val="00352A56"/>
    <w:rsid w:val="003551C5"/>
    <w:rsid w:val="00356246"/>
    <w:rsid w:val="00360717"/>
    <w:rsid w:val="00360D8D"/>
    <w:rsid w:val="003733AA"/>
    <w:rsid w:val="003972D0"/>
    <w:rsid w:val="00397E02"/>
    <w:rsid w:val="003A00CB"/>
    <w:rsid w:val="003A30F4"/>
    <w:rsid w:val="003A3550"/>
    <w:rsid w:val="003B3AC1"/>
    <w:rsid w:val="003B52B3"/>
    <w:rsid w:val="003C1DB0"/>
    <w:rsid w:val="003C22C4"/>
    <w:rsid w:val="003D246A"/>
    <w:rsid w:val="003E438C"/>
    <w:rsid w:val="003E4827"/>
    <w:rsid w:val="003F5979"/>
    <w:rsid w:val="003F7C2C"/>
    <w:rsid w:val="004028CC"/>
    <w:rsid w:val="00425E31"/>
    <w:rsid w:val="0043723F"/>
    <w:rsid w:val="0044167C"/>
    <w:rsid w:val="0044225F"/>
    <w:rsid w:val="00454EF1"/>
    <w:rsid w:val="00457693"/>
    <w:rsid w:val="004748A9"/>
    <w:rsid w:val="00490355"/>
    <w:rsid w:val="004A4569"/>
    <w:rsid w:val="004A47ED"/>
    <w:rsid w:val="004B1B40"/>
    <w:rsid w:val="004B46DF"/>
    <w:rsid w:val="004B7A83"/>
    <w:rsid w:val="004C28F4"/>
    <w:rsid w:val="004C7D13"/>
    <w:rsid w:val="004D3DA4"/>
    <w:rsid w:val="00501A4A"/>
    <w:rsid w:val="00510FC8"/>
    <w:rsid w:val="00526633"/>
    <w:rsid w:val="00527157"/>
    <w:rsid w:val="00527CF9"/>
    <w:rsid w:val="00534CA4"/>
    <w:rsid w:val="00536EDC"/>
    <w:rsid w:val="00550E1E"/>
    <w:rsid w:val="0057143E"/>
    <w:rsid w:val="00574B0A"/>
    <w:rsid w:val="00582AA0"/>
    <w:rsid w:val="005830F0"/>
    <w:rsid w:val="00596CFC"/>
    <w:rsid w:val="005A0CEF"/>
    <w:rsid w:val="005B4F52"/>
    <w:rsid w:val="005B6F6B"/>
    <w:rsid w:val="005C100A"/>
    <w:rsid w:val="005C757E"/>
    <w:rsid w:val="00602A90"/>
    <w:rsid w:val="00606152"/>
    <w:rsid w:val="006222DA"/>
    <w:rsid w:val="00624872"/>
    <w:rsid w:val="006248F2"/>
    <w:rsid w:val="00631212"/>
    <w:rsid w:val="00635263"/>
    <w:rsid w:val="0063734D"/>
    <w:rsid w:val="00640914"/>
    <w:rsid w:val="00644763"/>
    <w:rsid w:val="00652CC3"/>
    <w:rsid w:val="00665D8D"/>
    <w:rsid w:val="00670A32"/>
    <w:rsid w:val="006758FC"/>
    <w:rsid w:val="00685CCB"/>
    <w:rsid w:val="00686AB4"/>
    <w:rsid w:val="006A0F34"/>
    <w:rsid w:val="006A4EEC"/>
    <w:rsid w:val="006B1F3F"/>
    <w:rsid w:val="006B3099"/>
    <w:rsid w:val="006C3232"/>
    <w:rsid w:val="006C59BD"/>
    <w:rsid w:val="006C708F"/>
    <w:rsid w:val="006D5AAE"/>
    <w:rsid w:val="007154A5"/>
    <w:rsid w:val="007167C5"/>
    <w:rsid w:val="00720B19"/>
    <w:rsid w:val="00724AB6"/>
    <w:rsid w:val="007301EB"/>
    <w:rsid w:val="00741FE8"/>
    <w:rsid w:val="00742C33"/>
    <w:rsid w:val="00774C21"/>
    <w:rsid w:val="007A29AC"/>
    <w:rsid w:val="007A6B18"/>
    <w:rsid w:val="007C0CBD"/>
    <w:rsid w:val="007E1473"/>
    <w:rsid w:val="007E16ED"/>
    <w:rsid w:val="007F1EAD"/>
    <w:rsid w:val="008050B8"/>
    <w:rsid w:val="00812C43"/>
    <w:rsid w:val="00820D48"/>
    <w:rsid w:val="00822BB0"/>
    <w:rsid w:val="008245D9"/>
    <w:rsid w:val="00824C0F"/>
    <w:rsid w:val="008264D5"/>
    <w:rsid w:val="00830A04"/>
    <w:rsid w:val="008346E8"/>
    <w:rsid w:val="00840D21"/>
    <w:rsid w:val="008471C1"/>
    <w:rsid w:val="008532E8"/>
    <w:rsid w:val="00871A65"/>
    <w:rsid w:val="008741B4"/>
    <w:rsid w:val="00884B92"/>
    <w:rsid w:val="0088686D"/>
    <w:rsid w:val="00893774"/>
    <w:rsid w:val="008A3149"/>
    <w:rsid w:val="008A59B4"/>
    <w:rsid w:val="008B5615"/>
    <w:rsid w:val="008C0C4E"/>
    <w:rsid w:val="008C1928"/>
    <w:rsid w:val="008C46CD"/>
    <w:rsid w:val="008E3759"/>
    <w:rsid w:val="00901FC5"/>
    <w:rsid w:val="0090537A"/>
    <w:rsid w:val="00922232"/>
    <w:rsid w:val="009371B7"/>
    <w:rsid w:val="0094582B"/>
    <w:rsid w:val="00955C5B"/>
    <w:rsid w:val="00974892"/>
    <w:rsid w:val="0097571D"/>
    <w:rsid w:val="00993DA0"/>
    <w:rsid w:val="00994543"/>
    <w:rsid w:val="00996F88"/>
    <w:rsid w:val="009971E4"/>
    <w:rsid w:val="009B6130"/>
    <w:rsid w:val="009B6158"/>
    <w:rsid w:val="009C039C"/>
    <w:rsid w:val="009C6C65"/>
    <w:rsid w:val="009E4649"/>
    <w:rsid w:val="009E4731"/>
    <w:rsid w:val="009F610E"/>
    <w:rsid w:val="00A06C04"/>
    <w:rsid w:val="00A1537C"/>
    <w:rsid w:val="00A16281"/>
    <w:rsid w:val="00A21C0B"/>
    <w:rsid w:val="00A24BE9"/>
    <w:rsid w:val="00A27270"/>
    <w:rsid w:val="00A50CA0"/>
    <w:rsid w:val="00A73FF5"/>
    <w:rsid w:val="00A77BC7"/>
    <w:rsid w:val="00A77D2F"/>
    <w:rsid w:val="00A8430F"/>
    <w:rsid w:val="00A85695"/>
    <w:rsid w:val="00AA1E19"/>
    <w:rsid w:val="00AB0AA5"/>
    <w:rsid w:val="00AB4D62"/>
    <w:rsid w:val="00AC5F38"/>
    <w:rsid w:val="00AD1C01"/>
    <w:rsid w:val="00AE6547"/>
    <w:rsid w:val="00AF0E01"/>
    <w:rsid w:val="00B03B67"/>
    <w:rsid w:val="00B04BD0"/>
    <w:rsid w:val="00B04D34"/>
    <w:rsid w:val="00B12DDA"/>
    <w:rsid w:val="00B13FB0"/>
    <w:rsid w:val="00B165B5"/>
    <w:rsid w:val="00B30C90"/>
    <w:rsid w:val="00B42E26"/>
    <w:rsid w:val="00B504FB"/>
    <w:rsid w:val="00B522B2"/>
    <w:rsid w:val="00B617FB"/>
    <w:rsid w:val="00B639DE"/>
    <w:rsid w:val="00B678F7"/>
    <w:rsid w:val="00B72498"/>
    <w:rsid w:val="00B72BD6"/>
    <w:rsid w:val="00B77B40"/>
    <w:rsid w:val="00B83367"/>
    <w:rsid w:val="00B8688E"/>
    <w:rsid w:val="00B956DF"/>
    <w:rsid w:val="00B96881"/>
    <w:rsid w:val="00BC0FEA"/>
    <w:rsid w:val="00BC20CD"/>
    <w:rsid w:val="00BC2709"/>
    <w:rsid w:val="00BC32C7"/>
    <w:rsid w:val="00BC61AF"/>
    <w:rsid w:val="00BD3164"/>
    <w:rsid w:val="00BD34CC"/>
    <w:rsid w:val="00BF0E18"/>
    <w:rsid w:val="00BF13E4"/>
    <w:rsid w:val="00BF3AF2"/>
    <w:rsid w:val="00BF5F1A"/>
    <w:rsid w:val="00C067A4"/>
    <w:rsid w:val="00C348C9"/>
    <w:rsid w:val="00C431E2"/>
    <w:rsid w:val="00C5462C"/>
    <w:rsid w:val="00C56EAB"/>
    <w:rsid w:val="00C5742F"/>
    <w:rsid w:val="00C70572"/>
    <w:rsid w:val="00C71BBB"/>
    <w:rsid w:val="00C871B4"/>
    <w:rsid w:val="00C94B44"/>
    <w:rsid w:val="00CA55A7"/>
    <w:rsid w:val="00CB1AB2"/>
    <w:rsid w:val="00CC3D7D"/>
    <w:rsid w:val="00CC7501"/>
    <w:rsid w:val="00CF14A4"/>
    <w:rsid w:val="00CF3751"/>
    <w:rsid w:val="00CF6012"/>
    <w:rsid w:val="00D02360"/>
    <w:rsid w:val="00D42254"/>
    <w:rsid w:val="00D62BDA"/>
    <w:rsid w:val="00D6349E"/>
    <w:rsid w:val="00DB41D3"/>
    <w:rsid w:val="00DC3539"/>
    <w:rsid w:val="00DD4010"/>
    <w:rsid w:val="00DD635D"/>
    <w:rsid w:val="00DE6591"/>
    <w:rsid w:val="00DF42AF"/>
    <w:rsid w:val="00E0013E"/>
    <w:rsid w:val="00E02045"/>
    <w:rsid w:val="00E023C1"/>
    <w:rsid w:val="00E057E2"/>
    <w:rsid w:val="00E11F8D"/>
    <w:rsid w:val="00E20ADA"/>
    <w:rsid w:val="00E220CF"/>
    <w:rsid w:val="00E25D65"/>
    <w:rsid w:val="00E31452"/>
    <w:rsid w:val="00E34758"/>
    <w:rsid w:val="00E423AE"/>
    <w:rsid w:val="00E44371"/>
    <w:rsid w:val="00E454C1"/>
    <w:rsid w:val="00E47AEC"/>
    <w:rsid w:val="00E546AF"/>
    <w:rsid w:val="00E56EB9"/>
    <w:rsid w:val="00E743A5"/>
    <w:rsid w:val="00E764AE"/>
    <w:rsid w:val="00EB4D19"/>
    <w:rsid w:val="00EC7CD7"/>
    <w:rsid w:val="00ED335B"/>
    <w:rsid w:val="00ED35CE"/>
    <w:rsid w:val="00EF4FD9"/>
    <w:rsid w:val="00EF59BE"/>
    <w:rsid w:val="00F02354"/>
    <w:rsid w:val="00F3198E"/>
    <w:rsid w:val="00F440DF"/>
    <w:rsid w:val="00F470D6"/>
    <w:rsid w:val="00F62352"/>
    <w:rsid w:val="00FA3CA1"/>
    <w:rsid w:val="00FA47CE"/>
    <w:rsid w:val="00FB1664"/>
    <w:rsid w:val="00FB5898"/>
    <w:rsid w:val="00FD296D"/>
    <w:rsid w:val="00FD725F"/>
    <w:rsid w:val="00FF19C6"/>
    <w:rsid w:val="00FF223A"/>
    <w:rsid w:val="00FF49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B2A175"/>
  <w15:chartTrackingRefBased/>
  <w15:docId w15:val="{A0A9EC28-0A8B-4D9D-980B-48053805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E5"/>
  </w:style>
  <w:style w:type="paragraph" w:styleId="Heading1">
    <w:name w:val="heading 1"/>
    <w:basedOn w:val="ListParagraph"/>
    <w:next w:val="Normal"/>
    <w:link w:val="Heading1Char"/>
    <w:uiPriority w:val="9"/>
    <w:qFormat/>
    <w:rsid w:val="000739E5"/>
    <w:pPr>
      <w:keepNext/>
      <w:numPr>
        <w:numId w:val="1"/>
      </w:numPr>
      <w:spacing w:after="240" w:line="240" w:lineRule="auto"/>
      <w:ind w:left="720"/>
      <w:outlineLvl w:val="0"/>
    </w:pPr>
    <w:rPr>
      <w:rFonts w:ascii="Times New Roman" w:eastAsia="Times New Roman" w:hAnsi="Times New Roman" w:cs="Times New Roman"/>
      <w:b/>
      <w:caps/>
      <w:kern w:val="0"/>
      <w:sz w:val="24"/>
      <w:szCs w:val="24"/>
      <w14:ligatures w14:val="none"/>
    </w:rPr>
  </w:style>
  <w:style w:type="paragraph" w:styleId="Heading2">
    <w:name w:val="heading 2"/>
    <w:basedOn w:val="Normal"/>
    <w:next w:val="Normal"/>
    <w:link w:val="Heading2Char"/>
    <w:uiPriority w:val="9"/>
    <w:unhideWhenUsed/>
    <w:qFormat/>
    <w:rsid w:val="004C7D13"/>
    <w:pPr>
      <w:spacing w:after="240" w:line="240" w:lineRule="auto"/>
      <w:ind w:left="720"/>
      <w:outlineLvl w:val="1"/>
    </w:pPr>
    <w:rPr>
      <w:rFonts w:ascii="Times New Roman" w:eastAsia="Calibri" w:hAnsi="Times New Roman" w:cs="Times New Roman"/>
      <w:b/>
      <w:bCs/>
      <w:kern w:val="0"/>
      <w:sz w:val="24"/>
      <w:szCs w:val="24"/>
      <w14:ligatures w14:val="none"/>
    </w:rPr>
  </w:style>
  <w:style w:type="paragraph" w:styleId="Heading3">
    <w:name w:val="heading 3"/>
    <w:basedOn w:val="Normal"/>
    <w:next w:val="Normal"/>
    <w:link w:val="Heading3Char"/>
    <w:uiPriority w:val="9"/>
    <w:semiHidden/>
    <w:unhideWhenUsed/>
    <w:qFormat/>
    <w:rsid w:val="007A6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E5"/>
    <w:rPr>
      <w:rFonts w:ascii="Times New Roman" w:eastAsia="Times New Roman" w:hAnsi="Times New Roman" w:cs="Times New Roman"/>
      <w:b/>
      <w:caps/>
      <w:kern w:val="0"/>
      <w:sz w:val="24"/>
      <w:szCs w:val="24"/>
      <w14:ligatures w14:val="none"/>
    </w:rPr>
  </w:style>
  <w:style w:type="character" w:customStyle="1" w:styleId="Heading2Char">
    <w:name w:val="Heading 2 Char"/>
    <w:basedOn w:val="DefaultParagraphFont"/>
    <w:link w:val="Heading2"/>
    <w:uiPriority w:val="9"/>
    <w:rsid w:val="004C7D13"/>
    <w:rPr>
      <w:rFonts w:ascii="Times New Roman" w:eastAsia="Calibri" w:hAnsi="Times New Roman" w:cs="Times New Roman"/>
      <w:b/>
      <w:bCs/>
      <w:kern w:val="0"/>
      <w:sz w:val="24"/>
      <w:szCs w:val="24"/>
      <w14:ligatures w14:val="none"/>
    </w:rPr>
  </w:style>
  <w:style w:type="character" w:customStyle="1" w:styleId="Heading3Char">
    <w:name w:val="Heading 3 Char"/>
    <w:basedOn w:val="DefaultParagraphFont"/>
    <w:link w:val="Heading3"/>
    <w:uiPriority w:val="9"/>
    <w:semiHidden/>
    <w:rsid w:val="007A6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B18"/>
    <w:rPr>
      <w:rFonts w:eastAsiaTheme="majorEastAsia" w:cstheme="majorBidi"/>
      <w:color w:val="272727" w:themeColor="text1" w:themeTint="D8"/>
    </w:rPr>
  </w:style>
  <w:style w:type="paragraph" w:styleId="Title">
    <w:name w:val="Title"/>
    <w:basedOn w:val="Normal"/>
    <w:next w:val="Normal"/>
    <w:link w:val="TitleChar"/>
    <w:uiPriority w:val="10"/>
    <w:qFormat/>
    <w:rsid w:val="007A6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B18"/>
    <w:pPr>
      <w:spacing w:before="160"/>
      <w:jc w:val="center"/>
    </w:pPr>
    <w:rPr>
      <w:i/>
      <w:iCs/>
      <w:color w:val="404040" w:themeColor="text1" w:themeTint="BF"/>
    </w:rPr>
  </w:style>
  <w:style w:type="character" w:customStyle="1" w:styleId="QuoteChar">
    <w:name w:val="Quote Char"/>
    <w:basedOn w:val="DefaultParagraphFont"/>
    <w:link w:val="Quote"/>
    <w:uiPriority w:val="29"/>
    <w:rsid w:val="007A6B18"/>
    <w:rPr>
      <w:i/>
      <w:iCs/>
      <w:color w:val="404040" w:themeColor="text1" w:themeTint="BF"/>
    </w:rPr>
  </w:style>
  <w:style w:type="paragraph" w:styleId="ListParagraph">
    <w:name w:val="List Paragraph"/>
    <w:basedOn w:val="Normal"/>
    <w:uiPriority w:val="34"/>
    <w:qFormat/>
    <w:rsid w:val="007A6B18"/>
    <w:pPr>
      <w:ind w:left="720"/>
      <w:contextualSpacing/>
    </w:pPr>
  </w:style>
  <w:style w:type="character" w:styleId="IntenseEmphasis">
    <w:name w:val="Intense Emphasis"/>
    <w:basedOn w:val="DefaultParagraphFont"/>
    <w:uiPriority w:val="21"/>
    <w:qFormat/>
    <w:rsid w:val="007A6B18"/>
    <w:rPr>
      <w:i/>
      <w:iCs/>
      <w:color w:val="0F4761" w:themeColor="accent1" w:themeShade="BF"/>
    </w:rPr>
  </w:style>
  <w:style w:type="paragraph" w:styleId="IntenseQuote">
    <w:name w:val="Intense Quote"/>
    <w:basedOn w:val="Normal"/>
    <w:next w:val="Normal"/>
    <w:link w:val="IntenseQuoteChar"/>
    <w:uiPriority w:val="30"/>
    <w:qFormat/>
    <w:rsid w:val="007A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B18"/>
    <w:rPr>
      <w:i/>
      <w:iCs/>
      <w:color w:val="0F4761" w:themeColor="accent1" w:themeShade="BF"/>
    </w:rPr>
  </w:style>
  <w:style w:type="character" w:styleId="IntenseReference">
    <w:name w:val="Intense Reference"/>
    <w:basedOn w:val="DefaultParagraphFont"/>
    <w:uiPriority w:val="32"/>
    <w:qFormat/>
    <w:rsid w:val="007A6B18"/>
    <w:rPr>
      <w:b/>
      <w:bCs/>
      <w:smallCaps/>
      <w:color w:val="0F4761" w:themeColor="accent1" w:themeShade="BF"/>
      <w:spacing w:val="5"/>
    </w:rPr>
  </w:style>
  <w:style w:type="paragraph" w:styleId="FootnoteText">
    <w:name w:val="footnote text"/>
    <w:aliases w:val="ALTS FOOTNOTE,Car,Footnote Text Cha,Footnote Text Char Char,Footnote Text Char Char Char Char,Footnote Text Char1 Char Char1,Footnote Text Char1 Char Char1 Char Char Char,Footnote Text Char2,Footnote Text Char2 Char Char Char Char1,fn"/>
    <w:basedOn w:val="Normal"/>
    <w:link w:val="FootnoteTextChar"/>
    <w:uiPriority w:val="99"/>
    <w:unhideWhenUsed/>
    <w:qFormat/>
    <w:rsid w:val="007A6B18"/>
    <w:pPr>
      <w:spacing w:after="0" w:line="240" w:lineRule="auto"/>
    </w:pPr>
    <w:rPr>
      <w:sz w:val="20"/>
      <w:szCs w:val="20"/>
    </w:rPr>
  </w:style>
  <w:style w:type="character" w:customStyle="1" w:styleId="FootnoteTextChar">
    <w:name w:val="Footnote Text Char"/>
    <w:aliases w:val="ALTS FOOTNOTE Char,Car Char,Footnote Text Char Char Char,Footnote Text Char Char Char Char Char,Footnote Text Char1 Char Char1 Char,Footnote Text Char1 Char Char1 Char Char Char Char,Footnote Text Char2 Char Char Char Char1 Char"/>
    <w:basedOn w:val="DefaultParagraphFont"/>
    <w:link w:val="FootnoteText"/>
    <w:uiPriority w:val="99"/>
    <w:qFormat/>
    <w:rsid w:val="007A6B18"/>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7A6B18"/>
    <w:rPr>
      <w:vertAlign w:val="superscript"/>
    </w:rPr>
  </w:style>
  <w:style w:type="table" w:customStyle="1" w:styleId="TableGrid1">
    <w:name w:val="Table Grid1"/>
    <w:basedOn w:val="TableNormal"/>
    <w:uiPriority w:val="59"/>
    <w:rsid w:val="006B1F3F"/>
    <w:pPr>
      <w:spacing w:after="0" w:line="240" w:lineRule="auto"/>
    </w:pPr>
    <w:rPr>
      <w:rFonts w:ascii="Times New Roman" w:eastAsia="DFKai-SB" w:hAnsi="Times New Roman" w:cs="Times New Roman"/>
      <w:kern w:val="0"/>
      <w:sz w:val="24"/>
      <w:szCs w:val="24"/>
      <w:lang w:eastAsia="zh-C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semiHidden/>
    <w:unhideWhenUsed/>
    <w:rsid w:val="002D0888"/>
    <w:rPr>
      <w:color w:val="0563C1"/>
      <w:u w:val="single"/>
    </w:rPr>
  </w:style>
  <w:style w:type="character" w:styleId="Hyperlink">
    <w:name w:val="Hyperlink"/>
    <w:basedOn w:val="DefaultParagraphFont"/>
    <w:uiPriority w:val="99"/>
    <w:unhideWhenUsed/>
    <w:rsid w:val="002D0888"/>
    <w:rPr>
      <w:color w:val="467886" w:themeColor="hyperlink"/>
      <w:u w:val="single"/>
    </w:rPr>
  </w:style>
  <w:style w:type="paragraph" w:styleId="TOC1">
    <w:name w:val="toc 1"/>
    <w:basedOn w:val="Normal"/>
    <w:next w:val="Normal"/>
    <w:autoRedefine/>
    <w:uiPriority w:val="39"/>
    <w:unhideWhenUsed/>
    <w:qFormat/>
    <w:rsid w:val="00B13FB0"/>
    <w:pPr>
      <w:tabs>
        <w:tab w:val="decimal" w:leader="dot" w:pos="9360"/>
      </w:tabs>
      <w:spacing w:after="240" w:line="240" w:lineRule="auto"/>
      <w:ind w:left="720" w:hanging="720"/>
    </w:pPr>
    <w:rPr>
      <w:rFonts w:ascii="Times New Roman" w:eastAsia="Times New Roman" w:hAnsi="Times New Roman" w:cs="Times New Roman"/>
      <w:caps/>
      <w:kern w:val="0"/>
      <w:sz w:val="24"/>
      <w:szCs w:val="20"/>
      <w14:ligatures w14:val="none"/>
    </w:rPr>
  </w:style>
  <w:style w:type="paragraph" w:styleId="TOC2">
    <w:name w:val="toc 2"/>
    <w:basedOn w:val="Normal"/>
    <w:next w:val="Normal"/>
    <w:autoRedefine/>
    <w:uiPriority w:val="39"/>
    <w:unhideWhenUsed/>
    <w:qFormat/>
    <w:rsid w:val="00B13FB0"/>
    <w:pPr>
      <w:tabs>
        <w:tab w:val="decimal" w:leader="dot" w:pos="9360"/>
      </w:tabs>
      <w:spacing w:after="240" w:line="240" w:lineRule="auto"/>
      <w:ind w:left="720"/>
    </w:pPr>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993D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srfcpassagedeactivated">
    <w:name w:val="ss_rfcpassage_deactivated"/>
    <w:basedOn w:val="DefaultParagraphFont"/>
    <w:rsid w:val="00B12DDA"/>
  </w:style>
  <w:style w:type="character" w:customStyle="1" w:styleId="ssit">
    <w:name w:val="ss_it"/>
    <w:basedOn w:val="DefaultParagraphFont"/>
    <w:rsid w:val="00B12DDA"/>
  </w:style>
  <w:style w:type="character" w:customStyle="1" w:styleId="sssh">
    <w:name w:val="ss_sh"/>
    <w:basedOn w:val="DefaultParagraphFont"/>
    <w:rsid w:val="00B12DDA"/>
  </w:style>
  <w:style w:type="character" w:customStyle="1" w:styleId="UnresolvedMention">
    <w:name w:val="Unresolved Mention"/>
    <w:basedOn w:val="DefaultParagraphFont"/>
    <w:uiPriority w:val="99"/>
    <w:semiHidden/>
    <w:unhideWhenUsed/>
    <w:rsid w:val="00871A65"/>
    <w:rPr>
      <w:color w:val="605E5C"/>
      <w:shd w:val="clear" w:color="auto" w:fill="E1DFDD"/>
    </w:rPr>
  </w:style>
  <w:style w:type="character" w:styleId="CommentReference">
    <w:name w:val="annotation reference"/>
    <w:basedOn w:val="DefaultParagraphFont"/>
    <w:uiPriority w:val="99"/>
    <w:semiHidden/>
    <w:unhideWhenUsed/>
    <w:rsid w:val="006C3232"/>
    <w:rPr>
      <w:sz w:val="16"/>
      <w:szCs w:val="16"/>
    </w:rPr>
  </w:style>
  <w:style w:type="paragraph" w:styleId="CommentText">
    <w:name w:val="annotation text"/>
    <w:basedOn w:val="Normal"/>
    <w:link w:val="CommentTextChar"/>
    <w:uiPriority w:val="99"/>
    <w:unhideWhenUsed/>
    <w:rsid w:val="006C3232"/>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C3232"/>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uiPriority w:val="99"/>
    <w:semiHidden/>
    <w:unhideWhenUsed/>
    <w:rsid w:val="004C28F4"/>
    <w:pPr>
      <w:widowControl w:val="0"/>
      <w:autoSpaceDE w:val="0"/>
      <w:autoSpaceDN w:val="0"/>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4C28F4"/>
    <w:rPr>
      <w:rFonts w:ascii="Times New Roman" w:eastAsia="Times New Roman" w:hAnsi="Times New Roman" w:cs="Times New Roman"/>
      <w:kern w:val="0"/>
      <w:sz w:val="16"/>
      <w:szCs w:val="16"/>
      <w14:ligatures w14:val="none"/>
    </w:rPr>
  </w:style>
  <w:style w:type="paragraph" w:styleId="Revision">
    <w:name w:val="Revision"/>
    <w:hidden/>
    <w:uiPriority w:val="99"/>
    <w:semiHidden/>
    <w:rsid w:val="008346E8"/>
    <w:pPr>
      <w:spacing w:after="0" w:line="240" w:lineRule="auto"/>
    </w:pPr>
  </w:style>
  <w:style w:type="paragraph" w:styleId="CommentSubject">
    <w:name w:val="annotation subject"/>
    <w:basedOn w:val="CommentText"/>
    <w:next w:val="CommentText"/>
    <w:link w:val="CommentSubjectChar"/>
    <w:uiPriority w:val="99"/>
    <w:semiHidden/>
    <w:unhideWhenUsed/>
    <w:rsid w:val="00045DAE"/>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45DA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AF0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01"/>
  </w:style>
  <w:style w:type="paragraph" w:styleId="Footer">
    <w:name w:val="footer"/>
    <w:basedOn w:val="Normal"/>
    <w:link w:val="FooterChar"/>
    <w:uiPriority w:val="99"/>
    <w:unhideWhenUsed/>
    <w:rsid w:val="00AF0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E01"/>
  </w:style>
  <w:style w:type="paragraph" w:styleId="BodyText">
    <w:name w:val="Body Text"/>
    <w:basedOn w:val="Normal"/>
    <w:link w:val="BodyTextChar"/>
    <w:uiPriority w:val="99"/>
    <w:semiHidden/>
    <w:unhideWhenUsed/>
    <w:rsid w:val="00B42E26"/>
    <w:pPr>
      <w:spacing w:after="120"/>
    </w:pPr>
  </w:style>
  <w:style w:type="character" w:customStyle="1" w:styleId="BodyTextChar">
    <w:name w:val="Body Text Char"/>
    <w:basedOn w:val="DefaultParagraphFont"/>
    <w:link w:val="BodyText"/>
    <w:uiPriority w:val="99"/>
    <w:semiHidden/>
    <w:rsid w:val="00B42E26"/>
  </w:style>
  <w:style w:type="paragraph" w:styleId="TOC3">
    <w:name w:val="toc 3"/>
    <w:basedOn w:val="Normal"/>
    <w:next w:val="Normal"/>
    <w:autoRedefine/>
    <w:uiPriority w:val="39"/>
    <w:semiHidden/>
    <w:unhideWhenUsed/>
    <w:rsid w:val="00BF0E1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donald.kral@occ.ohio.gov" TargetMode="Externa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ambrosia.wilson@ohioago.gov" TargetMode="External" /><Relationship Id="rId18" Type="http://schemas.openxmlformats.org/officeDocument/2006/relationships/hyperlink" Target="mailto:ashley.wnek@ohioago.gov" TargetMode="External" /><Relationship Id="rId19" Type="http://schemas.openxmlformats.org/officeDocument/2006/relationships/hyperlink" Target="mailto:mkurtz@BKLlawfirm.com" TargetMode="External" /><Relationship Id="rId2" Type="http://schemas.openxmlformats.org/officeDocument/2006/relationships/settings" Target="settings.xml" /><Relationship Id="rId20" Type="http://schemas.openxmlformats.org/officeDocument/2006/relationships/hyperlink" Target="mailto:kboehm@BKLlawfirm.com" TargetMode="External" /><Relationship Id="rId21" Type="http://schemas.openxmlformats.org/officeDocument/2006/relationships/hyperlink" Target="mailto:jkylercohn@BKLlawfirm.com" TargetMode="External" /><Relationship Id="rId22" Type="http://schemas.openxmlformats.org/officeDocument/2006/relationships/hyperlink" Target="mailto:knordstrom@theOEC.org" TargetMode="External" /><Relationship Id="rId23" Type="http://schemas.openxmlformats.org/officeDocument/2006/relationships/hyperlink" Target="mailto:ctavenor@theOEC.org" TargetMode="External" /><Relationship Id="rId24" Type="http://schemas.openxmlformats.org/officeDocument/2006/relationships/hyperlink" Target="mailto:little@litohio.com" TargetMode="External" /><Relationship Id="rId25" Type="http://schemas.openxmlformats.org/officeDocument/2006/relationships/hyperlink" Target="mailto:hogan@litohio.com" TargetMode="External" /><Relationship Id="rId26" Type="http://schemas.openxmlformats.org/officeDocument/2006/relationships/hyperlink" Target="mailto:ktreadway@oneenergyllc.com" TargetMode="External" /><Relationship Id="rId27" Type="http://schemas.openxmlformats.org/officeDocument/2006/relationships/hyperlink" Target="mailto:jdunn@oneenergyllc.com" TargetMode="External" /><Relationship Id="rId28" Type="http://schemas.openxmlformats.org/officeDocument/2006/relationships/hyperlink" Target="mailto:cgrundmann@spilmanlaw.com" TargetMode="External" /><Relationship Id="rId29" Type="http://schemas.openxmlformats.org/officeDocument/2006/relationships/hyperlink" Target="mailto:dwilliamson@spilmanlaw.com" TargetMode="External" /><Relationship Id="rId3" Type="http://schemas.openxmlformats.org/officeDocument/2006/relationships/webSettings" Target="webSettings.xml" /><Relationship Id="rId30" Type="http://schemas.openxmlformats.org/officeDocument/2006/relationships/hyperlink" Target="mailto:slee@spilmanlaw.com" TargetMode="External" /><Relationship Id="rId31" Type="http://schemas.openxmlformats.org/officeDocument/2006/relationships/hyperlink" Target="mailto:brian.gibbs@nationwideenergypartners.com" TargetMode="External" /><Relationship Id="rId32" Type="http://schemas.openxmlformats.org/officeDocument/2006/relationships/hyperlink" Target="mailto:rdove@keglerbrown.com" TargetMode="External" /><Relationship Id="rId33" Type="http://schemas.openxmlformats.org/officeDocument/2006/relationships/hyperlink" Target="mailto:nbobb@keglerbrown.com" TargetMode="External" /><Relationship Id="rId34" Type="http://schemas.openxmlformats.org/officeDocument/2006/relationships/hyperlink" Target="mailto:mpritchard@mcneeslaw.com" TargetMode="External" /><Relationship Id="rId35" Type="http://schemas.openxmlformats.org/officeDocument/2006/relationships/hyperlink" Target="mailto:awalke@mcneeslaw.com" TargetMode="External" /><Relationship Id="rId36" Type="http://schemas.openxmlformats.org/officeDocument/2006/relationships/hyperlink" Target="mailto:mjsettineri@vorys.com" TargetMode="External" /><Relationship Id="rId37" Type="http://schemas.openxmlformats.org/officeDocument/2006/relationships/hyperlink" Target="mailto:glpetrucci@vorys.com" TargetMode="External" /><Relationship Id="rId38" Type="http://schemas.openxmlformats.org/officeDocument/2006/relationships/hyperlink" Target="mailto:cpirik@dickinsonwright.com" TargetMode="External" /><Relationship Id="rId39" Type="http://schemas.openxmlformats.org/officeDocument/2006/relationships/hyperlink" Target="mailto:greta.see@puco.ohio.gov" TargetMode="External" /><Relationship Id="rId4" Type="http://schemas.openxmlformats.org/officeDocument/2006/relationships/fontTable" Target="fontTable.xml" /><Relationship Id="rId40" Type="http://schemas.openxmlformats.org/officeDocument/2006/relationships/hyperlink" Target="mailto:david.hicks@puco.ohio.gov" TargetMode="External" /><Relationship Id="rId41" Type="http://schemas.openxmlformats.org/officeDocument/2006/relationships/hyperlink" Target="mailto:stnourse@aep.com" TargetMode="External" /><Relationship Id="rId42" Type="http://schemas.openxmlformats.org/officeDocument/2006/relationships/hyperlink" Target="mailto:mjschuler@aep.com" TargetMode="External" /><Relationship Id="rId43" Type="http://schemas.openxmlformats.org/officeDocument/2006/relationships/hyperlink" Target="mailto:egallon@porterwright.com" TargetMode="External" /><Relationship Id="rId44" Type="http://schemas.openxmlformats.org/officeDocument/2006/relationships/hyperlink" Target="mailto:christopher.miller@icemiller.com" TargetMode="External" /><Relationship Id="rId45" Type="http://schemas.openxmlformats.org/officeDocument/2006/relationships/hyperlink" Target="mailto:dromig@armadapower.com" TargetMode="External" /><Relationship Id="rId46" Type="http://schemas.openxmlformats.org/officeDocument/2006/relationships/hyperlink" Target="mailto:bojko@carpenterlipps.com" TargetMode="External" /><Relationship Id="rId47" Type="http://schemas.openxmlformats.org/officeDocument/2006/relationships/hyperlink" Target="mailto:easley@carpenterlipps.com" TargetMode="External" /><Relationship Id="rId48" Type="http://schemas.openxmlformats.org/officeDocument/2006/relationships/hyperlink" Target="mailto:tdougherty@theoec.org" TargetMode="External" /><Relationship Id="rId49" Type="http://schemas.openxmlformats.org/officeDocument/2006/relationships/hyperlink" Target="mailto:paul@carpenterlipps.com" TargetMode="External" /><Relationship Id="rId5" Type="http://schemas.openxmlformats.org/officeDocument/2006/relationships/customXml" Target="../customXml/item1.xml" /><Relationship Id="rId50" Type="http://schemas.openxmlformats.org/officeDocument/2006/relationships/hyperlink" Target="mailto:wilcox@carpenterlipps.com" TargetMode="External" /><Relationship Id="rId51" Type="http://schemas.openxmlformats.org/officeDocument/2006/relationships/hyperlink" Target="mailto:emcconnell@elpc.org" TargetMode="External" /><Relationship Id="rId52" Type="http://schemas.openxmlformats.org/officeDocument/2006/relationships/hyperlink" Target="mailto:rkelter@elpc.org" TargetMode="External" /><Relationship Id="rId53" Type="http://schemas.openxmlformats.org/officeDocument/2006/relationships/hyperlink" Target="mailto:stacie.cathcart@igs.com" TargetMode="External" /><Relationship Id="rId54" Type="http://schemas.openxmlformats.org/officeDocument/2006/relationships/hyperlink" Target="mailto:michael.nugent@igs.com" TargetMode="External" /><Relationship Id="rId55" Type="http://schemas.openxmlformats.org/officeDocument/2006/relationships/hyperlink" Target="mailto:dparram@brickergraydon.com" TargetMode="External" /><Relationship Id="rId56" Type="http://schemas.openxmlformats.org/officeDocument/2006/relationships/hyperlink" Target="mailto:dborchers@brickergraydon.com" TargetMode="External" /><Relationship Id="rId57" Type="http://schemas.openxmlformats.org/officeDocument/2006/relationships/hyperlink" Target="mailto:rmains@brickergraydon.com" TargetMode="External" /><Relationship Id="rId58" Type="http://schemas.openxmlformats.org/officeDocument/2006/relationships/hyperlink" Target="mailto:kherrnstein@bricker.com" TargetMode="External" /><Relationship Id="rId59" Type="http://schemas.openxmlformats.org/officeDocument/2006/relationships/hyperlink" Target="mailto:dproano@bakerlaw.com" TargetMode="External" /><Relationship Id="rId6" Type="http://schemas.openxmlformats.org/officeDocument/2006/relationships/hyperlink" Target="mailto:william.michael@occ.ohio.gov" TargetMode="External" /><Relationship Id="rId60" Type="http://schemas.openxmlformats.org/officeDocument/2006/relationships/hyperlink" Target="mailto:ahaque@bakerlaw.com" TargetMode="External" /><Relationship Id="rId61" Type="http://schemas.openxmlformats.org/officeDocument/2006/relationships/hyperlink" Target="mailto:eprouty@bakerlaw.com" TargetMode="External" /><Relationship Id="rId62" Type="http://schemas.openxmlformats.org/officeDocument/2006/relationships/hyperlink" Target="mailto:Fdarr2019@gmail.com" TargetMode="External" /><Relationship Id="rId63" Type="http://schemas.openxmlformats.org/officeDocument/2006/relationships/hyperlink" Target="mailto:dstinson@bricker.com" TargetMode="External" /><Relationship Id="rId64" Type="http://schemas.openxmlformats.org/officeDocument/2006/relationships/hyperlink" Target="mailto:gkrassen@nopec.org" TargetMode="External" /><Relationship Id="rId65" Type="http://schemas.openxmlformats.org/officeDocument/2006/relationships/hyperlink" Target="mailto:todonnell@dickinsonwright.com" TargetMode="External" /><Relationship Id="rId66" Type="http://schemas.openxmlformats.org/officeDocument/2006/relationships/hyperlink" Target="mailto:kshimp@dickinsonwright.com" TargetMode="External" /><Relationship Id="rId67" Type="http://schemas.openxmlformats.org/officeDocument/2006/relationships/footer" Target="footer6.xml" /><Relationship Id="rId68" Type="http://schemas.openxmlformats.org/officeDocument/2006/relationships/theme" Target="theme/theme1.xml" /><Relationship Id="rId69" Type="http://schemas.openxmlformats.org/officeDocument/2006/relationships/numbering" Target="numbering.xml" /><Relationship Id="rId7" Type="http://schemas.openxmlformats.org/officeDocument/2006/relationships/hyperlink" Target="mailto:angela.obrien@occ.ohio.gove" TargetMode="External" /><Relationship Id="rId70" Type="http://schemas.openxmlformats.org/officeDocument/2006/relationships/styles" Target="styl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729D-07F5-4D5C-BC30-6419BBD4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2024-05-03T15:23:32Z</dcterms:created>
  <dcterms:modified xsi:type="dcterms:W3CDTF">2024-05-03T15:23:32Z</dcterms:modified>
</cp:coreProperties>
</file>