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FB9" w:rsidRDefault="009211D5">
      <w:pPr>
        <w:pStyle w:val="BodyText"/>
        <w:jc w:val="right"/>
        <w:rPr>
          <w:b/>
          <w:i/>
        </w:rPr>
      </w:pPr>
      <w:bookmarkStart w:id="0" w:name="_Toc249780366"/>
      <w:bookmarkStart w:id="1" w:name="_Toc249782093"/>
      <w:bookmarkStart w:id="2" w:name="_GoBack"/>
      <w:bookmarkEnd w:id="2"/>
      <w:r>
        <w:rPr>
          <w:b/>
          <w:i/>
        </w:rPr>
        <w:t>OCC EXHIBIT NO. ______</w:t>
      </w:r>
      <w:bookmarkEnd w:id="0"/>
      <w:bookmarkEnd w:id="1"/>
    </w:p>
    <w:p w:rsidR="00AA6FB9" w:rsidRDefault="009211D5">
      <w:pPr>
        <w:pStyle w:val="BodyText"/>
        <w:ind w:left="0"/>
        <w:jc w:val="center"/>
        <w:rPr>
          <w:b/>
        </w:rPr>
      </w:pPr>
      <w:bookmarkStart w:id="3" w:name="_Toc249780368"/>
      <w:bookmarkStart w:id="4" w:name="_Toc249782095"/>
      <w:r>
        <w:rPr>
          <w:b/>
        </w:rPr>
        <w:t>BEFORE</w:t>
      </w:r>
      <w:bookmarkEnd w:id="3"/>
      <w:bookmarkEnd w:id="4"/>
    </w:p>
    <w:p w:rsidR="00AA6FB9" w:rsidRDefault="009211D5">
      <w:pPr>
        <w:jc w:val="center"/>
        <w:rPr>
          <w:b/>
          <w:bCs/>
        </w:rPr>
      </w:pPr>
      <w:bookmarkStart w:id="5" w:name="_Toc249780369"/>
      <w:bookmarkStart w:id="6" w:name="_Toc249782096"/>
      <w:r>
        <w:rPr>
          <w:b/>
          <w:bCs/>
        </w:rPr>
        <w:t>THE PUBLIC UTILITIES COMMISSION OF OHIO</w:t>
      </w:r>
      <w:bookmarkEnd w:id="5"/>
      <w:bookmarkEnd w:id="6"/>
    </w:p>
    <w:p w:rsidR="00AA6FB9" w:rsidRDefault="00AA6FB9">
      <w:pPr>
        <w:jc w:val="center"/>
        <w:rPr>
          <w:b/>
          <w:bCs/>
        </w:rPr>
      </w:pPr>
    </w:p>
    <w:p w:rsidR="00AA6FB9" w:rsidRDefault="00AA6FB9">
      <w:pPr>
        <w:jc w:val="center"/>
        <w:rPr>
          <w:b/>
          <w:bCs/>
        </w:rPr>
      </w:pPr>
    </w:p>
    <w:tbl>
      <w:tblPr>
        <w:tblW w:w="9092" w:type="dxa"/>
        <w:jc w:val="center"/>
        <w:tblLook w:val="01E0" w:firstRow="1" w:lastRow="1" w:firstColumn="1" w:lastColumn="1" w:noHBand="0" w:noVBand="0"/>
      </w:tblPr>
      <w:tblGrid>
        <w:gridCol w:w="4332"/>
        <w:gridCol w:w="360"/>
        <w:gridCol w:w="4400"/>
      </w:tblGrid>
      <w:tr w:rsidR="00AA6FB9">
        <w:trPr>
          <w:trHeight w:val="807"/>
          <w:jc w:val="center"/>
        </w:trPr>
        <w:tc>
          <w:tcPr>
            <w:tcW w:w="4332" w:type="dxa"/>
          </w:tcPr>
          <w:p w:rsidR="00AA6FB9" w:rsidRDefault="009211D5" w:rsidP="00CC19B3">
            <w:pPr>
              <w:autoSpaceDE w:val="0"/>
              <w:autoSpaceDN w:val="0"/>
              <w:adjustRightInd w:val="0"/>
            </w:pPr>
            <w:r>
              <w:t xml:space="preserve">In the Matter of the Application </w:t>
            </w:r>
            <w:r w:rsidR="001C1734">
              <w:t xml:space="preserve">of </w:t>
            </w:r>
            <w:r w:rsidR="00F84EF3">
              <w:t xml:space="preserve">Duke Energy Ohio, Inc. for Approval of an Alternative Rate Plan Pursuant to </w:t>
            </w:r>
            <w:r w:rsidR="00CC19B3">
              <w:t>R.C.</w:t>
            </w:r>
            <w:r w:rsidR="00F84EF3">
              <w:t xml:space="preserve"> 4929.05, Revised Code, for an Accelerated Se</w:t>
            </w:r>
            <w:r w:rsidR="00FA2B30">
              <w:t>rvice Line Replacement Program.</w:t>
            </w:r>
          </w:p>
        </w:tc>
        <w:tc>
          <w:tcPr>
            <w:tcW w:w="360" w:type="dxa"/>
          </w:tcPr>
          <w:p w:rsidR="00AA6FB9" w:rsidRDefault="009211D5">
            <w:pPr>
              <w:pStyle w:val="HTMLPreformatted"/>
              <w:rPr>
                <w:rFonts w:ascii="Times New Roman" w:hAnsi="Times New Roman"/>
                <w:sz w:val="24"/>
                <w:szCs w:val="24"/>
              </w:rPr>
            </w:pPr>
            <w:r>
              <w:rPr>
                <w:rFonts w:ascii="Times New Roman" w:hAnsi="Times New Roman"/>
                <w:sz w:val="24"/>
                <w:szCs w:val="24"/>
              </w:rPr>
              <w:t>)</w:t>
            </w:r>
          </w:p>
          <w:p w:rsidR="00AA6FB9" w:rsidRDefault="009211D5">
            <w:pPr>
              <w:pStyle w:val="HTMLPreformatted"/>
              <w:rPr>
                <w:rFonts w:ascii="Times New Roman" w:hAnsi="Times New Roman"/>
                <w:sz w:val="24"/>
                <w:szCs w:val="24"/>
              </w:rPr>
            </w:pPr>
            <w:r>
              <w:rPr>
                <w:rFonts w:ascii="Times New Roman" w:hAnsi="Times New Roman"/>
                <w:sz w:val="24"/>
                <w:szCs w:val="24"/>
              </w:rPr>
              <w:t>)</w:t>
            </w:r>
          </w:p>
          <w:p w:rsidR="00AA6FB9" w:rsidRDefault="009211D5">
            <w:pPr>
              <w:pStyle w:val="HTMLPreformatted"/>
              <w:rPr>
                <w:rFonts w:ascii="Times New Roman" w:hAnsi="Times New Roman"/>
                <w:sz w:val="24"/>
                <w:szCs w:val="24"/>
              </w:rPr>
            </w:pPr>
            <w:r>
              <w:rPr>
                <w:rFonts w:ascii="Times New Roman" w:hAnsi="Times New Roman"/>
                <w:sz w:val="24"/>
                <w:szCs w:val="24"/>
              </w:rPr>
              <w:t>)</w:t>
            </w:r>
          </w:p>
          <w:p w:rsidR="00AA6FB9" w:rsidRDefault="009211D5">
            <w:pPr>
              <w:pStyle w:val="HTMLPreformatted"/>
              <w:rPr>
                <w:rFonts w:ascii="Times New Roman" w:hAnsi="Times New Roman"/>
                <w:sz w:val="24"/>
                <w:szCs w:val="24"/>
              </w:rPr>
            </w:pPr>
            <w:r>
              <w:rPr>
                <w:rFonts w:ascii="Times New Roman" w:hAnsi="Times New Roman"/>
                <w:sz w:val="24"/>
                <w:szCs w:val="24"/>
              </w:rPr>
              <w:t>)</w:t>
            </w:r>
          </w:p>
          <w:p w:rsidR="00AA6FB9" w:rsidRDefault="00F84EF3">
            <w:pPr>
              <w:pStyle w:val="HTMLPreformatted"/>
              <w:rPr>
                <w:rFonts w:ascii="Times New Roman" w:hAnsi="Times New Roman"/>
                <w:sz w:val="24"/>
                <w:szCs w:val="24"/>
              </w:rPr>
            </w:pPr>
            <w:r>
              <w:rPr>
                <w:rFonts w:ascii="Times New Roman" w:hAnsi="Times New Roman"/>
                <w:sz w:val="24"/>
                <w:szCs w:val="24"/>
              </w:rPr>
              <w:t>)</w:t>
            </w:r>
          </w:p>
        </w:tc>
        <w:tc>
          <w:tcPr>
            <w:tcW w:w="4400" w:type="dxa"/>
          </w:tcPr>
          <w:p w:rsidR="00AA6FB9" w:rsidRDefault="00AA6FB9">
            <w:pPr>
              <w:pStyle w:val="HTMLPreformatted"/>
              <w:rPr>
                <w:rFonts w:ascii="Times New Roman" w:hAnsi="Times New Roman"/>
                <w:sz w:val="24"/>
                <w:szCs w:val="24"/>
                <w:lang w:val="es-ES"/>
              </w:rPr>
            </w:pPr>
          </w:p>
          <w:p w:rsidR="00565748" w:rsidRDefault="00565748">
            <w:pPr>
              <w:autoSpaceDE w:val="0"/>
              <w:autoSpaceDN w:val="0"/>
              <w:adjustRightInd w:val="0"/>
              <w:rPr>
                <w:lang w:val="es-ES"/>
              </w:rPr>
            </w:pPr>
          </w:p>
          <w:p w:rsidR="00AA6FB9" w:rsidRPr="009736C5" w:rsidRDefault="009211D5" w:rsidP="009736C5">
            <w:pPr>
              <w:autoSpaceDE w:val="0"/>
              <w:autoSpaceDN w:val="0"/>
              <w:adjustRightInd w:val="0"/>
              <w:rPr>
                <w:lang w:val="es-ES"/>
              </w:rPr>
            </w:pPr>
            <w:r>
              <w:rPr>
                <w:lang w:val="es-ES"/>
              </w:rPr>
              <w:t>Case No. 1</w:t>
            </w:r>
            <w:r w:rsidR="007C7553">
              <w:rPr>
                <w:lang w:val="es-ES"/>
              </w:rPr>
              <w:t>4</w:t>
            </w:r>
            <w:r>
              <w:rPr>
                <w:lang w:val="es-ES"/>
              </w:rPr>
              <w:t>-</w:t>
            </w:r>
            <w:r w:rsidR="007C7553">
              <w:rPr>
                <w:lang w:val="es-ES"/>
              </w:rPr>
              <w:t>16</w:t>
            </w:r>
            <w:r w:rsidR="00F84EF3">
              <w:rPr>
                <w:lang w:val="es-ES"/>
              </w:rPr>
              <w:t>22</w:t>
            </w:r>
            <w:r>
              <w:rPr>
                <w:lang w:val="es-ES"/>
              </w:rPr>
              <w:t>-</w:t>
            </w:r>
            <w:r w:rsidR="00F84EF3">
              <w:rPr>
                <w:lang w:val="es-ES"/>
              </w:rPr>
              <w:t>GA</w:t>
            </w:r>
            <w:r>
              <w:rPr>
                <w:lang w:val="es-ES"/>
              </w:rPr>
              <w:t>-</w:t>
            </w:r>
            <w:r w:rsidR="00F84EF3">
              <w:rPr>
                <w:lang w:val="es-ES"/>
              </w:rPr>
              <w:t>ALT</w:t>
            </w:r>
          </w:p>
        </w:tc>
      </w:tr>
    </w:tbl>
    <w:p w:rsidR="00AA6FB9" w:rsidRDefault="00AA6FB9">
      <w:pPr>
        <w:pStyle w:val="Header"/>
        <w:rPr>
          <w:b/>
          <w:bCs/>
        </w:rPr>
      </w:pPr>
    </w:p>
    <w:p w:rsidR="00AA6FB9" w:rsidRDefault="00AA6FB9">
      <w:pPr>
        <w:pStyle w:val="Header"/>
        <w:rPr>
          <w:b/>
          <w:bCs/>
        </w:rPr>
      </w:pPr>
    </w:p>
    <w:p w:rsidR="00AA6FB9" w:rsidRDefault="00AA6FB9">
      <w:pPr>
        <w:pStyle w:val="Header"/>
        <w:rPr>
          <w:b/>
          <w:bCs/>
        </w:rPr>
      </w:pPr>
    </w:p>
    <w:p w:rsidR="00AA6FB9" w:rsidRDefault="00AA6FB9">
      <w:pPr>
        <w:pStyle w:val="Header"/>
        <w:rPr>
          <w:b/>
          <w:bCs/>
        </w:rPr>
      </w:pPr>
    </w:p>
    <w:p w:rsidR="00AA6FB9" w:rsidRDefault="002B1E8C">
      <w:pPr>
        <w:pStyle w:val="BodyText"/>
        <w:spacing w:line="240" w:lineRule="auto"/>
        <w:ind w:left="0"/>
        <w:jc w:val="center"/>
        <w:rPr>
          <w:b/>
        </w:rPr>
      </w:pPr>
      <w:r>
        <w:rPr>
          <w:b/>
        </w:rPr>
        <w:t xml:space="preserve">DIRECT </w:t>
      </w:r>
      <w:r w:rsidR="009211D5">
        <w:rPr>
          <w:b/>
        </w:rPr>
        <w:t>TESTIMONY</w:t>
      </w:r>
    </w:p>
    <w:p w:rsidR="00AA6FB9" w:rsidRDefault="009211D5">
      <w:pPr>
        <w:pStyle w:val="BodyText"/>
        <w:spacing w:line="240" w:lineRule="auto"/>
        <w:ind w:left="0"/>
        <w:jc w:val="center"/>
        <w:rPr>
          <w:b/>
          <w:bCs/>
        </w:rPr>
      </w:pPr>
      <w:r>
        <w:rPr>
          <w:b/>
          <w:bCs/>
        </w:rPr>
        <w:t>OF</w:t>
      </w:r>
    </w:p>
    <w:p w:rsidR="00AA6FB9" w:rsidRDefault="009211D5">
      <w:pPr>
        <w:pStyle w:val="List2"/>
        <w:ind w:left="540" w:hanging="540"/>
        <w:jc w:val="center"/>
        <w:rPr>
          <w:b/>
          <w:bCs/>
        </w:rPr>
      </w:pPr>
      <w:r>
        <w:rPr>
          <w:b/>
          <w:bCs/>
        </w:rPr>
        <w:t>DANIEL J. DUANN, Ph.D.</w:t>
      </w:r>
    </w:p>
    <w:p w:rsidR="00AA6FB9" w:rsidRDefault="00AA6FB9">
      <w:pPr>
        <w:pStyle w:val="List2"/>
        <w:ind w:left="540" w:hanging="540"/>
        <w:jc w:val="center"/>
      </w:pPr>
    </w:p>
    <w:p w:rsidR="00565748" w:rsidRDefault="00565748">
      <w:pPr>
        <w:pStyle w:val="List2"/>
        <w:ind w:left="540" w:hanging="540"/>
        <w:jc w:val="center"/>
      </w:pPr>
    </w:p>
    <w:p w:rsidR="00565748" w:rsidRDefault="00565748">
      <w:pPr>
        <w:pStyle w:val="List2"/>
        <w:ind w:left="540" w:hanging="540"/>
        <w:jc w:val="center"/>
      </w:pPr>
    </w:p>
    <w:p w:rsidR="00565748" w:rsidRDefault="00565748">
      <w:pPr>
        <w:pStyle w:val="List2"/>
        <w:ind w:left="540" w:hanging="540"/>
        <w:jc w:val="center"/>
      </w:pPr>
    </w:p>
    <w:p w:rsidR="00AA6FB9" w:rsidRDefault="009211D5">
      <w:pPr>
        <w:jc w:val="center"/>
        <w:rPr>
          <w:b/>
          <w:bCs/>
        </w:rPr>
      </w:pPr>
      <w:bookmarkStart w:id="7" w:name="_Toc249780371"/>
      <w:bookmarkStart w:id="8" w:name="_Toc249782097"/>
      <w:r>
        <w:rPr>
          <w:b/>
          <w:bCs/>
        </w:rPr>
        <w:t>On Behalf of</w:t>
      </w:r>
    </w:p>
    <w:p w:rsidR="00AA6FB9" w:rsidRDefault="009211D5">
      <w:pPr>
        <w:jc w:val="center"/>
        <w:rPr>
          <w:b/>
          <w:bCs/>
          <w:caps/>
        </w:rPr>
      </w:pPr>
      <w:r>
        <w:rPr>
          <w:b/>
          <w:bCs/>
        </w:rPr>
        <w:t>The Office of the Ohio Consumers’ Counsel</w:t>
      </w:r>
    </w:p>
    <w:p w:rsidR="00AA6FB9" w:rsidRDefault="009211D5">
      <w:pPr>
        <w:jc w:val="center"/>
        <w:rPr>
          <w:i/>
          <w:iCs/>
        </w:rPr>
      </w:pPr>
      <w:r>
        <w:rPr>
          <w:i/>
          <w:iCs/>
        </w:rPr>
        <w:t>10 West Broad Street, Suite 1800</w:t>
      </w:r>
    </w:p>
    <w:p w:rsidR="00AA6FB9" w:rsidRDefault="009211D5">
      <w:pPr>
        <w:jc w:val="center"/>
        <w:rPr>
          <w:i/>
          <w:iCs/>
        </w:rPr>
      </w:pPr>
      <w:r>
        <w:rPr>
          <w:i/>
          <w:iCs/>
        </w:rPr>
        <w:t>Columbus, Ohio</w:t>
      </w:r>
      <w:r w:rsidR="00E169EB">
        <w:rPr>
          <w:i/>
          <w:iCs/>
        </w:rPr>
        <w:t xml:space="preserve"> </w:t>
      </w:r>
      <w:r>
        <w:rPr>
          <w:i/>
          <w:iCs/>
        </w:rPr>
        <w:t>43215-3485</w:t>
      </w:r>
    </w:p>
    <w:bookmarkEnd w:id="7"/>
    <w:bookmarkEnd w:id="8"/>
    <w:p w:rsidR="00AA6FB9" w:rsidRDefault="00AA6FB9">
      <w:pPr>
        <w:jc w:val="center"/>
      </w:pPr>
    </w:p>
    <w:p w:rsidR="00AA6FB9" w:rsidRDefault="00AA6FB9">
      <w:pPr>
        <w:jc w:val="center"/>
      </w:pPr>
    </w:p>
    <w:p w:rsidR="00AA6FB9" w:rsidRDefault="00AA6FB9">
      <w:pPr>
        <w:jc w:val="center"/>
      </w:pPr>
    </w:p>
    <w:p w:rsidR="00AA6FB9" w:rsidRPr="002B1E8C" w:rsidRDefault="00F84EF3">
      <w:pPr>
        <w:jc w:val="center"/>
        <w:rPr>
          <w:b/>
          <w:bCs/>
          <w:i/>
          <w:iCs/>
        </w:rPr>
      </w:pPr>
      <w:r w:rsidRPr="002B1E8C">
        <w:rPr>
          <w:b/>
          <w:bCs/>
          <w:i/>
          <w:iCs/>
        </w:rPr>
        <w:t xml:space="preserve">November 6, </w:t>
      </w:r>
      <w:r w:rsidR="00565748" w:rsidRPr="002B1E8C">
        <w:rPr>
          <w:b/>
          <w:bCs/>
          <w:i/>
          <w:iCs/>
        </w:rPr>
        <w:t>2015</w:t>
      </w:r>
    </w:p>
    <w:p w:rsidR="00AA6FB9" w:rsidRDefault="00AA6FB9">
      <w:pPr>
        <w:jc w:val="center"/>
        <w:rPr>
          <w:b/>
          <w:bCs/>
          <w:i/>
          <w:iCs/>
        </w:rPr>
        <w:sectPr w:rsidR="00AA6FB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rsidR="00AA6FB9" w:rsidRDefault="00AA6FB9">
      <w:pPr>
        <w:pStyle w:val="BodyText"/>
        <w:ind w:left="0"/>
      </w:pPr>
    </w:p>
    <w:p w:rsidR="00AA6FB9" w:rsidRDefault="009211D5">
      <w:pPr>
        <w:pStyle w:val="TOC1"/>
        <w:rPr>
          <w:b/>
        </w:rPr>
      </w:pPr>
      <w:r>
        <w:rPr>
          <w:b/>
        </w:rPr>
        <w:t>LIST OF ATTACHMENTS</w:t>
      </w:r>
    </w:p>
    <w:p w:rsidR="00AA6FB9" w:rsidRDefault="009211D5">
      <w:pPr>
        <w:pStyle w:val="BodyText"/>
        <w:ind w:left="0"/>
      </w:pPr>
      <w:r>
        <w:t xml:space="preserve">Attachment </w:t>
      </w:r>
      <w:r w:rsidR="00192243">
        <w:t>DJD-</w:t>
      </w:r>
      <w:r w:rsidR="00FE2848">
        <w:t>1</w:t>
      </w:r>
    </w:p>
    <w:p w:rsidR="00AA6FB9" w:rsidRDefault="005A2C01" w:rsidP="005A2C01">
      <w:pPr>
        <w:pStyle w:val="BodyText"/>
        <w:ind w:left="0"/>
        <w:sectPr w:rsidR="00AA6FB9">
          <w:headerReference w:type="even" r:id="rId14"/>
          <w:headerReference w:type="default" r:id="rId15"/>
          <w:headerReference w:type="first" r:id="rId16"/>
          <w:footerReference w:type="first" r:id="rId17"/>
          <w:pgSz w:w="12240" w:h="15840"/>
          <w:pgMar w:top="1440" w:right="1800" w:bottom="1440" w:left="1800" w:header="720" w:footer="720" w:gutter="0"/>
          <w:cols w:space="720"/>
          <w:titlePg/>
          <w:docGrid w:linePitch="360"/>
        </w:sectPr>
      </w:pPr>
      <w:r>
        <w:t>Attachment DJD-2</w:t>
      </w:r>
      <w:r w:rsidR="00FC14CB">
        <w:t xml:space="preserve"> </w:t>
      </w:r>
    </w:p>
    <w:p w:rsidR="00AA6FB9" w:rsidRDefault="009211D5">
      <w:pPr>
        <w:autoSpaceDE w:val="0"/>
        <w:autoSpaceDN w:val="0"/>
        <w:adjustRightInd w:val="0"/>
        <w:spacing w:line="480" w:lineRule="auto"/>
        <w:rPr>
          <w:b/>
          <w:bCs/>
          <w:i/>
          <w:iCs/>
        </w:rPr>
      </w:pPr>
      <w:r>
        <w:rPr>
          <w:b/>
          <w:bCs/>
          <w:i/>
          <w:iCs/>
        </w:rPr>
        <w:lastRenderedPageBreak/>
        <w:t>Q1.</w:t>
      </w:r>
      <w:r>
        <w:rPr>
          <w:b/>
          <w:bCs/>
          <w:i/>
          <w:iCs/>
        </w:rPr>
        <w:tab/>
        <w:t>PLEASE STATE YOUR NAME, BUSINESS ADDRESS</w:t>
      </w:r>
      <w:r w:rsidR="002B1E8C">
        <w:rPr>
          <w:b/>
          <w:bCs/>
          <w:i/>
          <w:iCs/>
        </w:rPr>
        <w:t>,</w:t>
      </w:r>
      <w:r>
        <w:rPr>
          <w:b/>
          <w:bCs/>
          <w:i/>
          <w:iCs/>
        </w:rPr>
        <w:t xml:space="preserve"> AND POSITION.</w:t>
      </w:r>
    </w:p>
    <w:p w:rsidR="00AA6FB9" w:rsidRDefault="009211D5">
      <w:pPr>
        <w:autoSpaceDE w:val="0"/>
        <w:autoSpaceDN w:val="0"/>
        <w:adjustRightInd w:val="0"/>
        <w:spacing w:line="480" w:lineRule="auto"/>
        <w:ind w:left="720" w:hanging="720"/>
      </w:pPr>
      <w:r>
        <w:rPr>
          <w:b/>
          <w:bCs/>
          <w:i/>
          <w:iCs/>
        </w:rPr>
        <w:t>A1.</w:t>
      </w:r>
      <w:r>
        <w:rPr>
          <w:b/>
          <w:bCs/>
          <w:i/>
          <w:iCs/>
        </w:rPr>
        <w:tab/>
      </w:r>
      <w:r w:rsidR="00C8215E">
        <w:t>My name is Daniel J. Duann.</w:t>
      </w:r>
      <w:r>
        <w:t xml:space="preserve"> My business address is 10 West Broad Street, Suite 18</w:t>
      </w:r>
      <w:r w:rsidR="00E16FE3">
        <w:t>00, Columbus, Ohio, 43215-3485.</w:t>
      </w:r>
      <w:r>
        <w:t xml:space="preserve"> I am a Principal Regulatory Analyst with the Office of the Ohio Consumers’ Counsel (“OCC”).</w:t>
      </w:r>
    </w:p>
    <w:p w:rsidR="00AA6FB9" w:rsidRDefault="00AA6FB9">
      <w:pPr>
        <w:autoSpaceDE w:val="0"/>
        <w:autoSpaceDN w:val="0"/>
        <w:adjustRightInd w:val="0"/>
        <w:spacing w:line="480" w:lineRule="auto"/>
        <w:ind w:left="720" w:hanging="720"/>
      </w:pPr>
    </w:p>
    <w:p w:rsidR="0076615E" w:rsidRDefault="0076615E" w:rsidP="0076615E">
      <w:pPr>
        <w:autoSpaceDE w:val="0"/>
        <w:autoSpaceDN w:val="0"/>
        <w:adjustRightInd w:val="0"/>
        <w:spacing w:line="480" w:lineRule="auto"/>
        <w:ind w:left="720" w:hanging="720"/>
        <w:rPr>
          <w:b/>
          <w:bCs/>
        </w:rPr>
      </w:pPr>
      <w:r>
        <w:rPr>
          <w:b/>
          <w:bCs/>
          <w:i/>
          <w:iCs/>
        </w:rPr>
        <w:t>Q2.</w:t>
      </w:r>
      <w:r>
        <w:rPr>
          <w:b/>
          <w:bCs/>
          <w:i/>
          <w:iCs/>
        </w:rPr>
        <w:tab/>
        <w:t>PLEASE DESCRIBE YOUR EDUCATIONAL BACKGROUND AND PROFESSIONAL EXPERIENCE.</w:t>
      </w:r>
    </w:p>
    <w:p w:rsidR="0076615E" w:rsidRDefault="0076615E" w:rsidP="0076615E">
      <w:pPr>
        <w:autoSpaceDE w:val="0"/>
        <w:autoSpaceDN w:val="0"/>
        <w:adjustRightInd w:val="0"/>
        <w:spacing w:line="480" w:lineRule="auto"/>
        <w:ind w:left="720" w:hanging="720"/>
      </w:pPr>
      <w:r>
        <w:rPr>
          <w:b/>
          <w:bCs/>
          <w:i/>
          <w:iCs/>
        </w:rPr>
        <w:t>A2.</w:t>
      </w:r>
      <w:r>
        <w:rPr>
          <w:b/>
          <w:bCs/>
          <w:i/>
          <w:iCs/>
        </w:rPr>
        <w:tab/>
      </w:r>
      <w:r>
        <w:t>I received my Ph.D. degree in public policy analysis from the Wharton Schoo</w:t>
      </w:r>
      <w:r w:rsidR="00E16FE3">
        <w:t xml:space="preserve">l, University of Pennsylvania. </w:t>
      </w:r>
      <w:r>
        <w:t>I also have a M.S. degree in energy management and policy from the University of Pennsylvania</w:t>
      </w:r>
      <w:r w:rsidR="003C3F00">
        <w:t>,</w:t>
      </w:r>
      <w:r>
        <w:t xml:space="preserve"> and a M.A. degree in economics </w:t>
      </w:r>
      <w:r w:rsidR="00E16FE3">
        <w:t xml:space="preserve">from the University of Kansas. </w:t>
      </w:r>
      <w:r>
        <w:t>I completed my undergraduate study in business administration at the National Taiwan Univers</w:t>
      </w:r>
      <w:r w:rsidR="00E16FE3">
        <w:t>ity, Taiwan, Republic of China.</w:t>
      </w:r>
      <w:r>
        <w:t xml:space="preserve"> I was conferred by the Society of Utility and Regulatory Financial Analysts as a Certified Rate of Return Analyst in April 2011.</w:t>
      </w:r>
    </w:p>
    <w:p w:rsidR="0076615E" w:rsidRDefault="0076615E" w:rsidP="0076615E">
      <w:pPr>
        <w:autoSpaceDE w:val="0"/>
        <w:autoSpaceDN w:val="0"/>
        <w:adjustRightInd w:val="0"/>
        <w:spacing w:line="480" w:lineRule="auto"/>
        <w:ind w:left="720" w:hanging="720"/>
      </w:pPr>
    </w:p>
    <w:p w:rsidR="0076615E" w:rsidRDefault="0076615E" w:rsidP="0076615E">
      <w:pPr>
        <w:autoSpaceDE w:val="0"/>
        <w:autoSpaceDN w:val="0"/>
        <w:adjustRightInd w:val="0"/>
        <w:spacing w:line="480" w:lineRule="auto"/>
        <w:ind w:left="720"/>
      </w:pPr>
      <w:r>
        <w:t>I was a Utility Examiner II in the Forecasting Section of the Ohio Division of Energy, Ohio Department of D</w:t>
      </w:r>
      <w:r w:rsidR="00E16FE3">
        <w:t xml:space="preserve">evelopment, from 1983 to 1985. </w:t>
      </w:r>
      <w:r w:rsidR="00112EF3">
        <w:t>The Forecasting Section was later transferred to the Public Utilities Comm</w:t>
      </w:r>
      <w:r w:rsidR="00E16FE3">
        <w:t>ission of Ohio (</w:t>
      </w:r>
      <w:r w:rsidR="00EA717A">
        <w:t xml:space="preserve">“PUCO”). </w:t>
      </w:r>
      <w:r>
        <w:t>From</w:t>
      </w:r>
      <w:r w:rsidR="00112EF3">
        <w:t xml:space="preserve"> </w:t>
      </w:r>
      <w:r>
        <w:t>1985 to 1986, I was an Economist with the Center of Health Policy Research at the American M</w:t>
      </w:r>
      <w:r w:rsidR="00E16FE3">
        <w:t xml:space="preserve">edical Association in Chicago. </w:t>
      </w:r>
      <w:r>
        <w:t xml:space="preserve">In late 1986, I joined the Illinois Commerce Commission as a Senior Economist </w:t>
      </w:r>
      <w:r w:rsidR="00FE2848">
        <w:t>at</w:t>
      </w:r>
      <w:r>
        <w:t xml:space="preserve"> its Policy A</w:t>
      </w:r>
      <w:r w:rsidR="00E16FE3">
        <w:t xml:space="preserve">nalysis and Research Division. </w:t>
      </w:r>
      <w:r>
        <w:t xml:space="preserve">I was employed as a Senior Institute Economist at the National Regulatory Research Institute (“NRRI”) at The Ohio State </w:t>
      </w:r>
      <w:r w:rsidR="00E16FE3">
        <w:lastRenderedPageBreak/>
        <w:t xml:space="preserve">University from 1987 to 1995. </w:t>
      </w:r>
      <w:r>
        <w:t>My work at NRRI involved many areas of utility</w:t>
      </w:r>
      <w:r w:rsidR="00E16FE3">
        <w:t xml:space="preserve"> regulation and energy policy. </w:t>
      </w:r>
      <w:r>
        <w:t>I was an independent business consultant from 1996 to 2007.</w:t>
      </w:r>
    </w:p>
    <w:p w:rsidR="0076615E" w:rsidRDefault="0076615E" w:rsidP="0076615E">
      <w:pPr>
        <w:autoSpaceDE w:val="0"/>
        <w:autoSpaceDN w:val="0"/>
        <w:adjustRightInd w:val="0"/>
        <w:spacing w:line="480" w:lineRule="auto"/>
        <w:ind w:left="720"/>
      </w:pPr>
    </w:p>
    <w:p w:rsidR="0076615E" w:rsidRDefault="0076615E" w:rsidP="0076615E">
      <w:pPr>
        <w:autoSpaceDE w:val="0"/>
        <w:autoSpaceDN w:val="0"/>
        <w:adjustRightInd w:val="0"/>
        <w:spacing w:line="480" w:lineRule="auto"/>
        <w:ind w:left="720"/>
      </w:pPr>
      <w:r>
        <w:t xml:space="preserve">I joined the OCC in January 2008 </w:t>
      </w:r>
      <w:r w:rsidR="00E16FE3">
        <w:t>as a Senior Regulatory Analyst.</w:t>
      </w:r>
      <w:r>
        <w:t xml:space="preserve"> I was promoted to my cur</w:t>
      </w:r>
      <w:r w:rsidR="00E16FE3">
        <w:t>rent position in November 2011.</w:t>
      </w:r>
      <w:r>
        <w:t xml:space="preserve"> My responsibilities are to assist the OCC by participating in various regulator</w:t>
      </w:r>
      <w:r w:rsidR="00E16FE3">
        <w:t>y proceedings before the PUCO</w:t>
      </w:r>
      <w:r w:rsidR="00112EF3">
        <w:t xml:space="preserve">. </w:t>
      </w:r>
      <w:r>
        <w:t>These proceedings include rate cases, alternative regulation, fuel cost recovery, service reliability, and other types of filings by Ohio’s electric, gas, and water companies.</w:t>
      </w:r>
    </w:p>
    <w:p w:rsidR="0076615E" w:rsidRDefault="0076615E" w:rsidP="0076615E">
      <w:pPr>
        <w:autoSpaceDE w:val="0"/>
        <w:autoSpaceDN w:val="0"/>
        <w:adjustRightInd w:val="0"/>
        <w:spacing w:line="480" w:lineRule="auto"/>
      </w:pPr>
    </w:p>
    <w:p w:rsidR="0076615E" w:rsidRDefault="0076615E" w:rsidP="0076615E">
      <w:pPr>
        <w:autoSpaceDE w:val="0"/>
        <w:autoSpaceDN w:val="0"/>
        <w:adjustRightInd w:val="0"/>
        <w:spacing w:line="480" w:lineRule="auto"/>
        <w:ind w:left="720" w:hanging="720"/>
      </w:pPr>
      <w:r>
        <w:rPr>
          <w:b/>
          <w:bCs/>
          <w:i/>
          <w:iCs/>
        </w:rPr>
        <w:t>Q3.</w:t>
      </w:r>
      <w:r>
        <w:rPr>
          <w:b/>
          <w:bCs/>
          <w:i/>
          <w:iCs/>
        </w:rPr>
        <w:tab/>
        <w:t>HAVE YOU PREVIOUSLY SUBMITTED TESTIMONY OR TESTIFIED BEFORE THE PUBLIC UTILITIES COMMISSION OF OHIO?</w:t>
      </w:r>
    </w:p>
    <w:p w:rsidR="0076615E" w:rsidRDefault="0076615E" w:rsidP="0076615E">
      <w:pPr>
        <w:autoSpaceDE w:val="0"/>
        <w:autoSpaceDN w:val="0"/>
        <w:adjustRightInd w:val="0"/>
        <w:spacing w:line="480" w:lineRule="auto"/>
        <w:ind w:left="720" w:hanging="720"/>
      </w:pPr>
      <w:r>
        <w:rPr>
          <w:b/>
          <w:bCs/>
          <w:i/>
          <w:iCs/>
        </w:rPr>
        <w:t>A3.</w:t>
      </w:r>
      <w:r w:rsidR="00E16FE3">
        <w:tab/>
        <w:t xml:space="preserve">Yes. </w:t>
      </w:r>
      <w:r>
        <w:t>I have submitted expert testimony on behalf of the OCC before the PUCO in a number of cases involving elect</w:t>
      </w:r>
      <w:r w:rsidR="00E16FE3">
        <w:t xml:space="preserve">ric, gas, and water utilities. </w:t>
      </w:r>
      <w:r>
        <w:t>A list of these cases is included in Attachment DJD-1.</w:t>
      </w:r>
    </w:p>
    <w:p w:rsidR="0076615E" w:rsidRDefault="0076615E" w:rsidP="0076615E">
      <w:pPr>
        <w:autoSpaceDE w:val="0"/>
        <w:autoSpaceDN w:val="0"/>
        <w:adjustRightInd w:val="0"/>
        <w:spacing w:line="480" w:lineRule="auto"/>
        <w:ind w:left="720" w:hanging="720"/>
      </w:pPr>
    </w:p>
    <w:p w:rsidR="0076615E" w:rsidRDefault="0076615E" w:rsidP="0076615E">
      <w:pPr>
        <w:autoSpaceDE w:val="0"/>
        <w:autoSpaceDN w:val="0"/>
        <w:adjustRightInd w:val="0"/>
        <w:spacing w:line="480" w:lineRule="auto"/>
        <w:ind w:left="720" w:hanging="720"/>
        <w:rPr>
          <w:b/>
          <w:bCs/>
          <w:i/>
          <w:iCs/>
        </w:rPr>
      </w:pPr>
      <w:r>
        <w:rPr>
          <w:b/>
          <w:bCs/>
          <w:i/>
          <w:iCs/>
        </w:rPr>
        <w:t>Q4.</w:t>
      </w:r>
      <w:r>
        <w:rPr>
          <w:b/>
          <w:bCs/>
          <w:i/>
          <w:iCs/>
        </w:rPr>
        <w:tab/>
        <w:t>WHAT ARE YOUR QUALIFICATIONS IN REGARD TO YOUR TESTIMONY IN THIS PROCEEDING?</w:t>
      </w:r>
    </w:p>
    <w:p w:rsidR="0076615E" w:rsidRDefault="0076615E" w:rsidP="0076615E">
      <w:pPr>
        <w:autoSpaceDE w:val="0"/>
        <w:autoSpaceDN w:val="0"/>
        <w:adjustRightInd w:val="0"/>
        <w:spacing w:line="480" w:lineRule="auto"/>
        <w:ind w:left="720" w:hanging="720"/>
      </w:pPr>
      <w:r>
        <w:rPr>
          <w:b/>
          <w:bCs/>
          <w:i/>
          <w:iCs/>
        </w:rPr>
        <w:t>A4.</w:t>
      </w:r>
      <w:r>
        <w:rPr>
          <w:b/>
          <w:bCs/>
          <w:i/>
          <w:iCs/>
        </w:rPr>
        <w:tab/>
      </w:r>
      <w:r>
        <w:t>I am a trained economist with over twenty-five years of experience in studying and analyzing the regulation of public u</w:t>
      </w:r>
      <w:r w:rsidR="00E16FE3">
        <w:t xml:space="preserve">tilities in the United States. </w:t>
      </w:r>
      <w:r>
        <w:t>A list of my selected professional publications i</w:t>
      </w:r>
      <w:r w:rsidR="00E16FE3">
        <w:t>s included in Attachment DJD-2.</w:t>
      </w:r>
      <w:r>
        <w:t xml:space="preserve"> I have directly participated in many public utility pr</w:t>
      </w:r>
      <w:r w:rsidR="00E16FE3">
        <w:t>oceedings in Ohio and Illinois.</w:t>
      </w:r>
      <w:r>
        <w:t xml:space="preserve"> I am familiar with </w:t>
      </w:r>
      <w:r w:rsidR="00561333">
        <w:t xml:space="preserve">many </w:t>
      </w:r>
      <w:r>
        <w:t>r</w:t>
      </w:r>
      <w:r w:rsidR="00814B12">
        <w:t xml:space="preserve">egulatory and policy issues </w:t>
      </w:r>
      <w:r>
        <w:t xml:space="preserve">related to </w:t>
      </w:r>
      <w:r w:rsidR="00D8447C">
        <w:t>cost of capital,</w:t>
      </w:r>
      <w:r w:rsidR="009773FD">
        <w:t xml:space="preserve"> alternative regulation, </w:t>
      </w:r>
      <w:r w:rsidR="00814B12">
        <w:t xml:space="preserve">standard service offerings, </w:t>
      </w:r>
      <w:r w:rsidR="00D8447C">
        <w:t xml:space="preserve">and </w:t>
      </w:r>
      <w:r w:rsidR="009773FD">
        <w:t xml:space="preserve">retail competition of </w:t>
      </w:r>
      <w:r w:rsidR="00BE0448">
        <w:t xml:space="preserve">utility </w:t>
      </w:r>
      <w:r w:rsidR="009773FD">
        <w:t xml:space="preserve">services </w:t>
      </w:r>
      <w:r>
        <w:t>in Ohio.</w:t>
      </w:r>
    </w:p>
    <w:p w:rsidR="0076615E" w:rsidRDefault="0076615E" w:rsidP="0076615E">
      <w:pPr>
        <w:autoSpaceDE w:val="0"/>
        <w:autoSpaceDN w:val="0"/>
        <w:adjustRightInd w:val="0"/>
        <w:spacing w:line="480" w:lineRule="auto"/>
        <w:ind w:left="720" w:hanging="720"/>
      </w:pPr>
    </w:p>
    <w:p w:rsidR="00AA6FB9" w:rsidRDefault="009211D5">
      <w:pPr>
        <w:spacing w:line="480" w:lineRule="auto"/>
        <w:ind w:left="720" w:hanging="720"/>
        <w:rPr>
          <w:b/>
          <w:bCs/>
          <w:i/>
          <w:iCs/>
        </w:rPr>
      </w:pPr>
      <w:r>
        <w:rPr>
          <w:b/>
          <w:bCs/>
          <w:i/>
        </w:rPr>
        <w:t>Q</w:t>
      </w:r>
      <w:r w:rsidR="0076615E">
        <w:rPr>
          <w:b/>
          <w:bCs/>
          <w:i/>
        </w:rPr>
        <w:t>5</w:t>
      </w:r>
      <w:r w:rsidR="00DE5CCE">
        <w:rPr>
          <w:b/>
          <w:i/>
        </w:rPr>
        <w:t>.</w:t>
      </w:r>
      <w:r>
        <w:rPr>
          <w:b/>
          <w:i/>
        </w:rPr>
        <w:tab/>
      </w:r>
      <w:r>
        <w:rPr>
          <w:b/>
          <w:bCs/>
          <w:i/>
          <w:iCs/>
        </w:rPr>
        <w:t>WHAT IS THE PURPOSE OF YOUR TESTIMONY IN THIS PROCEEDING?</w:t>
      </w:r>
    </w:p>
    <w:p w:rsidR="00090A5F" w:rsidRDefault="009211D5" w:rsidP="001F1311">
      <w:pPr>
        <w:spacing w:line="480" w:lineRule="auto"/>
        <w:ind w:left="720" w:hanging="720"/>
      </w:pPr>
      <w:r>
        <w:rPr>
          <w:b/>
          <w:bCs/>
          <w:i/>
        </w:rPr>
        <w:t>A</w:t>
      </w:r>
      <w:r w:rsidR="0076615E">
        <w:rPr>
          <w:b/>
          <w:bCs/>
          <w:i/>
        </w:rPr>
        <w:t>5</w:t>
      </w:r>
      <w:r>
        <w:rPr>
          <w:b/>
          <w:bCs/>
          <w:i/>
        </w:rPr>
        <w:t>.</w:t>
      </w:r>
      <w:r>
        <w:tab/>
      </w:r>
      <w:r w:rsidR="00E47176">
        <w:t>The purpose of m</w:t>
      </w:r>
      <w:r w:rsidR="00961E01">
        <w:t>y testimony</w:t>
      </w:r>
      <w:r w:rsidR="00E47176">
        <w:t xml:space="preserve"> is to </w:t>
      </w:r>
      <w:r w:rsidR="0044680D">
        <w:t>explain and support OCC’s position</w:t>
      </w:r>
      <w:r w:rsidR="006672DE">
        <w:t xml:space="preserve"> that Duke Energy Ohio, Inc.</w:t>
      </w:r>
      <w:r w:rsidR="00D74DBF">
        <w:t>’s</w:t>
      </w:r>
      <w:r w:rsidR="006672DE">
        <w:t xml:space="preserve"> (“Duke” or “Utility”) proposed</w:t>
      </w:r>
      <w:r w:rsidR="00C055E4">
        <w:t xml:space="preserve"> </w:t>
      </w:r>
      <w:r w:rsidR="009B719C">
        <w:t xml:space="preserve">pre-tax rate of </w:t>
      </w:r>
      <w:r w:rsidR="009B719C" w:rsidRPr="0079417C">
        <w:t>return</w:t>
      </w:r>
      <w:r w:rsidR="00A05A9A" w:rsidRPr="0079417C">
        <w:t xml:space="preserve"> (</w:t>
      </w:r>
      <w:r w:rsidR="00894FF6" w:rsidRPr="0079417C">
        <w:t>“</w:t>
      </w:r>
      <w:r w:rsidR="00A05A9A" w:rsidRPr="0079417C">
        <w:t>ROR”)</w:t>
      </w:r>
      <w:r w:rsidR="0079417C">
        <w:t xml:space="preserve"> of </w:t>
      </w:r>
      <w:r w:rsidR="001E5031">
        <w:t>10.60% and rate of return on equity (“ROE”) of</w:t>
      </w:r>
      <w:r w:rsidR="009B719C">
        <w:t xml:space="preserve"> 9.84% </w:t>
      </w:r>
      <w:r w:rsidR="00112EF3">
        <w:t xml:space="preserve">for its </w:t>
      </w:r>
      <w:r w:rsidR="001C1734">
        <w:t xml:space="preserve">Accelerated Service Line Replacement Program </w:t>
      </w:r>
      <w:r w:rsidR="00077FA0">
        <w:t>(“</w:t>
      </w:r>
      <w:r w:rsidR="001F1311">
        <w:t>ASRP</w:t>
      </w:r>
      <w:r w:rsidR="00077FA0">
        <w:t xml:space="preserve">”) </w:t>
      </w:r>
      <w:r w:rsidR="00112EF3">
        <w:t>investment</w:t>
      </w:r>
      <w:r w:rsidR="001F1311">
        <w:t>s</w:t>
      </w:r>
      <w:r w:rsidR="006672DE">
        <w:t xml:space="preserve"> should be reduced</w:t>
      </w:r>
      <w:r w:rsidR="00090A5F">
        <w:t>.</w:t>
      </w:r>
      <w:r w:rsidR="001C1734">
        <w:rPr>
          <w:rStyle w:val="FootnoteReference"/>
        </w:rPr>
        <w:footnoteReference w:id="1"/>
      </w:r>
      <w:r w:rsidR="001C1734">
        <w:t xml:space="preserve"> </w:t>
      </w:r>
      <w:r w:rsidR="005A7B47">
        <w:t xml:space="preserve">If the proposed ASRP and Rider ASRP are approved by the PUCO, (which OCC is not recommending) </w:t>
      </w:r>
      <w:r w:rsidR="005A7B47">
        <w:rPr>
          <w:rStyle w:val="FootnoteReference"/>
        </w:rPr>
        <w:footnoteReference w:id="2"/>
      </w:r>
      <w:r w:rsidR="00EA0013">
        <w:t xml:space="preserve"> </w:t>
      </w:r>
      <w:r w:rsidR="005A7B47">
        <w:t>the pre-tax rate of return would be used in calculating the forecasted annualized revenue requirement collected from customers under Rider ASRP.</w:t>
      </w:r>
      <w:r w:rsidR="005A7B47">
        <w:rPr>
          <w:rStyle w:val="FootnoteReference"/>
        </w:rPr>
        <w:footnoteReference w:id="3"/>
      </w:r>
    </w:p>
    <w:p w:rsidR="00EB4939" w:rsidRDefault="00EB4939" w:rsidP="00147B0C">
      <w:pPr>
        <w:spacing w:line="480" w:lineRule="auto"/>
        <w:ind w:left="720"/>
      </w:pPr>
    </w:p>
    <w:p w:rsidR="00D8447C" w:rsidRDefault="00D8447C" w:rsidP="00D8447C">
      <w:pPr>
        <w:spacing w:line="480" w:lineRule="auto"/>
        <w:ind w:left="720" w:hanging="720"/>
        <w:rPr>
          <w:b/>
          <w:bCs/>
          <w:i/>
          <w:iCs/>
        </w:rPr>
      </w:pPr>
      <w:r>
        <w:rPr>
          <w:b/>
          <w:bCs/>
          <w:i/>
        </w:rPr>
        <w:t>Q6</w:t>
      </w:r>
      <w:r w:rsidR="00DE5CCE">
        <w:rPr>
          <w:b/>
          <w:i/>
        </w:rPr>
        <w:t>.</w:t>
      </w:r>
      <w:r>
        <w:rPr>
          <w:b/>
          <w:i/>
        </w:rPr>
        <w:tab/>
        <w:t xml:space="preserve">PLEASE SUMMARIZE YOUR </w:t>
      </w:r>
      <w:r w:rsidR="004E53E8">
        <w:rPr>
          <w:b/>
          <w:i/>
        </w:rPr>
        <w:t>FINDING</w:t>
      </w:r>
      <w:r w:rsidR="009773FD">
        <w:rPr>
          <w:b/>
          <w:i/>
        </w:rPr>
        <w:t>S</w:t>
      </w:r>
      <w:r w:rsidR="00911A17">
        <w:rPr>
          <w:b/>
          <w:i/>
        </w:rPr>
        <w:t>.</w:t>
      </w:r>
    </w:p>
    <w:p w:rsidR="004E5E3C" w:rsidRDefault="00D8447C" w:rsidP="00911A17">
      <w:pPr>
        <w:spacing w:line="480" w:lineRule="auto"/>
        <w:ind w:left="720" w:hanging="720"/>
      </w:pPr>
      <w:r>
        <w:rPr>
          <w:b/>
          <w:bCs/>
          <w:i/>
        </w:rPr>
        <w:t>A6.</w:t>
      </w:r>
      <w:r w:rsidR="004E5E3C">
        <w:tab/>
        <w:t xml:space="preserve">Based on my </w:t>
      </w:r>
      <w:r w:rsidR="00B46DF1">
        <w:t xml:space="preserve">review of the relevant material in this proceeding, my </w:t>
      </w:r>
      <w:r w:rsidR="004E5E3C">
        <w:t>experience as a regulatory economist</w:t>
      </w:r>
      <w:r w:rsidR="00B46DF1">
        <w:t>,</w:t>
      </w:r>
      <w:r w:rsidR="004E5E3C">
        <w:t xml:space="preserve"> and my understanding of the </w:t>
      </w:r>
      <w:r w:rsidR="00147B0C">
        <w:t xml:space="preserve">regulatory construct of </w:t>
      </w:r>
      <w:r w:rsidR="00BE0448">
        <w:t xml:space="preserve">utility </w:t>
      </w:r>
      <w:r w:rsidR="00147B0C">
        <w:t xml:space="preserve">service </w:t>
      </w:r>
      <w:r w:rsidR="004E5E3C">
        <w:t>in Ohio, I conclude th</w:t>
      </w:r>
      <w:r w:rsidR="00147B0C">
        <w:t>e following</w:t>
      </w:r>
      <w:r w:rsidR="00580F94">
        <w:t>:</w:t>
      </w:r>
    </w:p>
    <w:p w:rsidR="00F34B1F" w:rsidRPr="002938F4" w:rsidRDefault="00E378AC" w:rsidP="00EA717A">
      <w:pPr>
        <w:pStyle w:val="ListParagraph"/>
        <w:numPr>
          <w:ilvl w:val="0"/>
          <w:numId w:val="31"/>
        </w:numPr>
        <w:spacing w:line="480" w:lineRule="auto"/>
        <w:ind w:leftChars="0" w:left="2160" w:right="720" w:hanging="720"/>
        <w:rPr>
          <w:rFonts w:ascii="Times New Roman" w:hAnsi="Times New Roman"/>
        </w:rPr>
      </w:pPr>
      <w:r>
        <w:rPr>
          <w:rFonts w:ascii="Times New Roman" w:hAnsi="Times New Roman"/>
        </w:rPr>
        <w:t xml:space="preserve">Given </w:t>
      </w:r>
      <w:r w:rsidR="00B46DF1">
        <w:rPr>
          <w:rFonts w:ascii="Times New Roman" w:hAnsi="Times New Roman"/>
        </w:rPr>
        <w:t>that the hearing on the proposed ASRP i</w:t>
      </w:r>
      <w:r w:rsidR="00E16FE3">
        <w:rPr>
          <w:rFonts w:ascii="Times New Roman" w:hAnsi="Times New Roman"/>
        </w:rPr>
        <w:t xml:space="preserve">s </w:t>
      </w:r>
      <w:r w:rsidR="007D7B1B">
        <w:rPr>
          <w:rFonts w:ascii="Times New Roman" w:hAnsi="Times New Roman"/>
        </w:rPr>
        <w:t>pending</w:t>
      </w:r>
      <w:r w:rsidR="00E16FE3">
        <w:rPr>
          <w:rFonts w:ascii="Times New Roman" w:hAnsi="Times New Roman"/>
        </w:rPr>
        <w:t xml:space="preserve"> and a PUCO</w:t>
      </w:r>
      <w:r w:rsidR="00B46DF1">
        <w:rPr>
          <w:rFonts w:ascii="Times New Roman" w:hAnsi="Times New Roman"/>
        </w:rPr>
        <w:t xml:space="preserve"> decision </w:t>
      </w:r>
      <w:r w:rsidR="001F1311">
        <w:rPr>
          <w:rFonts w:ascii="Times New Roman" w:hAnsi="Times New Roman"/>
        </w:rPr>
        <w:t xml:space="preserve">may </w:t>
      </w:r>
      <w:r w:rsidR="007D7B1B">
        <w:rPr>
          <w:rFonts w:ascii="Times New Roman" w:hAnsi="Times New Roman"/>
        </w:rPr>
        <w:t xml:space="preserve">be issued </w:t>
      </w:r>
      <w:r w:rsidR="001F1311">
        <w:rPr>
          <w:rFonts w:ascii="Times New Roman" w:hAnsi="Times New Roman"/>
        </w:rPr>
        <w:t>in late 2015 or early 2016</w:t>
      </w:r>
      <w:r w:rsidR="006569BD">
        <w:rPr>
          <w:rFonts w:ascii="Times New Roman" w:hAnsi="Times New Roman"/>
        </w:rPr>
        <w:t xml:space="preserve">, </w:t>
      </w:r>
      <w:r w:rsidR="00BE0448">
        <w:rPr>
          <w:rFonts w:ascii="Times New Roman" w:hAnsi="Times New Roman"/>
        </w:rPr>
        <w:t>Duke</w:t>
      </w:r>
      <w:r w:rsidR="006569BD">
        <w:rPr>
          <w:rFonts w:ascii="Times New Roman" w:hAnsi="Times New Roman"/>
        </w:rPr>
        <w:t xml:space="preserve"> </w:t>
      </w:r>
      <w:r w:rsidR="00F34B1F">
        <w:rPr>
          <w:rFonts w:ascii="Times New Roman" w:hAnsi="Times New Roman"/>
        </w:rPr>
        <w:t xml:space="preserve">would </w:t>
      </w:r>
      <w:r w:rsidR="006569BD">
        <w:rPr>
          <w:rFonts w:ascii="Times New Roman" w:hAnsi="Times New Roman"/>
        </w:rPr>
        <w:t xml:space="preserve">not </w:t>
      </w:r>
      <w:r w:rsidR="001F1311">
        <w:rPr>
          <w:rFonts w:ascii="Times New Roman" w:hAnsi="Times New Roman"/>
        </w:rPr>
        <w:t xml:space="preserve">likely </w:t>
      </w:r>
      <w:r w:rsidR="006569BD">
        <w:rPr>
          <w:rFonts w:ascii="Times New Roman" w:hAnsi="Times New Roman"/>
        </w:rPr>
        <w:t xml:space="preserve">make any </w:t>
      </w:r>
      <w:r w:rsidR="001F1311">
        <w:rPr>
          <w:rFonts w:ascii="Times New Roman" w:hAnsi="Times New Roman"/>
        </w:rPr>
        <w:t>substantia</w:t>
      </w:r>
      <w:r w:rsidR="0079417C">
        <w:rPr>
          <w:rFonts w:ascii="Times New Roman" w:hAnsi="Times New Roman"/>
        </w:rPr>
        <w:t xml:space="preserve">l ASRP-related capital investment </w:t>
      </w:r>
      <w:r w:rsidR="00F34B1F">
        <w:rPr>
          <w:rFonts w:ascii="Times New Roman" w:hAnsi="Times New Roman"/>
        </w:rPr>
        <w:t>and put it i</w:t>
      </w:r>
      <w:r w:rsidR="00E16FE3">
        <w:rPr>
          <w:rFonts w:ascii="Times New Roman" w:hAnsi="Times New Roman"/>
        </w:rPr>
        <w:t xml:space="preserve">n service in 2015. </w:t>
      </w:r>
      <w:r w:rsidR="00F34B1F" w:rsidRPr="006C3EA4">
        <w:rPr>
          <w:rFonts w:ascii="Times New Roman" w:hAnsi="Times New Roman"/>
        </w:rPr>
        <w:t xml:space="preserve">Because Duke is not expected to make any </w:t>
      </w:r>
      <w:r w:rsidR="001F1311" w:rsidRPr="006C3EA4">
        <w:rPr>
          <w:rFonts w:ascii="Times New Roman" w:hAnsi="Times New Roman"/>
        </w:rPr>
        <w:t xml:space="preserve">substantial </w:t>
      </w:r>
      <w:r w:rsidR="00F34B1F" w:rsidRPr="006C3EA4">
        <w:rPr>
          <w:rFonts w:ascii="Times New Roman" w:hAnsi="Times New Roman"/>
        </w:rPr>
        <w:t xml:space="preserve">ASRP-related capital investments in 2015, and assuming </w:t>
      </w:r>
      <w:r w:rsidR="006569BD" w:rsidRPr="006C3EA4">
        <w:rPr>
          <w:rFonts w:ascii="Times New Roman" w:hAnsi="Times New Roman"/>
        </w:rPr>
        <w:t xml:space="preserve">the proposed procedure </w:t>
      </w:r>
      <w:r w:rsidR="00BE0448" w:rsidRPr="006C3EA4">
        <w:rPr>
          <w:rFonts w:ascii="Times New Roman" w:hAnsi="Times New Roman"/>
        </w:rPr>
        <w:t>in updating and truing up Rider ASRP</w:t>
      </w:r>
      <w:r w:rsidR="00F34B1F" w:rsidRPr="006C3EA4">
        <w:rPr>
          <w:rFonts w:ascii="Times New Roman" w:hAnsi="Times New Roman"/>
        </w:rPr>
        <w:t xml:space="preserve"> is adopted </w:t>
      </w:r>
      <w:r w:rsidR="00E16FE3" w:rsidRPr="006C3EA4">
        <w:rPr>
          <w:rFonts w:ascii="Times New Roman" w:hAnsi="Times New Roman"/>
        </w:rPr>
        <w:t>by the PUCO</w:t>
      </w:r>
      <w:r w:rsidR="00BE0448" w:rsidRPr="006C3EA4">
        <w:rPr>
          <w:rFonts w:ascii="Times New Roman" w:hAnsi="Times New Roman"/>
        </w:rPr>
        <w:t xml:space="preserve">, </w:t>
      </w:r>
      <w:r w:rsidR="006569BD" w:rsidRPr="006C3EA4">
        <w:rPr>
          <w:rFonts w:ascii="Times New Roman" w:hAnsi="Times New Roman"/>
        </w:rPr>
        <w:t>Duke w</w:t>
      </w:r>
      <w:r w:rsidR="00F34B1F" w:rsidRPr="006C3EA4">
        <w:rPr>
          <w:rFonts w:ascii="Times New Roman" w:hAnsi="Times New Roman"/>
        </w:rPr>
        <w:t xml:space="preserve">ould </w:t>
      </w:r>
      <w:r w:rsidR="00A05A9A">
        <w:rPr>
          <w:rFonts w:ascii="Times New Roman" w:hAnsi="Times New Roman"/>
        </w:rPr>
        <w:t xml:space="preserve">not </w:t>
      </w:r>
      <w:r w:rsidR="00B46DF1" w:rsidRPr="006C3EA4">
        <w:rPr>
          <w:rFonts w:ascii="Times New Roman" w:hAnsi="Times New Roman"/>
        </w:rPr>
        <w:t xml:space="preserve">make </w:t>
      </w:r>
      <w:r w:rsidR="005F01FE" w:rsidRPr="006C3EA4">
        <w:rPr>
          <w:rFonts w:ascii="Times New Roman" w:hAnsi="Times New Roman"/>
        </w:rPr>
        <w:t xml:space="preserve">its first </w:t>
      </w:r>
      <w:r w:rsidR="00BE0448" w:rsidRPr="006C3EA4">
        <w:rPr>
          <w:rFonts w:ascii="Times New Roman" w:hAnsi="Times New Roman"/>
        </w:rPr>
        <w:t xml:space="preserve">actual application </w:t>
      </w:r>
      <w:r w:rsidR="00104893" w:rsidRPr="006C3EA4">
        <w:rPr>
          <w:rFonts w:ascii="Times New Roman" w:hAnsi="Times New Roman"/>
        </w:rPr>
        <w:t xml:space="preserve">to </w:t>
      </w:r>
      <w:r w:rsidR="001B31F5" w:rsidRPr="006C3EA4">
        <w:rPr>
          <w:rFonts w:ascii="Times New Roman" w:hAnsi="Times New Roman"/>
        </w:rPr>
        <w:t>updat</w:t>
      </w:r>
      <w:r w:rsidR="00104893" w:rsidRPr="006C3EA4">
        <w:rPr>
          <w:rFonts w:ascii="Times New Roman" w:hAnsi="Times New Roman"/>
        </w:rPr>
        <w:t>e</w:t>
      </w:r>
      <w:r w:rsidR="001B31F5" w:rsidRPr="006C3EA4">
        <w:rPr>
          <w:rFonts w:ascii="Times New Roman" w:hAnsi="Times New Roman"/>
        </w:rPr>
        <w:t xml:space="preserve"> </w:t>
      </w:r>
      <w:r w:rsidR="00B46DF1" w:rsidRPr="006C3EA4">
        <w:rPr>
          <w:rFonts w:ascii="Times New Roman" w:hAnsi="Times New Roman"/>
        </w:rPr>
        <w:t xml:space="preserve">Rider ASRP </w:t>
      </w:r>
      <w:r w:rsidR="00A05A9A">
        <w:rPr>
          <w:rFonts w:ascii="Times New Roman" w:hAnsi="Times New Roman"/>
        </w:rPr>
        <w:t>until approximately</w:t>
      </w:r>
      <w:r w:rsidR="00104893" w:rsidRPr="006C3EA4">
        <w:rPr>
          <w:rFonts w:ascii="Times New Roman" w:hAnsi="Times New Roman"/>
        </w:rPr>
        <w:t xml:space="preserve"> </w:t>
      </w:r>
      <w:r w:rsidR="005F01FE" w:rsidRPr="006C3EA4">
        <w:rPr>
          <w:rFonts w:ascii="Times New Roman" w:hAnsi="Times New Roman"/>
        </w:rPr>
        <w:t xml:space="preserve">March 1, 2017 </w:t>
      </w:r>
      <w:r w:rsidR="003C6081" w:rsidRPr="006C3EA4">
        <w:rPr>
          <w:rFonts w:ascii="Times New Roman" w:hAnsi="Times New Roman"/>
        </w:rPr>
        <w:t xml:space="preserve">to collect its </w:t>
      </w:r>
      <w:r w:rsidR="00BE0448" w:rsidRPr="006C3EA4">
        <w:rPr>
          <w:rFonts w:ascii="Times New Roman" w:hAnsi="Times New Roman"/>
        </w:rPr>
        <w:t xml:space="preserve">twelve-month </w:t>
      </w:r>
      <w:r w:rsidR="005F01FE" w:rsidRPr="006C3EA4">
        <w:rPr>
          <w:rFonts w:ascii="Times New Roman" w:hAnsi="Times New Roman"/>
        </w:rPr>
        <w:t xml:space="preserve">actual </w:t>
      </w:r>
      <w:r w:rsidR="006569BD" w:rsidRPr="006C3EA4">
        <w:rPr>
          <w:rFonts w:ascii="Times New Roman" w:hAnsi="Times New Roman"/>
        </w:rPr>
        <w:t xml:space="preserve">ASRP-related </w:t>
      </w:r>
      <w:r w:rsidR="005F01FE" w:rsidRPr="006C3EA4">
        <w:rPr>
          <w:rFonts w:ascii="Times New Roman" w:hAnsi="Times New Roman"/>
        </w:rPr>
        <w:t xml:space="preserve">costs </w:t>
      </w:r>
      <w:r w:rsidR="007D7B1B">
        <w:rPr>
          <w:rFonts w:ascii="Times New Roman" w:hAnsi="Times New Roman"/>
        </w:rPr>
        <w:t>for</w:t>
      </w:r>
      <w:r w:rsidR="007D7B1B" w:rsidRPr="006C3EA4">
        <w:rPr>
          <w:rFonts w:ascii="Times New Roman" w:hAnsi="Times New Roman"/>
        </w:rPr>
        <w:t xml:space="preserve"> </w:t>
      </w:r>
      <w:r w:rsidR="005F01FE" w:rsidRPr="006C3EA4">
        <w:rPr>
          <w:rFonts w:ascii="Times New Roman" w:hAnsi="Times New Roman"/>
        </w:rPr>
        <w:t>2016</w:t>
      </w:r>
      <w:r w:rsidR="00CD30D7" w:rsidRPr="006C3EA4">
        <w:rPr>
          <w:rFonts w:ascii="Times New Roman" w:hAnsi="Times New Roman"/>
        </w:rPr>
        <w:t>;</w:t>
      </w:r>
    </w:p>
    <w:p w:rsidR="00CD30D7" w:rsidRPr="00CD30D7" w:rsidRDefault="00E16FE3" w:rsidP="00EA717A">
      <w:pPr>
        <w:pStyle w:val="ListParagraph"/>
        <w:numPr>
          <w:ilvl w:val="0"/>
          <w:numId w:val="31"/>
        </w:numPr>
        <w:spacing w:line="480" w:lineRule="auto"/>
        <w:ind w:leftChars="0" w:left="2160" w:right="720" w:hanging="720"/>
      </w:pPr>
      <w:r>
        <w:rPr>
          <w:rFonts w:ascii="Times New Roman" w:hAnsi="Times New Roman"/>
        </w:rPr>
        <w:t xml:space="preserve">Even if the PUCO were to approve the </w:t>
      </w:r>
      <w:r w:rsidR="00894FF6">
        <w:rPr>
          <w:rFonts w:ascii="Times New Roman" w:hAnsi="Times New Roman"/>
        </w:rPr>
        <w:t xml:space="preserve">proposed </w:t>
      </w:r>
      <w:r>
        <w:rPr>
          <w:rFonts w:ascii="Times New Roman" w:hAnsi="Times New Roman"/>
        </w:rPr>
        <w:t xml:space="preserve">ASRP </w:t>
      </w:r>
      <w:r w:rsidR="007D7B1B">
        <w:rPr>
          <w:rFonts w:ascii="Times New Roman" w:hAnsi="Times New Roman"/>
        </w:rPr>
        <w:t xml:space="preserve">contrary to </w:t>
      </w:r>
      <w:r>
        <w:rPr>
          <w:rFonts w:ascii="Times New Roman" w:hAnsi="Times New Roman"/>
        </w:rPr>
        <w:t>the recommendations of OCC</w:t>
      </w:r>
      <w:r w:rsidR="007D7B1B">
        <w:rPr>
          <w:rFonts w:ascii="Times New Roman" w:hAnsi="Times New Roman"/>
        </w:rPr>
        <w:t xml:space="preserve"> to protect customers</w:t>
      </w:r>
      <w:r>
        <w:rPr>
          <w:rFonts w:ascii="Times New Roman" w:hAnsi="Times New Roman"/>
        </w:rPr>
        <w:t>,</w:t>
      </w:r>
      <w:r w:rsidR="003F6919">
        <w:rPr>
          <w:rFonts w:ascii="Times New Roman" w:hAnsi="Times New Roman"/>
        </w:rPr>
        <w:t xml:space="preserve"> </w:t>
      </w:r>
      <w:r w:rsidR="005A67C6">
        <w:rPr>
          <w:rFonts w:ascii="Times New Roman" w:hAnsi="Times New Roman"/>
        </w:rPr>
        <w:t>Duke is not expected to make its first actual Rider ASRP application until early 2017</w:t>
      </w:r>
      <w:r w:rsidR="003F6919">
        <w:rPr>
          <w:rFonts w:ascii="Times New Roman" w:hAnsi="Times New Roman"/>
        </w:rPr>
        <w:t xml:space="preserve">. It </w:t>
      </w:r>
      <w:r w:rsidR="00A05A9A">
        <w:rPr>
          <w:rFonts w:ascii="Times New Roman" w:hAnsi="Times New Roman"/>
        </w:rPr>
        <w:t>is</w:t>
      </w:r>
      <w:r w:rsidR="003F6919">
        <w:rPr>
          <w:rFonts w:ascii="Times New Roman" w:hAnsi="Times New Roman"/>
        </w:rPr>
        <w:t xml:space="preserve"> </w:t>
      </w:r>
      <w:r w:rsidR="005A67C6">
        <w:rPr>
          <w:rFonts w:ascii="Times New Roman" w:hAnsi="Times New Roman"/>
        </w:rPr>
        <w:t xml:space="preserve">premature and unnecessary to set </w:t>
      </w:r>
      <w:r w:rsidR="00900DB3" w:rsidRPr="00CD30D7">
        <w:rPr>
          <w:rFonts w:ascii="Times New Roman" w:hAnsi="Times New Roman"/>
        </w:rPr>
        <w:t xml:space="preserve">the </w:t>
      </w:r>
      <w:r w:rsidR="00A05A9A">
        <w:rPr>
          <w:rFonts w:ascii="Times New Roman" w:hAnsi="Times New Roman"/>
        </w:rPr>
        <w:t>ROR or ROE</w:t>
      </w:r>
      <w:r w:rsidR="00900DB3" w:rsidRPr="00CD30D7">
        <w:rPr>
          <w:rFonts w:ascii="Times New Roman" w:hAnsi="Times New Roman"/>
        </w:rPr>
        <w:t xml:space="preserve"> </w:t>
      </w:r>
      <w:r w:rsidR="001B31F5">
        <w:rPr>
          <w:rFonts w:ascii="Times New Roman" w:hAnsi="Times New Roman"/>
        </w:rPr>
        <w:t xml:space="preserve">in this proceeding </w:t>
      </w:r>
      <w:r w:rsidR="00900DB3" w:rsidRPr="00CD30D7">
        <w:rPr>
          <w:rFonts w:ascii="Times New Roman" w:hAnsi="Times New Roman"/>
        </w:rPr>
        <w:t xml:space="preserve">at this time </w:t>
      </w:r>
      <w:r w:rsidR="006569BD" w:rsidRPr="00CD30D7">
        <w:rPr>
          <w:rFonts w:ascii="Times New Roman" w:hAnsi="Times New Roman"/>
        </w:rPr>
        <w:t xml:space="preserve">for Rider ASRP </w:t>
      </w:r>
      <w:r w:rsidR="001B31F5">
        <w:rPr>
          <w:rFonts w:ascii="Times New Roman" w:hAnsi="Times New Roman"/>
        </w:rPr>
        <w:t>(</w:t>
      </w:r>
      <w:r w:rsidR="007D7B1B">
        <w:rPr>
          <w:rFonts w:ascii="Times New Roman" w:hAnsi="Times New Roman"/>
        </w:rPr>
        <w:t>which</w:t>
      </w:r>
      <w:r w:rsidR="007D7B1B" w:rsidRPr="00CD30D7">
        <w:rPr>
          <w:rFonts w:ascii="Times New Roman" w:hAnsi="Times New Roman"/>
        </w:rPr>
        <w:t xml:space="preserve"> </w:t>
      </w:r>
      <w:r w:rsidR="00990694" w:rsidRPr="00CD30D7">
        <w:rPr>
          <w:rFonts w:ascii="Times New Roman" w:hAnsi="Times New Roman"/>
        </w:rPr>
        <w:t xml:space="preserve">is </w:t>
      </w:r>
      <w:r w:rsidR="00A05A9A">
        <w:rPr>
          <w:rFonts w:ascii="Times New Roman" w:hAnsi="Times New Roman"/>
        </w:rPr>
        <w:t xml:space="preserve">not </w:t>
      </w:r>
      <w:r w:rsidR="00990694" w:rsidRPr="00CD30D7">
        <w:rPr>
          <w:rFonts w:ascii="Times New Roman" w:hAnsi="Times New Roman"/>
        </w:rPr>
        <w:t xml:space="preserve">expected to be </w:t>
      </w:r>
      <w:r w:rsidR="00894FF6">
        <w:rPr>
          <w:rFonts w:ascii="Times New Roman" w:hAnsi="Times New Roman"/>
        </w:rPr>
        <w:t>updated</w:t>
      </w:r>
      <w:r w:rsidR="00990694" w:rsidRPr="00CD30D7">
        <w:rPr>
          <w:rFonts w:ascii="Times New Roman" w:hAnsi="Times New Roman"/>
        </w:rPr>
        <w:t xml:space="preserve"> </w:t>
      </w:r>
      <w:r w:rsidR="00A05A9A">
        <w:rPr>
          <w:rFonts w:ascii="Times New Roman" w:hAnsi="Times New Roman"/>
        </w:rPr>
        <w:t>until</w:t>
      </w:r>
      <w:r w:rsidR="001B31F5">
        <w:rPr>
          <w:rFonts w:ascii="Times New Roman" w:hAnsi="Times New Roman"/>
        </w:rPr>
        <w:t xml:space="preserve"> May</w:t>
      </w:r>
      <w:r w:rsidR="006569BD" w:rsidRPr="00CD30D7">
        <w:rPr>
          <w:rFonts w:ascii="Times New Roman" w:hAnsi="Times New Roman"/>
        </w:rPr>
        <w:t xml:space="preserve"> 2017</w:t>
      </w:r>
      <w:r w:rsidR="001B31F5">
        <w:rPr>
          <w:rFonts w:ascii="Times New Roman" w:hAnsi="Times New Roman"/>
        </w:rPr>
        <w:t>)</w:t>
      </w:r>
      <w:r w:rsidR="005A67C6">
        <w:rPr>
          <w:rFonts w:ascii="Times New Roman" w:hAnsi="Times New Roman"/>
        </w:rPr>
        <w:t xml:space="preserve">. </w:t>
      </w:r>
      <w:r w:rsidR="00990694" w:rsidRPr="00CD30D7">
        <w:rPr>
          <w:rFonts w:ascii="Times New Roman" w:hAnsi="Times New Roman"/>
        </w:rPr>
        <w:t>This is especially t</w:t>
      </w:r>
      <w:r w:rsidR="001B31F5">
        <w:rPr>
          <w:rFonts w:ascii="Times New Roman" w:hAnsi="Times New Roman"/>
        </w:rPr>
        <w:t xml:space="preserve">rue </w:t>
      </w:r>
      <w:r w:rsidR="005A67C6">
        <w:rPr>
          <w:rFonts w:ascii="Times New Roman" w:hAnsi="Times New Roman"/>
        </w:rPr>
        <w:t xml:space="preserve">given </w:t>
      </w:r>
      <w:r w:rsidR="00990694" w:rsidRPr="00CD30D7">
        <w:rPr>
          <w:rFonts w:ascii="Times New Roman" w:hAnsi="Times New Roman"/>
        </w:rPr>
        <w:t xml:space="preserve">Duke is now obligated to file an electric distribution rate case </w:t>
      </w:r>
      <w:r w:rsidR="005A67C6">
        <w:rPr>
          <w:rFonts w:ascii="Times New Roman" w:hAnsi="Times New Roman"/>
        </w:rPr>
        <w:t xml:space="preserve">no later than </w:t>
      </w:r>
      <w:r w:rsidR="00990694" w:rsidRPr="00CD30D7">
        <w:rPr>
          <w:rFonts w:ascii="Times New Roman" w:hAnsi="Times New Roman"/>
        </w:rPr>
        <w:t>October 22, 201</w:t>
      </w:r>
      <w:r w:rsidR="005A67C6">
        <w:rPr>
          <w:rFonts w:ascii="Times New Roman" w:hAnsi="Times New Roman"/>
        </w:rPr>
        <w:t>6</w:t>
      </w:r>
      <w:r w:rsidR="00990694" w:rsidRPr="00CD30D7">
        <w:rPr>
          <w:rFonts w:ascii="Times New Roman" w:hAnsi="Times New Roman"/>
        </w:rPr>
        <w:t xml:space="preserve"> (PUCO Case No. 10-2326-GE-RDR, N</w:t>
      </w:r>
      <w:r>
        <w:rPr>
          <w:rFonts w:ascii="Times New Roman" w:hAnsi="Times New Roman"/>
        </w:rPr>
        <w:t xml:space="preserve">otice of Staff Determination). </w:t>
      </w:r>
      <w:r w:rsidR="001B31F5">
        <w:rPr>
          <w:rFonts w:ascii="Times New Roman" w:hAnsi="Times New Roman"/>
        </w:rPr>
        <w:t>When Duke files its electric distribution rate case, t</w:t>
      </w:r>
      <w:r w:rsidR="00990694" w:rsidRPr="00CD30D7">
        <w:rPr>
          <w:rFonts w:ascii="Times New Roman" w:hAnsi="Times New Roman"/>
        </w:rPr>
        <w:t xml:space="preserve">here will be detailed and updated financial information </w:t>
      </w:r>
      <w:r w:rsidR="001B31F5">
        <w:rPr>
          <w:rFonts w:ascii="Times New Roman" w:hAnsi="Times New Roman"/>
        </w:rPr>
        <w:t xml:space="preserve">available </w:t>
      </w:r>
      <w:r w:rsidR="00990694" w:rsidRPr="00CD30D7">
        <w:rPr>
          <w:rFonts w:ascii="Times New Roman" w:hAnsi="Times New Roman"/>
        </w:rPr>
        <w:t xml:space="preserve">(such as </w:t>
      </w:r>
      <w:r w:rsidR="0075768B">
        <w:rPr>
          <w:rFonts w:ascii="Times New Roman" w:hAnsi="Times New Roman"/>
        </w:rPr>
        <w:t xml:space="preserve">those included in </w:t>
      </w:r>
      <w:r w:rsidR="00990694" w:rsidRPr="00CD30D7">
        <w:rPr>
          <w:rFonts w:ascii="Times New Roman" w:hAnsi="Times New Roman"/>
        </w:rPr>
        <w:t xml:space="preserve">Schedule D of the Standard Filing Requirements) </w:t>
      </w:r>
      <w:r>
        <w:rPr>
          <w:rFonts w:ascii="Times New Roman" w:hAnsi="Times New Roman"/>
        </w:rPr>
        <w:t>for the PUCO</w:t>
      </w:r>
      <w:r w:rsidR="005A67C6">
        <w:rPr>
          <w:rFonts w:ascii="Times New Roman" w:hAnsi="Times New Roman"/>
        </w:rPr>
        <w:t xml:space="preserve"> to consider </w:t>
      </w:r>
      <w:r w:rsidR="001B31F5">
        <w:rPr>
          <w:rFonts w:ascii="Times New Roman" w:hAnsi="Times New Roman"/>
        </w:rPr>
        <w:t xml:space="preserve">in setting the </w:t>
      </w:r>
      <w:r w:rsidR="00CE6F25">
        <w:rPr>
          <w:rFonts w:ascii="Times New Roman" w:hAnsi="Times New Roman"/>
        </w:rPr>
        <w:t>ROR</w:t>
      </w:r>
      <w:r w:rsidR="001B31F5">
        <w:rPr>
          <w:rFonts w:ascii="Times New Roman" w:hAnsi="Times New Roman"/>
        </w:rPr>
        <w:t xml:space="preserve"> </w:t>
      </w:r>
      <w:r w:rsidR="004017B4">
        <w:rPr>
          <w:rFonts w:ascii="Times New Roman" w:hAnsi="Times New Roman"/>
        </w:rPr>
        <w:t xml:space="preserve">and ROE </w:t>
      </w:r>
      <w:r w:rsidR="001B31F5">
        <w:rPr>
          <w:rFonts w:ascii="Times New Roman" w:hAnsi="Times New Roman"/>
        </w:rPr>
        <w:t xml:space="preserve">for updating the ASRP Rider </w:t>
      </w:r>
      <w:r w:rsidR="005A67C6">
        <w:rPr>
          <w:rFonts w:ascii="Times New Roman" w:hAnsi="Times New Roman"/>
        </w:rPr>
        <w:t xml:space="preserve">in </w:t>
      </w:r>
      <w:r>
        <w:rPr>
          <w:rFonts w:ascii="Times New Roman" w:hAnsi="Times New Roman"/>
        </w:rPr>
        <w:t>2017;</w:t>
      </w:r>
    </w:p>
    <w:p w:rsidR="00F45FA6" w:rsidRPr="00D74DBF" w:rsidRDefault="00CD30D7" w:rsidP="002604BB">
      <w:pPr>
        <w:pStyle w:val="ListParagraph"/>
        <w:numPr>
          <w:ilvl w:val="0"/>
          <w:numId w:val="31"/>
        </w:numPr>
        <w:spacing w:line="480" w:lineRule="auto"/>
        <w:ind w:leftChars="0" w:left="2160" w:right="720" w:hanging="720"/>
        <w:rPr>
          <w:rFonts w:ascii="Times New Roman" w:hAnsi="Times New Roman"/>
          <w:color w:val="000000" w:themeColor="text1"/>
        </w:rPr>
      </w:pPr>
      <w:r w:rsidRPr="00CD30D7">
        <w:rPr>
          <w:rFonts w:ascii="Times New Roman" w:hAnsi="Times New Roman"/>
        </w:rPr>
        <w:t>I</w:t>
      </w:r>
      <w:r w:rsidR="00E378AC" w:rsidRPr="00CD30D7">
        <w:rPr>
          <w:rFonts w:ascii="Times New Roman" w:hAnsi="Times New Roman"/>
        </w:rPr>
        <w:t>f the</w:t>
      </w:r>
      <w:r w:rsidRPr="00CD30D7">
        <w:rPr>
          <w:rFonts w:ascii="Times New Roman" w:hAnsi="Times New Roman"/>
        </w:rPr>
        <w:t xml:space="preserve"> </w:t>
      </w:r>
      <w:r w:rsidR="003C6081">
        <w:rPr>
          <w:rFonts w:ascii="Times New Roman" w:hAnsi="Times New Roman"/>
        </w:rPr>
        <w:t xml:space="preserve">PUCO </w:t>
      </w:r>
      <w:r w:rsidR="00E16FE3">
        <w:rPr>
          <w:rFonts w:ascii="Times New Roman" w:hAnsi="Times New Roman"/>
        </w:rPr>
        <w:t xml:space="preserve">were to </w:t>
      </w:r>
      <w:r w:rsidR="003C6081">
        <w:rPr>
          <w:rFonts w:ascii="Times New Roman" w:hAnsi="Times New Roman"/>
        </w:rPr>
        <w:t xml:space="preserve">approve the proposed </w:t>
      </w:r>
      <w:r w:rsidR="00900DB3" w:rsidRPr="00CD30D7">
        <w:rPr>
          <w:rFonts w:ascii="Times New Roman" w:hAnsi="Times New Roman"/>
        </w:rPr>
        <w:t>A</w:t>
      </w:r>
      <w:r w:rsidR="00E378AC" w:rsidRPr="00CD30D7">
        <w:rPr>
          <w:rFonts w:ascii="Times New Roman" w:hAnsi="Times New Roman"/>
        </w:rPr>
        <w:t xml:space="preserve">SRP </w:t>
      </w:r>
      <w:r w:rsidR="001B31F5">
        <w:rPr>
          <w:rFonts w:ascii="Times New Roman" w:hAnsi="Times New Roman"/>
        </w:rPr>
        <w:t xml:space="preserve">and Rider ASRP </w:t>
      </w:r>
      <w:r w:rsidR="005A67C6">
        <w:rPr>
          <w:rFonts w:ascii="Times New Roman" w:hAnsi="Times New Roman"/>
        </w:rPr>
        <w:t xml:space="preserve">in this proceeding </w:t>
      </w:r>
      <w:r w:rsidR="003C6081">
        <w:rPr>
          <w:rFonts w:ascii="Times New Roman" w:hAnsi="Times New Roman"/>
        </w:rPr>
        <w:t xml:space="preserve">and </w:t>
      </w:r>
      <w:r w:rsidR="007D7B1B">
        <w:rPr>
          <w:rFonts w:ascii="Times New Roman" w:hAnsi="Times New Roman"/>
        </w:rPr>
        <w:t xml:space="preserve">elects </w:t>
      </w:r>
      <w:r w:rsidR="003C6081">
        <w:rPr>
          <w:rFonts w:ascii="Times New Roman" w:hAnsi="Times New Roman"/>
        </w:rPr>
        <w:t xml:space="preserve">to set </w:t>
      </w:r>
      <w:r w:rsidR="0075768B">
        <w:rPr>
          <w:rFonts w:ascii="Times New Roman" w:hAnsi="Times New Roman"/>
        </w:rPr>
        <w:t xml:space="preserve">a </w:t>
      </w:r>
      <w:r w:rsidR="00A05A9A">
        <w:rPr>
          <w:rFonts w:ascii="Times New Roman" w:hAnsi="Times New Roman"/>
        </w:rPr>
        <w:t>ROE</w:t>
      </w:r>
      <w:r w:rsidR="0075768B">
        <w:rPr>
          <w:rFonts w:ascii="Times New Roman" w:hAnsi="Times New Roman"/>
        </w:rPr>
        <w:t xml:space="preserve"> and its resulting </w:t>
      </w:r>
      <w:r w:rsidR="00A05A9A">
        <w:rPr>
          <w:rFonts w:ascii="Times New Roman" w:hAnsi="Times New Roman"/>
        </w:rPr>
        <w:t>ROR</w:t>
      </w:r>
      <w:r w:rsidR="003C6081">
        <w:rPr>
          <w:rFonts w:ascii="Times New Roman" w:hAnsi="Times New Roman"/>
        </w:rPr>
        <w:t xml:space="preserve"> on ASRP-related investment now, </w:t>
      </w:r>
      <w:r w:rsidR="00E378AC" w:rsidRPr="00CD30D7">
        <w:rPr>
          <w:rFonts w:ascii="Times New Roman" w:hAnsi="Times New Roman"/>
        </w:rPr>
        <w:t xml:space="preserve">the </w:t>
      </w:r>
      <w:r w:rsidR="00900DB3" w:rsidRPr="00CD30D7">
        <w:rPr>
          <w:rFonts w:ascii="Times New Roman" w:hAnsi="Times New Roman"/>
        </w:rPr>
        <w:t xml:space="preserve">pre-tax </w:t>
      </w:r>
      <w:r w:rsidR="00A05A9A">
        <w:rPr>
          <w:rFonts w:ascii="Times New Roman" w:hAnsi="Times New Roman"/>
        </w:rPr>
        <w:t>ROR</w:t>
      </w:r>
      <w:r w:rsidR="00E378AC" w:rsidRPr="00CD30D7">
        <w:rPr>
          <w:rFonts w:ascii="Times New Roman" w:hAnsi="Times New Roman"/>
        </w:rPr>
        <w:t xml:space="preserve"> </w:t>
      </w:r>
      <w:r w:rsidR="005A0835">
        <w:rPr>
          <w:rFonts w:ascii="Times New Roman" w:hAnsi="Times New Roman"/>
        </w:rPr>
        <w:t>of 10.60%</w:t>
      </w:r>
      <w:r w:rsidR="00900DB3" w:rsidRPr="00CD30D7">
        <w:rPr>
          <w:rFonts w:ascii="Times New Roman" w:hAnsi="Times New Roman"/>
        </w:rPr>
        <w:t xml:space="preserve"> </w:t>
      </w:r>
      <w:r w:rsidR="001E5031">
        <w:rPr>
          <w:rFonts w:ascii="Times New Roman" w:hAnsi="Times New Roman"/>
        </w:rPr>
        <w:t>and</w:t>
      </w:r>
      <w:r w:rsidR="00E378AC" w:rsidRPr="00CD30D7">
        <w:rPr>
          <w:rFonts w:ascii="Times New Roman" w:hAnsi="Times New Roman"/>
        </w:rPr>
        <w:t xml:space="preserve"> </w:t>
      </w:r>
      <w:r w:rsidR="003C6081">
        <w:rPr>
          <w:rFonts w:ascii="Times New Roman" w:hAnsi="Times New Roman"/>
        </w:rPr>
        <w:t xml:space="preserve">ROE </w:t>
      </w:r>
      <w:r w:rsidR="005A0835">
        <w:rPr>
          <w:rFonts w:ascii="Times New Roman" w:hAnsi="Times New Roman"/>
        </w:rPr>
        <w:t>of 9.84%</w:t>
      </w:r>
      <w:r w:rsidR="007D7B1B">
        <w:rPr>
          <w:rFonts w:ascii="Times New Roman" w:hAnsi="Times New Roman"/>
        </w:rPr>
        <w:t>,</w:t>
      </w:r>
      <w:r w:rsidR="00900DB3" w:rsidRPr="00CD30D7">
        <w:rPr>
          <w:rFonts w:ascii="Times New Roman" w:hAnsi="Times New Roman"/>
        </w:rPr>
        <w:t xml:space="preserve"> </w:t>
      </w:r>
      <w:r w:rsidR="003C6081">
        <w:rPr>
          <w:rFonts w:ascii="Times New Roman" w:hAnsi="Times New Roman"/>
        </w:rPr>
        <w:t>propo</w:t>
      </w:r>
      <w:r w:rsidR="00E16FE3">
        <w:rPr>
          <w:rFonts w:ascii="Times New Roman" w:hAnsi="Times New Roman"/>
        </w:rPr>
        <w:t>sed by Duke</w:t>
      </w:r>
      <w:r w:rsidR="007D7B1B">
        <w:rPr>
          <w:rFonts w:ascii="Times New Roman" w:hAnsi="Times New Roman"/>
        </w:rPr>
        <w:t>,</w:t>
      </w:r>
      <w:r w:rsidR="00E16FE3">
        <w:rPr>
          <w:rStyle w:val="FootnoteReference"/>
          <w:rFonts w:ascii="Times New Roman" w:hAnsi="Times New Roman"/>
        </w:rPr>
        <w:footnoteReference w:id="4"/>
      </w:r>
      <w:r w:rsidR="00E16FE3">
        <w:rPr>
          <w:rFonts w:ascii="Times New Roman" w:hAnsi="Times New Roman"/>
        </w:rPr>
        <w:t xml:space="preserve"> should be reduced</w:t>
      </w:r>
      <w:r w:rsidR="00F45FA6">
        <w:rPr>
          <w:rFonts w:ascii="Times New Roman" w:hAnsi="Times New Roman"/>
        </w:rPr>
        <w:t xml:space="preserve"> for various reasons</w:t>
      </w:r>
      <w:r w:rsidR="00E16FE3">
        <w:rPr>
          <w:rFonts w:ascii="Times New Roman" w:hAnsi="Times New Roman"/>
        </w:rPr>
        <w:t xml:space="preserve">. </w:t>
      </w:r>
      <w:r w:rsidR="007D7B1B">
        <w:rPr>
          <w:rFonts w:ascii="Times New Roman" w:hAnsi="Times New Roman"/>
        </w:rPr>
        <w:t>Specifically, t</w:t>
      </w:r>
      <w:r w:rsidR="005A0835">
        <w:rPr>
          <w:rFonts w:ascii="Times New Roman" w:hAnsi="Times New Roman"/>
        </w:rPr>
        <w:t>he 9.84%</w:t>
      </w:r>
      <w:r w:rsidR="003C6081">
        <w:rPr>
          <w:rFonts w:ascii="Times New Roman" w:hAnsi="Times New Roman"/>
        </w:rPr>
        <w:t xml:space="preserve"> ROE </w:t>
      </w:r>
      <w:r w:rsidR="00280CE2">
        <w:rPr>
          <w:rFonts w:ascii="Times New Roman" w:hAnsi="Times New Roman"/>
        </w:rPr>
        <w:t xml:space="preserve">proposed by Duke </w:t>
      </w:r>
      <w:r w:rsidR="0075768B">
        <w:rPr>
          <w:rFonts w:ascii="Times New Roman" w:hAnsi="Times New Roman"/>
        </w:rPr>
        <w:t xml:space="preserve">in this proceeding </w:t>
      </w:r>
      <w:r w:rsidR="007D7B1B">
        <w:rPr>
          <w:rFonts w:ascii="Times New Roman" w:hAnsi="Times New Roman"/>
        </w:rPr>
        <w:t>is</w:t>
      </w:r>
      <w:r w:rsidR="003C6081">
        <w:rPr>
          <w:rFonts w:ascii="Times New Roman" w:hAnsi="Times New Roman"/>
        </w:rPr>
        <w:t xml:space="preserve"> </w:t>
      </w:r>
      <w:r w:rsidR="007D7B1B">
        <w:rPr>
          <w:rFonts w:ascii="Times New Roman" w:hAnsi="Times New Roman"/>
        </w:rPr>
        <w:t xml:space="preserve">identical to </w:t>
      </w:r>
      <w:r w:rsidR="004017B4">
        <w:rPr>
          <w:rFonts w:ascii="Times New Roman" w:hAnsi="Times New Roman"/>
        </w:rPr>
        <w:t xml:space="preserve">the  ROE </w:t>
      </w:r>
      <w:r w:rsidR="005A67C6">
        <w:rPr>
          <w:rFonts w:ascii="Times New Roman" w:hAnsi="Times New Roman"/>
        </w:rPr>
        <w:t xml:space="preserve">stipulated </w:t>
      </w:r>
      <w:r w:rsidR="003C6081">
        <w:rPr>
          <w:rFonts w:ascii="Times New Roman" w:hAnsi="Times New Roman"/>
        </w:rPr>
        <w:t xml:space="preserve">in </w:t>
      </w:r>
      <w:r w:rsidR="00923F08">
        <w:rPr>
          <w:rFonts w:ascii="Times New Roman" w:hAnsi="Times New Roman"/>
        </w:rPr>
        <w:t>Duke’s most recent gas distribution case</w:t>
      </w:r>
      <w:r w:rsidR="00A05A9A">
        <w:rPr>
          <w:rStyle w:val="FootnoteReference"/>
          <w:rFonts w:ascii="Times New Roman" w:hAnsi="Times New Roman"/>
        </w:rPr>
        <w:footnoteReference w:id="5"/>
      </w:r>
      <w:r w:rsidR="00923F08">
        <w:rPr>
          <w:rFonts w:ascii="Times New Roman" w:hAnsi="Times New Roman"/>
        </w:rPr>
        <w:t xml:space="preserve"> and </w:t>
      </w:r>
      <w:r w:rsidR="004017B4">
        <w:rPr>
          <w:rFonts w:ascii="Times New Roman" w:hAnsi="Times New Roman"/>
        </w:rPr>
        <w:t xml:space="preserve">that ROE </w:t>
      </w:r>
      <w:r w:rsidR="00923F08">
        <w:rPr>
          <w:rFonts w:ascii="Times New Roman" w:hAnsi="Times New Roman"/>
        </w:rPr>
        <w:t xml:space="preserve">was developed largely on the credit and capital market </w:t>
      </w:r>
      <w:r w:rsidR="00280CE2">
        <w:rPr>
          <w:rFonts w:ascii="Times New Roman" w:hAnsi="Times New Roman"/>
        </w:rPr>
        <w:t xml:space="preserve">conditions prevailing in 2012. </w:t>
      </w:r>
      <w:r w:rsidR="005A0835">
        <w:rPr>
          <w:rFonts w:ascii="Times New Roman" w:hAnsi="Times New Roman"/>
        </w:rPr>
        <w:t>The 9.84%</w:t>
      </w:r>
      <w:r w:rsidR="00923F08">
        <w:rPr>
          <w:rFonts w:ascii="Times New Roman" w:hAnsi="Times New Roman"/>
        </w:rPr>
        <w:t xml:space="preserve"> ROE</w:t>
      </w:r>
      <w:r w:rsidR="005A67C6">
        <w:rPr>
          <w:rFonts w:ascii="Times New Roman" w:hAnsi="Times New Roman"/>
        </w:rPr>
        <w:t>, if adopted</w:t>
      </w:r>
      <w:r w:rsidR="004017B4">
        <w:rPr>
          <w:rFonts w:ascii="Times New Roman" w:hAnsi="Times New Roman"/>
        </w:rPr>
        <w:t xml:space="preserve"> in this proceeding</w:t>
      </w:r>
      <w:r w:rsidR="005A67C6">
        <w:rPr>
          <w:rFonts w:ascii="Times New Roman" w:hAnsi="Times New Roman"/>
        </w:rPr>
        <w:t xml:space="preserve">, would </w:t>
      </w:r>
      <w:r w:rsidR="00A42C6A">
        <w:rPr>
          <w:rFonts w:ascii="Times New Roman" w:hAnsi="Times New Roman"/>
        </w:rPr>
        <w:t xml:space="preserve">not properly reflect </w:t>
      </w:r>
      <w:r w:rsidRPr="00CD30D7">
        <w:rPr>
          <w:rFonts w:ascii="Times New Roman" w:hAnsi="Times New Roman"/>
        </w:rPr>
        <w:t xml:space="preserve">a general decline in the costs of credit and capital </w:t>
      </w:r>
      <w:r w:rsidR="00A05A9A">
        <w:rPr>
          <w:rFonts w:ascii="Times New Roman" w:hAnsi="Times New Roman"/>
        </w:rPr>
        <w:t xml:space="preserve">that has occurred </w:t>
      </w:r>
      <w:r w:rsidRPr="00CD30D7">
        <w:rPr>
          <w:rFonts w:ascii="Times New Roman" w:hAnsi="Times New Roman"/>
        </w:rPr>
        <w:t>since 2012</w:t>
      </w:r>
      <w:r w:rsidR="00D74DBF">
        <w:rPr>
          <w:rFonts w:ascii="Times New Roman" w:hAnsi="Times New Roman"/>
        </w:rPr>
        <w:t>;</w:t>
      </w:r>
    </w:p>
    <w:p w:rsidR="00F45FA6" w:rsidRDefault="00F45FA6" w:rsidP="00D74DBF">
      <w:pPr>
        <w:spacing w:line="480" w:lineRule="auto"/>
        <w:ind w:left="720" w:right="720"/>
      </w:pPr>
    </w:p>
    <w:p w:rsidR="00D74DBF" w:rsidRDefault="007D7B1B" w:rsidP="00D74DBF">
      <w:pPr>
        <w:spacing w:line="480" w:lineRule="auto"/>
        <w:ind w:left="2160" w:right="720"/>
      </w:pPr>
      <w:r w:rsidRPr="00F45FA6">
        <w:t>T</w:t>
      </w:r>
      <w:r w:rsidR="00CD30D7" w:rsidRPr="00F45FA6">
        <w:t xml:space="preserve">he </w:t>
      </w:r>
      <w:r w:rsidR="00BC4485">
        <w:t xml:space="preserve">proposed </w:t>
      </w:r>
      <w:r w:rsidR="00F45FA6">
        <w:t xml:space="preserve">9.84% ROE </w:t>
      </w:r>
      <w:r w:rsidR="00855780">
        <w:t>also does not</w:t>
      </w:r>
      <w:r w:rsidR="00F45FA6">
        <w:t xml:space="preserve"> reflect </w:t>
      </w:r>
      <w:r w:rsidR="00D74DBF">
        <w:t>Duke’s</w:t>
      </w:r>
      <w:r w:rsidR="00F45FA6">
        <w:t xml:space="preserve"> reduced risk </w:t>
      </w:r>
      <w:r w:rsidR="00855780">
        <w:t>that results from accelerated collection of ASRP costs through a rider mechanism.</w:t>
      </w:r>
      <w:r w:rsidR="00BC4485">
        <w:t xml:space="preserve"> </w:t>
      </w:r>
      <w:r w:rsidR="00D74DBF">
        <w:t>In addition</w:t>
      </w:r>
      <w:r w:rsidR="005A67C6" w:rsidRPr="00F45FA6">
        <w:t xml:space="preserve">, </w:t>
      </w:r>
      <w:r w:rsidR="00D74DBF">
        <w:t>as noted by OCC witness Williams, there is a</w:t>
      </w:r>
      <w:r w:rsidR="004017B4" w:rsidRPr="00F45FA6">
        <w:t xml:space="preserve"> need to relieve </w:t>
      </w:r>
      <w:r w:rsidR="00D74DBF">
        <w:t xml:space="preserve">the significant current and future </w:t>
      </w:r>
      <w:r w:rsidR="0075768B" w:rsidRPr="00F45FA6">
        <w:t>f</w:t>
      </w:r>
      <w:r w:rsidR="005A67C6" w:rsidRPr="00F45FA6">
        <w:t>inancial burden</w:t>
      </w:r>
      <w:r w:rsidR="0075768B" w:rsidRPr="00F45FA6">
        <w:t>s</w:t>
      </w:r>
      <w:r w:rsidR="005A67C6" w:rsidRPr="00F45FA6">
        <w:t xml:space="preserve"> </w:t>
      </w:r>
      <w:r w:rsidR="0075768B" w:rsidRPr="00F45FA6">
        <w:t xml:space="preserve">resulting from the accelerated infrastructure replacement programs </w:t>
      </w:r>
      <w:r w:rsidR="005A67C6" w:rsidRPr="00F45FA6">
        <w:t>on Duke’s residential customers</w:t>
      </w:r>
      <w:r w:rsidR="00D74DBF">
        <w:t>; and</w:t>
      </w:r>
      <w:r w:rsidR="00F45FA6">
        <w:t xml:space="preserve"> </w:t>
      </w:r>
    </w:p>
    <w:p w:rsidR="0024155C" w:rsidRPr="006C3EA4" w:rsidRDefault="00A42C6A" w:rsidP="00EA717A">
      <w:pPr>
        <w:pStyle w:val="ListParagraph"/>
        <w:numPr>
          <w:ilvl w:val="0"/>
          <w:numId w:val="31"/>
        </w:numPr>
        <w:spacing w:line="480" w:lineRule="auto"/>
        <w:ind w:leftChars="0" w:left="2160" w:right="720" w:hanging="720"/>
        <w:rPr>
          <w:rFonts w:ascii="Times New Roman" w:hAnsi="Times New Roman"/>
          <w:color w:val="000000" w:themeColor="text1"/>
        </w:rPr>
      </w:pPr>
      <w:r w:rsidRPr="006C3EA4">
        <w:rPr>
          <w:rFonts w:ascii="Times New Roman" w:hAnsi="Times New Roman"/>
          <w:color w:val="000000" w:themeColor="text1"/>
        </w:rPr>
        <w:t xml:space="preserve">There are </w:t>
      </w:r>
      <w:r w:rsidR="002938F4" w:rsidRPr="006C3EA4">
        <w:rPr>
          <w:rFonts w:ascii="Times New Roman" w:hAnsi="Times New Roman"/>
          <w:color w:val="000000" w:themeColor="text1"/>
        </w:rPr>
        <w:t xml:space="preserve">several </w:t>
      </w:r>
      <w:r w:rsidRPr="006C3EA4">
        <w:rPr>
          <w:rFonts w:ascii="Times New Roman" w:hAnsi="Times New Roman"/>
          <w:color w:val="000000" w:themeColor="text1"/>
        </w:rPr>
        <w:t>deficiencies in Duke</w:t>
      </w:r>
      <w:r w:rsidR="005A0835">
        <w:rPr>
          <w:rFonts w:ascii="Times New Roman" w:hAnsi="Times New Roman"/>
          <w:color w:val="000000" w:themeColor="text1"/>
        </w:rPr>
        <w:t>’s testimony supporting the 9.8%</w:t>
      </w:r>
      <w:r w:rsidRPr="006C3EA4">
        <w:rPr>
          <w:rFonts w:ascii="Times New Roman" w:hAnsi="Times New Roman"/>
          <w:color w:val="000000" w:themeColor="text1"/>
        </w:rPr>
        <w:t xml:space="preserve"> </w:t>
      </w:r>
      <w:r w:rsidR="00C823DE">
        <w:rPr>
          <w:rFonts w:ascii="Times New Roman" w:hAnsi="Times New Roman"/>
          <w:color w:val="000000" w:themeColor="text1"/>
        </w:rPr>
        <w:t>ROE</w:t>
      </w:r>
      <w:r w:rsidR="0075768B" w:rsidRPr="006C3EA4">
        <w:rPr>
          <w:rFonts w:ascii="Times New Roman" w:hAnsi="Times New Roman"/>
          <w:color w:val="000000" w:themeColor="text1"/>
        </w:rPr>
        <w:t xml:space="preserve"> th</w:t>
      </w:r>
      <w:r w:rsidR="00C823DE">
        <w:rPr>
          <w:rFonts w:ascii="Times New Roman" w:hAnsi="Times New Roman"/>
          <w:color w:val="000000" w:themeColor="text1"/>
        </w:rPr>
        <w:t>at</w:t>
      </w:r>
      <w:r w:rsidR="002938F4" w:rsidRPr="006C3EA4">
        <w:rPr>
          <w:rFonts w:ascii="Times New Roman" w:hAnsi="Times New Roman"/>
          <w:color w:val="000000" w:themeColor="text1"/>
        </w:rPr>
        <w:t>, if not corrected,</w:t>
      </w:r>
      <w:r w:rsidR="0075768B" w:rsidRPr="006C3EA4">
        <w:rPr>
          <w:rFonts w:ascii="Times New Roman" w:hAnsi="Times New Roman"/>
          <w:color w:val="000000" w:themeColor="text1"/>
        </w:rPr>
        <w:t xml:space="preserve"> would tend to overstate the </w:t>
      </w:r>
      <w:r w:rsidR="00EA0013">
        <w:rPr>
          <w:rFonts w:ascii="Times New Roman" w:hAnsi="Times New Roman"/>
          <w:color w:val="000000" w:themeColor="text1"/>
        </w:rPr>
        <w:t xml:space="preserve">amount of </w:t>
      </w:r>
      <w:r w:rsidR="00EF25BC">
        <w:rPr>
          <w:rFonts w:ascii="Times New Roman" w:hAnsi="Times New Roman"/>
          <w:color w:val="000000" w:themeColor="text1"/>
        </w:rPr>
        <w:t xml:space="preserve">customer funding </w:t>
      </w:r>
      <w:r w:rsidR="00EA0013">
        <w:rPr>
          <w:rFonts w:ascii="Times New Roman" w:hAnsi="Times New Roman"/>
          <w:color w:val="000000" w:themeColor="text1"/>
        </w:rPr>
        <w:t xml:space="preserve">(based on a higher than necessary </w:t>
      </w:r>
      <w:r w:rsidR="005A7B47">
        <w:rPr>
          <w:rFonts w:ascii="Times New Roman" w:hAnsi="Times New Roman"/>
          <w:color w:val="000000" w:themeColor="text1"/>
        </w:rPr>
        <w:t>ROE</w:t>
      </w:r>
      <w:r w:rsidR="00EA0013">
        <w:rPr>
          <w:rFonts w:ascii="Times New Roman" w:hAnsi="Times New Roman"/>
          <w:color w:val="000000" w:themeColor="text1"/>
        </w:rPr>
        <w:t>)</w:t>
      </w:r>
      <w:r w:rsidR="0075768B" w:rsidRPr="006C3EA4">
        <w:rPr>
          <w:rFonts w:ascii="Times New Roman" w:hAnsi="Times New Roman"/>
          <w:color w:val="000000" w:themeColor="text1"/>
        </w:rPr>
        <w:t xml:space="preserve"> for Duke</w:t>
      </w:r>
      <w:r w:rsidR="004017B4">
        <w:rPr>
          <w:rFonts w:ascii="Times New Roman" w:hAnsi="Times New Roman"/>
          <w:color w:val="000000" w:themeColor="text1"/>
        </w:rPr>
        <w:t>’s proposed ASRP investments</w:t>
      </w:r>
      <w:r w:rsidR="0075768B" w:rsidRPr="006C3EA4">
        <w:rPr>
          <w:rFonts w:ascii="Times New Roman" w:hAnsi="Times New Roman"/>
          <w:color w:val="000000" w:themeColor="text1"/>
        </w:rPr>
        <w:t>.</w:t>
      </w:r>
    </w:p>
    <w:p w:rsidR="008B11E0" w:rsidRDefault="008B11E0" w:rsidP="008B11E0">
      <w:pPr>
        <w:pStyle w:val="ListParagraph"/>
        <w:spacing w:line="480" w:lineRule="auto"/>
        <w:ind w:leftChars="0" w:left="1440" w:right="720"/>
        <w:rPr>
          <w:rFonts w:ascii="Times New Roman" w:hAnsi="Times New Roman"/>
        </w:rPr>
      </w:pPr>
    </w:p>
    <w:p w:rsidR="008B11E0" w:rsidRPr="008B11E0" w:rsidRDefault="008B11E0" w:rsidP="008B11E0">
      <w:pPr>
        <w:spacing w:line="480" w:lineRule="auto"/>
        <w:rPr>
          <w:b/>
          <w:bCs/>
          <w:i/>
          <w:iCs/>
        </w:rPr>
      </w:pPr>
      <w:r w:rsidRPr="008B11E0">
        <w:rPr>
          <w:b/>
          <w:bCs/>
          <w:i/>
        </w:rPr>
        <w:t>Q</w:t>
      </w:r>
      <w:r>
        <w:rPr>
          <w:b/>
          <w:bCs/>
          <w:i/>
        </w:rPr>
        <w:t>7</w:t>
      </w:r>
      <w:r w:rsidR="00EA717A">
        <w:rPr>
          <w:b/>
          <w:i/>
        </w:rPr>
        <w:t>.</w:t>
      </w:r>
      <w:r w:rsidRPr="008B11E0">
        <w:rPr>
          <w:b/>
          <w:i/>
        </w:rPr>
        <w:tab/>
        <w:t>PLEASE SUMMARIZE YOUR RECOMMENDATIONS.</w:t>
      </w:r>
    </w:p>
    <w:p w:rsidR="00567249" w:rsidRPr="0024155C" w:rsidRDefault="008B11E0" w:rsidP="001B7B30">
      <w:pPr>
        <w:spacing w:line="480" w:lineRule="auto"/>
        <w:ind w:left="720" w:hanging="720"/>
      </w:pPr>
      <w:r w:rsidRPr="008B11E0">
        <w:rPr>
          <w:b/>
          <w:bCs/>
          <w:i/>
        </w:rPr>
        <w:t>A</w:t>
      </w:r>
      <w:r>
        <w:rPr>
          <w:b/>
          <w:bCs/>
          <w:i/>
        </w:rPr>
        <w:t>7</w:t>
      </w:r>
      <w:r w:rsidRPr="008B11E0">
        <w:rPr>
          <w:b/>
          <w:bCs/>
          <w:i/>
        </w:rPr>
        <w:t>.</w:t>
      </w:r>
      <w:r>
        <w:rPr>
          <w:b/>
          <w:bCs/>
          <w:i/>
        </w:rPr>
        <w:tab/>
      </w:r>
      <w:r w:rsidR="00567249" w:rsidRPr="0024155C">
        <w:t>I</w:t>
      </w:r>
      <w:r w:rsidR="00C823DE">
        <w:t>f the PUCO approve</w:t>
      </w:r>
      <w:r w:rsidR="00EF25BC">
        <w:t>s</w:t>
      </w:r>
      <w:r w:rsidR="00C823DE">
        <w:t xml:space="preserve"> the ASRP and Rider ASRP over the objections of the OCC </w:t>
      </w:r>
      <w:r w:rsidR="006D180C">
        <w:t xml:space="preserve">to protect customers from unnecessary charges, </w:t>
      </w:r>
      <w:r w:rsidR="00C823DE">
        <w:t>then I</w:t>
      </w:r>
      <w:r w:rsidR="00567249" w:rsidRPr="0024155C">
        <w:t xml:space="preserve"> recommend </w:t>
      </w:r>
      <w:r w:rsidR="005E002D" w:rsidRPr="0024155C">
        <w:t>the following</w:t>
      </w:r>
      <w:r w:rsidR="00C823DE">
        <w:t xml:space="preserve"> modifications</w:t>
      </w:r>
      <w:r w:rsidR="006D180C">
        <w:t xml:space="preserve"> to the </w:t>
      </w:r>
      <w:r w:rsidR="001A413A">
        <w:t>propos</w:t>
      </w:r>
      <w:r w:rsidR="00580B70">
        <w:t>ed ASRP and Rider ASRP</w:t>
      </w:r>
      <w:r w:rsidR="00900DB3" w:rsidRPr="0024155C">
        <w:t>:</w:t>
      </w:r>
    </w:p>
    <w:p w:rsidR="0085400F" w:rsidRDefault="00A42C6A" w:rsidP="00EA717A">
      <w:pPr>
        <w:pStyle w:val="ListParagraph"/>
        <w:numPr>
          <w:ilvl w:val="0"/>
          <w:numId w:val="32"/>
        </w:numPr>
        <w:spacing w:line="480" w:lineRule="auto"/>
        <w:ind w:leftChars="0" w:left="2160" w:right="720" w:hanging="720"/>
        <w:rPr>
          <w:rFonts w:ascii="Times New Roman" w:hAnsi="Times New Roman"/>
        </w:rPr>
      </w:pPr>
      <w:r>
        <w:rPr>
          <w:rFonts w:ascii="Times New Roman" w:hAnsi="Times New Roman"/>
        </w:rPr>
        <w:t xml:space="preserve">Given that </w:t>
      </w:r>
      <w:r w:rsidR="00900DB3">
        <w:rPr>
          <w:rFonts w:ascii="Times New Roman" w:hAnsi="Times New Roman"/>
        </w:rPr>
        <w:t xml:space="preserve">there is </w:t>
      </w:r>
      <w:r>
        <w:rPr>
          <w:rFonts w:ascii="Times New Roman" w:hAnsi="Times New Roman"/>
        </w:rPr>
        <w:t>likely no ASRP-related capital investments made by Duke and put into service in 2015, t</w:t>
      </w:r>
      <w:r w:rsidR="00280CE2">
        <w:rPr>
          <w:rFonts w:ascii="Times New Roman" w:hAnsi="Times New Roman"/>
        </w:rPr>
        <w:t>he PUCO</w:t>
      </w:r>
      <w:r w:rsidR="00567249" w:rsidRPr="00842F67">
        <w:rPr>
          <w:rFonts w:ascii="Times New Roman" w:hAnsi="Times New Roman"/>
        </w:rPr>
        <w:t xml:space="preserve"> </w:t>
      </w:r>
      <w:r w:rsidR="00985807">
        <w:rPr>
          <w:rFonts w:ascii="Times New Roman" w:hAnsi="Times New Roman"/>
        </w:rPr>
        <w:t xml:space="preserve">should </w:t>
      </w:r>
      <w:r w:rsidR="0046780C">
        <w:rPr>
          <w:rFonts w:ascii="Times New Roman" w:hAnsi="Times New Roman"/>
        </w:rPr>
        <w:t xml:space="preserve">direct Duke to </w:t>
      </w:r>
      <w:r>
        <w:rPr>
          <w:rFonts w:ascii="Times New Roman" w:hAnsi="Times New Roman"/>
        </w:rPr>
        <w:t>set Rider ASRP at $0 until May 2017</w:t>
      </w:r>
      <w:r w:rsidR="0085400F">
        <w:rPr>
          <w:rFonts w:ascii="Times New Roman" w:hAnsi="Times New Roman"/>
        </w:rPr>
        <w:t>;</w:t>
      </w:r>
    </w:p>
    <w:p w:rsidR="00CA4BC0" w:rsidRPr="00CA4BC0" w:rsidRDefault="00923F08" w:rsidP="00CA4BC0">
      <w:pPr>
        <w:pStyle w:val="ListParagraph"/>
        <w:numPr>
          <w:ilvl w:val="0"/>
          <w:numId w:val="32"/>
        </w:numPr>
        <w:spacing w:line="480" w:lineRule="auto"/>
        <w:ind w:leftChars="0" w:left="2160" w:right="720" w:hanging="720"/>
        <w:rPr>
          <w:rFonts w:ascii="Times New Roman" w:hAnsi="Times New Roman"/>
        </w:rPr>
      </w:pPr>
      <w:r w:rsidRPr="00DE5CCE">
        <w:rPr>
          <w:rFonts w:ascii="Times New Roman" w:hAnsi="Times New Roman"/>
        </w:rPr>
        <w:t>B</w:t>
      </w:r>
      <w:r w:rsidR="0085400F" w:rsidRPr="00DE5CCE">
        <w:rPr>
          <w:rFonts w:ascii="Times New Roman" w:hAnsi="Times New Roman"/>
        </w:rPr>
        <w:t xml:space="preserve">ecause </w:t>
      </w:r>
      <w:r w:rsidRPr="00DE5CCE">
        <w:rPr>
          <w:rFonts w:ascii="Times New Roman" w:hAnsi="Times New Roman"/>
        </w:rPr>
        <w:t xml:space="preserve">Rider ASRP will not </w:t>
      </w:r>
      <w:r w:rsidR="005A67C6" w:rsidRPr="00DE5CCE">
        <w:rPr>
          <w:rFonts w:ascii="Times New Roman" w:hAnsi="Times New Roman"/>
        </w:rPr>
        <w:t xml:space="preserve">need to </w:t>
      </w:r>
      <w:r w:rsidRPr="00DE5CCE">
        <w:rPr>
          <w:rFonts w:ascii="Times New Roman" w:hAnsi="Times New Roman"/>
        </w:rPr>
        <w:t xml:space="preserve">be </w:t>
      </w:r>
      <w:r w:rsidR="004017B4" w:rsidRPr="00DE5CCE">
        <w:rPr>
          <w:rFonts w:ascii="Times New Roman" w:hAnsi="Times New Roman"/>
        </w:rPr>
        <w:t xml:space="preserve">updated </w:t>
      </w:r>
      <w:r w:rsidRPr="00DE5CCE">
        <w:rPr>
          <w:rFonts w:ascii="Times New Roman" w:hAnsi="Times New Roman"/>
        </w:rPr>
        <w:t>until May 2017</w:t>
      </w:r>
      <w:r w:rsidR="00580B70" w:rsidRPr="00DE5CCE">
        <w:rPr>
          <w:rFonts w:ascii="Times New Roman" w:hAnsi="Times New Roman"/>
        </w:rPr>
        <w:t xml:space="preserve"> at the earliest</w:t>
      </w:r>
      <w:r w:rsidRPr="00DE5CCE">
        <w:rPr>
          <w:rFonts w:ascii="Times New Roman" w:hAnsi="Times New Roman"/>
        </w:rPr>
        <w:t xml:space="preserve">, </w:t>
      </w:r>
      <w:r w:rsidR="0057597D" w:rsidRPr="00DE5CCE">
        <w:rPr>
          <w:rFonts w:ascii="Times New Roman" w:hAnsi="Times New Roman"/>
        </w:rPr>
        <w:t>t</w:t>
      </w:r>
      <w:r w:rsidR="00280CE2" w:rsidRPr="00DE5CCE">
        <w:rPr>
          <w:rFonts w:ascii="Times New Roman" w:hAnsi="Times New Roman"/>
        </w:rPr>
        <w:t>he PUCO</w:t>
      </w:r>
      <w:r w:rsidR="0085400F" w:rsidRPr="00DE5CCE">
        <w:rPr>
          <w:rFonts w:ascii="Times New Roman" w:hAnsi="Times New Roman"/>
        </w:rPr>
        <w:t xml:space="preserve"> should direct Duke to </w:t>
      </w:r>
      <w:r w:rsidR="0046780C" w:rsidRPr="00DE5CCE">
        <w:rPr>
          <w:rFonts w:ascii="Times New Roman" w:hAnsi="Times New Roman"/>
        </w:rPr>
        <w:t>file all re</w:t>
      </w:r>
      <w:r w:rsidR="0085400F" w:rsidRPr="00DE5CCE">
        <w:rPr>
          <w:rFonts w:ascii="Times New Roman" w:hAnsi="Times New Roman"/>
        </w:rPr>
        <w:t xml:space="preserve">levant </w:t>
      </w:r>
      <w:r w:rsidR="0046780C" w:rsidRPr="00DE5CCE">
        <w:rPr>
          <w:rFonts w:ascii="Times New Roman" w:hAnsi="Times New Roman"/>
        </w:rPr>
        <w:t xml:space="preserve">financial information when Duke </w:t>
      </w:r>
      <w:r w:rsidR="006D180C" w:rsidRPr="00DE5CCE">
        <w:rPr>
          <w:rFonts w:ascii="Times New Roman" w:hAnsi="Times New Roman"/>
        </w:rPr>
        <w:t xml:space="preserve">makes </w:t>
      </w:r>
      <w:r w:rsidR="0046780C" w:rsidRPr="00DE5CCE">
        <w:rPr>
          <w:rFonts w:ascii="Times New Roman" w:hAnsi="Times New Roman"/>
        </w:rPr>
        <w:t xml:space="preserve">its </w:t>
      </w:r>
      <w:r w:rsidR="00FB1509" w:rsidRPr="00DE5CCE">
        <w:rPr>
          <w:rFonts w:ascii="Times New Roman" w:hAnsi="Times New Roman"/>
        </w:rPr>
        <w:t xml:space="preserve">first </w:t>
      </w:r>
      <w:r w:rsidR="0046780C" w:rsidRPr="00DE5CCE">
        <w:rPr>
          <w:rFonts w:ascii="Times New Roman" w:hAnsi="Times New Roman"/>
        </w:rPr>
        <w:t xml:space="preserve">actual application </w:t>
      </w:r>
      <w:r w:rsidR="0085400F" w:rsidRPr="00DE5CCE">
        <w:rPr>
          <w:rFonts w:ascii="Times New Roman" w:hAnsi="Times New Roman"/>
        </w:rPr>
        <w:t xml:space="preserve">for Rider ASRP </w:t>
      </w:r>
      <w:r w:rsidR="0046780C" w:rsidRPr="00DE5CCE">
        <w:rPr>
          <w:rFonts w:ascii="Times New Roman" w:hAnsi="Times New Roman"/>
        </w:rPr>
        <w:t>on or before March 1, 2017</w:t>
      </w:r>
      <w:r w:rsidR="000E4F72" w:rsidRPr="00DE5CCE">
        <w:rPr>
          <w:rFonts w:ascii="Times New Roman" w:hAnsi="Times New Roman"/>
        </w:rPr>
        <w:t xml:space="preserve">. </w:t>
      </w:r>
      <w:r w:rsidR="00EF25BC" w:rsidRPr="00DE5CCE">
        <w:rPr>
          <w:rFonts w:ascii="Times New Roman" w:hAnsi="Times New Roman"/>
        </w:rPr>
        <w:t>The</w:t>
      </w:r>
      <w:r w:rsidR="00426DD4" w:rsidRPr="00DE5CCE">
        <w:rPr>
          <w:rFonts w:ascii="Times New Roman" w:hAnsi="Times New Roman"/>
        </w:rPr>
        <w:t xml:space="preserve"> </w:t>
      </w:r>
      <w:r w:rsidR="00C823DE" w:rsidRPr="00DE5CCE">
        <w:rPr>
          <w:rFonts w:ascii="Times New Roman" w:hAnsi="Times New Roman"/>
        </w:rPr>
        <w:t>ROR and ROE</w:t>
      </w:r>
      <w:r w:rsidR="00426DD4" w:rsidRPr="00DE5CCE">
        <w:rPr>
          <w:rFonts w:ascii="Times New Roman" w:hAnsi="Times New Roman"/>
        </w:rPr>
        <w:t xml:space="preserve"> </w:t>
      </w:r>
      <w:r w:rsidR="004017B4" w:rsidRPr="00DE5CCE">
        <w:rPr>
          <w:rFonts w:ascii="Times New Roman" w:hAnsi="Times New Roman"/>
        </w:rPr>
        <w:t xml:space="preserve">used for calculating Rider ASRP </w:t>
      </w:r>
      <w:r w:rsidR="00EF25BC" w:rsidRPr="00DE5CCE">
        <w:rPr>
          <w:rFonts w:ascii="Times New Roman" w:hAnsi="Times New Roman"/>
        </w:rPr>
        <w:t xml:space="preserve">should </w:t>
      </w:r>
      <w:r w:rsidR="00426DD4" w:rsidRPr="00DE5CCE">
        <w:rPr>
          <w:rFonts w:ascii="Times New Roman" w:hAnsi="Times New Roman"/>
        </w:rPr>
        <w:t xml:space="preserve">be </w:t>
      </w:r>
      <w:r w:rsidR="0085400F" w:rsidRPr="00DE5CCE">
        <w:rPr>
          <w:rFonts w:ascii="Times New Roman" w:hAnsi="Times New Roman"/>
        </w:rPr>
        <w:t xml:space="preserve">determined </w:t>
      </w:r>
      <w:r w:rsidR="00426DD4" w:rsidRPr="00DE5CCE">
        <w:rPr>
          <w:rFonts w:ascii="Times New Roman" w:hAnsi="Times New Roman"/>
        </w:rPr>
        <w:t>at that time</w:t>
      </w:r>
      <w:r w:rsidR="0046780C" w:rsidRPr="00DE5CCE">
        <w:rPr>
          <w:rFonts w:ascii="Times New Roman" w:hAnsi="Times New Roman"/>
        </w:rPr>
        <w:t>;</w:t>
      </w:r>
      <w:r w:rsidR="00EA717A" w:rsidRPr="00DE5CCE">
        <w:rPr>
          <w:rFonts w:ascii="Times New Roman" w:hAnsi="Times New Roman"/>
        </w:rPr>
        <w:t xml:space="preserve"> and</w:t>
      </w:r>
      <w:r w:rsidR="00CA4BC0">
        <w:rPr>
          <w:rFonts w:ascii="Times New Roman" w:hAnsi="Times New Roman"/>
        </w:rPr>
        <w:br w:type="page"/>
      </w:r>
    </w:p>
    <w:p w:rsidR="0057597D" w:rsidRPr="00280CE2" w:rsidRDefault="00426DD4" w:rsidP="00EA717A">
      <w:pPr>
        <w:pStyle w:val="ListParagraph"/>
        <w:numPr>
          <w:ilvl w:val="0"/>
          <w:numId w:val="32"/>
        </w:numPr>
        <w:spacing w:line="480" w:lineRule="auto"/>
        <w:ind w:leftChars="0" w:left="2160" w:right="720" w:hanging="720"/>
        <w:rPr>
          <w:rFonts w:ascii="Times New Roman" w:hAnsi="Times New Roman"/>
        </w:rPr>
      </w:pPr>
      <w:r w:rsidRPr="0057597D">
        <w:rPr>
          <w:rFonts w:ascii="Times New Roman" w:hAnsi="Times New Roman"/>
          <w:szCs w:val="24"/>
        </w:rPr>
        <w:t xml:space="preserve">If a </w:t>
      </w:r>
      <w:r w:rsidR="00C823DE">
        <w:rPr>
          <w:rFonts w:ascii="Times New Roman" w:hAnsi="Times New Roman"/>
          <w:szCs w:val="24"/>
        </w:rPr>
        <w:t>ROR and ROE</w:t>
      </w:r>
      <w:r w:rsidRPr="0057597D">
        <w:rPr>
          <w:rFonts w:ascii="Times New Roman" w:hAnsi="Times New Roman"/>
          <w:szCs w:val="24"/>
        </w:rPr>
        <w:t xml:space="preserve"> is to be set at this time, </w:t>
      </w:r>
      <w:r w:rsidR="00280CE2" w:rsidRPr="006C3EA4">
        <w:rPr>
          <w:rFonts w:ascii="Times New Roman" w:hAnsi="Times New Roman"/>
          <w:szCs w:val="24"/>
        </w:rPr>
        <w:t>the PUCO</w:t>
      </w:r>
      <w:r w:rsidRPr="006C3EA4">
        <w:rPr>
          <w:rFonts w:ascii="Times New Roman" w:hAnsi="Times New Roman"/>
          <w:szCs w:val="24"/>
        </w:rPr>
        <w:t xml:space="preserve"> should reduce </w:t>
      </w:r>
      <w:r w:rsidR="00BB5B60" w:rsidRPr="006C3EA4">
        <w:rPr>
          <w:rFonts w:ascii="Times New Roman" w:hAnsi="Times New Roman"/>
          <w:szCs w:val="24"/>
        </w:rPr>
        <w:t>Duke</w:t>
      </w:r>
      <w:r w:rsidR="00BB5B60">
        <w:rPr>
          <w:rFonts w:ascii="Times New Roman" w:hAnsi="Times New Roman"/>
          <w:szCs w:val="24"/>
        </w:rPr>
        <w:t>’s</w:t>
      </w:r>
      <w:r w:rsidR="00BB5B60" w:rsidRPr="006C3EA4">
        <w:rPr>
          <w:rFonts w:ascii="Times New Roman" w:hAnsi="Times New Roman"/>
          <w:szCs w:val="24"/>
        </w:rPr>
        <w:t xml:space="preserve"> proposed</w:t>
      </w:r>
      <w:r w:rsidRPr="006C3EA4">
        <w:rPr>
          <w:rFonts w:ascii="Times New Roman" w:hAnsi="Times New Roman"/>
          <w:szCs w:val="24"/>
        </w:rPr>
        <w:t xml:space="preserve"> </w:t>
      </w:r>
      <w:r w:rsidR="0057597D" w:rsidRPr="006C3EA4">
        <w:rPr>
          <w:rFonts w:ascii="Times New Roman" w:hAnsi="Times New Roman"/>
          <w:szCs w:val="24"/>
        </w:rPr>
        <w:t xml:space="preserve">ROE </w:t>
      </w:r>
      <w:r w:rsidRPr="006C3EA4">
        <w:rPr>
          <w:rFonts w:ascii="Times New Roman" w:hAnsi="Times New Roman"/>
          <w:szCs w:val="24"/>
        </w:rPr>
        <w:t xml:space="preserve">by </w:t>
      </w:r>
      <w:r w:rsidR="008C735C" w:rsidRPr="006C3EA4">
        <w:rPr>
          <w:rFonts w:ascii="Times New Roman" w:hAnsi="Times New Roman"/>
          <w:szCs w:val="24"/>
        </w:rPr>
        <w:t>1</w:t>
      </w:r>
      <w:r w:rsidR="007554EA" w:rsidRPr="006C3EA4">
        <w:rPr>
          <w:rFonts w:ascii="Times New Roman" w:hAnsi="Times New Roman"/>
          <w:szCs w:val="24"/>
        </w:rPr>
        <w:t>00</w:t>
      </w:r>
      <w:r w:rsidRPr="006C3EA4">
        <w:rPr>
          <w:rFonts w:ascii="Times New Roman" w:hAnsi="Times New Roman"/>
          <w:szCs w:val="24"/>
        </w:rPr>
        <w:t xml:space="preserve"> basis points</w:t>
      </w:r>
      <w:r w:rsidR="005A0835">
        <w:rPr>
          <w:rFonts w:ascii="Times New Roman" w:hAnsi="Times New Roman"/>
          <w:szCs w:val="24"/>
        </w:rPr>
        <w:t xml:space="preserve"> (1%</w:t>
      </w:r>
      <w:r w:rsidR="008C735C" w:rsidRPr="006C3EA4">
        <w:rPr>
          <w:rFonts w:ascii="Times New Roman" w:hAnsi="Times New Roman"/>
          <w:szCs w:val="24"/>
        </w:rPr>
        <w:t>)</w:t>
      </w:r>
      <w:r w:rsidRPr="006C3EA4">
        <w:rPr>
          <w:rFonts w:ascii="Times New Roman" w:hAnsi="Times New Roman"/>
          <w:szCs w:val="24"/>
        </w:rPr>
        <w:t>.</w:t>
      </w:r>
      <w:r w:rsidR="00280CE2">
        <w:rPr>
          <w:rFonts w:ascii="Times New Roman" w:hAnsi="Times New Roman"/>
          <w:szCs w:val="24"/>
        </w:rPr>
        <w:t xml:space="preserve"> </w:t>
      </w:r>
      <w:r w:rsidR="00DF5698">
        <w:rPr>
          <w:rFonts w:ascii="Times New Roman" w:hAnsi="Times New Roman"/>
          <w:szCs w:val="24"/>
        </w:rPr>
        <w:t>I</w:t>
      </w:r>
      <w:r w:rsidRPr="0057597D">
        <w:rPr>
          <w:rFonts w:ascii="Times New Roman" w:hAnsi="Times New Roman"/>
          <w:szCs w:val="24"/>
        </w:rPr>
        <w:t xml:space="preserve">n other words, </w:t>
      </w:r>
      <w:r w:rsidR="00280CE2">
        <w:rPr>
          <w:rFonts w:ascii="Times New Roman" w:hAnsi="Times New Roman"/>
          <w:szCs w:val="24"/>
        </w:rPr>
        <w:t>the PUCO</w:t>
      </w:r>
      <w:r w:rsidR="005D490D" w:rsidRPr="0057597D">
        <w:rPr>
          <w:rFonts w:ascii="Times New Roman" w:hAnsi="Times New Roman"/>
          <w:szCs w:val="24"/>
        </w:rPr>
        <w:t xml:space="preserve"> should authorize </w:t>
      </w:r>
      <w:r w:rsidRPr="0057597D">
        <w:rPr>
          <w:rFonts w:ascii="Times New Roman" w:hAnsi="Times New Roman"/>
          <w:szCs w:val="24"/>
        </w:rPr>
        <w:t xml:space="preserve">a </w:t>
      </w:r>
      <w:r w:rsidR="005D490D" w:rsidRPr="0057597D">
        <w:rPr>
          <w:rFonts w:ascii="Times New Roman" w:hAnsi="Times New Roman"/>
          <w:szCs w:val="24"/>
        </w:rPr>
        <w:t xml:space="preserve">ROE </w:t>
      </w:r>
      <w:r w:rsidRPr="0057597D">
        <w:rPr>
          <w:rFonts w:ascii="Times New Roman" w:hAnsi="Times New Roman"/>
          <w:szCs w:val="24"/>
        </w:rPr>
        <w:t xml:space="preserve">no higher than </w:t>
      </w:r>
      <w:r w:rsidR="007554EA" w:rsidRPr="0057597D">
        <w:rPr>
          <w:rFonts w:ascii="Times New Roman" w:hAnsi="Times New Roman"/>
          <w:szCs w:val="24"/>
        </w:rPr>
        <w:t>8.84</w:t>
      </w:r>
      <w:r w:rsidR="005A0835">
        <w:rPr>
          <w:rFonts w:ascii="Times New Roman" w:hAnsi="Times New Roman"/>
          <w:szCs w:val="24"/>
        </w:rPr>
        <w:t xml:space="preserve">% (vs. </w:t>
      </w:r>
      <w:r w:rsidR="006D180C">
        <w:rPr>
          <w:rFonts w:ascii="Times New Roman" w:hAnsi="Times New Roman"/>
          <w:szCs w:val="24"/>
        </w:rPr>
        <w:t xml:space="preserve">the </w:t>
      </w:r>
      <w:r w:rsidR="005A0835">
        <w:rPr>
          <w:rFonts w:ascii="Times New Roman" w:hAnsi="Times New Roman"/>
          <w:szCs w:val="24"/>
        </w:rPr>
        <w:t>9.84%</w:t>
      </w:r>
      <w:r w:rsidRPr="0057597D">
        <w:rPr>
          <w:rFonts w:ascii="Times New Roman" w:hAnsi="Times New Roman"/>
          <w:szCs w:val="24"/>
        </w:rPr>
        <w:t xml:space="preserve"> proposed by Duke)</w:t>
      </w:r>
      <w:r w:rsidR="008C735C">
        <w:rPr>
          <w:rFonts w:ascii="Times New Roman" w:hAnsi="Times New Roman"/>
          <w:szCs w:val="24"/>
        </w:rPr>
        <w:t xml:space="preserve"> applicable to Rider ASRP</w:t>
      </w:r>
      <w:r w:rsidR="005D490D" w:rsidRPr="0057597D">
        <w:rPr>
          <w:rFonts w:ascii="Times New Roman" w:hAnsi="Times New Roman"/>
          <w:szCs w:val="24"/>
        </w:rPr>
        <w:t>. T</w:t>
      </w:r>
      <w:r w:rsidRPr="0057597D">
        <w:rPr>
          <w:rFonts w:ascii="Times New Roman" w:hAnsi="Times New Roman"/>
          <w:szCs w:val="24"/>
        </w:rPr>
        <w:t xml:space="preserve">he resulting pre-tax </w:t>
      </w:r>
      <w:r w:rsidR="00C823DE">
        <w:rPr>
          <w:rFonts w:ascii="Times New Roman" w:hAnsi="Times New Roman"/>
          <w:szCs w:val="24"/>
        </w:rPr>
        <w:t>ROR</w:t>
      </w:r>
      <w:r w:rsidR="00CE6F25">
        <w:rPr>
          <w:rFonts w:ascii="Times New Roman" w:hAnsi="Times New Roman"/>
          <w:szCs w:val="24"/>
        </w:rPr>
        <w:t xml:space="preserve"> </w:t>
      </w:r>
      <w:r w:rsidR="00C823DE">
        <w:rPr>
          <w:rFonts w:ascii="Times New Roman" w:hAnsi="Times New Roman"/>
          <w:szCs w:val="24"/>
        </w:rPr>
        <w:t>should</w:t>
      </w:r>
      <w:r w:rsidR="005D490D" w:rsidRPr="0057597D">
        <w:rPr>
          <w:rFonts w:ascii="Times New Roman" w:hAnsi="Times New Roman"/>
          <w:szCs w:val="24"/>
        </w:rPr>
        <w:t xml:space="preserve"> be </w:t>
      </w:r>
      <w:r w:rsidRPr="0057597D">
        <w:rPr>
          <w:rFonts w:ascii="Times New Roman" w:hAnsi="Times New Roman"/>
          <w:szCs w:val="24"/>
        </w:rPr>
        <w:t>no higher than 9.</w:t>
      </w:r>
      <w:r w:rsidR="007554EA" w:rsidRPr="0057597D">
        <w:rPr>
          <w:rFonts w:ascii="Times New Roman" w:hAnsi="Times New Roman"/>
          <w:szCs w:val="24"/>
        </w:rPr>
        <w:t>77</w:t>
      </w:r>
      <w:r w:rsidR="005A0835">
        <w:rPr>
          <w:rFonts w:ascii="Times New Roman" w:hAnsi="Times New Roman"/>
          <w:szCs w:val="24"/>
        </w:rPr>
        <w:t xml:space="preserve">% (vs. </w:t>
      </w:r>
      <w:r w:rsidR="006D180C">
        <w:rPr>
          <w:rFonts w:ascii="Times New Roman" w:hAnsi="Times New Roman"/>
          <w:szCs w:val="24"/>
        </w:rPr>
        <w:t xml:space="preserve">the </w:t>
      </w:r>
      <w:r w:rsidR="005A0835">
        <w:rPr>
          <w:rFonts w:ascii="Times New Roman" w:hAnsi="Times New Roman"/>
          <w:szCs w:val="24"/>
        </w:rPr>
        <w:t>10.60%</w:t>
      </w:r>
      <w:r w:rsidRPr="0057597D">
        <w:rPr>
          <w:rFonts w:ascii="Times New Roman" w:hAnsi="Times New Roman"/>
          <w:szCs w:val="24"/>
        </w:rPr>
        <w:t xml:space="preserve"> proposed by Duke)</w:t>
      </w:r>
      <w:r w:rsidR="005D490D" w:rsidRPr="0057597D">
        <w:rPr>
          <w:rFonts w:ascii="Times New Roman" w:hAnsi="Times New Roman"/>
          <w:szCs w:val="24"/>
        </w:rPr>
        <w:t xml:space="preserve"> and </w:t>
      </w:r>
      <w:r w:rsidR="00724124" w:rsidRPr="0057597D">
        <w:rPr>
          <w:rFonts w:ascii="Times New Roman" w:hAnsi="Times New Roman"/>
          <w:szCs w:val="24"/>
        </w:rPr>
        <w:t xml:space="preserve">the </w:t>
      </w:r>
      <w:r w:rsidR="005D490D" w:rsidRPr="0057597D">
        <w:rPr>
          <w:rFonts w:ascii="Times New Roman" w:hAnsi="Times New Roman"/>
          <w:szCs w:val="24"/>
        </w:rPr>
        <w:t xml:space="preserve">after-tax </w:t>
      </w:r>
      <w:r w:rsidR="00C823DE">
        <w:rPr>
          <w:rFonts w:ascii="Times New Roman" w:hAnsi="Times New Roman"/>
          <w:szCs w:val="24"/>
        </w:rPr>
        <w:t>ROE should be</w:t>
      </w:r>
      <w:r w:rsidR="00724124" w:rsidRPr="0057597D">
        <w:rPr>
          <w:rFonts w:ascii="Times New Roman" w:hAnsi="Times New Roman"/>
          <w:szCs w:val="24"/>
        </w:rPr>
        <w:t xml:space="preserve"> no higher than 7.</w:t>
      </w:r>
      <w:r w:rsidR="007554EA" w:rsidRPr="0057597D">
        <w:rPr>
          <w:rFonts w:ascii="Times New Roman" w:hAnsi="Times New Roman"/>
          <w:szCs w:val="24"/>
        </w:rPr>
        <w:t>20</w:t>
      </w:r>
      <w:r w:rsidR="005A0835">
        <w:rPr>
          <w:rFonts w:ascii="Times New Roman" w:hAnsi="Times New Roman"/>
          <w:szCs w:val="24"/>
        </w:rPr>
        <w:t>%</w:t>
      </w:r>
      <w:r w:rsidRPr="0057597D">
        <w:rPr>
          <w:rFonts w:ascii="Times New Roman" w:hAnsi="Times New Roman"/>
          <w:szCs w:val="24"/>
        </w:rPr>
        <w:t>.</w:t>
      </w:r>
      <w:r w:rsidR="0057597D">
        <w:rPr>
          <w:rStyle w:val="FootnoteReference"/>
          <w:rFonts w:ascii="Times New Roman" w:hAnsi="Times New Roman"/>
          <w:szCs w:val="24"/>
        </w:rPr>
        <w:footnoteReference w:id="6"/>
      </w:r>
    </w:p>
    <w:p w:rsidR="0024155C" w:rsidRPr="00280CE2" w:rsidRDefault="0024155C" w:rsidP="0057597D">
      <w:pPr>
        <w:pStyle w:val="ListParagraph"/>
        <w:spacing w:line="480" w:lineRule="auto"/>
        <w:ind w:leftChars="0" w:left="1440" w:right="720"/>
        <w:rPr>
          <w:rFonts w:ascii="Times New Roman" w:hAnsi="Times New Roman"/>
        </w:rPr>
      </w:pPr>
    </w:p>
    <w:p w:rsidR="00416464" w:rsidRDefault="00416464" w:rsidP="00416464">
      <w:pPr>
        <w:tabs>
          <w:tab w:val="num" w:pos="720"/>
        </w:tabs>
        <w:spacing w:line="480" w:lineRule="auto"/>
        <w:ind w:left="720" w:hanging="720"/>
        <w:rPr>
          <w:b/>
          <w:bCs/>
          <w:i/>
        </w:rPr>
      </w:pPr>
      <w:r>
        <w:rPr>
          <w:b/>
          <w:bCs/>
          <w:i/>
        </w:rPr>
        <w:t>Q</w:t>
      </w:r>
      <w:r w:rsidR="00FA113E">
        <w:rPr>
          <w:b/>
          <w:bCs/>
          <w:i/>
        </w:rPr>
        <w:t>8</w:t>
      </w:r>
      <w:r>
        <w:rPr>
          <w:b/>
          <w:bCs/>
          <w:i/>
        </w:rPr>
        <w:t>.</w:t>
      </w:r>
      <w:r>
        <w:rPr>
          <w:b/>
          <w:bCs/>
          <w:i/>
        </w:rPr>
        <w:tab/>
        <w:t>PLEASE EXPLAIN WHY</w:t>
      </w:r>
      <w:r w:rsidR="005D490D">
        <w:rPr>
          <w:b/>
          <w:bCs/>
          <w:i/>
        </w:rPr>
        <w:t xml:space="preserve"> THERE IS NO NEED </w:t>
      </w:r>
      <w:r w:rsidR="00724124">
        <w:rPr>
          <w:b/>
          <w:bCs/>
          <w:i/>
        </w:rPr>
        <w:t xml:space="preserve">FOR </w:t>
      </w:r>
      <w:r>
        <w:rPr>
          <w:b/>
          <w:bCs/>
          <w:i/>
        </w:rPr>
        <w:t xml:space="preserve">DUKE </w:t>
      </w:r>
      <w:r w:rsidR="00361C7F">
        <w:rPr>
          <w:b/>
          <w:bCs/>
          <w:i/>
        </w:rPr>
        <w:t xml:space="preserve">TO </w:t>
      </w:r>
      <w:r>
        <w:rPr>
          <w:b/>
          <w:bCs/>
          <w:i/>
        </w:rPr>
        <w:t xml:space="preserve">FILE AN ACTUAL APPLICATION TO </w:t>
      </w:r>
      <w:r w:rsidR="00361C7F">
        <w:rPr>
          <w:b/>
          <w:bCs/>
          <w:i/>
        </w:rPr>
        <w:t xml:space="preserve">UPDATE </w:t>
      </w:r>
      <w:r w:rsidR="00EA717A">
        <w:rPr>
          <w:b/>
          <w:bCs/>
          <w:i/>
        </w:rPr>
        <w:t>RIDER ASRP UNTIL MARCH 1, 2017.</w:t>
      </w:r>
    </w:p>
    <w:p w:rsidR="004E4B1E" w:rsidRDefault="00416464" w:rsidP="00C823DE">
      <w:pPr>
        <w:spacing w:line="480" w:lineRule="auto"/>
        <w:ind w:left="660" w:hanging="660"/>
      </w:pPr>
      <w:r w:rsidRPr="001A342D">
        <w:rPr>
          <w:b/>
          <w:bCs/>
          <w:i/>
        </w:rPr>
        <w:t>A</w:t>
      </w:r>
      <w:r w:rsidR="00FA113E">
        <w:rPr>
          <w:b/>
          <w:bCs/>
          <w:i/>
        </w:rPr>
        <w:t>8</w:t>
      </w:r>
      <w:r>
        <w:rPr>
          <w:b/>
          <w:bCs/>
          <w:i/>
        </w:rPr>
        <w:t>.</w:t>
      </w:r>
      <w:r>
        <w:rPr>
          <w:b/>
          <w:bCs/>
          <w:i/>
        </w:rPr>
        <w:tab/>
      </w:r>
      <w:r w:rsidR="001A342D" w:rsidRPr="001A342D">
        <w:t xml:space="preserve">According to Duke Energy Ohio’s witness, Peggy A. Laub, Rider ASRP will be calculated using actual, year-end data, and it will include </w:t>
      </w:r>
      <w:r w:rsidR="00745EA0">
        <w:t xml:space="preserve">the return on </w:t>
      </w:r>
      <w:r w:rsidR="001A342D" w:rsidRPr="001A342D">
        <w:t xml:space="preserve">ASRP-related capital </w:t>
      </w:r>
      <w:r w:rsidR="00EA0013">
        <w:t xml:space="preserve">investment </w:t>
      </w:r>
      <w:r w:rsidR="001A342D" w:rsidRPr="001A342D">
        <w:t xml:space="preserve">that is in-service </w:t>
      </w:r>
      <w:r w:rsidR="00745EA0">
        <w:t xml:space="preserve">and ASRP-related expenses </w:t>
      </w:r>
      <w:r w:rsidR="001A342D" w:rsidRPr="001A342D">
        <w:t>during the calendar year.</w:t>
      </w:r>
      <w:r w:rsidR="00280CE2">
        <w:rPr>
          <w:rStyle w:val="FootnoteReference"/>
        </w:rPr>
        <w:footnoteReference w:id="7"/>
      </w:r>
      <w:r w:rsidR="001A342D" w:rsidRPr="001A342D">
        <w:t xml:space="preserve"> </w:t>
      </w:r>
      <w:r w:rsidR="004E4B1E">
        <w:t xml:space="preserve">Specifically, </w:t>
      </w:r>
      <w:r w:rsidR="00E41107">
        <w:t>Duke proposes</w:t>
      </w:r>
      <w:r w:rsidR="004E4B1E">
        <w:t>:</w:t>
      </w:r>
    </w:p>
    <w:p w:rsidR="004E4B1E" w:rsidRDefault="00E41107" w:rsidP="00904A1B">
      <w:pPr>
        <w:spacing w:line="480" w:lineRule="auto"/>
        <w:ind w:left="1440" w:right="720"/>
      </w:pPr>
      <w:r>
        <w:t>On or before December 1 of each calendar year, the Company will submit a pre-filing notice, which will include a revenue requirement calculation based on ten months of actual data and two months of project</w:t>
      </w:r>
      <w:r w:rsidR="00280CE2">
        <w:t>ed data for that calendar year.</w:t>
      </w:r>
      <w:r>
        <w:t xml:space="preserve"> On or before March 1 of the subsequent year, the Company will file an actual application based on</w:t>
      </w:r>
      <w:r w:rsidR="00280CE2">
        <w:t xml:space="preserve"> the twelve-month actual costs.</w:t>
      </w:r>
      <w:r w:rsidR="00280CE2">
        <w:rPr>
          <w:rStyle w:val="FootnoteReference"/>
        </w:rPr>
        <w:footnoteReference w:id="8"/>
      </w:r>
    </w:p>
    <w:p w:rsidR="004935C5" w:rsidRDefault="005D490D" w:rsidP="00904A1B">
      <w:pPr>
        <w:spacing w:line="480" w:lineRule="auto"/>
        <w:ind w:left="660"/>
      </w:pPr>
      <w:r>
        <w:t xml:space="preserve">Duke also proposes that </w:t>
      </w:r>
      <w:r w:rsidR="00582EE6">
        <w:t>Rider ASRP be effective the first billing cycle in May following the close of the calendar year.</w:t>
      </w:r>
      <w:r w:rsidR="00DF5698">
        <w:rPr>
          <w:rStyle w:val="FootnoteReference"/>
        </w:rPr>
        <w:footnoteReference w:id="9"/>
      </w:r>
      <w:r w:rsidR="008C735C">
        <w:t xml:space="preserve"> </w:t>
      </w:r>
      <w:r w:rsidR="00494B7D">
        <w:t>Duke expects Rider ASRP</w:t>
      </w:r>
      <w:r w:rsidR="001E5031">
        <w:t xml:space="preserve"> to</w:t>
      </w:r>
      <w:r w:rsidR="00494B7D">
        <w:t xml:space="preserve"> be effective upon approval and initially set at zero.</w:t>
      </w:r>
      <w:r w:rsidR="00494B7D">
        <w:rPr>
          <w:rStyle w:val="FootnoteReference"/>
        </w:rPr>
        <w:footnoteReference w:id="10"/>
      </w:r>
      <w:r w:rsidR="006D180C">
        <w:t xml:space="preserve"> </w:t>
      </w:r>
      <w:r w:rsidR="00235DC3">
        <w:t>Duke indicates it intend</w:t>
      </w:r>
      <w:r w:rsidR="00CE6F25">
        <w:t>s</w:t>
      </w:r>
      <w:r w:rsidR="00235DC3">
        <w:t xml:space="preserve"> to file its first pre-filing notice on</w:t>
      </w:r>
      <w:r w:rsidR="00280CE2">
        <w:t xml:space="preserve"> or before December 1</w:t>
      </w:r>
      <w:r w:rsidR="00CE6F25">
        <w:t>,</w:t>
      </w:r>
      <w:r w:rsidR="00280CE2">
        <w:t xml:space="preserve"> 2015.</w:t>
      </w:r>
      <w:r w:rsidR="00DF5698">
        <w:rPr>
          <w:rStyle w:val="FootnoteReference"/>
        </w:rPr>
        <w:footnoteReference w:id="11"/>
      </w:r>
      <w:r w:rsidR="00280CE2">
        <w:t xml:space="preserve"> </w:t>
      </w:r>
      <w:r w:rsidR="00235DC3">
        <w:t xml:space="preserve">But I do not believe this </w:t>
      </w:r>
      <w:r>
        <w:t xml:space="preserve">planned </w:t>
      </w:r>
      <w:r w:rsidR="00235DC3">
        <w:t xml:space="preserve">pre-filing notice </w:t>
      </w:r>
      <w:r w:rsidR="00280CE2">
        <w:t>is needed</w:t>
      </w:r>
      <w:r w:rsidR="00494B7D">
        <w:t xml:space="preserve"> given that Duke is not likely to make any substantial ASRP-related capital investment in 2015</w:t>
      </w:r>
      <w:r w:rsidR="00280CE2">
        <w:t xml:space="preserve">. </w:t>
      </w:r>
      <w:r>
        <w:t xml:space="preserve">Even </w:t>
      </w:r>
      <w:r w:rsidR="004E4B1E">
        <w:t xml:space="preserve">if </w:t>
      </w:r>
      <w:r w:rsidR="0057597D">
        <w:t xml:space="preserve">the pre-filing notice </w:t>
      </w:r>
      <w:r w:rsidR="004E4B1E">
        <w:t>is filed</w:t>
      </w:r>
      <w:r>
        <w:t xml:space="preserve">, it </w:t>
      </w:r>
      <w:r w:rsidR="00235DC3">
        <w:t xml:space="preserve">will </w:t>
      </w:r>
      <w:r>
        <w:t xml:space="preserve">not </w:t>
      </w:r>
      <w:r w:rsidR="00235DC3">
        <w:t xml:space="preserve">lead to an actual application for adjusting Rider ASRP on or before March 1, 2016 or a change in Rider ASRP </w:t>
      </w:r>
      <w:r w:rsidR="00494B7D">
        <w:t xml:space="preserve">effective the first billing cycle of </w:t>
      </w:r>
      <w:r w:rsidR="004E4B1E">
        <w:t xml:space="preserve">May </w:t>
      </w:r>
      <w:r w:rsidR="00235DC3">
        <w:t>201</w:t>
      </w:r>
      <w:r w:rsidR="00494B7D">
        <w:t>6</w:t>
      </w:r>
      <w:r w:rsidR="00235DC3">
        <w:t>.</w:t>
      </w:r>
      <w:r w:rsidR="00280CE2">
        <w:t xml:space="preserve"> </w:t>
      </w:r>
      <w:r w:rsidR="004E4B1E">
        <w:t>Obviously, Duke cannot make any ASRP-related capital investment until the ASRP is</w:t>
      </w:r>
      <w:r w:rsidR="00280CE2">
        <w:t xml:space="preserve"> authorized by the PUCO. </w:t>
      </w:r>
      <w:r w:rsidR="001A342D" w:rsidRPr="001A342D">
        <w:t xml:space="preserve">Given that a hearing </w:t>
      </w:r>
      <w:r w:rsidR="00235DC3">
        <w:t xml:space="preserve">in this proceeding </w:t>
      </w:r>
      <w:r w:rsidR="001A342D" w:rsidRPr="001A342D">
        <w:t xml:space="preserve">is </w:t>
      </w:r>
      <w:r w:rsidR="006D180C">
        <w:t>not to take place until</w:t>
      </w:r>
      <w:r w:rsidR="00416464">
        <w:t xml:space="preserve"> late November 2015</w:t>
      </w:r>
      <w:r w:rsidR="001A342D" w:rsidRPr="001A342D">
        <w:t>,</w:t>
      </w:r>
      <w:r w:rsidR="00416464">
        <w:t xml:space="preserve"> </w:t>
      </w:r>
      <w:r w:rsidR="00280CE2">
        <w:t>any decision by the PUCO</w:t>
      </w:r>
      <w:r w:rsidR="00235DC3">
        <w:t xml:space="preserve"> regarding the ASRP and Rider ASRP will likely </w:t>
      </w:r>
      <w:r w:rsidR="00280CE2">
        <w:t>not be issued until</w:t>
      </w:r>
      <w:r w:rsidR="00235DC3">
        <w:t xml:space="preserve"> </w:t>
      </w:r>
      <w:r w:rsidR="00494B7D">
        <w:t xml:space="preserve">very </w:t>
      </w:r>
      <w:r w:rsidR="00235DC3">
        <w:t>late 2015</w:t>
      </w:r>
      <w:r w:rsidR="00494B7D">
        <w:t xml:space="preserve"> </w:t>
      </w:r>
      <w:r w:rsidR="00280CE2">
        <w:t>or early 2016</w:t>
      </w:r>
      <w:r w:rsidR="00235DC3">
        <w:t xml:space="preserve"> at the earliest</w:t>
      </w:r>
      <w:r w:rsidR="00280CE2">
        <w:t>.</w:t>
      </w:r>
    </w:p>
    <w:p w:rsidR="000E4F72" w:rsidRDefault="000E4F72" w:rsidP="00C823DE">
      <w:pPr>
        <w:spacing w:line="480" w:lineRule="auto"/>
        <w:ind w:left="660" w:right="720"/>
      </w:pPr>
    </w:p>
    <w:p w:rsidR="007C26E0" w:rsidRDefault="00C823DE" w:rsidP="00904A1B">
      <w:pPr>
        <w:spacing w:line="480" w:lineRule="auto"/>
        <w:ind w:left="660"/>
      </w:pPr>
      <w:r>
        <w:t>As a result, i</w:t>
      </w:r>
      <w:r w:rsidR="005D490D">
        <w:t xml:space="preserve">t is </w:t>
      </w:r>
      <w:r w:rsidR="000A30A5">
        <w:t>un</w:t>
      </w:r>
      <w:r w:rsidR="005D490D">
        <w:t xml:space="preserve">likely </w:t>
      </w:r>
      <w:r w:rsidR="0057597D">
        <w:t xml:space="preserve">that </w:t>
      </w:r>
      <w:r w:rsidR="005D490D">
        <w:t xml:space="preserve">Duke </w:t>
      </w:r>
      <w:r>
        <w:t>will</w:t>
      </w:r>
      <w:r w:rsidR="0057597D">
        <w:t xml:space="preserve"> </w:t>
      </w:r>
      <w:r w:rsidR="005D490D">
        <w:t xml:space="preserve">make </w:t>
      </w:r>
      <w:r w:rsidR="001A342D" w:rsidRPr="001A342D">
        <w:t xml:space="preserve">any </w:t>
      </w:r>
      <w:r w:rsidR="009B463A">
        <w:t xml:space="preserve">significant amount of </w:t>
      </w:r>
      <w:r w:rsidR="001A342D" w:rsidRPr="001A342D">
        <w:t xml:space="preserve">ASRP-related capital investment and </w:t>
      </w:r>
      <w:r w:rsidR="00745EA0">
        <w:t xml:space="preserve">put it </w:t>
      </w:r>
      <w:r w:rsidR="001A342D" w:rsidRPr="001A342D">
        <w:t xml:space="preserve">in-service during the 2015 </w:t>
      </w:r>
      <w:r>
        <w:t>c</w:t>
      </w:r>
      <w:r w:rsidR="001A342D" w:rsidRPr="001A342D">
        <w:t>alendar year</w:t>
      </w:r>
      <w:r w:rsidR="00F436B1">
        <w:t xml:space="preserve"> even if the proposed ASRP and Rider ASRP were approved by the </w:t>
      </w:r>
      <w:r>
        <w:t>PUCO</w:t>
      </w:r>
      <w:r w:rsidR="00F436B1">
        <w:t xml:space="preserve"> in late 2015.</w:t>
      </w:r>
      <w:r w:rsidR="00280CE2">
        <w:t xml:space="preserve"> </w:t>
      </w:r>
      <w:r w:rsidR="002938F4">
        <w:t>A</w:t>
      </w:r>
      <w:r w:rsidR="009B463A">
        <w:t>bsen</w:t>
      </w:r>
      <w:r w:rsidR="002938F4">
        <w:t>t</w:t>
      </w:r>
      <w:r w:rsidR="009B463A">
        <w:t xml:space="preserve"> any significant amount of ASRP-related capital investments </w:t>
      </w:r>
      <w:r w:rsidR="004935C5">
        <w:t xml:space="preserve">made and put into service </w:t>
      </w:r>
      <w:r w:rsidR="009B463A">
        <w:t>in 2015,</w:t>
      </w:r>
      <w:r w:rsidR="00582EE6">
        <w:t xml:space="preserve"> there is no need for Duke to file an actual </w:t>
      </w:r>
      <w:r w:rsidR="00BC4485">
        <w:t xml:space="preserve">ASRP </w:t>
      </w:r>
      <w:r w:rsidR="00582EE6">
        <w:t>application on or before March 1, 2016</w:t>
      </w:r>
      <w:r w:rsidR="007C26E0">
        <w:t xml:space="preserve">. The purpose of a 2016 Rider ASRP filing by Duke would be </w:t>
      </w:r>
      <w:r w:rsidR="00582EE6">
        <w:t xml:space="preserve">to </w:t>
      </w:r>
      <w:r w:rsidR="000A30A5">
        <w:t xml:space="preserve">update its </w:t>
      </w:r>
      <w:r w:rsidR="00582EE6">
        <w:t>collect</w:t>
      </w:r>
      <w:r w:rsidR="000A30A5">
        <w:t xml:space="preserve">ion of </w:t>
      </w:r>
      <w:r w:rsidR="00582EE6">
        <w:t xml:space="preserve">the return on </w:t>
      </w:r>
      <w:r w:rsidR="000A30A5">
        <w:t xml:space="preserve">and of capital </w:t>
      </w:r>
      <w:r w:rsidR="00582EE6">
        <w:t xml:space="preserve">investment and </w:t>
      </w:r>
      <w:r w:rsidR="000A30A5">
        <w:t xml:space="preserve">operating </w:t>
      </w:r>
      <w:r w:rsidR="00582EE6">
        <w:t>expenses incurred in 2015</w:t>
      </w:r>
      <w:r w:rsidR="007C26E0">
        <w:t xml:space="preserve">. This is unnecessary </w:t>
      </w:r>
      <w:r w:rsidR="006D180C">
        <w:t>because the</w:t>
      </w:r>
      <w:r w:rsidR="007C26E0">
        <w:t xml:space="preserve"> 2015 ASRP-related </w:t>
      </w:r>
      <w:r w:rsidR="005A7B47">
        <w:t>return</w:t>
      </w:r>
      <w:r w:rsidR="007C26E0">
        <w:t xml:space="preserve"> on investment and O&amp;M expenses </w:t>
      </w:r>
      <w:r w:rsidR="006D180C">
        <w:t xml:space="preserve">should </w:t>
      </w:r>
      <w:r w:rsidR="00EE1273">
        <w:t xml:space="preserve">be </w:t>
      </w:r>
      <w:r w:rsidR="006D180C">
        <w:t xml:space="preserve">equal </w:t>
      </w:r>
      <w:r w:rsidR="007C26E0">
        <w:t xml:space="preserve">to </w:t>
      </w:r>
      <w:r w:rsidR="00361C7F">
        <w:t>$0)</w:t>
      </w:r>
      <w:r w:rsidR="00582EE6">
        <w:t>.</w:t>
      </w:r>
      <w:r>
        <w:t xml:space="preserve"> </w:t>
      </w:r>
    </w:p>
    <w:p w:rsidR="007C26E0" w:rsidRDefault="007C26E0" w:rsidP="00C823DE">
      <w:pPr>
        <w:spacing w:line="480" w:lineRule="auto"/>
        <w:ind w:left="660" w:right="720"/>
      </w:pPr>
    </w:p>
    <w:p w:rsidR="009B463A" w:rsidRDefault="00361C7F" w:rsidP="00904A1B">
      <w:pPr>
        <w:spacing w:line="480" w:lineRule="auto"/>
        <w:ind w:left="660"/>
      </w:pPr>
      <w:r>
        <w:t xml:space="preserve">Assuming that </w:t>
      </w:r>
      <w:r w:rsidR="00582EE6">
        <w:t xml:space="preserve">the proposed ASRP and Rider ASRP </w:t>
      </w:r>
      <w:r w:rsidR="006D180C">
        <w:t xml:space="preserve">is </w:t>
      </w:r>
      <w:r w:rsidR="00582EE6">
        <w:t>approved by the PUCO</w:t>
      </w:r>
      <w:r w:rsidR="006D180C">
        <w:t>,</w:t>
      </w:r>
      <w:r w:rsidR="00582EE6">
        <w:t xml:space="preserve"> and Duke </w:t>
      </w:r>
      <w:r>
        <w:t xml:space="preserve">does </w:t>
      </w:r>
      <w:r w:rsidR="00582EE6">
        <w:t xml:space="preserve">incur </w:t>
      </w:r>
      <w:r>
        <w:t xml:space="preserve">substantial amounts of </w:t>
      </w:r>
      <w:r w:rsidR="00582EE6">
        <w:t xml:space="preserve">ASRP-related capital investments and expenses in 2016, </w:t>
      </w:r>
      <w:r>
        <w:t xml:space="preserve">Duke can </w:t>
      </w:r>
      <w:r w:rsidR="00EE1273">
        <w:t>file</w:t>
      </w:r>
      <w:r w:rsidR="00B16EAA">
        <w:t xml:space="preserve"> an  application </w:t>
      </w:r>
      <w:r w:rsidR="007C26E0">
        <w:t xml:space="preserve">in 2017 </w:t>
      </w:r>
      <w:r w:rsidR="00BB5B13">
        <w:t xml:space="preserve">to </w:t>
      </w:r>
      <w:r>
        <w:t>updat</w:t>
      </w:r>
      <w:r w:rsidR="00BB5B13">
        <w:t>e</w:t>
      </w:r>
      <w:r>
        <w:t xml:space="preserve"> </w:t>
      </w:r>
      <w:r w:rsidR="009B463A">
        <w:t>Rider ASRP</w:t>
      </w:r>
      <w:r w:rsidR="007C26E0">
        <w:t xml:space="preserve">. The purpose of the 2017 filing is </w:t>
      </w:r>
      <w:r>
        <w:t xml:space="preserve">to collect the 2016 ASRP-related </w:t>
      </w:r>
      <w:r w:rsidR="00280CE2">
        <w:t>investment return and expenses.</w:t>
      </w:r>
      <w:r>
        <w:t xml:space="preserve"> The earliest date for this </w:t>
      </w:r>
      <w:r w:rsidR="00794032">
        <w:t xml:space="preserve">first </w:t>
      </w:r>
      <w:r>
        <w:t xml:space="preserve">actual </w:t>
      </w:r>
      <w:r w:rsidR="004935C5">
        <w:t xml:space="preserve">Rider ASRP </w:t>
      </w:r>
      <w:r>
        <w:t xml:space="preserve">application </w:t>
      </w:r>
      <w:r w:rsidR="00B16EAA">
        <w:t xml:space="preserve">is </w:t>
      </w:r>
      <w:r>
        <w:t xml:space="preserve">on or before </w:t>
      </w:r>
      <w:r w:rsidR="00280CE2">
        <w:t>March 1, 2017.</w:t>
      </w:r>
    </w:p>
    <w:p w:rsidR="00FA113E" w:rsidRDefault="00FA113E" w:rsidP="00904A1B">
      <w:pPr>
        <w:spacing w:line="480" w:lineRule="auto"/>
        <w:ind w:left="660"/>
      </w:pPr>
    </w:p>
    <w:p w:rsidR="00FA113E" w:rsidRDefault="00FA113E" w:rsidP="00904A1B">
      <w:pPr>
        <w:tabs>
          <w:tab w:val="num" w:pos="720"/>
        </w:tabs>
        <w:spacing w:line="480" w:lineRule="auto"/>
        <w:ind w:left="720" w:hanging="720"/>
        <w:rPr>
          <w:b/>
          <w:bCs/>
          <w:i/>
        </w:rPr>
      </w:pPr>
      <w:r>
        <w:rPr>
          <w:b/>
          <w:bCs/>
          <w:i/>
        </w:rPr>
        <w:t>Q9.</w:t>
      </w:r>
      <w:r>
        <w:rPr>
          <w:b/>
          <w:bCs/>
          <w:i/>
        </w:rPr>
        <w:tab/>
        <w:t>WHY IS IT PREMATURE AND UNNECESSARY</w:t>
      </w:r>
      <w:r w:rsidR="00745EA0">
        <w:rPr>
          <w:b/>
          <w:bCs/>
          <w:i/>
        </w:rPr>
        <w:t xml:space="preserve"> </w:t>
      </w:r>
      <w:r>
        <w:rPr>
          <w:b/>
          <w:bCs/>
          <w:i/>
        </w:rPr>
        <w:t xml:space="preserve">TO SET A RATE OF RETURN OR RETURN ON EQUITY </w:t>
      </w:r>
      <w:r w:rsidR="002C1F7E">
        <w:rPr>
          <w:b/>
          <w:bCs/>
          <w:i/>
        </w:rPr>
        <w:t>THAT CUSTOMERS WILL FUND</w:t>
      </w:r>
      <w:r w:rsidR="005A7B47">
        <w:rPr>
          <w:b/>
          <w:bCs/>
          <w:i/>
        </w:rPr>
        <w:t xml:space="preserve"> </w:t>
      </w:r>
      <w:r>
        <w:rPr>
          <w:b/>
          <w:bCs/>
          <w:i/>
        </w:rPr>
        <w:t xml:space="preserve">TO </w:t>
      </w:r>
      <w:r w:rsidR="002C1F7E">
        <w:rPr>
          <w:b/>
          <w:bCs/>
          <w:i/>
        </w:rPr>
        <w:t>U</w:t>
      </w:r>
      <w:r w:rsidR="007C26E0">
        <w:rPr>
          <w:b/>
          <w:bCs/>
          <w:i/>
        </w:rPr>
        <w:t xml:space="preserve">PDATE </w:t>
      </w:r>
      <w:r w:rsidR="00EA717A">
        <w:rPr>
          <w:b/>
          <w:bCs/>
          <w:i/>
        </w:rPr>
        <w:t>THE ASRP RIDER AT THIS TIME?</w:t>
      </w:r>
    </w:p>
    <w:p w:rsidR="00DE5CCE" w:rsidRDefault="00FA113E" w:rsidP="00904A1B">
      <w:pPr>
        <w:spacing w:line="480" w:lineRule="auto"/>
        <w:ind w:left="720" w:hanging="720"/>
        <w:rPr>
          <w:bCs/>
        </w:rPr>
      </w:pPr>
      <w:r w:rsidRPr="001A342D">
        <w:rPr>
          <w:b/>
          <w:bCs/>
          <w:i/>
        </w:rPr>
        <w:t>A</w:t>
      </w:r>
      <w:r>
        <w:rPr>
          <w:b/>
          <w:bCs/>
          <w:i/>
        </w:rPr>
        <w:t>9</w:t>
      </w:r>
      <w:r w:rsidRPr="001A342D">
        <w:rPr>
          <w:b/>
          <w:bCs/>
          <w:i/>
        </w:rPr>
        <w:t>.</w:t>
      </w:r>
      <w:r w:rsidRPr="001A342D">
        <w:rPr>
          <w:b/>
          <w:bCs/>
          <w:i/>
        </w:rPr>
        <w:tab/>
      </w:r>
      <w:r>
        <w:rPr>
          <w:bCs/>
        </w:rPr>
        <w:t xml:space="preserve">As discussed </w:t>
      </w:r>
      <w:r w:rsidR="006D180C">
        <w:rPr>
          <w:bCs/>
        </w:rPr>
        <w:t>above</w:t>
      </w:r>
      <w:r>
        <w:rPr>
          <w:bCs/>
        </w:rPr>
        <w:t xml:space="preserve">, the earliest time that Duke would need to file an actual application to update </w:t>
      </w:r>
      <w:r w:rsidR="00BB5B13">
        <w:rPr>
          <w:bCs/>
        </w:rPr>
        <w:t xml:space="preserve">its </w:t>
      </w:r>
      <w:r>
        <w:rPr>
          <w:bCs/>
        </w:rPr>
        <w:t xml:space="preserve">Rider ASRP is </w:t>
      </w:r>
      <w:r w:rsidR="0057597D">
        <w:rPr>
          <w:bCs/>
        </w:rPr>
        <w:t xml:space="preserve">on or before </w:t>
      </w:r>
      <w:r w:rsidR="007472FC">
        <w:rPr>
          <w:bCs/>
        </w:rPr>
        <w:t>March 1, 2017. Even if the PUCO</w:t>
      </w:r>
      <w:r>
        <w:rPr>
          <w:bCs/>
        </w:rPr>
        <w:t xml:space="preserve"> approve</w:t>
      </w:r>
      <w:r w:rsidR="00BB5B13">
        <w:rPr>
          <w:bCs/>
        </w:rPr>
        <w:t>s</w:t>
      </w:r>
      <w:r>
        <w:rPr>
          <w:bCs/>
        </w:rPr>
        <w:t xml:space="preserve"> the ASRP and Rider ASRP </w:t>
      </w:r>
      <w:r w:rsidR="004935C5">
        <w:rPr>
          <w:bCs/>
        </w:rPr>
        <w:t>(which OCC</w:t>
      </w:r>
      <w:r w:rsidR="000A30A5">
        <w:rPr>
          <w:bCs/>
        </w:rPr>
        <w:t xml:space="preserve"> </w:t>
      </w:r>
      <w:r w:rsidR="004935C5">
        <w:rPr>
          <w:bCs/>
        </w:rPr>
        <w:t>recommend</w:t>
      </w:r>
      <w:r w:rsidR="000A30A5">
        <w:rPr>
          <w:bCs/>
        </w:rPr>
        <w:t>s</w:t>
      </w:r>
      <w:r w:rsidR="000E4F72">
        <w:rPr>
          <w:bCs/>
        </w:rPr>
        <w:t xml:space="preserve"> against</w:t>
      </w:r>
      <w:r w:rsidR="006D180C">
        <w:rPr>
          <w:bCs/>
        </w:rPr>
        <w:t xml:space="preserve"> to protect customers from </w:t>
      </w:r>
      <w:r w:rsidR="008C2082">
        <w:rPr>
          <w:bCs/>
        </w:rPr>
        <w:t>excessive unwarranted</w:t>
      </w:r>
      <w:r w:rsidR="006D180C">
        <w:rPr>
          <w:bCs/>
        </w:rPr>
        <w:t xml:space="preserve"> charges</w:t>
      </w:r>
      <w:r w:rsidR="004935C5">
        <w:rPr>
          <w:bCs/>
        </w:rPr>
        <w:t>)</w:t>
      </w:r>
      <w:r w:rsidR="007C26E0">
        <w:rPr>
          <w:bCs/>
        </w:rPr>
        <w:t xml:space="preserve"> in late 2015 or early 2016</w:t>
      </w:r>
      <w:r w:rsidR="004935C5">
        <w:rPr>
          <w:bCs/>
        </w:rPr>
        <w:t xml:space="preserve">, </w:t>
      </w:r>
      <w:r>
        <w:rPr>
          <w:bCs/>
        </w:rPr>
        <w:t xml:space="preserve">I expect the </w:t>
      </w:r>
      <w:r w:rsidR="000A30A5">
        <w:rPr>
          <w:bCs/>
        </w:rPr>
        <w:t xml:space="preserve">proposed </w:t>
      </w:r>
      <w:r>
        <w:rPr>
          <w:bCs/>
        </w:rPr>
        <w:t>Ride</w:t>
      </w:r>
      <w:r w:rsidR="00EA717A">
        <w:rPr>
          <w:bCs/>
        </w:rPr>
        <w:t xml:space="preserve">r ASRP to </w:t>
      </w:r>
      <w:r w:rsidR="007C26E0">
        <w:rPr>
          <w:bCs/>
        </w:rPr>
        <w:t xml:space="preserve">remain </w:t>
      </w:r>
      <w:r w:rsidR="00EA717A">
        <w:rPr>
          <w:bCs/>
        </w:rPr>
        <w:t>$0 until May 2017.</w:t>
      </w:r>
      <w:r w:rsidR="00DE5CCE">
        <w:rPr>
          <w:bCs/>
        </w:rPr>
        <w:br w:type="page"/>
      </w:r>
    </w:p>
    <w:p w:rsidR="00FA113E" w:rsidRDefault="005A7B47" w:rsidP="00904A1B">
      <w:pPr>
        <w:spacing w:line="480" w:lineRule="auto"/>
        <w:ind w:left="720" w:hanging="60"/>
      </w:pPr>
      <w:r>
        <w:rPr>
          <w:bCs/>
        </w:rPr>
        <w:t>During the time period between now and March 2017</w:t>
      </w:r>
      <w:r w:rsidR="00D74DBF">
        <w:rPr>
          <w:bCs/>
        </w:rPr>
        <w:t xml:space="preserve"> Duke’s financial condition</w:t>
      </w:r>
      <w:r>
        <w:rPr>
          <w:bCs/>
        </w:rPr>
        <w:t xml:space="preserve"> (such as its capital structure, its embedded costs of debt, and the estimated return on equity)</w:t>
      </w:r>
      <w:r w:rsidR="00D74DBF" w:rsidRPr="00D74DBF">
        <w:rPr>
          <w:bCs/>
        </w:rPr>
        <w:t xml:space="preserve"> </w:t>
      </w:r>
      <w:r w:rsidR="00D74DBF">
        <w:rPr>
          <w:bCs/>
        </w:rPr>
        <w:t>is subject to change</w:t>
      </w:r>
      <w:r w:rsidR="000E4F72">
        <w:rPr>
          <w:bCs/>
        </w:rPr>
        <w:t>.</w:t>
      </w:r>
      <w:r w:rsidR="00D74DBF">
        <w:rPr>
          <w:bCs/>
        </w:rPr>
        <w:t xml:space="preserve"> </w:t>
      </w:r>
      <w:r w:rsidR="002C1F7E">
        <w:rPr>
          <w:bCs/>
        </w:rPr>
        <w:t xml:space="preserve">This is because </w:t>
      </w:r>
      <w:r w:rsidR="00EA0132">
        <w:rPr>
          <w:bCs/>
        </w:rPr>
        <w:t>t</w:t>
      </w:r>
      <w:r w:rsidR="00FA113E">
        <w:rPr>
          <w:bCs/>
        </w:rPr>
        <w:t xml:space="preserve">he </w:t>
      </w:r>
      <w:r w:rsidR="004935C5">
        <w:rPr>
          <w:bCs/>
        </w:rPr>
        <w:t xml:space="preserve">credit and equity </w:t>
      </w:r>
      <w:r w:rsidR="001B3B2C">
        <w:rPr>
          <w:bCs/>
        </w:rPr>
        <w:t>market condition</w:t>
      </w:r>
      <w:r w:rsidR="00EE1273">
        <w:rPr>
          <w:bCs/>
        </w:rPr>
        <w:t>s</w:t>
      </w:r>
      <w:r w:rsidR="001B3B2C">
        <w:rPr>
          <w:bCs/>
        </w:rPr>
        <w:t xml:space="preserve"> </w:t>
      </w:r>
      <w:r w:rsidR="00FA113E">
        <w:rPr>
          <w:bCs/>
        </w:rPr>
        <w:t xml:space="preserve">in the U.S. </w:t>
      </w:r>
      <w:r w:rsidR="004935C5">
        <w:rPr>
          <w:bCs/>
        </w:rPr>
        <w:t xml:space="preserve">and globally </w:t>
      </w:r>
      <w:r w:rsidR="00E92DF7">
        <w:rPr>
          <w:bCs/>
        </w:rPr>
        <w:t>could</w:t>
      </w:r>
      <w:r w:rsidR="002C1F7E">
        <w:rPr>
          <w:bCs/>
        </w:rPr>
        <w:t xml:space="preserve"> change significantly</w:t>
      </w:r>
      <w:r w:rsidR="007C26E0">
        <w:rPr>
          <w:bCs/>
        </w:rPr>
        <w:t xml:space="preserve"> and Duke’s business practices and strategies could </w:t>
      </w:r>
      <w:r w:rsidR="0032747D">
        <w:rPr>
          <w:bCs/>
        </w:rPr>
        <w:t>also change</w:t>
      </w:r>
      <w:r w:rsidR="000E4F72">
        <w:rPr>
          <w:bCs/>
        </w:rPr>
        <w:t>.</w:t>
      </w:r>
      <w:r w:rsidR="007472FC">
        <w:rPr>
          <w:bCs/>
        </w:rPr>
        <w:t xml:space="preserve"> </w:t>
      </w:r>
      <w:r>
        <w:t xml:space="preserve">It is well recognized in utility regulation, that the setting of a ROR and a ROE for a regulated utility should reflect the prevailing financial market and economical condition at that time. </w:t>
      </w:r>
      <w:r w:rsidR="004935C5">
        <w:t xml:space="preserve">In other words, </w:t>
      </w:r>
      <w:r w:rsidR="0032747D">
        <w:t xml:space="preserve">utility </w:t>
      </w:r>
      <w:r w:rsidR="002C1F7E">
        <w:t xml:space="preserve">rates, including </w:t>
      </w:r>
      <w:r w:rsidR="0032747D">
        <w:t xml:space="preserve">the </w:t>
      </w:r>
      <w:r w:rsidR="000A30A5">
        <w:t xml:space="preserve">ROR and </w:t>
      </w:r>
      <w:r w:rsidR="004935C5">
        <w:t>ROE</w:t>
      </w:r>
      <w:r w:rsidR="0032747D">
        <w:t xml:space="preserve"> that are used to calculate rates,</w:t>
      </w:r>
      <w:r w:rsidR="004935C5">
        <w:t xml:space="preserve"> </w:t>
      </w:r>
      <w:r w:rsidR="00007572">
        <w:t xml:space="preserve">should be </w:t>
      </w:r>
      <w:r w:rsidR="002C1F7E">
        <w:t xml:space="preserve">established </w:t>
      </w:r>
      <w:r w:rsidR="00007572">
        <w:t xml:space="preserve">close to the time when </w:t>
      </w:r>
      <w:r w:rsidR="00EA64B6">
        <w:t xml:space="preserve">the </w:t>
      </w:r>
      <w:r w:rsidR="00007572">
        <w:t>proposed rate</w:t>
      </w:r>
      <w:r w:rsidR="0032747D">
        <w:t>s</w:t>
      </w:r>
      <w:r w:rsidR="00007572">
        <w:t xml:space="preserve"> will become effective. </w:t>
      </w:r>
      <w:r w:rsidR="00FA113E">
        <w:t xml:space="preserve">Therefore, </w:t>
      </w:r>
      <w:r w:rsidR="00EE1273">
        <w:t xml:space="preserve">now is not </w:t>
      </w:r>
      <w:r w:rsidR="00BB5B13">
        <w:t xml:space="preserve">the proper time for setting the rate of return </w:t>
      </w:r>
      <w:r w:rsidR="00745EA0">
        <w:t xml:space="preserve">(or ROE) </w:t>
      </w:r>
      <w:r w:rsidR="00BB5B13">
        <w:t xml:space="preserve">for </w:t>
      </w:r>
      <w:r w:rsidR="00745EA0">
        <w:t xml:space="preserve">a </w:t>
      </w:r>
      <w:r w:rsidR="00BB5B13">
        <w:t xml:space="preserve">Rider </w:t>
      </w:r>
      <w:r>
        <w:t>ASRP</w:t>
      </w:r>
      <w:r w:rsidR="000E4F72">
        <w:rPr>
          <w:rStyle w:val="CommentReference"/>
        </w:rPr>
        <w:t>.</w:t>
      </w:r>
      <w:r w:rsidR="0032747D">
        <w:t xml:space="preserve"> I</w:t>
      </w:r>
      <w:r w:rsidR="00BB5B13">
        <w:t xml:space="preserve">t </w:t>
      </w:r>
      <w:r w:rsidR="00FA113E">
        <w:t xml:space="preserve">is premature and </w:t>
      </w:r>
      <w:r w:rsidR="000C0159">
        <w:t>unreasonable</w:t>
      </w:r>
      <w:r>
        <w:t>, at this time,</w:t>
      </w:r>
      <w:r w:rsidR="0032747D">
        <w:t xml:space="preserve"> </w:t>
      </w:r>
      <w:r w:rsidR="00FA113E">
        <w:t xml:space="preserve">to set a </w:t>
      </w:r>
      <w:r w:rsidR="00E82D54">
        <w:t>ROR or ROE</w:t>
      </w:r>
      <w:r>
        <w:t xml:space="preserve"> </w:t>
      </w:r>
      <w:r w:rsidR="000C0159">
        <w:t xml:space="preserve">that will be used for </w:t>
      </w:r>
      <w:r w:rsidR="0032747D">
        <w:t xml:space="preserve">setting </w:t>
      </w:r>
      <w:r w:rsidR="000C0159">
        <w:t>rates charged to customers nearly eighteen months from now (</w:t>
      </w:r>
      <w:r w:rsidR="00007572">
        <w:t xml:space="preserve">May </w:t>
      </w:r>
      <w:r w:rsidR="00745EA0">
        <w:t>2017</w:t>
      </w:r>
      <w:r w:rsidR="000C0159">
        <w:t>)</w:t>
      </w:r>
      <w:r w:rsidR="00745EA0">
        <w:t>.</w:t>
      </w:r>
    </w:p>
    <w:p w:rsidR="00BB5B13" w:rsidRDefault="00BB5B13" w:rsidP="00FA113E">
      <w:pPr>
        <w:spacing w:line="480" w:lineRule="auto"/>
        <w:ind w:left="720" w:right="720" w:hanging="60"/>
        <w:rPr>
          <w:bCs/>
        </w:rPr>
      </w:pPr>
    </w:p>
    <w:p w:rsidR="00BB5B13" w:rsidRDefault="00BB5B13" w:rsidP="00BB5B13">
      <w:pPr>
        <w:tabs>
          <w:tab w:val="num" w:pos="720"/>
        </w:tabs>
        <w:spacing w:line="480" w:lineRule="auto"/>
        <w:ind w:left="720" w:hanging="720"/>
        <w:rPr>
          <w:b/>
          <w:bCs/>
          <w:i/>
        </w:rPr>
      </w:pPr>
      <w:r>
        <w:rPr>
          <w:b/>
          <w:bCs/>
          <w:i/>
        </w:rPr>
        <w:t>Q10.</w:t>
      </w:r>
      <w:r>
        <w:rPr>
          <w:b/>
          <w:bCs/>
          <w:i/>
        </w:rPr>
        <w:tab/>
        <w:t>WHAT ADDITIO</w:t>
      </w:r>
      <w:r w:rsidR="007472FC">
        <w:rPr>
          <w:b/>
          <w:bCs/>
          <w:i/>
        </w:rPr>
        <w:t>NAL FACTOR SHOULD THE PUCO</w:t>
      </w:r>
      <w:r>
        <w:rPr>
          <w:b/>
          <w:bCs/>
          <w:i/>
        </w:rPr>
        <w:t xml:space="preserve"> CONSIDER </w:t>
      </w:r>
      <w:r w:rsidR="00794032">
        <w:rPr>
          <w:b/>
          <w:bCs/>
          <w:i/>
        </w:rPr>
        <w:t xml:space="preserve">IN THIS PROCEEDING </w:t>
      </w:r>
      <w:r w:rsidR="000C0159">
        <w:rPr>
          <w:b/>
          <w:bCs/>
          <w:i/>
        </w:rPr>
        <w:t>W</w:t>
      </w:r>
      <w:r w:rsidR="0032747D">
        <w:rPr>
          <w:b/>
          <w:bCs/>
          <w:i/>
        </w:rPr>
        <w:t xml:space="preserve">HEN SETTING </w:t>
      </w:r>
      <w:r>
        <w:rPr>
          <w:b/>
          <w:bCs/>
          <w:i/>
        </w:rPr>
        <w:t>A RATE OF RETURN OR A R</w:t>
      </w:r>
      <w:r w:rsidR="001E5031">
        <w:rPr>
          <w:b/>
          <w:bCs/>
          <w:i/>
        </w:rPr>
        <w:t xml:space="preserve">ETURN </w:t>
      </w:r>
      <w:r w:rsidR="001B3B2C">
        <w:rPr>
          <w:b/>
          <w:bCs/>
          <w:i/>
        </w:rPr>
        <w:t>O</w:t>
      </w:r>
      <w:r w:rsidR="001E5031">
        <w:rPr>
          <w:b/>
          <w:bCs/>
          <w:i/>
        </w:rPr>
        <w:t xml:space="preserve">N </w:t>
      </w:r>
      <w:r w:rsidR="001B3B2C">
        <w:rPr>
          <w:b/>
          <w:bCs/>
          <w:i/>
        </w:rPr>
        <w:t>E</w:t>
      </w:r>
      <w:r w:rsidR="001E5031">
        <w:rPr>
          <w:b/>
          <w:bCs/>
          <w:i/>
        </w:rPr>
        <w:t>QUITY</w:t>
      </w:r>
      <w:r>
        <w:rPr>
          <w:b/>
          <w:bCs/>
          <w:i/>
        </w:rPr>
        <w:t xml:space="preserve"> </w:t>
      </w:r>
      <w:r w:rsidR="000C0159">
        <w:rPr>
          <w:b/>
          <w:bCs/>
          <w:i/>
        </w:rPr>
        <w:t xml:space="preserve">THAT CUSTOMERS MUST FUND </w:t>
      </w:r>
      <w:r w:rsidR="0032747D">
        <w:rPr>
          <w:b/>
          <w:bCs/>
          <w:i/>
        </w:rPr>
        <w:t xml:space="preserve">THROUGH </w:t>
      </w:r>
      <w:r w:rsidR="00B0717F">
        <w:rPr>
          <w:b/>
          <w:bCs/>
          <w:i/>
        </w:rPr>
        <w:t>RIDER</w:t>
      </w:r>
      <w:r w:rsidR="00F42498">
        <w:rPr>
          <w:b/>
          <w:bCs/>
          <w:i/>
        </w:rPr>
        <w:t xml:space="preserve"> ASRP?</w:t>
      </w:r>
    </w:p>
    <w:p w:rsidR="00FA113E" w:rsidRDefault="00BB5B13" w:rsidP="00904A1B">
      <w:pPr>
        <w:spacing w:line="480" w:lineRule="auto"/>
        <w:ind w:left="720" w:hanging="720"/>
        <w:rPr>
          <w:bCs/>
        </w:rPr>
      </w:pPr>
      <w:r w:rsidRPr="001A342D">
        <w:rPr>
          <w:b/>
          <w:bCs/>
          <w:i/>
        </w:rPr>
        <w:t>A</w:t>
      </w:r>
      <w:r w:rsidR="00DA2BCA">
        <w:rPr>
          <w:b/>
          <w:bCs/>
          <w:i/>
        </w:rPr>
        <w:t>10</w:t>
      </w:r>
      <w:r w:rsidRPr="001A342D">
        <w:rPr>
          <w:b/>
          <w:bCs/>
          <w:i/>
        </w:rPr>
        <w:t>.</w:t>
      </w:r>
      <w:r w:rsidRPr="001A342D">
        <w:rPr>
          <w:b/>
          <w:bCs/>
          <w:i/>
        </w:rPr>
        <w:tab/>
      </w:r>
      <w:r w:rsidR="00FA113E">
        <w:rPr>
          <w:bCs/>
        </w:rPr>
        <w:t>Th</w:t>
      </w:r>
      <w:r w:rsidR="00DA2BCA">
        <w:rPr>
          <w:bCs/>
        </w:rPr>
        <w:t xml:space="preserve">e </w:t>
      </w:r>
      <w:r w:rsidR="007472FC">
        <w:rPr>
          <w:bCs/>
        </w:rPr>
        <w:t>PUCO</w:t>
      </w:r>
      <w:r w:rsidR="001B3B2C">
        <w:rPr>
          <w:bCs/>
        </w:rPr>
        <w:t xml:space="preserve"> </w:t>
      </w:r>
      <w:r w:rsidR="00E82D54">
        <w:rPr>
          <w:bCs/>
        </w:rPr>
        <w:t>should</w:t>
      </w:r>
      <w:r w:rsidR="001B3B2C">
        <w:rPr>
          <w:bCs/>
        </w:rPr>
        <w:t xml:space="preserve"> also consider the timing of the </w:t>
      </w:r>
      <w:r w:rsidR="005A7B47">
        <w:rPr>
          <w:bCs/>
        </w:rPr>
        <w:t>upcoming Duke</w:t>
      </w:r>
      <w:r w:rsidR="000C0159">
        <w:rPr>
          <w:bCs/>
        </w:rPr>
        <w:t xml:space="preserve"> </w:t>
      </w:r>
      <w:r w:rsidR="00DA2BCA">
        <w:rPr>
          <w:bCs/>
        </w:rPr>
        <w:t xml:space="preserve">electric distribution </w:t>
      </w:r>
      <w:r w:rsidR="00E82D54">
        <w:rPr>
          <w:bCs/>
        </w:rPr>
        <w:t xml:space="preserve">base </w:t>
      </w:r>
      <w:r w:rsidR="00DA2BCA">
        <w:rPr>
          <w:bCs/>
        </w:rPr>
        <w:t>rate</w:t>
      </w:r>
      <w:r w:rsidR="000C0159">
        <w:rPr>
          <w:bCs/>
        </w:rPr>
        <w:t>.</w:t>
      </w:r>
      <w:r w:rsidR="000E4F72">
        <w:rPr>
          <w:bCs/>
        </w:rPr>
        <w:t xml:space="preserve"> </w:t>
      </w:r>
      <w:r w:rsidR="00DA2BCA">
        <w:rPr>
          <w:bCs/>
        </w:rPr>
        <w:t xml:space="preserve">According to PUCO Staff, </w:t>
      </w:r>
      <w:r w:rsidR="00FA113E">
        <w:rPr>
          <w:bCs/>
        </w:rPr>
        <w:t>Duke is obligated to file an electric distribution rate case before October 22, 2016</w:t>
      </w:r>
      <w:r w:rsidR="00E82D54">
        <w:rPr>
          <w:bCs/>
        </w:rPr>
        <w:t>.</w:t>
      </w:r>
      <w:r w:rsidR="00E82D54">
        <w:rPr>
          <w:rStyle w:val="FootnoteReference"/>
          <w:bCs/>
        </w:rPr>
        <w:footnoteReference w:id="12"/>
      </w:r>
      <w:r w:rsidR="00E92DF7">
        <w:t xml:space="preserve"> </w:t>
      </w:r>
      <w:r w:rsidR="00FA113E">
        <w:rPr>
          <w:bCs/>
        </w:rPr>
        <w:t>Duke is not required to file a gas distributi</w:t>
      </w:r>
      <w:r w:rsidR="007472FC">
        <w:rPr>
          <w:bCs/>
        </w:rPr>
        <w:t xml:space="preserve">on rate case before that date. </w:t>
      </w:r>
      <w:r w:rsidR="00FA113E">
        <w:rPr>
          <w:bCs/>
        </w:rPr>
        <w:t xml:space="preserve">Nevertheless, the same detailed financial information filed in the forthcoming electric distribution </w:t>
      </w:r>
      <w:r w:rsidR="00E82D54">
        <w:rPr>
          <w:bCs/>
        </w:rPr>
        <w:t xml:space="preserve">base </w:t>
      </w:r>
      <w:r w:rsidR="00FA113E">
        <w:rPr>
          <w:bCs/>
        </w:rPr>
        <w:t xml:space="preserve">rate case </w:t>
      </w:r>
      <w:r w:rsidR="00E27FC3">
        <w:rPr>
          <w:bCs/>
        </w:rPr>
        <w:t xml:space="preserve">(mostly in Schedule D of the Standard Filing Requirements) </w:t>
      </w:r>
      <w:r w:rsidR="00FA113E">
        <w:rPr>
          <w:bCs/>
        </w:rPr>
        <w:t xml:space="preserve">can be </w:t>
      </w:r>
      <w:r w:rsidR="00794032">
        <w:rPr>
          <w:bCs/>
        </w:rPr>
        <w:t xml:space="preserve">considered and </w:t>
      </w:r>
      <w:r w:rsidR="00007572">
        <w:rPr>
          <w:bCs/>
        </w:rPr>
        <w:t>used</w:t>
      </w:r>
      <w:r w:rsidR="00794032">
        <w:rPr>
          <w:bCs/>
        </w:rPr>
        <w:t xml:space="preserve"> (with modifications if necessary)</w:t>
      </w:r>
      <w:r w:rsidR="00007572">
        <w:rPr>
          <w:bCs/>
        </w:rPr>
        <w:t xml:space="preserve"> </w:t>
      </w:r>
      <w:r w:rsidR="00E27FC3">
        <w:rPr>
          <w:bCs/>
        </w:rPr>
        <w:t xml:space="preserve">for Duke’s </w:t>
      </w:r>
      <w:r w:rsidR="00EA717A">
        <w:rPr>
          <w:bCs/>
        </w:rPr>
        <w:t>Rider ASRP in March 2017.</w:t>
      </w:r>
      <w:r w:rsidR="00E82D54">
        <w:rPr>
          <w:bCs/>
        </w:rPr>
        <w:t xml:space="preserve"> </w:t>
      </w:r>
      <w:r w:rsidR="00007572">
        <w:rPr>
          <w:bCs/>
        </w:rPr>
        <w:t>Duke is a</w:t>
      </w:r>
      <w:r w:rsidR="00E82D54">
        <w:rPr>
          <w:bCs/>
        </w:rPr>
        <w:t xml:space="preserve"> combination</w:t>
      </w:r>
      <w:r w:rsidR="00007572">
        <w:rPr>
          <w:bCs/>
        </w:rPr>
        <w:t xml:space="preserve"> electric and gas </w:t>
      </w:r>
      <w:r w:rsidR="00E82D54">
        <w:rPr>
          <w:bCs/>
        </w:rPr>
        <w:t>utility</w:t>
      </w:r>
      <w:r w:rsidR="00007572">
        <w:rPr>
          <w:bCs/>
        </w:rPr>
        <w:t xml:space="preserve">. </w:t>
      </w:r>
      <w:r w:rsidR="00FA113E">
        <w:rPr>
          <w:bCs/>
        </w:rPr>
        <w:t xml:space="preserve">In its most recent gas and electric distribution </w:t>
      </w:r>
      <w:r w:rsidR="00E82D54">
        <w:rPr>
          <w:bCs/>
        </w:rPr>
        <w:t xml:space="preserve">base </w:t>
      </w:r>
      <w:r w:rsidR="00FA113E">
        <w:rPr>
          <w:bCs/>
        </w:rPr>
        <w:t xml:space="preserve">rate case, Duke provided the same financial information and asked for the same </w:t>
      </w:r>
      <w:r w:rsidR="00E82D54">
        <w:rPr>
          <w:bCs/>
        </w:rPr>
        <w:t>ROR and ROE</w:t>
      </w:r>
      <w:r w:rsidR="00FA113E">
        <w:rPr>
          <w:bCs/>
        </w:rPr>
        <w:t xml:space="preserve"> </w:t>
      </w:r>
      <w:r w:rsidR="00E27FC3">
        <w:rPr>
          <w:bCs/>
        </w:rPr>
        <w:t xml:space="preserve">for both gas and electric services </w:t>
      </w:r>
      <w:r w:rsidR="00FA113E">
        <w:rPr>
          <w:bCs/>
        </w:rPr>
        <w:t>(PUCO Case Nos. 12-16</w:t>
      </w:r>
      <w:r w:rsidR="007472FC">
        <w:rPr>
          <w:bCs/>
        </w:rPr>
        <w:t xml:space="preserve">82-EL-AIR and 12-1685-GA-AIR). </w:t>
      </w:r>
      <w:r w:rsidR="00E27FC3">
        <w:rPr>
          <w:bCs/>
        </w:rPr>
        <w:t xml:space="preserve">In these two </w:t>
      </w:r>
      <w:r w:rsidR="00EA64B6">
        <w:rPr>
          <w:bCs/>
        </w:rPr>
        <w:t xml:space="preserve">base </w:t>
      </w:r>
      <w:r w:rsidR="00794032">
        <w:rPr>
          <w:bCs/>
        </w:rPr>
        <w:t xml:space="preserve">distribution </w:t>
      </w:r>
      <w:r w:rsidR="001B3B2C">
        <w:rPr>
          <w:bCs/>
        </w:rPr>
        <w:t xml:space="preserve">rate </w:t>
      </w:r>
      <w:r w:rsidR="00E27FC3">
        <w:rPr>
          <w:bCs/>
        </w:rPr>
        <w:t>cases, t</w:t>
      </w:r>
      <w:r w:rsidR="00FA113E">
        <w:rPr>
          <w:bCs/>
        </w:rPr>
        <w:t xml:space="preserve">he </w:t>
      </w:r>
      <w:r w:rsidR="00E27FC3">
        <w:rPr>
          <w:bCs/>
        </w:rPr>
        <w:t>PUCO</w:t>
      </w:r>
      <w:r w:rsidR="00FA113E">
        <w:rPr>
          <w:bCs/>
        </w:rPr>
        <w:t xml:space="preserve"> authorized the same capital structure, </w:t>
      </w:r>
      <w:r w:rsidR="00E82D54">
        <w:rPr>
          <w:bCs/>
        </w:rPr>
        <w:t>ROR and ROE</w:t>
      </w:r>
      <w:r w:rsidR="00FA113E">
        <w:rPr>
          <w:bCs/>
        </w:rPr>
        <w:t xml:space="preserve"> for Duke’s gas and elec</w:t>
      </w:r>
      <w:r w:rsidR="007472FC">
        <w:rPr>
          <w:bCs/>
        </w:rPr>
        <w:t>tricity distribution services.</w:t>
      </w:r>
    </w:p>
    <w:p w:rsidR="00E97BB2" w:rsidRPr="007472FC" w:rsidRDefault="00E97BB2" w:rsidP="00E97BB2">
      <w:pPr>
        <w:tabs>
          <w:tab w:val="num" w:pos="720"/>
        </w:tabs>
        <w:spacing w:line="480" w:lineRule="auto"/>
        <w:ind w:left="720" w:hanging="720"/>
        <w:rPr>
          <w:bCs/>
        </w:rPr>
      </w:pPr>
    </w:p>
    <w:p w:rsidR="00DD374D" w:rsidRDefault="00DD374D" w:rsidP="00E97BB2">
      <w:pPr>
        <w:tabs>
          <w:tab w:val="num" w:pos="720"/>
        </w:tabs>
        <w:spacing w:line="480" w:lineRule="auto"/>
        <w:ind w:left="720" w:hanging="720"/>
        <w:rPr>
          <w:b/>
          <w:bCs/>
          <w:i/>
        </w:rPr>
      </w:pPr>
      <w:r>
        <w:rPr>
          <w:b/>
          <w:bCs/>
          <w:i/>
        </w:rPr>
        <w:t>Q</w:t>
      </w:r>
      <w:r w:rsidR="00FA113E">
        <w:rPr>
          <w:b/>
          <w:bCs/>
          <w:i/>
        </w:rPr>
        <w:t>1</w:t>
      </w:r>
      <w:r w:rsidR="002401CF">
        <w:rPr>
          <w:b/>
          <w:bCs/>
          <w:i/>
        </w:rPr>
        <w:t>1</w:t>
      </w:r>
      <w:r>
        <w:rPr>
          <w:b/>
          <w:bCs/>
          <w:i/>
        </w:rPr>
        <w:t>.</w:t>
      </w:r>
      <w:r>
        <w:rPr>
          <w:b/>
          <w:bCs/>
          <w:i/>
        </w:rPr>
        <w:tab/>
      </w:r>
      <w:r w:rsidR="00C6145F">
        <w:rPr>
          <w:b/>
          <w:bCs/>
          <w:i/>
        </w:rPr>
        <w:t xml:space="preserve">WHAT ARE </w:t>
      </w:r>
      <w:r w:rsidR="002401CF">
        <w:rPr>
          <w:b/>
          <w:bCs/>
          <w:i/>
        </w:rPr>
        <w:t xml:space="preserve">THE </w:t>
      </w:r>
      <w:r w:rsidR="008B11E0">
        <w:rPr>
          <w:b/>
          <w:bCs/>
          <w:i/>
        </w:rPr>
        <w:t xml:space="preserve">RATE OF RETURN AND </w:t>
      </w:r>
      <w:r>
        <w:rPr>
          <w:b/>
          <w:bCs/>
          <w:i/>
        </w:rPr>
        <w:t>RETURN ON EQUITY</w:t>
      </w:r>
      <w:r w:rsidR="008B11E0">
        <w:rPr>
          <w:b/>
          <w:bCs/>
          <w:i/>
        </w:rPr>
        <w:t xml:space="preserve"> </w:t>
      </w:r>
      <w:r w:rsidR="002401CF">
        <w:rPr>
          <w:b/>
          <w:bCs/>
          <w:i/>
        </w:rPr>
        <w:t xml:space="preserve">PROPOSED BY DUKE </w:t>
      </w:r>
      <w:r w:rsidR="00C6145F">
        <w:rPr>
          <w:b/>
          <w:bCs/>
          <w:i/>
        </w:rPr>
        <w:t xml:space="preserve">IN </w:t>
      </w:r>
      <w:r w:rsidR="00E27FC3">
        <w:rPr>
          <w:b/>
          <w:bCs/>
          <w:i/>
        </w:rPr>
        <w:t>THIS PROCEEDING?</w:t>
      </w:r>
    </w:p>
    <w:p w:rsidR="00E82D54" w:rsidRDefault="00DD374D" w:rsidP="003D6E47">
      <w:pPr>
        <w:tabs>
          <w:tab w:val="num" w:pos="720"/>
        </w:tabs>
        <w:spacing w:line="480" w:lineRule="auto"/>
        <w:ind w:left="720" w:hanging="720"/>
        <w:rPr>
          <w:bCs/>
        </w:rPr>
      </w:pPr>
      <w:r>
        <w:rPr>
          <w:b/>
          <w:bCs/>
          <w:i/>
        </w:rPr>
        <w:t>A</w:t>
      </w:r>
      <w:r w:rsidR="00FA113E">
        <w:rPr>
          <w:b/>
          <w:bCs/>
          <w:i/>
        </w:rPr>
        <w:t>1</w:t>
      </w:r>
      <w:r w:rsidR="002401CF">
        <w:rPr>
          <w:b/>
          <w:bCs/>
          <w:i/>
        </w:rPr>
        <w:t>1</w:t>
      </w:r>
      <w:r>
        <w:rPr>
          <w:b/>
          <w:bCs/>
          <w:i/>
        </w:rPr>
        <w:t>.</w:t>
      </w:r>
      <w:r w:rsidR="00684D28">
        <w:rPr>
          <w:b/>
          <w:bCs/>
          <w:i/>
        </w:rPr>
        <w:tab/>
      </w:r>
      <w:r w:rsidR="004F25E8">
        <w:rPr>
          <w:bCs/>
        </w:rPr>
        <w:t xml:space="preserve">Duke </w:t>
      </w:r>
      <w:r w:rsidR="00FA113E">
        <w:rPr>
          <w:bCs/>
        </w:rPr>
        <w:t>does not explain</w:t>
      </w:r>
      <w:r w:rsidR="00E92DF7">
        <w:rPr>
          <w:bCs/>
        </w:rPr>
        <w:t xml:space="preserve"> or justify</w:t>
      </w:r>
      <w:r w:rsidR="00FA113E">
        <w:rPr>
          <w:bCs/>
        </w:rPr>
        <w:t xml:space="preserve"> </w:t>
      </w:r>
      <w:r w:rsidR="002401CF">
        <w:rPr>
          <w:bCs/>
        </w:rPr>
        <w:t xml:space="preserve">the </w:t>
      </w:r>
      <w:r w:rsidR="00FA113E">
        <w:rPr>
          <w:bCs/>
        </w:rPr>
        <w:t xml:space="preserve">calculation of </w:t>
      </w:r>
      <w:r w:rsidR="002401CF">
        <w:rPr>
          <w:bCs/>
        </w:rPr>
        <w:t xml:space="preserve">its </w:t>
      </w:r>
      <w:r w:rsidR="00FA113E">
        <w:rPr>
          <w:bCs/>
        </w:rPr>
        <w:t xml:space="preserve">proposed Pre-tax Rate of Return </w:t>
      </w:r>
      <w:r w:rsidR="007472FC">
        <w:rPr>
          <w:bCs/>
        </w:rPr>
        <w:t>of 10.60%.</w:t>
      </w:r>
      <w:r w:rsidR="00B242D2">
        <w:rPr>
          <w:bCs/>
        </w:rPr>
        <w:t xml:space="preserve"> Duke </w:t>
      </w:r>
      <w:r w:rsidR="002401CF">
        <w:rPr>
          <w:bCs/>
        </w:rPr>
        <w:t>only indicates that it want</w:t>
      </w:r>
      <w:r w:rsidR="00E82D54">
        <w:rPr>
          <w:bCs/>
        </w:rPr>
        <w:t>ed</w:t>
      </w:r>
      <w:r w:rsidR="002401CF">
        <w:rPr>
          <w:bCs/>
        </w:rPr>
        <w:t xml:space="preserve"> </w:t>
      </w:r>
      <w:r w:rsidR="004F25E8">
        <w:rPr>
          <w:bCs/>
        </w:rPr>
        <w:t>to use its current</w:t>
      </w:r>
      <w:r w:rsidR="00B242D2">
        <w:rPr>
          <w:bCs/>
        </w:rPr>
        <w:t>ly</w:t>
      </w:r>
      <w:r w:rsidR="004F25E8">
        <w:rPr>
          <w:bCs/>
        </w:rPr>
        <w:t xml:space="preserve"> authorized </w:t>
      </w:r>
      <w:r w:rsidR="00E82D54">
        <w:rPr>
          <w:bCs/>
        </w:rPr>
        <w:t>ROR</w:t>
      </w:r>
      <w:r w:rsidR="004F25E8">
        <w:rPr>
          <w:bCs/>
        </w:rPr>
        <w:t xml:space="preserve"> from its most recent </w:t>
      </w:r>
      <w:r w:rsidR="00EA64B6">
        <w:rPr>
          <w:bCs/>
        </w:rPr>
        <w:t xml:space="preserve">gas </w:t>
      </w:r>
      <w:r w:rsidR="00E82D54">
        <w:rPr>
          <w:bCs/>
        </w:rPr>
        <w:t xml:space="preserve">distribution </w:t>
      </w:r>
      <w:r w:rsidR="004F25E8">
        <w:rPr>
          <w:bCs/>
        </w:rPr>
        <w:t xml:space="preserve">base </w:t>
      </w:r>
      <w:r w:rsidR="001B7B30">
        <w:rPr>
          <w:bCs/>
        </w:rPr>
        <w:t>rate</w:t>
      </w:r>
      <w:r w:rsidR="004F25E8">
        <w:rPr>
          <w:bCs/>
        </w:rPr>
        <w:t xml:space="preserve"> case</w:t>
      </w:r>
      <w:r w:rsidR="002401CF">
        <w:rPr>
          <w:bCs/>
        </w:rPr>
        <w:t>.</w:t>
      </w:r>
      <w:r w:rsidR="00DF5698">
        <w:rPr>
          <w:rStyle w:val="FootnoteReference"/>
          <w:bCs/>
        </w:rPr>
        <w:footnoteReference w:id="13"/>
      </w:r>
      <w:r w:rsidR="00B242D2">
        <w:rPr>
          <w:bCs/>
        </w:rPr>
        <w:t xml:space="preserve"> </w:t>
      </w:r>
      <w:r w:rsidR="00F93D7F">
        <w:rPr>
          <w:bCs/>
        </w:rPr>
        <w:t xml:space="preserve">Duke uses </w:t>
      </w:r>
      <w:r w:rsidR="002938F4">
        <w:rPr>
          <w:bCs/>
        </w:rPr>
        <w:t>a</w:t>
      </w:r>
      <w:r w:rsidR="00F93D7F">
        <w:rPr>
          <w:bCs/>
        </w:rPr>
        <w:t xml:space="preserve"> Pre-tax Rate of Return of 10.60% in calculating its projected Annualized Revenue Requirement from 2015 to 2024.</w:t>
      </w:r>
      <w:r w:rsidR="00F93D7F">
        <w:rPr>
          <w:rStyle w:val="FootnoteReference"/>
          <w:bCs/>
        </w:rPr>
        <w:footnoteReference w:id="14"/>
      </w:r>
      <w:r w:rsidR="00F93D7F">
        <w:rPr>
          <w:bCs/>
        </w:rPr>
        <w:t xml:space="preserve"> </w:t>
      </w:r>
      <w:r w:rsidR="00E71C88">
        <w:rPr>
          <w:bCs/>
        </w:rPr>
        <w:t xml:space="preserve">Duke </w:t>
      </w:r>
      <w:r w:rsidR="005A0835">
        <w:rPr>
          <w:bCs/>
        </w:rPr>
        <w:t>also proposes to use a 9.84%</w:t>
      </w:r>
      <w:r w:rsidR="00B242D2">
        <w:rPr>
          <w:bCs/>
        </w:rPr>
        <w:t xml:space="preserve"> </w:t>
      </w:r>
      <w:r w:rsidR="00E82D54">
        <w:rPr>
          <w:bCs/>
        </w:rPr>
        <w:t>ROE</w:t>
      </w:r>
      <w:r w:rsidR="00B242D2">
        <w:rPr>
          <w:bCs/>
        </w:rPr>
        <w:t>, which is unchanged from the ROE set in the s</w:t>
      </w:r>
      <w:r w:rsidR="007472FC">
        <w:rPr>
          <w:bCs/>
        </w:rPr>
        <w:t>ame base gas distribution case.</w:t>
      </w:r>
      <w:r w:rsidR="00DF5698">
        <w:rPr>
          <w:rStyle w:val="FootnoteReference"/>
          <w:bCs/>
        </w:rPr>
        <w:footnoteReference w:id="15"/>
      </w:r>
      <w:r w:rsidR="000C0159">
        <w:rPr>
          <w:bCs/>
        </w:rPr>
        <w:t xml:space="preserve"> These </w:t>
      </w:r>
      <w:r w:rsidR="000E09B3">
        <w:rPr>
          <w:bCs/>
        </w:rPr>
        <w:t xml:space="preserve">financial </w:t>
      </w:r>
      <w:r w:rsidR="000C0159">
        <w:rPr>
          <w:bCs/>
        </w:rPr>
        <w:t xml:space="preserve">rates </w:t>
      </w:r>
      <w:r w:rsidR="000E09B3">
        <w:rPr>
          <w:bCs/>
        </w:rPr>
        <w:t xml:space="preserve">(capital </w:t>
      </w:r>
      <w:r w:rsidR="005A7B47">
        <w:rPr>
          <w:bCs/>
        </w:rPr>
        <w:t>structure, embedded</w:t>
      </w:r>
      <w:r w:rsidR="000E09B3">
        <w:rPr>
          <w:bCs/>
        </w:rPr>
        <w:t xml:space="preserve"> cost of long-term debt, </w:t>
      </w:r>
      <w:r w:rsidR="0058778A">
        <w:rPr>
          <w:bCs/>
        </w:rPr>
        <w:t xml:space="preserve">estimated </w:t>
      </w:r>
      <w:r w:rsidR="000E09B3">
        <w:rPr>
          <w:bCs/>
        </w:rPr>
        <w:t xml:space="preserve">return on equity, and gross conversion factor) </w:t>
      </w:r>
      <w:r w:rsidR="00794032">
        <w:rPr>
          <w:bCs/>
        </w:rPr>
        <w:t xml:space="preserve">underlying the proposed Pre-tax Rate of Return of 10.60% </w:t>
      </w:r>
      <w:r w:rsidR="000C0159">
        <w:rPr>
          <w:bCs/>
        </w:rPr>
        <w:t xml:space="preserve">were established as part of a </w:t>
      </w:r>
      <w:r w:rsidR="005A7B47">
        <w:rPr>
          <w:bCs/>
        </w:rPr>
        <w:t>s</w:t>
      </w:r>
      <w:r w:rsidR="000C0159">
        <w:rPr>
          <w:bCs/>
        </w:rPr>
        <w:t>tipulation</w:t>
      </w:r>
      <w:r w:rsidR="000E09B3">
        <w:rPr>
          <w:bCs/>
        </w:rPr>
        <w:t xml:space="preserve"> in Duke’s most recent electric a</w:t>
      </w:r>
      <w:r w:rsidR="000E4F72">
        <w:rPr>
          <w:bCs/>
        </w:rPr>
        <w:t>nd gas base distribution cases.</w:t>
      </w:r>
    </w:p>
    <w:p w:rsidR="00E82D54" w:rsidRDefault="00E82D54" w:rsidP="003D6E47">
      <w:pPr>
        <w:tabs>
          <w:tab w:val="num" w:pos="720"/>
        </w:tabs>
        <w:spacing w:line="480" w:lineRule="auto"/>
        <w:ind w:left="720" w:hanging="720"/>
        <w:rPr>
          <w:bCs/>
        </w:rPr>
      </w:pPr>
    </w:p>
    <w:p w:rsidR="00FC1B2E" w:rsidRDefault="00E97BB2" w:rsidP="00FC1B2E">
      <w:pPr>
        <w:tabs>
          <w:tab w:val="num" w:pos="720"/>
        </w:tabs>
        <w:spacing w:line="480" w:lineRule="auto"/>
        <w:ind w:left="720" w:hanging="720"/>
        <w:rPr>
          <w:b/>
          <w:bCs/>
          <w:i/>
        </w:rPr>
      </w:pPr>
      <w:r>
        <w:rPr>
          <w:b/>
          <w:bCs/>
          <w:i/>
        </w:rPr>
        <w:t>Q1</w:t>
      </w:r>
      <w:r w:rsidR="00E71C88">
        <w:rPr>
          <w:b/>
          <w:bCs/>
          <w:i/>
        </w:rPr>
        <w:t>2</w:t>
      </w:r>
      <w:r>
        <w:rPr>
          <w:b/>
          <w:bCs/>
          <w:i/>
        </w:rPr>
        <w:t>.</w:t>
      </w:r>
      <w:r>
        <w:rPr>
          <w:b/>
          <w:bCs/>
          <w:i/>
        </w:rPr>
        <w:tab/>
      </w:r>
      <w:r w:rsidR="00FC1B2E">
        <w:rPr>
          <w:b/>
          <w:bCs/>
          <w:i/>
        </w:rPr>
        <w:t xml:space="preserve">WHY </w:t>
      </w:r>
      <w:r w:rsidR="007A6989">
        <w:rPr>
          <w:b/>
          <w:bCs/>
          <w:i/>
        </w:rPr>
        <w:t xml:space="preserve">IS </w:t>
      </w:r>
      <w:r w:rsidR="00FC1B2E">
        <w:rPr>
          <w:b/>
          <w:bCs/>
          <w:i/>
        </w:rPr>
        <w:t xml:space="preserve">IT </w:t>
      </w:r>
      <w:r w:rsidR="000C1130">
        <w:rPr>
          <w:b/>
          <w:bCs/>
          <w:i/>
        </w:rPr>
        <w:t>INAPPROPRIATE</w:t>
      </w:r>
      <w:r w:rsidR="00FC1B2E">
        <w:rPr>
          <w:b/>
          <w:bCs/>
          <w:i/>
        </w:rPr>
        <w:t xml:space="preserve"> TO CONTIN</w:t>
      </w:r>
      <w:r w:rsidR="00ED440A">
        <w:rPr>
          <w:b/>
          <w:bCs/>
          <w:i/>
        </w:rPr>
        <w:t>UE USING THE 9.84</w:t>
      </w:r>
      <w:r w:rsidR="005A0835">
        <w:rPr>
          <w:b/>
          <w:bCs/>
          <w:i/>
        </w:rPr>
        <w:t>%</w:t>
      </w:r>
      <w:r w:rsidR="00FC1B2E">
        <w:rPr>
          <w:b/>
          <w:bCs/>
          <w:i/>
        </w:rPr>
        <w:t xml:space="preserve"> ROE STIPULATED IN </w:t>
      </w:r>
      <w:r w:rsidR="000E4F72">
        <w:rPr>
          <w:b/>
          <w:bCs/>
          <w:i/>
        </w:rPr>
        <w:t>DUKE’S 2012</w:t>
      </w:r>
      <w:r w:rsidR="00D6792C">
        <w:rPr>
          <w:b/>
          <w:bCs/>
          <w:i/>
        </w:rPr>
        <w:t xml:space="preserve"> GAS DISTRIBUTION CASE</w:t>
      </w:r>
      <w:r w:rsidR="000E09B3">
        <w:rPr>
          <w:b/>
          <w:bCs/>
          <w:i/>
        </w:rPr>
        <w:t xml:space="preserve"> IN THIS PROCEEDING</w:t>
      </w:r>
      <w:r w:rsidR="00D6792C">
        <w:rPr>
          <w:b/>
          <w:bCs/>
          <w:i/>
        </w:rPr>
        <w:t>?</w:t>
      </w:r>
    </w:p>
    <w:p w:rsidR="00E77358" w:rsidRDefault="00FC1B2E" w:rsidP="000E4F72">
      <w:pPr>
        <w:tabs>
          <w:tab w:val="num" w:pos="720"/>
        </w:tabs>
        <w:spacing w:line="480" w:lineRule="auto"/>
        <w:ind w:left="720" w:hanging="720"/>
        <w:rPr>
          <w:bCs/>
        </w:rPr>
      </w:pPr>
      <w:r w:rsidRPr="00842F67">
        <w:rPr>
          <w:b/>
          <w:bCs/>
          <w:i/>
        </w:rPr>
        <w:t>A</w:t>
      </w:r>
      <w:r>
        <w:rPr>
          <w:b/>
          <w:bCs/>
          <w:i/>
        </w:rPr>
        <w:t>12</w:t>
      </w:r>
      <w:r w:rsidRPr="00842F67">
        <w:rPr>
          <w:b/>
          <w:bCs/>
          <w:i/>
        </w:rPr>
        <w:t>.</w:t>
      </w:r>
      <w:r>
        <w:rPr>
          <w:b/>
          <w:bCs/>
          <w:i/>
        </w:rPr>
        <w:tab/>
      </w:r>
      <w:r w:rsidR="005A0835">
        <w:rPr>
          <w:bCs/>
        </w:rPr>
        <w:t>The 9.84%</w:t>
      </w:r>
      <w:r>
        <w:rPr>
          <w:bCs/>
        </w:rPr>
        <w:t xml:space="preserve"> ROE </w:t>
      </w:r>
      <w:r w:rsidR="001B3B2C">
        <w:rPr>
          <w:bCs/>
        </w:rPr>
        <w:t xml:space="preserve">proposed by Duke in this proceeding </w:t>
      </w:r>
      <w:r>
        <w:rPr>
          <w:bCs/>
        </w:rPr>
        <w:t xml:space="preserve">was </w:t>
      </w:r>
      <w:r w:rsidR="0083578B">
        <w:rPr>
          <w:bCs/>
        </w:rPr>
        <w:t xml:space="preserve">negotiated </w:t>
      </w:r>
      <w:r w:rsidR="000E09B3">
        <w:rPr>
          <w:bCs/>
        </w:rPr>
        <w:t xml:space="preserve">and agreed upon by parties </w:t>
      </w:r>
      <w:r w:rsidR="0083578B">
        <w:rPr>
          <w:bCs/>
        </w:rPr>
        <w:t>as part of</w:t>
      </w:r>
      <w:r>
        <w:rPr>
          <w:bCs/>
        </w:rPr>
        <w:t xml:space="preserve"> a partial stipulation of </w:t>
      </w:r>
      <w:r w:rsidR="001B3B2C">
        <w:rPr>
          <w:bCs/>
        </w:rPr>
        <w:t xml:space="preserve">its </w:t>
      </w:r>
      <w:r w:rsidR="000E09B3">
        <w:rPr>
          <w:bCs/>
        </w:rPr>
        <w:t xml:space="preserve">2012 </w:t>
      </w:r>
      <w:r w:rsidR="001B3B2C">
        <w:rPr>
          <w:bCs/>
        </w:rPr>
        <w:t xml:space="preserve">gas distribution </w:t>
      </w:r>
      <w:r w:rsidR="0083578B">
        <w:rPr>
          <w:bCs/>
        </w:rPr>
        <w:t xml:space="preserve">base </w:t>
      </w:r>
      <w:r w:rsidR="007472FC">
        <w:rPr>
          <w:bCs/>
        </w:rPr>
        <w:t>rate case.</w:t>
      </w:r>
      <w:r w:rsidR="00DF5698">
        <w:rPr>
          <w:rStyle w:val="FootnoteReference"/>
          <w:bCs/>
        </w:rPr>
        <w:footnoteReference w:id="16"/>
      </w:r>
      <w:r>
        <w:rPr>
          <w:bCs/>
        </w:rPr>
        <w:t xml:space="preserve"> The partial stipulatio</w:t>
      </w:r>
      <w:r w:rsidR="007472FC">
        <w:rPr>
          <w:bCs/>
        </w:rPr>
        <w:t>n was approved by the PUCO</w:t>
      </w:r>
      <w:r>
        <w:rPr>
          <w:bCs/>
        </w:rPr>
        <w:t xml:space="preserve"> and the stipulated ROE was not modified in that proceeding</w:t>
      </w:r>
      <w:r w:rsidR="00D6792C">
        <w:rPr>
          <w:bCs/>
        </w:rPr>
        <w:t>.</w:t>
      </w:r>
      <w:r w:rsidR="0083578B">
        <w:rPr>
          <w:rStyle w:val="FootnoteReference"/>
          <w:bCs/>
        </w:rPr>
        <w:footnoteReference w:id="17"/>
      </w:r>
      <w:r w:rsidR="000E09B3">
        <w:rPr>
          <w:bCs/>
        </w:rPr>
        <w:t xml:space="preserve"> </w:t>
      </w:r>
      <w:r w:rsidR="008C3145">
        <w:rPr>
          <w:bCs/>
        </w:rPr>
        <w:t xml:space="preserve">Because this 9.84% </w:t>
      </w:r>
      <w:r w:rsidR="00EA0132">
        <w:rPr>
          <w:bCs/>
        </w:rPr>
        <w:t xml:space="preserve">ROE </w:t>
      </w:r>
      <w:r w:rsidR="008C3145">
        <w:rPr>
          <w:bCs/>
        </w:rPr>
        <w:t xml:space="preserve">is part of a stipulated package, there should not </w:t>
      </w:r>
      <w:r w:rsidR="00EA0132">
        <w:rPr>
          <w:bCs/>
        </w:rPr>
        <w:t xml:space="preserve">be </w:t>
      </w:r>
      <w:r w:rsidR="008C3145">
        <w:rPr>
          <w:bCs/>
        </w:rPr>
        <w:t>a presumption that any individual elements of the stipulation could be pulled out and pointed to as being reasonable on a stand-alone basis.</w:t>
      </w:r>
      <w:r w:rsidR="000E09B3">
        <w:rPr>
          <w:bCs/>
        </w:rPr>
        <w:t xml:space="preserve"> </w:t>
      </w:r>
      <w:r w:rsidR="008C3145">
        <w:rPr>
          <w:bCs/>
        </w:rPr>
        <w:t xml:space="preserve">Furthermore, </w:t>
      </w:r>
      <w:r w:rsidR="000E4F72">
        <w:rPr>
          <w:bCs/>
        </w:rPr>
        <w:t>t</w:t>
      </w:r>
      <w:r w:rsidRPr="006C3EA4">
        <w:rPr>
          <w:bCs/>
        </w:rPr>
        <w:t xml:space="preserve">he parties </w:t>
      </w:r>
      <w:r w:rsidR="001B3B2C" w:rsidRPr="006C3EA4">
        <w:rPr>
          <w:bCs/>
        </w:rPr>
        <w:t xml:space="preserve">in the </w:t>
      </w:r>
      <w:r w:rsidR="008C3145">
        <w:rPr>
          <w:bCs/>
        </w:rPr>
        <w:t xml:space="preserve">2012 </w:t>
      </w:r>
      <w:r w:rsidR="001B3B2C" w:rsidRPr="006C3EA4">
        <w:rPr>
          <w:bCs/>
        </w:rPr>
        <w:t xml:space="preserve">gas rate case stipulation </w:t>
      </w:r>
      <w:r w:rsidR="00EA0132">
        <w:rPr>
          <w:bCs/>
        </w:rPr>
        <w:t xml:space="preserve">specifically </w:t>
      </w:r>
      <w:r w:rsidRPr="006C3EA4">
        <w:rPr>
          <w:bCs/>
        </w:rPr>
        <w:t xml:space="preserve">agreed that the ROE </w:t>
      </w:r>
      <w:r w:rsidR="001B3B2C" w:rsidRPr="006C3EA4">
        <w:rPr>
          <w:bCs/>
        </w:rPr>
        <w:t xml:space="preserve">of 9.84% </w:t>
      </w:r>
      <w:r w:rsidRPr="006C3EA4">
        <w:rPr>
          <w:bCs/>
        </w:rPr>
        <w:t>“shall not be used as precedent in any future gas proceeding, except for the purpose of determining the revenue requirement for collection from customers in proceedings addressing Duke’s SmartGrid rider, currently known as Rider AU, and Rider AMRP.”</w:t>
      </w:r>
      <w:r w:rsidR="00DF5698" w:rsidRPr="006C3EA4">
        <w:rPr>
          <w:rStyle w:val="FootnoteReference"/>
          <w:bCs/>
        </w:rPr>
        <w:footnoteReference w:id="18"/>
      </w:r>
      <w:r>
        <w:rPr>
          <w:bCs/>
        </w:rPr>
        <w:t xml:space="preserve"> </w:t>
      </w:r>
      <w:r w:rsidR="000C0159">
        <w:rPr>
          <w:bCs/>
        </w:rPr>
        <w:t>Instead, t</w:t>
      </w:r>
      <w:r w:rsidR="00525DA4">
        <w:rPr>
          <w:bCs/>
        </w:rPr>
        <w:t xml:space="preserve">he </w:t>
      </w:r>
      <w:r w:rsidR="0083578B">
        <w:rPr>
          <w:bCs/>
        </w:rPr>
        <w:t>PUCO</w:t>
      </w:r>
      <w:r w:rsidR="00525DA4">
        <w:rPr>
          <w:bCs/>
        </w:rPr>
        <w:t xml:space="preserve"> </w:t>
      </w:r>
      <w:r w:rsidR="00926A25">
        <w:rPr>
          <w:bCs/>
        </w:rPr>
        <w:t xml:space="preserve">should establish and adopt </w:t>
      </w:r>
      <w:r w:rsidR="00525DA4">
        <w:rPr>
          <w:bCs/>
        </w:rPr>
        <w:t xml:space="preserve">a new </w:t>
      </w:r>
      <w:r w:rsidR="0083578B">
        <w:rPr>
          <w:bCs/>
        </w:rPr>
        <w:t xml:space="preserve">and </w:t>
      </w:r>
      <w:r w:rsidR="000C0159">
        <w:rPr>
          <w:bCs/>
        </w:rPr>
        <w:t>current</w:t>
      </w:r>
      <w:r w:rsidR="0083578B">
        <w:rPr>
          <w:bCs/>
        </w:rPr>
        <w:t xml:space="preserve"> </w:t>
      </w:r>
      <w:r w:rsidR="00525DA4">
        <w:rPr>
          <w:bCs/>
        </w:rPr>
        <w:t>ROE based on</w:t>
      </w:r>
      <w:r w:rsidR="000C0159">
        <w:rPr>
          <w:bCs/>
        </w:rPr>
        <w:t>, among other things</w:t>
      </w:r>
      <w:r w:rsidR="005A7B47">
        <w:rPr>
          <w:bCs/>
        </w:rPr>
        <w:t>, Duke’s</w:t>
      </w:r>
      <w:r w:rsidR="0083578B">
        <w:rPr>
          <w:bCs/>
        </w:rPr>
        <w:t xml:space="preserve"> </w:t>
      </w:r>
      <w:r w:rsidR="00525DA4">
        <w:rPr>
          <w:bCs/>
        </w:rPr>
        <w:t xml:space="preserve">updated financial </w:t>
      </w:r>
      <w:r w:rsidR="005A7B47">
        <w:rPr>
          <w:bCs/>
        </w:rPr>
        <w:t>information,</w:t>
      </w:r>
      <w:r w:rsidR="00525DA4">
        <w:rPr>
          <w:bCs/>
        </w:rPr>
        <w:t xml:space="preserve"> </w:t>
      </w:r>
      <w:r w:rsidR="000C0159">
        <w:rPr>
          <w:bCs/>
        </w:rPr>
        <w:t xml:space="preserve">and the </w:t>
      </w:r>
      <w:r w:rsidR="00EB62FB">
        <w:rPr>
          <w:bCs/>
        </w:rPr>
        <w:t xml:space="preserve">current </w:t>
      </w:r>
      <w:r w:rsidR="00525DA4">
        <w:rPr>
          <w:bCs/>
        </w:rPr>
        <w:t>credit and equity markets condition</w:t>
      </w:r>
      <w:r w:rsidR="000C0159">
        <w:rPr>
          <w:bCs/>
        </w:rPr>
        <w:t>s.</w:t>
      </w:r>
    </w:p>
    <w:p w:rsidR="0093509E" w:rsidRDefault="001B3B2C" w:rsidP="0083578B">
      <w:pPr>
        <w:tabs>
          <w:tab w:val="num" w:pos="720"/>
        </w:tabs>
        <w:spacing w:line="480" w:lineRule="auto"/>
        <w:ind w:left="720"/>
        <w:rPr>
          <w:bCs/>
        </w:rPr>
      </w:pPr>
      <w:r>
        <w:rPr>
          <w:bCs/>
        </w:rPr>
        <w:t xml:space="preserve">It should also be noted that </w:t>
      </w:r>
      <w:r w:rsidR="00FC1B2E">
        <w:rPr>
          <w:bCs/>
        </w:rPr>
        <w:t xml:space="preserve">the stipulated ROE </w:t>
      </w:r>
      <w:r w:rsidR="001E5031">
        <w:rPr>
          <w:bCs/>
        </w:rPr>
        <w:t>of 9.8%</w:t>
      </w:r>
      <w:r>
        <w:rPr>
          <w:bCs/>
        </w:rPr>
        <w:t xml:space="preserve"> </w:t>
      </w:r>
      <w:r w:rsidR="00FC1B2E">
        <w:rPr>
          <w:bCs/>
        </w:rPr>
        <w:t xml:space="preserve">was at the </w:t>
      </w:r>
      <w:r w:rsidR="00213C94">
        <w:rPr>
          <w:bCs/>
        </w:rPr>
        <w:t xml:space="preserve">top </w:t>
      </w:r>
      <w:r w:rsidR="00FC1B2E">
        <w:rPr>
          <w:bCs/>
        </w:rPr>
        <w:t xml:space="preserve">of </w:t>
      </w:r>
      <w:r w:rsidR="007472FC">
        <w:rPr>
          <w:bCs/>
        </w:rPr>
        <w:t xml:space="preserve">the </w:t>
      </w:r>
      <w:r w:rsidR="00FC1B2E">
        <w:rPr>
          <w:bCs/>
        </w:rPr>
        <w:t xml:space="preserve">range </w:t>
      </w:r>
      <w:r w:rsidR="007472FC">
        <w:rPr>
          <w:bCs/>
        </w:rPr>
        <w:t>recommended by the PUCO Staff</w:t>
      </w:r>
      <w:r w:rsidR="00077B41">
        <w:rPr>
          <w:bCs/>
        </w:rPr>
        <w:t xml:space="preserve"> in the 2012 Duke Rate Case</w:t>
      </w:r>
      <w:r w:rsidR="007472FC">
        <w:rPr>
          <w:bCs/>
        </w:rPr>
        <w:t>.</w:t>
      </w:r>
      <w:r w:rsidR="00EB62FB">
        <w:rPr>
          <w:bCs/>
        </w:rPr>
        <w:t xml:space="preserve"> </w:t>
      </w:r>
      <w:r w:rsidR="00FC1B2E">
        <w:rPr>
          <w:bCs/>
        </w:rPr>
        <w:t>Specifically, in that proceeding, OCC proposed a ROE of 7.84%</w:t>
      </w:r>
      <w:r w:rsidR="000E4F72">
        <w:rPr>
          <w:bCs/>
        </w:rPr>
        <w:t xml:space="preserve"> and an after-tax ROR</w:t>
      </w:r>
      <w:r w:rsidR="00FC1B2E">
        <w:rPr>
          <w:bCs/>
        </w:rPr>
        <w:t xml:space="preserve"> of 6.66%</w:t>
      </w:r>
      <w:r w:rsidR="00DF5698">
        <w:rPr>
          <w:rStyle w:val="FootnoteReference"/>
          <w:bCs/>
        </w:rPr>
        <w:footnoteReference w:id="19"/>
      </w:r>
      <w:r w:rsidR="00FC1B2E">
        <w:rPr>
          <w:bCs/>
        </w:rPr>
        <w:t xml:space="preserve"> and Duke proposed a ROE of 10.60% and an afte</w:t>
      </w:r>
      <w:r w:rsidR="000E4F72">
        <w:rPr>
          <w:bCs/>
        </w:rPr>
        <w:t>r-tax ROR</w:t>
      </w:r>
      <w:r w:rsidR="007472FC">
        <w:rPr>
          <w:bCs/>
        </w:rPr>
        <w:t xml:space="preserve"> of 8.13%.</w:t>
      </w:r>
      <w:r w:rsidR="00DF5698">
        <w:rPr>
          <w:rStyle w:val="FootnoteReference"/>
          <w:bCs/>
        </w:rPr>
        <w:footnoteReference w:id="20"/>
      </w:r>
      <w:r w:rsidR="007472FC">
        <w:rPr>
          <w:bCs/>
        </w:rPr>
        <w:t xml:space="preserve"> </w:t>
      </w:r>
      <w:r w:rsidR="00FC1B2E">
        <w:rPr>
          <w:bCs/>
        </w:rPr>
        <w:t>The PUCO Staff recommended a range of 8.82% to 9.84% for ROE, and a range of 7.19% to 7.</w:t>
      </w:r>
      <w:r w:rsidR="000E4F72">
        <w:rPr>
          <w:bCs/>
        </w:rPr>
        <w:t>73% for after-tax ROR</w:t>
      </w:r>
      <w:r w:rsidR="00FC1B2E">
        <w:rPr>
          <w:bCs/>
        </w:rPr>
        <w:t>.</w:t>
      </w:r>
      <w:r w:rsidR="00DF5698">
        <w:rPr>
          <w:rStyle w:val="FootnoteReference"/>
          <w:bCs/>
        </w:rPr>
        <w:footnoteReference w:id="21"/>
      </w:r>
    </w:p>
    <w:p w:rsidR="0093509E" w:rsidRDefault="0093509E" w:rsidP="00FC1B2E">
      <w:pPr>
        <w:tabs>
          <w:tab w:val="num" w:pos="720"/>
        </w:tabs>
        <w:spacing w:line="480" w:lineRule="auto"/>
        <w:ind w:left="720" w:hanging="720"/>
        <w:rPr>
          <w:bCs/>
        </w:rPr>
      </w:pPr>
    </w:p>
    <w:p w:rsidR="001B7B30" w:rsidRDefault="00FC1B2E" w:rsidP="00D6792C">
      <w:pPr>
        <w:tabs>
          <w:tab w:val="num" w:pos="720"/>
        </w:tabs>
        <w:spacing w:line="480" w:lineRule="auto"/>
        <w:ind w:left="720"/>
        <w:rPr>
          <w:bCs/>
        </w:rPr>
      </w:pPr>
      <w:r>
        <w:rPr>
          <w:bCs/>
        </w:rPr>
        <w:t>Mo</w:t>
      </w:r>
      <w:r w:rsidR="0093509E">
        <w:rPr>
          <w:bCs/>
        </w:rPr>
        <w:t xml:space="preserve">st </w:t>
      </w:r>
      <w:r>
        <w:rPr>
          <w:bCs/>
        </w:rPr>
        <w:t xml:space="preserve">importantly, these ROE recommendations by Duke, Staff, and OCC in </w:t>
      </w:r>
      <w:r w:rsidR="00077B41">
        <w:rPr>
          <w:bCs/>
        </w:rPr>
        <w:t xml:space="preserve">the 2012 Duke Rate Case </w:t>
      </w:r>
      <w:r>
        <w:rPr>
          <w:bCs/>
        </w:rPr>
        <w:t xml:space="preserve">were all based on the credit and capital market conditions and </w:t>
      </w:r>
      <w:r w:rsidR="004A50B1">
        <w:rPr>
          <w:bCs/>
        </w:rPr>
        <w:t xml:space="preserve">Duke’s </w:t>
      </w:r>
      <w:r>
        <w:rPr>
          <w:bCs/>
        </w:rPr>
        <w:t xml:space="preserve">financial </w:t>
      </w:r>
      <w:r w:rsidR="004A50B1">
        <w:rPr>
          <w:bCs/>
        </w:rPr>
        <w:t xml:space="preserve">condition </w:t>
      </w:r>
      <w:r w:rsidR="007472FC">
        <w:rPr>
          <w:bCs/>
        </w:rPr>
        <w:t>of 2012.</w:t>
      </w:r>
      <w:r>
        <w:rPr>
          <w:bCs/>
        </w:rPr>
        <w:t xml:space="preserve"> </w:t>
      </w:r>
      <w:r w:rsidR="00213C94">
        <w:rPr>
          <w:bCs/>
        </w:rPr>
        <w:t xml:space="preserve">For example, Duke’s financial information as shown in Schedule D of its Application </w:t>
      </w:r>
      <w:r w:rsidR="00077B41">
        <w:rPr>
          <w:bCs/>
        </w:rPr>
        <w:t xml:space="preserve">of the 2012 Duke Rate </w:t>
      </w:r>
      <w:r w:rsidR="00077B41" w:rsidRPr="009546EB">
        <w:rPr>
          <w:bCs/>
        </w:rPr>
        <w:t xml:space="preserve">Case </w:t>
      </w:r>
      <w:r w:rsidR="00BB5B60" w:rsidRPr="001B7B30">
        <w:rPr>
          <w:bCs/>
        </w:rPr>
        <w:t>was</w:t>
      </w:r>
      <w:r w:rsidR="00042BC5" w:rsidRPr="001B7B30">
        <w:rPr>
          <w:bCs/>
        </w:rPr>
        <w:t xml:space="preserve"> </w:t>
      </w:r>
      <w:r w:rsidR="00DB2562" w:rsidRPr="001B7B30">
        <w:rPr>
          <w:bCs/>
        </w:rPr>
        <w:t>dated</w:t>
      </w:r>
      <w:r w:rsidR="00213C94">
        <w:rPr>
          <w:bCs/>
        </w:rPr>
        <w:t xml:space="preserve"> March 31, 2012.</w:t>
      </w:r>
      <w:r w:rsidR="004F594E">
        <w:rPr>
          <w:bCs/>
        </w:rPr>
        <w:t xml:space="preserve"> Given the </w:t>
      </w:r>
      <w:r w:rsidR="003E1C85">
        <w:rPr>
          <w:bCs/>
        </w:rPr>
        <w:t xml:space="preserve">considerable </w:t>
      </w:r>
      <w:r w:rsidR="004F594E">
        <w:rPr>
          <w:bCs/>
        </w:rPr>
        <w:t xml:space="preserve">lapse of time and </w:t>
      </w:r>
      <w:r w:rsidR="003E1C85">
        <w:rPr>
          <w:bCs/>
        </w:rPr>
        <w:t xml:space="preserve">a new </w:t>
      </w:r>
      <w:r w:rsidR="004F594E">
        <w:rPr>
          <w:bCs/>
        </w:rPr>
        <w:t xml:space="preserve">opportunity </w:t>
      </w:r>
      <w:r w:rsidR="003E1C85">
        <w:rPr>
          <w:bCs/>
        </w:rPr>
        <w:t xml:space="preserve">presented </w:t>
      </w:r>
      <w:r w:rsidR="00E77358">
        <w:rPr>
          <w:bCs/>
        </w:rPr>
        <w:t xml:space="preserve">(in the forthcoming electric distribution case to be filed no later than October 22, 2016) </w:t>
      </w:r>
      <w:r w:rsidR="004F594E">
        <w:rPr>
          <w:bCs/>
        </w:rPr>
        <w:t xml:space="preserve">to review updated </w:t>
      </w:r>
      <w:r w:rsidR="00042BC5">
        <w:rPr>
          <w:bCs/>
        </w:rPr>
        <w:t xml:space="preserve">financial and credit and equity market </w:t>
      </w:r>
      <w:r w:rsidR="004F594E">
        <w:rPr>
          <w:bCs/>
        </w:rPr>
        <w:t>information, i</w:t>
      </w:r>
      <w:r w:rsidR="004A50B1">
        <w:rPr>
          <w:bCs/>
        </w:rPr>
        <w:t xml:space="preserve">t is inappropriate to </w:t>
      </w:r>
      <w:r w:rsidR="004F594E">
        <w:rPr>
          <w:bCs/>
        </w:rPr>
        <w:t xml:space="preserve">continue </w:t>
      </w:r>
      <w:r w:rsidR="004A50B1">
        <w:rPr>
          <w:bCs/>
        </w:rPr>
        <w:t>us</w:t>
      </w:r>
      <w:r w:rsidR="004F594E">
        <w:rPr>
          <w:bCs/>
        </w:rPr>
        <w:t xml:space="preserve">ing this </w:t>
      </w:r>
      <w:r w:rsidR="00ED440A">
        <w:rPr>
          <w:bCs/>
        </w:rPr>
        <w:t>9.84</w:t>
      </w:r>
      <w:r w:rsidR="005A0835">
        <w:rPr>
          <w:bCs/>
        </w:rPr>
        <w:t>%</w:t>
      </w:r>
      <w:r>
        <w:rPr>
          <w:bCs/>
        </w:rPr>
        <w:t xml:space="preserve"> </w:t>
      </w:r>
      <w:r w:rsidR="004F594E">
        <w:rPr>
          <w:bCs/>
        </w:rPr>
        <w:t xml:space="preserve">stipulated </w:t>
      </w:r>
      <w:r>
        <w:rPr>
          <w:bCs/>
        </w:rPr>
        <w:t>ROE</w:t>
      </w:r>
      <w:r w:rsidR="00E77358">
        <w:rPr>
          <w:bCs/>
        </w:rPr>
        <w:t xml:space="preserve"> (based largely on dated financi</w:t>
      </w:r>
      <w:r w:rsidR="000E4F72">
        <w:rPr>
          <w:bCs/>
        </w:rPr>
        <w:t xml:space="preserve">al information). </w:t>
      </w:r>
      <w:r w:rsidR="00E77358">
        <w:rPr>
          <w:bCs/>
        </w:rPr>
        <w:t xml:space="preserve">This is especially true when the proposed ROE will be used to calculate </w:t>
      </w:r>
      <w:r>
        <w:rPr>
          <w:bCs/>
        </w:rPr>
        <w:t xml:space="preserve">a new rider </w:t>
      </w:r>
      <w:r w:rsidR="004F594E">
        <w:rPr>
          <w:bCs/>
        </w:rPr>
        <w:t xml:space="preserve">that </w:t>
      </w:r>
      <w:r w:rsidR="00DB2562">
        <w:rPr>
          <w:bCs/>
        </w:rPr>
        <w:t>ha</w:t>
      </w:r>
      <w:r w:rsidR="004F594E">
        <w:rPr>
          <w:bCs/>
        </w:rPr>
        <w:t xml:space="preserve">s </w:t>
      </w:r>
      <w:r w:rsidR="00DB2562">
        <w:rPr>
          <w:bCs/>
        </w:rPr>
        <w:t xml:space="preserve">not </w:t>
      </w:r>
      <w:r w:rsidR="004A50B1">
        <w:rPr>
          <w:bCs/>
        </w:rPr>
        <w:t>be</w:t>
      </w:r>
      <w:r w:rsidR="00DB2562">
        <w:rPr>
          <w:bCs/>
        </w:rPr>
        <w:t>en</w:t>
      </w:r>
      <w:r w:rsidR="004A50B1">
        <w:rPr>
          <w:bCs/>
        </w:rPr>
        <w:t xml:space="preserve"> approved</w:t>
      </w:r>
      <w:r w:rsidR="004F594E">
        <w:rPr>
          <w:bCs/>
        </w:rPr>
        <w:t xml:space="preserve"> and </w:t>
      </w:r>
      <w:r w:rsidR="0093509E">
        <w:rPr>
          <w:bCs/>
        </w:rPr>
        <w:t xml:space="preserve">may </w:t>
      </w:r>
      <w:r w:rsidR="00DB2562">
        <w:rPr>
          <w:bCs/>
        </w:rPr>
        <w:t xml:space="preserve">not </w:t>
      </w:r>
      <w:r w:rsidR="0093509E">
        <w:rPr>
          <w:bCs/>
        </w:rPr>
        <w:t>go in</w:t>
      </w:r>
      <w:r w:rsidR="007472FC">
        <w:rPr>
          <w:bCs/>
        </w:rPr>
        <w:t xml:space="preserve">to effect </w:t>
      </w:r>
      <w:r w:rsidR="00DB2562">
        <w:rPr>
          <w:bCs/>
        </w:rPr>
        <w:t>until</w:t>
      </w:r>
      <w:r w:rsidR="007472FC">
        <w:rPr>
          <w:bCs/>
        </w:rPr>
        <w:t xml:space="preserve"> a much later date (</w:t>
      </w:r>
      <w:r w:rsidR="003E1C85">
        <w:rPr>
          <w:bCs/>
        </w:rPr>
        <w:t xml:space="preserve">i.e., </w:t>
      </w:r>
      <w:r w:rsidR="007472FC">
        <w:rPr>
          <w:bCs/>
        </w:rPr>
        <w:t xml:space="preserve">almost five years </w:t>
      </w:r>
      <w:r w:rsidR="00042BC5">
        <w:rPr>
          <w:bCs/>
        </w:rPr>
        <w:t>from the time those financial data were produced</w:t>
      </w:r>
      <w:r w:rsidR="007472FC">
        <w:rPr>
          <w:bCs/>
        </w:rPr>
        <w:t>).</w:t>
      </w:r>
    </w:p>
    <w:p w:rsidR="00FC1B2E" w:rsidRDefault="00FC1B2E" w:rsidP="00FC1B2E">
      <w:pPr>
        <w:tabs>
          <w:tab w:val="num" w:pos="720"/>
        </w:tabs>
        <w:spacing w:line="480" w:lineRule="auto"/>
        <w:ind w:left="720" w:hanging="720"/>
        <w:rPr>
          <w:b/>
          <w:bCs/>
          <w:i/>
        </w:rPr>
      </w:pPr>
      <w:r w:rsidRPr="00FC1B2E">
        <w:rPr>
          <w:b/>
          <w:bCs/>
          <w:i/>
        </w:rPr>
        <w:t>Q13.</w:t>
      </w:r>
      <w:r>
        <w:rPr>
          <w:bCs/>
        </w:rPr>
        <w:tab/>
      </w:r>
      <w:r>
        <w:rPr>
          <w:b/>
          <w:bCs/>
          <w:i/>
        </w:rPr>
        <w:t xml:space="preserve">SHOULD </w:t>
      </w:r>
      <w:r w:rsidR="001473A1">
        <w:rPr>
          <w:b/>
          <w:bCs/>
          <w:i/>
        </w:rPr>
        <w:t xml:space="preserve">CUSTOMERS BE REQUIRED TO FUND </w:t>
      </w:r>
      <w:r w:rsidR="00E77358">
        <w:rPr>
          <w:b/>
          <w:bCs/>
          <w:i/>
        </w:rPr>
        <w:t xml:space="preserve">DUKE’S ASRP THROUGH A </w:t>
      </w:r>
      <w:r w:rsidR="001473A1">
        <w:rPr>
          <w:b/>
          <w:bCs/>
          <w:i/>
        </w:rPr>
        <w:t xml:space="preserve">9.84% </w:t>
      </w:r>
      <w:r w:rsidR="00E77358">
        <w:rPr>
          <w:b/>
          <w:bCs/>
          <w:i/>
        </w:rPr>
        <w:t xml:space="preserve">ROE </w:t>
      </w:r>
      <w:r>
        <w:rPr>
          <w:b/>
          <w:bCs/>
          <w:i/>
        </w:rPr>
        <w:t>PROPOSED BY DUKE</w:t>
      </w:r>
      <w:r w:rsidR="00D6792C">
        <w:rPr>
          <w:b/>
          <w:bCs/>
          <w:i/>
        </w:rPr>
        <w:t xml:space="preserve"> IN THIS</w:t>
      </w:r>
      <w:r w:rsidR="00E77358">
        <w:rPr>
          <w:b/>
          <w:bCs/>
          <w:i/>
        </w:rPr>
        <w:t xml:space="preserve"> </w:t>
      </w:r>
      <w:r w:rsidR="001473A1">
        <w:rPr>
          <w:b/>
          <w:bCs/>
          <w:i/>
        </w:rPr>
        <w:t>PROCEEDING</w:t>
      </w:r>
      <w:r w:rsidR="00D6792C">
        <w:rPr>
          <w:b/>
          <w:bCs/>
          <w:i/>
        </w:rPr>
        <w:t>?</w:t>
      </w:r>
    </w:p>
    <w:p w:rsidR="00FC1B2E" w:rsidRDefault="00E97BB2" w:rsidP="00E97BB2">
      <w:pPr>
        <w:tabs>
          <w:tab w:val="num" w:pos="720"/>
        </w:tabs>
        <w:spacing w:line="480" w:lineRule="auto"/>
        <w:ind w:left="720" w:hanging="720"/>
        <w:rPr>
          <w:bCs/>
        </w:rPr>
      </w:pPr>
      <w:r w:rsidRPr="00842F67">
        <w:rPr>
          <w:b/>
          <w:bCs/>
          <w:i/>
        </w:rPr>
        <w:t>A</w:t>
      </w:r>
      <w:r>
        <w:rPr>
          <w:b/>
          <w:bCs/>
          <w:i/>
        </w:rPr>
        <w:t>1</w:t>
      </w:r>
      <w:r w:rsidR="00CE5354">
        <w:rPr>
          <w:b/>
          <w:bCs/>
          <w:i/>
        </w:rPr>
        <w:t>3</w:t>
      </w:r>
      <w:r w:rsidRPr="00842F67">
        <w:rPr>
          <w:b/>
          <w:bCs/>
          <w:i/>
        </w:rPr>
        <w:t>.</w:t>
      </w:r>
      <w:r w:rsidR="00C6145F">
        <w:rPr>
          <w:b/>
          <w:bCs/>
          <w:i/>
        </w:rPr>
        <w:tab/>
      </w:r>
      <w:r w:rsidR="001473A1" w:rsidRPr="00855780">
        <w:rPr>
          <w:b/>
          <w:bCs/>
        </w:rPr>
        <w:t>No.</w:t>
      </w:r>
      <w:r w:rsidR="001473A1">
        <w:rPr>
          <w:b/>
          <w:bCs/>
          <w:i/>
        </w:rPr>
        <w:t xml:space="preserve"> </w:t>
      </w:r>
      <w:r w:rsidR="00ED440A">
        <w:rPr>
          <w:bCs/>
        </w:rPr>
        <w:t>The 9.84</w:t>
      </w:r>
      <w:r w:rsidR="005A0835">
        <w:rPr>
          <w:bCs/>
        </w:rPr>
        <w:t>%</w:t>
      </w:r>
      <w:r w:rsidR="00E27FC3">
        <w:rPr>
          <w:bCs/>
        </w:rPr>
        <w:t xml:space="preserve"> ROE</w:t>
      </w:r>
      <w:r w:rsidR="004F594E">
        <w:rPr>
          <w:bCs/>
        </w:rPr>
        <w:t xml:space="preserve"> </w:t>
      </w:r>
      <w:r w:rsidR="00E27FC3">
        <w:rPr>
          <w:bCs/>
        </w:rPr>
        <w:t>proposed by Duke</w:t>
      </w:r>
      <w:r w:rsidR="0093509E">
        <w:rPr>
          <w:bCs/>
        </w:rPr>
        <w:t xml:space="preserve"> </w:t>
      </w:r>
      <w:r w:rsidR="00042BC5">
        <w:rPr>
          <w:bCs/>
        </w:rPr>
        <w:t xml:space="preserve">for </w:t>
      </w:r>
      <w:r w:rsidR="004F594E">
        <w:rPr>
          <w:bCs/>
        </w:rPr>
        <w:t xml:space="preserve">Rider ASRP </w:t>
      </w:r>
      <w:r w:rsidR="001473A1">
        <w:rPr>
          <w:bCs/>
        </w:rPr>
        <w:t xml:space="preserve">is not reasonable and </w:t>
      </w:r>
      <w:r w:rsidR="0093509E">
        <w:rPr>
          <w:bCs/>
        </w:rPr>
        <w:t>s</w:t>
      </w:r>
      <w:r w:rsidR="00E27FC3">
        <w:rPr>
          <w:bCs/>
        </w:rPr>
        <w:t>hould be reduced</w:t>
      </w:r>
      <w:r w:rsidR="0093509E">
        <w:rPr>
          <w:bCs/>
        </w:rPr>
        <w:t xml:space="preserve">. </w:t>
      </w:r>
      <w:r w:rsidR="00EF08CD">
        <w:rPr>
          <w:bCs/>
        </w:rPr>
        <w:t>First of all, a</w:t>
      </w:r>
      <w:r w:rsidR="00E71C88">
        <w:rPr>
          <w:bCs/>
        </w:rPr>
        <w:t xml:space="preserve">s </w:t>
      </w:r>
      <w:r w:rsidR="0093509E">
        <w:rPr>
          <w:bCs/>
        </w:rPr>
        <w:t>d</w:t>
      </w:r>
      <w:r w:rsidR="00E71C88">
        <w:rPr>
          <w:bCs/>
        </w:rPr>
        <w:t xml:space="preserve">iscussed </w:t>
      </w:r>
      <w:r w:rsidR="00E77358">
        <w:rPr>
          <w:bCs/>
        </w:rPr>
        <w:t xml:space="preserve">by other OCC witnesses, </w:t>
      </w:r>
      <w:r w:rsidR="00E71C88">
        <w:rPr>
          <w:bCs/>
        </w:rPr>
        <w:t xml:space="preserve">OCC does not support </w:t>
      </w:r>
      <w:r w:rsidR="001473A1">
        <w:rPr>
          <w:bCs/>
        </w:rPr>
        <w:t xml:space="preserve">Duke’s proposal to charge </w:t>
      </w:r>
      <w:r w:rsidR="000E4F72">
        <w:rPr>
          <w:bCs/>
        </w:rPr>
        <w:t>customers increased rates under</w:t>
      </w:r>
      <w:r w:rsidR="00E71C88">
        <w:rPr>
          <w:bCs/>
        </w:rPr>
        <w:t xml:space="preserve"> the </w:t>
      </w:r>
      <w:r w:rsidR="00E77358">
        <w:rPr>
          <w:bCs/>
        </w:rPr>
        <w:t xml:space="preserve">proposed </w:t>
      </w:r>
      <w:r w:rsidR="00E71C88">
        <w:rPr>
          <w:bCs/>
        </w:rPr>
        <w:t>ASRP and Rider ASRP</w:t>
      </w:r>
      <w:r w:rsidR="001539D2">
        <w:rPr>
          <w:bCs/>
        </w:rPr>
        <w:t>. Furthermore, ev</w:t>
      </w:r>
      <w:r w:rsidR="007472FC">
        <w:rPr>
          <w:bCs/>
        </w:rPr>
        <w:t>en if the PUCO</w:t>
      </w:r>
      <w:r w:rsidR="001539D2">
        <w:rPr>
          <w:bCs/>
        </w:rPr>
        <w:t xml:space="preserve"> </w:t>
      </w:r>
      <w:r w:rsidR="003E1C85">
        <w:rPr>
          <w:bCs/>
        </w:rPr>
        <w:t xml:space="preserve">were to </w:t>
      </w:r>
      <w:r w:rsidR="001539D2">
        <w:rPr>
          <w:bCs/>
        </w:rPr>
        <w:t>approve the ASRP and Rider ASRP</w:t>
      </w:r>
      <w:r w:rsidR="00FC1B2E">
        <w:rPr>
          <w:bCs/>
        </w:rPr>
        <w:t xml:space="preserve"> in this proceeding</w:t>
      </w:r>
      <w:r w:rsidR="001539D2">
        <w:rPr>
          <w:bCs/>
        </w:rPr>
        <w:t xml:space="preserve">, </w:t>
      </w:r>
      <w:r w:rsidR="004F594E">
        <w:rPr>
          <w:bCs/>
        </w:rPr>
        <w:t xml:space="preserve">I believe </w:t>
      </w:r>
      <w:r w:rsidR="00E71C88">
        <w:rPr>
          <w:bCs/>
        </w:rPr>
        <w:t xml:space="preserve">it is premature and unnecessary to set the </w:t>
      </w:r>
      <w:r w:rsidR="00EF5481">
        <w:rPr>
          <w:bCs/>
        </w:rPr>
        <w:t>ROR</w:t>
      </w:r>
      <w:r w:rsidR="00E71C88">
        <w:rPr>
          <w:bCs/>
        </w:rPr>
        <w:t xml:space="preserve"> and </w:t>
      </w:r>
      <w:r w:rsidR="00FC1B2E">
        <w:rPr>
          <w:bCs/>
        </w:rPr>
        <w:t xml:space="preserve">ROE </w:t>
      </w:r>
      <w:r w:rsidR="00E71C88">
        <w:rPr>
          <w:bCs/>
        </w:rPr>
        <w:t>at this time</w:t>
      </w:r>
      <w:r w:rsidR="001473A1">
        <w:rPr>
          <w:bCs/>
        </w:rPr>
        <w:t xml:space="preserve">. This is because </w:t>
      </w:r>
      <w:r w:rsidR="00E71C88">
        <w:rPr>
          <w:bCs/>
        </w:rPr>
        <w:t xml:space="preserve">Duke is not likely to file an actual </w:t>
      </w:r>
      <w:r w:rsidR="001539D2">
        <w:rPr>
          <w:bCs/>
        </w:rPr>
        <w:t xml:space="preserve">Rider ASRP </w:t>
      </w:r>
      <w:r w:rsidR="00E71C88">
        <w:rPr>
          <w:bCs/>
        </w:rPr>
        <w:t xml:space="preserve">application </w:t>
      </w:r>
      <w:r w:rsidR="00FC1B2E">
        <w:rPr>
          <w:bCs/>
        </w:rPr>
        <w:t xml:space="preserve">on or before </w:t>
      </w:r>
      <w:r w:rsidR="00E71C88">
        <w:rPr>
          <w:bCs/>
        </w:rPr>
        <w:t xml:space="preserve">March </w:t>
      </w:r>
      <w:r w:rsidR="001539D2">
        <w:rPr>
          <w:bCs/>
        </w:rPr>
        <w:t xml:space="preserve">1, </w:t>
      </w:r>
      <w:r w:rsidR="007472FC">
        <w:rPr>
          <w:bCs/>
        </w:rPr>
        <w:t>2017.</w:t>
      </w:r>
    </w:p>
    <w:p w:rsidR="00FC1B2E" w:rsidRDefault="00FC1B2E" w:rsidP="00E97BB2">
      <w:pPr>
        <w:tabs>
          <w:tab w:val="num" w:pos="720"/>
        </w:tabs>
        <w:spacing w:line="480" w:lineRule="auto"/>
        <w:ind w:left="720" w:hanging="720"/>
        <w:rPr>
          <w:bCs/>
        </w:rPr>
      </w:pPr>
    </w:p>
    <w:p w:rsidR="0093509E" w:rsidRDefault="00E71C88" w:rsidP="00D6792C">
      <w:pPr>
        <w:tabs>
          <w:tab w:val="num" w:pos="720"/>
        </w:tabs>
        <w:spacing w:line="480" w:lineRule="auto"/>
        <w:ind w:left="720"/>
        <w:rPr>
          <w:bCs/>
        </w:rPr>
      </w:pPr>
      <w:r>
        <w:rPr>
          <w:bCs/>
        </w:rPr>
        <w:t xml:space="preserve">However, if the </w:t>
      </w:r>
      <w:r w:rsidR="007472FC">
        <w:rPr>
          <w:bCs/>
        </w:rPr>
        <w:t>PUCO</w:t>
      </w:r>
      <w:r>
        <w:rPr>
          <w:bCs/>
        </w:rPr>
        <w:t xml:space="preserve"> </w:t>
      </w:r>
      <w:r w:rsidR="001539D2">
        <w:rPr>
          <w:bCs/>
        </w:rPr>
        <w:t xml:space="preserve">decides </w:t>
      </w:r>
      <w:r w:rsidR="00EC5696">
        <w:rPr>
          <w:bCs/>
        </w:rPr>
        <w:t xml:space="preserve">to </w:t>
      </w:r>
      <w:r w:rsidR="004F594E">
        <w:rPr>
          <w:bCs/>
        </w:rPr>
        <w:t xml:space="preserve">approve the ASRP and </w:t>
      </w:r>
      <w:r w:rsidR="00EC5696">
        <w:rPr>
          <w:bCs/>
        </w:rPr>
        <w:t xml:space="preserve">set </w:t>
      </w:r>
      <w:r w:rsidR="001539D2">
        <w:rPr>
          <w:bCs/>
        </w:rPr>
        <w:t xml:space="preserve">a ROE </w:t>
      </w:r>
      <w:r w:rsidR="00AD4520">
        <w:rPr>
          <w:bCs/>
        </w:rPr>
        <w:t xml:space="preserve">for Rider ASRP </w:t>
      </w:r>
      <w:r w:rsidR="00EC5696">
        <w:rPr>
          <w:bCs/>
        </w:rPr>
        <w:t xml:space="preserve">at this time, the proposed </w:t>
      </w:r>
      <w:r w:rsidR="00ED440A">
        <w:rPr>
          <w:bCs/>
        </w:rPr>
        <w:t>ROE of 9.84</w:t>
      </w:r>
      <w:r w:rsidR="005A0835">
        <w:rPr>
          <w:bCs/>
        </w:rPr>
        <w:t>%</w:t>
      </w:r>
      <w:r w:rsidR="001539D2">
        <w:rPr>
          <w:bCs/>
        </w:rPr>
        <w:t xml:space="preserve"> </w:t>
      </w:r>
      <w:r w:rsidR="00EC5696">
        <w:rPr>
          <w:bCs/>
        </w:rPr>
        <w:t>should be reduced</w:t>
      </w:r>
      <w:r w:rsidR="00FC1B2E">
        <w:rPr>
          <w:bCs/>
        </w:rPr>
        <w:t xml:space="preserve"> </w:t>
      </w:r>
      <w:r w:rsidR="00121A01">
        <w:rPr>
          <w:bCs/>
        </w:rPr>
        <w:t xml:space="preserve">to account for </w:t>
      </w:r>
      <w:r w:rsidR="004F594E">
        <w:rPr>
          <w:bCs/>
        </w:rPr>
        <w:t xml:space="preserve">three </w:t>
      </w:r>
      <w:r w:rsidR="00121A01">
        <w:rPr>
          <w:bCs/>
        </w:rPr>
        <w:t>factors</w:t>
      </w:r>
      <w:r w:rsidR="000C1130">
        <w:rPr>
          <w:bCs/>
        </w:rPr>
        <w:t xml:space="preserve">. </w:t>
      </w:r>
      <w:r w:rsidR="0093509E">
        <w:rPr>
          <w:bCs/>
        </w:rPr>
        <w:t xml:space="preserve">These factors </w:t>
      </w:r>
      <w:r w:rsidR="004F594E">
        <w:rPr>
          <w:bCs/>
        </w:rPr>
        <w:t>are</w:t>
      </w:r>
      <w:r w:rsidR="003E1C85">
        <w:rPr>
          <w:bCs/>
        </w:rPr>
        <w:t xml:space="preserve"> as follows</w:t>
      </w:r>
      <w:r w:rsidR="0093509E">
        <w:rPr>
          <w:bCs/>
        </w:rPr>
        <w:t>:</w:t>
      </w:r>
    </w:p>
    <w:p w:rsidR="0093509E" w:rsidRPr="0093509E" w:rsidRDefault="0093509E" w:rsidP="00D6792C">
      <w:pPr>
        <w:pStyle w:val="ListParagraph"/>
        <w:numPr>
          <w:ilvl w:val="0"/>
          <w:numId w:val="39"/>
        </w:numPr>
        <w:spacing w:line="480" w:lineRule="auto"/>
        <w:ind w:leftChars="0" w:left="2160" w:right="720" w:hanging="720"/>
        <w:rPr>
          <w:rFonts w:ascii="Times New Roman" w:hAnsi="Times New Roman"/>
          <w:bCs/>
        </w:rPr>
      </w:pPr>
      <w:r w:rsidRPr="0093509E">
        <w:rPr>
          <w:rFonts w:ascii="Times New Roman" w:hAnsi="Times New Roman"/>
          <w:bCs/>
        </w:rPr>
        <w:t>A</w:t>
      </w:r>
      <w:r w:rsidR="00B26EC6" w:rsidRPr="0093509E">
        <w:rPr>
          <w:rFonts w:ascii="Times New Roman" w:hAnsi="Times New Roman"/>
          <w:bCs/>
        </w:rPr>
        <w:t xml:space="preserve"> decline in the approved ROEs for regulated utilities </w:t>
      </w:r>
      <w:r w:rsidR="00FF1036" w:rsidRPr="0093509E">
        <w:rPr>
          <w:rFonts w:ascii="Times New Roman" w:hAnsi="Times New Roman"/>
          <w:bCs/>
        </w:rPr>
        <w:t xml:space="preserve">in recent years </w:t>
      </w:r>
      <w:r w:rsidR="00121A01" w:rsidRPr="0093509E">
        <w:rPr>
          <w:rFonts w:ascii="Times New Roman" w:hAnsi="Times New Roman"/>
          <w:bCs/>
        </w:rPr>
        <w:t xml:space="preserve">as a result of </w:t>
      </w:r>
      <w:r w:rsidR="00AD4520" w:rsidRPr="0093509E">
        <w:rPr>
          <w:rFonts w:ascii="Times New Roman" w:hAnsi="Times New Roman"/>
          <w:bCs/>
        </w:rPr>
        <w:t xml:space="preserve">the </w:t>
      </w:r>
      <w:r w:rsidR="004F594E">
        <w:rPr>
          <w:rFonts w:ascii="Times New Roman" w:hAnsi="Times New Roman"/>
          <w:bCs/>
        </w:rPr>
        <w:t xml:space="preserve">more </w:t>
      </w:r>
      <w:r w:rsidR="00FF1036" w:rsidRPr="0093509E">
        <w:rPr>
          <w:rFonts w:ascii="Times New Roman" w:hAnsi="Times New Roman"/>
          <w:bCs/>
        </w:rPr>
        <w:t xml:space="preserve">favorable </w:t>
      </w:r>
      <w:r w:rsidR="00006901">
        <w:rPr>
          <w:rFonts w:ascii="Times New Roman" w:hAnsi="Times New Roman"/>
          <w:bCs/>
        </w:rPr>
        <w:t xml:space="preserve">conditions </w:t>
      </w:r>
      <w:r w:rsidR="00B26EC6" w:rsidRPr="0093509E">
        <w:rPr>
          <w:rFonts w:ascii="Times New Roman" w:hAnsi="Times New Roman"/>
          <w:bCs/>
        </w:rPr>
        <w:t xml:space="preserve">in the credit and </w:t>
      </w:r>
      <w:r w:rsidR="00AD4520" w:rsidRPr="0093509E">
        <w:rPr>
          <w:rFonts w:ascii="Times New Roman" w:hAnsi="Times New Roman"/>
          <w:bCs/>
        </w:rPr>
        <w:t xml:space="preserve">equity </w:t>
      </w:r>
      <w:r w:rsidR="004F594E">
        <w:rPr>
          <w:rFonts w:ascii="Times New Roman" w:hAnsi="Times New Roman"/>
          <w:bCs/>
        </w:rPr>
        <w:t xml:space="preserve">markets </w:t>
      </w:r>
      <w:r w:rsidR="00B26EC6" w:rsidRPr="0093509E">
        <w:rPr>
          <w:rFonts w:ascii="Times New Roman" w:hAnsi="Times New Roman"/>
          <w:bCs/>
        </w:rPr>
        <w:t>in the</w:t>
      </w:r>
      <w:r w:rsidR="003E3A7D" w:rsidRPr="0093509E">
        <w:rPr>
          <w:rFonts w:ascii="Times New Roman" w:hAnsi="Times New Roman"/>
          <w:bCs/>
        </w:rPr>
        <w:t xml:space="preserve"> U.S.</w:t>
      </w:r>
      <w:r w:rsidRPr="0093509E">
        <w:rPr>
          <w:rFonts w:ascii="Times New Roman" w:hAnsi="Times New Roman"/>
          <w:bCs/>
        </w:rPr>
        <w:t>;</w:t>
      </w:r>
    </w:p>
    <w:p w:rsidR="0093509E" w:rsidRPr="0093509E" w:rsidRDefault="0093509E" w:rsidP="00D6792C">
      <w:pPr>
        <w:pStyle w:val="ListParagraph"/>
        <w:numPr>
          <w:ilvl w:val="0"/>
          <w:numId w:val="39"/>
        </w:numPr>
        <w:spacing w:line="480" w:lineRule="auto"/>
        <w:ind w:leftChars="0" w:left="2160" w:right="720" w:hanging="720"/>
        <w:rPr>
          <w:rFonts w:ascii="Times New Roman" w:hAnsi="Times New Roman"/>
          <w:bCs/>
        </w:rPr>
      </w:pPr>
      <w:r w:rsidRPr="0093509E">
        <w:rPr>
          <w:rFonts w:ascii="Times New Roman" w:hAnsi="Times New Roman"/>
          <w:bCs/>
        </w:rPr>
        <w:t xml:space="preserve">A reduction in </w:t>
      </w:r>
      <w:r w:rsidR="004F594E">
        <w:rPr>
          <w:rFonts w:ascii="Times New Roman" w:hAnsi="Times New Roman"/>
          <w:bCs/>
        </w:rPr>
        <w:t xml:space="preserve">the </w:t>
      </w:r>
      <w:r w:rsidRPr="0093509E">
        <w:rPr>
          <w:rFonts w:ascii="Times New Roman" w:hAnsi="Times New Roman"/>
          <w:bCs/>
        </w:rPr>
        <w:t xml:space="preserve">regulatory lag and </w:t>
      </w:r>
      <w:r w:rsidR="004F594E">
        <w:rPr>
          <w:rFonts w:ascii="Times New Roman" w:hAnsi="Times New Roman"/>
          <w:bCs/>
        </w:rPr>
        <w:t xml:space="preserve">regulatory </w:t>
      </w:r>
      <w:r w:rsidRPr="0093509E">
        <w:rPr>
          <w:rFonts w:ascii="Times New Roman" w:hAnsi="Times New Roman"/>
          <w:bCs/>
        </w:rPr>
        <w:t xml:space="preserve">risk as a result of the </w:t>
      </w:r>
      <w:r w:rsidR="003E3A7D" w:rsidRPr="0093509E">
        <w:rPr>
          <w:rFonts w:ascii="Times New Roman" w:hAnsi="Times New Roman"/>
          <w:bCs/>
        </w:rPr>
        <w:t xml:space="preserve">accelerated collection </w:t>
      </w:r>
      <w:r w:rsidR="001473A1">
        <w:rPr>
          <w:rFonts w:ascii="Times New Roman" w:hAnsi="Times New Roman"/>
          <w:bCs/>
        </w:rPr>
        <w:t xml:space="preserve">from customers </w:t>
      </w:r>
      <w:r w:rsidR="003E3A7D" w:rsidRPr="0093509E">
        <w:rPr>
          <w:rFonts w:ascii="Times New Roman" w:hAnsi="Times New Roman"/>
          <w:bCs/>
        </w:rPr>
        <w:t xml:space="preserve">of return on </w:t>
      </w:r>
      <w:r w:rsidR="00FF1036" w:rsidRPr="0093509E">
        <w:rPr>
          <w:rFonts w:ascii="Times New Roman" w:hAnsi="Times New Roman"/>
          <w:bCs/>
        </w:rPr>
        <w:t xml:space="preserve">and of capital </w:t>
      </w:r>
      <w:r w:rsidR="003E3A7D" w:rsidRPr="0093509E">
        <w:rPr>
          <w:rFonts w:ascii="Times New Roman" w:hAnsi="Times New Roman"/>
          <w:bCs/>
        </w:rPr>
        <w:t>investment</w:t>
      </w:r>
      <w:r w:rsidR="00AD4520" w:rsidRPr="0093509E">
        <w:rPr>
          <w:rFonts w:ascii="Times New Roman" w:hAnsi="Times New Roman"/>
          <w:bCs/>
        </w:rPr>
        <w:t>s</w:t>
      </w:r>
      <w:r w:rsidR="003E3A7D" w:rsidRPr="0093509E">
        <w:rPr>
          <w:rFonts w:ascii="Times New Roman" w:hAnsi="Times New Roman"/>
          <w:bCs/>
        </w:rPr>
        <w:t xml:space="preserve"> and O&amp;M expenses under </w:t>
      </w:r>
      <w:r w:rsidR="00EF08CD">
        <w:rPr>
          <w:rFonts w:ascii="Times New Roman" w:hAnsi="Times New Roman"/>
          <w:bCs/>
        </w:rPr>
        <w:t xml:space="preserve">the proposed </w:t>
      </w:r>
      <w:r w:rsidR="003E3A7D" w:rsidRPr="0093509E">
        <w:rPr>
          <w:rFonts w:ascii="Times New Roman" w:hAnsi="Times New Roman"/>
          <w:bCs/>
        </w:rPr>
        <w:t>ASRP</w:t>
      </w:r>
      <w:r w:rsidR="00EF08CD">
        <w:rPr>
          <w:rFonts w:ascii="Times New Roman" w:hAnsi="Times New Roman"/>
          <w:bCs/>
        </w:rPr>
        <w:t xml:space="preserve"> and Rider ASRP</w:t>
      </w:r>
      <w:r w:rsidR="00D6792C">
        <w:rPr>
          <w:rFonts w:ascii="Times New Roman" w:hAnsi="Times New Roman"/>
          <w:bCs/>
        </w:rPr>
        <w:t>; and</w:t>
      </w:r>
    </w:p>
    <w:p w:rsidR="00DE5CCE" w:rsidRPr="00DE5CCE" w:rsidRDefault="006374A0" w:rsidP="00DE5CCE">
      <w:pPr>
        <w:pStyle w:val="ListParagraph"/>
        <w:numPr>
          <w:ilvl w:val="0"/>
          <w:numId w:val="39"/>
        </w:numPr>
        <w:spacing w:line="480" w:lineRule="auto"/>
        <w:ind w:leftChars="0" w:left="2160" w:right="720" w:hanging="720"/>
        <w:rPr>
          <w:bCs/>
        </w:rPr>
      </w:pPr>
      <w:r w:rsidRPr="00DE5CCE">
        <w:rPr>
          <w:rFonts w:ascii="Times New Roman" w:hAnsi="Times New Roman"/>
          <w:bCs/>
        </w:rPr>
        <w:t>A</w:t>
      </w:r>
      <w:r w:rsidR="00BC4485" w:rsidRPr="00DE5CCE">
        <w:rPr>
          <w:rFonts w:ascii="Times New Roman" w:hAnsi="Times New Roman"/>
          <w:bCs/>
        </w:rPr>
        <w:t>s noted by OCC witness Williams, a</w:t>
      </w:r>
      <w:r w:rsidRPr="00DE5CCE">
        <w:rPr>
          <w:rFonts w:ascii="Times New Roman" w:hAnsi="Times New Roman"/>
          <w:bCs/>
        </w:rPr>
        <w:t xml:space="preserve"> need to relieve t</w:t>
      </w:r>
      <w:r w:rsidR="003E3A7D" w:rsidRPr="00DE5CCE">
        <w:rPr>
          <w:rFonts w:ascii="Times New Roman" w:hAnsi="Times New Roman"/>
          <w:bCs/>
        </w:rPr>
        <w:t xml:space="preserve">he financial burden on </w:t>
      </w:r>
      <w:r w:rsidR="00854540" w:rsidRPr="00DE5CCE">
        <w:rPr>
          <w:rFonts w:ascii="Times New Roman" w:hAnsi="Times New Roman"/>
          <w:bCs/>
        </w:rPr>
        <w:t xml:space="preserve">Duke’s </w:t>
      </w:r>
      <w:r w:rsidR="00E03922" w:rsidRPr="00DE5CCE">
        <w:rPr>
          <w:rFonts w:ascii="Times New Roman" w:hAnsi="Times New Roman"/>
          <w:bCs/>
        </w:rPr>
        <w:t xml:space="preserve">residential </w:t>
      </w:r>
      <w:r w:rsidR="003E3A7D" w:rsidRPr="00DE5CCE">
        <w:rPr>
          <w:rFonts w:ascii="Times New Roman" w:hAnsi="Times New Roman"/>
          <w:bCs/>
        </w:rPr>
        <w:t xml:space="preserve">customers </w:t>
      </w:r>
      <w:r w:rsidR="00EF08CD" w:rsidRPr="00DE5CCE">
        <w:rPr>
          <w:rFonts w:ascii="Times New Roman" w:hAnsi="Times New Roman"/>
          <w:bCs/>
        </w:rPr>
        <w:t>who are</w:t>
      </w:r>
      <w:r w:rsidR="00DE5CCE" w:rsidRPr="00DE5CCE">
        <w:rPr>
          <w:rFonts w:ascii="Times New Roman" w:hAnsi="Times New Roman"/>
          <w:bCs/>
        </w:rPr>
        <w:br w:type="page"/>
      </w:r>
    </w:p>
    <w:p w:rsidR="00DB2562" w:rsidRPr="00BC4485" w:rsidRDefault="00EA0132" w:rsidP="00DE5CCE">
      <w:pPr>
        <w:pStyle w:val="ListParagraph"/>
        <w:spacing w:line="480" w:lineRule="auto"/>
        <w:ind w:leftChars="0" w:left="2160" w:right="720"/>
        <w:rPr>
          <w:rFonts w:ascii="Times New Roman" w:hAnsi="Times New Roman"/>
          <w:b/>
          <w:bCs/>
          <w:i/>
        </w:rPr>
      </w:pPr>
      <w:r>
        <w:rPr>
          <w:rFonts w:ascii="Times New Roman" w:hAnsi="Times New Roman"/>
          <w:bCs/>
        </w:rPr>
        <w:t xml:space="preserve">already </w:t>
      </w:r>
      <w:r w:rsidR="00EF08CD">
        <w:rPr>
          <w:rFonts w:ascii="Times New Roman" w:hAnsi="Times New Roman"/>
          <w:bCs/>
        </w:rPr>
        <w:t xml:space="preserve">paying the </w:t>
      </w:r>
      <w:r w:rsidR="00006901">
        <w:rPr>
          <w:rFonts w:ascii="Times New Roman" w:hAnsi="Times New Roman"/>
          <w:bCs/>
        </w:rPr>
        <w:t xml:space="preserve">highest monthly gas </w:t>
      </w:r>
      <w:r w:rsidR="00BB5B60">
        <w:rPr>
          <w:rFonts w:ascii="Times New Roman" w:hAnsi="Times New Roman"/>
          <w:bCs/>
        </w:rPr>
        <w:t>bills</w:t>
      </w:r>
      <w:r w:rsidR="00BB5B60" w:rsidRPr="00DB2562">
        <w:rPr>
          <w:rFonts w:ascii="Times New Roman" w:hAnsi="Times New Roman"/>
          <w:bCs/>
        </w:rPr>
        <w:t xml:space="preserve"> </w:t>
      </w:r>
      <w:r w:rsidR="00E03922">
        <w:rPr>
          <w:rFonts w:ascii="Times New Roman" w:hAnsi="Times New Roman"/>
          <w:bCs/>
        </w:rPr>
        <w:t>in Ohio (among the major gas distribution companies)</w:t>
      </w:r>
    </w:p>
    <w:p w:rsidR="00BC4485" w:rsidRPr="00DB2562" w:rsidRDefault="00BC4485" w:rsidP="00BC4485">
      <w:pPr>
        <w:pStyle w:val="ListParagraph"/>
        <w:spacing w:line="480" w:lineRule="auto"/>
        <w:ind w:leftChars="0" w:left="2160" w:right="720"/>
        <w:rPr>
          <w:rFonts w:ascii="Times New Roman" w:hAnsi="Times New Roman"/>
          <w:b/>
          <w:bCs/>
          <w:i/>
        </w:rPr>
      </w:pPr>
    </w:p>
    <w:p w:rsidR="00E97BB2" w:rsidRPr="00DB2562" w:rsidRDefault="00E97BB2" w:rsidP="00A044FD">
      <w:pPr>
        <w:pStyle w:val="ListParagraph"/>
        <w:spacing w:line="480" w:lineRule="auto"/>
        <w:ind w:leftChars="0" w:left="720" w:hanging="720"/>
        <w:rPr>
          <w:rFonts w:ascii="Times New Roman" w:hAnsi="Times New Roman"/>
          <w:b/>
          <w:bCs/>
          <w:i/>
        </w:rPr>
      </w:pPr>
      <w:r w:rsidRPr="00DB2562">
        <w:rPr>
          <w:rFonts w:ascii="Times New Roman" w:hAnsi="Times New Roman"/>
          <w:b/>
          <w:bCs/>
          <w:i/>
        </w:rPr>
        <w:t>Q1</w:t>
      </w:r>
      <w:r w:rsidR="00F00202" w:rsidRPr="00DB2562">
        <w:rPr>
          <w:rFonts w:ascii="Times New Roman" w:hAnsi="Times New Roman"/>
          <w:b/>
          <w:bCs/>
          <w:i/>
        </w:rPr>
        <w:t>4</w:t>
      </w:r>
      <w:r w:rsidRPr="00DB2562">
        <w:rPr>
          <w:rFonts w:ascii="Times New Roman" w:hAnsi="Times New Roman"/>
          <w:b/>
          <w:bCs/>
          <w:i/>
        </w:rPr>
        <w:t>.</w:t>
      </w:r>
      <w:r w:rsidRPr="00DB2562">
        <w:rPr>
          <w:rFonts w:ascii="Times New Roman" w:hAnsi="Times New Roman"/>
          <w:b/>
          <w:bCs/>
          <w:i/>
        </w:rPr>
        <w:tab/>
      </w:r>
      <w:r w:rsidR="00854540" w:rsidRPr="00DB2562">
        <w:rPr>
          <w:rFonts w:ascii="Times New Roman" w:hAnsi="Times New Roman"/>
          <w:b/>
          <w:bCs/>
          <w:i/>
        </w:rPr>
        <w:t xml:space="preserve">PLEASE </w:t>
      </w:r>
      <w:r w:rsidR="003E7007">
        <w:rPr>
          <w:rFonts w:ascii="Times New Roman" w:hAnsi="Times New Roman"/>
          <w:b/>
          <w:bCs/>
          <w:i/>
        </w:rPr>
        <w:t xml:space="preserve">SUMMARIZE </w:t>
      </w:r>
      <w:r w:rsidR="00854540" w:rsidRPr="00DB2562">
        <w:rPr>
          <w:rFonts w:ascii="Times New Roman" w:hAnsi="Times New Roman"/>
          <w:b/>
          <w:bCs/>
          <w:i/>
        </w:rPr>
        <w:t>YOUR RECOMMENDATION</w:t>
      </w:r>
      <w:r w:rsidR="003E7007">
        <w:rPr>
          <w:rFonts w:ascii="Times New Roman" w:hAnsi="Times New Roman"/>
          <w:b/>
          <w:bCs/>
          <w:i/>
        </w:rPr>
        <w:t>S</w:t>
      </w:r>
      <w:r w:rsidR="00854540" w:rsidRPr="00DB2562">
        <w:rPr>
          <w:rFonts w:ascii="Times New Roman" w:hAnsi="Times New Roman"/>
          <w:b/>
          <w:bCs/>
          <w:i/>
        </w:rPr>
        <w:t xml:space="preserve"> </w:t>
      </w:r>
      <w:r w:rsidR="00EF08CD">
        <w:rPr>
          <w:rFonts w:ascii="Times New Roman" w:hAnsi="Times New Roman"/>
          <w:b/>
          <w:bCs/>
          <w:i/>
        </w:rPr>
        <w:t xml:space="preserve">ON THE DOWNARD ADJUSTMENTS TO DUKE’S PROPOSED ROE FOR </w:t>
      </w:r>
      <w:r w:rsidR="00854540" w:rsidRPr="00DB2562">
        <w:rPr>
          <w:rFonts w:ascii="Times New Roman" w:hAnsi="Times New Roman"/>
          <w:b/>
          <w:bCs/>
          <w:i/>
        </w:rPr>
        <w:t xml:space="preserve">RIDER </w:t>
      </w:r>
      <w:r w:rsidRPr="00DB2562">
        <w:rPr>
          <w:rFonts w:ascii="Times New Roman" w:hAnsi="Times New Roman"/>
          <w:b/>
          <w:bCs/>
          <w:i/>
        </w:rPr>
        <w:t>ASRP</w:t>
      </w:r>
      <w:r w:rsidR="00854540" w:rsidRPr="00DB2562">
        <w:rPr>
          <w:rFonts w:ascii="Times New Roman" w:hAnsi="Times New Roman"/>
          <w:b/>
          <w:bCs/>
          <w:i/>
        </w:rPr>
        <w:t>.</w:t>
      </w:r>
    </w:p>
    <w:p w:rsidR="001473A1" w:rsidRDefault="00E97BB2" w:rsidP="00E97BB2">
      <w:pPr>
        <w:tabs>
          <w:tab w:val="num" w:pos="720"/>
        </w:tabs>
        <w:spacing w:line="480" w:lineRule="auto"/>
        <w:ind w:left="720" w:hanging="720"/>
        <w:rPr>
          <w:bCs/>
        </w:rPr>
      </w:pPr>
      <w:r w:rsidRPr="00842F67">
        <w:rPr>
          <w:b/>
          <w:bCs/>
          <w:i/>
        </w:rPr>
        <w:t>A</w:t>
      </w:r>
      <w:r>
        <w:rPr>
          <w:b/>
          <w:bCs/>
          <w:i/>
        </w:rPr>
        <w:t>1</w:t>
      </w:r>
      <w:r w:rsidR="003E3A7D">
        <w:rPr>
          <w:b/>
          <w:bCs/>
          <w:i/>
        </w:rPr>
        <w:t>4</w:t>
      </w:r>
      <w:r w:rsidRPr="00842F67">
        <w:rPr>
          <w:b/>
          <w:bCs/>
          <w:i/>
        </w:rPr>
        <w:t>.</w:t>
      </w:r>
      <w:r w:rsidR="003E3A7D">
        <w:rPr>
          <w:b/>
          <w:bCs/>
          <w:i/>
        </w:rPr>
        <w:tab/>
      </w:r>
      <w:r w:rsidR="00006901">
        <w:rPr>
          <w:bCs/>
        </w:rPr>
        <w:t xml:space="preserve">I </w:t>
      </w:r>
      <w:r w:rsidR="008B7BCD">
        <w:rPr>
          <w:bCs/>
        </w:rPr>
        <w:t xml:space="preserve">recommend </w:t>
      </w:r>
      <w:r w:rsidR="00006901">
        <w:rPr>
          <w:bCs/>
        </w:rPr>
        <w:t>three downward</w:t>
      </w:r>
      <w:r w:rsidR="005A0835">
        <w:rPr>
          <w:bCs/>
        </w:rPr>
        <w:t xml:space="preserve"> adjustments to the 9.84%</w:t>
      </w:r>
      <w:r w:rsidR="00006901">
        <w:rPr>
          <w:bCs/>
        </w:rPr>
        <w:t xml:space="preserve"> ROE propo</w:t>
      </w:r>
      <w:r w:rsidR="00DE5CCE">
        <w:rPr>
          <w:bCs/>
        </w:rPr>
        <w:t>sed by Duke in this proceeding.</w:t>
      </w:r>
    </w:p>
    <w:p w:rsidR="001473A1" w:rsidRPr="005A7B47" w:rsidRDefault="003E7007" w:rsidP="00DE5CCE">
      <w:pPr>
        <w:pStyle w:val="ListParagraph"/>
        <w:numPr>
          <w:ilvl w:val="0"/>
          <w:numId w:val="40"/>
        </w:numPr>
        <w:spacing w:line="480" w:lineRule="auto"/>
        <w:ind w:leftChars="0" w:left="2160" w:right="720" w:hanging="720"/>
        <w:rPr>
          <w:bCs/>
        </w:rPr>
      </w:pPr>
      <w:r w:rsidRPr="00EA0132">
        <w:rPr>
          <w:rFonts w:ascii="Times New Roman" w:hAnsi="Times New Roman"/>
          <w:bCs/>
        </w:rPr>
        <w:t>F</w:t>
      </w:r>
      <w:r w:rsidR="00CE5354" w:rsidRPr="00EA0132">
        <w:rPr>
          <w:rFonts w:ascii="Times New Roman" w:hAnsi="Times New Roman"/>
          <w:bCs/>
        </w:rPr>
        <w:t xml:space="preserve">irst, I </w:t>
      </w:r>
      <w:r w:rsidR="003E3A7D" w:rsidRPr="00EA0132">
        <w:rPr>
          <w:rFonts w:ascii="Times New Roman" w:hAnsi="Times New Roman"/>
          <w:bCs/>
        </w:rPr>
        <w:t xml:space="preserve">recommend </w:t>
      </w:r>
      <w:r w:rsidR="00CE5354" w:rsidRPr="00EA0132">
        <w:rPr>
          <w:rFonts w:ascii="Times New Roman" w:hAnsi="Times New Roman"/>
          <w:bCs/>
        </w:rPr>
        <w:t xml:space="preserve">a </w:t>
      </w:r>
      <w:r w:rsidR="00854540" w:rsidRPr="00EA0132">
        <w:rPr>
          <w:rFonts w:ascii="Times New Roman" w:hAnsi="Times New Roman"/>
          <w:bCs/>
        </w:rPr>
        <w:t xml:space="preserve">reduction of </w:t>
      </w:r>
      <w:r w:rsidR="00ED440A" w:rsidRPr="00EA0132">
        <w:rPr>
          <w:rFonts w:ascii="Times New Roman" w:hAnsi="Times New Roman"/>
          <w:bCs/>
        </w:rPr>
        <w:t>25 basis points (0.25</w:t>
      </w:r>
      <w:r w:rsidR="005A0835" w:rsidRPr="00EA0132">
        <w:rPr>
          <w:rFonts w:ascii="Times New Roman" w:hAnsi="Times New Roman"/>
          <w:bCs/>
        </w:rPr>
        <w:t>%</w:t>
      </w:r>
      <w:r w:rsidR="003E3A7D" w:rsidRPr="00EA0132">
        <w:rPr>
          <w:rFonts w:ascii="Times New Roman" w:hAnsi="Times New Roman"/>
          <w:bCs/>
        </w:rPr>
        <w:t xml:space="preserve">) to account for the general decline in the approved ROE for regulated utilities and </w:t>
      </w:r>
      <w:r w:rsidR="0058778A">
        <w:rPr>
          <w:rFonts w:ascii="Times New Roman" w:hAnsi="Times New Roman"/>
          <w:bCs/>
        </w:rPr>
        <w:t xml:space="preserve">in </w:t>
      </w:r>
      <w:r w:rsidR="003E3A7D" w:rsidRPr="00EA0132">
        <w:rPr>
          <w:rFonts w:ascii="Times New Roman" w:hAnsi="Times New Roman"/>
          <w:bCs/>
        </w:rPr>
        <w:t xml:space="preserve">the costs of credit and </w:t>
      </w:r>
      <w:r w:rsidR="00AD4520" w:rsidRPr="00EA0132">
        <w:rPr>
          <w:rFonts w:ascii="Times New Roman" w:hAnsi="Times New Roman"/>
          <w:bCs/>
        </w:rPr>
        <w:t>equity</w:t>
      </w:r>
      <w:r w:rsidR="00DE5CCE">
        <w:rPr>
          <w:rFonts w:ascii="Times New Roman" w:hAnsi="Times New Roman"/>
          <w:bCs/>
        </w:rPr>
        <w:t>.</w:t>
      </w:r>
    </w:p>
    <w:p w:rsidR="001473A1" w:rsidRPr="005A7B47" w:rsidRDefault="00CE5354" w:rsidP="00DE5CCE">
      <w:pPr>
        <w:pStyle w:val="ListParagraph"/>
        <w:numPr>
          <w:ilvl w:val="0"/>
          <w:numId w:val="40"/>
        </w:numPr>
        <w:spacing w:line="480" w:lineRule="auto"/>
        <w:ind w:leftChars="0" w:left="2160" w:right="720" w:hanging="720"/>
        <w:rPr>
          <w:bCs/>
        </w:rPr>
      </w:pPr>
      <w:r w:rsidRPr="00EA0132">
        <w:rPr>
          <w:rFonts w:ascii="Times New Roman" w:hAnsi="Times New Roman"/>
          <w:bCs/>
        </w:rPr>
        <w:t xml:space="preserve">Second, </w:t>
      </w:r>
      <w:r w:rsidR="003E3A7D" w:rsidRPr="00EA0132">
        <w:rPr>
          <w:rFonts w:ascii="Times New Roman" w:hAnsi="Times New Roman"/>
          <w:bCs/>
        </w:rPr>
        <w:t>I recommend a</w:t>
      </w:r>
      <w:r w:rsidR="00AD4520" w:rsidRPr="00EA0132">
        <w:rPr>
          <w:rFonts w:ascii="Times New Roman" w:hAnsi="Times New Roman"/>
          <w:bCs/>
        </w:rPr>
        <w:t xml:space="preserve">n additional </w:t>
      </w:r>
      <w:r w:rsidR="000F4B8A" w:rsidRPr="00EA0132">
        <w:rPr>
          <w:rFonts w:ascii="Times New Roman" w:hAnsi="Times New Roman"/>
          <w:bCs/>
        </w:rPr>
        <w:t xml:space="preserve">25 basis points </w:t>
      </w:r>
      <w:r w:rsidR="005A0835" w:rsidRPr="00EA0132">
        <w:rPr>
          <w:rFonts w:ascii="Times New Roman" w:hAnsi="Times New Roman"/>
          <w:bCs/>
        </w:rPr>
        <w:t>(0.25%</w:t>
      </w:r>
      <w:r w:rsidR="00FF1036" w:rsidRPr="00EA0132">
        <w:rPr>
          <w:rFonts w:ascii="Times New Roman" w:hAnsi="Times New Roman"/>
          <w:bCs/>
        </w:rPr>
        <w:t xml:space="preserve">) </w:t>
      </w:r>
      <w:r w:rsidR="00AD4520" w:rsidRPr="00EA0132">
        <w:rPr>
          <w:rFonts w:ascii="Times New Roman" w:hAnsi="Times New Roman"/>
          <w:bCs/>
        </w:rPr>
        <w:t xml:space="preserve">reduction </w:t>
      </w:r>
      <w:r w:rsidR="000F4B8A" w:rsidRPr="00EA0132">
        <w:rPr>
          <w:rFonts w:ascii="Times New Roman" w:hAnsi="Times New Roman"/>
          <w:bCs/>
        </w:rPr>
        <w:t xml:space="preserve">to account </w:t>
      </w:r>
      <w:r w:rsidR="003E3A7D" w:rsidRPr="00EA0132">
        <w:rPr>
          <w:rFonts w:ascii="Times New Roman" w:hAnsi="Times New Roman"/>
          <w:bCs/>
        </w:rPr>
        <w:t xml:space="preserve">for </w:t>
      </w:r>
      <w:r w:rsidR="000F4B8A" w:rsidRPr="00EA0132">
        <w:rPr>
          <w:rFonts w:ascii="Times New Roman" w:hAnsi="Times New Roman"/>
          <w:bCs/>
        </w:rPr>
        <w:t xml:space="preserve">the </w:t>
      </w:r>
      <w:r w:rsidR="00AD4520" w:rsidRPr="00EA0132">
        <w:rPr>
          <w:rFonts w:ascii="Times New Roman" w:hAnsi="Times New Roman"/>
          <w:bCs/>
        </w:rPr>
        <w:t xml:space="preserve">decrease in regulatory lag and regulatory risk as a result of the </w:t>
      </w:r>
      <w:r w:rsidR="003E3A7D" w:rsidRPr="00EA0132">
        <w:rPr>
          <w:rFonts w:ascii="Times New Roman" w:hAnsi="Times New Roman"/>
          <w:bCs/>
        </w:rPr>
        <w:t>acce</w:t>
      </w:r>
      <w:r w:rsidR="000F4B8A" w:rsidRPr="00EA0132">
        <w:rPr>
          <w:rFonts w:ascii="Times New Roman" w:hAnsi="Times New Roman"/>
          <w:bCs/>
        </w:rPr>
        <w:t>lerat</w:t>
      </w:r>
      <w:r w:rsidR="00AD4520" w:rsidRPr="00EA0132">
        <w:rPr>
          <w:rFonts w:ascii="Times New Roman" w:hAnsi="Times New Roman"/>
          <w:bCs/>
        </w:rPr>
        <w:t xml:space="preserve">ion </w:t>
      </w:r>
      <w:r w:rsidR="000F4B8A" w:rsidRPr="00EA0132">
        <w:rPr>
          <w:rFonts w:ascii="Times New Roman" w:hAnsi="Times New Roman"/>
          <w:bCs/>
        </w:rPr>
        <w:t xml:space="preserve">of collecting return on </w:t>
      </w:r>
      <w:r w:rsidR="007554EA" w:rsidRPr="00EA0132">
        <w:rPr>
          <w:rFonts w:ascii="Times New Roman" w:hAnsi="Times New Roman"/>
          <w:bCs/>
        </w:rPr>
        <w:t xml:space="preserve">and of capital </w:t>
      </w:r>
      <w:r w:rsidR="000F4B8A" w:rsidRPr="00EA0132">
        <w:rPr>
          <w:rFonts w:ascii="Times New Roman" w:hAnsi="Times New Roman"/>
          <w:bCs/>
        </w:rPr>
        <w:t>investment</w:t>
      </w:r>
      <w:r w:rsidR="007554EA" w:rsidRPr="00EA0132">
        <w:rPr>
          <w:rFonts w:ascii="Times New Roman" w:hAnsi="Times New Roman"/>
          <w:bCs/>
        </w:rPr>
        <w:t>s</w:t>
      </w:r>
      <w:r w:rsidR="000F4B8A" w:rsidRPr="00EA0132">
        <w:rPr>
          <w:rFonts w:ascii="Times New Roman" w:hAnsi="Times New Roman"/>
          <w:bCs/>
        </w:rPr>
        <w:t xml:space="preserve"> and O&amp;M exp</w:t>
      </w:r>
      <w:r w:rsidR="00DE5CCE">
        <w:rPr>
          <w:rFonts w:ascii="Times New Roman" w:hAnsi="Times New Roman"/>
          <w:bCs/>
        </w:rPr>
        <w:t>enses under the proposed ASRP.</w:t>
      </w:r>
    </w:p>
    <w:p w:rsidR="00FF1036" w:rsidRDefault="000F4B8A" w:rsidP="00DE5CCE">
      <w:pPr>
        <w:pStyle w:val="ListParagraph"/>
        <w:numPr>
          <w:ilvl w:val="0"/>
          <w:numId w:val="40"/>
        </w:numPr>
        <w:spacing w:line="480" w:lineRule="auto"/>
        <w:ind w:leftChars="0" w:left="2160" w:right="720" w:hanging="720"/>
        <w:rPr>
          <w:rFonts w:ascii="Times New Roman" w:hAnsi="Times New Roman"/>
          <w:bCs/>
        </w:rPr>
      </w:pPr>
      <w:r w:rsidRPr="00EA0132">
        <w:rPr>
          <w:rFonts w:ascii="Times New Roman" w:hAnsi="Times New Roman"/>
          <w:bCs/>
        </w:rPr>
        <w:t>Last, I recommend a</w:t>
      </w:r>
      <w:r w:rsidR="007554EA" w:rsidRPr="00EA0132">
        <w:rPr>
          <w:rFonts w:ascii="Times New Roman" w:hAnsi="Times New Roman"/>
          <w:bCs/>
        </w:rPr>
        <w:t>n additional</w:t>
      </w:r>
      <w:r w:rsidRPr="00EA0132">
        <w:rPr>
          <w:rFonts w:ascii="Times New Roman" w:hAnsi="Times New Roman"/>
          <w:bCs/>
        </w:rPr>
        <w:t xml:space="preserve"> </w:t>
      </w:r>
      <w:r w:rsidR="00FF1036" w:rsidRPr="00EA0132">
        <w:rPr>
          <w:rFonts w:ascii="Times New Roman" w:hAnsi="Times New Roman"/>
          <w:bCs/>
        </w:rPr>
        <w:t xml:space="preserve">50 </w:t>
      </w:r>
      <w:r w:rsidRPr="00EA0132">
        <w:rPr>
          <w:rFonts w:ascii="Times New Roman" w:hAnsi="Times New Roman"/>
          <w:bCs/>
        </w:rPr>
        <w:t xml:space="preserve">basis points </w:t>
      </w:r>
      <w:r w:rsidR="00ED440A" w:rsidRPr="00EA0132">
        <w:rPr>
          <w:rFonts w:ascii="Times New Roman" w:hAnsi="Times New Roman"/>
          <w:bCs/>
        </w:rPr>
        <w:t>(0.50</w:t>
      </w:r>
      <w:r w:rsidR="005A0835" w:rsidRPr="00EA0132">
        <w:rPr>
          <w:rFonts w:ascii="Times New Roman" w:hAnsi="Times New Roman"/>
          <w:bCs/>
        </w:rPr>
        <w:t>%</w:t>
      </w:r>
      <w:r w:rsidR="00FF1036" w:rsidRPr="00EA0132">
        <w:rPr>
          <w:rFonts w:ascii="Times New Roman" w:hAnsi="Times New Roman"/>
          <w:bCs/>
        </w:rPr>
        <w:t xml:space="preserve">) </w:t>
      </w:r>
      <w:r w:rsidRPr="00EA0132">
        <w:rPr>
          <w:rFonts w:ascii="Times New Roman" w:hAnsi="Times New Roman"/>
          <w:bCs/>
        </w:rPr>
        <w:t xml:space="preserve">downward adjustment </w:t>
      </w:r>
      <w:r w:rsidR="00854540" w:rsidRPr="00EA0132">
        <w:rPr>
          <w:rFonts w:ascii="Times New Roman" w:hAnsi="Times New Roman"/>
          <w:bCs/>
        </w:rPr>
        <w:t xml:space="preserve">to </w:t>
      </w:r>
      <w:r w:rsidR="00AD4520" w:rsidRPr="00EA0132">
        <w:rPr>
          <w:rFonts w:ascii="Times New Roman" w:hAnsi="Times New Roman"/>
          <w:bCs/>
        </w:rPr>
        <w:t xml:space="preserve">the proposed ROE </w:t>
      </w:r>
      <w:r w:rsidRPr="00EA0132">
        <w:rPr>
          <w:rFonts w:ascii="Times New Roman" w:hAnsi="Times New Roman"/>
          <w:bCs/>
        </w:rPr>
        <w:t xml:space="preserve">to provide a </w:t>
      </w:r>
      <w:r w:rsidR="00AD4520" w:rsidRPr="00EA0132">
        <w:rPr>
          <w:rFonts w:ascii="Times New Roman" w:hAnsi="Times New Roman"/>
          <w:bCs/>
        </w:rPr>
        <w:t xml:space="preserve">much-needed </w:t>
      </w:r>
      <w:r w:rsidRPr="00EA0132">
        <w:rPr>
          <w:rFonts w:ascii="Times New Roman" w:hAnsi="Times New Roman"/>
          <w:bCs/>
        </w:rPr>
        <w:t xml:space="preserve">relief to Duke’s </w:t>
      </w:r>
      <w:r w:rsidR="003E7007" w:rsidRPr="00EA0132">
        <w:rPr>
          <w:rFonts w:ascii="Times New Roman" w:hAnsi="Times New Roman"/>
          <w:bCs/>
        </w:rPr>
        <w:t xml:space="preserve">residential </w:t>
      </w:r>
      <w:r w:rsidRPr="00EA0132">
        <w:rPr>
          <w:rFonts w:ascii="Times New Roman" w:hAnsi="Times New Roman"/>
          <w:bCs/>
        </w:rPr>
        <w:t xml:space="preserve">customers </w:t>
      </w:r>
      <w:r w:rsidR="003E7007" w:rsidRPr="00EA0132">
        <w:rPr>
          <w:rFonts w:ascii="Times New Roman" w:hAnsi="Times New Roman"/>
          <w:bCs/>
        </w:rPr>
        <w:t>who are currently paying the highest monthly gas bills among major gas utilities in Ohio</w:t>
      </w:r>
      <w:r w:rsidR="00E03922">
        <w:rPr>
          <w:rFonts w:ascii="Times New Roman" w:hAnsi="Times New Roman"/>
          <w:bCs/>
        </w:rPr>
        <w:t>.</w:t>
      </w:r>
      <w:r w:rsidR="003E7007" w:rsidRPr="00EA0132">
        <w:rPr>
          <w:rStyle w:val="FootnoteReference"/>
          <w:rFonts w:ascii="Times New Roman" w:hAnsi="Times New Roman"/>
          <w:bCs/>
        </w:rPr>
        <w:footnoteReference w:id="22"/>
      </w:r>
      <w:r w:rsidR="003E7007" w:rsidRPr="00EA0132">
        <w:rPr>
          <w:rFonts w:ascii="Times New Roman" w:hAnsi="Times New Roman"/>
          <w:bCs/>
        </w:rPr>
        <w:t xml:space="preserve"> </w:t>
      </w:r>
      <w:r w:rsidR="00E03922">
        <w:rPr>
          <w:rFonts w:ascii="Times New Roman" w:hAnsi="Times New Roman"/>
          <w:bCs/>
        </w:rPr>
        <w:t xml:space="preserve">Duke’s customers </w:t>
      </w:r>
      <w:r w:rsidR="007554EA" w:rsidRPr="00EA0132">
        <w:rPr>
          <w:rFonts w:ascii="Times New Roman" w:hAnsi="Times New Roman"/>
          <w:bCs/>
        </w:rPr>
        <w:t xml:space="preserve">have been paying Rider AMRP </w:t>
      </w:r>
      <w:r w:rsidR="00854540" w:rsidRPr="00EA0132">
        <w:rPr>
          <w:rFonts w:ascii="Times New Roman" w:hAnsi="Times New Roman"/>
          <w:bCs/>
        </w:rPr>
        <w:t xml:space="preserve">over an extended period of time </w:t>
      </w:r>
      <w:r w:rsidR="007554EA" w:rsidRPr="00EA0132">
        <w:rPr>
          <w:rFonts w:ascii="Times New Roman" w:hAnsi="Times New Roman"/>
          <w:bCs/>
        </w:rPr>
        <w:t xml:space="preserve">and </w:t>
      </w:r>
      <w:r w:rsidR="00E03922">
        <w:rPr>
          <w:rFonts w:ascii="Times New Roman" w:hAnsi="Times New Roman"/>
          <w:bCs/>
        </w:rPr>
        <w:t xml:space="preserve">they </w:t>
      </w:r>
      <w:r w:rsidR="00FF1036" w:rsidRPr="00EA0132">
        <w:rPr>
          <w:rFonts w:ascii="Times New Roman" w:hAnsi="Times New Roman"/>
          <w:bCs/>
        </w:rPr>
        <w:t>m</w:t>
      </w:r>
      <w:r w:rsidR="00854540" w:rsidRPr="00EA0132">
        <w:rPr>
          <w:rFonts w:ascii="Times New Roman" w:hAnsi="Times New Roman"/>
          <w:bCs/>
        </w:rPr>
        <w:t xml:space="preserve">ay </w:t>
      </w:r>
      <w:r w:rsidR="00FF1036" w:rsidRPr="00EA0132">
        <w:rPr>
          <w:rFonts w:ascii="Times New Roman" w:hAnsi="Times New Roman"/>
          <w:bCs/>
        </w:rPr>
        <w:t xml:space="preserve">be required </w:t>
      </w:r>
      <w:r w:rsidRPr="00EA0132">
        <w:rPr>
          <w:rFonts w:ascii="Times New Roman" w:hAnsi="Times New Roman"/>
          <w:bCs/>
        </w:rPr>
        <w:t>to pay</w:t>
      </w:r>
      <w:r w:rsidR="003E1C85" w:rsidRPr="00EA0132">
        <w:rPr>
          <w:rFonts w:ascii="Times New Roman" w:hAnsi="Times New Roman"/>
          <w:bCs/>
        </w:rPr>
        <w:t xml:space="preserve"> simultaneously</w:t>
      </w:r>
      <w:r w:rsidRPr="00EA0132">
        <w:rPr>
          <w:rFonts w:ascii="Times New Roman" w:hAnsi="Times New Roman"/>
          <w:bCs/>
        </w:rPr>
        <w:t xml:space="preserve"> </w:t>
      </w:r>
      <w:r w:rsidR="000E4F72">
        <w:rPr>
          <w:rFonts w:ascii="Times New Roman" w:hAnsi="Times New Roman"/>
          <w:bCs/>
        </w:rPr>
        <w:t xml:space="preserve">both Rider AMRP and Rider ASRP </w:t>
      </w:r>
      <w:r w:rsidR="00FF1036" w:rsidRPr="00EA0132">
        <w:rPr>
          <w:rFonts w:ascii="Times New Roman" w:hAnsi="Times New Roman"/>
          <w:bCs/>
        </w:rPr>
        <w:t>in 2016</w:t>
      </w:r>
      <w:r w:rsidR="00E03922">
        <w:rPr>
          <w:rFonts w:ascii="Times New Roman" w:hAnsi="Times New Roman"/>
          <w:bCs/>
        </w:rPr>
        <w:t xml:space="preserve"> and beyond</w:t>
      </w:r>
      <w:r w:rsidR="00FF1036" w:rsidRPr="00EA0132">
        <w:rPr>
          <w:rFonts w:ascii="Times New Roman" w:hAnsi="Times New Roman"/>
          <w:bCs/>
        </w:rPr>
        <w:t>.</w:t>
      </w:r>
      <w:r w:rsidR="003E7007" w:rsidRPr="00EA0132">
        <w:rPr>
          <w:rStyle w:val="FootnoteReference"/>
          <w:rFonts w:ascii="Times New Roman" w:hAnsi="Times New Roman"/>
          <w:bCs/>
        </w:rPr>
        <w:footnoteReference w:id="23"/>
      </w:r>
    </w:p>
    <w:p w:rsidR="00BC4485" w:rsidRPr="00BC4485" w:rsidRDefault="00BC4485" w:rsidP="00BC4485">
      <w:pPr>
        <w:spacing w:line="480" w:lineRule="auto"/>
        <w:rPr>
          <w:bCs/>
        </w:rPr>
      </w:pPr>
    </w:p>
    <w:p w:rsidR="00E97BB2" w:rsidRDefault="00E97BB2" w:rsidP="00E97BB2">
      <w:pPr>
        <w:tabs>
          <w:tab w:val="num" w:pos="720"/>
        </w:tabs>
        <w:spacing w:line="480" w:lineRule="auto"/>
        <w:ind w:left="720" w:hanging="720"/>
        <w:rPr>
          <w:b/>
          <w:bCs/>
          <w:i/>
        </w:rPr>
      </w:pPr>
      <w:r>
        <w:rPr>
          <w:b/>
          <w:bCs/>
          <w:i/>
        </w:rPr>
        <w:t>Q</w:t>
      </w:r>
      <w:r w:rsidR="004C50B4">
        <w:rPr>
          <w:b/>
          <w:bCs/>
          <w:i/>
        </w:rPr>
        <w:t>1</w:t>
      </w:r>
      <w:r w:rsidR="000F4B8A">
        <w:rPr>
          <w:b/>
          <w:bCs/>
          <w:i/>
        </w:rPr>
        <w:t>5</w:t>
      </w:r>
      <w:r>
        <w:rPr>
          <w:b/>
          <w:bCs/>
          <w:i/>
        </w:rPr>
        <w:t>.</w:t>
      </w:r>
      <w:r>
        <w:rPr>
          <w:b/>
          <w:bCs/>
          <w:i/>
        </w:rPr>
        <w:tab/>
      </w:r>
      <w:r w:rsidR="001267B2">
        <w:rPr>
          <w:b/>
          <w:bCs/>
          <w:i/>
        </w:rPr>
        <w:t xml:space="preserve">WHY </w:t>
      </w:r>
      <w:r w:rsidR="00C36188">
        <w:rPr>
          <w:b/>
          <w:bCs/>
          <w:i/>
        </w:rPr>
        <w:t xml:space="preserve">IS </w:t>
      </w:r>
      <w:r w:rsidR="001267B2">
        <w:rPr>
          <w:b/>
          <w:bCs/>
          <w:i/>
        </w:rPr>
        <w:t>IT APPR</w:t>
      </w:r>
      <w:r w:rsidR="000C1130">
        <w:rPr>
          <w:b/>
          <w:bCs/>
          <w:i/>
        </w:rPr>
        <w:t>O</w:t>
      </w:r>
      <w:r w:rsidR="001267B2">
        <w:rPr>
          <w:b/>
          <w:bCs/>
          <w:i/>
        </w:rPr>
        <w:t xml:space="preserve">PRIATE TO REDUCE THE PROPOSED ROE </w:t>
      </w:r>
      <w:r w:rsidR="00F22A8D">
        <w:rPr>
          <w:b/>
          <w:bCs/>
          <w:i/>
        </w:rPr>
        <w:t xml:space="preserve">THAT CUSTOMERS WOULD FUND </w:t>
      </w:r>
      <w:r w:rsidR="001267B2">
        <w:rPr>
          <w:b/>
          <w:bCs/>
          <w:i/>
        </w:rPr>
        <w:t>BY 25 BASIS POINTS</w:t>
      </w:r>
      <w:r w:rsidR="00E03922">
        <w:rPr>
          <w:b/>
          <w:bCs/>
          <w:i/>
        </w:rPr>
        <w:t xml:space="preserve"> AS A RESULT OF DECLINING DEBT AND EQUITY COSTS IN RECENT YEARS</w:t>
      </w:r>
      <w:r w:rsidR="007A6989">
        <w:rPr>
          <w:b/>
          <w:bCs/>
          <w:i/>
        </w:rPr>
        <w:t>?</w:t>
      </w:r>
    </w:p>
    <w:p w:rsidR="00780ACE" w:rsidRDefault="00E97BB2" w:rsidP="00E97BB2">
      <w:pPr>
        <w:tabs>
          <w:tab w:val="num" w:pos="720"/>
        </w:tabs>
        <w:spacing w:line="480" w:lineRule="auto"/>
        <w:ind w:left="720" w:hanging="720"/>
        <w:rPr>
          <w:bCs/>
        </w:rPr>
      </w:pPr>
      <w:r w:rsidRPr="00842F67">
        <w:rPr>
          <w:b/>
          <w:bCs/>
          <w:i/>
        </w:rPr>
        <w:t>A</w:t>
      </w:r>
      <w:r w:rsidR="004C50B4">
        <w:rPr>
          <w:b/>
          <w:bCs/>
          <w:i/>
        </w:rPr>
        <w:t>1</w:t>
      </w:r>
      <w:r w:rsidR="00C27F5B">
        <w:rPr>
          <w:b/>
          <w:bCs/>
          <w:i/>
        </w:rPr>
        <w:t>5</w:t>
      </w:r>
      <w:r w:rsidRPr="00842F67">
        <w:rPr>
          <w:b/>
          <w:bCs/>
          <w:i/>
        </w:rPr>
        <w:t>.</w:t>
      </w:r>
      <w:r w:rsidR="00CE5354">
        <w:rPr>
          <w:b/>
          <w:bCs/>
          <w:i/>
        </w:rPr>
        <w:tab/>
      </w:r>
      <w:r w:rsidR="001267B2">
        <w:rPr>
          <w:bCs/>
        </w:rPr>
        <w:t xml:space="preserve">Based on my observation of </w:t>
      </w:r>
      <w:r w:rsidR="005713F4">
        <w:rPr>
          <w:bCs/>
        </w:rPr>
        <w:t xml:space="preserve">the </w:t>
      </w:r>
      <w:r w:rsidR="001267B2">
        <w:rPr>
          <w:bCs/>
        </w:rPr>
        <w:t>financial market</w:t>
      </w:r>
      <w:r w:rsidR="005713F4">
        <w:rPr>
          <w:bCs/>
        </w:rPr>
        <w:t>s</w:t>
      </w:r>
      <w:r w:rsidR="00AD4520">
        <w:rPr>
          <w:bCs/>
        </w:rPr>
        <w:t xml:space="preserve"> </w:t>
      </w:r>
      <w:r w:rsidR="001267B2">
        <w:rPr>
          <w:bCs/>
        </w:rPr>
        <w:t xml:space="preserve">and </w:t>
      </w:r>
      <w:r w:rsidR="00AD4520">
        <w:rPr>
          <w:bCs/>
        </w:rPr>
        <w:t xml:space="preserve">the regulatory </w:t>
      </w:r>
      <w:r w:rsidR="007A6989">
        <w:rPr>
          <w:bCs/>
        </w:rPr>
        <w:t xml:space="preserve">actions </w:t>
      </w:r>
      <w:r w:rsidR="00AD4520">
        <w:rPr>
          <w:bCs/>
        </w:rPr>
        <w:t xml:space="preserve">related to </w:t>
      </w:r>
      <w:r w:rsidR="001267B2">
        <w:rPr>
          <w:bCs/>
        </w:rPr>
        <w:t xml:space="preserve">gas and electric </w:t>
      </w:r>
      <w:r w:rsidR="005F718B">
        <w:rPr>
          <w:bCs/>
        </w:rPr>
        <w:t>utilities</w:t>
      </w:r>
      <w:r w:rsidR="00AD4520">
        <w:rPr>
          <w:bCs/>
        </w:rPr>
        <w:t xml:space="preserve">, </w:t>
      </w:r>
      <w:r w:rsidR="001267B2">
        <w:rPr>
          <w:bCs/>
        </w:rPr>
        <w:t xml:space="preserve">there is a </w:t>
      </w:r>
      <w:r w:rsidR="00AD4520">
        <w:rPr>
          <w:bCs/>
        </w:rPr>
        <w:t xml:space="preserve">definite </w:t>
      </w:r>
      <w:r w:rsidR="001267B2">
        <w:rPr>
          <w:bCs/>
        </w:rPr>
        <w:t xml:space="preserve">decline in </w:t>
      </w:r>
      <w:r w:rsidR="005F718B">
        <w:rPr>
          <w:bCs/>
        </w:rPr>
        <w:t xml:space="preserve">the </w:t>
      </w:r>
      <w:r w:rsidR="001267B2">
        <w:rPr>
          <w:bCs/>
        </w:rPr>
        <w:t xml:space="preserve">allowed ROE </w:t>
      </w:r>
      <w:r w:rsidR="005F718B">
        <w:rPr>
          <w:bCs/>
        </w:rPr>
        <w:t>set by state regulators for r</w:t>
      </w:r>
      <w:r w:rsidR="001267B2">
        <w:rPr>
          <w:bCs/>
        </w:rPr>
        <w:t>egulated utilities</w:t>
      </w:r>
      <w:r w:rsidR="005713F4">
        <w:rPr>
          <w:bCs/>
        </w:rPr>
        <w:t xml:space="preserve"> in recent years</w:t>
      </w:r>
      <w:r w:rsidR="00C8215E">
        <w:rPr>
          <w:bCs/>
        </w:rPr>
        <w:t xml:space="preserve">. </w:t>
      </w:r>
      <w:r w:rsidR="00926A25">
        <w:rPr>
          <w:bCs/>
        </w:rPr>
        <w:t>While t</w:t>
      </w:r>
      <w:r w:rsidR="001267B2">
        <w:rPr>
          <w:bCs/>
        </w:rPr>
        <w:t xml:space="preserve">he </w:t>
      </w:r>
      <w:r w:rsidR="00A21131">
        <w:rPr>
          <w:bCs/>
        </w:rPr>
        <w:t xml:space="preserve">specific </w:t>
      </w:r>
      <w:r w:rsidR="001267B2">
        <w:rPr>
          <w:bCs/>
        </w:rPr>
        <w:t xml:space="preserve">magnitude of the </w:t>
      </w:r>
      <w:r w:rsidR="001A413A">
        <w:rPr>
          <w:bCs/>
        </w:rPr>
        <w:t>reduc</w:t>
      </w:r>
      <w:r w:rsidR="006516C5">
        <w:rPr>
          <w:bCs/>
        </w:rPr>
        <w:t xml:space="preserve">tion in </w:t>
      </w:r>
      <w:r w:rsidR="00AD4520">
        <w:rPr>
          <w:bCs/>
        </w:rPr>
        <w:t>allowed ROE</w:t>
      </w:r>
      <w:r w:rsidR="00926A25">
        <w:rPr>
          <w:bCs/>
        </w:rPr>
        <w:t>s</w:t>
      </w:r>
      <w:r w:rsidR="00AD4520">
        <w:rPr>
          <w:bCs/>
        </w:rPr>
        <w:t xml:space="preserve"> </w:t>
      </w:r>
      <w:r w:rsidR="00BC4485">
        <w:rPr>
          <w:bCs/>
        </w:rPr>
        <w:t>may be difficult to quantify</w:t>
      </w:r>
      <w:r w:rsidR="001267B2">
        <w:rPr>
          <w:bCs/>
        </w:rPr>
        <w:t xml:space="preserve"> the overall trend of </w:t>
      </w:r>
      <w:r w:rsidR="00AD4520">
        <w:rPr>
          <w:bCs/>
        </w:rPr>
        <w:t xml:space="preserve">a </w:t>
      </w:r>
      <w:r w:rsidR="001267B2">
        <w:rPr>
          <w:bCs/>
        </w:rPr>
        <w:t xml:space="preserve">declining </w:t>
      </w:r>
      <w:r w:rsidR="00AD4520">
        <w:rPr>
          <w:bCs/>
        </w:rPr>
        <w:t xml:space="preserve">allowed ROE </w:t>
      </w:r>
      <w:r w:rsidR="001267B2">
        <w:rPr>
          <w:bCs/>
        </w:rPr>
        <w:t xml:space="preserve">is </w:t>
      </w:r>
      <w:r w:rsidR="00C8215E">
        <w:rPr>
          <w:bCs/>
        </w:rPr>
        <w:t>unmistak</w:t>
      </w:r>
      <w:r w:rsidR="001A413A">
        <w:rPr>
          <w:bCs/>
        </w:rPr>
        <w:t>able</w:t>
      </w:r>
      <w:r w:rsidR="00C8215E">
        <w:rPr>
          <w:bCs/>
        </w:rPr>
        <w:t>.</w:t>
      </w:r>
    </w:p>
    <w:p w:rsidR="00780ACE" w:rsidRDefault="00780ACE" w:rsidP="00E97BB2">
      <w:pPr>
        <w:tabs>
          <w:tab w:val="num" w:pos="720"/>
        </w:tabs>
        <w:spacing w:line="480" w:lineRule="auto"/>
        <w:ind w:left="720" w:hanging="720"/>
        <w:rPr>
          <w:bCs/>
        </w:rPr>
      </w:pPr>
    </w:p>
    <w:p w:rsidR="00E97BB2" w:rsidRPr="00CE5354" w:rsidRDefault="004255BB" w:rsidP="000C1130">
      <w:pPr>
        <w:tabs>
          <w:tab w:val="num" w:pos="720"/>
        </w:tabs>
        <w:spacing w:line="480" w:lineRule="auto"/>
        <w:ind w:left="720"/>
        <w:rPr>
          <w:bCs/>
        </w:rPr>
      </w:pPr>
      <w:r>
        <w:rPr>
          <w:bCs/>
        </w:rPr>
        <w:t>This declin</w:t>
      </w:r>
      <w:r w:rsidR="00780ACE">
        <w:rPr>
          <w:bCs/>
        </w:rPr>
        <w:t>e</w:t>
      </w:r>
      <w:r>
        <w:rPr>
          <w:bCs/>
        </w:rPr>
        <w:t xml:space="preserve"> of </w:t>
      </w:r>
      <w:r w:rsidR="007A6989">
        <w:rPr>
          <w:bCs/>
        </w:rPr>
        <w:t xml:space="preserve">the </w:t>
      </w:r>
      <w:r>
        <w:rPr>
          <w:bCs/>
        </w:rPr>
        <w:t xml:space="preserve">allowed ROE </w:t>
      </w:r>
      <w:r w:rsidR="007A6989">
        <w:rPr>
          <w:bCs/>
        </w:rPr>
        <w:t xml:space="preserve">in recent years </w:t>
      </w:r>
      <w:r>
        <w:rPr>
          <w:bCs/>
        </w:rPr>
        <w:t xml:space="preserve">is not surprising </w:t>
      </w:r>
      <w:r w:rsidR="00780ACE">
        <w:rPr>
          <w:bCs/>
        </w:rPr>
        <w:t xml:space="preserve">given </w:t>
      </w:r>
      <w:r>
        <w:rPr>
          <w:bCs/>
        </w:rPr>
        <w:t xml:space="preserve">the dramatic increase in the availability of credit at </w:t>
      </w:r>
      <w:r w:rsidR="00780ACE">
        <w:rPr>
          <w:bCs/>
        </w:rPr>
        <w:t xml:space="preserve">very </w:t>
      </w:r>
      <w:r>
        <w:rPr>
          <w:bCs/>
        </w:rPr>
        <w:t xml:space="preserve">low cost and the substantial appreciation in equity </w:t>
      </w:r>
      <w:r w:rsidR="00C9071C">
        <w:rPr>
          <w:bCs/>
        </w:rPr>
        <w:t>price</w:t>
      </w:r>
      <w:r w:rsidR="00625040">
        <w:rPr>
          <w:bCs/>
        </w:rPr>
        <w:t>s</w:t>
      </w:r>
      <w:r w:rsidR="00C9071C">
        <w:rPr>
          <w:bCs/>
        </w:rPr>
        <w:t xml:space="preserve"> following </w:t>
      </w:r>
      <w:r>
        <w:rPr>
          <w:bCs/>
        </w:rPr>
        <w:t>the 2008 global financial crisis</w:t>
      </w:r>
      <w:r w:rsidR="00C9071C">
        <w:rPr>
          <w:bCs/>
        </w:rPr>
        <w:t xml:space="preserve">. </w:t>
      </w:r>
      <w:r>
        <w:rPr>
          <w:bCs/>
        </w:rPr>
        <w:t xml:space="preserve">The </w:t>
      </w:r>
      <w:r w:rsidR="00780ACE">
        <w:rPr>
          <w:bCs/>
        </w:rPr>
        <w:t xml:space="preserve">pace of </w:t>
      </w:r>
      <w:r>
        <w:rPr>
          <w:bCs/>
        </w:rPr>
        <w:t xml:space="preserve">change in </w:t>
      </w:r>
      <w:r w:rsidR="00780ACE">
        <w:rPr>
          <w:bCs/>
        </w:rPr>
        <w:t xml:space="preserve">adjusting </w:t>
      </w:r>
      <w:r>
        <w:rPr>
          <w:bCs/>
        </w:rPr>
        <w:t xml:space="preserve">the allowed ROE </w:t>
      </w:r>
      <w:r w:rsidR="004946F2">
        <w:rPr>
          <w:bCs/>
        </w:rPr>
        <w:t xml:space="preserve">by the regulatory agencies </w:t>
      </w:r>
      <w:r>
        <w:rPr>
          <w:bCs/>
        </w:rPr>
        <w:t xml:space="preserve">is </w:t>
      </w:r>
      <w:r w:rsidR="00C9071C">
        <w:rPr>
          <w:bCs/>
        </w:rPr>
        <w:t xml:space="preserve">typically </w:t>
      </w:r>
      <w:r>
        <w:rPr>
          <w:bCs/>
        </w:rPr>
        <w:t>slower</w:t>
      </w:r>
      <w:r w:rsidR="00625040">
        <w:rPr>
          <w:bCs/>
        </w:rPr>
        <w:t xml:space="preserve"> and lags behind</w:t>
      </w:r>
      <w:r>
        <w:rPr>
          <w:bCs/>
        </w:rPr>
        <w:t xml:space="preserve"> the </w:t>
      </w:r>
      <w:r w:rsidR="00780ACE">
        <w:rPr>
          <w:bCs/>
        </w:rPr>
        <w:t xml:space="preserve">pace of </w:t>
      </w:r>
      <w:r>
        <w:rPr>
          <w:bCs/>
        </w:rPr>
        <w:t>chang</w:t>
      </w:r>
      <w:r w:rsidR="00780ACE">
        <w:rPr>
          <w:bCs/>
        </w:rPr>
        <w:t>e</w:t>
      </w:r>
      <w:r>
        <w:rPr>
          <w:bCs/>
        </w:rPr>
        <w:t xml:space="preserve"> in </w:t>
      </w:r>
      <w:r w:rsidR="00C8215E">
        <w:rPr>
          <w:bCs/>
        </w:rPr>
        <w:t>the costs of credit and equity.</w:t>
      </w:r>
      <w:r>
        <w:rPr>
          <w:bCs/>
        </w:rPr>
        <w:t xml:space="preserve"> </w:t>
      </w:r>
      <w:r w:rsidR="00780ACE">
        <w:rPr>
          <w:bCs/>
        </w:rPr>
        <w:t>Nevertheless,</w:t>
      </w:r>
      <w:r>
        <w:rPr>
          <w:bCs/>
        </w:rPr>
        <w:t xml:space="preserve"> </w:t>
      </w:r>
      <w:r w:rsidR="00B25849">
        <w:rPr>
          <w:bCs/>
        </w:rPr>
        <w:t xml:space="preserve">regulatory </w:t>
      </w:r>
      <w:r w:rsidR="00BB5B60">
        <w:rPr>
          <w:bCs/>
        </w:rPr>
        <w:t>agencies have</w:t>
      </w:r>
      <w:r w:rsidR="005713F4">
        <w:rPr>
          <w:bCs/>
        </w:rPr>
        <w:t xml:space="preserve"> </w:t>
      </w:r>
      <w:r w:rsidR="00780ACE">
        <w:rPr>
          <w:bCs/>
        </w:rPr>
        <w:t>respond</w:t>
      </w:r>
      <w:r w:rsidR="005713F4">
        <w:rPr>
          <w:bCs/>
        </w:rPr>
        <w:t>ed</w:t>
      </w:r>
      <w:r w:rsidR="00780ACE">
        <w:rPr>
          <w:bCs/>
        </w:rPr>
        <w:t xml:space="preserve"> to market conditions and </w:t>
      </w:r>
      <w:r w:rsidR="00B25849">
        <w:rPr>
          <w:bCs/>
        </w:rPr>
        <w:t xml:space="preserve">gradually set a lower </w:t>
      </w:r>
      <w:r>
        <w:rPr>
          <w:bCs/>
        </w:rPr>
        <w:t xml:space="preserve">allowed ROE </w:t>
      </w:r>
      <w:r w:rsidR="00B25849">
        <w:rPr>
          <w:bCs/>
        </w:rPr>
        <w:t xml:space="preserve">to </w:t>
      </w:r>
      <w:r>
        <w:rPr>
          <w:bCs/>
        </w:rPr>
        <w:t xml:space="preserve">reflect the </w:t>
      </w:r>
      <w:r w:rsidR="00A21131">
        <w:rPr>
          <w:bCs/>
        </w:rPr>
        <w:t xml:space="preserve">decreased </w:t>
      </w:r>
      <w:r w:rsidR="00C8215E">
        <w:rPr>
          <w:bCs/>
        </w:rPr>
        <w:t>cost of credit and equity</w:t>
      </w:r>
      <w:r w:rsidR="005713F4">
        <w:rPr>
          <w:bCs/>
        </w:rPr>
        <w:t xml:space="preserve"> observed in the </w:t>
      </w:r>
      <w:r w:rsidR="0058778A">
        <w:rPr>
          <w:bCs/>
        </w:rPr>
        <w:t xml:space="preserve">financial </w:t>
      </w:r>
      <w:r w:rsidR="005713F4">
        <w:rPr>
          <w:bCs/>
        </w:rPr>
        <w:t>market</w:t>
      </w:r>
      <w:r w:rsidR="00926A25">
        <w:rPr>
          <w:bCs/>
        </w:rPr>
        <w:t>s</w:t>
      </w:r>
      <w:r w:rsidR="00FA2B30">
        <w:rPr>
          <w:bCs/>
        </w:rPr>
        <w:t>.</w:t>
      </w:r>
    </w:p>
    <w:p w:rsidR="004C50B4" w:rsidRDefault="004C50B4" w:rsidP="004C50B4">
      <w:pPr>
        <w:tabs>
          <w:tab w:val="num" w:pos="720"/>
        </w:tabs>
        <w:spacing w:line="480" w:lineRule="auto"/>
        <w:ind w:left="720" w:hanging="720"/>
        <w:rPr>
          <w:b/>
          <w:bCs/>
          <w:i/>
        </w:rPr>
      </w:pPr>
      <w:r>
        <w:rPr>
          <w:b/>
          <w:bCs/>
          <w:i/>
        </w:rPr>
        <w:t>Q1</w:t>
      </w:r>
      <w:r w:rsidR="00C27F5B">
        <w:rPr>
          <w:b/>
          <w:bCs/>
          <w:i/>
        </w:rPr>
        <w:t>6</w:t>
      </w:r>
      <w:r>
        <w:rPr>
          <w:b/>
          <w:bCs/>
          <w:i/>
        </w:rPr>
        <w:t>.</w:t>
      </w:r>
      <w:r>
        <w:rPr>
          <w:b/>
          <w:bCs/>
          <w:i/>
        </w:rPr>
        <w:tab/>
      </w:r>
      <w:r w:rsidR="006F3455">
        <w:rPr>
          <w:b/>
          <w:bCs/>
          <w:i/>
        </w:rPr>
        <w:t xml:space="preserve">WHY </w:t>
      </w:r>
      <w:r w:rsidR="00C36188">
        <w:rPr>
          <w:b/>
          <w:bCs/>
          <w:i/>
        </w:rPr>
        <w:t xml:space="preserve">IS </w:t>
      </w:r>
      <w:r w:rsidR="006F3455">
        <w:rPr>
          <w:b/>
          <w:bCs/>
          <w:i/>
        </w:rPr>
        <w:t xml:space="preserve">IT </w:t>
      </w:r>
      <w:r w:rsidR="000C1130">
        <w:rPr>
          <w:b/>
          <w:bCs/>
          <w:i/>
        </w:rPr>
        <w:t>APPROPRIATE</w:t>
      </w:r>
      <w:r w:rsidR="006F3455">
        <w:rPr>
          <w:b/>
          <w:bCs/>
          <w:i/>
        </w:rPr>
        <w:t xml:space="preserve"> TO REDUCE THE PROPOSED ROE </w:t>
      </w:r>
      <w:r w:rsidR="00F22A8D">
        <w:rPr>
          <w:b/>
          <w:bCs/>
          <w:i/>
        </w:rPr>
        <w:t xml:space="preserve">FUNDED BY CUSTOMERS </w:t>
      </w:r>
      <w:r w:rsidR="006F3455">
        <w:rPr>
          <w:b/>
          <w:bCs/>
          <w:i/>
        </w:rPr>
        <w:t xml:space="preserve">BY 25 BASIS POINTS TO ACCOUNT FOR THE </w:t>
      </w:r>
      <w:r w:rsidR="00C9071C">
        <w:rPr>
          <w:b/>
          <w:bCs/>
          <w:i/>
        </w:rPr>
        <w:t xml:space="preserve">DECREASE IN REGULATORY LAG AND RISK </w:t>
      </w:r>
      <w:r w:rsidR="00780ACE">
        <w:rPr>
          <w:b/>
          <w:bCs/>
          <w:i/>
        </w:rPr>
        <w:t xml:space="preserve">ASSOCIATED WITH RIDER </w:t>
      </w:r>
      <w:r w:rsidR="000C1130">
        <w:rPr>
          <w:b/>
          <w:bCs/>
          <w:i/>
        </w:rPr>
        <w:t>ASRP?</w:t>
      </w:r>
    </w:p>
    <w:p w:rsidR="006F3455" w:rsidRDefault="004C50B4" w:rsidP="00AF0BFC">
      <w:pPr>
        <w:tabs>
          <w:tab w:val="num" w:pos="720"/>
        </w:tabs>
        <w:spacing w:line="480" w:lineRule="auto"/>
        <w:ind w:left="720" w:hanging="720"/>
        <w:rPr>
          <w:bCs/>
        </w:rPr>
      </w:pPr>
      <w:r w:rsidRPr="00842F67">
        <w:rPr>
          <w:b/>
          <w:bCs/>
          <w:i/>
        </w:rPr>
        <w:t>A</w:t>
      </w:r>
      <w:r>
        <w:rPr>
          <w:b/>
          <w:bCs/>
          <w:i/>
        </w:rPr>
        <w:t>1</w:t>
      </w:r>
      <w:r w:rsidR="00C27F5B">
        <w:rPr>
          <w:b/>
          <w:bCs/>
          <w:i/>
        </w:rPr>
        <w:t>6</w:t>
      </w:r>
      <w:r w:rsidRPr="00842F67">
        <w:rPr>
          <w:b/>
          <w:bCs/>
          <w:i/>
        </w:rPr>
        <w:t>.</w:t>
      </w:r>
      <w:r w:rsidR="006F3455">
        <w:rPr>
          <w:b/>
          <w:bCs/>
          <w:i/>
        </w:rPr>
        <w:tab/>
      </w:r>
      <w:r w:rsidR="00780ACE">
        <w:rPr>
          <w:bCs/>
        </w:rPr>
        <w:t>It is well</w:t>
      </w:r>
      <w:r w:rsidR="00A21131">
        <w:rPr>
          <w:bCs/>
        </w:rPr>
        <w:t xml:space="preserve"> </w:t>
      </w:r>
      <w:r w:rsidR="00780ACE">
        <w:rPr>
          <w:bCs/>
        </w:rPr>
        <w:t xml:space="preserve">recognized that </w:t>
      </w:r>
      <w:r w:rsidR="006F3455">
        <w:rPr>
          <w:bCs/>
        </w:rPr>
        <w:t>a</w:t>
      </w:r>
      <w:r w:rsidR="00780ACE">
        <w:rPr>
          <w:bCs/>
        </w:rPr>
        <w:t xml:space="preserve">n accelerated infrastructure replacement </w:t>
      </w:r>
      <w:r w:rsidR="00C9071C">
        <w:rPr>
          <w:bCs/>
        </w:rPr>
        <w:t xml:space="preserve">rider </w:t>
      </w:r>
      <w:r w:rsidR="006F3455">
        <w:rPr>
          <w:bCs/>
        </w:rPr>
        <w:t>mechanism</w:t>
      </w:r>
      <w:r w:rsidR="00A21131">
        <w:rPr>
          <w:bCs/>
        </w:rPr>
        <w:t>,</w:t>
      </w:r>
      <w:r w:rsidR="006F3455">
        <w:rPr>
          <w:bCs/>
        </w:rPr>
        <w:t xml:space="preserve"> such as </w:t>
      </w:r>
      <w:r w:rsidR="00780ACE">
        <w:rPr>
          <w:bCs/>
        </w:rPr>
        <w:t xml:space="preserve">Rider </w:t>
      </w:r>
      <w:r w:rsidR="006F3455">
        <w:rPr>
          <w:bCs/>
        </w:rPr>
        <w:t>ASRP</w:t>
      </w:r>
      <w:r w:rsidR="00A21131">
        <w:rPr>
          <w:bCs/>
        </w:rPr>
        <w:t>,</w:t>
      </w:r>
      <w:r w:rsidR="006F3455">
        <w:rPr>
          <w:bCs/>
        </w:rPr>
        <w:t xml:space="preserve"> </w:t>
      </w:r>
      <w:r w:rsidR="00B25849">
        <w:rPr>
          <w:bCs/>
        </w:rPr>
        <w:t xml:space="preserve">can </w:t>
      </w:r>
      <w:r w:rsidR="006F3455">
        <w:rPr>
          <w:bCs/>
        </w:rPr>
        <w:t>reduce regul</w:t>
      </w:r>
      <w:r w:rsidR="00C8215E">
        <w:rPr>
          <w:bCs/>
        </w:rPr>
        <w:t>atory lag and risk</w:t>
      </w:r>
      <w:r w:rsidR="004315A4">
        <w:rPr>
          <w:bCs/>
        </w:rPr>
        <w:t xml:space="preserve"> facing a utility</w:t>
      </w:r>
      <w:r w:rsidR="00C8215E">
        <w:rPr>
          <w:bCs/>
        </w:rPr>
        <w:t>.</w:t>
      </w:r>
      <w:r w:rsidR="00F02ED2">
        <w:rPr>
          <w:rStyle w:val="FootnoteReference"/>
          <w:bCs/>
        </w:rPr>
        <w:footnoteReference w:id="24"/>
      </w:r>
      <w:r w:rsidR="00C8215E">
        <w:rPr>
          <w:bCs/>
        </w:rPr>
        <w:t xml:space="preserve"> </w:t>
      </w:r>
      <w:r w:rsidR="00F02ED2">
        <w:rPr>
          <w:bCs/>
        </w:rPr>
        <w:t xml:space="preserve">Even though the exact magnitude of the reduction in risk associated with a rider such as </w:t>
      </w:r>
      <w:r w:rsidR="00625040">
        <w:rPr>
          <w:bCs/>
        </w:rPr>
        <w:t xml:space="preserve">Rider </w:t>
      </w:r>
      <w:r w:rsidR="00F02ED2">
        <w:rPr>
          <w:bCs/>
        </w:rPr>
        <w:t>ASRP is difficult to estimate</w:t>
      </w:r>
      <w:r w:rsidR="006516C5">
        <w:rPr>
          <w:bCs/>
        </w:rPr>
        <w:t xml:space="preserve"> for many reasons</w:t>
      </w:r>
      <w:r w:rsidR="00BC4485">
        <w:rPr>
          <w:bCs/>
        </w:rPr>
        <w:t>, I believe a 25 basis point</w:t>
      </w:r>
      <w:r w:rsidR="00F02ED2">
        <w:rPr>
          <w:bCs/>
        </w:rPr>
        <w:t xml:space="preserve"> reduction to the proposed ROE in this proceeding </w:t>
      </w:r>
      <w:r w:rsidR="00BC4485">
        <w:rPr>
          <w:bCs/>
        </w:rPr>
        <w:t xml:space="preserve">is appropriate </w:t>
      </w:r>
      <w:r w:rsidR="005713F4">
        <w:rPr>
          <w:bCs/>
        </w:rPr>
        <w:t xml:space="preserve">for the proposed Rider ASRP </w:t>
      </w:r>
      <w:r w:rsidR="00BC4485">
        <w:rPr>
          <w:bCs/>
        </w:rPr>
        <w:t>because it will assist in</w:t>
      </w:r>
      <w:r w:rsidR="00A21131">
        <w:rPr>
          <w:bCs/>
        </w:rPr>
        <w:t xml:space="preserve"> protect</w:t>
      </w:r>
      <w:r w:rsidR="00BC4485">
        <w:rPr>
          <w:bCs/>
        </w:rPr>
        <w:t>ing</w:t>
      </w:r>
      <w:r w:rsidR="00A21131">
        <w:rPr>
          <w:bCs/>
        </w:rPr>
        <w:t xml:space="preserve"> customers</w:t>
      </w:r>
      <w:r w:rsidR="00BC4485">
        <w:rPr>
          <w:bCs/>
        </w:rPr>
        <w:t xml:space="preserve"> from unreasonable rates</w:t>
      </w:r>
      <w:r w:rsidR="00F02ED2">
        <w:rPr>
          <w:bCs/>
        </w:rPr>
        <w:t>.</w:t>
      </w:r>
      <w:r w:rsidR="00BC4485">
        <w:rPr>
          <w:bCs/>
        </w:rPr>
        <w:t xml:space="preserve"> </w:t>
      </w:r>
      <w:r w:rsidR="00C8215E">
        <w:rPr>
          <w:bCs/>
        </w:rPr>
        <w:t>The PUCO</w:t>
      </w:r>
      <w:r w:rsidR="006F3455">
        <w:rPr>
          <w:bCs/>
        </w:rPr>
        <w:t xml:space="preserve"> </w:t>
      </w:r>
      <w:r w:rsidR="00625040">
        <w:rPr>
          <w:bCs/>
        </w:rPr>
        <w:t xml:space="preserve">has </w:t>
      </w:r>
      <w:r w:rsidR="006F3455">
        <w:rPr>
          <w:bCs/>
        </w:rPr>
        <w:t>recognize</w:t>
      </w:r>
      <w:r w:rsidR="00625040">
        <w:rPr>
          <w:bCs/>
        </w:rPr>
        <w:t>d</w:t>
      </w:r>
      <w:r w:rsidR="006F3455">
        <w:rPr>
          <w:bCs/>
        </w:rPr>
        <w:t xml:space="preserve"> this reduction in </w:t>
      </w:r>
      <w:r w:rsidR="004315A4">
        <w:rPr>
          <w:bCs/>
        </w:rPr>
        <w:t xml:space="preserve">regulatory </w:t>
      </w:r>
      <w:r w:rsidR="006F3455">
        <w:rPr>
          <w:bCs/>
        </w:rPr>
        <w:t xml:space="preserve">risk </w:t>
      </w:r>
      <w:r w:rsidR="004315A4">
        <w:rPr>
          <w:bCs/>
        </w:rPr>
        <w:t xml:space="preserve">and regulatory lag </w:t>
      </w:r>
      <w:r w:rsidR="00A21131">
        <w:rPr>
          <w:bCs/>
        </w:rPr>
        <w:t>and the corresponding</w:t>
      </w:r>
      <w:r w:rsidR="006F3455">
        <w:rPr>
          <w:bCs/>
        </w:rPr>
        <w:t xml:space="preserve"> financial benefits to </w:t>
      </w:r>
      <w:r w:rsidR="005713F4">
        <w:rPr>
          <w:bCs/>
        </w:rPr>
        <w:t xml:space="preserve">a </w:t>
      </w:r>
      <w:r w:rsidR="006F3455">
        <w:rPr>
          <w:bCs/>
        </w:rPr>
        <w:t>regulated utilit</w:t>
      </w:r>
      <w:r w:rsidR="005713F4">
        <w:rPr>
          <w:bCs/>
        </w:rPr>
        <w:t xml:space="preserve">y </w:t>
      </w:r>
      <w:r w:rsidR="004315A4">
        <w:rPr>
          <w:bCs/>
        </w:rPr>
        <w:t xml:space="preserve">as a result of </w:t>
      </w:r>
      <w:r w:rsidR="006516C5">
        <w:rPr>
          <w:bCs/>
        </w:rPr>
        <w:t xml:space="preserve">the </w:t>
      </w:r>
      <w:r w:rsidR="004315A4">
        <w:rPr>
          <w:bCs/>
        </w:rPr>
        <w:t>accelerated infrastructure replacement program</w:t>
      </w:r>
      <w:r w:rsidR="00A21131">
        <w:rPr>
          <w:bCs/>
        </w:rPr>
        <w:t>s</w:t>
      </w:r>
      <w:r w:rsidR="004315A4">
        <w:rPr>
          <w:bCs/>
        </w:rPr>
        <w:t>.</w:t>
      </w:r>
    </w:p>
    <w:p w:rsidR="00232D8A" w:rsidRPr="006F3455" w:rsidRDefault="00232D8A" w:rsidP="004C50B4">
      <w:pPr>
        <w:tabs>
          <w:tab w:val="num" w:pos="720"/>
        </w:tabs>
        <w:spacing w:line="480" w:lineRule="auto"/>
        <w:ind w:left="720" w:hanging="720"/>
        <w:rPr>
          <w:bCs/>
        </w:rPr>
      </w:pPr>
    </w:p>
    <w:p w:rsidR="004C50B4" w:rsidRDefault="004C50B4" w:rsidP="004C50B4">
      <w:pPr>
        <w:tabs>
          <w:tab w:val="num" w:pos="720"/>
        </w:tabs>
        <w:spacing w:line="480" w:lineRule="auto"/>
        <w:ind w:left="720" w:hanging="720"/>
        <w:rPr>
          <w:b/>
          <w:bCs/>
          <w:i/>
        </w:rPr>
      </w:pPr>
      <w:r>
        <w:rPr>
          <w:b/>
          <w:bCs/>
          <w:i/>
        </w:rPr>
        <w:t>Q1</w:t>
      </w:r>
      <w:r w:rsidR="00C27F5B">
        <w:rPr>
          <w:b/>
          <w:bCs/>
          <w:i/>
        </w:rPr>
        <w:t>7</w:t>
      </w:r>
      <w:r>
        <w:rPr>
          <w:b/>
          <w:bCs/>
          <w:i/>
        </w:rPr>
        <w:t>.</w:t>
      </w:r>
      <w:r>
        <w:rPr>
          <w:b/>
          <w:bCs/>
          <w:i/>
        </w:rPr>
        <w:tab/>
      </w:r>
      <w:r w:rsidR="00232D8A">
        <w:rPr>
          <w:b/>
          <w:bCs/>
          <w:i/>
        </w:rPr>
        <w:t xml:space="preserve">WHY </w:t>
      </w:r>
      <w:r w:rsidR="00C36188">
        <w:rPr>
          <w:b/>
          <w:bCs/>
          <w:i/>
        </w:rPr>
        <w:t xml:space="preserve">IS </w:t>
      </w:r>
      <w:r w:rsidR="00232D8A">
        <w:rPr>
          <w:b/>
          <w:bCs/>
          <w:i/>
        </w:rPr>
        <w:t xml:space="preserve">IT </w:t>
      </w:r>
      <w:r w:rsidR="000C1130">
        <w:rPr>
          <w:b/>
          <w:bCs/>
          <w:i/>
        </w:rPr>
        <w:t>APPROPRIATE</w:t>
      </w:r>
      <w:r w:rsidR="00232D8A">
        <w:rPr>
          <w:b/>
          <w:bCs/>
          <w:i/>
        </w:rPr>
        <w:t xml:space="preserve"> TO REDUCE THE PROPOSED ROE </w:t>
      </w:r>
      <w:r w:rsidR="00F22A8D">
        <w:rPr>
          <w:b/>
          <w:bCs/>
          <w:i/>
        </w:rPr>
        <w:t xml:space="preserve">FUNDED BY CUSTOMERS </w:t>
      </w:r>
      <w:r w:rsidR="00232D8A">
        <w:rPr>
          <w:b/>
          <w:bCs/>
          <w:i/>
        </w:rPr>
        <w:t xml:space="preserve">BY 50 BASIS POINTS TO </w:t>
      </w:r>
      <w:r w:rsidR="00C36188">
        <w:rPr>
          <w:b/>
          <w:bCs/>
          <w:i/>
        </w:rPr>
        <w:t xml:space="preserve">PROVIDE </w:t>
      </w:r>
      <w:r w:rsidR="000C1130">
        <w:rPr>
          <w:b/>
          <w:bCs/>
          <w:i/>
        </w:rPr>
        <w:t>RELIEF</w:t>
      </w:r>
      <w:r w:rsidR="00C36188">
        <w:rPr>
          <w:b/>
          <w:bCs/>
          <w:i/>
        </w:rPr>
        <w:t xml:space="preserve"> TO DUKE’S </w:t>
      </w:r>
      <w:r w:rsidR="00AA7286">
        <w:rPr>
          <w:b/>
          <w:bCs/>
          <w:i/>
        </w:rPr>
        <w:t xml:space="preserve">RESIDENTIAL </w:t>
      </w:r>
      <w:r w:rsidR="00C36188">
        <w:rPr>
          <w:b/>
          <w:bCs/>
          <w:i/>
        </w:rPr>
        <w:t>CUSTOMERS</w:t>
      </w:r>
      <w:r w:rsidR="00F02ED2">
        <w:rPr>
          <w:b/>
          <w:bCs/>
          <w:i/>
        </w:rPr>
        <w:t>?</w:t>
      </w:r>
    </w:p>
    <w:p w:rsidR="00CD5AF6" w:rsidRDefault="004C50B4" w:rsidP="004C50B4">
      <w:pPr>
        <w:tabs>
          <w:tab w:val="num" w:pos="720"/>
        </w:tabs>
        <w:spacing w:line="480" w:lineRule="auto"/>
        <w:ind w:left="720" w:hanging="720"/>
        <w:rPr>
          <w:bCs/>
        </w:rPr>
      </w:pPr>
      <w:r w:rsidRPr="00842F67">
        <w:rPr>
          <w:b/>
          <w:bCs/>
          <w:i/>
        </w:rPr>
        <w:t>A</w:t>
      </w:r>
      <w:r>
        <w:rPr>
          <w:b/>
          <w:bCs/>
          <w:i/>
        </w:rPr>
        <w:t>1</w:t>
      </w:r>
      <w:r w:rsidR="00C27F5B">
        <w:rPr>
          <w:b/>
          <w:bCs/>
          <w:i/>
        </w:rPr>
        <w:t>7</w:t>
      </w:r>
      <w:r w:rsidRPr="00842F67">
        <w:rPr>
          <w:b/>
          <w:bCs/>
          <w:i/>
        </w:rPr>
        <w:t>.</w:t>
      </w:r>
      <w:r w:rsidR="00F02ED2">
        <w:rPr>
          <w:b/>
          <w:bCs/>
          <w:i/>
        </w:rPr>
        <w:tab/>
      </w:r>
      <w:r w:rsidR="00F02ED2">
        <w:rPr>
          <w:bCs/>
        </w:rPr>
        <w:t xml:space="preserve">The </w:t>
      </w:r>
      <w:r w:rsidR="0012097C">
        <w:rPr>
          <w:bCs/>
        </w:rPr>
        <w:t>affordability of utility services and the f</w:t>
      </w:r>
      <w:r w:rsidR="00F02ED2">
        <w:rPr>
          <w:bCs/>
        </w:rPr>
        <w:t xml:space="preserve">inancial burden on customers </w:t>
      </w:r>
      <w:r w:rsidR="000E4F72">
        <w:rPr>
          <w:bCs/>
        </w:rPr>
        <w:t>should be and are</w:t>
      </w:r>
      <w:r w:rsidR="0012097C">
        <w:rPr>
          <w:bCs/>
        </w:rPr>
        <w:t xml:space="preserve"> </w:t>
      </w:r>
      <w:r w:rsidR="00F02ED2">
        <w:rPr>
          <w:bCs/>
        </w:rPr>
        <w:t>important consideration</w:t>
      </w:r>
      <w:r w:rsidR="0012097C">
        <w:rPr>
          <w:bCs/>
        </w:rPr>
        <w:t>s</w:t>
      </w:r>
      <w:r w:rsidR="00F02ED2">
        <w:rPr>
          <w:bCs/>
        </w:rPr>
        <w:t xml:space="preserve"> </w:t>
      </w:r>
      <w:r w:rsidR="00D054A0">
        <w:rPr>
          <w:bCs/>
        </w:rPr>
        <w:t xml:space="preserve">by regulatory agencies in setting the rates for </w:t>
      </w:r>
      <w:r w:rsidR="0012097C">
        <w:rPr>
          <w:bCs/>
        </w:rPr>
        <w:t xml:space="preserve">utility </w:t>
      </w:r>
      <w:r w:rsidR="00D054A0">
        <w:rPr>
          <w:bCs/>
        </w:rPr>
        <w:t xml:space="preserve">services. </w:t>
      </w:r>
      <w:r w:rsidR="00B32A3A">
        <w:rPr>
          <w:bCs/>
        </w:rPr>
        <w:t>For example, it is the policy of the state to “Promote the availability to consumer of adequate, reliable, and reasonably priced natural gas services and goods;” and to “Facilitate the state’s compet</w:t>
      </w:r>
      <w:r w:rsidR="000E4F72">
        <w:rPr>
          <w:bCs/>
        </w:rPr>
        <w:t>itiveness in the global economy.</w:t>
      </w:r>
      <w:r w:rsidR="00B32A3A">
        <w:rPr>
          <w:bCs/>
        </w:rPr>
        <w:t>”</w:t>
      </w:r>
      <w:r w:rsidR="00B32A3A">
        <w:rPr>
          <w:rStyle w:val="FootnoteReference"/>
          <w:bCs/>
        </w:rPr>
        <w:footnoteReference w:id="25"/>
      </w:r>
    </w:p>
    <w:p w:rsidR="00B32A3A" w:rsidRDefault="00B32A3A" w:rsidP="0026645A">
      <w:pPr>
        <w:spacing w:line="480" w:lineRule="auto"/>
        <w:ind w:left="720"/>
        <w:rPr>
          <w:bCs/>
        </w:rPr>
      </w:pPr>
    </w:p>
    <w:p w:rsidR="002C3F0F" w:rsidRDefault="0012097C" w:rsidP="0026645A">
      <w:pPr>
        <w:spacing w:line="480" w:lineRule="auto"/>
        <w:ind w:left="720"/>
        <w:rPr>
          <w:bCs/>
        </w:rPr>
      </w:pPr>
      <w:r>
        <w:rPr>
          <w:bCs/>
        </w:rPr>
        <w:t xml:space="preserve">In the past, </w:t>
      </w:r>
      <w:r w:rsidR="00A21131">
        <w:rPr>
          <w:bCs/>
        </w:rPr>
        <w:t xml:space="preserve">and </w:t>
      </w:r>
      <w:r w:rsidR="00936F0A">
        <w:rPr>
          <w:bCs/>
        </w:rPr>
        <w:t>o</w:t>
      </w:r>
      <w:r>
        <w:rPr>
          <w:bCs/>
        </w:rPr>
        <w:t xml:space="preserve">n more than one </w:t>
      </w:r>
      <w:r w:rsidR="00C57891">
        <w:rPr>
          <w:bCs/>
        </w:rPr>
        <w:t>occasion</w:t>
      </w:r>
      <w:r>
        <w:rPr>
          <w:bCs/>
        </w:rPr>
        <w:t>, t</w:t>
      </w:r>
      <w:r w:rsidR="00D054A0">
        <w:rPr>
          <w:bCs/>
        </w:rPr>
        <w:t xml:space="preserve">he PUCO has explicitly </w:t>
      </w:r>
      <w:r w:rsidR="002C3F0F">
        <w:rPr>
          <w:bCs/>
        </w:rPr>
        <w:t xml:space="preserve">expressed its consideration in </w:t>
      </w:r>
      <w:r w:rsidR="00D054A0">
        <w:rPr>
          <w:bCs/>
        </w:rPr>
        <w:t>reduc</w:t>
      </w:r>
      <w:r w:rsidR="002C3F0F">
        <w:rPr>
          <w:bCs/>
        </w:rPr>
        <w:t xml:space="preserve">ing </w:t>
      </w:r>
      <w:r w:rsidR="00D054A0">
        <w:rPr>
          <w:bCs/>
        </w:rPr>
        <w:t xml:space="preserve">the </w:t>
      </w:r>
      <w:r w:rsidR="00936F0A">
        <w:rPr>
          <w:bCs/>
        </w:rPr>
        <w:t>ROR</w:t>
      </w:r>
      <w:r w:rsidR="00D054A0">
        <w:rPr>
          <w:bCs/>
        </w:rPr>
        <w:t xml:space="preserve"> </w:t>
      </w:r>
      <w:r>
        <w:rPr>
          <w:bCs/>
        </w:rPr>
        <w:t xml:space="preserve">or the </w:t>
      </w:r>
      <w:r w:rsidR="00936F0A">
        <w:rPr>
          <w:bCs/>
        </w:rPr>
        <w:t>ROE</w:t>
      </w:r>
      <w:r w:rsidR="00D054A0">
        <w:rPr>
          <w:bCs/>
        </w:rPr>
        <w:t xml:space="preserve"> for gas and water utilities </w:t>
      </w:r>
      <w:r>
        <w:rPr>
          <w:bCs/>
        </w:rPr>
        <w:t>to make these services more affordable</w:t>
      </w:r>
      <w:r w:rsidR="00A21131">
        <w:rPr>
          <w:bCs/>
        </w:rPr>
        <w:t xml:space="preserve"> for consumers</w:t>
      </w:r>
      <w:r>
        <w:rPr>
          <w:bCs/>
        </w:rPr>
        <w:t xml:space="preserve">. </w:t>
      </w:r>
      <w:r w:rsidR="002C3F0F">
        <w:rPr>
          <w:bCs/>
        </w:rPr>
        <w:t>For example,</w:t>
      </w:r>
      <w:r w:rsidR="002C3F0F" w:rsidRPr="002C3F0F">
        <w:rPr>
          <w:bCs/>
        </w:rPr>
        <w:t xml:space="preserve"> </w:t>
      </w:r>
      <w:r w:rsidR="002C3F0F">
        <w:rPr>
          <w:bCs/>
        </w:rPr>
        <w:t>in a 2009 Ohio American Water Company (“OAW”) distribution ra</w:t>
      </w:r>
      <w:r w:rsidR="00ED440A">
        <w:rPr>
          <w:bCs/>
        </w:rPr>
        <w:t>te case, the PUCO adopted a</w:t>
      </w:r>
      <w:r w:rsidR="00B61C98">
        <w:rPr>
          <w:bCs/>
        </w:rPr>
        <w:t xml:space="preserve"> </w:t>
      </w:r>
      <w:r w:rsidR="00ED440A">
        <w:rPr>
          <w:bCs/>
        </w:rPr>
        <w:t>7.73</w:t>
      </w:r>
      <w:r w:rsidR="005A0835">
        <w:rPr>
          <w:bCs/>
        </w:rPr>
        <w:t>%</w:t>
      </w:r>
      <w:r w:rsidR="002C3F0F">
        <w:rPr>
          <w:bCs/>
        </w:rPr>
        <w:t xml:space="preserve"> ROR that was at t</w:t>
      </w:r>
      <w:r w:rsidR="00ED440A">
        <w:rPr>
          <w:bCs/>
        </w:rPr>
        <w:t>he lower end of the range (7.60</w:t>
      </w:r>
      <w:r w:rsidR="005A0835">
        <w:rPr>
          <w:bCs/>
        </w:rPr>
        <w:t>%</w:t>
      </w:r>
      <w:r w:rsidR="002C3F0F">
        <w:rPr>
          <w:bCs/>
        </w:rPr>
        <w:t xml:space="preserve"> to 8.11</w:t>
      </w:r>
      <w:r w:rsidR="005A0835">
        <w:rPr>
          <w:bCs/>
        </w:rPr>
        <w:t>%</w:t>
      </w:r>
      <w:r w:rsidR="002C3F0F">
        <w:rPr>
          <w:bCs/>
        </w:rPr>
        <w:t>) recommended by the PUCO Staff.</w:t>
      </w:r>
      <w:r w:rsidR="002C3F0F">
        <w:rPr>
          <w:rStyle w:val="FootnoteReference"/>
          <w:bCs/>
        </w:rPr>
        <w:footnoteReference w:id="26"/>
      </w:r>
      <w:r w:rsidR="002C3F0F">
        <w:rPr>
          <w:bCs/>
        </w:rPr>
        <w:t xml:space="preserve"> This was a significant departure from established PUCO practice that typically set the ROR at the mid-point of the range recommended by the PUCO Staff. It was clear that the PUCO was concerned about the affordability of OAW’s services and want</w:t>
      </w:r>
      <w:r w:rsidR="000E4F72">
        <w:rPr>
          <w:bCs/>
        </w:rPr>
        <w:t>ed to set a lower ROR</w:t>
      </w:r>
      <w:r w:rsidR="002C3F0F">
        <w:rPr>
          <w:bCs/>
        </w:rPr>
        <w:t xml:space="preserve"> to make the water services more affordable for customers. In its Opinion and Order, the PUCO specifically cited a harsh economic condition in OAW’s service area and the fact that the rate case was OAW’s fourth application for a rate increase in five years for its decision.</w:t>
      </w:r>
      <w:r w:rsidR="002C3F0F">
        <w:rPr>
          <w:rStyle w:val="FootnoteReference"/>
          <w:bCs/>
        </w:rPr>
        <w:footnoteReference w:id="27"/>
      </w:r>
    </w:p>
    <w:p w:rsidR="002C3F0F" w:rsidRDefault="002C3F0F" w:rsidP="004C50B4">
      <w:pPr>
        <w:tabs>
          <w:tab w:val="num" w:pos="720"/>
        </w:tabs>
        <w:spacing w:line="480" w:lineRule="auto"/>
        <w:ind w:left="720" w:hanging="720"/>
        <w:rPr>
          <w:bCs/>
        </w:rPr>
      </w:pPr>
    </w:p>
    <w:p w:rsidR="00C45CDE" w:rsidRDefault="001945D3" w:rsidP="00F42498">
      <w:pPr>
        <w:spacing w:line="480" w:lineRule="auto"/>
        <w:ind w:left="720"/>
        <w:rPr>
          <w:bCs/>
        </w:rPr>
      </w:pPr>
      <w:r>
        <w:rPr>
          <w:bCs/>
        </w:rPr>
        <w:t xml:space="preserve">Another example is the </w:t>
      </w:r>
      <w:r w:rsidR="00D054A0">
        <w:rPr>
          <w:bCs/>
        </w:rPr>
        <w:t>most recent East Ohio Gas Company (“Dominion East Ohio”)</w:t>
      </w:r>
      <w:r w:rsidR="00982665">
        <w:rPr>
          <w:bCs/>
        </w:rPr>
        <w:t xml:space="preserve"> distribution rate case (PUCO Case No. 07-829-GA-AIR et al.)</w:t>
      </w:r>
      <w:r w:rsidR="00FA2B30">
        <w:rPr>
          <w:bCs/>
        </w:rPr>
        <w:t>.</w:t>
      </w:r>
      <w:r>
        <w:rPr>
          <w:bCs/>
        </w:rPr>
        <w:t xml:space="preserve"> In this case</w:t>
      </w:r>
      <w:r w:rsidR="000E4F72">
        <w:rPr>
          <w:bCs/>
        </w:rPr>
        <w:t>, the PUCO</w:t>
      </w:r>
      <w:r w:rsidR="00982665">
        <w:rPr>
          <w:bCs/>
        </w:rPr>
        <w:t xml:space="preserve"> indicated its intention in reducing </w:t>
      </w:r>
      <w:r w:rsidR="00036202">
        <w:rPr>
          <w:bCs/>
        </w:rPr>
        <w:t xml:space="preserve">a </w:t>
      </w:r>
      <w:r>
        <w:rPr>
          <w:bCs/>
        </w:rPr>
        <w:t xml:space="preserve">stipulated </w:t>
      </w:r>
      <w:r w:rsidR="00982665">
        <w:rPr>
          <w:bCs/>
        </w:rPr>
        <w:t>ROE by 20 basis points</w:t>
      </w:r>
      <w:r w:rsidR="00036202">
        <w:rPr>
          <w:bCs/>
        </w:rPr>
        <w:t xml:space="preserve"> (from 8.49% to 8.29%)</w:t>
      </w:r>
      <w:r w:rsidR="00982665">
        <w:rPr>
          <w:bCs/>
        </w:rPr>
        <w:t xml:space="preserve">. The PUCO cited </w:t>
      </w:r>
      <w:r w:rsidR="0012097C">
        <w:rPr>
          <w:bCs/>
        </w:rPr>
        <w:t xml:space="preserve">the deteriorating economic conditions of customers expressed at local public hearings as well as </w:t>
      </w:r>
      <w:r w:rsidR="00982665">
        <w:rPr>
          <w:bCs/>
        </w:rPr>
        <w:t xml:space="preserve">a decrease of risk assumed by Dominion East Ohio </w:t>
      </w:r>
      <w:r w:rsidR="0012097C">
        <w:rPr>
          <w:bCs/>
        </w:rPr>
        <w:t>in ordering such a reduction.</w:t>
      </w:r>
      <w:r w:rsidR="00982665">
        <w:rPr>
          <w:rStyle w:val="FootnoteReference"/>
          <w:bCs/>
        </w:rPr>
        <w:footnoteReference w:id="28"/>
      </w:r>
      <w:r w:rsidR="000E4F72">
        <w:rPr>
          <w:bCs/>
        </w:rPr>
        <w:t xml:space="preserve"> On rehearing, the PUCO</w:t>
      </w:r>
      <w:r w:rsidR="00036202">
        <w:rPr>
          <w:bCs/>
        </w:rPr>
        <w:t xml:space="preserve"> concluded that, upon review, the stipulation approved by the parties had, in fact, already inc</w:t>
      </w:r>
      <w:r w:rsidR="000E4F72">
        <w:rPr>
          <w:bCs/>
        </w:rPr>
        <w:t>orporated a lower ROR</w:t>
      </w:r>
      <w:r w:rsidR="00036202">
        <w:rPr>
          <w:bCs/>
        </w:rPr>
        <w:t xml:space="preserve"> to account for the lower risk to Dominion East Ohio.</w:t>
      </w:r>
      <w:r w:rsidR="000E4F72">
        <w:rPr>
          <w:bCs/>
        </w:rPr>
        <w:t xml:space="preserve"> The 8.49% ROR</w:t>
      </w:r>
      <w:r w:rsidR="00FD2850">
        <w:rPr>
          <w:bCs/>
        </w:rPr>
        <w:t xml:space="preserve"> agreed to in the stipulation was reestablished. In my view, this reestablish</w:t>
      </w:r>
      <w:r w:rsidR="000E4F72">
        <w:rPr>
          <w:bCs/>
        </w:rPr>
        <w:t>ment of the 8.49% ROR</w:t>
      </w:r>
      <w:r w:rsidR="00FD2850">
        <w:rPr>
          <w:bCs/>
        </w:rPr>
        <w:t xml:space="preserve"> upon rehearing does not diminish the significance, to the PUCO, of considering the customer’s ability to pay for utility service in setting a reasonable </w:t>
      </w:r>
      <w:r w:rsidR="000E4F72">
        <w:rPr>
          <w:bCs/>
        </w:rPr>
        <w:t>ROR or ROE</w:t>
      </w:r>
      <w:r w:rsidR="00FD2850">
        <w:rPr>
          <w:bCs/>
        </w:rPr>
        <w:t>.</w:t>
      </w:r>
    </w:p>
    <w:p w:rsidR="002C3F0F" w:rsidRDefault="002C3F0F" w:rsidP="00392391">
      <w:pPr>
        <w:tabs>
          <w:tab w:val="num" w:pos="720"/>
        </w:tabs>
        <w:spacing w:line="480" w:lineRule="auto"/>
        <w:ind w:left="720"/>
        <w:rPr>
          <w:bCs/>
        </w:rPr>
      </w:pPr>
    </w:p>
    <w:p w:rsidR="00F42097" w:rsidRDefault="00392391" w:rsidP="00392391">
      <w:pPr>
        <w:tabs>
          <w:tab w:val="num" w:pos="720"/>
        </w:tabs>
        <w:spacing w:line="480" w:lineRule="auto"/>
        <w:ind w:left="720"/>
        <w:rPr>
          <w:bCs/>
        </w:rPr>
      </w:pPr>
      <w:r>
        <w:rPr>
          <w:bCs/>
        </w:rPr>
        <w:t xml:space="preserve">Although </w:t>
      </w:r>
      <w:r w:rsidR="00C25E80">
        <w:rPr>
          <w:bCs/>
        </w:rPr>
        <w:t xml:space="preserve">Duke’s customers have </w:t>
      </w:r>
      <w:r>
        <w:rPr>
          <w:bCs/>
        </w:rPr>
        <w:t xml:space="preserve">not </w:t>
      </w:r>
      <w:r w:rsidR="005B0A5F">
        <w:rPr>
          <w:bCs/>
        </w:rPr>
        <w:t xml:space="preserve">been subjected to </w:t>
      </w:r>
      <w:r>
        <w:rPr>
          <w:bCs/>
        </w:rPr>
        <w:t xml:space="preserve">four distribution base rate increases </w:t>
      </w:r>
      <w:r w:rsidR="005B0A5F">
        <w:rPr>
          <w:bCs/>
        </w:rPr>
        <w:t>over</w:t>
      </w:r>
      <w:r>
        <w:rPr>
          <w:bCs/>
        </w:rPr>
        <w:t xml:space="preserve"> a five</w:t>
      </w:r>
      <w:r w:rsidR="005B0A5F">
        <w:rPr>
          <w:bCs/>
        </w:rPr>
        <w:t>-</w:t>
      </w:r>
      <w:r>
        <w:rPr>
          <w:bCs/>
        </w:rPr>
        <w:t>year period</w:t>
      </w:r>
      <w:r w:rsidR="00926A25">
        <w:rPr>
          <w:bCs/>
        </w:rPr>
        <w:t xml:space="preserve"> as was OAW’s customers</w:t>
      </w:r>
      <w:r>
        <w:rPr>
          <w:bCs/>
        </w:rPr>
        <w:t xml:space="preserve">, they have been </w:t>
      </w:r>
      <w:r w:rsidR="00F241C7">
        <w:rPr>
          <w:bCs/>
        </w:rPr>
        <w:t xml:space="preserve">paying for </w:t>
      </w:r>
      <w:r w:rsidR="00C25E80">
        <w:rPr>
          <w:bCs/>
        </w:rPr>
        <w:t xml:space="preserve">the existing infrastructure replacement program through Rider AMRP </w:t>
      </w:r>
      <w:r>
        <w:rPr>
          <w:bCs/>
        </w:rPr>
        <w:t xml:space="preserve">since </w:t>
      </w:r>
      <w:r w:rsidR="0097188D">
        <w:rPr>
          <w:bCs/>
        </w:rPr>
        <w:t>May</w:t>
      </w:r>
      <w:r w:rsidR="00A30313">
        <w:rPr>
          <w:bCs/>
        </w:rPr>
        <w:t xml:space="preserve"> </w:t>
      </w:r>
      <w:r w:rsidR="00C50E1A">
        <w:rPr>
          <w:bCs/>
        </w:rPr>
        <w:t>3</w:t>
      </w:r>
      <w:r w:rsidR="00A30313">
        <w:rPr>
          <w:bCs/>
        </w:rPr>
        <w:t>1,</w:t>
      </w:r>
      <w:r w:rsidR="0097188D">
        <w:rPr>
          <w:bCs/>
        </w:rPr>
        <w:t xml:space="preserve"> 200</w:t>
      </w:r>
      <w:r w:rsidR="00A30313">
        <w:rPr>
          <w:bCs/>
        </w:rPr>
        <w:t>2.</w:t>
      </w:r>
      <w:r w:rsidR="00A30313">
        <w:rPr>
          <w:rStyle w:val="FootnoteReference"/>
          <w:bCs/>
        </w:rPr>
        <w:footnoteReference w:id="29"/>
      </w:r>
      <w:r w:rsidR="00C25E80">
        <w:rPr>
          <w:bCs/>
        </w:rPr>
        <w:t xml:space="preserve"> </w:t>
      </w:r>
      <w:r w:rsidR="00A30313">
        <w:rPr>
          <w:bCs/>
        </w:rPr>
        <w:t>It should be noted that a</w:t>
      </w:r>
      <w:r>
        <w:rPr>
          <w:bCs/>
        </w:rPr>
        <w:t xml:space="preserve">lthough </w:t>
      </w:r>
      <w:r w:rsidR="00A30313">
        <w:rPr>
          <w:bCs/>
        </w:rPr>
        <w:t xml:space="preserve">the increase in the yearly caps for Rider AMRP may </w:t>
      </w:r>
      <w:r>
        <w:rPr>
          <w:bCs/>
        </w:rPr>
        <w:t xml:space="preserve">not </w:t>
      </w:r>
      <w:r w:rsidR="00A30313">
        <w:rPr>
          <w:bCs/>
        </w:rPr>
        <w:t xml:space="preserve">be technically </w:t>
      </w:r>
      <w:r>
        <w:rPr>
          <w:bCs/>
        </w:rPr>
        <w:t xml:space="preserve">considered a “rate increase” the fact </w:t>
      </w:r>
      <w:r w:rsidR="00A30313">
        <w:rPr>
          <w:bCs/>
        </w:rPr>
        <w:t xml:space="preserve">of the matter </w:t>
      </w:r>
      <w:r>
        <w:rPr>
          <w:bCs/>
        </w:rPr>
        <w:t xml:space="preserve">is that customers have been paying a higher AMRP charge every year </w:t>
      </w:r>
      <w:r w:rsidR="00A30313">
        <w:rPr>
          <w:bCs/>
        </w:rPr>
        <w:t xml:space="preserve">through either Rider AMRP or base distribution rate </w:t>
      </w:r>
      <w:r>
        <w:rPr>
          <w:bCs/>
        </w:rPr>
        <w:t xml:space="preserve">since </w:t>
      </w:r>
      <w:r w:rsidR="00F241C7">
        <w:rPr>
          <w:bCs/>
        </w:rPr>
        <w:t xml:space="preserve">2002. </w:t>
      </w:r>
      <w:r w:rsidR="00C25E80">
        <w:rPr>
          <w:bCs/>
        </w:rPr>
        <w:t>The AMRP is finally near its ending</w:t>
      </w:r>
      <w:r w:rsidR="00936F0A">
        <w:rPr>
          <w:bCs/>
        </w:rPr>
        <w:t>,</w:t>
      </w:r>
      <w:r w:rsidR="00C25E80">
        <w:rPr>
          <w:bCs/>
        </w:rPr>
        <w:t xml:space="preserve"> even though the customers may still be paying</w:t>
      </w:r>
      <w:r w:rsidR="00936F0A">
        <w:rPr>
          <w:bCs/>
        </w:rPr>
        <w:t xml:space="preserve"> AMRP charges</w:t>
      </w:r>
      <w:r w:rsidR="00C25E80">
        <w:rPr>
          <w:bCs/>
        </w:rPr>
        <w:t xml:space="preserve"> </w:t>
      </w:r>
      <w:r w:rsidR="00A30313">
        <w:rPr>
          <w:bCs/>
        </w:rPr>
        <w:t xml:space="preserve">in 2016, </w:t>
      </w:r>
      <w:r w:rsidR="00C85EE0">
        <w:rPr>
          <w:bCs/>
        </w:rPr>
        <w:t xml:space="preserve">and possibly in </w:t>
      </w:r>
      <w:r w:rsidR="00A30313">
        <w:rPr>
          <w:bCs/>
        </w:rPr>
        <w:t>2017 and beyond</w:t>
      </w:r>
      <w:r w:rsidR="00F241C7">
        <w:rPr>
          <w:bCs/>
        </w:rPr>
        <w:t xml:space="preserve"> </w:t>
      </w:r>
      <w:r w:rsidR="0097188D">
        <w:rPr>
          <w:bCs/>
        </w:rPr>
        <w:t xml:space="preserve">until the </w:t>
      </w:r>
      <w:r w:rsidR="00C85EE0">
        <w:rPr>
          <w:bCs/>
        </w:rPr>
        <w:t xml:space="preserve">filing </w:t>
      </w:r>
      <w:r w:rsidR="0097188D">
        <w:rPr>
          <w:bCs/>
        </w:rPr>
        <w:t>of Duke’s next gas distribution case</w:t>
      </w:r>
      <w:r w:rsidR="00F241C7">
        <w:rPr>
          <w:rStyle w:val="FootnoteReference"/>
          <w:bCs/>
        </w:rPr>
        <w:footnoteReference w:id="30"/>
      </w:r>
      <w:r w:rsidR="007954EA">
        <w:rPr>
          <w:bCs/>
        </w:rPr>
        <w:t xml:space="preserve"> Now Duke is asking for another infrastructure replacement program </w:t>
      </w:r>
      <w:r w:rsidR="00F241C7">
        <w:rPr>
          <w:bCs/>
        </w:rPr>
        <w:t>for service line replacement.</w:t>
      </w:r>
    </w:p>
    <w:p w:rsidR="00F42097" w:rsidRDefault="00F42097" w:rsidP="00392391">
      <w:pPr>
        <w:tabs>
          <w:tab w:val="num" w:pos="720"/>
        </w:tabs>
        <w:spacing w:line="480" w:lineRule="auto"/>
        <w:ind w:left="720"/>
        <w:rPr>
          <w:bCs/>
        </w:rPr>
      </w:pPr>
    </w:p>
    <w:p w:rsidR="00C45CDE" w:rsidRDefault="007954EA" w:rsidP="00392391">
      <w:pPr>
        <w:tabs>
          <w:tab w:val="num" w:pos="720"/>
        </w:tabs>
        <w:spacing w:line="480" w:lineRule="auto"/>
        <w:ind w:left="720"/>
        <w:rPr>
          <w:bCs/>
        </w:rPr>
      </w:pPr>
      <w:r>
        <w:rPr>
          <w:bCs/>
        </w:rPr>
        <w:t xml:space="preserve">It is time </w:t>
      </w:r>
      <w:r w:rsidR="00AD40E2">
        <w:rPr>
          <w:bCs/>
        </w:rPr>
        <w:t xml:space="preserve">for the </w:t>
      </w:r>
      <w:r w:rsidR="00392391">
        <w:rPr>
          <w:bCs/>
        </w:rPr>
        <w:t>PUCO</w:t>
      </w:r>
      <w:r w:rsidR="00AD40E2">
        <w:rPr>
          <w:bCs/>
        </w:rPr>
        <w:t xml:space="preserve"> </w:t>
      </w:r>
      <w:r>
        <w:rPr>
          <w:bCs/>
        </w:rPr>
        <w:t>to provide some relief to Duke’s customers</w:t>
      </w:r>
      <w:r w:rsidR="000E4F72">
        <w:rPr>
          <w:bCs/>
        </w:rPr>
        <w:t>. The PUCO can do so b</w:t>
      </w:r>
      <w:r w:rsidR="00F241C7">
        <w:rPr>
          <w:bCs/>
        </w:rPr>
        <w:t xml:space="preserve"> not approv</w:t>
      </w:r>
      <w:r w:rsidR="000E4F72">
        <w:rPr>
          <w:bCs/>
        </w:rPr>
        <w:t>ing</w:t>
      </w:r>
      <w:r w:rsidR="00F241C7">
        <w:rPr>
          <w:bCs/>
        </w:rPr>
        <w:t xml:space="preserve"> the ASRP and Rider ASRP</w:t>
      </w:r>
      <w:r w:rsidR="00F42097">
        <w:rPr>
          <w:bCs/>
        </w:rPr>
        <w:t xml:space="preserve">, as recommended by OCC. If the PUCO determines to allow the ASRP, it should at the very </w:t>
      </w:r>
      <w:r w:rsidR="000E4F72">
        <w:rPr>
          <w:bCs/>
        </w:rPr>
        <w:t>least</w:t>
      </w:r>
      <w:r>
        <w:rPr>
          <w:bCs/>
        </w:rPr>
        <w:t xml:space="preserve"> lower </w:t>
      </w:r>
      <w:r w:rsidR="00F42097">
        <w:rPr>
          <w:bCs/>
        </w:rPr>
        <w:t xml:space="preserve">the </w:t>
      </w:r>
      <w:r>
        <w:rPr>
          <w:bCs/>
        </w:rPr>
        <w:t xml:space="preserve">return on capital investment </w:t>
      </w:r>
      <w:r w:rsidR="000E4F72">
        <w:rPr>
          <w:bCs/>
        </w:rPr>
        <w:t>that customers must fund under</w:t>
      </w:r>
      <w:r>
        <w:rPr>
          <w:bCs/>
        </w:rPr>
        <w:t xml:space="preserve"> Rider ASRP</w:t>
      </w:r>
      <w:r w:rsidR="00F42097">
        <w:rPr>
          <w:bCs/>
        </w:rPr>
        <w:t>.</w:t>
      </w:r>
    </w:p>
    <w:p w:rsidR="00104893" w:rsidRDefault="00104893" w:rsidP="006C3EA4">
      <w:pPr>
        <w:tabs>
          <w:tab w:val="num" w:pos="720"/>
        </w:tabs>
        <w:spacing w:line="480" w:lineRule="auto"/>
        <w:rPr>
          <w:b/>
          <w:bCs/>
          <w:i/>
        </w:rPr>
      </w:pPr>
    </w:p>
    <w:p w:rsidR="004C50B4" w:rsidRDefault="004C50B4" w:rsidP="004C50B4">
      <w:pPr>
        <w:tabs>
          <w:tab w:val="num" w:pos="720"/>
        </w:tabs>
        <w:spacing w:line="480" w:lineRule="auto"/>
        <w:ind w:left="720" w:hanging="720"/>
        <w:rPr>
          <w:b/>
          <w:bCs/>
          <w:i/>
        </w:rPr>
      </w:pPr>
      <w:r>
        <w:rPr>
          <w:b/>
          <w:bCs/>
          <w:i/>
        </w:rPr>
        <w:t>Q1</w:t>
      </w:r>
      <w:r w:rsidR="00B176FF">
        <w:rPr>
          <w:b/>
          <w:bCs/>
          <w:i/>
        </w:rPr>
        <w:t>8</w:t>
      </w:r>
      <w:r>
        <w:rPr>
          <w:b/>
          <w:bCs/>
          <w:i/>
        </w:rPr>
        <w:t>.</w:t>
      </w:r>
      <w:r>
        <w:rPr>
          <w:b/>
          <w:bCs/>
          <w:i/>
        </w:rPr>
        <w:tab/>
      </w:r>
      <w:r w:rsidR="00C27F5B">
        <w:rPr>
          <w:b/>
          <w:bCs/>
          <w:i/>
        </w:rPr>
        <w:t>DO YOU HAVE ANY COMMENTS REGARDING DUKE’S TESTIMON</w:t>
      </w:r>
      <w:r w:rsidR="00B176FF">
        <w:rPr>
          <w:b/>
          <w:bCs/>
          <w:i/>
        </w:rPr>
        <w:t xml:space="preserve">Y RECOMMENDING </w:t>
      </w:r>
      <w:r w:rsidR="00F42097">
        <w:rPr>
          <w:b/>
          <w:bCs/>
          <w:i/>
        </w:rPr>
        <w:t xml:space="preserve">THAT CUSTOMERS FUND </w:t>
      </w:r>
      <w:r w:rsidR="00B176FF">
        <w:rPr>
          <w:b/>
          <w:bCs/>
          <w:i/>
        </w:rPr>
        <w:t>A ROE IN THE RANGE 9.8% – 10.7% WITH A MIDPOINT OF 10.3%?</w:t>
      </w:r>
    </w:p>
    <w:p w:rsidR="0077299C" w:rsidRDefault="004C50B4" w:rsidP="0077299C">
      <w:pPr>
        <w:tabs>
          <w:tab w:val="num" w:pos="720"/>
        </w:tabs>
        <w:spacing w:line="480" w:lineRule="auto"/>
        <w:ind w:left="720" w:hanging="720"/>
        <w:rPr>
          <w:b/>
          <w:bCs/>
          <w:i/>
        </w:rPr>
      </w:pPr>
      <w:r w:rsidRPr="00842F67">
        <w:rPr>
          <w:b/>
          <w:bCs/>
          <w:i/>
        </w:rPr>
        <w:t>A</w:t>
      </w:r>
      <w:r>
        <w:rPr>
          <w:b/>
          <w:bCs/>
          <w:i/>
        </w:rPr>
        <w:t>1</w:t>
      </w:r>
      <w:r w:rsidR="00B176FF">
        <w:rPr>
          <w:b/>
          <w:bCs/>
          <w:i/>
        </w:rPr>
        <w:t>8</w:t>
      </w:r>
      <w:r w:rsidRPr="00842F67">
        <w:rPr>
          <w:b/>
          <w:bCs/>
          <w:i/>
        </w:rPr>
        <w:t>.</w:t>
      </w:r>
      <w:r w:rsidR="00B176FF">
        <w:rPr>
          <w:b/>
          <w:bCs/>
          <w:i/>
        </w:rPr>
        <w:tab/>
      </w:r>
      <w:r w:rsidR="00C8215E">
        <w:rPr>
          <w:bCs/>
        </w:rPr>
        <w:t>Yes.</w:t>
      </w:r>
      <w:r w:rsidR="00B176FF">
        <w:rPr>
          <w:bCs/>
        </w:rPr>
        <w:t xml:space="preserve"> I </w:t>
      </w:r>
      <w:r w:rsidR="00232D8A">
        <w:rPr>
          <w:bCs/>
        </w:rPr>
        <w:t xml:space="preserve">have </w:t>
      </w:r>
      <w:r w:rsidR="00C9071C">
        <w:rPr>
          <w:bCs/>
        </w:rPr>
        <w:t>reviewed the testimony provide by Duke</w:t>
      </w:r>
      <w:r w:rsidR="00D7064D">
        <w:rPr>
          <w:bCs/>
        </w:rPr>
        <w:t xml:space="preserve">’s </w:t>
      </w:r>
      <w:r w:rsidR="00C9071C">
        <w:rPr>
          <w:bCs/>
        </w:rPr>
        <w:t xml:space="preserve">witness, </w:t>
      </w:r>
      <w:r w:rsidR="00C8215E">
        <w:rPr>
          <w:bCs/>
        </w:rPr>
        <w:t xml:space="preserve">Roger A. Morin, Ph.D. </w:t>
      </w:r>
      <w:r w:rsidR="007954EA">
        <w:rPr>
          <w:bCs/>
        </w:rPr>
        <w:t>I do not support his recommendation</w:t>
      </w:r>
      <w:r w:rsidR="00A509B4">
        <w:rPr>
          <w:bCs/>
        </w:rPr>
        <w:t xml:space="preserve"> </w:t>
      </w:r>
      <w:r w:rsidR="00316E36">
        <w:rPr>
          <w:bCs/>
        </w:rPr>
        <w:t xml:space="preserve">in this proceeding </w:t>
      </w:r>
      <w:r w:rsidR="007954EA">
        <w:rPr>
          <w:bCs/>
        </w:rPr>
        <w:t xml:space="preserve">on </w:t>
      </w:r>
      <w:r w:rsidR="00B6104A">
        <w:rPr>
          <w:bCs/>
        </w:rPr>
        <w:t>a reasonable ROE range applicable to Duke’s natural gas distribution operations.</w:t>
      </w:r>
      <w:r w:rsidR="00B6104A">
        <w:rPr>
          <w:rStyle w:val="FootnoteReference"/>
          <w:bCs/>
        </w:rPr>
        <w:footnoteReference w:id="31"/>
      </w:r>
      <w:r w:rsidR="0077299C">
        <w:rPr>
          <w:bCs/>
        </w:rPr>
        <w:t xml:space="preserve"> </w:t>
      </w:r>
      <w:r w:rsidR="005B0A5F">
        <w:rPr>
          <w:bCs/>
        </w:rPr>
        <w:t xml:space="preserve">In particular, </w:t>
      </w:r>
      <w:r w:rsidR="00A509B4">
        <w:rPr>
          <w:bCs/>
        </w:rPr>
        <w:t xml:space="preserve">I </w:t>
      </w:r>
      <w:r w:rsidR="00C9071C">
        <w:rPr>
          <w:bCs/>
        </w:rPr>
        <w:t xml:space="preserve">have concerns in </w:t>
      </w:r>
      <w:r w:rsidR="00BB5B60">
        <w:rPr>
          <w:bCs/>
        </w:rPr>
        <w:t>two areas</w:t>
      </w:r>
      <w:r w:rsidR="00D7064D">
        <w:rPr>
          <w:bCs/>
        </w:rPr>
        <w:t>:</w:t>
      </w:r>
      <w:r w:rsidR="00D46CFD">
        <w:rPr>
          <w:bCs/>
        </w:rPr>
        <w:t xml:space="preserve">  his</w:t>
      </w:r>
      <w:r w:rsidR="00C36188">
        <w:rPr>
          <w:bCs/>
        </w:rPr>
        <w:t xml:space="preserve"> use of forecasted interest rates </w:t>
      </w:r>
      <w:r w:rsidR="00A270D5">
        <w:rPr>
          <w:bCs/>
        </w:rPr>
        <w:t xml:space="preserve">(4.5%) </w:t>
      </w:r>
      <w:r w:rsidR="00A509B4">
        <w:rPr>
          <w:bCs/>
        </w:rPr>
        <w:t>on long-term U.S. Treasury bonds as the risk-free rate</w:t>
      </w:r>
      <w:r w:rsidR="00D0480B">
        <w:rPr>
          <w:bCs/>
        </w:rPr>
        <w:t xml:space="preserve"> and </w:t>
      </w:r>
      <w:r w:rsidR="00F42097">
        <w:rPr>
          <w:bCs/>
        </w:rPr>
        <w:t>his</w:t>
      </w:r>
      <w:r w:rsidR="001A4CB9">
        <w:rPr>
          <w:bCs/>
        </w:rPr>
        <w:t xml:space="preserve"> use of a high </w:t>
      </w:r>
      <w:r w:rsidR="00A270D5">
        <w:rPr>
          <w:bCs/>
        </w:rPr>
        <w:t xml:space="preserve">market </w:t>
      </w:r>
      <w:r w:rsidR="001A4CB9">
        <w:rPr>
          <w:bCs/>
        </w:rPr>
        <w:t>risk premium</w:t>
      </w:r>
      <w:r w:rsidR="00A270D5">
        <w:rPr>
          <w:bCs/>
        </w:rPr>
        <w:t xml:space="preserve"> of 7.1%</w:t>
      </w:r>
      <w:r w:rsidR="00D0480B">
        <w:rPr>
          <w:bCs/>
        </w:rPr>
        <w:t>.</w:t>
      </w:r>
      <w:r w:rsidR="0077299C">
        <w:rPr>
          <w:b/>
          <w:bCs/>
          <w:i/>
        </w:rPr>
        <w:br w:type="page"/>
      </w:r>
    </w:p>
    <w:p w:rsidR="00316E36" w:rsidRDefault="00316E36" w:rsidP="00316E36">
      <w:pPr>
        <w:tabs>
          <w:tab w:val="num" w:pos="720"/>
        </w:tabs>
        <w:spacing w:line="480" w:lineRule="auto"/>
        <w:ind w:left="720" w:hanging="720"/>
        <w:rPr>
          <w:b/>
          <w:bCs/>
          <w:i/>
        </w:rPr>
      </w:pPr>
      <w:r>
        <w:rPr>
          <w:b/>
          <w:bCs/>
          <w:i/>
        </w:rPr>
        <w:t>Q19.</w:t>
      </w:r>
      <w:r>
        <w:rPr>
          <w:b/>
          <w:bCs/>
          <w:i/>
        </w:rPr>
        <w:tab/>
        <w:t xml:space="preserve">PLEASE </w:t>
      </w:r>
      <w:r w:rsidRPr="00B61C98">
        <w:rPr>
          <w:b/>
          <w:bCs/>
          <w:i/>
        </w:rPr>
        <w:t>EXPLAIN YOUR CONCERNS ABOUT USING A FORECASTED INTEREST RAT</w:t>
      </w:r>
      <w:r w:rsidR="00515ED4">
        <w:rPr>
          <w:b/>
          <w:bCs/>
          <w:i/>
        </w:rPr>
        <w:t>E</w:t>
      </w:r>
      <w:r w:rsidRPr="00B61C98">
        <w:rPr>
          <w:b/>
          <w:bCs/>
          <w:i/>
        </w:rPr>
        <w:t>.</w:t>
      </w:r>
    </w:p>
    <w:p w:rsidR="00F42097" w:rsidRDefault="00316E36" w:rsidP="00D46CFD">
      <w:pPr>
        <w:tabs>
          <w:tab w:val="num" w:pos="720"/>
        </w:tabs>
        <w:spacing w:line="480" w:lineRule="auto"/>
        <w:ind w:left="720" w:hanging="720"/>
        <w:rPr>
          <w:bCs/>
        </w:rPr>
      </w:pPr>
      <w:r w:rsidRPr="00842F67">
        <w:rPr>
          <w:b/>
          <w:bCs/>
          <w:i/>
        </w:rPr>
        <w:t>A</w:t>
      </w:r>
      <w:r>
        <w:rPr>
          <w:b/>
          <w:bCs/>
          <w:i/>
        </w:rPr>
        <w:t>19</w:t>
      </w:r>
      <w:r w:rsidRPr="00842F67">
        <w:rPr>
          <w:b/>
          <w:bCs/>
          <w:i/>
        </w:rPr>
        <w:t>.</w:t>
      </w:r>
      <w:r>
        <w:rPr>
          <w:b/>
          <w:bCs/>
          <w:i/>
        </w:rPr>
        <w:tab/>
      </w:r>
      <w:r w:rsidR="0079583C">
        <w:rPr>
          <w:bCs/>
        </w:rPr>
        <w:t>I believe t</w:t>
      </w:r>
      <w:r w:rsidR="004D0A7D">
        <w:rPr>
          <w:bCs/>
        </w:rPr>
        <w:t xml:space="preserve">he use of a forecasted interest rate would inflate the </w:t>
      </w:r>
      <w:r w:rsidR="00515ED4">
        <w:rPr>
          <w:bCs/>
        </w:rPr>
        <w:t xml:space="preserve">estimated </w:t>
      </w:r>
      <w:r>
        <w:rPr>
          <w:bCs/>
        </w:rPr>
        <w:t>ROE</w:t>
      </w:r>
      <w:r w:rsidR="00D46CFD">
        <w:rPr>
          <w:bCs/>
        </w:rPr>
        <w:t xml:space="preserve"> </w:t>
      </w:r>
      <w:r>
        <w:rPr>
          <w:bCs/>
        </w:rPr>
        <w:t>(</w:t>
      </w:r>
      <w:r w:rsidR="00F42097">
        <w:rPr>
          <w:bCs/>
        </w:rPr>
        <w:t>that</w:t>
      </w:r>
      <w:r>
        <w:rPr>
          <w:bCs/>
        </w:rPr>
        <w:t xml:space="preserve"> </w:t>
      </w:r>
      <w:r w:rsidR="00F42097">
        <w:rPr>
          <w:bCs/>
        </w:rPr>
        <w:t>customers would fund</w:t>
      </w:r>
      <w:r>
        <w:rPr>
          <w:bCs/>
        </w:rPr>
        <w:t>)</w:t>
      </w:r>
      <w:r w:rsidR="00F42097">
        <w:rPr>
          <w:bCs/>
        </w:rPr>
        <w:t xml:space="preserve"> </w:t>
      </w:r>
      <w:r w:rsidR="00515ED4">
        <w:rPr>
          <w:bCs/>
        </w:rPr>
        <w:t xml:space="preserve">under both </w:t>
      </w:r>
      <w:r w:rsidR="004D0A7D">
        <w:rPr>
          <w:bCs/>
        </w:rPr>
        <w:t xml:space="preserve">the </w:t>
      </w:r>
      <w:r w:rsidR="001A4CB9">
        <w:rPr>
          <w:bCs/>
        </w:rPr>
        <w:t xml:space="preserve">Capital Asset Pricing Model (“CAPM”) </w:t>
      </w:r>
      <w:r w:rsidR="00A270D5">
        <w:rPr>
          <w:bCs/>
        </w:rPr>
        <w:t xml:space="preserve">and the Risk Premium </w:t>
      </w:r>
      <w:r w:rsidR="0079583C">
        <w:rPr>
          <w:bCs/>
        </w:rPr>
        <w:t>M</w:t>
      </w:r>
      <w:r w:rsidR="00A270D5">
        <w:rPr>
          <w:bCs/>
        </w:rPr>
        <w:t xml:space="preserve">ethod </w:t>
      </w:r>
      <w:r w:rsidR="00186693">
        <w:rPr>
          <w:bCs/>
        </w:rPr>
        <w:t xml:space="preserve">used by Dr. Morin. </w:t>
      </w:r>
      <w:r w:rsidR="004D0A7D">
        <w:rPr>
          <w:bCs/>
        </w:rPr>
        <w:t xml:space="preserve">The use of </w:t>
      </w:r>
      <w:r w:rsidR="00186693">
        <w:rPr>
          <w:bCs/>
        </w:rPr>
        <w:t xml:space="preserve">a </w:t>
      </w:r>
      <w:r w:rsidR="004D0A7D">
        <w:rPr>
          <w:bCs/>
        </w:rPr>
        <w:t xml:space="preserve">forecasted interest rate of 4.5% </w:t>
      </w:r>
      <w:r w:rsidR="00E413FC">
        <w:rPr>
          <w:bCs/>
        </w:rPr>
        <w:t xml:space="preserve">as a proxy for risk-free return in estimating the ROE </w:t>
      </w:r>
      <w:r w:rsidR="004D0A7D">
        <w:rPr>
          <w:bCs/>
        </w:rPr>
        <w:t xml:space="preserve">is </w:t>
      </w:r>
      <w:r w:rsidR="00186693">
        <w:rPr>
          <w:bCs/>
        </w:rPr>
        <w:t xml:space="preserve">not justified </w:t>
      </w:r>
      <w:r w:rsidR="00E413FC">
        <w:rPr>
          <w:bCs/>
        </w:rPr>
        <w:t xml:space="preserve">given the </w:t>
      </w:r>
      <w:r w:rsidR="00186693">
        <w:rPr>
          <w:bCs/>
        </w:rPr>
        <w:t xml:space="preserve">current </w:t>
      </w:r>
      <w:r w:rsidR="002C71BD">
        <w:rPr>
          <w:bCs/>
        </w:rPr>
        <w:t xml:space="preserve">market prices (interest rates) of credit with different risk levels. </w:t>
      </w:r>
      <w:r w:rsidR="00515ED4">
        <w:rPr>
          <w:bCs/>
        </w:rPr>
        <w:t>It significantly overstates the return on risk-free investments used in the CAPM and the Risk Premium Method. For example, i</w:t>
      </w:r>
      <w:r w:rsidR="0079583C">
        <w:rPr>
          <w:bCs/>
        </w:rPr>
        <w:t>n the 2012 Duke Rate Case, Duke used a risk-free rate proxy of 4.7%, which was based largely on the forecasts of long-term Treasury interest rates in 2013, 2014, and 2015.</w:t>
      </w:r>
      <w:r w:rsidR="0079583C">
        <w:rPr>
          <w:rStyle w:val="FootnoteReference"/>
          <w:bCs/>
        </w:rPr>
        <w:footnoteReference w:id="32"/>
      </w:r>
      <w:r w:rsidR="0079583C">
        <w:rPr>
          <w:bCs/>
        </w:rPr>
        <w:t xml:space="preserve"> These forecasts </w:t>
      </w:r>
      <w:r w:rsidR="002C71BD">
        <w:rPr>
          <w:bCs/>
        </w:rPr>
        <w:t xml:space="preserve">for interest rates from 2013 to 2015 </w:t>
      </w:r>
      <w:r w:rsidR="0079583C">
        <w:rPr>
          <w:bCs/>
        </w:rPr>
        <w:t xml:space="preserve">used by Duke </w:t>
      </w:r>
      <w:r w:rsidR="00515ED4">
        <w:rPr>
          <w:bCs/>
        </w:rPr>
        <w:t xml:space="preserve">in the 2012 Duke Rate Case </w:t>
      </w:r>
      <w:r w:rsidR="0079583C">
        <w:rPr>
          <w:bCs/>
        </w:rPr>
        <w:t xml:space="preserve">ranged from 4.1% to </w:t>
      </w:r>
      <w:r w:rsidR="002C71BD">
        <w:rPr>
          <w:bCs/>
        </w:rPr>
        <w:t>5.3%</w:t>
      </w:r>
      <w:r w:rsidR="002C71BD">
        <w:rPr>
          <w:rStyle w:val="FootnoteReference"/>
          <w:bCs/>
        </w:rPr>
        <w:footnoteReference w:id="33"/>
      </w:r>
      <w:r w:rsidR="002C71BD">
        <w:rPr>
          <w:bCs/>
        </w:rPr>
        <w:t xml:space="preserve"> </w:t>
      </w:r>
      <w:r w:rsidR="005B0A5F">
        <w:rPr>
          <w:bCs/>
        </w:rPr>
        <w:t xml:space="preserve">and </w:t>
      </w:r>
      <w:r w:rsidR="00D46CFD">
        <w:rPr>
          <w:bCs/>
        </w:rPr>
        <w:t xml:space="preserve">they turned out to be </w:t>
      </w:r>
      <w:r w:rsidR="002C71BD">
        <w:rPr>
          <w:bCs/>
        </w:rPr>
        <w:t>significantly higher than the actual long-term government bond yield of 3.67% in 2013 and 2.40% in 2014.</w:t>
      </w:r>
      <w:r w:rsidR="002C71BD">
        <w:rPr>
          <w:rStyle w:val="FootnoteReference"/>
          <w:bCs/>
        </w:rPr>
        <w:footnoteReference w:id="34"/>
      </w:r>
      <w:r w:rsidR="002C71BD">
        <w:rPr>
          <w:bCs/>
        </w:rPr>
        <w:t xml:space="preserve"> </w:t>
      </w:r>
      <w:r w:rsidR="00F42097">
        <w:rPr>
          <w:bCs/>
        </w:rPr>
        <w:t xml:space="preserve">This shows that </w:t>
      </w:r>
      <w:r w:rsidR="00186693">
        <w:rPr>
          <w:bCs/>
        </w:rPr>
        <w:t>the forecasted interest rates of long-term government bonds are quite subjective and may not be a reliable proxy of the current return of risk-free investments used in the CAPM and Risk Premium Method</w:t>
      </w:r>
      <w:r w:rsidR="00EA0132">
        <w:rPr>
          <w:bCs/>
        </w:rPr>
        <w:t>.</w:t>
      </w:r>
    </w:p>
    <w:p w:rsidR="00F42097" w:rsidRDefault="00F42097" w:rsidP="00F87073">
      <w:pPr>
        <w:tabs>
          <w:tab w:val="num" w:pos="720"/>
        </w:tabs>
        <w:spacing w:line="480" w:lineRule="auto"/>
        <w:ind w:left="720"/>
        <w:rPr>
          <w:bCs/>
        </w:rPr>
      </w:pPr>
    </w:p>
    <w:p w:rsidR="00F42097" w:rsidRDefault="002C71BD" w:rsidP="00F87073">
      <w:pPr>
        <w:tabs>
          <w:tab w:val="num" w:pos="720"/>
        </w:tabs>
        <w:spacing w:line="480" w:lineRule="auto"/>
        <w:ind w:left="720"/>
        <w:rPr>
          <w:bCs/>
        </w:rPr>
      </w:pPr>
      <w:r>
        <w:rPr>
          <w:bCs/>
        </w:rPr>
        <w:t>The use of forecasted interest rate</w:t>
      </w:r>
      <w:r w:rsidR="006D0D41">
        <w:rPr>
          <w:bCs/>
        </w:rPr>
        <w:t>s</w:t>
      </w:r>
      <w:r>
        <w:rPr>
          <w:bCs/>
        </w:rPr>
        <w:t xml:space="preserve"> also ignores the fact that the current market </w:t>
      </w:r>
      <w:r w:rsidR="00BB5B60">
        <w:rPr>
          <w:bCs/>
        </w:rPr>
        <w:t>prices (yields or interest rates) have</w:t>
      </w:r>
      <w:r>
        <w:rPr>
          <w:bCs/>
        </w:rPr>
        <w:t xml:space="preserve"> already fully reflected the expectation and available information to the buyer and sellers of long-term government bonds. </w:t>
      </w:r>
      <w:r w:rsidR="00D63F2B">
        <w:rPr>
          <w:bCs/>
        </w:rPr>
        <w:t xml:space="preserve">The current market prices </w:t>
      </w:r>
      <w:r w:rsidR="0085709D">
        <w:rPr>
          <w:bCs/>
        </w:rPr>
        <w:t xml:space="preserve">(of long-term government bonds) </w:t>
      </w:r>
      <w:r w:rsidR="00D63F2B">
        <w:rPr>
          <w:bCs/>
        </w:rPr>
        <w:t>are readily available and observable. There is no need to use the forecasted interest rates</w:t>
      </w:r>
      <w:r w:rsidR="0085709D">
        <w:rPr>
          <w:bCs/>
        </w:rPr>
        <w:t xml:space="preserve"> of long-term government bonds as the proxy for the return of risk-free investments in estimating the return on equity</w:t>
      </w:r>
      <w:r w:rsidR="0077299C">
        <w:rPr>
          <w:bCs/>
        </w:rPr>
        <w:t>.</w:t>
      </w:r>
    </w:p>
    <w:p w:rsidR="00186693" w:rsidRDefault="00186693" w:rsidP="00F87073">
      <w:pPr>
        <w:tabs>
          <w:tab w:val="num" w:pos="720"/>
        </w:tabs>
        <w:spacing w:line="480" w:lineRule="auto"/>
        <w:ind w:left="720"/>
        <w:rPr>
          <w:bCs/>
        </w:rPr>
      </w:pPr>
    </w:p>
    <w:p w:rsidR="00186693" w:rsidRDefault="00186693" w:rsidP="00186693">
      <w:pPr>
        <w:tabs>
          <w:tab w:val="num" w:pos="720"/>
        </w:tabs>
        <w:spacing w:line="480" w:lineRule="auto"/>
        <w:ind w:left="720" w:hanging="720"/>
        <w:rPr>
          <w:b/>
          <w:bCs/>
          <w:i/>
        </w:rPr>
      </w:pPr>
      <w:r>
        <w:rPr>
          <w:b/>
          <w:bCs/>
          <w:i/>
        </w:rPr>
        <w:t>Q20.</w:t>
      </w:r>
      <w:r>
        <w:rPr>
          <w:b/>
          <w:bCs/>
          <w:i/>
        </w:rPr>
        <w:tab/>
        <w:t xml:space="preserve">PLEASE </w:t>
      </w:r>
      <w:r w:rsidRPr="007457E5">
        <w:rPr>
          <w:b/>
          <w:bCs/>
          <w:i/>
        </w:rPr>
        <w:t xml:space="preserve">EXPLAIN YOUR CONCERNS ABOUT USING A </w:t>
      </w:r>
      <w:r>
        <w:rPr>
          <w:b/>
          <w:bCs/>
          <w:i/>
        </w:rPr>
        <w:t>7.1% MARKET RISK PREMIUM.</w:t>
      </w:r>
    </w:p>
    <w:p w:rsidR="00C5217B" w:rsidRDefault="00186693" w:rsidP="00D46CFD">
      <w:pPr>
        <w:tabs>
          <w:tab w:val="num" w:pos="720"/>
        </w:tabs>
        <w:spacing w:line="480" w:lineRule="auto"/>
        <w:ind w:left="720" w:hanging="720"/>
        <w:rPr>
          <w:bCs/>
        </w:rPr>
      </w:pPr>
      <w:r w:rsidRPr="00842F67">
        <w:rPr>
          <w:b/>
          <w:bCs/>
          <w:i/>
        </w:rPr>
        <w:t>A</w:t>
      </w:r>
      <w:r w:rsidR="0060092C">
        <w:rPr>
          <w:b/>
          <w:bCs/>
          <w:i/>
        </w:rPr>
        <w:t>20</w:t>
      </w:r>
      <w:r w:rsidRPr="00842F67">
        <w:rPr>
          <w:b/>
          <w:bCs/>
          <w:i/>
        </w:rPr>
        <w:t>.</w:t>
      </w:r>
      <w:r>
        <w:rPr>
          <w:b/>
          <w:bCs/>
          <w:i/>
        </w:rPr>
        <w:tab/>
      </w:r>
      <w:r w:rsidR="001A4CB9">
        <w:rPr>
          <w:bCs/>
        </w:rPr>
        <w:t xml:space="preserve">The use of a high </w:t>
      </w:r>
      <w:r w:rsidR="00DF7AAA">
        <w:rPr>
          <w:bCs/>
        </w:rPr>
        <w:t xml:space="preserve">market </w:t>
      </w:r>
      <w:r w:rsidR="001A4CB9">
        <w:rPr>
          <w:bCs/>
        </w:rPr>
        <w:t xml:space="preserve">risk premium </w:t>
      </w:r>
      <w:r w:rsidR="004D0A7D">
        <w:rPr>
          <w:bCs/>
        </w:rPr>
        <w:t xml:space="preserve">of 7.1% </w:t>
      </w:r>
      <w:r w:rsidR="0060092C">
        <w:rPr>
          <w:bCs/>
        </w:rPr>
        <w:t xml:space="preserve">by Dr. Morin </w:t>
      </w:r>
      <w:r w:rsidR="004D0A7D">
        <w:rPr>
          <w:bCs/>
        </w:rPr>
        <w:t xml:space="preserve">may </w:t>
      </w:r>
      <w:r w:rsidR="00206A64">
        <w:rPr>
          <w:bCs/>
        </w:rPr>
        <w:t>not distort the</w:t>
      </w:r>
      <w:r w:rsidR="00D46CFD">
        <w:rPr>
          <w:bCs/>
        </w:rPr>
        <w:t xml:space="preserve"> </w:t>
      </w:r>
      <w:r w:rsidR="00206A64">
        <w:rPr>
          <w:bCs/>
        </w:rPr>
        <w:t xml:space="preserve">ROE results as much as the use of forecasted interest rate. </w:t>
      </w:r>
      <w:r w:rsidR="004D0A7D">
        <w:rPr>
          <w:bCs/>
        </w:rPr>
        <w:t xml:space="preserve">But </w:t>
      </w:r>
      <w:r w:rsidR="00206A64">
        <w:rPr>
          <w:bCs/>
        </w:rPr>
        <w:t xml:space="preserve">the 7.1% market risk premium </w:t>
      </w:r>
      <w:r w:rsidR="004D0A7D">
        <w:rPr>
          <w:bCs/>
        </w:rPr>
        <w:t xml:space="preserve">is certainly </w:t>
      </w:r>
      <w:r w:rsidR="0060092C">
        <w:rPr>
          <w:bCs/>
        </w:rPr>
        <w:t xml:space="preserve">on the </w:t>
      </w:r>
      <w:r w:rsidR="004D0A7D">
        <w:rPr>
          <w:bCs/>
        </w:rPr>
        <w:t>high</w:t>
      </w:r>
      <w:r w:rsidR="0060092C">
        <w:rPr>
          <w:bCs/>
        </w:rPr>
        <w:t xml:space="preserve"> end (as recognized by Dr. Morin </w:t>
      </w:r>
      <w:r w:rsidR="0085709D">
        <w:rPr>
          <w:bCs/>
        </w:rPr>
        <w:t>himself)</w:t>
      </w:r>
      <w:r w:rsidR="0085709D">
        <w:rPr>
          <w:rStyle w:val="FootnoteReference"/>
          <w:bCs/>
        </w:rPr>
        <w:footnoteReference w:id="35"/>
      </w:r>
      <w:r w:rsidR="0085709D">
        <w:rPr>
          <w:bCs/>
        </w:rPr>
        <w:t xml:space="preserve"> of </w:t>
      </w:r>
      <w:r w:rsidR="0060092C">
        <w:rPr>
          <w:bCs/>
        </w:rPr>
        <w:t xml:space="preserve">the range of </w:t>
      </w:r>
      <w:r w:rsidR="004D0A7D">
        <w:rPr>
          <w:bCs/>
        </w:rPr>
        <w:t>market risk premi</w:t>
      </w:r>
      <w:r w:rsidR="005A0835">
        <w:rPr>
          <w:bCs/>
        </w:rPr>
        <w:t>ums</w:t>
      </w:r>
      <w:r w:rsidR="00206A64">
        <w:rPr>
          <w:bCs/>
        </w:rPr>
        <w:t xml:space="preserve"> </w:t>
      </w:r>
      <w:r w:rsidR="0060092C">
        <w:rPr>
          <w:bCs/>
        </w:rPr>
        <w:t xml:space="preserve">historically and typically found in financial publications. </w:t>
      </w:r>
      <w:r w:rsidR="00DF7AAA">
        <w:rPr>
          <w:bCs/>
        </w:rPr>
        <w:t xml:space="preserve">For example, in the Ibbotson SBBI 2015 Classic Yearbook, the market risk premium as measured by difference between </w:t>
      </w:r>
      <w:r w:rsidR="007A2668">
        <w:rPr>
          <w:bCs/>
        </w:rPr>
        <w:t xml:space="preserve">the </w:t>
      </w:r>
      <w:r w:rsidR="00DF7AAA">
        <w:rPr>
          <w:bCs/>
        </w:rPr>
        <w:t>annual</w:t>
      </w:r>
      <w:r w:rsidR="007A2668">
        <w:rPr>
          <w:bCs/>
        </w:rPr>
        <w:t>ized</w:t>
      </w:r>
      <w:r w:rsidR="00DF7AAA">
        <w:rPr>
          <w:bCs/>
        </w:rPr>
        <w:t xml:space="preserve"> total return </w:t>
      </w:r>
      <w:r w:rsidR="007A2668">
        <w:rPr>
          <w:bCs/>
        </w:rPr>
        <w:t xml:space="preserve">(from 1926 to 2014) </w:t>
      </w:r>
      <w:r w:rsidR="00DF7AAA">
        <w:rPr>
          <w:bCs/>
        </w:rPr>
        <w:t xml:space="preserve">of Large-Cap Stocks </w:t>
      </w:r>
      <w:r w:rsidR="007A2668">
        <w:rPr>
          <w:bCs/>
        </w:rPr>
        <w:t>(12.1%) and the annualized total return of Long-term Government Bonds (6.1%) is 6% if the arithmetic mean of total return is used.</w:t>
      </w:r>
      <w:r w:rsidR="007A2668">
        <w:rPr>
          <w:rStyle w:val="FootnoteReference"/>
          <w:bCs/>
        </w:rPr>
        <w:footnoteReference w:id="36"/>
      </w:r>
      <w:r w:rsidR="007A2668">
        <w:rPr>
          <w:bCs/>
        </w:rPr>
        <w:t xml:space="preserve"> If a geometric mean of yearly total return is used, the market risk premium is 4.4%.</w:t>
      </w:r>
      <w:r w:rsidR="007A2668">
        <w:rPr>
          <w:rStyle w:val="FootnoteReference"/>
          <w:bCs/>
        </w:rPr>
        <w:footnoteReference w:id="37"/>
      </w:r>
      <w:r w:rsidR="007A2668">
        <w:rPr>
          <w:bCs/>
        </w:rPr>
        <w:t xml:space="preserve"> </w:t>
      </w:r>
      <w:r w:rsidR="0085709D">
        <w:rPr>
          <w:bCs/>
        </w:rPr>
        <w:t xml:space="preserve">Clearly, the choice of the magnitude of a market risk premium can be quite subjective. But the estimated </w:t>
      </w:r>
      <w:r w:rsidR="0060092C">
        <w:rPr>
          <w:bCs/>
        </w:rPr>
        <w:t xml:space="preserve">ROE </w:t>
      </w:r>
      <w:r w:rsidR="0085709D">
        <w:rPr>
          <w:bCs/>
        </w:rPr>
        <w:t>for Duke will be lower if</w:t>
      </w:r>
      <w:r w:rsidR="0060092C">
        <w:rPr>
          <w:bCs/>
        </w:rPr>
        <w:t xml:space="preserve"> a lower market risk premium </w:t>
      </w:r>
      <w:r w:rsidR="0085709D">
        <w:rPr>
          <w:bCs/>
        </w:rPr>
        <w:t xml:space="preserve">that is more consistent with those found in financial publications </w:t>
      </w:r>
      <w:r w:rsidR="0060092C">
        <w:rPr>
          <w:bCs/>
        </w:rPr>
        <w:t>is used in this proceeding.</w:t>
      </w:r>
    </w:p>
    <w:p w:rsidR="0004083B" w:rsidRDefault="00C5217B" w:rsidP="00A710AF">
      <w:pPr>
        <w:tabs>
          <w:tab w:val="num" w:pos="720"/>
        </w:tabs>
        <w:spacing w:line="480" w:lineRule="auto"/>
        <w:ind w:left="720"/>
        <w:rPr>
          <w:bCs/>
        </w:rPr>
      </w:pPr>
      <w:r>
        <w:rPr>
          <w:bCs/>
        </w:rPr>
        <w:t xml:space="preserve">My comments here are not intended as a comprehensive review of Duke’s proposed return on equity </w:t>
      </w:r>
      <w:r w:rsidR="007A2668">
        <w:rPr>
          <w:bCs/>
        </w:rPr>
        <w:t xml:space="preserve">for its gas operation </w:t>
      </w:r>
      <w:r>
        <w:rPr>
          <w:bCs/>
        </w:rPr>
        <w:t>in this proceeding.</w:t>
      </w:r>
      <w:r w:rsidR="00F42097" w:rsidRPr="00F42097">
        <w:rPr>
          <w:bCs/>
        </w:rPr>
        <w:t xml:space="preserve"> </w:t>
      </w:r>
      <w:r w:rsidR="00F42097">
        <w:rPr>
          <w:bCs/>
        </w:rPr>
        <w:t xml:space="preserve">The purpose of my observations  is to point out that Duke has overestimated its proposed ROE </w:t>
      </w:r>
      <w:r w:rsidR="00267935">
        <w:rPr>
          <w:bCs/>
        </w:rPr>
        <w:t xml:space="preserve">used for the Rider ASRP </w:t>
      </w:r>
      <w:r w:rsidR="00F42097">
        <w:rPr>
          <w:bCs/>
        </w:rPr>
        <w:t>and some downward adjustments to the ROE proposed by Duke is reasonable.</w:t>
      </w:r>
    </w:p>
    <w:p w:rsidR="0060092C" w:rsidRPr="00B176FF" w:rsidRDefault="0060092C" w:rsidP="00A710AF">
      <w:pPr>
        <w:tabs>
          <w:tab w:val="num" w:pos="720"/>
        </w:tabs>
        <w:spacing w:line="480" w:lineRule="auto"/>
        <w:ind w:left="720"/>
        <w:rPr>
          <w:bCs/>
        </w:rPr>
      </w:pPr>
    </w:p>
    <w:p w:rsidR="004C50B4" w:rsidRDefault="004C50B4" w:rsidP="004C50B4">
      <w:pPr>
        <w:tabs>
          <w:tab w:val="num" w:pos="720"/>
        </w:tabs>
        <w:spacing w:line="480" w:lineRule="auto"/>
        <w:ind w:left="720" w:hanging="720"/>
        <w:rPr>
          <w:b/>
          <w:bCs/>
          <w:i/>
        </w:rPr>
      </w:pPr>
      <w:r>
        <w:rPr>
          <w:b/>
          <w:bCs/>
          <w:i/>
        </w:rPr>
        <w:t>Q</w:t>
      </w:r>
      <w:r w:rsidR="0060092C">
        <w:rPr>
          <w:b/>
          <w:bCs/>
          <w:i/>
        </w:rPr>
        <w:t>2</w:t>
      </w:r>
      <w:r>
        <w:rPr>
          <w:b/>
          <w:bCs/>
          <w:i/>
        </w:rPr>
        <w:t>1.</w:t>
      </w:r>
      <w:r>
        <w:rPr>
          <w:b/>
          <w:bCs/>
          <w:i/>
        </w:rPr>
        <w:tab/>
        <w:t xml:space="preserve">DO YOU </w:t>
      </w:r>
      <w:r w:rsidR="00CE5354">
        <w:rPr>
          <w:b/>
          <w:bCs/>
          <w:i/>
        </w:rPr>
        <w:t xml:space="preserve">BELIEVE A LOWER RETURN ON EQUITY </w:t>
      </w:r>
      <w:r w:rsidR="00F87073">
        <w:rPr>
          <w:b/>
          <w:bCs/>
          <w:i/>
        </w:rPr>
        <w:t>(THAN T</w:t>
      </w:r>
      <w:r w:rsidR="00B6104A">
        <w:rPr>
          <w:b/>
          <w:bCs/>
          <w:i/>
        </w:rPr>
        <w:t xml:space="preserve">HAT PROPOSED BY DUKE) </w:t>
      </w:r>
      <w:r w:rsidR="00CE5354">
        <w:rPr>
          <w:b/>
          <w:bCs/>
          <w:i/>
        </w:rPr>
        <w:t>AUTHORIZED IN THIS PROCEEDING WILL PROVIDE DIRECT AND SUBSTANTIAL BENEFITS T</w:t>
      </w:r>
      <w:r w:rsidR="00C8215E">
        <w:rPr>
          <w:b/>
          <w:bCs/>
          <w:i/>
        </w:rPr>
        <w:t>O DUKE’S RESIDENTIAL CUSTOMERS?</w:t>
      </w:r>
    </w:p>
    <w:p w:rsidR="0004083B" w:rsidRDefault="004C50B4" w:rsidP="0004083B">
      <w:pPr>
        <w:tabs>
          <w:tab w:val="num" w:pos="720"/>
        </w:tabs>
        <w:spacing w:line="480" w:lineRule="auto"/>
        <w:ind w:left="720" w:hanging="720"/>
        <w:rPr>
          <w:bCs/>
        </w:rPr>
      </w:pPr>
      <w:r w:rsidRPr="00842F67">
        <w:rPr>
          <w:b/>
          <w:bCs/>
          <w:i/>
        </w:rPr>
        <w:t>A</w:t>
      </w:r>
      <w:r w:rsidR="0060092C">
        <w:rPr>
          <w:b/>
          <w:bCs/>
          <w:i/>
        </w:rPr>
        <w:t>2</w:t>
      </w:r>
      <w:r>
        <w:rPr>
          <w:b/>
          <w:bCs/>
          <w:i/>
        </w:rPr>
        <w:t>1</w:t>
      </w:r>
      <w:r w:rsidRPr="00842F67">
        <w:rPr>
          <w:b/>
          <w:bCs/>
          <w:i/>
        </w:rPr>
        <w:t>.</w:t>
      </w:r>
      <w:r w:rsidR="00C9071C">
        <w:rPr>
          <w:b/>
          <w:bCs/>
          <w:i/>
        </w:rPr>
        <w:tab/>
      </w:r>
      <w:r w:rsidR="00C9071C">
        <w:rPr>
          <w:bCs/>
        </w:rPr>
        <w:t>Yes.</w:t>
      </w:r>
      <w:r w:rsidR="000F3017">
        <w:rPr>
          <w:bCs/>
        </w:rPr>
        <w:t xml:space="preserve"> </w:t>
      </w:r>
      <w:r w:rsidR="00B6104A">
        <w:rPr>
          <w:bCs/>
        </w:rPr>
        <w:t xml:space="preserve">The </w:t>
      </w:r>
      <w:r w:rsidR="00ED68C9">
        <w:rPr>
          <w:bCs/>
        </w:rPr>
        <w:t>A</w:t>
      </w:r>
      <w:r w:rsidR="00B6104A">
        <w:rPr>
          <w:bCs/>
        </w:rPr>
        <w:t xml:space="preserve">nnualized </w:t>
      </w:r>
      <w:r w:rsidR="00ED68C9">
        <w:rPr>
          <w:bCs/>
        </w:rPr>
        <w:t>R</w:t>
      </w:r>
      <w:r w:rsidR="00B6104A">
        <w:rPr>
          <w:bCs/>
        </w:rPr>
        <w:t xml:space="preserve">evenue </w:t>
      </w:r>
      <w:r w:rsidR="00ED68C9">
        <w:rPr>
          <w:bCs/>
        </w:rPr>
        <w:t>R</w:t>
      </w:r>
      <w:r w:rsidR="00B6104A">
        <w:rPr>
          <w:bCs/>
        </w:rPr>
        <w:t xml:space="preserve">equirement for </w:t>
      </w:r>
      <w:r w:rsidR="00ED68C9">
        <w:rPr>
          <w:bCs/>
        </w:rPr>
        <w:t xml:space="preserve">the </w:t>
      </w:r>
      <w:r w:rsidR="00B6104A">
        <w:rPr>
          <w:bCs/>
        </w:rPr>
        <w:t xml:space="preserve">ASRP </w:t>
      </w:r>
      <w:r w:rsidR="00ED68C9">
        <w:rPr>
          <w:bCs/>
        </w:rPr>
        <w:t>consists of a Return on Investment and Operating Expenses.</w:t>
      </w:r>
      <w:r w:rsidR="00ED68C9">
        <w:rPr>
          <w:rStyle w:val="FootnoteReference"/>
          <w:bCs/>
        </w:rPr>
        <w:footnoteReference w:id="38"/>
      </w:r>
      <w:r w:rsidR="00ED68C9">
        <w:rPr>
          <w:bCs/>
        </w:rPr>
        <w:t xml:space="preserve"> A lower ROE, which will in turn </w:t>
      </w:r>
      <w:r w:rsidR="00AD75FD">
        <w:rPr>
          <w:bCs/>
        </w:rPr>
        <w:t>set</w:t>
      </w:r>
      <w:r w:rsidR="00ED68C9">
        <w:rPr>
          <w:bCs/>
        </w:rPr>
        <w:t xml:space="preserve"> a lower Pre-tax </w:t>
      </w:r>
      <w:r w:rsidR="0004083B">
        <w:rPr>
          <w:bCs/>
        </w:rPr>
        <w:t>ROR</w:t>
      </w:r>
      <w:r w:rsidR="00ED68C9">
        <w:rPr>
          <w:bCs/>
        </w:rPr>
        <w:t xml:space="preserve">, will </w:t>
      </w:r>
      <w:r w:rsidR="0060092C">
        <w:rPr>
          <w:bCs/>
        </w:rPr>
        <w:t xml:space="preserve">definitely </w:t>
      </w:r>
      <w:r w:rsidR="00ED68C9">
        <w:rPr>
          <w:bCs/>
        </w:rPr>
        <w:t xml:space="preserve">reduce the amount of Return on Investment </w:t>
      </w:r>
      <w:r w:rsidR="004E729B">
        <w:rPr>
          <w:bCs/>
        </w:rPr>
        <w:t xml:space="preserve">that customers will have to fund through the </w:t>
      </w:r>
      <w:r w:rsidR="00267935">
        <w:rPr>
          <w:bCs/>
        </w:rPr>
        <w:t>proposed R</w:t>
      </w:r>
      <w:r w:rsidR="004E729B">
        <w:rPr>
          <w:bCs/>
        </w:rPr>
        <w:t>ider</w:t>
      </w:r>
      <w:r w:rsidR="00267935">
        <w:rPr>
          <w:bCs/>
        </w:rPr>
        <w:t xml:space="preserve"> ASRP</w:t>
      </w:r>
      <w:r w:rsidR="004E729B">
        <w:rPr>
          <w:bCs/>
        </w:rPr>
        <w:t>.</w:t>
      </w:r>
      <w:r w:rsidR="00D46CFD">
        <w:rPr>
          <w:bCs/>
        </w:rPr>
        <w:t xml:space="preserve"> </w:t>
      </w:r>
      <w:r w:rsidR="00ED68C9">
        <w:rPr>
          <w:bCs/>
        </w:rPr>
        <w:t xml:space="preserve">As </w:t>
      </w:r>
      <w:r w:rsidR="00206A64">
        <w:rPr>
          <w:bCs/>
        </w:rPr>
        <w:t xml:space="preserve">discussed </w:t>
      </w:r>
      <w:r w:rsidR="00ED440A">
        <w:rPr>
          <w:bCs/>
        </w:rPr>
        <w:t>earlier, a 100 basis points (1</w:t>
      </w:r>
      <w:r w:rsidR="005A0835">
        <w:rPr>
          <w:bCs/>
        </w:rPr>
        <w:t>%</w:t>
      </w:r>
      <w:r w:rsidR="00ED68C9">
        <w:rPr>
          <w:bCs/>
        </w:rPr>
        <w:t>) reduction in allowed ROE will reduce the Pre-tax Rate of Return by 83 basis points (</w:t>
      </w:r>
      <w:r w:rsidR="00ED440A">
        <w:rPr>
          <w:bCs/>
        </w:rPr>
        <w:t>0.83</w:t>
      </w:r>
      <w:r w:rsidR="005A0835">
        <w:rPr>
          <w:bCs/>
        </w:rPr>
        <w:t>%</w:t>
      </w:r>
      <w:r w:rsidR="00AD75FD">
        <w:rPr>
          <w:bCs/>
        </w:rPr>
        <w:t>).</w:t>
      </w:r>
      <w:r w:rsidR="00AD75FD">
        <w:rPr>
          <w:rStyle w:val="FootnoteReference"/>
          <w:bCs/>
        </w:rPr>
        <w:footnoteReference w:id="39"/>
      </w:r>
      <w:r w:rsidR="00AD75FD">
        <w:rPr>
          <w:bCs/>
        </w:rPr>
        <w:t xml:space="preserve"> Assuming a $30 million increase in </w:t>
      </w:r>
      <w:r w:rsidR="001D2659">
        <w:rPr>
          <w:bCs/>
        </w:rPr>
        <w:t xml:space="preserve">the </w:t>
      </w:r>
      <w:r w:rsidR="00AD75FD">
        <w:rPr>
          <w:bCs/>
        </w:rPr>
        <w:t>Net Rate Base (which is similar in magnitude to Additions in Plant In-Service</w:t>
      </w:r>
      <w:r w:rsidR="00206A64">
        <w:rPr>
          <w:bCs/>
        </w:rPr>
        <w:t xml:space="preserve"> shown in </w:t>
      </w:r>
      <w:r w:rsidR="0004083B">
        <w:rPr>
          <w:bCs/>
        </w:rPr>
        <w:t xml:space="preserve">Ms. </w:t>
      </w:r>
      <w:r w:rsidR="00206A64">
        <w:rPr>
          <w:bCs/>
        </w:rPr>
        <w:t>Laub’s Direct Testimony</w:t>
      </w:r>
      <w:r w:rsidR="005B0A5F">
        <w:rPr>
          <w:bCs/>
        </w:rPr>
        <w:t>)</w:t>
      </w:r>
      <w:r w:rsidR="00AD75FD">
        <w:rPr>
          <w:bCs/>
        </w:rPr>
        <w:t xml:space="preserve"> the annual revenue requirement for the first year </w:t>
      </w:r>
      <w:r w:rsidR="00206A64">
        <w:rPr>
          <w:bCs/>
        </w:rPr>
        <w:t xml:space="preserve">of the ASRP </w:t>
      </w:r>
      <w:r w:rsidR="00AD75FD">
        <w:rPr>
          <w:bCs/>
        </w:rPr>
        <w:t>will be reduced by approximately $2.49 million.</w:t>
      </w:r>
      <w:r w:rsidR="00B8778D">
        <w:rPr>
          <w:rStyle w:val="FootnoteReference"/>
          <w:bCs/>
        </w:rPr>
        <w:footnoteReference w:id="40"/>
      </w:r>
      <w:r w:rsidR="00AD75FD">
        <w:rPr>
          <w:bCs/>
        </w:rPr>
        <w:t xml:space="preserve"> This is a direct </w:t>
      </w:r>
      <w:r w:rsidR="00C57891">
        <w:rPr>
          <w:bCs/>
        </w:rPr>
        <w:t>benefit</w:t>
      </w:r>
      <w:r w:rsidR="00AD75FD">
        <w:rPr>
          <w:bCs/>
        </w:rPr>
        <w:t xml:space="preserve"> to Duke’s customers, i</w:t>
      </w:r>
      <w:r w:rsidR="00F87073">
        <w:rPr>
          <w:bCs/>
        </w:rPr>
        <w:t>ncluding residential customers.</w:t>
      </w:r>
    </w:p>
    <w:p w:rsidR="0004083B" w:rsidRDefault="0004083B" w:rsidP="0004083B">
      <w:pPr>
        <w:tabs>
          <w:tab w:val="num" w:pos="720"/>
        </w:tabs>
        <w:spacing w:line="480" w:lineRule="auto"/>
        <w:ind w:left="720" w:hanging="720"/>
        <w:rPr>
          <w:b/>
          <w:bCs/>
          <w:i/>
        </w:rPr>
      </w:pPr>
    </w:p>
    <w:p w:rsidR="004C50B4" w:rsidRDefault="004C50B4" w:rsidP="0004083B">
      <w:pPr>
        <w:tabs>
          <w:tab w:val="num" w:pos="720"/>
        </w:tabs>
        <w:spacing w:line="480" w:lineRule="auto"/>
        <w:ind w:left="720" w:hanging="720"/>
        <w:rPr>
          <w:b/>
          <w:bCs/>
          <w:i/>
        </w:rPr>
      </w:pPr>
      <w:r>
        <w:rPr>
          <w:b/>
          <w:bCs/>
          <w:i/>
        </w:rPr>
        <w:t>Q</w:t>
      </w:r>
      <w:r w:rsidR="00104893">
        <w:rPr>
          <w:b/>
          <w:bCs/>
          <w:i/>
        </w:rPr>
        <w:t>2</w:t>
      </w:r>
      <w:r w:rsidR="0060092C">
        <w:rPr>
          <w:b/>
          <w:bCs/>
          <w:i/>
        </w:rPr>
        <w:t>2</w:t>
      </w:r>
      <w:r>
        <w:rPr>
          <w:b/>
          <w:bCs/>
          <w:i/>
        </w:rPr>
        <w:t>.</w:t>
      </w:r>
      <w:r>
        <w:rPr>
          <w:b/>
          <w:bCs/>
          <w:i/>
        </w:rPr>
        <w:tab/>
      </w:r>
      <w:r w:rsidR="00CE5354">
        <w:rPr>
          <w:b/>
          <w:bCs/>
          <w:i/>
        </w:rPr>
        <w:t xml:space="preserve">DO YOU BELIEVE A LOWER RETURN ON EQUITY </w:t>
      </w:r>
      <w:r w:rsidR="00B8778D">
        <w:rPr>
          <w:b/>
          <w:bCs/>
          <w:i/>
        </w:rPr>
        <w:t xml:space="preserve">(THAN THAT PROPOSED BY DUKE) </w:t>
      </w:r>
      <w:r w:rsidR="00CE5354">
        <w:rPr>
          <w:b/>
          <w:bCs/>
          <w:i/>
        </w:rPr>
        <w:t xml:space="preserve">AUTHORIZED IN THIS PROCEEDING WILL </w:t>
      </w:r>
      <w:r w:rsidR="001267B2">
        <w:rPr>
          <w:b/>
          <w:bCs/>
          <w:i/>
        </w:rPr>
        <w:t>LOWER THE CREDIT RATING OF DUKE OR DRIVE UP DUKE’S COST OF EQUITY</w:t>
      </w:r>
      <w:r w:rsidR="00B6104A">
        <w:rPr>
          <w:b/>
          <w:bCs/>
          <w:i/>
        </w:rPr>
        <w:t xml:space="preserve"> AND DEBT FINANCING</w:t>
      </w:r>
      <w:r w:rsidR="001267B2">
        <w:rPr>
          <w:b/>
          <w:bCs/>
          <w:i/>
        </w:rPr>
        <w:t>?</w:t>
      </w:r>
    </w:p>
    <w:p w:rsidR="0077299C" w:rsidRDefault="004C50B4" w:rsidP="0077299C">
      <w:pPr>
        <w:tabs>
          <w:tab w:val="num" w:pos="720"/>
        </w:tabs>
        <w:spacing w:line="480" w:lineRule="auto"/>
        <w:ind w:left="720" w:hanging="720"/>
        <w:rPr>
          <w:bCs/>
        </w:rPr>
      </w:pPr>
      <w:r w:rsidRPr="00842F67">
        <w:rPr>
          <w:b/>
          <w:bCs/>
          <w:i/>
        </w:rPr>
        <w:t>A</w:t>
      </w:r>
      <w:r w:rsidR="00104893">
        <w:rPr>
          <w:b/>
          <w:bCs/>
          <w:i/>
        </w:rPr>
        <w:t>2</w:t>
      </w:r>
      <w:r w:rsidR="0060092C">
        <w:rPr>
          <w:b/>
          <w:bCs/>
          <w:i/>
        </w:rPr>
        <w:t>2</w:t>
      </w:r>
      <w:r w:rsidRPr="00842F67">
        <w:rPr>
          <w:b/>
          <w:bCs/>
          <w:i/>
        </w:rPr>
        <w:t>.</w:t>
      </w:r>
      <w:r w:rsidR="00C9071C">
        <w:rPr>
          <w:b/>
          <w:bCs/>
          <w:i/>
        </w:rPr>
        <w:tab/>
      </w:r>
      <w:r w:rsidR="00C9071C">
        <w:rPr>
          <w:bCs/>
        </w:rPr>
        <w:t>No</w:t>
      </w:r>
      <w:r w:rsidR="00B302C1">
        <w:rPr>
          <w:bCs/>
        </w:rPr>
        <w:t>t necessarily</w:t>
      </w:r>
      <w:r w:rsidR="00C9071C">
        <w:rPr>
          <w:bCs/>
        </w:rPr>
        <w:t xml:space="preserve">. </w:t>
      </w:r>
      <w:r w:rsidR="00B8778D">
        <w:rPr>
          <w:bCs/>
        </w:rPr>
        <w:t>I do not believe Duke’s credit rating or its costs of equity and debt financing will be adversely affected</w:t>
      </w:r>
      <w:r w:rsidR="00B302C1">
        <w:rPr>
          <w:bCs/>
        </w:rPr>
        <w:t xml:space="preserve"> by the adoption of a</w:t>
      </w:r>
      <w:r w:rsidR="00D46CFD">
        <w:rPr>
          <w:bCs/>
        </w:rPr>
        <w:t>n</w:t>
      </w:r>
      <w:r w:rsidR="00B302C1">
        <w:rPr>
          <w:bCs/>
        </w:rPr>
        <w:t xml:space="preserve"> 8.84% ROE for its Rider ASRP</w:t>
      </w:r>
      <w:r w:rsidR="00B8778D">
        <w:rPr>
          <w:bCs/>
        </w:rPr>
        <w:t>. First of all, the 8.84</w:t>
      </w:r>
      <w:r w:rsidR="005A0835">
        <w:rPr>
          <w:bCs/>
        </w:rPr>
        <w:t>%</w:t>
      </w:r>
      <w:r w:rsidR="00B8778D">
        <w:rPr>
          <w:bCs/>
        </w:rPr>
        <w:t xml:space="preserve"> ROE recommended by </w:t>
      </w:r>
      <w:r w:rsidR="00206A64">
        <w:rPr>
          <w:bCs/>
        </w:rPr>
        <w:t xml:space="preserve">OCC </w:t>
      </w:r>
      <w:r w:rsidR="00B8778D">
        <w:rPr>
          <w:bCs/>
        </w:rPr>
        <w:t>for Rider ASRP is still a reasonabl</w:t>
      </w:r>
      <w:r w:rsidR="00206A64">
        <w:rPr>
          <w:bCs/>
        </w:rPr>
        <w:t xml:space="preserve">y high </w:t>
      </w:r>
      <w:r w:rsidR="00B8778D">
        <w:rPr>
          <w:bCs/>
        </w:rPr>
        <w:t>ROE based on current financial market conditions</w:t>
      </w:r>
      <w:r w:rsidR="00266C19">
        <w:rPr>
          <w:bCs/>
        </w:rPr>
        <w:t>.</w:t>
      </w:r>
      <w:r w:rsidR="00B8778D">
        <w:rPr>
          <w:bCs/>
        </w:rPr>
        <w:t xml:space="preserve"> Second, an allowed ROE for one particular rider </w:t>
      </w:r>
      <w:r w:rsidR="00206A64">
        <w:rPr>
          <w:bCs/>
        </w:rPr>
        <w:t xml:space="preserve">such as Rider ASRP </w:t>
      </w:r>
      <w:r w:rsidR="00B8778D">
        <w:rPr>
          <w:bCs/>
        </w:rPr>
        <w:t>is only one factor being considered by the investors</w:t>
      </w:r>
      <w:r w:rsidR="00206A64">
        <w:rPr>
          <w:bCs/>
        </w:rPr>
        <w:t>, financial analysts,</w:t>
      </w:r>
      <w:r w:rsidR="00B8778D">
        <w:rPr>
          <w:bCs/>
        </w:rPr>
        <w:t xml:space="preserve"> </w:t>
      </w:r>
      <w:r w:rsidR="00206A64">
        <w:rPr>
          <w:bCs/>
        </w:rPr>
        <w:t xml:space="preserve">or credit rating agencies </w:t>
      </w:r>
      <w:r w:rsidR="00B8778D">
        <w:rPr>
          <w:bCs/>
        </w:rPr>
        <w:t xml:space="preserve">in assessing the financial and business risk of Duke. There are other factors </w:t>
      </w:r>
      <w:r w:rsidR="00B302C1">
        <w:rPr>
          <w:bCs/>
        </w:rPr>
        <w:t xml:space="preserve">that may affect the </w:t>
      </w:r>
      <w:r w:rsidR="00B8778D">
        <w:rPr>
          <w:bCs/>
        </w:rPr>
        <w:t>investors</w:t>
      </w:r>
      <w:r w:rsidR="00B302C1">
        <w:rPr>
          <w:bCs/>
        </w:rPr>
        <w:t xml:space="preserve">’ decisions on </w:t>
      </w:r>
      <w:r w:rsidR="00B8778D">
        <w:rPr>
          <w:bCs/>
        </w:rPr>
        <w:t xml:space="preserve">whether to buy </w:t>
      </w:r>
      <w:r w:rsidR="00206A64">
        <w:rPr>
          <w:bCs/>
        </w:rPr>
        <w:t xml:space="preserve">or sell </w:t>
      </w:r>
      <w:r w:rsidR="00B8778D">
        <w:rPr>
          <w:bCs/>
        </w:rPr>
        <w:t xml:space="preserve">the bonds </w:t>
      </w:r>
      <w:r w:rsidR="001D2659">
        <w:rPr>
          <w:bCs/>
        </w:rPr>
        <w:t xml:space="preserve">and </w:t>
      </w:r>
      <w:r w:rsidR="00B302C1">
        <w:rPr>
          <w:bCs/>
        </w:rPr>
        <w:t>equity</w:t>
      </w:r>
      <w:r w:rsidR="00B8778D">
        <w:rPr>
          <w:bCs/>
        </w:rPr>
        <w:t xml:space="preserve"> issued by Duke or its parent company. </w:t>
      </w:r>
      <w:r w:rsidR="00266C19">
        <w:rPr>
          <w:bCs/>
        </w:rPr>
        <w:t>D</w:t>
      </w:r>
      <w:r w:rsidR="00206A64">
        <w:rPr>
          <w:bCs/>
        </w:rPr>
        <w:t xml:space="preserve">r. Morin </w:t>
      </w:r>
      <w:r w:rsidR="00266C19">
        <w:rPr>
          <w:bCs/>
        </w:rPr>
        <w:t xml:space="preserve">recognizes this and has identified some of </w:t>
      </w:r>
      <w:r w:rsidR="00B8778D">
        <w:rPr>
          <w:bCs/>
        </w:rPr>
        <w:t>these factors</w:t>
      </w:r>
      <w:r w:rsidR="00266C19">
        <w:rPr>
          <w:bCs/>
        </w:rPr>
        <w:t xml:space="preserve"> such as </w:t>
      </w:r>
      <w:r w:rsidR="00B8778D">
        <w:rPr>
          <w:bCs/>
        </w:rPr>
        <w:t>the weakening of the economy</w:t>
      </w:r>
      <w:r w:rsidR="00451490">
        <w:rPr>
          <w:bCs/>
        </w:rPr>
        <w:t>, declining customer natural gas usage, and planned capital expenditures</w:t>
      </w:r>
      <w:r w:rsidR="001D2659">
        <w:rPr>
          <w:bCs/>
        </w:rPr>
        <w:t xml:space="preserve"> in his testimony</w:t>
      </w:r>
      <w:r w:rsidR="00451490">
        <w:rPr>
          <w:bCs/>
        </w:rPr>
        <w:t>.</w:t>
      </w:r>
      <w:r w:rsidR="00451490">
        <w:rPr>
          <w:rStyle w:val="FootnoteReference"/>
          <w:bCs/>
        </w:rPr>
        <w:footnoteReference w:id="41"/>
      </w:r>
      <w:r w:rsidR="0077299C">
        <w:rPr>
          <w:bCs/>
        </w:rPr>
        <w:br w:type="page"/>
      </w:r>
    </w:p>
    <w:p w:rsidR="004C50B4" w:rsidRPr="00C9071C" w:rsidRDefault="00C57891" w:rsidP="0077299C">
      <w:pPr>
        <w:tabs>
          <w:tab w:val="num" w:pos="720"/>
        </w:tabs>
        <w:spacing w:line="480" w:lineRule="auto"/>
        <w:ind w:left="720"/>
        <w:rPr>
          <w:bCs/>
        </w:rPr>
      </w:pPr>
      <w:r>
        <w:rPr>
          <w:bCs/>
        </w:rPr>
        <w:t xml:space="preserve">Consequently, </w:t>
      </w:r>
      <w:r w:rsidR="00266C19">
        <w:rPr>
          <w:bCs/>
        </w:rPr>
        <w:t xml:space="preserve">unless the </w:t>
      </w:r>
      <w:r w:rsidR="00D46CFD">
        <w:rPr>
          <w:bCs/>
        </w:rPr>
        <w:t>PUCO were to</w:t>
      </w:r>
      <w:r w:rsidR="00266C19">
        <w:rPr>
          <w:bCs/>
        </w:rPr>
        <w:t xml:space="preserve"> set an extremely low ROE</w:t>
      </w:r>
      <w:r w:rsidR="0004083B">
        <w:rPr>
          <w:bCs/>
        </w:rPr>
        <w:t>,</w:t>
      </w:r>
      <w:r w:rsidR="00266C19">
        <w:rPr>
          <w:bCs/>
        </w:rPr>
        <w:t xml:space="preserve"> that is clearly out of tune with </w:t>
      </w:r>
      <w:r w:rsidR="001D2659">
        <w:rPr>
          <w:bCs/>
        </w:rPr>
        <w:t xml:space="preserve">current credit and equity </w:t>
      </w:r>
      <w:r w:rsidR="00266C19">
        <w:rPr>
          <w:bCs/>
        </w:rPr>
        <w:t xml:space="preserve">market </w:t>
      </w:r>
      <w:r w:rsidR="001D2659">
        <w:rPr>
          <w:bCs/>
        </w:rPr>
        <w:t xml:space="preserve">environment and the financial condition of </w:t>
      </w:r>
      <w:r w:rsidR="00266C19">
        <w:rPr>
          <w:bCs/>
        </w:rPr>
        <w:t xml:space="preserve">Duke, I do not </w:t>
      </w:r>
      <w:r w:rsidR="0004083B">
        <w:rPr>
          <w:bCs/>
        </w:rPr>
        <w:t>believe that</w:t>
      </w:r>
      <w:r w:rsidR="00266C19">
        <w:rPr>
          <w:bCs/>
        </w:rPr>
        <w:t xml:space="preserve"> a ROE lower than that proposed by Duke will </w:t>
      </w:r>
      <w:r w:rsidR="00B302C1">
        <w:rPr>
          <w:bCs/>
        </w:rPr>
        <w:t xml:space="preserve">necessarily </w:t>
      </w:r>
      <w:r w:rsidR="00266C19">
        <w:rPr>
          <w:bCs/>
        </w:rPr>
        <w:t>adversely affect Duke’s credit rating or its ability to obtain financing</w:t>
      </w:r>
      <w:r w:rsidR="005B0A5F">
        <w:rPr>
          <w:bCs/>
        </w:rPr>
        <w:t>.</w:t>
      </w:r>
    </w:p>
    <w:p w:rsidR="00842F67" w:rsidRPr="001A342D" w:rsidRDefault="00842F67" w:rsidP="00842F67">
      <w:pPr>
        <w:spacing w:line="480" w:lineRule="auto"/>
        <w:rPr>
          <w:b/>
          <w:i/>
        </w:rPr>
      </w:pPr>
    </w:p>
    <w:p w:rsidR="00AA6FB9" w:rsidRDefault="009211D5" w:rsidP="00804B40">
      <w:pPr>
        <w:autoSpaceDE w:val="0"/>
        <w:autoSpaceDN w:val="0"/>
        <w:adjustRightInd w:val="0"/>
        <w:spacing w:line="480" w:lineRule="auto"/>
        <w:ind w:left="720" w:hanging="720"/>
        <w:rPr>
          <w:b/>
          <w:bCs/>
          <w:i/>
        </w:rPr>
      </w:pPr>
      <w:bookmarkStart w:id="9" w:name="_Toc329611146"/>
      <w:r>
        <w:rPr>
          <w:b/>
          <w:i/>
        </w:rPr>
        <w:t>Q</w:t>
      </w:r>
      <w:r w:rsidR="001A342D">
        <w:rPr>
          <w:b/>
          <w:i/>
        </w:rPr>
        <w:t>2</w:t>
      </w:r>
      <w:r w:rsidR="00B302C1">
        <w:rPr>
          <w:b/>
          <w:i/>
        </w:rPr>
        <w:t>3</w:t>
      </w:r>
      <w:r>
        <w:rPr>
          <w:b/>
          <w:i/>
        </w:rPr>
        <w:t>.</w:t>
      </w:r>
      <w:r>
        <w:rPr>
          <w:b/>
          <w:i/>
        </w:rPr>
        <w:tab/>
      </w:r>
      <w:bookmarkEnd w:id="9"/>
      <w:r>
        <w:rPr>
          <w:b/>
          <w:i/>
        </w:rPr>
        <w:t>DOES THIS CONCLUDE YOUR TESTIMONY?</w:t>
      </w:r>
    </w:p>
    <w:p w:rsidR="00AA6FB9" w:rsidRDefault="009211D5">
      <w:pPr>
        <w:pStyle w:val="BodyText"/>
        <w:ind w:hanging="720"/>
      </w:pPr>
      <w:r>
        <w:rPr>
          <w:b/>
          <w:bCs/>
          <w:i/>
        </w:rPr>
        <w:t>A</w:t>
      </w:r>
      <w:r w:rsidR="001A342D">
        <w:rPr>
          <w:b/>
          <w:bCs/>
          <w:i/>
        </w:rPr>
        <w:t>2</w:t>
      </w:r>
      <w:r w:rsidR="00B302C1">
        <w:rPr>
          <w:b/>
          <w:bCs/>
          <w:i/>
        </w:rPr>
        <w:t>3</w:t>
      </w:r>
      <w:r>
        <w:rPr>
          <w:b/>
          <w:bCs/>
          <w:i/>
        </w:rPr>
        <w:t>.</w:t>
      </w:r>
      <w:r>
        <w:rPr>
          <w:b/>
          <w:bCs/>
          <w:i/>
        </w:rPr>
        <w:tab/>
      </w:r>
      <w:r>
        <w:t xml:space="preserve">Yes. However, I reserve the right to supplement my testimony in the event that additional </w:t>
      </w:r>
      <w:r w:rsidR="009E3B83">
        <w:t>testimony is filed</w:t>
      </w:r>
      <w:r>
        <w:t>, or if new information or data in connection with this proceeding becomes available.</w:t>
      </w:r>
    </w:p>
    <w:p w:rsidR="00AA6FB9" w:rsidRDefault="00AA6FB9">
      <w:pPr>
        <w:spacing w:line="480" w:lineRule="auto"/>
        <w:sectPr w:rsidR="00AA6FB9">
          <w:headerReference w:type="even" r:id="rId18"/>
          <w:headerReference w:type="default" r:id="rId19"/>
          <w:footerReference w:type="default" r:id="rId20"/>
          <w:headerReference w:type="first" r:id="rId21"/>
          <w:pgSz w:w="12240" w:h="15840" w:code="1"/>
          <w:pgMar w:top="1440" w:right="1800" w:bottom="1440" w:left="1800" w:header="720" w:footer="720" w:gutter="0"/>
          <w:lnNumType w:countBy="1"/>
          <w:pgNumType w:start="1"/>
          <w:cols w:space="720"/>
          <w:docGrid w:linePitch="360"/>
        </w:sectPr>
      </w:pPr>
    </w:p>
    <w:p w:rsidR="00AA6FB9" w:rsidRDefault="009211D5">
      <w:pPr>
        <w:pStyle w:val="BodyText"/>
        <w:ind w:left="0"/>
        <w:jc w:val="center"/>
        <w:rPr>
          <w:b/>
          <w:u w:val="single"/>
        </w:rPr>
      </w:pPr>
      <w:r>
        <w:rPr>
          <w:b/>
          <w:u w:val="single"/>
        </w:rPr>
        <w:t>CERTIFICATE OF SERVICE</w:t>
      </w:r>
    </w:p>
    <w:p w:rsidR="00565748" w:rsidRDefault="00565748" w:rsidP="009736C5">
      <w:pPr>
        <w:spacing w:before="240" w:line="480" w:lineRule="auto"/>
        <w:ind w:firstLine="720"/>
      </w:pPr>
      <w:r w:rsidRPr="00871D0B">
        <w:t xml:space="preserve">I hereby certify that a true copy of the foregoing </w:t>
      </w:r>
      <w:r w:rsidRPr="00871D0B">
        <w:rPr>
          <w:i/>
        </w:rPr>
        <w:t>Direct</w:t>
      </w:r>
      <w:r w:rsidRPr="00871D0B">
        <w:t xml:space="preserve"> </w:t>
      </w:r>
      <w:r w:rsidRPr="00871D0B">
        <w:rPr>
          <w:i/>
        </w:rPr>
        <w:t xml:space="preserve">Testimony of </w:t>
      </w:r>
      <w:r>
        <w:rPr>
          <w:i/>
        </w:rPr>
        <w:t xml:space="preserve">Daniel J. Duann, Ph.D. </w:t>
      </w:r>
      <w:r w:rsidRPr="00871D0B">
        <w:rPr>
          <w:i/>
        </w:rPr>
        <w:t xml:space="preserve">on Behalf of the Office of the Ohio Consumers’ Counsel’s, </w:t>
      </w:r>
      <w:r w:rsidRPr="00871D0B">
        <w:t xml:space="preserve">was served via electronic transmission to the persons listed below on this </w:t>
      </w:r>
      <w:r w:rsidR="00C8215E">
        <w:t>6</w:t>
      </w:r>
      <w:r w:rsidRPr="00871D0B">
        <w:t xml:space="preserve">th day of </w:t>
      </w:r>
      <w:r w:rsidR="00C8215E">
        <w:t>November</w:t>
      </w:r>
      <w:r>
        <w:t xml:space="preserve"> </w:t>
      </w:r>
      <w:r w:rsidRPr="00871D0B">
        <w:t>2015.</w:t>
      </w:r>
    </w:p>
    <w:p w:rsidR="00780392" w:rsidRPr="00871D0B" w:rsidRDefault="00780392" w:rsidP="00780392">
      <w:pPr>
        <w:spacing w:before="240"/>
        <w:ind w:firstLine="720"/>
      </w:pPr>
    </w:p>
    <w:p w:rsidR="00565748" w:rsidRPr="00871D0B" w:rsidRDefault="00565748" w:rsidP="007C14B9">
      <w:pPr>
        <w:tabs>
          <w:tab w:val="left" w:pos="4320"/>
        </w:tabs>
        <w:rPr>
          <w:i/>
          <w:u w:val="single"/>
        </w:rPr>
      </w:pPr>
      <w:r w:rsidRPr="00871D0B">
        <w:tab/>
      </w:r>
      <w:r w:rsidR="00C8215E">
        <w:rPr>
          <w:i/>
          <w:u w:val="single"/>
        </w:rPr>
        <w:t>/s/ Kevin Moore</w:t>
      </w:r>
      <w:r w:rsidR="009736C5">
        <w:rPr>
          <w:i/>
          <w:u w:val="single"/>
        </w:rPr>
        <w:tab/>
      </w:r>
      <w:r w:rsidR="009736C5">
        <w:rPr>
          <w:i/>
          <w:u w:val="single"/>
        </w:rPr>
        <w:tab/>
      </w:r>
    </w:p>
    <w:p w:rsidR="00565748" w:rsidRPr="00871D0B" w:rsidRDefault="00C8215E" w:rsidP="007C14B9">
      <w:pPr>
        <w:tabs>
          <w:tab w:val="left" w:pos="4320"/>
        </w:tabs>
      </w:pPr>
      <w:r>
        <w:tab/>
      </w:r>
      <w:r w:rsidR="009736C5">
        <w:t>Kevin Moore</w:t>
      </w:r>
    </w:p>
    <w:p w:rsidR="00565748" w:rsidRPr="00871D0B" w:rsidRDefault="00565748" w:rsidP="007C14B9">
      <w:pPr>
        <w:tabs>
          <w:tab w:val="left" w:pos="4320"/>
        </w:tabs>
      </w:pPr>
      <w:r w:rsidRPr="00871D0B">
        <w:tab/>
        <w:t>Assistant Consumers’ Counsel</w:t>
      </w:r>
    </w:p>
    <w:p w:rsidR="00565748" w:rsidRPr="00871D0B" w:rsidRDefault="00565748" w:rsidP="00565748">
      <w:pPr>
        <w:tabs>
          <w:tab w:val="left" w:pos="-720"/>
        </w:tabs>
        <w:suppressAutoHyphens/>
        <w:ind w:left="4320" w:hanging="4320"/>
        <w:rPr>
          <w:b/>
          <w:color w:val="000000"/>
          <w:u w:val="single"/>
        </w:rPr>
      </w:pPr>
    </w:p>
    <w:p w:rsidR="00565748" w:rsidRPr="00C034B3" w:rsidRDefault="00565748" w:rsidP="00565748">
      <w:pPr>
        <w:jc w:val="center"/>
        <w:rPr>
          <w:b/>
          <w:u w:val="single"/>
        </w:rPr>
      </w:pPr>
      <w:r w:rsidRPr="00C034B3">
        <w:rPr>
          <w:b/>
          <w:u w:val="single"/>
        </w:rPr>
        <w:t>SERVICE LIST</w:t>
      </w:r>
    </w:p>
    <w:p w:rsidR="00565748" w:rsidRDefault="00565748" w:rsidP="00565748">
      <w:pPr>
        <w:pStyle w:val="CommentText"/>
        <w:jc w:val="center"/>
        <w:rPr>
          <w:b/>
          <w:sz w:val="24"/>
          <w:szCs w:val="24"/>
          <w:u w:val="single"/>
        </w:rPr>
      </w:pPr>
    </w:p>
    <w:tbl>
      <w:tblPr>
        <w:tblW w:w="0" w:type="auto"/>
        <w:tblLook w:val="01E0" w:firstRow="1" w:lastRow="1" w:firstColumn="1" w:lastColumn="1" w:noHBand="0" w:noVBand="0"/>
      </w:tblPr>
      <w:tblGrid>
        <w:gridCol w:w="4428"/>
        <w:gridCol w:w="4428"/>
      </w:tblGrid>
      <w:tr w:rsidR="00565748" w:rsidRPr="00887E0B" w:rsidTr="00985807">
        <w:tc>
          <w:tcPr>
            <w:tcW w:w="4428" w:type="dxa"/>
            <w:shd w:val="clear" w:color="auto" w:fill="auto"/>
          </w:tcPr>
          <w:p w:rsidR="009736C5" w:rsidRDefault="009736C5" w:rsidP="009736C5">
            <w:pPr>
              <w:pStyle w:val="BodyText"/>
              <w:spacing w:line="240" w:lineRule="auto"/>
              <w:ind w:left="0"/>
            </w:pPr>
            <w:r w:rsidRPr="00563BDD">
              <w:t>Thomas.lindgren@puc.state.oh.us</w:t>
            </w:r>
          </w:p>
          <w:p w:rsidR="009736C5" w:rsidRDefault="009736C5" w:rsidP="009736C5">
            <w:pPr>
              <w:pStyle w:val="BodyText"/>
              <w:ind w:left="0"/>
            </w:pPr>
            <w:r w:rsidRPr="00563BDD">
              <w:t>cmooney@ohiopartners.org</w:t>
            </w:r>
          </w:p>
          <w:p w:rsidR="009736C5" w:rsidRDefault="009736C5" w:rsidP="009736C5">
            <w:pPr>
              <w:autoSpaceDE w:val="0"/>
              <w:autoSpaceDN w:val="0"/>
              <w:adjustRightInd w:val="0"/>
              <w:rPr>
                <w:bCs/>
              </w:rPr>
            </w:pPr>
            <w:r>
              <w:rPr>
                <w:bCs/>
              </w:rPr>
              <w:t>Attorney Examiner:</w:t>
            </w:r>
          </w:p>
          <w:p w:rsidR="009736C5" w:rsidRDefault="009736C5" w:rsidP="009736C5">
            <w:pPr>
              <w:rPr>
                <w:color w:val="1F497D"/>
              </w:rPr>
            </w:pPr>
            <w:r w:rsidRPr="00563BDD">
              <w:t>Megan.addison@puc.state.oh.us</w:t>
            </w:r>
          </w:p>
          <w:p w:rsidR="00565748" w:rsidRPr="00887E0B" w:rsidRDefault="00565748" w:rsidP="00985807">
            <w:pPr>
              <w:autoSpaceDE w:val="0"/>
              <w:autoSpaceDN w:val="0"/>
              <w:adjustRightInd w:val="0"/>
              <w:rPr>
                <w:color w:val="000000"/>
              </w:rPr>
            </w:pPr>
          </w:p>
        </w:tc>
        <w:tc>
          <w:tcPr>
            <w:tcW w:w="4428" w:type="dxa"/>
            <w:shd w:val="clear" w:color="auto" w:fill="auto"/>
          </w:tcPr>
          <w:p w:rsidR="009736C5" w:rsidRDefault="009736C5" w:rsidP="009736C5">
            <w:pPr>
              <w:pStyle w:val="BodyText"/>
              <w:spacing w:line="240" w:lineRule="auto"/>
              <w:ind w:left="0"/>
            </w:pPr>
            <w:r w:rsidRPr="00563BDD">
              <w:t>Amy.Spiller@duke-energy.com</w:t>
            </w:r>
          </w:p>
          <w:p w:rsidR="009736C5" w:rsidRDefault="009736C5" w:rsidP="009736C5">
            <w:pPr>
              <w:pStyle w:val="BodyText"/>
              <w:spacing w:line="240" w:lineRule="auto"/>
              <w:ind w:left="0"/>
            </w:pPr>
            <w:r w:rsidRPr="00563BDD">
              <w:t>Jeanne.Kingery@duke-energy.com</w:t>
            </w:r>
          </w:p>
          <w:p w:rsidR="00565748" w:rsidRPr="00887E0B" w:rsidRDefault="00565748" w:rsidP="00985807">
            <w:pPr>
              <w:autoSpaceDE w:val="0"/>
              <w:autoSpaceDN w:val="0"/>
              <w:adjustRightInd w:val="0"/>
              <w:rPr>
                <w:color w:val="000000"/>
              </w:rPr>
            </w:pPr>
          </w:p>
        </w:tc>
      </w:tr>
    </w:tbl>
    <w:p w:rsidR="00870C6E" w:rsidRDefault="00870C6E">
      <w:pPr>
        <w:jc w:val="right"/>
      </w:pPr>
    </w:p>
    <w:p w:rsidR="0077299C" w:rsidRDefault="0077299C">
      <w:r>
        <w:br w:type="page"/>
      </w:r>
    </w:p>
    <w:p w:rsidR="0077299C" w:rsidRDefault="0077299C" w:rsidP="0077299C">
      <w:pPr>
        <w:ind w:left="720" w:hanging="720"/>
        <w:jc w:val="right"/>
        <w:rPr>
          <w:b/>
        </w:rPr>
      </w:pPr>
      <w:r>
        <w:rPr>
          <w:b/>
        </w:rPr>
        <w:t>ATTACHMENT DJD-1</w:t>
      </w:r>
    </w:p>
    <w:p w:rsidR="0077299C" w:rsidRDefault="0077299C" w:rsidP="0077299C">
      <w:pPr>
        <w:jc w:val="right"/>
      </w:pPr>
      <w:r>
        <w:t>Page 1 of 2</w:t>
      </w:r>
    </w:p>
    <w:p w:rsidR="0077299C" w:rsidRDefault="0077299C" w:rsidP="0077299C">
      <w:pPr>
        <w:rPr>
          <w:b/>
        </w:rPr>
      </w:pPr>
    </w:p>
    <w:p w:rsidR="0077299C" w:rsidRDefault="0077299C" w:rsidP="0077299C">
      <w:pPr>
        <w:jc w:val="center"/>
        <w:rPr>
          <w:b/>
        </w:rPr>
      </w:pPr>
      <w:bookmarkStart w:id="10" w:name="_Toc249780404"/>
      <w:bookmarkStart w:id="11" w:name="_Toc249782130"/>
      <w:r>
        <w:rPr>
          <w:b/>
        </w:rPr>
        <w:t xml:space="preserve">Daniel J. Duann, Ph.D. </w:t>
      </w:r>
    </w:p>
    <w:p w:rsidR="0077299C" w:rsidRDefault="0077299C" w:rsidP="0077299C">
      <w:pPr>
        <w:jc w:val="center"/>
        <w:rPr>
          <w:b/>
        </w:rPr>
      </w:pPr>
      <w:r>
        <w:rPr>
          <w:b/>
        </w:rPr>
        <w:t xml:space="preserve">List of Testimonies Filed Before PUCO </w:t>
      </w:r>
      <w:bookmarkEnd w:id="10"/>
      <w:bookmarkEnd w:id="11"/>
    </w:p>
    <w:p w:rsidR="0077299C" w:rsidRDefault="0077299C" w:rsidP="0077299C">
      <w:pPr>
        <w:pStyle w:val="FootnoteText"/>
        <w:spacing w:after="120"/>
      </w:pPr>
    </w:p>
    <w:p w:rsidR="0077299C" w:rsidRDefault="0077299C" w:rsidP="0077299C">
      <w:pPr>
        <w:pStyle w:val="FootnoteText"/>
        <w:numPr>
          <w:ilvl w:val="0"/>
          <w:numId w:val="9"/>
        </w:numPr>
        <w:tabs>
          <w:tab w:val="clear" w:pos="360"/>
        </w:tabs>
        <w:spacing w:before="0" w:after="180"/>
        <w:ind w:left="720" w:hanging="720"/>
        <w:rPr>
          <w:sz w:val="24"/>
          <w:szCs w:val="24"/>
        </w:rPr>
      </w:pPr>
      <w:r>
        <w:rPr>
          <w:i/>
          <w:sz w:val="24"/>
          <w:szCs w:val="24"/>
        </w:rPr>
        <w:t>Application of The Dayton Power and Light Company for Approval of Its Electric Security Plan</w:t>
      </w:r>
      <w:r>
        <w:rPr>
          <w:sz w:val="24"/>
          <w:szCs w:val="24"/>
        </w:rPr>
        <w:t>, Case No. 08-1094-EL-SSO (January 26, 2009).</w:t>
      </w:r>
    </w:p>
    <w:p w:rsidR="0077299C" w:rsidRDefault="0077299C" w:rsidP="0077299C">
      <w:pPr>
        <w:pStyle w:val="FootnoteText"/>
        <w:numPr>
          <w:ilvl w:val="0"/>
          <w:numId w:val="9"/>
        </w:numPr>
        <w:tabs>
          <w:tab w:val="clear" w:pos="360"/>
        </w:tabs>
        <w:spacing w:before="0" w:after="180"/>
        <w:ind w:left="720" w:hanging="720"/>
        <w:rPr>
          <w:sz w:val="24"/>
          <w:szCs w:val="24"/>
        </w:rPr>
      </w:pPr>
      <w:r>
        <w:rPr>
          <w:i/>
          <w:sz w:val="24"/>
          <w:szCs w:val="24"/>
        </w:rPr>
        <w:t>Application of Ohio American Water Company to Increase Its Rates for Water and Sewer Service Provided to Its Entire Service Area</w:t>
      </w:r>
      <w:r>
        <w:rPr>
          <w:sz w:val="24"/>
          <w:szCs w:val="24"/>
        </w:rPr>
        <w:t>, Case No. 09-391-WS-AIR (January 4,2010).</w:t>
      </w:r>
    </w:p>
    <w:p w:rsidR="0077299C" w:rsidRDefault="0077299C" w:rsidP="0077299C">
      <w:pPr>
        <w:pStyle w:val="FootnoteText"/>
        <w:numPr>
          <w:ilvl w:val="0"/>
          <w:numId w:val="9"/>
        </w:numPr>
        <w:tabs>
          <w:tab w:val="clear" w:pos="360"/>
        </w:tabs>
        <w:spacing w:before="0" w:after="180"/>
        <w:ind w:left="720" w:hanging="720"/>
        <w:rPr>
          <w:sz w:val="24"/>
          <w:szCs w:val="24"/>
        </w:rPr>
      </w:pPr>
      <w:r>
        <w:rPr>
          <w:i/>
          <w:sz w:val="24"/>
          <w:szCs w:val="24"/>
        </w:rPr>
        <w:t>Application of Aqua Ohio, Inc. for Authority to Increase its Rates and Charges in its Masury Division</w:t>
      </w:r>
      <w:r>
        <w:rPr>
          <w:sz w:val="24"/>
          <w:szCs w:val="24"/>
        </w:rPr>
        <w:t>, Case No. 09-560-WW-AIR (February 22, 2010).</w:t>
      </w:r>
    </w:p>
    <w:p w:rsidR="0077299C" w:rsidRDefault="0077299C" w:rsidP="0077299C">
      <w:pPr>
        <w:pStyle w:val="FootnoteText"/>
        <w:numPr>
          <w:ilvl w:val="0"/>
          <w:numId w:val="9"/>
        </w:numPr>
        <w:tabs>
          <w:tab w:val="clear" w:pos="360"/>
        </w:tabs>
        <w:spacing w:before="0" w:after="180"/>
        <w:ind w:left="720" w:hanging="720"/>
        <w:rPr>
          <w:sz w:val="24"/>
          <w:szCs w:val="24"/>
        </w:rPr>
      </w:pPr>
      <w:r>
        <w:rPr>
          <w:i/>
          <w:sz w:val="24"/>
          <w:szCs w:val="24"/>
        </w:rPr>
        <w:t>Application of Aqua Ohio, Inc. for Authority to increase its Rates and Charges in its Lake Erie Division</w:t>
      </w:r>
      <w:r>
        <w:rPr>
          <w:sz w:val="24"/>
          <w:szCs w:val="24"/>
        </w:rPr>
        <w:t>, Case No. 09-1044-WW-AIR (June 21, 2010).</w:t>
      </w:r>
    </w:p>
    <w:p w:rsidR="0077299C" w:rsidRDefault="0077299C" w:rsidP="0077299C">
      <w:pPr>
        <w:pStyle w:val="FootnoteText"/>
        <w:numPr>
          <w:ilvl w:val="0"/>
          <w:numId w:val="9"/>
        </w:numPr>
        <w:tabs>
          <w:tab w:val="clear" w:pos="360"/>
        </w:tabs>
        <w:spacing w:before="0" w:after="180"/>
        <w:ind w:left="720" w:hanging="720"/>
        <w:rPr>
          <w:sz w:val="24"/>
          <w:szCs w:val="24"/>
        </w:rPr>
      </w:pPr>
      <w:r>
        <w:rPr>
          <w:i/>
          <w:sz w:val="24"/>
          <w:szCs w:val="24"/>
        </w:rPr>
        <w:t>In the Matter of the Fuel Adjustment Clauses for Columbus Southern Power Company and Ohio Power Company</w:t>
      </w:r>
      <w:r>
        <w:rPr>
          <w:sz w:val="24"/>
          <w:szCs w:val="24"/>
        </w:rPr>
        <w:t>, Case Nos. 09-872-EL-FAC and 09-873-EL-FAC (August 16, 2010).</w:t>
      </w:r>
    </w:p>
    <w:p w:rsidR="0077299C" w:rsidRDefault="0077299C" w:rsidP="0077299C">
      <w:pPr>
        <w:pStyle w:val="FootnoteText"/>
        <w:numPr>
          <w:ilvl w:val="0"/>
          <w:numId w:val="9"/>
        </w:numPr>
        <w:tabs>
          <w:tab w:val="clear" w:pos="360"/>
        </w:tabs>
        <w:spacing w:before="0" w:after="180"/>
        <w:ind w:left="720" w:hanging="720"/>
        <w:rPr>
          <w:sz w:val="24"/>
          <w:szCs w:val="24"/>
        </w:rPr>
      </w:pPr>
      <w:r>
        <w:rPr>
          <w:i/>
          <w:sz w:val="24"/>
          <w:szCs w:val="24"/>
        </w:rPr>
        <w:t>In the Matter of the Application of Columbus Southern Power Company for Approval of an Electric Security Plan; an Amendment to its Corporate Separation Plan; and the Sale or Transfer of Certain Generating Asset (Remand)</w:t>
      </w:r>
      <w:r>
        <w:rPr>
          <w:sz w:val="24"/>
          <w:szCs w:val="24"/>
        </w:rPr>
        <w:t>, Case Nos. 08-917-EL-SSO et al (June 30, 2011).</w:t>
      </w:r>
    </w:p>
    <w:p w:rsidR="0077299C" w:rsidRDefault="0077299C" w:rsidP="0077299C">
      <w:pPr>
        <w:pStyle w:val="FootnoteText"/>
        <w:numPr>
          <w:ilvl w:val="0"/>
          <w:numId w:val="9"/>
        </w:numPr>
        <w:tabs>
          <w:tab w:val="clear" w:pos="360"/>
        </w:tabs>
        <w:spacing w:before="0" w:after="180"/>
        <w:ind w:left="720" w:hanging="720"/>
        <w:rPr>
          <w:sz w:val="24"/>
          <w:szCs w:val="24"/>
        </w:rPr>
      </w:pPr>
      <w:r>
        <w:rPr>
          <w:i/>
          <w:sz w:val="24"/>
          <w:szCs w:val="24"/>
        </w:rPr>
        <w:t>In the Matter of the Application of The East Ohio Gas Company d/b/a Dominion East Ohio for Approval of Tariffs to Modify and further Accelerate its Pipeline Infrastructure Replacement Program and to Recover the Associated Costs et al.</w:t>
      </w:r>
      <w:r>
        <w:rPr>
          <w:sz w:val="24"/>
          <w:szCs w:val="24"/>
        </w:rPr>
        <w:t>, Case Nos. 11-2401-GA-ALT and 08-169-GA-ALT (July 15, 2011).</w:t>
      </w:r>
    </w:p>
    <w:p w:rsidR="0077299C" w:rsidRDefault="0077299C" w:rsidP="0077299C">
      <w:pPr>
        <w:pStyle w:val="FootnoteText"/>
        <w:numPr>
          <w:ilvl w:val="0"/>
          <w:numId w:val="9"/>
        </w:numPr>
        <w:tabs>
          <w:tab w:val="clear" w:pos="360"/>
        </w:tabs>
        <w:spacing w:before="0" w:after="180"/>
        <w:ind w:left="720" w:hanging="720"/>
        <w:rPr>
          <w:sz w:val="24"/>
          <w:szCs w:val="24"/>
        </w:rPr>
      </w:pPr>
      <w:r>
        <w:rPr>
          <w:i/>
          <w:sz w:val="24"/>
          <w:szCs w:val="24"/>
        </w:rPr>
        <w:t>In the Matter of the Application of Columbus Southern Power Company and Ohio Power Company for Authority to Establish a Standard Service Offer Pursuant to 4928.143, Ohio Rev. Code in the Form of an Electric Security Plan (ESP)</w:t>
      </w:r>
      <w:r>
        <w:rPr>
          <w:sz w:val="24"/>
          <w:szCs w:val="24"/>
        </w:rPr>
        <w:t>, Case Nos. 11-346-EL-SSO, et al (July 25,2011).</w:t>
      </w:r>
    </w:p>
    <w:p w:rsidR="0077299C" w:rsidRDefault="0077299C" w:rsidP="0077299C">
      <w:pPr>
        <w:pStyle w:val="FootnoteText"/>
        <w:numPr>
          <w:ilvl w:val="0"/>
          <w:numId w:val="9"/>
        </w:numPr>
        <w:tabs>
          <w:tab w:val="clear" w:pos="360"/>
        </w:tabs>
        <w:spacing w:before="0" w:after="180"/>
        <w:ind w:left="720" w:hanging="720"/>
        <w:rPr>
          <w:sz w:val="24"/>
          <w:szCs w:val="24"/>
        </w:rPr>
      </w:pPr>
      <w:r>
        <w:rPr>
          <w:i/>
          <w:sz w:val="24"/>
          <w:szCs w:val="24"/>
        </w:rPr>
        <w:t>In the Matter of the Application of Columbus Southern Power Company and Ohio Power Company for Authority to Merge and Related Approval (ESP Stipulation)</w:t>
      </w:r>
      <w:r>
        <w:rPr>
          <w:sz w:val="24"/>
          <w:szCs w:val="24"/>
        </w:rPr>
        <w:t>, Case Nos. 10-2376-EL-UNC, et al (September 27, 2011).</w:t>
      </w:r>
    </w:p>
    <w:p w:rsidR="0077299C" w:rsidRDefault="0077299C" w:rsidP="0077299C">
      <w:pPr>
        <w:pStyle w:val="FootnoteText"/>
        <w:numPr>
          <w:ilvl w:val="0"/>
          <w:numId w:val="9"/>
        </w:numPr>
        <w:tabs>
          <w:tab w:val="clear" w:pos="360"/>
        </w:tabs>
        <w:spacing w:before="0" w:after="180"/>
        <w:ind w:left="720" w:hanging="720"/>
        <w:rPr>
          <w:sz w:val="24"/>
          <w:szCs w:val="24"/>
        </w:rPr>
      </w:pPr>
      <w:r>
        <w:rPr>
          <w:i/>
          <w:sz w:val="24"/>
          <w:szCs w:val="24"/>
        </w:rPr>
        <w:t xml:space="preserve">In the Matter of the 2010 Annual Filing of Columbus Southern Power Company and Ohio Power Company Required by Rule 4901:1-35-10, Ohio Administrative Code, </w:t>
      </w:r>
      <w:r>
        <w:rPr>
          <w:sz w:val="24"/>
          <w:szCs w:val="24"/>
        </w:rPr>
        <w:t>Case Nos. 11-4571-EL-UNC and 11-4572-EL-UNC (October 12, 2011).</w:t>
      </w:r>
    </w:p>
    <w:p w:rsidR="0077299C" w:rsidRDefault="0077299C" w:rsidP="0077299C">
      <w:pPr>
        <w:pStyle w:val="FootnoteText"/>
        <w:numPr>
          <w:ilvl w:val="0"/>
          <w:numId w:val="9"/>
        </w:numPr>
        <w:tabs>
          <w:tab w:val="clear" w:pos="360"/>
        </w:tabs>
        <w:spacing w:before="0" w:after="180"/>
        <w:ind w:left="720" w:hanging="720"/>
        <w:rPr>
          <w:sz w:val="24"/>
        </w:rPr>
      </w:pPr>
      <w:r>
        <w:rPr>
          <w:i/>
          <w:sz w:val="24"/>
        </w:rPr>
        <w:t>In the Matter of the Application of Ohio American Water Company to Increase Its Rates for Water and Sewer Service Provided to Its Entire Service Area</w:t>
      </w:r>
      <w:r>
        <w:rPr>
          <w:sz w:val="24"/>
        </w:rPr>
        <w:t>, Case No. 11-4161-WS-AIR (March 1, 2012).</w:t>
      </w:r>
    </w:p>
    <w:p w:rsidR="0077299C" w:rsidRDefault="0077299C" w:rsidP="0077299C">
      <w:pPr>
        <w:ind w:left="630"/>
        <w:jc w:val="right"/>
        <w:rPr>
          <w:b/>
        </w:rPr>
      </w:pPr>
      <w:r>
        <w:rPr>
          <w:b/>
        </w:rPr>
        <w:t>ATTACHMENT DJD-1</w:t>
      </w:r>
    </w:p>
    <w:p w:rsidR="0077299C" w:rsidRDefault="0077299C" w:rsidP="0077299C">
      <w:pPr>
        <w:ind w:left="630"/>
        <w:jc w:val="right"/>
      </w:pPr>
      <w:r>
        <w:t>Page 2 of 2</w:t>
      </w:r>
    </w:p>
    <w:p w:rsidR="0077299C" w:rsidRDefault="0077299C" w:rsidP="0077299C">
      <w:pPr>
        <w:pStyle w:val="FootnoteText"/>
        <w:spacing w:after="180"/>
        <w:ind w:left="720"/>
        <w:rPr>
          <w:sz w:val="24"/>
          <w:szCs w:val="24"/>
        </w:rPr>
      </w:pPr>
    </w:p>
    <w:p w:rsidR="0077299C" w:rsidRDefault="0077299C" w:rsidP="0077299C">
      <w:pPr>
        <w:pStyle w:val="FootnoteText"/>
        <w:numPr>
          <w:ilvl w:val="0"/>
          <w:numId w:val="9"/>
        </w:numPr>
        <w:tabs>
          <w:tab w:val="clear" w:pos="360"/>
        </w:tabs>
        <w:spacing w:before="0" w:after="180"/>
        <w:ind w:left="720" w:hanging="720"/>
        <w:rPr>
          <w:sz w:val="24"/>
          <w:szCs w:val="24"/>
        </w:rPr>
      </w:pPr>
      <w:r>
        <w:rPr>
          <w:i/>
          <w:sz w:val="24"/>
          <w:szCs w:val="24"/>
        </w:rPr>
        <w:t>In the Matter of the Application of Columbus Southern Power Company and Ohio Power Company for Authority to Establish a Standard Service Offer Pursuant to 4928.143, Ohio Rev. Code in the Form of an Electric Security Plan (Modified ESP)</w:t>
      </w:r>
      <w:r>
        <w:rPr>
          <w:sz w:val="24"/>
          <w:szCs w:val="24"/>
        </w:rPr>
        <w:t>, Case Nos. 11-346-EL-SSO, et al (May 4, 2012).</w:t>
      </w:r>
    </w:p>
    <w:p w:rsidR="0077299C" w:rsidRDefault="0077299C" w:rsidP="0077299C">
      <w:pPr>
        <w:numPr>
          <w:ilvl w:val="0"/>
          <w:numId w:val="9"/>
        </w:numPr>
        <w:tabs>
          <w:tab w:val="clear" w:pos="360"/>
          <w:tab w:val="num" w:pos="720"/>
        </w:tabs>
        <w:autoSpaceDE w:val="0"/>
        <w:autoSpaceDN w:val="0"/>
        <w:adjustRightInd w:val="0"/>
        <w:spacing w:after="180"/>
        <w:ind w:left="720" w:hanging="720"/>
      </w:pPr>
      <w:r>
        <w:rPr>
          <w:i/>
        </w:rPr>
        <w:t xml:space="preserve">In the Matter of the Application of Ohio Edison Company, The Cleveland Electric Illuminating Company, and The Toledo Edison Company For Authority to Establish a Standard Service Offer Pursuant to R.C. § 4928.143 in the Form Of an Electric Security Plan, </w:t>
      </w:r>
      <w:r>
        <w:t>Case No. 12-1230-EL-SSO (May 21, 2012).</w:t>
      </w:r>
    </w:p>
    <w:p w:rsidR="0077299C" w:rsidRDefault="0077299C" w:rsidP="0077299C">
      <w:pPr>
        <w:numPr>
          <w:ilvl w:val="0"/>
          <w:numId w:val="9"/>
        </w:numPr>
        <w:tabs>
          <w:tab w:val="clear" w:pos="360"/>
        </w:tabs>
        <w:autoSpaceDE w:val="0"/>
        <w:autoSpaceDN w:val="0"/>
        <w:adjustRightInd w:val="0"/>
        <w:spacing w:after="180"/>
        <w:ind w:left="720" w:hanging="720"/>
      </w:pPr>
      <w:r>
        <w:rPr>
          <w:i/>
        </w:rPr>
        <w:t xml:space="preserve">In the Matter of the Application of Duke Energy Ohio, Inc., for an Increase in Electric Distribution Rates, et al. </w:t>
      </w:r>
      <w:r>
        <w:t xml:space="preserve">Case Nos. 12-1682-EL-AIR (February 19, 2013). </w:t>
      </w:r>
    </w:p>
    <w:p w:rsidR="0077299C" w:rsidRDefault="0077299C" w:rsidP="0077299C">
      <w:pPr>
        <w:numPr>
          <w:ilvl w:val="0"/>
          <w:numId w:val="9"/>
        </w:numPr>
        <w:tabs>
          <w:tab w:val="clear" w:pos="360"/>
        </w:tabs>
        <w:autoSpaceDE w:val="0"/>
        <w:autoSpaceDN w:val="0"/>
        <w:adjustRightInd w:val="0"/>
        <w:spacing w:after="180"/>
        <w:ind w:left="720" w:hanging="720"/>
      </w:pPr>
      <w:r>
        <w:rPr>
          <w:i/>
        </w:rPr>
        <w:t xml:space="preserve">In the Matter of the Application of Duke Energy Ohio, Inc., for an Increase in Gas Rates, </w:t>
      </w:r>
      <w:r>
        <w:t>Case Nos. 12-1685-GA-AIR, et al (February 25, 2013).</w:t>
      </w:r>
    </w:p>
    <w:p w:rsidR="0077299C" w:rsidRDefault="0077299C" w:rsidP="0077299C">
      <w:pPr>
        <w:numPr>
          <w:ilvl w:val="0"/>
          <w:numId w:val="9"/>
        </w:numPr>
        <w:tabs>
          <w:tab w:val="clear" w:pos="360"/>
        </w:tabs>
        <w:autoSpaceDE w:val="0"/>
        <w:autoSpaceDN w:val="0"/>
        <w:adjustRightInd w:val="0"/>
        <w:spacing w:after="180"/>
        <w:ind w:left="720" w:hanging="720"/>
      </w:pPr>
      <w:r w:rsidRPr="000C34C6">
        <w:rPr>
          <w:i/>
        </w:rPr>
        <w:t xml:space="preserve">In the Matter of the Application of Dayton Power &amp; Light Company for Authority to Establish a Standard Service Offer in the Form Of an Electric Security Plan Pursuant to R.C. 4928.143, </w:t>
      </w:r>
      <w:r>
        <w:t>Case No. 12-426-EL-SSO et al. (March 1, 2013).</w:t>
      </w:r>
    </w:p>
    <w:p w:rsidR="0077299C" w:rsidRDefault="0077299C" w:rsidP="0077299C">
      <w:pPr>
        <w:numPr>
          <w:ilvl w:val="0"/>
          <w:numId w:val="9"/>
        </w:numPr>
        <w:tabs>
          <w:tab w:val="clear" w:pos="360"/>
        </w:tabs>
        <w:autoSpaceDE w:val="0"/>
        <w:autoSpaceDN w:val="0"/>
        <w:adjustRightInd w:val="0"/>
        <w:spacing w:after="180"/>
        <w:ind w:left="720" w:hanging="720"/>
      </w:pPr>
      <w:r w:rsidRPr="000C34C6">
        <w:rPr>
          <w:i/>
        </w:rPr>
        <w:t xml:space="preserve">In the Matter of the Application of The Dayton Power and Light Company for Authority to Recover of Certain Storm-related Service Restoration Costs, </w:t>
      </w:r>
      <w:r>
        <w:t xml:space="preserve">Case Nos. 12-3062-EL-RDR, et al. (January 31, 2014). </w:t>
      </w:r>
    </w:p>
    <w:p w:rsidR="0077299C" w:rsidRPr="00122265" w:rsidRDefault="0077299C" w:rsidP="0077299C">
      <w:pPr>
        <w:numPr>
          <w:ilvl w:val="0"/>
          <w:numId w:val="9"/>
        </w:numPr>
        <w:tabs>
          <w:tab w:val="clear" w:pos="360"/>
        </w:tabs>
        <w:autoSpaceDE w:val="0"/>
        <w:autoSpaceDN w:val="0"/>
        <w:adjustRightInd w:val="0"/>
        <w:spacing w:after="180"/>
        <w:ind w:left="720" w:hanging="720"/>
      </w:pPr>
      <w:r>
        <w:rPr>
          <w:i/>
        </w:rPr>
        <w:t xml:space="preserve">In the Matter of the Application of The Dayton Power and Light Company for Authority to Recover of Certain Storm-related Service Restoration Costs, </w:t>
      </w:r>
      <w:r>
        <w:t xml:space="preserve">Case Nos. 12-3062-EL-RDR, et al. (May 23, 2014). </w:t>
      </w:r>
    </w:p>
    <w:p w:rsidR="0077299C" w:rsidRDefault="0077299C" w:rsidP="0077299C">
      <w:pPr>
        <w:numPr>
          <w:ilvl w:val="0"/>
          <w:numId w:val="9"/>
        </w:numPr>
        <w:tabs>
          <w:tab w:val="clear" w:pos="360"/>
        </w:tabs>
        <w:autoSpaceDE w:val="0"/>
        <w:autoSpaceDN w:val="0"/>
        <w:adjustRightInd w:val="0"/>
        <w:spacing w:after="180"/>
        <w:ind w:left="720" w:hanging="720"/>
      </w:pPr>
      <w:r>
        <w:rPr>
          <w:i/>
        </w:rPr>
        <w:t xml:space="preserve">In the Matter of the Application of Aqua Ohio, Inc. to Increase Its Rates and Charges for Its Waterworks Service, </w:t>
      </w:r>
      <w:r>
        <w:t>Case No. 13-2124-WW-AIR (August 4, 2014).</w:t>
      </w:r>
    </w:p>
    <w:p w:rsidR="0077299C" w:rsidRPr="0027190E" w:rsidRDefault="0077299C" w:rsidP="0077299C">
      <w:pPr>
        <w:numPr>
          <w:ilvl w:val="0"/>
          <w:numId w:val="9"/>
        </w:numPr>
        <w:tabs>
          <w:tab w:val="clear" w:pos="360"/>
          <w:tab w:val="num" w:pos="630"/>
        </w:tabs>
        <w:autoSpaceDE w:val="0"/>
        <w:autoSpaceDN w:val="0"/>
        <w:adjustRightInd w:val="0"/>
        <w:spacing w:after="180"/>
        <w:ind w:left="630" w:hanging="630"/>
        <w:rPr>
          <w:i/>
        </w:rPr>
      </w:pPr>
      <w:r w:rsidRPr="0027190E">
        <w:rPr>
          <w:i/>
        </w:rPr>
        <w:t>In the Matter of the Application Seeking Approval of Ohio Power Company’s Proposal to Enter into an Affiliate Power Purchase Agreement for Inclusion in th</w:t>
      </w:r>
      <w:r>
        <w:rPr>
          <w:i/>
        </w:rPr>
        <w:t>e Power Purchase Agreement Ride,</w:t>
      </w:r>
      <w:r w:rsidRPr="0027190E">
        <w:t xml:space="preserve"> Case No. 14-1693-EL-RDR</w:t>
      </w:r>
      <w:r>
        <w:t>, et al. (September 11, 2015).</w:t>
      </w:r>
    </w:p>
    <w:p w:rsidR="0077299C" w:rsidRDefault="0077299C" w:rsidP="0077299C">
      <w:pPr>
        <w:autoSpaceDE w:val="0"/>
        <w:autoSpaceDN w:val="0"/>
        <w:adjustRightInd w:val="0"/>
        <w:spacing w:after="180"/>
        <w:ind w:left="630" w:hanging="630"/>
      </w:pPr>
    </w:p>
    <w:p w:rsidR="0077299C" w:rsidRDefault="0077299C" w:rsidP="0077299C">
      <w:pPr>
        <w:autoSpaceDE w:val="0"/>
        <w:autoSpaceDN w:val="0"/>
        <w:adjustRightInd w:val="0"/>
        <w:spacing w:after="180"/>
        <w:ind w:left="630"/>
      </w:pPr>
      <w:r>
        <w:rPr>
          <w:i/>
        </w:rPr>
        <w:t xml:space="preserve"> </w:t>
      </w:r>
    </w:p>
    <w:p w:rsidR="0077299C" w:rsidRDefault="0077299C" w:rsidP="0077299C">
      <w:pPr>
        <w:jc w:val="right"/>
        <w:rPr>
          <w:b/>
        </w:rPr>
      </w:pPr>
      <w:r>
        <w:br w:type="page"/>
      </w:r>
      <w:r>
        <w:rPr>
          <w:b/>
        </w:rPr>
        <w:t>ATTACHMENT DJD-2</w:t>
      </w:r>
    </w:p>
    <w:p w:rsidR="0077299C" w:rsidRDefault="0077299C" w:rsidP="0077299C">
      <w:pPr>
        <w:jc w:val="right"/>
      </w:pPr>
      <w:r>
        <w:t>Page 1 of 2</w:t>
      </w:r>
    </w:p>
    <w:p w:rsidR="0077299C" w:rsidRDefault="0077299C" w:rsidP="0077299C"/>
    <w:p w:rsidR="0077299C" w:rsidRDefault="0077299C" w:rsidP="0077299C">
      <w:pPr>
        <w:jc w:val="center"/>
        <w:rPr>
          <w:b/>
        </w:rPr>
      </w:pPr>
      <w:r>
        <w:rPr>
          <w:b/>
        </w:rPr>
        <w:t xml:space="preserve">Daniel J. Duann, Ph.D. </w:t>
      </w:r>
    </w:p>
    <w:p w:rsidR="0077299C" w:rsidRDefault="0077299C" w:rsidP="0077299C">
      <w:pPr>
        <w:jc w:val="center"/>
        <w:rPr>
          <w:b/>
        </w:rPr>
      </w:pPr>
      <w:r>
        <w:rPr>
          <w:b/>
        </w:rPr>
        <w:t xml:space="preserve">List of Professional Publications </w:t>
      </w:r>
    </w:p>
    <w:p w:rsidR="0077299C" w:rsidRDefault="0077299C" w:rsidP="0077299C"/>
    <w:p w:rsidR="0077299C" w:rsidRDefault="0077299C" w:rsidP="0077299C">
      <w:pPr>
        <w:spacing w:after="180"/>
        <w:rPr>
          <w:b/>
        </w:rPr>
      </w:pPr>
      <w:r>
        <w:rPr>
          <w:b/>
        </w:rPr>
        <w:t>Journal Articles</w:t>
      </w:r>
    </w:p>
    <w:p w:rsidR="0077299C" w:rsidRDefault="0077299C" w:rsidP="0077299C">
      <w:pPr>
        <w:spacing w:after="180"/>
      </w:pPr>
      <w:r>
        <w:rPr>
          <w:i/>
        </w:rPr>
        <w:t>Regulation, The Cato Review of Business &amp; Government</w:t>
      </w:r>
      <w:r>
        <w:t xml:space="preserve">, “Turning up the Heat in the Natural Gas Industry,” Vol. 19, 1996, (with Kenneth W. Costello).  </w:t>
      </w:r>
    </w:p>
    <w:p w:rsidR="0077299C" w:rsidRDefault="0077299C" w:rsidP="0077299C">
      <w:pPr>
        <w:spacing w:after="180"/>
      </w:pPr>
      <w:r>
        <w:rPr>
          <w:i/>
        </w:rPr>
        <w:t>Managerial And Decision Economics</w:t>
      </w:r>
      <w:r>
        <w:t>, “Designing a Preferred Bidding Procedure for Securing Electric Generating Capacity,” Vol. 12, 1991.</w:t>
      </w:r>
    </w:p>
    <w:p w:rsidR="0077299C" w:rsidRDefault="0077299C" w:rsidP="0077299C">
      <w:pPr>
        <w:spacing w:after="180"/>
      </w:pPr>
      <w:r>
        <w:rPr>
          <w:i/>
        </w:rPr>
        <w:t>The Journal of Energy and Development</w:t>
      </w:r>
      <w:r>
        <w:t>, “Direct Gas Purchases by Local Distribution Companies: Supply Reliability and Cost Implications,” Vol. 14, 1989.</w:t>
      </w:r>
    </w:p>
    <w:p w:rsidR="0077299C" w:rsidRDefault="0077299C" w:rsidP="0077299C">
      <w:pPr>
        <w:spacing w:after="180"/>
      </w:pPr>
      <w:r>
        <w:rPr>
          <w:i/>
        </w:rPr>
        <w:t>Public Utilities Fortnightly</w:t>
      </w:r>
      <w:r>
        <w:t>, “Alternative Searching and Maximum Benefit in Electric Least-Cost Planning,” December 21, 1989.</w:t>
      </w:r>
    </w:p>
    <w:p w:rsidR="0077299C" w:rsidRDefault="0077299C" w:rsidP="0077299C"/>
    <w:p w:rsidR="0077299C" w:rsidRDefault="0077299C" w:rsidP="0077299C">
      <w:bookmarkStart w:id="12" w:name="_Toc249780406"/>
      <w:bookmarkStart w:id="13" w:name="_Toc249782132"/>
    </w:p>
    <w:p w:rsidR="0077299C" w:rsidRDefault="0077299C" w:rsidP="0077299C">
      <w:pPr>
        <w:rPr>
          <w:b/>
        </w:rPr>
      </w:pPr>
      <w:r>
        <w:rPr>
          <w:b/>
        </w:rPr>
        <w:t>Research Reports and Presentations</w:t>
      </w:r>
      <w:bookmarkEnd w:id="12"/>
      <w:bookmarkEnd w:id="13"/>
    </w:p>
    <w:p w:rsidR="0077299C" w:rsidRDefault="0077299C" w:rsidP="0077299C"/>
    <w:p w:rsidR="0077299C" w:rsidRDefault="0077299C" w:rsidP="0077299C">
      <w:pPr>
        <w:spacing w:after="180"/>
      </w:pPr>
      <w:bookmarkStart w:id="14" w:name="_Toc249780407"/>
      <w:bookmarkStart w:id="15" w:name="_Toc249782133"/>
      <w:r>
        <w:t xml:space="preserve">The National Regulatory Research Institute, </w:t>
      </w:r>
      <w:r>
        <w:rPr>
          <w:i/>
        </w:rPr>
        <w:t>Pricing Local Distribution Services in a Competitive Market</w:t>
      </w:r>
      <w:r>
        <w:t>, 1995</w:t>
      </w:r>
      <w:bookmarkEnd w:id="14"/>
      <w:bookmarkEnd w:id="15"/>
      <w:r>
        <w:t xml:space="preserve">. </w:t>
      </w:r>
    </w:p>
    <w:p w:rsidR="0077299C" w:rsidRDefault="0077299C" w:rsidP="0077299C">
      <w:pPr>
        <w:spacing w:after="180"/>
      </w:pPr>
      <w:r>
        <w:t xml:space="preserve">Ninth NARUC Biennial Regulatory Information Conference, Ohio State University, </w:t>
      </w:r>
      <w:r>
        <w:rPr>
          <w:i/>
        </w:rPr>
        <w:t>The Unbundling and Restructuring of Local Distribution Services in the Post-636 Gas Market</w:t>
      </w:r>
      <w:r>
        <w:t>, 1994.</w:t>
      </w:r>
    </w:p>
    <w:p w:rsidR="0077299C" w:rsidRDefault="0077299C" w:rsidP="0077299C">
      <w:pPr>
        <w:spacing w:after="180"/>
      </w:pPr>
      <w:r>
        <w:t xml:space="preserve">The National Regulatory Research Institute, </w:t>
      </w:r>
      <w:r>
        <w:rPr>
          <w:i/>
        </w:rPr>
        <w:t>A Survey of Recent State Initiatives on EPACT and FERC Order 636</w:t>
      </w:r>
      <w:r>
        <w:t>, 1994 (with Belle Chen).</w:t>
      </w:r>
    </w:p>
    <w:p w:rsidR="0077299C" w:rsidRDefault="0077299C" w:rsidP="0077299C">
      <w:pPr>
        <w:spacing w:after="180"/>
      </w:pPr>
      <w:r>
        <w:t xml:space="preserve">The National Regulatory Research Institute, </w:t>
      </w:r>
      <w:r>
        <w:rPr>
          <w:i/>
        </w:rPr>
        <w:t>Restructuring Local Distribution Services: Possibilities and Limitations</w:t>
      </w:r>
      <w:r>
        <w:t>, 1994.</w:t>
      </w:r>
    </w:p>
    <w:p w:rsidR="0077299C" w:rsidRDefault="0077299C" w:rsidP="0077299C">
      <w:pPr>
        <w:spacing w:after="180"/>
      </w:pPr>
      <w:r>
        <w:t xml:space="preserve">The National Regulatory Research Institute, </w:t>
      </w:r>
      <w:r>
        <w:rPr>
          <w:i/>
        </w:rPr>
        <w:t>The FERC Restructuring Rule: Implications for Local Distribution Companies and State Public Utilities Commissions</w:t>
      </w:r>
      <w:r>
        <w:t>, 1993.</w:t>
      </w:r>
    </w:p>
    <w:p w:rsidR="0077299C" w:rsidRDefault="0077299C" w:rsidP="0077299C">
      <w:pPr>
        <w:spacing w:after="180"/>
      </w:pPr>
      <w:r>
        <w:t xml:space="preserve">The National Regulatory Research Institute, </w:t>
      </w:r>
      <w:r>
        <w:rPr>
          <w:i/>
        </w:rPr>
        <w:t>A Synopsis of the Energy Policy Act of 1992: New Tasks for State Public Utility Commissions</w:t>
      </w:r>
      <w:r>
        <w:t xml:space="preserve">, 1993.  </w:t>
      </w:r>
    </w:p>
    <w:p w:rsidR="0077299C" w:rsidRDefault="0077299C" w:rsidP="0077299C">
      <w:pPr>
        <w:spacing w:after="180"/>
      </w:pPr>
      <w:r>
        <w:t xml:space="preserve">International Symposium on Energy, Environment &amp; Information Management, Argonne National Laboratory, </w:t>
      </w:r>
      <w:r>
        <w:rPr>
          <w:i/>
        </w:rPr>
        <w:t>Natural Gas Vehicles: Barriers, Potentials, and Government Policies</w:t>
      </w:r>
      <w:r>
        <w:t>, 1992.</w:t>
      </w:r>
    </w:p>
    <w:p w:rsidR="0077299C" w:rsidRDefault="0077299C" w:rsidP="0077299C">
      <w:pPr>
        <w:spacing w:after="180"/>
      </w:pPr>
      <w:r>
        <w:t xml:space="preserve">The National Regulatory Research Institute, </w:t>
      </w:r>
      <w:r>
        <w:rPr>
          <w:i/>
        </w:rPr>
        <w:t>Natural Gas Vehicles and the Role of State Public Service Commissions</w:t>
      </w:r>
      <w:r>
        <w:t>, 1992 (with Youssef Hegazy).</w:t>
      </w:r>
    </w:p>
    <w:p w:rsidR="00CA4BC0" w:rsidRDefault="00CA4BC0">
      <w:pPr>
        <w:rPr>
          <w:b/>
        </w:rPr>
      </w:pPr>
      <w:r>
        <w:rPr>
          <w:b/>
        </w:rPr>
        <w:br w:type="page"/>
      </w:r>
    </w:p>
    <w:p w:rsidR="00CA4BC0" w:rsidRDefault="00CA4BC0" w:rsidP="00CA4BC0">
      <w:pPr>
        <w:jc w:val="right"/>
        <w:rPr>
          <w:b/>
        </w:rPr>
      </w:pPr>
      <w:r>
        <w:rPr>
          <w:b/>
        </w:rPr>
        <w:t>ATTACHMENT DJD-2</w:t>
      </w:r>
    </w:p>
    <w:p w:rsidR="00CA4BC0" w:rsidRDefault="00CA4BC0" w:rsidP="00CA4BC0">
      <w:pPr>
        <w:jc w:val="right"/>
      </w:pPr>
      <w:r>
        <w:t>Page 2 of 2</w:t>
      </w:r>
    </w:p>
    <w:p w:rsidR="00CA4BC0" w:rsidRDefault="00CA4BC0" w:rsidP="00CA4BC0"/>
    <w:p w:rsidR="00CA4BC0" w:rsidRDefault="00CA4BC0" w:rsidP="0077299C">
      <w:pPr>
        <w:spacing w:after="180"/>
      </w:pPr>
    </w:p>
    <w:p w:rsidR="0077299C" w:rsidRDefault="0077299C" w:rsidP="0077299C">
      <w:pPr>
        <w:spacing w:after="180"/>
      </w:pPr>
      <w:r>
        <w:t xml:space="preserve">The National Regulatory Research Institute, </w:t>
      </w:r>
      <w:r>
        <w:rPr>
          <w:i/>
        </w:rPr>
        <w:t>Incentive Regulation for Local Gas Distribution Companies under Changing Industry Structure</w:t>
      </w:r>
      <w:r>
        <w:t>, 1991 (with Mohammad Harunuzzaman, Kenneth W. Costello, and Sung-Bong Cho).</w:t>
      </w:r>
    </w:p>
    <w:p w:rsidR="0077299C" w:rsidRDefault="0077299C" w:rsidP="0077299C">
      <w:pPr>
        <w:spacing w:after="180"/>
      </w:pPr>
      <w:r>
        <w:t xml:space="preserve">The National Regulatory Research Institute, </w:t>
      </w:r>
      <w:r>
        <w:rPr>
          <w:i/>
        </w:rPr>
        <w:t>Discussion Papers on Competitive Bidding and Transmission Access and Pricing issues in the Context of Integrated Resource Planning</w:t>
      </w:r>
      <w:r>
        <w:t>, 1990 (with Robert E. Burns, Kenneth Rose, Kevin Kelly, and Narayan Rau).</w:t>
      </w:r>
    </w:p>
    <w:p w:rsidR="0077299C" w:rsidRDefault="0077299C" w:rsidP="0077299C">
      <w:pPr>
        <w:spacing w:after="180"/>
      </w:pPr>
      <w:r>
        <w:t xml:space="preserve">The National Regulatory Research Institute, </w:t>
      </w:r>
      <w:r>
        <w:rPr>
          <w:i/>
        </w:rPr>
        <w:t>Gas Storage: Strategy, Regulation, and Some Competitive Implications</w:t>
      </w:r>
      <w:r>
        <w:t>, 1990 (with Peter A. Nagler, Mohammad Harunuzzaman, and Govindarajan Iyyuni).</w:t>
      </w:r>
    </w:p>
    <w:p w:rsidR="0077299C" w:rsidRDefault="0077299C" w:rsidP="0077299C">
      <w:pPr>
        <w:spacing w:after="180"/>
      </w:pPr>
      <w:r>
        <w:t xml:space="preserve">The National Regulatory Research Institute, </w:t>
      </w:r>
      <w:r>
        <w:rPr>
          <w:i/>
        </w:rPr>
        <w:t>State Gas Transportation Policies: An Evaluation of Approaches</w:t>
      </w:r>
      <w:r>
        <w:t>, 1989 (with Robert E. Burns and Peter A. Nagler).</w:t>
      </w:r>
    </w:p>
    <w:p w:rsidR="0077299C" w:rsidRDefault="0077299C" w:rsidP="00CA4BC0">
      <w:pPr>
        <w:pStyle w:val="BodyText"/>
        <w:spacing w:line="240" w:lineRule="auto"/>
        <w:ind w:left="0"/>
      </w:pPr>
      <w:r>
        <w:t xml:space="preserve">The National Regulatory Research Institute, </w:t>
      </w:r>
      <w:r>
        <w:rPr>
          <w:i/>
        </w:rPr>
        <w:t>Direct Gas Purchases by Gas Distribution Companies: Supply Reliability and Cost Implications</w:t>
      </w:r>
      <w:r>
        <w:t>, 1989, (with Robert E. Burns and Peter A. Nagler).</w:t>
      </w:r>
    </w:p>
    <w:p w:rsidR="00CA4BC0" w:rsidRDefault="00CA4BC0" w:rsidP="00CA4BC0">
      <w:pPr>
        <w:pStyle w:val="BodyText"/>
        <w:spacing w:line="240" w:lineRule="auto"/>
      </w:pPr>
    </w:p>
    <w:p w:rsidR="0077299C" w:rsidRDefault="0077299C" w:rsidP="0077299C">
      <w:pPr>
        <w:spacing w:after="180"/>
        <w:rPr>
          <w:b/>
          <w:u w:val="single"/>
        </w:rPr>
      </w:pPr>
      <w:r>
        <w:t xml:space="preserve">The National Regulatory Research Institute, </w:t>
      </w:r>
      <w:r>
        <w:rPr>
          <w:i/>
        </w:rPr>
        <w:t>Competitive Bidding for Electric Generating Capacity: Application and Implementation</w:t>
      </w:r>
      <w:r>
        <w:t>, 1988 (with Robert E. Burns, Douglas N. Jones, and Mark Eifert).</w:t>
      </w:r>
      <w:r>
        <w:rPr>
          <w:b/>
          <w:u w:val="single"/>
        </w:rPr>
        <w:t xml:space="preserve"> </w:t>
      </w:r>
    </w:p>
    <w:p w:rsidR="0077299C" w:rsidRDefault="0077299C" w:rsidP="0077299C">
      <w:pPr>
        <w:pStyle w:val="NoSpacing"/>
      </w:pPr>
    </w:p>
    <w:p w:rsidR="00AA6FB9" w:rsidRDefault="00AA6FB9" w:rsidP="000F43E8">
      <w:pPr>
        <w:ind w:left="720" w:hanging="720"/>
        <w:jc w:val="right"/>
      </w:pPr>
    </w:p>
    <w:sectPr w:rsidR="00AA6FB9" w:rsidSect="006F2EEF">
      <w:headerReference w:type="even" r:id="rId22"/>
      <w:headerReference w:type="default" r:id="rId23"/>
      <w:footerReference w:type="default" r:id="rId24"/>
      <w:headerReference w:type="first" r:id="rId25"/>
      <w:footerReference w:type="first" r:id="rId26"/>
      <w:pgSz w:w="12240" w:h="15840" w:code="1"/>
      <w:pgMar w:top="1440" w:right="1800" w:bottom="1440" w:left="180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1698DB" w15:done="0"/>
  <w15:commentEx w15:paraId="1B5E14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264" w:rsidRDefault="00295264">
      <w:r>
        <w:separator/>
      </w:r>
    </w:p>
  </w:endnote>
  <w:endnote w:type="continuationSeparator" w:id="0">
    <w:p w:rsidR="00295264" w:rsidRDefault="0029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10" w:rsidRDefault="008239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22" w:rsidRDefault="00E0392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10" w:rsidRDefault="0082391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22" w:rsidRDefault="00E03922">
    <w:pPr>
      <w:pStyle w:val="Footer"/>
      <w:jc w:val="center"/>
    </w:pPr>
    <w:r>
      <w:t>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475329"/>
      <w:docPartObj>
        <w:docPartGallery w:val="Page Numbers (Bottom of Page)"/>
        <w:docPartUnique/>
      </w:docPartObj>
    </w:sdtPr>
    <w:sdtEndPr>
      <w:rPr>
        <w:noProof/>
      </w:rPr>
    </w:sdtEndPr>
    <w:sdtContent>
      <w:p w:rsidR="00E03922" w:rsidRDefault="00E03922">
        <w:pPr>
          <w:pStyle w:val="Footer"/>
          <w:jc w:val="center"/>
        </w:pPr>
        <w:r>
          <w:fldChar w:fldCharType="begin"/>
        </w:r>
        <w:r>
          <w:instrText xml:space="preserve"> PAGE   \* MERGEFORMAT </w:instrText>
        </w:r>
        <w:r>
          <w:fldChar w:fldCharType="separate"/>
        </w:r>
        <w:r w:rsidR="00B251DE">
          <w:rPr>
            <w:noProof/>
          </w:rPr>
          <w:t>1</w:t>
        </w:r>
        <w:r>
          <w:rPr>
            <w:noProof/>
          </w:rPr>
          <w:fldChar w:fldCharType="end"/>
        </w:r>
      </w:p>
    </w:sdtContent>
  </w:sdt>
  <w:p w:rsidR="00E03922" w:rsidRDefault="00E03922">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22" w:rsidRDefault="00E03922">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22" w:rsidRDefault="00E03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264" w:rsidRDefault="00295264">
      <w:r>
        <w:separator/>
      </w:r>
    </w:p>
  </w:footnote>
  <w:footnote w:type="continuationSeparator" w:id="0">
    <w:p w:rsidR="00295264" w:rsidRDefault="00295264">
      <w:r>
        <w:continuationSeparator/>
      </w:r>
    </w:p>
  </w:footnote>
  <w:footnote w:id="1">
    <w:p w:rsidR="00E03922" w:rsidRPr="005E63F0" w:rsidRDefault="00E03922" w:rsidP="009B14E7">
      <w:pPr>
        <w:pStyle w:val="FootnoteText"/>
        <w:spacing w:before="0" w:after="120"/>
      </w:pPr>
      <w:r w:rsidRPr="005E63F0">
        <w:rPr>
          <w:rStyle w:val="FootnoteReference"/>
        </w:rPr>
        <w:footnoteRef/>
      </w:r>
      <w:r w:rsidRPr="005E63F0">
        <w:t xml:space="preserve"> </w:t>
      </w:r>
      <w:r w:rsidRPr="005E63F0">
        <w:rPr>
          <w:i/>
        </w:rPr>
        <w:t>In the Matter of the Application of Duke Energy Ohio, Inc. for Approval of an Alternative Rate Plan Pursuant to Section 4929.05, Revised Code, for an Accelerated Service Line Replacement Program,</w:t>
      </w:r>
      <w:r w:rsidRPr="005E63F0">
        <w:t xml:space="preserve"> PUCO Case No. 14-1622-GA-ALT, </w:t>
      </w:r>
      <w:r>
        <w:t>Application (January 20, 2015).</w:t>
      </w:r>
    </w:p>
  </w:footnote>
  <w:footnote w:id="2">
    <w:p w:rsidR="005A7B47" w:rsidRDefault="005A7B47" w:rsidP="009B14E7">
      <w:pPr>
        <w:pStyle w:val="FootnoteText"/>
        <w:spacing w:before="0" w:after="120"/>
      </w:pPr>
      <w:r>
        <w:rPr>
          <w:rStyle w:val="FootnoteReference"/>
        </w:rPr>
        <w:footnoteRef/>
      </w:r>
      <w:r>
        <w:t xml:space="preserve"> See Testimony of OCC Witnesses Hayes and Williams.</w:t>
      </w:r>
    </w:p>
  </w:footnote>
  <w:footnote w:id="3">
    <w:p w:rsidR="005A7B47" w:rsidRPr="005E63F0" w:rsidRDefault="005A7B47" w:rsidP="009B14E7">
      <w:pPr>
        <w:pStyle w:val="FootnoteText"/>
        <w:spacing w:before="0" w:after="120"/>
      </w:pPr>
      <w:r w:rsidRPr="005E63F0">
        <w:rPr>
          <w:rStyle w:val="FootnoteReference"/>
        </w:rPr>
        <w:footnoteRef/>
      </w:r>
      <w:r w:rsidRPr="005E63F0">
        <w:t xml:space="preserve"> Direct Testimony of Peggy A. Laub, Attachment PAL-1 (October 23, 2015)</w:t>
      </w:r>
      <w:r>
        <w:t>.</w:t>
      </w:r>
    </w:p>
  </w:footnote>
  <w:footnote w:id="4">
    <w:p w:rsidR="00E03922" w:rsidRPr="005E63F0" w:rsidRDefault="00E03922" w:rsidP="009B14E7">
      <w:pPr>
        <w:pStyle w:val="FootnoteText"/>
        <w:spacing w:before="0" w:after="120"/>
      </w:pPr>
      <w:r w:rsidRPr="005E63F0">
        <w:rPr>
          <w:rStyle w:val="FootnoteReference"/>
        </w:rPr>
        <w:footnoteRef/>
      </w:r>
      <w:r w:rsidRPr="005E63F0">
        <w:t xml:space="preserve"> Direct Testimony of Roger A. Morin,</w:t>
      </w:r>
      <w:r>
        <w:t xml:space="preserve"> Ph.D. at 4 (October 23, 2015).</w:t>
      </w:r>
    </w:p>
  </w:footnote>
  <w:footnote w:id="5">
    <w:p w:rsidR="00E03922" w:rsidRDefault="00E03922" w:rsidP="009B14E7">
      <w:pPr>
        <w:pStyle w:val="FootnoteText"/>
        <w:spacing w:before="0" w:after="120"/>
      </w:pPr>
      <w:r>
        <w:rPr>
          <w:rStyle w:val="FootnoteReference"/>
        </w:rPr>
        <w:footnoteRef/>
      </w:r>
      <w:r>
        <w:t xml:space="preserve"> </w:t>
      </w:r>
      <w:r w:rsidRPr="00A05A9A">
        <w:rPr>
          <w:i/>
        </w:rPr>
        <w:t>In the Matter of the Application of Duke Energy Ohio, Inc. for an Increase in its Natural Gas Distribution Rates</w:t>
      </w:r>
      <w:r>
        <w:t>, Case Nos. 12-1685-GA-AIR et al., Opinion and Order at 13 and 21 (November 13, 2013) (“2012 Duke Rate Case”).</w:t>
      </w:r>
    </w:p>
  </w:footnote>
  <w:footnote w:id="6">
    <w:p w:rsidR="00E03922" w:rsidRPr="005E63F0" w:rsidRDefault="00E03922" w:rsidP="009B14E7">
      <w:pPr>
        <w:spacing w:after="120"/>
        <w:ind w:right="720"/>
        <w:rPr>
          <w:sz w:val="20"/>
          <w:szCs w:val="20"/>
        </w:rPr>
      </w:pPr>
      <w:r w:rsidRPr="005E63F0">
        <w:rPr>
          <w:rStyle w:val="FootnoteReference"/>
          <w:sz w:val="20"/>
          <w:szCs w:val="20"/>
        </w:rPr>
        <w:footnoteRef/>
      </w:r>
      <w:r w:rsidRPr="005E63F0">
        <w:rPr>
          <w:sz w:val="20"/>
          <w:szCs w:val="20"/>
        </w:rPr>
        <w:t xml:space="preserve"> The pre-tax rate of returns are calculated based on a capital structure of 53.3% equity and 46.7% debt, a debt cost rate of 5.32%, and a gross conversion factor of 1.5468532. All these parameters are the same as those included in the partial stipulation of Duke’s most recent gas distribution rate case (</w:t>
      </w:r>
      <w:r>
        <w:rPr>
          <w:sz w:val="20"/>
          <w:szCs w:val="20"/>
        </w:rPr>
        <w:t>“2012 Duke Rate Case”).</w:t>
      </w:r>
    </w:p>
  </w:footnote>
  <w:footnote w:id="7">
    <w:p w:rsidR="00E03922" w:rsidRPr="005E63F0" w:rsidRDefault="00E03922" w:rsidP="009B14E7">
      <w:pPr>
        <w:pStyle w:val="FootnoteText"/>
        <w:spacing w:before="0" w:after="120"/>
      </w:pPr>
      <w:r w:rsidRPr="005E63F0">
        <w:rPr>
          <w:rStyle w:val="FootnoteReference"/>
        </w:rPr>
        <w:footnoteRef/>
      </w:r>
      <w:r w:rsidRPr="005E63F0">
        <w:t xml:space="preserve"> Direct Testimony of </w:t>
      </w:r>
      <w:r>
        <w:t xml:space="preserve">Peggy A. </w:t>
      </w:r>
      <w:r w:rsidRPr="005E63F0">
        <w:t>Laub at 3</w:t>
      </w:r>
      <w:r>
        <w:t xml:space="preserve"> (October 23, 2015)</w:t>
      </w:r>
      <w:r w:rsidRPr="005E63F0">
        <w:t>.</w:t>
      </w:r>
    </w:p>
  </w:footnote>
  <w:footnote w:id="8">
    <w:p w:rsidR="00E03922" w:rsidRPr="005E63F0" w:rsidRDefault="00E03922" w:rsidP="009B14E7">
      <w:pPr>
        <w:pStyle w:val="FootnoteText"/>
        <w:spacing w:before="0" w:after="120"/>
      </w:pPr>
      <w:r w:rsidRPr="005E63F0">
        <w:rPr>
          <w:rStyle w:val="FootnoteReference"/>
        </w:rPr>
        <w:footnoteRef/>
      </w:r>
      <w:r w:rsidRPr="005E63F0">
        <w:t xml:space="preserve"> Direct Testimony of </w:t>
      </w:r>
      <w:r>
        <w:t xml:space="preserve">Peggy A. </w:t>
      </w:r>
      <w:r w:rsidRPr="005E63F0">
        <w:t>Laub at 5</w:t>
      </w:r>
      <w:r>
        <w:t xml:space="preserve"> (October 23, 2015)</w:t>
      </w:r>
      <w:r w:rsidRPr="005E63F0">
        <w:t>.</w:t>
      </w:r>
    </w:p>
  </w:footnote>
  <w:footnote w:id="9">
    <w:p w:rsidR="00E03922" w:rsidRPr="005E63F0" w:rsidRDefault="00E03922" w:rsidP="009B14E7">
      <w:pPr>
        <w:pStyle w:val="FootnoteText"/>
        <w:spacing w:before="0" w:after="120"/>
      </w:pPr>
      <w:r w:rsidRPr="005E63F0">
        <w:rPr>
          <w:rStyle w:val="FootnoteReference"/>
        </w:rPr>
        <w:footnoteRef/>
      </w:r>
      <w:r w:rsidR="00BC4485">
        <w:t xml:space="preserve"> </w:t>
      </w:r>
      <w:r w:rsidR="00BC4485" w:rsidRPr="005E63F0">
        <w:t xml:space="preserve">Direct Testimony of </w:t>
      </w:r>
      <w:r w:rsidR="00BC4485">
        <w:t xml:space="preserve">Peggy A. </w:t>
      </w:r>
      <w:r w:rsidR="00BC4485" w:rsidRPr="005E63F0">
        <w:t>Laub at 5</w:t>
      </w:r>
      <w:r w:rsidR="00BC4485">
        <w:t xml:space="preserve"> (October 23, 2015)</w:t>
      </w:r>
      <w:r w:rsidR="00BC4485" w:rsidRPr="005E63F0">
        <w:t>.</w:t>
      </w:r>
    </w:p>
  </w:footnote>
  <w:footnote w:id="10">
    <w:p w:rsidR="00E03922" w:rsidRPr="005E63F0" w:rsidRDefault="00E03922" w:rsidP="009B14E7">
      <w:pPr>
        <w:pStyle w:val="FootnoteText"/>
        <w:spacing w:before="0" w:after="120"/>
      </w:pPr>
      <w:r w:rsidRPr="005E63F0">
        <w:rPr>
          <w:rStyle w:val="FootnoteReference"/>
        </w:rPr>
        <w:footnoteRef/>
      </w:r>
      <w:r w:rsidRPr="005E63F0">
        <w:t xml:space="preserve"> Id.</w:t>
      </w:r>
    </w:p>
  </w:footnote>
  <w:footnote w:id="11">
    <w:p w:rsidR="00E03922" w:rsidRPr="005E63F0" w:rsidRDefault="00E03922" w:rsidP="009B14E7">
      <w:pPr>
        <w:pStyle w:val="FootnoteText"/>
        <w:spacing w:before="0" w:after="120"/>
      </w:pPr>
      <w:r w:rsidRPr="005E63F0">
        <w:rPr>
          <w:rStyle w:val="FootnoteReference"/>
        </w:rPr>
        <w:footnoteRef/>
      </w:r>
      <w:r w:rsidRPr="005E63F0">
        <w:t xml:space="preserve"> Id.</w:t>
      </w:r>
    </w:p>
  </w:footnote>
  <w:footnote w:id="12">
    <w:p w:rsidR="00E03922" w:rsidRPr="00E82D54" w:rsidRDefault="00E03922" w:rsidP="009B14E7">
      <w:pPr>
        <w:autoSpaceDE w:val="0"/>
        <w:autoSpaceDN w:val="0"/>
        <w:adjustRightInd w:val="0"/>
        <w:spacing w:after="120"/>
        <w:rPr>
          <w:sz w:val="20"/>
          <w:szCs w:val="20"/>
        </w:rPr>
      </w:pPr>
      <w:r>
        <w:rPr>
          <w:rStyle w:val="FootnoteReference"/>
        </w:rPr>
        <w:footnoteRef/>
      </w:r>
      <w:r>
        <w:t xml:space="preserve"> </w:t>
      </w:r>
      <w:r>
        <w:rPr>
          <w:i/>
          <w:sz w:val="20"/>
          <w:szCs w:val="20"/>
        </w:rPr>
        <w:t>In the</w:t>
      </w:r>
      <w:r w:rsidRPr="00E82D54">
        <w:rPr>
          <w:i/>
          <w:sz w:val="20"/>
          <w:szCs w:val="20"/>
        </w:rPr>
        <w:t xml:space="preserve"> Matter of the Application of Duke Energy Ohio, Inc. to Adjust Rider DRI and Rider AU for 2010 SmartGrid Costs and Mid-Deployment Review</w:t>
      </w:r>
      <w:r>
        <w:rPr>
          <w:sz w:val="20"/>
          <w:szCs w:val="20"/>
        </w:rPr>
        <w:t>, Case No. 10-2326, Notice of Staff Determination (October 22, 2015).</w:t>
      </w:r>
    </w:p>
  </w:footnote>
  <w:footnote w:id="13">
    <w:p w:rsidR="00E03922" w:rsidRPr="005E63F0" w:rsidRDefault="00E03922" w:rsidP="009B14E7">
      <w:pPr>
        <w:pStyle w:val="FootnoteText"/>
        <w:spacing w:before="0" w:after="120"/>
      </w:pPr>
      <w:r w:rsidRPr="005E63F0">
        <w:rPr>
          <w:rStyle w:val="FootnoteReference"/>
        </w:rPr>
        <w:footnoteRef/>
      </w:r>
      <w:r w:rsidRPr="005E63F0">
        <w:t xml:space="preserve"> Direct Testimony of </w:t>
      </w:r>
      <w:r>
        <w:t xml:space="preserve">Peggy A. </w:t>
      </w:r>
      <w:r w:rsidRPr="005E63F0">
        <w:t>Laub at 5</w:t>
      </w:r>
      <w:r>
        <w:t xml:space="preserve"> (October 23, 2015)</w:t>
      </w:r>
      <w:r w:rsidRPr="005E63F0">
        <w:t>.</w:t>
      </w:r>
    </w:p>
  </w:footnote>
  <w:footnote w:id="14">
    <w:p w:rsidR="00E03922" w:rsidRPr="005E63F0" w:rsidRDefault="00E03922" w:rsidP="009B14E7">
      <w:pPr>
        <w:pStyle w:val="FootnoteText"/>
        <w:spacing w:before="0" w:after="120"/>
      </w:pPr>
      <w:r w:rsidRPr="005E63F0">
        <w:rPr>
          <w:rStyle w:val="FootnoteReference"/>
        </w:rPr>
        <w:footnoteRef/>
      </w:r>
      <w:r w:rsidRPr="005E63F0">
        <w:t xml:space="preserve"> Direct Testimony of </w:t>
      </w:r>
      <w:r>
        <w:t xml:space="preserve">Peggy A. </w:t>
      </w:r>
      <w:r w:rsidRPr="005E63F0">
        <w:t>Laub</w:t>
      </w:r>
      <w:r>
        <w:t xml:space="preserve"> at</w:t>
      </w:r>
      <w:r w:rsidRPr="005E63F0">
        <w:t xml:space="preserve"> Attachment PAL-1</w:t>
      </w:r>
      <w:r>
        <w:t xml:space="preserve"> (October 23, 2015)</w:t>
      </w:r>
      <w:r w:rsidRPr="005E63F0">
        <w:t>.</w:t>
      </w:r>
    </w:p>
  </w:footnote>
  <w:footnote w:id="15">
    <w:p w:rsidR="00E03922" w:rsidRPr="005E63F0" w:rsidRDefault="00E03922" w:rsidP="009B14E7">
      <w:pPr>
        <w:pStyle w:val="FootnoteText"/>
        <w:spacing w:before="0" w:after="120"/>
      </w:pPr>
      <w:r w:rsidRPr="005E63F0">
        <w:rPr>
          <w:rStyle w:val="FootnoteReference"/>
        </w:rPr>
        <w:footnoteRef/>
      </w:r>
      <w:r>
        <w:t xml:space="preserve"> Direct Testimony of Peggy A. Laub at 5 (October 23, 2015).</w:t>
      </w:r>
    </w:p>
  </w:footnote>
  <w:footnote w:id="16">
    <w:p w:rsidR="00E03922" w:rsidRPr="005E63F0" w:rsidRDefault="00E03922" w:rsidP="009B14E7">
      <w:pPr>
        <w:pStyle w:val="FootnoteText"/>
        <w:spacing w:before="0" w:after="120"/>
      </w:pPr>
      <w:r w:rsidRPr="005E63F0">
        <w:rPr>
          <w:rStyle w:val="FootnoteReference"/>
        </w:rPr>
        <w:footnoteRef/>
      </w:r>
      <w:r w:rsidRPr="005E63F0">
        <w:rPr>
          <w:i/>
        </w:rPr>
        <w:t xml:space="preserve"> </w:t>
      </w:r>
      <w:r>
        <w:t>2012 Duke Rate Case,</w:t>
      </w:r>
      <w:r w:rsidRPr="005E63F0">
        <w:t xml:space="preserve"> Opinion and Order at 13 (November 13, 2013).</w:t>
      </w:r>
    </w:p>
  </w:footnote>
  <w:footnote w:id="17">
    <w:p w:rsidR="00E03922" w:rsidRDefault="00E03922" w:rsidP="009B14E7">
      <w:pPr>
        <w:pStyle w:val="FootnoteText"/>
        <w:spacing w:before="0" w:after="120"/>
      </w:pPr>
      <w:r>
        <w:rPr>
          <w:rStyle w:val="FootnoteReference"/>
        </w:rPr>
        <w:footnoteRef/>
      </w:r>
      <w:r>
        <w:t xml:space="preserve"> Id. at 21-22.</w:t>
      </w:r>
    </w:p>
  </w:footnote>
  <w:footnote w:id="18">
    <w:p w:rsidR="00E03922" w:rsidRPr="005E63F0" w:rsidRDefault="00E03922" w:rsidP="009B14E7">
      <w:pPr>
        <w:pStyle w:val="FootnoteText"/>
        <w:spacing w:before="0" w:after="120"/>
      </w:pPr>
      <w:r w:rsidRPr="005E63F0">
        <w:rPr>
          <w:rStyle w:val="FootnoteReference"/>
        </w:rPr>
        <w:footnoteRef/>
      </w:r>
      <w:r w:rsidRPr="005E63F0">
        <w:t xml:space="preserve"> Id.</w:t>
      </w:r>
      <w:r>
        <w:t xml:space="preserve"> at 13.</w:t>
      </w:r>
    </w:p>
  </w:footnote>
  <w:footnote w:id="19">
    <w:p w:rsidR="00E03922" w:rsidRPr="005E63F0" w:rsidRDefault="00E03922" w:rsidP="009B14E7">
      <w:pPr>
        <w:pStyle w:val="FootnoteText"/>
        <w:spacing w:before="0" w:after="120"/>
      </w:pPr>
      <w:r w:rsidRPr="005E63F0">
        <w:rPr>
          <w:rStyle w:val="FootnoteReference"/>
        </w:rPr>
        <w:footnoteRef/>
      </w:r>
      <w:r w:rsidRPr="005E63F0">
        <w:t xml:space="preserve"> </w:t>
      </w:r>
      <w:r>
        <w:t>2012 Duke Rate Case</w:t>
      </w:r>
      <w:r w:rsidRPr="005E63F0">
        <w:t>, Direct Testimony of Daniel J. Duann, Ph.D. at 4 (February 25, 2013).</w:t>
      </w:r>
    </w:p>
  </w:footnote>
  <w:footnote w:id="20">
    <w:p w:rsidR="00E03922" w:rsidRPr="005E63F0" w:rsidRDefault="00E03922" w:rsidP="009B14E7">
      <w:pPr>
        <w:pStyle w:val="FootnoteText"/>
        <w:spacing w:before="0" w:after="120"/>
      </w:pPr>
      <w:r w:rsidRPr="005E63F0">
        <w:rPr>
          <w:rStyle w:val="FootnoteReference"/>
        </w:rPr>
        <w:footnoteRef/>
      </w:r>
      <w:r w:rsidRPr="005E63F0">
        <w:t xml:space="preserve"> </w:t>
      </w:r>
      <w:r>
        <w:t>2012 Duke Rate Case</w:t>
      </w:r>
      <w:r w:rsidR="00EA0132">
        <w:t>, Direct Testimony of</w:t>
      </w:r>
      <w:r>
        <w:t xml:space="preserve"> </w:t>
      </w:r>
      <w:r w:rsidRPr="005E63F0">
        <w:t>Roger A. Morin</w:t>
      </w:r>
      <w:r>
        <w:t>, Ph.D.</w:t>
      </w:r>
      <w:r w:rsidRPr="005E63F0">
        <w:t xml:space="preserve"> at 4 (July 20, 2012) and Schedule D1-A (July 9, 2012).</w:t>
      </w:r>
    </w:p>
  </w:footnote>
  <w:footnote w:id="21">
    <w:p w:rsidR="00E03922" w:rsidRPr="005E63F0" w:rsidRDefault="00E03922" w:rsidP="009B14E7">
      <w:pPr>
        <w:pStyle w:val="FootnoteText"/>
        <w:spacing w:before="0" w:after="120"/>
      </w:pPr>
      <w:r w:rsidRPr="005E63F0">
        <w:rPr>
          <w:rStyle w:val="FootnoteReference"/>
        </w:rPr>
        <w:footnoteRef/>
      </w:r>
      <w:r w:rsidRPr="005E63F0">
        <w:t xml:space="preserve"> </w:t>
      </w:r>
      <w:r>
        <w:t>2012 Duke Rate Case</w:t>
      </w:r>
      <w:r w:rsidRPr="005E63F0">
        <w:t>, Staff Report at 15-17 (January 4, 2013).</w:t>
      </w:r>
    </w:p>
  </w:footnote>
  <w:footnote w:id="22">
    <w:p w:rsidR="00E03922" w:rsidRDefault="00E03922" w:rsidP="009B14E7">
      <w:pPr>
        <w:pStyle w:val="FootnoteText"/>
        <w:spacing w:before="0" w:after="120"/>
      </w:pPr>
      <w:r>
        <w:rPr>
          <w:rStyle w:val="FootnoteReference"/>
        </w:rPr>
        <w:footnoteRef/>
      </w:r>
      <w:r>
        <w:t xml:space="preserve"> See Ohio Utility Rate Survey, September 1, 2015. Ohio Energy Bills – Residential Customers Comparison of Utility Bills 16 Major Cities.</w:t>
      </w:r>
    </w:p>
  </w:footnote>
  <w:footnote w:id="23">
    <w:p w:rsidR="00E03922" w:rsidRDefault="00E03922" w:rsidP="009B14E7">
      <w:pPr>
        <w:pStyle w:val="FootnoteText"/>
        <w:spacing w:before="0" w:after="120"/>
      </w:pPr>
      <w:r>
        <w:rPr>
          <w:rStyle w:val="FootnoteReference"/>
        </w:rPr>
        <w:footnoteRef/>
      </w:r>
      <w:r>
        <w:t xml:space="preserve"> Even though I do not believe that Duke’s customers should be required to pay any Rider ASRP charge in 2016, it is still a possibility that cannot be completely ruled out at this time.</w:t>
      </w:r>
    </w:p>
  </w:footnote>
  <w:footnote w:id="24">
    <w:p w:rsidR="00E03922" w:rsidRPr="005E63F0" w:rsidRDefault="00E03922" w:rsidP="009B14E7">
      <w:pPr>
        <w:pStyle w:val="FootnoteText"/>
        <w:spacing w:before="0" w:after="120"/>
      </w:pPr>
      <w:r w:rsidRPr="005E63F0">
        <w:rPr>
          <w:rStyle w:val="FootnoteReference"/>
        </w:rPr>
        <w:footnoteRef/>
      </w:r>
      <w:r w:rsidRPr="005E63F0">
        <w:t xml:space="preserve"> See, for example, Di</w:t>
      </w:r>
      <w:r w:rsidR="00EA0132">
        <w:t>rect Testimony of</w:t>
      </w:r>
      <w:r>
        <w:t xml:space="preserve"> Roger A. Morin</w:t>
      </w:r>
      <w:r w:rsidR="00EA0132">
        <w:t>, Ph.D.</w:t>
      </w:r>
      <w:r>
        <w:t xml:space="preserve"> at 62 (October 23, 2015).</w:t>
      </w:r>
    </w:p>
  </w:footnote>
  <w:footnote w:id="25">
    <w:p w:rsidR="00B32A3A" w:rsidRDefault="00B32A3A" w:rsidP="009B14E7">
      <w:pPr>
        <w:pStyle w:val="FootnoteText"/>
        <w:spacing w:before="0" w:after="120"/>
      </w:pPr>
      <w:r>
        <w:rPr>
          <w:rStyle w:val="FootnoteReference"/>
        </w:rPr>
        <w:footnoteRef/>
      </w:r>
      <w:r w:rsidR="000E4F72">
        <w:t xml:space="preserve"> See R.C.</w:t>
      </w:r>
      <w:r>
        <w:t xml:space="preserve"> 4929.02 (A) (1) and (10).</w:t>
      </w:r>
    </w:p>
  </w:footnote>
  <w:footnote w:id="26">
    <w:p w:rsidR="00E03922" w:rsidRPr="00392391" w:rsidRDefault="00E03922" w:rsidP="009B14E7">
      <w:pPr>
        <w:autoSpaceDE w:val="0"/>
        <w:autoSpaceDN w:val="0"/>
        <w:adjustRightInd w:val="0"/>
        <w:spacing w:after="120"/>
        <w:rPr>
          <w:sz w:val="20"/>
          <w:szCs w:val="20"/>
        </w:rPr>
      </w:pPr>
      <w:r>
        <w:rPr>
          <w:rStyle w:val="FootnoteReference"/>
        </w:rPr>
        <w:footnoteRef/>
      </w:r>
      <w:r>
        <w:t xml:space="preserve"> </w:t>
      </w:r>
      <w:r w:rsidRPr="00625040">
        <w:rPr>
          <w:i/>
          <w:sz w:val="20"/>
          <w:szCs w:val="20"/>
        </w:rPr>
        <w:t>I</w:t>
      </w:r>
      <w:r>
        <w:rPr>
          <w:i/>
          <w:sz w:val="20"/>
          <w:szCs w:val="20"/>
        </w:rPr>
        <w:t>n the Matter of the Application</w:t>
      </w:r>
      <w:r w:rsidRPr="00625040">
        <w:rPr>
          <w:i/>
          <w:sz w:val="20"/>
          <w:szCs w:val="20"/>
        </w:rPr>
        <w:t xml:space="preserve"> of Ohio American Water Comp</w:t>
      </w:r>
      <w:r>
        <w:rPr>
          <w:i/>
          <w:sz w:val="20"/>
          <w:szCs w:val="20"/>
        </w:rPr>
        <w:t>a</w:t>
      </w:r>
      <w:r w:rsidRPr="00625040">
        <w:rPr>
          <w:i/>
          <w:sz w:val="20"/>
          <w:szCs w:val="20"/>
        </w:rPr>
        <w:t>ny to Increase its Rate</w:t>
      </w:r>
      <w:r>
        <w:rPr>
          <w:i/>
          <w:sz w:val="20"/>
          <w:szCs w:val="20"/>
        </w:rPr>
        <w:t xml:space="preserve">s for Water and Sewer Services </w:t>
      </w:r>
      <w:r w:rsidRPr="00625040">
        <w:rPr>
          <w:i/>
          <w:sz w:val="20"/>
          <w:szCs w:val="20"/>
        </w:rPr>
        <w:t>Provided to its Entire Service Area.</w:t>
      </w:r>
      <w:r>
        <w:rPr>
          <w:sz w:val="20"/>
          <w:szCs w:val="20"/>
        </w:rPr>
        <w:t>, Case No. 09-391-WS-AIR, Opinion and Order at 36 (May 5, 2010).</w:t>
      </w:r>
    </w:p>
  </w:footnote>
  <w:footnote w:id="27">
    <w:p w:rsidR="00E03922" w:rsidRPr="005E63F0" w:rsidRDefault="00E03922" w:rsidP="009B14E7">
      <w:pPr>
        <w:pStyle w:val="FootnoteText"/>
        <w:spacing w:before="0" w:after="120"/>
      </w:pPr>
      <w:r w:rsidRPr="005E63F0">
        <w:rPr>
          <w:rStyle w:val="FootnoteReference"/>
        </w:rPr>
        <w:footnoteRef/>
      </w:r>
      <w:r w:rsidRPr="005E63F0">
        <w:t xml:space="preserve"> </w:t>
      </w:r>
      <w:r>
        <w:t>Ibid.</w:t>
      </w:r>
    </w:p>
  </w:footnote>
  <w:footnote w:id="28">
    <w:p w:rsidR="00E03922" w:rsidRPr="005E63F0" w:rsidRDefault="00E03922" w:rsidP="009B14E7">
      <w:pPr>
        <w:pStyle w:val="FootnoteText"/>
        <w:spacing w:before="0" w:after="120"/>
      </w:pPr>
      <w:r w:rsidRPr="005E63F0">
        <w:rPr>
          <w:rStyle w:val="FootnoteReference"/>
        </w:rPr>
        <w:footnoteRef/>
      </w:r>
      <w:r w:rsidRPr="005E63F0">
        <w:t xml:space="preserve"> </w:t>
      </w:r>
      <w:r w:rsidRPr="005E63F0">
        <w:rPr>
          <w:i/>
        </w:rPr>
        <w:t>In the Matter of the Application of The East Ohio Gas Company d/b/a Dominion East Ohio for Authority to Increase Rates for its Gas Distribution Service</w:t>
      </w:r>
      <w:r w:rsidRPr="005E63F0">
        <w:t xml:space="preserve">, PUCO Case No. 07-829-GA-AIR et al., Opinion and </w:t>
      </w:r>
      <w:r>
        <w:t>Order at 27 (October 15, 2008).</w:t>
      </w:r>
    </w:p>
  </w:footnote>
  <w:footnote w:id="29">
    <w:p w:rsidR="00E03922" w:rsidRDefault="00E03922" w:rsidP="009B14E7">
      <w:pPr>
        <w:pStyle w:val="FootnoteText"/>
        <w:spacing w:before="0" w:after="120"/>
      </w:pPr>
      <w:r>
        <w:rPr>
          <w:rStyle w:val="FootnoteReference"/>
        </w:rPr>
        <w:footnoteRef/>
      </w:r>
      <w:r>
        <w:t xml:space="preserve"> </w:t>
      </w:r>
      <w:r w:rsidRPr="00BB5B60">
        <w:rPr>
          <w:i/>
        </w:rPr>
        <w:t>In the Matter of the Application of The Cincinnati Gas &amp; Electric Company for an Increase in Rates,</w:t>
      </w:r>
      <w:r>
        <w:t xml:space="preserve"> PUCO Case No. 01-1228-GA-AIR et al., Opinion and Order at 4 and 8 (May 30, 2002).</w:t>
      </w:r>
    </w:p>
  </w:footnote>
  <w:footnote w:id="30">
    <w:p w:rsidR="00E03922" w:rsidRDefault="00E03922" w:rsidP="009B14E7">
      <w:pPr>
        <w:pStyle w:val="FootnoteText"/>
        <w:spacing w:before="0" w:after="120"/>
      </w:pPr>
      <w:r>
        <w:rPr>
          <w:rStyle w:val="FootnoteReference"/>
        </w:rPr>
        <w:footnoteRef/>
      </w:r>
      <w:r>
        <w:t xml:space="preserve"> </w:t>
      </w:r>
      <w:r w:rsidRPr="00EA0132">
        <w:rPr>
          <w:i/>
        </w:rPr>
        <w:t>In the Matter of the Annual Application of Duke Energy Ohio for an Adjustment to Rider AMRP Rates</w:t>
      </w:r>
      <w:r>
        <w:t>, PUCO Case No. 10-2788-GA-RDR, Opinion and Order at 8 and 10 (May 4, 2011).</w:t>
      </w:r>
    </w:p>
  </w:footnote>
  <w:footnote w:id="31">
    <w:p w:rsidR="00E03922" w:rsidRPr="005E63F0" w:rsidRDefault="00E03922" w:rsidP="009B14E7">
      <w:pPr>
        <w:pStyle w:val="FootnoteText"/>
        <w:spacing w:before="0" w:after="120"/>
      </w:pPr>
      <w:r w:rsidRPr="005E63F0">
        <w:rPr>
          <w:rStyle w:val="FootnoteReference"/>
        </w:rPr>
        <w:footnoteRef/>
      </w:r>
      <w:r w:rsidR="00EA0132">
        <w:t xml:space="preserve"> Direct Testimony of</w:t>
      </w:r>
      <w:r>
        <w:t xml:space="preserve"> Roger A. </w:t>
      </w:r>
      <w:r w:rsidRPr="005E63F0">
        <w:t>Morin</w:t>
      </w:r>
      <w:r w:rsidR="00EA0132">
        <w:t>, Ph. D.</w:t>
      </w:r>
      <w:r w:rsidRPr="005E63F0">
        <w:t xml:space="preserve"> at 4</w:t>
      </w:r>
      <w:r>
        <w:t xml:space="preserve"> (October 23, 2015)</w:t>
      </w:r>
      <w:r w:rsidRPr="005E63F0">
        <w:t>.</w:t>
      </w:r>
    </w:p>
  </w:footnote>
  <w:footnote w:id="32">
    <w:p w:rsidR="00E03922" w:rsidRDefault="00E03922" w:rsidP="009B14E7">
      <w:pPr>
        <w:pStyle w:val="FootnoteText"/>
        <w:spacing w:before="0" w:after="120"/>
      </w:pPr>
      <w:r>
        <w:rPr>
          <w:rStyle w:val="FootnoteReference"/>
        </w:rPr>
        <w:footnoteRef/>
      </w:r>
      <w:r>
        <w:t xml:space="preserve"> 2012 Duke Rate Case, Direct Testimony of Roger A. Morin, Ph.D. at 34 (July 20, 2012).</w:t>
      </w:r>
    </w:p>
  </w:footnote>
  <w:footnote w:id="33">
    <w:p w:rsidR="00E03922" w:rsidRDefault="00E03922" w:rsidP="009B14E7">
      <w:pPr>
        <w:pStyle w:val="FootnoteText"/>
        <w:spacing w:before="0" w:after="120"/>
      </w:pPr>
      <w:r>
        <w:rPr>
          <w:rStyle w:val="FootnoteReference"/>
        </w:rPr>
        <w:footnoteRef/>
      </w:r>
      <w:r>
        <w:t xml:space="preserve"> Id.</w:t>
      </w:r>
    </w:p>
  </w:footnote>
  <w:footnote w:id="34">
    <w:p w:rsidR="00E03922" w:rsidRDefault="00E03922" w:rsidP="009B14E7">
      <w:pPr>
        <w:pStyle w:val="FootnoteText"/>
        <w:spacing w:before="0" w:after="120"/>
      </w:pPr>
      <w:r>
        <w:rPr>
          <w:rStyle w:val="FootnoteReference"/>
        </w:rPr>
        <w:footnoteRef/>
      </w:r>
      <w:r>
        <w:t xml:space="preserve"> Direct Testimony of </w:t>
      </w:r>
      <w:r w:rsidR="00EA0132">
        <w:t xml:space="preserve">Roger A. </w:t>
      </w:r>
      <w:r>
        <w:t>Morin</w:t>
      </w:r>
      <w:r w:rsidR="00EA0132">
        <w:t xml:space="preserve"> Ph.D.</w:t>
      </w:r>
      <w:r w:rsidR="00D46CFD">
        <w:t>, Attachment RAM-8 at</w:t>
      </w:r>
      <w:r>
        <w:t xml:space="preserve"> 2 of 2 (October 23, 2015).</w:t>
      </w:r>
    </w:p>
  </w:footnote>
  <w:footnote w:id="35">
    <w:p w:rsidR="0085709D" w:rsidRDefault="0085709D" w:rsidP="009B14E7">
      <w:pPr>
        <w:pStyle w:val="FootnoteText"/>
        <w:spacing w:before="0" w:after="120"/>
      </w:pPr>
      <w:r>
        <w:rPr>
          <w:rStyle w:val="FootnoteReference"/>
        </w:rPr>
        <w:footnoteRef/>
      </w:r>
      <w:r>
        <w:t xml:space="preserve"> </w:t>
      </w:r>
      <w:r w:rsidR="00267935" w:rsidRPr="005E63F0">
        <w:t>See Direct Testimony of</w:t>
      </w:r>
      <w:r w:rsidR="00267935">
        <w:t xml:space="preserve"> Roger A. </w:t>
      </w:r>
      <w:r w:rsidR="00267935" w:rsidRPr="005E63F0">
        <w:t>Morin</w:t>
      </w:r>
      <w:r w:rsidR="00EA0132">
        <w:t>, Ph.D.</w:t>
      </w:r>
      <w:r w:rsidR="00267935" w:rsidRPr="005E63F0">
        <w:t xml:space="preserve"> at </w:t>
      </w:r>
      <w:r w:rsidR="00267935">
        <w:t>43 (October 23, 2015).</w:t>
      </w:r>
    </w:p>
  </w:footnote>
  <w:footnote w:id="36">
    <w:p w:rsidR="00E03922" w:rsidRDefault="00E03922" w:rsidP="009B14E7">
      <w:pPr>
        <w:pStyle w:val="FootnoteText"/>
        <w:spacing w:before="0" w:after="120"/>
      </w:pPr>
      <w:r>
        <w:rPr>
          <w:rStyle w:val="FootnoteReference"/>
        </w:rPr>
        <w:footnoteRef/>
      </w:r>
      <w:r>
        <w:t xml:space="preserve"> See </w:t>
      </w:r>
      <w:r w:rsidRPr="00BB5B60">
        <w:rPr>
          <w:i/>
        </w:rPr>
        <w:t>2015 Ibbotson Stocks, Bonds, Bills, and Inflation (SBBI) Classic Yearbook</w:t>
      </w:r>
      <w:r>
        <w:t xml:space="preserve"> at 91, Table 6-7.</w:t>
      </w:r>
    </w:p>
  </w:footnote>
  <w:footnote w:id="37">
    <w:p w:rsidR="00E03922" w:rsidRDefault="00E03922" w:rsidP="009B14E7">
      <w:pPr>
        <w:pStyle w:val="FootnoteText"/>
        <w:spacing w:before="0" w:after="120"/>
      </w:pPr>
      <w:r>
        <w:rPr>
          <w:rStyle w:val="FootnoteReference"/>
        </w:rPr>
        <w:footnoteRef/>
      </w:r>
      <w:r>
        <w:t xml:space="preserve"> Id.</w:t>
      </w:r>
    </w:p>
  </w:footnote>
  <w:footnote w:id="38">
    <w:p w:rsidR="00E03922" w:rsidRPr="005E63F0" w:rsidRDefault="00E03922" w:rsidP="009B14E7">
      <w:pPr>
        <w:pStyle w:val="FootnoteText"/>
        <w:spacing w:before="0" w:after="120"/>
      </w:pPr>
      <w:r w:rsidRPr="005E63F0">
        <w:rPr>
          <w:rStyle w:val="FootnoteReference"/>
        </w:rPr>
        <w:footnoteRef/>
      </w:r>
      <w:r w:rsidRPr="005E63F0">
        <w:t xml:space="preserve"> See Direct Testimony of </w:t>
      </w:r>
      <w:r>
        <w:t xml:space="preserve">Peggy A. </w:t>
      </w:r>
      <w:r w:rsidRPr="005E63F0">
        <w:t>Laub</w:t>
      </w:r>
      <w:r>
        <w:t xml:space="preserve"> at</w:t>
      </w:r>
      <w:r w:rsidRPr="005E63F0">
        <w:t xml:space="preserve"> Attachment PAL-1</w:t>
      </w:r>
      <w:r>
        <w:t xml:space="preserve"> (October 23, 2015)</w:t>
      </w:r>
      <w:r w:rsidRPr="005E63F0">
        <w:t>.</w:t>
      </w:r>
    </w:p>
  </w:footnote>
  <w:footnote w:id="39">
    <w:p w:rsidR="00E03922" w:rsidRPr="005E63F0" w:rsidRDefault="00E03922" w:rsidP="009B14E7">
      <w:pPr>
        <w:pStyle w:val="FootnoteText"/>
        <w:spacing w:before="0" w:after="120"/>
      </w:pPr>
      <w:r w:rsidRPr="005E63F0">
        <w:rPr>
          <w:rStyle w:val="FootnoteReference"/>
        </w:rPr>
        <w:footnoteRef/>
      </w:r>
      <w:r w:rsidR="00D46CFD">
        <w:t xml:space="preserve"> The Pre-tax ROR</w:t>
      </w:r>
      <w:r w:rsidRPr="005E63F0">
        <w:t xml:space="preserve"> will decrease from 10.60 percent to 9.77 percent if the allowed ROE is reduced from 9.84% to 8.84% assuming the same capital structure, embedded cost of long-term deb</w:t>
      </w:r>
      <w:r>
        <w:t>t, and gross conversion factor.</w:t>
      </w:r>
    </w:p>
  </w:footnote>
  <w:footnote w:id="40">
    <w:p w:rsidR="00E03922" w:rsidRPr="005E63F0" w:rsidRDefault="00E03922" w:rsidP="009B14E7">
      <w:pPr>
        <w:pStyle w:val="FootnoteText"/>
        <w:spacing w:before="0" w:after="120"/>
      </w:pPr>
      <w:r w:rsidRPr="005E63F0">
        <w:rPr>
          <w:rStyle w:val="FootnoteReference"/>
        </w:rPr>
        <w:footnoteRef/>
      </w:r>
      <w:r w:rsidRPr="005E63F0">
        <w:t xml:space="preserve"> </w:t>
      </w:r>
      <w:r>
        <w:t xml:space="preserve">Direct Testimony of Peggy A. Laub at Attachment PAL-1 (October 23, 2015), </w:t>
      </w:r>
      <w:r w:rsidRPr="005E63F0">
        <w:t>$2.49 million = $30 million * 0.083.</w:t>
      </w:r>
    </w:p>
  </w:footnote>
  <w:footnote w:id="41">
    <w:p w:rsidR="00E03922" w:rsidRDefault="00E03922" w:rsidP="009B14E7">
      <w:pPr>
        <w:pStyle w:val="FootnoteText"/>
        <w:spacing w:before="0" w:after="120"/>
      </w:pPr>
      <w:r w:rsidRPr="005E63F0">
        <w:rPr>
          <w:rStyle w:val="FootnoteReference"/>
        </w:rPr>
        <w:footnoteRef/>
      </w:r>
      <w:r w:rsidR="00B61C98">
        <w:t xml:space="preserve"> See Direct Testimony of</w:t>
      </w:r>
      <w:r>
        <w:t xml:space="preserve"> Roger A. </w:t>
      </w:r>
      <w:r w:rsidRPr="005E63F0">
        <w:t>Morin</w:t>
      </w:r>
      <w:r w:rsidR="00B61C98">
        <w:t>, Ph.D.</w:t>
      </w:r>
      <w:r w:rsidRPr="005E63F0">
        <w:t xml:space="preserve"> at 6</w:t>
      </w:r>
      <w:r>
        <w:t>2 (October 23,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22" w:rsidRDefault="00B251DE">
    <w:pPr>
      <w:pStyle w:val="Header"/>
    </w:pPr>
    <w:r>
      <w:rPr>
        <w:noProof/>
      </w:rPr>
      <w:pict w14:anchorId="43F6F2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61635" o:spid="_x0000_s2065" type="#_x0000_t136" style="position:absolute;margin-left:0;margin-top:0;width:522.05pt;height:87pt;rotation:315;z-index:-251655168;mso-position-horizontal:center;mso-position-horizontal-relative:margin;mso-position-vertical:center;mso-position-vertical-relative:margin" o:allowincell="f" fillcolor="#00b0f0" stroked="f">
          <v:fill opacity=".5"/>
          <v:textpath style="font-family:&quot;Times New Roman&quot;;font-size:1pt" string="CONFIDENTIAL"/>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22" w:rsidRDefault="00B251DE">
    <w:pPr>
      <w:pStyle w:val="Header"/>
    </w:pPr>
    <w:r>
      <w:rPr>
        <w:noProof/>
      </w:rPr>
      <w:pict w14:anchorId="53DE8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61644" o:spid="_x0000_s2074" type="#_x0000_t136" style="position:absolute;margin-left:0;margin-top:0;width:522.05pt;height:87pt;rotation:315;z-index:-251636736;mso-position-horizontal:center;mso-position-horizontal-relative:margin;mso-position-vertical:center;mso-position-vertical-relative:margin" o:allowincell="f" fillcolor="#00b0f0" stroked="f">
          <v:fill opacity=".5"/>
          <v:textpath style="font-family:&quot;Times New Roman&quot;;font-size:1pt" string="CONFIDENTIAL"/>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22" w:rsidRDefault="00E0392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22" w:rsidRDefault="00E039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22" w:rsidRDefault="00E03922">
    <w:pPr>
      <w:pStyle w:val="Header"/>
    </w:pPr>
  </w:p>
  <w:p w:rsidR="00E03922" w:rsidRDefault="00E039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22" w:rsidRDefault="00B251DE">
    <w:pPr>
      <w:pStyle w:val="Header"/>
    </w:pPr>
    <w:r>
      <w:rPr>
        <w:noProof/>
      </w:rPr>
      <w:pict w14:anchorId="0756B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61634" o:spid="_x0000_s2064" type="#_x0000_t136" style="position:absolute;margin-left:0;margin-top:0;width:522.05pt;height:87pt;rotation:315;z-index:-251657216;mso-position-horizontal:center;mso-position-horizontal-relative:margin;mso-position-vertical:center;mso-position-vertical-relative:margin" o:allowincell="f" fillcolor="#00b0f0" stroked="f">
          <v:fill opacity=".5"/>
          <v:textpath style="font-family:&quot;Times New Roman&quot;;font-size:1pt" string="CONFIDENT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22" w:rsidRDefault="00B251DE">
    <w:pPr>
      <w:pStyle w:val="Header"/>
    </w:pPr>
    <w:r>
      <w:rPr>
        <w:noProof/>
      </w:rPr>
      <w:pict w14:anchorId="256FA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61638" o:spid="_x0000_s2068" type="#_x0000_t136" style="position:absolute;margin-left:0;margin-top:0;width:522.05pt;height:87pt;rotation:315;z-index:-251649024;mso-position-horizontal:center;mso-position-horizontal-relative:margin;mso-position-vertical:center;mso-position-vertical-relative:margin" o:allowincell="f" fillcolor="#00b0f0" stroked="f">
          <v:fill opacity=".5"/>
          <v:textpath style="font-family:&quot;Times New Roman&quot;;font-size:1pt" string="CONFIDENT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22" w:rsidRDefault="00B251DE">
    <w:pPr>
      <w:pStyle w:val="Header"/>
    </w:pPr>
    <w:r>
      <w:rPr>
        <w:noProof/>
      </w:rPr>
      <w:pict w14:anchorId="4832A1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61639" o:spid="_x0000_s2069" type="#_x0000_t136" style="position:absolute;margin-left:0;margin-top:0;width:522.05pt;height:87pt;rotation:315;z-index:-251646976;mso-position-horizontal:center;mso-position-horizontal-relative:margin;mso-position-vertical:center;mso-position-vertical-relative:margin" o:allowincell="f" fillcolor="#00b0f0" stroked="f">
          <v:fill opacity=".5"/>
          <v:textpath style="font-family:&quot;Times New Roman&quot;;font-size:1pt" string="CONFIDENTIAL"/>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22" w:rsidRDefault="00E0392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22" w:rsidRDefault="00B251DE">
    <w:pPr>
      <w:pStyle w:val="Header"/>
    </w:pPr>
    <w:r>
      <w:rPr>
        <w:noProof/>
      </w:rPr>
      <w:pict w14:anchorId="686D1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61641" o:spid="_x0000_s2071" type="#_x0000_t136" style="position:absolute;margin-left:0;margin-top:0;width:522.05pt;height:87pt;rotation:315;z-index:-251642880;mso-position-horizontal:center;mso-position-horizontal-relative:margin;mso-position-vertical:center;mso-position-vertical-relative:margin" o:allowincell="f" fillcolor="#00b0f0" stroked="f">
          <v:fill opacity=".5"/>
          <v:textpath style="font-family:&quot;Times New Roman&quot;;font-size:1pt" string="CONFIDENTIAL"/>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22" w:rsidRDefault="002B1E8C">
    <w:pPr>
      <w:pStyle w:val="Header"/>
      <w:tabs>
        <w:tab w:val="left" w:pos="6937"/>
      </w:tabs>
      <w:jc w:val="center"/>
      <w:rPr>
        <w:b/>
        <w:i/>
        <w:iCs/>
        <w:sz w:val="20"/>
        <w:szCs w:val="20"/>
      </w:rPr>
    </w:pPr>
    <w:r>
      <w:rPr>
        <w:i/>
        <w:iCs/>
        <w:sz w:val="20"/>
        <w:szCs w:val="20"/>
      </w:rPr>
      <w:t xml:space="preserve">Direct </w:t>
    </w:r>
    <w:r w:rsidR="00E03922">
      <w:rPr>
        <w:i/>
        <w:iCs/>
        <w:sz w:val="20"/>
        <w:szCs w:val="20"/>
      </w:rPr>
      <w:t>Testimony of Daniel J. Duann, Ph.D.</w:t>
    </w:r>
  </w:p>
  <w:p w:rsidR="00E03922" w:rsidRDefault="00E03922" w:rsidP="007C7553">
    <w:pPr>
      <w:pStyle w:val="Header"/>
      <w:tabs>
        <w:tab w:val="left" w:pos="6937"/>
      </w:tabs>
      <w:jc w:val="center"/>
      <w:rPr>
        <w:i/>
        <w:iCs/>
        <w:sz w:val="20"/>
        <w:szCs w:val="20"/>
      </w:rPr>
    </w:pPr>
    <w:r>
      <w:rPr>
        <w:i/>
        <w:iCs/>
        <w:sz w:val="20"/>
        <w:szCs w:val="20"/>
      </w:rPr>
      <w:t xml:space="preserve">On Behalf of The Office of the Ohio Consumers’ Counsel, </w:t>
    </w:r>
  </w:p>
  <w:p w:rsidR="00E03922" w:rsidRDefault="00E03922" w:rsidP="007C7553">
    <w:pPr>
      <w:pStyle w:val="Header"/>
      <w:tabs>
        <w:tab w:val="left" w:pos="6937"/>
      </w:tabs>
      <w:jc w:val="center"/>
      <w:rPr>
        <w:i/>
        <w:iCs/>
        <w:sz w:val="20"/>
        <w:szCs w:val="20"/>
      </w:rPr>
    </w:pPr>
    <w:r>
      <w:rPr>
        <w:i/>
        <w:iCs/>
        <w:sz w:val="20"/>
        <w:szCs w:val="20"/>
      </w:rPr>
      <w:t>PUCO Case No. 14-1622-GA-ALT</w:t>
    </w:r>
  </w:p>
  <w:p w:rsidR="00E03922" w:rsidRDefault="00E0392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22" w:rsidRDefault="00B251DE">
    <w:pPr>
      <w:pStyle w:val="Header"/>
    </w:pPr>
    <w:r>
      <w:rPr>
        <w:noProof/>
      </w:rPr>
      <w:pict w14:anchorId="72377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61640" o:spid="_x0000_s2070" type="#_x0000_t136" style="position:absolute;margin-left:0;margin-top:0;width:522.05pt;height:87pt;rotation:315;z-index:-251644928;mso-position-horizontal:center;mso-position-horizontal-relative:margin;mso-position-vertical:center;mso-position-vertical-relative:margin" o:allowincell="f" fillcolor="#00b0f0" stroked="f">
          <v:fill opacity=".5"/>
          <v:textpath style="font-family:&quot;Times New Roman&quot;;font-size:1pt" string="CONFIDENT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9EE452"/>
    <w:lvl w:ilvl="0">
      <w:start w:val="1"/>
      <w:numFmt w:val="decimal"/>
      <w:lvlText w:val="%1."/>
      <w:lvlJc w:val="left"/>
      <w:pPr>
        <w:tabs>
          <w:tab w:val="num" w:pos="1800"/>
        </w:tabs>
        <w:ind w:left="1800" w:hanging="360"/>
      </w:pPr>
    </w:lvl>
  </w:abstractNum>
  <w:abstractNum w:abstractNumId="1">
    <w:nsid w:val="FFFFFF7D"/>
    <w:multiLevelType w:val="singleLevel"/>
    <w:tmpl w:val="9B940BE0"/>
    <w:lvl w:ilvl="0">
      <w:start w:val="1"/>
      <w:numFmt w:val="decimal"/>
      <w:lvlText w:val="%1."/>
      <w:lvlJc w:val="left"/>
      <w:pPr>
        <w:tabs>
          <w:tab w:val="num" w:pos="1440"/>
        </w:tabs>
        <w:ind w:left="1440" w:hanging="360"/>
      </w:pPr>
    </w:lvl>
  </w:abstractNum>
  <w:abstractNum w:abstractNumId="2">
    <w:nsid w:val="FFFFFF7E"/>
    <w:multiLevelType w:val="singleLevel"/>
    <w:tmpl w:val="C624DD22"/>
    <w:lvl w:ilvl="0">
      <w:start w:val="1"/>
      <w:numFmt w:val="decimal"/>
      <w:lvlText w:val="%1."/>
      <w:lvlJc w:val="left"/>
      <w:pPr>
        <w:tabs>
          <w:tab w:val="num" w:pos="1080"/>
        </w:tabs>
        <w:ind w:left="1080" w:hanging="360"/>
      </w:pPr>
    </w:lvl>
  </w:abstractNum>
  <w:abstractNum w:abstractNumId="3">
    <w:nsid w:val="FFFFFF7F"/>
    <w:multiLevelType w:val="singleLevel"/>
    <w:tmpl w:val="B516A5F6"/>
    <w:lvl w:ilvl="0">
      <w:start w:val="1"/>
      <w:numFmt w:val="decimal"/>
      <w:lvlText w:val="%1."/>
      <w:lvlJc w:val="left"/>
      <w:pPr>
        <w:tabs>
          <w:tab w:val="num" w:pos="720"/>
        </w:tabs>
        <w:ind w:left="720" w:hanging="360"/>
      </w:pPr>
    </w:lvl>
  </w:abstractNum>
  <w:abstractNum w:abstractNumId="4">
    <w:nsid w:val="FFFFFF80"/>
    <w:multiLevelType w:val="singleLevel"/>
    <w:tmpl w:val="DB3C0F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C68E7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4669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C1266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C5C3B0C"/>
    <w:lvl w:ilvl="0">
      <w:start w:val="1"/>
      <w:numFmt w:val="decimal"/>
      <w:lvlText w:val="%1."/>
      <w:lvlJc w:val="left"/>
      <w:pPr>
        <w:tabs>
          <w:tab w:val="num" w:pos="360"/>
        </w:tabs>
        <w:ind w:left="360" w:hanging="360"/>
      </w:pPr>
    </w:lvl>
  </w:abstractNum>
  <w:abstractNum w:abstractNumId="9">
    <w:nsid w:val="FFFFFF89"/>
    <w:multiLevelType w:val="singleLevel"/>
    <w:tmpl w:val="C2BE66F0"/>
    <w:lvl w:ilvl="0">
      <w:start w:val="1"/>
      <w:numFmt w:val="bullet"/>
      <w:lvlText w:val=""/>
      <w:lvlJc w:val="left"/>
      <w:pPr>
        <w:tabs>
          <w:tab w:val="num" w:pos="360"/>
        </w:tabs>
        <w:ind w:left="360" w:hanging="360"/>
      </w:pPr>
      <w:rPr>
        <w:rFonts w:ascii="Symbol" w:hAnsi="Symbol" w:hint="default"/>
      </w:rPr>
    </w:lvl>
  </w:abstractNum>
  <w:abstractNum w:abstractNumId="10">
    <w:nsid w:val="0127689A"/>
    <w:multiLevelType w:val="hybridMultilevel"/>
    <w:tmpl w:val="C1405798"/>
    <w:lvl w:ilvl="0" w:tplc="E1B8FD72">
      <w:start w:val="1"/>
      <w:numFmt w:val="upperRoman"/>
      <w:lvlText w:val="%1."/>
      <w:lvlJc w:val="left"/>
      <w:pPr>
        <w:tabs>
          <w:tab w:val="num" w:pos="180"/>
        </w:tabs>
        <w:ind w:left="1260" w:hanging="10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3FE6515"/>
    <w:multiLevelType w:val="hybridMultilevel"/>
    <w:tmpl w:val="54861A60"/>
    <w:lvl w:ilvl="0" w:tplc="51D027EE">
      <w:start w:val="1"/>
      <w:numFmt w:val="decimal"/>
      <w:lvlText w:val="(%1)"/>
      <w:lvlJc w:val="left"/>
      <w:pPr>
        <w:ind w:left="1800" w:hanging="360"/>
      </w:pPr>
      <w:rPr>
        <w:rFonts w:ascii="Times New Roman" w:hAnsi="Times New Roman" w:cs="Times New Roman" w:hint="default"/>
        <w:b w:val="0"/>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nsid w:val="074B06B0"/>
    <w:multiLevelType w:val="hybridMultilevel"/>
    <w:tmpl w:val="5EEC0AC2"/>
    <w:lvl w:ilvl="0" w:tplc="2B3616DE">
      <w:start w:val="1"/>
      <w:numFmt w:val="upperLetter"/>
      <w:pStyle w:val="Heading2"/>
      <w:lvlText w:val="%1."/>
      <w:lvlJc w:val="left"/>
      <w:pPr>
        <w:ind w:left="360" w:hanging="360"/>
      </w:pPr>
      <w:rPr>
        <w:rFonts w:asciiTheme="majorBidi" w:hAnsiTheme="majorBid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AE81CAB"/>
    <w:multiLevelType w:val="hybridMultilevel"/>
    <w:tmpl w:val="29FE4E56"/>
    <w:lvl w:ilvl="0" w:tplc="E60E4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DDB4DBF"/>
    <w:multiLevelType w:val="hybridMultilevel"/>
    <w:tmpl w:val="67848F66"/>
    <w:lvl w:ilvl="0" w:tplc="86422B08">
      <w:start w:val="1"/>
      <w:numFmt w:val="decimal"/>
      <w:lvlText w:val="%1."/>
      <w:lvlJc w:val="left"/>
      <w:pPr>
        <w:tabs>
          <w:tab w:val="num" w:pos="360"/>
        </w:tabs>
        <w:ind w:left="360" w:hanging="360"/>
      </w:pPr>
      <w:rPr>
        <w:rFonts w:hint="default"/>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00B346B"/>
    <w:multiLevelType w:val="hybridMultilevel"/>
    <w:tmpl w:val="B9A6B5D6"/>
    <w:lvl w:ilvl="0" w:tplc="FCC84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5F93916"/>
    <w:multiLevelType w:val="hybridMultilevel"/>
    <w:tmpl w:val="64D48F44"/>
    <w:lvl w:ilvl="0" w:tplc="87A2F5FC">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CB87AF4"/>
    <w:multiLevelType w:val="multilevel"/>
    <w:tmpl w:val="059699D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DC0032E"/>
    <w:multiLevelType w:val="hybridMultilevel"/>
    <w:tmpl w:val="189EE3E6"/>
    <w:lvl w:ilvl="0" w:tplc="9F68C2E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EFA174D"/>
    <w:multiLevelType w:val="hybridMultilevel"/>
    <w:tmpl w:val="6F6E43C8"/>
    <w:lvl w:ilvl="0" w:tplc="C096DA00">
      <w:start w:val="1"/>
      <w:numFmt w:val="decimal"/>
      <w:lvlText w:val="(%1)"/>
      <w:lvlJc w:val="left"/>
      <w:pPr>
        <w:ind w:left="1710" w:hanging="360"/>
      </w:pPr>
      <w:rPr>
        <w:rFonts w:ascii="Times New Roman" w:hAnsi="Times New Roman" w:cs="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23262FD7"/>
    <w:multiLevelType w:val="hybridMultilevel"/>
    <w:tmpl w:val="BC8E0648"/>
    <w:lvl w:ilvl="0" w:tplc="2C24D9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B4C38C3"/>
    <w:multiLevelType w:val="hybridMultilevel"/>
    <w:tmpl w:val="0A26ADDE"/>
    <w:lvl w:ilvl="0" w:tplc="45E6E128">
      <w:start w:val="1"/>
      <w:numFmt w:val="upperRoman"/>
      <w:lvlText w:val="%1."/>
      <w:lvlJc w:val="righ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2675BB5"/>
    <w:multiLevelType w:val="hybridMultilevel"/>
    <w:tmpl w:val="2CEA58F2"/>
    <w:lvl w:ilvl="0" w:tplc="C414D1AE">
      <w:start w:val="2"/>
      <w:numFmt w:val="upperRoman"/>
      <w:lvlText w:val="%1."/>
      <w:lvlJc w:val="left"/>
      <w:pPr>
        <w:ind w:left="1170" w:hanging="72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36B15C30"/>
    <w:multiLevelType w:val="hybridMultilevel"/>
    <w:tmpl w:val="21DC6AEC"/>
    <w:lvl w:ilvl="0" w:tplc="74625166">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BDE6D69"/>
    <w:multiLevelType w:val="hybridMultilevel"/>
    <w:tmpl w:val="E544E180"/>
    <w:lvl w:ilvl="0" w:tplc="6B58756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nsid w:val="3C611D82"/>
    <w:multiLevelType w:val="hybridMultilevel"/>
    <w:tmpl w:val="0A26ADDE"/>
    <w:lvl w:ilvl="0" w:tplc="45E6E128">
      <w:start w:val="1"/>
      <w:numFmt w:val="upperRoman"/>
      <w:lvlText w:val="%1."/>
      <w:lvlJc w:val="righ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D564447"/>
    <w:multiLevelType w:val="hybridMultilevel"/>
    <w:tmpl w:val="41D4BBE0"/>
    <w:lvl w:ilvl="0" w:tplc="85A0B5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3AA1A49"/>
    <w:multiLevelType w:val="hybridMultilevel"/>
    <w:tmpl w:val="FE44FED8"/>
    <w:lvl w:ilvl="0" w:tplc="74625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952C5A"/>
    <w:multiLevelType w:val="hybridMultilevel"/>
    <w:tmpl w:val="9A901568"/>
    <w:lvl w:ilvl="0" w:tplc="ADAAC906">
      <w:start w:val="5"/>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D5B64EF"/>
    <w:multiLevelType w:val="hybridMultilevel"/>
    <w:tmpl w:val="BBE01C08"/>
    <w:lvl w:ilvl="0" w:tplc="81ECCAC0">
      <w:start w:val="1"/>
      <w:numFmt w:val="decimal"/>
      <w:lvlText w:val="(%1)"/>
      <w:lvlJc w:val="left"/>
      <w:pPr>
        <w:ind w:left="1800" w:hanging="360"/>
      </w:pPr>
      <w:rPr>
        <w:rFonts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30">
    <w:nsid w:val="526666F6"/>
    <w:multiLevelType w:val="hybridMultilevel"/>
    <w:tmpl w:val="DA96595A"/>
    <w:lvl w:ilvl="0" w:tplc="74625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DE063B"/>
    <w:multiLevelType w:val="hybridMultilevel"/>
    <w:tmpl w:val="54BAF8C4"/>
    <w:lvl w:ilvl="0" w:tplc="C686BF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9C76E4A"/>
    <w:multiLevelType w:val="hybridMultilevel"/>
    <w:tmpl w:val="D3B0875A"/>
    <w:lvl w:ilvl="0" w:tplc="74625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F726A6"/>
    <w:multiLevelType w:val="hybridMultilevel"/>
    <w:tmpl w:val="E702DA64"/>
    <w:lvl w:ilvl="0" w:tplc="86422B08">
      <w:start w:val="1"/>
      <w:numFmt w:val="decimal"/>
      <w:lvlText w:val="%1."/>
      <w:lvlJc w:val="left"/>
      <w:pPr>
        <w:tabs>
          <w:tab w:val="num" w:pos="630"/>
        </w:tabs>
        <w:ind w:left="630" w:hanging="360"/>
      </w:pPr>
      <w:rPr>
        <w:rFonts w:hint="default"/>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4723F8B"/>
    <w:multiLevelType w:val="hybridMultilevel"/>
    <w:tmpl w:val="1BCA7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A6A38A4"/>
    <w:multiLevelType w:val="hybridMultilevel"/>
    <w:tmpl w:val="EBEE98A6"/>
    <w:lvl w:ilvl="0" w:tplc="9D5070F4">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C20E68"/>
    <w:multiLevelType w:val="hybridMultilevel"/>
    <w:tmpl w:val="194CBE1A"/>
    <w:lvl w:ilvl="0" w:tplc="74625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1E2DA2"/>
    <w:multiLevelType w:val="hybridMultilevel"/>
    <w:tmpl w:val="CEB46412"/>
    <w:lvl w:ilvl="0" w:tplc="7462516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A310270"/>
    <w:multiLevelType w:val="hybridMultilevel"/>
    <w:tmpl w:val="CB923B06"/>
    <w:lvl w:ilvl="0" w:tplc="C37C165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E777433"/>
    <w:multiLevelType w:val="hybridMultilevel"/>
    <w:tmpl w:val="4614018C"/>
    <w:lvl w:ilvl="0" w:tplc="264C8D6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5"/>
  </w:num>
  <w:num w:numId="2">
    <w:abstractNumId w:val="21"/>
  </w:num>
  <w:num w:numId="3">
    <w:abstractNumId w:val="24"/>
  </w:num>
  <w:num w:numId="4">
    <w:abstractNumId w:val="38"/>
  </w:num>
  <w:num w:numId="5">
    <w:abstractNumId w:val="31"/>
  </w:num>
  <w:num w:numId="6">
    <w:abstractNumId w:val="10"/>
  </w:num>
  <w:num w:numId="7">
    <w:abstractNumId w:val="17"/>
  </w:num>
  <w:num w:numId="8">
    <w:abstractNumId w:val="29"/>
  </w:num>
  <w:num w:numId="9">
    <w:abstractNumId w:val="14"/>
  </w:num>
  <w:num w:numId="10">
    <w:abstractNumId w:val="26"/>
  </w:num>
  <w:num w:numId="11">
    <w:abstractNumId w:val="2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 w:numId="23">
    <w:abstractNumId w:val="33"/>
  </w:num>
  <w:num w:numId="24">
    <w:abstractNumId w:val="39"/>
  </w:num>
  <w:num w:numId="25">
    <w:abstractNumId w:val="20"/>
  </w:num>
  <w:num w:numId="26">
    <w:abstractNumId w:val="15"/>
  </w:num>
  <w:num w:numId="27">
    <w:abstractNumId w:val="19"/>
  </w:num>
  <w:num w:numId="28">
    <w:abstractNumId w:val="12"/>
  </w:num>
  <w:num w:numId="29">
    <w:abstractNumId w:val="13"/>
  </w:num>
  <w:num w:numId="30">
    <w:abstractNumId w:val="22"/>
  </w:num>
  <w:num w:numId="31">
    <w:abstractNumId w:val="35"/>
  </w:num>
  <w:num w:numId="32">
    <w:abstractNumId w:val="16"/>
  </w:num>
  <w:num w:numId="33">
    <w:abstractNumId w:val="37"/>
  </w:num>
  <w:num w:numId="34">
    <w:abstractNumId w:val="36"/>
  </w:num>
  <w:num w:numId="35">
    <w:abstractNumId w:val="27"/>
  </w:num>
  <w:num w:numId="36">
    <w:abstractNumId w:val="32"/>
  </w:num>
  <w:num w:numId="37">
    <w:abstractNumId w:val="30"/>
  </w:num>
  <w:num w:numId="38">
    <w:abstractNumId w:val="23"/>
  </w:num>
  <w:num w:numId="39">
    <w:abstractNumId w:val="11"/>
  </w:num>
  <w:num w:numId="40">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w15:presenceInfo w15:providerId="None" w15:userId="dan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characterSpacingControl w:val="doNotCompress"/>
  <w:doNotValidateAgainstSchema/>
  <w:doNotDemarcateInvalidXml/>
  <w:hdrShapeDefaults>
    <o:shapedefaults v:ext="edit" spidmax="207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B9"/>
    <w:rsid w:val="00006901"/>
    <w:rsid w:val="00007572"/>
    <w:rsid w:val="000109CA"/>
    <w:rsid w:val="000328D9"/>
    <w:rsid w:val="00036202"/>
    <w:rsid w:val="00037859"/>
    <w:rsid w:val="0004083B"/>
    <w:rsid w:val="00042BC5"/>
    <w:rsid w:val="00044629"/>
    <w:rsid w:val="00044DAC"/>
    <w:rsid w:val="0004724F"/>
    <w:rsid w:val="00047936"/>
    <w:rsid w:val="00076D46"/>
    <w:rsid w:val="00077B41"/>
    <w:rsid w:val="00077FA0"/>
    <w:rsid w:val="00085EC6"/>
    <w:rsid w:val="00090A5F"/>
    <w:rsid w:val="000A2657"/>
    <w:rsid w:val="000A30A5"/>
    <w:rsid w:val="000A63D4"/>
    <w:rsid w:val="000B00E8"/>
    <w:rsid w:val="000C0159"/>
    <w:rsid w:val="000C1130"/>
    <w:rsid w:val="000C24C4"/>
    <w:rsid w:val="000D0C1A"/>
    <w:rsid w:val="000D40B3"/>
    <w:rsid w:val="000E0838"/>
    <w:rsid w:val="000E09B3"/>
    <w:rsid w:val="000E4F72"/>
    <w:rsid w:val="000F3017"/>
    <w:rsid w:val="000F43E8"/>
    <w:rsid w:val="000F4B8A"/>
    <w:rsid w:val="00104893"/>
    <w:rsid w:val="00105987"/>
    <w:rsid w:val="00110865"/>
    <w:rsid w:val="0011248C"/>
    <w:rsid w:val="00112EF3"/>
    <w:rsid w:val="001175E0"/>
    <w:rsid w:val="0012097C"/>
    <w:rsid w:val="00121A01"/>
    <w:rsid w:val="0012317A"/>
    <w:rsid w:val="001267B2"/>
    <w:rsid w:val="00126D6A"/>
    <w:rsid w:val="001274AC"/>
    <w:rsid w:val="0013141F"/>
    <w:rsid w:val="0013263F"/>
    <w:rsid w:val="00140ED3"/>
    <w:rsid w:val="001473A1"/>
    <w:rsid w:val="00147B0C"/>
    <w:rsid w:val="001504F1"/>
    <w:rsid w:val="00150AC3"/>
    <w:rsid w:val="001539D2"/>
    <w:rsid w:val="00164C5E"/>
    <w:rsid w:val="00167848"/>
    <w:rsid w:val="001715D7"/>
    <w:rsid w:val="001743BC"/>
    <w:rsid w:val="00186693"/>
    <w:rsid w:val="00192243"/>
    <w:rsid w:val="001945D3"/>
    <w:rsid w:val="00195FCC"/>
    <w:rsid w:val="001A2731"/>
    <w:rsid w:val="001A342D"/>
    <w:rsid w:val="001A413A"/>
    <w:rsid w:val="001A4CB9"/>
    <w:rsid w:val="001B31F5"/>
    <w:rsid w:val="001B3B2C"/>
    <w:rsid w:val="001B4226"/>
    <w:rsid w:val="001B5E75"/>
    <w:rsid w:val="001B7B30"/>
    <w:rsid w:val="001C1734"/>
    <w:rsid w:val="001C21B9"/>
    <w:rsid w:val="001D2659"/>
    <w:rsid w:val="001D289C"/>
    <w:rsid w:val="001E0C15"/>
    <w:rsid w:val="001E1FEE"/>
    <w:rsid w:val="001E5031"/>
    <w:rsid w:val="001E6640"/>
    <w:rsid w:val="001E6F88"/>
    <w:rsid w:val="001F1311"/>
    <w:rsid w:val="001F47E8"/>
    <w:rsid w:val="00206967"/>
    <w:rsid w:val="00206A64"/>
    <w:rsid w:val="00213C94"/>
    <w:rsid w:val="0022331F"/>
    <w:rsid w:val="002268FC"/>
    <w:rsid w:val="00226D1C"/>
    <w:rsid w:val="0023196E"/>
    <w:rsid w:val="00232D8A"/>
    <w:rsid w:val="00235DC3"/>
    <w:rsid w:val="002401CF"/>
    <w:rsid w:val="0024155C"/>
    <w:rsid w:val="002565B9"/>
    <w:rsid w:val="002604BB"/>
    <w:rsid w:val="0026645A"/>
    <w:rsid w:val="00266C19"/>
    <w:rsid w:val="00267935"/>
    <w:rsid w:val="00274381"/>
    <w:rsid w:val="00280CE2"/>
    <w:rsid w:val="002852E3"/>
    <w:rsid w:val="00291015"/>
    <w:rsid w:val="002938F4"/>
    <w:rsid w:val="00295264"/>
    <w:rsid w:val="002A1121"/>
    <w:rsid w:val="002B1140"/>
    <w:rsid w:val="002B1E8C"/>
    <w:rsid w:val="002B216A"/>
    <w:rsid w:val="002B52BB"/>
    <w:rsid w:val="002C1F7E"/>
    <w:rsid w:val="002C3F0F"/>
    <w:rsid w:val="002C71BD"/>
    <w:rsid w:val="002D2682"/>
    <w:rsid w:val="002E556B"/>
    <w:rsid w:val="002E62AC"/>
    <w:rsid w:val="002E6F48"/>
    <w:rsid w:val="00304857"/>
    <w:rsid w:val="00310346"/>
    <w:rsid w:val="00316A9E"/>
    <w:rsid w:val="00316E36"/>
    <w:rsid w:val="00324BD0"/>
    <w:rsid w:val="0032747D"/>
    <w:rsid w:val="00332C0F"/>
    <w:rsid w:val="00337E4C"/>
    <w:rsid w:val="00340F00"/>
    <w:rsid w:val="00351724"/>
    <w:rsid w:val="00355F2A"/>
    <w:rsid w:val="003579D2"/>
    <w:rsid w:val="00361C7F"/>
    <w:rsid w:val="00365778"/>
    <w:rsid w:val="00370872"/>
    <w:rsid w:val="00382BB7"/>
    <w:rsid w:val="00392314"/>
    <w:rsid w:val="00392391"/>
    <w:rsid w:val="003A34D5"/>
    <w:rsid w:val="003A7127"/>
    <w:rsid w:val="003B1FC7"/>
    <w:rsid w:val="003B229F"/>
    <w:rsid w:val="003C3F00"/>
    <w:rsid w:val="003C6081"/>
    <w:rsid w:val="003C781E"/>
    <w:rsid w:val="003D5C52"/>
    <w:rsid w:val="003D6E47"/>
    <w:rsid w:val="003E1C85"/>
    <w:rsid w:val="003E3A7D"/>
    <w:rsid w:val="003E6365"/>
    <w:rsid w:val="003E7007"/>
    <w:rsid w:val="003F0927"/>
    <w:rsid w:val="003F2FA0"/>
    <w:rsid w:val="003F6919"/>
    <w:rsid w:val="004017B4"/>
    <w:rsid w:val="00415CC8"/>
    <w:rsid w:val="00416464"/>
    <w:rsid w:val="004255BB"/>
    <w:rsid w:val="00426DD4"/>
    <w:rsid w:val="00430E92"/>
    <w:rsid w:val="00430F72"/>
    <w:rsid w:val="004315A4"/>
    <w:rsid w:val="0043683B"/>
    <w:rsid w:val="00445BBE"/>
    <w:rsid w:val="0044680D"/>
    <w:rsid w:val="00451490"/>
    <w:rsid w:val="004543E3"/>
    <w:rsid w:val="0046780C"/>
    <w:rsid w:val="00477A0A"/>
    <w:rsid w:val="004935C5"/>
    <w:rsid w:val="004946F2"/>
    <w:rsid w:val="00494B7D"/>
    <w:rsid w:val="004A0E63"/>
    <w:rsid w:val="004A50B1"/>
    <w:rsid w:val="004C2301"/>
    <w:rsid w:val="004C50B4"/>
    <w:rsid w:val="004C5F35"/>
    <w:rsid w:val="004D0A7D"/>
    <w:rsid w:val="004D5B5C"/>
    <w:rsid w:val="004D5B81"/>
    <w:rsid w:val="004D7720"/>
    <w:rsid w:val="004E4B1E"/>
    <w:rsid w:val="004E53E8"/>
    <w:rsid w:val="004E5E3C"/>
    <w:rsid w:val="004E729B"/>
    <w:rsid w:val="004E7CA7"/>
    <w:rsid w:val="004F0FD5"/>
    <w:rsid w:val="004F1224"/>
    <w:rsid w:val="004F25E8"/>
    <w:rsid w:val="004F594E"/>
    <w:rsid w:val="004F6975"/>
    <w:rsid w:val="00515ED4"/>
    <w:rsid w:val="0052203F"/>
    <w:rsid w:val="005240FD"/>
    <w:rsid w:val="00525DA4"/>
    <w:rsid w:val="005265F6"/>
    <w:rsid w:val="005370BF"/>
    <w:rsid w:val="005425C3"/>
    <w:rsid w:val="0054489E"/>
    <w:rsid w:val="00545B23"/>
    <w:rsid w:val="00561333"/>
    <w:rsid w:val="005635AB"/>
    <w:rsid w:val="00563BDD"/>
    <w:rsid w:val="00564857"/>
    <w:rsid w:val="00565748"/>
    <w:rsid w:val="00567249"/>
    <w:rsid w:val="005713F4"/>
    <w:rsid w:val="00574D7C"/>
    <w:rsid w:val="0057597D"/>
    <w:rsid w:val="00580B70"/>
    <w:rsid w:val="00580F94"/>
    <w:rsid w:val="00582EE6"/>
    <w:rsid w:val="0058778A"/>
    <w:rsid w:val="0059696E"/>
    <w:rsid w:val="005A0835"/>
    <w:rsid w:val="005A1176"/>
    <w:rsid w:val="005A1A17"/>
    <w:rsid w:val="005A2949"/>
    <w:rsid w:val="005A2C01"/>
    <w:rsid w:val="005A5465"/>
    <w:rsid w:val="005A67C6"/>
    <w:rsid w:val="005A7B47"/>
    <w:rsid w:val="005B0A5F"/>
    <w:rsid w:val="005B580C"/>
    <w:rsid w:val="005B6087"/>
    <w:rsid w:val="005D490D"/>
    <w:rsid w:val="005E002D"/>
    <w:rsid w:val="005E63F0"/>
    <w:rsid w:val="005F01FE"/>
    <w:rsid w:val="005F0A1C"/>
    <w:rsid w:val="005F2CF8"/>
    <w:rsid w:val="005F3703"/>
    <w:rsid w:val="005F718B"/>
    <w:rsid w:val="0060092C"/>
    <w:rsid w:val="0061371C"/>
    <w:rsid w:val="00625040"/>
    <w:rsid w:val="00625569"/>
    <w:rsid w:val="006374A0"/>
    <w:rsid w:val="006516C5"/>
    <w:rsid w:val="006569BD"/>
    <w:rsid w:val="00662599"/>
    <w:rsid w:val="006672DE"/>
    <w:rsid w:val="00671FA9"/>
    <w:rsid w:val="006812F3"/>
    <w:rsid w:val="00684D28"/>
    <w:rsid w:val="00684EB0"/>
    <w:rsid w:val="006866E0"/>
    <w:rsid w:val="0069065F"/>
    <w:rsid w:val="006B0D5C"/>
    <w:rsid w:val="006C229C"/>
    <w:rsid w:val="006C3EA4"/>
    <w:rsid w:val="006C6370"/>
    <w:rsid w:val="006D0D41"/>
    <w:rsid w:val="006D180C"/>
    <w:rsid w:val="006E7DCE"/>
    <w:rsid w:val="006F2EEF"/>
    <w:rsid w:val="006F3455"/>
    <w:rsid w:val="00701682"/>
    <w:rsid w:val="00706957"/>
    <w:rsid w:val="00712160"/>
    <w:rsid w:val="00721EB8"/>
    <w:rsid w:val="00724124"/>
    <w:rsid w:val="00725251"/>
    <w:rsid w:val="00731657"/>
    <w:rsid w:val="00745EA0"/>
    <w:rsid w:val="007472FC"/>
    <w:rsid w:val="00754636"/>
    <w:rsid w:val="007554EA"/>
    <w:rsid w:val="00757248"/>
    <w:rsid w:val="0075768B"/>
    <w:rsid w:val="00760B48"/>
    <w:rsid w:val="0076615E"/>
    <w:rsid w:val="00770CDD"/>
    <w:rsid w:val="00770E54"/>
    <w:rsid w:val="0077285A"/>
    <w:rsid w:val="0077299C"/>
    <w:rsid w:val="00773FD7"/>
    <w:rsid w:val="00780392"/>
    <w:rsid w:val="00780ACE"/>
    <w:rsid w:val="00790972"/>
    <w:rsid w:val="00792AA1"/>
    <w:rsid w:val="00794032"/>
    <w:rsid w:val="0079417C"/>
    <w:rsid w:val="007954EA"/>
    <w:rsid w:val="0079583C"/>
    <w:rsid w:val="007A0ADC"/>
    <w:rsid w:val="007A0CA0"/>
    <w:rsid w:val="007A22E6"/>
    <w:rsid w:val="007A2668"/>
    <w:rsid w:val="007A6989"/>
    <w:rsid w:val="007C14B9"/>
    <w:rsid w:val="007C26E0"/>
    <w:rsid w:val="007C7553"/>
    <w:rsid w:val="007D6C68"/>
    <w:rsid w:val="007D7B1B"/>
    <w:rsid w:val="007E1C80"/>
    <w:rsid w:val="007E311E"/>
    <w:rsid w:val="007F3BAF"/>
    <w:rsid w:val="00804B40"/>
    <w:rsid w:val="0080539B"/>
    <w:rsid w:val="00807B52"/>
    <w:rsid w:val="00814B12"/>
    <w:rsid w:val="00814FC3"/>
    <w:rsid w:val="00823910"/>
    <w:rsid w:val="008257CB"/>
    <w:rsid w:val="0083431E"/>
    <w:rsid w:val="0083578B"/>
    <w:rsid w:val="00842F67"/>
    <w:rsid w:val="00843AC5"/>
    <w:rsid w:val="00852A68"/>
    <w:rsid w:val="0085400F"/>
    <w:rsid w:val="00854540"/>
    <w:rsid w:val="00855780"/>
    <w:rsid w:val="0085709D"/>
    <w:rsid w:val="00857110"/>
    <w:rsid w:val="00870C6E"/>
    <w:rsid w:val="00872E18"/>
    <w:rsid w:val="00881314"/>
    <w:rsid w:val="008849A9"/>
    <w:rsid w:val="00894FF6"/>
    <w:rsid w:val="008B11E0"/>
    <w:rsid w:val="008B48A0"/>
    <w:rsid w:val="008B7BCD"/>
    <w:rsid w:val="008C0716"/>
    <w:rsid w:val="008C2082"/>
    <w:rsid w:val="008C3145"/>
    <w:rsid w:val="008C735C"/>
    <w:rsid w:val="008E0372"/>
    <w:rsid w:val="008F09B4"/>
    <w:rsid w:val="00900DB3"/>
    <w:rsid w:val="00902BF6"/>
    <w:rsid w:val="00904A1B"/>
    <w:rsid w:val="00906DB3"/>
    <w:rsid w:val="00907050"/>
    <w:rsid w:val="00911A17"/>
    <w:rsid w:val="00920050"/>
    <w:rsid w:val="009211D5"/>
    <w:rsid w:val="00923F08"/>
    <w:rsid w:val="00926A25"/>
    <w:rsid w:val="009307AD"/>
    <w:rsid w:val="0093509E"/>
    <w:rsid w:val="00935A46"/>
    <w:rsid w:val="00936F0A"/>
    <w:rsid w:val="00937C5A"/>
    <w:rsid w:val="0094410C"/>
    <w:rsid w:val="009445EA"/>
    <w:rsid w:val="009469F9"/>
    <w:rsid w:val="009544F1"/>
    <w:rsid w:val="009546EB"/>
    <w:rsid w:val="00955D40"/>
    <w:rsid w:val="00961E01"/>
    <w:rsid w:val="0096629F"/>
    <w:rsid w:val="0097188D"/>
    <w:rsid w:val="009736C5"/>
    <w:rsid w:val="009773FD"/>
    <w:rsid w:val="00982665"/>
    <w:rsid w:val="00984C38"/>
    <w:rsid w:val="00985807"/>
    <w:rsid w:val="00987408"/>
    <w:rsid w:val="00990694"/>
    <w:rsid w:val="00993F62"/>
    <w:rsid w:val="009A5AAE"/>
    <w:rsid w:val="009A7CBB"/>
    <w:rsid w:val="009B14E7"/>
    <w:rsid w:val="009B463A"/>
    <w:rsid w:val="009B719C"/>
    <w:rsid w:val="009C6A20"/>
    <w:rsid w:val="009C7618"/>
    <w:rsid w:val="009E3B83"/>
    <w:rsid w:val="009E5D2D"/>
    <w:rsid w:val="009F01D4"/>
    <w:rsid w:val="009F349B"/>
    <w:rsid w:val="00A005B6"/>
    <w:rsid w:val="00A044FD"/>
    <w:rsid w:val="00A05A9A"/>
    <w:rsid w:val="00A21131"/>
    <w:rsid w:val="00A270D5"/>
    <w:rsid w:val="00A30313"/>
    <w:rsid w:val="00A42C6A"/>
    <w:rsid w:val="00A45B9F"/>
    <w:rsid w:val="00A509B4"/>
    <w:rsid w:val="00A60316"/>
    <w:rsid w:val="00A708F4"/>
    <w:rsid w:val="00A710AF"/>
    <w:rsid w:val="00A726C7"/>
    <w:rsid w:val="00A744F1"/>
    <w:rsid w:val="00A76F09"/>
    <w:rsid w:val="00A87AF7"/>
    <w:rsid w:val="00A95687"/>
    <w:rsid w:val="00AA3B58"/>
    <w:rsid w:val="00AA3E3C"/>
    <w:rsid w:val="00AA6FB9"/>
    <w:rsid w:val="00AA7286"/>
    <w:rsid w:val="00AB1D3E"/>
    <w:rsid w:val="00AB74C5"/>
    <w:rsid w:val="00AC2E3B"/>
    <w:rsid w:val="00AC3C4B"/>
    <w:rsid w:val="00AD0B64"/>
    <w:rsid w:val="00AD15EC"/>
    <w:rsid w:val="00AD1D2A"/>
    <w:rsid w:val="00AD239B"/>
    <w:rsid w:val="00AD40E2"/>
    <w:rsid w:val="00AD4520"/>
    <w:rsid w:val="00AD75FD"/>
    <w:rsid w:val="00AE0F94"/>
    <w:rsid w:val="00AE3F8C"/>
    <w:rsid w:val="00AF0A2A"/>
    <w:rsid w:val="00AF0BFC"/>
    <w:rsid w:val="00AF506C"/>
    <w:rsid w:val="00B058DD"/>
    <w:rsid w:val="00B0717F"/>
    <w:rsid w:val="00B10B7B"/>
    <w:rsid w:val="00B10C0D"/>
    <w:rsid w:val="00B10CB6"/>
    <w:rsid w:val="00B16EAA"/>
    <w:rsid w:val="00B176FF"/>
    <w:rsid w:val="00B22259"/>
    <w:rsid w:val="00B242D2"/>
    <w:rsid w:val="00B251DE"/>
    <w:rsid w:val="00B25849"/>
    <w:rsid w:val="00B26EC6"/>
    <w:rsid w:val="00B302C1"/>
    <w:rsid w:val="00B32A3A"/>
    <w:rsid w:val="00B3623E"/>
    <w:rsid w:val="00B42A60"/>
    <w:rsid w:val="00B46DF1"/>
    <w:rsid w:val="00B6104A"/>
    <w:rsid w:val="00B61C98"/>
    <w:rsid w:val="00B65093"/>
    <w:rsid w:val="00B70427"/>
    <w:rsid w:val="00B71AAE"/>
    <w:rsid w:val="00B77313"/>
    <w:rsid w:val="00B87211"/>
    <w:rsid w:val="00B8778D"/>
    <w:rsid w:val="00BA1E3F"/>
    <w:rsid w:val="00BB04FD"/>
    <w:rsid w:val="00BB33F2"/>
    <w:rsid w:val="00BB47A2"/>
    <w:rsid w:val="00BB5B13"/>
    <w:rsid w:val="00BB5B60"/>
    <w:rsid w:val="00BC4485"/>
    <w:rsid w:val="00BC6CD6"/>
    <w:rsid w:val="00BE0448"/>
    <w:rsid w:val="00BF0B99"/>
    <w:rsid w:val="00BF344F"/>
    <w:rsid w:val="00BF40E6"/>
    <w:rsid w:val="00BF6B48"/>
    <w:rsid w:val="00C04C91"/>
    <w:rsid w:val="00C055E4"/>
    <w:rsid w:val="00C102EB"/>
    <w:rsid w:val="00C14E5D"/>
    <w:rsid w:val="00C16CEF"/>
    <w:rsid w:val="00C25E80"/>
    <w:rsid w:val="00C27F5B"/>
    <w:rsid w:val="00C344F1"/>
    <w:rsid w:val="00C36188"/>
    <w:rsid w:val="00C373C3"/>
    <w:rsid w:val="00C4326E"/>
    <w:rsid w:val="00C43FCB"/>
    <w:rsid w:val="00C45CDE"/>
    <w:rsid w:val="00C47B58"/>
    <w:rsid w:val="00C50E1A"/>
    <w:rsid w:val="00C5217B"/>
    <w:rsid w:val="00C57891"/>
    <w:rsid w:val="00C6145F"/>
    <w:rsid w:val="00C6478F"/>
    <w:rsid w:val="00C64C23"/>
    <w:rsid w:val="00C8215E"/>
    <w:rsid w:val="00C823DE"/>
    <w:rsid w:val="00C85EE0"/>
    <w:rsid w:val="00C90687"/>
    <w:rsid w:val="00C9071C"/>
    <w:rsid w:val="00CA3141"/>
    <w:rsid w:val="00CA4BC0"/>
    <w:rsid w:val="00CA628B"/>
    <w:rsid w:val="00CB30A4"/>
    <w:rsid w:val="00CC19B3"/>
    <w:rsid w:val="00CC5CA0"/>
    <w:rsid w:val="00CC7510"/>
    <w:rsid w:val="00CD02F7"/>
    <w:rsid w:val="00CD2141"/>
    <w:rsid w:val="00CD30D7"/>
    <w:rsid w:val="00CD3701"/>
    <w:rsid w:val="00CD5AF6"/>
    <w:rsid w:val="00CE5354"/>
    <w:rsid w:val="00CE6F25"/>
    <w:rsid w:val="00D03276"/>
    <w:rsid w:val="00D0480B"/>
    <w:rsid w:val="00D04A0A"/>
    <w:rsid w:val="00D054A0"/>
    <w:rsid w:val="00D07A52"/>
    <w:rsid w:val="00D16D64"/>
    <w:rsid w:val="00D2082E"/>
    <w:rsid w:val="00D227CD"/>
    <w:rsid w:val="00D30FA2"/>
    <w:rsid w:val="00D37DD9"/>
    <w:rsid w:val="00D46CFD"/>
    <w:rsid w:val="00D575D2"/>
    <w:rsid w:val="00D63F2B"/>
    <w:rsid w:val="00D6792C"/>
    <w:rsid w:val="00D7064D"/>
    <w:rsid w:val="00D74DBF"/>
    <w:rsid w:val="00D75C5E"/>
    <w:rsid w:val="00D77DD0"/>
    <w:rsid w:val="00D8341F"/>
    <w:rsid w:val="00D8447C"/>
    <w:rsid w:val="00D84BC9"/>
    <w:rsid w:val="00DA090A"/>
    <w:rsid w:val="00DA2BCA"/>
    <w:rsid w:val="00DA4984"/>
    <w:rsid w:val="00DB2562"/>
    <w:rsid w:val="00DB6181"/>
    <w:rsid w:val="00DC5BF0"/>
    <w:rsid w:val="00DD2C05"/>
    <w:rsid w:val="00DD374D"/>
    <w:rsid w:val="00DD4103"/>
    <w:rsid w:val="00DD6509"/>
    <w:rsid w:val="00DE5CCE"/>
    <w:rsid w:val="00DF2E88"/>
    <w:rsid w:val="00DF557B"/>
    <w:rsid w:val="00DF5698"/>
    <w:rsid w:val="00DF7AAA"/>
    <w:rsid w:val="00E00BD3"/>
    <w:rsid w:val="00E02032"/>
    <w:rsid w:val="00E03922"/>
    <w:rsid w:val="00E04C72"/>
    <w:rsid w:val="00E169EB"/>
    <w:rsid w:val="00E16DF2"/>
    <w:rsid w:val="00E16FE3"/>
    <w:rsid w:val="00E23B30"/>
    <w:rsid w:val="00E257C4"/>
    <w:rsid w:val="00E27FC3"/>
    <w:rsid w:val="00E31EFF"/>
    <w:rsid w:val="00E35E97"/>
    <w:rsid w:val="00E378AC"/>
    <w:rsid w:val="00E40D91"/>
    <w:rsid w:val="00E41107"/>
    <w:rsid w:val="00E413FC"/>
    <w:rsid w:val="00E43C47"/>
    <w:rsid w:val="00E43C65"/>
    <w:rsid w:val="00E47176"/>
    <w:rsid w:val="00E56DCF"/>
    <w:rsid w:val="00E64D37"/>
    <w:rsid w:val="00E70280"/>
    <w:rsid w:val="00E71C88"/>
    <w:rsid w:val="00E77358"/>
    <w:rsid w:val="00E775B5"/>
    <w:rsid w:val="00E81D2E"/>
    <w:rsid w:val="00E82D54"/>
    <w:rsid w:val="00E86972"/>
    <w:rsid w:val="00E87952"/>
    <w:rsid w:val="00E9150C"/>
    <w:rsid w:val="00E92DF7"/>
    <w:rsid w:val="00E97938"/>
    <w:rsid w:val="00E97BB2"/>
    <w:rsid w:val="00EA0013"/>
    <w:rsid w:val="00EA0132"/>
    <w:rsid w:val="00EA4A08"/>
    <w:rsid w:val="00EA64B6"/>
    <w:rsid w:val="00EA717A"/>
    <w:rsid w:val="00EB33A8"/>
    <w:rsid w:val="00EB4939"/>
    <w:rsid w:val="00EB62FB"/>
    <w:rsid w:val="00EB78D5"/>
    <w:rsid w:val="00EC5696"/>
    <w:rsid w:val="00ED11E1"/>
    <w:rsid w:val="00ED440A"/>
    <w:rsid w:val="00ED68C9"/>
    <w:rsid w:val="00EE1273"/>
    <w:rsid w:val="00EE67C9"/>
    <w:rsid w:val="00EF08CD"/>
    <w:rsid w:val="00EF25BC"/>
    <w:rsid w:val="00EF5481"/>
    <w:rsid w:val="00F00202"/>
    <w:rsid w:val="00F01042"/>
    <w:rsid w:val="00F02906"/>
    <w:rsid w:val="00F02ED2"/>
    <w:rsid w:val="00F04774"/>
    <w:rsid w:val="00F05875"/>
    <w:rsid w:val="00F06E0E"/>
    <w:rsid w:val="00F12D01"/>
    <w:rsid w:val="00F134E2"/>
    <w:rsid w:val="00F1480B"/>
    <w:rsid w:val="00F15E81"/>
    <w:rsid w:val="00F22A8D"/>
    <w:rsid w:val="00F241C7"/>
    <w:rsid w:val="00F24307"/>
    <w:rsid w:val="00F34B1F"/>
    <w:rsid w:val="00F42097"/>
    <w:rsid w:val="00F42274"/>
    <w:rsid w:val="00F42498"/>
    <w:rsid w:val="00F436B1"/>
    <w:rsid w:val="00F45FA6"/>
    <w:rsid w:val="00F503D3"/>
    <w:rsid w:val="00F54E4F"/>
    <w:rsid w:val="00F700A7"/>
    <w:rsid w:val="00F730C7"/>
    <w:rsid w:val="00F73AB7"/>
    <w:rsid w:val="00F84EF3"/>
    <w:rsid w:val="00F87073"/>
    <w:rsid w:val="00F93D7F"/>
    <w:rsid w:val="00F95F1A"/>
    <w:rsid w:val="00F961BF"/>
    <w:rsid w:val="00FA02CD"/>
    <w:rsid w:val="00FA113E"/>
    <w:rsid w:val="00FA2B30"/>
    <w:rsid w:val="00FA7F07"/>
    <w:rsid w:val="00FB1509"/>
    <w:rsid w:val="00FC14CB"/>
    <w:rsid w:val="00FC1B2E"/>
    <w:rsid w:val="00FC64BE"/>
    <w:rsid w:val="00FD2850"/>
    <w:rsid w:val="00FD412D"/>
    <w:rsid w:val="00FE2848"/>
    <w:rsid w:val="00FF1036"/>
    <w:rsid w:val="00FF3102"/>
    <w:rsid w:val="00FF4BEC"/>
    <w:rsid w:val="00FF7753"/>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autoSpaceDE w:val="0"/>
      <w:autoSpaceDN w:val="0"/>
      <w:adjustRightInd w:val="0"/>
      <w:spacing w:line="480" w:lineRule="auto"/>
      <w:outlineLvl w:val="0"/>
    </w:pPr>
    <w:rPr>
      <w:rFonts w:ascii="Times New Roman Bold" w:hAnsi="Times New Roman Bold"/>
      <w:b/>
      <w:bCs/>
      <w:caps/>
    </w:rPr>
  </w:style>
  <w:style w:type="paragraph" w:styleId="Heading2">
    <w:name w:val="heading 2"/>
    <w:basedOn w:val="ListParagraph"/>
    <w:next w:val="Normal"/>
    <w:link w:val="Heading2Char"/>
    <w:uiPriority w:val="99"/>
    <w:qFormat/>
    <w:pPr>
      <w:numPr>
        <w:numId w:val="28"/>
      </w:numPr>
      <w:spacing w:line="480" w:lineRule="auto"/>
      <w:ind w:leftChars="0" w:left="1440" w:hanging="720"/>
      <w:outlineLvl w:val="1"/>
    </w:pPr>
    <w:rPr>
      <w:rFonts w:ascii="Times New Roman" w:hAnsi="Times New Roman"/>
      <w:b/>
    </w:rPr>
  </w:style>
  <w:style w:type="paragraph" w:styleId="Heading3">
    <w:name w:val="heading 3"/>
    <w:basedOn w:val="Normal"/>
    <w:next w:val="Normal"/>
    <w:link w:val="Heading3Char"/>
    <w:uiPriority w:val="99"/>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Bold" w:hAnsi="Times New Roman Bold"/>
      <w:b/>
      <w:bCs/>
      <w:caps/>
      <w:sz w:val="24"/>
      <w:szCs w:val="24"/>
    </w:rPr>
  </w:style>
  <w:style w:type="character" w:customStyle="1" w:styleId="Heading2Char">
    <w:name w:val="Heading 2 Char"/>
    <w:link w:val="Heading2"/>
    <w:uiPriority w:val="99"/>
    <w:locked/>
    <w:rPr>
      <w:b/>
      <w:kern w:val="2"/>
      <w:sz w:val="24"/>
      <w:szCs w:val="22"/>
      <w:lang w:eastAsia="zh-TW"/>
    </w:rPr>
  </w:style>
  <w:style w:type="character" w:customStyle="1" w:styleId="Heading3Char">
    <w:name w:val="Heading 3 Char"/>
    <w:link w:val="Heading3"/>
    <w:uiPriority w:val="99"/>
    <w:semiHidden/>
    <w:locked/>
    <w:rPr>
      <w:rFonts w:ascii="Cambria" w:hAnsi="Cambria" w:cs="Cambria"/>
      <w:b/>
      <w:bCs/>
      <w:sz w:val="26"/>
      <w:szCs w:val="26"/>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character" w:styleId="PageNumber">
    <w:name w:val="page number"/>
    <w:basedOn w:val="DefaultParagraphFont"/>
    <w:uiPriority w:val="99"/>
  </w:style>
  <w:style w:type="paragraph" w:styleId="BodyText">
    <w:name w:val="Body Text"/>
    <w:basedOn w:val="Normal"/>
    <w:link w:val="BodyTextChar"/>
    <w:uiPriority w:val="99"/>
    <w:pPr>
      <w:spacing w:line="480" w:lineRule="auto"/>
      <w:ind w:left="720"/>
    </w:pPr>
    <w:rPr>
      <w:iCs/>
    </w:rPr>
  </w:style>
  <w:style w:type="character" w:customStyle="1" w:styleId="BodyTextChar">
    <w:name w:val="Body Text Char"/>
    <w:link w:val="BodyText"/>
    <w:uiPriority w:val="99"/>
    <w:locked/>
    <w:rPr>
      <w:iCs/>
      <w:sz w:val="24"/>
      <w:szCs w:val="24"/>
    </w:r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ft,fn C"/>
    <w:basedOn w:val="Normal"/>
    <w:link w:val="FootnoteTextChar3"/>
    <w:pPr>
      <w:spacing w:before="120"/>
    </w:pPr>
    <w:rPr>
      <w:sz w:val="20"/>
      <w:szCs w:val="20"/>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rPr>
      <w:sz w:val="20"/>
      <w:szCs w:val="20"/>
    </w:rPr>
  </w:style>
  <w:style w:type="character" w:customStyle="1" w:styleId="FootnoteTextChar21">
    <w:name w:val="Footnote Text Char21"/>
    <w:aliases w:val="Footnote Text Char1 Char3,Footnote Text Char Char Char3,Footnote Text Char1 Char Char1 Char3,Footnote Text Char Char Char Char Char3,Footnote Text Char2 Char Char Char Char1 Char3,Footnote Text Char1 Char Char1 Char Char Char Char3"/>
    <w:uiPriority w:val="99"/>
    <w:semiHidden/>
    <w:rPr>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uiPriority w:val="99"/>
    <w:rPr>
      <w:vertAlign w:val="superscript"/>
    </w:rPr>
  </w:style>
  <w:style w:type="character" w:customStyle="1" w:styleId="FootnoteTextChar1Char2">
    <w:name w:val="Footnote Text Char1 Char2"/>
    <w:aliases w:val="Footnote Text Char Char Char2,Footnote Text Char1 Char Char1 Char2,Footnote Text Char Char Char Char Char2,Footnote Text Char2 Char Char Char Char1 Char2,Footnote Text Char1 Char Char1 Char Char Char Char2,ALTS FOOTNOTE Char"/>
    <w:uiPriority w:val="99"/>
    <w:locked/>
    <w:rPr>
      <w:lang w:val="en-US" w:eastAsia="en-US"/>
    </w:rPr>
  </w:style>
  <w:style w:type="character" w:styleId="Hyperlink">
    <w:name w:val="Hyperlink"/>
    <w:uiPriority w:val="99"/>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Pr>
      <w:rFonts w:ascii="Courier New" w:hAnsi="Courier New" w:cs="Courier New"/>
      <w:sz w:val="20"/>
      <w:szCs w:val="20"/>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99"/>
    <w:locked/>
    <w:rPr>
      <w:b/>
      <w:bCs/>
      <w:sz w:val="24"/>
      <w:szCs w:val="24"/>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TOC1">
    <w:name w:val="toc 1"/>
    <w:basedOn w:val="Normal"/>
    <w:next w:val="Normal"/>
    <w:autoRedefine/>
    <w:uiPriority w:val="39"/>
    <w:qFormat/>
    <w:pPr>
      <w:tabs>
        <w:tab w:val="left" w:pos="720"/>
        <w:tab w:val="decimal" w:leader="dot" w:pos="8640"/>
      </w:tabs>
      <w:spacing w:line="480" w:lineRule="auto"/>
      <w:ind w:left="720" w:hanging="720"/>
      <w:jc w:val="center"/>
    </w:pPr>
    <w:rPr>
      <w:caps/>
    </w:rPr>
  </w:style>
  <w:style w:type="paragraph" w:styleId="List2">
    <w:name w:val="List 2"/>
    <w:basedOn w:val="Normal"/>
    <w:uiPriority w:val="99"/>
    <w:pPr>
      <w:ind w:left="720" w:hanging="36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uiPriority w:val="99"/>
    <w:semiHidden/>
    <w:locked/>
    <w:rPr>
      <w:rFonts w:ascii="Courier New" w:hAnsi="Courier New" w:cs="Courier New"/>
      <w:lang w:val="en-US" w:eastAsia="en-US"/>
    </w:rPr>
  </w:style>
  <w:style w:type="character" w:styleId="LineNumber">
    <w:name w:val="line number"/>
    <w:basedOn w:val="DefaultParagraphFont"/>
    <w:uiPriority w:val="99"/>
  </w:style>
  <w:style w:type="paragraph" w:styleId="EndnoteText">
    <w:name w:val="endnote text"/>
    <w:basedOn w:val="Normal"/>
    <w:link w:val="EndnoteTextChar"/>
    <w:uiPriority w:val="99"/>
    <w:semiHidden/>
    <w:pPr>
      <w:widowControl w:val="0"/>
      <w:snapToGrid w:val="0"/>
    </w:pPr>
    <w:rPr>
      <w:rFonts w:ascii="Courier New" w:hAnsi="Courier New"/>
    </w:rPr>
  </w:style>
  <w:style w:type="character" w:customStyle="1" w:styleId="EndnoteTextChar">
    <w:name w:val="Endnote Text Char"/>
    <w:link w:val="EndnoteText"/>
    <w:uiPriority w:val="99"/>
    <w:semiHidden/>
    <w:locked/>
    <w:rPr>
      <w:rFonts w:ascii="Courier New" w:hAnsi="Courier New" w:cs="Courier New"/>
      <w:sz w:val="24"/>
      <w:szCs w:val="24"/>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locked/>
    <w:rPr>
      <w:sz w:val="20"/>
      <w:szCs w:val="20"/>
    </w:rPr>
  </w:style>
  <w:style w:type="paragraph" w:styleId="DocumentMap">
    <w:name w:val="Document Map"/>
    <w:basedOn w:val="Normal"/>
    <w:link w:val="DocumentMapChar"/>
    <w:uiPriority w:val="99"/>
    <w:semiHidden/>
    <w:pPr>
      <w:shd w:val="clear" w:color="auto" w:fill="000080"/>
    </w:pPr>
    <w:rPr>
      <w:sz w:val="2"/>
      <w:szCs w:val="2"/>
    </w:rPr>
  </w:style>
  <w:style w:type="character" w:customStyle="1" w:styleId="DocumentMapChar">
    <w:name w:val="Document Map Char"/>
    <w:link w:val="DocumentMap"/>
    <w:uiPriority w:val="99"/>
    <w:semiHidden/>
    <w:locked/>
    <w:rPr>
      <w:sz w:val="2"/>
      <w:szCs w:val="2"/>
    </w:rPr>
  </w:style>
  <w:style w:type="paragraph" w:customStyle="1" w:styleId="DefaultParagraphFontParaCharCharCharCharCharCharChar">
    <w:name w:val="Default Paragraph Font Para Char Char Char Char Char Char Char"/>
    <w:basedOn w:val="Normal"/>
    <w:uiPriority w:val="99"/>
    <w:pPr>
      <w:widowControl w:val="0"/>
      <w:spacing w:line="280" w:lineRule="atLeast"/>
    </w:pPr>
    <w:rPr>
      <w:rFonts w:eastAsia="MS Mincho"/>
      <w:sz w:val="22"/>
      <w:szCs w:val="22"/>
      <w:lang w:val="en-GB" w:eastAsia="en-GB"/>
    </w:rPr>
  </w:style>
  <w:style w:type="paragraph" w:styleId="BalloonText">
    <w:name w:val="Balloon Text"/>
    <w:basedOn w:val="Normal"/>
    <w:link w:val="BalloonTextChar"/>
    <w:uiPriority w:val="99"/>
    <w:semiHidden/>
    <w:rPr>
      <w:sz w:val="16"/>
      <w:szCs w:val="2"/>
    </w:rPr>
  </w:style>
  <w:style w:type="character" w:customStyle="1" w:styleId="BalloonTextChar">
    <w:name w:val="Balloon Text Char"/>
    <w:link w:val="BalloonText"/>
    <w:uiPriority w:val="99"/>
    <w:semiHidden/>
    <w:locked/>
    <w:rPr>
      <w:sz w:val="16"/>
      <w:szCs w:val="2"/>
    </w:rPr>
  </w:style>
  <w:style w:type="character" w:styleId="CommentReference">
    <w:name w:val="annotation reference"/>
    <w:uiPriority w:val="99"/>
    <w:semiHidden/>
    <w:rPr>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b/>
      <w:bCs/>
      <w:sz w:val="20"/>
      <w:szCs w:val="20"/>
    </w:rPr>
  </w:style>
  <w:style w:type="paragraph" w:styleId="Subtitle">
    <w:name w:val="Subtitle"/>
    <w:basedOn w:val="Normal"/>
    <w:link w:val="SubtitleChar"/>
    <w:uiPriority w:val="99"/>
    <w:qFormat/>
    <w:pPr>
      <w:jc w:val="center"/>
    </w:pPr>
    <w:rPr>
      <w:rFonts w:ascii="Verdana" w:hAnsi="Verdana"/>
      <w:b/>
      <w:bCs/>
      <w:sz w:val="32"/>
      <w:szCs w:val="32"/>
    </w:rPr>
  </w:style>
  <w:style w:type="character" w:customStyle="1" w:styleId="SubtitleChar">
    <w:name w:val="Subtitle Char"/>
    <w:link w:val="Subtitle"/>
    <w:uiPriority w:val="99"/>
    <w:locked/>
    <w:rPr>
      <w:rFonts w:ascii="Verdana" w:hAnsi="Verdana" w:cs="Verdana"/>
      <w:b/>
      <w:bCs/>
      <w:sz w:val="32"/>
      <w:szCs w:val="32"/>
    </w:rPr>
  </w:style>
  <w:style w:type="paragraph" w:styleId="TOC2">
    <w:name w:val="toc 2"/>
    <w:basedOn w:val="Normal"/>
    <w:next w:val="Normal"/>
    <w:autoRedefine/>
    <w:uiPriority w:val="39"/>
    <w:qFormat/>
    <w:pPr>
      <w:tabs>
        <w:tab w:val="left" w:pos="720"/>
        <w:tab w:val="decimal" w:leader="dot" w:pos="8640"/>
      </w:tabs>
      <w:spacing w:after="240"/>
      <w:ind w:left="1440" w:hanging="720"/>
    </w:pPr>
  </w:style>
  <w:style w:type="paragraph" w:styleId="TOC3">
    <w:name w:val="toc 3"/>
    <w:basedOn w:val="Normal"/>
    <w:next w:val="Normal"/>
    <w:autoRedefine/>
    <w:uiPriority w:val="99"/>
    <w:semiHidden/>
    <w:pPr>
      <w:ind w:left="480"/>
    </w:pPr>
  </w:style>
  <w:style w:type="paragraph" w:customStyle="1" w:styleId="ColorfulShading-Accent11">
    <w:name w:val="Colorful Shading - Accent 11"/>
    <w:hidden/>
    <w:uiPriority w:val="99"/>
    <w:semiHidden/>
    <w:rPr>
      <w:sz w:val="24"/>
      <w:szCs w:val="24"/>
    </w:rPr>
  </w:style>
  <w:style w:type="paragraph" w:styleId="TOAHeading">
    <w:name w:val="toa heading"/>
    <w:basedOn w:val="Normal"/>
    <w:next w:val="Normal"/>
    <w:autoRedefine/>
    <w:uiPriority w:val="99"/>
    <w:semiHidden/>
    <w:pPr>
      <w:spacing w:after="240"/>
    </w:pPr>
    <w:rPr>
      <w:b/>
      <w:bCs/>
    </w:rPr>
  </w:style>
  <w:style w:type="character" w:customStyle="1" w:styleId="FootnoteTextChar3">
    <w:name w:val="Footnote Text Char3"/>
    <w:aliases w:val="Footnote Text Char1 Char1,Footnote Text Char Char Char1,Footnote Text Char1 Char Char1 Char1,Footnote Text Char Char Char Char Char1,Footnote Text Char2 Char Char Char Char1 Char1,Footnote Text Char1 Char Char1 Char Char Char Char1"/>
    <w:link w:val="FootnoteText"/>
    <w:uiPriority w:val="99"/>
    <w:locked/>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locked/>
    <w:rPr>
      <w:sz w:val="24"/>
      <w:szCs w:val="24"/>
      <w:lang w:val="en-US" w:eastAsia="en-US"/>
    </w:rPr>
  </w:style>
  <w:style w:type="character" w:customStyle="1" w:styleId="TagStyle">
    <w:name w:val="TagStyle"/>
    <w:uiPriority w:val="99"/>
    <w:rPr>
      <w:rFonts w:ascii="Times New Roman" w:hAnsi="Times New Roman" w:cs="Times New Roman"/>
      <w:color w:val="FF00FF"/>
      <w:sz w:val="24"/>
      <w:szCs w:val="24"/>
    </w:rPr>
  </w:style>
  <w:style w:type="paragraph" w:customStyle="1" w:styleId="BodyTextSingle">
    <w:name w:val="Body Text Single"/>
    <w:aliases w:val="bs"/>
    <w:basedOn w:val="Normal"/>
    <w:uiPriority w:val="99"/>
    <w:pPr>
      <w:spacing w:after="240"/>
      <w:jc w:val="both"/>
    </w:pPr>
  </w:style>
  <w:style w:type="paragraph" w:styleId="TOCHeading">
    <w:name w:val="TOC Heading"/>
    <w:basedOn w:val="Heading1"/>
    <w:next w:val="Normal"/>
    <w:uiPriority w:val="99"/>
    <w:qFormat/>
    <w:pPr>
      <w:keepLines/>
      <w:spacing w:before="480" w:line="276" w:lineRule="auto"/>
      <w:outlineLvl w:val="9"/>
    </w:pPr>
    <w:rPr>
      <w:rFonts w:ascii="Cambria" w:hAnsi="Cambria" w:cs="Cambria"/>
      <w:caps w:val="0"/>
      <w:color w:val="365F91"/>
      <w:sz w:val="28"/>
      <w:szCs w:val="28"/>
    </w:rPr>
  </w:style>
  <w:style w:type="paragraph" w:customStyle="1" w:styleId="ColorfulList-Accent11">
    <w:name w:val="Colorful List - Accent 11"/>
    <w:basedOn w:val="Normal"/>
    <w:uiPriority w:val="99"/>
    <w:pPr>
      <w:ind w:left="720"/>
    </w:pPr>
  </w:style>
  <w:style w:type="paragraph" w:styleId="NoSpacing">
    <w:name w:val="No Spacing"/>
    <w:uiPriority w:val="1"/>
    <w:qFormat/>
    <w:rPr>
      <w:sz w:val="24"/>
      <w:szCs w:val="24"/>
    </w:rPr>
  </w:style>
  <w:style w:type="paragraph" w:styleId="z-TopofForm">
    <w:name w:val="HTML Top of Form"/>
    <w:basedOn w:val="Normal"/>
    <w:next w:val="Normal"/>
    <w:link w:val="z-TopofFormChar"/>
    <w:hidden/>
    <w:uiPriority w:val="99"/>
    <w:semiHidden/>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semiHidden/>
    <w:locked/>
    <w:rPr>
      <w:rFonts w:ascii="Arial" w:hAnsi="Arial" w:cs="Arial"/>
      <w:vanish/>
      <w:sz w:val="16"/>
      <w:szCs w:val="16"/>
    </w:rPr>
  </w:style>
  <w:style w:type="paragraph" w:styleId="z-BottomofForm">
    <w:name w:val="HTML Bottom of Form"/>
    <w:basedOn w:val="Normal"/>
    <w:next w:val="Normal"/>
    <w:link w:val="z-BottomofFormChar"/>
    <w:hidden/>
    <w:uiPriority w:val="99"/>
    <w:semiHidden/>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semiHidden/>
    <w:locked/>
    <w:rPr>
      <w:rFonts w:ascii="Arial" w:hAnsi="Arial" w:cs="Arial"/>
      <w:vanish/>
      <w:sz w:val="16"/>
      <w:szCs w:val="16"/>
    </w:rPr>
  </w:style>
  <w:style w:type="paragraph" w:styleId="Revision">
    <w:name w:val="Revision"/>
    <w:hidden/>
    <w:uiPriority w:val="99"/>
    <w:semiHidden/>
    <w:rPr>
      <w:sz w:val="24"/>
      <w:szCs w:val="24"/>
    </w:rPr>
  </w:style>
  <w:style w:type="paragraph" w:styleId="ListParagraph">
    <w:name w:val="List Paragraph"/>
    <w:basedOn w:val="Normal"/>
    <w:uiPriority w:val="34"/>
    <w:qFormat/>
    <w:pPr>
      <w:widowControl w:val="0"/>
      <w:ind w:leftChars="200" w:left="480"/>
    </w:pPr>
    <w:rPr>
      <w:rFonts w:ascii="Calibri" w:hAnsi="Calibri"/>
      <w:kern w:val="2"/>
      <w:szCs w:val="22"/>
      <w:lang w:eastAsia="zh-TW"/>
    </w:rPr>
  </w:style>
  <w:style w:type="character" w:customStyle="1" w:styleId="FootnoteTextChar4CharChar">
    <w:name w:val="Footnote Text Char4 Char Char"/>
    <w:aliases w:val="Footnote Text Char Char4 Char Char,Footnote Text Char4 Char1 Char Char Char,Footnote Text Char Char4 Char1 Char Char Char,Footnote Text Char5 Char1 Char Char Char Char Char Char,Footnote Text Char2 Char"/>
    <w:uiPriority w:val="99"/>
    <w:rPr>
      <w:lang w:val="en-US" w:eastAsia="en-US" w:bidi="ar-SA"/>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
    <w:uiPriority w:val="99"/>
    <w:semiHidden/>
    <w:locked/>
  </w:style>
  <w:style w:type="paragraph" w:customStyle="1" w:styleId="ANSWER">
    <w:name w:val="ANSWER"/>
    <w:basedOn w:val="Normal"/>
    <w:pPr>
      <w:spacing w:line="480" w:lineRule="auto"/>
      <w:ind w:left="1008" w:hanging="720"/>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autoSpaceDE w:val="0"/>
      <w:autoSpaceDN w:val="0"/>
      <w:adjustRightInd w:val="0"/>
      <w:spacing w:line="480" w:lineRule="auto"/>
      <w:outlineLvl w:val="0"/>
    </w:pPr>
    <w:rPr>
      <w:rFonts w:ascii="Times New Roman Bold" w:hAnsi="Times New Roman Bold"/>
      <w:b/>
      <w:bCs/>
      <w:caps/>
    </w:rPr>
  </w:style>
  <w:style w:type="paragraph" w:styleId="Heading2">
    <w:name w:val="heading 2"/>
    <w:basedOn w:val="ListParagraph"/>
    <w:next w:val="Normal"/>
    <w:link w:val="Heading2Char"/>
    <w:uiPriority w:val="99"/>
    <w:qFormat/>
    <w:pPr>
      <w:numPr>
        <w:numId w:val="28"/>
      </w:numPr>
      <w:spacing w:line="480" w:lineRule="auto"/>
      <w:ind w:leftChars="0" w:left="1440" w:hanging="720"/>
      <w:outlineLvl w:val="1"/>
    </w:pPr>
    <w:rPr>
      <w:rFonts w:ascii="Times New Roman" w:hAnsi="Times New Roman"/>
      <w:b/>
    </w:rPr>
  </w:style>
  <w:style w:type="paragraph" w:styleId="Heading3">
    <w:name w:val="heading 3"/>
    <w:basedOn w:val="Normal"/>
    <w:next w:val="Normal"/>
    <w:link w:val="Heading3Char"/>
    <w:uiPriority w:val="99"/>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Bold" w:hAnsi="Times New Roman Bold"/>
      <w:b/>
      <w:bCs/>
      <w:caps/>
      <w:sz w:val="24"/>
      <w:szCs w:val="24"/>
    </w:rPr>
  </w:style>
  <w:style w:type="character" w:customStyle="1" w:styleId="Heading2Char">
    <w:name w:val="Heading 2 Char"/>
    <w:link w:val="Heading2"/>
    <w:uiPriority w:val="99"/>
    <w:locked/>
    <w:rPr>
      <w:b/>
      <w:kern w:val="2"/>
      <w:sz w:val="24"/>
      <w:szCs w:val="22"/>
      <w:lang w:eastAsia="zh-TW"/>
    </w:rPr>
  </w:style>
  <w:style w:type="character" w:customStyle="1" w:styleId="Heading3Char">
    <w:name w:val="Heading 3 Char"/>
    <w:link w:val="Heading3"/>
    <w:uiPriority w:val="99"/>
    <w:semiHidden/>
    <w:locked/>
    <w:rPr>
      <w:rFonts w:ascii="Cambria" w:hAnsi="Cambria" w:cs="Cambria"/>
      <w:b/>
      <w:bCs/>
      <w:sz w:val="26"/>
      <w:szCs w:val="26"/>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character" w:styleId="PageNumber">
    <w:name w:val="page number"/>
    <w:basedOn w:val="DefaultParagraphFont"/>
    <w:uiPriority w:val="99"/>
  </w:style>
  <w:style w:type="paragraph" w:styleId="BodyText">
    <w:name w:val="Body Text"/>
    <w:basedOn w:val="Normal"/>
    <w:link w:val="BodyTextChar"/>
    <w:uiPriority w:val="99"/>
    <w:pPr>
      <w:spacing w:line="480" w:lineRule="auto"/>
      <w:ind w:left="720"/>
    </w:pPr>
    <w:rPr>
      <w:iCs/>
    </w:rPr>
  </w:style>
  <w:style w:type="character" w:customStyle="1" w:styleId="BodyTextChar">
    <w:name w:val="Body Text Char"/>
    <w:link w:val="BodyText"/>
    <w:uiPriority w:val="99"/>
    <w:locked/>
    <w:rPr>
      <w:iCs/>
      <w:sz w:val="24"/>
      <w:szCs w:val="24"/>
    </w:r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ft,fn C"/>
    <w:basedOn w:val="Normal"/>
    <w:link w:val="FootnoteTextChar3"/>
    <w:pPr>
      <w:spacing w:before="120"/>
    </w:pPr>
    <w:rPr>
      <w:sz w:val="20"/>
      <w:szCs w:val="20"/>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rPr>
      <w:sz w:val="20"/>
      <w:szCs w:val="20"/>
    </w:rPr>
  </w:style>
  <w:style w:type="character" w:customStyle="1" w:styleId="FootnoteTextChar21">
    <w:name w:val="Footnote Text Char21"/>
    <w:aliases w:val="Footnote Text Char1 Char3,Footnote Text Char Char Char3,Footnote Text Char1 Char Char1 Char3,Footnote Text Char Char Char Char Char3,Footnote Text Char2 Char Char Char Char1 Char3,Footnote Text Char1 Char Char1 Char Char Char Char3"/>
    <w:uiPriority w:val="99"/>
    <w:semiHidden/>
    <w:rPr>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uiPriority w:val="99"/>
    <w:rPr>
      <w:vertAlign w:val="superscript"/>
    </w:rPr>
  </w:style>
  <w:style w:type="character" w:customStyle="1" w:styleId="FootnoteTextChar1Char2">
    <w:name w:val="Footnote Text Char1 Char2"/>
    <w:aliases w:val="Footnote Text Char Char Char2,Footnote Text Char1 Char Char1 Char2,Footnote Text Char Char Char Char Char2,Footnote Text Char2 Char Char Char Char1 Char2,Footnote Text Char1 Char Char1 Char Char Char Char2,ALTS FOOTNOTE Char"/>
    <w:uiPriority w:val="99"/>
    <w:locked/>
    <w:rPr>
      <w:lang w:val="en-US" w:eastAsia="en-US"/>
    </w:rPr>
  </w:style>
  <w:style w:type="character" w:styleId="Hyperlink">
    <w:name w:val="Hyperlink"/>
    <w:uiPriority w:val="99"/>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Pr>
      <w:rFonts w:ascii="Courier New" w:hAnsi="Courier New" w:cs="Courier New"/>
      <w:sz w:val="20"/>
      <w:szCs w:val="20"/>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99"/>
    <w:locked/>
    <w:rPr>
      <w:b/>
      <w:bCs/>
      <w:sz w:val="24"/>
      <w:szCs w:val="24"/>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TOC1">
    <w:name w:val="toc 1"/>
    <w:basedOn w:val="Normal"/>
    <w:next w:val="Normal"/>
    <w:autoRedefine/>
    <w:uiPriority w:val="39"/>
    <w:qFormat/>
    <w:pPr>
      <w:tabs>
        <w:tab w:val="left" w:pos="720"/>
        <w:tab w:val="decimal" w:leader="dot" w:pos="8640"/>
      </w:tabs>
      <w:spacing w:line="480" w:lineRule="auto"/>
      <w:ind w:left="720" w:hanging="720"/>
      <w:jc w:val="center"/>
    </w:pPr>
    <w:rPr>
      <w:caps/>
    </w:rPr>
  </w:style>
  <w:style w:type="paragraph" w:styleId="List2">
    <w:name w:val="List 2"/>
    <w:basedOn w:val="Normal"/>
    <w:uiPriority w:val="99"/>
    <w:pPr>
      <w:ind w:left="720" w:hanging="36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uiPriority w:val="99"/>
    <w:semiHidden/>
    <w:locked/>
    <w:rPr>
      <w:rFonts w:ascii="Courier New" w:hAnsi="Courier New" w:cs="Courier New"/>
      <w:lang w:val="en-US" w:eastAsia="en-US"/>
    </w:rPr>
  </w:style>
  <w:style w:type="character" w:styleId="LineNumber">
    <w:name w:val="line number"/>
    <w:basedOn w:val="DefaultParagraphFont"/>
    <w:uiPriority w:val="99"/>
  </w:style>
  <w:style w:type="paragraph" w:styleId="EndnoteText">
    <w:name w:val="endnote text"/>
    <w:basedOn w:val="Normal"/>
    <w:link w:val="EndnoteTextChar"/>
    <w:uiPriority w:val="99"/>
    <w:semiHidden/>
    <w:pPr>
      <w:widowControl w:val="0"/>
      <w:snapToGrid w:val="0"/>
    </w:pPr>
    <w:rPr>
      <w:rFonts w:ascii="Courier New" w:hAnsi="Courier New"/>
    </w:rPr>
  </w:style>
  <w:style w:type="character" w:customStyle="1" w:styleId="EndnoteTextChar">
    <w:name w:val="Endnote Text Char"/>
    <w:link w:val="EndnoteText"/>
    <w:uiPriority w:val="99"/>
    <w:semiHidden/>
    <w:locked/>
    <w:rPr>
      <w:rFonts w:ascii="Courier New" w:hAnsi="Courier New" w:cs="Courier New"/>
      <w:sz w:val="24"/>
      <w:szCs w:val="24"/>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locked/>
    <w:rPr>
      <w:sz w:val="20"/>
      <w:szCs w:val="20"/>
    </w:rPr>
  </w:style>
  <w:style w:type="paragraph" w:styleId="DocumentMap">
    <w:name w:val="Document Map"/>
    <w:basedOn w:val="Normal"/>
    <w:link w:val="DocumentMapChar"/>
    <w:uiPriority w:val="99"/>
    <w:semiHidden/>
    <w:pPr>
      <w:shd w:val="clear" w:color="auto" w:fill="000080"/>
    </w:pPr>
    <w:rPr>
      <w:sz w:val="2"/>
      <w:szCs w:val="2"/>
    </w:rPr>
  </w:style>
  <w:style w:type="character" w:customStyle="1" w:styleId="DocumentMapChar">
    <w:name w:val="Document Map Char"/>
    <w:link w:val="DocumentMap"/>
    <w:uiPriority w:val="99"/>
    <w:semiHidden/>
    <w:locked/>
    <w:rPr>
      <w:sz w:val="2"/>
      <w:szCs w:val="2"/>
    </w:rPr>
  </w:style>
  <w:style w:type="paragraph" w:customStyle="1" w:styleId="DefaultParagraphFontParaCharCharCharCharCharCharChar">
    <w:name w:val="Default Paragraph Font Para Char Char Char Char Char Char Char"/>
    <w:basedOn w:val="Normal"/>
    <w:uiPriority w:val="99"/>
    <w:pPr>
      <w:widowControl w:val="0"/>
      <w:spacing w:line="280" w:lineRule="atLeast"/>
    </w:pPr>
    <w:rPr>
      <w:rFonts w:eastAsia="MS Mincho"/>
      <w:sz w:val="22"/>
      <w:szCs w:val="22"/>
      <w:lang w:val="en-GB" w:eastAsia="en-GB"/>
    </w:rPr>
  </w:style>
  <w:style w:type="paragraph" w:styleId="BalloonText">
    <w:name w:val="Balloon Text"/>
    <w:basedOn w:val="Normal"/>
    <w:link w:val="BalloonTextChar"/>
    <w:uiPriority w:val="99"/>
    <w:semiHidden/>
    <w:rPr>
      <w:sz w:val="16"/>
      <w:szCs w:val="2"/>
    </w:rPr>
  </w:style>
  <w:style w:type="character" w:customStyle="1" w:styleId="BalloonTextChar">
    <w:name w:val="Balloon Text Char"/>
    <w:link w:val="BalloonText"/>
    <w:uiPriority w:val="99"/>
    <w:semiHidden/>
    <w:locked/>
    <w:rPr>
      <w:sz w:val="16"/>
      <w:szCs w:val="2"/>
    </w:rPr>
  </w:style>
  <w:style w:type="character" w:styleId="CommentReference">
    <w:name w:val="annotation reference"/>
    <w:uiPriority w:val="99"/>
    <w:semiHidden/>
    <w:rPr>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b/>
      <w:bCs/>
      <w:sz w:val="20"/>
      <w:szCs w:val="20"/>
    </w:rPr>
  </w:style>
  <w:style w:type="paragraph" w:styleId="Subtitle">
    <w:name w:val="Subtitle"/>
    <w:basedOn w:val="Normal"/>
    <w:link w:val="SubtitleChar"/>
    <w:uiPriority w:val="99"/>
    <w:qFormat/>
    <w:pPr>
      <w:jc w:val="center"/>
    </w:pPr>
    <w:rPr>
      <w:rFonts w:ascii="Verdana" w:hAnsi="Verdana"/>
      <w:b/>
      <w:bCs/>
      <w:sz w:val="32"/>
      <w:szCs w:val="32"/>
    </w:rPr>
  </w:style>
  <w:style w:type="character" w:customStyle="1" w:styleId="SubtitleChar">
    <w:name w:val="Subtitle Char"/>
    <w:link w:val="Subtitle"/>
    <w:uiPriority w:val="99"/>
    <w:locked/>
    <w:rPr>
      <w:rFonts w:ascii="Verdana" w:hAnsi="Verdana" w:cs="Verdana"/>
      <w:b/>
      <w:bCs/>
      <w:sz w:val="32"/>
      <w:szCs w:val="32"/>
    </w:rPr>
  </w:style>
  <w:style w:type="paragraph" w:styleId="TOC2">
    <w:name w:val="toc 2"/>
    <w:basedOn w:val="Normal"/>
    <w:next w:val="Normal"/>
    <w:autoRedefine/>
    <w:uiPriority w:val="39"/>
    <w:qFormat/>
    <w:pPr>
      <w:tabs>
        <w:tab w:val="left" w:pos="720"/>
        <w:tab w:val="decimal" w:leader="dot" w:pos="8640"/>
      </w:tabs>
      <w:spacing w:after="240"/>
      <w:ind w:left="1440" w:hanging="720"/>
    </w:pPr>
  </w:style>
  <w:style w:type="paragraph" w:styleId="TOC3">
    <w:name w:val="toc 3"/>
    <w:basedOn w:val="Normal"/>
    <w:next w:val="Normal"/>
    <w:autoRedefine/>
    <w:uiPriority w:val="99"/>
    <w:semiHidden/>
    <w:pPr>
      <w:ind w:left="480"/>
    </w:pPr>
  </w:style>
  <w:style w:type="paragraph" w:customStyle="1" w:styleId="ColorfulShading-Accent11">
    <w:name w:val="Colorful Shading - Accent 11"/>
    <w:hidden/>
    <w:uiPriority w:val="99"/>
    <w:semiHidden/>
    <w:rPr>
      <w:sz w:val="24"/>
      <w:szCs w:val="24"/>
    </w:rPr>
  </w:style>
  <w:style w:type="paragraph" w:styleId="TOAHeading">
    <w:name w:val="toa heading"/>
    <w:basedOn w:val="Normal"/>
    <w:next w:val="Normal"/>
    <w:autoRedefine/>
    <w:uiPriority w:val="99"/>
    <w:semiHidden/>
    <w:pPr>
      <w:spacing w:after="240"/>
    </w:pPr>
    <w:rPr>
      <w:b/>
      <w:bCs/>
    </w:rPr>
  </w:style>
  <w:style w:type="character" w:customStyle="1" w:styleId="FootnoteTextChar3">
    <w:name w:val="Footnote Text Char3"/>
    <w:aliases w:val="Footnote Text Char1 Char1,Footnote Text Char Char Char1,Footnote Text Char1 Char Char1 Char1,Footnote Text Char Char Char Char Char1,Footnote Text Char2 Char Char Char Char1 Char1,Footnote Text Char1 Char Char1 Char Char Char Char1"/>
    <w:link w:val="FootnoteText"/>
    <w:uiPriority w:val="99"/>
    <w:locked/>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locked/>
    <w:rPr>
      <w:sz w:val="24"/>
      <w:szCs w:val="24"/>
      <w:lang w:val="en-US" w:eastAsia="en-US"/>
    </w:rPr>
  </w:style>
  <w:style w:type="character" w:customStyle="1" w:styleId="TagStyle">
    <w:name w:val="TagStyle"/>
    <w:uiPriority w:val="99"/>
    <w:rPr>
      <w:rFonts w:ascii="Times New Roman" w:hAnsi="Times New Roman" w:cs="Times New Roman"/>
      <w:color w:val="FF00FF"/>
      <w:sz w:val="24"/>
      <w:szCs w:val="24"/>
    </w:rPr>
  </w:style>
  <w:style w:type="paragraph" w:customStyle="1" w:styleId="BodyTextSingle">
    <w:name w:val="Body Text Single"/>
    <w:aliases w:val="bs"/>
    <w:basedOn w:val="Normal"/>
    <w:uiPriority w:val="99"/>
    <w:pPr>
      <w:spacing w:after="240"/>
      <w:jc w:val="both"/>
    </w:pPr>
  </w:style>
  <w:style w:type="paragraph" w:styleId="TOCHeading">
    <w:name w:val="TOC Heading"/>
    <w:basedOn w:val="Heading1"/>
    <w:next w:val="Normal"/>
    <w:uiPriority w:val="99"/>
    <w:qFormat/>
    <w:pPr>
      <w:keepLines/>
      <w:spacing w:before="480" w:line="276" w:lineRule="auto"/>
      <w:outlineLvl w:val="9"/>
    </w:pPr>
    <w:rPr>
      <w:rFonts w:ascii="Cambria" w:hAnsi="Cambria" w:cs="Cambria"/>
      <w:caps w:val="0"/>
      <w:color w:val="365F91"/>
      <w:sz w:val="28"/>
      <w:szCs w:val="28"/>
    </w:rPr>
  </w:style>
  <w:style w:type="paragraph" w:customStyle="1" w:styleId="ColorfulList-Accent11">
    <w:name w:val="Colorful List - Accent 11"/>
    <w:basedOn w:val="Normal"/>
    <w:uiPriority w:val="99"/>
    <w:pPr>
      <w:ind w:left="720"/>
    </w:pPr>
  </w:style>
  <w:style w:type="paragraph" w:styleId="NoSpacing">
    <w:name w:val="No Spacing"/>
    <w:uiPriority w:val="1"/>
    <w:qFormat/>
    <w:rPr>
      <w:sz w:val="24"/>
      <w:szCs w:val="24"/>
    </w:rPr>
  </w:style>
  <w:style w:type="paragraph" w:styleId="z-TopofForm">
    <w:name w:val="HTML Top of Form"/>
    <w:basedOn w:val="Normal"/>
    <w:next w:val="Normal"/>
    <w:link w:val="z-TopofFormChar"/>
    <w:hidden/>
    <w:uiPriority w:val="99"/>
    <w:semiHidden/>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semiHidden/>
    <w:locked/>
    <w:rPr>
      <w:rFonts w:ascii="Arial" w:hAnsi="Arial" w:cs="Arial"/>
      <w:vanish/>
      <w:sz w:val="16"/>
      <w:szCs w:val="16"/>
    </w:rPr>
  </w:style>
  <w:style w:type="paragraph" w:styleId="z-BottomofForm">
    <w:name w:val="HTML Bottom of Form"/>
    <w:basedOn w:val="Normal"/>
    <w:next w:val="Normal"/>
    <w:link w:val="z-BottomofFormChar"/>
    <w:hidden/>
    <w:uiPriority w:val="99"/>
    <w:semiHidden/>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semiHidden/>
    <w:locked/>
    <w:rPr>
      <w:rFonts w:ascii="Arial" w:hAnsi="Arial" w:cs="Arial"/>
      <w:vanish/>
      <w:sz w:val="16"/>
      <w:szCs w:val="16"/>
    </w:rPr>
  </w:style>
  <w:style w:type="paragraph" w:styleId="Revision">
    <w:name w:val="Revision"/>
    <w:hidden/>
    <w:uiPriority w:val="99"/>
    <w:semiHidden/>
    <w:rPr>
      <w:sz w:val="24"/>
      <w:szCs w:val="24"/>
    </w:rPr>
  </w:style>
  <w:style w:type="paragraph" w:styleId="ListParagraph">
    <w:name w:val="List Paragraph"/>
    <w:basedOn w:val="Normal"/>
    <w:uiPriority w:val="34"/>
    <w:qFormat/>
    <w:pPr>
      <w:widowControl w:val="0"/>
      <w:ind w:leftChars="200" w:left="480"/>
    </w:pPr>
    <w:rPr>
      <w:rFonts w:ascii="Calibri" w:hAnsi="Calibri"/>
      <w:kern w:val="2"/>
      <w:szCs w:val="22"/>
      <w:lang w:eastAsia="zh-TW"/>
    </w:rPr>
  </w:style>
  <w:style w:type="character" w:customStyle="1" w:styleId="FootnoteTextChar4CharChar">
    <w:name w:val="Footnote Text Char4 Char Char"/>
    <w:aliases w:val="Footnote Text Char Char4 Char Char,Footnote Text Char4 Char1 Char Char Char,Footnote Text Char Char4 Char1 Char Char Char,Footnote Text Char5 Char1 Char Char Char Char Char Char,Footnote Text Char2 Char"/>
    <w:uiPriority w:val="99"/>
    <w:rPr>
      <w:lang w:val="en-US" w:eastAsia="en-US" w:bidi="ar-SA"/>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
    <w:uiPriority w:val="99"/>
    <w:semiHidden/>
    <w:locked/>
  </w:style>
  <w:style w:type="paragraph" w:customStyle="1" w:styleId="ANSWER">
    <w:name w:val="ANSWER"/>
    <w:basedOn w:val="Normal"/>
    <w:pPr>
      <w:spacing w:line="480" w:lineRule="auto"/>
      <w:ind w:left="1008" w:hanging="720"/>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96605">
      <w:bodyDiv w:val="1"/>
      <w:marLeft w:val="0"/>
      <w:marRight w:val="0"/>
      <w:marTop w:val="0"/>
      <w:marBottom w:val="0"/>
      <w:divBdr>
        <w:top w:val="none" w:sz="0" w:space="0" w:color="auto"/>
        <w:left w:val="none" w:sz="0" w:space="0" w:color="auto"/>
        <w:bottom w:val="none" w:sz="0" w:space="0" w:color="auto"/>
        <w:right w:val="none" w:sz="0" w:space="0" w:color="auto"/>
      </w:divBdr>
    </w:div>
    <w:div w:id="152911309">
      <w:bodyDiv w:val="1"/>
      <w:marLeft w:val="0"/>
      <w:marRight w:val="0"/>
      <w:marTop w:val="0"/>
      <w:marBottom w:val="0"/>
      <w:divBdr>
        <w:top w:val="none" w:sz="0" w:space="0" w:color="auto"/>
        <w:left w:val="none" w:sz="0" w:space="0" w:color="auto"/>
        <w:bottom w:val="none" w:sz="0" w:space="0" w:color="auto"/>
        <w:right w:val="none" w:sz="0" w:space="0" w:color="auto"/>
      </w:divBdr>
    </w:div>
    <w:div w:id="278728044">
      <w:bodyDiv w:val="1"/>
      <w:marLeft w:val="0"/>
      <w:marRight w:val="0"/>
      <w:marTop w:val="0"/>
      <w:marBottom w:val="0"/>
      <w:divBdr>
        <w:top w:val="none" w:sz="0" w:space="0" w:color="auto"/>
        <w:left w:val="none" w:sz="0" w:space="0" w:color="auto"/>
        <w:bottom w:val="none" w:sz="0" w:space="0" w:color="auto"/>
        <w:right w:val="none" w:sz="0" w:space="0" w:color="auto"/>
      </w:divBdr>
    </w:div>
    <w:div w:id="314653554">
      <w:bodyDiv w:val="1"/>
      <w:marLeft w:val="0"/>
      <w:marRight w:val="0"/>
      <w:marTop w:val="0"/>
      <w:marBottom w:val="0"/>
      <w:divBdr>
        <w:top w:val="none" w:sz="0" w:space="0" w:color="auto"/>
        <w:left w:val="none" w:sz="0" w:space="0" w:color="auto"/>
        <w:bottom w:val="none" w:sz="0" w:space="0" w:color="auto"/>
        <w:right w:val="none" w:sz="0" w:space="0" w:color="auto"/>
      </w:divBdr>
    </w:div>
    <w:div w:id="349530130">
      <w:bodyDiv w:val="1"/>
      <w:marLeft w:val="0"/>
      <w:marRight w:val="0"/>
      <w:marTop w:val="0"/>
      <w:marBottom w:val="0"/>
      <w:divBdr>
        <w:top w:val="none" w:sz="0" w:space="0" w:color="auto"/>
        <w:left w:val="none" w:sz="0" w:space="0" w:color="auto"/>
        <w:bottom w:val="none" w:sz="0" w:space="0" w:color="auto"/>
        <w:right w:val="none" w:sz="0" w:space="0" w:color="auto"/>
      </w:divBdr>
    </w:div>
    <w:div w:id="608700943">
      <w:bodyDiv w:val="1"/>
      <w:marLeft w:val="0"/>
      <w:marRight w:val="0"/>
      <w:marTop w:val="0"/>
      <w:marBottom w:val="0"/>
      <w:divBdr>
        <w:top w:val="none" w:sz="0" w:space="0" w:color="auto"/>
        <w:left w:val="none" w:sz="0" w:space="0" w:color="auto"/>
        <w:bottom w:val="none" w:sz="0" w:space="0" w:color="auto"/>
        <w:right w:val="none" w:sz="0" w:space="0" w:color="auto"/>
      </w:divBdr>
    </w:div>
    <w:div w:id="1075518629">
      <w:bodyDiv w:val="1"/>
      <w:marLeft w:val="0"/>
      <w:marRight w:val="0"/>
      <w:marTop w:val="0"/>
      <w:marBottom w:val="0"/>
      <w:divBdr>
        <w:top w:val="none" w:sz="0" w:space="0" w:color="auto"/>
        <w:left w:val="none" w:sz="0" w:space="0" w:color="auto"/>
        <w:bottom w:val="none" w:sz="0" w:space="0" w:color="auto"/>
        <w:right w:val="none" w:sz="0" w:space="0" w:color="auto"/>
      </w:divBdr>
    </w:div>
    <w:div w:id="1177885859">
      <w:bodyDiv w:val="1"/>
      <w:marLeft w:val="0"/>
      <w:marRight w:val="0"/>
      <w:marTop w:val="0"/>
      <w:marBottom w:val="0"/>
      <w:divBdr>
        <w:top w:val="none" w:sz="0" w:space="0" w:color="auto"/>
        <w:left w:val="none" w:sz="0" w:space="0" w:color="auto"/>
        <w:bottom w:val="none" w:sz="0" w:space="0" w:color="auto"/>
        <w:right w:val="none" w:sz="0" w:space="0" w:color="auto"/>
      </w:divBdr>
    </w:div>
    <w:div w:id="1191602420">
      <w:bodyDiv w:val="1"/>
      <w:marLeft w:val="0"/>
      <w:marRight w:val="0"/>
      <w:marTop w:val="0"/>
      <w:marBottom w:val="0"/>
      <w:divBdr>
        <w:top w:val="none" w:sz="0" w:space="0" w:color="auto"/>
        <w:left w:val="none" w:sz="0" w:space="0" w:color="auto"/>
        <w:bottom w:val="none" w:sz="0" w:space="0" w:color="auto"/>
        <w:right w:val="none" w:sz="0" w:space="0" w:color="auto"/>
      </w:divBdr>
    </w:div>
    <w:div w:id="1314602325">
      <w:marLeft w:val="0"/>
      <w:marRight w:val="0"/>
      <w:marTop w:val="0"/>
      <w:marBottom w:val="0"/>
      <w:divBdr>
        <w:top w:val="none" w:sz="0" w:space="0" w:color="auto"/>
        <w:left w:val="none" w:sz="0" w:space="0" w:color="auto"/>
        <w:bottom w:val="none" w:sz="0" w:space="0" w:color="auto"/>
        <w:right w:val="none" w:sz="0" w:space="0" w:color="auto"/>
      </w:divBdr>
      <w:divsChild>
        <w:div w:id="1314602322">
          <w:marLeft w:val="0"/>
          <w:marRight w:val="0"/>
          <w:marTop w:val="0"/>
          <w:marBottom w:val="0"/>
          <w:divBdr>
            <w:top w:val="none" w:sz="0" w:space="0" w:color="auto"/>
            <w:left w:val="none" w:sz="0" w:space="0" w:color="auto"/>
            <w:bottom w:val="none" w:sz="0" w:space="0" w:color="auto"/>
            <w:right w:val="none" w:sz="0" w:space="0" w:color="auto"/>
          </w:divBdr>
          <w:divsChild>
            <w:div w:id="1314602323">
              <w:marLeft w:val="0"/>
              <w:marRight w:val="0"/>
              <w:marTop w:val="0"/>
              <w:marBottom w:val="0"/>
              <w:divBdr>
                <w:top w:val="none" w:sz="0" w:space="0" w:color="auto"/>
                <w:left w:val="none" w:sz="0" w:space="0" w:color="auto"/>
                <w:bottom w:val="none" w:sz="0" w:space="0" w:color="auto"/>
                <w:right w:val="none" w:sz="0" w:space="0" w:color="auto"/>
              </w:divBdr>
              <w:divsChild>
                <w:div w:id="13146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2327">
          <w:marLeft w:val="0"/>
          <w:marRight w:val="0"/>
          <w:marTop w:val="0"/>
          <w:marBottom w:val="0"/>
          <w:divBdr>
            <w:top w:val="none" w:sz="0" w:space="0" w:color="auto"/>
            <w:left w:val="none" w:sz="0" w:space="0" w:color="auto"/>
            <w:bottom w:val="none" w:sz="0" w:space="0" w:color="auto"/>
            <w:right w:val="none" w:sz="0" w:space="0" w:color="auto"/>
          </w:divBdr>
          <w:divsChild>
            <w:div w:id="13146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4800">
      <w:bodyDiv w:val="1"/>
      <w:marLeft w:val="0"/>
      <w:marRight w:val="0"/>
      <w:marTop w:val="0"/>
      <w:marBottom w:val="0"/>
      <w:divBdr>
        <w:top w:val="none" w:sz="0" w:space="0" w:color="auto"/>
        <w:left w:val="none" w:sz="0" w:space="0" w:color="auto"/>
        <w:bottom w:val="none" w:sz="0" w:space="0" w:color="auto"/>
        <w:right w:val="none" w:sz="0" w:space="0" w:color="auto"/>
      </w:divBdr>
    </w:div>
    <w:div w:id="1992244873">
      <w:bodyDiv w:val="1"/>
      <w:marLeft w:val="0"/>
      <w:marRight w:val="0"/>
      <w:marTop w:val="0"/>
      <w:marBottom w:val="0"/>
      <w:divBdr>
        <w:top w:val="none" w:sz="0" w:space="0" w:color="auto"/>
        <w:left w:val="none" w:sz="0" w:space="0" w:color="auto"/>
        <w:bottom w:val="none" w:sz="0" w:space="0" w:color="auto"/>
        <w:right w:val="none" w:sz="0" w:space="0" w:color="auto"/>
      </w:divBdr>
    </w:div>
    <w:div w:id="213339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theme" Target="theme/theme1.xm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ntTable" Target="fontTable.xm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6458</Words>
  <Characters>33053</Characters>
  <Application>Microsoft Office Word</Application>
  <DocSecurity>0</DocSecurity>
  <Lines>701</Lines>
  <Paragraphs>164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39375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2015-10-29T15:33:00Z</cp:lastPrinted>
  <dcterms:created xsi:type="dcterms:W3CDTF">2015-11-06T21:13:00Z</dcterms:created>
  <dcterms:modified xsi:type="dcterms:W3CDTF">2015-11-06T21:13:00Z</dcterms:modified>
  <cp:category> </cp:category>
  <cp:contentStatus> </cp:contentStatus>
</cp:coreProperties>
</file>