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85276D" w:rsidRPr="00746CE5" w:rsidP="0085276D">
      <w:pPr>
        <w:pStyle w:val="Title"/>
        <w:rPr>
          <w:sz w:val="24"/>
          <w:szCs w:val="24"/>
        </w:rPr>
      </w:pPr>
      <w:bookmarkStart w:id="0" w:name="_GoBack"/>
      <w:bookmarkEnd w:id="0"/>
      <w:r w:rsidRPr="00746CE5">
        <w:rPr>
          <w:sz w:val="24"/>
          <w:szCs w:val="24"/>
        </w:rPr>
        <w:t>BEFORE</w:t>
      </w:r>
    </w:p>
    <w:p w:rsidR="0085276D" w:rsidP="0085276D">
      <w:pPr>
        <w:jc w:val="center"/>
        <w:rPr>
          <w:b/>
          <w:szCs w:val="24"/>
        </w:rPr>
      </w:pPr>
      <w:r w:rsidRPr="00746CE5">
        <w:rPr>
          <w:b/>
          <w:szCs w:val="24"/>
        </w:rPr>
        <w:t>THE PUBLIC UTILITIES COMMISSION OF OHIO</w:t>
      </w:r>
    </w:p>
    <w:p w:rsidR="0085276D" w:rsidP="0085276D">
      <w:pPr>
        <w:jc w:val="center"/>
        <w:rPr>
          <w:b/>
          <w:szCs w:val="24"/>
        </w:rPr>
      </w:pPr>
    </w:p>
    <w:tbl>
      <w:tblPr>
        <w:tblW w:w="9468" w:type="dxa"/>
        <w:tblLook w:val="01E0"/>
      </w:tblPr>
      <w:tblGrid>
        <w:gridCol w:w="4698"/>
        <w:gridCol w:w="360"/>
        <w:gridCol w:w="4410"/>
      </w:tblGrid>
      <w:tr w:rsidTr="00883DF3">
        <w:tblPrEx>
          <w:tblW w:w="9468" w:type="dxa"/>
          <w:tblLook w:val="01E0"/>
        </w:tblPrEx>
        <w:trPr>
          <w:trHeight w:val="807"/>
        </w:trPr>
        <w:tc>
          <w:tcPr>
            <w:tcW w:w="4698" w:type="dxa"/>
            <w:shd w:val="clear" w:color="auto" w:fill="auto"/>
          </w:tcPr>
          <w:p w:rsidR="0085276D" w:rsidRPr="00710E80" w:rsidP="003472C9">
            <w:pPr>
              <w:autoSpaceDE w:val="0"/>
              <w:autoSpaceDN w:val="0"/>
              <w:adjustRightInd w:val="0"/>
            </w:pPr>
            <w:r w:rsidRPr="00710E80">
              <w:t xml:space="preserve">In the Matter of the Application of </w:t>
            </w:r>
            <w:r>
              <w:t>The Dayton Power and Light Company for a Finding That Its Current Electric Security Plan Passes the Significantly Excessive Earnings Test and More Favorable in the Aggregate Test in R.C. 4928.143(E).</w:t>
            </w:r>
          </w:p>
        </w:tc>
        <w:tc>
          <w:tcPr>
            <w:tcW w:w="360" w:type="dxa"/>
            <w:shd w:val="clear" w:color="auto" w:fill="auto"/>
          </w:tcPr>
          <w:p w:rsidR="0085276D" w:rsidRPr="00A1668B" w:rsidP="003472C9">
            <w:pPr>
              <w:pStyle w:val="HTMLPreformatted"/>
              <w:rPr>
                <w:rFonts w:ascii="Times New Roman" w:hAnsi="Times New Roman"/>
                <w:sz w:val="24"/>
              </w:rPr>
            </w:pPr>
            <w:r w:rsidRPr="00C82084">
              <w:rPr>
                <w:rFonts w:ascii="Times New Roman" w:hAnsi="Times New Roman"/>
                <w:sz w:val="24"/>
              </w:rPr>
              <w:t>)</w:t>
            </w:r>
          </w:p>
          <w:p w:rsidR="0085276D" w:rsidRPr="00A1668B" w:rsidP="003472C9">
            <w:pPr>
              <w:pStyle w:val="HTMLPreformatted"/>
              <w:rPr>
                <w:rFonts w:ascii="Times New Roman" w:hAnsi="Times New Roman"/>
                <w:sz w:val="24"/>
              </w:rPr>
            </w:pPr>
            <w:r w:rsidRPr="00C82084">
              <w:rPr>
                <w:rFonts w:ascii="Times New Roman" w:hAnsi="Times New Roman"/>
                <w:sz w:val="24"/>
              </w:rPr>
              <w:t>)</w:t>
            </w:r>
          </w:p>
          <w:p w:rsidR="0085276D" w:rsidRPr="00A1668B" w:rsidP="003472C9">
            <w:pPr>
              <w:pStyle w:val="HTMLPreformatted"/>
              <w:rPr>
                <w:rFonts w:ascii="Times New Roman" w:hAnsi="Times New Roman"/>
                <w:sz w:val="24"/>
              </w:rPr>
            </w:pPr>
            <w:r w:rsidRPr="00C82084">
              <w:rPr>
                <w:rFonts w:ascii="Times New Roman" w:hAnsi="Times New Roman"/>
                <w:sz w:val="24"/>
              </w:rPr>
              <w:t>)</w:t>
            </w:r>
          </w:p>
          <w:p w:rsidR="0085276D" w:rsidRPr="00A1668B" w:rsidP="003472C9">
            <w:pPr>
              <w:pStyle w:val="HTMLPreformatted"/>
              <w:rPr>
                <w:rFonts w:ascii="Times New Roman" w:hAnsi="Times New Roman"/>
                <w:sz w:val="24"/>
              </w:rPr>
            </w:pPr>
            <w:r w:rsidRPr="00C82084">
              <w:rPr>
                <w:rFonts w:ascii="Times New Roman" w:hAnsi="Times New Roman"/>
                <w:sz w:val="24"/>
              </w:rPr>
              <w:t>)</w:t>
            </w:r>
          </w:p>
          <w:p w:rsidR="0085276D" w:rsidRPr="00A1668B" w:rsidP="003472C9">
            <w:pPr>
              <w:pStyle w:val="HTMLPreformatted"/>
              <w:rPr>
                <w:rFonts w:ascii="Times New Roman" w:hAnsi="Times New Roman"/>
                <w:sz w:val="24"/>
              </w:rPr>
            </w:pPr>
            <w:r w:rsidRPr="00C82084">
              <w:rPr>
                <w:rFonts w:ascii="Times New Roman" w:hAnsi="Times New Roman"/>
                <w:sz w:val="24"/>
              </w:rPr>
              <w:t>)</w:t>
            </w:r>
          </w:p>
          <w:p w:rsidR="0085276D" w:rsidRPr="00A1668B" w:rsidP="003472C9">
            <w:pPr>
              <w:pStyle w:val="HTMLPreformatted"/>
              <w:rPr>
                <w:rFonts w:ascii="Times New Roman" w:hAnsi="Times New Roman"/>
                <w:sz w:val="24"/>
              </w:rPr>
            </w:pPr>
            <w:r w:rsidRPr="00C82084">
              <w:rPr>
                <w:rFonts w:ascii="Times New Roman" w:hAnsi="Times New Roman"/>
                <w:sz w:val="24"/>
              </w:rPr>
              <w:t>)</w:t>
            </w:r>
          </w:p>
        </w:tc>
        <w:tc>
          <w:tcPr>
            <w:tcW w:w="4410" w:type="dxa"/>
            <w:shd w:val="clear" w:color="auto" w:fill="auto"/>
          </w:tcPr>
          <w:p w:rsidR="0085276D" w:rsidRPr="00A1668B" w:rsidP="003472C9">
            <w:pPr>
              <w:pStyle w:val="HTMLPreformatted"/>
              <w:rPr>
                <w:rFonts w:ascii="Times New Roman" w:hAnsi="Times New Roman"/>
                <w:sz w:val="24"/>
              </w:rPr>
            </w:pPr>
          </w:p>
          <w:p w:rsidR="0085276D" w:rsidP="003472C9"/>
          <w:p w:rsidR="0085276D" w:rsidRPr="00710E80" w:rsidP="003472C9">
            <w:pPr>
              <w:rPr>
                <w:i/>
              </w:rPr>
            </w:pPr>
            <w:r w:rsidRPr="00710E80">
              <w:t xml:space="preserve">Case No. </w:t>
            </w:r>
            <w:r>
              <w:rPr>
                <w:szCs w:val="24"/>
              </w:rPr>
              <w:t>20-680-EL-UNC</w:t>
            </w:r>
          </w:p>
          <w:p w:rsidR="0085276D" w:rsidRPr="00A1668B" w:rsidP="003472C9">
            <w:pPr>
              <w:pStyle w:val="HTMLPreformatted"/>
              <w:rPr>
                <w:rFonts w:ascii="Times New Roman" w:hAnsi="Times New Roman"/>
                <w:sz w:val="24"/>
              </w:rPr>
            </w:pPr>
          </w:p>
        </w:tc>
      </w:tr>
    </w:tbl>
    <w:p w:rsidR="0085276D" w:rsidRPr="00746CE5" w:rsidP="0085276D">
      <w:pPr>
        <w:rPr>
          <w:szCs w:val="24"/>
        </w:rPr>
      </w:pPr>
    </w:p>
    <w:p w:rsidR="0085276D" w:rsidP="0085276D">
      <w:pPr>
        <w:pBdr>
          <w:top w:val="single" w:sz="12" w:space="1" w:color="auto"/>
        </w:pBdr>
        <w:rPr>
          <w:szCs w:val="24"/>
        </w:rPr>
      </w:pPr>
    </w:p>
    <w:p w:rsidR="0085276D" w:rsidP="0085276D">
      <w:pPr>
        <w:jc w:val="center"/>
        <w:rPr>
          <w:b/>
          <w:szCs w:val="24"/>
        </w:rPr>
      </w:pPr>
      <w:r>
        <w:rPr>
          <w:b/>
          <w:szCs w:val="24"/>
        </w:rPr>
        <w:t xml:space="preserve">REPLY </w:t>
      </w:r>
      <w:r>
        <w:rPr>
          <w:b/>
          <w:szCs w:val="24"/>
        </w:rPr>
        <w:t>COMMENTS</w:t>
      </w:r>
    </w:p>
    <w:p w:rsidR="0085276D" w:rsidP="0085276D">
      <w:pPr>
        <w:jc w:val="center"/>
        <w:rPr>
          <w:b/>
          <w:szCs w:val="24"/>
        </w:rPr>
      </w:pPr>
      <w:r>
        <w:rPr>
          <w:b/>
          <w:szCs w:val="24"/>
        </w:rPr>
        <w:t>BY</w:t>
      </w:r>
    </w:p>
    <w:p w:rsidR="0085276D" w:rsidP="0085276D">
      <w:pPr>
        <w:jc w:val="center"/>
        <w:rPr>
          <w:b/>
          <w:szCs w:val="24"/>
        </w:rPr>
      </w:pPr>
      <w:r>
        <w:rPr>
          <w:b/>
          <w:szCs w:val="24"/>
        </w:rPr>
        <w:t>THE OFFICE OF THE OHIO CONSUMERS’ COUNSEL</w:t>
      </w:r>
    </w:p>
    <w:p w:rsidR="0085276D" w:rsidRPr="00746CE5" w:rsidP="0085276D">
      <w:pPr>
        <w:pBdr>
          <w:bottom w:val="single" w:sz="12" w:space="1" w:color="auto"/>
        </w:pBdr>
        <w:rPr>
          <w:szCs w:val="24"/>
        </w:rPr>
      </w:pPr>
    </w:p>
    <w:p w:rsidR="0085276D" w:rsidRPr="00746CE5" w:rsidP="0085276D">
      <w:pPr>
        <w:rPr>
          <w:szCs w:val="24"/>
        </w:rPr>
      </w:pPr>
    </w:p>
    <w:p w:rsidR="0085276D">
      <w:pPr>
        <w:pStyle w:val="Title"/>
        <w:rPr>
          <w:sz w:val="24"/>
          <w:szCs w:val="24"/>
        </w:rPr>
      </w:pPr>
    </w:p>
    <w:p w:rsidR="0085276D">
      <w:pPr>
        <w:pStyle w:val="Title"/>
        <w:rPr>
          <w:sz w:val="24"/>
          <w:szCs w:val="24"/>
        </w:rPr>
      </w:pPr>
    </w:p>
    <w:p w:rsidR="0085276D">
      <w:pPr>
        <w:pStyle w:val="Title"/>
        <w:rPr>
          <w:sz w:val="24"/>
          <w:szCs w:val="24"/>
        </w:rPr>
      </w:pPr>
    </w:p>
    <w:p w:rsidR="0085276D" w:rsidP="0085276D">
      <w:pPr>
        <w:ind w:left="3960"/>
      </w:pPr>
    </w:p>
    <w:p w:rsidR="0085276D" w:rsidP="0085276D">
      <w:pPr>
        <w:ind w:left="3960"/>
      </w:pPr>
    </w:p>
    <w:p w:rsidR="0085276D" w:rsidP="0085276D">
      <w:pPr>
        <w:ind w:left="3960"/>
      </w:pPr>
    </w:p>
    <w:p w:rsidR="0085276D" w:rsidP="0085276D">
      <w:pPr>
        <w:ind w:left="3960"/>
      </w:pPr>
    </w:p>
    <w:p w:rsidR="0085276D" w:rsidRPr="00710E80" w:rsidP="0085276D">
      <w:pPr>
        <w:ind w:left="3960"/>
      </w:pPr>
      <w:r>
        <w:t>Bruce Weston</w:t>
      </w:r>
      <w:r w:rsidRPr="00710E80">
        <w:t xml:space="preserve"> (0016973)</w:t>
      </w:r>
    </w:p>
    <w:p w:rsidR="0085276D" w:rsidRPr="00710E80" w:rsidP="0085276D">
      <w:pPr>
        <w:tabs>
          <w:tab w:val="left" w:pos="4320"/>
        </w:tabs>
        <w:ind w:left="3960"/>
        <w:rPr>
          <w:szCs w:val="24"/>
        </w:rPr>
      </w:pPr>
      <w:r>
        <w:rPr>
          <w:szCs w:val="24"/>
        </w:rPr>
        <w:t>Ohio Consumers’ Counsel</w:t>
      </w:r>
    </w:p>
    <w:p w:rsidR="0085276D" w:rsidRPr="00710E80" w:rsidP="0085276D">
      <w:pPr>
        <w:tabs>
          <w:tab w:val="left" w:pos="4320"/>
        </w:tabs>
        <w:ind w:left="3960"/>
        <w:rPr>
          <w:szCs w:val="24"/>
        </w:rPr>
      </w:pPr>
    </w:p>
    <w:p w:rsidR="0085276D" w:rsidRPr="00B54B36" w:rsidP="0085276D">
      <w:pPr>
        <w:tabs>
          <w:tab w:val="left" w:pos="3960"/>
        </w:tabs>
        <w:ind w:firstLine="3960"/>
        <w:rPr>
          <w:szCs w:val="24"/>
        </w:rPr>
      </w:pPr>
      <w:r>
        <w:rPr>
          <w:szCs w:val="24"/>
        </w:rPr>
        <w:t>Christopher Healey (0086027)</w:t>
      </w:r>
    </w:p>
    <w:p w:rsidR="0085276D" w:rsidP="0085276D">
      <w:pPr>
        <w:tabs>
          <w:tab w:val="left" w:pos="4320"/>
        </w:tabs>
        <w:ind w:left="3960"/>
        <w:rPr>
          <w:szCs w:val="24"/>
        </w:rPr>
      </w:pPr>
      <w:r w:rsidRPr="00710E80">
        <w:rPr>
          <w:szCs w:val="24"/>
        </w:rPr>
        <w:t>Counsel of Record</w:t>
      </w:r>
    </w:p>
    <w:p w:rsidR="0085276D" w:rsidRPr="00710E80" w:rsidP="0085276D">
      <w:pPr>
        <w:tabs>
          <w:tab w:val="left" w:pos="4320"/>
        </w:tabs>
        <w:ind w:left="3960"/>
        <w:rPr>
          <w:szCs w:val="24"/>
        </w:rPr>
      </w:pPr>
      <w:r>
        <w:rPr>
          <w:szCs w:val="24"/>
        </w:rPr>
        <w:t>William J. Michael</w:t>
      </w:r>
      <w:r w:rsidRPr="00710E80">
        <w:rPr>
          <w:szCs w:val="24"/>
        </w:rPr>
        <w:t xml:space="preserve"> (</w:t>
      </w:r>
      <w:r>
        <w:rPr>
          <w:szCs w:val="24"/>
        </w:rPr>
        <w:t>0070921)</w:t>
      </w:r>
    </w:p>
    <w:p w:rsidR="0085276D" w:rsidP="0085276D">
      <w:pPr>
        <w:tabs>
          <w:tab w:val="left" w:pos="4320"/>
        </w:tabs>
        <w:ind w:left="3960"/>
        <w:rPr>
          <w:szCs w:val="24"/>
        </w:rPr>
      </w:pPr>
      <w:r>
        <w:rPr>
          <w:szCs w:val="24"/>
        </w:rPr>
        <w:t>Amy Botschner O’Brien (0074423)</w:t>
      </w:r>
    </w:p>
    <w:p w:rsidR="0085276D" w:rsidP="0085276D">
      <w:pPr>
        <w:tabs>
          <w:tab w:val="left" w:pos="4320"/>
        </w:tabs>
        <w:ind w:left="3960"/>
        <w:rPr>
          <w:szCs w:val="24"/>
        </w:rPr>
      </w:pPr>
      <w:r w:rsidRPr="00710E80">
        <w:rPr>
          <w:szCs w:val="24"/>
        </w:rPr>
        <w:t>Assistant Consumers</w:t>
      </w:r>
      <w:r>
        <w:rPr>
          <w:szCs w:val="24"/>
        </w:rPr>
        <w:t>'</w:t>
      </w:r>
      <w:r w:rsidRPr="00710E80">
        <w:rPr>
          <w:szCs w:val="24"/>
        </w:rPr>
        <w:t xml:space="preserve"> Counsel</w:t>
      </w:r>
    </w:p>
    <w:p w:rsidR="0085276D" w:rsidRPr="00710E80" w:rsidP="0085276D">
      <w:pPr>
        <w:tabs>
          <w:tab w:val="left" w:pos="4320"/>
        </w:tabs>
        <w:ind w:left="3960"/>
        <w:rPr>
          <w:szCs w:val="24"/>
        </w:rPr>
      </w:pPr>
    </w:p>
    <w:p w:rsidR="0085276D" w:rsidRPr="003F375C" w:rsidP="0085276D">
      <w:pPr>
        <w:ind w:left="3240" w:firstLine="720"/>
        <w:rPr>
          <w:b/>
          <w:bCs/>
        </w:rPr>
      </w:pPr>
      <w:r w:rsidRPr="003F375C">
        <w:rPr>
          <w:b/>
          <w:bCs/>
        </w:rPr>
        <w:t>Office of the Ohio Consumers' Counsel</w:t>
      </w:r>
    </w:p>
    <w:p w:rsidR="0085276D" w:rsidRPr="00710E80" w:rsidP="0085276D">
      <w:pPr>
        <w:ind w:left="3240" w:firstLine="720"/>
        <w:rPr>
          <w:b/>
        </w:rPr>
      </w:pPr>
      <w:r>
        <w:t>65 East State Street, 7th Floor</w:t>
      </w:r>
    </w:p>
    <w:p w:rsidR="0085276D" w:rsidP="0085276D">
      <w:pPr>
        <w:ind w:left="3240" w:firstLine="720"/>
      </w:pPr>
      <w:r w:rsidRPr="00710E80">
        <w:t>Columbus, Ohio 43215</w:t>
      </w:r>
    </w:p>
    <w:p w:rsidR="0085276D" w:rsidRPr="00B54B36" w:rsidP="0085276D">
      <w:pPr>
        <w:tabs>
          <w:tab w:val="left" w:pos="3960"/>
        </w:tabs>
        <w:autoSpaceDE w:val="0"/>
        <w:autoSpaceDN w:val="0"/>
        <w:adjustRightInd w:val="0"/>
        <w:ind w:left="3600" w:firstLine="360"/>
        <w:rPr>
          <w:szCs w:val="24"/>
        </w:rPr>
      </w:pPr>
      <w:r>
        <w:rPr>
          <w:szCs w:val="24"/>
        </w:rPr>
        <w:t>Telephone [Healey]: (614) 466-9571</w:t>
      </w:r>
    </w:p>
    <w:p w:rsidR="0085276D" w:rsidP="0085276D">
      <w:pPr>
        <w:autoSpaceDE w:val="0"/>
        <w:autoSpaceDN w:val="0"/>
        <w:adjustRightInd w:val="0"/>
        <w:ind w:left="3240" w:firstLine="720"/>
        <w:rPr>
          <w:szCs w:val="24"/>
        </w:rPr>
      </w:pPr>
      <w:r w:rsidRPr="00710E80">
        <w:rPr>
          <w:szCs w:val="24"/>
        </w:rPr>
        <w:t>Telephone</w:t>
      </w:r>
      <w:r>
        <w:rPr>
          <w:szCs w:val="24"/>
        </w:rPr>
        <w:t xml:space="preserve"> [Michael]</w:t>
      </w:r>
      <w:r w:rsidRPr="00710E80">
        <w:rPr>
          <w:szCs w:val="24"/>
        </w:rPr>
        <w:t xml:space="preserve">: </w:t>
      </w:r>
      <w:r>
        <w:rPr>
          <w:szCs w:val="24"/>
        </w:rPr>
        <w:t>(614) 466-1291</w:t>
      </w:r>
    </w:p>
    <w:p w:rsidR="0085276D" w:rsidRPr="00710E80" w:rsidP="0085276D">
      <w:pPr>
        <w:autoSpaceDE w:val="0"/>
        <w:autoSpaceDN w:val="0"/>
        <w:adjustRightInd w:val="0"/>
        <w:ind w:left="3960"/>
        <w:rPr>
          <w:szCs w:val="24"/>
        </w:rPr>
      </w:pPr>
      <w:r>
        <w:rPr>
          <w:szCs w:val="24"/>
        </w:rPr>
        <w:t>Telephone [Botschner O’Brien]: (614) 466-9575</w:t>
      </w:r>
    </w:p>
    <w:p w:rsidR="0085276D" w:rsidP="0085276D">
      <w:pPr>
        <w:ind w:left="3960"/>
        <w:rPr>
          <w:color w:val="0000FF"/>
          <w:szCs w:val="24"/>
          <w:u w:val="single"/>
        </w:rPr>
      </w:pPr>
      <w:r>
        <w:rPr>
          <w:color w:val="0000FF"/>
          <w:szCs w:val="24"/>
          <w:u w:val="single"/>
        </w:rPr>
        <w:t>christopher.healey@occ.ohio.gov</w:t>
      </w:r>
    </w:p>
    <w:p w:rsidR="0085276D" w:rsidRPr="003C7FA0" w:rsidP="0085276D">
      <w:pPr>
        <w:ind w:left="3960"/>
        <w:rPr>
          <w:color w:val="0000FF"/>
          <w:szCs w:val="24"/>
          <w:u w:val="single"/>
        </w:rPr>
      </w:pPr>
      <w:r w:rsidRPr="003C7FA0">
        <w:rPr>
          <w:color w:val="0000FF"/>
          <w:szCs w:val="24"/>
          <w:u w:val="single"/>
        </w:rPr>
        <w:t>william.michael@occ.ohio.gov</w:t>
      </w:r>
    </w:p>
    <w:p w:rsidR="0085276D" w:rsidRPr="003C7FA0" w:rsidP="0085276D">
      <w:pPr>
        <w:ind w:left="3960"/>
        <w:rPr>
          <w:color w:val="0000FF"/>
          <w:szCs w:val="24"/>
          <w:u w:val="single"/>
        </w:rPr>
      </w:pPr>
      <w:r w:rsidRPr="003C7FA0">
        <w:rPr>
          <w:color w:val="0000FF"/>
          <w:szCs w:val="24"/>
          <w:u w:val="single"/>
        </w:rPr>
        <w:t>amy.botschner.obrien@occ.ohio.gov</w:t>
      </w:r>
    </w:p>
    <w:p w:rsidR="0085276D" w:rsidP="00B85AE8">
      <w:pPr>
        <w:ind w:left="3960" w:hanging="3960"/>
        <w:rPr>
          <w:szCs w:val="24"/>
        </w:rPr>
      </w:pPr>
      <w:r>
        <w:rPr>
          <w:szCs w:val="24"/>
        </w:rPr>
        <w:t>July 16</w:t>
      </w:r>
      <w:r>
        <w:rPr>
          <w:szCs w:val="24"/>
        </w:rPr>
        <w:t>, 2020</w:t>
      </w:r>
      <w:r>
        <w:rPr>
          <w:szCs w:val="24"/>
        </w:rPr>
        <w:tab/>
        <w:t>(willing to accept service by e-mail</w:t>
      </w:r>
      <w:r w:rsidRPr="00710E80">
        <w:rPr>
          <w:szCs w:val="24"/>
        </w:rPr>
        <w:t>)</w:t>
      </w:r>
    </w:p>
    <w:p w:rsidR="0085276D">
      <w:pPr>
        <w:pStyle w:val="Title"/>
        <w:rPr>
          <w:sz w:val="24"/>
          <w:szCs w:val="24"/>
        </w:rPr>
      </w:pPr>
    </w:p>
    <w:p w:rsidR="0085276D">
      <w:pPr>
        <w:pStyle w:val="Title"/>
        <w:rPr>
          <w:sz w:val="24"/>
          <w:szCs w:val="24"/>
        </w:rPr>
        <w:sectPr w:rsidSect="007D4B22">
          <w:footerReference w:type="even" r:id="rId6"/>
          <w:footerReference w:type="default" r:id="rId7"/>
          <w:pgSz w:w="12240" w:h="15840"/>
          <w:pgMar w:top="1440" w:right="1440" w:bottom="1440" w:left="1440" w:header="720" w:footer="720" w:gutter="0"/>
          <w:pgNumType w:start="1"/>
          <w:cols w:space="720"/>
          <w:titlePg/>
          <w:docGrid w:linePitch="326"/>
        </w:sectPr>
      </w:pPr>
    </w:p>
    <w:p w:rsidR="0085276D" w:rsidRPr="0085276D" w:rsidP="0085276D">
      <w:pPr>
        <w:pStyle w:val="Title"/>
        <w:rPr>
          <w:sz w:val="24"/>
          <w:szCs w:val="24"/>
          <w:u w:val="single"/>
        </w:rPr>
      </w:pPr>
      <w:r w:rsidRPr="0085276D">
        <w:rPr>
          <w:sz w:val="24"/>
          <w:szCs w:val="24"/>
          <w:u w:val="single"/>
        </w:rPr>
        <w:t>TABLE OF CONTENTS</w:t>
      </w:r>
    </w:p>
    <w:p w:rsidR="0085276D" w:rsidP="0085276D">
      <w:pPr>
        <w:pStyle w:val="Title"/>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w:t>
      </w:r>
    </w:p>
    <w:p w:rsidR="00B85AE8" w:rsidP="0085276D">
      <w:pPr>
        <w:pStyle w:val="Title"/>
        <w:rPr>
          <w:sz w:val="24"/>
          <w:szCs w:val="24"/>
        </w:rPr>
      </w:pPr>
    </w:p>
    <w:p w:rsidR="008D4A41">
      <w:pPr>
        <w:pStyle w:val="TOC1"/>
        <w:rPr>
          <w:rFonts w:asciiTheme="minorHAnsi" w:eastAsiaTheme="minorEastAsia" w:hAnsiTheme="minorHAnsi" w:cstheme="minorBidi"/>
          <w:caps w:val="0"/>
          <w:noProof/>
          <w:sz w:val="22"/>
          <w:szCs w:val="22"/>
        </w:rPr>
      </w:pPr>
      <w:r>
        <w:rPr>
          <w:szCs w:val="24"/>
        </w:rPr>
        <w:fldChar w:fldCharType="begin"/>
      </w:r>
      <w:r w:rsidR="00B85AE8">
        <w:rPr>
          <w:szCs w:val="24"/>
        </w:rPr>
        <w:instrText xml:space="preserve"> TOC \o "1-3" \h \z \u </w:instrText>
      </w:r>
      <w:r>
        <w:rPr>
          <w:szCs w:val="24"/>
        </w:rPr>
        <w:fldChar w:fldCharType="separate"/>
      </w:r>
      <w:hyperlink w:anchor="_Toc45639154" w:history="1">
        <w:r w:rsidRPr="00545FF7">
          <w:rPr>
            <w:rStyle w:val="Hyperlink"/>
            <w:noProof/>
          </w:rPr>
          <w:t>I.</w:t>
        </w:r>
        <w:r>
          <w:rPr>
            <w:rFonts w:asciiTheme="minorHAnsi" w:eastAsiaTheme="minorEastAsia" w:hAnsiTheme="minorHAnsi" w:cstheme="minorBidi"/>
            <w:caps w:val="0"/>
            <w:noProof/>
            <w:sz w:val="22"/>
            <w:szCs w:val="22"/>
          </w:rPr>
          <w:tab/>
        </w:r>
        <w:r w:rsidRPr="00545FF7">
          <w:rPr>
            <w:rStyle w:val="Hyperlink"/>
            <w:noProof/>
          </w:rPr>
          <w:t>REPLY COMMENTS</w:t>
        </w:r>
        <w:r>
          <w:rPr>
            <w:noProof/>
            <w:webHidden/>
          </w:rPr>
          <w:tab/>
        </w:r>
        <w:r>
          <w:rPr>
            <w:noProof/>
            <w:webHidden/>
          </w:rPr>
          <w:fldChar w:fldCharType="begin"/>
        </w:r>
        <w:r>
          <w:rPr>
            <w:noProof/>
            <w:webHidden/>
          </w:rPr>
          <w:instrText xml:space="preserve"> PAGEREF _Toc45639154 \h </w:instrText>
        </w:r>
        <w:r>
          <w:rPr>
            <w:noProof/>
            <w:webHidden/>
          </w:rPr>
          <w:fldChar w:fldCharType="separate"/>
        </w:r>
        <w:r>
          <w:rPr>
            <w:noProof/>
            <w:webHidden/>
          </w:rPr>
          <w:t>2</w:t>
        </w:r>
        <w:r>
          <w:rPr>
            <w:noProof/>
            <w:webHidden/>
          </w:rPr>
          <w:fldChar w:fldCharType="end"/>
        </w:r>
      </w:hyperlink>
    </w:p>
    <w:p w:rsidR="008D4A41">
      <w:pPr>
        <w:pStyle w:val="TOC2"/>
        <w:rPr>
          <w:rFonts w:asciiTheme="minorHAnsi" w:eastAsiaTheme="minorEastAsia" w:hAnsiTheme="minorHAnsi" w:cstheme="minorBidi"/>
          <w:noProof/>
          <w:sz w:val="22"/>
          <w:szCs w:val="22"/>
        </w:rPr>
      </w:pPr>
      <w:hyperlink w:anchor="_Toc45639155" w:history="1">
        <w:r w:rsidRPr="00545FF7">
          <w:rPr>
            <w:rStyle w:val="Hyperlink"/>
            <w:noProof/>
          </w:rPr>
          <w:t>A.</w:t>
        </w:r>
        <w:r>
          <w:rPr>
            <w:rFonts w:asciiTheme="minorHAnsi" w:eastAsiaTheme="minorEastAsia" w:hAnsiTheme="minorHAnsi" w:cstheme="minorBidi"/>
            <w:noProof/>
            <w:sz w:val="22"/>
            <w:szCs w:val="22"/>
          </w:rPr>
          <w:tab/>
        </w:r>
        <w:r w:rsidRPr="00545FF7">
          <w:rPr>
            <w:rStyle w:val="Hyperlink"/>
            <w:noProof/>
          </w:rPr>
          <w:t xml:space="preserve">When evaluating DP&amp;L’s charges to consumers under its current electric </w:t>
        </w:r>
        <w:r>
          <w:rPr>
            <w:rStyle w:val="Hyperlink"/>
            <w:noProof/>
          </w:rPr>
          <w:br/>
        </w:r>
        <w:r w:rsidRPr="00545FF7">
          <w:rPr>
            <w:rStyle w:val="Hyperlink"/>
            <w:noProof/>
          </w:rPr>
          <w:t xml:space="preserve">security plan, consumer protection requires that the PUCO consider the </w:t>
        </w:r>
        <w:r>
          <w:rPr>
            <w:rStyle w:val="Hyperlink"/>
            <w:noProof/>
          </w:rPr>
          <w:br/>
        </w:r>
        <w:r w:rsidRPr="00545FF7">
          <w:rPr>
            <w:rStyle w:val="Hyperlink"/>
            <w:noProof/>
          </w:rPr>
          <w:t>impact that the coronavirus and ensuing financial emergency have had on consumers.</w:t>
        </w:r>
        <w:r>
          <w:rPr>
            <w:noProof/>
            <w:webHidden/>
          </w:rPr>
          <w:tab/>
        </w:r>
        <w:r>
          <w:rPr>
            <w:noProof/>
            <w:webHidden/>
          </w:rPr>
          <w:fldChar w:fldCharType="begin"/>
        </w:r>
        <w:r>
          <w:rPr>
            <w:noProof/>
            <w:webHidden/>
          </w:rPr>
          <w:instrText xml:space="preserve"> PAGEREF _Toc45639155 \h </w:instrText>
        </w:r>
        <w:r>
          <w:rPr>
            <w:noProof/>
            <w:webHidden/>
          </w:rPr>
          <w:fldChar w:fldCharType="separate"/>
        </w:r>
        <w:r>
          <w:rPr>
            <w:noProof/>
            <w:webHidden/>
          </w:rPr>
          <w:t>2</w:t>
        </w:r>
        <w:r>
          <w:rPr>
            <w:noProof/>
            <w:webHidden/>
          </w:rPr>
          <w:fldChar w:fldCharType="end"/>
        </w:r>
      </w:hyperlink>
    </w:p>
    <w:p w:rsidR="008D4A41">
      <w:pPr>
        <w:pStyle w:val="TOC2"/>
        <w:rPr>
          <w:rFonts w:asciiTheme="minorHAnsi" w:eastAsiaTheme="minorEastAsia" w:hAnsiTheme="minorHAnsi" w:cstheme="minorBidi"/>
          <w:noProof/>
          <w:sz w:val="22"/>
          <w:szCs w:val="22"/>
        </w:rPr>
      </w:pPr>
      <w:hyperlink w:anchor="_Toc45639156" w:history="1">
        <w:r w:rsidRPr="00545FF7">
          <w:rPr>
            <w:rStyle w:val="Hyperlink"/>
            <w:noProof/>
          </w:rPr>
          <w:t>B.</w:t>
        </w:r>
        <w:r>
          <w:rPr>
            <w:rFonts w:asciiTheme="minorHAnsi" w:eastAsiaTheme="minorEastAsia" w:hAnsiTheme="minorHAnsi" w:cstheme="minorBidi"/>
            <w:noProof/>
            <w:sz w:val="22"/>
            <w:szCs w:val="22"/>
          </w:rPr>
          <w:tab/>
        </w:r>
        <w:r w:rsidRPr="00545FF7">
          <w:rPr>
            <w:rStyle w:val="Hyperlink"/>
            <w:noProof/>
          </w:rPr>
          <w:t xml:space="preserve">Contrary to DP&amp;L’s assertion, the legislative option of a Market Rate Offer would not allow it to charge consumers for environmental expenses, which </w:t>
        </w:r>
        <w:r>
          <w:rPr>
            <w:rStyle w:val="Hyperlink"/>
            <w:noProof/>
          </w:rPr>
          <w:br/>
        </w:r>
        <w:r w:rsidRPr="00545FF7">
          <w:rPr>
            <w:rStyle w:val="Hyperlink"/>
            <w:noProof/>
          </w:rPr>
          <w:t>refutes DP&amp;L’s claim that an Electric Security Plan is better for consumers.</w:t>
        </w:r>
        <w:r>
          <w:rPr>
            <w:noProof/>
            <w:webHidden/>
          </w:rPr>
          <w:tab/>
        </w:r>
        <w:r>
          <w:rPr>
            <w:noProof/>
            <w:webHidden/>
          </w:rPr>
          <w:fldChar w:fldCharType="begin"/>
        </w:r>
        <w:r>
          <w:rPr>
            <w:noProof/>
            <w:webHidden/>
          </w:rPr>
          <w:instrText xml:space="preserve"> PAGEREF _Toc45639156 \h </w:instrText>
        </w:r>
        <w:r>
          <w:rPr>
            <w:noProof/>
            <w:webHidden/>
          </w:rPr>
          <w:fldChar w:fldCharType="separate"/>
        </w:r>
        <w:r>
          <w:rPr>
            <w:noProof/>
            <w:webHidden/>
          </w:rPr>
          <w:t>5</w:t>
        </w:r>
        <w:r>
          <w:rPr>
            <w:noProof/>
            <w:webHidden/>
          </w:rPr>
          <w:fldChar w:fldCharType="end"/>
        </w:r>
      </w:hyperlink>
    </w:p>
    <w:p w:rsidR="008D4A41">
      <w:pPr>
        <w:pStyle w:val="TOC2"/>
        <w:rPr>
          <w:rFonts w:asciiTheme="minorHAnsi" w:eastAsiaTheme="minorEastAsia" w:hAnsiTheme="minorHAnsi" w:cstheme="minorBidi"/>
          <w:noProof/>
          <w:sz w:val="22"/>
          <w:szCs w:val="22"/>
        </w:rPr>
      </w:pPr>
      <w:hyperlink w:anchor="_Toc45639157" w:history="1">
        <w:r w:rsidRPr="00545FF7">
          <w:rPr>
            <w:rStyle w:val="Hyperlink"/>
            <w:noProof/>
          </w:rPr>
          <w:t>C.</w:t>
        </w:r>
        <w:r>
          <w:rPr>
            <w:rFonts w:asciiTheme="minorHAnsi" w:eastAsiaTheme="minorEastAsia" w:hAnsiTheme="minorHAnsi" w:cstheme="minorBidi"/>
            <w:noProof/>
            <w:sz w:val="22"/>
            <w:szCs w:val="22"/>
          </w:rPr>
          <w:tab/>
        </w:r>
        <w:r w:rsidRPr="00545FF7">
          <w:rPr>
            <w:rStyle w:val="Hyperlink"/>
            <w:noProof/>
          </w:rPr>
          <w:t xml:space="preserve">Qualitative factors do not justify continuing DP&amp;L’s current ESP instead of transitioning to a more consumer-friendly MRO, so consumer protection </w:t>
        </w:r>
        <w:r>
          <w:rPr>
            <w:rStyle w:val="Hyperlink"/>
            <w:noProof/>
          </w:rPr>
          <w:br/>
        </w:r>
        <w:r w:rsidRPr="00545FF7">
          <w:rPr>
            <w:rStyle w:val="Hyperlink"/>
            <w:noProof/>
          </w:rPr>
          <w:t>requires that the PUCO terminate the ESP.</w:t>
        </w:r>
        <w:r>
          <w:rPr>
            <w:noProof/>
            <w:webHidden/>
          </w:rPr>
          <w:tab/>
        </w:r>
        <w:r>
          <w:rPr>
            <w:noProof/>
            <w:webHidden/>
          </w:rPr>
          <w:fldChar w:fldCharType="begin"/>
        </w:r>
        <w:r>
          <w:rPr>
            <w:noProof/>
            <w:webHidden/>
          </w:rPr>
          <w:instrText xml:space="preserve"> PAGEREF _Toc45639157 \h </w:instrText>
        </w:r>
        <w:r>
          <w:rPr>
            <w:noProof/>
            <w:webHidden/>
          </w:rPr>
          <w:fldChar w:fldCharType="separate"/>
        </w:r>
        <w:r>
          <w:rPr>
            <w:noProof/>
            <w:webHidden/>
          </w:rPr>
          <w:t>6</w:t>
        </w:r>
        <w:r>
          <w:rPr>
            <w:noProof/>
            <w:webHidden/>
          </w:rPr>
          <w:fldChar w:fldCharType="end"/>
        </w:r>
      </w:hyperlink>
    </w:p>
    <w:p w:rsidR="008D4A41">
      <w:pPr>
        <w:pStyle w:val="TOC2"/>
        <w:rPr>
          <w:rFonts w:asciiTheme="minorHAnsi" w:eastAsiaTheme="minorEastAsia" w:hAnsiTheme="minorHAnsi" w:cstheme="minorBidi"/>
          <w:noProof/>
          <w:sz w:val="22"/>
          <w:szCs w:val="22"/>
        </w:rPr>
      </w:pPr>
      <w:hyperlink w:anchor="_Toc45639158" w:history="1">
        <w:r w:rsidRPr="00545FF7">
          <w:rPr>
            <w:rStyle w:val="Hyperlink"/>
            <w:noProof/>
          </w:rPr>
          <w:t>D.</w:t>
        </w:r>
        <w:r>
          <w:rPr>
            <w:rFonts w:asciiTheme="minorHAnsi" w:eastAsiaTheme="minorEastAsia" w:hAnsiTheme="minorHAnsi" w:cstheme="minorBidi"/>
            <w:noProof/>
            <w:sz w:val="22"/>
            <w:szCs w:val="22"/>
          </w:rPr>
          <w:tab/>
        </w:r>
        <w:r w:rsidRPr="00545FF7">
          <w:rPr>
            <w:rStyle w:val="Hyperlink"/>
            <w:noProof/>
          </w:rPr>
          <w:t>The “more advantageous alternative” to an ESP for consumer protection</w:t>
        </w:r>
        <w:r>
          <w:rPr>
            <w:rStyle w:val="Hyperlink"/>
            <w:noProof/>
          </w:rPr>
          <w:br/>
        </w:r>
        <w:r w:rsidRPr="00545FF7">
          <w:rPr>
            <w:rStyle w:val="Hyperlink"/>
            <w:noProof/>
          </w:rPr>
          <w:t>is an MRO—not another ESP.</w:t>
        </w:r>
        <w:r>
          <w:rPr>
            <w:noProof/>
            <w:webHidden/>
          </w:rPr>
          <w:tab/>
        </w:r>
        <w:r>
          <w:rPr>
            <w:noProof/>
            <w:webHidden/>
          </w:rPr>
          <w:fldChar w:fldCharType="begin"/>
        </w:r>
        <w:r>
          <w:rPr>
            <w:noProof/>
            <w:webHidden/>
          </w:rPr>
          <w:instrText xml:space="preserve"> PAGEREF _Toc45639158 \h </w:instrText>
        </w:r>
        <w:r>
          <w:rPr>
            <w:noProof/>
            <w:webHidden/>
          </w:rPr>
          <w:fldChar w:fldCharType="separate"/>
        </w:r>
        <w:r>
          <w:rPr>
            <w:noProof/>
            <w:webHidden/>
          </w:rPr>
          <w:t>7</w:t>
        </w:r>
        <w:r>
          <w:rPr>
            <w:noProof/>
            <w:webHidden/>
          </w:rPr>
          <w:fldChar w:fldCharType="end"/>
        </w:r>
      </w:hyperlink>
    </w:p>
    <w:p w:rsidR="008D4A41">
      <w:pPr>
        <w:pStyle w:val="TOC2"/>
        <w:rPr>
          <w:rFonts w:asciiTheme="minorHAnsi" w:eastAsiaTheme="minorEastAsia" w:hAnsiTheme="minorHAnsi" w:cstheme="minorBidi"/>
          <w:noProof/>
          <w:sz w:val="22"/>
          <w:szCs w:val="22"/>
        </w:rPr>
      </w:pPr>
      <w:hyperlink w:anchor="_Toc45639159" w:history="1">
        <w:r w:rsidRPr="00545FF7">
          <w:rPr>
            <w:rStyle w:val="Hyperlink"/>
            <w:noProof/>
          </w:rPr>
          <w:t>E.</w:t>
        </w:r>
        <w:r>
          <w:rPr>
            <w:rFonts w:asciiTheme="minorHAnsi" w:eastAsiaTheme="minorEastAsia" w:hAnsiTheme="minorHAnsi" w:cstheme="minorBidi"/>
            <w:noProof/>
            <w:sz w:val="22"/>
            <w:szCs w:val="22"/>
          </w:rPr>
          <w:tab/>
        </w:r>
        <w:r w:rsidRPr="00545FF7">
          <w:rPr>
            <w:rStyle w:val="Hyperlink"/>
            <w:noProof/>
          </w:rPr>
          <w:t xml:space="preserve">In consumers’ interest, the PUCO should reject claims that an MRO would </w:t>
        </w:r>
        <w:r>
          <w:rPr>
            <w:rStyle w:val="Hyperlink"/>
            <w:noProof/>
          </w:rPr>
          <w:br/>
        </w:r>
        <w:r w:rsidRPr="00545FF7">
          <w:rPr>
            <w:rStyle w:val="Hyperlink"/>
            <w:noProof/>
          </w:rPr>
          <w:t>result in higher litigation costs than an ESP.</w:t>
        </w:r>
        <w:r>
          <w:rPr>
            <w:noProof/>
            <w:webHidden/>
          </w:rPr>
          <w:tab/>
        </w:r>
        <w:r>
          <w:rPr>
            <w:noProof/>
            <w:webHidden/>
          </w:rPr>
          <w:fldChar w:fldCharType="begin"/>
        </w:r>
        <w:r>
          <w:rPr>
            <w:noProof/>
            <w:webHidden/>
          </w:rPr>
          <w:instrText xml:space="preserve"> PAGEREF _Toc45639159 \h </w:instrText>
        </w:r>
        <w:r>
          <w:rPr>
            <w:noProof/>
            <w:webHidden/>
          </w:rPr>
          <w:fldChar w:fldCharType="separate"/>
        </w:r>
        <w:r>
          <w:rPr>
            <w:noProof/>
            <w:webHidden/>
          </w:rPr>
          <w:t>9</w:t>
        </w:r>
        <w:r>
          <w:rPr>
            <w:noProof/>
            <w:webHidden/>
          </w:rPr>
          <w:fldChar w:fldCharType="end"/>
        </w:r>
      </w:hyperlink>
    </w:p>
    <w:p w:rsidR="008D4A41">
      <w:pPr>
        <w:pStyle w:val="TOC2"/>
        <w:rPr>
          <w:rFonts w:asciiTheme="minorHAnsi" w:eastAsiaTheme="minorEastAsia" w:hAnsiTheme="minorHAnsi" w:cstheme="minorBidi"/>
          <w:noProof/>
          <w:sz w:val="22"/>
          <w:szCs w:val="22"/>
        </w:rPr>
      </w:pPr>
      <w:hyperlink w:anchor="_Toc45639160" w:history="1">
        <w:r w:rsidRPr="00545FF7">
          <w:rPr>
            <w:rStyle w:val="Hyperlink"/>
            <w:noProof/>
          </w:rPr>
          <w:t>F.</w:t>
        </w:r>
        <w:r>
          <w:rPr>
            <w:rFonts w:asciiTheme="minorHAnsi" w:eastAsiaTheme="minorEastAsia" w:hAnsiTheme="minorHAnsi" w:cstheme="minorBidi"/>
            <w:noProof/>
            <w:sz w:val="22"/>
            <w:szCs w:val="22"/>
          </w:rPr>
          <w:tab/>
        </w:r>
        <w:r w:rsidRPr="00545FF7">
          <w:rPr>
            <w:rStyle w:val="Hyperlink"/>
            <w:noProof/>
          </w:rPr>
          <w:t>To protect consumers, the PUCO should reject IGS’s proposal that the Rate Stabilization Charge be converted to a bypassable charge (</w:t>
        </w:r>
        <w:r w:rsidRPr="00545FF7">
          <w:rPr>
            <w:rStyle w:val="Hyperlink"/>
            <w:i/>
            <w:iCs/>
            <w:noProof/>
          </w:rPr>
          <w:t>i.e</w:t>
        </w:r>
        <w:r w:rsidRPr="00545FF7">
          <w:rPr>
            <w:rStyle w:val="Hyperlink"/>
            <w:noProof/>
          </w:rPr>
          <w:t xml:space="preserve">., a charge paid </w:t>
        </w:r>
        <w:r>
          <w:rPr>
            <w:rStyle w:val="Hyperlink"/>
            <w:noProof/>
          </w:rPr>
          <w:br/>
        </w:r>
        <w:r w:rsidRPr="00545FF7">
          <w:rPr>
            <w:rStyle w:val="Hyperlink"/>
            <w:noProof/>
          </w:rPr>
          <w:t>only by standard service offer customers).</w:t>
        </w:r>
        <w:r>
          <w:rPr>
            <w:noProof/>
            <w:webHidden/>
          </w:rPr>
          <w:tab/>
        </w:r>
        <w:r>
          <w:rPr>
            <w:noProof/>
            <w:webHidden/>
          </w:rPr>
          <w:fldChar w:fldCharType="begin"/>
        </w:r>
        <w:r>
          <w:rPr>
            <w:noProof/>
            <w:webHidden/>
          </w:rPr>
          <w:instrText xml:space="preserve"> PAGEREF _Toc45639160 \h </w:instrText>
        </w:r>
        <w:r>
          <w:rPr>
            <w:noProof/>
            <w:webHidden/>
          </w:rPr>
          <w:fldChar w:fldCharType="separate"/>
        </w:r>
        <w:r>
          <w:rPr>
            <w:noProof/>
            <w:webHidden/>
          </w:rPr>
          <w:t>9</w:t>
        </w:r>
        <w:r>
          <w:rPr>
            <w:noProof/>
            <w:webHidden/>
          </w:rPr>
          <w:fldChar w:fldCharType="end"/>
        </w:r>
      </w:hyperlink>
    </w:p>
    <w:p w:rsidR="008D4A41">
      <w:pPr>
        <w:pStyle w:val="TOC1"/>
        <w:rPr>
          <w:rFonts w:asciiTheme="minorHAnsi" w:eastAsiaTheme="minorEastAsia" w:hAnsiTheme="minorHAnsi" w:cstheme="minorBidi"/>
          <w:caps w:val="0"/>
          <w:noProof/>
          <w:sz w:val="22"/>
          <w:szCs w:val="22"/>
        </w:rPr>
      </w:pPr>
      <w:hyperlink w:anchor="_Toc45639161" w:history="1">
        <w:r w:rsidRPr="00545FF7">
          <w:rPr>
            <w:rStyle w:val="Hyperlink"/>
            <w:noProof/>
          </w:rPr>
          <w:t>II.</w:t>
        </w:r>
        <w:r>
          <w:rPr>
            <w:rFonts w:asciiTheme="minorHAnsi" w:eastAsiaTheme="minorEastAsia" w:hAnsiTheme="minorHAnsi" w:cstheme="minorBidi"/>
            <w:caps w:val="0"/>
            <w:noProof/>
            <w:sz w:val="22"/>
            <w:szCs w:val="22"/>
          </w:rPr>
          <w:tab/>
        </w:r>
        <w:r w:rsidRPr="00545FF7">
          <w:rPr>
            <w:rStyle w:val="Hyperlink"/>
            <w:noProof/>
          </w:rPr>
          <w:t>CONCLUSION</w:t>
        </w:r>
        <w:r>
          <w:rPr>
            <w:noProof/>
            <w:webHidden/>
          </w:rPr>
          <w:tab/>
        </w:r>
        <w:r>
          <w:rPr>
            <w:noProof/>
            <w:webHidden/>
          </w:rPr>
          <w:fldChar w:fldCharType="begin"/>
        </w:r>
        <w:r>
          <w:rPr>
            <w:noProof/>
            <w:webHidden/>
          </w:rPr>
          <w:instrText xml:space="preserve"> PAGEREF _Toc45639161 \h </w:instrText>
        </w:r>
        <w:r>
          <w:rPr>
            <w:noProof/>
            <w:webHidden/>
          </w:rPr>
          <w:fldChar w:fldCharType="separate"/>
        </w:r>
        <w:r>
          <w:rPr>
            <w:noProof/>
            <w:webHidden/>
          </w:rPr>
          <w:t>11</w:t>
        </w:r>
        <w:r>
          <w:rPr>
            <w:noProof/>
            <w:webHidden/>
          </w:rPr>
          <w:fldChar w:fldCharType="end"/>
        </w:r>
      </w:hyperlink>
    </w:p>
    <w:p w:rsidR="0085276D" w:rsidP="0085276D">
      <w:pPr>
        <w:pStyle w:val="Title"/>
        <w:rPr>
          <w:sz w:val="24"/>
          <w:szCs w:val="24"/>
        </w:rPr>
      </w:pPr>
      <w:r>
        <w:rPr>
          <w:sz w:val="24"/>
          <w:szCs w:val="24"/>
        </w:rPr>
        <w:fldChar w:fldCharType="end"/>
      </w:r>
    </w:p>
    <w:p w:rsidR="0085276D" w:rsidP="0085276D">
      <w:pPr>
        <w:pStyle w:val="Title"/>
        <w:rPr>
          <w:sz w:val="24"/>
          <w:szCs w:val="24"/>
        </w:rPr>
      </w:pPr>
    </w:p>
    <w:p w:rsidR="0085276D" w:rsidP="0085276D">
      <w:pPr>
        <w:pStyle w:val="Title"/>
        <w:rPr>
          <w:sz w:val="24"/>
          <w:szCs w:val="24"/>
        </w:rPr>
        <w:sectPr w:rsidSect="0085276D">
          <w:headerReference w:type="first" r:id="rId8"/>
          <w:footerReference w:type="first" r:id="rId9"/>
          <w:pgSz w:w="12240" w:h="15840"/>
          <w:pgMar w:top="1440" w:right="1440" w:bottom="1440" w:left="1440" w:header="720" w:footer="720" w:gutter="0"/>
          <w:pgNumType w:fmt="lowerRoman" w:start="1"/>
          <w:cols w:space="720"/>
          <w:titlePg/>
          <w:docGrid w:linePitch="326"/>
        </w:sectPr>
      </w:pPr>
    </w:p>
    <w:p w:rsidR="0048264B" w:rsidRPr="00746CE5">
      <w:pPr>
        <w:pStyle w:val="Title"/>
        <w:rPr>
          <w:sz w:val="24"/>
          <w:szCs w:val="24"/>
        </w:rPr>
      </w:pPr>
      <w:r w:rsidRPr="00746CE5">
        <w:rPr>
          <w:sz w:val="24"/>
          <w:szCs w:val="24"/>
        </w:rPr>
        <w:t>BEFORE</w:t>
      </w:r>
    </w:p>
    <w:p w:rsidR="0048264B">
      <w:pPr>
        <w:jc w:val="center"/>
        <w:rPr>
          <w:b/>
          <w:szCs w:val="24"/>
        </w:rPr>
      </w:pPr>
      <w:r w:rsidRPr="00746CE5">
        <w:rPr>
          <w:b/>
          <w:szCs w:val="24"/>
        </w:rPr>
        <w:t>THE PUBLIC UTILITIES COMMISSION OF OHIO</w:t>
      </w:r>
    </w:p>
    <w:p w:rsidR="003F375C">
      <w:pPr>
        <w:jc w:val="center"/>
        <w:rPr>
          <w:b/>
          <w:szCs w:val="24"/>
        </w:rPr>
      </w:pPr>
    </w:p>
    <w:tbl>
      <w:tblPr>
        <w:tblW w:w="9468" w:type="dxa"/>
        <w:tblLook w:val="01E0"/>
      </w:tblPr>
      <w:tblGrid>
        <w:gridCol w:w="4698"/>
        <w:gridCol w:w="360"/>
        <w:gridCol w:w="4410"/>
      </w:tblGrid>
      <w:tr w:rsidTr="00883DF3">
        <w:tblPrEx>
          <w:tblW w:w="9468" w:type="dxa"/>
          <w:tblLook w:val="01E0"/>
        </w:tblPrEx>
        <w:trPr>
          <w:trHeight w:val="807"/>
        </w:trPr>
        <w:tc>
          <w:tcPr>
            <w:tcW w:w="4698" w:type="dxa"/>
            <w:shd w:val="clear" w:color="auto" w:fill="auto"/>
          </w:tcPr>
          <w:p w:rsidR="003F375C" w:rsidRPr="00710E80" w:rsidP="00A46027">
            <w:pPr>
              <w:autoSpaceDE w:val="0"/>
              <w:autoSpaceDN w:val="0"/>
              <w:adjustRightInd w:val="0"/>
            </w:pPr>
            <w:r w:rsidRPr="00710E80">
              <w:t xml:space="preserve">In the Matter of the Application of </w:t>
            </w:r>
            <w:r>
              <w:t>The Dayton Power and Light Company for a Finding That Its Current Electric Security Plan Passes the Significantly Excessive Earnings Test and More Favorable in the Aggregate Test in R.C. 4928.143(E).</w:t>
            </w:r>
          </w:p>
        </w:tc>
        <w:tc>
          <w:tcPr>
            <w:tcW w:w="360" w:type="dxa"/>
            <w:shd w:val="clear" w:color="auto" w:fill="auto"/>
          </w:tcPr>
          <w:p w:rsidR="003F375C" w:rsidRPr="00A1668B" w:rsidP="00A46027">
            <w:pPr>
              <w:pStyle w:val="HTMLPreformatted"/>
              <w:rPr>
                <w:rFonts w:ascii="Times New Roman" w:hAnsi="Times New Roman"/>
                <w:sz w:val="24"/>
              </w:rPr>
            </w:pPr>
            <w:r w:rsidRPr="00C82084">
              <w:rPr>
                <w:rFonts w:ascii="Times New Roman" w:hAnsi="Times New Roman"/>
                <w:sz w:val="24"/>
              </w:rPr>
              <w:t>)</w:t>
            </w:r>
          </w:p>
          <w:p w:rsidR="003F375C" w:rsidRPr="00A1668B" w:rsidP="00A46027">
            <w:pPr>
              <w:pStyle w:val="HTMLPreformatted"/>
              <w:rPr>
                <w:rFonts w:ascii="Times New Roman" w:hAnsi="Times New Roman"/>
                <w:sz w:val="24"/>
              </w:rPr>
            </w:pPr>
            <w:r w:rsidRPr="00C82084">
              <w:rPr>
                <w:rFonts w:ascii="Times New Roman" w:hAnsi="Times New Roman"/>
                <w:sz w:val="24"/>
              </w:rPr>
              <w:t>)</w:t>
            </w:r>
          </w:p>
          <w:p w:rsidR="003F375C" w:rsidRPr="00A1668B" w:rsidP="00A46027">
            <w:pPr>
              <w:pStyle w:val="HTMLPreformatted"/>
              <w:rPr>
                <w:rFonts w:ascii="Times New Roman" w:hAnsi="Times New Roman"/>
                <w:sz w:val="24"/>
              </w:rPr>
            </w:pPr>
            <w:r w:rsidRPr="00C82084">
              <w:rPr>
                <w:rFonts w:ascii="Times New Roman" w:hAnsi="Times New Roman"/>
                <w:sz w:val="24"/>
              </w:rPr>
              <w:t>)</w:t>
            </w:r>
          </w:p>
          <w:p w:rsidR="003F375C" w:rsidRPr="00A1668B" w:rsidP="00A46027">
            <w:pPr>
              <w:pStyle w:val="HTMLPreformatted"/>
              <w:rPr>
                <w:rFonts w:ascii="Times New Roman" w:hAnsi="Times New Roman"/>
                <w:sz w:val="24"/>
              </w:rPr>
            </w:pPr>
            <w:r w:rsidRPr="00C82084">
              <w:rPr>
                <w:rFonts w:ascii="Times New Roman" w:hAnsi="Times New Roman"/>
                <w:sz w:val="24"/>
              </w:rPr>
              <w:t>)</w:t>
            </w:r>
          </w:p>
          <w:p w:rsidR="003F375C" w:rsidRPr="00A1668B" w:rsidP="00A46027">
            <w:pPr>
              <w:pStyle w:val="HTMLPreformatted"/>
              <w:rPr>
                <w:rFonts w:ascii="Times New Roman" w:hAnsi="Times New Roman"/>
                <w:sz w:val="24"/>
              </w:rPr>
            </w:pPr>
            <w:r w:rsidRPr="00C82084">
              <w:rPr>
                <w:rFonts w:ascii="Times New Roman" w:hAnsi="Times New Roman"/>
                <w:sz w:val="24"/>
              </w:rPr>
              <w:t>)</w:t>
            </w:r>
          </w:p>
          <w:p w:rsidR="003F375C" w:rsidRPr="00A1668B" w:rsidP="00A46027">
            <w:pPr>
              <w:pStyle w:val="HTMLPreformatted"/>
              <w:rPr>
                <w:rFonts w:ascii="Times New Roman" w:hAnsi="Times New Roman"/>
                <w:sz w:val="24"/>
              </w:rPr>
            </w:pPr>
            <w:r w:rsidRPr="00C82084">
              <w:rPr>
                <w:rFonts w:ascii="Times New Roman" w:hAnsi="Times New Roman"/>
                <w:sz w:val="24"/>
              </w:rPr>
              <w:t>)</w:t>
            </w:r>
          </w:p>
        </w:tc>
        <w:tc>
          <w:tcPr>
            <w:tcW w:w="4410" w:type="dxa"/>
            <w:shd w:val="clear" w:color="auto" w:fill="auto"/>
          </w:tcPr>
          <w:p w:rsidR="003F375C" w:rsidRPr="00A1668B" w:rsidP="00A46027">
            <w:pPr>
              <w:pStyle w:val="HTMLPreformatted"/>
              <w:rPr>
                <w:rFonts w:ascii="Times New Roman" w:hAnsi="Times New Roman"/>
                <w:sz w:val="24"/>
              </w:rPr>
            </w:pPr>
          </w:p>
          <w:p w:rsidR="001067EA" w:rsidP="00A46027"/>
          <w:p w:rsidR="003F375C" w:rsidRPr="00710E80" w:rsidP="00A46027">
            <w:pPr>
              <w:rPr>
                <w:i/>
              </w:rPr>
            </w:pPr>
            <w:r w:rsidRPr="00710E80">
              <w:t xml:space="preserve">Case No. </w:t>
            </w:r>
            <w:r>
              <w:rPr>
                <w:szCs w:val="24"/>
              </w:rPr>
              <w:t>20-680-EL-UNC</w:t>
            </w:r>
          </w:p>
          <w:p w:rsidR="003F375C" w:rsidRPr="00A1668B" w:rsidP="00A46027">
            <w:pPr>
              <w:pStyle w:val="HTMLPreformatted"/>
              <w:rPr>
                <w:rFonts w:ascii="Times New Roman" w:hAnsi="Times New Roman"/>
                <w:sz w:val="24"/>
              </w:rPr>
            </w:pPr>
          </w:p>
        </w:tc>
      </w:tr>
    </w:tbl>
    <w:p w:rsidR="0048264B" w:rsidRPr="00746CE5">
      <w:pPr>
        <w:rPr>
          <w:szCs w:val="24"/>
        </w:rPr>
      </w:pPr>
    </w:p>
    <w:p w:rsidR="006C3246" w:rsidP="006C3246">
      <w:pPr>
        <w:pBdr>
          <w:top w:val="single" w:sz="12" w:space="1" w:color="auto"/>
        </w:pBdr>
        <w:rPr>
          <w:szCs w:val="24"/>
        </w:rPr>
      </w:pPr>
    </w:p>
    <w:p w:rsidR="006C3246" w:rsidP="006C3246">
      <w:pPr>
        <w:jc w:val="center"/>
        <w:rPr>
          <w:b/>
          <w:szCs w:val="24"/>
        </w:rPr>
      </w:pPr>
      <w:r>
        <w:rPr>
          <w:b/>
          <w:szCs w:val="24"/>
        </w:rPr>
        <w:t xml:space="preserve">REPLY </w:t>
      </w:r>
      <w:r w:rsidR="001067EA">
        <w:rPr>
          <w:b/>
          <w:szCs w:val="24"/>
        </w:rPr>
        <w:t>COMMENTS</w:t>
      </w:r>
    </w:p>
    <w:p w:rsidR="006C3246" w:rsidP="006C3246">
      <w:pPr>
        <w:jc w:val="center"/>
        <w:rPr>
          <w:b/>
          <w:szCs w:val="24"/>
        </w:rPr>
      </w:pPr>
      <w:r>
        <w:rPr>
          <w:b/>
          <w:szCs w:val="24"/>
        </w:rPr>
        <w:t>BY</w:t>
      </w:r>
    </w:p>
    <w:p w:rsidR="006C3246" w:rsidP="006C3246">
      <w:pPr>
        <w:jc w:val="center"/>
        <w:rPr>
          <w:b/>
          <w:szCs w:val="24"/>
        </w:rPr>
      </w:pPr>
      <w:r>
        <w:rPr>
          <w:b/>
          <w:szCs w:val="24"/>
        </w:rPr>
        <w:t>THE OFFICE OF THE OHIO CONSUMERS’ COUNSEL</w:t>
      </w:r>
    </w:p>
    <w:p w:rsidR="0048264B" w:rsidRPr="00746CE5">
      <w:pPr>
        <w:pBdr>
          <w:bottom w:val="single" w:sz="12" w:space="1" w:color="auto"/>
        </w:pBdr>
        <w:rPr>
          <w:szCs w:val="24"/>
        </w:rPr>
      </w:pPr>
    </w:p>
    <w:p w:rsidR="0048264B" w:rsidRPr="00746CE5">
      <w:pPr>
        <w:rPr>
          <w:szCs w:val="24"/>
        </w:rPr>
      </w:pPr>
    </w:p>
    <w:p w:rsidR="006C4C6E" w:rsidP="00436A60">
      <w:pPr>
        <w:spacing w:line="480" w:lineRule="auto"/>
        <w:ind w:firstLine="720"/>
        <w:rPr>
          <w:szCs w:val="24"/>
        </w:rPr>
      </w:pPr>
      <w:r>
        <w:rPr>
          <w:szCs w:val="24"/>
        </w:rPr>
        <w:t>Year after year, customers have been</w:t>
      </w:r>
      <w:r w:rsidR="00252182">
        <w:rPr>
          <w:szCs w:val="24"/>
        </w:rPr>
        <w:t xml:space="preserve"> made to</w:t>
      </w:r>
      <w:r>
        <w:rPr>
          <w:szCs w:val="24"/>
        </w:rPr>
        <w:t xml:space="preserve"> bail </w:t>
      </w:r>
      <w:r w:rsidR="00252182">
        <w:rPr>
          <w:szCs w:val="24"/>
        </w:rPr>
        <w:t xml:space="preserve">out </w:t>
      </w:r>
      <w:r w:rsidR="00B306AB">
        <w:rPr>
          <w:szCs w:val="24"/>
        </w:rPr>
        <w:t xml:space="preserve">DP&amp;L </w:t>
      </w:r>
      <w:r>
        <w:rPr>
          <w:szCs w:val="24"/>
        </w:rPr>
        <w:t xml:space="preserve">by paying millions of dollars </w:t>
      </w:r>
      <w:r w:rsidR="00252182">
        <w:rPr>
          <w:szCs w:val="24"/>
        </w:rPr>
        <w:t>for</w:t>
      </w:r>
      <w:r w:rsidR="00B306AB">
        <w:rPr>
          <w:szCs w:val="24"/>
        </w:rPr>
        <w:t xml:space="preserve"> surcharges </w:t>
      </w:r>
      <w:r w:rsidR="00252182">
        <w:rPr>
          <w:szCs w:val="24"/>
        </w:rPr>
        <w:t>that are not needed for providing actual electric service. E</w:t>
      </w:r>
      <w:r w:rsidR="00B306AB">
        <w:rPr>
          <w:szCs w:val="24"/>
        </w:rPr>
        <w:t xml:space="preserve">nough is enough. </w:t>
      </w:r>
      <w:r w:rsidR="003E6DE5">
        <w:rPr>
          <w:szCs w:val="24"/>
        </w:rPr>
        <w:t>It’s time for the public interest of consumers to prevail over the special interest of this electric utility.</w:t>
      </w:r>
    </w:p>
    <w:p w:rsidR="00CC2005" w:rsidP="003E6DE5">
      <w:pPr>
        <w:spacing w:line="480" w:lineRule="auto"/>
        <w:ind w:firstLine="720"/>
        <w:rPr>
          <w:szCs w:val="24"/>
        </w:rPr>
      </w:pPr>
      <w:r>
        <w:rPr>
          <w:szCs w:val="24"/>
        </w:rPr>
        <w:t xml:space="preserve">Now DP&amp;L wants to </w:t>
      </w:r>
      <w:r w:rsidR="00457EBD">
        <w:rPr>
          <w:szCs w:val="24"/>
        </w:rPr>
        <w:t>continue a</w:t>
      </w:r>
      <w:r>
        <w:rPr>
          <w:szCs w:val="24"/>
        </w:rPr>
        <w:t xml:space="preserve"> $79 million annual “Rate Stabilization Charge.” </w:t>
      </w:r>
      <w:r w:rsidR="00B306AB">
        <w:rPr>
          <w:szCs w:val="24"/>
        </w:rPr>
        <w:t>Initial comments filed by intervenors demonstrate a strong consensus</w:t>
      </w:r>
      <w:r w:rsidR="00332900">
        <w:rPr>
          <w:szCs w:val="24"/>
        </w:rPr>
        <w:t>.</w:t>
      </w:r>
      <w:r w:rsidR="00B306AB">
        <w:rPr>
          <w:szCs w:val="24"/>
        </w:rPr>
        <w:t xml:space="preserve"> DP&amp;L’s </w:t>
      </w:r>
      <w:r w:rsidR="006C4C6E">
        <w:rPr>
          <w:szCs w:val="24"/>
        </w:rPr>
        <w:t>electric security plan (“ESP”) would cost customers substantially more than a market rate offer</w:t>
      </w:r>
      <w:r w:rsidR="00B306AB">
        <w:rPr>
          <w:szCs w:val="24"/>
        </w:rPr>
        <w:t xml:space="preserve"> (“MRO”)</w:t>
      </w:r>
      <w:r w:rsidR="00234C17">
        <w:rPr>
          <w:szCs w:val="24"/>
        </w:rPr>
        <w:t>.</w:t>
      </w:r>
      <w:r w:rsidR="0019006C">
        <w:rPr>
          <w:szCs w:val="24"/>
        </w:rPr>
        <w:t xml:space="preserve"> </w:t>
      </w:r>
      <w:r w:rsidR="00332900">
        <w:rPr>
          <w:szCs w:val="24"/>
        </w:rPr>
        <w:t>Therefore, DP</w:t>
      </w:r>
      <w:r w:rsidR="00234C17">
        <w:rPr>
          <w:szCs w:val="24"/>
        </w:rPr>
        <w:t xml:space="preserve">&amp;L’s ESP should be terminated. </w:t>
      </w:r>
      <w:r w:rsidR="00332900">
        <w:rPr>
          <w:szCs w:val="24"/>
        </w:rPr>
        <w:t>The</w:t>
      </w:r>
      <w:r w:rsidR="006C4C6E">
        <w:rPr>
          <w:szCs w:val="24"/>
        </w:rPr>
        <w:t xml:space="preserve"> </w:t>
      </w:r>
      <w:r w:rsidR="002D1F33">
        <w:rPr>
          <w:szCs w:val="24"/>
        </w:rPr>
        <w:t>electric security plan with its expensive</w:t>
      </w:r>
      <w:r w:rsidR="003E6DE5">
        <w:rPr>
          <w:szCs w:val="24"/>
        </w:rPr>
        <w:t xml:space="preserve"> </w:t>
      </w:r>
      <w:r w:rsidR="006C4C6E">
        <w:rPr>
          <w:szCs w:val="24"/>
        </w:rPr>
        <w:t>Rate Stabilization Charge should not continue.</w:t>
      </w:r>
    </w:p>
    <w:p w:rsidR="002E1C17" w:rsidP="00457EBD">
      <w:pPr>
        <w:spacing w:line="480" w:lineRule="auto"/>
        <w:ind w:firstLine="720"/>
        <w:rPr>
          <w:szCs w:val="24"/>
        </w:rPr>
        <w:sectPr w:rsidSect="00B85AE8">
          <w:footerReference w:type="first" r:id="rId10"/>
          <w:pgSz w:w="12240" w:h="15840"/>
          <w:pgMar w:top="1440" w:right="1440" w:bottom="1440" w:left="1440" w:header="720" w:footer="720" w:gutter="0"/>
          <w:pgNumType w:start="2"/>
          <w:cols w:space="720"/>
          <w:titlePg/>
          <w:docGrid w:linePitch="326"/>
        </w:sectPr>
      </w:pPr>
      <w:r>
        <w:rPr>
          <w:szCs w:val="24"/>
        </w:rPr>
        <w:t xml:space="preserve">To comply with R.C. 4928.143(E), DP&amp;L must prove two things. First, it must prove that its current ESP </w:t>
      </w:r>
      <w:r w:rsidR="002D1F33">
        <w:rPr>
          <w:szCs w:val="24"/>
        </w:rPr>
        <w:t xml:space="preserve">continues to be </w:t>
      </w:r>
      <w:r>
        <w:rPr>
          <w:szCs w:val="24"/>
        </w:rPr>
        <w:t xml:space="preserve">more favorable in the aggregate than an MRO under R.C. 4928.143(E) (sometimes called the “ESP vs. MRO” test </w:t>
      </w:r>
      <w:r w:rsidR="00BF009E">
        <w:rPr>
          <w:szCs w:val="24"/>
        </w:rPr>
        <w:t xml:space="preserve">or </w:t>
      </w:r>
      <w:r>
        <w:rPr>
          <w:szCs w:val="24"/>
        </w:rPr>
        <w:t xml:space="preserve">“more favorable in the aggregate” test). Second, it must prove that </w:t>
      </w:r>
      <w:r w:rsidR="002D1F33">
        <w:rPr>
          <w:szCs w:val="24"/>
        </w:rPr>
        <w:t>prospectively</w:t>
      </w:r>
      <w:r w:rsidR="00457EBD">
        <w:rPr>
          <w:szCs w:val="24"/>
        </w:rPr>
        <w:t>,</w:t>
      </w:r>
      <w:r w:rsidR="002D1F33">
        <w:rPr>
          <w:szCs w:val="24"/>
        </w:rPr>
        <w:t xml:space="preserve"> the </w:t>
      </w:r>
      <w:r>
        <w:rPr>
          <w:szCs w:val="24"/>
        </w:rPr>
        <w:t>ESP is not substantially likely to result in significantly excessive earnings</w:t>
      </w:r>
      <w:r w:rsidR="0019006C">
        <w:rPr>
          <w:szCs w:val="24"/>
        </w:rPr>
        <w:t xml:space="preserve"> (profits)</w:t>
      </w:r>
      <w:r>
        <w:rPr>
          <w:szCs w:val="24"/>
        </w:rPr>
        <w:t xml:space="preserve"> under R.C. 4928.143(E) (sometimes referred to as the “prospective SEET” test). The PUCO should find that DP&amp;L has failed both tests. And thus, the </w:t>
      </w:r>
    </w:p>
    <w:p w:rsidR="00B306AB" w:rsidP="002E1C17">
      <w:pPr>
        <w:spacing w:line="480" w:lineRule="auto"/>
        <w:rPr>
          <w:szCs w:val="24"/>
        </w:rPr>
      </w:pPr>
      <w:r>
        <w:rPr>
          <w:szCs w:val="24"/>
        </w:rPr>
        <w:t>PUCO should exercise its authority under R.C. 4928.143(E) to terminate DP&amp;L’s current ESP and order DP&amp;L to instead file an application for an MRO.</w:t>
      </w:r>
      <w:r>
        <w:rPr>
          <w:rStyle w:val="FootnoteReference"/>
          <w:szCs w:val="24"/>
        </w:rPr>
        <w:footnoteReference w:id="2"/>
      </w:r>
      <w:r>
        <w:rPr>
          <w:szCs w:val="24"/>
        </w:rPr>
        <w:t xml:space="preserve"> </w:t>
      </w:r>
    </w:p>
    <w:p w:rsidR="00B85AE8" w:rsidP="00B85AE8">
      <w:pPr>
        <w:rPr>
          <w:szCs w:val="24"/>
        </w:rPr>
      </w:pPr>
    </w:p>
    <w:p w:rsidR="001067EA" w:rsidRPr="001067EA" w:rsidP="0085276D">
      <w:pPr>
        <w:pStyle w:val="Heading1"/>
      </w:pPr>
      <w:bookmarkStart w:id="1" w:name="_Toc44072574"/>
      <w:bookmarkStart w:id="2" w:name="_Toc45639154"/>
      <w:r>
        <w:t>I.</w:t>
      </w:r>
      <w:r>
        <w:tab/>
      </w:r>
      <w:r w:rsidR="00CC2005">
        <w:t xml:space="preserve">REPLY </w:t>
      </w:r>
      <w:r>
        <w:t>COMMENTS</w:t>
      </w:r>
      <w:bookmarkEnd w:id="1"/>
      <w:bookmarkEnd w:id="2"/>
    </w:p>
    <w:p w:rsidR="00E30EA0" w:rsidRPr="00E30EA0" w:rsidP="00B85AE8">
      <w:pPr>
        <w:pStyle w:val="Heading2"/>
      </w:pPr>
      <w:bookmarkStart w:id="3" w:name="_Toc45639155"/>
      <w:r w:rsidRPr="00B85AE8">
        <w:t>A</w:t>
      </w:r>
      <w:r w:rsidRPr="00B85AE8">
        <w:t>.</w:t>
      </w:r>
      <w:r w:rsidRPr="00B85AE8">
        <w:tab/>
      </w:r>
      <w:r w:rsidRPr="00B85AE8" w:rsidR="00332900">
        <w:t xml:space="preserve">When </w:t>
      </w:r>
      <w:r w:rsidRPr="00B85AE8" w:rsidR="006D3626">
        <w:t xml:space="preserve">evaluating DP&amp;L’s charges to consumers under its current electric security plan, </w:t>
      </w:r>
      <w:r w:rsidRPr="00B85AE8" w:rsidR="00332900">
        <w:t xml:space="preserve">consumer protection requires that </w:t>
      </w:r>
      <w:r w:rsidRPr="00B85AE8" w:rsidR="006D3626">
        <w:t>the PUCO consider the impact that the coronavirus and ensuing financial emergency ha</w:t>
      </w:r>
      <w:r w:rsidR="0053695E">
        <w:t>ve</w:t>
      </w:r>
      <w:r w:rsidRPr="00B85AE8" w:rsidR="006D3626">
        <w:t xml:space="preserve"> had on consumers.</w:t>
      </w:r>
      <w:bookmarkEnd w:id="3"/>
    </w:p>
    <w:p w:rsidR="009D65AB" w:rsidP="00AB2558">
      <w:pPr>
        <w:spacing w:line="480" w:lineRule="auto"/>
        <w:ind w:firstLine="720"/>
        <w:rPr>
          <w:szCs w:val="24"/>
        </w:rPr>
      </w:pPr>
      <w:r>
        <w:rPr>
          <w:szCs w:val="24"/>
        </w:rPr>
        <w:t xml:space="preserve">DP&amp;L wants to charge customers $314 </w:t>
      </w:r>
      <w:r w:rsidR="0019006C">
        <w:rPr>
          <w:szCs w:val="24"/>
        </w:rPr>
        <w:t xml:space="preserve">million </w:t>
      </w:r>
      <w:r w:rsidR="00703C61">
        <w:rPr>
          <w:szCs w:val="24"/>
        </w:rPr>
        <w:t xml:space="preserve">over the next four years </w:t>
      </w:r>
      <w:r>
        <w:rPr>
          <w:szCs w:val="24"/>
        </w:rPr>
        <w:t>under its so-called “Rate Stabilization Charge” so that it can maintain investment-grade credit ratings and earn more profits.</w:t>
      </w:r>
      <w:r>
        <w:rPr>
          <w:rStyle w:val="FootnoteReference"/>
          <w:szCs w:val="24"/>
        </w:rPr>
        <w:footnoteReference w:id="3"/>
      </w:r>
      <w:r>
        <w:rPr>
          <w:szCs w:val="24"/>
        </w:rPr>
        <w:t xml:space="preserve"> </w:t>
      </w:r>
      <w:r>
        <w:rPr>
          <w:szCs w:val="24"/>
        </w:rPr>
        <w:t xml:space="preserve">In its initial comments, DP&amp;L also says that the coronavirus emergency is good reason for </w:t>
      </w:r>
      <w:r>
        <w:rPr>
          <w:i/>
          <w:szCs w:val="24"/>
        </w:rPr>
        <w:t>more</w:t>
      </w:r>
      <w:r>
        <w:rPr>
          <w:szCs w:val="24"/>
        </w:rPr>
        <w:t xml:space="preserve"> charges to consumers, rather than fewer.</w:t>
      </w:r>
      <w:r>
        <w:rPr>
          <w:rStyle w:val="FootnoteReference"/>
          <w:szCs w:val="24"/>
        </w:rPr>
        <w:footnoteReference w:id="4"/>
      </w:r>
      <w:r>
        <w:rPr>
          <w:szCs w:val="24"/>
        </w:rPr>
        <w:t xml:space="preserve"> According to DP&amp;L, the PUCO should allow it to charge customers hundreds of millions of dollars more in bailouts to help DP&amp;L through the coronavirus emergency.</w:t>
      </w:r>
      <w:r>
        <w:rPr>
          <w:rStyle w:val="FootnoteReference"/>
          <w:szCs w:val="24"/>
        </w:rPr>
        <w:footnoteReference w:id="5"/>
      </w:r>
    </w:p>
    <w:p w:rsidR="003A5422" w:rsidP="00AB2558">
      <w:pPr>
        <w:spacing w:line="480" w:lineRule="auto"/>
        <w:ind w:firstLine="720"/>
        <w:rPr>
          <w:szCs w:val="24"/>
        </w:rPr>
      </w:pPr>
      <w:r>
        <w:rPr>
          <w:szCs w:val="24"/>
        </w:rPr>
        <w:t>A</w:t>
      </w:r>
      <w:r w:rsidR="0091135E">
        <w:rPr>
          <w:szCs w:val="24"/>
        </w:rPr>
        <w:t xml:space="preserve">s the Ohio Hospital Association (“OHA”) aptly </w:t>
      </w:r>
      <w:r w:rsidR="0019006C">
        <w:rPr>
          <w:szCs w:val="24"/>
        </w:rPr>
        <w:t xml:space="preserve">questioned </w:t>
      </w:r>
      <w:r w:rsidR="0091135E">
        <w:rPr>
          <w:szCs w:val="24"/>
        </w:rPr>
        <w:t>in its initial comments: “But what about DP&amp;L’s customers?”</w:t>
      </w:r>
      <w:r>
        <w:rPr>
          <w:rStyle w:val="FootnoteReference"/>
          <w:szCs w:val="24"/>
        </w:rPr>
        <w:footnoteReference w:id="6"/>
      </w:r>
      <w:r w:rsidR="0091135E">
        <w:rPr>
          <w:szCs w:val="24"/>
        </w:rPr>
        <w:t xml:space="preserve"> </w:t>
      </w:r>
      <w:r w:rsidR="0019006C">
        <w:rPr>
          <w:szCs w:val="24"/>
        </w:rPr>
        <w:t>A</w:t>
      </w:r>
      <w:r w:rsidR="0091135E">
        <w:rPr>
          <w:szCs w:val="24"/>
        </w:rPr>
        <w:t>s OHA noted, while DP&amp;L complains that it is allegedly on the “ragged edge” of investment grade credit ratings, customers throughout DP&amp;L’s service territory are themselves “on the ‘ragged edge’ financially due to the unprecedented health and economic impacts of COVID-19.”</w:t>
      </w:r>
      <w:r>
        <w:rPr>
          <w:rStyle w:val="FootnoteReference"/>
          <w:szCs w:val="24"/>
        </w:rPr>
        <w:footnoteReference w:id="7"/>
      </w:r>
    </w:p>
    <w:p w:rsidR="004677BF" w:rsidP="00AB2558">
      <w:pPr>
        <w:spacing w:line="480" w:lineRule="auto"/>
        <w:ind w:firstLine="720"/>
        <w:rPr>
          <w:szCs w:val="24"/>
        </w:rPr>
      </w:pPr>
      <w:r>
        <w:rPr>
          <w:szCs w:val="24"/>
        </w:rPr>
        <w:t xml:space="preserve">Even </w:t>
      </w:r>
      <w:r w:rsidRPr="006D3626">
        <w:rPr>
          <w:i/>
          <w:szCs w:val="24"/>
        </w:rPr>
        <w:t>before</w:t>
      </w:r>
      <w:r>
        <w:rPr>
          <w:szCs w:val="24"/>
        </w:rPr>
        <w:t xml:space="preserve"> the coronavirus emergency, consumers in the City of Dayton faced some of the highest poverty rates in the state: 33% living </w:t>
      </w:r>
      <w:r>
        <w:rPr>
          <w:szCs w:val="24"/>
        </w:rPr>
        <w:t>in poverty</w:t>
      </w:r>
      <w:r>
        <w:rPr>
          <w:szCs w:val="24"/>
        </w:rPr>
        <w:t>, and an alarming 59% below 200% of the federal poverty guidelines.</w:t>
      </w:r>
      <w:r>
        <w:rPr>
          <w:rStyle w:val="FootnoteReference"/>
          <w:szCs w:val="24"/>
        </w:rPr>
        <w:footnoteReference w:id="8"/>
      </w:r>
      <w:r>
        <w:rPr>
          <w:szCs w:val="24"/>
        </w:rPr>
        <w:t xml:space="preserve"> </w:t>
      </w:r>
      <w:r>
        <w:rPr>
          <w:szCs w:val="24"/>
        </w:rPr>
        <w:t>And when unemployment rates in Ohio skyrocketed in March of this year,</w:t>
      </w:r>
      <w:r>
        <w:rPr>
          <w:rStyle w:val="FootnoteReference"/>
          <w:szCs w:val="24"/>
        </w:rPr>
        <w:footnoteReference w:id="9"/>
      </w:r>
      <w:r>
        <w:rPr>
          <w:szCs w:val="24"/>
        </w:rPr>
        <w:t xml:space="preserve"> these poverty numbers certainly didn’t improve. </w:t>
      </w:r>
      <w:r w:rsidR="00234C17">
        <w:rPr>
          <w:szCs w:val="24"/>
        </w:rPr>
        <w:t xml:space="preserve">Access to food </w:t>
      </w:r>
      <w:r>
        <w:rPr>
          <w:szCs w:val="24"/>
        </w:rPr>
        <w:t xml:space="preserve">was also a problem </w:t>
      </w:r>
      <w:r>
        <w:rPr>
          <w:i/>
          <w:szCs w:val="24"/>
        </w:rPr>
        <w:t>before</w:t>
      </w:r>
      <w:r>
        <w:rPr>
          <w:szCs w:val="24"/>
        </w:rPr>
        <w:t xml:space="preserve"> the coronavirus emergency, with 17% food insecurity in Montgomery County</w:t>
      </w:r>
      <w:r w:rsidR="00F268BF">
        <w:rPr>
          <w:szCs w:val="24"/>
        </w:rPr>
        <w:t xml:space="preserve"> (the population center of DP&amp;L’s service area)</w:t>
      </w:r>
      <w:r>
        <w:rPr>
          <w:szCs w:val="24"/>
        </w:rPr>
        <w:t>. According to a recent release by the Ohio Association of Foodbanks, “Food insecurity rates have nearly doubled in Ohio from 13.9% to 23%.”</w:t>
      </w:r>
      <w:r>
        <w:rPr>
          <w:rStyle w:val="FootnoteReference"/>
          <w:szCs w:val="24"/>
        </w:rPr>
        <w:footnoteReference w:id="10"/>
      </w:r>
      <w:r>
        <w:rPr>
          <w:szCs w:val="24"/>
        </w:rPr>
        <w:t xml:space="preserve"> Suffice it to say that even more people in Montgomery </w:t>
      </w:r>
      <w:r w:rsidR="00F268BF">
        <w:rPr>
          <w:szCs w:val="24"/>
        </w:rPr>
        <w:t xml:space="preserve">County </w:t>
      </w:r>
      <w:r>
        <w:rPr>
          <w:szCs w:val="24"/>
        </w:rPr>
        <w:t>are going hungry right now.</w:t>
      </w:r>
      <w:r w:rsidR="00E560A3">
        <w:rPr>
          <w:szCs w:val="24"/>
        </w:rPr>
        <w:t xml:space="preserve"> And according to recent data from the United States Census Bureau, more than 500,000 Ohioans were unable to pay their rent in June.</w:t>
      </w:r>
      <w:r>
        <w:rPr>
          <w:rStyle w:val="FootnoteReference"/>
          <w:szCs w:val="24"/>
        </w:rPr>
        <w:footnoteReference w:id="11"/>
      </w:r>
    </w:p>
    <w:p w:rsidR="00537035" w:rsidP="00AB2558">
      <w:pPr>
        <w:spacing w:line="480" w:lineRule="auto"/>
        <w:ind w:firstLine="720"/>
        <w:rPr>
          <w:szCs w:val="24"/>
        </w:rPr>
      </w:pPr>
      <w:r>
        <w:rPr>
          <w:szCs w:val="24"/>
        </w:rPr>
        <w:t xml:space="preserve">This is real life for Ohioans. They are </w:t>
      </w:r>
      <w:r w:rsidR="00E560A3">
        <w:rPr>
          <w:szCs w:val="24"/>
        </w:rPr>
        <w:t xml:space="preserve">trying to scrape together money for food. They are trying to avoid homelessness. They are praying that they can get back to work and earn an income for their families. </w:t>
      </w:r>
    </w:p>
    <w:p w:rsidR="00475AB5" w:rsidP="00AB2558">
      <w:pPr>
        <w:spacing w:line="480" w:lineRule="auto"/>
        <w:ind w:firstLine="720"/>
        <w:rPr>
          <w:szCs w:val="24"/>
        </w:rPr>
      </w:pPr>
      <w:r>
        <w:rPr>
          <w:szCs w:val="24"/>
        </w:rPr>
        <w:t>If</w:t>
      </w:r>
      <w:r w:rsidR="00E560A3">
        <w:rPr>
          <w:szCs w:val="24"/>
        </w:rPr>
        <w:t xml:space="preserve"> the PUCO requires these very </w:t>
      </w:r>
      <w:r w:rsidR="00FC4D96">
        <w:rPr>
          <w:szCs w:val="24"/>
        </w:rPr>
        <w:t xml:space="preserve">same </w:t>
      </w:r>
      <w:r w:rsidR="00E560A3">
        <w:rPr>
          <w:szCs w:val="24"/>
        </w:rPr>
        <w:t xml:space="preserve">people to </w:t>
      </w:r>
      <w:r>
        <w:rPr>
          <w:szCs w:val="24"/>
        </w:rPr>
        <w:t xml:space="preserve">continue paying </w:t>
      </w:r>
      <w:r w:rsidR="00E560A3">
        <w:rPr>
          <w:szCs w:val="24"/>
        </w:rPr>
        <w:t xml:space="preserve">DP&amp;L’s “Rate Stabilization Charge,” it </w:t>
      </w:r>
      <w:r>
        <w:rPr>
          <w:szCs w:val="24"/>
        </w:rPr>
        <w:t>would be</w:t>
      </w:r>
      <w:r w:rsidR="00E560A3">
        <w:rPr>
          <w:szCs w:val="24"/>
        </w:rPr>
        <w:t xml:space="preserve"> </w:t>
      </w:r>
      <w:r>
        <w:rPr>
          <w:szCs w:val="24"/>
        </w:rPr>
        <w:t>sending a message to these struggling Ohio citizens: DP&amp;L’s credit ratings are more important than your health, your</w:t>
      </w:r>
      <w:r>
        <w:rPr>
          <w:szCs w:val="24"/>
        </w:rPr>
        <w:t xml:space="preserve"> </w:t>
      </w:r>
      <w:r>
        <w:rPr>
          <w:szCs w:val="24"/>
        </w:rPr>
        <w:t>ability to eat, and your ability put a roof over your head.</w:t>
      </w:r>
    </w:p>
    <w:p w:rsidR="000D7079" w:rsidP="00AB2558">
      <w:pPr>
        <w:spacing w:line="480" w:lineRule="auto"/>
        <w:ind w:firstLine="720"/>
        <w:rPr>
          <w:szCs w:val="24"/>
        </w:rPr>
      </w:pPr>
      <w:r>
        <w:rPr>
          <w:szCs w:val="24"/>
        </w:rPr>
        <w:t xml:space="preserve">Of course, </w:t>
      </w:r>
      <w:r w:rsidR="0019006C">
        <w:rPr>
          <w:szCs w:val="24"/>
        </w:rPr>
        <w:t xml:space="preserve">DP&amp;L may have the view </w:t>
      </w:r>
      <w:r>
        <w:rPr>
          <w:szCs w:val="24"/>
        </w:rPr>
        <w:t>that the Rate Stabilization Charge is only a few dollars a month</w:t>
      </w:r>
      <w:r w:rsidR="00234C17">
        <w:rPr>
          <w:szCs w:val="24"/>
        </w:rPr>
        <w:t xml:space="preserve"> (about $6 for a typical customer using 1,000 kWh per month)</w:t>
      </w:r>
      <w:r w:rsidR="0019006C">
        <w:rPr>
          <w:szCs w:val="24"/>
        </w:rPr>
        <w:t>.</w:t>
      </w:r>
      <w:r>
        <w:rPr>
          <w:szCs w:val="24"/>
        </w:rPr>
        <w:t xml:space="preserve"> </w:t>
      </w:r>
      <w:r w:rsidR="0019006C">
        <w:rPr>
          <w:szCs w:val="24"/>
        </w:rPr>
        <w:t xml:space="preserve">But that becomes money unavailable to consumers </w:t>
      </w:r>
      <w:r>
        <w:rPr>
          <w:szCs w:val="24"/>
        </w:rPr>
        <w:t xml:space="preserve">for rent and food and medicine and everything else that Ohioans need. </w:t>
      </w:r>
      <w:r w:rsidR="001D65F5">
        <w:rPr>
          <w:szCs w:val="24"/>
        </w:rPr>
        <w:t>The PUCO should stop enabling DP&amp;L to charge its customers for more money than the true cost of electric service.</w:t>
      </w:r>
    </w:p>
    <w:p w:rsidR="002154D9" w:rsidP="00AB2558">
      <w:pPr>
        <w:spacing w:line="480" w:lineRule="auto"/>
        <w:ind w:firstLine="720"/>
        <w:rPr>
          <w:szCs w:val="24"/>
        </w:rPr>
      </w:pPr>
      <w:r>
        <w:rPr>
          <w:szCs w:val="24"/>
        </w:rPr>
        <w:t>T</w:t>
      </w:r>
      <w:r w:rsidR="00217369">
        <w:rPr>
          <w:szCs w:val="24"/>
        </w:rPr>
        <w:t xml:space="preserve">he PUCO’s judgment </w:t>
      </w:r>
      <w:r>
        <w:rPr>
          <w:szCs w:val="24"/>
        </w:rPr>
        <w:t xml:space="preserve">should be informed </w:t>
      </w:r>
      <w:r w:rsidR="00217369">
        <w:rPr>
          <w:szCs w:val="24"/>
        </w:rPr>
        <w:t xml:space="preserve">in at least </w:t>
      </w:r>
      <w:r w:rsidR="00457EBD">
        <w:rPr>
          <w:szCs w:val="24"/>
        </w:rPr>
        <w:t xml:space="preserve">two </w:t>
      </w:r>
      <w:r w:rsidR="00217369">
        <w:rPr>
          <w:szCs w:val="24"/>
        </w:rPr>
        <w:t xml:space="preserve">ways. First, when </w:t>
      </w:r>
      <w:r w:rsidR="0053666F">
        <w:rPr>
          <w:szCs w:val="24"/>
        </w:rPr>
        <w:t>evaluating</w:t>
      </w:r>
      <w:r w:rsidR="00217369">
        <w:rPr>
          <w:szCs w:val="24"/>
        </w:rPr>
        <w:t xml:space="preserve"> the qualitative portion of the ESP vs. MRO test, the PUCO should consider the current financial emergency as a factor that strongly weighs </w:t>
      </w:r>
      <w:r w:rsidRPr="00591DB0" w:rsidR="00591DB0">
        <w:rPr>
          <w:i/>
          <w:iCs/>
          <w:szCs w:val="24"/>
        </w:rPr>
        <w:t>against</w:t>
      </w:r>
      <w:r w:rsidR="00217369">
        <w:rPr>
          <w:szCs w:val="24"/>
        </w:rPr>
        <w:t xml:space="preserve"> any charges to consumers that are not absolutely essential for safe and reliable utility service.</w:t>
      </w:r>
      <w:r w:rsidR="002A1C16">
        <w:rPr>
          <w:szCs w:val="24"/>
        </w:rPr>
        <w:t xml:space="preserve"> </w:t>
      </w:r>
      <w:r w:rsidR="0053666F">
        <w:rPr>
          <w:szCs w:val="24"/>
        </w:rPr>
        <w:t>DP&amp;L’s Rate Stabilization Charge is not essential for safe and reliable utility service.</w:t>
      </w:r>
      <w:r w:rsidR="00217369">
        <w:rPr>
          <w:szCs w:val="24"/>
        </w:rPr>
        <w:t xml:space="preserve"> </w:t>
      </w:r>
    </w:p>
    <w:p w:rsidR="002020EE" w:rsidP="00AB2558">
      <w:pPr>
        <w:spacing w:line="480" w:lineRule="auto"/>
        <w:ind w:firstLine="720"/>
        <w:rPr>
          <w:szCs w:val="24"/>
        </w:rPr>
      </w:pPr>
      <w:r>
        <w:rPr>
          <w:szCs w:val="24"/>
        </w:rPr>
        <w:t xml:space="preserve">Second, because so many consumers are suffering, the PUCO should find that under the current circumstances, the quantitative portion of the ESP vs. MRO test </w:t>
      </w:r>
      <w:r w:rsidR="00F268BF">
        <w:rPr>
          <w:szCs w:val="24"/>
        </w:rPr>
        <w:t xml:space="preserve">(the real dollars and cents) </w:t>
      </w:r>
      <w:r>
        <w:rPr>
          <w:szCs w:val="24"/>
        </w:rPr>
        <w:t>should be given substantially more weight than the “soft” weighing</w:t>
      </w:r>
      <w:r w:rsidR="00053FC6">
        <w:rPr>
          <w:szCs w:val="24"/>
        </w:rPr>
        <w:t xml:space="preserve"> of</w:t>
      </w:r>
      <w:r>
        <w:rPr>
          <w:szCs w:val="24"/>
        </w:rPr>
        <w:t xml:space="preserve"> alleged q</w:t>
      </w:r>
      <w:r w:rsidR="005A4B03">
        <w:rPr>
          <w:szCs w:val="24"/>
        </w:rPr>
        <w:t>ualitative factors</w:t>
      </w:r>
      <w:r w:rsidR="0053666F">
        <w:rPr>
          <w:szCs w:val="24"/>
        </w:rPr>
        <w:t>—or the qualitative factors should be given no weight at all</w:t>
      </w:r>
      <w:r w:rsidR="005A4B03">
        <w:rPr>
          <w:szCs w:val="24"/>
        </w:rPr>
        <w:t xml:space="preserve">. </w:t>
      </w:r>
    </w:p>
    <w:p w:rsidR="00217369" w:rsidP="00AB2558">
      <w:pPr>
        <w:spacing w:line="480" w:lineRule="auto"/>
        <w:ind w:firstLine="720"/>
        <w:rPr>
          <w:szCs w:val="24"/>
        </w:rPr>
      </w:pPr>
      <w:r>
        <w:rPr>
          <w:szCs w:val="24"/>
        </w:rPr>
        <w:t>Further</w:t>
      </w:r>
      <w:r w:rsidR="005A4B03">
        <w:rPr>
          <w:szCs w:val="24"/>
        </w:rPr>
        <w:t xml:space="preserve">, </w:t>
      </w:r>
      <w:r w:rsidR="00703C61">
        <w:rPr>
          <w:szCs w:val="24"/>
        </w:rPr>
        <w:t>DP&amp;L argues that it should be allowed to keep charging the customers the Rate Stabilization Charge, even if it fails the ESP vs. MRO test or the prospective SEET test</w:t>
      </w:r>
      <w:r w:rsidR="004A616A">
        <w:rPr>
          <w:szCs w:val="24"/>
        </w:rPr>
        <w:t>.</w:t>
      </w:r>
      <w:r w:rsidR="00703C61">
        <w:rPr>
          <w:szCs w:val="24"/>
        </w:rPr>
        <w:t xml:space="preserve"> </w:t>
      </w:r>
      <w:r w:rsidR="004A616A">
        <w:rPr>
          <w:szCs w:val="24"/>
        </w:rPr>
        <w:t xml:space="preserve">To protect consumers, </w:t>
      </w:r>
      <w:r w:rsidR="005A4B03">
        <w:rPr>
          <w:szCs w:val="24"/>
        </w:rPr>
        <w:t>the PUCO should reject DP&amp;L’s proposal</w:t>
      </w:r>
      <w:r w:rsidR="00703C61">
        <w:rPr>
          <w:szCs w:val="24"/>
        </w:rPr>
        <w:t>.</w:t>
      </w:r>
      <w:r w:rsidR="005A4B03">
        <w:rPr>
          <w:szCs w:val="24"/>
        </w:rPr>
        <w:t xml:space="preserve"> </w:t>
      </w:r>
    </w:p>
    <w:p w:rsidR="008C3D4F" w:rsidP="00AB2558">
      <w:pPr>
        <w:spacing w:line="480" w:lineRule="auto"/>
        <w:ind w:firstLine="720"/>
        <w:rPr>
          <w:szCs w:val="24"/>
        </w:rPr>
      </w:pPr>
      <w:r>
        <w:rPr>
          <w:szCs w:val="24"/>
        </w:rPr>
        <w:t>DP&amp;L also claims that the coronavirus pandemic “creates risks for DP&amp;L that customers will use less electricity</w:t>
      </w:r>
      <w:r w:rsidR="00337286">
        <w:rPr>
          <w:szCs w:val="24"/>
        </w:rPr>
        <w:t>.</w:t>
      </w:r>
      <w:r>
        <w:rPr>
          <w:szCs w:val="24"/>
        </w:rPr>
        <w:t>”</w:t>
      </w:r>
      <w:r>
        <w:rPr>
          <w:rStyle w:val="FootnoteReference"/>
          <w:szCs w:val="24"/>
        </w:rPr>
        <w:footnoteReference w:id="12"/>
      </w:r>
      <w:r>
        <w:rPr>
          <w:szCs w:val="24"/>
        </w:rPr>
        <w:t xml:space="preserve"> </w:t>
      </w:r>
      <w:r w:rsidR="00337286">
        <w:rPr>
          <w:szCs w:val="24"/>
        </w:rPr>
        <w:t>Ac</w:t>
      </w:r>
      <w:r>
        <w:rPr>
          <w:szCs w:val="24"/>
        </w:rPr>
        <w:t>cording to DP&amp;L,</w:t>
      </w:r>
      <w:r w:rsidR="00337286">
        <w:rPr>
          <w:szCs w:val="24"/>
        </w:rPr>
        <w:t xml:space="preserve"> that</w:t>
      </w:r>
      <w:r>
        <w:rPr>
          <w:szCs w:val="24"/>
        </w:rPr>
        <w:t xml:space="preserve"> “is an issue because some of DP&amp;L’s rates, charges, and riders ... are volumetrically based....”</w:t>
      </w:r>
      <w:r>
        <w:rPr>
          <w:rStyle w:val="FootnoteReference"/>
          <w:szCs w:val="24"/>
        </w:rPr>
        <w:footnoteReference w:id="13"/>
      </w:r>
      <w:r>
        <w:rPr>
          <w:szCs w:val="24"/>
        </w:rPr>
        <w:t xml:space="preserve"> </w:t>
      </w:r>
      <w:r w:rsidR="0053695E">
        <w:rPr>
          <w:szCs w:val="24"/>
        </w:rPr>
        <w:t xml:space="preserve">Thus, DP&amp;L claims that </w:t>
      </w:r>
      <w:r>
        <w:rPr>
          <w:szCs w:val="24"/>
        </w:rPr>
        <w:t>this justifies continuing to charge customers for the Rate Stabilization Charge.</w:t>
      </w:r>
    </w:p>
    <w:p w:rsidR="008C3D4F" w:rsidRPr="008C3D4F" w:rsidP="00AB2558">
      <w:pPr>
        <w:spacing w:line="480" w:lineRule="auto"/>
        <w:ind w:firstLine="720"/>
        <w:rPr>
          <w:szCs w:val="24"/>
        </w:rPr>
      </w:pPr>
      <w:r>
        <w:rPr>
          <w:szCs w:val="24"/>
        </w:rPr>
        <w:t xml:space="preserve">This argument fails, at least as it pertains to residential customers, given that they are expected to use </w:t>
      </w:r>
      <w:r>
        <w:rPr>
          <w:i/>
          <w:szCs w:val="24"/>
        </w:rPr>
        <w:t>more</w:t>
      </w:r>
      <w:r>
        <w:rPr>
          <w:szCs w:val="24"/>
        </w:rPr>
        <w:t xml:space="preserve"> electricity now that they are spending more time in their homes as a result of the pandemic. According to the U.S. Energy Information Administration’s </w:t>
      </w:r>
      <w:r w:rsidR="001E73B4">
        <w:rPr>
          <w:szCs w:val="24"/>
        </w:rPr>
        <w:t>monthly S</w:t>
      </w:r>
      <w:r>
        <w:rPr>
          <w:szCs w:val="24"/>
        </w:rPr>
        <w:t xml:space="preserve">hort-term </w:t>
      </w:r>
      <w:r w:rsidR="001E73B4">
        <w:rPr>
          <w:szCs w:val="24"/>
        </w:rPr>
        <w:t>E</w:t>
      </w:r>
      <w:r>
        <w:rPr>
          <w:szCs w:val="24"/>
        </w:rPr>
        <w:t xml:space="preserve">nergy </w:t>
      </w:r>
      <w:r w:rsidR="001E73B4">
        <w:rPr>
          <w:szCs w:val="24"/>
        </w:rPr>
        <w:t>O</w:t>
      </w:r>
      <w:r>
        <w:rPr>
          <w:szCs w:val="24"/>
        </w:rPr>
        <w:t xml:space="preserve">utlook, “residential sector retail electricity sales in 2020 will be similar to 2019 as less electricity use for heating in the first quarter is </w:t>
      </w:r>
      <w:r w:rsidRPr="008C3D4F">
        <w:rPr>
          <w:szCs w:val="24"/>
        </w:rPr>
        <w:t>offset by more consumption during the rest of the year as a result of people spending more time at home.</w:t>
      </w:r>
      <w:r>
        <w:rPr>
          <w:szCs w:val="24"/>
        </w:rPr>
        <w:t>”</w:t>
      </w:r>
      <w:r>
        <w:rPr>
          <w:rStyle w:val="FootnoteReference"/>
          <w:szCs w:val="24"/>
        </w:rPr>
        <w:footnoteReference w:id="14"/>
      </w:r>
      <w:r w:rsidR="00234C17">
        <w:rPr>
          <w:szCs w:val="24"/>
        </w:rPr>
        <w:t xml:space="preserve"> </w:t>
      </w:r>
      <w:r w:rsidR="00F268BF">
        <w:rPr>
          <w:szCs w:val="24"/>
        </w:rPr>
        <w:t xml:space="preserve">Given DP&amp;L’s relative higher percentage of sales to residential customers than </w:t>
      </w:r>
      <w:r w:rsidR="001E73B4">
        <w:rPr>
          <w:szCs w:val="24"/>
        </w:rPr>
        <w:t xml:space="preserve">many </w:t>
      </w:r>
      <w:r w:rsidR="00F268BF">
        <w:rPr>
          <w:szCs w:val="24"/>
        </w:rPr>
        <w:t>electric utilit</w:t>
      </w:r>
      <w:r w:rsidR="001E73B4">
        <w:rPr>
          <w:szCs w:val="24"/>
        </w:rPr>
        <w:t xml:space="preserve">ies, there is no basis </w:t>
      </w:r>
      <w:r w:rsidR="00234C17">
        <w:rPr>
          <w:szCs w:val="24"/>
        </w:rPr>
        <w:t xml:space="preserve">to conclude </w:t>
      </w:r>
      <w:r w:rsidR="001E73B4">
        <w:rPr>
          <w:szCs w:val="24"/>
        </w:rPr>
        <w:t xml:space="preserve">that the pandemic is creating additional risks </w:t>
      </w:r>
      <w:r w:rsidR="00234C17">
        <w:rPr>
          <w:szCs w:val="24"/>
        </w:rPr>
        <w:t>for DP&amp;L as compared to other utilities.</w:t>
      </w:r>
    </w:p>
    <w:p w:rsidR="005A4B03" w:rsidRPr="005A4B03" w:rsidP="00B85AE8">
      <w:pPr>
        <w:pStyle w:val="Heading2"/>
      </w:pPr>
      <w:bookmarkStart w:id="4" w:name="_Toc45639156"/>
      <w:r>
        <w:t>B</w:t>
      </w:r>
      <w:r>
        <w:t>.</w:t>
      </w:r>
      <w:r>
        <w:tab/>
      </w:r>
      <w:r w:rsidR="00180EB9">
        <w:t xml:space="preserve">Contrary to </w:t>
      </w:r>
      <w:r w:rsidRPr="00B85AE8" w:rsidR="008C5277">
        <w:t>DP&amp;L</w:t>
      </w:r>
      <w:r w:rsidR="00180EB9">
        <w:t>’s assertion, the legislative option of a Market Rate Offer</w:t>
      </w:r>
      <w:r w:rsidRPr="00B85AE8" w:rsidR="008C5277">
        <w:t xml:space="preserve"> would not allow</w:t>
      </w:r>
      <w:r w:rsidR="00180EB9">
        <w:t xml:space="preserve"> it</w:t>
      </w:r>
      <w:r w:rsidRPr="00B85AE8" w:rsidR="008C5277">
        <w:t xml:space="preserve"> to charge consumers for environmental expenses</w:t>
      </w:r>
      <w:r w:rsidRPr="00B85AE8" w:rsidR="00234C17">
        <w:t>, which refutes DP&amp;L’s claim that an Electric Security Plan is better for consumers.</w:t>
      </w:r>
      <w:bookmarkEnd w:id="4"/>
    </w:p>
    <w:p w:rsidR="000D7079" w:rsidP="008C5277">
      <w:pPr>
        <w:spacing w:line="480" w:lineRule="auto"/>
        <w:ind w:firstLine="720"/>
        <w:rPr>
          <w:szCs w:val="24"/>
        </w:rPr>
      </w:pPr>
      <w:r>
        <w:rPr>
          <w:szCs w:val="24"/>
        </w:rPr>
        <w:t xml:space="preserve">In its comments, DP&amp;L claims that a Market Rate Offer would be more expensive than an Electric Security Plan in part because </w:t>
      </w:r>
      <w:r w:rsidR="00180EB9">
        <w:rPr>
          <w:szCs w:val="24"/>
        </w:rPr>
        <w:t>DP&amp;L</w:t>
      </w:r>
      <w:r>
        <w:rPr>
          <w:szCs w:val="24"/>
        </w:rPr>
        <w:t xml:space="preserve"> would be allowed to charge customers for “environmental remediation at Hutchings Station,” (a power plant that </w:t>
      </w:r>
      <w:r w:rsidR="001E73B4">
        <w:rPr>
          <w:szCs w:val="24"/>
        </w:rPr>
        <w:t xml:space="preserve">has been shut down and </w:t>
      </w:r>
      <w:r w:rsidR="00234C17">
        <w:rPr>
          <w:szCs w:val="24"/>
        </w:rPr>
        <w:t xml:space="preserve">is </w:t>
      </w:r>
      <w:r w:rsidR="001E73B4">
        <w:rPr>
          <w:szCs w:val="24"/>
        </w:rPr>
        <w:t>not serving any customers</w:t>
      </w:r>
      <w:r>
        <w:rPr>
          <w:szCs w:val="24"/>
        </w:rPr>
        <w:t>).</w:t>
      </w:r>
      <w:r>
        <w:rPr>
          <w:rStyle w:val="FootnoteReference"/>
          <w:szCs w:val="24"/>
        </w:rPr>
        <w:footnoteReference w:id="15"/>
      </w:r>
      <w:r>
        <w:rPr>
          <w:szCs w:val="24"/>
        </w:rPr>
        <w:t xml:space="preserve"> According to DP&amp;L, R.C. 4928.142(D)(4) allows this charge because it refers to “costs prudently incurred to comply with environmental laws and regulations.” </w:t>
      </w:r>
    </w:p>
    <w:p w:rsidR="008C5277" w:rsidP="008C5277">
      <w:pPr>
        <w:spacing w:line="480" w:lineRule="auto"/>
        <w:ind w:firstLine="720"/>
        <w:rPr>
          <w:szCs w:val="24"/>
        </w:rPr>
      </w:pPr>
      <w:r>
        <w:rPr>
          <w:szCs w:val="24"/>
        </w:rPr>
        <w:t>But as OCC explained in its initial comments. R.C. 4928.142(D) does not apply because any MRO filed by DP&amp;L would not be its “first application” for an MRO.</w:t>
      </w:r>
      <w:r>
        <w:rPr>
          <w:rStyle w:val="FootnoteReference"/>
          <w:szCs w:val="24"/>
        </w:rPr>
        <w:footnoteReference w:id="16"/>
      </w:r>
      <w:r>
        <w:rPr>
          <w:szCs w:val="24"/>
        </w:rPr>
        <w:t xml:space="preserve"> And R.C. 4928.142(D)(4) would not apply at this time anyway. R.C. 4928.142(D)(1)-(4) allow a utility to adjust its standard service offer price based on several factors related to its generation costs. But because DP&amp;L owns no generation</w:t>
      </w:r>
      <w:r w:rsidR="00234C17">
        <w:rPr>
          <w:szCs w:val="24"/>
        </w:rPr>
        <w:t>,</w:t>
      </w:r>
      <w:r>
        <w:rPr>
          <w:szCs w:val="24"/>
        </w:rPr>
        <w:t xml:space="preserve"> its standard service offer is procured in its entirety through competitive bids from marketers. Thus, there would be no basis to make any of the adjustments found in R.C. 4928.142(D)(1)-(4).</w:t>
      </w:r>
    </w:p>
    <w:p w:rsidR="007117EC" w:rsidRPr="007117EC" w:rsidP="00B85AE8">
      <w:pPr>
        <w:pStyle w:val="Heading2"/>
      </w:pPr>
      <w:bookmarkStart w:id="5" w:name="_Toc45639157"/>
      <w:r>
        <w:t>C</w:t>
      </w:r>
      <w:r>
        <w:t>.</w:t>
      </w:r>
      <w:r>
        <w:tab/>
      </w:r>
      <w:r w:rsidRPr="00B85AE8" w:rsidR="00E86CBE">
        <w:t>Qualitative factors do not justify continuing DP&amp;L’s current ESP instead of transitioning to a more consumer-friendly MRO</w:t>
      </w:r>
      <w:r w:rsidRPr="00B85AE8" w:rsidR="00153336">
        <w:t>, so consumer protection requires that the PUCO terminate the ESP</w:t>
      </w:r>
      <w:r w:rsidRPr="00B85AE8" w:rsidR="00E86CBE">
        <w:t>.</w:t>
      </w:r>
      <w:bookmarkEnd w:id="5"/>
    </w:p>
    <w:p w:rsidR="00C611B7" w:rsidP="008C5277">
      <w:pPr>
        <w:spacing w:line="480" w:lineRule="auto"/>
        <w:ind w:firstLine="720"/>
        <w:rPr>
          <w:szCs w:val="24"/>
        </w:rPr>
      </w:pPr>
      <w:r>
        <w:rPr>
          <w:szCs w:val="24"/>
        </w:rPr>
        <w:t>The Ohio Energy Group (“OEG”) agrees with DP&amp;L’s claim that certain non-quantifiable factors support an ESP over an MRO.</w:t>
      </w:r>
      <w:r>
        <w:rPr>
          <w:rStyle w:val="FootnoteReference"/>
          <w:szCs w:val="24"/>
        </w:rPr>
        <w:footnoteReference w:id="17"/>
      </w:r>
      <w:r>
        <w:rPr>
          <w:szCs w:val="24"/>
        </w:rPr>
        <w:t xml:space="preserve"> OCC explained in its initial comments why DP&amp;L’s claim is incorrect.</w:t>
      </w:r>
      <w:r>
        <w:rPr>
          <w:rStyle w:val="FootnoteReference"/>
          <w:szCs w:val="24"/>
        </w:rPr>
        <w:footnoteReference w:id="18"/>
      </w:r>
      <w:r>
        <w:rPr>
          <w:szCs w:val="24"/>
        </w:rPr>
        <w:t xml:space="preserve"> OEG, however, has identified what it considers to be additional qualitative factors supporting an ESP over an MRO. </w:t>
      </w:r>
    </w:p>
    <w:p w:rsidR="007117EC" w:rsidP="008C5277">
      <w:pPr>
        <w:spacing w:line="480" w:lineRule="auto"/>
        <w:ind w:firstLine="720"/>
        <w:rPr>
          <w:szCs w:val="24"/>
        </w:rPr>
      </w:pPr>
      <w:r>
        <w:rPr>
          <w:szCs w:val="24"/>
        </w:rPr>
        <w:t>In particular, OEG says that “one critical benefit of retaining the ESP is preserving the Commission’s broad authority to approve a myriad of rate mechanisms that would otherwise be unavailable in the context of an MRO....”</w:t>
      </w:r>
      <w:r>
        <w:rPr>
          <w:rStyle w:val="FootnoteReference"/>
          <w:szCs w:val="24"/>
        </w:rPr>
        <w:footnoteReference w:id="19"/>
      </w:r>
      <w:r>
        <w:rPr>
          <w:szCs w:val="24"/>
        </w:rPr>
        <w:t xml:space="preserve"> This is not a benefit to customers. To the contrary, the PUCO’s application of the ESP statute has resulted in more than a billion dollars in unlawful charges to consumers for which they’ll never get a refund.</w:t>
      </w:r>
      <w:r>
        <w:rPr>
          <w:rStyle w:val="FootnoteReference"/>
          <w:szCs w:val="24"/>
        </w:rPr>
        <w:footnoteReference w:id="20"/>
      </w:r>
      <w:r>
        <w:rPr>
          <w:szCs w:val="24"/>
        </w:rPr>
        <w:t xml:space="preserve"> It is inconceivable for this to be considered a benefit to consumers as compared to an alternative (an MRO) that would prohibit such above-market subsidies.</w:t>
      </w:r>
    </w:p>
    <w:p w:rsidR="00C611B7" w:rsidP="008C5277">
      <w:pPr>
        <w:spacing w:line="480" w:lineRule="auto"/>
        <w:ind w:firstLine="720"/>
        <w:rPr>
          <w:szCs w:val="24"/>
        </w:rPr>
      </w:pPr>
      <w:r>
        <w:rPr>
          <w:szCs w:val="24"/>
        </w:rPr>
        <w:t>OEG also claims that in the absence of an ESP</w:t>
      </w:r>
      <w:r w:rsidR="000373F9">
        <w:rPr>
          <w:szCs w:val="24"/>
        </w:rPr>
        <w:t>,</w:t>
      </w:r>
      <w:r>
        <w:rPr>
          <w:szCs w:val="24"/>
        </w:rPr>
        <w:t xml:space="preserve"> “Ohio would cede much of its electric pricing power to PJM or the Federal Energy Regulatory Commission which ... may not be in the best interests of Ohio.”</w:t>
      </w:r>
      <w:r>
        <w:rPr>
          <w:rStyle w:val="FootnoteReference"/>
          <w:szCs w:val="24"/>
        </w:rPr>
        <w:footnoteReference w:id="21"/>
      </w:r>
      <w:r>
        <w:rPr>
          <w:szCs w:val="24"/>
        </w:rPr>
        <w:t xml:space="preserve"> This claim is unfounded and confusing. There is already a clear demarcation of jurisdiction. The PUCO is responsible for distribution rates</w:t>
      </w:r>
      <w:r w:rsidR="0053695E">
        <w:rPr>
          <w:szCs w:val="24"/>
        </w:rPr>
        <w:t>;</w:t>
      </w:r>
      <w:r>
        <w:rPr>
          <w:szCs w:val="24"/>
        </w:rPr>
        <w:t xml:space="preserve"> transmission rates are set by FERC</w:t>
      </w:r>
      <w:r w:rsidR="0053695E">
        <w:rPr>
          <w:szCs w:val="24"/>
        </w:rPr>
        <w:t>;</w:t>
      </w:r>
      <w:r>
        <w:rPr>
          <w:szCs w:val="24"/>
        </w:rPr>
        <w:t xml:space="preserve"> and wholesale generation rates are set through competitive markets at PJM (which is also under FERC jurisdiction). This would not change under an MRO. Under an MRO, the PUCO would continue to regulate distribution rates, standard service offers would continue to be procured through competitive auctions, marketers would continue to procure energy and capacity through PJM, and FERC would continue to regulate transmission and generation. The PUCO would not “cede” any authority to other entities by approving an MRO.</w:t>
      </w:r>
    </w:p>
    <w:p w:rsidR="00E86CBE" w:rsidRPr="00D50D96" w:rsidP="00B85AE8">
      <w:pPr>
        <w:pStyle w:val="Heading2"/>
      </w:pPr>
      <w:bookmarkStart w:id="6" w:name="_Toc45639158"/>
      <w:r>
        <w:t>D</w:t>
      </w:r>
      <w:r w:rsidR="00D50D96">
        <w:t>.</w:t>
      </w:r>
      <w:r w:rsidR="00D50D96">
        <w:tab/>
      </w:r>
      <w:r w:rsidRPr="00B85AE8" w:rsidR="00D50D96">
        <w:t xml:space="preserve">The “more advantageous alternative” to an ESP </w:t>
      </w:r>
      <w:r w:rsidRPr="00B85AE8" w:rsidR="00153336">
        <w:t xml:space="preserve">for consumer protection </w:t>
      </w:r>
      <w:r w:rsidRPr="00B85AE8" w:rsidR="00D50D96">
        <w:t>is an MRO—not another ESP.</w:t>
      </w:r>
      <w:bookmarkEnd w:id="6"/>
    </w:p>
    <w:p w:rsidR="00E86CBE" w:rsidP="008C5277">
      <w:pPr>
        <w:spacing w:line="480" w:lineRule="auto"/>
        <w:ind w:firstLine="720"/>
        <w:rPr>
          <w:szCs w:val="24"/>
        </w:rPr>
      </w:pPr>
      <w:r>
        <w:rPr>
          <w:szCs w:val="24"/>
        </w:rPr>
        <w:t>Under R.C. 4928.143(E), the utility must show that (i) its ESP continues to be more favorable in the aggregate than an MRO, and (ii) that its ESP is not substantially likely to provide the utility with significantly excessive profits. If the utility fails either of these tests, then the PUCO may terminate the ESP and “may impose such conditions on the plan’s termination as it considers reasonable and necessary to accommodate the transition from an approved plan to the more advantageous alternative.”</w:t>
      </w:r>
      <w:r>
        <w:rPr>
          <w:rStyle w:val="FootnoteReference"/>
          <w:szCs w:val="24"/>
        </w:rPr>
        <w:footnoteReference w:id="22"/>
      </w:r>
      <w:r>
        <w:rPr>
          <w:szCs w:val="24"/>
        </w:rPr>
        <w:t xml:space="preserve"> OEG argues that “the more advantageous alternative” is another ESP without the $79 million annual Rate Stabilization Charge.</w:t>
      </w:r>
      <w:r>
        <w:rPr>
          <w:rStyle w:val="FootnoteReference"/>
          <w:szCs w:val="24"/>
        </w:rPr>
        <w:footnoteReference w:id="23"/>
      </w:r>
      <w:r>
        <w:rPr>
          <w:szCs w:val="24"/>
        </w:rPr>
        <w:t xml:space="preserve"> Certainly, all else equal, an ESP without a $79 million annual subsidy charge is better than one with a $79 million annual subsidy charge. But OEG is wrong that “the more advantageous alternative” is an ESP. To the contrary, it is an MRO.</w:t>
      </w:r>
    </w:p>
    <w:p w:rsidR="00D50D96" w:rsidP="008C5277">
      <w:pPr>
        <w:spacing w:line="480" w:lineRule="auto"/>
        <w:ind w:firstLine="720"/>
        <w:rPr>
          <w:szCs w:val="24"/>
        </w:rPr>
      </w:pPr>
      <w:r>
        <w:rPr>
          <w:szCs w:val="24"/>
        </w:rPr>
        <w:t xml:space="preserve">The plain language and intent of R.C. 4928.143(E) compel this result. First, under R.C. 4928.143(E), the PUCO is required to compare the ESP to an MRO. The statute does not provide that the PUCO shall compare the current ESP to another </w:t>
      </w:r>
      <w:r w:rsidR="006E4BF5">
        <w:rPr>
          <w:szCs w:val="24"/>
        </w:rPr>
        <w:t>hypothetical ESP. It stands to reason, therefore, that the General Assembly intended for the PUCO to transition a utility to an MRO if an MRO is found to be more favorable than the utility’s ESP. Second, R.C. 4928.143(E) refers to a transition to “</w:t>
      </w:r>
      <w:r w:rsidR="006E4BF5">
        <w:rPr>
          <w:i/>
          <w:szCs w:val="24"/>
        </w:rPr>
        <w:t>the</w:t>
      </w:r>
      <w:r w:rsidR="006E4BF5">
        <w:rPr>
          <w:szCs w:val="24"/>
        </w:rPr>
        <w:t xml:space="preserve"> more advantageous alternative.” It does not say “</w:t>
      </w:r>
      <w:r w:rsidR="006E4BF5">
        <w:rPr>
          <w:i/>
          <w:szCs w:val="24"/>
        </w:rPr>
        <w:t>a</w:t>
      </w:r>
      <w:r w:rsidR="006E4BF5">
        <w:rPr>
          <w:szCs w:val="24"/>
        </w:rPr>
        <w:t xml:space="preserve"> more advantageous alternative.” Had it </w:t>
      </w:r>
      <w:r w:rsidR="00B85AE8">
        <w:rPr>
          <w:szCs w:val="24"/>
        </w:rPr>
        <w:t>said,</w:t>
      </w:r>
      <w:r w:rsidR="006E4BF5">
        <w:rPr>
          <w:szCs w:val="24"/>
        </w:rPr>
        <w:t xml:space="preserve"> “a more advantageous alternative,” that would suggest that the PUCO can choose from a variety of potentially more advantageous alternatives. But by using the word “the” instead of “a</w:t>
      </w:r>
      <w:r w:rsidR="0030400B">
        <w:rPr>
          <w:szCs w:val="24"/>
        </w:rPr>
        <w:t>,</w:t>
      </w:r>
      <w:r w:rsidR="006E4BF5">
        <w:rPr>
          <w:szCs w:val="24"/>
        </w:rPr>
        <w:t>” the statute signals that the General Assembly was contemplating a single “more advantageous alternative.” And because this statutory provision (4928.143(E)) is used to determine whether an ESP is more favorable than an MRO, “the more advantageous alternative” should be interpreted to mean an MRO only.</w:t>
      </w:r>
    </w:p>
    <w:p w:rsidR="000373F9" w:rsidP="008C5277">
      <w:pPr>
        <w:spacing w:line="480" w:lineRule="auto"/>
        <w:ind w:firstLine="720"/>
        <w:rPr>
          <w:szCs w:val="24"/>
        </w:rPr>
      </w:pPr>
      <w:r>
        <w:rPr>
          <w:szCs w:val="24"/>
        </w:rPr>
        <w:t>Further, history has shown that electric security plans are bad for consumers. Before 2009 (when the electric security plan law was passed), PJM wholesale rates and Ohio retail rates were generally correlated, but after 2009, they diverged, with retail rates continuing to climb as wholesale rates fell, as shown in the following analysis prepared by the Ohio Legislative Service Commission:</w:t>
      </w:r>
      <w:r>
        <w:rPr>
          <w:rStyle w:val="FootnoteReference"/>
          <w:szCs w:val="24"/>
        </w:rPr>
        <w:footnoteReference w:id="24"/>
      </w:r>
    </w:p>
    <w:p w:rsidR="000373F9" w:rsidP="008C5277">
      <w:pPr>
        <w:spacing w:line="480" w:lineRule="auto"/>
        <w:ind w:firstLine="720"/>
        <w:rPr>
          <w:szCs w:val="24"/>
        </w:rPr>
      </w:pPr>
      <w:r>
        <w:rPr>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1pt;height:270.25pt;mso-height-percent:0;mso-width-percent:0">
            <v:imagedata r:id="rId11" o:title=""/>
          </v:shape>
        </w:pict>
      </w:r>
      <w:r>
        <w:rPr>
          <w:szCs w:val="24"/>
        </w:rPr>
        <w:t xml:space="preserve"> </w:t>
      </w:r>
    </w:p>
    <w:p w:rsidR="00E86CBE" w:rsidRPr="00E86CBE" w:rsidP="00B85AE8">
      <w:pPr>
        <w:pStyle w:val="Heading2"/>
      </w:pPr>
      <w:bookmarkStart w:id="7" w:name="_Toc45639159"/>
      <w:r>
        <w:t>E</w:t>
      </w:r>
      <w:r>
        <w:t>.</w:t>
      </w:r>
      <w:r>
        <w:tab/>
      </w:r>
      <w:r w:rsidR="00153336">
        <w:t xml:space="preserve">In </w:t>
      </w:r>
      <w:r w:rsidRPr="00B85AE8" w:rsidR="00153336">
        <w:t>consumers’ interest, t</w:t>
      </w:r>
      <w:r w:rsidRPr="00B85AE8">
        <w:t>he PUCO should reject claims that an MRO would result in higher litigation costs than an ESP.</w:t>
      </w:r>
      <w:bookmarkEnd w:id="7"/>
    </w:p>
    <w:p w:rsidR="00E86CBE" w:rsidP="008C5277">
      <w:pPr>
        <w:spacing w:line="480" w:lineRule="auto"/>
        <w:ind w:firstLine="720"/>
        <w:rPr>
          <w:szCs w:val="24"/>
        </w:rPr>
      </w:pPr>
      <w:r>
        <w:rPr>
          <w:szCs w:val="24"/>
        </w:rPr>
        <w:t>According to OEG, one factor favoring ESPs over MROs is that “under an MRO, the Company and customers would be forced to incur litigation expense associated with more frequent distribution rate cases....”</w:t>
      </w:r>
      <w:r>
        <w:rPr>
          <w:rStyle w:val="FootnoteReference"/>
          <w:szCs w:val="24"/>
        </w:rPr>
        <w:footnoteReference w:id="25"/>
      </w:r>
      <w:r>
        <w:rPr>
          <w:szCs w:val="24"/>
        </w:rPr>
        <w:t xml:space="preserve"> This point misses the mark by a wide margin.</w:t>
      </w:r>
    </w:p>
    <w:p w:rsidR="00E86CBE" w:rsidP="008C5277">
      <w:pPr>
        <w:spacing w:line="480" w:lineRule="auto"/>
        <w:ind w:firstLine="720"/>
        <w:rPr>
          <w:szCs w:val="24"/>
        </w:rPr>
      </w:pPr>
      <w:r>
        <w:rPr>
          <w:szCs w:val="24"/>
        </w:rPr>
        <w:t xml:space="preserve">The cost of litigating ESPs has been significant, with dozens of parties litigating cases, sometimes for months at a time, followed by repeated appeals that have been necessary to overturn unlawful PUCO decisions. And the litigation costs of ESPs continue, year after year, as a result of an over-abundance of single-issue ratemaking “riders.” These riders require </w:t>
      </w:r>
      <w:r w:rsidR="00234C17">
        <w:rPr>
          <w:szCs w:val="24"/>
        </w:rPr>
        <w:t>periodic updates (annually or more frequently)</w:t>
      </w:r>
      <w:r>
        <w:rPr>
          <w:szCs w:val="24"/>
        </w:rPr>
        <w:t xml:space="preserve">, PUCO Staff reviews and audits, periodic outside audits, discovery, comments, testimony, hearings, and appeals of their own. </w:t>
      </w:r>
    </w:p>
    <w:p w:rsidR="0034431B" w:rsidRPr="009A1F83" w:rsidP="00B85AE8">
      <w:pPr>
        <w:pStyle w:val="Heading2"/>
      </w:pPr>
      <w:bookmarkStart w:id="8" w:name="_Toc45639160"/>
      <w:r>
        <w:t>F</w:t>
      </w:r>
      <w:r w:rsidR="009A1F83">
        <w:t>.</w:t>
      </w:r>
      <w:r w:rsidR="009A1F83">
        <w:tab/>
      </w:r>
      <w:r w:rsidRPr="00B85AE8" w:rsidR="00153336">
        <w:t>To protect consumers, t</w:t>
      </w:r>
      <w:r w:rsidRPr="00B85AE8" w:rsidR="009A1F83">
        <w:t>he PUCO should reject IGS’s proposal that the Rate Stabilization Charge be converted to a bypassable charge (</w:t>
      </w:r>
      <w:r w:rsidRPr="005833F4" w:rsidR="005833F4">
        <w:rPr>
          <w:i/>
          <w:iCs/>
        </w:rPr>
        <w:t>i.e</w:t>
      </w:r>
      <w:r w:rsidRPr="00B85AE8" w:rsidR="009A1F83">
        <w:t>., a charge paid only by standard service offer customers).</w:t>
      </w:r>
      <w:bookmarkEnd w:id="8"/>
    </w:p>
    <w:p w:rsidR="00217369" w:rsidP="00AB2558">
      <w:pPr>
        <w:spacing w:line="480" w:lineRule="auto"/>
        <w:ind w:firstLine="720"/>
        <w:rPr>
          <w:szCs w:val="24"/>
        </w:rPr>
      </w:pPr>
      <w:r>
        <w:rPr>
          <w:szCs w:val="24"/>
        </w:rPr>
        <w:t>IGS’s initial comments are generally sound and draw the proper conclusions: that DP&amp;L’s current ESP is not more favorable in the aggregate than an MRO, that the PUCO should require DP&amp;L to transition to an MRO, and that the Rate Stabilization Charge should be eliminated.</w:t>
      </w:r>
      <w:r>
        <w:rPr>
          <w:rStyle w:val="FootnoteReference"/>
          <w:szCs w:val="24"/>
        </w:rPr>
        <w:footnoteReference w:id="26"/>
      </w:r>
      <w:r>
        <w:rPr>
          <w:szCs w:val="24"/>
        </w:rPr>
        <w:t xml:space="preserve"> IGS </w:t>
      </w:r>
      <w:r w:rsidR="00BE09E4">
        <w:rPr>
          <w:szCs w:val="24"/>
        </w:rPr>
        <w:t>erred</w:t>
      </w:r>
      <w:r>
        <w:rPr>
          <w:szCs w:val="24"/>
        </w:rPr>
        <w:t xml:space="preserve">, however, when it said that “the Commission should determine that DP&amp;L’s RSC should be terminated </w:t>
      </w:r>
      <w:r>
        <w:rPr>
          <w:i/>
          <w:szCs w:val="24"/>
        </w:rPr>
        <w:t>or at least be restructured to be a bypassable charge</w:t>
      </w:r>
      <w:r>
        <w:rPr>
          <w:szCs w:val="24"/>
        </w:rPr>
        <w:t>.”</w:t>
      </w:r>
      <w:r>
        <w:rPr>
          <w:rStyle w:val="FootnoteReference"/>
          <w:szCs w:val="24"/>
        </w:rPr>
        <w:footnoteReference w:id="27"/>
      </w:r>
    </w:p>
    <w:p w:rsidR="009362B6" w:rsidP="00AB2558">
      <w:pPr>
        <w:spacing w:line="480" w:lineRule="auto"/>
        <w:ind w:firstLine="720"/>
        <w:rPr>
          <w:szCs w:val="24"/>
        </w:rPr>
      </w:pPr>
      <w:r>
        <w:rPr>
          <w:szCs w:val="24"/>
        </w:rPr>
        <w:t>There is no justification for the Rate Stabilization Charge being changed from a nonbypassable charge to a bypassable one. When a charge is bypassable to shopping customers, it is because the charge is related exclusively to standard service offer service. For example, the standard service offer generation tariffs are bypassable because shopping customers pay for generation provided by a marketer, not the SSO. But the Rate Stabilization Charge has nothing to do with the standard service offer because the standard service offer is 100% procured through competitive auctions and supplied by marketers. The Rate Stabilization Charge does not compensate DP&amp;L for any costs it incurs to provide a standard service offer. It is nothing more than a financial integrity charge. Converting the charge to a bypassable one would nearly double the Rate Stabilization Charge for residential customers.</w:t>
      </w:r>
      <w:r>
        <w:rPr>
          <w:rStyle w:val="FootnoteReference"/>
          <w:szCs w:val="24"/>
        </w:rPr>
        <w:footnoteReference w:id="28"/>
      </w:r>
      <w:r>
        <w:rPr>
          <w:szCs w:val="24"/>
        </w:rPr>
        <w:t xml:space="preserve"> </w:t>
      </w:r>
      <w:r w:rsidR="007117EC">
        <w:rPr>
          <w:szCs w:val="24"/>
        </w:rPr>
        <w:t>A typical current residential customer is already paying more than $6 per month for the Rate Stabilization Charge.</w:t>
      </w:r>
      <w:r>
        <w:rPr>
          <w:rStyle w:val="FootnoteReference"/>
          <w:szCs w:val="24"/>
        </w:rPr>
        <w:footnoteReference w:id="29"/>
      </w:r>
      <w:r w:rsidR="007117EC">
        <w:rPr>
          <w:szCs w:val="24"/>
        </w:rPr>
        <w:t xml:space="preserve"> Making the charge bypassable would increase this charge to nearly $12 per month for a typical customer. </w:t>
      </w:r>
      <w:r>
        <w:rPr>
          <w:szCs w:val="24"/>
        </w:rPr>
        <w:t>This would be unjust and unreasonable.</w:t>
      </w:r>
    </w:p>
    <w:p w:rsidR="009362B6" w:rsidP="00AB2558">
      <w:pPr>
        <w:spacing w:line="480" w:lineRule="auto"/>
        <w:ind w:firstLine="720"/>
        <w:rPr>
          <w:szCs w:val="24"/>
        </w:rPr>
      </w:pPr>
      <w:r>
        <w:rPr>
          <w:szCs w:val="24"/>
        </w:rPr>
        <w:t>In DP&amp;L’s most recent ESP case, DP&amp;L proposed (through a settlement) a bypassable rider that would allow DP&amp;L to charge customers for DP&amp;L’s losses associated with its interest in the Ohio Valley Electric Corporation (“OVEC”).</w:t>
      </w:r>
      <w:r>
        <w:rPr>
          <w:rStyle w:val="FootnoteReference"/>
          <w:szCs w:val="24"/>
        </w:rPr>
        <w:footnoteReference w:id="30"/>
      </w:r>
      <w:r>
        <w:rPr>
          <w:szCs w:val="24"/>
        </w:rPr>
        <w:t xml:space="preserve"> The OVEC charge, like the Rate Stabilization Charge, has nothing to do with the standard service offer, and thus, there would be no basis for charging the OVEC subsidies on a bypassable basis. The PUCO modified the settlement in that case to make the OVEC charge nonbypassable, citing its concern that a bypassable rider would unfairly increase costs for standard service offer customers.</w:t>
      </w:r>
      <w:r>
        <w:rPr>
          <w:rStyle w:val="FootnoteReference"/>
          <w:szCs w:val="24"/>
        </w:rPr>
        <w:footnoteReference w:id="31"/>
      </w:r>
      <w:r>
        <w:rPr>
          <w:szCs w:val="24"/>
        </w:rPr>
        <w:t xml:space="preserve"> The same reasoning applies here in rejecting IGS’s proposal that the Rate Stabilization Charge be charged only to standard service offer customers.</w:t>
      </w:r>
    </w:p>
    <w:p w:rsidR="00B85AE8" w:rsidP="00B85AE8">
      <w:pPr>
        <w:ind w:firstLine="720"/>
        <w:rPr>
          <w:szCs w:val="24"/>
        </w:rPr>
      </w:pPr>
    </w:p>
    <w:p w:rsidR="005A4B03" w:rsidRPr="00B306AB" w:rsidP="00E72ABB">
      <w:pPr>
        <w:pStyle w:val="Heading1"/>
      </w:pPr>
      <w:bookmarkStart w:id="9" w:name="_Toc45639161"/>
      <w:r>
        <w:t>II.</w:t>
      </w:r>
      <w:r>
        <w:tab/>
        <w:t>CONCLUSION</w:t>
      </w:r>
      <w:bookmarkEnd w:id="9"/>
    </w:p>
    <w:p w:rsidR="005A4B03" w:rsidP="00AB2558">
      <w:pPr>
        <w:spacing w:line="480" w:lineRule="auto"/>
        <w:ind w:firstLine="720"/>
        <w:rPr>
          <w:szCs w:val="24"/>
        </w:rPr>
      </w:pPr>
      <w:r>
        <w:rPr>
          <w:szCs w:val="24"/>
        </w:rPr>
        <w:t xml:space="preserve">DP&amp;L’s current ESP would cost </w:t>
      </w:r>
      <w:r w:rsidR="00AE0C01">
        <w:rPr>
          <w:szCs w:val="24"/>
        </w:rPr>
        <w:t xml:space="preserve">Dayton-area </w:t>
      </w:r>
      <w:r>
        <w:rPr>
          <w:szCs w:val="24"/>
        </w:rPr>
        <w:t>customers at least $314 million more than an MRO. This alone should suffice for the PUCO to conclude that an MRO would be more favorable to customers than an ESP</w:t>
      </w:r>
      <w:r w:rsidR="00AE0C01">
        <w:rPr>
          <w:szCs w:val="24"/>
        </w:rPr>
        <w:t>. T</w:t>
      </w:r>
      <w:r>
        <w:rPr>
          <w:szCs w:val="24"/>
        </w:rPr>
        <w:t>hus</w:t>
      </w:r>
      <w:r w:rsidR="00AE0C01">
        <w:rPr>
          <w:szCs w:val="24"/>
        </w:rPr>
        <w:t xml:space="preserve">, </w:t>
      </w:r>
      <w:r>
        <w:rPr>
          <w:szCs w:val="24"/>
        </w:rPr>
        <w:t>the PUCO’s authority</w:t>
      </w:r>
      <w:r w:rsidR="00AE0C01">
        <w:rPr>
          <w:szCs w:val="24"/>
        </w:rPr>
        <w:t xml:space="preserve"> is triggered</w:t>
      </w:r>
      <w:r>
        <w:rPr>
          <w:szCs w:val="24"/>
        </w:rPr>
        <w:t xml:space="preserve"> to terminate DP&amp;L’s ESP and </w:t>
      </w:r>
      <w:r w:rsidR="00AE0C01">
        <w:rPr>
          <w:szCs w:val="24"/>
        </w:rPr>
        <w:t xml:space="preserve">to </w:t>
      </w:r>
      <w:r>
        <w:rPr>
          <w:szCs w:val="24"/>
        </w:rPr>
        <w:t>require it to file an MRO instead. Customers have paid bailout after bailout to DP&amp;L, yet DP&amp;L has its hand out for more. This time, the PUCO should</w:t>
      </w:r>
      <w:r w:rsidR="00AE0C01">
        <w:rPr>
          <w:szCs w:val="24"/>
        </w:rPr>
        <w:t xml:space="preserve"> protect consumers by</w:t>
      </w:r>
      <w:r>
        <w:rPr>
          <w:szCs w:val="24"/>
        </w:rPr>
        <w:t xml:space="preserve"> say</w:t>
      </w:r>
      <w:r w:rsidR="00AE0C01">
        <w:rPr>
          <w:szCs w:val="24"/>
        </w:rPr>
        <w:t>ing</w:t>
      </w:r>
      <w:r>
        <w:rPr>
          <w:szCs w:val="24"/>
        </w:rPr>
        <w:t xml:space="preserve"> no.</w:t>
      </w:r>
    </w:p>
    <w:p w:rsidR="00AB2558" w:rsidP="00AB2558">
      <w:pPr>
        <w:spacing w:line="480" w:lineRule="auto"/>
        <w:ind w:firstLine="720"/>
        <w:rPr>
          <w:szCs w:val="24"/>
        </w:rPr>
      </w:pPr>
    </w:p>
    <w:p w:rsidR="00EE2771" w:rsidP="00AB2558">
      <w:pPr>
        <w:spacing w:line="480" w:lineRule="auto"/>
        <w:ind w:firstLine="720"/>
        <w:rPr>
          <w:szCs w:val="24"/>
        </w:rPr>
      </w:pPr>
    </w:p>
    <w:p w:rsidR="003F375C" w:rsidRPr="00710E80" w:rsidP="00AB2558">
      <w:pPr>
        <w:spacing w:line="480" w:lineRule="auto"/>
        <w:ind w:firstLine="4320"/>
        <w:rPr>
          <w:szCs w:val="24"/>
        </w:rPr>
      </w:pPr>
      <w:r w:rsidRPr="00710E80">
        <w:rPr>
          <w:szCs w:val="24"/>
        </w:rPr>
        <w:t>Respectfully submitted,</w:t>
      </w:r>
    </w:p>
    <w:p w:rsidR="003F375C" w:rsidRPr="00710E80" w:rsidP="00AB2558">
      <w:pPr>
        <w:ind w:left="4320"/>
      </w:pPr>
      <w:r>
        <w:t>Bruce Weston</w:t>
      </w:r>
      <w:r w:rsidRPr="00710E80">
        <w:t xml:space="preserve"> (0016973)</w:t>
      </w:r>
    </w:p>
    <w:p w:rsidR="003F375C" w:rsidRPr="00710E80" w:rsidP="00AB2558">
      <w:pPr>
        <w:tabs>
          <w:tab w:val="left" w:pos="4320"/>
        </w:tabs>
        <w:ind w:left="4320"/>
        <w:rPr>
          <w:szCs w:val="24"/>
        </w:rPr>
      </w:pPr>
      <w:r>
        <w:rPr>
          <w:szCs w:val="24"/>
        </w:rPr>
        <w:t>Ohio Consumers’ Counsel</w:t>
      </w:r>
    </w:p>
    <w:p w:rsidR="003F375C" w:rsidRPr="00710E80" w:rsidP="00AB2558">
      <w:pPr>
        <w:tabs>
          <w:tab w:val="left" w:pos="4320"/>
        </w:tabs>
        <w:ind w:left="4320"/>
        <w:rPr>
          <w:szCs w:val="24"/>
        </w:rPr>
      </w:pPr>
    </w:p>
    <w:p w:rsidR="003F375C" w:rsidRPr="00710E80" w:rsidP="00AB2558">
      <w:pPr>
        <w:autoSpaceDE w:val="0"/>
        <w:autoSpaceDN w:val="0"/>
        <w:adjustRightInd w:val="0"/>
        <w:ind w:left="4320"/>
        <w:rPr>
          <w:i/>
        </w:rPr>
      </w:pPr>
      <w:r w:rsidRPr="00710E80">
        <w:rPr>
          <w:i/>
          <w:u w:val="single"/>
        </w:rPr>
        <w:t>/s/</w:t>
      </w:r>
      <w:r>
        <w:rPr>
          <w:i/>
          <w:u w:val="single"/>
        </w:rPr>
        <w:t xml:space="preserve"> Christopher Healey</w:t>
      </w:r>
      <w:r>
        <w:rPr>
          <w:i/>
          <w:u w:val="single"/>
        </w:rPr>
        <w:tab/>
      </w:r>
      <w:r w:rsidRPr="00710E80">
        <w:rPr>
          <w:i/>
          <w:u w:val="single"/>
        </w:rPr>
        <w:tab/>
      </w:r>
    </w:p>
    <w:p w:rsidR="003F375C" w:rsidRPr="00B54B36" w:rsidP="00AB2558">
      <w:pPr>
        <w:tabs>
          <w:tab w:val="left" w:pos="3960"/>
        </w:tabs>
        <w:ind w:left="4320"/>
        <w:rPr>
          <w:szCs w:val="24"/>
        </w:rPr>
      </w:pPr>
      <w:r>
        <w:rPr>
          <w:szCs w:val="24"/>
        </w:rPr>
        <w:t>Christopher Healey (0086027)</w:t>
      </w:r>
    </w:p>
    <w:p w:rsidR="003F375C" w:rsidP="00AB2558">
      <w:pPr>
        <w:tabs>
          <w:tab w:val="left" w:pos="4320"/>
        </w:tabs>
        <w:ind w:left="4320"/>
        <w:rPr>
          <w:szCs w:val="24"/>
        </w:rPr>
      </w:pPr>
      <w:r w:rsidRPr="00710E80">
        <w:rPr>
          <w:szCs w:val="24"/>
        </w:rPr>
        <w:t>Counsel of Record</w:t>
      </w:r>
    </w:p>
    <w:p w:rsidR="003F375C" w:rsidRPr="00710E80" w:rsidP="00AB2558">
      <w:pPr>
        <w:tabs>
          <w:tab w:val="left" w:pos="4320"/>
        </w:tabs>
        <w:ind w:left="4320"/>
        <w:rPr>
          <w:szCs w:val="24"/>
        </w:rPr>
      </w:pPr>
      <w:r>
        <w:rPr>
          <w:szCs w:val="24"/>
        </w:rPr>
        <w:t>William J. Michael</w:t>
      </w:r>
      <w:r w:rsidRPr="00710E80">
        <w:rPr>
          <w:szCs w:val="24"/>
        </w:rPr>
        <w:t xml:space="preserve"> (</w:t>
      </w:r>
      <w:r>
        <w:rPr>
          <w:szCs w:val="24"/>
        </w:rPr>
        <w:t>0070921)</w:t>
      </w:r>
    </w:p>
    <w:p w:rsidR="003F375C" w:rsidP="00AB2558">
      <w:pPr>
        <w:tabs>
          <w:tab w:val="left" w:pos="4320"/>
        </w:tabs>
        <w:ind w:left="4320"/>
        <w:rPr>
          <w:szCs w:val="24"/>
        </w:rPr>
      </w:pPr>
      <w:r>
        <w:rPr>
          <w:szCs w:val="24"/>
        </w:rPr>
        <w:t>Amy Botschner O’Brien (0074423)</w:t>
      </w:r>
    </w:p>
    <w:p w:rsidR="003F375C" w:rsidP="00AB2558">
      <w:pPr>
        <w:tabs>
          <w:tab w:val="left" w:pos="4320"/>
        </w:tabs>
        <w:ind w:left="4320"/>
        <w:rPr>
          <w:szCs w:val="24"/>
        </w:rPr>
      </w:pPr>
      <w:r w:rsidRPr="00710E80">
        <w:rPr>
          <w:szCs w:val="24"/>
        </w:rPr>
        <w:t>Assistant Consumers</w:t>
      </w:r>
      <w:r>
        <w:rPr>
          <w:szCs w:val="24"/>
        </w:rPr>
        <w:t>'</w:t>
      </w:r>
      <w:r w:rsidRPr="00710E80">
        <w:rPr>
          <w:szCs w:val="24"/>
        </w:rPr>
        <w:t xml:space="preserve"> Counsel</w:t>
      </w:r>
    </w:p>
    <w:p w:rsidR="003F375C" w:rsidRPr="00710E80" w:rsidP="00AB2558">
      <w:pPr>
        <w:tabs>
          <w:tab w:val="left" w:pos="4320"/>
        </w:tabs>
        <w:ind w:left="4320"/>
        <w:rPr>
          <w:szCs w:val="24"/>
        </w:rPr>
      </w:pPr>
    </w:p>
    <w:p w:rsidR="003F375C" w:rsidRPr="003F375C" w:rsidP="00AB2558">
      <w:pPr>
        <w:ind w:left="4320"/>
        <w:rPr>
          <w:b/>
          <w:bCs/>
        </w:rPr>
      </w:pPr>
      <w:r w:rsidRPr="003F375C">
        <w:rPr>
          <w:b/>
          <w:bCs/>
        </w:rPr>
        <w:t>Office of the Ohio Consumers' Counsel</w:t>
      </w:r>
    </w:p>
    <w:p w:rsidR="003F375C" w:rsidRPr="00710E80" w:rsidP="00AB2558">
      <w:pPr>
        <w:ind w:left="4320"/>
        <w:rPr>
          <w:b/>
        </w:rPr>
      </w:pPr>
      <w:r>
        <w:t>65 East State Street, 7th Floor</w:t>
      </w:r>
    </w:p>
    <w:p w:rsidR="003F375C" w:rsidP="00AB2558">
      <w:pPr>
        <w:ind w:left="4320"/>
      </w:pPr>
      <w:r w:rsidRPr="00710E80">
        <w:t>Columbus, Ohio 43215</w:t>
      </w:r>
    </w:p>
    <w:p w:rsidR="003F375C" w:rsidRPr="00B54B36" w:rsidP="00AB2558">
      <w:pPr>
        <w:tabs>
          <w:tab w:val="left" w:pos="3960"/>
        </w:tabs>
        <w:autoSpaceDE w:val="0"/>
        <w:autoSpaceDN w:val="0"/>
        <w:adjustRightInd w:val="0"/>
        <w:ind w:left="4320"/>
        <w:rPr>
          <w:szCs w:val="24"/>
        </w:rPr>
      </w:pPr>
      <w:r>
        <w:rPr>
          <w:szCs w:val="24"/>
        </w:rPr>
        <w:t>Telephone [Healey]: (614) 466-9571</w:t>
      </w:r>
    </w:p>
    <w:p w:rsidR="003F375C" w:rsidP="00AB2558">
      <w:pPr>
        <w:autoSpaceDE w:val="0"/>
        <w:autoSpaceDN w:val="0"/>
        <w:adjustRightInd w:val="0"/>
        <w:ind w:left="4320"/>
        <w:rPr>
          <w:szCs w:val="24"/>
        </w:rPr>
      </w:pPr>
      <w:r w:rsidRPr="00710E80">
        <w:rPr>
          <w:szCs w:val="24"/>
        </w:rPr>
        <w:t>Telephone</w:t>
      </w:r>
      <w:r>
        <w:rPr>
          <w:szCs w:val="24"/>
        </w:rPr>
        <w:t xml:space="preserve"> [Michael]</w:t>
      </w:r>
      <w:r w:rsidRPr="00710E80">
        <w:rPr>
          <w:szCs w:val="24"/>
        </w:rPr>
        <w:t xml:space="preserve">: </w:t>
      </w:r>
      <w:r>
        <w:rPr>
          <w:szCs w:val="24"/>
        </w:rPr>
        <w:t>(614) 466-1291</w:t>
      </w:r>
    </w:p>
    <w:p w:rsidR="003F375C" w:rsidRPr="00710E80" w:rsidP="00AB2558">
      <w:pPr>
        <w:autoSpaceDE w:val="0"/>
        <w:autoSpaceDN w:val="0"/>
        <w:adjustRightInd w:val="0"/>
        <w:ind w:left="4320"/>
        <w:rPr>
          <w:szCs w:val="24"/>
        </w:rPr>
      </w:pPr>
      <w:r>
        <w:rPr>
          <w:szCs w:val="24"/>
        </w:rPr>
        <w:t>Telephone [Botschner O’Brien]: (614) 466-9575</w:t>
      </w:r>
    </w:p>
    <w:p w:rsidR="003F375C" w:rsidP="00AB2558">
      <w:pPr>
        <w:ind w:left="4320"/>
        <w:rPr>
          <w:color w:val="0000FF"/>
          <w:szCs w:val="24"/>
          <w:u w:val="single"/>
        </w:rPr>
      </w:pPr>
      <w:r>
        <w:rPr>
          <w:color w:val="0000FF"/>
          <w:szCs w:val="24"/>
          <w:u w:val="single"/>
        </w:rPr>
        <w:t>christopher.healey@occ.ohio.gov</w:t>
      </w:r>
    </w:p>
    <w:p w:rsidR="003F375C" w:rsidRPr="003C7FA0" w:rsidP="00AB2558">
      <w:pPr>
        <w:ind w:left="4320"/>
        <w:rPr>
          <w:color w:val="0000FF"/>
          <w:szCs w:val="24"/>
          <w:u w:val="single"/>
        </w:rPr>
      </w:pPr>
      <w:r w:rsidRPr="003C7FA0">
        <w:rPr>
          <w:color w:val="0000FF"/>
          <w:szCs w:val="24"/>
          <w:u w:val="single"/>
        </w:rPr>
        <w:t>william.michael@occ.ohio.gov</w:t>
      </w:r>
    </w:p>
    <w:p w:rsidR="003F375C" w:rsidRPr="003C7FA0" w:rsidP="00AB2558">
      <w:pPr>
        <w:ind w:left="4320"/>
        <w:rPr>
          <w:color w:val="0000FF"/>
          <w:szCs w:val="24"/>
          <w:u w:val="single"/>
        </w:rPr>
      </w:pPr>
      <w:r w:rsidRPr="003C7FA0">
        <w:rPr>
          <w:color w:val="0000FF"/>
          <w:szCs w:val="24"/>
          <w:u w:val="single"/>
        </w:rPr>
        <w:t>amy.botschner.obrien@occ.ohio.gov</w:t>
      </w:r>
    </w:p>
    <w:p w:rsidR="003F375C" w:rsidP="00AB2558">
      <w:pPr>
        <w:ind w:left="4320"/>
        <w:rPr>
          <w:szCs w:val="24"/>
        </w:rPr>
      </w:pPr>
      <w:r>
        <w:rPr>
          <w:szCs w:val="24"/>
        </w:rPr>
        <w:t>(willing to accept service by e-mail</w:t>
      </w:r>
      <w:r w:rsidRPr="00710E80">
        <w:rPr>
          <w:szCs w:val="24"/>
        </w:rPr>
        <w:t>)</w:t>
      </w:r>
    </w:p>
    <w:p w:rsidR="00DC107A" w:rsidRPr="00DC107A" w:rsidP="003F375C">
      <w:pPr>
        <w:spacing w:line="480" w:lineRule="auto"/>
        <w:ind w:left="3600" w:firstLine="720"/>
        <w:rPr>
          <w:szCs w:val="24"/>
        </w:rPr>
      </w:pPr>
    </w:p>
    <w:p w:rsidR="0048264B" w:rsidRPr="00297741">
      <w:pPr>
        <w:jc w:val="center"/>
        <w:rPr>
          <w:b/>
          <w:szCs w:val="24"/>
          <w:u w:val="single"/>
        </w:rPr>
      </w:pPr>
      <w:r>
        <w:rPr>
          <w:b/>
          <w:szCs w:val="24"/>
        </w:rPr>
        <w:br w:type="page"/>
      </w:r>
      <w:r w:rsidRPr="00297741">
        <w:rPr>
          <w:b/>
          <w:szCs w:val="24"/>
          <w:u w:val="single"/>
        </w:rPr>
        <w:t>CERTIFICATE OF SERVICE</w:t>
      </w:r>
    </w:p>
    <w:p w:rsidR="0048264B" w:rsidRPr="00746CE5">
      <w:pPr>
        <w:tabs>
          <w:tab w:val="left" w:pos="4500"/>
        </w:tabs>
        <w:jc w:val="center"/>
        <w:rPr>
          <w:szCs w:val="24"/>
        </w:rPr>
      </w:pPr>
    </w:p>
    <w:p w:rsidR="0048264B" w:rsidRPr="00746CE5" w:rsidP="0048264B">
      <w:pPr>
        <w:spacing w:line="480" w:lineRule="auto"/>
        <w:rPr>
          <w:szCs w:val="24"/>
        </w:rPr>
      </w:pPr>
      <w:r w:rsidRPr="00746CE5">
        <w:rPr>
          <w:szCs w:val="24"/>
        </w:rPr>
        <w:tab/>
        <w:t>I hereby certify that a copy of the</w:t>
      </w:r>
      <w:r w:rsidR="001067EA">
        <w:rPr>
          <w:szCs w:val="24"/>
        </w:rPr>
        <w:t>se</w:t>
      </w:r>
      <w:r w:rsidRPr="00746CE5">
        <w:rPr>
          <w:szCs w:val="24"/>
        </w:rPr>
        <w:t xml:space="preserve"> </w:t>
      </w:r>
      <w:r w:rsidR="00CC2005">
        <w:rPr>
          <w:szCs w:val="24"/>
        </w:rPr>
        <w:t xml:space="preserve">Reply </w:t>
      </w:r>
      <w:r w:rsidR="001067EA">
        <w:rPr>
          <w:szCs w:val="24"/>
        </w:rPr>
        <w:t>Comments</w:t>
      </w:r>
      <w:r w:rsidR="006C3246">
        <w:rPr>
          <w:szCs w:val="24"/>
        </w:rPr>
        <w:t xml:space="preserve"> </w:t>
      </w:r>
      <w:r w:rsidRPr="00746CE5">
        <w:rPr>
          <w:szCs w:val="24"/>
        </w:rPr>
        <w:t xml:space="preserve">has been served via electronic transmission upon the following parties of record this </w:t>
      </w:r>
      <w:r w:rsidR="001067EA">
        <w:rPr>
          <w:szCs w:val="24"/>
        </w:rPr>
        <w:t>1</w:t>
      </w:r>
      <w:r w:rsidR="00CC2005">
        <w:rPr>
          <w:szCs w:val="24"/>
        </w:rPr>
        <w:t>6th</w:t>
      </w:r>
      <w:r w:rsidR="00BB5D11">
        <w:rPr>
          <w:szCs w:val="24"/>
        </w:rPr>
        <w:t xml:space="preserve"> day of </w:t>
      </w:r>
      <w:r w:rsidR="001067EA">
        <w:rPr>
          <w:szCs w:val="24"/>
        </w:rPr>
        <w:t>July</w:t>
      </w:r>
      <w:r w:rsidR="00BB5D11">
        <w:rPr>
          <w:szCs w:val="24"/>
        </w:rPr>
        <w:t xml:space="preserve"> 20</w:t>
      </w:r>
      <w:r w:rsidR="00297741">
        <w:rPr>
          <w:szCs w:val="24"/>
        </w:rPr>
        <w:t>20</w:t>
      </w:r>
      <w:r w:rsidRPr="00324E92">
        <w:rPr>
          <w:szCs w:val="24"/>
        </w:rPr>
        <w:t>.</w:t>
      </w:r>
    </w:p>
    <w:p w:rsidR="0048264B" w:rsidRPr="00746CE5">
      <w:pPr>
        <w:rPr>
          <w:szCs w:val="24"/>
        </w:rPr>
      </w:pPr>
    </w:p>
    <w:p w:rsidR="00DC107A" w:rsidRPr="00555763" w:rsidP="00DC107A">
      <w:pPr>
        <w:ind w:left="4320"/>
        <w:rPr>
          <w:szCs w:val="24"/>
        </w:rPr>
      </w:pPr>
      <w:r>
        <w:rPr>
          <w:i/>
          <w:szCs w:val="24"/>
          <w:u w:val="single"/>
        </w:rPr>
        <w:t xml:space="preserve">/s/ </w:t>
      </w:r>
      <w:r w:rsidR="003F375C">
        <w:rPr>
          <w:i/>
          <w:szCs w:val="24"/>
          <w:u w:val="single"/>
        </w:rPr>
        <w:t>Christopher Healey</w:t>
      </w:r>
      <w:r w:rsidR="00324E92">
        <w:rPr>
          <w:i/>
          <w:szCs w:val="24"/>
          <w:u w:val="single"/>
        </w:rPr>
        <w:tab/>
      </w:r>
    </w:p>
    <w:p w:rsidR="00DC107A" w:rsidRPr="00555763" w:rsidP="00DC107A">
      <w:pPr>
        <w:tabs>
          <w:tab w:val="left" w:pos="4320"/>
        </w:tabs>
        <w:rPr>
          <w:szCs w:val="24"/>
        </w:rPr>
      </w:pPr>
      <w:r w:rsidRPr="00555763">
        <w:rPr>
          <w:szCs w:val="24"/>
        </w:rPr>
        <w:tab/>
      </w:r>
      <w:r w:rsidR="003F375C">
        <w:rPr>
          <w:szCs w:val="24"/>
        </w:rPr>
        <w:t>Christopher Healey</w:t>
      </w:r>
    </w:p>
    <w:p w:rsidR="00DC107A" w:rsidRPr="00555763" w:rsidP="00DC107A">
      <w:pPr>
        <w:tabs>
          <w:tab w:val="left" w:pos="4320"/>
        </w:tabs>
        <w:rPr>
          <w:szCs w:val="24"/>
        </w:rPr>
      </w:pPr>
      <w:r w:rsidRPr="00555763">
        <w:rPr>
          <w:szCs w:val="24"/>
        </w:rPr>
        <w:tab/>
        <w:t>Assistant Consumers</w:t>
      </w:r>
      <w:r>
        <w:rPr>
          <w:szCs w:val="24"/>
        </w:rPr>
        <w:t>’</w:t>
      </w:r>
      <w:r w:rsidRPr="00555763">
        <w:rPr>
          <w:szCs w:val="24"/>
        </w:rPr>
        <w:t xml:space="preserve"> Counsel</w:t>
      </w:r>
    </w:p>
    <w:p w:rsidR="0048264B" w:rsidRPr="00746CE5" w:rsidP="00DC107A">
      <w:pPr>
        <w:rPr>
          <w:szCs w:val="24"/>
        </w:rPr>
      </w:pPr>
    </w:p>
    <w:p w:rsidR="00F2119F" w:rsidP="00F2119F">
      <w:r>
        <w:t>The PUCO’s e-filing system will electronically serve notice of the filing of this document on the following parties:</w:t>
      </w:r>
    </w:p>
    <w:p w:rsidR="0048264B" w:rsidRPr="00746CE5" w:rsidP="0048264B">
      <w:pPr>
        <w:pStyle w:val="CommentText"/>
        <w:jc w:val="center"/>
        <w:rPr>
          <w:b/>
          <w:sz w:val="24"/>
          <w:szCs w:val="24"/>
          <w:u w:val="single"/>
        </w:rPr>
      </w:pPr>
    </w:p>
    <w:p w:rsidR="003F375C" w:rsidRPr="00B85AE8" w:rsidP="003F375C">
      <w:pPr>
        <w:pStyle w:val="CommentText"/>
        <w:jc w:val="center"/>
        <w:rPr>
          <w:b/>
          <w:sz w:val="24"/>
          <w:szCs w:val="24"/>
          <w:u w:val="single"/>
        </w:rPr>
      </w:pPr>
      <w:r w:rsidRPr="00B85AE8">
        <w:rPr>
          <w:b/>
          <w:sz w:val="24"/>
          <w:szCs w:val="24"/>
          <w:u w:val="single"/>
        </w:rPr>
        <w:t>SERVICE LIST</w:t>
      </w:r>
    </w:p>
    <w:p w:rsidR="003F375C" w:rsidRPr="00710E80" w:rsidP="003F375C">
      <w:pPr>
        <w:pStyle w:val="CommentText"/>
        <w:jc w:val="center"/>
        <w:rPr>
          <w:b/>
          <w:bCs/>
        </w:rPr>
      </w:pPr>
    </w:p>
    <w:tbl>
      <w:tblPr>
        <w:tblW w:w="0" w:type="auto"/>
        <w:tblLook w:val="04A0"/>
      </w:tblPr>
      <w:tblGrid>
        <w:gridCol w:w="4449"/>
        <w:gridCol w:w="4338"/>
      </w:tblGrid>
      <w:tr w:rsidTr="00A46027">
        <w:tblPrEx>
          <w:tblW w:w="0" w:type="auto"/>
          <w:tblLook w:val="04A0"/>
        </w:tblPrEx>
        <w:tc>
          <w:tcPr>
            <w:tcW w:w="4315" w:type="dxa"/>
            <w:shd w:val="clear" w:color="auto" w:fill="auto"/>
          </w:tcPr>
          <w:p w:rsidR="00272B11" w:rsidRPr="00272B11" w:rsidP="00A46027">
            <w:pPr>
              <w:widowControl w:val="0"/>
              <w:autoSpaceDE w:val="0"/>
              <w:autoSpaceDN w:val="0"/>
              <w:adjustRightInd w:val="0"/>
              <w:rPr>
                <w:color w:val="0000FF"/>
                <w:szCs w:val="24"/>
                <w:u w:val="single"/>
              </w:rPr>
            </w:pPr>
            <w:r w:rsidRPr="00272B11">
              <w:rPr>
                <w:color w:val="0000FF"/>
                <w:szCs w:val="24"/>
                <w:u w:val="single"/>
              </w:rPr>
              <w:t>thomas.lindgren@ohioattorneygeneral.gov</w:t>
            </w:r>
          </w:p>
          <w:p w:rsidR="00272B11" w:rsidRPr="00272B11" w:rsidP="00A46027">
            <w:pPr>
              <w:widowControl w:val="0"/>
              <w:autoSpaceDE w:val="0"/>
              <w:autoSpaceDN w:val="0"/>
              <w:adjustRightInd w:val="0"/>
              <w:rPr>
                <w:color w:val="0000FF"/>
                <w:szCs w:val="24"/>
                <w:u w:val="single"/>
              </w:rPr>
            </w:pPr>
            <w:r w:rsidRPr="00272B11">
              <w:rPr>
                <w:color w:val="0000FF"/>
                <w:szCs w:val="24"/>
                <w:u w:val="single"/>
              </w:rPr>
              <w:t>thomas.</w:t>
            </w:r>
            <w:r w:rsidRPr="00A46027">
              <w:rPr>
                <w:color w:val="0000FF"/>
                <w:szCs w:val="24"/>
                <w:u w:val="single"/>
              </w:rPr>
              <w:t>mcnamee</w:t>
            </w:r>
            <w:r w:rsidRPr="00272B11">
              <w:rPr>
                <w:color w:val="0000FF"/>
                <w:szCs w:val="24"/>
                <w:u w:val="single"/>
              </w:rPr>
              <w:t>@ohioattorneygeneral.gov</w:t>
            </w:r>
          </w:p>
          <w:p w:rsidR="003F375C" w:rsidP="00A46027">
            <w:pPr>
              <w:pStyle w:val="BodyText"/>
              <w:widowControl w:val="0"/>
              <w:autoSpaceDE w:val="0"/>
              <w:autoSpaceDN w:val="0"/>
              <w:adjustRightInd w:val="0"/>
            </w:pPr>
          </w:p>
          <w:p w:rsidR="003F375C" w:rsidP="00A46027">
            <w:pPr>
              <w:pStyle w:val="BodyText"/>
              <w:widowControl w:val="0"/>
              <w:autoSpaceDE w:val="0"/>
              <w:autoSpaceDN w:val="0"/>
              <w:adjustRightInd w:val="0"/>
            </w:pPr>
            <w:r>
              <w:t>Attorney Examiners:</w:t>
            </w:r>
          </w:p>
          <w:p w:rsidR="003F375C" w:rsidRPr="00A46027" w:rsidP="00A46027">
            <w:pPr>
              <w:widowControl w:val="0"/>
              <w:autoSpaceDE w:val="0"/>
              <w:autoSpaceDN w:val="0"/>
              <w:adjustRightInd w:val="0"/>
              <w:rPr>
                <w:color w:val="0000FF"/>
                <w:szCs w:val="24"/>
                <w:u w:val="single"/>
              </w:rPr>
            </w:pPr>
            <w:hyperlink r:id="rId12" w:history="1">
              <w:r w:rsidRPr="00A46027">
                <w:rPr>
                  <w:color w:val="0000FF"/>
                  <w:szCs w:val="24"/>
                  <w:u w:val="single"/>
                </w:rPr>
                <w:t>patricia.schabo@puco.ohio.gov</w:t>
              </w:r>
            </w:hyperlink>
          </w:p>
          <w:p w:rsidR="003F375C" w:rsidRPr="00A46027" w:rsidP="00A46027">
            <w:pPr>
              <w:widowControl w:val="0"/>
              <w:autoSpaceDE w:val="0"/>
              <w:autoSpaceDN w:val="0"/>
              <w:adjustRightInd w:val="0"/>
              <w:rPr>
                <w:bCs/>
                <w:szCs w:val="24"/>
              </w:rPr>
            </w:pPr>
            <w:r w:rsidRPr="00A46027">
              <w:rPr>
                <w:bCs/>
                <w:color w:val="0000FF"/>
                <w:szCs w:val="24"/>
                <w:u w:val="single"/>
              </w:rPr>
              <w:t>michael.williams@puco.ohio.gov</w:t>
            </w:r>
          </w:p>
          <w:p w:rsidR="003F375C" w:rsidRPr="00F9175A" w:rsidP="00A46027">
            <w:pPr>
              <w:pStyle w:val="BodyText"/>
              <w:widowControl w:val="0"/>
              <w:autoSpaceDE w:val="0"/>
              <w:autoSpaceDN w:val="0"/>
              <w:adjustRightInd w:val="0"/>
            </w:pPr>
          </w:p>
        </w:tc>
        <w:tc>
          <w:tcPr>
            <w:tcW w:w="4315" w:type="dxa"/>
            <w:shd w:val="clear" w:color="auto" w:fill="auto"/>
          </w:tcPr>
          <w:p w:rsidR="003F375C" w:rsidP="00A46027">
            <w:pPr>
              <w:pStyle w:val="BodyText"/>
              <w:widowControl w:val="0"/>
              <w:autoSpaceDE w:val="0"/>
              <w:autoSpaceDN w:val="0"/>
              <w:adjustRightInd w:val="0"/>
              <w:spacing w:line="240" w:lineRule="auto"/>
              <w:ind w:left="1308"/>
            </w:pPr>
            <w:hyperlink r:id="rId13" w:history="1">
              <w:r w:rsidRPr="00C96224">
                <w:rPr>
                  <w:rStyle w:val="Hyperlink"/>
                </w:rPr>
                <w:t>jsharkey@ficlaw.com</w:t>
              </w:r>
            </w:hyperlink>
          </w:p>
          <w:p w:rsidR="003F375C" w:rsidP="00A46027">
            <w:pPr>
              <w:pStyle w:val="BodyText"/>
              <w:widowControl w:val="0"/>
              <w:autoSpaceDE w:val="0"/>
              <w:autoSpaceDN w:val="0"/>
              <w:adjustRightInd w:val="0"/>
              <w:spacing w:line="240" w:lineRule="auto"/>
              <w:ind w:left="1308"/>
            </w:pPr>
            <w:hyperlink r:id="rId14" w:history="1">
              <w:r w:rsidRPr="00C96224">
                <w:rPr>
                  <w:rStyle w:val="Hyperlink"/>
                </w:rPr>
                <w:t>djireland@ficlaw.com</w:t>
              </w:r>
            </w:hyperlink>
          </w:p>
          <w:p w:rsidR="003F375C" w:rsidP="00A46027">
            <w:pPr>
              <w:pStyle w:val="BodyText"/>
              <w:widowControl w:val="0"/>
              <w:autoSpaceDE w:val="0"/>
              <w:autoSpaceDN w:val="0"/>
              <w:adjustRightInd w:val="0"/>
              <w:spacing w:line="240" w:lineRule="auto"/>
              <w:ind w:left="1308"/>
            </w:pPr>
            <w:hyperlink r:id="rId15" w:history="1">
              <w:r w:rsidRPr="00C96224">
                <w:rPr>
                  <w:rStyle w:val="Hyperlink"/>
                </w:rPr>
                <w:t>chollon@ficlaw.com</w:t>
              </w:r>
            </w:hyperlink>
          </w:p>
          <w:p w:rsidR="003F375C" w:rsidP="00A46027">
            <w:pPr>
              <w:pStyle w:val="BodyText"/>
              <w:widowControl w:val="0"/>
              <w:autoSpaceDE w:val="0"/>
              <w:autoSpaceDN w:val="0"/>
              <w:adjustRightInd w:val="0"/>
              <w:spacing w:line="240" w:lineRule="auto"/>
              <w:ind w:left="1308"/>
            </w:pPr>
            <w:hyperlink r:id="rId16" w:history="1">
              <w:r w:rsidRPr="00C96224">
                <w:rPr>
                  <w:rStyle w:val="Hyperlink"/>
                </w:rPr>
                <w:t>michael.schuler@aes.com</w:t>
              </w:r>
            </w:hyperlink>
          </w:p>
          <w:p w:rsidR="003F375C" w:rsidP="00A46027">
            <w:pPr>
              <w:pStyle w:val="BodyText"/>
              <w:widowControl w:val="0"/>
              <w:autoSpaceDE w:val="0"/>
              <w:autoSpaceDN w:val="0"/>
              <w:adjustRightInd w:val="0"/>
              <w:spacing w:line="240" w:lineRule="auto"/>
              <w:ind w:left="1308"/>
            </w:pPr>
            <w:hyperlink r:id="rId17" w:history="1">
              <w:r w:rsidRPr="00C96224">
                <w:rPr>
                  <w:rStyle w:val="Hyperlink"/>
                </w:rPr>
                <w:t>mkurtz@bkllawfirm.com</w:t>
              </w:r>
            </w:hyperlink>
          </w:p>
          <w:p w:rsidR="003F375C" w:rsidP="00A46027">
            <w:pPr>
              <w:pStyle w:val="BodyText"/>
              <w:widowControl w:val="0"/>
              <w:autoSpaceDE w:val="0"/>
              <w:autoSpaceDN w:val="0"/>
              <w:adjustRightInd w:val="0"/>
              <w:spacing w:line="240" w:lineRule="auto"/>
              <w:ind w:left="1308"/>
            </w:pPr>
            <w:hyperlink r:id="rId18" w:history="1">
              <w:r w:rsidRPr="00C96224">
                <w:rPr>
                  <w:rStyle w:val="Hyperlink"/>
                </w:rPr>
                <w:t>kboehm@bkllawfirm.com</w:t>
              </w:r>
            </w:hyperlink>
          </w:p>
          <w:p w:rsidR="003F375C" w:rsidP="00A46027">
            <w:pPr>
              <w:pStyle w:val="BodyText"/>
              <w:widowControl w:val="0"/>
              <w:autoSpaceDE w:val="0"/>
              <w:autoSpaceDN w:val="0"/>
              <w:adjustRightInd w:val="0"/>
              <w:spacing w:line="240" w:lineRule="auto"/>
              <w:ind w:left="1308"/>
            </w:pPr>
            <w:hyperlink r:id="rId19" w:history="1">
              <w:r w:rsidRPr="00C96224">
                <w:rPr>
                  <w:rStyle w:val="Hyperlink"/>
                </w:rPr>
                <w:t>jkylercohn@bkllawfirm.com</w:t>
              </w:r>
            </w:hyperlink>
          </w:p>
          <w:p w:rsidR="003F375C" w:rsidP="00A46027">
            <w:pPr>
              <w:pStyle w:val="BodyText"/>
              <w:widowControl w:val="0"/>
              <w:autoSpaceDE w:val="0"/>
              <w:autoSpaceDN w:val="0"/>
              <w:adjustRightInd w:val="0"/>
              <w:spacing w:line="240" w:lineRule="auto"/>
              <w:ind w:left="1308"/>
            </w:pPr>
            <w:hyperlink r:id="rId20" w:history="1">
              <w:r w:rsidRPr="00C96224">
                <w:rPr>
                  <w:rStyle w:val="Hyperlink"/>
                </w:rPr>
                <w:t>mpritchard@mcneeslaw.com</w:t>
              </w:r>
            </w:hyperlink>
          </w:p>
          <w:p w:rsidR="003F375C" w:rsidP="00A46027">
            <w:pPr>
              <w:pStyle w:val="BodyText"/>
              <w:widowControl w:val="0"/>
              <w:autoSpaceDE w:val="0"/>
              <w:autoSpaceDN w:val="0"/>
              <w:adjustRightInd w:val="0"/>
              <w:spacing w:line="240" w:lineRule="auto"/>
              <w:ind w:left="1308"/>
            </w:pPr>
            <w:hyperlink r:id="rId21" w:history="1">
              <w:r w:rsidRPr="00C96224">
                <w:rPr>
                  <w:rStyle w:val="Hyperlink"/>
                </w:rPr>
                <w:t>rglover@mcneeslaw.com</w:t>
              </w:r>
            </w:hyperlink>
          </w:p>
          <w:p w:rsidR="003F375C" w:rsidP="00A46027">
            <w:pPr>
              <w:pStyle w:val="BodyText"/>
              <w:widowControl w:val="0"/>
              <w:autoSpaceDE w:val="0"/>
              <w:autoSpaceDN w:val="0"/>
              <w:adjustRightInd w:val="0"/>
              <w:spacing w:line="240" w:lineRule="auto"/>
              <w:ind w:left="1308"/>
            </w:pPr>
            <w:hyperlink r:id="rId22" w:history="1">
              <w:r w:rsidRPr="00F47D44" w:rsidR="00272B11">
                <w:rPr>
                  <w:rStyle w:val="Hyperlink"/>
                </w:rPr>
                <w:t>slesser@calfee.com</w:t>
              </w:r>
            </w:hyperlink>
          </w:p>
          <w:p w:rsidR="00272B11" w:rsidP="00A46027">
            <w:pPr>
              <w:pStyle w:val="BodyText"/>
              <w:widowControl w:val="0"/>
              <w:autoSpaceDE w:val="0"/>
              <w:autoSpaceDN w:val="0"/>
              <w:adjustRightInd w:val="0"/>
              <w:spacing w:line="240" w:lineRule="auto"/>
              <w:ind w:left="1308"/>
            </w:pPr>
            <w:hyperlink r:id="rId23" w:history="1">
              <w:r w:rsidRPr="00F47D44">
                <w:rPr>
                  <w:rStyle w:val="Hyperlink"/>
                </w:rPr>
                <w:t>talexander@calfee.com</w:t>
              </w:r>
            </w:hyperlink>
          </w:p>
          <w:p w:rsidR="00272B11" w:rsidP="00A46027">
            <w:pPr>
              <w:pStyle w:val="BodyText"/>
              <w:widowControl w:val="0"/>
              <w:autoSpaceDE w:val="0"/>
              <w:autoSpaceDN w:val="0"/>
              <w:adjustRightInd w:val="0"/>
              <w:spacing w:line="240" w:lineRule="auto"/>
              <w:ind w:left="1308"/>
            </w:pPr>
            <w:hyperlink r:id="rId24" w:history="1">
              <w:r w:rsidRPr="00F47D44">
                <w:rPr>
                  <w:rStyle w:val="Hyperlink"/>
                </w:rPr>
                <w:t>mkeaney@calfee.com</w:t>
              </w:r>
            </w:hyperlink>
          </w:p>
          <w:p w:rsidR="00272B11" w:rsidP="00A46027">
            <w:pPr>
              <w:pStyle w:val="BodyText"/>
              <w:widowControl w:val="0"/>
              <w:autoSpaceDE w:val="0"/>
              <w:autoSpaceDN w:val="0"/>
              <w:adjustRightInd w:val="0"/>
              <w:spacing w:line="240" w:lineRule="auto"/>
              <w:ind w:left="1308"/>
            </w:pPr>
            <w:hyperlink r:id="rId25" w:history="1">
              <w:r w:rsidRPr="00F47D44">
                <w:rPr>
                  <w:rStyle w:val="Hyperlink"/>
                </w:rPr>
                <w:t>khehmeyer@calfee.com</w:t>
              </w:r>
            </w:hyperlink>
          </w:p>
          <w:p w:rsidR="00272B11" w:rsidRPr="00F9175A" w:rsidP="00A46027">
            <w:pPr>
              <w:pStyle w:val="BodyText"/>
              <w:widowControl w:val="0"/>
              <w:autoSpaceDE w:val="0"/>
              <w:autoSpaceDN w:val="0"/>
              <w:adjustRightInd w:val="0"/>
            </w:pPr>
          </w:p>
        </w:tc>
      </w:tr>
    </w:tbl>
    <w:p w:rsidR="00F511F1" w:rsidRPr="00746CE5" w:rsidP="005F21A0">
      <w:pPr>
        <w:pStyle w:val="CommentText"/>
        <w:jc w:val="center"/>
        <w:rPr>
          <w:color w:val="000000"/>
          <w:szCs w:val="24"/>
        </w:rPr>
      </w:pPr>
    </w:p>
    <w:sectPr w:rsidSect="00B85AE8">
      <w:footerReference w:type="first" r:id="rId26"/>
      <w:pgSz w:w="12240" w:h="15840"/>
      <w:pgMar w:top="1440" w:right="1440" w:bottom="1440" w:left="1440" w:header="720" w:footer="720" w:gutter="0"/>
      <w:pgNumType w:start="2"/>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773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773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773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3695E">
      <w:rPr>
        <w:rStyle w:val="PageNumber"/>
        <w:noProof/>
      </w:rPr>
      <w:t>12</w:t>
    </w:r>
    <w:r>
      <w:rPr>
        <w:rStyle w:val="PageNumber"/>
      </w:rPr>
      <w:fldChar w:fldCharType="end"/>
    </w:r>
  </w:p>
  <w:p w:rsidR="00E773E4" w:rsidP="00B85A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5AE8">
    <w:pPr>
      <w:pStyle w:val="Footer"/>
      <w:jc w:val="center"/>
    </w:pPr>
    <w:r>
      <w:fldChar w:fldCharType="begin"/>
    </w:r>
    <w:r>
      <w:instrText xml:space="preserve"> PAGE   \* MERGEFORMAT </w:instrText>
    </w:r>
    <w:r>
      <w:fldChar w:fldCharType="separate"/>
    </w:r>
    <w:r w:rsidR="0053695E">
      <w:rPr>
        <w:noProof/>
      </w:rPr>
      <w:t>i</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3DF3">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E1C1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1668B">
      <w:r>
        <w:separator/>
      </w:r>
    </w:p>
  </w:footnote>
  <w:footnote w:type="continuationSeparator" w:id="1">
    <w:p w:rsidR="00A1668B">
      <w:r>
        <w:continuationSeparator/>
      </w:r>
    </w:p>
  </w:footnote>
  <w:footnote w:id="2">
    <w:p w:rsidR="00234C17" w:rsidRPr="009A15AE" w:rsidP="00883DF3">
      <w:pPr>
        <w:pStyle w:val="FootnoteText"/>
        <w:spacing w:after="120" w:line="240" w:lineRule="auto"/>
        <w:rPr>
          <w:sz w:val="20"/>
        </w:rPr>
      </w:pPr>
      <w:r w:rsidRPr="009A15AE">
        <w:rPr>
          <w:rStyle w:val="FootnoteReference"/>
          <w:sz w:val="20"/>
        </w:rPr>
        <w:footnoteRef/>
      </w:r>
      <w:r w:rsidRPr="009A15AE">
        <w:rPr>
          <w:sz w:val="20"/>
        </w:rPr>
        <w:t xml:space="preserve"> DP&amp;L’s initial comments largely are a cut and paste of its testimony filed in this case, which OCC and other parties addressed in their initial comments. OCC therefore has not specifically responded to each and every argument made by DP&amp;L in its initial comments so as to avoid filing reply comments that simply restate OCC’s initial comments.</w:t>
      </w:r>
    </w:p>
  </w:footnote>
  <w:footnote w:id="3">
    <w:p w:rsidR="0091135E" w:rsidRPr="009A15AE" w:rsidP="00883DF3">
      <w:pPr>
        <w:pStyle w:val="FootnoteText"/>
        <w:spacing w:after="120" w:line="240" w:lineRule="auto"/>
        <w:rPr>
          <w:sz w:val="20"/>
        </w:rPr>
      </w:pPr>
      <w:r w:rsidRPr="009A15AE">
        <w:rPr>
          <w:rStyle w:val="FootnoteReference"/>
          <w:sz w:val="20"/>
        </w:rPr>
        <w:footnoteRef/>
      </w:r>
      <w:r w:rsidRPr="009A15AE">
        <w:rPr>
          <w:sz w:val="20"/>
        </w:rPr>
        <w:t xml:space="preserve"> Initial Comments of the Dayton Power and Light Company at 3-4 (July 1, 2020) (the “DP&amp;L Comments”) (claiming that this subsidy must continue because DP&amp;L’s “projected return on equity is low” and its and its parent company’s credit ratings are “poor”).</w:t>
      </w:r>
    </w:p>
  </w:footnote>
  <w:footnote w:id="4">
    <w:p w:rsidR="009D65AB" w:rsidRPr="009A15AE" w:rsidP="00883DF3">
      <w:pPr>
        <w:pStyle w:val="FootnoteText"/>
        <w:spacing w:after="120" w:line="240" w:lineRule="auto"/>
        <w:rPr>
          <w:sz w:val="20"/>
        </w:rPr>
      </w:pPr>
      <w:r w:rsidRPr="009A15AE">
        <w:rPr>
          <w:rStyle w:val="FootnoteReference"/>
          <w:sz w:val="20"/>
        </w:rPr>
        <w:footnoteRef/>
      </w:r>
      <w:r w:rsidRPr="009A15AE">
        <w:rPr>
          <w:sz w:val="20"/>
        </w:rPr>
        <w:t xml:space="preserve"> DP&amp;L Comments at 7-8.</w:t>
      </w:r>
    </w:p>
  </w:footnote>
  <w:footnote w:id="5">
    <w:p w:rsidR="009D65AB" w:rsidRPr="009A15AE" w:rsidP="00883DF3">
      <w:pPr>
        <w:pStyle w:val="FootnoteText"/>
        <w:spacing w:after="120" w:line="240" w:lineRule="auto"/>
        <w:rPr>
          <w:sz w:val="20"/>
        </w:rPr>
      </w:pPr>
      <w:r w:rsidRPr="009A15AE">
        <w:rPr>
          <w:rStyle w:val="FootnoteReference"/>
          <w:sz w:val="20"/>
        </w:rPr>
        <w:footnoteRef/>
      </w:r>
      <w:r w:rsidRPr="009A15AE">
        <w:rPr>
          <w:sz w:val="20"/>
        </w:rPr>
        <w:t xml:space="preserve"> DP&amp;L Comments at 7.</w:t>
      </w:r>
    </w:p>
  </w:footnote>
  <w:footnote w:id="6">
    <w:p w:rsidR="0091135E" w:rsidRPr="009A15AE" w:rsidP="00883DF3">
      <w:pPr>
        <w:pStyle w:val="FootnoteText"/>
        <w:spacing w:after="120" w:line="240" w:lineRule="auto"/>
        <w:rPr>
          <w:sz w:val="20"/>
        </w:rPr>
      </w:pPr>
      <w:r w:rsidRPr="009A15AE">
        <w:rPr>
          <w:rStyle w:val="FootnoteReference"/>
          <w:sz w:val="20"/>
        </w:rPr>
        <w:footnoteRef/>
      </w:r>
      <w:r w:rsidRPr="009A15AE">
        <w:rPr>
          <w:sz w:val="20"/>
        </w:rPr>
        <w:t xml:space="preserve"> Initial Comments of the Ohio Hospital Association at 2 (July 1, 2020) (the “OHA Comments”).</w:t>
      </w:r>
    </w:p>
  </w:footnote>
  <w:footnote w:id="7">
    <w:p w:rsidR="0091135E" w:rsidRPr="009A15AE" w:rsidP="00883DF3">
      <w:pPr>
        <w:pStyle w:val="FootnoteText"/>
        <w:spacing w:after="120" w:line="240" w:lineRule="auto"/>
        <w:rPr>
          <w:sz w:val="20"/>
        </w:rPr>
      </w:pPr>
      <w:r w:rsidRPr="009A15AE">
        <w:rPr>
          <w:rStyle w:val="FootnoteReference"/>
          <w:sz w:val="20"/>
        </w:rPr>
        <w:footnoteRef/>
      </w:r>
      <w:r w:rsidRPr="009A15AE">
        <w:rPr>
          <w:sz w:val="20"/>
        </w:rPr>
        <w:t xml:space="preserve"> OHA Comments at 2.</w:t>
      </w:r>
    </w:p>
  </w:footnote>
  <w:footnote w:id="8">
    <w:p w:rsidR="006D3626" w:rsidRPr="009A15AE" w:rsidP="00883DF3">
      <w:pPr>
        <w:pStyle w:val="FootnoteText"/>
        <w:spacing w:after="120" w:line="240" w:lineRule="auto"/>
        <w:rPr>
          <w:sz w:val="20"/>
        </w:rPr>
      </w:pPr>
      <w:r w:rsidRPr="009A15AE">
        <w:rPr>
          <w:rStyle w:val="FootnoteReference"/>
          <w:sz w:val="20"/>
        </w:rPr>
        <w:footnoteRef/>
      </w:r>
      <w:r w:rsidRPr="009A15AE">
        <w:rPr>
          <w:sz w:val="20"/>
        </w:rPr>
        <w:t xml:space="preserve"> </w:t>
      </w:r>
      <w:r w:rsidRPr="009A15AE">
        <w:rPr>
          <w:i/>
          <w:sz w:val="20"/>
        </w:rPr>
        <w:t>See</w:t>
      </w:r>
      <w:r w:rsidRPr="009A15AE">
        <w:rPr>
          <w:sz w:val="20"/>
        </w:rPr>
        <w:t xml:space="preserve"> The Ohio Poverty Report at Table A7b, </w:t>
      </w:r>
      <w:r w:rsidRPr="009A15AE">
        <w:rPr>
          <w:i/>
          <w:sz w:val="20"/>
        </w:rPr>
        <w:t>available at</w:t>
      </w:r>
      <w:r w:rsidRPr="009A15AE">
        <w:rPr>
          <w:sz w:val="20"/>
        </w:rPr>
        <w:t xml:space="preserve"> </w:t>
      </w:r>
      <w:hyperlink r:id="rId1" w:history="1">
        <w:r w:rsidRPr="009A15AE">
          <w:rPr>
            <w:rStyle w:val="Hyperlink"/>
            <w:sz w:val="20"/>
          </w:rPr>
          <w:t>https://www.development.ohio.gov/files/research/p7005.pdf</w:t>
        </w:r>
      </w:hyperlink>
      <w:r w:rsidRPr="009A15AE">
        <w:rPr>
          <w:sz w:val="20"/>
        </w:rPr>
        <w:t>.</w:t>
      </w:r>
    </w:p>
  </w:footnote>
  <w:footnote w:id="9">
    <w:p w:rsidR="004677BF" w:rsidRPr="009A15AE" w:rsidP="00883DF3">
      <w:pPr>
        <w:pStyle w:val="FootnoteText"/>
        <w:spacing w:after="120" w:line="240" w:lineRule="auto"/>
        <w:rPr>
          <w:sz w:val="20"/>
        </w:rPr>
      </w:pPr>
      <w:r w:rsidRPr="009A15AE">
        <w:rPr>
          <w:rStyle w:val="FootnoteReference"/>
          <w:sz w:val="20"/>
        </w:rPr>
        <w:footnoteRef/>
      </w:r>
      <w:r w:rsidRPr="009A15AE">
        <w:rPr>
          <w:sz w:val="20"/>
        </w:rPr>
        <w:t xml:space="preserve"> </w:t>
      </w:r>
      <w:r w:rsidRPr="009A15AE">
        <w:rPr>
          <w:i/>
          <w:sz w:val="20"/>
        </w:rPr>
        <w:t>See</w:t>
      </w:r>
      <w:r w:rsidRPr="009A15AE">
        <w:rPr>
          <w:sz w:val="20"/>
        </w:rPr>
        <w:t xml:space="preserve"> Attachment CLS-1, page 5 (showing increase in new unemployment claims increasing from just 7,000 one week to 188,000 the following week in March 2020), </w:t>
      </w:r>
      <w:r w:rsidRPr="009A15AE">
        <w:rPr>
          <w:i/>
          <w:sz w:val="20"/>
        </w:rPr>
        <w:t xml:space="preserve">available at </w:t>
      </w:r>
      <w:hyperlink r:id="rId2" w:history="1">
        <w:r w:rsidRPr="009A15AE">
          <w:rPr>
            <w:rStyle w:val="Hyperlink"/>
            <w:sz w:val="20"/>
          </w:rPr>
          <w:t>http://dis.puc.state.oh.us/DocumentRecord.aspx?DocID=81288192-1735-42fe-954f-617e5a803598</w:t>
        </w:r>
      </w:hyperlink>
      <w:r w:rsidRPr="009A15AE">
        <w:rPr>
          <w:sz w:val="20"/>
        </w:rPr>
        <w:t>.</w:t>
      </w:r>
    </w:p>
  </w:footnote>
  <w:footnote w:id="10">
    <w:p w:rsidR="004677BF" w:rsidRPr="009A15AE" w:rsidP="00883DF3">
      <w:pPr>
        <w:pStyle w:val="FootnoteText"/>
        <w:spacing w:after="120" w:line="240" w:lineRule="auto"/>
        <w:rPr>
          <w:sz w:val="20"/>
        </w:rPr>
      </w:pPr>
      <w:r w:rsidRPr="009A15AE">
        <w:rPr>
          <w:rStyle w:val="FootnoteReference"/>
          <w:sz w:val="20"/>
        </w:rPr>
        <w:footnoteRef/>
      </w:r>
      <w:r w:rsidRPr="009A15AE">
        <w:rPr>
          <w:sz w:val="20"/>
        </w:rPr>
        <w:t xml:space="preserve"> </w:t>
      </w:r>
      <w:r w:rsidRPr="009A15AE">
        <w:rPr>
          <w:i/>
          <w:sz w:val="20"/>
        </w:rPr>
        <w:t>See</w:t>
      </w:r>
      <w:r w:rsidRPr="009A15AE">
        <w:rPr>
          <w:sz w:val="20"/>
        </w:rPr>
        <w:t xml:space="preserve"> </w:t>
      </w:r>
      <w:hyperlink r:id="rId3" w:history="1">
        <w:r w:rsidRPr="009A15AE">
          <w:rPr>
            <w:rStyle w:val="Hyperlink"/>
            <w:sz w:val="20"/>
          </w:rPr>
          <w:t>http://ohiofoodbanks.org/files/2019-20/Press-Release-OAF-urges-SNAP-increase-6.15.20.pdf</w:t>
        </w:r>
      </w:hyperlink>
      <w:r w:rsidRPr="009A15AE">
        <w:rPr>
          <w:sz w:val="20"/>
        </w:rPr>
        <w:t>.</w:t>
      </w:r>
    </w:p>
  </w:footnote>
  <w:footnote w:id="11">
    <w:p w:rsidR="00E560A3" w:rsidRPr="009A15AE" w:rsidP="00883DF3">
      <w:pPr>
        <w:pStyle w:val="FootnoteText"/>
        <w:spacing w:after="120" w:line="240" w:lineRule="auto"/>
        <w:rPr>
          <w:sz w:val="20"/>
        </w:rPr>
      </w:pPr>
      <w:r w:rsidRPr="009A15AE">
        <w:rPr>
          <w:rStyle w:val="FootnoteReference"/>
          <w:sz w:val="20"/>
        </w:rPr>
        <w:footnoteRef/>
      </w:r>
      <w:r w:rsidRPr="009A15AE">
        <w:rPr>
          <w:sz w:val="20"/>
        </w:rPr>
        <w:t xml:space="preserve"> </w:t>
      </w:r>
      <w:r w:rsidRPr="009A15AE">
        <w:rPr>
          <w:i/>
          <w:sz w:val="20"/>
        </w:rPr>
        <w:t>See</w:t>
      </w:r>
      <w:r w:rsidRPr="009A15AE">
        <w:rPr>
          <w:sz w:val="20"/>
        </w:rPr>
        <w:t xml:space="preserve"> </w:t>
      </w:r>
      <w:hyperlink r:id="rId4" w:history="1">
        <w:r w:rsidRPr="009A15AE">
          <w:rPr>
            <w:rStyle w:val="Hyperlink"/>
            <w:sz w:val="20"/>
          </w:rPr>
          <w:t>https://www.census.gov/data/tables/2020/demo/hhp/hhp8.html</w:t>
        </w:r>
      </w:hyperlink>
      <w:r w:rsidRPr="009A15AE">
        <w:rPr>
          <w:sz w:val="20"/>
        </w:rPr>
        <w:t>, Housing Tables, Table 1b, Ohio Tab.</w:t>
      </w:r>
    </w:p>
  </w:footnote>
  <w:footnote w:id="12">
    <w:p w:rsidR="0053695E" w:rsidRPr="009A15AE" w:rsidP="0053695E">
      <w:pPr>
        <w:pStyle w:val="FootnoteText"/>
        <w:spacing w:after="120" w:line="240" w:lineRule="auto"/>
        <w:rPr>
          <w:sz w:val="20"/>
        </w:rPr>
      </w:pPr>
      <w:r w:rsidRPr="009A15AE">
        <w:rPr>
          <w:rStyle w:val="FootnoteReference"/>
          <w:sz w:val="20"/>
        </w:rPr>
        <w:footnoteRef/>
      </w:r>
      <w:r w:rsidRPr="009A15AE">
        <w:rPr>
          <w:sz w:val="20"/>
        </w:rPr>
        <w:t xml:space="preserve"> DP&amp;L Comments at 7.</w:t>
      </w:r>
    </w:p>
  </w:footnote>
  <w:footnote w:id="13">
    <w:p w:rsidR="008C3D4F" w:rsidRPr="009A15AE" w:rsidP="00883DF3">
      <w:pPr>
        <w:pStyle w:val="FootnoteText"/>
        <w:spacing w:after="120" w:line="240" w:lineRule="auto"/>
        <w:rPr>
          <w:sz w:val="20"/>
        </w:rPr>
      </w:pPr>
      <w:r w:rsidRPr="009A15AE">
        <w:rPr>
          <w:rStyle w:val="FootnoteReference"/>
          <w:sz w:val="20"/>
        </w:rPr>
        <w:footnoteRef/>
      </w:r>
      <w:r w:rsidRPr="009A15AE">
        <w:rPr>
          <w:sz w:val="20"/>
        </w:rPr>
        <w:t xml:space="preserve"> DP&amp;L Comments at 7.</w:t>
      </w:r>
    </w:p>
  </w:footnote>
  <w:footnote w:id="14">
    <w:p w:rsidR="008C3D4F" w:rsidRPr="009A15AE" w:rsidP="00883DF3">
      <w:pPr>
        <w:pStyle w:val="FootnoteText"/>
        <w:spacing w:after="120" w:line="240" w:lineRule="auto"/>
        <w:rPr>
          <w:sz w:val="20"/>
        </w:rPr>
      </w:pPr>
      <w:r w:rsidRPr="009A15AE">
        <w:rPr>
          <w:rStyle w:val="FootnoteReference"/>
          <w:sz w:val="20"/>
        </w:rPr>
        <w:footnoteRef/>
      </w:r>
      <w:r w:rsidRPr="009A15AE">
        <w:rPr>
          <w:sz w:val="20"/>
        </w:rPr>
        <w:t xml:space="preserve"> </w:t>
      </w:r>
      <w:r w:rsidRPr="009A15AE">
        <w:rPr>
          <w:i/>
          <w:sz w:val="20"/>
        </w:rPr>
        <w:t>See</w:t>
      </w:r>
      <w:r w:rsidRPr="009A15AE">
        <w:rPr>
          <w:sz w:val="20"/>
        </w:rPr>
        <w:t xml:space="preserve"> </w:t>
      </w:r>
      <w:hyperlink r:id="rId5" w:history="1">
        <w:r w:rsidRPr="009A15AE">
          <w:rPr>
            <w:rStyle w:val="Hyperlink"/>
            <w:sz w:val="20"/>
          </w:rPr>
          <w:t>https://www.eia.gov/outlooks/steo/</w:t>
        </w:r>
      </w:hyperlink>
      <w:r w:rsidRPr="009A15AE" w:rsidR="00883DF3">
        <w:rPr>
          <w:rStyle w:val="Hyperlink"/>
          <w:color w:val="auto"/>
          <w:sz w:val="20"/>
          <w:u w:val="none"/>
        </w:rPr>
        <w:t>.</w:t>
      </w:r>
    </w:p>
  </w:footnote>
  <w:footnote w:id="15">
    <w:p w:rsidR="008C5277" w:rsidRPr="009A15AE" w:rsidP="00883DF3">
      <w:pPr>
        <w:pStyle w:val="FootnoteText"/>
        <w:spacing w:after="120" w:line="240" w:lineRule="auto"/>
        <w:rPr>
          <w:sz w:val="20"/>
        </w:rPr>
      </w:pPr>
      <w:r w:rsidRPr="009A15AE">
        <w:rPr>
          <w:rStyle w:val="FootnoteReference"/>
          <w:sz w:val="20"/>
        </w:rPr>
        <w:footnoteRef/>
      </w:r>
      <w:r w:rsidRPr="009A15AE">
        <w:rPr>
          <w:sz w:val="20"/>
        </w:rPr>
        <w:t xml:space="preserve"> DP&amp;L Comments at 12.</w:t>
      </w:r>
    </w:p>
  </w:footnote>
  <w:footnote w:id="16">
    <w:p w:rsidR="008C5277" w:rsidRPr="009A15AE" w:rsidP="00883DF3">
      <w:pPr>
        <w:pStyle w:val="FootnoteText"/>
        <w:spacing w:after="120" w:line="240" w:lineRule="auto"/>
        <w:rPr>
          <w:sz w:val="20"/>
        </w:rPr>
      </w:pPr>
      <w:r w:rsidRPr="009A15AE">
        <w:rPr>
          <w:rStyle w:val="FootnoteReference"/>
          <w:sz w:val="20"/>
        </w:rPr>
        <w:footnoteRef/>
      </w:r>
      <w:r w:rsidRPr="009A15AE">
        <w:rPr>
          <w:sz w:val="20"/>
        </w:rPr>
        <w:t xml:space="preserve"> OCC Comments at 9-10. </w:t>
      </w:r>
    </w:p>
  </w:footnote>
  <w:footnote w:id="17">
    <w:p w:rsidR="00E86CBE" w:rsidRPr="009A15AE" w:rsidP="00883DF3">
      <w:pPr>
        <w:pStyle w:val="FootnoteText"/>
        <w:spacing w:after="120" w:line="240" w:lineRule="auto"/>
        <w:rPr>
          <w:sz w:val="20"/>
        </w:rPr>
      </w:pPr>
      <w:r w:rsidRPr="009A15AE">
        <w:rPr>
          <w:rStyle w:val="FootnoteReference"/>
          <w:sz w:val="20"/>
        </w:rPr>
        <w:footnoteRef/>
      </w:r>
      <w:r w:rsidRPr="009A15AE">
        <w:rPr>
          <w:sz w:val="20"/>
        </w:rPr>
        <w:t xml:space="preserve"> Comments of the Ohio Energy Group at 4 (July 1, 2020) (the “OEG Comments”).</w:t>
      </w:r>
    </w:p>
  </w:footnote>
  <w:footnote w:id="18">
    <w:p w:rsidR="00E86CBE" w:rsidRPr="009A15AE" w:rsidP="00883DF3">
      <w:pPr>
        <w:pStyle w:val="FootnoteText"/>
        <w:spacing w:after="120" w:line="240" w:lineRule="auto"/>
        <w:rPr>
          <w:sz w:val="20"/>
        </w:rPr>
      </w:pPr>
      <w:r w:rsidRPr="009A15AE">
        <w:rPr>
          <w:rStyle w:val="FootnoteReference"/>
          <w:sz w:val="20"/>
        </w:rPr>
        <w:footnoteRef/>
      </w:r>
      <w:r w:rsidRPr="009A15AE">
        <w:rPr>
          <w:sz w:val="20"/>
        </w:rPr>
        <w:t xml:space="preserve"> OCC Comments at 11-16.</w:t>
      </w:r>
    </w:p>
  </w:footnote>
  <w:footnote w:id="19">
    <w:p w:rsidR="00C611B7" w:rsidRPr="009A15AE" w:rsidP="00883DF3">
      <w:pPr>
        <w:pStyle w:val="FootnoteText"/>
        <w:spacing w:after="120" w:line="240" w:lineRule="auto"/>
        <w:rPr>
          <w:sz w:val="20"/>
        </w:rPr>
      </w:pPr>
      <w:r w:rsidRPr="009A15AE">
        <w:rPr>
          <w:rStyle w:val="FootnoteReference"/>
          <w:sz w:val="20"/>
        </w:rPr>
        <w:footnoteRef/>
      </w:r>
      <w:r w:rsidRPr="009A15AE">
        <w:rPr>
          <w:sz w:val="20"/>
        </w:rPr>
        <w:t xml:space="preserve"> OEG Comments at 4.</w:t>
      </w:r>
    </w:p>
  </w:footnote>
  <w:footnote w:id="20">
    <w:p w:rsidR="00C611B7" w:rsidRPr="009A15AE" w:rsidP="00883DF3">
      <w:pPr>
        <w:pStyle w:val="FootnoteText"/>
        <w:spacing w:after="120" w:line="240" w:lineRule="auto"/>
        <w:rPr>
          <w:sz w:val="20"/>
        </w:rPr>
      </w:pPr>
      <w:r w:rsidRPr="009A15AE">
        <w:rPr>
          <w:rStyle w:val="FootnoteReference"/>
          <w:sz w:val="20"/>
        </w:rPr>
        <w:footnoteRef/>
      </w:r>
      <w:r w:rsidRPr="009A15AE">
        <w:rPr>
          <w:sz w:val="20"/>
        </w:rPr>
        <w:t xml:space="preserve"> OCC Comments at 14.</w:t>
      </w:r>
    </w:p>
  </w:footnote>
  <w:footnote w:id="21">
    <w:p w:rsidR="00C611B7" w:rsidRPr="009A15AE" w:rsidP="00883DF3">
      <w:pPr>
        <w:pStyle w:val="FootnoteText"/>
        <w:spacing w:after="120" w:line="240" w:lineRule="auto"/>
        <w:rPr>
          <w:sz w:val="20"/>
        </w:rPr>
      </w:pPr>
      <w:r w:rsidRPr="009A15AE">
        <w:rPr>
          <w:rStyle w:val="FootnoteReference"/>
          <w:sz w:val="20"/>
        </w:rPr>
        <w:footnoteRef/>
      </w:r>
      <w:r w:rsidRPr="009A15AE">
        <w:rPr>
          <w:sz w:val="20"/>
        </w:rPr>
        <w:t xml:space="preserve"> OEG Comments at 5.</w:t>
      </w:r>
    </w:p>
  </w:footnote>
  <w:footnote w:id="22">
    <w:p w:rsidR="00D50D96" w:rsidRPr="009A15AE" w:rsidP="00883DF3">
      <w:pPr>
        <w:pStyle w:val="FootnoteText"/>
        <w:spacing w:after="120" w:line="240" w:lineRule="auto"/>
        <w:rPr>
          <w:sz w:val="20"/>
        </w:rPr>
      </w:pPr>
      <w:r w:rsidRPr="009A15AE">
        <w:rPr>
          <w:rStyle w:val="FootnoteReference"/>
          <w:sz w:val="20"/>
        </w:rPr>
        <w:footnoteRef/>
      </w:r>
      <w:r w:rsidRPr="009A15AE">
        <w:rPr>
          <w:sz w:val="20"/>
        </w:rPr>
        <w:t xml:space="preserve"> R.C. 4928.143(E).</w:t>
      </w:r>
    </w:p>
  </w:footnote>
  <w:footnote w:id="23">
    <w:p w:rsidR="00D50D96" w:rsidRPr="009A15AE" w:rsidP="00883DF3">
      <w:pPr>
        <w:pStyle w:val="FootnoteText"/>
        <w:spacing w:after="120" w:line="240" w:lineRule="auto"/>
        <w:rPr>
          <w:sz w:val="20"/>
        </w:rPr>
      </w:pPr>
      <w:r w:rsidRPr="009A15AE">
        <w:rPr>
          <w:rStyle w:val="FootnoteReference"/>
          <w:sz w:val="20"/>
        </w:rPr>
        <w:footnoteRef/>
      </w:r>
      <w:r w:rsidRPr="009A15AE">
        <w:rPr>
          <w:sz w:val="20"/>
        </w:rPr>
        <w:t xml:space="preserve"> OEG Comments at 6.</w:t>
      </w:r>
    </w:p>
  </w:footnote>
  <w:footnote w:id="24">
    <w:p w:rsidR="00FB450C" w:rsidRPr="009A15AE" w:rsidP="00883DF3">
      <w:pPr>
        <w:pStyle w:val="FootnoteText"/>
        <w:spacing w:after="120" w:line="240" w:lineRule="auto"/>
        <w:rPr>
          <w:sz w:val="20"/>
        </w:rPr>
      </w:pPr>
      <w:r w:rsidRPr="009A15AE">
        <w:rPr>
          <w:rStyle w:val="FootnoteReference"/>
          <w:sz w:val="20"/>
        </w:rPr>
        <w:footnoteRef/>
      </w:r>
      <w:r w:rsidRPr="009A15AE">
        <w:rPr>
          <w:sz w:val="20"/>
        </w:rPr>
        <w:t xml:space="preserve"> </w:t>
      </w:r>
      <w:r w:rsidRPr="009A15AE">
        <w:rPr>
          <w:i/>
          <w:sz w:val="20"/>
        </w:rPr>
        <w:t>See</w:t>
      </w:r>
      <w:r w:rsidRPr="009A15AE">
        <w:rPr>
          <w:sz w:val="20"/>
        </w:rPr>
        <w:t xml:space="preserve"> </w:t>
      </w:r>
      <w:r w:rsidRPr="009A15AE" w:rsidR="00457EBD">
        <w:rPr>
          <w:sz w:val="20"/>
        </w:rPr>
        <w:t xml:space="preserve">Fiscal Note &amp; Local Impact Statement, House Bill 247 (132nd Gen. Assembly) (May 24, 2017), </w:t>
      </w:r>
      <w:r w:rsidRPr="009A15AE" w:rsidR="00457EBD">
        <w:rPr>
          <w:i/>
          <w:sz w:val="20"/>
        </w:rPr>
        <w:t>available at</w:t>
      </w:r>
      <w:r w:rsidRPr="009A15AE" w:rsidR="00457EBD">
        <w:rPr>
          <w:sz w:val="20"/>
        </w:rPr>
        <w:t xml:space="preserve"> </w:t>
      </w:r>
      <w:hyperlink r:id="rId6" w:history="1">
        <w:r w:rsidRPr="009A15AE">
          <w:rPr>
            <w:rStyle w:val="Hyperlink"/>
            <w:sz w:val="20"/>
          </w:rPr>
          <w:t>https://www.legislature.ohio.gov/download?key=8111&amp;format=pdf</w:t>
        </w:r>
      </w:hyperlink>
      <w:r w:rsidRPr="009A15AE">
        <w:rPr>
          <w:sz w:val="20"/>
        </w:rPr>
        <w:t xml:space="preserve">. </w:t>
      </w:r>
    </w:p>
  </w:footnote>
  <w:footnote w:id="25">
    <w:p w:rsidR="00E86CBE" w:rsidRPr="009A15AE" w:rsidP="00883DF3">
      <w:pPr>
        <w:pStyle w:val="FootnoteText"/>
        <w:spacing w:after="120" w:line="240" w:lineRule="auto"/>
        <w:rPr>
          <w:sz w:val="20"/>
        </w:rPr>
      </w:pPr>
      <w:r w:rsidRPr="009A15AE">
        <w:rPr>
          <w:rStyle w:val="FootnoteReference"/>
          <w:sz w:val="20"/>
        </w:rPr>
        <w:footnoteRef/>
      </w:r>
      <w:r w:rsidRPr="009A15AE">
        <w:rPr>
          <w:sz w:val="20"/>
        </w:rPr>
        <w:t xml:space="preserve"> OEG Comments at 3.</w:t>
      </w:r>
    </w:p>
  </w:footnote>
  <w:footnote w:id="26">
    <w:p w:rsidR="009B21E1" w:rsidRPr="009A15AE" w:rsidP="00883DF3">
      <w:pPr>
        <w:pStyle w:val="FootnoteText"/>
        <w:spacing w:after="120" w:line="240" w:lineRule="auto"/>
        <w:rPr>
          <w:sz w:val="20"/>
        </w:rPr>
      </w:pPr>
      <w:r w:rsidRPr="009A15AE">
        <w:rPr>
          <w:rStyle w:val="FootnoteReference"/>
          <w:sz w:val="20"/>
        </w:rPr>
        <w:footnoteRef/>
      </w:r>
      <w:r w:rsidRPr="009A15AE">
        <w:rPr>
          <w:sz w:val="20"/>
        </w:rPr>
        <w:t xml:space="preserve"> </w:t>
      </w:r>
      <w:r w:rsidRPr="009A15AE">
        <w:rPr>
          <w:i/>
          <w:sz w:val="20"/>
        </w:rPr>
        <w:t>See generally</w:t>
      </w:r>
      <w:r w:rsidRPr="009A15AE">
        <w:rPr>
          <w:sz w:val="20"/>
        </w:rPr>
        <w:t xml:space="preserve"> Initial Comments of Interstate Gas Supply, Inc. (July 1, 2020) (the “IGS Comments”).</w:t>
      </w:r>
    </w:p>
  </w:footnote>
  <w:footnote w:id="27">
    <w:p w:rsidR="009B21E1" w:rsidRPr="009A15AE" w:rsidP="00883DF3">
      <w:pPr>
        <w:pStyle w:val="FootnoteText"/>
        <w:spacing w:after="120" w:line="240" w:lineRule="auto"/>
        <w:rPr>
          <w:sz w:val="20"/>
        </w:rPr>
      </w:pPr>
      <w:r w:rsidRPr="009A15AE">
        <w:rPr>
          <w:rStyle w:val="FootnoteReference"/>
          <w:sz w:val="20"/>
        </w:rPr>
        <w:footnoteRef/>
      </w:r>
      <w:r w:rsidRPr="009A15AE">
        <w:rPr>
          <w:sz w:val="20"/>
        </w:rPr>
        <w:t xml:space="preserve"> </w:t>
      </w:r>
      <w:r w:rsidRPr="009A15AE" w:rsidR="009362B6">
        <w:rPr>
          <w:sz w:val="20"/>
        </w:rPr>
        <w:t>IGS Comments at 5 (emphasis added).</w:t>
      </w:r>
    </w:p>
  </w:footnote>
  <w:footnote w:id="28">
    <w:p w:rsidR="009B21E1" w:rsidRPr="009A15AE" w:rsidP="00883DF3">
      <w:pPr>
        <w:pStyle w:val="FootnoteText"/>
        <w:spacing w:after="120" w:line="240" w:lineRule="auto"/>
        <w:rPr>
          <w:sz w:val="20"/>
        </w:rPr>
      </w:pPr>
      <w:r w:rsidRPr="009A15AE">
        <w:rPr>
          <w:rStyle w:val="FootnoteReference"/>
          <w:sz w:val="20"/>
        </w:rPr>
        <w:footnoteRef/>
      </w:r>
      <w:r w:rsidRPr="009A15AE">
        <w:rPr>
          <w:sz w:val="20"/>
        </w:rPr>
        <w:t xml:space="preserve"> </w:t>
      </w:r>
      <w:r w:rsidRPr="009A15AE">
        <w:rPr>
          <w:i/>
          <w:sz w:val="20"/>
        </w:rPr>
        <w:t>See</w:t>
      </w:r>
      <w:r w:rsidRPr="009A15AE">
        <w:rPr>
          <w:sz w:val="20"/>
        </w:rPr>
        <w:t xml:space="preserve"> </w:t>
      </w:r>
      <w:hyperlink r:id="rId7" w:history="1">
        <w:r w:rsidRPr="009A15AE">
          <w:rPr>
            <w:rStyle w:val="Hyperlink"/>
            <w:sz w:val="20"/>
          </w:rPr>
          <w:t>https://puco.ohio.gov/wps/portal/gov/puco/utilities/electricity/resources/ohio-customer-choice-activity</w:t>
        </w:r>
      </w:hyperlink>
      <w:r w:rsidRPr="009A15AE">
        <w:rPr>
          <w:sz w:val="20"/>
        </w:rPr>
        <w:t xml:space="preserve"> (data for DP&amp;L showing that residential SSO customers </w:t>
      </w:r>
      <w:r w:rsidRPr="009A15AE" w:rsidR="00061E38">
        <w:rPr>
          <w:sz w:val="20"/>
        </w:rPr>
        <w:t>account for</w:t>
      </w:r>
      <w:r w:rsidRPr="009A15AE">
        <w:rPr>
          <w:sz w:val="20"/>
        </w:rPr>
        <w:t xml:space="preserve"> </w:t>
      </w:r>
      <w:r w:rsidRPr="009A15AE" w:rsidR="00061E38">
        <w:rPr>
          <w:sz w:val="20"/>
        </w:rPr>
        <w:t>about 52.5% of total residential usage, meaning they currently pay about 52.5% of Rate Stabilization Charges but under IGS’s proposal would pay 100%).</w:t>
      </w:r>
    </w:p>
  </w:footnote>
  <w:footnote w:id="29">
    <w:p w:rsidR="007117EC" w:rsidRPr="009A15AE" w:rsidP="00883DF3">
      <w:pPr>
        <w:pStyle w:val="FootnoteText"/>
        <w:spacing w:after="120" w:line="240" w:lineRule="auto"/>
        <w:rPr>
          <w:sz w:val="20"/>
        </w:rPr>
      </w:pPr>
      <w:r w:rsidRPr="009A15AE">
        <w:rPr>
          <w:rStyle w:val="FootnoteReference"/>
          <w:sz w:val="20"/>
        </w:rPr>
        <w:footnoteRef/>
      </w:r>
      <w:r w:rsidRPr="009A15AE">
        <w:rPr>
          <w:sz w:val="20"/>
        </w:rPr>
        <w:t xml:space="preserve"> </w:t>
      </w:r>
      <w:r w:rsidRPr="009A15AE">
        <w:rPr>
          <w:i/>
          <w:sz w:val="20"/>
        </w:rPr>
        <w:t>See</w:t>
      </w:r>
      <w:r w:rsidRPr="009A15AE">
        <w:rPr>
          <w:sz w:val="20"/>
        </w:rPr>
        <w:t xml:space="preserve"> Tariff Sheet G12 ($0.00634/kWh for the first 750 kWh and $0.00517 for additional kWh, and assuming 1,000 kWh for a typical DP&amp;L residential customer).</w:t>
      </w:r>
    </w:p>
  </w:footnote>
  <w:footnote w:id="30">
    <w:p w:rsidR="009362B6" w:rsidRPr="009A15AE" w:rsidP="00883DF3">
      <w:pPr>
        <w:pStyle w:val="FootnoteText"/>
        <w:spacing w:after="120" w:line="240" w:lineRule="auto"/>
        <w:rPr>
          <w:sz w:val="20"/>
        </w:rPr>
      </w:pPr>
      <w:r w:rsidRPr="009A15AE">
        <w:rPr>
          <w:rStyle w:val="FootnoteReference"/>
          <w:sz w:val="20"/>
        </w:rPr>
        <w:footnoteRef/>
      </w:r>
      <w:r w:rsidRPr="009A15AE">
        <w:rPr>
          <w:sz w:val="20"/>
        </w:rPr>
        <w:t xml:space="preserve"> Case No. 16-395-EL-SSO, Opinion &amp; Order (Oct</w:t>
      </w:r>
      <w:r w:rsidRPr="009A15AE" w:rsidR="00883DF3">
        <w:rPr>
          <w:sz w:val="20"/>
        </w:rPr>
        <w:t>ober</w:t>
      </w:r>
      <w:r w:rsidRPr="009A15AE">
        <w:rPr>
          <w:sz w:val="20"/>
        </w:rPr>
        <w:t xml:space="preserve"> 20, 2017).</w:t>
      </w:r>
    </w:p>
  </w:footnote>
  <w:footnote w:id="31">
    <w:p w:rsidR="009362B6" w:rsidRPr="009A15AE" w:rsidP="00883DF3">
      <w:pPr>
        <w:pStyle w:val="FootnoteText"/>
        <w:spacing w:after="120" w:line="240" w:lineRule="auto"/>
        <w:rPr>
          <w:sz w:val="20"/>
        </w:rPr>
      </w:pPr>
      <w:r w:rsidRPr="009A15AE">
        <w:rPr>
          <w:rStyle w:val="FootnoteReference"/>
          <w:sz w:val="20"/>
        </w:rPr>
        <w:footnoteRef/>
      </w:r>
      <w:r w:rsidRPr="009A15AE">
        <w:rPr>
          <w:sz w:val="20"/>
        </w:rPr>
        <w:t xml:space="preserve"> Case No. 16-395-EL-SSO, Opinion &amp; Order ¶¶ 63, 119 (Oct</w:t>
      </w:r>
      <w:r w:rsidRPr="009A15AE" w:rsidR="00883DF3">
        <w:rPr>
          <w:sz w:val="20"/>
        </w:rPr>
        <w:t>ober</w:t>
      </w:r>
      <w:r w:rsidRPr="009A15AE">
        <w:rPr>
          <w:sz w:val="20"/>
        </w:rPr>
        <w:t xml:space="preserve"> 20,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27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DE67FB"/>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07FE3E20"/>
    <w:multiLevelType w:val="hybridMultilevel"/>
    <w:tmpl w:val="1C72B7F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3DD4378"/>
    <w:multiLevelType w:val="singleLevel"/>
    <w:tmpl w:val="0409000F"/>
    <w:lvl w:ilvl="0">
      <w:start w:val="1"/>
      <w:numFmt w:val="decimal"/>
      <w:lvlText w:val="%1."/>
      <w:lvlJc w:val="left"/>
      <w:pPr>
        <w:tabs>
          <w:tab w:val="num" w:pos="360"/>
        </w:tabs>
        <w:ind w:left="360" w:hanging="360"/>
      </w:pPr>
    </w:lvl>
  </w:abstractNum>
  <w:abstractNum w:abstractNumId="3">
    <w:nsid w:val="13FF419B"/>
    <w:multiLevelType w:val="singleLevel"/>
    <w:tmpl w:val="549EA2D2"/>
    <w:lvl w:ilvl="0">
      <w:start w:val="1"/>
      <w:numFmt w:val="upperRoman"/>
      <w:lvlText w:val="%1."/>
      <w:lvlJc w:val="left"/>
      <w:pPr>
        <w:tabs>
          <w:tab w:val="num" w:pos="720"/>
        </w:tabs>
        <w:ind w:left="720" w:hanging="720"/>
      </w:pPr>
      <w:rPr>
        <w:rFonts w:hint="default"/>
      </w:rPr>
    </w:lvl>
  </w:abstractNum>
  <w:abstractNum w:abstractNumId="4">
    <w:nsid w:val="1D0D27D0"/>
    <w:multiLevelType w:val="singleLevel"/>
    <w:tmpl w:val="1D2EE848"/>
    <w:lvl w:ilvl="0">
      <w:start w:val="1"/>
      <w:numFmt w:val="lowerLetter"/>
      <w:lvlText w:val="%1."/>
      <w:lvlJc w:val="left"/>
      <w:pPr>
        <w:tabs>
          <w:tab w:val="num" w:pos="2880"/>
        </w:tabs>
        <w:ind w:left="2880" w:hanging="720"/>
      </w:pPr>
      <w:rPr>
        <w:rFonts w:hint="default"/>
      </w:rPr>
    </w:lvl>
  </w:abstractNum>
  <w:abstractNum w:abstractNumId="5">
    <w:nsid w:val="1E0A1400"/>
    <w:multiLevelType w:val="singleLevel"/>
    <w:tmpl w:val="0409000F"/>
    <w:lvl w:ilvl="0">
      <w:start w:val="1"/>
      <w:numFmt w:val="decimal"/>
      <w:lvlText w:val="%1."/>
      <w:lvlJc w:val="left"/>
      <w:pPr>
        <w:tabs>
          <w:tab w:val="num" w:pos="360"/>
        </w:tabs>
        <w:ind w:left="360" w:hanging="360"/>
      </w:pPr>
    </w:lvl>
  </w:abstractNum>
  <w:abstractNum w:abstractNumId="6">
    <w:nsid w:val="1FD2648A"/>
    <w:multiLevelType w:val="singleLevel"/>
    <w:tmpl w:val="952084DC"/>
    <w:lvl w:ilvl="0">
      <w:start w:val="3"/>
      <w:numFmt w:val="upperRoman"/>
      <w:lvlText w:val="%1."/>
      <w:lvlJc w:val="left"/>
      <w:pPr>
        <w:tabs>
          <w:tab w:val="num" w:pos="720"/>
        </w:tabs>
        <w:ind w:left="720" w:hanging="720"/>
      </w:pPr>
      <w:rPr>
        <w:rFonts w:hint="default"/>
      </w:rPr>
    </w:lvl>
  </w:abstractNum>
  <w:abstractNum w:abstractNumId="7">
    <w:nsid w:val="2D5F434F"/>
    <w:multiLevelType w:val="singleLevel"/>
    <w:tmpl w:val="02B2A780"/>
    <w:lvl w:ilvl="0">
      <w:start w:val="4"/>
      <w:numFmt w:val="upperRoman"/>
      <w:lvlText w:val="%1."/>
      <w:lvlJc w:val="left"/>
      <w:pPr>
        <w:tabs>
          <w:tab w:val="num" w:pos="720"/>
        </w:tabs>
        <w:ind w:left="720" w:hanging="720"/>
      </w:pPr>
      <w:rPr>
        <w:rFonts w:hint="default"/>
      </w:rPr>
    </w:lvl>
  </w:abstractNum>
  <w:abstractNum w:abstractNumId="8">
    <w:nsid w:val="370500EF"/>
    <w:multiLevelType w:val="singleLevel"/>
    <w:tmpl w:val="FE5E1E8A"/>
    <w:lvl w:ilvl="0">
      <w:start w:val="2"/>
      <w:numFmt w:val="upperRoman"/>
      <w:lvlText w:val="%1."/>
      <w:lvlJc w:val="left"/>
      <w:pPr>
        <w:tabs>
          <w:tab w:val="num" w:pos="720"/>
        </w:tabs>
        <w:ind w:left="720" w:hanging="720"/>
      </w:pPr>
      <w:rPr>
        <w:rFonts w:hint="default"/>
      </w:rPr>
    </w:lvl>
  </w:abstractNum>
  <w:abstractNum w:abstractNumId="9">
    <w:nsid w:val="3740500C"/>
    <w:multiLevelType w:val="singleLevel"/>
    <w:tmpl w:val="56C8A038"/>
    <w:lvl w:ilvl="0">
      <w:start w:val="1"/>
      <w:numFmt w:val="upperRoman"/>
      <w:lvlText w:val="%1."/>
      <w:lvlJc w:val="left"/>
      <w:pPr>
        <w:tabs>
          <w:tab w:val="num" w:pos="720"/>
        </w:tabs>
        <w:ind w:left="720" w:hanging="720"/>
      </w:pPr>
      <w:rPr>
        <w:rFonts w:hint="default"/>
      </w:rPr>
    </w:lvl>
  </w:abstractNum>
  <w:abstractNum w:abstractNumId="10">
    <w:nsid w:val="390823B7"/>
    <w:multiLevelType w:val="hybridMultilevel"/>
    <w:tmpl w:val="B230826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4875050A"/>
    <w:multiLevelType w:val="singleLevel"/>
    <w:tmpl w:val="2480B290"/>
    <w:lvl w:ilvl="0">
      <w:start w:val="1"/>
      <w:numFmt w:val="upperLetter"/>
      <w:lvlText w:val="%1."/>
      <w:lvlJc w:val="left"/>
      <w:pPr>
        <w:tabs>
          <w:tab w:val="num" w:pos="1440"/>
        </w:tabs>
        <w:ind w:left="1440" w:hanging="720"/>
      </w:pPr>
      <w:rPr>
        <w:rFonts w:hint="default"/>
      </w:rPr>
    </w:lvl>
  </w:abstractNum>
  <w:abstractNum w:abstractNumId="12">
    <w:nsid w:val="4E9B603D"/>
    <w:multiLevelType w:val="singleLevel"/>
    <w:tmpl w:val="9FA87E42"/>
    <w:lvl w:ilvl="0">
      <w:start w:val="3"/>
      <w:numFmt w:val="decimal"/>
      <w:lvlText w:val="%1."/>
      <w:lvlJc w:val="left"/>
      <w:pPr>
        <w:tabs>
          <w:tab w:val="num" w:pos="2160"/>
        </w:tabs>
        <w:ind w:left="2160" w:hanging="720"/>
      </w:pPr>
      <w:rPr>
        <w:rFonts w:hint="default"/>
        <w:u w:val="none"/>
      </w:rPr>
    </w:lvl>
  </w:abstractNum>
  <w:abstractNum w:abstractNumId="13">
    <w:nsid w:val="51AA39F9"/>
    <w:multiLevelType w:val="hybridMultilevel"/>
    <w:tmpl w:val="78746A2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52706571"/>
    <w:multiLevelType w:val="singleLevel"/>
    <w:tmpl w:val="C8503708"/>
    <w:lvl w:ilvl="0">
      <w:start w:val="1"/>
      <w:numFmt w:val="upperLetter"/>
      <w:lvlText w:val="%1."/>
      <w:lvlJc w:val="left"/>
      <w:pPr>
        <w:tabs>
          <w:tab w:val="num" w:pos="1440"/>
        </w:tabs>
        <w:ind w:left="1440" w:hanging="720"/>
      </w:pPr>
      <w:rPr>
        <w:rFonts w:hint="default"/>
      </w:rPr>
    </w:lvl>
  </w:abstractNum>
  <w:abstractNum w:abstractNumId="15">
    <w:nsid w:val="5DCD4C69"/>
    <w:multiLevelType w:val="singleLevel"/>
    <w:tmpl w:val="0409000F"/>
    <w:lvl w:ilvl="0">
      <w:start w:val="1"/>
      <w:numFmt w:val="decimal"/>
      <w:lvlText w:val="%1."/>
      <w:lvlJc w:val="left"/>
      <w:pPr>
        <w:tabs>
          <w:tab w:val="num" w:pos="360"/>
        </w:tabs>
        <w:ind w:left="360" w:hanging="360"/>
      </w:pPr>
    </w:lvl>
  </w:abstractNum>
  <w:abstractNum w:abstractNumId="16">
    <w:nsid w:val="66D42EA9"/>
    <w:multiLevelType w:val="singleLevel"/>
    <w:tmpl w:val="66729428"/>
    <w:lvl w:ilvl="0">
      <w:start w:val="2"/>
      <w:numFmt w:val="lowerLetter"/>
      <w:lvlText w:val="%1."/>
      <w:lvlJc w:val="left"/>
      <w:pPr>
        <w:tabs>
          <w:tab w:val="num" w:pos="2880"/>
        </w:tabs>
        <w:ind w:left="2880" w:hanging="720"/>
      </w:pPr>
      <w:rPr>
        <w:rFonts w:hint="default"/>
      </w:rPr>
    </w:lvl>
  </w:abstractNum>
  <w:abstractNum w:abstractNumId="17">
    <w:nsid w:val="6C584359"/>
    <w:multiLevelType w:val="singleLevel"/>
    <w:tmpl w:val="317600EC"/>
    <w:lvl w:ilvl="0">
      <w:start w:val="3"/>
      <w:numFmt w:val="upperRoman"/>
      <w:lvlText w:val="%1."/>
      <w:lvlJc w:val="left"/>
      <w:pPr>
        <w:tabs>
          <w:tab w:val="num" w:pos="720"/>
        </w:tabs>
        <w:ind w:left="720" w:hanging="720"/>
      </w:pPr>
      <w:rPr>
        <w:rFonts w:hint="default"/>
      </w:rPr>
    </w:lvl>
  </w:abstractNum>
  <w:abstractNum w:abstractNumId="18">
    <w:nsid w:val="6C6B197E"/>
    <w:multiLevelType w:val="singleLevel"/>
    <w:tmpl w:val="39EA51A0"/>
    <w:lvl w:ilvl="0">
      <w:start w:val="6"/>
      <w:numFmt w:val="decimal"/>
      <w:lvlText w:val="%1."/>
      <w:lvlJc w:val="left"/>
      <w:pPr>
        <w:tabs>
          <w:tab w:val="num" w:pos="2160"/>
        </w:tabs>
        <w:ind w:left="2160" w:hanging="720"/>
      </w:pPr>
      <w:rPr>
        <w:rFonts w:hint="default"/>
        <w:u w:val="none"/>
      </w:rPr>
    </w:lvl>
  </w:abstractNum>
  <w:abstractNum w:abstractNumId="19">
    <w:nsid w:val="6EFC7790"/>
    <w:multiLevelType w:val="singleLevel"/>
    <w:tmpl w:val="69A8D098"/>
    <w:lvl w:ilvl="0">
      <w:start w:val="4"/>
      <w:numFmt w:val="decimal"/>
      <w:lvlText w:val="%1."/>
      <w:lvlJc w:val="left"/>
      <w:pPr>
        <w:tabs>
          <w:tab w:val="num" w:pos="2160"/>
        </w:tabs>
        <w:ind w:left="2160" w:hanging="720"/>
      </w:pPr>
      <w:rPr>
        <w:rFonts w:hint="default"/>
        <w:u w:val="none"/>
      </w:rPr>
    </w:lvl>
  </w:abstractNum>
  <w:abstractNum w:abstractNumId="20">
    <w:nsid w:val="7E415064"/>
    <w:multiLevelType w:val="singleLevel"/>
    <w:tmpl w:val="58B6A9DC"/>
    <w:lvl w:ilvl="0">
      <w:start w:val="1"/>
      <w:numFmt w:val="decimal"/>
      <w:lvlText w:val="%1."/>
      <w:lvlJc w:val="left"/>
      <w:pPr>
        <w:tabs>
          <w:tab w:val="num" w:pos="360"/>
        </w:tabs>
        <w:ind w:left="360" w:hanging="360"/>
      </w:pPr>
    </w:lvl>
  </w:abstractNum>
  <w:num w:numId="1">
    <w:abstractNumId w:val="7"/>
  </w:num>
  <w:num w:numId="2">
    <w:abstractNumId w:val="3"/>
  </w:num>
  <w:num w:numId="3">
    <w:abstractNumId w:val="3"/>
  </w:num>
  <w:num w:numId="4">
    <w:abstractNumId w:val="3"/>
  </w:num>
  <w:num w:numId="5">
    <w:abstractNumId w:val="3"/>
  </w:num>
  <w:num w:numId="6">
    <w:abstractNumId w:val="3"/>
  </w:num>
  <w:num w:numId="7">
    <w:abstractNumId w:val="7"/>
  </w:num>
  <w:num w:numId="8">
    <w:abstractNumId w:val="0"/>
  </w:num>
  <w:num w:numId="9">
    <w:abstractNumId w:val="15"/>
  </w:num>
  <w:num w:numId="10">
    <w:abstractNumId w:val="20"/>
  </w:num>
  <w:num w:numId="11">
    <w:abstractNumId w:val="2"/>
  </w:num>
  <w:num w:numId="12">
    <w:abstractNumId w:val="5"/>
  </w:num>
  <w:num w:numId="13">
    <w:abstractNumId w:val="6"/>
  </w:num>
  <w:num w:numId="14">
    <w:abstractNumId w:val="14"/>
  </w:num>
  <w:num w:numId="15">
    <w:abstractNumId w:val="11"/>
  </w:num>
  <w:num w:numId="16">
    <w:abstractNumId w:val="17"/>
  </w:num>
  <w:num w:numId="17">
    <w:abstractNumId w:val="12"/>
  </w:num>
  <w:num w:numId="18">
    <w:abstractNumId w:val="18"/>
  </w:num>
  <w:num w:numId="19">
    <w:abstractNumId w:val="16"/>
  </w:num>
  <w:num w:numId="20">
    <w:abstractNumId w:val="4"/>
  </w:num>
  <w:num w:numId="21">
    <w:abstractNumId w:val="19"/>
  </w:num>
  <w:num w:numId="22">
    <w:abstractNumId w:val="8"/>
  </w:num>
  <w:num w:numId="23">
    <w:abstractNumId w:val="9"/>
  </w:num>
  <w:num w:numId="24">
    <w:abstractNumId w:val="1"/>
  </w:num>
  <w:num w:numId="25">
    <w:abstractNumId w:val="13"/>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rawingGridHorizontalSpacing w:val="120"/>
  <w:displayHorizontalDrawingGridEvery w:val="0"/>
  <w:displayVerticalDrawingGridEvery w:val="0"/>
  <w:noPunctuationKerning/>
  <w:characterSpacingControl w:val="doNotCompress"/>
  <w:footnotePr>
    <w:footnote w:id="0"/>
    <w:footnote w:id="1"/>
  </w:foot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4AC"/>
    <w:rsid w:val="00005133"/>
    <w:rsid w:val="00005458"/>
    <w:rsid w:val="00010AFC"/>
    <w:rsid w:val="000277A7"/>
    <w:rsid w:val="000339C7"/>
    <w:rsid w:val="00033F73"/>
    <w:rsid w:val="000373F9"/>
    <w:rsid w:val="00052C4D"/>
    <w:rsid w:val="00053FC6"/>
    <w:rsid w:val="0005575F"/>
    <w:rsid w:val="00061E38"/>
    <w:rsid w:val="000A319F"/>
    <w:rsid w:val="000B604A"/>
    <w:rsid w:val="000D027D"/>
    <w:rsid w:val="000D7079"/>
    <w:rsid w:val="000E5606"/>
    <w:rsid w:val="000F088C"/>
    <w:rsid w:val="000F37C1"/>
    <w:rsid w:val="00101B70"/>
    <w:rsid w:val="00102ED8"/>
    <w:rsid w:val="001049D4"/>
    <w:rsid w:val="001067EA"/>
    <w:rsid w:val="00120DD8"/>
    <w:rsid w:val="00143A8F"/>
    <w:rsid w:val="00153336"/>
    <w:rsid w:val="00157E7A"/>
    <w:rsid w:val="00164629"/>
    <w:rsid w:val="0016669C"/>
    <w:rsid w:val="00180EB9"/>
    <w:rsid w:val="0019006C"/>
    <w:rsid w:val="001B4449"/>
    <w:rsid w:val="001D5B6B"/>
    <w:rsid w:val="001D65F5"/>
    <w:rsid w:val="001E4B21"/>
    <w:rsid w:val="001E73B4"/>
    <w:rsid w:val="002020EE"/>
    <w:rsid w:val="00207DB8"/>
    <w:rsid w:val="00210F13"/>
    <w:rsid w:val="0021104C"/>
    <w:rsid w:val="002134FB"/>
    <w:rsid w:val="002154D9"/>
    <w:rsid w:val="00217369"/>
    <w:rsid w:val="00234C17"/>
    <w:rsid w:val="00234C39"/>
    <w:rsid w:val="00246E8D"/>
    <w:rsid w:val="00250FA7"/>
    <w:rsid w:val="00252182"/>
    <w:rsid w:val="002621F5"/>
    <w:rsid w:val="00264481"/>
    <w:rsid w:val="00272B11"/>
    <w:rsid w:val="0027542D"/>
    <w:rsid w:val="00276C97"/>
    <w:rsid w:val="00281F8E"/>
    <w:rsid w:val="00281FB1"/>
    <w:rsid w:val="00283C8F"/>
    <w:rsid w:val="00297741"/>
    <w:rsid w:val="002A1C16"/>
    <w:rsid w:val="002A1D56"/>
    <w:rsid w:val="002B3ACF"/>
    <w:rsid w:val="002B6DB3"/>
    <w:rsid w:val="002B771F"/>
    <w:rsid w:val="002D0266"/>
    <w:rsid w:val="002D1F33"/>
    <w:rsid w:val="002D5896"/>
    <w:rsid w:val="002E1C17"/>
    <w:rsid w:val="002F5F6E"/>
    <w:rsid w:val="003023A0"/>
    <w:rsid w:val="0030400B"/>
    <w:rsid w:val="00305504"/>
    <w:rsid w:val="00324E92"/>
    <w:rsid w:val="00330149"/>
    <w:rsid w:val="00332900"/>
    <w:rsid w:val="00332C54"/>
    <w:rsid w:val="00334F85"/>
    <w:rsid w:val="00337286"/>
    <w:rsid w:val="0034431B"/>
    <w:rsid w:val="003472C9"/>
    <w:rsid w:val="00355C2E"/>
    <w:rsid w:val="003672F1"/>
    <w:rsid w:val="00373753"/>
    <w:rsid w:val="00385DA5"/>
    <w:rsid w:val="00387F38"/>
    <w:rsid w:val="003A5422"/>
    <w:rsid w:val="003B0953"/>
    <w:rsid w:val="003C1652"/>
    <w:rsid w:val="003C7FA0"/>
    <w:rsid w:val="003D6A3A"/>
    <w:rsid w:val="003E26C1"/>
    <w:rsid w:val="003E6DE5"/>
    <w:rsid w:val="003E705D"/>
    <w:rsid w:val="003F375C"/>
    <w:rsid w:val="0040583F"/>
    <w:rsid w:val="00406630"/>
    <w:rsid w:val="0041015A"/>
    <w:rsid w:val="004271DC"/>
    <w:rsid w:val="00436A60"/>
    <w:rsid w:val="004427FF"/>
    <w:rsid w:val="00443039"/>
    <w:rsid w:val="00457EBD"/>
    <w:rsid w:val="00464504"/>
    <w:rsid w:val="004677BF"/>
    <w:rsid w:val="00475AB5"/>
    <w:rsid w:val="0048264B"/>
    <w:rsid w:val="004927C5"/>
    <w:rsid w:val="004958E9"/>
    <w:rsid w:val="00496711"/>
    <w:rsid w:val="004A208D"/>
    <w:rsid w:val="004A616A"/>
    <w:rsid w:val="004B5FF5"/>
    <w:rsid w:val="004D5922"/>
    <w:rsid w:val="004F53B9"/>
    <w:rsid w:val="005010DF"/>
    <w:rsid w:val="0050746B"/>
    <w:rsid w:val="0051013B"/>
    <w:rsid w:val="00521D26"/>
    <w:rsid w:val="005231E2"/>
    <w:rsid w:val="0053357B"/>
    <w:rsid w:val="0053666F"/>
    <w:rsid w:val="0053695E"/>
    <w:rsid w:val="00537035"/>
    <w:rsid w:val="00545FF7"/>
    <w:rsid w:val="00555763"/>
    <w:rsid w:val="0055670D"/>
    <w:rsid w:val="00560CF1"/>
    <w:rsid w:val="0057004E"/>
    <w:rsid w:val="00572244"/>
    <w:rsid w:val="005833F4"/>
    <w:rsid w:val="00586E99"/>
    <w:rsid w:val="0059051D"/>
    <w:rsid w:val="00591DB0"/>
    <w:rsid w:val="005A4B03"/>
    <w:rsid w:val="005C42AE"/>
    <w:rsid w:val="005D5253"/>
    <w:rsid w:val="005F0B17"/>
    <w:rsid w:val="005F0C00"/>
    <w:rsid w:val="005F13DB"/>
    <w:rsid w:val="005F21A0"/>
    <w:rsid w:val="005F27BF"/>
    <w:rsid w:val="005F6A7C"/>
    <w:rsid w:val="005F7261"/>
    <w:rsid w:val="006037A9"/>
    <w:rsid w:val="0061288D"/>
    <w:rsid w:val="006142A9"/>
    <w:rsid w:val="006369D5"/>
    <w:rsid w:val="00661F7A"/>
    <w:rsid w:val="006729CA"/>
    <w:rsid w:val="00680C6E"/>
    <w:rsid w:val="006976FE"/>
    <w:rsid w:val="006C3246"/>
    <w:rsid w:val="006C4C6E"/>
    <w:rsid w:val="006C7B2A"/>
    <w:rsid w:val="006D3626"/>
    <w:rsid w:val="006E3D02"/>
    <w:rsid w:val="006E4BF5"/>
    <w:rsid w:val="006F72FB"/>
    <w:rsid w:val="00703C61"/>
    <w:rsid w:val="00710E80"/>
    <w:rsid w:val="007117EC"/>
    <w:rsid w:val="00715875"/>
    <w:rsid w:val="00717C9B"/>
    <w:rsid w:val="00720BAF"/>
    <w:rsid w:val="0072160C"/>
    <w:rsid w:val="0074400E"/>
    <w:rsid w:val="00746CE5"/>
    <w:rsid w:val="00753EDB"/>
    <w:rsid w:val="007713D9"/>
    <w:rsid w:val="00791007"/>
    <w:rsid w:val="007A2260"/>
    <w:rsid w:val="007B0D9B"/>
    <w:rsid w:val="007B339F"/>
    <w:rsid w:val="007B3F12"/>
    <w:rsid w:val="007C1842"/>
    <w:rsid w:val="007C55CC"/>
    <w:rsid w:val="007D4B22"/>
    <w:rsid w:val="007D64DC"/>
    <w:rsid w:val="007E2C1C"/>
    <w:rsid w:val="007F14FF"/>
    <w:rsid w:val="007F38D6"/>
    <w:rsid w:val="007F48DA"/>
    <w:rsid w:val="007F4A31"/>
    <w:rsid w:val="00802AB0"/>
    <w:rsid w:val="008153B8"/>
    <w:rsid w:val="00823EB3"/>
    <w:rsid w:val="00831572"/>
    <w:rsid w:val="00836CF4"/>
    <w:rsid w:val="0085276D"/>
    <w:rsid w:val="00861BF6"/>
    <w:rsid w:val="00862D96"/>
    <w:rsid w:val="00870DDE"/>
    <w:rsid w:val="00873940"/>
    <w:rsid w:val="00883DF3"/>
    <w:rsid w:val="0089585A"/>
    <w:rsid w:val="008A5157"/>
    <w:rsid w:val="008A6300"/>
    <w:rsid w:val="008C3D4F"/>
    <w:rsid w:val="008C3DAA"/>
    <w:rsid w:val="008C4B79"/>
    <w:rsid w:val="008C5277"/>
    <w:rsid w:val="008D4A41"/>
    <w:rsid w:val="008D5C7C"/>
    <w:rsid w:val="008F3B51"/>
    <w:rsid w:val="0091135E"/>
    <w:rsid w:val="00914BFA"/>
    <w:rsid w:val="0092093E"/>
    <w:rsid w:val="0093124F"/>
    <w:rsid w:val="00932CE7"/>
    <w:rsid w:val="0093597F"/>
    <w:rsid w:val="009362B6"/>
    <w:rsid w:val="009368F0"/>
    <w:rsid w:val="00947D5A"/>
    <w:rsid w:val="00951B1D"/>
    <w:rsid w:val="00971342"/>
    <w:rsid w:val="00975127"/>
    <w:rsid w:val="00981BC8"/>
    <w:rsid w:val="0098494F"/>
    <w:rsid w:val="009912F8"/>
    <w:rsid w:val="009949B7"/>
    <w:rsid w:val="0099730C"/>
    <w:rsid w:val="009A15AE"/>
    <w:rsid w:val="009A1F83"/>
    <w:rsid w:val="009A4831"/>
    <w:rsid w:val="009B21E1"/>
    <w:rsid w:val="009B3BF3"/>
    <w:rsid w:val="009B5802"/>
    <w:rsid w:val="009C4B25"/>
    <w:rsid w:val="009C769F"/>
    <w:rsid w:val="009D2F68"/>
    <w:rsid w:val="009D65AB"/>
    <w:rsid w:val="009E4D3B"/>
    <w:rsid w:val="009F1C7D"/>
    <w:rsid w:val="009F538B"/>
    <w:rsid w:val="009F5A6D"/>
    <w:rsid w:val="009F6916"/>
    <w:rsid w:val="00A00042"/>
    <w:rsid w:val="00A044B5"/>
    <w:rsid w:val="00A154AC"/>
    <w:rsid w:val="00A1668B"/>
    <w:rsid w:val="00A16893"/>
    <w:rsid w:val="00A16CBF"/>
    <w:rsid w:val="00A26D28"/>
    <w:rsid w:val="00A32693"/>
    <w:rsid w:val="00A46027"/>
    <w:rsid w:val="00A66002"/>
    <w:rsid w:val="00A81100"/>
    <w:rsid w:val="00A93356"/>
    <w:rsid w:val="00A944AD"/>
    <w:rsid w:val="00AA1362"/>
    <w:rsid w:val="00AA6A66"/>
    <w:rsid w:val="00AB2558"/>
    <w:rsid w:val="00AC5505"/>
    <w:rsid w:val="00AD208D"/>
    <w:rsid w:val="00AE0C01"/>
    <w:rsid w:val="00AF1C51"/>
    <w:rsid w:val="00B039BD"/>
    <w:rsid w:val="00B1062F"/>
    <w:rsid w:val="00B11BCE"/>
    <w:rsid w:val="00B137F6"/>
    <w:rsid w:val="00B306AB"/>
    <w:rsid w:val="00B35C38"/>
    <w:rsid w:val="00B4263A"/>
    <w:rsid w:val="00B536D1"/>
    <w:rsid w:val="00B54B36"/>
    <w:rsid w:val="00B711D5"/>
    <w:rsid w:val="00B85AE8"/>
    <w:rsid w:val="00B86549"/>
    <w:rsid w:val="00B93077"/>
    <w:rsid w:val="00B93EBC"/>
    <w:rsid w:val="00B95C2D"/>
    <w:rsid w:val="00B96889"/>
    <w:rsid w:val="00BA4F44"/>
    <w:rsid w:val="00BA7330"/>
    <w:rsid w:val="00BB5D11"/>
    <w:rsid w:val="00BB6C46"/>
    <w:rsid w:val="00BD0AA3"/>
    <w:rsid w:val="00BE093B"/>
    <w:rsid w:val="00BE09E4"/>
    <w:rsid w:val="00BE0B06"/>
    <w:rsid w:val="00BE2CA7"/>
    <w:rsid w:val="00BE49E0"/>
    <w:rsid w:val="00BF009E"/>
    <w:rsid w:val="00BF0AA5"/>
    <w:rsid w:val="00BF3438"/>
    <w:rsid w:val="00C13557"/>
    <w:rsid w:val="00C611B7"/>
    <w:rsid w:val="00C709DD"/>
    <w:rsid w:val="00C82084"/>
    <w:rsid w:val="00C96224"/>
    <w:rsid w:val="00C97CA1"/>
    <w:rsid w:val="00CA0160"/>
    <w:rsid w:val="00CC023D"/>
    <w:rsid w:val="00CC2005"/>
    <w:rsid w:val="00CC78C1"/>
    <w:rsid w:val="00CE2A39"/>
    <w:rsid w:val="00CE5665"/>
    <w:rsid w:val="00CF0839"/>
    <w:rsid w:val="00CF3AF5"/>
    <w:rsid w:val="00D05267"/>
    <w:rsid w:val="00D0620A"/>
    <w:rsid w:val="00D10623"/>
    <w:rsid w:val="00D10E45"/>
    <w:rsid w:val="00D15416"/>
    <w:rsid w:val="00D20BC0"/>
    <w:rsid w:val="00D425C3"/>
    <w:rsid w:val="00D50D96"/>
    <w:rsid w:val="00D573B2"/>
    <w:rsid w:val="00D70109"/>
    <w:rsid w:val="00D705CF"/>
    <w:rsid w:val="00D83843"/>
    <w:rsid w:val="00D902D4"/>
    <w:rsid w:val="00DC107A"/>
    <w:rsid w:val="00DC7940"/>
    <w:rsid w:val="00DD1B1A"/>
    <w:rsid w:val="00DF3A37"/>
    <w:rsid w:val="00E02E8A"/>
    <w:rsid w:val="00E06F70"/>
    <w:rsid w:val="00E10C74"/>
    <w:rsid w:val="00E2023C"/>
    <w:rsid w:val="00E2073C"/>
    <w:rsid w:val="00E20E56"/>
    <w:rsid w:val="00E24A86"/>
    <w:rsid w:val="00E301FF"/>
    <w:rsid w:val="00E30EA0"/>
    <w:rsid w:val="00E32E2C"/>
    <w:rsid w:val="00E36098"/>
    <w:rsid w:val="00E44D83"/>
    <w:rsid w:val="00E5180D"/>
    <w:rsid w:val="00E560A3"/>
    <w:rsid w:val="00E56B8E"/>
    <w:rsid w:val="00E6567C"/>
    <w:rsid w:val="00E72ABB"/>
    <w:rsid w:val="00E7409E"/>
    <w:rsid w:val="00E773E4"/>
    <w:rsid w:val="00E86CBE"/>
    <w:rsid w:val="00E9785D"/>
    <w:rsid w:val="00EA7E92"/>
    <w:rsid w:val="00EB138B"/>
    <w:rsid w:val="00EB6D3A"/>
    <w:rsid w:val="00EB6FD0"/>
    <w:rsid w:val="00EC6749"/>
    <w:rsid w:val="00ED2DA5"/>
    <w:rsid w:val="00ED57F7"/>
    <w:rsid w:val="00ED62EE"/>
    <w:rsid w:val="00ED66A4"/>
    <w:rsid w:val="00EE2771"/>
    <w:rsid w:val="00F0396C"/>
    <w:rsid w:val="00F048BE"/>
    <w:rsid w:val="00F057C1"/>
    <w:rsid w:val="00F11757"/>
    <w:rsid w:val="00F11969"/>
    <w:rsid w:val="00F15DE7"/>
    <w:rsid w:val="00F2119F"/>
    <w:rsid w:val="00F256D8"/>
    <w:rsid w:val="00F268BF"/>
    <w:rsid w:val="00F30167"/>
    <w:rsid w:val="00F37E50"/>
    <w:rsid w:val="00F479E5"/>
    <w:rsid w:val="00F47D44"/>
    <w:rsid w:val="00F511F1"/>
    <w:rsid w:val="00F53701"/>
    <w:rsid w:val="00F84AC6"/>
    <w:rsid w:val="00F9175A"/>
    <w:rsid w:val="00F91CD4"/>
    <w:rsid w:val="00F9571C"/>
    <w:rsid w:val="00F95BF8"/>
    <w:rsid w:val="00F97735"/>
    <w:rsid w:val="00FA0F08"/>
    <w:rsid w:val="00FB4154"/>
    <w:rsid w:val="00FB450C"/>
    <w:rsid w:val="00FC4D96"/>
    <w:rsid w:val="00FC71D5"/>
    <w:rsid w:val="00FD546E"/>
    <w:rsid w:val="00FF7B5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75C"/>
    <w:rPr>
      <w:sz w:val="24"/>
    </w:rPr>
  </w:style>
  <w:style w:type="paragraph" w:styleId="Heading1">
    <w:name w:val="heading 1"/>
    <w:basedOn w:val="Normal"/>
    <w:next w:val="Normal"/>
    <w:qFormat/>
    <w:rsid w:val="00591DB0"/>
    <w:pPr>
      <w:keepNext/>
      <w:widowControl w:val="0"/>
      <w:spacing w:after="240"/>
      <w:ind w:left="720" w:hanging="720"/>
      <w:outlineLvl w:val="0"/>
    </w:pPr>
    <w:rPr>
      <w:b/>
      <w:caps/>
      <w:snapToGrid w:val="0"/>
    </w:rPr>
  </w:style>
  <w:style w:type="paragraph" w:styleId="Heading2">
    <w:name w:val="heading 2"/>
    <w:basedOn w:val="Normal"/>
    <w:next w:val="Normal"/>
    <w:qFormat/>
    <w:rsid w:val="00B85AE8"/>
    <w:pPr>
      <w:keepNext/>
      <w:spacing w:after="240"/>
      <w:ind w:left="1440" w:hanging="720"/>
      <w:outlineLvl w:val="1"/>
    </w:pPr>
    <w:rPr>
      <w:b/>
    </w:rPr>
  </w:style>
  <w:style w:type="paragraph" w:styleId="Heading3">
    <w:name w:val="heading 3"/>
    <w:basedOn w:val="Normal"/>
    <w:next w:val="Normal"/>
    <w:autoRedefine/>
    <w:qFormat/>
    <w:rsid w:val="0085276D"/>
    <w:pPr>
      <w:keepNext/>
      <w:spacing w:after="240"/>
      <w:ind w:left="2160" w:hanging="720"/>
      <w:outlineLvl w:val="2"/>
    </w:pPr>
    <w:rPr>
      <w:b/>
    </w:rPr>
  </w:style>
  <w:style w:type="paragraph" w:styleId="Heading4">
    <w:name w:val="heading 4"/>
    <w:basedOn w:val="Normal"/>
    <w:next w:val="Normal"/>
    <w:qFormat/>
    <w:rsid w:val="00591DB0"/>
    <w:pPr>
      <w:keepNext/>
      <w:spacing w:after="240"/>
      <w:ind w:left="2160"/>
      <w:outlineLvl w:val="3"/>
    </w:pPr>
    <w:rPr>
      <w:b/>
      <w:i/>
    </w:rPr>
  </w:style>
  <w:style w:type="paragraph" w:styleId="Heading5">
    <w:name w:val="heading 5"/>
    <w:basedOn w:val="Normal"/>
    <w:next w:val="Normal"/>
    <w:qFormat/>
    <w:rsid w:val="00591DB0"/>
    <w:pPr>
      <w:keepNext/>
      <w:jc w:val="center"/>
      <w:outlineLvl w:val="4"/>
    </w:pPr>
    <w:rPr>
      <w:i/>
    </w:rPr>
  </w:style>
  <w:style w:type="paragraph" w:styleId="Heading6">
    <w:name w:val="heading 6"/>
    <w:basedOn w:val="Normal"/>
    <w:next w:val="Normal"/>
    <w:qFormat/>
    <w:rsid w:val="00591DB0"/>
    <w:pPr>
      <w:keepNext/>
      <w:tabs>
        <w:tab w:val="left" w:pos="4320"/>
      </w:tabs>
      <w:jc w:val="center"/>
      <w:outlineLvl w:val="5"/>
    </w:pPr>
    <w:rPr>
      <w:b/>
    </w:rPr>
  </w:style>
  <w:style w:type="paragraph" w:styleId="Heading7">
    <w:name w:val="heading 7"/>
    <w:basedOn w:val="Normal"/>
    <w:next w:val="Normal"/>
    <w:qFormat/>
    <w:rsid w:val="00591DB0"/>
    <w:pPr>
      <w:keepNext/>
      <w:ind w:firstLine="720"/>
      <w:outlineLvl w:val="6"/>
    </w:pPr>
    <w:rPr>
      <w:b/>
    </w:rPr>
  </w:style>
  <w:style w:type="paragraph" w:styleId="Heading8">
    <w:name w:val="heading 8"/>
    <w:basedOn w:val="Normal"/>
    <w:next w:val="Normal"/>
    <w:qFormat/>
    <w:rsid w:val="00591DB0"/>
    <w:pPr>
      <w:keepNext/>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B85AE8"/>
    <w:pPr>
      <w:tabs>
        <w:tab w:val="decimal" w:leader="dot" w:pos="9360"/>
      </w:tabs>
      <w:spacing w:after="240"/>
      <w:ind w:left="720" w:hanging="720"/>
    </w:pPr>
    <w:rPr>
      <w:caps/>
    </w:rPr>
  </w:style>
  <w:style w:type="paragraph" w:styleId="TOC2">
    <w:name w:val="toc 2"/>
    <w:basedOn w:val="Normal"/>
    <w:next w:val="Normal"/>
    <w:autoRedefine/>
    <w:uiPriority w:val="39"/>
    <w:rsid w:val="00B85AE8"/>
    <w:pPr>
      <w:tabs>
        <w:tab w:val="left" w:pos="1440"/>
        <w:tab w:val="decimal" w:leader="dot" w:pos="9360"/>
      </w:tabs>
      <w:spacing w:after="240"/>
      <w:ind w:left="1440" w:hanging="720"/>
    </w:pPr>
  </w:style>
  <w:style w:type="paragraph" w:styleId="TOC3">
    <w:name w:val="toc 3"/>
    <w:basedOn w:val="Normal"/>
    <w:next w:val="Normal"/>
    <w:autoRedefine/>
    <w:uiPriority w:val="39"/>
    <w:rsid w:val="00591DB0"/>
    <w:pPr>
      <w:tabs>
        <w:tab w:val="left" w:pos="720"/>
        <w:tab w:val="decimal" w:leader="dot" w:pos="8640"/>
      </w:tabs>
      <w:spacing w:after="240"/>
      <w:ind w:left="2160" w:hanging="720"/>
    </w:pPr>
  </w:style>
  <w:style w:type="paragraph" w:styleId="TOC4">
    <w:name w:val="toc 4"/>
    <w:basedOn w:val="Normal"/>
    <w:next w:val="Normal"/>
    <w:autoRedefine/>
    <w:semiHidden/>
    <w:rsid w:val="00591DB0"/>
    <w:pPr>
      <w:tabs>
        <w:tab w:val="decimal" w:leader="dot" w:pos="8640"/>
      </w:tabs>
      <w:spacing w:after="240"/>
      <w:ind w:left="2880" w:hanging="720"/>
    </w:pPr>
    <w:rPr>
      <w:noProof/>
    </w:rPr>
  </w:style>
  <w:style w:type="paragraph" w:styleId="BodyTextIndent">
    <w:name w:val="Body Text Indent"/>
    <w:basedOn w:val="Heading2"/>
    <w:rsid w:val="00591DB0"/>
    <w:pPr>
      <w:spacing w:after="0"/>
    </w:pPr>
    <w:rPr>
      <w:b w:val="0"/>
      <w:caps/>
    </w:rPr>
  </w:style>
  <w:style w:type="paragraph" w:styleId="Title">
    <w:name w:val="Title"/>
    <w:basedOn w:val="Normal"/>
    <w:qFormat/>
    <w:rsid w:val="00591DB0"/>
    <w:pPr>
      <w:jc w:val="center"/>
    </w:pPr>
    <w:rPr>
      <w:b/>
      <w:sz w:val="22"/>
    </w:rPr>
  </w:style>
  <w:style w:type="paragraph" w:customStyle="1" w:styleId="ROMANNUMERALS">
    <w:name w:val="ROMAN NUMERALS"/>
    <w:basedOn w:val="Normal"/>
    <w:rsid w:val="00591DB0"/>
    <w:pPr>
      <w:spacing w:line="480" w:lineRule="auto"/>
      <w:ind w:left="547" w:hanging="547"/>
    </w:pPr>
    <w:rPr>
      <w:b/>
      <w:i/>
      <w:caps/>
    </w:rPr>
  </w:style>
  <w:style w:type="paragraph" w:styleId="Footer">
    <w:name w:val="footer"/>
    <w:basedOn w:val="Normal"/>
    <w:link w:val="FooterChar"/>
    <w:uiPriority w:val="99"/>
    <w:rsid w:val="00591DB0"/>
    <w:pPr>
      <w:tabs>
        <w:tab w:val="center" w:pos="4320"/>
        <w:tab w:val="right" w:pos="8640"/>
      </w:tabs>
      <w:spacing w:line="480" w:lineRule="auto"/>
    </w:pPr>
  </w:style>
  <w:style w:type="paragraph" w:styleId="FootnoteText">
    <w:name w:val="footnote text"/>
    <w:basedOn w:val="Normal"/>
    <w:link w:val="FootnoteTextChar"/>
    <w:uiPriority w:val="99"/>
    <w:rsid w:val="00591DB0"/>
    <w:pPr>
      <w:spacing w:line="480" w:lineRule="auto"/>
    </w:pPr>
  </w:style>
  <w:style w:type="paragraph" w:styleId="BodyText">
    <w:name w:val="Body Text"/>
    <w:basedOn w:val="Normal"/>
    <w:rsid w:val="00591DB0"/>
    <w:pPr>
      <w:spacing w:line="480" w:lineRule="auto"/>
    </w:pPr>
  </w:style>
  <w:style w:type="paragraph" w:styleId="IndexHeading">
    <w:name w:val="index heading"/>
    <w:basedOn w:val="Normal"/>
    <w:next w:val="Index1"/>
    <w:semiHidden/>
    <w:rsid w:val="00591DB0"/>
  </w:style>
  <w:style w:type="paragraph" w:styleId="Index1">
    <w:name w:val="index 1"/>
    <w:basedOn w:val="Normal"/>
    <w:next w:val="Normal"/>
    <w:autoRedefine/>
    <w:semiHidden/>
    <w:rsid w:val="00591DB0"/>
    <w:pPr>
      <w:spacing w:line="480" w:lineRule="auto"/>
      <w:ind w:left="240" w:hanging="240"/>
    </w:pPr>
  </w:style>
  <w:style w:type="paragraph" w:styleId="BodyText3">
    <w:name w:val="Body Text 3"/>
    <w:basedOn w:val="Normal"/>
    <w:rsid w:val="00591DB0"/>
    <w:rPr>
      <w:i/>
    </w:rPr>
  </w:style>
  <w:style w:type="paragraph" w:styleId="Header">
    <w:name w:val="header"/>
    <w:basedOn w:val="Normal"/>
    <w:link w:val="HeaderChar"/>
    <w:rsid w:val="00591DB0"/>
    <w:pPr>
      <w:tabs>
        <w:tab w:val="center" w:pos="4320"/>
        <w:tab w:val="right" w:pos="8640"/>
      </w:tabs>
      <w:spacing w:line="480" w:lineRule="auto"/>
    </w:pPr>
  </w:style>
  <w:style w:type="character" w:styleId="PageNumber">
    <w:name w:val="page number"/>
    <w:basedOn w:val="DefaultParagraphFont"/>
    <w:rsid w:val="00591DB0"/>
  </w:style>
  <w:style w:type="character" w:styleId="FootnoteReference">
    <w:name w:val="footnote reference"/>
    <w:uiPriority w:val="99"/>
    <w:semiHidden/>
    <w:rsid w:val="00591DB0"/>
    <w:rPr>
      <w:vertAlign w:val="superscript"/>
    </w:rPr>
  </w:style>
  <w:style w:type="paragraph" w:styleId="BodyTextIndent2">
    <w:name w:val="Body Text Indent 2"/>
    <w:basedOn w:val="Normal"/>
    <w:rsid w:val="00591DB0"/>
    <w:pPr>
      <w:spacing w:line="480" w:lineRule="auto"/>
      <w:ind w:firstLine="720"/>
    </w:pPr>
  </w:style>
  <w:style w:type="paragraph" w:styleId="BodyTextIndent3">
    <w:name w:val="Body Text Indent 3"/>
    <w:basedOn w:val="Normal"/>
    <w:rsid w:val="00591DB0"/>
    <w:pPr>
      <w:spacing w:line="480" w:lineRule="auto"/>
      <w:ind w:left="720"/>
    </w:pPr>
  </w:style>
  <w:style w:type="character" w:styleId="Hyperlink">
    <w:name w:val="Hyperlink"/>
    <w:uiPriority w:val="99"/>
    <w:rsid w:val="00591DB0"/>
    <w:rPr>
      <w:color w:val="0000FF"/>
      <w:u w:val="single"/>
    </w:rPr>
  </w:style>
  <w:style w:type="paragraph" w:styleId="Date">
    <w:name w:val="Date"/>
    <w:basedOn w:val="Normal"/>
    <w:next w:val="Normal"/>
    <w:rsid w:val="00591DB0"/>
  </w:style>
  <w:style w:type="paragraph" w:customStyle="1" w:styleId="ShortReturnAddress">
    <w:name w:val="Short Return Address"/>
    <w:basedOn w:val="Normal"/>
    <w:rsid w:val="00591DB0"/>
  </w:style>
  <w:style w:type="paragraph" w:styleId="HTMLPreformatted">
    <w:name w:val="HTML Preformatted"/>
    <w:basedOn w:val="Normal"/>
    <w:link w:val="HTMLPreformattedChar"/>
    <w:rsid w:val="00591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rPr>
  </w:style>
  <w:style w:type="paragraph" w:styleId="BalloonText">
    <w:name w:val="Balloon Text"/>
    <w:basedOn w:val="Normal"/>
    <w:semiHidden/>
    <w:rsid w:val="00591DB0"/>
    <w:rPr>
      <w:rFonts w:ascii="Tahoma" w:hAnsi="Tahoma" w:cs="Tahoma"/>
      <w:sz w:val="16"/>
      <w:szCs w:val="16"/>
    </w:rPr>
  </w:style>
  <w:style w:type="table" w:styleId="TableGrid">
    <w:name w:val="Table Grid"/>
    <w:basedOn w:val="TableNormal"/>
    <w:rsid w:val="00591DB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rsid w:val="00591DB0"/>
    <w:rPr>
      <w:sz w:val="20"/>
    </w:rPr>
  </w:style>
  <w:style w:type="paragraph" w:styleId="CommentSubject">
    <w:name w:val="annotation subject"/>
    <w:basedOn w:val="CommentText"/>
    <w:next w:val="CommentText"/>
    <w:semiHidden/>
    <w:rsid w:val="00591DB0"/>
    <w:pPr>
      <w:widowControl w:val="0"/>
      <w:autoSpaceDE w:val="0"/>
      <w:autoSpaceDN w:val="0"/>
      <w:adjustRightInd w:val="0"/>
    </w:pPr>
    <w:rPr>
      <w:rFonts w:ascii="Courier New" w:hAnsi="Courier New"/>
      <w:b/>
      <w:bCs/>
    </w:rPr>
  </w:style>
  <w:style w:type="character" w:styleId="CommentReference">
    <w:name w:val="annotation reference"/>
    <w:semiHidden/>
    <w:rsid w:val="00591DB0"/>
    <w:rPr>
      <w:sz w:val="16"/>
      <w:szCs w:val="16"/>
    </w:rPr>
  </w:style>
  <w:style w:type="character" w:customStyle="1" w:styleId="HTMLPreformattedChar">
    <w:name w:val="HTML Preformatted Char"/>
    <w:link w:val="HTMLPreformatted"/>
    <w:rsid w:val="009C32AC"/>
    <w:rPr>
      <w:rFonts w:ascii="Courier New" w:eastAsia="Courier New" w:hAnsi="Courier New" w:cs="Courier New"/>
    </w:rPr>
  </w:style>
  <w:style w:type="character" w:customStyle="1" w:styleId="UnresolvedMention1">
    <w:name w:val="Unresolved Mention1"/>
    <w:uiPriority w:val="99"/>
    <w:semiHidden/>
    <w:unhideWhenUsed/>
    <w:rsid w:val="009C32AC"/>
    <w:rPr>
      <w:color w:val="605E5C"/>
      <w:shd w:val="clear" w:color="auto" w:fill="E1DFDD"/>
    </w:rPr>
  </w:style>
  <w:style w:type="character" w:customStyle="1" w:styleId="CommentTextChar">
    <w:name w:val="Comment Text Char"/>
    <w:link w:val="CommentText"/>
    <w:uiPriority w:val="99"/>
    <w:rsid w:val="009C32AC"/>
  </w:style>
  <w:style w:type="character" w:customStyle="1" w:styleId="HeaderChar">
    <w:name w:val="Header Char"/>
    <w:link w:val="Header"/>
    <w:rsid w:val="00ED7969"/>
    <w:rPr>
      <w:sz w:val="24"/>
    </w:rPr>
  </w:style>
  <w:style w:type="character" w:customStyle="1" w:styleId="FooterChar">
    <w:name w:val="Footer Char"/>
    <w:link w:val="Footer"/>
    <w:uiPriority w:val="99"/>
    <w:rsid w:val="00ED7969"/>
    <w:rPr>
      <w:sz w:val="24"/>
    </w:rPr>
  </w:style>
  <w:style w:type="character" w:customStyle="1" w:styleId="FootnoteTextChar">
    <w:name w:val="Footnote Text Char"/>
    <w:link w:val="FootnoteText"/>
    <w:uiPriority w:val="99"/>
    <w:locked/>
    <w:rsid w:val="00F11969"/>
    <w:rPr>
      <w:sz w:val="24"/>
    </w:rPr>
  </w:style>
  <w:style w:type="paragraph" w:styleId="Revision">
    <w:name w:val="Revision"/>
    <w:hidden/>
    <w:uiPriority w:val="99"/>
    <w:semiHidden/>
    <w:rsid w:val="000B604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4.xml" /><Relationship Id="rId11" Type="http://schemas.openxmlformats.org/officeDocument/2006/relationships/image" Target="media/image1.png" /><Relationship Id="rId12" Type="http://schemas.openxmlformats.org/officeDocument/2006/relationships/hyperlink" Target="mailto:patricia.schabo@puco.ohio.gov" TargetMode="External" /><Relationship Id="rId13" Type="http://schemas.openxmlformats.org/officeDocument/2006/relationships/hyperlink" Target="mailto:jsharkey@ficlaw.com" TargetMode="External" /><Relationship Id="rId14" Type="http://schemas.openxmlformats.org/officeDocument/2006/relationships/hyperlink" Target="mailto:djireland@ficlaw.com" TargetMode="External" /><Relationship Id="rId15" Type="http://schemas.openxmlformats.org/officeDocument/2006/relationships/hyperlink" Target="mailto:chollon@ficlaw.com" TargetMode="External" /><Relationship Id="rId16" Type="http://schemas.openxmlformats.org/officeDocument/2006/relationships/hyperlink" Target="mailto:michael.schuler@aes.com" TargetMode="External" /><Relationship Id="rId17" Type="http://schemas.openxmlformats.org/officeDocument/2006/relationships/hyperlink" Target="mailto:mkurtz@bkllawfirm.com" TargetMode="External" /><Relationship Id="rId18" Type="http://schemas.openxmlformats.org/officeDocument/2006/relationships/hyperlink" Target="mailto:kboehm@bkllawfirm.com" TargetMode="External" /><Relationship Id="rId19" Type="http://schemas.openxmlformats.org/officeDocument/2006/relationships/hyperlink" Target="mailto:jkylercohn@bkllawfirm.com" TargetMode="External" /><Relationship Id="rId2" Type="http://schemas.openxmlformats.org/officeDocument/2006/relationships/settings" Target="settings.xml" /><Relationship Id="rId20" Type="http://schemas.openxmlformats.org/officeDocument/2006/relationships/hyperlink" Target="mailto:mpritchard@mcneeslaw.com" TargetMode="External" /><Relationship Id="rId21" Type="http://schemas.openxmlformats.org/officeDocument/2006/relationships/hyperlink" Target="mailto:rglover@mcneeslaw.com" TargetMode="External" /><Relationship Id="rId22" Type="http://schemas.openxmlformats.org/officeDocument/2006/relationships/hyperlink" Target="mailto:slesser@calfee.com" TargetMode="External" /><Relationship Id="rId23" Type="http://schemas.openxmlformats.org/officeDocument/2006/relationships/hyperlink" Target="mailto:talexander@calfee.com" TargetMode="External" /><Relationship Id="rId24" Type="http://schemas.openxmlformats.org/officeDocument/2006/relationships/hyperlink" Target="mailto:mkeaney@calfee.com" TargetMode="External" /><Relationship Id="rId25" Type="http://schemas.openxmlformats.org/officeDocument/2006/relationships/hyperlink" Target="mailto:khehmeyer@calfee.com" TargetMode="External" /><Relationship Id="rId26" Type="http://schemas.openxmlformats.org/officeDocument/2006/relationships/footer" Target="footer5.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1.xml" /><Relationship Id="rId9" Type="http://schemas.openxmlformats.org/officeDocument/2006/relationships/footer" Target="footer3.xml" /></Relationships>
</file>

<file path=word/_rels/footnotes.xml.rels>&#65279;<?xml version="1.0" encoding="utf-8" standalone="yes"?><Relationships xmlns="http://schemas.openxmlformats.org/package/2006/relationships"><Relationship Id="rId1" Type="http://schemas.openxmlformats.org/officeDocument/2006/relationships/hyperlink" Target="https://www.development.ohio.gov/files/research/p7005.pdf" TargetMode="External" /><Relationship Id="rId2" Type="http://schemas.openxmlformats.org/officeDocument/2006/relationships/hyperlink" Target="http://dis.puc.state.oh.us/DocumentRecord.aspx?DocID=81288192-1735-42fe-954f-617e5a803598" TargetMode="External" /><Relationship Id="rId3" Type="http://schemas.openxmlformats.org/officeDocument/2006/relationships/hyperlink" Target="http://ohiofoodbanks.org/files/2019-20/Press-Release-OAF-urges-SNAP-increase-6.15.20.pdf" TargetMode="External" /><Relationship Id="rId4" Type="http://schemas.openxmlformats.org/officeDocument/2006/relationships/hyperlink" Target="https://www.census.gov/data/tables/2020/demo/hhp/hhp8.html" TargetMode="External" /><Relationship Id="rId5" Type="http://schemas.openxmlformats.org/officeDocument/2006/relationships/hyperlink" Target="https://www.eia.gov/outlooks/steo/" TargetMode="External" /><Relationship Id="rId6" Type="http://schemas.openxmlformats.org/officeDocument/2006/relationships/hyperlink" Target="https://www.legislature.ohio.gov/download?key=8111&amp;format=pdf" TargetMode="External" /><Relationship Id="rId7" Type="http://schemas.openxmlformats.org/officeDocument/2006/relationships/hyperlink" Target="https://puco.ohio.gov/wps/portal/gov/puco/utilities/electricity/resources/ohio-customer-choice-activit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4D88D6-97B6-4237-952C-9263A7596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3147</Words>
  <Characters>17938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DPL 20-680 - OCC Reply Comments 7-9-20 w/dfs  (00145259.DOCX;1)</vt:lpstr>
    </vt:vector>
  </TitlesOfParts>
  <Company/>
  <LinksUpToDate>false</LinksUpToDate>
  <CharactersWithSpaces>21043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2020-07-14T21:16:12Z</dcterms:created>
  <dcterms:modified xsi:type="dcterms:W3CDTF">2020-07-14T21:16:12Z</dcterms:modified>
</cp:coreProperties>
</file>