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C5631F" w:rsidRPr="00452147" w:rsidP="00C5631F" w14:paraId="2CECBA87" w14:textId="77777777">
      <w:pPr>
        <w:jc w:val="center"/>
        <w:rPr>
          <w:b/>
          <w:bCs/>
          <w:caps/>
        </w:rPr>
      </w:pPr>
      <w:r w:rsidRPr="00452147">
        <w:rPr>
          <w:b/>
          <w:bCs/>
          <w:caps/>
        </w:rPr>
        <w:t>BEFORE</w:t>
      </w:r>
    </w:p>
    <w:p w:rsidR="00BF5C65" w:rsidRPr="00452147" w:rsidP="00C5631F" w14:paraId="10BC8D69" w14:textId="77777777">
      <w:pPr>
        <w:jc w:val="center"/>
        <w:rPr>
          <w:b/>
          <w:bCs/>
          <w:caps/>
        </w:rPr>
      </w:pPr>
      <w:r w:rsidRPr="00452147">
        <w:rPr>
          <w:b/>
          <w:bCs/>
          <w:caps/>
        </w:rPr>
        <w:t>THE PUBLIC UTILITIES COMMISSION OF OHIO</w:t>
      </w:r>
    </w:p>
    <w:p w:rsidR="00C5631F" w:rsidRPr="00452147" w:rsidP="002D570A" w14:paraId="2C89A9BF" w14:textId="77777777"/>
    <w:p w:rsidR="00C5631F" w:rsidRPr="00452147" w:rsidP="002A3E75" w14:paraId="3841CB7F" w14:textId="77777777">
      <w:pPr>
        <w:ind w:right="720"/>
      </w:pPr>
      <w:r w:rsidRPr="00452147">
        <w:t xml:space="preserve">In the Matter of the Review of the </w:t>
      </w:r>
      <w:r w:rsidRPr="00452147">
        <w:tab/>
      </w:r>
      <w:r w:rsidRPr="00452147">
        <w:tab/>
        <w:t>)</w:t>
      </w:r>
    </w:p>
    <w:p w:rsidR="00BF5C65" w:rsidRPr="00452147" w:rsidP="002A3E75" w14:paraId="4F288913" w14:textId="77777777">
      <w:pPr>
        <w:ind w:right="720"/>
      </w:pPr>
      <w:r w:rsidRPr="00452147">
        <w:t>Political and Charitable Spending by Ohio</w:t>
      </w:r>
      <w:r w:rsidRPr="00452147">
        <w:tab/>
        <w:t>)</w:t>
      </w:r>
      <w:r w:rsidRPr="00452147">
        <w:tab/>
        <w:t>Case No. 20-1502-EL-UNC</w:t>
      </w:r>
    </w:p>
    <w:p w:rsidR="00BF5C65" w:rsidRPr="00452147" w:rsidP="002A3E75" w14:paraId="611F71BF" w14:textId="77777777">
      <w:pPr>
        <w:ind w:right="720"/>
      </w:pPr>
      <w:r w:rsidRPr="00452147">
        <w:t>Edison Company, The Cleveland Electric</w:t>
      </w:r>
      <w:r w:rsidRPr="00452147">
        <w:tab/>
        <w:t>)</w:t>
      </w:r>
    </w:p>
    <w:p w:rsidR="00BF5C65" w:rsidRPr="00452147" w:rsidP="002A3E75" w14:paraId="0E5B900B" w14:textId="77777777">
      <w:pPr>
        <w:ind w:right="720"/>
      </w:pPr>
      <w:r w:rsidRPr="00452147">
        <w:t>Illuminating Company, and the Toledo</w:t>
      </w:r>
      <w:r w:rsidRPr="00452147">
        <w:tab/>
        <w:t>)</w:t>
      </w:r>
    </w:p>
    <w:p w:rsidR="00BF5C65" w:rsidRPr="00452147" w:rsidP="002A3E75" w14:paraId="69B1BFCC" w14:textId="77777777">
      <w:pPr>
        <w:ind w:right="720"/>
      </w:pPr>
      <w:r w:rsidRPr="00452147">
        <w:t>Edison Company.</w:t>
      </w:r>
      <w:r w:rsidRPr="00452147">
        <w:tab/>
      </w:r>
      <w:r w:rsidRPr="00452147">
        <w:tab/>
      </w:r>
      <w:r w:rsidRPr="00452147">
        <w:tab/>
      </w:r>
      <w:r w:rsidRPr="00452147">
        <w:tab/>
        <w:t>)</w:t>
      </w:r>
    </w:p>
    <w:p w:rsidR="00C5631F" w:rsidRPr="00452147" w:rsidP="002A3E75" w14:paraId="6317F217" w14:textId="77777777">
      <w:pPr>
        <w:rPr>
          <w:b/>
          <w:bCs/>
          <w:u w:val="single"/>
        </w:rPr>
      </w:pPr>
      <w:r w:rsidRPr="00452147">
        <w:rPr>
          <w:b/>
          <w:bCs/>
          <w:u w:val="single"/>
        </w:rPr>
        <w:tab/>
      </w:r>
      <w:r w:rsidRPr="00452147">
        <w:rPr>
          <w:b/>
          <w:bCs/>
          <w:u w:val="single"/>
        </w:rPr>
        <w:tab/>
      </w:r>
      <w:r w:rsidRPr="00452147">
        <w:rPr>
          <w:b/>
          <w:bCs/>
          <w:u w:val="single"/>
        </w:rPr>
        <w:tab/>
      </w:r>
      <w:r w:rsidRPr="00452147">
        <w:rPr>
          <w:b/>
          <w:bCs/>
          <w:u w:val="single"/>
        </w:rPr>
        <w:tab/>
      </w:r>
      <w:r w:rsidRPr="00452147">
        <w:rPr>
          <w:b/>
          <w:bCs/>
          <w:u w:val="single"/>
        </w:rPr>
        <w:tab/>
      </w:r>
      <w:r w:rsidRPr="00452147" w:rsidR="009B316C">
        <w:rPr>
          <w:b/>
          <w:bCs/>
          <w:u w:val="single"/>
        </w:rPr>
        <w:tab/>
      </w:r>
      <w:r w:rsidRPr="00452147">
        <w:rPr>
          <w:b/>
          <w:bCs/>
          <w:u w:val="single"/>
        </w:rPr>
        <w:tab/>
      </w:r>
      <w:r w:rsidRPr="00452147">
        <w:rPr>
          <w:b/>
          <w:bCs/>
          <w:u w:val="single"/>
        </w:rPr>
        <w:tab/>
      </w:r>
      <w:r w:rsidRPr="00452147">
        <w:rPr>
          <w:b/>
          <w:bCs/>
          <w:u w:val="single"/>
        </w:rPr>
        <w:tab/>
      </w:r>
      <w:r w:rsidRPr="00452147">
        <w:rPr>
          <w:b/>
          <w:bCs/>
          <w:u w:val="single"/>
        </w:rPr>
        <w:tab/>
      </w:r>
      <w:r w:rsidRPr="00452147">
        <w:rPr>
          <w:b/>
          <w:bCs/>
          <w:u w:val="single"/>
        </w:rPr>
        <w:tab/>
      </w:r>
      <w:r w:rsidRPr="00452147">
        <w:rPr>
          <w:b/>
          <w:bCs/>
          <w:u w:val="single"/>
        </w:rPr>
        <w:tab/>
      </w:r>
    </w:p>
    <w:p w:rsidR="00BF5C65" w:rsidRPr="00452147" w:rsidP="00C5631F" w14:paraId="28AF354C" w14:textId="77777777">
      <w:pPr>
        <w:jc w:val="center"/>
        <w:rPr>
          <w:caps/>
        </w:rPr>
      </w:pPr>
    </w:p>
    <w:p w:rsidR="00860518" w:rsidRPr="00452147" w:rsidP="00860518" w14:paraId="649C6F63" w14:textId="77777777">
      <w:pPr>
        <w:jc w:val="center"/>
        <w:rPr>
          <w:b/>
          <w:bCs/>
          <w:caps/>
        </w:rPr>
      </w:pPr>
      <w:bookmarkStart w:id="0" w:name="_Hlk94867082"/>
      <w:r w:rsidRPr="00452147">
        <w:rPr>
          <w:b/>
          <w:bCs/>
          <w:caps/>
        </w:rPr>
        <w:t xml:space="preserve">Reply </w:t>
      </w:r>
      <w:r w:rsidRPr="00452147" w:rsidR="00892BA0">
        <w:rPr>
          <w:b/>
          <w:bCs/>
          <w:caps/>
        </w:rPr>
        <w:t xml:space="preserve">TO FIRSTENERGY’S OPPOSITION TO OCC’S </w:t>
      </w:r>
      <w:r w:rsidRPr="00452147">
        <w:rPr>
          <w:b/>
          <w:bCs/>
          <w:caps/>
        </w:rPr>
        <w:t xml:space="preserve">MOTION FOR </w:t>
      </w:r>
      <w:r w:rsidRPr="00452147" w:rsidR="00D857E0">
        <w:rPr>
          <w:b/>
          <w:bCs/>
          <w:caps/>
        </w:rPr>
        <w:t xml:space="preserve">THE PUCO TO </w:t>
      </w:r>
      <w:r w:rsidRPr="00452147" w:rsidR="00F15D34">
        <w:rPr>
          <w:b/>
          <w:bCs/>
          <w:caps/>
        </w:rPr>
        <w:t xml:space="preserve">REVIEW CLAIMS OF PRIVILEGED DOCUMENTS WITH AN </w:t>
      </w:r>
      <w:r w:rsidRPr="00452147" w:rsidR="00F15D34">
        <w:rPr>
          <w:b/>
          <w:bCs/>
          <w:i/>
          <w:iCs/>
          <w:caps/>
        </w:rPr>
        <w:t xml:space="preserve">IN CAMERA </w:t>
      </w:r>
      <w:r w:rsidRPr="00452147" w:rsidR="00F15D34">
        <w:rPr>
          <w:b/>
          <w:bCs/>
          <w:caps/>
        </w:rPr>
        <w:t xml:space="preserve">REVIEW </w:t>
      </w:r>
      <w:r w:rsidRPr="00452147">
        <w:rPr>
          <w:b/>
          <w:bCs/>
          <w:caps/>
        </w:rPr>
        <w:br/>
        <w:t>AND</w:t>
      </w:r>
      <w:r w:rsidRPr="00452147">
        <w:rPr>
          <w:b/>
          <w:bCs/>
          <w:caps/>
        </w:rPr>
        <w:br/>
      </w:r>
      <w:r w:rsidRPr="00452147" w:rsidR="00E61D5A">
        <w:rPr>
          <w:b/>
          <w:bCs/>
          <w:caps/>
        </w:rPr>
        <w:t xml:space="preserve">REPLY TO FIRSTENERGY’S </w:t>
      </w:r>
      <w:r w:rsidRPr="00452147" w:rsidR="00D857E0">
        <w:rPr>
          <w:b/>
          <w:bCs/>
          <w:caps/>
        </w:rPr>
        <w:t xml:space="preserve">OPPOSITION TO OCC’S </w:t>
      </w:r>
      <w:r w:rsidRPr="00452147">
        <w:rPr>
          <w:b/>
          <w:bCs/>
          <w:caps/>
        </w:rPr>
        <w:t>MOTION TO REQUIRE FIRSTENERGY ENTITIES</w:t>
      </w:r>
      <w:r w:rsidRPr="00452147" w:rsidR="00D857E0">
        <w:rPr>
          <w:b/>
          <w:bCs/>
          <w:caps/>
        </w:rPr>
        <w:t xml:space="preserve"> </w:t>
      </w:r>
      <w:r w:rsidRPr="00452147">
        <w:rPr>
          <w:b/>
          <w:bCs/>
          <w:caps/>
        </w:rPr>
        <w:t xml:space="preserve">TO FILE </w:t>
      </w:r>
      <w:r w:rsidRPr="00452147" w:rsidR="00D857E0">
        <w:rPr>
          <w:b/>
          <w:bCs/>
          <w:caps/>
        </w:rPr>
        <w:t xml:space="preserve">A </w:t>
      </w:r>
      <w:r w:rsidRPr="00452147">
        <w:rPr>
          <w:b/>
          <w:bCs/>
          <w:caps/>
        </w:rPr>
        <w:t>NOTICE IF THEY</w:t>
      </w:r>
      <w:r w:rsidRPr="00452147" w:rsidR="00D857E0">
        <w:rPr>
          <w:b/>
          <w:bCs/>
          <w:caps/>
        </w:rPr>
        <w:t xml:space="preserve"> ANYWHERE </w:t>
      </w:r>
      <w:r w:rsidRPr="00452147">
        <w:rPr>
          <w:b/>
          <w:bCs/>
          <w:caps/>
        </w:rPr>
        <w:t>DISCLOSE RECORDS</w:t>
      </w:r>
      <w:r w:rsidRPr="00452147" w:rsidR="00D857E0">
        <w:rPr>
          <w:b/>
          <w:bCs/>
          <w:caps/>
        </w:rPr>
        <w:t xml:space="preserve"> </w:t>
      </w:r>
      <w:r w:rsidRPr="00452147">
        <w:rPr>
          <w:b/>
          <w:bCs/>
          <w:caps/>
        </w:rPr>
        <w:t xml:space="preserve">THAT THEY </w:t>
      </w:r>
      <w:r w:rsidRPr="00452147" w:rsidR="00D857E0">
        <w:rPr>
          <w:b/>
          <w:bCs/>
          <w:caps/>
        </w:rPr>
        <w:t>WILL NOT DISCLOSE TO OCC BASED</w:t>
      </w:r>
      <w:r w:rsidRPr="00452147">
        <w:rPr>
          <w:b/>
          <w:bCs/>
          <w:caps/>
        </w:rPr>
        <w:t xml:space="preserve"> </w:t>
      </w:r>
      <w:r w:rsidRPr="00452147" w:rsidR="00D857E0">
        <w:rPr>
          <w:b/>
          <w:bCs/>
          <w:caps/>
        </w:rPr>
        <w:t xml:space="preserve">ON A CLAIM OF </w:t>
      </w:r>
      <w:r w:rsidRPr="00452147">
        <w:rPr>
          <w:b/>
          <w:bCs/>
          <w:caps/>
        </w:rPr>
        <w:t>PRIVILEGE</w:t>
      </w:r>
    </w:p>
    <w:p w:rsidR="0004570A" w:rsidRPr="00452147" w:rsidP="0004570A" w14:paraId="606A0D71"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452147">
        <w:rPr>
          <w:rFonts w:ascii="Times New Roman" w:hAnsi="Times New Roman" w:cs="Times New Roman"/>
          <w:b/>
          <w:bCs/>
          <w:sz w:val="24"/>
          <w:szCs w:val="24"/>
        </w:rPr>
        <w:t xml:space="preserve">BY </w:t>
      </w:r>
    </w:p>
    <w:p w:rsidR="00BF5C65" w:rsidRPr="00452147" w:rsidP="0004570A" w14:paraId="5F929824"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452147">
        <w:rPr>
          <w:rFonts w:ascii="Times New Roman" w:hAnsi="Times New Roman" w:cs="Times New Roman"/>
          <w:b/>
          <w:bCs/>
          <w:sz w:val="24"/>
          <w:szCs w:val="24"/>
        </w:rPr>
        <w:t>OFFICE OF THE OHIO CONSUMERS' COUNSEL</w:t>
      </w:r>
    </w:p>
    <w:bookmarkEnd w:id="0"/>
    <w:p w:rsidR="00DE6E5C" w:rsidRPr="00452147" w:rsidP="0004570A" w14:paraId="15E39318"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p w:rsidR="000850C0" w:rsidRPr="00452147" w:rsidP="006316CE" w14:paraId="568EB66A" w14:textId="77777777">
      <w:pPr>
        <w:pStyle w:val="NoSpacing"/>
        <w:spacing w:line="240" w:lineRule="auto"/>
      </w:pPr>
    </w:p>
    <w:p w:rsidR="00D379A0" w:rsidRPr="00452147" w:rsidP="000F7309" w14:paraId="3BF8F147" w14:textId="77777777">
      <w:pPr>
        <w:pStyle w:val="Heading1"/>
        <w:numPr>
          <w:ilvl w:val="0"/>
          <w:numId w:val="12"/>
        </w:numPr>
        <w:ind w:left="720"/>
        <w:rPr>
          <w:rFonts w:ascii="Times New Roman" w:hAnsi="Times New Roman" w:cs="Times New Roman"/>
          <w:szCs w:val="24"/>
        </w:rPr>
      </w:pPr>
      <w:r w:rsidRPr="00452147">
        <w:rPr>
          <w:rFonts w:ascii="Times New Roman" w:hAnsi="Times New Roman" w:cs="Times New Roman"/>
          <w:szCs w:val="24"/>
        </w:rPr>
        <w:t>INTRODUCTION</w:t>
      </w:r>
    </w:p>
    <w:p w:rsidR="009D6CED" w:rsidRPr="00452147" w:rsidP="006D3189" w14:paraId="584CF26E" w14:textId="5DF2EB22">
      <w:pPr>
        <w:spacing w:line="480" w:lineRule="auto"/>
        <w:ind w:firstLine="720"/>
      </w:pPr>
      <w:r w:rsidRPr="00452147">
        <w:t xml:space="preserve">The </w:t>
      </w:r>
      <w:r w:rsidRPr="00452147" w:rsidR="0037428E">
        <w:t xml:space="preserve">Office of the </w:t>
      </w:r>
      <w:r w:rsidRPr="00452147" w:rsidR="00E25A06">
        <w:t>Ohio Consumers’ Counsel</w:t>
      </w:r>
      <w:r w:rsidRPr="00452147" w:rsidR="0037428E">
        <w:t xml:space="preserve"> (“OCC”)</w:t>
      </w:r>
      <w:r w:rsidRPr="00452147" w:rsidR="00E25A06">
        <w:t xml:space="preserve"> is trying to get to the bottom of the</w:t>
      </w:r>
      <w:r w:rsidRPr="00452147" w:rsidR="002F74F2">
        <w:t xml:space="preserve"> impacts on </w:t>
      </w:r>
      <w:r w:rsidRPr="00452147">
        <w:t xml:space="preserve">the </w:t>
      </w:r>
      <w:r w:rsidRPr="00452147" w:rsidR="002F74F2">
        <w:t>FirstEnergy Utilities’ consumers from</w:t>
      </w:r>
      <w:r w:rsidRPr="00452147">
        <w:t xml:space="preserve"> what the U.S. Attorney called</w:t>
      </w:r>
      <w:r w:rsidRPr="00452147" w:rsidR="002F74F2">
        <w:t xml:space="preserve"> the</w:t>
      </w:r>
      <w:r w:rsidRPr="00452147" w:rsidR="00E25A06">
        <w:t xml:space="preserve"> largest bribery scheme in Ohio’s history.</w:t>
      </w:r>
      <w:r w:rsidRPr="00452147">
        <w:t xml:space="preserve"> FirstEnergy Corp. is charged with a federal crime.</w:t>
      </w:r>
      <w:r w:rsidRPr="00452147" w:rsidR="00413B98">
        <w:t xml:space="preserve"> </w:t>
      </w:r>
      <w:r w:rsidRPr="00452147">
        <w:t xml:space="preserve">Despite this problematic scenario for consumers, this case is lacking an independent audit. We’ve asked the </w:t>
      </w:r>
      <w:r w:rsidRPr="00452147" w:rsidR="004C51C0">
        <w:t>Public Utilities Commission of Ohio (“</w:t>
      </w:r>
      <w:r w:rsidRPr="00452147">
        <w:t>PUCO</w:t>
      </w:r>
      <w:r w:rsidRPr="00452147" w:rsidR="004C51C0">
        <w:t>”)</w:t>
      </w:r>
      <w:r w:rsidRPr="00452147">
        <w:t xml:space="preserve"> to remedy this shortcoming.</w:t>
      </w:r>
    </w:p>
    <w:p w:rsidR="00E25A06" w:rsidRPr="00452147" w:rsidP="006D3189" w14:paraId="1AFD444C" w14:textId="77777777">
      <w:pPr>
        <w:spacing w:line="480" w:lineRule="auto"/>
        <w:ind w:firstLine="720"/>
      </w:pPr>
      <w:r w:rsidRPr="00452147">
        <w:t xml:space="preserve">In any event, </w:t>
      </w:r>
      <w:r w:rsidRPr="00452147" w:rsidR="002F74F2">
        <w:t>OCC has sought relevant documents needed for a real investigation</w:t>
      </w:r>
      <w:r w:rsidRPr="00452147" w:rsidR="009D6CED">
        <w:t xml:space="preserve">. </w:t>
      </w:r>
      <w:r w:rsidRPr="00452147">
        <w:t>FirstEnergy Utilities</w:t>
      </w:r>
      <w:r>
        <w:rPr>
          <w:vertAlign w:val="superscript"/>
        </w:rPr>
        <w:footnoteReference w:id="2"/>
      </w:r>
      <w:r w:rsidRPr="00452147">
        <w:t xml:space="preserve"> ha</w:t>
      </w:r>
      <w:r w:rsidRPr="00452147" w:rsidR="002F74F2">
        <w:t>ve</w:t>
      </w:r>
      <w:r w:rsidRPr="00452147">
        <w:t xml:space="preserve"> </w:t>
      </w:r>
      <w:r w:rsidRPr="00452147" w:rsidR="002F74F2">
        <w:t xml:space="preserve">such </w:t>
      </w:r>
      <w:r w:rsidRPr="00452147">
        <w:t xml:space="preserve">documents that could be produced. </w:t>
      </w:r>
      <w:r w:rsidRPr="00452147" w:rsidR="002F74F2">
        <w:t>But they</w:t>
      </w:r>
      <w:r w:rsidRPr="00452147">
        <w:t xml:space="preserve"> refuse to </w:t>
      </w:r>
      <w:r w:rsidRPr="00452147">
        <w:t xml:space="preserve">produce </w:t>
      </w:r>
      <w:r w:rsidRPr="00452147" w:rsidR="00A65493">
        <w:t>them</w:t>
      </w:r>
      <w:r w:rsidRPr="00452147" w:rsidR="002F74F2">
        <w:t>.</w:t>
      </w:r>
      <w:r w:rsidRPr="00452147" w:rsidR="00A65493">
        <w:t xml:space="preserve"> </w:t>
      </w:r>
      <w:r w:rsidRPr="00452147" w:rsidR="002F74F2">
        <w:t xml:space="preserve">Instead, they </w:t>
      </w:r>
      <w:r w:rsidRPr="00452147">
        <w:t xml:space="preserve">provided a </w:t>
      </w:r>
      <w:r w:rsidRPr="00452147">
        <w:rPr>
          <w:i/>
          <w:iCs/>
        </w:rPr>
        <w:t>privilege log</w:t>
      </w:r>
      <w:r w:rsidRPr="00452147">
        <w:t xml:space="preserve"> in support</w:t>
      </w:r>
      <w:r w:rsidRPr="00452147" w:rsidR="002F74F2">
        <w:t xml:space="preserve"> of their claim that a legal privilege protects them against </w:t>
      </w:r>
      <w:r w:rsidRPr="00452147" w:rsidR="002E7AEF">
        <w:t>disclosure</w:t>
      </w:r>
      <w:r w:rsidRPr="00452147">
        <w:t xml:space="preserve">. </w:t>
      </w:r>
    </w:p>
    <w:p w:rsidR="00E25A06" w:rsidRPr="00452147" w:rsidP="006D3189" w14:paraId="0131E564" w14:textId="77777777">
      <w:pPr>
        <w:spacing w:line="480" w:lineRule="auto"/>
        <w:ind w:firstLine="720"/>
      </w:pPr>
      <w:r w:rsidRPr="00452147">
        <w:t>But the privilege log supports no such thing</w:t>
      </w:r>
      <w:r w:rsidRPr="00452147" w:rsidR="00D86600">
        <w:t>,</w:t>
      </w:r>
      <w:r w:rsidRPr="00452147">
        <w:t xml:space="preserve"> despite 234 individua</w:t>
      </w:r>
      <w:r w:rsidRPr="00452147" w:rsidR="00D86600">
        <w:t xml:space="preserve">l and often redundant </w:t>
      </w:r>
      <w:r w:rsidRPr="00452147">
        <w:t>privilege claims</w:t>
      </w:r>
      <w:r w:rsidRPr="00452147" w:rsidR="00D86600">
        <w:t>.</w:t>
      </w:r>
      <w:r w:rsidRPr="00452147">
        <w:t xml:space="preserve"> FirstEnergy Utilities provide no theory and no authority for three separate </w:t>
      </w:r>
      <w:r w:rsidRPr="00452147" w:rsidR="001C1E23">
        <w:t xml:space="preserve">FirstEnergy </w:t>
      </w:r>
      <w:r w:rsidRPr="00452147">
        <w:t xml:space="preserve">corporations asserting the same privilege. </w:t>
      </w:r>
    </w:p>
    <w:p w:rsidR="00D211E0" w:rsidRPr="00452147" w:rsidP="00356C42" w14:paraId="7239CF45" w14:textId="40B23873">
      <w:pPr>
        <w:spacing w:line="480" w:lineRule="auto"/>
        <w:ind w:firstLine="720"/>
        <w:rPr>
          <w:b/>
          <w:caps/>
        </w:rPr>
      </w:pPr>
      <w:r w:rsidRPr="00452147">
        <w:t xml:space="preserve">Therefore, the PUCO should </w:t>
      </w:r>
      <w:r w:rsidRPr="00452147" w:rsidR="001C1E23">
        <w:t xml:space="preserve">make </w:t>
      </w:r>
      <w:r w:rsidRPr="00452147">
        <w:t xml:space="preserve">an </w:t>
      </w:r>
      <w:r w:rsidRPr="00452147">
        <w:rPr>
          <w:i/>
          <w:iCs/>
        </w:rPr>
        <w:t xml:space="preserve">in camera </w:t>
      </w:r>
      <w:r w:rsidRPr="00452147">
        <w:t>review of the</w:t>
      </w:r>
      <w:r w:rsidRPr="00452147" w:rsidR="001C1E23">
        <w:t xml:space="preserve"> documents referenced in the</w:t>
      </w:r>
      <w:r w:rsidRPr="00452147">
        <w:t xml:space="preserve"> privilege log</w:t>
      </w:r>
      <w:r w:rsidRPr="00452147" w:rsidR="001C1E23">
        <w:t>.</w:t>
      </w:r>
      <w:r w:rsidRPr="00452147">
        <w:t xml:space="preserve"> </w:t>
      </w:r>
      <w:r w:rsidRPr="00452147" w:rsidR="001C1E23">
        <w:t xml:space="preserve">It then should </w:t>
      </w:r>
      <w:r w:rsidRPr="00452147">
        <w:t>order the production of the non-privileged documents</w:t>
      </w:r>
      <w:r w:rsidRPr="00452147" w:rsidR="001C1E23">
        <w:t>.</w:t>
      </w:r>
      <w:r w:rsidRPr="00452147">
        <w:t xml:space="preserve"> </w:t>
      </w:r>
      <w:r w:rsidRPr="00452147" w:rsidR="001C1E23">
        <w:t>PUCO</w:t>
      </w:r>
      <w:r w:rsidRPr="00452147">
        <w:t xml:space="preserve"> Attorney Examiner </w:t>
      </w:r>
      <w:r w:rsidRPr="00452147" w:rsidR="001C1E23">
        <w:t xml:space="preserve">Gregory </w:t>
      </w:r>
      <w:r w:rsidRPr="00452147">
        <w:t>Price</w:t>
      </w:r>
      <w:r w:rsidRPr="00452147" w:rsidR="001C1E23">
        <w:t xml:space="preserve"> addressed this process</w:t>
      </w:r>
      <w:r w:rsidRPr="00452147">
        <w:t>. The PUCO should also issue a</w:t>
      </w:r>
      <w:r w:rsidRPr="00452147" w:rsidR="00D80051">
        <w:t>n</w:t>
      </w:r>
      <w:r w:rsidRPr="00452147">
        <w:t xml:space="preserve"> order indicating that the Parties agreed that FirstEnergy Utilities will “keep[] the Commission informed of developments concerning any compelled disclosure of privileged material,” and then order that the OCC shall receive the same notification.</w:t>
      </w:r>
      <w:r>
        <w:rPr>
          <w:rStyle w:val="FootnoteReference"/>
        </w:rPr>
        <w:footnoteReference w:id="3"/>
      </w:r>
    </w:p>
    <w:p w:rsidR="00D211E0" w:rsidRPr="00452147" w:rsidP="006D3189" w14:paraId="2ED16EC6" w14:textId="77777777">
      <w:pPr>
        <w:pStyle w:val="Heading2"/>
        <w:jc w:val="left"/>
        <w:rPr>
          <w:rFonts w:cs="Times New Roman"/>
          <w:szCs w:val="24"/>
        </w:rPr>
      </w:pPr>
      <w:r w:rsidRPr="00452147">
        <w:rPr>
          <w:rFonts w:cs="Times New Roman"/>
          <w:szCs w:val="24"/>
        </w:rPr>
        <w:t xml:space="preserve">To protect consumers and promote transparency, the PUCO should grant </w:t>
      </w:r>
      <w:r w:rsidRPr="00452147" w:rsidR="00705CCA">
        <w:rPr>
          <w:rFonts w:cs="Times New Roman"/>
          <w:szCs w:val="24"/>
        </w:rPr>
        <w:t xml:space="preserve">OCC’s </w:t>
      </w:r>
      <w:r w:rsidRPr="00452147">
        <w:rPr>
          <w:rFonts w:cs="Times New Roman"/>
          <w:szCs w:val="24"/>
        </w:rPr>
        <w:t xml:space="preserve">Motion for an </w:t>
      </w:r>
      <w:r w:rsidRPr="00452147">
        <w:rPr>
          <w:rFonts w:cs="Times New Roman"/>
          <w:i/>
          <w:iCs/>
          <w:szCs w:val="24"/>
        </w:rPr>
        <w:t xml:space="preserve">in camera </w:t>
      </w:r>
      <w:r w:rsidRPr="00452147">
        <w:rPr>
          <w:rFonts w:cs="Times New Roman"/>
          <w:szCs w:val="24"/>
        </w:rPr>
        <w:t xml:space="preserve">review of </w:t>
      </w:r>
      <w:r w:rsidRPr="00452147" w:rsidR="008140BF">
        <w:rPr>
          <w:rFonts w:cs="Times New Roman"/>
          <w:szCs w:val="24"/>
        </w:rPr>
        <w:t xml:space="preserve">FirstEnergy’s </w:t>
      </w:r>
      <w:r w:rsidRPr="00452147">
        <w:rPr>
          <w:rFonts w:cs="Times New Roman"/>
          <w:szCs w:val="24"/>
        </w:rPr>
        <w:t xml:space="preserve">allegedly privileged documents. </w:t>
      </w:r>
    </w:p>
    <w:p w:rsidR="008E680D" w:rsidRPr="00452147" w:rsidP="006D3189" w14:paraId="339365BE" w14:textId="77777777">
      <w:pPr>
        <w:pStyle w:val="NoSpacing"/>
      </w:pPr>
      <w:r w:rsidRPr="00452147">
        <w:t xml:space="preserve">FirstEnergy Utilities must produce responsive </w:t>
      </w:r>
      <w:r w:rsidRPr="00452147" w:rsidR="00E9219D">
        <w:t>documents unless</w:t>
      </w:r>
      <w:r w:rsidRPr="00452147">
        <w:t xml:space="preserve"> </w:t>
      </w:r>
      <w:r w:rsidRPr="00452147" w:rsidR="008140BF">
        <w:t>they</w:t>
      </w:r>
      <w:r w:rsidRPr="00452147">
        <w:t xml:space="preserve"> can justify withholding them </w:t>
      </w:r>
      <w:r w:rsidRPr="00452147" w:rsidR="008140BF">
        <w:t xml:space="preserve">through </w:t>
      </w:r>
      <w:r w:rsidRPr="00452147">
        <w:t xml:space="preserve">a privilege log. Because the privilege log cannot carry this burden, the PUCO should order an </w:t>
      </w:r>
      <w:r w:rsidRPr="00452147">
        <w:rPr>
          <w:i/>
          <w:iCs/>
        </w:rPr>
        <w:t xml:space="preserve">in camera </w:t>
      </w:r>
      <w:r w:rsidRPr="00452147">
        <w:t xml:space="preserve">review and the production of non-privileged documents. </w:t>
      </w:r>
    </w:p>
    <w:p w:rsidR="005700D8" w:rsidRPr="00452147" w:rsidP="006D3189" w14:paraId="38B2EC43" w14:textId="77777777">
      <w:pPr>
        <w:pStyle w:val="Heading3"/>
        <w:rPr>
          <w:rFonts w:cs="Times New Roman"/>
        </w:rPr>
      </w:pPr>
      <w:r w:rsidRPr="00452147">
        <w:rPr>
          <w:rFonts w:cs="Times New Roman"/>
        </w:rPr>
        <w:t>FirstEnergy Utilities</w:t>
      </w:r>
      <w:r w:rsidRPr="00452147" w:rsidR="008140BF">
        <w:rPr>
          <w:rFonts w:cs="Times New Roman"/>
        </w:rPr>
        <w:t>, not OCC,</w:t>
      </w:r>
      <w:r w:rsidRPr="00452147">
        <w:rPr>
          <w:rFonts w:cs="Times New Roman"/>
        </w:rPr>
        <w:t xml:space="preserve"> carr</w:t>
      </w:r>
      <w:r w:rsidRPr="00452147" w:rsidR="008140BF">
        <w:rPr>
          <w:rFonts w:cs="Times New Roman"/>
        </w:rPr>
        <w:t>y</w:t>
      </w:r>
      <w:r w:rsidRPr="00452147">
        <w:rPr>
          <w:rFonts w:cs="Times New Roman"/>
        </w:rPr>
        <w:t xml:space="preserve"> the burden of</w:t>
      </w:r>
      <w:r w:rsidRPr="00452147" w:rsidR="003017AA">
        <w:rPr>
          <w:rFonts w:cs="Times New Roman"/>
        </w:rPr>
        <w:t xml:space="preserve"> asserting</w:t>
      </w:r>
      <w:r w:rsidRPr="00452147">
        <w:rPr>
          <w:rFonts w:cs="Times New Roman"/>
        </w:rPr>
        <w:t xml:space="preserve"> privilege. </w:t>
      </w:r>
    </w:p>
    <w:p w:rsidR="005700D8" w:rsidRPr="00452147" w:rsidP="006D3189" w14:paraId="431E8FB2" w14:textId="77777777">
      <w:pPr>
        <w:pStyle w:val="NoSpacing"/>
      </w:pPr>
      <w:r w:rsidRPr="00452147">
        <w:t xml:space="preserve">It is </w:t>
      </w:r>
      <w:r w:rsidRPr="00452147" w:rsidR="008140BF">
        <w:t xml:space="preserve">the </w:t>
      </w:r>
      <w:r w:rsidRPr="00452147">
        <w:t>First</w:t>
      </w:r>
      <w:r w:rsidRPr="00452147" w:rsidR="003017AA">
        <w:t xml:space="preserve">Energy </w:t>
      </w:r>
      <w:r w:rsidRPr="00452147">
        <w:t>Utilities’ burden</w:t>
      </w:r>
      <w:r w:rsidRPr="00452147" w:rsidR="002C7F07">
        <w:t xml:space="preserve"> to show privilege</w:t>
      </w:r>
      <w:r w:rsidRPr="00452147">
        <w:t>, not the OCC’s</w:t>
      </w:r>
      <w:r w:rsidRPr="00452147" w:rsidR="008140BF">
        <w:t xml:space="preserve"> burden</w:t>
      </w:r>
      <w:r w:rsidRPr="00452147" w:rsidR="003017AA">
        <w:t xml:space="preserve">. </w:t>
      </w:r>
      <w:r w:rsidRPr="00452147">
        <w:t xml:space="preserve">It is “well-settled” that the burden </w:t>
      </w:r>
      <w:r w:rsidRPr="00452147" w:rsidR="00CA78A3">
        <w:t>of asserting privilege</w:t>
      </w:r>
      <w:r w:rsidRPr="00452147" w:rsidR="00F57851">
        <w:t xml:space="preserve"> to exclude a document</w:t>
      </w:r>
      <w:r w:rsidRPr="00452147">
        <w:t xml:space="preserve"> </w:t>
      </w:r>
      <w:r w:rsidRPr="00452147" w:rsidR="002C7F07">
        <w:t>“</w:t>
      </w:r>
      <w:r w:rsidRPr="00452147">
        <w:t xml:space="preserve">rests upon the party seeking to exclude it.” </w:t>
      </w:r>
      <w:r w:rsidRPr="00452147">
        <w:rPr>
          <w:i/>
          <w:iCs/>
        </w:rPr>
        <w:t>Smith v. Technology House, Ltd.</w:t>
      </w:r>
      <w:r w:rsidRPr="00452147">
        <w:t xml:space="preserve">, 11th Dist. Portage No. 2018-P-0080, 2019-Ohio-2670, ¶ 16 (citing </w:t>
      </w:r>
      <w:r w:rsidRPr="00452147">
        <w:rPr>
          <w:i/>
          <w:iCs/>
        </w:rPr>
        <w:t>Waldmann v. Waldmann</w:t>
      </w:r>
      <w:r w:rsidRPr="00452147">
        <w:t xml:space="preserve">, 48 Ohio St.2d 176, 178, 358 N.E.2d 521 (1976)). That is because, generally, “parties may obtain discovery regarding any matter, not privileged, which is relevant to the subject matter involved in the pending action.” </w:t>
      </w:r>
      <w:r w:rsidRPr="00452147">
        <w:rPr>
          <w:i/>
          <w:iCs/>
        </w:rPr>
        <w:t>Id.</w:t>
      </w:r>
      <w:r w:rsidRPr="00452147">
        <w:t xml:space="preserve">, ¶ 15; </w:t>
      </w:r>
      <w:r w:rsidRPr="00452147">
        <w:rPr>
          <w:i/>
          <w:iCs/>
        </w:rPr>
        <w:t xml:space="preserve">see also Jacobs v. Equity </w:t>
      </w:r>
      <w:r w:rsidRPr="00452147" w:rsidR="00F130AF">
        <w:rPr>
          <w:i/>
          <w:iCs/>
        </w:rPr>
        <w:t>Tr.</w:t>
      </w:r>
      <w:r w:rsidRPr="00452147">
        <w:rPr>
          <w:i/>
          <w:iCs/>
        </w:rPr>
        <w:t xml:space="preserve"> Co</w:t>
      </w:r>
      <w:r w:rsidRPr="00452147">
        <w:t xml:space="preserve">., 9th Dist. Lorain No. 20CA011621, 2020-Ohio-6882, ¶ 11 (party asserting privilege “carries the burden of establishing the existence of the privilege”). </w:t>
      </w:r>
    </w:p>
    <w:p w:rsidR="003017AA" w:rsidRPr="00452147" w:rsidP="006D3189" w14:paraId="067B72D7" w14:textId="29ABFDF6">
      <w:pPr>
        <w:pStyle w:val="NoSpacing"/>
      </w:pPr>
      <w:r w:rsidRPr="00452147">
        <w:t xml:space="preserve">But contrary to well-settled law, </w:t>
      </w:r>
      <w:r w:rsidRPr="00452147" w:rsidR="00153E1E">
        <w:t xml:space="preserve">the </w:t>
      </w:r>
      <w:r w:rsidRPr="00452147">
        <w:t xml:space="preserve">FirstEnergy Utilities </w:t>
      </w:r>
      <w:r w:rsidRPr="00452147" w:rsidR="00153E1E">
        <w:t xml:space="preserve">are </w:t>
      </w:r>
      <w:r w:rsidRPr="00452147">
        <w:t>tr</w:t>
      </w:r>
      <w:r w:rsidRPr="00452147" w:rsidR="008140BF">
        <w:t>y</w:t>
      </w:r>
      <w:r w:rsidRPr="00452147" w:rsidR="00153E1E">
        <w:t>ing</w:t>
      </w:r>
      <w:r w:rsidRPr="00452147">
        <w:t xml:space="preserve"> to shift the burden to the OCC.</w:t>
      </w:r>
      <w:r w:rsidRPr="00452147" w:rsidR="00153E1E">
        <w:t xml:space="preserve"> </w:t>
      </w:r>
      <w:r w:rsidRPr="00452147" w:rsidR="008140BF">
        <w:t>They</w:t>
      </w:r>
      <w:r w:rsidRPr="00452147">
        <w:t xml:space="preserve"> argue, for example, that the OCC has not done “nearly enough” to bring this issue to the PUCO.</w:t>
      </w:r>
      <w:r>
        <w:rPr>
          <w:rStyle w:val="FootnoteReference"/>
        </w:rPr>
        <w:footnoteReference w:id="4"/>
      </w:r>
      <w:r w:rsidRPr="00452147">
        <w:t xml:space="preserve"> That is wrong. </w:t>
      </w:r>
      <w:r w:rsidRPr="00452147" w:rsidR="00153E1E">
        <w:t xml:space="preserve">The </w:t>
      </w:r>
      <w:r w:rsidRPr="00452147">
        <w:t xml:space="preserve">FirstEnergy Utilities conceded that these documents are relevant and responsive. This generally requires production under Ohio’s Rules of Civil Procedure, and </w:t>
      </w:r>
      <w:r w:rsidRPr="00452147" w:rsidR="00153E1E">
        <w:t xml:space="preserve">the </w:t>
      </w:r>
      <w:r w:rsidRPr="00452147">
        <w:t>FirstEnergy Utilities can produce the documents at any time. But because</w:t>
      </w:r>
      <w:r w:rsidRPr="00452147" w:rsidR="00153E1E">
        <w:t xml:space="preserve"> the</w:t>
      </w:r>
      <w:r w:rsidRPr="00452147">
        <w:t xml:space="preserve"> FirstEnergy Utilities continue to hold </w:t>
      </w:r>
      <w:r w:rsidRPr="00452147" w:rsidR="00F57851">
        <w:t xml:space="preserve">documents </w:t>
      </w:r>
      <w:r w:rsidRPr="00452147">
        <w:t xml:space="preserve">back, it is </w:t>
      </w:r>
      <w:r w:rsidRPr="00452147" w:rsidR="008140BF">
        <w:t xml:space="preserve">the </w:t>
      </w:r>
      <w:r w:rsidRPr="00452147">
        <w:t>First</w:t>
      </w:r>
      <w:r w:rsidRPr="00452147" w:rsidR="000850C0">
        <w:t xml:space="preserve">Energy </w:t>
      </w:r>
      <w:r w:rsidRPr="00452147">
        <w:t xml:space="preserve">Utilities’ burden to show why. </w:t>
      </w:r>
    </w:p>
    <w:p w:rsidR="00F57761" w:rsidRPr="00452147" w:rsidP="006D3189" w14:paraId="48F1470B" w14:textId="77777777">
      <w:pPr>
        <w:pStyle w:val="Heading3"/>
        <w:rPr>
          <w:rFonts w:cs="Times New Roman"/>
        </w:rPr>
      </w:pPr>
      <w:r w:rsidRPr="00452147">
        <w:rPr>
          <w:rFonts w:cs="Times New Roman"/>
        </w:rPr>
        <w:t xml:space="preserve">The privilege log is the first step </w:t>
      </w:r>
      <w:r w:rsidRPr="00452147" w:rsidR="001343FF">
        <w:rPr>
          <w:rFonts w:cs="Times New Roman"/>
        </w:rPr>
        <w:t xml:space="preserve">for </w:t>
      </w:r>
      <w:r w:rsidRPr="00452147">
        <w:rPr>
          <w:rFonts w:cs="Times New Roman"/>
        </w:rPr>
        <w:t xml:space="preserve">FirstEnergy Utilities </w:t>
      </w:r>
      <w:r w:rsidRPr="00452147" w:rsidR="001343FF">
        <w:rPr>
          <w:rFonts w:cs="Times New Roman"/>
        </w:rPr>
        <w:t xml:space="preserve">to meet their </w:t>
      </w:r>
      <w:r w:rsidRPr="00452147">
        <w:rPr>
          <w:rFonts w:cs="Times New Roman"/>
        </w:rPr>
        <w:t>burden</w:t>
      </w:r>
      <w:r w:rsidRPr="00452147" w:rsidR="001343FF">
        <w:rPr>
          <w:rFonts w:cs="Times New Roman"/>
        </w:rPr>
        <w:t xml:space="preserve"> of proof</w:t>
      </w:r>
      <w:r w:rsidRPr="00452147">
        <w:rPr>
          <w:rFonts w:cs="Times New Roman"/>
        </w:rPr>
        <w:t>, not the last</w:t>
      </w:r>
      <w:r w:rsidRPr="00452147" w:rsidR="001343FF">
        <w:rPr>
          <w:rFonts w:cs="Times New Roman"/>
        </w:rPr>
        <w:t xml:space="preserve"> step</w:t>
      </w:r>
      <w:r w:rsidRPr="00452147">
        <w:rPr>
          <w:rFonts w:cs="Times New Roman"/>
        </w:rPr>
        <w:t xml:space="preserve">. </w:t>
      </w:r>
    </w:p>
    <w:p w:rsidR="00F57761" w:rsidRPr="00452147" w:rsidP="006D3189" w14:paraId="6B3F5FE3" w14:textId="77777777">
      <w:pPr>
        <w:pStyle w:val="NoSpacing"/>
      </w:pPr>
      <w:r w:rsidRPr="00452147">
        <w:t xml:space="preserve">The </w:t>
      </w:r>
      <w:r w:rsidRPr="00452147" w:rsidR="00153E1E">
        <w:t>PUCO</w:t>
      </w:r>
      <w:r w:rsidRPr="00452147">
        <w:t xml:space="preserve"> should conduct an </w:t>
      </w:r>
      <w:r w:rsidRPr="00452147">
        <w:rPr>
          <w:i/>
          <w:iCs/>
        </w:rPr>
        <w:t xml:space="preserve">in camera </w:t>
      </w:r>
      <w:r w:rsidRPr="00452147">
        <w:t xml:space="preserve">review now that it has a privilege log. </w:t>
      </w:r>
      <w:r w:rsidRPr="00452147" w:rsidR="00F130AF">
        <w:t>A</w:t>
      </w:r>
      <w:r w:rsidRPr="00452147">
        <w:t xml:space="preserve"> trial court “shall determine by in camera inspection which portions of the file, if any, are so privileged.” </w:t>
      </w:r>
      <w:r w:rsidRPr="00452147">
        <w:rPr>
          <w:i/>
          <w:iCs/>
        </w:rPr>
        <w:t>Cargile v. Barrow</w:t>
      </w:r>
      <w:r w:rsidRPr="00452147">
        <w:t>, 182 Ohio App.3d 55, 2009-Ohio-371, 911 N.E.2d 911, ¶ 8 (1st Dist.) (citation omitted). This is generally a mandatory duty</w:t>
      </w:r>
      <w:r w:rsidRPr="00452147" w:rsidR="00593792">
        <w:t>, and a trial court err</w:t>
      </w:r>
      <w:r w:rsidRPr="00452147" w:rsidR="00153E1E">
        <w:t>s</w:t>
      </w:r>
      <w:r w:rsidRPr="00452147" w:rsidR="00593792">
        <w:t xml:space="preserve"> </w:t>
      </w:r>
      <w:r w:rsidRPr="00452147" w:rsidR="00997123">
        <w:t>if it fails</w:t>
      </w:r>
      <w:r w:rsidRPr="00452147" w:rsidR="00593792">
        <w:t xml:space="preserve"> to conduct a review</w:t>
      </w:r>
      <w:r w:rsidRPr="00452147">
        <w:t xml:space="preserve">. </w:t>
      </w:r>
      <w:r w:rsidRPr="00452147">
        <w:rPr>
          <w:i/>
          <w:iCs/>
        </w:rPr>
        <w:t>Marcum v. Miami Valley Hosp.</w:t>
      </w:r>
      <w:r w:rsidRPr="00452147">
        <w:t xml:space="preserve">, 2015-Ohio-1582, 32 N.E.3d 974, ¶ 20 (2d Dist.) </w:t>
      </w:r>
      <w:r w:rsidRPr="00452147" w:rsidR="00593792">
        <w:t xml:space="preserve">(collecting cases across Ohio that show a mandatory duty for an </w:t>
      </w:r>
      <w:r w:rsidRPr="00452147" w:rsidR="00593792">
        <w:rPr>
          <w:i/>
          <w:iCs/>
        </w:rPr>
        <w:t xml:space="preserve">in camera </w:t>
      </w:r>
      <w:r w:rsidRPr="00452147" w:rsidR="00593792">
        <w:t xml:space="preserve">review). This is where the privilege log comes in. It eases the burden for the trial court’s review, so much so that some courts will find that a failure to timely produce a privilege log waives the exclusion. </w:t>
      </w:r>
      <w:r w:rsidRPr="00452147" w:rsidR="00593792">
        <w:rPr>
          <w:i/>
          <w:iCs/>
        </w:rPr>
        <w:t>See</w:t>
      </w:r>
      <w:r w:rsidRPr="00452147" w:rsidR="00495EEE">
        <w:rPr>
          <w:i/>
          <w:iCs/>
        </w:rPr>
        <w:t>,</w:t>
      </w:r>
      <w:r w:rsidRPr="00452147" w:rsidR="00593792">
        <w:rPr>
          <w:i/>
          <w:iCs/>
        </w:rPr>
        <w:t xml:space="preserve"> Csonka-Cherney v. Arcelormittal Cleveland, Inc.</w:t>
      </w:r>
      <w:r w:rsidRPr="00452147" w:rsidR="00593792">
        <w:t>, 2014-Ohio-836, 9 N.E.3d 515, ¶ 24 (8th Dist.).</w:t>
      </w:r>
    </w:p>
    <w:p w:rsidR="00476482" w:rsidRPr="00452147" w:rsidP="006D3189" w14:paraId="794E8112" w14:textId="7737335B">
      <w:pPr>
        <w:pStyle w:val="NoSpacing"/>
      </w:pPr>
      <w:r w:rsidRPr="00452147">
        <w:t xml:space="preserve">Despite </w:t>
      </w:r>
      <w:r w:rsidRPr="00452147" w:rsidR="00997123">
        <w:t xml:space="preserve">an </w:t>
      </w:r>
      <w:r w:rsidRPr="00452147">
        <w:t>establish</w:t>
      </w:r>
      <w:r w:rsidRPr="00452147" w:rsidR="00997123">
        <w:t>ed</w:t>
      </w:r>
      <w:r w:rsidRPr="00452147">
        <w:t xml:space="preserve"> practice of an </w:t>
      </w:r>
      <w:r w:rsidRPr="00452147">
        <w:rPr>
          <w:i/>
          <w:iCs/>
        </w:rPr>
        <w:t xml:space="preserve">in camera </w:t>
      </w:r>
      <w:r w:rsidRPr="00452147">
        <w:t>review using a privilege log, and the Attorney Examiner’s willingness to review the</w:t>
      </w:r>
      <w:r w:rsidRPr="00452147" w:rsidR="00997123">
        <w:t>se</w:t>
      </w:r>
      <w:r w:rsidRPr="00452147">
        <w:t xml:space="preserve"> records, </w:t>
      </w:r>
      <w:r w:rsidRPr="00452147" w:rsidR="00997123">
        <w:t>FirstEnergy Utilities says that the job is done.</w:t>
      </w:r>
      <w:r>
        <w:rPr>
          <w:rStyle w:val="FootnoteReference"/>
        </w:rPr>
        <w:footnoteReference w:id="5"/>
      </w:r>
      <w:r w:rsidR="00452147">
        <w:t xml:space="preserve"> </w:t>
      </w:r>
      <w:r w:rsidRPr="00452147" w:rsidR="00997123">
        <w:t>Not so. FirstEnergy Utilities has the burden of asserting privilege, and the first step in that burden is making a privilege log. The alternative, which is still available, is explicitly waiving privilege and producing the documents.</w:t>
      </w:r>
      <w:r w:rsidRPr="00452147" w:rsidR="000850C0">
        <w:t xml:space="preserve"> </w:t>
      </w:r>
    </w:p>
    <w:p w:rsidR="00F57761" w:rsidRPr="00452147" w:rsidP="006D3189" w14:paraId="53BA883F" w14:textId="77777777">
      <w:pPr>
        <w:pStyle w:val="NoSpacing"/>
      </w:pPr>
      <w:r w:rsidRPr="00452147">
        <w:t>But without production, t</w:t>
      </w:r>
      <w:r w:rsidRPr="00452147" w:rsidR="00997123">
        <w:t xml:space="preserve">he next step is for the Attorney Examiner to conduct an </w:t>
      </w:r>
      <w:r w:rsidRPr="00452147" w:rsidR="00997123">
        <w:rPr>
          <w:i/>
          <w:iCs/>
        </w:rPr>
        <w:t xml:space="preserve">in camera </w:t>
      </w:r>
      <w:r w:rsidRPr="00452147" w:rsidR="00997123">
        <w:t>review of the records, which he has already agreed to do.</w:t>
      </w:r>
      <w:r w:rsidRPr="00452147" w:rsidR="00476482">
        <w:t xml:space="preserve"> And then production of the non-privileged documents should be ordered.</w:t>
      </w:r>
      <w:r w:rsidRPr="00452147" w:rsidR="00D71A7C">
        <w:t xml:space="preserve"> </w:t>
      </w:r>
    </w:p>
    <w:p w:rsidR="003017AA" w:rsidRPr="00452147" w:rsidP="006D3189" w14:paraId="3609CAB4" w14:textId="77777777">
      <w:pPr>
        <w:pStyle w:val="Heading3"/>
        <w:rPr>
          <w:rFonts w:cs="Times New Roman"/>
        </w:rPr>
      </w:pPr>
      <w:r w:rsidRPr="00452147">
        <w:rPr>
          <w:rFonts w:cs="Times New Roman"/>
        </w:rPr>
        <w:t xml:space="preserve">The FirstEnergy Utilities concede that blanket assertions of privilege fall short—yet the privilege log is exactly that. </w:t>
      </w:r>
    </w:p>
    <w:p w:rsidR="003017AA" w:rsidRPr="00452147" w:rsidP="006D3189" w14:paraId="30B231DC" w14:textId="77777777">
      <w:pPr>
        <w:pStyle w:val="NoSpacing"/>
      </w:pPr>
      <w:r w:rsidRPr="00452147">
        <w:t xml:space="preserve">The blanket assertions of privilege </w:t>
      </w:r>
      <w:r w:rsidRPr="00452147" w:rsidR="00153E1E">
        <w:t>from the</w:t>
      </w:r>
      <w:r w:rsidRPr="00452147">
        <w:t xml:space="preserve"> FirstEnergy Utilities cannot protect the supposedly privileged documents. A privilege log “must be detailed enough to prove that the communications in question were in fact confidential communications relating to legal advice.” </w:t>
      </w:r>
      <w:r w:rsidRPr="00452147">
        <w:rPr>
          <w:i/>
          <w:iCs/>
        </w:rPr>
        <w:t>Cooey v. Strickland</w:t>
      </w:r>
      <w:r w:rsidRPr="00452147">
        <w:t xml:space="preserve">, 269 F.R.D. 643, 649 (S.D. Ohio 2010). This requires an “evidentiary showing,” including that the communications “within the document relates to seeking or giving legal advice.” </w:t>
      </w:r>
      <w:r w:rsidRPr="00452147">
        <w:rPr>
          <w:i/>
          <w:iCs/>
        </w:rPr>
        <w:t>Meyer v. Bank of Am.</w:t>
      </w:r>
      <w:r w:rsidRPr="00452147">
        <w:t>, N.A., No. 2:18-cv-218, 2018 U.S. Dist. LEXIS 206686, at *9 (S.D. Ohio Dec. 7, 2018). That is why a “blanket assertion</w:t>
      </w:r>
      <w:r w:rsidRPr="00452147" w:rsidR="00997123">
        <w:t>”</w:t>
      </w:r>
      <w:r w:rsidRPr="00452147">
        <w:t xml:space="preserve"> </w:t>
      </w:r>
      <w:r w:rsidRPr="00452147" w:rsidR="006F1476">
        <w:t xml:space="preserve">assertion of privilege is </w:t>
      </w:r>
      <w:r w:rsidRPr="00452147" w:rsidR="00761845">
        <w:t xml:space="preserve">improper. </w:t>
      </w:r>
      <w:r w:rsidRPr="00452147">
        <w:rPr>
          <w:i/>
          <w:iCs/>
        </w:rPr>
        <w:t>State v. E.I. Du Pont de Nemours &amp; Co.</w:t>
      </w:r>
      <w:r w:rsidRPr="00452147">
        <w:t xml:space="preserve">, 4th Dist. Washington No. 20CA30, 2021-Ohio-2614, ¶ 24 (citation omitted). </w:t>
      </w:r>
    </w:p>
    <w:p w:rsidR="005700D8" w:rsidRPr="00452147" w:rsidP="006D3189" w14:paraId="3F2F8FED" w14:textId="4DAF7836">
      <w:pPr>
        <w:pStyle w:val="NoSpacing"/>
      </w:pPr>
      <w:r w:rsidRPr="00452147">
        <w:t xml:space="preserve">The </w:t>
      </w:r>
      <w:r w:rsidRPr="00452147" w:rsidR="003017AA">
        <w:t xml:space="preserve">FirstEnergy </w:t>
      </w:r>
      <w:r w:rsidRPr="00452147" w:rsidR="00547C4A">
        <w:t>Utilities</w:t>
      </w:r>
      <w:r w:rsidRPr="00452147" w:rsidR="003017AA">
        <w:t xml:space="preserve"> concede that a “blanket and generic privilege claim” is inappropriate</w:t>
      </w:r>
      <w:r w:rsidRPr="00452147" w:rsidR="00E05DD4">
        <w:t>.</w:t>
      </w:r>
      <w:r>
        <w:rPr>
          <w:rStyle w:val="FootnoteReference"/>
        </w:rPr>
        <w:footnoteReference w:id="6"/>
      </w:r>
      <w:r w:rsidR="00452147">
        <w:t xml:space="preserve"> </w:t>
      </w:r>
      <w:r w:rsidRPr="00452147" w:rsidR="00E05DD4">
        <w:t>Ye</w:t>
      </w:r>
      <w:r w:rsidRPr="00452147" w:rsidR="003017AA">
        <w:t xml:space="preserve">t the provided privilege log </w:t>
      </w:r>
      <w:r w:rsidRPr="00452147" w:rsidR="00A3244C">
        <w:t>is exact</w:t>
      </w:r>
      <w:r w:rsidRPr="00452147" w:rsidR="00495EEE">
        <w:t>ly</w:t>
      </w:r>
      <w:r w:rsidRPr="00452147" w:rsidR="00A3244C">
        <w:t xml:space="preserve"> that</w:t>
      </w:r>
      <w:r w:rsidRPr="00452147" w:rsidR="003017AA">
        <w:t>. T</w:t>
      </w:r>
      <w:r w:rsidRPr="00452147">
        <w:t>he privilege</w:t>
      </w:r>
      <w:r w:rsidRPr="00452147" w:rsidR="000D0916">
        <w:t xml:space="preserve"> log</w:t>
      </w:r>
      <w:r w:rsidRPr="00452147">
        <w:t xml:space="preserve"> is almost nothing but blanket generalities</w:t>
      </w:r>
      <w:r w:rsidRPr="00452147" w:rsidR="003017AA">
        <w:t>:</w:t>
      </w:r>
      <w:r>
        <w:rPr>
          <w:rStyle w:val="FootnoteReference"/>
        </w:rPr>
        <w:footnoteReference w:id="7"/>
      </w:r>
    </w:p>
    <w:p w:rsidR="00B346B6" w:rsidRPr="00452147" w:rsidP="00B346B6" w14:paraId="1EB14A1F" w14:textId="77777777">
      <w:pPr>
        <w:pStyle w:val="NoSpacing"/>
        <w:spacing w:line="240" w:lineRule="auto"/>
        <w:ind w:firstLine="0"/>
      </w:pPr>
      <w:r w:rsidRPr="00452147">
        <w:rPr>
          <w:noProof/>
        </w:rPr>
        <w:drawing>
          <wp:anchor distT="0" distB="0" distL="114300" distR="114300" simplePos="0" relativeHeight="251658240" behindDoc="0" locked="0" layoutInCell="1" allowOverlap="1">
            <wp:simplePos x="0" y="0"/>
            <wp:positionH relativeFrom="column">
              <wp:posOffset>1137684</wp:posOffset>
            </wp:positionH>
            <wp:positionV relativeFrom="paragraph">
              <wp:posOffset>0</wp:posOffset>
            </wp:positionV>
            <wp:extent cx="3487479" cy="4371932"/>
            <wp:effectExtent l="57150" t="57150" r="93980" b="86360"/>
            <wp:wrapTopAndBottom/>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857929" name="Picture 1" descr="Table&#10;&#10;Description automatically generated"/>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487479" cy="4371932"/>
                    </a:xfrm>
                    <a:prstGeom prst="rect">
                      <a:avLst/>
                    </a:prstGeom>
                    <a:ln w="12700">
                      <a:solidFill>
                        <a:schemeClr val="tx1"/>
                      </a:solidFill>
                    </a:ln>
                    <a:effectLst>
                      <a:outerShdw blurRad="50800" dist="38100" dir="2700000" sx="100000" sy="100000" kx="0" ky="0" algn="tl" rotWithShape="0">
                        <a:prstClr val="black">
                          <a:alpha val="40000"/>
                        </a:prstClr>
                      </a:outerShdw>
                    </a:effectLst>
                  </pic:spPr>
                </pic:pic>
              </a:graphicData>
            </a:graphic>
          </wp:anchor>
        </w:drawing>
      </w:r>
    </w:p>
    <w:p w:rsidR="00547C4A" w:rsidRPr="00452147" w:rsidP="002C7F07" w14:paraId="127544A2" w14:textId="4FD7781B">
      <w:pPr>
        <w:pStyle w:val="NoSpacing"/>
        <w:ind w:firstLine="0"/>
      </w:pPr>
    </w:p>
    <w:p w:rsidR="00A40AB4" w14:paraId="5A105F0E" w14:textId="77777777">
      <w:pPr>
        <w:spacing w:after="160" w:line="259" w:lineRule="auto"/>
      </w:pPr>
      <w:r>
        <w:br w:type="page"/>
      </w:r>
    </w:p>
    <w:p w:rsidR="000D0916" w:rsidRPr="00452147" w:rsidP="004C51C0" w14:paraId="37D6A543" w14:textId="46DE5284">
      <w:pPr>
        <w:pStyle w:val="NoSpacing"/>
      </w:pPr>
      <w:r w:rsidRPr="00452147">
        <w:t>The privilege log simply repeats a few phrases in independent cells:</w:t>
      </w:r>
      <w:r>
        <w:rPr>
          <w:rStyle w:val="FootnoteReference"/>
        </w:rPr>
        <w:footnoteReference w:id="8"/>
      </w:r>
      <w:r w:rsidRPr="00452147">
        <w:t xml:space="preserve"> </w:t>
      </w:r>
    </w:p>
    <w:p w:rsidR="000D0916" w:rsidRPr="00452147" w:rsidP="00A40AB4" w14:paraId="417B640F" w14:textId="411B7267">
      <w:pPr>
        <w:pStyle w:val="NoSpacing"/>
        <w:spacing w:line="240" w:lineRule="auto"/>
        <w:ind w:firstLine="0"/>
      </w:pPr>
      <w:r w:rsidRPr="00452147">
        <w:rPr>
          <w:noProof/>
        </w:rPr>
        <w:drawing>
          <wp:anchor distT="0" distB="0" distL="114300" distR="114300" simplePos="0" relativeHeight="251659264" behindDoc="0" locked="0" layoutInCell="1" allowOverlap="1">
            <wp:simplePos x="0" y="0"/>
            <wp:positionH relativeFrom="column">
              <wp:posOffset>1307542</wp:posOffset>
            </wp:positionH>
            <wp:positionV relativeFrom="paragraph">
              <wp:posOffset>57582</wp:posOffset>
            </wp:positionV>
            <wp:extent cx="3439160" cy="2144395"/>
            <wp:effectExtent l="57150" t="57150" r="104140" b="103505"/>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286106" name="Picture 2" descr="Table&#10;&#10;Description automatically generated"/>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3439160" cy="2144395"/>
                    </a:xfrm>
                    <a:prstGeom prst="rect">
                      <a:avLst/>
                    </a:prstGeom>
                    <a:ln w="12700">
                      <a:solidFill>
                        <a:schemeClr val="tx1"/>
                      </a:solidFill>
                    </a:ln>
                    <a:effectLst>
                      <a:outerShdw blurRad="50800" dist="38100" dir="2700000" sx="100000" sy="100000" kx="0" ky="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0D0916" w:rsidRPr="00452147" w:rsidP="006D3189" w14:paraId="35BA5AB5" w14:textId="77777777">
      <w:pPr>
        <w:pStyle w:val="NoSpacing"/>
        <w:ind w:firstLine="0"/>
      </w:pPr>
      <w:r w:rsidRPr="00452147">
        <w:tab/>
        <w:t xml:space="preserve">Despite more than 234 independent assertions of privilege, the same reasons are copied and pasted across the log. </w:t>
      </w:r>
      <w:r w:rsidRPr="00452147" w:rsidR="00153E1E">
        <w:t xml:space="preserve">The </w:t>
      </w:r>
      <w:r w:rsidRPr="00452147" w:rsidR="0017643E">
        <w:t>FirstEnergy</w:t>
      </w:r>
      <w:r w:rsidRPr="00452147">
        <w:t xml:space="preserve"> Utilities do not escape the “blanket” label by saying the same thing in multiple places instead of saying it once (which would save the Parties and the PUCO time and money). The privilege log makes it impossible to determine that the communications in fact relate to legal advice. </w:t>
      </w:r>
    </w:p>
    <w:p w:rsidR="002C7F07" w:rsidRPr="00452147" w:rsidP="006D3189" w14:paraId="4936A1A1" w14:textId="77777777">
      <w:pPr>
        <w:pStyle w:val="NoSpacing"/>
        <w:ind w:firstLine="0"/>
      </w:pPr>
      <w:r w:rsidRPr="00452147">
        <w:tab/>
        <w:t>Because it is First</w:t>
      </w:r>
      <w:r w:rsidRPr="00452147" w:rsidR="000D0916">
        <w:t>Energy Utilities</w:t>
      </w:r>
      <w:r w:rsidRPr="00452147">
        <w:t xml:space="preserve">’ burden to establish privilege, and </w:t>
      </w:r>
      <w:r w:rsidRPr="00452147" w:rsidR="00CD3A89">
        <w:t>the</w:t>
      </w:r>
      <w:r w:rsidRPr="00452147">
        <w:t xml:space="preserve"> privilege log </w:t>
      </w:r>
      <w:r w:rsidRPr="00452147" w:rsidR="00CD3A89">
        <w:t xml:space="preserve">is </w:t>
      </w:r>
      <w:r w:rsidRPr="00452147">
        <w:t xml:space="preserve">full of blanket assertions, the PUCO should conduct an </w:t>
      </w:r>
      <w:r w:rsidRPr="00452147">
        <w:rPr>
          <w:i/>
          <w:iCs/>
        </w:rPr>
        <w:t xml:space="preserve">in camera </w:t>
      </w:r>
      <w:r w:rsidRPr="00452147">
        <w:t>review</w:t>
      </w:r>
      <w:r w:rsidRPr="00452147" w:rsidR="00476482">
        <w:t xml:space="preserve"> and then order production. </w:t>
      </w:r>
    </w:p>
    <w:p w:rsidR="008E680D" w:rsidRPr="00452147" w:rsidP="006D3189" w14:paraId="4FE36917" w14:textId="77777777">
      <w:pPr>
        <w:pStyle w:val="Heading3"/>
        <w:rPr>
          <w:rFonts w:cs="Times New Roman"/>
        </w:rPr>
      </w:pPr>
      <w:r w:rsidRPr="00452147">
        <w:rPr>
          <w:rFonts w:cs="Times New Roman"/>
        </w:rPr>
        <w:t xml:space="preserve">Beyond blanket assertions of privilege, </w:t>
      </w:r>
      <w:r w:rsidRPr="00452147" w:rsidR="00BE44CC">
        <w:rPr>
          <w:rFonts w:cs="Times New Roman"/>
        </w:rPr>
        <w:t xml:space="preserve">FirstEnergy’s </w:t>
      </w:r>
      <w:r w:rsidRPr="00452147">
        <w:rPr>
          <w:rFonts w:cs="Times New Roman"/>
        </w:rPr>
        <w:t xml:space="preserve">privilege log contains other </w:t>
      </w:r>
      <w:r w:rsidRPr="00452147" w:rsidR="00153E1E">
        <w:rPr>
          <w:rFonts w:cs="Times New Roman"/>
        </w:rPr>
        <w:t xml:space="preserve">questionable </w:t>
      </w:r>
      <w:r w:rsidRPr="00452147">
        <w:rPr>
          <w:rFonts w:cs="Times New Roman"/>
        </w:rPr>
        <w:t>notations that should be reviewed</w:t>
      </w:r>
      <w:r w:rsidRPr="00452147" w:rsidR="000850C0">
        <w:rPr>
          <w:rFonts w:cs="Times New Roman"/>
        </w:rPr>
        <w:t xml:space="preserve"> or </w:t>
      </w:r>
      <w:r w:rsidRPr="00452147" w:rsidR="00153E1E">
        <w:rPr>
          <w:rFonts w:cs="Times New Roman"/>
        </w:rPr>
        <w:t xml:space="preserve">the </w:t>
      </w:r>
      <w:r w:rsidRPr="00452147" w:rsidR="000850C0">
        <w:rPr>
          <w:rFonts w:cs="Times New Roman"/>
        </w:rPr>
        <w:t>privilege</w:t>
      </w:r>
      <w:r w:rsidRPr="00452147" w:rsidR="00153E1E">
        <w:rPr>
          <w:rFonts w:cs="Times New Roman"/>
        </w:rPr>
        <w:t xml:space="preserve"> should be</w:t>
      </w:r>
      <w:r w:rsidRPr="00452147" w:rsidR="000850C0">
        <w:rPr>
          <w:rFonts w:cs="Times New Roman"/>
        </w:rPr>
        <w:t xml:space="preserve"> waived.</w:t>
      </w:r>
    </w:p>
    <w:p w:rsidR="00997123" w:rsidRPr="00452147" w:rsidP="006D3189" w14:paraId="62437BC2" w14:textId="77777777">
      <w:pPr>
        <w:pStyle w:val="NoSpacing"/>
      </w:pPr>
      <w:r w:rsidRPr="00452147">
        <w:t xml:space="preserve">The FirstEnergy Utilities carry the burden of asserting a privilege, not the OCC. And </w:t>
      </w:r>
      <w:r w:rsidRPr="00452147" w:rsidR="00F130AF">
        <w:t>along with</w:t>
      </w:r>
      <w:r w:rsidRPr="00452147">
        <w:t xml:space="preserve"> the failures above, they failed in three other specific ways. </w:t>
      </w:r>
    </w:p>
    <w:p w:rsidR="000850C0" w:rsidRPr="00452147" w:rsidP="006D3189" w14:paraId="51EFAA9A" w14:textId="77777777">
      <w:pPr>
        <w:pStyle w:val="NoSpacing"/>
      </w:pPr>
      <w:r w:rsidRPr="00452147">
        <w:t>First,</w:t>
      </w:r>
      <w:r w:rsidRPr="00452147">
        <w:rPr>
          <w:b/>
          <w:bCs/>
          <w:i/>
          <w:iCs/>
        </w:rPr>
        <w:t xml:space="preserve"> </w:t>
      </w:r>
      <w:r w:rsidRPr="00452147">
        <w:t xml:space="preserve">no entity is specifically identified as holding the privilege. Generally, disclosure to a third-party “constitutes a waiver of attorney-client privilege.” </w:t>
      </w:r>
      <w:r w:rsidRPr="00452147">
        <w:rPr>
          <w:i/>
          <w:iCs/>
        </w:rPr>
        <w:t>MA Equip. Leasing I, LLC v. Tilton</w:t>
      </w:r>
      <w:r w:rsidRPr="00452147">
        <w:t xml:space="preserve">, 2012-Ohio-4668, 980 N.E.2d 1072, 1082 (10th Dist.). The rules are slightly different for corporate entities. “But courts should not assume, as a matter of law, that members of a corporate family have a sufficient common legal interest to constitute joint clients.” </w:t>
      </w:r>
      <w:r w:rsidRPr="00452147">
        <w:rPr>
          <w:i/>
          <w:iCs/>
        </w:rPr>
        <w:t>Id.</w:t>
      </w:r>
      <w:r w:rsidRPr="00452147">
        <w:t xml:space="preserve">, 1085. </w:t>
      </w:r>
      <w:r w:rsidRPr="00452147" w:rsidR="00AC748B">
        <w:t>Indeed</w:t>
      </w:r>
      <w:r w:rsidRPr="00452147">
        <w:t>, “absent some compelling reason to disregard entity separateness,” in the typical case</w:t>
      </w:r>
      <w:r w:rsidRPr="00452147" w:rsidR="00495EEE">
        <w:t>,</w:t>
      </w:r>
      <w:r w:rsidRPr="00452147">
        <w:t xml:space="preserve"> courts should “treat the various members of the corporate group as the separate corporations they are</w:t>
      </w:r>
      <w:r w:rsidRPr="00452147">
        <w:rPr>
          <w:i/>
          <w:iCs/>
        </w:rPr>
        <w:t xml:space="preserve"> </w:t>
      </w:r>
      <w:r w:rsidRPr="00452147">
        <w:t xml:space="preserve">and not as one client.” </w:t>
      </w:r>
      <w:r w:rsidRPr="00452147">
        <w:rPr>
          <w:i/>
          <w:iCs/>
        </w:rPr>
        <w:t>Id.</w:t>
      </w:r>
      <w:r w:rsidRPr="00452147">
        <w:t xml:space="preserve">, 1082 (citation omitted). </w:t>
      </w:r>
    </w:p>
    <w:p w:rsidR="000850C0" w:rsidRPr="00452147" w:rsidP="006D3189" w14:paraId="7270A9B6" w14:textId="00623333">
      <w:pPr>
        <w:pStyle w:val="NoSpacing"/>
      </w:pPr>
      <w:r w:rsidRPr="00452147">
        <w:t>The FirstEnergy Utilities deny asserting privilege claims on behalf of a parent company, such as FirstEnergy Corp.</w:t>
      </w:r>
      <w:r>
        <w:rPr>
          <w:rStyle w:val="FootnoteReference"/>
        </w:rPr>
        <w:footnoteReference w:id="9"/>
      </w:r>
      <w:r w:rsidR="00452147">
        <w:t xml:space="preserve"> </w:t>
      </w:r>
      <w:r w:rsidRPr="00452147">
        <w:t>Instead, they a</w:t>
      </w:r>
      <w:r w:rsidRPr="00452147" w:rsidR="0017643E">
        <w:t>r</w:t>
      </w:r>
      <w:r w:rsidRPr="00452147">
        <w:t>gue that the “Companies”—as in three separate companies—assert every privilege together.</w:t>
      </w:r>
      <w:r>
        <w:rPr>
          <w:rStyle w:val="FootnoteReference"/>
        </w:rPr>
        <w:footnoteReference w:id="10"/>
      </w:r>
      <w:r w:rsidR="00452147">
        <w:t xml:space="preserve"> </w:t>
      </w:r>
      <w:r w:rsidRPr="00452147">
        <w:t xml:space="preserve">But </w:t>
      </w:r>
      <w:r w:rsidRPr="00452147" w:rsidR="00AC748B">
        <w:t>there is</w:t>
      </w:r>
      <w:r w:rsidRPr="00452147">
        <w:t xml:space="preserve"> no theory or authority </w:t>
      </w:r>
      <w:r w:rsidRPr="00452147" w:rsidR="00761845">
        <w:t xml:space="preserve">provided to </w:t>
      </w:r>
      <w:r w:rsidRPr="00452147">
        <w:t>overcom</w:t>
      </w:r>
      <w:r w:rsidRPr="00452147" w:rsidR="00761845">
        <w:t>e</w:t>
      </w:r>
      <w:r w:rsidRPr="00452147">
        <w:t xml:space="preserve"> third-party waiver or their separate corporate forms.</w:t>
      </w:r>
      <w:r>
        <w:rPr>
          <w:rStyle w:val="FootnoteReference"/>
        </w:rPr>
        <w:footnoteReference w:id="11"/>
      </w:r>
      <w:r w:rsidR="00452147">
        <w:t xml:space="preserve"> </w:t>
      </w:r>
      <w:r w:rsidRPr="00452147">
        <w:t>This is not just a legal failing, but a practical one too. How do three companies assert the same privilege over two people—and no lawyers—with a “</w:t>
      </w:r>
      <w:r w:rsidRPr="00452147" w:rsidR="00F130AF">
        <w:t>@</w:t>
      </w:r>
      <w:r w:rsidRPr="00452147">
        <w:t>firstenergycorp” email?</w:t>
      </w:r>
      <w:r>
        <w:rPr>
          <w:rStyle w:val="FootnoteReference"/>
        </w:rPr>
        <w:footnoteReference w:id="12"/>
      </w:r>
      <w:r w:rsidR="00452147">
        <w:t xml:space="preserve"> </w:t>
      </w:r>
      <w:r w:rsidRPr="00452147">
        <w:t>It is not the OCC’s burden to explain, and the “Companies” do not even try.</w:t>
      </w:r>
      <w:r w:rsidRPr="00452147" w:rsidR="00F130AF">
        <w:t xml:space="preserve"> </w:t>
      </w:r>
      <w:r w:rsidRPr="00452147">
        <w:t xml:space="preserve">The </w:t>
      </w:r>
      <w:r w:rsidRPr="00452147" w:rsidR="00476482">
        <w:t>FirstEnergy Utilities</w:t>
      </w:r>
      <w:r w:rsidRPr="00452147" w:rsidR="005D5BA4">
        <w:t>’</w:t>
      </w:r>
      <w:r w:rsidRPr="00452147" w:rsidR="00476482">
        <w:t xml:space="preserve"> burden has not been met, so a revie</w:t>
      </w:r>
      <w:r w:rsidRPr="00452147" w:rsidR="00F130AF">
        <w:t>w</w:t>
      </w:r>
      <w:r w:rsidRPr="00452147" w:rsidR="00476482">
        <w:t xml:space="preserve"> should be </w:t>
      </w:r>
      <w:r w:rsidRPr="00452147" w:rsidR="005D5BA4">
        <w:t>conducted,</w:t>
      </w:r>
      <w:r w:rsidRPr="00452147" w:rsidR="00476482">
        <w:t xml:space="preserve"> and production ordered.</w:t>
      </w:r>
    </w:p>
    <w:p w:rsidR="000850C0" w:rsidRPr="00452147" w:rsidP="006D3189" w14:paraId="672BAE2A" w14:textId="24D666F4">
      <w:pPr>
        <w:pStyle w:val="NoSpacing"/>
      </w:pPr>
      <w:r w:rsidRPr="00452147">
        <w:t>Second,</w:t>
      </w:r>
      <w:r w:rsidRPr="00452147">
        <w:rPr>
          <w:b/>
          <w:bCs/>
          <w:i/>
          <w:iCs/>
        </w:rPr>
        <w:t xml:space="preserve"> </w:t>
      </w:r>
      <w:r w:rsidRPr="00452147">
        <w:t>non-lawyer communications that “reflect” legal advice are not protected.</w:t>
      </w:r>
      <w:r w:rsidRPr="00452147">
        <w:rPr>
          <w:b/>
          <w:bCs/>
        </w:rPr>
        <w:t xml:space="preserve"> </w:t>
      </w:r>
      <w:r w:rsidRPr="00452147">
        <w:t xml:space="preserve">The Parties agree that non-attorney corporate employees “seeking” or “relaying” legal advice </w:t>
      </w:r>
      <w:r w:rsidRPr="00452147">
        <w:rPr>
          <w:i/>
          <w:iCs/>
        </w:rPr>
        <w:t xml:space="preserve">may </w:t>
      </w:r>
      <w:r w:rsidRPr="00452147">
        <w:t>fall under the attorney-client privilege.</w:t>
      </w:r>
      <w:r>
        <w:rPr>
          <w:rStyle w:val="FootnoteReference"/>
        </w:rPr>
        <w:footnoteReference w:id="13"/>
      </w:r>
      <w:r w:rsidR="00452147">
        <w:t xml:space="preserve"> </w:t>
      </w:r>
      <w:r w:rsidRPr="00452147" w:rsidR="00F130AF">
        <w:t>But</w:t>
      </w:r>
      <w:r w:rsidRPr="00452147">
        <w:t xml:space="preserve"> that standard is not met here. </w:t>
      </w:r>
    </w:p>
    <w:p w:rsidR="0017643E" w:rsidRPr="00452147" w:rsidP="006D3189" w14:paraId="11C575A0" w14:textId="16DF370C">
      <w:pPr>
        <w:pStyle w:val="NoSpacing"/>
      </w:pPr>
      <w:r w:rsidRPr="00452147">
        <w:t>For one, as discussed above, there is no evidence that the employees work for the same corporation, so this exception does not apply. Second, the privilege log does not generally mention “seeking” or “relaying” legal advice. Instead, it uses the much broader “reflecting” legal advice.</w:t>
      </w:r>
      <w:r>
        <w:rPr>
          <w:rStyle w:val="FootnoteReference"/>
        </w:rPr>
        <w:footnoteReference w:id="14"/>
      </w:r>
      <w:r w:rsidRPr="00452147">
        <w:t xml:space="preserve"> </w:t>
      </w:r>
    </w:p>
    <w:p w:rsidR="000850C0" w:rsidRPr="00452147" w:rsidP="006D3189" w14:paraId="5F3E31F9" w14:textId="77777777">
      <w:pPr>
        <w:pStyle w:val="NoSpacing"/>
      </w:pPr>
      <w:r w:rsidRPr="00452147">
        <w:t xml:space="preserve">Many things “reflect” legal advice but do not relay or seek it. For example, a non-discrimination policy reflects legal advice. But it does not “seek” or “relay” it, as required to be privileged. </w:t>
      </w:r>
      <w:r w:rsidRPr="00452147" w:rsidR="00153E1E">
        <w:t xml:space="preserve">The </w:t>
      </w:r>
      <w:r w:rsidRPr="00452147">
        <w:t xml:space="preserve">FirstEnergy Utilities failed to meet </w:t>
      </w:r>
      <w:r w:rsidRPr="00452147" w:rsidR="00153E1E">
        <w:t>their</w:t>
      </w:r>
      <w:r w:rsidRPr="00452147">
        <w:t xml:space="preserve"> burden by showing that legal advice is being sought or relayed.</w:t>
      </w:r>
      <w:r w:rsidRPr="00452147" w:rsidR="00476482">
        <w:t xml:space="preserve"> So a review should be conducted and production ordered. </w:t>
      </w:r>
    </w:p>
    <w:p w:rsidR="000850C0" w:rsidRPr="00452147" w:rsidP="006D3189" w14:paraId="700FF5CB" w14:textId="07B6C579">
      <w:pPr>
        <w:pStyle w:val="NoSpacing"/>
      </w:pPr>
      <w:r w:rsidRPr="00452147">
        <w:t xml:space="preserve">Finally, the </w:t>
      </w:r>
      <w:r w:rsidRPr="00452147" w:rsidR="00AC748B">
        <w:t xml:space="preserve">attorney-client </w:t>
      </w:r>
      <w:r w:rsidRPr="00452147">
        <w:t>privilege does not apply to criminal or fraudulent acts</w:t>
      </w:r>
      <w:r w:rsidRPr="00452147">
        <w:rPr>
          <w:i/>
          <w:iCs/>
        </w:rPr>
        <w:t>.</w:t>
      </w:r>
      <w:r w:rsidRPr="00452147">
        <w:t xml:space="preserve"> The Parties also agree that the</w:t>
      </w:r>
      <w:r w:rsidRPr="00452147" w:rsidR="00AC748B">
        <w:t xml:space="preserve"> attorney-client</w:t>
      </w:r>
      <w:r w:rsidRPr="00452147">
        <w:t xml:space="preserve"> privilege does not apply to documents that, when created, documented an ongoing or </w:t>
      </w:r>
      <w:r w:rsidRPr="00452147" w:rsidR="00476482">
        <w:t xml:space="preserve">future </w:t>
      </w:r>
      <w:r w:rsidRPr="00452147">
        <w:t>criminal act.</w:t>
      </w:r>
      <w:r>
        <w:rPr>
          <w:rStyle w:val="FootnoteReference"/>
        </w:rPr>
        <w:footnoteReference w:id="15"/>
      </w:r>
      <w:r w:rsidR="00452147">
        <w:t xml:space="preserve"> </w:t>
      </w:r>
      <w:r w:rsidRPr="00452147" w:rsidR="00476482">
        <w:t xml:space="preserve">But </w:t>
      </w:r>
      <w:r w:rsidRPr="00452147" w:rsidR="00153E1E">
        <w:t xml:space="preserve">the </w:t>
      </w:r>
      <w:r w:rsidRPr="00452147">
        <w:t>FirstEnergy Utilities makes a temporal defense, claiming that the responsive documents were “created after this case was opened . . . .”</w:t>
      </w:r>
      <w:r>
        <w:rPr>
          <w:rStyle w:val="FootnoteReference"/>
        </w:rPr>
        <w:footnoteReference w:id="16"/>
      </w:r>
      <w:r w:rsidR="00452147">
        <w:t xml:space="preserve"> </w:t>
      </w:r>
      <w:r w:rsidRPr="00452147">
        <w:t xml:space="preserve">That is not true, at least not according to the privilege log. </w:t>
      </w:r>
      <w:r w:rsidRPr="00452147" w:rsidR="00153E1E">
        <w:t xml:space="preserve">The </w:t>
      </w:r>
      <w:r w:rsidRPr="00452147">
        <w:t>FirstEnergy Utilities’ privilege log provides that the responsive documents reach back well before the scandal, so this defense falls flat.</w:t>
      </w:r>
      <w:r>
        <w:rPr>
          <w:rStyle w:val="FootnoteReference"/>
        </w:rPr>
        <w:footnoteReference w:id="17"/>
      </w:r>
      <w:r w:rsidRPr="00452147">
        <w:t xml:space="preserve"> </w:t>
      </w:r>
    </w:p>
    <w:p w:rsidR="000850C0" w:rsidRPr="00452147" w:rsidP="006D3189" w14:paraId="2F5572DE" w14:textId="77777777">
      <w:pPr>
        <w:pStyle w:val="Heading2"/>
        <w:jc w:val="left"/>
        <w:rPr>
          <w:rFonts w:cs="Times New Roman"/>
          <w:szCs w:val="24"/>
        </w:rPr>
      </w:pPr>
      <w:r w:rsidRPr="00452147">
        <w:rPr>
          <w:rFonts w:cs="Times New Roman"/>
          <w:szCs w:val="24"/>
        </w:rPr>
        <w:t xml:space="preserve">The PUCO should require FirstEnergy entities to </w:t>
      </w:r>
      <w:r w:rsidRPr="00452147" w:rsidR="00BE44CC">
        <w:rPr>
          <w:rFonts w:cs="Times New Roman"/>
          <w:szCs w:val="24"/>
        </w:rPr>
        <w:t xml:space="preserve">publicly </w:t>
      </w:r>
      <w:r w:rsidRPr="00452147">
        <w:rPr>
          <w:rFonts w:cs="Times New Roman"/>
          <w:szCs w:val="24"/>
        </w:rPr>
        <w:t>file</w:t>
      </w:r>
      <w:r w:rsidRPr="00452147" w:rsidR="00BE44CC">
        <w:rPr>
          <w:rFonts w:cs="Times New Roman"/>
          <w:szCs w:val="24"/>
        </w:rPr>
        <w:t xml:space="preserve"> at the PUCO</w:t>
      </w:r>
      <w:r w:rsidRPr="00452147">
        <w:rPr>
          <w:rFonts w:cs="Times New Roman"/>
          <w:szCs w:val="24"/>
        </w:rPr>
        <w:t xml:space="preserve"> a notice of disclosure(s) that pertain to withheld discovery documents</w:t>
      </w:r>
      <w:r w:rsidRPr="00452147" w:rsidR="00BE44CC">
        <w:rPr>
          <w:rFonts w:cs="Times New Roman"/>
          <w:szCs w:val="24"/>
        </w:rPr>
        <w:t>.</w:t>
      </w:r>
      <w:r w:rsidRPr="00452147">
        <w:rPr>
          <w:rFonts w:cs="Times New Roman"/>
          <w:szCs w:val="24"/>
        </w:rPr>
        <w:t xml:space="preserve"> </w:t>
      </w:r>
      <w:r w:rsidRPr="00452147" w:rsidR="00BE44CC">
        <w:rPr>
          <w:rFonts w:cs="Times New Roman"/>
          <w:szCs w:val="24"/>
        </w:rPr>
        <w:t>A</w:t>
      </w:r>
      <w:r w:rsidRPr="00452147">
        <w:rPr>
          <w:rFonts w:cs="Times New Roman"/>
          <w:szCs w:val="24"/>
        </w:rPr>
        <w:t xml:space="preserve">nd </w:t>
      </w:r>
      <w:r w:rsidRPr="00452147" w:rsidR="00BE44CC">
        <w:rPr>
          <w:rFonts w:cs="Times New Roman"/>
          <w:szCs w:val="24"/>
        </w:rPr>
        <w:t xml:space="preserve">the PUCO should </w:t>
      </w:r>
      <w:r w:rsidRPr="00452147">
        <w:rPr>
          <w:rFonts w:cs="Times New Roman"/>
          <w:szCs w:val="24"/>
        </w:rPr>
        <w:t>require</w:t>
      </w:r>
      <w:r w:rsidRPr="00452147" w:rsidR="00BE44CC">
        <w:rPr>
          <w:rFonts w:cs="Times New Roman"/>
          <w:szCs w:val="24"/>
        </w:rPr>
        <w:t xml:space="preserve"> FirstEnergy to produce</w:t>
      </w:r>
      <w:r w:rsidRPr="00452147">
        <w:rPr>
          <w:rFonts w:cs="Times New Roman"/>
          <w:szCs w:val="24"/>
        </w:rPr>
        <w:t xml:space="preserve"> the </w:t>
      </w:r>
      <w:r w:rsidRPr="00452147" w:rsidR="00BE44CC">
        <w:rPr>
          <w:rFonts w:cs="Times New Roman"/>
          <w:szCs w:val="24"/>
        </w:rPr>
        <w:t xml:space="preserve">disclosed </w:t>
      </w:r>
      <w:r w:rsidRPr="00452147">
        <w:rPr>
          <w:rFonts w:cs="Times New Roman"/>
          <w:szCs w:val="24"/>
        </w:rPr>
        <w:t xml:space="preserve">documents </w:t>
      </w:r>
      <w:r w:rsidRPr="00452147" w:rsidR="00AC5047">
        <w:rPr>
          <w:rFonts w:cs="Times New Roman"/>
          <w:szCs w:val="24"/>
        </w:rPr>
        <w:t>to OCC and others</w:t>
      </w:r>
      <w:r w:rsidRPr="00452147">
        <w:rPr>
          <w:rFonts w:cs="Times New Roman"/>
          <w:szCs w:val="24"/>
        </w:rPr>
        <w:t xml:space="preserve">. The attorney-client privilege and work product privileges are waived by disclosing the communications to third parties. </w:t>
      </w:r>
    </w:p>
    <w:p w:rsidR="00A178A1" w:rsidP="0027787A" w14:paraId="2163EBC6" w14:textId="5500BCD9">
      <w:pPr>
        <w:pStyle w:val="NoSpacing"/>
      </w:pPr>
      <w:r w:rsidRPr="00452147">
        <w:t xml:space="preserve">The Parties agree that FirstEnergy Utilities should provide notice </w:t>
      </w:r>
      <w:r w:rsidRPr="00452147" w:rsidR="00D80051">
        <w:t>to the PUCO when the FirstEnergy Utilities are compelled by other jurisdictions to disclose material for which a claim of privilege was asserted</w:t>
      </w:r>
      <w:r w:rsidRPr="00452147" w:rsidR="00951DB7">
        <w:t xml:space="preserve"> in the other jurisdiction or in Ohio</w:t>
      </w:r>
      <w:r w:rsidRPr="00452147">
        <w:t>. (Memo. Opp., 11</w:t>
      </w:r>
      <w:r w:rsidRPr="00452147" w:rsidR="00951DB7">
        <w:t>.</w:t>
      </w:r>
      <w:r w:rsidRPr="00452147">
        <w:t xml:space="preserve">) </w:t>
      </w:r>
      <w:r w:rsidRPr="00452147" w:rsidR="004F346C">
        <w:t>The PUCO should order</w:t>
      </w:r>
      <w:r w:rsidRPr="00452147" w:rsidR="00B33A5D">
        <w:t xml:space="preserve"> that, when this occurs, the FirstEnergy Utilities must also provide the material to the parties in this case.</w:t>
      </w:r>
      <w:r w:rsidRPr="00452147" w:rsidR="00413B98">
        <w:t xml:space="preserve"> </w:t>
      </w:r>
      <w:r w:rsidRPr="00452147" w:rsidR="00951DB7">
        <w:t>As a secondary</w:t>
      </w:r>
      <w:r w:rsidRPr="00452147" w:rsidR="00B33A5D">
        <w:t xml:space="preserve"> alternative, the PUCO should require </w:t>
      </w:r>
      <w:r w:rsidRPr="00452147" w:rsidR="004F346C">
        <w:t xml:space="preserve">the FirstEnergy Utilities to provide notice </w:t>
      </w:r>
      <w:r w:rsidRPr="00452147" w:rsidR="00B33A5D">
        <w:t xml:space="preserve">of such disclosure </w:t>
      </w:r>
      <w:r w:rsidRPr="00452147" w:rsidR="004F346C">
        <w:t>in the form of a filing in the docket of this case.</w:t>
      </w:r>
      <w:r w:rsidRPr="00452147" w:rsidR="00413B98">
        <w:t xml:space="preserve"> </w:t>
      </w:r>
      <w:r w:rsidRPr="00452147" w:rsidR="004F346C">
        <w:t>This</w:t>
      </w:r>
      <w:r w:rsidRPr="00452147" w:rsidR="00951DB7">
        <w:t xml:space="preserve"> notice</w:t>
      </w:r>
      <w:r w:rsidRPr="00452147" w:rsidR="004F346C">
        <w:t xml:space="preserve"> would allow any party to review the circumstances of the disclosure</w:t>
      </w:r>
      <w:r w:rsidRPr="00452147" w:rsidR="00951DB7">
        <w:t>.</w:t>
      </w:r>
      <w:r w:rsidRPr="00452147" w:rsidR="00413B98">
        <w:t xml:space="preserve"> </w:t>
      </w:r>
      <w:r w:rsidRPr="00452147" w:rsidR="00951DB7">
        <w:t>A</w:t>
      </w:r>
      <w:r w:rsidRPr="00452147" w:rsidR="004F346C">
        <w:t xml:space="preserve">nd </w:t>
      </w:r>
      <w:r w:rsidRPr="00452147" w:rsidR="00951DB7">
        <w:t xml:space="preserve">it would allow parties </w:t>
      </w:r>
      <w:r w:rsidRPr="00452147" w:rsidR="004F346C">
        <w:t xml:space="preserve">to ask the PUCO to review, in an </w:t>
      </w:r>
      <w:r w:rsidRPr="00452147" w:rsidR="004F346C">
        <w:rPr>
          <w:i/>
          <w:iCs/>
        </w:rPr>
        <w:t>in camera</w:t>
      </w:r>
      <w:r w:rsidRPr="00452147" w:rsidR="004F346C">
        <w:t xml:space="preserve"> proceeding, whether the material should </w:t>
      </w:r>
      <w:r w:rsidRPr="00452147" w:rsidR="00B33A5D">
        <w:t xml:space="preserve">also </w:t>
      </w:r>
      <w:r w:rsidRPr="00452147" w:rsidR="004F346C">
        <w:t>be disclosed in this proceeding.</w:t>
      </w:r>
      <w:r w:rsidRPr="00452147" w:rsidR="00413B98">
        <w:t xml:space="preserve"> </w:t>
      </w:r>
      <w:r w:rsidRPr="00452147" w:rsidR="00951DB7">
        <w:t xml:space="preserve">Unfortunately, this secondary alternative would enable FirstEnergy to delay OCC and waste our time. </w:t>
      </w:r>
    </w:p>
    <w:p w:rsidR="00A40AB4" w:rsidRPr="00452147" w:rsidP="00A40AB4" w14:paraId="1859AC19" w14:textId="77777777">
      <w:pPr>
        <w:pStyle w:val="NoSpacing"/>
        <w:spacing w:line="240" w:lineRule="auto"/>
      </w:pPr>
    </w:p>
    <w:p w:rsidR="00A178A1" w:rsidRPr="00452147" w:rsidP="00A178A1" w14:paraId="1158C84D" w14:textId="77777777">
      <w:pPr>
        <w:pStyle w:val="Heading1"/>
        <w:numPr>
          <w:ilvl w:val="0"/>
          <w:numId w:val="12"/>
        </w:numPr>
        <w:tabs>
          <w:tab w:val="left" w:pos="720"/>
        </w:tabs>
        <w:ind w:left="720"/>
        <w:rPr>
          <w:rFonts w:ascii="Times New Roman" w:hAnsi="Times New Roman" w:cs="Times New Roman"/>
          <w:szCs w:val="24"/>
        </w:rPr>
      </w:pPr>
      <w:r w:rsidRPr="00452147">
        <w:rPr>
          <w:rFonts w:ascii="Times New Roman" w:hAnsi="Times New Roman" w:cs="Times New Roman"/>
          <w:szCs w:val="24"/>
        </w:rPr>
        <w:t>CONCLUSION</w:t>
      </w:r>
    </w:p>
    <w:p w:rsidR="0017643E" w:rsidRPr="00452147" w:rsidP="006D3189" w14:paraId="1608DC63" w14:textId="77777777">
      <w:pPr>
        <w:spacing w:line="480" w:lineRule="auto"/>
        <w:ind w:firstLine="720"/>
      </w:pPr>
      <w:r w:rsidRPr="00452147">
        <w:t xml:space="preserve">For these reasons, the PUCO should authorize an </w:t>
      </w:r>
      <w:r w:rsidRPr="00452147">
        <w:rPr>
          <w:i/>
          <w:iCs/>
        </w:rPr>
        <w:t xml:space="preserve">in camera </w:t>
      </w:r>
      <w:r w:rsidRPr="00452147">
        <w:t xml:space="preserve">review of the </w:t>
      </w:r>
      <w:r w:rsidRPr="00452147" w:rsidR="00AC5047">
        <w:t xml:space="preserve">FirstEnergy </w:t>
      </w:r>
      <w:r w:rsidRPr="00452147">
        <w:t>privilege log</w:t>
      </w:r>
      <w:r w:rsidRPr="00452147" w:rsidR="00AC5047">
        <w:t>. After the review, the PUCO should</w:t>
      </w:r>
      <w:r w:rsidRPr="00452147">
        <w:t xml:space="preserve"> order the production of the non-privileged documents</w:t>
      </w:r>
      <w:r w:rsidRPr="00452147" w:rsidR="00AC5047">
        <w:t>. And the PUCO should</w:t>
      </w:r>
      <w:r w:rsidRPr="00452147">
        <w:t xml:space="preserve"> issue a</w:t>
      </w:r>
      <w:r w:rsidRPr="00452147" w:rsidR="0028474E">
        <w:t xml:space="preserve">n </w:t>
      </w:r>
      <w:r w:rsidRPr="00452147">
        <w:t xml:space="preserve">order indicating that </w:t>
      </w:r>
      <w:r w:rsidRPr="00452147" w:rsidR="00AC5047">
        <w:t xml:space="preserve">the </w:t>
      </w:r>
      <w:r w:rsidRPr="00452147">
        <w:t xml:space="preserve">FirstEnergy Utilities will keep the </w:t>
      </w:r>
      <w:r w:rsidRPr="00452147" w:rsidR="00AC5047">
        <w:t xml:space="preserve">PUCO </w:t>
      </w:r>
      <w:r w:rsidRPr="00452147">
        <w:t xml:space="preserve">and the OCC informed of developments </w:t>
      </w:r>
      <w:r w:rsidRPr="00452147" w:rsidR="00761845">
        <w:t>about</w:t>
      </w:r>
      <w:r w:rsidRPr="00452147">
        <w:t xml:space="preserve"> any disclosure of privileged material. </w:t>
      </w:r>
    </w:p>
    <w:p w:rsidR="00541CF8" w14:paraId="33F060D8" w14:textId="77777777">
      <w:pPr>
        <w:spacing w:after="160" w:line="259" w:lineRule="auto"/>
      </w:pPr>
      <w:r>
        <w:br w:type="page"/>
      </w:r>
    </w:p>
    <w:p w:rsidR="00F90850" w:rsidRPr="00452147" w:rsidP="00F90850" w14:paraId="6CFB6E18" w14:textId="041BA75E">
      <w:pPr>
        <w:ind w:left="4320"/>
      </w:pPr>
      <w:r w:rsidRPr="00452147">
        <w:t>Respectfully submitted,</w:t>
      </w:r>
    </w:p>
    <w:p w:rsidR="00F90850" w:rsidRPr="00452147" w:rsidP="00F90850" w14:paraId="04BB8E67" w14:textId="77777777">
      <w:pPr>
        <w:ind w:left="4320"/>
      </w:pPr>
    </w:p>
    <w:p w:rsidR="00F90850" w:rsidRPr="00452147" w:rsidP="00F90850" w14:paraId="2A52A650" w14:textId="77777777">
      <w:pPr>
        <w:ind w:left="4320"/>
      </w:pPr>
      <w:r w:rsidRPr="00452147">
        <w:t>Bruce Weston (0016973)</w:t>
      </w:r>
    </w:p>
    <w:p w:rsidR="00F90850" w:rsidRPr="00452147" w:rsidP="00F90850" w14:paraId="3FC31AF0" w14:textId="77777777">
      <w:pPr>
        <w:ind w:left="4320"/>
      </w:pPr>
      <w:r w:rsidRPr="00452147">
        <w:t>Ohio Consumers’ Counsel</w:t>
      </w:r>
    </w:p>
    <w:p w:rsidR="00F90850" w:rsidRPr="00452147" w:rsidP="00F90850" w14:paraId="3AED34CA" w14:textId="77777777">
      <w:pPr>
        <w:ind w:left="4954"/>
      </w:pPr>
    </w:p>
    <w:p w:rsidR="00F90850" w:rsidRPr="00452147" w:rsidP="00F90850" w14:paraId="390F0DCA" w14:textId="77777777">
      <w:pPr>
        <w:suppressLineNumbers/>
        <w:ind w:left="4320"/>
      </w:pPr>
      <w:r w:rsidRPr="00452147">
        <w:rPr>
          <w:i/>
          <w:iCs/>
          <w:u w:val="single"/>
        </w:rPr>
        <w:t>/s/ Maureen R. Willis</w:t>
      </w:r>
      <w:r w:rsidRPr="00452147">
        <w:rPr>
          <w:i/>
          <w:iCs/>
          <w:u w:val="single"/>
        </w:rPr>
        <w:tab/>
      </w:r>
      <w:r w:rsidRPr="00452147">
        <w:rPr>
          <w:i/>
          <w:iCs/>
          <w:u w:val="single"/>
        </w:rPr>
        <w:tab/>
      </w:r>
    </w:p>
    <w:p w:rsidR="00F90850" w:rsidRPr="00452147" w:rsidP="00F90850" w14:paraId="1190C126" w14:textId="77777777">
      <w:pPr>
        <w:suppressLineNumbers/>
        <w:ind w:left="4320"/>
      </w:pPr>
      <w:r w:rsidRPr="00452147">
        <w:t>Maureen R. Willis</w:t>
      </w:r>
      <w:r w:rsidRPr="00452147" w:rsidR="001F6DC9">
        <w:t xml:space="preserve"> (0020847)</w:t>
      </w:r>
    </w:p>
    <w:p w:rsidR="00F90850" w:rsidRPr="00452147" w:rsidP="00F90850" w14:paraId="794E7C35" w14:textId="77777777">
      <w:pPr>
        <w:suppressLineNumbers/>
        <w:ind w:left="4320"/>
      </w:pPr>
      <w:r w:rsidRPr="00452147">
        <w:t>Counsel of Record</w:t>
      </w:r>
    </w:p>
    <w:p w:rsidR="00F90850" w:rsidRPr="00452147" w:rsidP="00F90850" w14:paraId="5300004D" w14:textId="77777777">
      <w:pPr>
        <w:suppressLineNumbers/>
        <w:ind w:left="4320"/>
      </w:pPr>
      <w:r w:rsidRPr="00452147">
        <w:t>John Finnigan (0018689)</w:t>
      </w:r>
      <w:r w:rsidRPr="00452147">
        <w:tab/>
      </w:r>
    </w:p>
    <w:p w:rsidR="00F90850" w:rsidRPr="00452147" w:rsidP="00F90850" w14:paraId="42187E56" w14:textId="77777777">
      <w:pPr>
        <w:suppressLineNumbers/>
        <w:ind w:left="4320"/>
      </w:pPr>
      <w:r w:rsidRPr="00452147">
        <w:t>Assistant Consumers’ Counsel</w:t>
      </w:r>
    </w:p>
    <w:p w:rsidR="00F90850" w:rsidRPr="00452147" w:rsidP="00F90850" w14:paraId="40B38674" w14:textId="77777777">
      <w:pPr>
        <w:suppressLineNumbers/>
        <w:ind w:left="4320"/>
        <w:rPr>
          <w:b/>
        </w:rPr>
      </w:pPr>
    </w:p>
    <w:p w:rsidR="00F90850" w:rsidRPr="00452147" w:rsidP="00F90850" w14:paraId="4239E87B" w14:textId="77777777">
      <w:pPr>
        <w:suppressLineNumbers/>
        <w:ind w:left="4320"/>
        <w:rPr>
          <w:b/>
          <w:bCs/>
        </w:rPr>
      </w:pPr>
      <w:r w:rsidRPr="00452147">
        <w:rPr>
          <w:b/>
        </w:rPr>
        <w:t>Office of the Ohio Consumers’ Counsel</w:t>
      </w:r>
    </w:p>
    <w:p w:rsidR="00F90850" w:rsidRPr="00452147" w:rsidP="00F90850" w14:paraId="42989671" w14:textId="77777777">
      <w:pPr>
        <w:suppressLineNumbers/>
        <w:ind w:left="4320"/>
        <w:rPr>
          <w:bCs/>
        </w:rPr>
      </w:pPr>
      <w:r w:rsidRPr="00452147">
        <w:t>65 East State Street, Suite 700</w:t>
      </w:r>
    </w:p>
    <w:p w:rsidR="00F90850" w:rsidRPr="00452147" w:rsidP="00F90850" w14:paraId="72D04C22" w14:textId="77777777">
      <w:pPr>
        <w:suppressLineNumbers/>
        <w:ind w:left="4320"/>
        <w:rPr>
          <w:bCs/>
        </w:rPr>
      </w:pPr>
      <w:r w:rsidRPr="00452147">
        <w:t>Columbus, Ohio 43215</w:t>
      </w:r>
    </w:p>
    <w:p w:rsidR="00F90850" w:rsidRPr="00452147" w:rsidP="00F90850" w14:paraId="3C05A173" w14:textId="77777777">
      <w:pPr>
        <w:suppressLineNumbers/>
        <w:ind w:left="4320"/>
      </w:pPr>
      <w:r w:rsidRPr="00452147">
        <w:t>Telephone [Willis]: (614) 466-9567</w:t>
      </w:r>
    </w:p>
    <w:p w:rsidR="00F90850" w:rsidRPr="00452147" w:rsidP="00F90850" w14:paraId="3F0F7E3C" w14:textId="77777777">
      <w:pPr>
        <w:suppressLineNumbers/>
        <w:ind w:left="4320"/>
      </w:pPr>
      <w:r w:rsidRPr="00452147">
        <w:t>Telephone [Finnigan]: (614) 466-9585</w:t>
      </w:r>
    </w:p>
    <w:p w:rsidR="00F90850" w:rsidRPr="00452147" w:rsidP="00F90850" w14:paraId="506AAC3F" w14:textId="77777777">
      <w:pPr>
        <w:suppressLineNumbers/>
        <w:ind w:left="4320"/>
        <w:rPr>
          <w:color w:val="0000FF"/>
        </w:rPr>
      </w:pPr>
      <w:hyperlink r:id="rId8" w:history="1">
        <w:r w:rsidRPr="00452147" w:rsidR="00D71A7C">
          <w:rPr>
            <w:rStyle w:val="Hyperlink"/>
            <w:color w:val="0000FF"/>
          </w:rPr>
          <w:t>maureen.willis@occ.ohio.gov</w:t>
        </w:r>
      </w:hyperlink>
    </w:p>
    <w:p w:rsidR="00F90850" w:rsidRPr="00452147" w:rsidP="00F90850" w14:paraId="275ECEAC" w14:textId="77777777">
      <w:pPr>
        <w:suppressLineNumbers/>
        <w:ind w:left="4320"/>
        <w:rPr>
          <w:color w:val="0000FF"/>
        </w:rPr>
      </w:pPr>
      <w:hyperlink r:id="rId9" w:history="1">
        <w:r w:rsidRPr="00452147" w:rsidR="00D71A7C">
          <w:rPr>
            <w:rStyle w:val="Hyperlink"/>
            <w:color w:val="0000FF"/>
          </w:rPr>
          <w:t>john.finnigan@occ.ohio.gov</w:t>
        </w:r>
      </w:hyperlink>
    </w:p>
    <w:p w:rsidR="00BF5C65" w:rsidRPr="00452147" w:rsidP="0027787A" w14:paraId="072FA2CE" w14:textId="49FC3825">
      <w:pPr>
        <w:suppressLineNumbers/>
        <w:ind w:left="4320"/>
        <w:rPr>
          <w:b/>
          <w:caps/>
        </w:rPr>
      </w:pPr>
      <w:r w:rsidRPr="00452147">
        <w:t>(willing to accept service by e-mail)</w:t>
      </w:r>
    </w:p>
    <w:p w:rsidR="00541CF8" w14:paraId="0E7D0B5E" w14:textId="77777777">
      <w:pPr>
        <w:spacing w:after="160" w:line="259" w:lineRule="auto"/>
        <w:rPr>
          <w:b/>
          <w:color w:val="221F1F"/>
          <w:u w:val="thick" w:color="221F1F"/>
        </w:rPr>
      </w:pPr>
      <w:r>
        <w:rPr>
          <w:b/>
          <w:color w:val="221F1F"/>
          <w:u w:val="thick" w:color="221F1F"/>
        </w:rPr>
        <w:br w:type="page"/>
      </w:r>
    </w:p>
    <w:p w:rsidR="00BF5C65" w:rsidRPr="00452147" w:rsidP="00BF5C65" w14:paraId="49856F89" w14:textId="27C011F1">
      <w:pPr>
        <w:spacing w:before="39"/>
        <w:ind w:left="122" w:right="401"/>
        <w:jc w:val="center"/>
        <w:rPr>
          <w:b/>
        </w:rPr>
      </w:pPr>
      <w:r w:rsidRPr="00452147">
        <w:rPr>
          <w:b/>
          <w:color w:val="221F1F"/>
          <w:u w:val="thick" w:color="221F1F"/>
        </w:rPr>
        <w:t>CERTIFICATE OF SERVICE</w:t>
      </w:r>
    </w:p>
    <w:p w:rsidR="00BF5C65" w:rsidRPr="00452147" w:rsidP="00BF5C65" w14:paraId="1F14A52D" w14:textId="77777777">
      <w:pPr>
        <w:pStyle w:val="BodyText"/>
        <w:spacing w:before="8"/>
        <w:rPr>
          <w:b/>
        </w:rPr>
      </w:pPr>
    </w:p>
    <w:p w:rsidR="00BF5C65" w:rsidRPr="00452147" w:rsidP="00C648B4" w14:paraId="761170FB" w14:textId="77777777">
      <w:pPr>
        <w:pStyle w:val="BodyText"/>
        <w:spacing w:before="61" w:line="480" w:lineRule="auto"/>
        <w:ind w:right="20" w:firstLine="720"/>
      </w:pPr>
      <w:r w:rsidRPr="00452147">
        <w:rPr>
          <w:color w:val="221F1F"/>
        </w:rPr>
        <w:t xml:space="preserve">I hereby certify that a copy of the foregoing </w:t>
      </w:r>
      <w:r w:rsidRPr="00452147" w:rsidR="00CA182D">
        <w:rPr>
          <w:color w:val="221F1F"/>
        </w:rPr>
        <w:t xml:space="preserve">Reply </w:t>
      </w:r>
      <w:r w:rsidRPr="00452147">
        <w:rPr>
          <w:color w:val="221F1F"/>
        </w:rPr>
        <w:t xml:space="preserve">was served on the persons stated below via electronic transmission, this </w:t>
      </w:r>
      <w:r w:rsidRPr="00452147" w:rsidR="000E474E">
        <w:rPr>
          <w:color w:val="221F1F"/>
        </w:rPr>
        <w:t>4th</w:t>
      </w:r>
      <w:r w:rsidRPr="00452147" w:rsidR="006316CE">
        <w:rPr>
          <w:color w:val="221F1F"/>
        </w:rPr>
        <w:t xml:space="preserve"> </w:t>
      </w:r>
      <w:r w:rsidRPr="00452147">
        <w:rPr>
          <w:color w:val="221F1F"/>
        </w:rPr>
        <w:t xml:space="preserve">day of </w:t>
      </w:r>
      <w:r w:rsidRPr="00452147" w:rsidR="006316CE">
        <w:rPr>
          <w:color w:val="221F1F"/>
        </w:rPr>
        <w:t>February</w:t>
      </w:r>
      <w:r w:rsidRPr="00452147">
        <w:rPr>
          <w:color w:val="221F1F"/>
        </w:rPr>
        <w:t xml:space="preserve"> 2022.</w:t>
      </w:r>
    </w:p>
    <w:p w:rsidR="00BF5C65" w:rsidRPr="00452147" w:rsidP="00F90850" w14:paraId="162851E2" w14:textId="77777777">
      <w:pPr>
        <w:ind w:left="4320"/>
        <w:rPr>
          <w:i/>
        </w:rPr>
      </w:pPr>
      <w:r w:rsidRPr="00452147">
        <w:rPr>
          <w:i/>
          <w:color w:val="221F1F"/>
          <w:u w:val="single" w:color="221F1F"/>
        </w:rPr>
        <w:t>/s/ Maureen R.</w:t>
      </w:r>
      <w:r w:rsidRPr="00452147">
        <w:rPr>
          <w:i/>
          <w:color w:val="221F1F"/>
          <w:spacing w:val="-8"/>
          <w:u w:val="single" w:color="221F1F"/>
        </w:rPr>
        <w:t xml:space="preserve"> </w:t>
      </w:r>
      <w:r w:rsidRPr="00452147">
        <w:rPr>
          <w:i/>
          <w:color w:val="221F1F"/>
          <w:u w:val="single" w:color="221F1F"/>
        </w:rPr>
        <w:t>Willis</w:t>
      </w:r>
      <w:r w:rsidRPr="00452147" w:rsidR="00F90850">
        <w:rPr>
          <w:i/>
          <w:color w:val="221F1F"/>
          <w:u w:val="single" w:color="221F1F"/>
        </w:rPr>
        <w:tab/>
      </w:r>
      <w:r w:rsidRPr="00452147" w:rsidR="00F90850">
        <w:rPr>
          <w:i/>
          <w:color w:val="221F1F"/>
          <w:u w:val="single" w:color="221F1F"/>
        </w:rPr>
        <w:tab/>
      </w:r>
    </w:p>
    <w:p w:rsidR="00BF5C65" w:rsidRPr="00452147" w:rsidP="00F90850" w14:paraId="23DA18F4" w14:textId="77777777">
      <w:pPr>
        <w:pStyle w:val="BodyText"/>
        <w:ind w:left="4320"/>
      </w:pPr>
      <w:r w:rsidRPr="00452147">
        <w:rPr>
          <w:color w:val="221F1F"/>
        </w:rPr>
        <w:t>Maureen R. Willis</w:t>
      </w:r>
    </w:p>
    <w:p w:rsidR="00BF5C65" w:rsidRPr="00452147" w:rsidP="00F90850" w14:paraId="00FC17EB" w14:textId="77777777">
      <w:pPr>
        <w:pStyle w:val="BodyText"/>
        <w:ind w:left="4320"/>
      </w:pPr>
      <w:r w:rsidRPr="00452147">
        <w:rPr>
          <w:color w:val="221F1F"/>
        </w:rPr>
        <w:t>Assistant Consumers’ Counsel</w:t>
      </w:r>
    </w:p>
    <w:p w:rsidR="00BF5C65" w:rsidRPr="00452147" w:rsidP="006D3189" w14:paraId="622E4C97" w14:textId="77777777">
      <w:pPr>
        <w:pStyle w:val="BodyText"/>
      </w:pPr>
    </w:p>
    <w:p w:rsidR="00BF5C65" w:rsidRPr="00452147" w:rsidP="006D3189" w14:paraId="253D1BDE" w14:textId="77777777">
      <w:pPr>
        <w:pStyle w:val="BodyText"/>
        <w:spacing w:line="276" w:lineRule="auto"/>
        <w:ind w:right="20"/>
      </w:pPr>
      <w:r w:rsidRPr="00452147">
        <w:rPr>
          <w:color w:val="221F1F"/>
        </w:rPr>
        <w:t>The PUCO’s e-filing system will electronically serve notice of the filing of this document on the following parties:</w:t>
      </w:r>
    </w:p>
    <w:p w:rsidR="00BF5C65" w:rsidRPr="00452147" w:rsidP="00BF5C65" w14:paraId="3462DEE1" w14:textId="77777777">
      <w:pPr>
        <w:spacing w:before="201"/>
        <w:ind w:left="120" w:right="401"/>
        <w:jc w:val="center"/>
        <w:rPr>
          <w:b/>
          <w:color w:val="221F1F"/>
          <w:u w:val="thick" w:color="221F1F"/>
        </w:rPr>
      </w:pPr>
      <w:r w:rsidRPr="00452147">
        <w:rPr>
          <w:b/>
          <w:color w:val="221F1F"/>
          <w:u w:val="thick" w:color="221F1F"/>
        </w:rPr>
        <w:t>SERVICE LIST</w:t>
      </w:r>
    </w:p>
    <w:p w:rsidR="00F90850" w:rsidRPr="00452147" w:rsidP="00F90850" w14:paraId="500D1F4D" w14:textId="77777777">
      <w:pPr>
        <w:ind w:left="115" w:right="403"/>
        <w:jc w:val="center"/>
        <w:rPr>
          <w:b/>
          <w:color w:val="221F1F"/>
          <w:u w:val="thick" w:color="221F1F"/>
        </w:rPr>
      </w:pPr>
    </w:p>
    <w:tbl>
      <w:tblPr>
        <w:tblW w:w="0" w:type="auto"/>
        <w:tblLook w:val="04A0"/>
      </w:tblPr>
      <w:tblGrid>
        <w:gridCol w:w="4860"/>
        <w:gridCol w:w="3780"/>
      </w:tblGrid>
      <w:tr w14:paraId="121A0017" w14:textId="77777777" w:rsidTr="00DD38CC">
        <w:tblPrEx>
          <w:tblW w:w="0" w:type="auto"/>
          <w:tblLook w:val="04A0"/>
        </w:tblPrEx>
        <w:tc>
          <w:tcPr>
            <w:tcW w:w="4860" w:type="dxa"/>
            <w:shd w:val="clear" w:color="auto" w:fill="auto"/>
          </w:tcPr>
          <w:p w:rsidR="00F90850" w:rsidRPr="00452147" w:rsidP="00DD38CC" w14:paraId="2276A457" w14:textId="77777777">
            <w:pPr>
              <w:pStyle w:val="CommentText"/>
              <w:rPr>
                <w:bCs/>
                <w:color w:val="0000FF"/>
                <w:sz w:val="24"/>
                <w:szCs w:val="24"/>
                <w:u w:val="single"/>
              </w:rPr>
            </w:pPr>
            <w:hyperlink r:id="rId10" w:history="1">
              <w:r w:rsidRPr="00452147" w:rsidR="009E5F4E">
                <w:rPr>
                  <w:rStyle w:val="Hyperlink"/>
                  <w:bCs/>
                  <w:color w:val="0000FF"/>
                  <w:sz w:val="24"/>
                  <w:szCs w:val="24"/>
                </w:rPr>
                <w:t>werner.margard@ohioAGO.gov</w:t>
              </w:r>
            </w:hyperlink>
          </w:p>
          <w:p w:rsidR="00F90850" w:rsidRPr="00452147" w:rsidP="00DD38CC" w14:paraId="3C8B6F81" w14:textId="77777777">
            <w:pPr>
              <w:pStyle w:val="CommentText"/>
              <w:rPr>
                <w:rStyle w:val="Hyperlink"/>
                <w:bCs/>
                <w:color w:val="0000FF"/>
                <w:sz w:val="24"/>
                <w:szCs w:val="24"/>
              </w:rPr>
            </w:pPr>
            <w:hyperlink r:id="rId11" w:history="1">
              <w:r w:rsidRPr="00452147" w:rsidR="009E5F4E">
                <w:rPr>
                  <w:rStyle w:val="Hyperlink"/>
                  <w:color w:val="0000FF"/>
                  <w:sz w:val="24"/>
                  <w:szCs w:val="24"/>
                </w:rPr>
                <w:t>s</w:t>
              </w:r>
              <w:r w:rsidRPr="00452147" w:rsidR="009E5F4E">
                <w:rPr>
                  <w:rStyle w:val="Hyperlink"/>
                  <w:bCs/>
                  <w:color w:val="0000FF"/>
                  <w:sz w:val="24"/>
                  <w:szCs w:val="24"/>
                </w:rPr>
                <w:t>arah.feldkamp@OhioAGO.gov</w:t>
              </w:r>
            </w:hyperlink>
          </w:p>
          <w:p w:rsidR="00F90850" w:rsidRPr="00452147" w:rsidP="00DD38CC" w14:paraId="4C416FCB" w14:textId="77777777">
            <w:pPr>
              <w:pStyle w:val="CommentText"/>
              <w:rPr>
                <w:bCs/>
                <w:color w:val="0000FF"/>
                <w:sz w:val="24"/>
                <w:szCs w:val="24"/>
                <w:u w:val="single"/>
              </w:rPr>
            </w:pPr>
            <w:hyperlink r:id="rId12" w:history="1">
              <w:r w:rsidRPr="00452147" w:rsidR="009E5F4E">
                <w:rPr>
                  <w:rStyle w:val="Hyperlink"/>
                  <w:color w:val="0000FF"/>
                  <w:sz w:val="24"/>
                  <w:szCs w:val="24"/>
                </w:rPr>
                <w:t>t</w:t>
              </w:r>
              <w:r w:rsidRPr="00452147" w:rsidR="009E5F4E">
                <w:rPr>
                  <w:rStyle w:val="Hyperlink"/>
                  <w:bCs/>
                  <w:color w:val="0000FF"/>
                  <w:sz w:val="24"/>
                  <w:szCs w:val="24"/>
                </w:rPr>
                <w:t>homas.lindgren@OhioAGO.gov</w:t>
              </w:r>
            </w:hyperlink>
          </w:p>
          <w:p w:rsidR="00F90850" w:rsidRPr="00452147" w:rsidP="00DD38CC" w14:paraId="056AA6FA" w14:textId="77777777">
            <w:pPr>
              <w:pStyle w:val="CommentText"/>
              <w:rPr>
                <w:bCs/>
                <w:color w:val="0000FF"/>
                <w:sz w:val="24"/>
                <w:szCs w:val="24"/>
                <w:u w:val="single"/>
              </w:rPr>
            </w:pPr>
            <w:hyperlink r:id="rId13" w:history="1">
              <w:r w:rsidRPr="00452147" w:rsidR="009E5F4E">
                <w:rPr>
                  <w:rStyle w:val="Hyperlink"/>
                  <w:bCs/>
                  <w:color w:val="0000FF"/>
                  <w:sz w:val="24"/>
                  <w:szCs w:val="24"/>
                </w:rPr>
                <w:t>rlazer@elpc.org</w:t>
              </w:r>
            </w:hyperlink>
          </w:p>
          <w:p w:rsidR="00F90850" w:rsidRPr="00452147" w:rsidP="00DD38CC" w14:paraId="67946B55" w14:textId="77777777">
            <w:pPr>
              <w:pStyle w:val="CommentText"/>
              <w:rPr>
                <w:rStyle w:val="Hyperlink"/>
                <w:bCs/>
                <w:color w:val="0000FF"/>
                <w:sz w:val="24"/>
                <w:szCs w:val="24"/>
              </w:rPr>
            </w:pPr>
            <w:hyperlink r:id="rId14" w:history="1">
              <w:r w:rsidRPr="00452147" w:rsidR="009E5F4E">
                <w:rPr>
                  <w:rStyle w:val="Hyperlink"/>
                  <w:bCs/>
                  <w:color w:val="0000FF"/>
                  <w:sz w:val="24"/>
                  <w:szCs w:val="24"/>
                </w:rPr>
                <w:t>rkelter@elpc.org</w:t>
              </w:r>
            </w:hyperlink>
          </w:p>
          <w:p w:rsidR="000F6140" w:rsidRPr="00452147" w:rsidP="00DD38CC" w14:paraId="43E683A8" w14:textId="77777777">
            <w:pPr>
              <w:pStyle w:val="CommentText"/>
              <w:rPr>
                <w:bCs/>
                <w:color w:val="0000FF"/>
                <w:sz w:val="24"/>
                <w:szCs w:val="24"/>
                <w:u w:val="single"/>
              </w:rPr>
            </w:pPr>
            <w:hyperlink r:id="rId15" w:history="1">
              <w:r w:rsidRPr="00452147" w:rsidR="009E5F4E">
                <w:rPr>
                  <w:rStyle w:val="Hyperlink"/>
                  <w:bCs/>
                  <w:color w:val="0000FF"/>
                  <w:sz w:val="24"/>
                  <w:szCs w:val="24"/>
                </w:rPr>
                <w:t>jweber@elpc.org</w:t>
              </w:r>
            </w:hyperlink>
          </w:p>
          <w:p w:rsidR="00F90850" w:rsidRPr="00452147" w:rsidP="00DD38CC" w14:paraId="7D558D75" w14:textId="77777777">
            <w:pPr>
              <w:pStyle w:val="CommentText"/>
              <w:rPr>
                <w:bCs/>
                <w:color w:val="0000FF"/>
                <w:sz w:val="24"/>
                <w:szCs w:val="24"/>
              </w:rPr>
            </w:pPr>
            <w:hyperlink r:id="rId16" w:history="1">
              <w:r w:rsidRPr="00452147" w:rsidR="009E5F4E">
                <w:rPr>
                  <w:rStyle w:val="Hyperlink"/>
                  <w:bCs/>
                  <w:color w:val="0000FF"/>
                  <w:sz w:val="24"/>
                  <w:szCs w:val="24"/>
                </w:rPr>
                <w:t>trhayslaw@gmail.com</w:t>
              </w:r>
            </w:hyperlink>
          </w:p>
          <w:p w:rsidR="00F90850" w:rsidRPr="00452147" w:rsidP="00DD38CC" w14:paraId="5620C201" w14:textId="77777777">
            <w:pPr>
              <w:pStyle w:val="CommentText"/>
              <w:rPr>
                <w:bCs/>
                <w:color w:val="0000FF"/>
                <w:sz w:val="24"/>
                <w:szCs w:val="24"/>
              </w:rPr>
            </w:pPr>
            <w:hyperlink r:id="rId17" w:history="1">
              <w:r w:rsidRPr="00452147" w:rsidR="009E5F4E">
                <w:rPr>
                  <w:rStyle w:val="Hyperlink"/>
                  <w:bCs/>
                  <w:color w:val="0000FF"/>
                  <w:sz w:val="24"/>
                  <w:szCs w:val="24"/>
                </w:rPr>
                <w:t>leslie.kovacik@toledo.oh.gov</w:t>
              </w:r>
            </w:hyperlink>
          </w:p>
          <w:p w:rsidR="00F90850" w:rsidRPr="00452147" w:rsidP="00DD38CC" w14:paraId="41BF8DFC" w14:textId="77777777">
            <w:pPr>
              <w:pStyle w:val="CommentText"/>
              <w:rPr>
                <w:bCs/>
                <w:color w:val="0000FF"/>
                <w:sz w:val="24"/>
                <w:szCs w:val="24"/>
                <w:u w:val="single"/>
              </w:rPr>
            </w:pPr>
            <w:hyperlink r:id="rId18" w:history="1">
              <w:r w:rsidRPr="00452147" w:rsidR="009E5F4E">
                <w:rPr>
                  <w:rStyle w:val="Hyperlink"/>
                  <w:bCs/>
                  <w:color w:val="0000FF"/>
                  <w:sz w:val="24"/>
                  <w:szCs w:val="24"/>
                </w:rPr>
                <w:t>evan.betterton@igs.com</w:t>
              </w:r>
            </w:hyperlink>
          </w:p>
          <w:p w:rsidR="00F90850" w:rsidRPr="00452147" w:rsidP="00DD38CC" w14:paraId="6CB6CC6B" w14:textId="77777777">
            <w:pPr>
              <w:pStyle w:val="CommentText"/>
              <w:rPr>
                <w:bCs/>
                <w:color w:val="0000FF"/>
                <w:sz w:val="24"/>
                <w:szCs w:val="24"/>
              </w:rPr>
            </w:pPr>
            <w:hyperlink r:id="rId19" w:history="1">
              <w:r w:rsidRPr="00452147" w:rsidR="009E5F4E">
                <w:rPr>
                  <w:rStyle w:val="Hyperlink"/>
                  <w:bCs/>
                  <w:color w:val="0000FF"/>
                  <w:sz w:val="24"/>
                  <w:szCs w:val="24"/>
                </w:rPr>
                <w:t>joe.oliker@igs.com</w:t>
              </w:r>
            </w:hyperlink>
          </w:p>
          <w:p w:rsidR="00F90850" w:rsidRPr="00452147" w:rsidP="00DD38CC" w14:paraId="3BCD16D6" w14:textId="77777777">
            <w:pPr>
              <w:pStyle w:val="CommentText"/>
              <w:rPr>
                <w:bCs/>
                <w:color w:val="0000FF"/>
                <w:sz w:val="24"/>
                <w:szCs w:val="24"/>
              </w:rPr>
            </w:pPr>
            <w:hyperlink r:id="rId20" w:history="1">
              <w:r w:rsidRPr="00452147" w:rsidR="009E5F4E">
                <w:rPr>
                  <w:rStyle w:val="Hyperlink"/>
                  <w:bCs/>
                  <w:color w:val="0000FF"/>
                  <w:sz w:val="24"/>
                  <w:szCs w:val="24"/>
                </w:rPr>
                <w:t>michael.nugent@igs.com</w:t>
              </w:r>
            </w:hyperlink>
          </w:p>
          <w:p w:rsidR="00F90850" w:rsidRPr="00452147" w:rsidP="00DD38CC" w14:paraId="45F1F439" w14:textId="77777777">
            <w:pPr>
              <w:pStyle w:val="CommentText"/>
              <w:rPr>
                <w:bCs/>
                <w:color w:val="0000FF"/>
                <w:sz w:val="24"/>
                <w:szCs w:val="24"/>
              </w:rPr>
            </w:pPr>
            <w:hyperlink r:id="rId21" w:history="1">
              <w:r w:rsidRPr="00452147" w:rsidR="009E5F4E">
                <w:rPr>
                  <w:rStyle w:val="Hyperlink"/>
                  <w:bCs/>
                  <w:color w:val="0000FF"/>
                  <w:sz w:val="24"/>
                  <w:szCs w:val="24"/>
                </w:rPr>
                <w:t>mkurtz@BKLlawfirm.com</w:t>
              </w:r>
            </w:hyperlink>
          </w:p>
          <w:p w:rsidR="00F90850" w:rsidRPr="00452147" w:rsidP="00DD38CC" w14:paraId="6E32F86F" w14:textId="77777777">
            <w:pPr>
              <w:pStyle w:val="CommentText"/>
              <w:rPr>
                <w:bCs/>
                <w:color w:val="0000FF"/>
                <w:sz w:val="24"/>
                <w:szCs w:val="24"/>
                <w:u w:val="single"/>
              </w:rPr>
            </w:pPr>
            <w:hyperlink r:id="rId22" w:history="1">
              <w:r w:rsidRPr="00452147" w:rsidR="009E5F4E">
                <w:rPr>
                  <w:rStyle w:val="Hyperlink"/>
                  <w:bCs/>
                  <w:color w:val="0000FF"/>
                  <w:sz w:val="24"/>
                  <w:szCs w:val="24"/>
                </w:rPr>
                <w:t>kboehm@BKLlawfirm.com</w:t>
              </w:r>
            </w:hyperlink>
          </w:p>
          <w:p w:rsidR="00F90850" w:rsidRPr="00452147" w:rsidP="00DD38CC" w14:paraId="3471B056" w14:textId="77777777">
            <w:pPr>
              <w:pStyle w:val="CommentText"/>
              <w:rPr>
                <w:bCs/>
                <w:color w:val="0000FF"/>
                <w:sz w:val="24"/>
                <w:szCs w:val="24"/>
                <w:u w:val="single"/>
              </w:rPr>
            </w:pPr>
            <w:hyperlink r:id="rId23" w:history="1">
              <w:r w:rsidRPr="00452147" w:rsidR="009E5F4E">
                <w:rPr>
                  <w:rStyle w:val="Hyperlink"/>
                  <w:bCs/>
                  <w:color w:val="0000FF"/>
                  <w:sz w:val="24"/>
                  <w:szCs w:val="24"/>
                </w:rPr>
                <w:t>jkylercohn@BKLlawfirm.com</w:t>
              </w:r>
            </w:hyperlink>
          </w:p>
          <w:p w:rsidR="00F90850" w:rsidRPr="00452147" w:rsidP="00DD38CC" w14:paraId="0886B062" w14:textId="77777777">
            <w:pPr>
              <w:pStyle w:val="CommentText"/>
              <w:rPr>
                <w:bCs/>
                <w:color w:val="0000FF"/>
                <w:sz w:val="24"/>
                <w:szCs w:val="24"/>
                <w:u w:val="single"/>
              </w:rPr>
            </w:pPr>
          </w:p>
          <w:p w:rsidR="00FD3F2E" w:rsidRPr="00452147" w:rsidP="00DD38CC" w14:paraId="32294A9D" w14:textId="77777777">
            <w:pPr>
              <w:pStyle w:val="CommentText"/>
              <w:rPr>
                <w:bCs/>
                <w:color w:val="0000FF"/>
                <w:sz w:val="24"/>
                <w:szCs w:val="24"/>
                <w:u w:val="single"/>
              </w:rPr>
            </w:pPr>
          </w:p>
          <w:p w:rsidR="00F90850" w:rsidRPr="00452147" w:rsidP="00DD38CC" w14:paraId="7520268C" w14:textId="77777777">
            <w:pPr>
              <w:pStyle w:val="CommentText"/>
              <w:rPr>
                <w:bCs/>
                <w:sz w:val="24"/>
                <w:szCs w:val="24"/>
              </w:rPr>
            </w:pPr>
            <w:r w:rsidRPr="00452147">
              <w:rPr>
                <w:bCs/>
                <w:sz w:val="24"/>
                <w:szCs w:val="24"/>
              </w:rPr>
              <w:t>Attorney Examiners:</w:t>
            </w:r>
          </w:p>
          <w:p w:rsidR="00FF037B" w:rsidRPr="00452147" w:rsidP="00FF037B" w14:paraId="6D73CDEE" w14:textId="77777777">
            <w:pPr>
              <w:pStyle w:val="CommentText"/>
              <w:rPr>
                <w:bCs/>
                <w:color w:val="0000FF"/>
                <w:sz w:val="24"/>
                <w:szCs w:val="24"/>
                <w:u w:val="single"/>
              </w:rPr>
            </w:pPr>
            <w:hyperlink r:id="rId24" w:history="1">
              <w:r w:rsidRPr="00452147" w:rsidR="009E5F4E">
                <w:rPr>
                  <w:rStyle w:val="Hyperlink"/>
                  <w:color w:val="0000FF"/>
                  <w:sz w:val="24"/>
                  <w:szCs w:val="24"/>
                </w:rPr>
                <w:t>m</w:t>
              </w:r>
              <w:r w:rsidRPr="00452147" w:rsidR="009E5F4E">
                <w:rPr>
                  <w:rStyle w:val="Hyperlink"/>
                  <w:bCs/>
                  <w:color w:val="0000FF"/>
                  <w:sz w:val="24"/>
                  <w:szCs w:val="24"/>
                </w:rPr>
                <w:t>egan.addison@puco.ohio.gov</w:t>
              </w:r>
            </w:hyperlink>
          </w:p>
          <w:p w:rsidR="00F90850" w:rsidRPr="00452147" w:rsidP="00DD38CC" w14:paraId="0EB01415" w14:textId="77777777">
            <w:pPr>
              <w:pStyle w:val="CommentText"/>
              <w:rPr>
                <w:rStyle w:val="Hyperlink"/>
                <w:bCs/>
                <w:color w:val="0000FF"/>
                <w:sz w:val="24"/>
                <w:szCs w:val="24"/>
              </w:rPr>
            </w:pPr>
            <w:hyperlink r:id="rId25" w:history="1">
              <w:r w:rsidRPr="00452147" w:rsidR="00FF037B">
                <w:rPr>
                  <w:rStyle w:val="Hyperlink"/>
                  <w:color w:val="0000FF"/>
                  <w:sz w:val="24"/>
                  <w:szCs w:val="24"/>
                </w:rPr>
                <w:t>g</w:t>
              </w:r>
              <w:r w:rsidRPr="00452147" w:rsidR="00FF037B">
                <w:rPr>
                  <w:rStyle w:val="Hyperlink"/>
                  <w:bCs/>
                  <w:color w:val="0000FF"/>
                  <w:sz w:val="24"/>
                  <w:szCs w:val="24"/>
                </w:rPr>
                <w:t>regory.price@puco.ohio.gov</w:t>
              </w:r>
            </w:hyperlink>
          </w:p>
          <w:p w:rsidR="00F90850" w:rsidRPr="00452147" w:rsidP="00DD38CC" w14:paraId="13FF1D68" w14:textId="77777777">
            <w:pPr>
              <w:pStyle w:val="CommentText"/>
              <w:rPr>
                <w:bCs/>
                <w:color w:val="0000FF"/>
                <w:sz w:val="24"/>
                <w:szCs w:val="24"/>
              </w:rPr>
            </w:pPr>
            <w:hyperlink r:id="rId26" w:history="1">
              <w:r w:rsidRPr="00452147" w:rsidR="009E5F4E">
                <w:rPr>
                  <w:rStyle w:val="Hyperlink"/>
                  <w:color w:val="0000FF"/>
                  <w:sz w:val="24"/>
                  <w:szCs w:val="24"/>
                </w:rPr>
                <w:t>j</w:t>
              </w:r>
              <w:r w:rsidRPr="00452147" w:rsidR="009E5F4E">
                <w:rPr>
                  <w:rStyle w:val="Hyperlink"/>
                  <w:bCs/>
                  <w:color w:val="0000FF"/>
                  <w:sz w:val="24"/>
                  <w:szCs w:val="24"/>
                </w:rPr>
                <w:t>acqueline.st.john@puco.ohio.gov</w:t>
              </w:r>
            </w:hyperlink>
          </w:p>
        </w:tc>
        <w:tc>
          <w:tcPr>
            <w:tcW w:w="3780" w:type="dxa"/>
            <w:shd w:val="clear" w:color="auto" w:fill="auto"/>
          </w:tcPr>
          <w:p w:rsidR="00F90850" w:rsidRPr="00452147" w:rsidP="00DD38CC" w14:paraId="3D17E5F7" w14:textId="77777777">
            <w:pPr>
              <w:pStyle w:val="CommentText"/>
              <w:rPr>
                <w:bCs/>
                <w:color w:val="0000FF"/>
                <w:sz w:val="24"/>
                <w:szCs w:val="24"/>
                <w:u w:val="single"/>
              </w:rPr>
            </w:pPr>
            <w:hyperlink r:id="rId27" w:history="1">
              <w:r w:rsidRPr="00452147" w:rsidR="009E5F4E">
                <w:rPr>
                  <w:rStyle w:val="Hyperlink"/>
                  <w:bCs/>
                  <w:color w:val="0000FF"/>
                  <w:sz w:val="24"/>
                  <w:szCs w:val="24"/>
                </w:rPr>
                <w:t>bknipe@firstenergycorp.com</w:t>
              </w:r>
            </w:hyperlink>
          </w:p>
          <w:p w:rsidR="00F90850" w:rsidRPr="00452147" w:rsidP="00DD38CC" w14:paraId="58DDFDA2" w14:textId="77777777">
            <w:pPr>
              <w:pStyle w:val="CommentText"/>
              <w:rPr>
                <w:bCs/>
                <w:color w:val="0000FF"/>
                <w:sz w:val="24"/>
                <w:szCs w:val="24"/>
              </w:rPr>
            </w:pPr>
            <w:hyperlink r:id="rId28" w:history="1">
              <w:r w:rsidRPr="00452147" w:rsidR="009E5F4E">
                <w:rPr>
                  <w:rStyle w:val="Hyperlink"/>
                  <w:bCs/>
                  <w:color w:val="0000FF"/>
                  <w:sz w:val="24"/>
                  <w:szCs w:val="24"/>
                </w:rPr>
                <w:t>mrgladman@jonesday.com</w:t>
              </w:r>
            </w:hyperlink>
          </w:p>
          <w:p w:rsidR="00F90850" w:rsidRPr="00452147" w:rsidP="00DD38CC" w14:paraId="575825F0" w14:textId="77777777">
            <w:pPr>
              <w:pStyle w:val="CommentText"/>
              <w:rPr>
                <w:bCs/>
                <w:color w:val="0000FF"/>
                <w:sz w:val="24"/>
                <w:szCs w:val="24"/>
              </w:rPr>
            </w:pPr>
            <w:hyperlink r:id="rId29" w:history="1">
              <w:r w:rsidRPr="00452147" w:rsidR="009E5F4E">
                <w:rPr>
                  <w:rStyle w:val="Hyperlink"/>
                  <w:bCs/>
                  <w:color w:val="0000FF"/>
                  <w:sz w:val="24"/>
                  <w:szCs w:val="24"/>
                </w:rPr>
                <w:t>mdengler@jonesday.com</w:t>
              </w:r>
            </w:hyperlink>
          </w:p>
          <w:p w:rsidR="00F90850" w:rsidRPr="00452147" w:rsidP="00DD38CC" w14:paraId="6BB44C37" w14:textId="77777777">
            <w:pPr>
              <w:pStyle w:val="CommentText"/>
              <w:rPr>
                <w:bCs/>
                <w:color w:val="0000FF"/>
                <w:sz w:val="24"/>
                <w:szCs w:val="24"/>
                <w:u w:val="single"/>
              </w:rPr>
            </w:pPr>
            <w:hyperlink r:id="rId30" w:history="1">
              <w:r w:rsidRPr="00452147" w:rsidR="009E5F4E">
                <w:rPr>
                  <w:rStyle w:val="Hyperlink"/>
                  <w:bCs/>
                  <w:color w:val="0000FF"/>
                  <w:sz w:val="24"/>
                  <w:szCs w:val="24"/>
                </w:rPr>
                <w:t>radoringo@jonesday.com</w:t>
              </w:r>
            </w:hyperlink>
          </w:p>
          <w:p w:rsidR="00F90850" w:rsidRPr="00452147" w:rsidP="00DD38CC" w14:paraId="7EDCC69F" w14:textId="77777777">
            <w:pPr>
              <w:pStyle w:val="CommentText"/>
              <w:rPr>
                <w:bCs/>
                <w:color w:val="0000FF"/>
                <w:sz w:val="24"/>
                <w:szCs w:val="24"/>
              </w:rPr>
            </w:pPr>
            <w:hyperlink r:id="rId31" w:history="1">
              <w:r w:rsidRPr="00452147" w:rsidR="009E5F4E">
                <w:rPr>
                  <w:rStyle w:val="Hyperlink"/>
                  <w:bCs/>
                  <w:color w:val="0000FF"/>
                  <w:sz w:val="24"/>
                  <w:szCs w:val="24"/>
                </w:rPr>
                <w:t>sgoyal@jonesday.com</w:t>
              </w:r>
            </w:hyperlink>
          </w:p>
          <w:p w:rsidR="00F90850" w:rsidRPr="00452147" w:rsidP="00DD38CC" w14:paraId="76BCD0A6" w14:textId="77777777">
            <w:pPr>
              <w:pStyle w:val="CommentText"/>
              <w:rPr>
                <w:bCs/>
                <w:color w:val="0000FF"/>
                <w:sz w:val="24"/>
                <w:szCs w:val="24"/>
              </w:rPr>
            </w:pPr>
            <w:hyperlink r:id="rId32" w:history="1">
              <w:r w:rsidRPr="00452147" w:rsidR="009E5F4E">
                <w:rPr>
                  <w:rStyle w:val="Hyperlink"/>
                  <w:bCs/>
                  <w:color w:val="0000FF"/>
                  <w:sz w:val="24"/>
                  <w:szCs w:val="24"/>
                </w:rPr>
                <w:t>dborchers@bricker.com</w:t>
              </w:r>
            </w:hyperlink>
          </w:p>
          <w:p w:rsidR="00F90850" w:rsidRPr="00452147" w:rsidP="00DD38CC" w14:paraId="449D5921" w14:textId="77777777">
            <w:pPr>
              <w:pStyle w:val="CommentText"/>
              <w:rPr>
                <w:bCs/>
                <w:color w:val="0000FF"/>
                <w:sz w:val="24"/>
                <w:szCs w:val="24"/>
                <w:u w:val="single"/>
              </w:rPr>
            </w:pPr>
            <w:hyperlink r:id="rId33" w:history="1">
              <w:r w:rsidRPr="00452147" w:rsidR="009E5F4E">
                <w:rPr>
                  <w:rStyle w:val="Hyperlink"/>
                  <w:bCs/>
                  <w:color w:val="0000FF"/>
                  <w:sz w:val="24"/>
                  <w:szCs w:val="24"/>
                </w:rPr>
                <w:t>dparram@bricker.com</w:t>
              </w:r>
            </w:hyperlink>
          </w:p>
          <w:p w:rsidR="00F90850" w:rsidRPr="00452147" w:rsidP="00DD38CC" w14:paraId="63712552" w14:textId="77777777">
            <w:pPr>
              <w:pStyle w:val="CommentText"/>
              <w:rPr>
                <w:bCs/>
                <w:color w:val="0000FF"/>
                <w:sz w:val="24"/>
                <w:szCs w:val="24"/>
              </w:rPr>
            </w:pPr>
            <w:hyperlink r:id="rId34" w:history="1">
              <w:r w:rsidRPr="00452147" w:rsidR="009E5F4E">
                <w:rPr>
                  <w:rStyle w:val="Hyperlink"/>
                  <w:bCs/>
                  <w:color w:val="0000FF"/>
                  <w:sz w:val="24"/>
                  <w:szCs w:val="24"/>
                </w:rPr>
                <w:t>rmains@bricker.com</w:t>
              </w:r>
            </w:hyperlink>
          </w:p>
          <w:p w:rsidR="00F90850" w:rsidRPr="00452147" w:rsidP="00DD38CC" w14:paraId="06B1AEEF" w14:textId="77777777">
            <w:pPr>
              <w:pStyle w:val="CommentText"/>
              <w:rPr>
                <w:bCs/>
                <w:color w:val="0000FF"/>
                <w:sz w:val="24"/>
                <w:szCs w:val="24"/>
              </w:rPr>
            </w:pPr>
            <w:hyperlink r:id="rId35" w:history="1">
              <w:r w:rsidRPr="00452147" w:rsidR="009E5F4E">
                <w:rPr>
                  <w:rStyle w:val="Hyperlink"/>
                  <w:bCs/>
                  <w:color w:val="0000FF"/>
                  <w:sz w:val="24"/>
                  <w:szCs w:val="24"/>
                </w:rPr>
                <w:t>ctavenor@theOEC.org</w:t>
              </w:r>
            </w:hyperlink>
          </w:p>
          <w:p w:rsidR="00F90850" w:rsidRPr="00452147" w:rsidP="00DD38CC" w14:paraId="6990A8C4" w14:textId="77777777">
            <w:pPr>
              <w:pStyle w:val="CommentText"/>
              <w:rPr>
                <w:bCs/>
                <w:color w:val="0000FF"/>
                <w:sz w:val="24"/>
                <w:szCs w:val="24"/>
                <w:u w:val="single"/>
              </w:rPr>
            </w:pPr>
            <w:hyperlink r:id="rId36" w:history="1">
              <w:r w:rsidRPr="00452147" w:rsidR="009E5F4E">
                <w:rPr>
                  <w:rStyle w:val="Hyperlink"/>
                  <w:bCs/>
                  <w:color w:val="0000FF"/>
                  <w:sz w:val="24"/>
                  <w:szCs w:val="24"/>
                </w:rPr>
                <w:t>rdove@keglerbrown.com</w:t>
              </w:r>
            </w:hyperlink>
          </w:p>
          <w:p w:rsidR="00F90850" w:rsidRPr="00452147" w:rsidP="00DD38CC" w14:paraId="6DA74BE7" w14:textId="77777777">
            <w:pPr>
              <w:pStyle w:val="CommentText"/>
              <w:rPr>
                <w:bCs/>
                <w:color w:val="0000FF"/>
                <w:sz w:val="24"/>
                <w:szCs w:val="24"/>
                <w:u w:val="single"/>
              </w:rPr>
            </w:pPr>
            <w:hyperlink r:id="rId37" w:history="1">
              <w:r w:rsidRPr="00452147" w:rsidR="009E5F4E">
                <w:rPr>
                  <w:rStyle w:val="Hyperlink"/>
                  <w:bCs/>
                  <w:color w:val="0000FF"/>
                  <w:sz w:val="24"/>
                  <w:szCs w:val="24"/>
                </w:rPr>
                <w:t>mpritchard@mcneeslaw.com</w:t>
              </w:r>
            </w:hyperlink>
          </w:p>
          <w:p w:rsidR="00F90850" w:rsidRPr="00452147" w:rsidP="00DD38CC" w14:paraId="4617E1EA" w14:textId="77777777">
            <w:pPr>
              <w:pStyle w:val="CommentText"/>
              <w:rPr>
                <w:bCs/>
                <w:color w:val="0000FF"/>
                <w:sz w:val="24"/>
                <w:szCs w:val="24"/>
                <w:u w:val="single"/>
              </w:rPr>
            </w:pPr>
            <w:hyperlink r:id="rId38" w:history="1">
              <w:r w:rsidRPr="00452147" w:rsidR="009E5F4E">
                <w:rPr>
                  <w:rStyle w:val="Hyperlink"/>
                  <w:bCs/>
                  <w:color w:val="0000FF"/>
                  <w:sz w:val="24"/>
                  <w:szCs w:val="24"/>
                </w:rPr>
                <w:t>bmckenney@mcneeslaw.com</w:t>
              </w:r>
            </w:hyperlink>
          </w:p>
          <w:p w:rsidR="00F90850" w:rsidRPr="00452147" w:rsidP="00DD38CC" w14:paraId="1D42B7BC" w14:textId="77777777">
            <w:pPr>
              <w:pStyle w:val="CommentText"/>
              <w:rPr>
                <w:bCs/>
                <w:color w:val="0000FF"/>
                <w:sz w:val="24"/>
                <w:szCs w:val="24"/>
              </w:rPr>
            </w:pPr>
            <w:hyperlink r:id="rId39" w:history="1">
              <w:r w:rsidRPr="00452147" w:rsidR="009E5F4E">
                <w:rPr>
                  <w:rStyle w:val="Hyperlink"/>
                  <w:bCs/>
                  <w:color w:val="0000FF"/>
                  <w:sz w:val="24"/>
                  <w:szCs w:val="24"/>
                </w:rPr>
                <w:t>Bojko@carpenterlipps.com</w:t>
              </w:r>
            </w:hyperlink>
          </w:p>
          <w:p w:rsidR="00F90850" w:rsidRPr="00452147" w:rsidP="00DD38CC" w14:paraId="238F6617" w14:textId="77777777">
            <w:pPr>
              <w:pStyle w:val="CommentText"/>
              <w:rPr>
                <w:rStyle w:val="Hyperlink"/>
                <w:bCs/>
                <w:color w:val="0000FF"/>
                <w:sz w:val="24"/>
                <w:szCs w:val="24"/>
              </w:rPr>
            </w:pPr>
            <w:hyperlink r:id="rId40" w:history="1">
              <w:r w:rsidRPr="00452147" w:rsidR="009E5F4E">
                <w:rPr>
                  <w:rStyle w:val="Hyperlink"/>
                  <w:bCs/>
                  <w:color w:val="0000FF"/>
                  <w:sz w:val="24"/>
                  <w:szCs w:val="24"/>
                </w:rPr>
                <w:t>Donadio@carpenterlipps.com</w:t>
              </w:r>
            </w:hyperlink>
          </w:p>
          <w:p w:rsidR="0049496E" w:rsidRPr="00452147" w:rsidP="0049496E" w14:paraId="4F4C3C13" w14:textId="77777777">
            <w:pPr>
              <w:pStyle w:val="CommentText"/>
              <w:rPr>
                <w:bCs/>
                <w:color w:val="0000FF"/>
                <w:sz w:val="24"/>
                <w:szCs w:val="24"/>
                <w:u w:val="single"/>
              </w:rPr>
            </w:pPr>
            <w:hyperlink r:id="rId41" w:history="1">
              <w:r w:rsidRPr="00452147" w:rsidR="009E5F4E">
                <w:rPr>
                  <w:rStyle w:val="Hyperlink"/>
                  <w:bCs/>
                  <w:color w:val="0000FF"/>
                  <w:sz w:val="24"/>
                  <w:szCs w:val="24"/>
                </w:rPr>
                <w:t>mwise@mcdonaldhopkins.com</w:t>
              </w:r>
            </w:hyperlink>
          </w:p>
          <w:p w:rsidR="0049496E" w:rsidRPr="00452147" w:rsidP="00DD38CC" w14:paraId="3AA975D3" w14:textId="77777777">
            <w:pPr>
              <w:pStyle w:val="CommentText"/>
              <w:rPr>
                <w:bCs/>
                <w:color w:val="0000FF"/>
                <w:sz w:val="24"/>
                <w:szCs w:val="24"/>
                <w:u w:val="single"/>
              </w:rPr>
            </w:pPr>
            <w:hyperlink r:id="rId42" w:history="1">
              <w:r w:rsidRPr="00452147" w:rsidR="009E5F4E">
                <w:rPr>
                  <w:rStyle w:val="Hyperlink"/>
                  <w:bCs/>
                  <w:color w:val="0000FF"/>
                  <w:sz w:val="24"/>
                  <w:szCs w:val="24"/>
                </w:rPr>
                <w:t>trent@hubaydougherty.com</w:t>
              </w:r>
            </w:hyperlink>
          </w:p>
        </w:tc>
      </w:tr>
    </w:tbl>
    <w:p w:rsidR="00F90850" w:rsidRPr="00452147" w:rsidP="00EB3C04" w14:paraId="0A821D11" w14:textId="77777777">
      <w:pPr>
        <w:spacing w:before="201"/>
        <w:ind w:right="401"/>
        <w:rPr>
          <w:b/>
          <w:color w:val="221F1F"/>
          <w:u w:val="thick" w:color="221F1F"/>
        </w:rPr>
      </w:pPr>
    </w:p>
    <w:sectPr w:rsidSect="00F90850">
      <w:headerReference w:type="even" r:id="rId43"/>
      <w:headerReference w:type="default" r:id="rId44"/>
      <w:footerReference w:type="even" r:id="rId45"/>
      <w:footerReference w:type="default" r:id="rId46"/>
      <w:pgSz w:w="12240" w:h="15840"/>
      <w:pgMar w:top="1440" w:right="1800" w:bottom="1440" w:left="1800" w:header="0" w:footer="757"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C74" w14:paraId="2EA5447B" w14:textId="77777777">
    <w:pPr>
      <w:pStyle w:val="Footer"/>
    </w:pPr>
  </w:p>
  <w:p w:rsidR="00D365C4" w14:paraId="1540FDA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911702"/>
      <w:docPartObj>
        <w:docPartGallery w:val="Page Numbers (Bottom of Page)"/>
        <w:docPartUnique/>
      </w:docPartObj>
    </w:sdtPr>
    <w:sdtEndPr>
      <w:rPr>
        <w:noProof/>
      </w:rPr>
    </w:sdtEndPr>
    <w:sdtContent>
      <w:p w:rsidR="00110280" w14:paraId="7C63F47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5F4E" w:rsidP="00E46E42" w14:paraId="733832F3" w14:textId="77777777">
      <w:r>
        <w:separator/>
      </w:r>
    </w:p>
  </w:footnote>
  <w:footnote w:type="continuationSeparator" w:id="1">
    <w:p w:rsidR="009E5F4E" w:rsidP="00E46E42" w14:paraId="14FA574C" w14:textId="77777777">
      <w:r>
        <w:continuationSeparator/>
      </w:r>
    </w:p>
  </w:footnote>
  <w:footnote w:id="2">
    <w:p w:rsidR="00E25A06" w:rsidRPr="00A65493" w:rsidP="00F745C1" w14:paraId="2B0CF087" w14:textId="77777777">
      <w:pPr>
        <w:pStyle w:val="FootnoteText"/>
        <w:spacing w:after="120"/>
      </w:pPr>
      <w:r w:rsidRPr="00A65493">
        <w:rPr>
          <w:rStyle w:val="FootnoteReference"/>
        </w:rPr>
        <w:footnoteRef/>
      </w:r>
      <w:r w:rsidR="00A65493">
        <w:t xml:space="preserve"> </w:t>
      </w:r>
      <w:r w:rsidRPr="00A65493">
        <w:t>Ohio Edison Company, Cleveland Electric Illuminating Company, and the Toledo Edison Company, referred to throughout as “FirstEnergy Utilities,” and sometimes as the “Companies”</w:t>
      </w:r>
      <w:r w:rsidR="00A65493">
        <w:t>.</w:t>
      </w:r>
      <w:r w:rsidRPr="00A65493">
        <w:t xml:space="preserve"> </w:t>
      </w:r>
    </w:p>
  </w:footnote>
  <w:footnote w:id="3">
    <w:p w:rsidR="00BB528F" w:rsidP="00F745C1" w14:paraId="2A743D8A" w14:textId="77777777">
      <w:pPr>
        <w:pStyle w:val="FootnoteText"/>
        <w:spacing w:after="120"/>
      </w:pPr>
      <w:r>
        <w:rPr>
          <w:rStyle w:val="FootnoteReference"/>
        </w:rPr>
        <w:footnoteRef/>
      </w:r>
      <w:r>
        <w:t xml:space="preserve"> FirstEnergy Memorandum Contra at 11 (Jan. 28, 2022).</w:t>
      </w:r>
    </w:p>
  </w:footnote>
  <w:footnote w:id="4">
    <w:p w:rsidR="004C51C0" w:rsidRPr="004C51C0" w:rsidP="00F745C1" w14:paraId="15870047" w14:textId="3674E4C3">
      <w:pPr>
        <w:pStyle w:val="FootnoteText"/>
        <w:spacing w:after="120"/>
      </w:pPr>
      <w:r>
        <w:rPr>
          <w:rStyle w:val="FootnoteReference"/>
        </w:rPr>
        <w:footnoteRef/>
      </w:r>
      <w:r>
        <w:t xml:space="preserve"> </w:t>
      </w:r>
      <w:r>
        <w:rPr>
          <w:i/>
          <w:iCs/>
        </w:rPr>
        <w:t xml:space="preserve">Id. </w:t>
      </w:r>
      <w:r>
        <w:t>at 6.</w:t>
      </w:r>
    </w:p>
  </w:footnote>
  <w:footnote w:id="5">
    <w:p w:rsidR="004C51C0" w:rsidRPr="004C51C0" w:rsidP="00F745C1" w14:paraId="51746AAF" w14:textId="4863B427">
      <w:pPr>
        <w:pStyle w:val="FootnoteText"/>
        <w:spacing w:after="120"/>
        <w:rPr>
          <w:i/>
          <w:iCs/>
        </w:rPr>
      </w:pPr>
      <w:r>
        <w:rPr>
          <w:rStyle w:val="FootnoteReference"/>
        </w:rPr>
        <w:footnoteRef/>
      </w:r>
      <w:r>
        <w:t xml:space="preserve"> </w:t>
      </w:r>
      <w:r>
        <w:rPr>
          <w:i/>
          <w:iCs/>
        </w:rPr>
        <w:t>Id.</w:t>
      </w:r>
    </w:p>
  </w:footnote>
  <w:footnote w:id="6">
    <w:p w:rsidR="004C51C0" w:rsidRPr="004C51C0" w:rsidP="00F745C1" w14:paraId="6C755707" w14:textId="288C1D1F">
      <w:pPr>
        <w:pStyle w:val="FootnoteText"/>
        <w:spacing w:after="120"/>
      </w:pPr>
      <w:r>
        <w:rPr>
          <w:rStyle w:val="FootnoteReference"/>
        </w:rPr>
        <w:footnoteRef/>
      </w:r>
      <w:r>
        <w:t xml:space="preserve"> </w:t>
      </w:r>
      <w:r>
        <w:rPr>
          <w:i/>
          <w:iCs/>
        </w:rPr>
        <w:t xml:space="preserve">Id. </w:t>
      </w:r>
      <w:r>
        <w:t>at 7.</w:t>
      </w:r>
    </w:p>
  </w:footnote>
  <w:footnote w:id="7">
    <w:p w:rsidR="004C51C0" w:rsidP="00F745C1" w14:paraId="2F1C4D4C" w14:textId="2D4BCD64">
      <w:pPr>
        <w:pStyle w:val="FootnoteText"/>
        <w:spacing w:after="120"/>
      </w:pPr>
      <w:r>
        <w:rPr>
          <w:rStyle w:val="FootnoteReference"/>
        </w:rPr>
        <w:footnoteRef/>
      </w:r>
      <w:r>
        <w:t xml:space="preserve"> OCC Motion for In Camera Review, Attachment, ## 168-177 (Jan. 13, 2022).</w:t>
      </w:r>
    </w:p>
  </w:footnote>
  <w:footnote w:id="8">
    <w:p w:rsidR="00214163" w:rsidRPr="00214163" w:rsidP="00F745C1" w14:paraId="4E0D039E" w14:textId="326DF90E">
      <w:pPr>
        <w:pStyle w:val="FootnoteText"/>
        <w:spacing w:after="120"/>
      </w:pPr>
      <w:r>
        <w:rPr>
          <w:rStyle w:val="FootnoteReference"/>
        </w:rPr>
        <w:footnoteRef/>
      </w:r>
      <w:r>
        <w:t xml:space="preserve"> </w:t>
      </w:r>
      <w:r>
        <w:rPr>
          <w:i/>
          <w:iCs/>
        </w:rPr>
        <w:t xml:space="preserve">Id., </w:t>
      </w:r>
      <w:r>
        <w:t>Attachment, ## 185-190.</w:t>
      </w:r>
    </w:p>
  </w:footnote>
  <w:footnote w:id="9">
    <w:p w:rsidR="00214163" w:rsidP="00F745C1" w14:paraId="3ADFE513" w14:textId="3D641898">
      <w:pPr>
        <w:pStyle w:val="FootnoteText"/>
        <w:spacing w:after="120"/>
      </w:pPr>
      <w:r>
        <w:rPr>
          <w:rStyle w:val="FootnoteReference"/>
        </w:rPr>
        <w:footnoteRef/>
      </w:r>
      <w:r>
        <w:t xml:space="preserve"> FirstEnergy Memorandum Contra at 5 (Jan. 28, 2022).</w:t>
      </w:r>
    </w:p>
  </w:footnote>
  <w:footnote w:id="10">
    <w:p w:rsidR="00214163" w:rsidRPr="00214163" w:rsidP="00F745C1" w14:paraId="45C1AEED" w14:textId="0570F6E7">
      <w:pPr>
        <w:pStyle w:val="FootnoteText"/>
        <w:spacing w:after="120"/>
        <w:rPr>
          <w:i/>
          <w:iCs/>
        </w:rPr>
      </w:pPr>
      <w:r>
        <w:rPr>
          <w:rStyle w:val="FootnoteReference"/>
        </w:rPr>
        <w:footnoteRef/>
      </w:r>
      <w:r>
        <w:t xml:space="preserve"> </w:t>
      </w:r>
      <w:r>
        <w:rPr>
          <w:i/>
          <w:iCs/>
        </w:rPr>
        <w:t>Id.</w:t>
      </w:r>
    </w:p>
  </w:footnote>
  <w:footnote w:id="11">
    <w:p w:rsidR="00214163" w:rsidRPr="00214163" w:rsidP="00F745C1" w14:paraId="34FDDA3F" w14:textId="2765A28F">
      <w:pPr>
        <w:pStyle w:val="FootnoteText"/>
        <w:spacing w:after="120"/>
        <w:rPr>
          <w:i/>
          <w:iCs/>
        </w:rPr>
      </w:pPr>
      <w:r>
        <w:rPr>
          <w:rStyle w:val="FootnoteReference"/>
        </w:rPr>
        <w:footnoteRef/>
      </w:r>
      <w:r>
        <w:t xml:space="preserve"> </w:t>
      </w:r>
      <w:r>
        <w:rPr>
          <w:i/>
          <w:iCs/>
        </w:rPr>
        <w:t>Id.</w:t>
      </w:r>
    </w:p>
  </w:footnote>
  <w:footnote w:id="12">
    <w:p w:rsidR="00214163" w:rsidP="00F745C1" w14:paraId="27ADD82D" w14:textId="05C826F3">
      <w:pPr>
        <w:pStyle w:val="FootnoteText"/>
        <w:spacing w:after="120"/>
      </w:pPr>
      <w:r>
        <w:rPr>
          <w:rStyle w:val="FootnoteReference"/>
        </w:rPr>
        <w:footnoteRef/>
      </w:r>
      <w:r>
        <w:t xml:space="preserve"> OCC Motion for In Camera Review, Attachment, # 192 (Jan. 13, 2022).</w:t>
      </w:r>
    </w:p>
  </w:footnote>
  <w:footnote w:id="13">
    <w:p w:rsidR="00214163" w:rsidP="00F745C1" w14:paraId="6BABDD81" w14:textId="679DC5F3">
      <w:pPr>
        <w:pStyle w:val="FootnoteText"/>
        <w:spacing w:after="120"/>
      </w:pPr>
      <w:r>
        <w:rPr>
          <w:rStyle w:val="FootnoteReference"/>
        </w:rPr>
        <w:footnoteRef/>
      </w:r>
      <w:r>
        <w:t xml:space="preserve"> FirstEnergy Memorandum Contra at 7 (Jan. 28, 2022).</w:t>
      </w:r>
    </w:p>
  </w:footnote>
  <w:footnote w:id="14">
    <w:p w:rsidR="00214163" w:rsidP="00F745C1" w14:paraId="15E018D1" w14:textId="4C8CD63F">
      <w:pPr>
        <w:pStyle w:val="NoSpacing"/>
        <w:spacing w:after="120" w:line="240" w:lineRule="auto"/>
        <w:ind w:firstLine="0"/>
      </w:pPr>
      <w:r w:rsidRPr="00214163">
        <w:rPr>
          <w:rStyle w:val="FootnoteReference"/>
          <w:sz w:val="20"/>
          <w:szCs w:val="20"/>
        </w:rPr>
        <w:footnoteRef/>
      </w:r>
      <w:r w:rsidRPr="00214163">
        <w:rPr>
          <w:sz w:val="20"/>
          <w:szCs w:val="20"/>
        </w:rPr>
        <w:t xml:space="preserve"> OCC Motion for In Camera Review, Attachment, # 203 (Jan. 13, 2022) (“reflecting legal advice and work product regarding vendor payments”). </w:t>
      </w:r>
    </w:p>
  </w:footnote>
  <w:footnote w:id="15">
    <w:p w:rsidR="00214163" w:rsidRPr="00214163" w:rsidP="00F745C1" w14:paraId="62D6D631" w14:textId="52041EFB">
      <w:pPr>
        <w:pStyle w:val="FootnoteText"/>
        <w:spacing w:after="120"/>
      </w:pPr>
      <w:r>
        <w:rPr>
          <w:rStyle w:val="FootnoteReference"/>
        </w:rPr>
        <w:footnoteRef/>
      </w:r>
      <w:r>
        <w:t xml:space="preserve"> FirstEnergy Memorandum Contra at 9 (Jan. 28, 2022).</w:t>
      </w:r>
    </w:p>
  </w:footnote>
  <w:footnote w:id="16">
    <w:p w:rsidR="00214163" w:rsidRPr="00214163" w:rsidP="00F745C1" w14:paraId="1091E787" w14:textId="165C4824">
      <w:pPr>
        <w:pStyle w:val="FootnoteText"/>
        <w:spacing w:after="120"/>
        <w:rPr>
          <w:i/>
          <w:iCs/>
        </w:rPr>
      </w:pPr>
      <w:r>
        <w:rPr>
          <w:rStyle w:val="FootnoteReference"/>
        </w:rPr>
        <w:footnoteRef/>
      </w:r>
      <w:r>
        <w:t xml:space="preserve"> </w:t>
      </w:r>
      <w:r>
        <w:rPr>
          <w:i/>
          <w:iCs/>
        </w:rPr>
        <w:t>Id.</w:t>
      </w:r>
    </w:p>
  </w:footnote>
  <w:footnote w:id="17">
    <w:p w:rsidR="00214163" w:rsidP="00F745C1" w14:paraId="54B7E7BE" w14:textId="3FF867C7">
      <w:pPr>
        <w:pStyle w:val="FootnoteText"/>
        <w:spacing w:after="120"/>
      </w:pPr>
      <w:r>
        <w:rPr>
          <w:rStyle w:val="FootnoteReference"/>
        </w:rPr>
        <w:footnoteRef/>
      </w:r>
      <w:r>
        <w:t xml:space="preserve"> OCC Motion for In Camera Review, Attachment, # 201, 202 (Jan. 13,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C74" w14:paraId="3E925927" w14:textId="77777777">
    <w:pPr>
      <w:pStyle w:val="Header"/>
    </w:pPr>
  </w:p>
  <w:p w:rsidR="00D365C4" w14:paraId="0F72FA7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C74" w14:paraId="37E073B4" w14:textId="77777777">
    <w:pPr>
      <w:pStyle w:val="Header"/>
    </w:pPr>
  </w:p>
  <w:p w:rsidR="00D365C4" w14:paraId="38C39CC7"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CA56C5"/>
    <w:multiLevelType w:val="hybridMultilevel"/>
    <w:tmpl w:val="0C18443A"/>
    <w:lvl w:ilvl="0">
      <w:start w:val="1"/>
      <w:numFmt w:val="upperRoman"/>
      <w:lvlText w:val="%1."/>
      <w:lvlJc w:val="left"/>
      <w:pPr>
        <w:ind w:left="860" w:hanging="720"/>
      </w:pPr>
      <w:rPr>
        <w:rFonts w:ascii="Times New Roman" w:eastAsia="Times New Roman" w:hAnsi="Times New Roman" w:cs="Times New Roman" w:hint="default"/>
        <w:color w:val="221F1F"/>
        <w:spacing w:val="-3"/>
        <w:w w:val="99"/>
        <w:sz w:val="24"/>
        <w:szCs w:val="24"/>
        <w:lang w:val="en-US" w:eastAsia="en-US" w:bidi="en-US"/>
      </w:rPr>
    </w:lvl>
    <w:lvl w:ilvl="1">
      <w:start w:val="1"/>
      <w:numFmt w:val="upperLetter"/>
      <w:lvlText w:val="%2."/>
      <w:lvlJc w:val="left"/>
      <w:pPr>
        <w:ind w:left="1580" w:hanging="720"/>
      </w:pPr>
      <w:rPr>
        <w:rFonts w:ascii="Times New Roman" w:eastAsia="Times New Roman" w:hAnsi="Times New Roman" w:cs="Times New Roman" w:hint="default"/>
        <w:color w:val="221F1F"/>
        <w:spacing w:val="-1"/>
        <w:w w:val="99"/>
        <w:sz w:val="24"/>
        <w:szCs w:val="24"/>
        <w:lang w:val="en-US" w:eastAsia="en-US" w:bidi="en-US"/>
      </w:rPr>
    </w:lvl>
    <w:lvl w:ilvl="2">
      <w:start w:val="1"/>
      <w:numFmt w:val="decimal"/>
      <w:lvlText w:val="%3."/>
      <w:lvlJc w:val="left"/>
      <w:pPr>
        <w:ind w:left="2300" w:hanging="720"/>
      </w:pPr>
      <w:rPr>
        <w:rFonts w:ascii="Times New Roman" w:eastAsia="Times New Roman" w:hAnsi="Times New Roman" w:cs="Times New Roman" w:hint="default"/>
        <w:color w:val="221F1F"/>
        <w:w w:val="99"/>
        <w:sz w:val="24"/>
        <w:szCs w:val="24"/>
        <w:lang w:val="en-US" w:eastAsia="en-US" w:bidi="en-US"/>
      </w:rPr>
    </w:lvl>
    <w:lvl w:ilvl="3">
      <w:start w:val="0"/>
      <w:numFmt w:val="bullet"/>
      <w:lvlText w:val="•"/>
      <w:lvlJc w:val="left"/>
      <w:pPr>
        <w:ind w:left="3162" w:hanging="720"/>
      </w:pPr>
      <w:rPr>
        <w:rFonts w:hint="default"/>
        <w:lang w:val="en-US" w:eastAsia="en-US" w:bidi="en-US"/>
      </w:rPr>
    </w:lvl>
    <w:lvl w:ilvl="4">
      <w:start w:val="0"/>
      <w:numFmt w:val="bullet"/>
      <w:lvlText w:val="•"/>
      <w:lvlJc w:val="left"/>
      <w:pPr>
        <w:ind w:left="4025" w:hanging="720"/>
      </w:pPr>
      <w:rPr>
        <w:rFonts w:hint="default"/>
        <w:lang w:val="en-US" w:eastAsia="en-US" w:bidi="en-US"/>
      </w:rPr>
    </w:lvl>
    <w:lvl w:ilvl="5">
      <w:start w:val="0"/>
      <w:numFmt w:val="bullet"/>
      <w:lvlText w:val="•"/>
      <w:lvlJc w:val="left"/>
      <w:pPr>
        <w:ind w:left="4887" w:hanging="720"/>
      </w:pPr>
      <w:rPr>
        <w:rFonts w:hint="default"/>
        <w:lang w:val="en-US" w:eastAsia="en-US" w:bidi="en-US"/>
      </w:rPr>
    </w:lvl>
    <w:lvl w:ilvl="6">
      <w:start w:val="0"/>
      <w:numFmt w:val="bullet"/>
      <w:lvlText w:val="•"/>
      <w:lvlJc w:val="left"/>
      <w:pPr>
        <w:ind w:left="5750" w:hanging="720"/>
      </w:pPr>
      <w:rPr>
        <w:rFonts w:hint="default"/>
        <w:lang w:val="en-US" w:eastAsia="en-US" w:bidi="en-US"/>
      </w:rPr>
    </w:lvl>
    <w:lvl w:ilvl="7">
      <w:start w:val="0"/>
      <w:numFmt w:val="bullet"/>
      <w:lvlText w:val="•"/>
      <w:lvlJc w:val="left"/>
      <w:pPr>
        <w:ind w:left="6612" w:hanging="720"/>
      </w:pPr>
      <w:rPr>
        <w:rFonts w:hint="default"/>
        <w:lang w:val="en-US" w:eastAsia="en-US" w:bidi="en-US"/>
      </w:rPr>
    </w:lvl>
    <w:lvl w:ilvl="8">
      <w:start w:val="0"/>
      <w:numFmt w:val="bullet"/>
      <w:lvlText w:val="•"/>
      <w:lvlJc w:val="left"/>
      <w:pPr>
        <w:ind w:left="7475" w:hanging="720"/>
      </w:pPr>
      <w:rPr>
        <w:rFonts w:hint="default"/>
        <w:lang w:val="en-US" w:eastAsia="en-US" w:bidi="en-US"/>
      </w:rPr>
    </w:lvl>
  </w:abstractNum>
  <w:abstractNum w:abstractNumId="1">
    <w:nsid w:val="20FF1190"/>
    <w:multiLevelType w:val="hybridMultilevel"/>
    <w:tmpl w:val="AF609F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D342B1"/>
    <w:multiLevelType w:val="hybridMultilevel"/>
    <w:tmpl w:val="332A4A66"/>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74D5CA3"/>
    <w:multiLevelType w:val="hybridMultilevel"/>
    <w:tmpl w:val="DBC0DE78"/>
    <w:lvl w:ilvl="0">
      <w:start w:val="1"/>
      <w:numFmt w:val="upperLetter"/>
      <w:pStyle w:val="Heading2"/>
      <w:lvlText w:val="%1."/>
      <w:lvlJc w:val="left"/>
      <w:pPr>
        <w:ind w:left="1080" w:hanging="360"/>
      </w:pPr>
      <w:rPr>
        <w:specVanish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7D1047F"/>
    <w:multiLevelType w:val="hybridMultilevel"/>
    <w:tmpl w:val="589E2F30"/>
    <w:lvl w:ilvl="0">
      <w:start w:val="5"/>
      <w:numFmt w:val="lowerRoman"/>
      <w:lvlText w:val="%1."/>
      <w:lvlJc w:val="left"/>
      <w:pPr>
        <w:tabs>
          <w:tab w:val="num" w:pos="7200"/>
        </w:tabs>
        <w:ind w:left="7200" w:hanging="432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
    <w:nsid w:val="684B481D"/>
    <w:multiLevelType w:val="hybridMultilevel"/>
    <w:tmpl w:val="EED628A0"/>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1D54F97"/>
    <w:multiLevelType w:val="hybridMultilevel"/>
    <w:tmpl w:val="5568E5EC"/>
    <w:lvl w:ilvl="0">
      <w:start w:val="1"/>
      <w:numFmt w:val="decimal"/>
      <w:pStyle w:val="Heading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3"/>
    <w:lvlOverride w:ilvl="0">
      <w:startOverride w:val="1"/>
    </w:lvlOverride>
  </w:num>
  <w:num w:numId="5">
    <w:abstractNumId w:val="3"/>
    <w:lvlOverride w:ilvl="0">
      <w:startOverride w:val="1"/>
    </w:lvlOverride>
  </w:num>
  <w:num w:numId="6">
    <w:abstractNumId w:val="5"/>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1F"/>
    <w:rsid w:val="0000472F"/>
    <w:rsid w:val="00016CB7"/>
    <w:rsid w:val="00026D96"/>
    <w:rsid w:val="0004570A"/>
    <w:rsid w:val="00046858"/>
    <w:rsid w:val="00050583"/>
    <w:rsid w:val="00052925"/>
    <w:rsid w:val="000621BE"/>
    <w:rsid w:val="000657AB"/>
    <w:rsid w:val="000850C0"/>
    <w:rsid w:val="000B0C8A"/>
    <w:rsid w:val="000C1118"/>
    <w:rsid w:val="000D0916"/>
    <w:rsid w:val="000D52A2"/>
    <w:rsid w:val="000D7036"/>
    <w:rsid w:val="000E474E"/>
    <w:rsid w:val="000F3537"/>
    <w:rsid w:val="000F486D"/>
    <w:rsid w:val="000F6140"/>
    <w:rsid w:val="000F7309"/>
    <w:rsid w:val="0010633B"/>
    <w:rsid w:val="00107AA7"/>
    <w:rsid w:val="00110280"/>
    <w:rsid w:val="00130D15"/>
    <w:rsid w:val="00134202"/>
    <w:rsid w:val="001343FF"/>
    <w:rsid w:val="00144524"/>
    <w:rsid w:val="00146946"/>
    <w:rsid w:val="00153E1E"/>
    <w:rsid w:val="00170697"/>
    <w:rsid w:val="0017643E"/>
    <w:rsid w:val="00191258"/>
    <w:rsid w:val="001C1E23"/>
    <w:rsid w:val="001F0191"/>
    <w:rsid w:val="001F025A"/>
    <w:rsid w:val="001F0AFA"/>
    <w:rsid w:val="001F222D"/>
    <w:rsid w:val="001F6DC9"/>
    <w:rsid w:val="0020164E"/>
    <w:rsid w:val="00214163"/>
    <w:rsid w:val="00226182"/>
    <w:rsid w:val="002503F2"/>
    <w:rsid w:val="00263344"/>
    <w:rsid w:val="002704F6"/>
    <w:rsid w:val="0027787A"/>
    <w:rsid w:val="0028474E"/>
    <w:rsid w:val="00296BCA"/>
    <w:rsid w:val="002A3B3C"/>
    <w:rsid w:val="002A3D56"/>
    <w:rsid w:val="002A3E75"/>
    <w:rsid w:val="002B396B"/>
    <w:rsid w:val="002B3D44"/>
    <w:rsid w:val="002C7F07"/>
    <w:rsid w:val="002D570A"/>
    <w:rsid w:val="002D6D1C"/>
    <w:rsid w:val="002E7AEF"/>
    <w:rsid w:val="002F081E"/>
    <w:rsid w:val="002F74F2"/>
    <w:rsid w:val="003017AA"/>
    <w:rsid w:val="00302E3F"/>
    <w:rsid w:val="00311BF7"/>
    <w:rsid w:val="00321604"/>
    <w:rsid w:val="00345256"/>
    <w:rsid w:val="00356C42"/>
    <w:rsid w:val="00362566"/>
    <w:rsid w:val="0037428E"/>
    <w:rsid w:val="00376408"/>
    <w:rsid w:val="00382434"/>
    <w:rsid w:val="003E4321"/>
    <w:rsid w:val="003E680B"/>
    <w:rsid w:val="00413B98"/>
    <w:rsid w:val="00424D4C"/>
    <w:rsid w:val="0043014C"/>
    <w:rsid w:val="004341D7"/>
    <w:rsid w:val="00435C84"/>
    <w:rsid w:val="00435FE2"/>
    <w:rsid w:val="00436C06"/>
    <w:rsid w:val="004460D0"/>
    <w:rsid w:val="00451384"/>
    <w:rsid w:val="00452147"/>
    <w:rsid w:val="0047186A"/>
    <w:rsid w:val="00476482"/>
    <w:rsid w:val="00481AC7"/>
    <w:rsid w:val="0049496E"/>
    <w:rsid w:val="00495EEE"/>
    <w:rsid w:val="004A08C6"/>
    <w:rsid w:val="004B6E60"/>
    <w:rsid w:val="004C51C0"/>
    <w:rsid w:val="004E3DD7"/>
    <w:rsid w:val="004F0431"/>
    <w:rsid w:val="004F346C"/>
    <w:rsid w:val="0050273B"/>
    <w:rsid w:val="00541CF8"/>
    <w:rsid w:val="00547C4A"/>
    <w:rsid w:val="00550F5F"/>
    <w:rsid w:val="00561AEE"/>
    <w:rsid w:val="005700D8"/>
    <w:rsid w:val="00586DDF"/>
    <w:rsid w:val="00593792"/>
    <w:rsid w:val="005A6FAF"/>
    <w:rsid w:val="005C2762"/>
    <w:rsid w:val="005D3740"/>
    <w:rsid w:val="005D541A"/>
    <w:rsid w:val="005D5BA4"/>
    <w:rsid w:val="005E3E2B"/>
    <w:rsid w:val="005E61A2"/>
    <w:rsid w:val="005F2E2F"/>
    <w:rsid w:val="0060222E"/>
    <w:rsid w:val="006104D7"/>
    <w:rsid w:val="006201BF"/>
    <w:rsid w:val="00626D54"/>
    <w:rsid w:val="006316CE"/>
    <w:rsid w:val="00645CF7"/>
    <w:rsid w:val="006472DC"/>
    <w:rsid w:val="00677A41"/>
    <w:rsid w:val="00690AAA"/>
    <w:rsid w:val="006B1B50"/>
    <w:rsid w:val="006B6E9F"/>
    <w:rsid w:val="006C795A"/>
    <w:rsid w:val="006D3189"/>
    <w:rsid w:val="006D6DE5"/>
    <w:rsid w:val="006E2ED4"/>
    <w:rsid w:val="006F1476"/>
    <w:rsid w:val="00701100"/>
    <w:rsid w:val="00703CE8"/>
    <w:rsid w:val="00705CCA"/>
    <w:rsid w:val="00706BB8"/>
    <w:rsid w:val="00724972"/>
    <w:rsid w:val="00727D81"/>
    <w:rsid w:val="00744CC6"/>
    <w:rsid w:val="00747F97"/>
    <w:rsid w:val="00753439"/>
    <w:rsid w:val="00761845"/>
    <w:rsid w:val="007938B3"/>
    <w:rsid w:val="007C12A4"/>
    <w:rsid w:val="007E2791"/>
    <w:rsid w:val="007E7C42"/>
    <w:rsid w:val="007F3B79"/>
    <w:rsid w:val="00806CA4"/>
    <w:rsid w:val="008140BF"/>
    <w:rsid w:val="00816791"/>
    <w:rsid w:val="0082726F"/>
    <w:rsid w:val="00847A54"/>
    <w:rsid w:val="00860518"/>
    <w:rsid w:val="00872113"/>
    <w:rsid w:val="00875DD2"/>
    <w:rsid w:val="00880E28"/>
    <w:rsid w:val="00892BA0"/>
    <w:rsid w:val="00896E4B"/>
    <w:rsid w:val="008A7896"/>
    <w:rsid w:val="008B2F21"/>
    <w:rsid w:val="008C0646"/>
    <w:rsid w:val="008E680D"/>
    <w:rsid w:val="008F52C4"/>
    <w:rsid w:val="00904376"/>
    <w:rsid w:val="009053C4"/>
    <w:rsid w:val="00937D63"/>
    <w:rsid w:val="00944430"/>
    <w:rsid w:val="009467B9"/>
    <w:rsid w:val="0094683E"/>
    <w:rsid w:val="0094735C"/>
    <w:rsid w:val="00951DB7"/>
    <w:rsid w:val="00961A0C"/>
    <w:rsid w:val="00965F0C"/>
    <w:rsid w:val="00984178"/>
    <w:rsid w:val="0098481D"/>
    <w:rsid w:val="00993E09"/>
    <w:rsid w:val="00997123"/>
    <w:rsid w:val="009B316C"/>
    <w:rsid w:val="009B5264"/>
    <w:rsid w:val="009D6CED"/>
    <w:rsid w:val="009E4E54"/>
    <w:rsid w:val="009E5F4E"/>
    <w:rsid w:val="00A01654"/>
    <w:rsid w:val="00A1645E"/>
    <w:rsid w:val="00A178A1"/>
    <w:rsid w:val="00A3244C"/>
    <w:rsid w:val="00A40AB4"/>
    <w:rsid w:val="00A4615E"/>
    <w:rsid w:val="00A60275"/>
    <w:rsid w:val="00A65493"/>
    <w:rsid w:val="00A93D9D"/>
    <w:rsid w:val="00A976F7"/>
    <w:rsid w:val="00AA6066"/>
    <w:rsid w:val="00AB7308"/>
    <w:rsid w:val="00AC15B2"/>
    <w:rsid w:val="00AC5047"/>
    <w:rsid w:val="00AC748B"/>
    <w:rsid w:val="00AD013E"/>
    <w:rsid w:val="00AD2915"/>
    <w:rsid w:val="00AD2EFF"/>
    <w:rsid w:val="00B11DD5"/>
    <w:rsid w:val="00B233F8"/>
    <w:rsid w:val="00B246D5"/>
    <w:rsid w:val="00B3304D"/>
    <w:rsid w:val="00B33A5D"/>
    <w:rsid w:val="00B346B6"/>
    <w:rsid w:val="00B60AC8"/>
    <w:rsid w:val="00B937FF"/>
    <w:rsid w:val="00BA2E0F"/>
    <w:rsid w:val="00BB528F"/>
    <w:rsid w:val="00BB79CA"/>
    <w:rsid w:val="00BD2EEF"/>
    <w:rsid w:val="00BE1832"/>
    <w:rsid w:val="00BE44CC"/>
    <w:rsid w:val="00BE75C1"/>
    <w:rsid w:val="00BF5C65"/>
    <w:rsid w:val="00BF6677"/>
    <w:rsid w:val="00BF67DD"/>
    <w:rsid w:val="00C00E65"/>
    <w:rsid w:val="00C02435"/>
    <w:rsid w:val="00C15CE8"/>
    <w:rsid w:val="00C1605B"/>
    <w:rsid w:val="00C246FF"/>
    <w:rsid w:val="00C4145F"/>
    <w:rsid w:val="00C5631F"/>
    <w:rsid w:val="00C56724"/>
    <w:rsid w:val="00C648B4"/>
    <w:rsid w:val="00C64F37"/>
    <w:rsid w:val="00C702B8"/>
    <w:rsid w:val="00C80616"/>
    <w:rsid w:val="00CA182D"/>
    <w:rsid w:val="00CA3E6C"/>
    <w:rsid w:val="00CA5AD4"/>
    <w:rsid w:val="00CA78A3"/>
    <w:rsid w:val="00CB5683"/>
    <w:rsid w:val="00CC609E"/>
    <w:rsid w:val="00CD2A37"/>
    <w:rsid w:val="00CD3A89"/>
    <w:rsid w:val="00CE6CA3"/>
    <w:rsid w:val="00D0086E"/>
    <w:rsid w:val="00D10825"/>
    <w:rsid w:val="00D130C6"/>
    <w:rsid w:val="00D136CF"/>
    <w:rsid w:val="00D20182"/>
    <w:rsid w:val="00D211E0"/>
    <w:rsid w:val="00D365C4"/>
    <w:rsid w:val="00D379A0"/>
    <w:rsid w:val="00D425DF"/>
    <w:rsid w:val="00D45FF5"/>
    <w:rsid w:val="00D472BD"/>
    <w:rsid w:val="00D63001"/>
    <w:rsid w:val="00D71A7C"/>
    <w:rsid w:val="00D73184"/>
    <w:rsid w:val="00D80051"/>
    <w:rsid w:val="00D857E0"/>
    <w:rsid w:val="00D86600"/>
    <w:rsid w:val="00DA3E1B"/>
    <w:rsid w:val="00DA3EF6"/>
    <w:rsid w:val="00DA7F2B"/>
    <w:rsid w:val="00DC06AD"/>
    <w:rsid w:val="00DD21AA"/>
    <w:rsid w:val="00DD38CC"/>
    <w:rsid w:val="00DE6E5C"/>
    <w:rsid w:val="00DF0D19"/>
    <w:rsid w:val="00E008F2"/>
    <w:rsid w:val="00E00903"/>
    <w:rsid w:val="00E05DD4"/>
    <w:rsid w:val="00E23D2E"/>
    <w:rsid w:val="00E25A06"/>
    <w:rsid w:val="00E432B1"/>
    <w:rsid w:val="00E46E42"/>
    <w:rsid w:val="00E53899"/>
    <w:rsid w:val="00E61D5A"/>
    <w:rsid w:val="00E9219D"/>
    <w:rsid w:val="00EA5D20"/>
    <w:rsid w:val="00EB3C04"/>
    <w:rsid w:val="00EB7C74"/>
    <w:rsid w:val="00EC2231"/>
    <w:rsid w:val="00ED7560"/>
    <w:rsid w:val="00EE25D1"/>
    <w:rsid w:val="00EE53FD"/>
    <w:rsid w:val="00EF08A0"/>
    <w:rsid w:val="00EF1C42"/>
    <w:rsid w:val="00F019C9"/>
    <w:rsid w:val="00F06176"/>
    <w:rsid w:val="00F130AF"/>
    <w:rsid w:val="00F15D34"/>
    <w:rsid w:val="00F3031B"/>
    <w:rsid w:val="00F3294F"/>
    <w:rsid w:val="00F46680"/>
    <w:rsid w:val="00F507AB"/>
    <w:rsid w:val="00F531E0"/>
    <w:rsid w:val="00F57761"/>
    <w:rsid w:val="00F57851"/>
    <w:rsid w:val="00F61FCF"/>
    <w:rsid w:val="00F7015C"/>
    <w:rsid w:val="00F745C1"/>
    <w:rsid w:val="00F77E79"/>
    <w:rsid w:val="00F90850"/>
    <w:rsid w:val="00F96240"/>
    <w:rsid w:val="00FB0EC9"/>
    <w:rsid w:val="00FB3860"/>
    <w:rsid w:val="00FB55E6"/>
    <w:rsid w:val="00FD3F2E"/>
    <w:rsid w:val="00FE0921"/>
    <w:rsid w:val="00FE2B89"/>
    <w:rsid w:val="00FF037B"/>
    <w:rsid w:val="00FF08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78A1"/>
    <w:pPr>
      <w:keepNext/>
      <w:numPr>
        <w:numId w:val="2"/>
      </w:numPr>
      <w:spacing w:after="240"/>
      <w:ind w:hanging="720"/>
      <w:outlineLvl w:val="0"/>
    </w:pPr>
    <w:rPr>
      <w:rFonts w:ascii="Times New Roman Bold" w:hAnsi="Times New Roman Bold" w:eastAsiaTheme="majorEastAsia" w:cstheme="majorBidi"/>
      <w:b/>
      <w:caps/>
      <w:color w:val="000000" w:themeColor="text1"/>
      <w:szCs w:val="32"/>
    </w:rPr>
  </w:style>
  <w:style w:type="paragraph" w:styleId="Heading2">
    <w:name w:val="heading 2"/>
    <w:basedOn w:val="Normal"/>
    <w:next w:val="Normal"/>
    <w:link w:val="Heading2Char"/>
    <w:uiPriority w:val="9"/>
    <w:unhideWhenUsed/>
    <w:qFormat/>
    <w:rsid w:val="001F222D"/>
    <w:pPr>
      <w:keepNext/>
      <w:keepLines/>
      <w:numPr>
        <w:numId w:val="3"/>
      </w:numPr>
      <w:spacing w:after="240"/>
      <w:ind w:left="1440" w:hanging="720"/>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938B3"/>
    <w:pPr>
      <w:keepNext/>
      <w:keepLines/>
      <w:numPr>
        <w:numId w:val="10"/>
      </w:numPr>
      <w:spacing w:after="240"/>
      <w:ind w:left="2160" w:hanging="7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1F0191"/>
    <w:pPr>
      <w:spacing w:after="0" w:line="480" w:lineRule="auto"/>
      <w:ind w:firstLine="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6E42"/>
    <w:pPr>
      <w:tabs>
        <w:tab w:val="center" w:pos="4680"/>
        <w:tab w:val="right" w:pos="9360"/>
      </w:tabs>
    </w:pPr>
  </w:style>
  <w:style w:type="character" w:customStyle="1" w:styleId="HeaderChar">
    <w:name w:val="Header Char"/>
    <w:basedOn w:val="DefaultParagraphFont"/>
    <w:link w:val="Header"/>
    <w:uiPriority w:val="99"/>
    <w:rsid w:val="00E46E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E42"/>
    <w:pPr>
      <w:tabs>
        <w:tab w:val="center" w:pos="4680"/>
        <w:tab w:val="right" w:pos="9360"/>
      </w:tabs>
    </w:pPr>
  </w:style>
  <w:style w:type="character" w:customStyle="1" w:styleId="FooterChar">
    <w:name w:val="Footer Char"/>
    <w:basedOn w:val="DefaultParagraphFont"/>
    <w:link w:val="Footer"/>
    <w:uiPriority w:val="99"/>
    <w:rsid w:val="00E46E4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78A1"/>
    <w:rPr>
      <w:rFonts w:ascii="Times New Roman Bold" w:hAnsi="Times New Roman Bold" w:eastAsiaTheme="majorEastAsia" w:cstheme="majorBidi"/>
      <w:b/>
      <w:caps/>
      <w:color w:val="000000" w:themeColor="text1"/>
      <w:sz w:val="24"/>
      <w:szCs w:val="32"/>
    </w:rPr>
  </w:style>
  <w:style w:type="character" w:customStyle="1" w:styleId="Heading2Char">
    <w:name w:val="Heading 2 Char"/>
    <w:basedOn w:val="DefaultParagraphFont"/>
    <w:link w:val="Heading2"/>
    <w:uiPriority w:val="9"/>
    <w:rsid w:val="001F222D"/>
    <w:rPr>
      <w:rFonts w:ascii="Times New Roman" w:hAnsi="Times New Roman" w:eastAsiaTheme="majorEastAsia" w:cstheme="majorBidi"/>
      <w:b/>
      <w:sz w:val="24"/>
      <w:szCs w:val="26"/>
    </w:rPr>
  </w:style>
  <w:style w:type="character" w:styleId="Hyperlink">
    <w:name w:val="Hyperlink"/>
    <w:basedOn w:val="DefaultParagraphFont"/>
    <w:uiPriority w:val="99"/>
    <w:unhideWhenUsed/>
    <w:rsid w:val="00E008F2"/>
    <w:rPr>
      <w:color w:val="0563C1" w:themeColor="hyperlink"/>
      <w:u w:val="single"/>
    </w:rPr>
  </w:style>
  <w:style w:type="character" w:customStyle="1" w:styleId="UnresolvedMention1">
    <w:name w:val="Unresolved Mention1"/>
    <w:basedOn w:val="DefaultParagraphFont"/>
    <w:uiPriority w:val="99"/>
    <w:semiHidden/>
    <w:unhideWhenUsed/>
    <w:rsid w:val="00E008F2"/>
    <w:rPr>
      <w:color w:val="605E5C"/>
      <w:shd w:val="clear" w:color="auto" w:fill="E1DFDD"/>
    </w:rPr>
  </w:style>
  <w:style w:type="character" w:styleId="CommentReference">
    <w:name w:val="annotation reference"/>
    <w:basedOn w:val="DefaultParagraphFont"/>
    <w:uiPriority w:val="99"/>
    <w:semiHidden/>
    <w:unhideWhenUsed/>
    <w:rsid w:val="00F06176"/>
    <w:rPr>
      <w:sz w:val="16"/>
      <w:szCs w:val="16"/>
    </w:rPr>
  </w:style>
  <w:style w:type="paragraph" w:styleId="CommentText">
    <w:name w:val="annotation text"/>
    <w:basedOn w:val="Normal"/>
    <w:link w:val="CommentTextChar"/>
    <w:unhideWhenUsed/>
    <w:rsid w:val="00F06176"/>
    <w:rPr>
      <w:sz w:val="20"/>
      <w:szCs w:val="20"/>
    </w:rPr>
  </w:style>
  <w:style w:type="character" w:customStyle="1" w:styleId="CommentTextChar">
    <w:name w:val="Comment Text Char"/>
    <w:basedOn w:val="DefaultParagraphFont"/>
    <w:link w:val="CommentText"/>
    <w:rsid w:val="00F061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6176"/>
    <w:rPr>
      <w:b/>
      <w:bCs/>
    </w:rPr>
  </w:style>
  <w:style w:type="character" w:customStyle="1" w:styleId="CommentSubjectChar">
    <w:name w:val="Comment Subject Char"/>
    <w:basedOn w:val="CommentTextChar"/>
    <w:link w:val="CommentSubject"/>
    <w:uiPriority w:val="99"/>
    <w:semiHidden/>
    <w:rsid w:val="00F06176"/>
    <w:rPr>
      <w:rFonts w:ascii="Times New Roman" w:eastAsia="Times New Roman" w:hAnsi="Times New Roman" w:cs="Times New Roman"/>
      <w:b/>
      <w:bCs/>
      <w:sz w:val="20"/>
      <w:szCs w:val="20"/>
    </w:rPr>
  </w:style>
  <w:style w:type="paragraph" w:styleId="ListParagraph">
    <w:name w:val="List Paragraph"/>
    <w:basedOn w:val="Normal"/>
    <w:uiPriority w:val="34"/>
    <w:qFormat/>
    <w:rsid w:val="00F3294F"/>
    <w:pPr>
      <w:ind w:left="720"/>
      <w:contextualSpacing/>
    </w:pPr>
  </w:style>
  <w:style w:type="character" w:customStyle="1" w:styleId="LBFileStampAtCursor">
    <w:name w:val="*LBFileStampAtCursor"/>
    <w:aliases w:val="FSC"/>
    <w:rsid w:val="005A6FAF"/>
    <w:rPr>
      <w:rFonts w:ascii="Times New Roman" w:hAnsi="Times New Roman" w:cs="Times New Roman"/>
      <w:sz w:val="16"/>
      <w:szCs w:val="32"/>
    </w:rPr>
  </w:style>
  <w:style w:type="paragraph" w:customStyle="1" w:styleId="LBFileStampAtEnd">
    <w:name w:val="*LBFileStampAtEnd"/>
    <w:aliases w:val="FSE"/>
    <w:basedOn w:val="Normal"/>
    <w:rsid w:val="005A6FAF"/>
    <w:pPr>
      <w:spacing w:before="360"/>
    </w:pPr>
    <w:rPr>
      <w:sz w:val="16"/>
      <w:szCs w:val="32"/>
    </w:rPr>
  </w:style>
  <w:style w:type="character" w:customStyle="1" w:styleId="Heading3Char">
    <w:name w:val="Heading 3 Char"/>
    <w:basedOn w:val="DefaultParagraphFont"/>
    <w:link w:val="Heading3"/>
    <w:uiPriority w:val="9"/>
    <w:rsid w:val="007938B3"/>
    <w:rPr>
      <w:rFonts w:ascii="Times New Roman" w:hAnsi="Times New Roman" w:eastAsiaTheme="majorEastAsia" w:cstheme="majorBidi"/>
      <w:b/>
      <w:sz w:val="24"/>
      <w:szCs w:val="24"/>
    </w:rPr>
  </w:style>
  <w:style w:type="paragraph" w:styleId="FootnoteText">
    <w:name w:val="footnote text"/>
    <w:basedOn w:val="Normal"/>
    <w:link w:val="FootnoteTextChar"/>
    <w:uiPriority w:val="99"/>
    <w:semiHidden/>
    <w:unhideWhenUsed/>
    <w:rsid w:val="005700D8"/>
    <w:rPr>
      <w:sz w:val="20"/>
      <w:szCs w:val="20"/>
    </w:rPr>
  </w:style>
  <w:style w:type="character" w:customStyle="1" w:styleId="FootnoteTextChar">
    <w:name w:val="Footnote Text Char"/>
    <w:basedOn w:val="DefaultParagraphFont"/>
    <w:link w:val="FootnoteText"/>
    <w:uiPriority w:val="99"/>
    <w:semiHidden/>
    <w:rsid w:val="005700D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00D8"/>
    <w:rPr>
      <w:vertAlign w:val="superscript"/>
    </w:rPr>
  </w:style>
  <w:style w:type="paragraph" w:styleId="BodyText">
    <w:name w:val="Body Text"/>
    <w:basedOn w:val="Normal"/>
    <w:link w:val="BodyTextChar"/>
    <w:uiPriority w:val="1"/>
    <w:qFormat/>
    <w:rsid w:val="00BF5C65"/>
    <w:pPr>
      <w:widowControl w:val="0"/>
      <w:autoSpaceDE w:val="0"/>
      <w:autoSpaceDN w:val="0"/>
    </w:pPr>
    <w:rPr>
      <w:lang w:bidi="en-US"/>
    </w:rPr>
  </w:style>
  <w:style w:type="character" w:customStyle="1" w:styleId="BodyTextChar">
    <w:name w:val="Body Text Char"/>
    <w:basedOn w:val="DefaultParagraphFont"/>
    <w:link w:val="BodyText"/>
    <w:uiPriority w:val="1"/>
    <w:rsid w:val="00BF5C65"/>
    <w:rPr>
      <w:rFonts w:ascii="Times New Roman" w:eastAsia="Times New Roman" w:hAnsi="Times New Roman" w:cs="Times New Roman"/>
      <w:sz w:val="24"/>
      <w:szCs w:val="24"/>
      <w:lang w:bidi="en-US"/>
    </w:rPr>
  </w:style>
  <w:style w:type="paragraph" w:styleId="HTMLPreformatted">
    <w:name w:val="HTML Preformatted"/>
    <w:aliases w:val=" Char,Char"/>
    <w:basedOn w:val="Normal"/>
    <w:link w:val="HTMLPreformattedChar"/>
    <w:unhideWhenUsed/>
    <w:rsid w:val="0004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04570A"/>
    <w:rPr>
      <w:rFonts w:ascii="Courier New" w:eastAsia="Courier New" w:hAnsi="Courier New" w:cs="Courier New"/>
      <w:sz w:val="20"/>
      <w:szCs w:val="20"/>
    </w:rPr>
  </w:style>
  <w:style w:type="paragraph" w:styleId="Revision">
    <w:name w:val="Revision"/>
    <w:hidden/>
    <w:uiPriority w:val="99"/>
    <w:semiHidden/>
    <w:rsid w:val="00B233F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BA0"/>
    <w:rPr>
      <w:sz w:val="18"/>
      <w:szCs w:val="18"/>
    </w:rPr>
  </w:style>
  <w:style w:type="character" w:customStyle="1" w:styleId="BalloonTextChar">
    <w:name w:val="Balloon Text Char"/>
    <w:basedOn w:val="DefaultParagraphFont"/>
    <w:link w:val="BalloonText"/>
    <w:uiPriority w:val="99"/>
    <w:semiHidden/>
    <w:rsid w:val="00892BA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erner.margard@ohioAGO.gov" TargetMode="External" /><Relationship Id="rId11" Type="http://schemas.openxmlformats.org/officeDocument/2006/relationships/hyperlink" Target="mailto:sarah.feldkamp@OhioAGO.gov" TargetMode="External" /><Relationship Id="rId12" Type="http://schemas.openxmlformats.org/officeDocument/2006/relationships/hyperlink" Target="mailto:thomas.lindgren@OhioAGO.gov" TargetMode="External" /><Relationship Id="rId13" Type="http://schemas.openxmlformats.org/officeDocument/2006/relationships/hyperlink" Target="mailto:rlazer@elpc.org" TargetMode="External" /><Relationship Id="rId14" Type="http://schemas.openxmlformats.org/officeDocument/2006/relationships/hyperlink" Target="mailto:rkelter@elpc.org" TargetMode="External" /><Relationship Id="rId15" Type="http://schemas.openxmlformats.org/officeDocument/2006/relationships/hyperlink" Target="mailto:jweber@elpc.org" TargetMode="External" /><Relationship Id="rId16" Type="http://schemas.openxmlformats.org/officeDocument/2006/relationships/hyperlink" Target="mailto:trhayslaw@gmail.com" TargetMode="External" /><Relationship Id="rId17" Type="http://schemas.openxmlformats.org/officeDocument/2006/relationships/hyperlink" Target="mailto:leslie.kovacik@toledo.oh.gov" TargetMode="External" /><Relationship Id="rId18" Type="http://schemas.openxmlformats.org/officeDocument/2006/relationships/hyperlink" Target="mailto:evan.betterton@igs.com" TargetMode="External" /><Relationship Id="rId19" Type="http://schemas.openxmlformats.org/officeDocument/2006/relationships/hyperlink" Target="mailto:joe.oliker@igs.com" TargetMode="External" /><Relationship Id="rId2" Type="http://schemas.openxmlformats.org/officeDocument/2006/relationships/settings" Target="settings.xml" /><Relationship Id="rId20" Type="http://schemas.openxmlformats.org/officeDocument/2006/relationships/hyperlink" Target="mailto:michael.nugent@igs.com" TargetMode="External" /><Relationship Id="rId21" Type="http://schemas.openxmlformats.org/officeDocument/2006/relationships/hyperlink" Target="mailto:mkurtz@BKLlawfirm.com" TargetMode="External" /><Relationship Id="rId22" Type="http://schemas.openxmlformats.org/officeDocument/2006/relationships/hyperlink" Target="mailto:kboehm@BKLlawfirm.com" TargetMode="External" /><Relationship Id="rId23" Type="http://schemas.openxmlformats.org/officeDocument/2006/relationships/hyperlink" Target="mailto:jkylercohn@BKLlawfirm.com" TargetMode="External" /><Relationship Id="rId24" Type="http://schemas.openxmlformats.org/officeDocument/2006/relationships/hyperlink" Target="mailto:megan.addison@puco.ohio.gov" TargetMode="External" /><Relationship Id="rId25" Type="http://schemas.openxmlformats.org/officeDocument/2006/relationships/hyperlink" Target="mailto:gregory.price@puco.ohio.gov" TargetMode="External" /><Relationship Id="rId26" Type="http://schemas.openxmlformats.org/officeDocument/2006/relationships/hyperlink" Target="mailto:jacqueline.st.john@puco.ohio.gov" TargetMode="External" /><Relationship Id="rId27" Type="http://schemas.openxmlformats.org/officeDocument/2006/relationships/hyperlink" Target="mailto:bknipe@firstenergycorp.com" TargetMode="External" /><Relationship Id="rId28" Type="http://schemas.openxmlformats.org/officeDocument/2006/relationships/hyperlink" Target="mailto:mrgladman@jonesday.com" TargetMode="External" /><Relationship Id="rId29" Type="http://schemas.openxmlformats.org/officeDocument/2006/relationships/hyperlink" Target="mailto:mdengler@jonesday.com" TargetMode="External" /><Relationship Id="rId3" Type="http://schemas.openxmlformats.org/officeDocument/2006/relationships/webSettings" Target="webSettings.xml" /><Relationship Id="rId30" Type="http://schemas.openxmlformats.org/officeDocument/2006/relationships/hyperlink" Target="mailto:radoringo@jonesday.com" TargetMode="External" /><Relationship Id="rId31" Type="http://schemas.openxmlformats.org/officeDocument/2006/relationships/hyperlink" Target="mailto:sgoyal@jonesday.com" TargetMode="External" /><Relationship Id="rId32" Type="http://schemas.openxmlformats.org/officeDocument/2006/relationships/hyperlink" Target="mailto:dborchers@bricker.com" TargetMode="External" /><Relationship Id="rId33" Type="http://schemas.openxmlformats.org/officeDocument/2006/relationships/hyperlink" Target="mailto:dparram@bricker.com" TargetMode="External" /><Relationship Id="rId34" Type="http://schemas.openxmlformats.org/officeDocument/2006/relationships/hyperlink" Target="mailto:rmains@bricker.com" TargetMode="External" /><Relationship Id="rId35" Type="http://schemas.openxmlformats.org/officeDocument/2006/relationships/hyperlink" Target="mailto:ctavenor@theOEC.org" TargetMode="External" /><Relationship Id="rId36" Type="http://schemas.openxmlformats.org/officeDocument/2006/relationships/hyperlink" Target="mailto:rdove@keglerbrown.com" TargetMode="External" /><Relationship Id="rId37" Type="http://schemas.openxmlformats.org/officeDocument/2006/relationships/hyperlink" Target="mailto:mpritchard@mcneeslaw.com" TargetMode="External" /><Relationship Id="rId38" Type="http://schemas.openxmlformats.org/officeDocument/2006/relationships/hyperlink" Target="mailto:bmckenney@mcneeslaw.com" TargetMode="External" /><Relationship Id="rId39" Type="http://schemas.openxmlformats.org/officeDocument/2006/relationships/hyperlink" Target="mailto:Bojko@carpenterlipps.com" TargetMode="External" /><Relationship Id="rId4" Type="http://schemas.openxmlformats.org/officeDocument/2006/relationships/fontTable" Target="fontTable.xml" /><Relationship Id="rId40" Type="http://schemas.openxmlformats.org/officeDocument/2006/relationships/hyperlink" Target="mailto:Donadio@carpenterlipps.com" TargetMode="External" /><Relationship Id="rId41" Type="http://schemas.openxmlformats.org/officeDocument/2006/relationships/hyperlink" Target="mailto:mwise@mcdonaldhopkins.com" TargetMode="External" /><Relationship Id="rId42" Type="http://schemas.openxmlformats.org/officeDocument/2006/relationships/hyperlink" Target="mailto:trent@hubaydougherty.com" TargetMode="External" /><Relationship Id="rId43" Type="http://schemas.openxmlformats.org/officeDocument/2006/relationships/header" Target="header1.xml" /><Relationship Id="rId44" Type="http://schemas.openxmlformats.org/officeDocument/2006/relationships/header" Target="header2.xml" /><Relationship Id="rId45" Type="http://schemas.openxmlformats.org/officeDocument/2006/relationships/footer" Target="footer1.xml" /><Relationship Id="rId46" Type="http://schemas.openxmlformats.org/officeDocument/2006/relationships/footer" Target="footer2.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mailto:maureen.willis@occ.ohio.gov" TargetMode="External" /><Relationship Id="rId9" Type="http://schemas.openxmlformats.org/officeDocument/2006/relationships/hyperlink" Target="mailto:john.finniga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0F52-0DAE-4171-9A8C-F0D25CE6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2022-02-04T18:34:35Z</dcterms:created>
  <dcterms:modified xsi:type="dcterms:W3CDTF">2022-02-04T18:34:35Z</dcterms:modified>
</cp:coreProperties>
</file>