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F56EF2" w:rsidRPr="0087048B" w:rsidP="00F56EF2" w14:paraId="4EF89324" w14:textId="3BE4AEE7">
      <w:pPr>
        <w:spacing w:after="0" w:line="240" w:lineRule="auto"/>
        <w:jc w:val="center"/>
        <w:rPr>
          <w:rFonts w:cs="Times New Roman"/>
          <w:b/>
          <w:szCs w:val="24"/>
        </w:rPr>
      </w:pPr>
      <w:r w:rsidRPr="0087048B">
        <w:rPr>
          <w:rFonts w:cs="Times New Roman"/>
          <w:b/>
          <w:szCs w:val="24"/>
        </w:rPr>
        <w:t>BEFORE</w:t>
      </w:r>
    </w:p>
    <w:p w:rsidR="00F56EF2" w:rsidRPr="0087048B" w:rsidP="00F56EF2" w14:paraId="3131A04C" w14:textId="77777777">
      <w:pPr>
        <w:spacing w:after="0" w:line="240" w:lineRule="auto"/>
        <w:jc w:val="center"/>
        <w:rPr>
          <w:rFonts w:cs="Times New Roman"/>
          <w:b/>
          <w:szCs w:val="24"/>
        </w:rPr>
      </w:pPr>
      <w:r w:rsidRPr="0087048B">
        <w:rPr>
          <w:rFonts w:cs="Times New Roman"/>
          <w:b/>
          <w:szCs w:val="24"/>
        </w:rPr>
        <w:t>THE PUBLIC UTILITIES COMMISSION OF OHIO</w:t>
      </w:r>
    </w:p>
    <w:p w:rsidR="00F56EF2" w:rsidRPr="0087048B" w:rsidP="00F56EF2" w14:paraId="57DF63BE" w14:textId="77777777">
      <w:pPr>
        <w:spacing w:after="0" w:line="240" w:lineRule="auto"/>
        <w:jc w:val="center"/>
        <w:rPr>
          <w:rFonts w:cs="Times New Roman"/>
          <w:b/>
          <w:szCs w:val="24"/>
        </w:rPr>
      </w:pPr>
    </w:p>
    <w:tbl>
      <w:tblPr>
        <w:tblW w:w="10358" w:type="dxa"/>
        <w:tblLook w:val="01E0"/>
      </w:tblPr>
      <w:tblGrid>
        <w:gridCol w:w="5238"/>
        <w:gridCol w:w="480"/>
        <w:gridCol w:w="4640"/>
      </w:tblGrid>
      <w:tr w14:paraId="039B81BB" w14:textId="77777777" w:rsidTr="0036016C">
        <w:tblPrEx>
          <w:tblW w:w="10358" w:type="dxa"/>
          <w:tblLook w:val="01E0"/>
        </w:tblPrEx>
        <w:trPr>
          <w:trHeight w:val="807"/>
        </w:trPr>
        <w:tc>
          <w:tcPr>
            <w:tcW w:w="5238" w:type="dxa"/>
            <w:shd w:val="clear" w:color="auto" w:fill="auto"/>
          </w:tcPr>
          <w:p w:rsidR="00F56EF2" w:rsidRPr="0087048B" w:rsidP="0036016C" w14:paraId="30024B96" w14:textId="77777777">
            <w:pPr>
              <w:autoSpaceDE w:val="0"/>
              <w:autoSpaceDN w:val="0"/>
              <w:adjustRightInd w:val="0"/>
              <w:spacing w:after="0" w:line="240" w:lineRule="auto"/>
              <w:rPr>
                <w:rFonts w:cs="Times New Roman"/>
                <w:szCs w:val="24"/>
              </w:rPr>
            </w:pPr>
            <w:r w:rsidRPr="0087048B">
              <w:rPr>
                <w:rFonts w:cs="Times New Roman"/>
                <w:szCs w:val="24"/>
              </w:rPr>
              <w:t>In the Matter of the Application of Ohio Power Company for an Increase in Electric Distribution Rates.</w:t>
            </w:r>
          </w:p>
          <w:p w:rsidR="00F56EF2" w:rsidRPr="0087048B" w:rsidP="0036016C" w14:paraId="631A91FB" w14:textId="77777777">
            <w:pPr>
              <w:autoSpaceDE w:val="0"/>
              <w:autoSpaceDN w:val="0"/>
              <w:adjustRightInd w:val="0"/>
              <w:spacing w:after="0" w:line="240" w:lineRule="auto"/>
              <w:rPr>
                <w:rFonts w:cs="Times New Roman"/>
                <w:szCs w:val="24"/>
              </w:rPr>
            </w:pPr>
          </w:p>
          <w:p w:rsidR="00F56EF2" w:rsidRPr="0087048B" w:rsidP="0036016C" w14:paraId="0D5F37E2" w14:textId="77777777">
            <w:pPr>
              <w:autoSpaceDE w:val="0"/>
              <w:autoSpaceDN w:val="0"/>
              <w:adjustRightInd w:val="0"/>
              <w:spacing w:after="0" w:line="240" w:lineRule="auto"/>
              <w:rPr>
                <w:rFonts w:cs="Times New Roman"/>
                <w:szCs w:val="24"/>
              </w:rPr>
            </w:pPr>
            <w:r w:rsidRPr="0087048B">
              <w:rPr>
                <w:rFonts w:cs="Times New Roman"/>
                <w:szCs w:val="24"/>
              </w:rPr>
              <w:t>In the Matter of the Application of Ohio Power Company for Tariff Approval.</w:t>
            </w:r>
          </w:p>
          <w:p w:rsidR="00F56EF2" w:rsidRPr="0087048B" w:rsidP="0036016C" w14:paraId="18EF8995" w14:textId="77777777">
            <w:pPr>
              <w:autoSpaceDE w:val="0"/>
              <w:autoSpaceDN w:val="0"/>
              <w:adjustRightInd w:val="0"/>
              <w:spacing w:after="0" w:line="240" w:lineRule="auto"/>
              <w:rPr>
                <w:rFonts w:cs="Times New Roman"/>
                <w:szCs w:val="24"/>
              </w:rPr>
            </w:pPr>
          </w:p>
          <w:p w:rsidR="00F56EF2" w:rsidRPr="0087048B" w:rsidP="0036016C" w14:paraId="387DE09C" w14:textId="77777777">
            <w:pPr>
              <w:autoSpaceDE w:val="0"/>
              <w:autoSpaceDN w:val="0"/>
              <w:adjustRightInd w:val="0"/>
              <w:spacing w:after="0" w:line="240" w:lineRule="auto"/>
              <w:rPr>
                <w:rFonts w:cs="Times New Roman"/>
                <w:szCs w:val="24"/>
              </w:rPr>
            </w:pPr>
            <w:r w:rsidRPr="0087048B">
              <w:rPr>
                <w:rFonts w:cs="Times New Roman"/>
                <w:szCs w:val="24"/>
              </w:rPr>
              <w:t>In the Matter of the Application of Ohio Power Company for Approval to Change Accounting Methods.</w:t>
            </w:r>
          </w:p>
        </w:tc>
        <w:tc>
          <w:tcPr>
            <w:tcW w:w="480" w:type="dxa"/>
            <w:shd w:val="clear" w:color="auto" w:fill="auto"/>
          </w:tcPr>
          <w:p w:rsidR="00F56EF2" w:rsidRPr="0087048B" w:rsidP="0036016C" w14:paraId="501EA573" w14:textId="77777777">
            <w:pPr>
              <w:pStyle w:val="HTMLPreformatted"/>
              <w:rPr>
                <w:rFonts w:ascii="Times New Roman" w:hAnsi="Times New Roman" w:cs="Times New Roman"/>
                <w:sz w:val="24"/>
                <w:szCs w:val="24"/>
              </w:rPr>
            </w:pPr>
            <w:r w:rsidRPr="0087048B">
              <w:rPr>
                <w:rFonts w:ascii="Times New Roman" w:hAnsi="Times New Roman" w:cs="Times New Roman"/>
                <w:sz w:val="24"/>
                <w:szCs w:val="24"/>
              </w:rPr>
              <w:t>)</w:t>
            </w:r>
          </w:p>
          <w:p w:rsidR="00F56EF2" w:rsidRPr="0087048B" w:rsidP="0036016C" w14:paraId="42BE1261" w14:textId="77777777">
            <w:pPr>
              <w:pStyle w:val="HTMLPreformatted"/>
              <w:rPr>
                <w:rFonts w:ascii="Times New Roman" w:hAnsi="Times New Roman" w:cs="Times New Roman"/>
                <w:sz w:val="24"/>
                <w:szCs w:val="24"/>
              </w:rPr>
            </w:pPr>
            <w:r w:rsidRPr="0087048B">
              <w:rPr>
                <w:rFonts w:ascii="Times New Roman" w:hAnsi="Times New Roman" w:cs="Times New Roman"/>
                <w:sz w:val="24"/>
                <w:szCs w:val="24"/>
              </w:rPr>
              <w:t>)</w:t>
            </w:r>
          </w:p>
          <w:p w:rsidR="00F56EF2" w:rsidRPr="0087048B" w:rsidP="0036016C" w14:paraId="10D3F8C5" w14:textId="77777777">
            <w:pPr>
              <w:pStyle w:val="HTMLPreformatted"/>
              <w:rPr>
                <w:rFonts w:ascii="Times New Roman" w:hAnsi="Times New Roman" w:cs="Times New Roman"/>
                <w:sz w:val="24"/>
                <w:szCs w:val="24"/>
              </w:rPr>
            </w:pPr>
            <w:r w:rsidRPr="0087048B">
              <w:rPr>
                <w:rFonts w:ascii="Times New Roman" w:hAnsi="Times New Roman" w:cs="Times New Roman"/>
                <w:sz w:val="24"/>
                <w:szCs w:val="24"/>
              </w:rPr>
              <w:t>)</w:t>
            </w:r>
          </w:p>
          <w:p w:rsidR="00F56EF2" w:rsidRPr="0087048B" w:rsidP="0036016C" w14:paraId="2EFB55C4" w14:textId="77777777">
            <w:pPr>
              <w:pStyle w:val="HTMLPreformatted"/>
              <w:rPr>
                <w:rFonts w:ascii="Times New Roman" w:hAnsi="Times New Roman" w:cs="Times New Roman"/>
                <w:sz w:val="24"/>
                <w:szCs w:val="24"/>
              </w:rPr>
            </w:pPr>
            <w:r w:rsidRPr="0087048B">
              <w:rPr>
                <w:rFonts w:ascii="Times New Roman" w:hAnsi="Times New Roman" w:cs="Times New Roman"/>
                <w:sz w:val="24"/>
                <w:szCs w:val="24"/>
              </w:rPr>
              <w:t>)</w:t>
            </w:r>
          </w:p>
          <w:p w:rsidR="00F56EF2" w:rsidRPr="0087048B" w:rsidP="0036016C" w14:paraId="7B15FC84" w14:textId="77777777">
            <w:pPr>
              <w:pStyle w:val="HTMLPreformatted"/>
              <w:rPr>
                <w:rFonts w:ascii="Times New Roman" w:hAnsi="Times New Roman" w:cs="Times New Roman"/>
                <w:sz w:val="24"/>
                <w:szCs w:val="24"/>
              </w:rPr>
            </w:pPr>
            <w:r w:rsidRPr="0087048B">
              <w:rPr>
                <w:rFonts w:ascii="Times New Roman" w:hAnsi="Times New Roman" w:cs="Times New Roman"/>
                <w:sz w:val="24"/>
                <w:szCs w:val="24"/>
              </w:rPr>
              <w:t>)</w:t>
            </w:r>
          </w:p>
          <w:p w:rsidR="00F56EF2" w:rsidRPr="0087048B" w:rsidP="0036016C" w14:paraId="15855CA0" w14:textId="77777777">
            <w:pPr>
              <w:pStyle w:val="HTMLPreformatted"/>
              <w:rPr>
                <w:rFonts w:ascii="Times New Roman" w:hAnsi="Times New Roman" w:cs="Times New Roman"/>
                <w:sz w:val="24"/>
                <w:szCs w:val="24"/>
              </w:rPr>
            </w:pPr>
            <w:r w:rsidRPr="0087048B">
              <w:rPr>
                <w:rFonts w:ascii="Times New Roman" w:hAnsi="Times New Roman" w:cs="Times New Roman"/>
                <w:sz w:val="24"/>
                <w:szCs w:val="24"/>
              </w:rPr>
              <w:t>)</w:t>
            </w:r>
          </w:p>
          <w:p w:rsidR="00F56EF2" w:rsidRPr="0087048B" w:rsidP="0036016C" w14:paraId="383F2597" w14:textId="77777777">
            <w:pPr>
              <w:pStyle w:val="HTMLPreformatted"/>
              <w:rPr>
                <w:rFonts w:ascii="Times New Roman" w:hAnsi="Times New Roman" w:cs="Times New Roman"/>
                <w:sz w:val="24"/>
                <w:szCs w:val="24"/>
              </w:rPr>
            </w:pPr>
            <w:r w:rsidRPr="0087048B">
              <w:rPr>
                <w:rFonts w:ascii="Times New Roman" w:hAnsi="Times New Roman" w:cs="Times New Roman"/>
                <w:sz w:val="24"/>
                <w:szCs w:val="24"/>
              </w:rPr>
              <w:t>)</w:t>
            </w:r>
          </w:p>
          <w:p w:rsidR="00F56EF2" w:rsidRPr="0087048B" w:rsidP="0036016C" w14:paraId="6991E5EC" w14:textId="77777777">
            <w:pPr>
              <w:pStyle w:val="HTMLPreformatted"/>
              <w:rPr>
                <w:rFonts w:ascii="Times New Roman" w:hAnsi="Times New Roman" w:cs="Times New Roman"/>
                <w:sz w:val="24"/>
                <w:szCs w:val="24"/>
              </w:rPr>
            </w:pPr>
            <w:r w:rsidRPr="0087048B">
              <w:rPr>
                <w:rFonts w:ascii="Times New Roman" w:hAnsi="Times New Roman" w:cs="Times New Roman"/>
                <w:sz w:val="24"/>
                <w:szCs w:val="24"/>
              </w:rPr>
              <w:t>)</w:t>
            </w:r>
          </w:p>
          <w:p w:rsidR="00F56EF2" w:rsidRPr="0087048B" w:rsidP="0036016C" w14:paraId="1D2E874C" w14:textId="77777777">
            <w:pPr>
              <w:pStyle w:val="HTMLPreformatted"/>
              <w:rPr>
                <w:rFonts w:ascii="Times New Roman" w:hAnsi="Times New Roman" w:cs="Times New Roman"/>
                <w:sz w:val="24"/>
                <w:szCs w:val="24"/>
              </w:rPr>
            </w:pPr>
            <w:r w:rsidRPr="0087048B">
              <w:rPr>
                <w:rFonts w:ascii="Times New Roman" w:hAnsi="Times New Roman" w:cs="Times New Roman"/>
                <w:sz w:val="24"/>
                <w:szCs w:val="24"/>
              </w:rPr>
              <w:t>)</w:t>
            </w:r>
          </w:p>
          <w:p w:rsidR="00F56EF2" w:rsidRPr="0087048B" w:rsidP="0036016C" w14:paraId="1D092C0E" w14:textId="77777777">
            <w:pPr>
              <w:pStyle w:val="HTMLPreformatted"/>
              <w:rPr>
                <w:rFonts w:ascii="Times New Roman" w:hAnsi="Times New Roman" w:cs="Times New Roman"/>
                <w:sz w:val="24"/>
                <w:szCs w:val="24"/>
              </w:rPr>
            </w:pPr>
            <w:r w:rsidRPr="0087048B">
              <w:rPr>
                <w:rFonts w:ascii="Times New Roman" w:hAnsi="Times New Roman" w:cs="Times New Roman"/>
                <w:sz w:val="24"/>
                <w:szCs w:val="24"/>
              </w:rPr>
              <w:t>)</w:t>
            </w:r>
          </w:p>
        </w:tc>
        <w:tc>
          <w:tcPr>
            <w:tcW w:w="4640" w:type="dxa"/>
            <w:shd w:val="clear" w:color="auto" w:fill="auto"/>
          </w:tcPr>
          <w:p w:rsidR="00F56EF2" w:rsidRPr="0087048B" w:rsidP="0036016C" w14:paraId="03EBC678" w14:textId="77777777">
            <w:pPr>
              <w:autoSpaceDE w:val="0"/>
              <w:autoSpaceDN w:val="0"/>
              <w:adjustRightInd w:val="0"/>
              <w:spacing w:after="0" w:line="240" w:lineRule="auto"/>
              <w:rPr>
                <w:rFonts w:cs="Times New Roman"/>
                <w:szCs w:val="24"/>
              </w:rPr>
            </w:pPr>
          </w:p>
          <w:p w:rsidR="00F56EF2" w:rsidRPr="0087048B" w:rsidP="0036016C" w14:paraId="0729919C" w14:textId="77777777">
            <w:pPr>
              <w:autoSpaceDE w:val="0"/>
              <w:autoSpaceDN w:val="0"/>
              <w:adjustRightInd w:val="0"/>
              <w:spacing w:after="0" w:line="240" w:lineRule="auto"/>
              <w:rPr>
                <w:rFonts w:cs="Times New Roman"/>
                <w:szCs w:val="24"/>
              </w:rPr>
            </w:pPr>
            <w:r w:rsidRPr="0087048B">
              <w:rPr>
                <w:rFonts w:cs="Times New Roman"/>
                <w:szCs w:val="24"/>
              </w:rPr>
              <w:t>Case No. 20-585-EL-AIR</w:t>
            </w:r>
          </w:p>
          <w:p w:rsidR="00F56EF2" w:rsidRPr="0087048B" w:rsidP="0036016C" w14:paraId="60C3C0FF" w14:textId="77777777">
            <w:pPr>
              <w:autoSpaceDE w:val="0"/>
              <w:autoSpaceDN w:val="0"/>
              <w:adjustRightInd w:val="0"/>
              <w:spacing w:after="0" w:line="240" w:lineRule="auto"/>
              <w:rPr>
                <w:rFonts w:cs="Times New Roman"/>
                <w:szCs w:val="24"/>
              </w:rPr>
            </w:pPr>
          </w:p>
          <w:p w:rsidR="00F56EF2" w:rsidRPr="0087048B" w:rsidP="0036016C" w14:paraId="50CFE0BC" w14:textId="77777777">
            <w:pPr>
              <w:autoSpaceDE w:val="0"/>
              <w:autoSpaceDN w:val="0"/>
              <w:adjustRightInd w:val="0"/>
              <w:spacing w:after="0" w:line="240" w:lineRule="auto"/>
              <w:rPr>
                <w:rFonts w:cs="Times New Roman"/>
                <w:szCs w:val="24"/>
              </w:rPr>
            </w:pPr>
          </w:p>
          <w:p w:rsidR="00F56EF2" w:rsidRPr="0087048B" w:rsidP="0036016C" w14:paraId="51ED6DED" w14:textId="77777777">
            <w:pPr>
              <w:autoSpaceDE w:val="0"/>
              <w:autoSpaceDN w:val="0"/>
              <w:adjustRightInd w:val="0"/>
              <w:spacing w:after="0" w:line="240" w:lineRule="auto"/>
              <w:rPr>
                <w:rFonts w:cs="Times New Roman"/>
                <w:szCs w:val="24"/>
              </w:rPr>
            </w:pPr>
          </w:p>
          <w:p w:rsidR="00F56EF2" w:rsidRPr="0087048B" w:rsidP="0036016C" w14:paraId="1C9F10F0" w14:textId="77777777">
            <w:pPr>
              <w:autoSpaceDE w:val="0"/>
              <w:autoSpaceDN w:val="0"/>
              <w:adjustRightInd w:val="0"/>
              <w:spacing w:after="0" w:line="240" w:lineRule="auto"/>
              <w:rPr>
                <w:rFonts w:cs="Times New Roman"/>
                <w:szCs w:val="24"/>
              </w:rPr>
            </w:pPr>
            <w:r w:rsidRPr="0087048B">
              <w:rPr>
                <w:rFonts w:cs="Times New Roman"/>
                <w:szCs w:val="24"/>
              </w:rPr>
              <w:t>Case No. 20-586-EL-ATA</w:t>
            </w:r>
          </w:p>
          <w:p w:rsidR="00F56EF2" w:rsidRPr="0087048B" w:rsidP="0036016C" w14:paraId="1D5999FC" w14:textId="77777777">
            <w:pPr>
              <w:spacing w:after="0" w:line="240" w:lineRule="auto"/>
              <w:rPr>
                <w:rFonts w:cs="Times New Roman"/>
                <w:szCs w:val="24"/>
              </w:rPr>
            </w:pPr>
          </w:p>
          <w:p w:rsidR="00F56EF2" w:rsidRPr="0087048B" w:rsidP="0036016C" w14:paraId="11752760" w14:textId="77777777">
            <w:pPr>
              <w:spacing w:after="0" w:line="240" w:lineRule="auto"/>
              <w:rPr>
                <w:rFonts w:cs="Times New Roman"/>
                <w:szCs w:val="24"/>
              </w:rPr>
            </w:pPr>
          </w:p>
          <w:p w:rsidR="00F56EF2" w:rsidRPr="0087048B" w:rsidP="0036016C" w14:paraId="567444A6" w14:textId="77777777">
            <w:pPr>
              <w:spacing w:after="0" w:line="240" w:lineRule="auto"/>
              <w:rPr>
                <w:rFonts w:cs="Times New Roman"/>
                <w:szCs w:val="24"/>
              </w:rPr>
            </w:pPr>
            <w:r w:rsidRPr="0087048B">
              <w:rPr>
                <w:rFonts w:cs="Times New Roman"/>
                <w:szCs w:val="24"/>
              </w:rPr>
              <w:t>Case No. 20-587-EL-AAM</w:t>
            </w:r>
          </w:p>
          <w:p w:rsidR="00F56EF2" w:rsidRPr="0087048B" w:rsidP="0036016C" w14:paraId="457A65AD" w14:textId="77777777">
            <w:pPr>
              <w:pStyle w:val="HTMLPreformatted"/>
              <w:rPr>
                <w:rFonts w:ascii="Times New Roman" w:hAnsi="Times New Roman" w:cs="Times New Roman"/>
                <w:sz w:val="24"/>
                <w:szCs w:val="24"/>
              </w:rPr>
            </w:pPr>
          </w:p>
        </w:tc>
      </w:tr>
    </w:tbl>
    <w:p w:rsidR="00F56EF2" w:rsidRPr="0087048B" w:rsidP="00F56EF2" w14:paraId="7FCC9B47" w14:textId="77777777">
      <w:pPr>
        <w:pBdr>
          <w:bottom w:val="single" w:sz="12" w:space="1" w:color="auto"/>
        </w:pBdr>
        <w:spacing w:before="4"/>
        <w:rPr>
          <w:rFonts w:cs="Times New Roman"/>
          <w:szCs w:val="24"/>
        </w:rPr>
      </w:pPr>
    </w:p>
    <w:p w:rsidR="00F56EF2" w:rsidRPr="0087048B" w:rsidP="00F56EF2" w14:paraId="659C70B3" w14:textId="089742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cs="Times New Roman"/>
          <w:b/>
          <w:szCs w:val="24"/>
        </w:rPr>
      </w:pPr>
      <w:r w:rsidRPr="0087048B">
        <w:rPr>
          <w:rFonts w:cs="Times New Roman"/>
          <w:b/>
          <w:szCs w:val="24"/>
        </w:rPr>
        <w:t>MEMORANDUM CONTRA THE APPLICATIONS FOR REHEARING</w:t>
      </w:r>
      <w:r w:rsidR="00276090">
        <w:rPr>
          <w:rFonts w:cs="Times New Roman"/>
          <w:b/>
          <w:szCs w:val="24"/>
        </w:rPr>
        <w:t xml:space="preserve"> </w:t>
      </w:r>
      <w:r w:rsidRPr="0087048B">
        <w:rPr>
          <w:rFonts w:cs="Times New Roman"/>
          <w:b/>
          <w:szCs w:val="24"/>
        </w:rPr>
        <w:t>OF INTERSTATE GAS SUPPLY</w:t>
      </w:r>
      <w:r>
        <w:rPr>
          <w:rFonts w:cs="Times New Roman"/>
          <w:b/>
          <w:szCs w:val="24"/>
        </w:rPr>
        <w:t xml:space="preserve"> </w:t>
      </w:r>
      <w:r w:rsidRPr="0087048B">
        <w:rPr>
          <w:rFonts w:cs="Times New Roman"/>
          <w:b/>
          <w:szCs w:val="24"/>
        </w:rPr>
        <w:t>AND</w:t>
      </w:r>
      <w:r w:rsidR="00276090">
        <w:rPr>
          <w:rFonts w:cs="Times New Roman"/>
          <w:b/>
          <w:szCs w:val="24"/>
        </w:rPr>
        <w:t xml:space="preserve"> </w:t>
      </w:r>
      <w:r w:rsidRPr="0087048B">
        <w:rPr>
          <w:rFonts w:cs="Times New Roman"/>
          <w:b/>
          <w:szCs w:val="24"/>
        </w:rPr>
        <w:t>NATIONWIDE ENERGY PARTNERS</w:t>
      </w:r>
    </w:p>
    <w:p w:rsidR="00F56EF2" w:rsidRPr="0087048B" w:rsidP="00F56EF2" w14:paraId="3D9C7272"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cs="Times New Roman"/>
          <w:b/>
          <w:szCs w:val="24"/>
        </w:rPr>
      </w:pPr>
      <w:r w:rsidRPr="0087048B">
        <w:rPr>
          <w:rFonts w:cs="Times New Roman"/>
          <w:b/>
          <w:szCs w:val="24"/>
        </w:rPr>
        <w:t>BY</w:t>
      </w:r>
    </w:p>
    <w:p w:rsidR="00F56EF2" w:rsidRPr="0087048B" w:rsidP="00F56EF2" w14:paraId="35DF5D13"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ourier New" w:cs="Times New Roman"/>
          <w:b/>
          <w:bCs/>
          <w:szCs w:val="24"/>
        </w:rPr>
      </w:pPr>
      <w:r w:rsidRPr="0087048B">
        <w:rPr>
          <w:rFonts w:cs="Times New Roman"/>
          <w:b/>
          <w:szCs w:val="24"/>
        </w:rPr>
        <w:t>OFFICE OF THE OHIO CONSUMERS’ COUNSEL</w:t>
      </w:r>
    </w:p>
    <w:p w:rsidR="00F56EF2" w:rsidRPr="0087048B" w:rsidP="00F56EF2" w14:paraId="55027DB0" w14:textId="77777777">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Times New Roman"/>
          <w:b/>
          <w:bCs/>
          <w:szCs w:val="24"/>
        </w:rPr>
      </w:pPr>
    </w:p>
    <w:p w:rsidR="00F56EF2" w:rsidRPr="0087048B" w:rsidP="00F56EF2" w14:paraId="5B9CB655" w14:textId="5AC715CC">
      <w:pPr>
        <w:spacing w:after="0"/>
        <w:rPr>
          <w:rFonts w:cs="Times New Roman"/>
          <w:szCs w:val="24"/>
        </w:rPr>
      </w:pPr>
    </w:p>
    <w:p w:rsidR="009A7B69" w:rsidRPr="0087048B" w:rsidP="00F56EF2" w14:paraId="229C1B7D" w14:textId="59D755DD">
      <w:pPr>
        <w:spacing w:after="0"/>
        <w:rPr>
          <w:rFonts w:cs="Times New Roman"/>
          <w:szCs w:val="24"/>
        </w:rPr>
      </w:pPr>
    </w:p>
    <w:p w:rsidR="009A7B69" w:rsidRPr="0087048B" w:rsidP="00F56EF2" w14:paraId="3505D5C1" w14:textId="77777777">
      <w:pPr>
        <w:spacing w:after="0"/>
        <w:rPr>
          <w:rFonts w:cs="Times New Roman"/>
          <w:szCs w:val="24"/>
        </w:rPr>
      </w:pPr>
    </w:p>
    <w:p w:rsidR="009A7B69" w:rsidRPr="0087048B" w:rsidP="009A7B69" w14:paraId="77189B05" w14:textId="77777777">
      <w:pPr>
        <w:spacing w:after="0" w:line="240" w:lineRule="auto"/>
        <w:ind w:left="3600" w:right="-672" w:firstLine="720"/>
        <w:rPr>
          <w:rFonts w:eastAsia="Times New Roman" w:cs="Times New Roman"/>
          <w:szCs w:val="24"/>
        </w:rPr>
      </w:pPr>
      <w:r w:rsidRPr="0087048B">
        <w:rPr>
          <w:rFonts w:eastAsia="Times New Roman" w:cs="Times New Roman"/>
          <w:szCs w:val="24"/>
        </w:rPr>
        <w:t>Bruce Weston (0016973)</w:t>
      </w:r>
    </w:p>
    <w:p w:rsidR="00000A5C" w:rsidRPr="0087048B" w:rsidP="00000A5C" w14:paraId="0B27ECBA" w14:textId="662BF545">
      <w:pPr>
        <w:spacing w:after="0" w:line="240" w:lineRule="auto"/>
        <w:ind w:left="3600" w:right="-672" w:firstLine="720"/>
        <w:rPr>
          <w:rFonts w:eastAsia="Times New Roman" w:cs="Times New Roman"/>
          <w:szCs w:val="24"/>
        </w:rPr>
      </w:pPr>
      <w:r w:rsidRPr="0087048B">
        <w:rPr>
          <w:rFonts w:eastAsia="Times New Roman" w:cs="Times New Roman"/>
          <w:szCs w:val="24"/>
        </w:rPr>
        <w:t xml:space="preserve">Ohio Consumers’ Counsel </w:t>
      </w:r>
    </w:p>
    <w:p w:rsidR="00000A5C" w:rsidRPr="0087048B" w:rsidP="00000A5C" w14:paraId="3F6D49F5" w14:textId="77777777">
      <w:pPr>
        <w:spacing w:after="0" w:line="240" w:lineRule="auto"/>
        <w:ind w:left="3600" w:right="-672" w:firstLine="720"/>
        <w:rPr>
          <w:rFonts w:eastAsia="Times New Roman" w:cs="Times New Roman"/>
          <w:szCs w:val="24"/>
        </w:rPr>
      </w:pPr>
    </w:p>
    <w:p w:rsidR="00000A5C" w:rsidRPr="00323C22" w:rsidP="00000A5C" w14:paraId="15B15B30" w14:textId="77777777">
      <w:pPr>
        <w:spacing w:after="0" w:line="240" w:lineRule="auto"/>
        <w:ind w:firstLine="4320"/>
        <w:rPr>
          <w:rFonts w:eastAsiaTheme="minorEastAsia" w:cs="Times New Roman"/>
          <w:szCs w:val="24"/>
        </w:rPr>
      </w:pPr>
      <w:r w:rsidRPr="0087048B">
        <w:rPr>
          <w:rFonts w:eastAsiaTheme="minorEastAsia" w:cs="Times New Roman"/>
          <w:szCs w:val="24"/>
        </w:rPr>
        <w:t xml:space="preserve">Angela O’Brien </w:t>
      </w:r>
      <w:r w:rsidRPr="00323C22">
        <w:rPr>
          <w:rFonts w:eastAsia="Times New Roman" w:cs="Times New Roman"/>
          <w:szCs w:val="24"/>
        </w:rPr>
        <w:t>(</w:t>
      </w:r>
      <w:r w:rsidRPr="0087048B">
        <w:rPr>
          <w:rFonts w:eastAsia="Times New Roman" w:cs="Times New Roman"/>
          <w:szCs w:val="24"/>
        </w:rPr>
        <w:t>0097579</w:t>
      </w:r>
      <w:r w:rsidRPr="00323C22">
        <w:rPr>
          <w:rFonts w:eastAsia="Times New Roman" w:cs="Times New Roman"/>
          <w:szCs w:val="24"/>
        </w:rPr>
        <w:t xml:space="preserve">) </w:t>
      </w:r>
    </w:p>
    <w:p w:rsidR="009A7B69" w:rsidRPr="0087048B" w:rsidP="009A7B69" w14:paraId="68E80E14" w14:textId="18C9001D">
      <w:pPr>
        <w:spacing w:after="0" w:line="240" w:lineRule="auto"/>
        <w:ind w:left="3600" w:right="-672" w:firstLine="720"/>
        <w:rPr>
          <w:rFonts w:eastAsia="Times New Roman" w:cs="Times New Roman"/>
          <w:szCs w:val="24"/>
        </w:rPr>
      </w:pPr>
      <w:r w:rsidRPr="0087048B">
        <w:rPr>
          <w:rFonts w:eastAsia="Times New Roman" w:cs="Times New Roman"/>
          <w:szCs w:val="24"/>
        </w:rPr>
        <w:t xml:space="preserve">Counsel of Record </w:t>
      </w:r>
    </w:p>
    <w:p w:rsidR="00F62DA4" w:rsidRPr="0087048B" w:rsidP="00F62DA4" w14:paraId="5458CF6E" w14:textId="77777777">
      <w:pPr>
        <w:tabs>
          <w:tab w:val="left" w:pos="4320"/>
        </w:tabs>
        <w:spacing w:after="0" w:line="240" w:lineRule="auto"/>
        <w:ind w:left="4320"/>
        <w:rPr>
          <w:rFonts w:cs="Times New Roman"/>
          <w:szCs w:val="24"/>
        </w:rPr>
      </w:pPr>
      <w:r w:rsidRPr="0087048B">
        <w:rPr>
          <w:rFonts w:cs="Times New Roman"/>
          <w:szCs w:val="24"/>
        </w:rPr>
        <w:t>Christopher Healey (0086027)</w:t>
      </w:r>
    </w:p>
    <w:p w:rsidR="00F62DA4" w:rsidRPr="0087048B" w:rsidP="00F62DA4" w14:paraId="7216160C" w14:textId="00377E09">
      <w:pPr>
        <w:spacing w:after="0" w:line="240" w:lineRule="auto"/>
        <w:ind w:left="3600" w:right="-672" w:firstLine="720"/>
        <w:rPr>
          <w:rFonts w:eastAsia="Times New Roman" w:cs="Times New Roman"/>
          <w:szCs w:val="24"/>
        </w:rPr>
      </w:pPr>
      <w:r w:rsidRPr="0087048B">
        <w:rPr>
          <w:rFonts w:cs="Times New Roman"/>
          <w:szCs w:val="24"/>
        </w:rPr>
        <w:t>John Finnigan (0018689)</w:t>
      </w:r>
    </w:p>
    <w:p w:rsidR="009A7B69" w:rsidRPr="0087048B" w:rsidP="009A7B69" w14:paraId="71D01415" w14:textId="77777777">
      <w:pPr>
        <w:spacing w:after="0" w:line="240" w:lineRule="auto"/>
        <w:ind w:left="3600" w:right="-672" w:firstLine="720"/>
        <w:rPr>
          <w:rFonts w:eastAsia="Times New Roman" w:cs="Times New Roman"/>
          <w:szCs w:val="24"/>
        </w:rPr>
      </w:pPr>
      <w:r w:rsidRPr="0087048B">
        <w:rPr>
          <w:rFonts w:eastAsia="Times New Roman" w:cs="Times New Roman"/>
          <w:szCs w:val="24"/>
        </w:rPr>
        <w:t xml:space="preserve">Assistant Consumers’ Counsel </w:t>
      </w:r>
    </w:p>
    <w:p w:rsidR="009A7B69" w:rsidRPr="0087048B" w:rsidP="009A7B69" w14:paraId="569F6303" w14:textId="77777777">
      <w:pPr>
        <w:spacing w:after="0" w:line="240" w:lineRule="auto"/>
        <w:ind w:left="3600" w:right="-672" w:firstLine="720"/>
        <w:rPr>
          <w:rFonts w:eastAsia="Times New Roman" w:cs="Times New Roman"/>
          <w:szCs w:val="24"/>
        </w:rPr>
      </w:pPr>
    </w:p>
    <w:p w:rsidR="009A7B69" w:rsidRPr="0087048B" w:rsidP="009A7B69" w14:paraId="3BA64DD2" w14:textId="77777777">
      <w:pPr>
        <w:spacing w:after="0" w:line="240" w:lineRule="auto"/>
        <w:ind w:left="3600" w:right="-672" w:firstLine="720"/>
        <w:rPr>
          <w:rFonts w:eastAsia="Times New Roman" w:cs="Times New Roman"/>
          <w:b/>
          <w:bCs/>
          <w:szCs w:val="24"/>
        </w:rPr>
      </w:pPr>
      <w:r w:rsidRPr="0087048B">
        <w:rPr>
          <w:rFonts w:eastAsia="Times New Roman" w:cs="Times New Roman"/>
          <w:b/>
          <w:bCs/>
          <w:szCs w:val="24"/>
        </w:rPr>
        <w:t xml:space="preserve">Office of the Ohio Consumers’ Counsel </w:t>
      </w:r>
    </w:p>
    <w:p w:rsidR="009A7B69" w:rsidRPr="0087048B" w:rsidP="009A7B69" w14:paraId="7604420F" w14:textId="77777777">
      <w:pPr>
        <w:spacing w:after="0" w:line="240" w:lineRule="auto"/>
        <w:ind w:left="3600" w:right="-672" w:firstLine="720"/>
        <w:rPr>
          <w:rFonts w:eastAsia="Times New Roman" w:cs="Times New Roman"/>
          <w:szCs w:val="24"/>
        </w:rPr>
      </w:pPr>
      <w:r w:rsidRPr="0087048B">
        <w:rPr>
          <w:rFonts w:eastAsia="Times New Roman" w:cs="Times New Roman"/>
          <w:szCs w:val="24"/>
        </w:rPr>
        <w:t>65 East State Street, Suite 700</w:t>
      </w:r>
    </w:p>
    <w:p w:rsidR="009A7B69" w:rsidRPr="0087048B" w:rsidP="009A7B69" w14:paraId="1C673250" w14:textId="77777777">
      <w:pPr>
        <w:spacing w:after="0" w:line="240" w:lineRule="auto"/>
        <w:ind w:left="3600" w:right="-672" w:firstLine="720"/>
        <w:rPr>
          <w:rFonts w:eastAsia="Times New Roman" w:cs="Times New Roman"/>
          <w:szCs w:val="24"/>
        </w:rPr>
      </w:pPr>
      <w:r w:rsidRPr="0087048B">
        <w:rPr>
          <w:rFonts w:eastAsia="Times New Roman" w:cs="Times New Roman"/>
          <w:szCs w:val="24"/>
        </w:rPr>
        <w:t xml:space="preserve">Columbus, Ohio 43215-4213 </w:t>
      </w:r>
    </w:p>
    <w:p w:rsidR="009A7B69" w:rsidRPr="0087048B" w:rsidP="009A7B69" w14:paraId="3E01DA17" w14:textId="5128942C">
      <w:pPr>
        <w:spacing w:after="0" w:line="240" w:lineRule="auto"/>
        <w:ind w:left="3600" w:right="-672" w:firstLine="720"/>
        <w:rPr>
          <w:rFonts w:eastAsia="Times New Roman" w:cs="Times New Roman"/>
          <w:szCs w:val="24"/>
        </w:rPr>
      </w:pPr>
      <w:r w:rsidRPr="0087048B">
        <w:rPr>
          <w:rFonts w:eastAsia="Times New Roman" w:cs="Times New Roman"/>
          <w:szCs w:val="24"/>
        </w:rPr>
        <w:t>Telephone</w:t>
      </w:r>
      <w:r w:rsidRPr="0087048B" w:rsidR="00F62DA4">
        <w:rPr>
          <w:rFonts w:eastAsia="Times New Roman" w:cs="Times New Roman"/>
          <w:szCs w:val="24"/>
        </w:rPr>
        <w:t xml:space="preserve"> [O’Brien]</w:t>
      </w:r>
      <w:r w:rsidRPr="0087048B">
        <w:rPr>
          <w:rFonts w:eastAsia="Times New Roman" w:cs="Times New Roman"/>
          <w:szCs w:val="24"/>
        </w:rPr>
        <w:t xml:space="preserve">: </w:t>
      </w:r>
      <w:r w:rsidRPr="0087048B" w:rsidR="00735F9D">
        <w:rPr>
          <w:rFonts w:eastAsia="Times New Roman" w:cs="Times New Roman"/>
          <w:szCs w:val="24"/>
        </w:rPr>
        <w:t>(614) 466-9531</w:t>
      </w:r>
    </w:p>
    <w:p w:rsidR="00F62DA4" w:rsidRPr="0087048B" w:rsidP="00F62DA4" w14:paraId="10A4BCA8" w14:textId="46131336">
      <w:pPr>
        <w:spacing w:after="0" w:line="240" w:lineRule="auto"/>
        <w:ind w:left="3600" w:right="-672" w:firstLine="720"/>
        <w:rPr>
          <w:rFonts w:eastAsia="Times New Roman" w:cs="Times New Roman"/>
          <w:szCs w:val="24"/>
        </w:rPr>
      </w:pPr>
      <w:r w:rsidRPr="0087048B">
        <w:rPr>
          <w:rFonts w:eastAsia="Times New Roman" w:cs="Times New Roman"/>
          <w:szCs w:val="24"/>
        </w:rPr>
        <w:t xml:space="preserve">Telephone [Healey]: </w:t>
      </w:r>
      <w:r w:rsidRPr="0087048B" w:rsidR="00735F9D">
        <w:rPr>
          <w:rFonts w:eastAsia="Times New Roman" w:cs="Times New Roman"/>
          <w:szCs w:val="24"/>
        </w:rPr>
        <w:t>(614) 466-9571</w:t>
      </w:r>
    </w:p>
    <w:p w:rsidR="00F62DA4" w:rsidRPr="0087048B" w:rsidP="00F62DA4" w14:paraId="1AE62012" w14:textId="509C3769">
      <w:pPr>
        <w:spacing w:after="0" w:line="240" w:lineRule="auto"/>
        <w:ind w:left="3600" w:right="-672" w:firstLine="720"/>
        <w:rPr>
          <w:rFonts w:eastAsia="Times New Roman" w:cs="Times New Roman"/>
          <w:szCs w:val="24"/>
        </w:rPr>
      </w:pPr>
      <w:r w:rsidRPr="0087048B">
        <w:rPr>
          <w:rFonts w:eastAsia="Times New Roman" w:cs="Times New Roman"/>
          <w:szCs w:val="24"/>
        </w:rPr>
        <w:t xml:space="preserve">Telephone [Finnigan]: </w:t>
      </w:r>
      <w:r w:rsidRPr="0087048B" w:rsidR="00735F9D">
        <w:rPr>
          <w:rFonts w:eastAsia="Times New Roman" w:cs="Times New Roman"/>
          <w:szCs w:val="24"/>
        </w:rPr>
        <w:t>(614) 466-9585</w:t>
      </w:r>
    </w:p>
    <w:p w:rsidR="00F62DA4" w:rsidRPr="0087048B" w:rsidP="00F62DA4" w14:paraId="688D12EC" w14:textId="5D6030C4">
      <w:pPr>
        <w:spacing w:after="0" w:line="240" w:lineRule="auto"/>
        <w:ind w:left="3600" w:right="-672" w:firstLine="720"/>
        <w:rPr>
          <w:rFonts w:eastAsia="Times New Roman" w:cs="Times New Roman"/>
          <w:szCs w:val="24"/>
        </w:rPr>
      </w:pPr>
      <w:hyperlink r:id="rId6" w:history="1">
        <w:r w:rsidRPr="0087048B" w:rsidR="00AD47D4">
          <w:rPr>
            <w:rStyle w:val="Hyperlink"/>
            <w:rFonts w:eastAsia="Times New Roman" w:cs="Times New Roman"/>
            <w:szCs w:val="24"/>
          </w:rPr>
          <w:t>angela.obrien@occ.ohio.gov</w:t>
        </w:r>
      </w:hyperlink>
    </w:p>
    <w:p w:rsidR="00F62DA4" w:rsidRPr="0087048B" w:rsidP="00F62DA4" w14:paraId="3E6EC730" w14:textId="64D4D887">
      <w:pPr>
        <w:spacing w:after="0" w:line="240" w:lineRule="auto"/>
        <w:ind w:left="3600" w:right="-672" w:firstLine="720"/>
        <w:rPr>
          <w:rFonts w:eastAsia="Times New Roman" w:cs="Times New Roman"/>
          <w:szCs w:val="24"/>
        </w:rPr>
      </w:pPr>
      <w:hyperlink r:id="rId7" w:history="1">
        <w:r w:rsidRPr="0087048B" w:rsidR="00AD47D4">
          <w:rPr>
            <w:rStyle w:val="Hyperlink"/>
            <w:rFonts w:eastAsia="Times New Roman" w:cs="Times New Roman"/>
            <w:szCs w:val="24"/>
          </w:rPr>
          <w:t>christopher.healey@occ.ohio.gov</w:t>
        </w:r>
      </w:hyperlink>
    </w:p>
    <w:p w:rsidR="009A7B69" w:rsidRPr="0087048B" w:rsidP="00716A04" w14:paraId="0CF089E3" w14:textId="661E2E62">
      <w:pPr>
        <w:spacing w:after="0" w:line="240" w:lineRule="auto"/>
        <w:ind w:left="3600" w:right="-672" w:firstLine="720"/>
        <w:rPr>
          <w:rFonts w:eastAsia="Times New Roman" w:cs="Times New Roman"/>
          <w:szCs w:val="24"/>
        </w:rPr>
      </w:pPr>
      <w:hyperlink r:id="rId8" w:history="1">
        <w:r w:rsidRPr="0087048B" w:rsidR="00735F9D">
          <w:rPr>
            <w:rStyle w:val="Hyperlink"/>
            <w:rFonts w:eastAsia="Times New Roman" w:cs="Times New Roman"/>
            <w:szCs w:val="24"/>
          </w:rPr>
          <w:t>john.finnigan@occ.ohio.gov</w:t>
        </w:r>
      </w:hyperlink>
    </w:p>
    <w:p w:rsidR="007835E9" w:rsidRPr="0087048B" w:rsidP="009A7B69" w14:paraId="02E66F15" w14:textId="40A1D117">
      <w:pPr>
        <w:spacing w:after="0" w:line="240" w:lineRule="auto"/>
        <w:ind w:right="-672"/>
        <w:rPr>
          <w:rFonts w:eastAsia="Times New Roman" w:cs="Times New Roman"/>
          <w:szCs w:val="24"/>
        </w:rPr>
      </w:pPr>
      <w:r w:rsidRPr="0087048B">
        <w:rPr>
          <w:rFonts w:eastAsia="Times New Roman" w:cs="Times New Roman"/>
          <w:szCs w:val="24"/>
        </w:rPr>
        <w:t xml:space="preserve">December </w:t>
      </w:r>
      <w:r w:rsidRPr="0087048B" w:rsidR="000076F1">
        <w:rPr>
          <w:rFonts w:eastAsia="Times New Roman" w:cs="Times New Roman"/>
          <w:szCs w:val="24"/>
        </w:rPr>
        <w:t>30</w:t>
      </w:r>
      <w:r w:rsidRPr="0087048B">
        <w:rPr>
          <w:rFonts w:eastAsia="Times New Roman" w:cs="Times New Roman"/>
          <w:szCs w:val="24"/>
        </w:rPr>
        <w:t>, 2021</w:t>
      </w:r>
      <w:r w:rsidRPr="0087048B">
        <w:rPr>
          <w:rFonts w:eastAsia="Times New Roman" w:cs="Times New Roman"/>
          <w:szCs w:val="24"/>
        </w:rPr>
        <w:tab/>
      </w:r>
      <w:r w:rsidRPr="0087048B">
        <w:rPr>
          <w:rFonts w:eastAsia="Times New Roman" w:cs="Times New Roman"/>
          <w:szCs w:val="24"/>
        </w:rPr>
        <w:tab/>
      </w:r>
      <w:r w:rsidRPr="0087048B">
        <w:rPr>
          <w:rFonts w:eastAsia="Times New Roman" w:cs="Times New Roman"/>
          <w:szCs w:val="24"/>
        </w:rPr>
        <w:tab/>
      </w:r>
      <w:r w:rsidRPr="0087048B">
        <w:rPr>
          <w:rFonts w:eastAsia="Times New Roman" w:cs="Times New Roman"/>
          <w:szCs w:val="24"/>
        </w:rPr>
        <w:tab/>
        <w:t>(willing to accept service by e-mail)</w:t>
      </w:r>
    </w:p>
    <w:p w:rsidR="007835E9" w:rsidRPr="0087048B" w14:paraId="4C370143" w14:textId="77777777">
      <w:pPr>
        <w:rPr>
          <w:rFonts w:eastAsia="Times New Roman" w:cs="Times New Roman"/>
          <w:szCs w:val="24"/>
        </w:rPr>
      </w:pPr>
      <w:r w:rsidRPr="0087048B">
        <w:rPr>
          <w:rFonts w:eastAsia="Times New Roman" w:cs="Times New Roman"/>
          <w:szCs w:val="24"/>
        </w:rPr>
        <w:br w:type="page"/>
      </w:r>
    </w:p>
    <w:p w:rsidR="007835E9" w:rsidRPr="0087048B" w:rsidP="007835E9" w14:paraId="7E7A93F8" w14:textId="77777777">
      <w:pPr>
        <w:pStyle w:val="HTMLPreformatted"/>
        <w:jc w:val="center"/>
        <w:rPr>
          <w:rFonts w:ascii="Times New Roman" w:hAnsi="Times New Roman" w:cs="Times New Roman"/>
          <w:b/>
          <w:bCs/>
          <w:sz w:val="24"/>
          <w:szCs w:val="24"/>
          <w:u w:val="single"/>
        </w:rPr>
        <w:sectPr w:rsidSect="00DE224E">
          <w:footerReference w:type="default" r:id="rId9"/>
          <w:pgSz w:w="12240" w:h="15840"/>
          <w:pgMar w:top="1440" w:right="1800" w:bottom="1440" w:left="1800" w:header="720" w:footer="720" w:gutter="0"/>
          <w:cols w:space="720"/>
          <w:titlePg/>
          <w:docGrid w:linePitch="360"/>
        </w:sectPr>
      </w:pPr>
    </w:p>
    <w:p w:rsidR="007835E9" w:rsidRPr="0087048B" w:rsidP="007835E9" w14:paraId="7538467F" w14:textId="77777777">
      <w:pPr>
        <w:pStyle w:val="HTMLPreformatted"/>
        <w:jc w:val="center"/>
        <w:rPr>
          <w:rFonts w:ascii="Times New Roman" w:hAnsi="Times New Roman" w:cs="Times New Roman"/>
          <w:b/>
          <w:bCs/>
          <w:sz w:val="24"/>
          <w:szCs w:val="24"/>
          <w:u w:val="single"/>
        </w:rPr>
      </w:pPr>
      <w:r w:rsidRPr="0087048B">
        <w:rPr>
          <w:rFonts w:ascii="Times New Roman" w:hAnsi="Times New Roman" w:cs="Times New Roman"/>
          <w:b/>
          <w:bCs/>
          <w:sz w:val="24"/>
          <w:szCs w:val="24"/>
          <w:u w:val="single"/>
        </w:rPr>
        <w:t>TABLE OF CONTENTS</w:t>
      </w:r>
    </w:p>
    <w:p w:rsidR="007835E9" w:rsidRPr="0087048B" w:rsidP="007835E9" w14:paraId="0AF56A34" w14:textId="77777777">
      <w:pPr>
        <w:pStyle w:val="HTMLPreformatted"/>
        <w:jc w:val="center"/>
        <w:rPr>
          <w:rFonts w:ascii="Times New Roman" w:hAnsi="Times New Roman" w:cs="Times New Roman"/>
          <w:b/>
          <w:bCs/>
          <w:sz w:val="24"/>
          <w:szCs w:val="24"/>
        </w:rPr>
      </w:pPr>
    </w:p>
    <w:p w:rsidR="007835E9" w:rsidP="005A74EE" w14:paraId="03F80E4F" w14:textId="486DD10A">
      <w:pPr>
        <w:pStyle w:val="HTMLPreformatted"/>
        <w:jc w:val="right"/>
        <w:rPr>
          <w:rFonts w:ascii="Times New Roman" w:hAnsi="Times New Roman" w:cs="Times New Roman"/>
          <w:b/>
          <w:bCs/>
          <w:sz w:val="24"/>
          <w:szCs w:val="24"/>
        </w:rPr>
      </w:pPr>
      <w:r w:rsidRPr="0087048B">
        <w:rPr>
          <w:rFonts w:ascii="Times New Roman" w:hAnsi="Times New Roman" w:cs="Times New Roman"/>
          <w:b/>
          <w:bCs/>
          <w:sz w:val="24"/>
          <w:szCs w:val="24"/>
        </w:rPr>
        <w:tab/>
      </w:r>
      <w:r w:rsidRPr="0087048B">
        <w:rPr>
          <w:rFonts w:ascii="Times New Roman" w:hAnsi="Times New Roman" w:cs="Times New Roman"/>
          <w:b/>
          <w:bCs/>
          <w:sz w:val="24"/>
          <w:szCs w:val="24"/>
        </w:rPr>
        <w:tab/>
      </w:r>
      <w:r w:rsidRPr="0087048B">
        <w:rPr>
          <w:rFonts w:ascii="Times New Roman" w:hAnsi="Times New Roman" w:cs="Times New Roman"/>
          <w:b/>
          <w:bCs/>
          <w:sz w:val="24"/>
          <w:szCs w:val="24"/>
        </w:rPr>
        <w:tab/>
      </w:r>
      <w:r w:rsidRPr="0087048B">
        <w:rPr>
          <w:rFonts w:ascii="Times New Roman" w:hAnsi="Times New Roman" w:cs="Times New Roman"/>
          <w:b/>
          <w:bCs/>
          <w:sz w:val="24"/>
          <w:szCs w:val="24"/>
        </w:rPr>
        <w:tab/>
      </w:r>
      <w:r w:rsidRPr="0087048B">
        <w:rPr>
          <w:rFonts w:ascii="Times New Roman" w:hAnsi="Times New Roman" w:cs="Times New Roman"/>
          <w:b/>
          <w:bCs/>
          <w:sz w:val="24"/>
          <w:szCs w:val="24"/>
        </w:rPr>
        <w:tab/>
      </w:r>
      <w:r w:rsidRPr="0087048B">
        <w:rPr>
          <w:rFonts w:ascii="Times New Roman" w:hAnsi="Times New Roman" w:cs="Times New Roman"/>
          <w:b/>
          <w:bCs/>
          <w:sz w:val="24"/>
          <w:szCs w:val="24"/>
        </w:rPr>
        <w:tab/>
      </w:r>
      <w:r w:rsidRPr="0087048B">
        <w:rPr>
          <w:rFonts w:ascii="Times New Roman" w:hAnsi="Times New Roman" w:cs="Times New Roman"/>
          <w:b/>
          <w:bCs/>
          <w:sz w:val="24"/>
          <w:szCs w:val="24"/>
        </w:rPr>
        <w:tab/>
        <w:t xml:space="preserve">                  PAGE</w:t>
      </w:r>
    </w:p>
    <w:p w:rsidR="003E162E" w:rsidP="005A74EE" w14:paraId="37F93637" w14:textId="77777777">
      <w:pPr>
        <w:pStyle w:val="HTMLPreformatted"/>
        <w:jc w:val="right"/>
        <w:rPr>
          <w:rFonts w:ascii="Times New Roman" w:hAnsi="Times New Roman" w:cs="Times New Roman"/>
          <w:b/>
          <w:bCs/>
          <w:sz w:val="24"/>
          <w:szCs w:val="24"/>
        </w:rPr>
      </w:pPr>
    </w:p>
    <w:p w:rsidR="00AD47D4" w14:paraId="05257F09" w14:textId="1B552D49">
      <w:pPr>
        <w:pStyle w:val="TOC1"/>
        <w:rPr>
          <w:rFonts w:asciiTheme="minorHAnsi" w:eastAsiaTheme="minorEastAsia" w:hAnsiTheme="minorHAnsi"/>
          <w:caps w:val="0"/>
          <w:noProof/>
          <w:sz w:val="22"/>
        </w:rPr>
      </w:pPr>
      <w:r>
        <w:rPr>
          <w:rFonts w:cs="Times New Roman"/>
          <w:b/>
          <w:szCs w:val="24"/>
        </w:rPr>
        <w:fldChar w:fldCharType="begin"/>
      </w:r>
      <w:r>
        <w:rPr>
          <w:rFonts w:cs="Times New Roman"/>
          <w:b/>
          <w:szCs w:val="24"/>
        </w:rPr>
        <w:instrText xml:space="preserve"> TOC \o "1-3" \h \z \u </w:instrText>
      </w:r>
      <w:r>
        <w:rPr>
          <w:rFonts w:cs="Times New Roman"/>
          <w:b/>
          <w:szCs w:val="24"/>
        </w:rPr>
        <w:fldChar w:fldCharType="separate"/>
      </w:r>
      <w:hyperlink w:anchor="_Toc91769891" w:history="1">
        <w:r w:rsidRPr="005F4EC8">
          <w:rPr>
            <w:rStyle w:val="Hyperlink"/>
            <w:noProof/>
          </w:rPr>
          <w:t>I.</w:t>
        </w:r>
        <w:r>
          <w:rPr>
            <w:rFonts w:asciiTheme="minorHAnsi" w:eastAsiaTheme="minorEastAsia" w:hAnsiTheme="minorHAnsi"/>
            <w:caps w:val="0"/>
            <w:noProof/>
            <w:sz w:val="22"/>
          </w:rPr>
          <w:tab/>
        </w:r>
        <w:r w:rsidRPr="005F4EC8">
          <w:rPr>
            <w:rStyle w:val="Hyperlink"/>
            <w:noProof/>
          </w:rPr>
          <w:t>INTRODUCTION</w:t>
        </w:r>
        <w:r>
          <w:rPr>
            <w:noProof/>
            <w:webHidden/>
          </w:rPr>
          <w:tab/>
        </w:r>
        <w:r>
          <w:rPr>
            <w:noProof/>
            <w:webHidden/>
          </w:rPr>
          <w:fldChar w:fldCharType="begin"/>
        </w:r>
        <w:r>
          <w:rPr>
            <w:noProof/>
            <w:webHidden/>
          </w:rPr>
          <w:instrText xml:space="preserve"> PAGEREF _Toc91769891 \h </w:instrText>
        </w:r>
        <w:r>
          <w:rPr>
            <w:noProof/>
            <w:webHidden/>
          </w:rPr>
          <w:fldChar w:fldCharType="separate"/>
        </w:r>
        <w:r>
          <w:rPr>
            <w:noProof/>
            <w:webHidden/>
          </w:rPr>
          <w:t>1</w:t>
        </w:r>
        <w:r>
          <w:rPr>
            <w:noProof/>
            <w:webHidden/>
          </w:rPr>
          <w:fldChar w:fldCharType="end"/>
        </w:r>
      </w:hyperlink>
    </w:p>
    <w:p w:rsidR="00AD47D4" w14:paraId="0A872EED" w14:textId="35B93390">
      <w:pPr>
        <w:pStyle w:val="TOC1"/>
        <w:rPr>
          <w:rFonts w:asciiTheme="minorHAnsi" w:eastAsiaTheme="minorEastAsia" w:hAnsiTheme="minorHAnsi"/>
          <w:caps w:val="0"/>
          <w:noProof/>
          <w:sz w:val="22"/>
        </w:rPr>
      </w:pPr>
      <w:hyperlink w:anchor="_Toc91769892" w:history="1">
        <w:r w:rsidRPr="005F4EC8">
          <w:rPr>
            <w:rStyle w:val="Hyperlink"/>
            <w:noProof/>
          </w:rPr>
          <w:t>II.</w:t>
        </w:r>
        <w:r>
          <w:rPr>
            <w:rFonts w:asciiTheme="minorHAnsi" w:eastAsiaTheme="minorEastAsia" w:hAnsiTheme="minorHAnsi"/>
            <w:caps w:val="0"/>
            <w:noProof/>
            <w:sz w:val="22"/>
          </w:rPr>
          <w:tab/>
        </w:r>
        <w:r w:rsidRPr="005F4EC8">
          <w:rPr>
            <w:rStyle w:val="Hyperlink"/>
            <w:noProof/>
          </w:rPr>
          <w:t>RECOMMENDATIONS</w:t>
        </w:r>
        <w:r>
          <w:rPr>
            <w:noProof/>
            <w:webHidden/>
          </w:rPr>
          <w:tab/>
        </w:r>
        <w:r>
          <w:rPr>
            <w:noProof/>
            <w:webHidden/>
          </w:rPr>
          <w:fldChar w:fldCharType="begin"/>
        </w:r>
        <w:r>
          <w:rPr>
            <w:noProof/>
            <w:webHidden/>
          </w:rPr>
          <w:instrText xml:space="preserve"> PAGEREF _Toc91769892 \h </w:instrText>
        </w:r>
        <w:r>
          <w:rPr>
            <w:noProof/>
            <w:webHidden/>
          </w:rPr>
          <w:fldChar w:fldCharType="separate"/>
        </w:r>
        <w:r>
          <w:rPr>
            <w:noProof/>
            <w:webHidden/>
          </w:rPr>
          <w:t>2</w:t>
        </w:r>
        <w:r>
          <w:rPr>
            <w:noProof/>
            <w:webHidden/>
          </w:rPr>
          <w:fldChar w:fldCharType="end"/>
        </w:r>
      </w:hyperlink>
    </w:p>
    <w:p w:rsidR="00AD47D4" w14:paraId="7F1FE57A" w14:textId="0159492F">
      <w:pPr>
        <w:pStyle w:val="TOC2"/>
        <w:rPr>
          <w:rFonts w:asciiTheme="minorHAnsi" w:eastAsiaTheme="minorEastAsia" w:hAnsiTheme="minorHAnsi" w:cstheme="minorBidi"/>
          <w:bCs w:val="0"/>
          <w:sz w:val="22"/>
        </w:rPr>
      </w:pPr>
      <w:hyperlink w:anchor="_Toc91769893" w:history="1">
        <w:r w:rsidRPr="005F4EC8">
          <w:rPr>
            <w:rStyle w:val="Hyperlink"/>
          </w:rPr>
          <w:t>A.</w:t>
        </w:r>
        <w:r>
          <w:rPr>
            <w:rFonts w:asciiTheme="minorHAnsi" w:eastAsiaTheme="minorEastAsia" w:hAnsiTheme="minorHAnsi" w:cstheme="minorBidi"/>
            <w:bCs w:val="0"/>
            <w:sz w:val="22"/>
          </w:rPr>
          <w:tab/>
        </w:r>
        <w:r w:rsidRPr="005F4EC8">
          <w:rPr>
            <w:rStyle w:val="Hyperlink"/>
          </w:rPr>
          <w:t>The PUCO lawfully decided to approve the Settlement and the signatory parties’ agreement to keep the Retail Reconciliation Rider and SSO Credit Rider at a zero charge to consumers. The PUCO’s decision is grounded in the public interest, the evidentiary record and fully explained in the PUCO’s Order. (IGS Assignments of Error Nos. 1-4).</w:t>
        </w:r>
        <w:r>
          <w:rPr>
            <w:webHidden/>
          </w:rPr>
          <w:tab/>
        </w:r>
        <w:r>
          <w:rPr>
            <w:webHidden/>
          </w:rPr>
          <w:fldChar w:fldCharType="begin"/>
        </w:r>
        <w:r>
          <w:rPr>
            <w:webHidden/>
          </w:rPr>
          <w:instrText xml:space="preserve"> PAGEREF _Toc91769893 \h </w:instrText>
        </w:r>
        <w:r>
          <w:rPr>
            <w:webHidden/>
          </w:rPr>
          <w:fldChar w:fldCharType="separate"/>
        </w:r>
        <w:r>
          <w:rPr>
            <w:webHidden/>
          </w:rPr>
          <w:t>2</w:t>
        </w:r>
        <w:r>
          <w:rPr>
            <w:webHidden/>
          </w:rPr>
          <w:fldChar w:fldCharType="end"/>
        </w:r>
      </w:hyperlink>
    </w:p>
    <w:p w:rsidR="00AD47D4" w14:paraId="05B3800C" w14:textId="712ADA8C">
      <w:pPr>
        <w:pStyle w:val="TOC3"/>
        <w:rPr>
          <w:rFonts w:asciiTheme="minorHAnsi" w:eastAsiaTheme="minorEastAsia" w:hAnsiTheme="minorHAnsi"/>
          <w:noProof/>
          <w:sz w:val="22"/>
        </w:rPr>
      </w:pPr>
      <w:hyperlink w:anchor="_Toc91769894" w:history="1">
        <w:r w:rsidRPr="005F4EC8">
          <w:rPr>
            <w:rStyle w:val="Hyperlink"/>
            <w:noProof/>
          </w:rPr>
          <w:t>1.</w:t>
        </w:r>
        <w:r>
          <w:rPr>
            <w:rFonts w:asciiTheme="minorHAnsi" w:eastAsiaTheme="minorEastAsia" w:hAnsiTheme="minorHAnsi"/>
            <w:noProof/>
            <w:sz w:val="22"/>
          </w:rPr>
          <w:tab/>
        </w:r>
        <w:r w:rsidRPr="005F4EC8">
          <w:rPr>
            <w:rStyle w:val="Hyperlink"/>
            <w:noProof/>
          </w:rPr>
          <w:t>The PUCO’s Order that kept the Settlement’s consumer protection intact does not violate R.C. 4903.09. (IGS Assignments of Error Nos. 1, 2, and 4).</w:t>
        </w:r>
        <w:r>
          <w:rPr>
            <w:noProof/>
            <w:webHidden/>
          </w:rPr>
          <w:tab/>
        </w:r>
        <w:r>
          <w:rPr>
            <w:noProof/>
            <w:webHidden/>
          </w:rPr>
          <w:fldChar w:fldCharType="begin"/>
        </w:r>
        <w:r>
          <w:rPr>
            <w:noProof/>
            <w:webHidden/>
          </w:rPr>
          <w:instrText xml:space="preserve"> PAGEREF _Toc91769894 \h </w:instrText>
        </w:r>
        <w:r>
          <w:rPr>
            <w:noProof/>
            <w:webHidden/>
          </w:rPr>
          <w:fldChar w:fldCharType="separate"/>
        </w:r>
        <w:r>
          <w:rPr>
            <w:noProof/>
            <w:webHidden/>
          </w:rPr>
          <w:t>3</w:t>
        </w:r>
        <w:r>
          <w:rPr>
            <w:noProof/>
            <w:webHidden/>
          </w:rPr>
          <w:fldChar w:fldCharType="end"/>
        </w:r>
      </w:hyperlink>
    </w:p>
    <w:p w:rsidR="00AD47D4" w14:paraId="5243F040" w14:textId="11098E34">
      <w:pPr>
        <w:pStyle w:val="TOC3"/>
        <w:rPr>
          <w:rFonts w:asciiTheme="minorHAnsi" w:eastAsiaTheme="minorEastAsia" w:hAnsiTheme="minorHAnsi"/>
          <w:noProof/>
          <w:sz w:val="22"/>
        </w:rPr>
      </w:pPr>
      <w:hyperlink w:anchor="_Toc91769895" w:history="1">
        <w:r w:rsidRPr="005F4EC8">
          <w:rPr>
            <w:rStyle w:val="Hyperlink"/>
            <w:noProof/>
          </w:rPr>
          <w:t>2.</w:t>
        </w:r>
        <w:r>
          <w:rPr>
            <w:rFonts w:asciiTheme="minorHAnsi" w:eastAsiaTheme="minorEastAsia" w:hAnsiTheme="minorHAnsi"/>
            <w:noProof/>
            <w:sz w:val="22"/>
          </w:rPr>
          <w:tab/>
        </w:r>
        <w:r w:rsidRPr="005F4EC8">
          <w:rPr>
            <w:rStyle w:val="Hyperlink"/>
            <w:noProof/>
          </w:rPr>
          <w:t>The PUCO’s Order that kept the Settlement’s consumer protection intact does not violate R.C. 4909.15, 4928.02, and 4928.05. (IGS Assignment of Error No. 3).</w:t>
        </w:r>
        <w:r>
          <w:rPr>
            <w:noProof/>
            <w:webHidden/>
          </w:rPr>
          <w:tab/>
        </w:r>
        <w:r>
          <w:rPr>
            <w:noProof/>
            <w:webHidden/>
          </w:rPr>
          <w:fldChar w:fldCharType="begin"/>
        </w:r>
        <w:r>
          <w:rPr>
            <w:noProof/>
            <w:webHidden/>
          </w:rPr>
          <w:instrText xml:space="preserve"> PAGEREF _Toc91769895 \h </w:instrText>
        </w:r>
        <w:r>
          <w:rPr>
            <w:noProof/>
            <w:webHidden/>
          </w:rPr>
          <w:fldChar w:fldCharType="separate"/>
        </w:r>
        <w:r>
          <w:rPr>
            <w:noProof/>
            <w:webHidden/>
          </w:rPr>
          <w:t>8</w:t>
        </w:r>
        <w:r>
          <w:rPr>
            <w:noProof/>
            <w:webHidden/>
          </w:rPr>
          <w:fldChar w:fldCharType="end"/>
        </w:r>
      </w:hyperlink>
    </w:p>
    <w:p w:rsidR="00AD47D4" w14:paraId="1364A151" w14:textId="62E10E77">
      <w:pPr>
        <w:pStyle w:val="TOC2"/>
        <w:rPr>
          <w:rFonts w:asciiTheme="minorHAnsi" w:eastAsiaTheme="minorEastAsia" w:hAnsiTheme="minorHAnsi" w:cstheme="minorBidi"/>
          <w:bCs w:val="0"/>
          <w:sz w:val="22"/>
        </w:rPr>
      </w:pPr>
      <w:hyperlink w:anchor="_Toc91769896" w:history="1">
        <w:r w:rsidRPr="005F4EC8">
          <w:rPr>
            <w:rStyle w:val="Hyperlink"/>
          </w:rPr>
          <w:t>B.</w:t>
        </w:r>
        <w:r>
          <w:rPr>
            <w:rFonts w:asciiTheme="minorHAnsi" w:eastAsiaTheme="minorEastAsia" w:hAnsiTheme="minorHAnsi" w:cstheme="minorBidi"/>
            <w:bCs w:val="0"/>
            <w:sz w:val="22"/>
          </w:rPr>
          <w:tab/>
        </w:r>
        <w:r w:rsidRPr="005F4EC8">
          <w:rPr>
            <w:rStyle w:val="Hyperlink"/>
          </w:rPr>
          <w:t>The PUCO’s Order correctly approved the Settlement with its consumer protection in AEP’s provision of “shadow billing” data to OCC and the PUCO Staff. (IGS Assignments of Error Nos. 6 and 7).</w:t>
        </w:r>
        <w:r>
          <w:rPr>
            <w:webHidden/>
          </w:rPr>
          <w:tab/>
        </w:r>
        <w:r>
          <w:rPr>
            <w:webHidden/>
          </w:rPr>
          <w:fldChar w:fldCharType="begin"/>
        </w:r>
        <w:r>
          <w:rPr>
            <w:webHidden/>
          </w:rPr>
          <w:instrText xml:space="preserve"> PAGEREF _Toc91769896 \h </w:instrText>
        </w:r>
        <w:r>
          <w:rPr>
            <w:webHidden/>
          </w:rPr>
          <w:fldChar w:fldCharType="separate"/>
        </w:r>
        <w:r>
          <w:rPr>
            <w:webHidden/>
          </w:rPr>
          <w:t>9</w:t>
        </w:r>
        <w:r>
          <w:rPr>
            <w:webHidden/>
          </w:rPr>
          <w:fldChar w:fldCharType="end"/>
        </w:r>
      </w:hyperlink>
    </w:p>
    <w:p w:rsidR="00AD47D4" w14:paraId="168D60A4" w14:textId="102EC299">
      <w:pPr>
        <w:pStyle w:val="TOC2"/>
        <w:rPr>
          <w:rFonts w:asciiTheme="minorHAnsi" w:eastAsiaTheme="minorEastAsia" w:hAnsiTheme="minorHAnsi" w:cstheme="minorBidi"/>
          <w:bCs w:val="0"/>
          <w:sz w:val="22"/>
        </w:rPr>
      </w:pPr>
      <w:hyperlink w:anchor="_Toc91769897" w:history="1">
        <w:r w:rsidRPr="005F4EC8">
          <w:rPr>
            <w:rStyle w:val="Hyperlink"/>
          </w:rPr>
          <w:t>C.</w:t>
        </w:r>
        <w:r>
          <w:rPr>
            <w:rFonts w:asciiTheme="minorHAnsi" w:eastAsiaTheme="minorEastAsia" w:hAnsiTheme="minorHAnsi" w:cstheme="minorBidi"/>
            <w:bCs w:val="0"/>
            <w:sz w:val="22"/>
          </w:rPr>
          <w:tab/>
        </w:r>
        <w:r w:rsidRPr="005F4EC8">
          <w:rPr>
            <w:rStyle w:val="Hyperlink"/>
          </w:rPr>
          <w:t>The PUCO correctly evaluated whether the Settlement as a package benefits consumers and the public interest. The PUCO should deny NEP’s request that the PUCO modify the Settlement to include NEP’s additional proposals. (NEP Assignment of Error No. 2).</w:t>
        </w:r>
        <w:r>
          <w:rPr>
            <w:webHidden/>
          </w:rPr>
          <w:tab/>
        </w:r>
        <w:r>
          <w:rPr>
            <w:webHidden/>
          </w:rPr>
          <w:fldChar w:fldCharType="begin"/>
        </w:r>
        <w:r>
          <w:rPr>
            <w:webHidden/>
          </w:rPr>
          <w:instrText xml:space="preserve"> PAGEREF _Toc91769897 \h </w:instrText>
        </w:r>
        <w:r>
          <w:rPr>
            <w:webHidden/>
          </w:rPr>
          <w:fldChar w:fldCharType="separate"/>
        </w:r>
        <w:r>
          <w:rPr>
            <w:webHidden/>
          </w:rPr>
          <w:t>13</w:t>
        </w:r>
        <w:r>
          <w:rPr>
            <w:webHidden/>
          </w:rPr>
          <w:fldChar w:fldCharType="end"/>
        </w:r>
      </w:hyperlink>
    </w:p>
    <w:p w:rsidR="00AD47D4" w14:paraId="48C1409B" w14:textId="7C39B56C">
      <w:pPr>
        <w:pStyle w:val="TOC1"/>
        <w:rPr>
          <w:rFonts w:asciiTheme="minorHAnsi" w:eastAsiaTheme="minorEastAsia" w:hAnsiTheme="minorHAnsi"/>
          <w:caps w:val="0"/>
          <w:noProof/>
          <w:sz w:val="22"/>
        </w:rPr>
      </w:pPr>
      <w:hyperlink w:anchor="_Toc91769898" w:history="1">
        <w:r w:rsidRPr="005F4EC8">
          <w:rPr>
            <w:rStyle w:val="Hyperlink"/>
            <w:noProof/>
          </w:rPr>
          <w:t>III.</w:t>
        </w:r>
        <w:r>
          <w:rPr>
            <w:rFonts w:asciiTheme="minorHAnsi" w:eastAsiaTheme="minorEastAsia" w:hAnsiTheme="minorHAnsi"/>
            <w:caps w:val="0"/>
            <w:noProof/>
            <w:sz w:val="22"/>
          </w:rPr>
          <w:tab/>
        </w:r>
        <w:r w:rsidRPr="005F4EC8">
          <w:rPr>
            <w:rStyle w:val="Hyperlink"/>
            <w:noProof/>
          </w:rPr>
          <w:t>CONCLUSION</w:t>
        </w:r>
        <w:r>
          <w:rPr>
            <w:noProof/>
            <w:webHidden/>
          </w:rPr>
          <w:tab/>
        </w:r>
        <w:r>
          <w:rPr>
            <w:noProof/>
            <w:webHidden/>
          </w:rPr>
          <w:fldChar w:fldCharType="begin"/>
        </w:r>
        <w:r>
          <w:rPr>
            <w:noProof/>
            <w:webHidden/>
          </w:rPr>
          <w:instrText xml:space="preserve"> PAGEREF _Toc91769898 \h </w:instrText>
        </w:r>
        <w:r>
          <w:rPr>
            <w:noProof/>
            <w:webHidden/>
          </w:rPr>
          <w:fldChar w:fldCharType="separate"/>
        </w:r>
        <w:r>
          <w:rPr>
            <w:noProof/>
            <w:webHidden/>
          </w:rPr>
          <w:t>14</w:t>
        </w:r>
        <w:r>
          <w:rPr>
            <w:noProof/>
            <w:webHidden/>
          </w:rPr>
          <w:fldChar w:fldCharType="end"/>
        </w:r>
      </w:hyperlink>
    </w:p>
    <w:p w:rsidR="00F56EF2" w:rsidRPr="0087048B" w:rsidP="0036016C" w14:paraId="6960547A" w14:textId="38D849A9">
      <w:pPr>
        <w:spacing w:after="0" w:line="240" w:lineRule="auto"/>
        <w:jc w:val="center"/>
        <w:rPr>
          <w:rFonts w:cs="Times New Roman"/>
          <w:b/>
          <w:szCs w:val="24"/>
        </w:rPr>
      </w:pPr>
      <w:r>
        <w:rPr>
          <w:rFonts w:cs="Times New Roman"/>
          <w:b/>
          <w:szCs w:val="24"/>
        </w:rPr>
        <w:fldChar w:fldCharType="end"/>
      </w:r>
    </w:p>
    <w:p w:rsidR="00F56EF2" w:rsidRPr="0087048B" w:rsidP="0036016C" w14:paraId="3CF61C65" w14:textId="48AC10B4">
      <w:pPr>
        <w:spacing w:after="0" w:line="240" w:lineRule="auto"/>
        <w:jc w:val="center"/>
        <w:rPr>
          <w:rFonts w:cs="Times New Roman"/>
          <w:b/>
          <w:szCs w:val="24"/>
        </w:rPr>
      </w:pPr>
    </w:p>
    <w:p w:rsidR="00F56EF2" w:rsidRPr="0087048B" w:rsidP="0036016C" w14:paraId="0C09A435" w14:textId="68ED3E6C">
      <w:pPr>
        <w:spacing w:after="0" w:line="240" w:lineRule="auto"/>
        <w:jc w:val="center"/>
        <w:rPr>
          <w:rFonts w:cs="Times New Roman"/>
          <w:b/>
          <w:szCs w:val="24"/>
        </w:rPr>
      </w:pPr>
    </w:p>
    <w:p w:rsidR="00F56EF2" w:rsidRPr="0087048B" w:rsidP="0036016C" w14:paraId="7080A5C6" w14:textId="12649664">
      <w:pPr>
        <w:spacing w:after="0" w:line="240" w:lineRule="auto"/>
        <w:jc w:val="center"/>
        <w:rPr>
          <w:rFonts w:cs="Times New Roman"/>
          <w:b/>
          <w:szCs w:val="24"/>
        </w:rPr>
      </w:pPr>
    </w:p>
    <w:p w:rsidR="00F56EF2" w:rsidRPr="0087048B" w:rsidP="0036016C" w14:paraId="37EA3EBD" w14:textId="3075AC48">
      <w:pPr>
        <w:spacing w:after="0" w:line="240" w:lineRule="auto"/>
        <w:jc w:val="center"/>
        <w:rPr>
          <w:rFonts w:cs="Times New Roman"/>
          <w:b/>
          <w:szCs w:val="24"/>
        </w:rPr>
      </w:pPr>
    </w:p>
    <w:p w:rsidR="00907737" w:rsidP="0036016C" w14:paraId="20F86AB9" w14:textId="77777777">
      <w:pPr>
        <w:spacing w:after="0" w:line="240" w:lineRule="auto"/>
        <w:jc w:val="center"/>
        <w:rPr>
          <w:rFonts w:cs="Times New Roman"/>
          <w:b/>
          <w:szCs w:val="24"/>
        </w:rPr>
        <w:sectPr w:rsidSect="00907737">
          <w:headerReference w:type="default" r:id="rId10"/>
          <w:pgSz w:w="12240" w:h="15840"/>
          <w:pgMar w:top="1440" w:right="1800" w:bottom="1440" w:left="1800" w:header="720" w:footer="720" w:gutter="0"/>
          <w:pgNumType w:fmt="lowerRoman" w:start="1"/>
          <w:cols w:space="720"/>
          <w:docGrid w:linePitch="360"/>
        </w:sectPr>
      </w:pPr>
    </w:p>
    <w:p w:rsidR="0036016C" w:rsidRPr="0087048B" w:rsidP="003E162E" w14:paraId="1F569972" w14:textId="5A589118">
      <w:pPr>
        <w:spacing w:after="0"/>
        <w:jc w:val="center"/>
        <w:rPr>
          <w:rFonts w:cs="Times New Roman"/>
          <w:b/>
          <w:szCs w:val="24"/>
        </w:rPr>
      </w:pPr>
      <w:r w:rsidRPr="0087048B">
        <w:rPr>
          <w:rFonts w:cs="Times New Roman"/>
          <w:b/>
          <w:szCs w:val="24"/>
        </w:rPr>
        <w:t>BEFORE</w:t>
      </w:r>
    </w:p>
    <w:p w:rsidR="0036016C" w:rsidRPr="0087048B" w:rsidP="003E162E" w14:paraId="5849683B" w14:textId="77777777">
      <w:pPr>
        <w:spacing w:after="0" w:line="240" w:lineRule="auto"/>
        <w:jc w:val="center"/>
        <w:rPr>
          <w:rFonts w:cs="Times New Roman"/>
          <w:b/>
          <w:szCs w:val="24"/>
        </w:rPr>
      </w:pPr>
      <w:r w:rsidRPr="0087048B">
        <w:rPr>
          <w:rFonts w:cs="Times New Roman"/>
          <w:b/>
          <w:szCs w:val="24"/>
        </w:rPr>
        <w:t>THE PUBLIC UTILITIES COMMISSION OF OHIO</w:t>
      </w:r>
    </w:p>
    <w:p w:rsidR="0036016C" w:rsidRPr="0087048B" w:rsidP="0036016C" w14:paraId="133073A8" w14:textId="77777777">
      <w:pPr>
        <w:spacing w:after="0" w:line="240" w:lineRule="auto"/>
        <w:jc w:val="center"/>
        <w:rPr>
          <w:rFonts w:cs="Times New Roman"/>
          <w:b/>
          <w:szCs w:val="24"/>
        </w:rPr>
      </w:pPr>
    </w:p>
    <w:tbl>
      <w:tblPr>
        <w:tblW w:w="10358" w:type="dxa"/>
        <w:tblLook w:val="01E0"/>
      </w:tblPr>
      <w:tblGrid>
        <w:gridCol w:w="5238"/>
        <w:gridCol w:w="480"/>
        <w:gridCol w:w="4640"/>
      </w:tblGrid>
      <w:tr w14:paraId="0D37BD64" w14:textId="77777777" w:rsidTr="0036016C">
        <w:tblPrEx>
          <w:tblW w:w="10358" w:type="dxa"/>
          <w:tblLook w:val="01E0"/>
        </w:tblPrEx>
        <w:trPr>
          <w:trHeight w:val="807"/>
        </w:trPr>
        <w:tc>
          <w:tcPr>
            <w:tcW w:w="5238" w:type="dxa"/>
            <w:shd w:val="clear" w:color="auto" w:fill="auto"/>
          </w:tcPr>
          <w:p w:rsidR="0036016C" w:rsidRPr="0087048B" w:rsidP="0036016C" w14:paraId="44D1ADCD" w14:textId="13B02012">
            <w:pPr>
              <w:autoSpaceDE w:val="0"/>
              <w:autoSpaceDN w:val="0"/>
              <w:adjustRightInd w:val="0"/>
              <w:spacing w:after="0" w:line="240" w:lineRule="auto"/>
              <w:rPr>
                <w:rFonts w:cs="Times New Roman"/>
                <w:szCs w:val="24"/>
              </w:rPr>
            </w:pPr>
            <w:r w:rsidRPr="0087048B">
              <w:rPr>
                <w:rFonts w:cs="Times New Roman"/>
                <w:szCs w:val="24"/>
              </w:rPr>
              <w:t xml:space="preserve">In the Matter of the Application of </w:t>
            </w:r>
            <w:r w:rsidRPr="0087048B" w:rsidR="00B806CD">
              <w:rPr>
                <w:rFonts w:cs="Times New Roman"/>
                <w:szCs w:val="24"/>
              </w:rPr>
              <w:t>Ohio Power Company</w:t>
            </w:r>
            <w:r w:rsidRPr="0087048B">
              <w:rPr>
                <w:rFonts w:cs="Times New Roman"/>
                <w:szCs w:val="24"/>
              </w:rPr>
              <w:t xml:space="preserve"> for an Increase in Electric Distribution Rates.</w:t>
            </w:r>
          </w:p>
          <w:p w:rsidR="0036016C" w:rsidRPr="0087048B" w:rsidP="0036016C" w14:paraId="3B056D09" w14:textId="77777777">
            <w:pPr>
              <w:autoSpaceDE w:val="0"/>
              <w:autoSpaceDN w:val="0"/>
              <w:adjustRightInd w:val="0"/>
              <w:spacing w:after="0" w:line="240" w:lineRule="auto"/>
              <w:rPr>
                <w:rFonts w:cs="Times New Roman"/>
                <w:szCs w:val="24"/>
              </w:rPr>
            </w:pPr>
          </w:p>
          <w:p w:rsidR="0036016C" w:rsidRPr="0087048B" w:rsidP="0036016C" w14:paraId="5A34CAC2" w14:textId="319DE7AF">
            <w:pPr>
              <w:autoSpaceDE w:val="0"/>
              <w:autoSpaceDN w:val="0"/>
              <w:adjustRightInd w:val="0"/>
              <w:spacing w:after="0" w:line="240" w:lineRule="auto"/>
              <w:rPr>
                <w:rFonts w:cs="Times New Roman"/>
                <w:szCs w:val="24"/>
              </w:rPr>
            </w:pPr>
            <w:r w:rsidRPr="0087048B">
              <w:rPr>
                <w:rFonts w:cs="Times New Roman"/>
                <w:szCs w:val="24"/>
              </w:rPr>
              <w:t>In the Matter of the Application of</w:t>
            </w:r>
            <w:r w:rsidRPr="0087048B" w:rsidR="00AE7E4E">
              <w:rPr>
                <w:rFonts w:cs="Times New Roman"/>
                <w:szCs w:val="24"/>
              </w:rPr>
              <w:t xml:space="preserve"> Ohio Power Company </w:t>
            </w:r>
            <w:r w:rsidRPr="0087048B">
              <w:rPr>
                <w:rFonts w:cs="Times New Roman"/>
                <w:szCs w:val="24"/>
              </w:rPr>
              <w:t xml:space="preserve">for </w:t>
            </w:r>
            <w:r w:rsidRPr="0087048B" w:rsidR="00AE7E4E">
              <w:rPr>
                <w:rFonts w:cs="Times New Roman"/>
                <w:szCs w:val="24"/>
              </w:rPr>
              <w:t>Tariff Approval.</w:t>
            </w:r>
          </w:p>
          <w:p w:rsidR="0036016C" w:rsidRPr="0087048B" w:rsidP="0036016C" w14:paraId="3653622C" w14:textId="77777777">
            <w:pPr>
              <w:autoSpaceDE w:val="0"/>
              <w:autoSpaceDN w:val="0"/>
              <w:adjustRightInd w:val="0"/>
              <w:spacing w:after="0" w:line="240" w:lineRule="auto"/>
              <w:rPr>
                <w:rFonts w:cs="Times New Roman"/>
                <w:szCs w:val="24"/>
              </w:rPr>
            </w:pPr>
          </w:p>
          <w:p w:rsidR="0036016C" w:rsidRPr="0087048B" w:rsidP="0036016C" w14:paraId="37EA08D4" w14:textId="5BEADBBF">
            <w:pPr>
              <w:autoSpaceDE w:val="0"/>
              <w:autoSpaceDN w:val="0"/>
              <w:adjustRightInd w:val="0"/>
              <w:spacing w:after="0" w:line="240" w:lineRule="auto"/>
              <w:rPr>
                <w:rFonts w:cs="Times New Roman"/>
                <w:szCs w:val="24"/>
              </w:rPr>
            </w:pPr>
            <w:r w:rsidRPr="0087048B">
              <w:rPr>
                <w:rFonts w:cs="Times New Roman"/>
                <w:szCs w:val="24"/>
              </w:rPr>
              <w:t xml:space="preserve">In the Matter of the Application of </w:t>
            </w:r>
            <w:r w:rsidRPr="0087048B" w:rsidR="00AE7E4E">
              <w:rPr>
                <w:rFonts w:cs="Times New Roman"/>
                <w:szCs w:val="24"/>
              </w:rPr>
              <w:t>Ohio Power Company for Approval to Change Accounting Methods</w:t>
            </w:r>
            <w:r w:rsidRPr="0087048B">
              <w:rPr>
                <w:rFonts w:cs="Times New Roman"/>
                <w:szCs w:val="24"/>
              </w:rPr>
              <w:t>.</w:t>
            </w:r>
          </w:p>
        </w:tc>
        <w:tc>
          <w:tcPr>
            <w:tcW w:w="480" w:type="dxa"/>
            <w:shd w:val="clear" w:color="auto" w:fill="auto"/>
          </w:tcPr>
          <w:p w:rsidR="0036016C" w:rsidRPr="0087048B" w:rsidP="0036016C" w14:paraId="28617480" w14:textId="77777777">
            <w:pPr>
              <w:pStyle w:val="HTMLPreformatted"/>
              <w:rPr>
                <w:rFonts w:ascii="Times New Roman" w:hAnsi="Times New Roman" w:cs="Times New Roman"/>
                <w:sz w:val="24"/>
                <w:szCs w:val="24"/>
              </w:rPr>
            </w:pPr>
            <w:r w:rsidRPr="0087048B">
              <w:rPr>
                <w:rFonts w:ascii="Times New Roman" w:hAnsi="Times New Roman" w:cs="Times New Roman"/>
                <w:sz w:val="24"/>
                <w:szCs w:val="24"/>
              </w:rPr>
              <w:t>)</w:t>
            </w:r>
          </w:p>
          <w:p w:rsidR="0036016C" w:rsidRPr="0087048B" w:rsidP="0036016C" w14:paraId="3DBF10EA" w14:textId="77777777">
            <w:pPr>
              <w:pStyle w:val="HTMLPreformatted"/>
              <w:rPr>
                <w:rFonts w:ascii="Times New Roman" w:hAnsi="Times New Roman" w:cs="Times New Roman"/>
                <w:sz w:val="24"/>
                <w:szCs w:val="24"/>
              </w:rPr>
            </w:pPr>
            <w:r w:rsidRPr="0087048B">
              <w:rPr>
                <w:rFonts w:ascii="Times New Roman" w:hAnsi="Times New Roman" w:cs="Times New Roman"/>
                <w:sz w:val="24"/>
                <w:szCs w:val="24"/>
              </w:rPr>
              <w:t>)</w:t>
            </w:r>
          </w:p>
          <w:p w:rsidR="0036016C" w:rsidRPr="0087048B" w:rsidP="0036016C" w14:paraId="65F8C69C" w14:textId="77777777">
            <w:pPr>
              <w:pStyle w:val="HTMLPreformatted"/>
              <w:rPr>
                <w:rFonts w:ascii="Times New Roman" w:hAnsi="Times New Roman" w:cs="Times New Roman"/>
                <w:sz w:val="24"/>
                <w:szCs w:val="24"/>
              </w:rPr>
            </w:pPr>
            <w:r w:rsidRPr="0087048B">
              <w:rPr>
                <w:rFonts w:ascii="Times New Roman" w:hAnsi="Times New Roman" w:cs="Times New Roman"/>
                <w:sz w:val="24"/>
                <w:szCs w:val="24"/>
              </w:rPr>
              <w:t>)</w:t>
            </w:r>
          </w:p>
          <w:p w:rsidR="0036016C" w:rsidRPr="0087048B" w:rsidP="0036016C" w14:paraId="13E83434" w14:textId="17A40E8D">
            <w:pPr>
              <w:pStyle w:val="HTMLPreformatted"/>
              <w:rPr>
                <w:rFonts w:ascii="Times New Roman" w:hAnsi="Times New Roman" w:cs="Times New Roman"/>
                <w:sz w:val="24"/>
                <w:szCs w:val="24"/>
              </w:rPr>
            </w:pPr>
            <w:r w:rsidRPr="0087048B">
              <w:rPr>
                <w:rFonts w:ascii="Times New Roman" w:hAnsi="Times New Roman" w:cs="Times New Roman"/>
                <w:sz w:val="24"/>
                <w:szCs w:val="24"/>
              </w:rPr>
              <w:t>)</w:t>
            </w:r>
          </w:p>
          <w:p w:rsidR="0036016C" w:rsidRPr="0087048B" w:rsidP="0036016C" w14:paraId="4E276716" w14:textId="77777777">
            <w:pPr>
              <w:pStyle w:val="HTMLPreformatted"/>
              <w:rPr>
                <w:rFonts w:ascii="Times New Roman" w:hAnsi="Times New Roman" w:cs="Times New Roman"/>
                <w:sz w:val="24"/>
                <w:szCs w:val="24"/>
              </w:rPr>
            </w:pPr>
            <w:r w:rsidRPr="0087048B">
              <w:rPr>
                <w:rFonts w:ascii="Times New Roman" w:hAnsi="Times New Roman" w:cs="Times New Roman"/>
                <w:sz w:val="24"/>
                <w:szCs w:val="24"/>
              </w:rPr>
              <w:t>)</w:t>
            </w:r>
          </w:p>
          <w:p w:rsidR="0036016C" w:rsidRPr="0087048B" w:rsidP="0036016C" w14:paraId="58AA99AC" w14:textId="77777777">
            <w:pPr>
              <w:pStyle w:val="HTMLPreformatted"/>
              <w:rPr>
                <w:rFonts w:ascii="Times New Roman" w:hAnsi="Times New Roman" w:cs="Times New Roman"/>
                <w:sz w:val="24"/>
                <w:szCs w:val="24"/>
              </w:rPr>
            </w:pPr>
            <w:r w:rsidRPr="0087048B">
              <w:rPr>
                <w:rFonts w:ascii="Times New Roman" w:hAnsi="Times New Roman" w:cs="Times New Roman"/>
                <w:sz w:val="24"/>
                <w:szCs w:val="24"/>
              </w:rPr>
              <w:t>)</w:t>
            </w:r>
          </w:p>
          <w:p w:rsidR="0036016C" w:rsidRPr="0087048B" w:rsidP="0036016C" w14:paraId="23D63DCB" w14:textId="77777777">
            <w:pPr>
              <w:pStyle w:val="HTMLPreformatted"/>
              <w:rPr>
                <w:rFonts w:ascii="Times New Roman" w:hAnsi="Times New Roman" w:cs="Times New Roman"/>
                <w:sz w:val="24"/>
                <w:szCs w:val="24"/>
              </w:rPr>
            </w:pPr>
            <w:r w:rsidRPr="0087048B">
              <w:rPr>
                <w:rFonts w:ascii="Times New Roman" w:hAnsi="Times New Roman" w:cs="Times New Roman"/>
                <w:sz w:val="24"/>
                <w:szCs w:val="24"/>
              </w:rPr>
              <w:t>)</w:t>
            </w:r>
          </w:p>
          <w:p w:rsidR="0036016C" w:rsidRPr="0087048B" w:rsidP="0036016C" w14:paraId="6D0D5435" w14:textId="5BFD188F">
            <w:pPr>
              <w:pStyle w:val="HTMLPreformatted"/>
              <w:rPr>
                <w:rFonts w:ascii="Times New Roman" w:hAnsi="Times New Roman" w:cs="Times New Roman"/>
                <w:sz w:val="24"/>
                <w:szCs w:val="24"/>
              </w:rPr>
            </w:pPr>
            <w:r w:rsidRPr="0087048B">
              <w:rPr>
                <w:rFonts w:ascii="Times New Roman" w:hAnsi="Times New Roman" w:cs="Times New Roman"/>
                <w:sz w:val="24"/>
                <w:szCs w:val="24"/>
              </w:rPr>
              <w:t>)</w:t>
            </w:r>
          </w:p>
          <w:p w:rsidR="0036016C" w:rsidRPr="0087048B" w:rsidP="0036016C" w14:paraId="33646FB0" w14:textId="77777777">
            <w:pPr>
              <w:pStyle w:val="HTMLPreformatted"/>
              <w:rPr>
                <w:rFonts w:ascii="Times New Roman" w:hAnsi="Times New Roman" w:cs="Times New Roman"/>
                <w:sz w:val="24"/>
                <w:szCs w:val="24"/>
              </w:rPr>
            </w:pPr>
            <w:r w:rsidRPr="0087048B">
              <w:rPr>
                <w:rFonts w:ascii="Times New Roman" w:hAnsi="Times New Roman" w:cs="Times New Roman"/>
                <w:sz w:val="24"/>
                <w:szCs w:val="24"/>
              </w:rPr>
              <w:t>)</w:t>
            </w:r>
          </w:p>
          <w:p w:rsidR="0036016C" w:rsidRPr="0087048B" w:rsidP="0036016C" w14:paraId="2F1D8549" w14:textId="77777777">
            <w:pPr>
              <w:pStyle w:val="HTMLPreformatted"/>
              <w:rPr>
                <w:rFonts w:ascii="Times New Roman" w:hAnsi="Times New Roman" w:cs="Times New Roman"/>
                <w:sz w:val="24"/>
                <w:szCs w:val="24"/>
              </w:rPr>
            </w:pPr>
            <w:r w:rsidRPr="0087048B">
              <w:rPr>
                <w:rFonts w:ascii="Times New Roman" w:hAnsi="Times New Roman" w:cs="Times New Roman"/>
                <w:sz w:val="24"/>
                <w:szCs w:val="24"/>
              </w:rPr>
              <w:t>)</w:t>
            </w:r>
          </w:p>
        </w:tc>
        <w:tc>
          <w:tcPr>
            <w:tcW w:w="4640" w:type="dxa"/>
            <w:shd w:val="clear" w:color="auto" w:fill="auto"/>
          </w:tcPr>
          <w:p w:rsidR="0036016C" w:rsidRPr="0087048B" w:rsidP="0036016C" w14:paraId="1A8F0CE6" w14:textId="77777777">
            <w:pPr>
              <w:autoSpaceDE w:val="0"/>
              <w:autoSpaceDN w:val="0"/>
              <w:adjustRightInd w:val="0"/>
              <w:spacing w:after="0" w:line="240" w:lineRule="auto"/>
              <w:rPr>
                <w:rFonts w:cs="Times New Roman"/>
                <w:szCs w:val="24"/>
              </w:rPr>
            </w:pPr>
          </w:p>
          <w:p w:rsidR="0036016C" w:rsidRPr="0087048B" w:rsidP="0036016C" w14:paraId="7CEEA30D" w14:textId="2854EA14">
            <w:pPr>
              <w:autoSpaceDE w:val="0"/>
              <w:autoSpaceDN w:val="0"/>
              <w:adjustRightInd w:val="0"/>
              <w:spacing w:after="0" w:line="240" w:lineRule="auto"/>
              <w:rPr>
                <w:rFonts w:cs="Times New Roman"/>
                <w:szCs w:val="24"/>
              </w:rPr>
            </w:pPr>
            <w:r w:rsidRPr="0087048B">
              <w:rPr>
                <w:rFonts w:cs="Times New Roman"/>
                <w:szCs w:val="24"/>
              </w:rPr>
              <w:t xml:space="preserve">Case No. </w:t>
            </w:r>
            <w:r w:rsidRPr="0087048B" w:rsidR="00B806CD">
              <w:rPr>
                <w:rFonts w:cs="Times New Roman"/>
                <w:szCs w:val="24"/>
              </w:rPr>
              <w:t>20</w:t>
            </w:r>
            <w:r w:rsidRPr="0087048B">
              <w:rPr>
                <w:rFonts w:cs="Times New Roman"/>
                <w:szCs w:val="24"/>
              </w:rPr>
              <w:t>-</w:t>
            </w:r>
            <w:r w:rsidRPr="0087048B" w:rsidR="00B806CD">
              <w:rPr>
                <w:rFonts w:cs="Times New Roman"/>
                <w:szCs w:val="24"/>
              </w:rPr>
              <w:t>585</w:t>
            </w:r>
            <w:r w:rsidRPr="0087048B">
              <w:rPr>
                <w:rFonts w:cs="Times New Roman"/>
                <w:szCs w:val="24"/>
              </w:rPr>
              <w:t>-EL-AIR</w:t>
            </w:r>
          </w:p>
          <w:p w:rsidR="0036016C" w:rsidRPr="0087048B" w:rsidP="0036016C" w14:paraId="69F21F35" w14:textId="77777777">
            <w:pPr>
              <w:autoSpaceDE w:val="0"/>
              <w:autoSpaceDN w:val="0"/>
              <w:adjustRightInd w:val="0"/>
              <w:spacing w:after="0" w:line="240" w:lineRule="auto"/>
              <w:rPr>
                <w:rFonts w:cs="Times New Roman"/>
                <w:szCs w:val="24"/>
              </w:rPr>
            </w:pPr>
          </w:p>
          <w:p w:rsidR="0036016C" w:rsidRPr="0087048B" w:rsidP="0036016C" w14:paraId="08A42D44" w14:textId="77777777">
            <w:pPr>
              <w:autoSpaceDE w:val="0"/>
              <w:autoSpaceDN w:val="0"/>
              <w:adjustRightInd w:val="0"/>
              <w:spacing w:after="0" w:line="240" w:lineRule="auto"/>
              <w:rPr>
                <w:rFonts w:cs="Times New Roman"/>
                <w:szCs w:val="24"/>
              </w:rPr>
            </w:pPr>
          </w:p>
          <w:p w:rsidR="0036016C" w:rsidRPr="0087048B" w:rsidP="0036016C" w14:paraId="1D694A98" w14:textId="77777777">
            <w:pPr>
              <w:autoSpaceDE w:val="0"/>
              <w:autoSpaceDN w:val="0"/>
              <w:adjustRightInd w:val="0"/>
              <w:spacing w:after="0" w:line="240" w:lineRule="auto"/>
              <w:rPr>
                <w:rFonts w:cs="Times New Roman"/>
                <w:szCs w:val="24"/>
              </w:rPr>
            </w:pPr>
          </w:p>
          <w:p w:rsidR="0036016C" w:rsidRPr="0087048B" w:rsidP="0036016C" w14:paraId="6B5F683B" w14:textId="5D5D7065">
            <w:pPr>
              <w:autoSpaceDE w:val="0"/>
              <w:autoSpaceDN w:val="0"/>
              <w:adjustRightInd w:val="0"/>
              <w:spacing w:after="0" w:line="240" w:lineRule="auto"/>
              <w:rPr>
                <w:rFonts w:cs="Times New Roman"/>
                <w:szCs w:val="24"/>
              </w:rPr>
            </w:pPr>
            <w:r w:rsidRPr="0087048B">
              <w:rPr>
                <w:rFonts w:cs="Times New Roman"/>
                <w:szCs w:val="24"/>
              </w:rPr>
              <w:t xml:space="preserve">Case No. </w:t>
            </w:r>
            <w:r w:rsidRPr="0087048B" w:rsidR="00AE7E4E">
              <w:rPr>
                <w:rFonts w:cs="Times New Roman"/>
                <w:szCs w:val="24"/>
              </w:rPr>
              <w:t>20</w:t>
            </w:r>
            <w:r w:rsidRPr="0087048B">
              <w:rPr>
                <w:rFonts w:cs="Times New Roman"/>
                <w:szCs w:val="24"/>
              </w:rPr>
              <w:t>-</w:t>
            </w:r>
            <w:r w:rsidRPr="0087048B" w:rsidR="00AE7E4E">
              <w:rPr>
                <w:rFonts w:cs="Times New Roman"/>
                <w:szCs w:val="24"/>
              </w:rPr>
              <w:t>586</w:t>
            </w:r>
            <w:r w:rsidRPr="0087048B">
              <w:rPr>
                <w:rFonts w:cs="Times New Roman"/>
                <w:szCs w:val="24"/>
              </w:rPr>
              <w:t>-EL-A</w:t>
            </w:r>
            <w:r w:rsidRPr="0087048B" w:rsidR="00AE7E4E">
              <w:rPr>
                <w:rFonts w:cs="Times New Roman"/>
                <w:szCs w:val="24"/>
              </w:rPr>
              <w:t>TA</w:t>
            </w:r>
          </w:p>
          <w:p w:rsidR="0036016C" w:rsidRPr="0087048B" w:rsidP="0036016C" w14:paraId="462E966B" w14:textId="77777777">
            <w:pPr>
              <w:spacing w:after="0" w:line="240" w:lineRule="auto"/>
              <w:rPr>
                <w:rFonts w:cs="Times New Roman"/>
                <w:szCs w:val="24"/>
              </w:rPr>
            </w:pPr>
          </w:p>
          <w:p w:rsidR="0036016C" w:rsidRPr="0087048B" w:rsidP="0036016C" w14:paraId="044D71CC" w14:textId="77777777">
            <w:pPr>
              <w:spacing w:after="0" w:line="240" w:lineRule="auto"/>
              <w:rPr>
                <w:rFonts w:cs="Times New Roman"/>
                <w:szCs w:val="24"/>
              </w:rPr>
            </w:pPr>
          </w:p>
          <w:p w:rsidR="0036016C" w:rsidRPr="0087048B" w:rsidP="0036016C" w14:paraId="2A135A4E" w14:textId="2AD7E030">
            <w:pPr>
              <w:spacing w:after="0" w:line="240" w:lineRule="auto"/>
              <w:rPr>
                <w:rFonts w:cs="Times New Roman"/>
                <w:szCs w:val="24"/>
              </w:rPr>
            </w:pPr>
            <w:r w:rsidRPr="0087048B">
              <w:rPr>
                <w:rFonts w:cs="Times New Roman"/>
                <w:szCs w:val="24"/>
              </w:rPr>
              <w:t xml:space="preserve">Case No. </w:t>
            </w:r>
            <w:r w:rsidRPr="0087048B" w:rsidR="00AE7E4E">
              <w:rPr>
                <w:rFonts w:cs="Times New Roman"/>
                <w:szCs w:val="24"/>
              </w:rPr>
              <w:t>20</w:t>
            </w:r>
            <w:r w:rsidRPr="0087048B">
              <w:rPr>
                <w:rFonts w:cs="Times New Roman"/>
                <w:szCs w:val="24"/>
              </w:rPr>
              <w:t>-</w:t>
            </w:r>
            <w:r w:rsidRPr="0087048B" w:rsidR="00AE7E4E">
              <w:rPr>
                <w:rFonts w:cs="Times New Roman"/>
                <w:szCs w:val="24"/>
              </w:rPr>
              <w:t>587</w:t>
            </w:r>
            <w:r w:rsidRPr="0087048B">
              <w:rPr>
                <w:rFonts w:cs="Times New Roman"/>
                <w:szCs w:val="24"/>
              </w:rPr>
              <w:t>-EL-</w:t>
            </w:r>
            <w:r w:rsidRPr="0087048B" w:rsidR="00AE7E4E">
              <w:rPr>
                <w:rFonts w:cs="Times New Roman"/>
                <w:szCs w:val="24"/>
              </w:rPr>
              <w:t>AAM</w:t>
            </w:r>
          </w:p>
          <w:p w:rsidR="0036016C" w:rsidRPr="0087048B" w:rsidP="0036016C" w14:paraId="437C28D8" w14:textId="77777777">
            <w:pPr>
              <w:pStyle w:val="HTMLPreformatted"/>
              <w:rPr>
                <w:rFonts w:ascii="Times New Roman" w:hAnsi="Times New Roman" w:cs="Times New Roman"/>
                <w:sz w:val="24"/>
                <w:szCs w:val="24"/>
              </w:rPr>
            </w:pPr>
          </w:p>
        </w:tc>
      </w:tr>
    </w:tbl>
    <w:p w:rsidR="0036016C" w:rsidRPr="0087048B" w:rsidP="0036016C" w14:paraId="2E694D6B" w14:textId="77777777">
      <w:pPr>
        <w:pBdr>
          <w:bottom w:val="single" w:sz="12" w:space="1" w:color="auto"/>
        </w:pBdr>
        <w:spacing w:before="4"/>
        <w:rPr>
          <w:rFonts w:cs="Times New Roman"/>
          <w:szCs w:val="24"/>
        </w:rPr>
      </w:pPr>
    </w:p>
    <w:p w:rsidR="00FE3F13" w:rsidRPr="0087048B" w:rsidP="00F56EF2" w14:paraId="7417AE26" w14:textId="7E352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cs="Times New Roman"/>
          <w:b/>
          <w:szCs w:val="24"/>
        </w:rPr>
      </w:pPr>
      <w:r w:rsidRPr="0087048B">
        <w:rPr>
          <w:rFonts w:cs="Times New Roman"/>
          <w:b/>
          <w:szCs w:val="24"/>
        </w:rPr>
        <w:t>MEMORANDUM CONTRA</w:t>
      </w:r>
      <w:r w:rsidRPr="0087048B" w:rsidR="00F56EF2">
        <w:rPr>
          <w:rFonts w:cs="Times New Roman"/>
          <w:b/>
          <w:szCs w:val="24"/>
        </w:rPr>
        <w:t xml:space="preserve"> </w:t>
      </w:r>
      <w:r w:rsidRPr="0087048B" w:rsidR="003A7397">
        <w:rPr>
          <w:rFonts w:cs="Times New Roman"/>
          <w:b/>
          <w:szCs w:val="24"/>
        </w:rPr>
        <w:t xml:space="preserve">THE </w:t>
      </w:r>
      <w:r w:rsidRPr="0087048B">
        <w:rPr>
          <w:rFonts w:cs="Times New Roman"/>
          <w:b/>
          <w:szCs w:val="24"/>
        </w:rPr>
        <w:t>APPLICATION</w:t>
      </w:r>
      <w:r w:rsidRPr="0087048B" w:rsidR="00A17ABC">
        <w:rPr>
          <w:rFonts w:cs="Times New Roman"/>
          <w:b/>
          <w:szCs w:val="24"/>
        </w:rPr>
        <w:t>S</w:t>
      </w:r>
      <w:r w:rsidRPr="0087048B">
        <w:rPr>
          <w:rFonts w:cs="Times New Roman"/>
          <w:b/>
          <w:szCs w:val="24"/>
        </w:rPr>
        <w:t xml:space="preserve"> FOR REHEARING</w:t>
      </w:r>
      <w:r w:rsidR="00276090">
        <w:rPr>
          <w:rFonts w:cs="Times New Roman"/>
          <w:b/>
          <w:szCs w:val="24"/>
        </w:rPr>
        <w:t xml:space="preserve"> </w:t>
      </w:r>
      <w:r w:rsidRPr="0087048B" w:rsidR="00AE7E4E">
        <w:rPr>
          <w:rFonts w:cs="Times New Roman"/>
          <w:b/>
          <w:szCs w:val="24"/>
        </w:rPr>
        <w:t>OF INTERSTATE GAS SUPPLY</w:t>
      </w:r>
      <w:r w:rsidRPr="0087048B">
        <w:rPr>
          <w:rFonts w:cs="Times New Roman"/>
          <w:b/>
          <w:szCs w:val="24"/>
        </w:rPr>
        <w:t xml:space="preserve"> AND</w:t>
      </w:r>
      <w:r w:rsidR="00276090">
        <w:rPr>
          <w:rFonts w:cs="Times New Roman"/>
          <w:b/>
          <w:szCs w:val="24"/>
        </w:rPr>
        <w:t xml:space="preserve"> </w:t>
      </w:r>
      <w:r w:rsidRPr="0087048B">
        <w:rPr>
          <w:rFonts w:cs="Times New Roman"/>
          <w:b/>
          <w:szCs w:val="24"/>
        </w:rPr>
        <w:t>NATIONWIDE ENERGY PARTNERS</w:t>
      </w:r>
    </w:p>
    <w:p w:rsidR="0036016C" w:rsidRPr="0087048B" w:rsidP="0036016C" w14:paraId="5AFE7D3C"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cs="Times New Roman"/>
          <w:b/>
          <w:szCs w:val="24"/>
        </w:rPr>
      </w:pPr>
      <w:r w:rsidRPr="0087048B">
        <w:rPr>
          <w:rFonts w:cs="Times New Roman"/>
          <w:b/>
          <w:szCs w:val="24"/>
        </w:rPr>
        <w:t>BY</w:t>
      </w:r>
    </w:p>
    <w:p w:rsidR="0036016C" w:rsidRPr="0087048B" w:rsidP="0036016C" w14:paraId="701748CD" w14:textId="666E7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ourier New" w:cs="Times New Roman"/>
          <w:b/>
          <w:bCs/>
          <w:szCs w:val="24"/>
        </w:rPr>
      </w:pPr>
      <w:r w:rsidRPr="0087048B">
        <w:rPr>
          <w:rFonts w:cs="Times New Roman"/>
          <w:b/>
          <w:szCs w:val="24"/>
        </w:rPr>
        <w:t>OFFICE OF THE OHIO CONSUMERS’ COUNSEL</w:t>
      </w:r>
    </w:p>
    <w:p w:rsidR="0036016C" w:rsidRPr="0087048B" w:rsidP="0036016C" w14:paraId="4850D0CA" w14:textId="77777777">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ourier New" w:cs="Times New Roman"/>
          <w:b/>
          <w:bCs/>
          <w:szCs w:val="24"/>
        </w:rPr>
      </w:pPr>
    </w:p>
    <w:p w:rsidR="0036016C" w:rsidRPr="0087048B" w:rsidP="0036016C" w14:paraId="5F66BA03" w14:textId="77777777">
      <w:pPr>
        <w:spacing w:after="0"/>
        <w:rPr>
          <w:rFonts w:cs="Times New Roman"/>
          <w:szCs w:val="24"/>
        </w:rPr>
      </w:pPr>
    </w:p>
    <w:p w:rsidR="0036016C" w:rsidRPr="0087048B" w:rsidP="0055168C" w14:paraId="02FADCC3" w14:textId="77777777">
      <w:pPr>
        <w:pStyle w:val="Heading1"/>
      </w:pPr>
      <w:bookmarkStart w:id="0" w:name="_Toc91148193"/>
      <w:bookmarkStart w:id="1" w:name="_Toc91769891"/>
      <w:r w:rsidRPr="0087048B">
        <w:t>I.</w:t>
      </w:r>
      <w:r w:rsidRPr="0087048B">
        <w:tab/>
        <w:t>INTRODUCTION</w:t>
      </w:r>
      <w:bookmarkEnd w:id="0"/>
      <w:bookmarkEnd w:id="1"/>
    </w:p>
    <w:p w:rsidR="003E7432" w:rsidP="0036016C" w14:paraId="666E80F6" w14:textId="23218B4E">
      <w:pPr>
        <w:spacing w:after="0" w:line="480" w:lineRule="auto"/>
        <w:ind w:firstLine="720"/>
        <w:rPr>
          <w:rFonts w:cs="Times New Roman"/>
          <w:szCs w:val="24"/>
        </w:rPr>
      </w:pPr>
      <w:r>
        <w:rPr>
          <w:rFonts w:cs="Times New Roman"/>
          <w:szCs w:val="24"/>
        </w:rPr>
        <w:t xml:space="preserve">Energy marketers and submeterers don’t come readily to mind when thinking about consumer protection. </w:t>
      </w:r>
      <w:r w:rsidR="00BD3110">
        <w:rPr>
          <w:rFonts w:cs="Times New Roman"/>
          <w:szCs w:val="24"/>
        </w:rPr>
        <w:t>Now,</w:t>
      </w:r>
      <w:r>
        <w:rPr>
          <w:rFonts w:cs="Times New Roman"/>
          <w:szCs w:val="24"/>
        </w:rPr>
        <w:t xml:space="preserve"> marketer </w:t>
      </w:r>
      <w:r w:rsidRPr="0087048B">
        <w:rPr>
          <w:rFonts w:cs="Times New Roman"/>
          <w:szCs w:val="24"/>
        </w:rPr>
        <w:t xml:space="preserve">Interstate Gas Supply, Inc. (“IGS”) and </w:t>
      </w:r>
      <w:r>
        <w:rPr>
          <w:rFonts w:cs="Times New Roman"/>
          <w:szCs w:val="24"/>
        </w:rPr>
        <w:t xml:space="preserve">submeterer </w:t>
      </w:r>
      <w:r w:rsidRPr="0087048B">
        <w:rPr>
          <w:rFonts w:cs="Times New Roman"/>
          <w:szCs w:val="24"/>
        </w:rPr>
        <w:t>Nationwide Energy Partners, LLC (“NEP”)</w:t>
      </w:r>
      <w:r>
        <w:rPr>
          <w:rFonts w:cs="Times New Roman"/>
          <w:szCs w:val="24"/>
        </w:rPr>
        <w:t xml:space="preserve"> have applied for rehearing </w:t>
      </w:r>
      <w:r w:rsidRPr="0087048B">
        <w:rPr>
          <w:rFonts w:cs="Times New Roman"/>
          <w:szCs w:val="24"/>
        </w:rPr>
        <w:t xml:space="preserve">to </w:t>
      </w:r>
      <w:r w:rsidR="006D2153">
        <w:rPr>
          <w:rFonts w:cs="Times New Roman"/>
          <w:szCs w:val="24"/>
        </w:rPr>
        <w:t>undo</w:t>
      </w:r>
      <w:r>
        <w:rPr>
          <w:rFonts w:cs="Times New Roman"/>
          <w:szCs w:val="24"/>
        </w:rPr>
        <w:t xml:space="preserve"> a number of </w:t>
      </w:r>
      <w:r w:rsidR="006D2153">
        <w:rPr>
          <w:rFonts w:cs="Times New Roman"/>
          <w:szCs w:val="24"/>
        </w:rPr>
        <w:t xml:space="preserve">the </w:t>
      </w:r>
      <w:r>
        <w:rPr>
          <w:rFonts w:cs="Times New Roman"/>
          <w:szCs w:val="24"/>
        </w:rPr>
        <w:t>market protections for consumers</w:t>
      </w:r>
      <w:r w:rsidR="006D2153">
        <w:rPr>
          <w:rFonts w:cs="Times New Roman"/>
          <w:szCs w:val="24"/>
        </w:rPr>
        <w:t xml:space="preserve"> that the PUCO approved in the case Settlement</w:t>
      </w:r>
      <w:r>
        <w:rPr>
          <w:rFonts w:cs="Times New Roman"/>
          <w:szCs w:val="24"/>
        </w:rPr>
        <w:t>.</w:t>
      </w:r>
      <w:r w:rsidRPr="0087048B">
        <w:rPr>
          <w:rFonts w:cs="Times New Roman"/>
          <w:szCs w:val="24"/>
        </w:rPr>
        <w:t xml:space="preserve"> </w:t>
      </w:r>
      <w:r>
        <w:rPr>
          <w:rFonts w:cs="Times New Roman"/>
          <w:szCs w:val="24"/>
        </w:rPr>
        <w:t xml:space="preserve">Their marketer and submeterer </w:t>
      </w:r>
      <w:r w:rsidRPr="0087048B">
        <w:rPr>
          <w:rFonts w:cs="Times New Roman"/>
          <w:szCs w:val="24"/>
        </w:rPr>
        <w:t xml:space="preserve">proposals were not agreed to as part of the overall </w:t>
      </w:r>
      <w:r>
        <w:rPr>
          <w:rFonts w:cs="Times New Roman"/>
          <w:szCs w:val="24"/>
        </w:rPr>
        <w:t>S</w:t>
      </w:r>
      <w:r w:rsidRPr="0087048B">
        <w:rPr>
          <w:rFonts w:cs="Times New Roman"/>
          <w:szCs w:val="24"/>
        </w:rPr>
        <w:t xml:space="preserve">ettlement package and were not supported by the evidence. IGS and NEP have failed to show that the </w:t>
      </w:r>
      <w:r>
        <w:rPr>
          <w:rFonts w:cs="Times New Roman"/>
          <w:szCs w:val="24"/>
        </w:rPr>
        <w:t>PUCO’s</w:t>
      </w:r>
      <w:r w:rsidRPr="0087048B">
        <w:rPr>
          <w:rFonts w:cs="Times New Roman"/>
          <w:szCs w:val="24"/>
        </w:rPr>
        <w:t xml:space="preserve"> </w:t>
      </w:r>
      <w:r>
        <w:rPr>
          <w:rFonts w:cs="Times New Roman"/>
          <w:szCs w:val="24"/>
        </w:rPr>
        <w:t xml:space="preserve">approval of the Settlement </w:t>
      </w:r>
      <w:r w:rsidRPr="0087048B">
        <w:rPr>
          <w:rFonts w:cs="Times New Roman"/>
          <w:szCs w:val="24"/>
        </w:rPr>
        <w:t xml:space="preserve">is unreasonable or </w:t>
      </w:r>
      <w:r w:rsidR="00932469">
        <w:rPr>
          <w:rFonts w:cs="Times New Roman"/>
          <w:szCs w:val="24"/>
        </w:rPr>
        <w:t>un</w:t>
      </w:r>
      <w:r w:rsidRPr="0087048B">
        <w:rPr>
          <w:rFonts w:cs="Times New Roman"/>
          <w:szCs w:val="24"/>
        </w:rPr>
        <w:t>law</w:t>
      </w:r>
      <w:r w:rsidR="00932469">
        <w:rPr>
          <w:rFonts w:cs="Times New Roman"/>
          <w:szCs w:val="24"/>
        </w:rPr>
        <w:t>ful</w:t>
      </w:r>
      <w:r w:rsidRPr="0087048B">
        <w:rPr>
          <w:rFonts w:cs="Times New Roman"/>
          <w:szCs w:val="24"/>
        </w:rPr>
        <w:t>. Therefore, the PUCO should deny the</w:t>
      </w:r>
      <w:r>
        <w:rPr>
          <w:rFonts w:cs="Times New Roman"/>
          <w:szCs w:val="24"/>
        </w:rPr>
        <w:t xml:space="preserve"> IGS and NEP </w:t>
      </w:r>
      <w:r w:rsidRPr="0087048B">
        <w:rPr>
          <w:rFonts w:cs="Times New Roman"/>
          <w:szCs w:val="24"/>
        </w:rPr>
        <w:t xml:space="preserve">applications for rehearing and protect </w:t>
      </w:r>
      <w:r w:rsidR="00250E8F">
        <w:rPr>
          <w:rFonts w:cs="Times New Roman"/>
          <w:szCs w:val="24"/>
        </w:rPr>
        <w:t>Ohioans</w:t>
      </w:r>
      <w:r>
        <w:rPr>
          <w:rFonts w:cs="Times New Roman"/>
          <w:szCs w:val="24"/>
        </w:rPr>
        <w:t xml:space="preserve"> </w:t>
      </w:r>
      <w:r w:rsidRPr="0087048B">
        <w:rPr>
          <w:rFonts w:cs="Times New Roman"/>
          <w:szCs w:val="24"/>
        </w:rPr>
        <w:t xml:space="preserve">from </w:t>
      </w:r>
      <w:r>
        <w:rPr>
          <w:rFonts w:cs="Times New Roman"/>
          <w:szCs w:val="24"/>
        </w:rPr>
        <w:t>their</w:t>
      </w:r>
      <w:r w:rsidRPr="0087048B">
        <w:rPr>
          <w:rFonts w:cs="Times New Roman"/>
          <w:szCs w:val="24"/>
        </w:rPr>
        <w:t xml:space="preserve"> proposed</w:t>
      </w:r>
      <w:r>
        <w:rPr>
          <w:rFonts w:cs="Times New Roman"/>
          <w:szCs w:val="24"/>
        </w:rPr>
        <w:t xml:space="preserve"> anti-consumer</w:t>
      </w:r>
      <w:r w:rsidRPr="0087048B">
        <w:rPr>
          <w:rFonts w:cs="Times New Roman"/>
          <w:szCs w:val="24"/>
        </w:rPr>
        <w:t xml:space="preserve"> modifications. </w:t>
      </w:r>
    </w:p>
    <w:p w:rsidR="006C06FD" w:rsidRPr="0087048B" w:rsidP="0036016C" w14:paraId="183C1850" w14:textId="011E5365">
      <w:pPr>
        <w:spacing w:after="0" w:line="480" w:lineRule="auto"/>
        <w:ind w:firstLine="720"/>
        <w:rPr>
          <w:rFonts w:cs="Times New Roman"/>
          <w:szCs w:val="24"/>
        </w:rPr>
      </w:pPr>
      <w:r>
        <w:rPr>
          <w:rFonts w:cs="Times New Roman"/>
          <w:szCs w:val="24"/>
        </w:rPr>
        <w:t>As background, on</w:t>
      </w:r>
      <w:r w:rsidRPr="0087048B" w:rsidR="009C0C8F">
        <w:rPr>
          <w:rFonts w:cs="Times New Roman"/>
          <w:szCs w:val="24"/>
        </w:rPr>
        <w:t xml:space="preserve"> November 17, 2021, the PUCO</w:t>
      </w:r>
      <w:r w:rsidRPr="0087048B" w:rsidR="009A1BC0">
        <w:rPr>
          <w:rFonts w:cs="Times New Roman"/>
          <w:szCs w:val="24"/>
        </w:rPr>
        <w:t xml:space="preserve"> approved a Joint Stipulation and </w:t>
      </w:r>
      <w:r w:rsidRPr="0087048B" w:rsidR="00045B33">
        <w:rPr>
          <w:rFonts w:cs="Times New Roman"/>
          <w:szCs w:val="24"/>
        </w:rPr>
        <w:t>Recommendation (“Settlement”)</w:t>
      </w:r>
      <w:r w:rsidRPr="0087048B" w:rsidR="009A1BC0">
        <w:rPr>
          <w:rFonts w:cs="Times New Roman"/>
          <w:szCs w:val="24"/>
        </w:rPr>
        <w:t xml:space="preserve"> between AEP, the PUCO Staff, Office of the Ohio Consumers’ Counsel (“OCC”) and </w:t>
      </w:r>
      <w:r w:rsidRPr="0087048B" w:rsidR="00045B33">
        <w:rPr>
          <w:rFonts w:cs="Times New Roman"/>
          <w:szCs w:val="24"/>
        </w:rPr>
        <w:t>many other parties.</w:t>
      </w:r>
      <w:r>
        <w:rPr>
          <w:rStyle w:val="FootnoteReference"/>
          <w:rFonts w:cs="Times New Roman"/>
          <w:szCs w:val="24"/>
        </w:rPr>
        <w:footnoteReference w:id="2"/>
      </w:r>
      <w:r w:rsidRPr="0087048B" w:rsidR="00045B33">
        <w:rPr>
          <w:rFonts w:cs="Times New Roman"/>
          <w:szCs w:val="24"/>
        </w:rPr>
        <w:t xml:space="preserve"> </w:t>
      </w:r>
      <w:r w:rsidRPr="0087048B" w:rsidR="000F1D8B">
        <w:rPr>
          <w:rFonts w:cs="Times New Roman"/>
          <w:szCs w:val="24"/>
        </w:rPr>
        <w:t xml:space="preserve">The </w:t>
      </w:r>
      <w:r w:rsidRPr="0087048B" w:rsidR="00EB1BBD">
        <w:rPr>
          <w:rFonts w:cs="Times New Roman"/>
          <w:szCs w:val="24"/>
        </w:rPr>
        <w:t xml:space="preserve">PUCO correctly determined that the Settlement </w:t>
      </w:r>
      <w:r w:rsidRPr="0087048B" w:rsidR="00D53B9C">
        <w:rPr>
          <w:rFonts w:cs="Times New Roman"/>
          <w:szCs w:val="24"/>
        </w:rPr>
        <w:t xml:space="preserve">as a package </w:t>
      </w:r>
      <w:r w:rsidRPr="0087048B" w:rsidR="00EB1BBD">
        <w:rPr>
          <w:rFonts w:cs="Times New Roman"/>
          <w:szCs w:val="24"/>
        </w:rPr>
        <w:t>satisfie</w:t>
      </w:r>
      <w:r w:rsidRPr="0087048B" w:rsidR="00D411A7">
        <w:rPr>
          <w:rFonts w:cs="Times New Roman"/>
          <w:szCs w:val="24"/>
        </w:rPr>
        <w:t>s the three-part test the PUCO</w:t>
      </w:r>
      <w:r w:rsidRPr="0087048B" w:rsidR="00C950FE">
        <w:rPr>
          <w:rFonts w:cs="Times New Roman"/>
          <w:szCs w:val="24"/>
        </w:rPr>
        <w:t xml:space="preserve"> considers</w:t>
      </w:r>
      <w:r w:rsidRPr="0087048B" w:rsidR="00D411A7">
        <w:rPr>
          <w:rFonts w:cs="Times New Roman"/>
          <w:szCs w:val="24"/>
        </w:rPr>
        <w:t xml:space="preserve"> in evaluating settlements</w:t>
      </w:r>
      <w:r w:rsidRPr="0087048B" w:rsidR="00166EBD">
        <w:rPr>
          <w:rFonts w:cs="Times New Roman"/>
          <w:szCs w:val="24"/>
        </w:rPr>
        <w:t xml:space="preserve"> and approved it without modification</w:t>
      </w:r>
      <w:r w:rsidRPr="0087048B" w:rsidR="00D411A7">
        <w:rPr>
          <w:rFonts w:cs="Times New Roman"/>
          <w:szCs w:val="24"/>
        </w:rPr>
        <w:t>.</w:t>
      </w:r>
      <w:r>
        <w:rPr>
          <w:rStyle w:val="FootnoteReference"/>
          <w:rFonts w:cs="Times New Roman"/>
          <w:szCs w:val="24"/>
        </w:rPr>
        <w:footnoteReference w:id="3"/>
      </w:r>
      <w:r w:rsidRPr="0087048B" w:rsidR="00045B33">
        <w:rPr>
          <w:rFonts w:cs="Times New Roman"/>
          <w:szCs w:val="24"/>
        </w:rPr>
        <w:t xml:space="preserve"> </w:t>
      </w:r>
      <w:r w:rsidRPr="0087048B" w:rsidR="00C374D0">
        <w:rPr>
          <w:rFonts w:cs="Times New Roman"/>
          <w:szCs w:val="24"/>
        </w:rPr>
        <w:t xml:space="preserve">The </w:t>
      </w:r>
      <w:r w:rsidRPr="0087048B" w:rsidR="00FD746F">
        <w:rPr>
          <w:rFonts w:cs="Times New Roman"/>
          <w:szCs w:val="24"/>
        </w:rPr>
        <w:t xml:space="preserve">PUCO found that the </w:t>
      </w:r>
      <w:r w:rsidRPr="0087048B" w:rsidR="00C374D0">
        <w:rPr>
          <w:rFonts w:cs="Times New Roman"/>
          <w:szCs w:val="24"/>
        </w:rPr>
        <w:t xml:space="preserve">Settlement </w:t>
      </w:r>
      <w:r w:rsidRPr="0087048B" w:rsidR="00EB1BBD">
        <w:rPr>
          <w:rFonts w:cs="Times New Roman"/>
          <w:szCs w:val="24"/>
        </w:rPr>
        <w:t xml:space="preserve">was </w:t>
      </w:r>
      <w:r w:rsidRPr="0087048B" w:rsidR="00C374D0">
        <w:rPr>
          <w:rFonts w:cs="Times New Roman"/>
          <w:szCs w:val="24"/>
        </w:rPr>
        <w:t>the</w:t>
      </w:r>
      <w:r w:rsidRPr="0087048B" w:rsidR="00EB1BBD">
        <w:rPr>
          <w:rFonts w:cs="Times New Roman"/>
          <w:szCs w:val="24"/>
        </w:rPr>
        <w:t xml:space="preserve"> product of extensive </w:t>
      </w:r>
      <w:r w:rsidR="00D44062">
        <w:rPr>
          <w:rFonts w:cs="Times New Roman"/>
          <w:szCs w:val="24"/>
        </w:rPr>
        <w:t xml:space="preserve">and serious </w:t>
      </w:r>
      <w:r w:rsidRPr="0087048B" w:rsidR="00EB1BBD">
        <w:rPr>
          <w:rFonts w:cs="Times New Roman"/>
          <w:szCs w:val="24"/>
        </w:rPr>
        <w:t xml:space="preserve">negotiations among diverse and knowledgeable parties, </w:t>
      </w:r>
      <w:r>
        <w:rPr>
          <w:rFonts w:cs="Times New Roman"/>
          <w:szCs w:val="24"/>
        </w:rPr>
        <w:t xml:space="preserve">that </w:t>
      </w:r>
      <w:r w:rsidRPr="0087048B" w:rsidR="00C374D0">
        <w:rPr>
          <w:rFonts w:cs="Times New Roman"/>
          <w:szCs w:val="24"/>
        </w:rPr>
        <w:t xml:space="preserve">it </w:t>
      </w:r>
      <w:r w:rsidRPr="0087048B" w:rsidR="00045B33">
        <w:rPr>
          <w:rFonts w:cs="Times New Roman"/>
          <w:szCs w:val="24"/>
        </w:rPr>
        <w:t>provide</w:t>
      </w:r>
      <w:r w:rsidRPr="0087048B" w:rsidR="00EB1BBD">
        <w:rPr>
          <w:rFonts w:cs="Times New Roman"/>
          <w:szCs w:val="24"/>
        </w:rPr>
        <w:t>s</w:t>
      </w:r>
      <w:r w:rsidRPr="0087048B" w:rsidR="00045B33">
        <w:rPr>
          <w:rFonts w:cs="Times New Roman"/>
          <w:szCs w:val="24"/>
        </w:rPr>
        <w:t xml:space="preserve"> significant benefits to consumers</w:t>
      </w:r>
      <w:r w:rsidRPr="0087048B" w:rsidR="000F1D8B">
        <w:rPr>
          <w:rFonts w:cs="Times New Roman"/>
          <w:szCs w:val="24"/>
        </w:rPr>
        <w:t xml:space="preserve">, and </w:t>
      </w:r>
      <w:r w:rsidRPr="0087048B" w:rsidR="00C374D0">
        <w:rPr>
          <w:rFonts w:cs="Times New Roman"/>
          <w:szCs w:val="24"/>
        </w:rPr>
        <w:t>violates no regulatory principles.</w:t>
      </w:r>
      <w:r>
        <w:rPr>
          <w:rStyle w:val="FootnoteReference"/>
          <w:rFonts w:cs="Times New Roman"/>
          <w:szCs w:val="24"/>
        </w:rPr>
        <w:footnoteReference w:id="4"/>
      </w:r>
      <w:r w:rsidRPr="0087048B" w:rsidR="00C374D0">
        <w:rPr>
          <w:rFonts w:cs="Times New Roman"/>
          <w:szCs w:val="24"/>
        </w:rPr>
        <w:t xml:space="preserve">  </w:t>
      </w:r>
    </w:p>
    <w:p w:rsidR="0036016C" w:rsidRPr="0087048B" w:rsidP="0055168C" w14:paraId="110C6FD0" w14:textId="3DF24B07">
      <w:pPr>
        <w:pStyle w:val="Heading1"/>
      </w:pPr>
      <w:bookmarkStart w:id="2" w:name="_Toc91148194"/>
      <w:bookmarkStart w:id="3" w:name="_Toc91769892"/>
      <w:r w:rsidRPr="0087048B">
        <w:t>II.</w:t>
      </w:r>
      <w:r w:rsidRPr="0087048B">
        <w:tab/>
        <w:t>RECOMMENDATIONS</w:t>
      </w:r>
      <w:bookmarkEnd w:id="2"/>
      <w:bookmarkEnd w:id="3"/>
    </w:p>
    <w:p w:rsidR="0036016C" w:rsidRPr="0087048B" w:rsidP="003C0C30" w14:paraId="7E80D947" w14:textId="5515C27E">
      <w:pPr>
        <w:pStyle w:val="Heading2"/>
      </w:pPr>
      <w:bookmarkStart w:id="4" w:name="_Toc91148195"/>
      <w:bookmarkStart w:id="5" w:name="_Toc91769893"/>
      <w:r w:rsidRPr="0087048B">
        <w:t>A.</w:t>
      </w:r>
      <w:r w:rsidRPr="0087048B">
        <w:tab/>
      </w:r>
      <w:r w:rsidRPr="0087048B" w:rsidR="00366D69">
        <w:t>Th</w:t>
      </w:r>
      <w:r w:rsidRPr="0087048B" w:rsidR="00EE4D53">
        <w:t>e PUCO</w:t>
      </w:r>
      <w:r w:rsidRPr="0087048B" w:rsidR="00827B55">
        <w:t xml:space="preserve"> lawfully decided to approve </w:t>
      </w:r>
      <w:r w:rsidRPr="0087048B" w:rsidR="001E424D">
        <w:t>the</w:t>
      </w:r>
      <w:r w:rsidRPr="0087048B" w:rsidR="00827B55">
        <w:t xml:space="preserve"> Settlement</w:t>
      </w:r>
      <w:r w:rsidRPr="0087048B" w:rsidR="001E424D">
        <w:t xml:space="preserve"> and the signatory parties’ agreement</w:t>
      </w:r>
      <w:r w:rsidRPr="0087048B" w:rsidR="00EE4D53">
        <w:t xml:space="preserve"> to keep the </w:t>
      </w:r>
      <w:r w:rsidRPr="0087048B" w:rsidR="00B23BCB">
        <w:t>Retail Reconciliation Rider</w:t>
      </w:r>
      <w:r w:rsidRPr="0087048B" w:rsidR="00EE4D53">
        <w:t xml:space="preserve"> and SSO</w:t>
      </w:r>
      <w:r w:rsidRPr="0087048B" w:rsidR="00797D4B">
        <w:t xml:space="preserve"> </w:t>
      </w:r>
      <w:r w:rsidRPr="0087048B" w:rsidR="00EE4D53">
        <w:t>C</w:t>
      </w:r>
      <w:r w:rsidRPr="0087048B" w:rsidR="00B23BCB">
        <w:t>redit Rider</w:t>
      </w:r>
      <w:r w:rsidRPr="0087048B" w:rsidR="00EE4D53">
        <w:t xml:space="preserve"> at </w:t>
      </w:r>
      <w:r w:rsidR="00BD3110">
        <w:t xml:space="preserve">a </w:t>
      </w:r>
      <w:r w:rsidRPr="0087048B" w:rsidR="00EE4D53">
        <w:t>zero</w:t>
      </w:r>
      <w:r w:rsidR="00BD3110">
        <w:t xml:space="preserve"> charge</w:t>
      </w:r>
      <w:r>
        <w:t xml:space="preserve"> to consumers</w:t>
      </w:r>
      <w:r w:rsidRPr="0087048B" w:rsidR="00827B55">
        <w:t xml:space="preserve">. The </w:t>
      </w:r>
      <w:r w:rsidRPr="0087048B" w:rsidR="00704517">
        <w:t xml:space="preserve">PUCO’s </w:t>
      </w:r>
      <w:r w:rsidRPr="0087048B" w:rsidR="00827B55">
        <w:t>decision is grounded in</w:t>
      </w:r>
      <w:r w:rsidR="00140EA3">
        <w:t xml:space="preserve"> the public interest,</w:t>
      </w:r>
      <w:r w:rsidRPr="0087048B" w:rsidR="00827B55">
        <w:t xml:space="preserve"> the evidentiary record and fully </w:t>
      </w:r>
      <w:r w:rsidRPr="0087048B" w:rsidR="00EE4D53">
        <w:t xml:space="preserve">explained in the PUCO’s Order. </w:t>
      </w:r>
      <w:r w:rsidRPr="0087048B" w:rsidR="00E467F4">
        <w:t>(IGS Assignments of Error Nos. 1-4).</w:t>
      </w:r>
      <w:bookmarkEnd w:id="4"/>
      <w:bookmarkEnd w:id="5"/>
    </w:p>
    <w:p w:rsidR="00771C8D" w:rsidRPr="0087048B" w:rsidP="00771C8D" w14:paraId="6F954041" w14:textId="314A1799">
      <w:pPr>
        <w:spacing w:after="0" w:line="480" w:lineRule="auto"/>
        <w:ind w:firstLine="720"/>
        <w:rPr>
          <w:rFonts w:cs="Times New Roman"/>
          <w:szCs w:val="24"/>
        </w:rPr>
      </w:pPr>
      <w:r w:rsidRPr="0087048B">
        <w:rPr>
          <w:rFonts w:cs="Times New Roman"/>
          <w:szCs w:val="24"/>
        </w:rPr>
        <w:t>T</w:t>
      </w:r>
      <w:r w:rsidRPr="0087048B" w:rsidR="00D26850">
        <w:rPr>
          <w:rFonts w:cs="Times New Roman"/>
          <w:szCs w:val="24"/>
        </w:rPr>
        <w:t>he signatory parties</w:t>
      </w:r>
      <w:r w:rsidRPr="0087048B">
        <w:rPr>
          <w:rFonts w:cs="Times New Roman"/>
          <w:szCs w:val="24"/>
        </w:rPr>
        <w:t xml:space="preserve"> agreed in the Settlement </w:t>
      </w:r>
      <w:r w:rsidRPr="0087048B" w:rsidR="00D26850">
        <w:rPr>
          <w:rFonts w:cs="Times New Roman"/>
          <w:szCs w:val="24"/>
        </w:rPr>
        <w:t xml:space="preserve">that </w:t>
      </w:r>
      <w:r w:rsidRPr="0087048B" w:rsidR="00A82340">
        <w:rPr>
          <w:rFonts w:cs="Times New Roman"/>
          <w:szCs w:val="24"/>
        </w:rPr>
        <w:t>“[t]he Retail Reconciliation Rider (RRR) and SSO Credit Rider (SSOCR)</w:t>
      </w:r>
      <w:r w:rsidRPr="0087048B" w:rsidR="00797D4B">
        <w:rPr>
          <w:rFonts w:cs="Times New Roman"/>
          <w:szCs w:val="24"/>
        </w:rPr>
        <w:t xml:space="preserve"> will remain at </w:t>
      </w:r>
      <w:r w:rsidR="00BD3110">
        <w:rPr>
          <w:rFonts w:cs="Times New Roman"/>
          <w:szCs w:val="24"/>
        </w:rPr>
        <w:t xml:space="preserve">a </w:t>
      </w:r>
      <w:r w:rsidRPr="0087048B" w:rsidR="00797D4B">
        <w:rPr>
          <w:rFonts w:cs="Times New Roman"/>
          <w:szCs w:val="24"/>
        </w:rPr>
        <w:t>zero</w:t>
      </w:r>
      <w:r w:rsidR="00BD3110">
        <w:rPr>
          <w:rFonts w:cs="Times New Roman"/>
          <w:szCs w:val="24"/>
        </w:rPr>
        <w:t xml:space="preserve"> charg</w:t>
      </w:r>
      <w:r w:rsidR="00F2310F">
        <w:rPr>
          <w:rFonts w:cs="Times New Roman"/>
          <w:szCs w:val="24"/>
        </w:rPr>
        <w:t>e . . .”</w:t>
      </w:r>
      <w:r w:rsidRPr="00F2310F" w:rsidR="00F2310F">
        <w:rPr>
          <w:rStyle w:val="FootnoteReference"/>
          <w:rFonts w:cs="Times New Roman"/>
          <w:szCs w:val="24"/>
        </w:rPr>
        <w:t xml:space="preserve"> </w:t>
      </w:r>
      <w:r>
        <w:rPr>
          <w:rStyle w:val="FootnoteReference"/>
          <w:rFonts w:cs="Times New Roman"/>
          <w:szCs w:val="24"/>
        </w:rPr>
        <w:footnoteReference w:id="5"/>
      </w:r>
      <w:r w:rsidR="00BD3110">
        <w:rPr>
          <w:rFonts w:cs="Times New Roman"/>
          <w:szCs w:val="24"/>
        </w:rPr>
        <w:t xml:space="preserve"> The zero charge coincided with the PUCO</w:t>
      </w:r>
      <w:r w:rsidRPr="0087048B" w:rsidR="00797D4B">
        <w:rPr>
          <w:rFonts w:cs="Times New Roman"/>
          <w:szCs w:val="24"/>
        </w:rPr>
        <w:t xml:space="preserve"> Staff Report’s recommendation. </w:t>
      </w:r>
      <w:r w:rsidR="00BD3110">
        <w:rPr>
          <w:rFonts w:cs="Times New Roman"/>
          <w:szCs w:val="24"/>
        </w:rPr>
        <w:t xml:space="preserve">Marketer </w:t>
      </w:r>
      <w:r w:rsidRPr="0087048B" w:rsidR="00385278">
        <w:rPr>
          <w:rFonts w:cs="Times New Roman"/>
          <w:szCs w:val="24"/>
        </w:rPr>
        <w:t>IGS opposes this provision of the Settlement</w:t>
      </w:r>
      <w:r w:rsidR="00BD3110">
        <w:rPr>
          <w:rFonts w:cs="Times New Roman"/>
          <w:szCs w:val="24"/>
        </w:rPr>
        <w:t xml:space="preserve"> for a zero charge</w:t>
      </w:r>
      <w:r w:rsidRPr="0087048B">
        <w:rPr>
          <w:rFonts w:cs="Times New Roman"/>
          <w:szCs w:val="24"/>
        </w:rPr>
        <w:t xml:space="preserve"> and seeks rehearing of the PUCO’s Order approving it</w:t>
      </w:r>
      <w:r w:rsidRPr="0087048B" w:rsidR="00385278">
        <w:rPr>
          <w:rFonts w:cs="Times New Roman"/>
          <w:szCs w:val="24"/>
        </w:rPr>
        <w:t>.</w:t>
      </w:r>
      <w:r w:rsidRPr="0087048B">
        <w:rPr>
          <w:rFonts w:cs="Times New Roman"/>
          <w:szCs w:val="24"/>
        </w:rPr>
        <w:t xml:space="preserve"> The PUC</w:t>
      </w:r>
      <w:r w:rsidRPr="0087048B" w:rsidR="00735B40">
        <w:rPr>
          <w:rFonts w:cs="Times New Roman"/>
          <w:szCs w:val="24"/>
        </w:rPr>
        <w:t>O should deny rehearing.</w:t>
      </w:r>
      <w:r w:rsidRPr="0087048B" w:rsidR="00385278">
        <w:rPr>
          <w:rFonts w:cs="Times New Roman"/>
          <w:szCs w:val="24"/>
        </w:rPr>
        <w:t xml:space="preserve"> </w:t>
      </w:r>
    </w:p>
    <w:p w:rsidR="00932469" w:rsidP="00735B40" w14:paraId="5296D906" w14:textId="39FADA39">
      <w:pPr>
        <w:spacing w:after="0" w:line="480" w:lineRule="auto"/>
        <w:ind w:firstLine="720"/>
        <w:rPr>
          <w:rFonts w:cs="Times New Roman"/>
          <w:szCs w:val="24"/>
        </w:rPr>
      </w:pPr>
      <w:r w:rsidRPr="0087048B">
        <w:rPr>
          <w:rFonts w:cs="Times New Roman"/>
          <w:szCs w:val="24"/>
        </w:rPr>
        <w:t>Through the testimony of IGS witness Frank Lacey,</w:t>
      </w:r>
      <w:r>
        <w:rPr>
          <w:rStyle w:val="FootnoteReference"/>
          <w:rFonts w:cs="Times New Roman"/>
          <w:szCs w:val="24"/>
        </w:rPr>
        <w:footnoteReference w:id="6"/>
      </w:r>
      <w:r w:rsidRPr="0087048B">
        <w:rPr>
          <w:rFonts w:cs="Times New Roman"/>
          <w:szCs w:val="24"/>
        </w:rPr>
        <w:t xml:space="preserve"> </w:t>
      </w:r>
      <w:r w:rsidRPr="0087048B" w:rsidR="00943C6F">
        <w:rPr>
          <w:rFonts w:cs="Times New Roman"/>
          <w:szCs w:val="24"/>
        </w:rPr>
        <w:t>IGS</w:t>
      </w:r>
      <w:r w:rsidRPr="0087048B" w:rsidR="00385278">
        <w:rPr>
          <w:rFonts w:cs="Times New Roman"/>
          <w:szCs w:val="24"/>
        </w:rPr>
        <w:t xml:space="preserve"> </w:t>
      </w:r>
      <w:r w:rsidRPr="0087048B">
        <w:rPr>
          <w:rFonts w:cs="Times New Roman"/>
          <w:szCs w:val="24"/>
        </w:rPr>
        <w:t>propose</w:t>
      </w:r>
      <w:r w:rsidRPr="0087048B" w:rsidR="00385278">
        <w:rPr>
          <w:rFonts w:cs="Times New Roman"/>
          <w:szCs w:val="24"/>
        </w:rPr>
        <w:t>d</w:t>
      </w:r>
      <w:r w:rsidRPr="0087048B">
        <w:rPr>
          <w:rFonts w:cs="Times New Roman"/>
          <w:szCs w:val="24"/>
        </w:rPr>
        <w:t xml:space="preserve"> </w:t>
      </w:r>
      <w:r w:rsidRPr="0087048B">
        <w:rPr>
          <w:rFonts w:cs="Times New Roman"/>
          <w:i/>
          <w:iCs/>
          <w:szCs w:val="24"/>
        </w:rPr>
        <w:t>$64 million</w:t>
      </w:r>
      <w:r w:rsidRPr="0087048B">
        <w:rPr>
          <w:rFonts w:cs="Times New Roman"/>
          <w:szCs w:val="24"/>
        </w:rPr>
        <w:t xml:space="preserve"> in charges to </w:t>
      </w:r>
      <w:r>
        <w:rPr>
          <w:rFonts w:cs="Times New Roman"/>
          <w:szCs w:val="24"/>
        </w:rPr>
        <w:t>consumers who purchase electricity through AEP’s standard service offer (“AEP SSO”) instead of from marketers like IGS. IG</w:t>
      </w:r>
      <w:r w:rsidR="00C448AA">
        <w:rPr>
          <w:rFonts w:cs="Times New Roman"/>
          <w:szCs w:val="24"/>
        </w:rPr>
        <w:t>S</w:t>
      </w:r>
      <w:r>
        <w:rPr>
          <w:rFonts w:cs="Times New Roman"/>
          <w:szCs w:val="24"/>
        </w:rPr>
        <w:t xml:space="preserve"> would have the charges imposed </w:t>
      </w:r>
      <w:r w:rsidR="00BD3110">
        <w:rPr>
          <w:rFonts w:cs="Times New Roman"/>
          <w:szCs w:val="24"/>
        </w:rPr>
        <w:t xml:space="preserve">on consumers </w:t>
      </w:r>
      <w:r w:rsidRPr="0087048B">
        <w:rPr>
          <w:rFonts w:cs="Times New Roman"/>
          <w:szCs w:val="24"/>
        </w:rPr>
        <w:t xml:space="preserve">through </w:t>
      </w:r>
      <w:r>
        <w:rPr>
          <w:rFonts w:cs="Times New Roman"/>
          <w:szCs w:val="24"/>
        </w:rPr>
        <w:t xml:space="preserve">the </w:t>
      </w:r>
      <w:r w:rsidRPr="0087048B">
        <w:rPr>
          <w:rFonts w:cs="Times New Roman"/>
          <w:szCs w:val="24"/>
        </w:rPr>
        <w:t xml:space="preserve">AEP </w:t>
      </w:r>
      <w:r w:rsidRPr="0087048B" w:rsidR="00592FD4">
        <w:rPr>
          <w:rFonts w:cs="Times New Roman"/>
          <w:szCs w:val="24"/>
        </w:rPr>
        <w:t>Retail Reconciliation Rider.</w:t>
      </w:r>
      <w:r>
        <w:rPr>
          <w:rStyle w:val="FootnoteReference"/>
          <w:rFonts w:cs="Times New Roman"/>
          <w:szCs w:val="24"/>
        </w:rPr>
        <w:footnoteReference w:id="7"/>
      </w:r>
      <w:r w:rsidRPr="0087048B">
        <w:rPr>
          <w:rFonts w:cs="Times New Roman"/>
          <w:szCs w:val="24"/>
        </w:rPr>
        <w:t xml:space="preserve"> </w:t>
      </w:r>
      <w:r w:rsidRPr="0087048B" w:rsidR="00943C6F">
        <w:rPr>
          <w:rFonts w:cs="Times New Roman"/>
          <w:szCs w:val="24"/>
        </w:rPr>
        <w:t>IGS</w:t>
      </w:r>
      <w:r w:rsidRPr="0087048B">
        <w:rPr>
          <w:rFonts w:cs="Times New Roman"/>
          <w:szCs w:val="24"/>
        </w:rPr>
        <w:t xml:space="preserve"> also propose</w:t>
      </w:r>
      <w:r w:rsidRPr="0087048B" w:rsidR="00735B40">
        <w:rPr>
          <w:rFonts w:cs="Times New Roman"/>
          <w:szCs w:val="24"/>
        </w:rPr>
        <w:t>d</w:t>
      </w:r>
      <w:r w:rsidRPr="0087048B">
        <w:rPr>
          <w:rFonts w:cs="Times New Roman"/>
          <w:szCs w:val="24"/>
        </w:rPr>
        <w:t xml:space="preserve"> a $64 million offsetting credit to </w:t>
      </w:r>
      <w:r w:rsidRPr="0087048B">
        <w:rPr>
          <w:rFonts w:cs="Times New Roman"/>
          <w:i/>
          <w:iCs/>
          <w:szCs w:val="24"/>
        </w:rPr>
        <w:t>all</w:t>
      </w:r>
      <w:r w:rsidRPr="0087048B">
        <w:rPr>
          <w:rFonts w:cs="Times New Roman"/>
          <w:szCs w:val="24"/>
        </w:rPr>
        <w:t xml:space="preserve"> consumers (both SSO and shopping) through AEP</w:t>
      </w:r>
      <w:r w:rsidRPr="0087048B" w:rsidR="00943C6F">
        <w:rPr>
          <w:rFonts w:cs="Times New Roman"/>
          <w:szCs w:val="24"/>
        </w:rPr>
        <w:t>’s SSO C</w:t>
      </w:r>
      <w:r w:rsidRPr="0087048B" w:rsidR="00592FD4">
        <w:rPr>
          <w:rFonts w:cs="Times New Roman"/>
          <w:szCs w:val="24"/>
        </w:rPr>
        <w:t>redit Rider</w:t>
      </w:r>
      <w:r w:rsidRPr="0087048B" w:rsidR="00943C6F">
        <w:rPr>
          <w:rFonts w:cs="Times New Roman"/>
          <w:szCs w:val="24"/>
        </w:rPr>
        <w:t>.</w:t>
      </w:r>
      <w:r w:rsidRPr="0087048B">
        <w:rPr>
          <w:rFonts w:cs="Times New Roman"/>
          <w:szCs w:val="24"/>
        </w:rPr>
        <w:t xml:space="preserve"> </w:t>
      </w:r>
    </w:p>
    <w:p w:rsidR="00DC5B4B" w:rsidRPr="0087048B" w:rsidP="00735B40" w14:paraId="34B19250" w14:textId="4D1144CD">
      <w:pPr>
        <w:spacing w:after="0" w:line="480" w:lineRule="auto"/>
        <w:ind w:firstLine="720"/>
        <w:rPr>
          <w:rFonts w:cs="Times New Roman"/>
          <w:szCs w:val="24"/>
        </w:rPr>
      </w:pPr>
      <w:r w:rsidRPr="0087048B">
        <w:rPr>
          <w:rFonts w:cs="Times New Roman"/>
          <w:szCs w:val="24"/>
        </w:rPr>
        <w:t>IGS’s propos</w:t>
      </w:r>
      <w:r w:rsidRPr="0087048B" w:rsidR="00592FD4">
        <w:rPr>
          <w:rFonts w:cs="Times New Roman"/>
          <w:szCs w:val="24"/>
        </w:rPr>
        <w:t>ed redistribution</w:t>
      </w:r>
      <w:r w:rsidRPr="0087048B" w:rsidR="00FA6733">
        <w:rPr>
          <w:rFonts w:cs="Times New Roman"/>
          <w:szCs w:val="24"/>
        </w:rPr>
        <w:t xml:space="preserve"> would</w:t>
      </w:r>
      <w:r w:rsidR="007A04E7">
        <w:rPr>
          <w:rFonts w:cs="Times New Roman"/>
          <w:szCs w:val="24"/>
        </w:rPr>
        <w:t xml:space="preserve"> result in</w:t>
      </w:r>
      <w:r w:rsidRPr="0087048B">
        <w:rPr>
          <w:rFonts w:cs="Times New Roman"/>
          <w:szCs w:val="24"/>
        </w:rPr>
        <w:t xml:space="preserve"> a typical residential</w:t>
      </w:r>
      <w:r w:rsidR="00932469">
        <w:rPr>
          <w:rFonts w:cs="Times New Roman"/>
          <w:szCs w:val="24"/>
        </w:rPr>
        <w:t xml:space="preserve"> AEP </w:t>
      </w:r>
      <w:r w:rsidRPr="0087048B">
        <w:rPr>
          <w:rFonts w:cs="Times New Roman"/>
          <w:szCs w:val="24"/>
        </w:rPr>
        <w:t xml:space="preserve">SSO </w:t>
      </w:r>
      <w:r w:rsidR="000D1074">
        <w:rPr>
          <w:rFonts w:cs="Times New Roman"/>
          <w:szCs w:val="24"/>
        </w:rPr>
        <w:t>consumer</w:t>
      </w:r>
      <w:r w:rsidRPr="0087048B">
        <w:rPr>
          <w:rFonts w:cs="Times New Roman"/>
          <w:szCs w:val="24"/>
        </w:rPr>
        <w:t xml:space="preserve"> pay</w:t>
      </w:r>
      <w:r w:rsidR="007A04E7">
        <w:rPr>
          <w:rFonts w:cs="Times New Roman"/>
          <w:szCs w:val="24"/>
        </w:rPr>
        <w:t>ing</w:t>
      </w:r>
      <w:r w:rsidRPr="0087048B">
        <w:rPr>
          <w:rFonts w:cs="Times New Roman"/>
          <w:szCs w:val="24"/>
        </w:rPr>
        <w:t xml:space="preserve"> an extra $4.20 per month—more than $50 per year.</w:t>
      </w:r>
      <w:r>
        <w:rPr>
          <w:rStyle w:val="FootnoteReference"/>
          <w:rFonts w:cs="Times New Roman"/>
          <w:szCs w:val="24"/>
        </w:rPr>
        <w:footnoteReference w:id="8"/>
      </w:r>
      <w:r w:rsidRPr="0087048B">
        <w:rPr>
          <w:rFonts w:cs="Times New Roman"/>
          <w:szCs w:val="24"/>
        </w:rPr>
        <w:t xml:space="preserve"> </w:t>
      </w:r>
      <w:r w:rsidRPr="0087048B" w:rsidR="00FA6733">
        <w:rPr>
          <w:rFonts w:cs="Times New Roman"/>
          <w:szCs w:val="24"/>
        </w:rPr>
        <w:t>On the other hand,</w:t>
      </w:r>
      <w:r w:rsidRPr="0087048B">
        <w:rPr>
          <w:rFonts w:cs="Times New Roman"/>
          <w:szCs w:val="24"/>
        </w:rPr>
        <w:t xml:space="preserve"> a typical residential marketer </w:t>
      </w:r>
      <w:r w:rsidR="000D1074">
        <w:rPr>
          <w:rFonts w:cs="Times New Roman"/>
          <w:szCs w:val="24"/>
        </w:rPr>
        <w:t>consumer</w:t>
      </w:r>
      <w:r w:rsidRPr="0087048B">
        <w:rPr>
          <w:rFonts w:cs="Times New Roman"/>
          <w:szCs w:val="24"/>
        </w:rPr>
        <w:t xml:space="preserve"> would get a </w:t>
      </w:r>
      <w:r w:rsidRPr="0087048B">
        <w:rPr>
          <w:rFonts w:cs="Times New Roman"/>
          <w:i/>
          <w:iCs/>
          <w:szCs w:val="24"/>
        </w:rPr>
        <w:t>credit</w:t>
      </w:r>
      <w:r w:rsidRPr="0087048B">
        <w:rPr>
          <w:rFonts w:cs="Times New Roman"/>
          <w:szCs w:val="24"/>
        </w:rPr>
        <w:t xml:space="preserve"> of $1.50 per month, or $18 per year.</w:t>
      </w:r>
      <w:r>
        <w:rPr>
          <w:rStyle w:val="FootnoteReference"/>
          <w:rFonts w:cs="Times New Roman"/>
          <w:szCs w:val="24"/>
        </w:rPr>
        <w:footnoteReference w:id="9"/>
      </w:r>
      <w:r w:rsidRPr="0087048B">
        <w:rPr>
          <w:rFonts w:cs="Times New Roman"/>
          <w:szCs w:val="24"/>
        </w:rPr>
        <w:t xml:space="preserve"> </w:t>
      </w:r>
      <w:r w:rsidRPr="0087048B" w:rsidR="00B23BCB">
        <w:rPr>
          <w:rFonts w:cs="Times New Roman"/>
          <w:szCs w:val="24"/>
        </w:rPr>
        <w:t>IGS</w:t>
      </w:r>
      <w:r w:rsidRPr="0087048B" w:rsidR="00FA6733">
        <w:rPr>
          <w:rFonts w:cs="Times New Roman"/>
          <w:szCs w:val="24"/>
        </w:rPr>
        <w:t xml:space="preserve">’s proposal essentially amounts to </w:t>
      </w:r>
      <w:r w:rsidRPr="0087048B">
        <w:rPr>
          <w:rFonts w:cs="Times New Roman"/>
          <w:szCs w:val="24"/>
        </w:rPr>
        <w:t>a $</w:t>
      </w:r>
      <w:r w:rsidR="00D44062">
        <w:rPr>
          <w:rFonts w:cs="Times New Roman"/>
          <w:szCs w:val="24"/>
        </w:rPr>
        <w:t>32</w:t>
      </w:r>
      <w:r w:rsidRPr="0087048B">
        <w:rPr>
          <w:rFonts w:cs="Times New Roman"/>
          <w:szCs w:val="24"/>
        </w:rPr>
        <w:t xml:space="preserve"> annual penalty for </w:t>
      </w:r>
      <w:r w:rsidRPr="0087048B" w:rsidR="00FA6733">
        <w:rPr>
          <w:rFonts w:cs="Times New Roman"/>
          <w:szCs w:val="24"/>
        </w:rPr>
        <w:t xml:space="preserve">residential </w:t>
      </w:r>
      <w:r w:rsidR="000D1074">
        <w:rPr>
          <w:rFonts w:cs="Times New Roman"/>
          <w:szCs w:val="24"/>
        </w:rPr>
        <w:t>consumer</w:t>
      </w:r>
      <w:r w:rsidRPr="0087048B" w:rsidR="00FA6733">
        <w:rPr>
          <w:rFonts w:cs="Times New Roman"/>
          <w:szCs w:val="24"/>
        </w:rPr>
        <w:t xml:space="preserve">s </w:t>
      </w:r>
      <w:r w:rsidRPr="0087048B">
        <w:rPr>
          <w:rFonts w:cs="Times New Roman"/>
          <w:szCs w:val="24"/>
        </w:rPr>
        <w:t>choosing the</w:t>
      </w:r>
      <w:r w:rsidR="007A04E7">
        <w:rPr>
          <w:rFonts w:cs="Times New Roman"/>
          <w:szCs w:val="24"/>
        </w:rPr>
        <w:t xml:space="preserve"> AEP</w:t>
      </w:r>
      <w:r w:rsidRPr="0087048B">
        <w:rPr>
          <w:rFonts w:cs="Times New Roman"/>
          <w:szCs w:val="24"/>
        </w:rPr>
        <w:t xml:space="preserve"> SSO.</w:t>
      </w:r>
      <w:r>
        <w:rPr>
          <w:rStyle w:val="FootnoteReference"/>
          <w:rFonts w:cs="Times New Roman"/>
          <w:szCs w:val="24"/>
        </w:rPr>
        <w:footnoteReference w:id="10"/>
      </w:r>
      <w:r w:rsidR="007A04E7">
        <w:rPr>
          <w:rFonts w:cs="Times New Roman"/>
          <w:szCs w:val="24"/>
        </w:rPr>
        <w:t xml:space="preserve"> That’s bad</w:t>
      </w:r>
      <w:r w:rsidR="00040F76">
        <w:rPr>
          <w:rFonts w:cs="Times New Roman"/>
          <w:szCs w:val="24"/>
        </w:rPr>
        <w:t>, so it’s a good thing that the parties did not include it in the Settlement.</w:t>
      </w:r>
      <w:r w:rsidRPr="0087048B">
        <w:rPr>
          <w:rFonts w:cs="Times New Roman"/>
          <w:szCs w:val="24"/>
        </w:rPr>
        <w:t xml:space="preserve"> </w:t>
      </w:r>
      <w:r w:rsidR="00D715C9">
        <w:rPr>
          <w:rFonts w:cs="Times New Roman"/>
          <w:szCs w:val="24"/>
        </w:rPr>
        <w:t xml:space="preserve">IGS provided </w:t>
      </w:r>
      <w:r w:rsidR="00D44062">
        <w:rPr>
          <w:rFonts w:cs="Times New Roman"/>
          <w:szCs w:val="24"/>
        </w:rPr>
        <w:t xml:space="preserve">no </w:t>
      </w:r>
      <w:r w:rsidR="00D715C9">
        <w:rPr>
          <w:rFonts w:cs="Times New Roman"/>
          <w:szCs w:val="24"/>
        </w:rPr>
        <w:t xml:space="preserve">cost or state policy </w:t>
      </w:r>
      <w:r w:rsidR="00D44062">
        <w:rPr>
          <w:rFonts w:cs="Times New Roman"/>
          <w:szCs w:val="24"/>
        </w:rPr>
        <w:t xml:space="preserve">justification for </w:t>
      </w:r>
      <w:r w:rsidR="00BD7075">
        <w:rPr>
          <w:rFonts w:cs="Times New Roman"/>
          <w:szCs w:val="24"/>
        </w:rPr>
        <w:t>its proposed</w:t>
      </w:r>
      <w:r w:rsidR="00D44062">
        <w:rPr>
          <w:rFonts w:cs="Times New Roman"/>
          <w:szCs w:val="24"/>
        </w:rPr>
        <w:t xml:space="preserve"> penal</w:t>
      </w:r>
      <w:r w:rsidR="00D715C9">
        <w:rPr>
          <w:rFonts w:cs="Times New Roman"/>
          <w:szCs w:val="24"/>
        </w:rPr>
        <w:t xml:space="preserve">ty on residential </w:t>
      </w:r>
      <w:r w:rsidR="00BD7075">
        <w:rPr>
          <w:rFonts w:cs="Times New Roman"/>
          <w:szCs w:val="24"/>
        </w:rPr>
        <w:t xml:space="preserve">AEP </w:t>
      </w:r>
      <w:r w:rsidR="00D715C9">
        <w:rPr>
          <w:rFonts w:cs="Times New Roman"/>
          <w:szCs w:val="24"/>
        </w:rPr>
        <w:t xml:space="preserve">SSO </w:t>
      </w:r>
      <w:r w:rsidR="00BD7075">
        <w:rPr>
          <w:rFonts w:cs="Times New Roman"/>
          <w:szCs w:val="24"/>
        </w:rPr>
        <w:t>consumers</w:t>
      </w:r>
      <w:r w:rsidR="00D715C9">
        <w:rPr>
          <w:rFonts w:cs="Times New Roman"/>
          <w:szCs w:val="24"/>
        </w:rPr>
        <w:t xml:space="preserve">. </w:t>
      </w:r>
      <w:r w:rsidRPr="0087048B" w:rsidR="00735B40">
        <w:rPr>
          <w:rFonts w:cs="Times New Roman"/>
          <w:szCs w:val="24"/>
        </w:rPr>
        <w:t>T</w:t>
      </w:r>
      <w:r w:rsidRPr="0087048B" w:rsidR="00771C8D">
        <w:rPr>
          <w:rFonts w:cs="Times New Roman"/>
          <w:szCs w:val="24"/>
        </w:rPr>
        <w:t>he</w:t>
      </w:r>
      <w:r w:rsidRPr="0087048B" w:rsidR="00F80A6F">
        <w:rPr>
          <w:rFonts w:cs="Times New Roman"/>
          <w:szCs w:val="24"/>
        </w:rPr>
        <w:t xml:space="preserve"> PUCO</w:t>
      </w:r>
      <w:r w:rsidRPr="0087048B" w:rsidR="007E4B0B">
        <w:rPr>
          <w:rFonts w:cs="Times New Roman"/>
          <w:szCs w:val="24"/>
        </w:rPr>
        <w:t xml:space="preserve"> correctly</w:t>
      </w:r>
      <w:r w:rsidR="00E06438">
        <w:rPr>
          <w:rFonts w:cs="Times New Roman"/>
          <w:szCs w:val="24"/>
        </w:rPr>
        <w:t xml:space="preserve"> </w:t>
      </w:r>
      <w:r w:rsidRPr="0087048B" w:rsidR="00735B40">
        <w:rPr>
          <w:rFonts w:cs="Times New Roman"/>
          <w:szCs w:val="24"/>
        </w:rPr>
        <w:t xml:space="preserve">rejected IGS’s proposal, </w:t>
      </w:r>
      <w:r w:rsidR="005C257A">
        <w:rPr>
          <w:rFonts w:cs="Times New Roman"/>
          <w:szCs w:val="24"/>
        </w:rPr>
        <w:t xml:space="preserve">finding that the Settlement is in the public interest and does not violate regulatory principles or practices. </w:t>
      </w:r>
      <w:r w:rsidRPr="0087048B" w:rsidR="003253EC">
        <w:rPr>
          <w:rFonts w:cs="Times New Roman"/>
          <w:szCs w:val="24"/>
        </w:rPr>
        <w:t xml:space="preserve">IGS’s application for rehearing should be </w:t>
      </w:r>
      <w:r w:rsidRPr="0087048B" w:rsidR="00385278">
        <w:rPr>
          <w:rFonts w:cs="Times New Roman"/>
          <w:szCs w:val="24"/>
        </w:rPr>
        <w:t>denied</w:t>
      </w:r>
      <w:r w:rsidRPr="0087048B" w:rsidR="003253EC">
        <w:rPr>
          <w:rFonts w:cs="Times New Roman"/>
          <w:szCs w:val="24"/>
        </w:rPr>
        <w:t>.</w:t>
      </w:r>
    </w:p>
    <w:p w:rsidR="00DD3FEA" w:rsidRPr="0087048B" w:rsidP="00BB538C" w14:paraId="093A1242" w14:textId="4FBDE320">
      <w:pPr>
        <w:pStyle w:val="Heading3"/>
      </w:pPr>
      <w:bookmarkStart w:id="6" w:name="_Toc91148196"/>
      <w:bookmarkStart w:id="7" w:name="_Toc91769894"/>
      <w:r w:rsidRPr="0087048B">
        <w:t>The PUCO’s Order</w:t>
      </w:r>
      <w:r w:rsidR="00140EA3">
        <w:t xml:space="preserve"> that kept the Settlement’s consumer protection intact</w:t>
      </w:r>
      <w:r w:rsidRPr="0087048B">
        <w:t xml:space="preserve"> does not violate R.C. 4903.09.</w:t>
      </w:r>
      <w:r w:rsidRPr="0087048B" w:rsidR="00192659">
        <w:t xml:space="preserve"> (IGS Assignments of Error Nos. 1, 2, and 4).</w:t>
      </w:r>
      <w:bookmarkEnd w:id="6"/>
      <w:bookmarkEnd w:id="7"/>
    </w:p>
    <w:p w:rsidR="00AF3739" w:rsidRPr="0087048B" w:rsidP="00F17D8C" w14:paraId="0442359F" w14:textId="04167343">
      <w:pPr>
        <w:spacing w:after="0" w:line="480" w:lineRule="auto"/>
        <w:ind w:firstLine="720"/>
        <w:rPr>
          <w:rFonts w:cs="Times New Roman"/>
          <w:szCs w:val="24"/>
        </w:rPr>
      </w:pPr>
      <w:r>
        <w:rPr>
          <w:rFonts w:cs="Times New Roman"/>
          <w:szCs w:val="24"/>
        </w:rPr>
        <w:t xml:space="preserve">Marketer </w:t>
      </w:r>
      <w:r w:rsidRPr="0087048B" w:rsidR="00F17D8C">
        <w:rPr>
          <w:rFonts w:cs="Times New Roman"/>
          <w:szCs w:val="24"/>
        </w:rPr>
        <w:t xml:space="preserve">IGS claims that the PUCO’s decision to approve language in the Settlement setting the </w:t>
      </w:r>
      <w:r w:rsidRPr="0087048B" w:rsidR="007E03F7">
        <w:rPr>
          <w:rFonts w:cs="Times New Roman"/>
          <w:szCs w:val="24"/>
        </w:rPr>
        <w:t>Retail Reconciliation Rider</w:t>
      </w:r>
      <w:r w:rsidRPr="0087048B" w:rsidR="00F17D8C">
        <w:rPr>
          <w:rFonts w:cs="Times New Roman"/>
          <w:szCs w:val="24"/>
        </w:rPr>
        <w:t xml:space="preserve"> and SSO C</w:t>
      </w:r>
      <w:r w:rsidRPr="0087048B" w:rsidR="007E03F7">
        <w:rPr>
          <w:rFonts w:cs="Times New Roman"/>
          <w:szCs w:val="24"/>
        </w:rPr>
        <w:t>redit Rider</w:t>
      </w:r>
      <w:r w:rsidRPr="0087048B" w:rsidR="00F17D8C">
        <w:rPr>
          <w:rFonts w:cs="Times New Roman"/>
          <w:szCs w:val="24"/>
        </w:rPr>
        <w:t xml:space="preserve"> at zero violates the requirement in R.C. 4903.09 that the PUCO sufficiently explain the </w:t>
      </w:r>
      <w:r w:rsidRPr="0087048B" w:rsidR="003D03D7">
        <w:rPr>
          <w:rFonts w:cs="Times New Roman"/>
          <w:szCs w:val="24"/>
        </w:rPr>
        <w:t>rationale for its decision.</w:t>
      </w:r>
      <w:r>
        <w:rPr>
          <w:rStyle w:val="FootnoteReference"/>
          <w:rFonts w:cs="Times New Roman"/>
          <w:szCs w:val="24"/>
        </w:rPr>
        <w:footnoteReference w:id="11"/>
      </w:r>
      <w:r w:rsidRPr="0087048B" w:rsidR="003D03D7">
        <w:rPr>
          <w:rFonts w:cs="Times New Roman"/>
          <w:szCs w:val="24"/>
        </w:rPr>
        <w:t xml:space="preserve"> IGS is wrong. </w:t>
      </w:r>
    </w:p>
    <w:p w:rsidR="002534AA" w:rsidP="002758D1" w14:paraId="7F34D665" w14:textId="7D1970DD">
      <w:pPr>
        <w:spacing w:after="0" w:line="480" w:lineRule="auto"/>
        <w:ind w:firstLine="720"/>
        <w:rPr>
          <w:rFonts w:cs="Times New Roman"/>
          <w:szCs w:val="24"/>
        </w:rPr>
      </w:pPr>
      <w:r w:rsidRPr="0087048B">
        <w:rPr>
          <w:rFonts w:cs="Times New Roman"/>
          <w:szCs w:val="24"/>
        </w:rPr>
        <w:t xml:space="preserve">The basis for the PUCO’s </w:t>
      </w:r>
      <w:r w:rsidRPr="0087048B" w:rsidR="00A236E9">
        <w:rPr>
          <w:rFonts w:cs="Times New Roman"/>
          <w:szCs w:val="24"/>
        </w:rPr>
        <w:t xml:space="preserve">decision is clearly set forth in the Order. </w:t>
      </w:r>
      <w:r w:rsidRPr="0087048B" w:rsidR="003D03D7">
        <w:rPr>
          <w:rFonts w:cs="Times New Roman"/>
          <w:szCs w:val="24"/>
        </w:rPr>
        <w:t>The PUCO</w:t>
      </w:r>
      <w:r w:rsidRPr="0087048B" w:rsidR="00D169E3">
        <w:rPr>
          <w:rFonts w:cs="Times New Roman"/>
          <w:szCs w:val="24"/>
        </w:rPr>
        <w:t xml:space="preserve"> </w:t>
      </w:r>
      <w:r w:rsidRPr="0087048B" w:rsidR="00AF3739">
        <w:rPr>
          <w:rFonts w:cs="Times New Roman"/>
          <w:szCs w:val="24"/>
        </w:rPr>
        <w:t>determined</w:t>
      </w:r>
      <w:r w:rsidRPr="0087048B" w:rsidR="00D169E3">
        <w:rPr>
          <w:rFonts w:cs="Times New Roman"/>
          <w:szCs w:val="24"/>
        </w:rPr>
        <w:t xml:space="preserve"> that</w:t>
      </w:r>
      <w:r w:rsidRPr="0087048B" w:rsidR="006E748B">
        <w:rPr>
          <w:rFonts w:cs="Times New Roman"/>
          <w:szCs w:val="24"/>
        </w:rPr>
        <w:t>,</w:t>
      </w:r>
      <w:r w:rsidRPr="0087048B" w:rsidR="00D169E3">
        <w:rPr>
          <w:rFonts w:cs="Times New Roman"/>
          <w:szCs w:val="24"/>
        </w:rPr>
        <w:t xml:space="preserve"> </w:t>
      </w:r>
      <w:r w:rsidRPr="0087048B" w:rsidR="00A236E9">
        <w:rPr>
          <w:rFonts w:cs="Times New Roman"/>
          <w:szCs w:val="24"/>
        </w:rPr>
        <w:t>based on the</w:t>
      </w:r>
      <w:r w:rsidRPr="0087048B" w:rsidR="00D169E3">
        <w:rPr>
          <w:rFonts w:cs="Times New Roman"/>
          <w:szCs w:val="24"/>
        </w:rPr>
        <w:t xml:space="preserve"> evidence presented</w:t>
      </w:r>
      <w:r w:rsidRPr="0087048B" w:rsidR="000A608F">
        <w:rPr>
          <w:rFonts w:cs="Times New Roman"/>
          <w:szCs w:val="24"/>
        </w:rPr>
        <w:t xml:space="preserve"> </w:t>
      </w:r>
      <w:r w:rsidRPr="0087048B" w:rsidR="00D169E3">
        <w:rPr>
          <w:rFonts w:cs="Times New Roman"/>
          <w:szCs w:val="24"/>
        </w:rPr>
        <w:t xml:space="preserve">by </w:t>
      </w:r>
      <w:r w:rsidRPr="0087048B" w:rsidR="000A608F">
        <w:rPr>
          <w:rFonts w:cs="Times New Roman"/>
          <w:szCs w:val="24"/>
        </w:rPr>
        <w:t>the PUCO Staff, AEP</w:t>
      </w:r>
      <w:r w:rsidRPr="0087048B" w:rsidR="00A45B7F">
        <w:rPr>
          <w:rFonts w:cs="Times New Roman"/>
          <w:szCs w:val="24"/>
        </w:rPr>
        <w:t>,</w:t>
      </w:r>
      <w:r w:rsidRPr="0087048B" w:rsidR="000A608F">
        <w:rPr>
          <w:rFonts w:cs="Times New Roman"/>
          <w:szCs w:val="24"/>
        </w:rPr>
        <w:t xml:space="preserve"> and OCC</w:t>
      </w:r>
      <w:r w:rsidRPr="0087048B" w:rsidR="006E748B">
        <w:rPr>
          <w:rFonts w:cs="Times New Roman"/>
          <w:szCs w:val="24"/>
        </w:rPr>
        <w:t>,</w:t>
      </w:r>
      <w:r w:rsidRPr="0087048B" w:rsidR="00A236E9">
        <w:rPr>
          <w:rFonts w:cs="Times New Roman"/>
          <w:szCs w:val="24"/>
        </w:rPr>
        <w:t xml:space="preserve"> the provision setting the riders at zero d</w:t>
      </w:r>
      <w:r w:rsidRPr="0087048B" w:rsidR="006E748B">
        <w:rPr>
          <w:rFonts w:cs="Times New Roman"/>
          <w:szCs w:val="24"/>
        </w:rPr>
        <w:t>o</w:t>
      </w:r>
      <w:r w:rsidR="00C448AA">
        <w:rPr>
          <w:rFonts w:cs="Times New Roman"/>
          <w:szCs w:val="24"/>
        </w:rPr>
        <w:t>es</w:t>
      </w:r>
      <w:r w:rsidRPr="0087048B" w:rsidR="00A236E9">
        <w:rPr>
          <w:rFonts w:cs="Times New Roman"/>
          <w:szCs w:val="24"/>
        </w:rPr>
        <w:t xml:space="preserve"> not violate any regulatory principle or practice</w:t>
      </w:r>
      <w:r w:rsidRPr="0087048B" w:rsidR="000A608F">
        <w:rPr>
          <w:rFonts w:cs="Times New Roman"/>
          <w:szCs w:val="24"/>
        </w:rPr>
        <w:t>.</w:t>
      </w:r>
      <w:r>
        <w:rPr>
          <w:rStyle w:val="FootnoteReference"/>
          <w:rFonts w:cs="Times New Roman"/>
          <w:szCs w:val="24"/>
        </w:rPr>
        <w:footnoteReference w:id="12"/>
      </w:r>
      <w:r w:rsidRPr="0087048B" w:rsidR="000A608F">
        <w:rPr>
          <w:rFonts w:cs="Times New Roman"/>
          <w:szCs w:val="24"/>
        </w:rPr>
        <w:t xml:space="preserve"> </w:t>
      </w:r>
      <w:r w:rsidRPr="0087048B" w:rsidR="00B879F2">
        <w:rPr>
          <w:rFonts w:cs="Times New Roman"/>
          <w:szCs w:val="24"/>
        </w:rPr>
        <w:t xml:space="preserve">The PUCO </w:t>
      </w:r>
      <w:r w:rsidRPr="0087048B" w:rsidR="00A236E9">
        <w:rPr>
          <w:rFonts w:cs="Times New Roman"/>
          <w:szCs w:val="24"/>
        </w:rPr>
        <w:t>stated that its decision was also based on its</w:t>
      </w:r>
      <w:r w:rsidRPr="0087048B" w:rsidR="00B879F2">
        <w:rPr>
          <w:rFonts w:cs="Times New Roman"/>
          <w:szCs w:val="24"/>
        </w:rPr>
        <w:t xml:space="preserve"> reject</w:t>
      </w:r>
      <w:r w:rsidRPr="0087048B" w:rsidR="00A236E9">
        <w:rPr>
          <w:rFonts w:cs="Times New Roman"/>
          <w:szCs w:val="24"/>
        </w:rPr>
        <w:t>ion of</w:t>
      </w:r>
      <w:r w:rsidRPr="0087048B" w:rsidR="00B879F2">
        <w:rPr>
          <w:rFonts w:cs="Times New Roman"/>
          <w:szCs w:val="24"/>
        </w:rPr>
        <w:t xml:space="preserve"> IGS’s unbundling proposal</w:t>
      </w:r>
      <w:r w:rsidRPr="0087048B" w:rsidR="00A236E9">
        <w:rPr>
          <w:rFonts w:cs="Times New Roman"/>
          <w:szCs w:val="24"/>
        </w:rPr>
        <w:t xml:space="preserve"> in previous cases</w:t>
      </w:r>
      <w:r w:rsidRPr="0087048B" w:rsidR="00AF3739">
        <w:rPr>
          <w:rFonts w:cs="Times New Roman"/>
          <w:szCs w:val="24"/>
        </w:rPr>
        <w:t>.</w:t>
      </w:r>
      <w:r>
        <w:rPr>
          <w:rStyle w:val="FootnoteReference"/>
          <w:rFonts w:cs="Times New Roman"/>
          <w:szCs w:val="24"/>
        </w:rPr>
        <w:footnoteReference w:id="13"/>
      </w:r>
      <w:r w:rsidRPr="0087048B" w:rsidR="00AF3739">
        <w:rPr>
          <w:rFonts w:cs="Times New Roman"/>
          <w:szCs w:val="24"/>
        </w:rPr>
        <w:t xml:space="preserve"> </w:t>
      </w:r>
    </w:p>
    <w:p w:rsidR="00B879F2" w:rsidRPr="0087048B" w:rsidP="00781315" w14:paraId="01C1509C" w14:textId="5FEC16D5">
      <w:pPr>
        <w:spacing w:after="0" w:line="480" w:lineRule="auto"/>
        <w:ind w:firstLine="720"/>
        <w:rPr>
          <w:rFonts w:cs="Times New Roman"/>
          <w:szCs w:val="24"/>
        </w:rPr>
      </w:pPr>
      <w:r w:rsidRPr="0087048B">
        <w:rPr>
          <w:rFonts w:cs="Times New Roman"/>
          <w:szCs w:val="24"/>
        </w:rPr>
        <w:t>T</w:t>
      </w:r>
      <w:r w:rsidRPr="0087048B" w:rsidR="00AF3739">
        <w:rPr>
          <w:rFonts w:cs="Times New Roman"/>
          <w:szCs w:val="24"/>
        </w:rPr>
        <w:t xml:space="preserve">he PUCO </w:t>
      </w:r>
      <w:r w:rsidRPr="0087048B" w:rsidR="00A236E9">
        <w:rPr>
          <w:rFonts w:cs="Times New Roman"/>
          <w:szCs w:val="24"/>
        </w:rPr>
        <w:t>further explained why it rejected IGS’s evidence, stating</w:t>
      </w:r>
      <w:r w:rsidRPr="0087048B" w:rsidR="00AF3739">
        <w:rPr>
          <w:rFonts w:cs="Times New Roman"/>
          <w:szCs w:val="24"/>
        </w:rPr>
        <w:t>:</w:t>
      </w:r>
    </w:p>
    <w:p w:rsidR="0035765F" w:rsidRPr="0087048B" w:rsidP="0035765F" w14:paraId="2F077B3D" w14:textId="136C53B8">
      <w:pPr>
        <w:spacing w:after="0" w:line="240" w:lineRule="auto"/>
        <w:ind w:left="720" w:right="720"/>
        <w:rPr>
          <w:rFonts w:cs="Times New Roman"/>
          <w:b/>
          <w:bCs/>
          <w:i/>
          <w:iCs/>
          <w:szCs w:val="24"/>
        </w:rPr>
      </w:pPr>
      <w:r w:rsidRPr="0087048B">
        <w:rPr>
          <w:rFonts w:cs="Times New Roman"/>
          <w:szCs w:val="24"/>
        </w:rPr>
        <w:t xml:space="preserve">In support of their position, IGS and Direct Energy point to the testimony of their witness, Mr. Lacey, who advised that $64.4 million in SSO-related costs should be reapportioned and collected through the RRR (IGS/Direct Ex. 2 at 10). We find, however, that </w:t>
      </w:r>
      <w:r w:rsidRPr="0087048B">
        <w:rPr>
          <w:rFonts w:cs="Times New Roman"/>
          <w:b/>
          <w:bCs/>
          <w:i/>
          <w:iCs/>
          <w:szCs w:val="24"/>
        </w:rPr>
        <w:t>Mr. Lacey’s recommendation should not be adopted, as the witness did not comply with the Commission’s directive in the ESP 4 Case, which required an analysis of known, quantifiable costs that are collected from customers through distribution rates and that are clearly incurred by AEP Ohio to support the SSO, as well as costs reflected in distribution rates that are distinctly ascribed to the customer choice program.</w:t>
      </w:r>
      <w:r w:rsidRPr="0087048B">
        <w:rPr>
          <w:rFonts w:cs="Times New Roman"/>
          <w:szCs w:val="24"/>
        </w:rPr>
        <w:t xml:space="preserve"> ESP 4 Case, Opinion and Order (Apr. 25, 2018) at ¶¶ 214-215. Despite this directive, Mr. Lacey opined, from a purported business and policy perspective, that it does not “make sense to reduce the allocation of costs to [the] SSO because costs are incurred to run the choice program” (IGS/Direct Ex. 2 at 44). Mr. Lacey, therefore, admitted that he made no attempt to factor choice program costs into his recommendation as to the RRR and SSOCR. </w:t>
      </w:r>
      <w:r w:rsidRPr="0087048B">
        <w:rPr>
          <w:rFonts w:cs="Times New Roman"/>
          <w:b/>
          <w:bCs/>
          <w:i/>
          <w:iCs/>
          <w:szCs w:val="24"/>
        </w:rPr>
        <w:t>In the absence of a complete analysis that fully encapsulates costs clearly and directly attributed to the SSO and to the customer choice program, there is no record support for the respective claims of IGS and Direct Energy that the Stipulation runs afoul of R.C. 4928.02(H), R.C. 4928.03, R.C. 4928.17, any other statutory provision, or any important regulatory principle or practice.</w:t>
      </w:r>
      <w:r>
        <w:rPr>
          <w:rStyle w:val="FootnoteReference"/>
          <w:rFonts w:cs="Times New Roman"/>
          <w:szCs w:val="24"/>
        </w:rPr>
        <w:footnoteReference w:id="14"/>
      </w:r>
    </w:p>
    <w:p w:rsidR="0035765F" w:rsidRPr="0087048B" w:rsidP="0035765F" w14:paraId="231E0824" w14:textId="522B1383">
      <w:pPr>
        <w:spacing w:after="0" w:line="240" w:lineRule="auto"/>
        <w:ind w:right="720"/>
        <w:rPr>
          <w:rFonts w:cs="Times New Roman"/>
          <w:b/>
          <w:bCs/>
          <w:i/>
          <w:iCs/>
          <w:szCs w:val="24"/>
        </w:rPr>
      </w:pPr>
    </w:p>
    <w:p w:rsidR="00DA6CC9" w:rsidRPr="0087048B" w:rsidP="00DA6CC9" w14:paraId="48F16786" w14:textId="540BD827">
      <w:pPr>
        <w:spacing w:after="0" w:line="480" w:lineRule="auto"/>
        <w:rPr>
          <w:rFonts w:cs="Times New Roman"/>
          <w:szCs w:val="24"/>
        </w:rPr>
      </w:pPr>
      <w:r w:rsidRPr="0087048B">
        <w:rPr>
          <w:rFonts w:cs="Times New Roman"/>
          <w:szCs w:val="24"/>
        </w:rPr>
        <w:t xml:space="preserve">This explanation shows that the PUCO weighed the evidence in considering IGS’s proposal, but discounted Mr. Lacey’s testimony because he did not </w:t>
      </w:r>
      <w:r w:rsidR="00D715C9">
        <w:rPr>
          <w:rFonts w:cs="Times New Roman"/>
          <w:szCs w:val="24"/>
        </w:rPr>
        <w:t xml:space="preserve">include </w:t>
      </w:r>
      <w:r w:rsidRPr="0087048B">
        <w:rPr>
          <w:rFonts w:cs="Times New Roman"/>
          <w:szCs w:val="24"/>
        </w:rPr>
        <w:t xml:space="preserve">costs for the </w:t>
      </w:r>
      <w:r w:rsidR="000D1074">
        <w:rPr>
          <w:rFonts w:cs="Times New Roman"/>
          <w:szCs w:val="24"/>
        </w:rPr>
        <w:t>consumer</w:t>
      </w:r>
      <w:r w:rsidRPr="0087048B">
        <w:rPr>
          <w:rFonts w:cs="Times New Roman"/>
          <w:szCs w:val="24"/>
        </w:rPr>
        <w:t xml:space="preserve"> choice program in his analysis. </w:t>
      </w:r>
    </w:p>
    <w:p w:rsidR="00BD3110" w:rsidP="006355A5" w14:paraId="044BED6F" w14:textId="77777777">
      <w:pPr>
        <w:spacing w:after="0" w:line="480" w:lineRule="auto"/>
        <w:ind w:firstLine="720"/>
        <w:rPr>
          <w:rFonts w:cs="Times New Roman"/>
          <w:szCs w:val="24"/>
        </w:rPr>
      </w:pPr>
      <w:r w:rsidRPr="0087048B">
        <w:rPr>
          <w:rFonts w:cs="Times New Roman"/>
          <w:szCs w:val="24"/>
        </w:rPr>
        <w:t>In addition, t</w:t>
      </w:r>
      <w:r w:rsidRPr="0087048B" w:rsidR="006355A5">
        <w:rPr>
          <w:rFonts w:cs="Times New Roman"/>
          <w:szCs w:val="24"/>
        </w:rPr>
        <w:t xml:space="preserve">he PUCO explained that it was not persuaded </w:t>
      </w:r>
      <w:r w:rsidRPr="0087048B">
        <w:rPr>
          <w:rFonts w:cs="Times New Roman"/>
          <w:szCs w:val="24"/>
        </w:rPr>
        <w:t>by IGS’s argument that</w:t>
      </w:r>
      <w:r w:rsidRPr="0087048B" w:rsidR="006355A5">
        <w:rPr>
          <w:rFonts w:cs="Times New Roman"/>
          <w:szCs w:val="24"/>
        </w:rPr>
        <w:t xml:space="preserve"> AEP failed to </w:t>
      </w:r>
      <w:r w:rsidRPr="0087048B" w:rsidR="006E748B">
        <w:rPr>
          <w:rFonts w:cs="Times New Roman"/>
          <w:szCs w:val="24"/>
        </w:rPr>
        <w:t>satisfy</w:t>
      </w:r>
      <w:r w:rsidRPr="0087048B" w:rsidR="006355A5">
        <w:rPr>
          <w:rFonts w:cs="Times New Roman"/>
          <w:szCs w:val="24"/>
        </w:rPr>
        <w:t xml:space="preserve"> the PUCO’s</w:t>
      </w:r>
      <w:r w:rsidRPr="0087048B">
        <w:rPr>
          <w:rFonts w:cs="Times New Roman"/>
          <w:szCs w:val="24"/>
        </w:rPr>
        <w:t xml:space="preserve"> prior</w:t>
      </w:r>
      <w:r w:rsidRPr="0087048B" w:rsidR="006355A5">
        <w:rPr>
          <w:rFonts w:cs="Times New Roman"/>
          <w:szCs w:val="24"/>
        </w:rPr>
        <w:t xml:space="preserve"> directive that AEP “</w:t>
      </w:r>
      <w:r w:rsidRPr="0087048B" w:rsidR="00BE5205">
        <w:rPr>
          <w:rFonts w:cs="Times New Roman"/>
          <w:szCs w:val="24"/>
        </w:rPr>
        <w:t>provide, in these rate case proceedings, an analysis of its distribution costs to identify any known, quantifiable costs to support the SSO, as well as any known, quantifiable costs to promote competition or maintain the choice program.”</w:t>
      </w:r>
      <w:r>
        <w:rPr>
          <w:rStyle w:val="FootnoteReference"/>
          <w:rFonts w:cs="Times New Roman"/>
          <w:szCs w:val="24"/>
        </w:rPr>
        <w:footnoteReference w:id="15"/>
      </w:r>
      <w:r w:rsidRPr="0087048B" w:rsidR="00BE5205">
        <w:rPr>
          <w:rFonts w:cs="Times New Roman"/>
          <w:szCs w:val="24"/>
        </w:rPr>
        <w:t xml:space="preserve"> </w:t>
      </w:r>
    </w:p>
    <w:p w:rsidR="0035765F" w:rsidRPr="0087048B" w:rsidP="006355A5" w14:paraId="59985889" w14:textId="054A091A">
      <w:pPr>
        <w:spacing w:after="0" w:line="480" w:lineRule="auto"/>
        <w:ind w:firstLine="720"/>
        <w:rPr>
          <w:rFonts w:cs="Times New Roman"/>
          <w:szCs w:val="24"/>
        </w:rPr>
      </w:pPr>
      <w:r w:rsidRPr="0087048B">
        <w:rPr>
          <w:rFonts w:cs="Times New Roman"/>
          <w:szCs w:val="24"/>
        </w:rPr>
        <w:t xml:space="preserve">The PUCO found that evidence presented by AEP witness Mr. Rousch </w:t>
      </w:r>
      <w:r w:rsidRPr="0087048B" w:rsidR="006E748B">
        <w:rPr>
          <w:rFonts w:cs="Times New Roman"/>
          <w:szCs w:val="24"/>
        </w:rPr>
        <w:t xml:space="preserve">showed </w:t>
      </w:r>
      <w:r w:rsidRPr="0087048B">
        <w:rPr>
          <w:rFonts w:cs="Times New Roman"/>
          <w:szCs w:val="24"/>
        </w:rPr>
        <w:t xml:space="preserve">that AEP had in fact conducted this analysis, </w:t>
      </w:r>
      <w:r w:rsidRPr="0087048B" w:rsidR="0018232D">
        <w:rPr>
          <w:rFonts w:cs="Times New Roman"/>
          <w:szCs w:val="24"/>
        </w:rPr>
        <w:t>but that</w:t>
      </w:r>
      <w:r w:rsidRPr="0087048B">
        <w:rPr>
          <w:rFonts w:cs="Times New Roman"/>
          <w:szCs w:val="24"/>
        </w:rPr>
        <w:t xml:space="preserve"> AEP, the PUCO Staff, and others</w:t>
      </w:r>
      <w:r w:rsidRPr="0087048B" w:rsidR="0018232D">
        <w:rPr>
          <w:rFonts w:cs="Times New Roman"/>
          <w:szCs w:val="24"/>
        </w:rPr>
        <w:t xml:space="preserve"> disagreed regarding the quantification and allocation of the costs</w:t>
      </w:r>
      <w:r>
        <w:rPr>
          <w:rStyle w:val="FootnoteReference"/>
          <w:rFonts w:cs="Times New Roman"/>
          <w:szCs w:val="24"/>
        </w:rPr>
        <w:footnoteReference w:id="16"/>
      </w:r>
      <w:r w:rsidRPr="0087048B" w:rsidR="0018232D">
        <w:rPr>
          <w:rFonts w:cs="Times New Roman"/>
          <w:szCs w:val="24"/>
        </w:rPr>
        <w:t xml:space="preserve"> This was confirmed by the PUCO Staff Report and PUCO Staff witness Mr. Smith.</w:t>
      </w:r>
      <w:r>
        <w:rPr>
          <w:rStyle w:val="FootnoteReference"/>
          <w:rFonts w:cs="Times New Roman"/>
          <w:szCs w:val="24"/>
        </w:rPr>
        <w:footnoteReference w:id="17"/>
      </w:r>
      <w:r w:rsidRPr="0087048B" w:rsidR="0018232D">
        <w:rPr>
          <w:rFonts w:cs="Times New Roman"/>
          <w:szCs w:val="24"/>
        </w:rPr>
        <w:t xml:space="preserve"> The PUCO Staff also presented evidence that there was a lack of granular </w:t>
      </w:r>
      <w:r w:rsidRPr="0087048B" w:rsidR="00D3499B">
        <w:rPr>
          <w:rFonts w:cs="Times New Roman"/>
          <w:szCs w:val="24"/>
        </w:rPr>
        <w:t>accounting information</w:t>
      </w:r>
      <w:r w:rsidRPr="0087048B" w:rsidR="0018232D">
        <w:rPr>
          <w:rFonts w:cs="Times New Roman"/>
          <w:szCs w:val="24"/>
        </w:rPr>
        <w:t xml:space="preserve"> in AEP’s system </w:t>
      </w:r>
      <w:r w:rsidRPr="0087048B" w:rsidR="00D3499B">
        <w:rPr>
          <w:rFonts w:cs="Times New Roman"/>
          <w:szCs w:val="24"/>
        </w:rPr>
        <w:t>to produce a thorough analysis.</w:t>
      </w:r>
      <w:r>
        <w:rPr>
          <w:rStyle w:val="FootnoteReference"/>
          <w:rFonts w:cs="Times New Roman"/>
          <w:szCs w:val="24"/>
        </w:rPr>
        <w:footnoteReference w:id="18"/>
      </w:r>
      <w:r w:rsidRPr="0087048B" w:rsidR="00D3499B">
        <w:rPr>
          <w:rFonts w:cs="Times New Roman"/>
          <w:szCs w:val="24"/>
        </w:rPr>
        <w:t xml:space="preserve"> </w:t>
      </w:r>
      <w:r w:rsidRPr="0087048B" w:rsidR="00924B41">
        <w:rPr>
          <w:rFonts w:cs="Times New Roman"/>
          <w:szCs w:val="24"/>
        </w:rPr>
        <w:t xml:space="preserve">According to </w:t>
      </w:r>
      <w:r w:rsidRPr="0087048B" w:rsidR="00D3499B">
        <w:rPr>
          <w:rFonts w:cs="Times New Roman"/>
          <w:szCs w:val="24"/>
        </w:rPr>
        <w:t xml:space="preserve">the PUCO, the lack of sufficient data to complete a </w:t>
      </w:r>
      <w:r w:rsidRPr="0087048B" w:rsidR="00924B41">
        <w:rPr>
          <w:rFonts w:cs="Times New Roman"/>
          <w:szCs w:val="24"/>
        </w:rPr>
        <w:t xml:space="preserve">more </w:t>
      </w:r>
      <w:r w:rsidRPr="0087048B" w:rsidR="00D3499B">
        <w:rPr>
          <w:rFonts w:cs="Times New Roman"/>
          <w:szCs w:val="24"/>
        </w:rPr>
        <w:t xml:space="preserve">thorough analysis did not mean that AEP actually </w:t>
      </w:r>
      <w:r w:rsidRPr="0087048B" w:rsidR="00D3499B">
        <w:rPr>
          <w:rFonts w:cs="Times New Roman"/>
          <w:i/>
          <w:iCs/>
          <w:szCs w:val="24"/>
        </w:rPr>
        <w:t>failed</w:t>
      </w:r>
      <w:r w:rsidRPr="0087048B" w:rsidR="00D3499B">
        <w:rPr>
          <w:rFonts w:cs="Times New Roman"/>
          <w:szCs w:val="24"/>
        </w:rPr>
        <w:t xml:space="preserve"> to conduct the analysis as IGS </w:t>
      </w:r>
      <w:r w:rsidRPr="0087048B" w:rsidR="00924B41">
        <w:rPr>
          <w:rFonts w:cs="Times New Roman"/>
          <w:szCs w:val="24"/>
        </w:rPr>
        <w:t>claimed</w:t>
      </w:r>
      <w:r w:rsidRPr="0087048B" w:rsidR="00D3499B">
        <w:rPr>
          <w:rFonts w:cs="Times New Roman"/>
          <w:szCs w:val="24"/>
        </w:rPr>
        <w:t>.</w:t>
      </w:r>
      <w:r>
        <w:rPr>
          <w:rStyle w:val="FootnoteReference"/>
          <w:rFonts w:cs="Times New Roman"/>
          <w:szCs w:val="24"/>
        </w:rPr>
        <w:footnoteReference w:id="19"/>
      </w:r>
      <w:r w:rsidRPr="0087048B" w:rsidR="00D3499B">
        <w:rPr>
          <w:rFonts w:cs="Times New Roman"/>
          <w:szCs w:val="24"/>
        </w:rPr>
        <w:t xml:space="preserve"> </w:t>
      </w:r>
    </w:p>
    <w:p w:rsidR="0035765F" w:rsidRPr="0087048B" w:rsidP="0035765F" w14:paraId="6B2804CB" w14:textId="10FDD9C0">
      <w:pPr>
        <w:spacing w:after="0" w:line="480" w:lineRule="auto"/>
        <w:rPr>
          <w:rFonts w:cs="Times New Roman"/>
          <w:szCs w:val="24"/>
        </w:rPr>
      </w:pPr>
      <w:r w:rsidRPr="0087048B">
        <w:rPr>
          <w:rFonts w:cs="Times New Roman"/>
          <w:szCs w:val="24"/>
        </w:rPr>
        <w:tab/>
      </w:r>
      <w:r w:rsidRPr="0087048B" w:rsidR="009A522B">
        <w:rPr>
          <w:rFonts w:cs="Times New Roman"/>
          <w:szCs w:val="24"/>
        </w:rPr>
        <w:t>T</w:t>
      </w:r>
      <w:r w:rsidRPr="0087048B">
        <w:rPr>
          <w:rFonts w:cs="Times New Roman"/>
          <w:szCs w:val="24"/>
        </w:rPr>
        <w:t xml:space="preserve">he PUCO </w:t>
      </w:r>
      <w:r w:rsidRPr="0087048B" w:rsidR="009A522B">
        <w:rPr>
          <w:rFonts w:cs="Times New Roman"/>
          <w:szCs w:val="24"/>
        </w:rPr>
        <w:t xml:space="preserve">further </w:t>
      </w:r>
      <w:r w:rsidRPr="0087048B">
        <w:rPr>
          <w:rFonts w:cs="Times New Roman"/>
          <w:szCs w:val="24"/>
        </w:rPr>
        <w:t xml:space="preserve">explained that its decision to approve the Settlement did not </w:t>
      </w:r>
      <w:r w:rsidRPr="0087048B" w:rsidR="00C4712C">
        <w:rPr>
          <w:rFonts w:cs="Times New Roman"/>
          <w:szCs w:val="24"/>
        </w:rPr>
        <w:t>foreclose charges through</w:t>
      </w:r>
      <w:r w:rsidRPr="0087048B">
        <w:rPr>
          <w:rFonts w:cs="Times New Roman"/>
          <w:szCs w:val="24"/>
        </w:rPr>
        <w:t xml:space="preserve"> </w:t>
      </w:r>
      <w:r w:rsidRPr="0087048B" w:rsidR="00C4712C">
        <w:rPr>
          <w:rFonts w:cs="Times New Roman"/>
          <w:szCs w:val="24"/>
        </w:rPr>
        <w:t xml:space="preserve">the </w:t>
      </w:r>
      <w:r w:rsidRPr="0087048B">
        <w:rPr>
          <w:rFonts w:cs="Times New Roman"/>
          <w:szCs w:val="24"/>
        </w:rPr>
        <w:t>Retail Reconciliation Rider and SSO Credit Rider provided that a proper analysis of</w:t>
      </w:r>
      <w:r w:rsidRPr="0087048B" w:rsidR="00C4712C">
        <w:rPr>
          <w:rFonts w:cs="Times New Roman"/>
          <w:szCs w:val="24"/>
        </w:rPr>
        <w:t xml:space="preserve"> AEP’s</w:t>
      </w:r>
      <w:r w:rsidRPr="0087048B">
        <w:rPr>
          <w:rFonts w:cs="Times New Roman"/>
          <w:szCs w:val="24"/>
        </w:rPr>
        <w:t xml:space="preserve"> </w:t>
      </w:r>
      <w:r w:rsidRPr="0087048B" w:rsidR="006A6024">
        <w:rPr>
          <w:rFonts w:cs="Times New Roman"/>
          <w:szCs w:val="24"/>
        </w:rPr>
        <w:t xml:space="preserve">costs to provide SSO service and the </w:t>
      </w:r>
      <w:r w:rsidR="000D1074">
        <w:rPr>
          <w:rFonts w:cs="Times New Roman"/>
          <w:szCs w:val="24"/>
        </w:rPr>
        <w:t>consumer</w:t>
      </w:r>
      <w:r w:rsidRPr="0087048B" w:rsidR="006A6024">
        <w:rPr>
          <w:rFonts w:cs="Times New Roman"/>
          <w:szCs w:val="24"/>
        </w:rPr>
        <w:t xml:space="preserve"> choice program was </w:t>
      </w:r>
      <w:r w:rsidRPr="0087048B" w:rsidR="00C4712C">
        <w:rPr>
          <w:rFonts w:cs="Times New Roman"/>
          <w:szCs w:val="24"/>
        </w:rPr>
        <w:t>conducted</w:t>
      </w:r>
      <w:r w:rsidRPr="0087048B" w:rsidR="006E748B">
        <w:rPr>
          <w:rFonts w:cs="Times New Roman"/>
          <w:szCs w:val="24"/>
        </w:rPr>
        <w:t xml:space="preserve"> in the future</w:t>
      </w:r>
      <w:r w:rsidRPr="0087048B" w:rsidR="006A6024">
        <w:rPr>
          <w:rFonts w:cs="Times New Roman"/>
          <w:szCs w:val="24"/>
        </w:rPr>
        <w:t>.</w:t>
      </w:r>
      <w:r>
        <w:rPr>
          <w:rStyle w:val="FootnoteReference"/>
          <w:rFonts w:cs="Times New Roman"/>
          <w:szCs w:val="24"/>
        </w:rPr>
        <w:footnoteReference w:id="20"/>
      </w:r>
      <w:r w:rsidRPr="0087048B" w:rsidR="006A6024">
        <w:rPr>
          <w:rFonts w:cs="Times New Roman"/>
          <w:szCs w:val="24"/>
        </w:rPr>
        <w:t xml:space="preserve"> </w:t>
      </w:r>
    </w:p>
    <w:p w:rsidR="00C4712C" w:rsidRPr="0087048B" w:rsidP="0035765F" w14:paraId="210C81D5" w14:textId="332651CF">
      <w:pPr>
        <w:spacing w:after="0" w:line="480" w:lineRule="auto"/>
        <w:rPr>
          <w:rFonts w:cs="Times New Roman"/>
          <w:szCs w:val="24"/>
        </w:rPr>
      </w:pPr>
      <w:r w:rsidRPr="0087048B">
        <w:rPr>
          <w:rFonts w:cs="Times New Roman"/>
          <w:szCs w:val="24"/>
        </w:rPr>
        <w:tab/>
        <w:t xml:space="preserve">Plainly, IGS is not satisfied with the PUCO’s decision to reject Mr. Lacey’s testimony and adopt the Settlement without modification. However, that does not mean that the PUCO’s Order violates R.C. 4903.09. </w:t>
      </w:r>
      <w:r w:rsidRPr="0087048B" w:rsidR="00091853">
        <w:rPr>
          <w:rFonts w:cs="Times New Roman"/>
          <w:szCs w:val="24"/>
        </w:rPr>
        <w:t xml:space="preserve">The Ohio Supreme Court recently held that the </w:t>
      </w:r>
      <w:r w:rsidRPr="0087048B" w:rsidR="00CB72BB">
        <w:rPr>
          <w:rFonts w:cs="Times New Roman"/>
          <w:szCs w:val="24"/>
        </w:rPr>
        <w:t>purpose of</w:t>
      </w:r>
      <w:r w:rsidRPr="0087048B" w:rsidR="00091853">
        <w:rPr>
          <w:rFonts w:cs="Times New Roman"/>
          <w:szCs w:val="24"/>
        </w:rPr>
        <w:t xml:space="preserve"> </w:t>
      </w:r>
      <w:r w:rsidRPr="0087048B" w:rsidR="00CB72BB">
        <w:rPr>
          <w:rFonts w:cs="Times New Roman"/>
          <w:szCs w:val="24"/>
        </w:rPr>
        <w:t xml:space="preserve">the requirements of </w:t>
      </w:r>
      <w:r w:rsidRPr="0087048B" w:rsidR="00091853">
        <w:rPr>
          <w:rFonts w:cs="Times New Roman"/>
          <w:szCs w:val="24"/>
        </w:rPr>
        <w:t>R.C. 4903.09</w:t>
      </w:r>
      <w:r w:rsidRPr="0087048B" w:rsidR="00CB72BB">
        <w:rPr>
          <w:rFonts w:cs="Times New Roman"/>
          <w:szCs w:val="24"/>
        </w:rPr>
        <w:t xml:space="preserve"> is so a reviewing court has “enough information to know how the commission reached its result.”</w:t>
      </w:r>
      <w:r>
        <w:rPr>
          <w:rStyle w:val="FootnoteReference"/>
          <w:rFonts w:cs="Times New Roman"/>
          <w:szCs w:val="24"/>
        </w:rPr>
        <w:footnoteReference w:id="21"/>
      </w:r>
      <w:r w:rsidRPr="0087048B" w:rsidR="00CB72BB">
        <w:rPr>
          <w:rFonts w:cs="Times New Roman"/>
          <w:szCs w:val="24"/>
        </w:rPr>
        <w:t xml:space="preserve"> </w:t>
      </w:r>
      <w:r w:rsidRPr="0087048B" w:rsidR="008875D9">
        <w:rPr>
          <w:rFonts w:cs="Times New Roman"/>
          <w:szCs w:val="24"/>
        </w:rPr>
        <w:t xml:space="preserve">To satisfy R.C. 4903.09, the PUCO must </w:t>
      </w:r>
      <w:r w:rsidRPr="0087048B" w:rsidR="0094212F">
        <w:rPr>
          <w:rFonts w:cs="Times New Roman"/>
          <w:szCs w:val="24"/>
        </w:rPr>
        <w:t>provide a reasoned explanation for its decision and “identify the facts in the record on which it based its decision.”</w:t>
      </w:r>
      <w:r>
        <w:rPr>
          <w:rStyle w:val="FootnoteReference"/>
          <w:rFonts w:cs="Times New Roman"/>
          <w:szCs w:val="24"/>
        </w:rPr>
        <w:footnoteReference w:id="22"/>
      </w:r>
      <w:r w:rsidRPr="0087048B" w:rsidR="00FF459D">
        <w:rPr>
          <w:rFonts w:cs="Times New Roman"/>
          <w:szCs w:val="24"/>
        </w:rPr>
        <w:t xml:space="preserve"> The PUCO did exactly that in the Order approving the Settlement.</w:t>
      </w:r>
      <w:r>
        <w:rPr>
          <w:rStyle w:val="FootnoteReference"/>
          <w:rFonts w:cs="Times New Roman"/>
          <w:szCs w:val="24"/>
        </w:rPr>
        <w:footnoteReference w:id="23"/>
      </w:r>
    </w:p>
    <w:p w:rsidR="001966AA" w:rsidRPr="0087048B" w:rsidP="0035765F" w14:paraId="601D44B2" w14:textId="20800F71">
      <w:pPr>
        <w:spacing w:after="0" w:line="480" w:lineRule="auto"/>
        <w:rPr>
          <w:rFonts w:cs="Times New Roman"/>
          <w:szCs w:val="24"/>
        </w:rPr>
      </w:pPr>
      <w:r w:rsidRPr="0087048B">
        <w:rPr>
          <w:rFonts w:cs="Times New Roman"/>
          <w:szCs w:val="24"/>
        </w:rPr>
        <w:tab/>
        <w:t xml:space="preserve">IGS cites the Ohio Supreme Court’s decision in </w:t>
      </w:r>
      <w:r w:rsidRPr="0087048B">
        <w:rPr>
          <w:rFonts w:cs="Times New Roman"/>
          <w:i/>
          <w:iCs/>
          <w:szCs w:val="24"/>
        </w:rPr>
        <w:t>FirstEnergy Advisors</w:t>
      </w:r>
      <w:r w:rsidRPr="0087048B">
        <w:rPr>
          <w:rFonts w:cs="Times New Roman"/>
          <w:szCs w:val="24"/>
        </w:rPr>
        <w:t xml:space="preserve"> </w:t>
      </w:r>
      <w:r w:rsidRPr="0087048B" w:rsidR="006A7DE8">
        <w:rPr>
          <w:rFonts w:cs="Times New Roman"/>
          <w:szCs w:val="24"/>
        </w:rPr>
        <w:t xml:space="preserve">to </w:t>
      </w:r>
      <w:r w:rsidRPr="0087048B">
        <w:rPr>
          <w:rFonts w:cs="Times New Roman"/>
          <w:szCs w:val="24"/>
        </w:rPr>
        <w:t xml:space="preserve">support </w:t>
      </w:r>
      <w:r w:rsidRPr="0087048B" w:rsidR="006A7DE8">
        <w:rPr>
          <w:rFonts w:cs="Times New Roman"/>
          <w:szCs w:val="24"/>
        </w:rPr>
        <w:t>IGS’s</w:t>
      </w:r>
      <w:r w:rsidRPr="0087048B" w:rsidR="00391C63">
        <w:rPr>
          <w:rFonts w:cs="Times New Roman"/>
          <w:szCs w:val="24"/>
        </w:rPr>
        <w:t xml:space="preserve"> (erroneous)</w:t>
      </w:r>
      <w:r w:rsidRPr="0087048B">
        <w:rPr>
          <w:rFonts w:cs="Times New Roman"/>
          <w:szCs w:val="24"/>
        </w:rPr>
        <w:t xml:space="preserve"> argument that</w:t>
      </w:r>
      <w:r w:rsidRPr="0087048B" w:rsidR="00134B15">
        <w:rPr>
          <w:rFonts w:cs="Times New Roman"/>
          <w:szCs w:val="24"/>
        </w:rPr>
        <w:t xml:space="preserve"> the</w:t>
      </w:r>
      <w:r w:rsidRPr="0087048B">
        <w:rPr>
          <w:rFonts w:cs="Times New Roman"/>
          <w:szCs w:val="24"/>
        </w:rPr>
        <w:t xml:space="preserve"> PUCO violated R.C. 4903.09 by improperly relying on the</w:t>
      </w:r>
      <w:r w:rsidRPr="0087048B" w:rsidR="00391C63">
        <w:rPr>
          <w:rFonts w:cs="Times New Roman"/>
          <w:szCs w:val="24"/>
        </w:rPr>
        <w:t xml:space="preserve"> PUCO Staff Report.</w:t>
      </w:r>
      <w:r>
        <w:rPr>
          <w:rStyle w:val="FootnoteReference"/>
          <w:rFonts w:cs="Times New Roman"/>
          <w:szCs w:val="24"/>
        </w:rPr>
        <w:footnoteReference w:id="24"/>
      </w:r>
      <w:r w:rsidRPr="0087048B" w:rsidR="00391C63">
        <w:rPr>
          <w:rFonts w:cs="Times New Roman"/>
          <w:szCs w:val="24"/>
        </w:rPr>
        <w:t xml:space="preserve"> </w:t>
      </w:r>
      <w:r w:rsidRPr="0087048B">
        <w:rPr>
          <w:rFonts w:cs="Times New Roman"/>
          <w:szCs w:val="24"/>
        </w:rPr>
        <w:t xml:space="preserve"> </w:t>
      </w:r>
      <w:r w:rsidRPr="0087048B" w:rsidR="00E826B2">
        <w:rPr>
          <w:rFonts w:cs="Times New Roman"/>
          <w:szCs w:val="24"/>
        </w:rPr>
        <w:t xml:space="preserve">IGS’s reliance on </w:t>
      </w:r>
      <w:r w:rsidRPr="0087048B" w:rsidR="00E826B2">
        <w:rPr>
          <w:rFonts w:cs="Times New Roman"/>
          <w:i/>
          <w:iCs/>
          <w:szCs w:val="24"/>
        </w:rPr>
        <w:t>FirstEnergy Advisors</w:t>
      </w:r>
      <w:r w:rsidRPr="0087048B" w:rsidR="00E826B2">
        <w:rPr>
          <w:rFonts w:cs="Times New Roman"/>
          <w:szCs w:val="24"/>
        </w:rPr>
        <w:t xml:space="preserve"> is</w:t>
      </w:r>
      <w:r w:rsidRPr="0087048B" w:rsidR="00EB285A">
        <w:rPr>
          <w:rFonts w:cs="Times New Roman"/>
          <w:szCs w:val="24"/>
        </w:rPr>
        <w:t xml:space="preserve"> grossly</w:t>
      </w:r>
      <w:r w:rsidRPr="0087048B" w:rsidR="00E826B2">
        <w:rPr>
          <w:rFonts w:cs="Times New Roman"/>
          <w:szCs w:val="24"/>
        </w:rPr>
        <w:t xml:space="preserve"> misplaced. In </w:t>
      </w:r>
      <w:r w:rsidRPr="0087048B" w:rsidR="00E826B2">
        <w:rPr>
          <w:rFonts w:cs="Times New Roman"/>
          <w:i/>
          <w:iCs/>
          <w:szCs w:val="24"/>
        </w:rPr>
        <w:t>FirstEnergy Advisors</w:t>
      </w:r>
      <w:r w:rsidRPr="0087048B" w:rsidR="00E826B2">
        <w:rPr>
          <w:rFonts w:cs="Times New Roman"/>
          <w:szCs w:val="24"/>
        </w:rPr>
        <w:t xml:space="preserve">, </w:t>
      </w:r>
      <w:r w:rsidRPr="0087048B" w:rsidR="00EB285A">
        <w:rPr>
          <w:rFonts w:cs="Times New Roman"/>
          <w:szCs w:val="24"/>
        </w:rPr>
        <w:t xml:space="preserve">there was no discovery, no testimony, and no evidentiary hearing. The </w:t>
      </w:r>
      <w:r w:rsidRPr="0087048B" w:rsidR="005D6091">
        <w:rPr>
          <w:rFonts w:cs="Times New Roman"/>
          <w:szCs w:val="24"/>
        </w:rPr>
        <w:t>PUCO’s decision in that case was based on</w:t>
      </w:r>
      <w:r w:rsidRPr="0087048B" w:rsidR="00EB285A">
        <w:rPr>
          <w:rFonts w:cs="Times New Roman"/>
          <w:szCs w:val="24"/>
        </w:rPr>
        <w:t xml:space="preserve"> </w:t>
      </w:r>
      <w:r w:rsidRPr="0087048B" w:rsidR="005D6091">
        <w:rPr>
          <w:rFonts w:cs="Times New Roman"/>
          <w:szCs w:val="24"/>
        </w:rPr>
        <w:t xml:space="preserve">the </w:t>
      </w:r>
      <w:r w:rsidRPr="0087048B" w:rsidR="00E826B2">
        <w:rPr>
          <w:rFonts w:cs="Times New Roman"/>
          <w:szCs w:val="24"/>
        </w:rPr>
        <w:t>PUCO Staff</w:t>
      </w:r>
      <w:r w:rsidRPr="0087048B" w:rsidR="005D6091">
        <w:rPr>
          <w:rFonts w:cs="Times New Roman"/>
          <w:szCs w:val="24"/>
        </w:rPr>
        <w:t>’s</w:t>
      </w:r>
      <w:r w:rsidRPr="0087048B" w:rsidR="00E826B2">
        <w:rPr>
          <w:rFonts w:cs="Times New Roman"/>
          <w:szCs w:val="24"/>
        </w:rPr>
        <w:t xml:space="preserve"> two</w:t>
      </w:r>
      <w:r w:rsidRPr="0087048B" w:rsidR="00955F13">
        <w:rPr>
          <w:rFonts w:cs="Times New Roman"/>
          <w:szCs w:val="24"/>
        </w:rPr>
        <w:t>-</w:t>
      </w:r>
      <w:r w:rsidRPr="0087048B" w:rsidR="00E826B2">
        <w:rPr>
          <w:rFonts w:cs="Times New Roman"/>
          <w:szCs w:val="24"/>
        </w:rPr>
        <w:t xml:space="preserve">paragraph report </w:t>
      </w:r>
      <w:r w:rsidRPr="0087048B" w:rsidR="005D6091">
        <w:rPr>
          <w:rFonts w:cs="Times New Roman"/>
          <w:szCs w:val="24"/>
        </w:rPr>
        <w:t xml:space="preserve">that </w:t>
      </w:r>
      <w:r w:rsidRPr="0087048B" w:rsidR="00955F13">
        <w:rPr>
          <w:rFonts w:cs="Times New Roman"/>
          <w:szCs w:val="24"/>
        </w:rPr>
        <w:t>summarily</w:t>
      </w:r>
      <w:r w:rsidRPr="0087048B" w:rsidR="00E826B2">
        <w:rPr>
          <w:rFonts w:cs="Times New Roman"/>
          <w:szCs w:val="24"/>
        </w:rPr>
        <w:t xml:space="preserve"> conclu</w:t>
      </w:r>
      <w:r w:rsidRPr="0087048B" w:rsidR="00955F13">
        <w:rPr>
          <w:rFonts w:cs="Times New Roman"/>
          <w:szCs w:val="24"/>
        </w:rPr>
        <w:t>d</w:t>
      </w:r>
      <w:r w:rsidRPr="0087048B" w:rsidR="005D6091">
        <w:rPr>
          <w:rFonts w:cs="Times New Roman"/>
          <w:szCs w:val="24"/>
        </w:rPr>
        <w:t>ed</w:t>
      </w:r>
      <w:r w:rsidRPr="0087048B" w:rsidR="00E826B2">
        <w:rPr>
          <w:rFonts w:cs="Times New Roman"/>
          <w:szCs w:val="24"/>
        </w:rPr>
        <w:t xml:space="preserve"> that FirstEnergy Advisors was fit and capable of</w:t>
      </w:r>
      <w:r w:rsidRPr="0087048B" w:rsidR="000D03F5">
        <w:rPr>
          <w:rFonts w:cs="Times New Roman"/>
          <w:szCs w:val="24"/>
        </w:rPr>
        <w:t xml:space="preserve"> operating as a competitive</w:t>
      </w:r>
      <w:r w:rsidRPr="0087048B" w:rsidR="005D6091">
        <w:rPr>
          <w:rFonts w:cs="Times New Roman"/>
          <w:szCs w:val="24"/>
        </w:rPr>
        <w:t xml:space="preserve"> retail electric service</w:t>
      </w:r>
      <w:r w:rsidRPr="0087048B" w:rsidR="000D03F5">
        <w:rPr>
          <w:rFonts w:cs="Times New Roman"/>
          <w:szCs w:val="24"/>
        </w:rPr>
        <w:t xml:space="preserve"> broker and aggregator</w:t>
      </w:r>
      <w:r w:rsidRPr="0087048B" w:rsidR="005D6091">
        <w:rPr>
          <w:rFonts w:cs="Times New Roman"/>
          <w:szCs w:val="24"/>
        </w:rPr>
        <w:t xml:space="preserve"> in Ohio and</w:t>
      </w:r>
      <w:r w:rsidRPr="0087048B" w:rsidR="00F50127">
        <w:rPr>
          <w:rFonts w:cs="Times New Roman"/>
          <w:szCs w:val="24"/>
        </w:rPr>
        <w:t xml:space="preserve"> capable of</w:t>
      </w:r>
      <w:r w:rsidRPr="0087048B" w:rsidR="005D6091">
        <w:rPr>
          <w:rFonts w:cs="Times New Roman"/>
          <w:szCs w:val="24"/>
        </w:rPr>
        <w:t xml:space="preserve"> complying with the PUCO’s rules</w:t>
      </w:r>
      <w:r w:rsidRPr="0087048B" w:rsidR="00E826B2">
        <w:rPr>
          <w:rFonts w:cs="Times New Roman"/>
          <w:szCs w:val="24"/>
        </w:rPr>
        <w:t>.</w:t>
      </w:r>
      <w:r>
        <w:rPr>
          <w:rStyle w:val="FootnoteReference"/>
          <w:rFonts w:cs="Times New Roman"/>
          <w:szCs w:val="24"/>
        </w:rPr>
        <w:footnoteReference w:id="25"/>
      </w:r>
      <w:r w:rsidRPr="0087048B" w:rsidR="00955F13">
        <w:rPr>
          <w:rFonts w:cs="Times New Roman"/>
          <w:szCs w:val="24"/>
        </w:rPr>
        <w:t xml:space="preserve"> </w:t>
      </w:r>
      <w:r w:rsidRPr="0087048B" w:rsidR="005D6091">
        <w:rPr>
          <w:rFonts w:cs="Times New Roman"/>
          <w:szCs w:val="24"/>
        </w:rPr>
        <w:t xml:space="preserve">The PUCO’s order </w:t>
      </w:r>
      <w:r w:rsidR="0036016C">
        <w:rPr>
          <w:rFonts w:cs="Times New Roman"/>
          <w:szCs w:val="24"/>
        </w:rPr>
        <w:t>lacked an</w:t>
      </w:r>
      <w:r w:rsidRPr="0087048B" w:rsidR="004E6932">
        <w:rPr>
          <w:rFonts w:cs="Times New Roman"/>
          <w:szCs w:val="24"/>
        </w:rPr>
        <w:t xml:space="preserve"> explanation </w:t>
      </w:r>
      <w:r w:rsidRPr="0087048B" w:rsidR="006A7DE8">
        <w:rPr>
          <w:rFonts w:cs="Times New Roman"/>
          <w:szCs w:val="24"/>
        </w:rPr>
        <w:t>of the basis for the</w:t>
      </w:r>
      <w:r w:rsidRPr="0087048B" w:rsidR="004E6932">
        <w:rPr>
          <w:rFonts w:cs="Times New Roman"/>
          <w:szCs w:val="24"/>
        </w:rPr>
        <w:t xml:space="preserve"> PUCO</w:t>
      </w:r>
      <w:r w:rsidRPr="0087048B" w:rsidR="006A7DE8">
        <w:rPr>
          <w:rFonts w:cs="Times New Roman"/>
          <w:szCs w:val="24"/>
        </w:rPr>
        <w:t>’s decision or the evidence on which it relied</w:t>
      </w:r>
      <w:r w:rsidRPr="0087048B" w:rsidR="004E6932">
        <w:rPr>
          <w:rFonts w:cs="Times New Roman"/>
          <w:szCs w:val="24"/>
        </w:rPr>
        <w:t>.</w:t>
      </w:r>
      <w:r>
        <w:rPr>
          <w:rStyle w:val="FootnoteReference"/>
          <w:rFonts w:cs="Times New Roman"/>
          <w:szCs w:val="24"/>
        </w:rPr>
        <w:footnoteReference w:id="26"/>
      </w:r>
      <w:r w:rsidRPr="0087048B" w:rsidR="00CE491F">
        <w:rPr>
          <w:rFonts w:cs="Times New Roman"/>
          <w:szCs w:val="24"/>
        </w:rPr>
        <w:t xml:space="preserve"> </w:t>
      </w:r>
      <w:r w:rsidRPr="0087048B" w:rsidR="007C69A7">
        <w:rPr>
          <w:rFonts w:cs="Times New Roman"/>
          <w:szCs w:val="24"/>
        </w:rPr>
        <w:t>A</w:t>
      </w:r>
      <w:r w:rsidRPr="0087048B" w:rsidR="00F50127">
        <w:rPr>
          <w:rFonts w:cs="Times New Roman"/>
          <w:szCs w:val="24"/>
        </w:rPr>
        <w:t>s a result,</w:t>
      </w:r>
      <w:r w:rsidRPr="0087048B" w:rsidR="00CE491F">
        <w:rPr>
          <w:rFonts w:cs="Times New Roman"/>
          <w:szCs w:val="24"/>
        </w:rPr>
        <w:t xml:space="preserve"> there was no way for the Ohio Supreme Court to determine how the PUCO arrived at its decision.</w:t>
      </w:r>
    </w:p>
    <w:p w:rsidR="0036016C" w:rsidP="0035765F" w14:paraId="6557E806" w14:textId="5D83AB34">
      <w:pPr>
        <w:spacing w:after="0" w:line="480" w:lineRule="auto"/>
        <w:rPr>
          <w:rFonts w:cs="Times New Roman"/>
          <w:szCs w:val="24"/>
        </w:rPr>
      </w:pPr>
      <w:r w:rsidRPr="0087048B">
        <w:rPr>
          <w:rFonts w:cs="Times New Roman"/>
          <w:szCs w:val="24"/>
        </w:rPr>
        <w:tab/>
      </w:r>
      <w:r w:rsidRPr="0087048B" w:rsidR="00F50127">
        <w:rPr>
          <w:rFonts w:cs="Times New Roman"/>
          <w:szCs w:val="24"/>
        </w:rPr>
        <w:t xml:space="preserve">By contrast, </w:t>
      </w:r>
      <w:r w:rsidRPr="0087048B">
        <w:rPr>
          <w:rFonts w:cs="Times New Roman"/>
          <w:szCs w:val="24"/>
        </w:rPr>
        <w:t>the parties</w:t>
      </w:r>
      <w:r w:rsidRPr="0087048B" w:rsidR="00F50127">
        <w:rPr>
          <w:rFonts w:cs="Times New Roman"/>
          <w:szCs w:val="24"/>
        </w:rPr>
        <w:t xml:space="preserve"> in this case</w:t>
      </w:r>
      <w:r>
        <w:rPr>
          <w:rFonts w:cs="Times New Roman"/>
          <w:szCs w:val="24"/>
        </w:rPr>
        <w:t xml:space="preserve"> had an opportunity to</w:t>
      </w:r>
      <w:r w:rsidRPr="0087048B">
        <w:rPr>
          <w:rFonts w:cs="Times New Roman"/>
          <w:szCs w:val="24"/>
        </w:rPr>
        <w:t xml:space="preserve"> conduct</w:t>
      </w:r>
      <w:r>
        <w:rPr>
          <w:rFonts w:cs="Times New Roman"/>
          <w:szCs w:val="24"/>
        </w:rPr>
        <w:t xml:space="preserve"> </w:t>
      </w:r>
      <w:r w:rsidRPr="0087048B">
        <w:rPr>
          <w:rFonts w:cs="Times New Roman"/>
          <w:szCs w:val="24"/>
        </w:rPr>
        <w:t xml:space="preserve">extensive discovery, the PUCO Staff issued </w:t>
      </w:r>
      <w:r w:rsidRPr="0087048B" w:rsidR="00C2115C">
        <w:rPr>
          <w:rFonts w:cs="Times New Roman"/>
          <w:szCs w:val="24"/>
        </w:rPr>
        <w:t>a</w:t>
      </w:r>
      <w:r w:rsidRPr="0087048B">
        <w:rPr>
          <w:rFonts w:cs="Times New Roman"/>
          <w:szCs w:val="24"/>
        </w:rPr>
        <w:t xml:space="preserve"> </w:t>
      </w:r>
      <w:r w:rsidR="00CC3D14">
        <w:rPr>
          <w:rFonts w:cs="Times New Roman"/>
          <w:szCs w:val="24"/>
        </w:rPr>
        <w:t xml:space="preserve">detailed </w:t>
      </w:r>
      <w:r w:rsidRPr="0087048B">
        <w:rPr>
          <w:rFonts w:cs="Times New Roman"/>
          <w:szCs w:val="24"/>
        </w:rPr>
        <w:t>report</w:t>
      </w:r>
      <w:r w:rsidRPr="0087048B" w:rsidR="00C2115C">
        <w:rPr>
          <w:rFonts w:cs="Times New Roman"/>
          <w:szCs w:val="24"/>
        </w:rPr>
        <w:t xml:space="preserve"> on AEP’s application for a rate increase</w:t>
      </w:r>
      <w:r w:rsidRPr="0087048B">
        <w:rPr>
          <w:rFonts w:cs="Times New Roman"/>
          <w:szCs w:val="24"/>
        </w:rPr>
        <w:t>, parties</w:t>
      </w:r>
      <w:r w:rsidRPr="0087048B" w:rsidR="00EB285A">
        <w:rPr>
          <w:rFonts w:cs="Times New Roman"/>
          <w:szCs w:val="24"/>
        </w:rPr>
        <w:t xml:space="preserve"> (including IGS)</w:t>
      </w:r>
      <w:r w:rsidRPr="0087048B">
        <w:rPr>
          <w:rFonts w:cs="Times New Roman"/>
          <w:szCs w:val="24"/>
        </w:rPr>
        <w:t xml:space="preserve"> engaged in </w:t>
      </w:r>
      <w:r w:rsidRPr="0087048B" w:rsidR="000545C2">
        <w:rPr>
          <w:rFonts w:cs="Times New Roman"/>
          <w:szCs w:val="24"/>
        </w:rPr>
        <w:t xml:space="preserve">extensive </w:t>
      </w:r>
      <w:r w:rsidRPr="0087048B">
        <w:rPr>
          <w:rFonts w:cs="Times New Roman"/>
          <w:szCs w:val="24"/>
        </w:rPr>
        <w:t xml:space="preserve">settlement negotiations to resolve the issues in the case, </w:t>
      </w:r>
      <w:r w:rsidRPr="0087048B" w:rsidR="00EB285A">
        <w:rPr>
          <w:rFonts w:cs="Times New Roman"/>
          <w:szCs w:val="24"/>
        </w:rPr>
        <w:t xml:space="preserve">signatory and non-signatory </w:t>
      </w:r>
      <w:r w:rsidRPr="0087048B">
        <w:rPr>
          <w:rFonts w:cs="Times New Roman"/>
          <w:szCs w:val="24"/>
        </w:rPr>
        <w:t xml:space="preserve">parties filed testimony regarding the </w:t>
      </w:r>
      <w:r w:rsidRPr="0087048B" w:rsidR="00EB285A">
        <w:rPr>
          <w:rFonts w:cs="Times New Roman"/>
          <w:szCs w:val="24"/>
        </w:rPr>
        <w:t>S</w:t>
      </w:r>
      <w:r w:rsidRPr="0087048B">
        <w:rPr>
          <w:rFonts w:cs="Times New Roman"/>
          <w:szCs w:val="24"/>
        </w:rPr>
        <w:t>ettlement, an evidentiary hearing was conducted</w:t>
      </w:r>
      <w:r w:rsidRPr="0087048B" w:rsidR="00C83FFB">
        <w:rPr>
          <w:rFonts w:cs="Times New Roman"/>
          <w:szCs w:val="24"/>
        </w:rPr>
        <w:t xml:space="preserve"> where witnesses testified regarding the Retail Reconciliation Rider and the SSO Credit Rider</w:t>
      </w:r>
      <w:r w:rsidRPr="0087048B" w:rsidR="00C2115C">
        <w:rPr>
          <w:rFonts w:cs="Times New Roman"/>
          <w:szCs w:val="24"/>
        </w:rPr>
        <w:t>, and parties filed initial and reply briefs on the issues</w:t>
      </w:r>
      <w:r w:rsidRPr="0087048B" w:rsidR="00C83FFB">
        <w:rPr>
          <w:rFonts w:cs="Times New Roman"/>
          <w:szCs w:val="24"/>
        </w:rPr>
        <w:t xml:space="preserve">. </w:t>
      </w:r>
    </w:p>
    <w:p w:rsidR="00CE491F" w:rsidRPr="0087048B" w:rsidP="00781315" w14:paraId="0082BFC3" w14:textId="32311E93">
      <w:pPr>
        <w:spacing w:after="0" w:line="480" w:lineRule="auto"/>
        <w:ind w:firstLine="720"/>
        <w:rPr>
          <w:rFonts w:cs="Times New Roman"/>
          <w:szCs w:val="24"/>
        </w:rPr>
      </w:pPr>
      <w:r w:rsidRPr="0087048B">
        <w:rPr>
          <w:rFonts w:cs="Times New Roman"/>
          <w:szCs w:val="24"/>
        </w:rPr>
        <w:t xml:space="preserve">Unlike </w:t>
      </w:r>
      <w:r w:rsidRPr="0087048B">
        <w:rPr>
          <w:rFonts w:cs="Times New Roman"/>
          <w:i/>
          <w:iCs/>
          <w:szCs w:val="24"/>
        </w:rPr>
        <w:t>FirstEnergy Advisors</w:t>
      </w:r>
      <w:r w:rsidRPr="0087048B">
        <w:rPr>
          <w:rFonts w:cs="Times New Roman"/>
          <w:szCs w:val="24"/>
        </w:rPr>
        <w:t>, the PUCO relied</w:t>
      </w:r>
      <w:r w:rsidRPr="0087048B" w:rsidR="00C83FFB">
        <w:rPr>
          <w:rFonts w:cs="Times New Roman"/>
          <w:szCs w:val="24"/>
        </w:rPr>
        <w:t xml:space="preserve"> on</w:t>
      </w:r>
      <w:r w:rsidRPr="0087048B">
        <w:rPr>
          <w:rFonts w:cs="Times New Roman"/>
          <w:szCs w:val="24"/>
        </w:rPr>
        <w:t xml:space="preserve"> </w:t>
      </w:r>
      <w:r w:rsidRPr="0087048B" w:rsidR="00C83FFB">
        <w:rPr>
          <w:rFonts w:cs="Times New Roman"/>
          <w:szCs w:val="24"/>
        </w:rPr>
        <w:t>more than just the Staff Report</w:t>
      </w:r>
      <w:r w:rsidRPr="0087048B">
        <w:rPr>
          <w:rFonts w:cs="Times New Roman"/>
          <w:szCs w:val="24"/>
        </w:rPr>
        <w:t xml:space="preserve"> in making its decision.</w:t>
      </w:r>
      <w:r w:rsidRPr="0087048B" w:rsidR="00C83FFB">
        <w:rPr>
          <w:rFonts w:cs="Times New Roman"/>
          <w:szCs w:val="24"/>
        </w:rPr>
        <w:t xml:space="preserve"> </w:t>
      </w:r>
      <w:r w:rsidRPr="0087048B">
        <w:rPr>
          <w:rFonts w:cs="Times New Roman"/>
          <w:szCs w:val="24"/>
        </w:rPr>
        <w:t>T</w:t>
      </w:r>
      <w:r w:rsidRPr="0087048B" w:rsidR="00C83FFB">
        <w:rPr>
          <w:rFonts w:cs="Times New Roman"/>
          <w:szCs w:val="24"/>
        </w:rPr>
        <w:t xml:space="preserve">he PUCO fully explained the basis for its decision not to modify the Settlement </w:t>
      </w:r>
      <w:r w:rsidRPr="0087048B" w:rsidR="00EB285A">
        <w:rPr>
          <w:rFonts w:cs="Times New Roman"/>
          <w:szCs w:val="24"/>
        </w:rPr>
        <w:t xml:space="preserve">and </w:t>
      </w:r>
      <w:r w:rsidRPr="0087048B">
        <w:rPr>
          <w:rFonts w:cs="Times New Roman"/>
          <w:szCs w:val="24"/>
        </w:rPr>
        <w:t xml:space="preserve">precisely identified the </w:t>
      </w:r>
      <w:r w:rsidRPr="0087048B" w:rsidR="00EB285A">
        <w:rPr>
          <w:rFonts w:cs="Times New Roman"/>
          <w:szCs w:val="24"/>
        </w:rPr>
        <w:t>evidence supporting that decision</w:t>
      </w:r>
      <w:r w:rsidRPr="0087048B" w:rsidR="00C83FFB">
        <w:rPr>
          <w:rFonts w:cs="Times New Roman"/>
          <w:szCs w:val="24"/>
        </w:rPr>
        <w:t>.</w:t>
      </w:r>
      <w:r>
        <w:rPr>
          <w:rStyle w:val="FootnoteReference"/>
          <w:rFonts w:cs="Times New Roman"/>
          <w:szCs w:val="24"/>
        </w:rPr>
        <w:footnoteReference w:id="27"/>
      </w:r>
      <w:r w:rsidRPr="0087048B" w:rsidR="00C83FFB">
        <w:rPr>
          <w:rFonts w:cs="Times New Roman"/>
          <w:szCs w:val="24"/>
        </w:rPr>
        <w:t xml:space="preserve"> </w:t>
      </w:r>
      <w:r w:rsidRPr="0087048B">
        <w:rPr>
          <w:rFonts w:cs="Times New Roman"/>
          <w:szCs w:val="24"/>
        </w:rPr>
        <w:t xml:space="preserve">The PUCO also explained how its decision was consistent with its past precedent rejecting </w:t>
      </w:r>
      <w:r w:rsidRPr="0087048B" w:rsidR="000545C2">
        <w:rPr>
          <w:rFonts w:cs="Times New Roman"/>
          <w:szCs w:val="24"/>
        </w:rPr>
        <w:t>the same proposals by IGS in other cases</w:t>
      </w:r>
      <w:r w:rsidRPr="0087048B">
        <w:rPr>
          <w:rFonts w:cs="Times New Roman"/>
          <w:szCs w:val="24"/>
        </w:rPr>
        <w:t>.</w:t>
      </w:r>
      <w:r>
        <w:rPr>
          <w:rStyle w:val="FootnoteReference"/>
          <w:rFonts w:cs="Times New Roman"/>
          <w:szCs w:val="24"/>
        </w:rPr>
        <w:footnoteReference w:id="28"/>
      </w:r>
      <w:r w:rsidRPr="0087048B" w:rsidR="00C86124">
        <w:rPr>
          <w:rFonts w:cs="Times New Roman"/>
          <w:szCs w:val="24"/>
        </w:rPr>
        <w:t xml:space="preserve"> </w:t>
      </w:r>
    </w:p>
    <w:p w:rsidR="00B879F2" w:rsidRPr="0087048B" w:rsidP="00162D5F" w14:paraId="1CB56F31" w14:textId="101DB8D0">
      <w:pPr>
        <w:spacing w:after="0" w:line="480" w:lineRule="auto"/>
        <w:rPr>
          <w:rFonts w:cs="Times New Roman"/>
          <w:szCs w:val="24"/>
        </w:rPr>
      </w:pPr>
      <w:r w:rsidRPr="0087048B">
        <w:rPr>
          <w:rFonts w:cs="Times New Roman"/>
          <w:szCs w:val="24"/>
        </w:rPr>
        <w:tab/>
      </w:r>
      <w:r w:rsidRPr="0087048B" w:rsidR="00F979AD">
        <w:rPr>
          <w:rFonts w:cs="Times New Roman"/>
          <w:szCs w:val="24"/>
        </w:rPr>
        <w:t xml:space="preserve">IGS </w:t>
      </w:r>
      <w:r w:rsidR="0036016C">
        <w:rPr>
          <w:rFonts w:cs="Times New Roman"/>
          <w:szCs w:val="24"/>
        </w:rPr>
        <w:t>also asks</w:t>
      </w:r>
      <w:r w:rsidRPr="0087048B" w:rsidR="0036016C">
        <w:rPr>
          <w:rFonts w:cs="Times New Roman"/>
          <w:szCs w:val="24"/>
        </w:rPr>
        <w:t xml:space="preserve"> </w:t>
      </w:r>
      <w:r w:rsidRPr="0087048B" w:rsidR="00F979AD">
        <w:rPr>
          <w:rFonts w:cs="Times New Roman"/>
          <w:szCs w:val="24"/>
        </w:rPr>
        <w:t xml:space="preserve">that if the PUCO does not adopt its proposal to redistribute $64 million </w:t>
      </w:r>
      <w:r w:rsidR="00901B2A">
        <w:rPr>
          <w:rFonts w:cs="Times New Roman"/>
          <w:szCs w:val="24"/>
        </w:rPr>
        <w:t xml:space="preserve">collected from </w:t>
      </w:r>
      <w:r w:rsidRPr="0087048B" w:rsidR="00F979AD">
        <w:rPr>
          <w:rFonts w:cs="Times New Roman"/>
          <w:szCs w:val="24"/>
        </w:rPr>
        <w:t xml:space="preserve">SSO </w:t>
      </w:r>
      <w:r w:rsidR="000D1074">
        <w:rPr>
          <w:rFonts w:cs="Times New Roman"/>
          <w:szCs w:val="24"/>
        </w:rPr>
        <w:t>consumer</w:t>
      </w:r>
      <w:r w:rsidRPr="0087048B" w:rsidR="00F979AD">
        <w:rPr>
          <w:rFonts w:cs="Times New Roman"/>
          <w:szCs w:val="24"/>
        </w:rPr>
        <w:t>s</w:t>
      </w:r>
      <w:r w:rsidR="00901B2A">
        <w:rPr>
          <w:rFonts w:cs="Times New Roman"/>
          <w:szCs w:val="24"/>
        </w:rPr>
        <w:t xml:space="preserve"> to all </w:t>
      </w:r>
      <w:r w:rsidR="000D1074">
        <w:rPr>
          <w:rFonts w:cs="Times New Roman"/>
          <w:szCs w:val="24"/>
        </w:rPr>
        <w:t>consumer</w:t>
      </w:r>
      <w:r w:rsidR="00901B2A">
        <w:rPr>
          <w:rFonts w:cs="Times New Roman"/>
          <w:szCs w:val="24"/>
        </w:rPr>
        <w:t>s</w:t>
      </w:r>
      <w:r w:rsidRPr="0087048B" w:rsidR="00F979AD">
        <w:rPr>
          <w:rFonts w:cs="Times New Roman"/>
          <w:szCs w:val="24"/>
        </w:rPr>
        <w:t>, it should at a minimum</w:t>
      </w:r>
      <w:r w:rsidRPr="0087048B">
        <w:rPr>
          <w:rFonts w:cs="Times New Roman"/>
          <w:szCs w:val="24"/>
        </w:rPr>
        <w:t xml:space="preserve"> </w:t>
      </w:r>
      <w:r w:rsidRPr="0087048B" w:rsidR="00057048">
        <w:rPr>
          <w:rFonts w:cs="Times New Roman"/>
          <w:szCs w:val="24"/>
        </w:rPr>
        <w:t xml:space="preserve">reallocate $4.7 million of </w:t>
      </w:r>
      <w:r w:rsidRPr="0087048B" w:rsidR="00D46EBA">
        <w:rPr>
          <w:rFonts w:cs="Times New Roman"/>
          <w:szCs w:val="24"/>
        </w:rPr>
        <w:t>costs purportedly attribut</w:t>
      </w:r>
      <w:r w:rsidRPr="0087048B" w:rsidR="003014B4">
        <w:rPr>
          <w:rFonts w:cs="Times New Roman"/>
          <w:szCs w:val="24"/>
        </w:rPr>
        <w:t>ed</w:t>
      </w:r>
      <w:r w:rsidRPr="0087048B" w:rsidR="00D46EBA">
        <w:rPr>
          <w:rFonts w:cs="Times New Roman"/>
          <w:szCs w:val="24"/>
        </w:rPr>
        <w:t xml:space="preserve"> to AEP’s SSO.</w:t>
      </w:r>
      <w:r>
        <w:rPr>
          <w:rStyle w:val="FootnoteReference"/>
          <w:rFonts w:cs="Times New Roman"/>
          <w:szCs w:val="24"/>
        </w:rPr>
        <w:footnoteReference w:id="29"/>
      </w:r>
      <w:r w:rsidRPr="0087048B" w:rsidR="00D46EBA">
        <w:rPr>
          <w:rFonts w:cs="Times New Roman"/>
          <w:szCs w:val="24"/>
        </w:rPr>
        <w:t xml:space="preserve"> </w:t>
      </w:r>
      <w:r w:rsidRPr="0087048B" w:rsidR="003014B4">
        <w:rPr>
          <w:rFonts w:cs="Times New Roman"/>
          <w:szCs w:val="24"/>
        </w:rPr>
        <w:t>But that</w:t>
      </w:r>
      <w:r w:rsidRPr="0087048B" w:rsidR="00D46EBA">
        <w:rPr>
          <w:rFonts w:cs="Times New Roman"/>
          <w:szCs w:val="24"/>
        </w:rPr>
        <w:t xml:space="preserve"> argument should be rejected as well</w:t>
      </w:r>
      <w:r w:rsidRPr="0087048B" w:rsidR="00965238">
        <w:rPr>
          <w:rFonts w:cs="Times New Roman"/>
          <w:szCs w:val="24"/>
        </w:rPr>
        <w:t>.</w:t>
      </w:r>
      <w:r w:rsidRPr="0087048B" w:rsidR="00D46EBA">
        <w:rPr>
          <w:rFonts w:cs="Times New Roman"/>
          <w:szCs w:val="24"/>
        </w:rPr>
        <w:t xml:space="preserve"> </w:t>
      </w:r>
      <w:r w:rsidRPr="0087048B" w:rsidR="00965238">
        <w:rPr>
          <w:rFonts w:cs="Times New Roman"/>
          <w:szCs w:val="24"/>
        </w:rPr>
        <w:t>A</w:t>
      </w:r>
      <w:r w:rsidRPr="0087048B" w:rsidR="00D46EBA">
        <w:rPr>
          <w:rFonts w:cs="Times New Roman"/>
          <w:szCs w:val="24"/>
        </w:rPr>
        <w:t xml:space="preserve">s the PUCO found, a proper analysis of costs to be allocated through the Retail Reconciliation Rider and SSO Credit Rider requires an analysis of </w:t>
      </w:r>
      <w:r w:rsidRPr="0087048B" w:rsidR="00162D5F">
        <w:rPr>
          <w:rFonts w:cs="Times New Roman"/>
          <w:szCs w:val="24"/>
        </w:rPr>
        <w:t xml:space="preserve">AEP’s costs for the SSO </w:t>
      </w:r>
      <w:r w:rsidRPr="0087048B" w:rsidR="00162D5F">
        <w:rPr>
          <w:rFonts w:cs="Times New Roman"/>
          <w:i/>
          <w:iCs/>
          <w:szCs w:val="24"/>
        </w:rPr>
        <w:t>and</w:t>
      </w:r>
      <w:r w:rsidRPr="0087048B" w:rsidR="00162D5F">
        <w:rPr>
          <w:rFonts w:cs="Times New Roman"/>
          <w:szCs w:val="24"/>
        </w:rPr>
        <w:t xml:space="preserve"> the </w:t>
      </w:r>
      <w:r w:rsidR="00901B2A">
        <w:rPr>
          <w:rFonts w:cs="Times New Roman"/>
          <w:szCs w:val="24"/>
        </w:rPr>
        <w:t>C</w:t>
      </w:r>
      <w:r w:rsidRPr="0087048B" w:rsidR="00162D5F">
        <w:rPr>
          <w:rFonts w:cs="Times New Roman"/>
          <w:szCs w:val="24"/>
        </w:rPr>
        <w:t xml:space="preserve">onsumer </w:t>
      </w:r>
      <w:r w:rsidR="00901B2A">
        <w:rPr>
          <w:rFonts w:cs="Times New Roman"/>
          <w:szCs w:val="24"/>
        </w:rPr>
        <w:t>C</w:t>
      </w:r>
      <w:r w:rsidRPr="0087048B" w:rsidR="00162D5F">
        <w:rPr>
          <w:rFonts w:cs="Times New Roman"/>
          <w:szCs w:val="24"/>
        </w:rPr>
        <w:t xml:space="preserve">hoice </w:t>
      </w:r>
      <w:r w:rsidR="00901B2A">
        <w:rPr>
          <w:rFonts w:cs="Times New Roman"/>
          <w:szCs w:val="24"/>
        </w:rPr>
        <w:t>P</w:t>
      </w:r>
      <w:r w:rsidRPr="0087048B" w:rsidR="00162D5F">
        <w:rPr>
          <w:rFonts w:cs="Times New Roman"/>
          <w:szCs w:val="24"/>
        </w:rPr>
        <w:t>rogram.</w:t>
      </w:r>
      <w:r>
        <w:rPr>
          <w:rStyle w:val="FootnoteReference"/>
          <w:rFonts w:cs="Times New Roman"/>
          <w:szCs w:val="24"/>
        </w:rPr>
        <w:footnoteReference w:id="30"/>
      </w:r>
      <w:r w:rsidRPr="0087048B" w:rsidR="00D46EBA">
        <w:rPr>
          <w:rFonts w:cs="Times New Roman"/>
          <w:szCs w:val="24"/>
        </w:rPr>
        <w:t xml:space="preserve"> </w:t>
      </w:r>
      <w:r w:rsidRPr="0087048B" w:rsidR="00965238">
        <w:rPr>
          <w:rFonts w:cs="Times New Roman"/>
          <w:szCs w:val="24"/>
        </w:rPr>
        <w:t xml:space="preserve">There is no </w:t>
      </w:r>
      <w:r w:rsidR="0036016C">
        <w:rPr>
          <w:rFonts w:cs="Times New Roman"/>
          <w:szCs w:val="24"/>
        </w:rPr>
        <w:t xml:space="preserve">such </w:t>
      </w:r>
      <w:r w:rsidRPr="0087048B" w:rsidR="00965238">
        <w:rPr>
          <w:rFonts w:cs="Times New Roman"/>
          <w:szCs w:val="24"/>
        </w:rPr>
        <w:t xml:space="preserve">evidence regarding AEP’s costs for the consumer choice program. It would be unfair to allocate any costs to SSO </w:t>
      </w:r>
      <w:r w:rsidR="000D1074">
        <w:rPr>
          <w:rFonts w:cs="Times New Roman"/>
          <w:szCs w:val="24"/>
        </w:rPr>
        <w:t>consumer</w:t>
      </w:r>
      <w:r w:rsidRPr="0087048B" w:rsidR="00965238">
        <w:rPr>
          <w:rFonts w:cs="Times New Roman"/>
          <w:szCs w:val="24"/>
        </w:rPr>
        <w:t xml:space="preserve">s without also analyzing and allocating the costs to </w:t>
      </w:r>
      <w:r w:rsidR="00901B2A">
        <w:rPr>
          <w:rFonts w:cs="Times New Roman"/>
          <w:szCs w:val="24"/>
        </w:rPr>
        <w:t>C</w:t>
      </w:r>
      <w:r w:rsidRPr="0087048B" w:rsidR="00965238">
        <w:rPr>
          <w:rFonts w:cs="Times New Roman"/>
          <w:szCs w:val="24"/>
        </w:rPr>
        <w:t xml:space="preserve">hoice </w:t>
      </w:r>
      <w:r w:rsidR="000D1074">
        <w:rPr>
          <w:rFonts w:cs="Times New Roman"/>
          <w:szCs w:val="24"/>
        </w:rPr>
        <w:t>consumer</w:t>
      </w:r>
      <w:r w:rsidRPr="0087048B" w:rsidR="00965238">
        <w:rPr>
          <w:rFonts w:cs="Times New Roman"/>
          <w:szCs w:val="24"/>
        </w:rPr>
        <w:t>s.</w:t>
      </w:r>
    </w:p>
    <w:p w:rsidR="00134B15" w:rsidRPr="0087048B" w:rsidP="00134B15" w14:paraId="3A0508CB" w14:textId="0899DD76">
      <w:pPr>
        <w:spacing w:after="0" w:line="480" w:lineRule="auto"/>
        <w:ind w:firstLine="720"/>
        <w:rPr>
          <w:rFonts w:cs="Times New Roman"/>
          <w:szCs w:val="24"/>
        </w:rPr>
      </w:pPr>
      <w:r w:rsidRPr="0087048B">
        <w:rPr>
          <w:rFonts w:cs="Times New Roman"/>
          <w:szCs w:val="24"/>
        </w:rPr>
        <w:t>IGS’s claim that the PUCO’s Order violates R.C. 4903.09 has no merit. Accordingly, the PUCO should reject IGS’s request for rehearing</w:t>
      </w:r>
      <w:r w:rsidR="00CC3D14">
        <w:rPr>
          <w:rFonts w:cs="Times New Roman"/>
          <w:szCs w:val="24"/>
        </w:rPr>
        <w:t>.</w:t>
      </w:r>
      <w:r w:rsidRPr="0087048B">
        <w:rPr>
          <w:rFonts w:cs="Times New Roman"/>
          <w:szCs w:val="24"/>
        </w:rPr>
        <w:t xml:space="preserve"> </w:t>
      </w:r>
    </w:p>
    <w:p w:rsidR="003353DC" w:rsidRPr="0055168C" w:rsidP="0055168C" w14:paraId="7DD41BAF" w14:textId="5CC8DC21">
      <w:pPr>
        <w:pStyle w:val="Heading3"/>
      </w:pPr>
      <w:bookmarkStart w:id="8" w:name="_Toc91148197"/>
      <w:bookmarkStart w:id="9" w:name="_Toc91769895"/>
      <w:r w:rsidRPr="0087048B">
        <w:t>The PUCO’s Order</w:t>
      </w:r>
      <w:r w:rsidRPr="00D91D18" w:rsidR="00D91D18">
        <w:t xml:space="preserve"> </w:t>
      </w:r>
      <w:r w:rsidR="00D91D18">
        <w:t>that kept the Settlement’s consumer protection intact</w:t>
      </w:r>
      <w:r w:rsidRPr="0087048B">
        <w:t xml:space="preserve"> does not violate R.C. 4909.15, 4928.02, and 4928.05. (IGS Assignment of Error No. 3).</w:t>
      </w:r>
      <w:bookmarkEnd w:id="8"/>
      <w:bookmarkEnd w:id="9"/>
    </w:p>
    <w:p w:rsidR="003353DC" w:rsidRPr="0087048B" w:rsidP="003353DC" w14:paraId="3CCD24AD" w14:textId="3B083A4B">
      <w:pPr>
        <w:spacing w:after="0" w:line="480" w:lineRule="auto"/>
        <w:ind w:firstLine="720"/>
        <w:rPr>
          <w:rFonts w:cs="Times New Roman"/>
          <w:szCs w:val="24"/>
        </w:rPr>
      </w:pPr>
      <w:r>
        <w:rPr>
          <w:rFonts w:cs="Times New Roman"/>
          <w:szCs w:val="24"/>
        </w:rPr>
        <w:t xml:space="preserve">Marketer </w:t>
      </w:r>
      <w:r w:rsidRPr="0087048B">
        <w:rPr>
          <w:rFonts w:cs="Times New Roman"/>
          <w:szCs w:val="24"/>
        </w:rPr>
        <w:t xml:space="preserve">IGS argues that the PUCO should grant rehearing because keeping the Retail Reconciliation Rider and SSO Credit Rider at zero </w:t>
      </w:r>
      <w:r w:rsidRPr="0087048B" w:rsidR="0037575F">
        <w:rPr>
          <w:rFonts w:cs="Times New Roman"/>
          <w:szCs w:val="24"/>
        </w:rPr>
        <w:t>allows AEP to collect generation costs for the SSO through distribution rates</w:t>
      </w:r>
      <w:r>
        <w:rPr>
          <w:rFonts w:cs="Times New Roman"/>
          <w:szCs w:val="24"/>
        </w:rPr>
        <w:t>. IGS claims that the zero charge is</w:t>
      </w:r>
      <w:r w:rsidRPr="0087048B" w:rsidR="00FF595A">
        <w:rPr>
          <w:rFonts w:cs="Times New Roman"/>
          <w:szCs w:val="24"/>
        </w:rPr>
        <w:t xml:space="preserve"> in violation of R.C. 4909.15, 4928.02, and 4928.05</w:t>
      </w:r>
      <w:r w:rsidRPr="0087048B" w:rsidR="0037575F">
        <w:rPr>
          <w:rFonts w:cs="Times New Roman"/>
          <w:szCs w:val="24"/>
        </w:rPr>
        <w:t>.</w:t>
      </w:r>
      <w:r>
        <w:rPr>
          <w:rStyle w:val="FootnoteReference"/>
          <w:rFonts w:cs="Times New Roman"/>
          <w:szCs w:val="24"/>
        </w:rPr>
        <w:footnoteReference w:id="31"/>
      </w:r>
      <w:r w:rsidRPr="0087048B" w:rsidR="00FF595A">
        <w:rPr>
          <w:rFonts w:cs="Times New Roman"/>
          <w:szCs w:val="24"/>
        </w:rPr>
        <w:t xml:space="preserve"> IGS is wrong. </w:t>
      </w:r>
    </w:p>
    <w:p w:rsidR="00014F4C" w:rsidRPr="0087048B" w:rsidP="00014F4C" w14:paraId="4E862086" w14:textId="6230F4C3">
      <w:pPr>
        <w:spacing w:after="0" w:line="480" w:lineRule="auto"/>
        <w:ind w:firstLine="720"/>
        <w:rPr>
          <w:rFonts w:cs="Times New Roman"/>
          <w:szCs w:val="24"/>
        </w:rPr>
      </w:pPr>
      <w:r w:rsidRPr="0087048B">
        <w:rPr>
          <w:rFonts w:cs="Times New Roman"/>
          <w:szCs w:val="24"/>
        </w:rPr>
        <w:t xml:space="preserve">Under R.C. 4928.141, </w:t>
      </w:r>
      <w:r w:rsidRPr="0087048B" w:rsidR="004466DC">
        <w:rPr>
          <w:rFonts w:cs="Times New Roman"/>
          <w:szCs w:val="24"/>
        </w:rPr>
        <w:t xml:space="preserve">AEP </w:t>
      </w:r>
      <w:r w:rsidRPr="0087048B">
        <w:rPr>
          <w:rFonts w:cs="Times New Roman"/>
          <w:szCs w:val="24"/>
        </w:rPr>
        <w:t xml:space="preserve">“shall provide consumers ... a standard service offer.” When a </w:t>
      </w:r>
      <w:r w:rsidR="000D1074">
        <w:rPr>
          <w:rFonts w:cs="Times New Roman"/>
          <w:szCs w:val="24"/>
        </w:rPr>
        <w:t>consumer</w:t>
      </w:r>
      <w:r w:rsidRPr="0087048B">
        <w:rPr>
          <w:rFonts w:cs="Times New Roman"/>
          <w:szCs w:val="24"/>
        </w:rPr>
        <w:t xml:space="preserve"> that shops with a marketer is no longer able to receive service from that marketer (for example, if the marketer goes out of business), the </w:t>
      </w:r>
      <w:r w:rsidR="000D1074">
        <w:rPr>
          <w:rFonts w:cs="Times New Roman"/>
          <w:szCs w:val="24"/>
        </w:rPr>
        <w:t>consumer</w:t>
      </w:r>
      <w:r w:rsidRPr="0087048B">
        <w:rPr>
          <w:rFonts w:cs="Times New Roman"/>
          <w:szCs w:val="24"/>
        </w:rPr>
        <w:t xml:space="preserve"> reverts to the SSO to make certain that the </w:t>
      </w:r>
      <w:r w:rsidR="000D1074">
        <w:rPr>
          <w:rFonts w:cs="Times New Roman"/>
          <w:szCs w:val="24"/>
        </w:rPr>
        <w:t>consumer</w:t>
      </w:r>
      <w:r w:rsidRPr="0087048B">
        <w:rPr>
          <w:rFonts w:cs="Times New Roman"/>
          <w:szCs w:val="24"/>
        </w:rPr>
        <w:t xml:space="preserve"> continues to receive electricity.</w:t>
      </w:r>
      <w:r>
        <w:rPr>
          <w:rStyle w:val="FootnoteReference"/>
          <w:rFonts w:cs="Times New Roman"/>
          <w:szCs w:val="24"/>
        </w:rPr>
        <w:footnoteReference w:id="32"/>
      </w:r>
      <w:r w:rsidRPr="0087048B">
        <w:rPr>
          <w:rFonts w:cs="Times New Roman"/>
          <w:szCs w:val="24"/>
        </w:rPr>
        <w:t xml:space="preserve"> In other words, even consumers that do not </w:t>
      </w:r>
      <w:r w:rsidRPr="0087048B">
        <w:rPr>
          <w:rFonts w:cs="Times New Roman"/>
          <w:i/>
          <w:iCs/>
          <w:szCs w:val="24"/>
        </w:rPr>
        <w:t>currently</w:t>
      </w:r>
      <w:r w:rsidRPr="0087048B">
        <w:rPr>
          <w:rFonts w:cs="Times New Roman"/>
          <w:szCs w:val="24"/>
        </w:rPr>
        <w:t xml:space="preserve"> take service under the SSO benefit from the SSO because the SSO stands ready and able to serve them at any time, if necessary. </w:t>
      </w:r>
      <w:r w:rsidRPr="0087048B" w:rsidR="00EF5566">
        <w:rPr>
          <w:rFonts w:cs="Times New Roman"/>
          <w:szCs w:val="24"/>
        </w:rPr>
        <w:t>IGS’s</w:t>
      </w:r>
      <w:r w:rsidRPr="0087048B">
        <w:rPr>
          <w:rFonts w:cs="Times New Roman"/>
          <w:szCs w:val="24"/>
        </w:rPr>
        <w:t xml:space="preserve"> own witness agreed, testifying that the SSO provides benefits to all consumers.</w:t>
      </w:r>
      <w:r>
        <w:rPr>
          <w:rStyle w:val="FootnoteReference"/>
          <w:rFonts w:cs="Times New Roman"/>
          <w:szCs w:val="24"/>
        </w:rPr>
        <w:footnoteReference w:id="33"/>
      </w:r>
    </w:p>
    <w:p w:rsidR="00014F4C" w:rsidRPr="0087048B" w:rsidP="00014F4C" w14:paraId="0A9A8A54" w14:textId="51A5078B">
      <w:pPr>
        <w:spacing w:after="0" w:line="480" w:lineRule="auto"/>
        <w:ind w:firstLine="720"/>
        <w:rPr>
          <w:rFonts w:cs="Times New Roman"/>
          <w:szCs w:val="24"/>
        </w:rPr>
      </w:pPr>
      <w:r w:rsidRPr="0087048B">
        <w:rPr>
          <w:rFonts w:cs="Times New Roman"/>
          <w:szCs w:val="24"/>
        </w:rPr>
        <w:t xml:space="preserve">In an earlier case involving Duke Energy, IGS made arguments similar to the ones it makes now with respect to AEP Ohio, namely, that certain alleged SSO costs should be “unbundled” from distribution rates and paid only by SSO </w:t>
      </w:r>
      <w:r w:rsidR="000D1074">
        <w:rPr>
          <w:rFonts w:cs="Times New Roman"/>
          <w:szCs w:val="24"/>
        </w:rPr>
        <w:t>consumer</w:t>
      </w:r>
      <w:r w:rsidRPr="0087048B">
        <w:rPr>
          <w:rFonts w:cs="Times New Roman"/>
          <w:szCs w:val="24"/>
        </w:rPr>
        <w:t>s.</w:t>
      </w:r>
      <w:r>
        <w:rPr>
          <w:rStyle w:val="FootnoteReference"/>
          <w:rFonts w:cs="Times New Roman"/>
          <w:szCs w:val="24"/>
        </w:rPr>
        <w:footnoteReference w:id="34"/>
      </w:r>
      <w:r w:rsidRPr="0087048B">
        <w:rPr>
          <w:rFonts w:cs="Times New Roman"/>
          <w:szCs w:val="24"/>
        </w:rPr>
        <w:t xml:space="preserve"> The PUCO rejected IGS’s argument for several reasons. Among those reasons was that “all </w:t>
      </w:r>
      <w:r w:rsidR="000D1074">
        <w:rPr>
          <w:rFonts w:cs="Times New Roman"/>
          <w:szCs w:val="24"/>
        </w:rPr>
        <w:t>consumer</w:t>
      </w:r>
      <w:r w:rsidRPr="0087048B">
        <w:rPr>
          <w:rFonts w:cs="Times New Roman"/>
          <w:szCs w:val="24"/>
        </w:rPr>
        <w:t>s benefit from Duke’s ability to provide the SSO.”</w:t>
      </w:r>
      <w:r>
        <w:rPr>
          <w:rStyle w:val="FootnoteReference"/>
          <w:rFonts w:cs="Times New Roman"/>
          <w:szCs w:val="24"/>
        </w:rPr>
        <w:footnoteReference w:id="35"/>
      </w:r>
    </w:p>
    <w:p w:rsidR="0036016C" w:rsidRPr="0087048B" w:rsidP="00C634EF" w14:paraId="2FF6BB05" w14:textId="21261BFA">
      <w:pPr>
        <w:spacing w:after="0" w:line="480" w:lineRule="auto"/>
        <w:ind w:firstLine="720"/>
        <w:rPr>
          <w:rFonts w:cs="Times New Roman"/>
          <w:szCs w:val="24"/>
        </w:rPr>
      </w:pPr>
      <w:r w:rsidRPr="0087048B">
        <w:rPr>
          <w:rFonts w:cs="Times New Roman"/>
          <w:szCs w:val="24"/>
        </w:rPr>
        <w:t>IGS’s</w:t>
      </w:r>
      <w:r w:rsidRPr="0087048B" w:rsidR="00014F4C">
        <w:rPr>
          <w:rFonts w:cs="Times New Roman"/>
          <w:szCs w:val="24"/>
        </w:rPr>
        <w:t xml:space="preserve"> witness agreed with the general proposition that when something benefits all consumers, all consumers should pay for it. According to </w:t>
      </w:r>
      <w:r w:rsidRPr="0087048B">
        <w:rPr>
          <w:rFonts w:cs="Times New Roman"/>
          <w:szCs w:val="24"/>
        </w:rPr>
        <w:t>IGS’s</w:t>
      </w:r>
      <w:r w:rsidRPr="0087048B" w:rsidR="00014F4C">
        <w:rPr>
          <w:rFonts w:cs="Times New Roman"/>
          <w:szCs w:val="24"/>
        </w:rPr>
        <w:t xml:space="preserve"> witness, all consumers benefit from the ability to shop, so all consumers should pay for any costs related to shopping.</w:t>
      </w:r>
      <w:r>
        <w:rPr>
          <w:rStyle w:val="FootnoteReference"/>
          <w:rFonts w:cs="Times New Roman"/>
          <w:szCs w:val="24"/>
        </w:rPr>
        <w:footnoteReference w:id="36"/>
      </w:r>
      <w:r w:rsidRPr="0087048B" w:rsidR="00014F4C">
        <w:rPr>
          <w:rFonts w:cs="Times New Roman"/>
          <w:szCs w:val="24"/>
        </w:rPr>
        <w:t xml:space="preserve"> And as explained above, </w:t>
      </w:r>
      <w:r w:rsidRPr="0087048B" w:rsidR="00E467F4">
        <w:rPr>
          <w:rFonts w:cs="Times New Roman"/>
          <w:szCs w:val="24"/>
        </w:rPr>
        <w:t>IGS’s</w:t>
      </w:r>
      <w:r w:rsidRPr="0087048B" w:rsidR="00014F4C">
        <w:rPr>
          <w:rFonts w:cs="Times New Roman"/>
          <w:szCs w:val="24"/>
        </w:rPr>
        <w:t xml:space="preserve"> witness also agreed that all consumers benefit from the SSO. </w:t>
      </w:r>
      <w:r w:rsidRPr="0087048B">
        <w:rPr>
          <w:rFonts w:cs="Times New Roman"/>
          <w:szCs w:val="24"/>
        </w:rPr>
        <w:t>Following that logic</w:t>
      </w:r>
      <w:r w:rsidRPr="0087048B" w:rsidR="00014F4C">
        <w:rPr>
          <w:rFonts w:cs="Times New Roman"/>
          <w:szCs w:val="24"/>
        </w:rPr>
        <w:t>, all consumers should pay for distribution costs related to the SSO.</w:t>
      </w:r>
    </w:p>
    <w:p w:rsidR="00E467F4" w:rsidRPr="0087048B" w:rsidP="00C634EF" w14:paraId="4E0C134C" w14:textId="21180468">
      <w:pPr>
        <w:spacing w:after="0" w:line="480" w:lineRule="auto"/>
        <w:ind w:firstLine="720"/>
        <w:rPr>
          <w:rFonts w:cs="Times New Roman"/>
          <w:szCs w:val="24"/>
        </w:rPr>
      </w:pPr>
      <w:r w:rsidRPr="0087048B">
        <w:rPr>
          <w:rFonts w:cs="Times New Roman"/>
          <w:szCs w:val="24"/>
        </w:rPr>
        <w:t xml:space="preserve">Accordingly, the PUCO should deny IGS’s request for rehearing on this issue. The PUCO correctly determined that “there is no record support for the respective claims of IGS and Direct Energy that the Stipulation runs afoul of R.C. 4928.02(H), R.C. 4928.03, R.C. 4928.17, </w:t>
      </w:r>
      <w:r w:rsidRPr="0087048B">
        <w:rPr>
          <w:rFonts w:cs="Times New Roman"/>
          <w:b/>
          <w:bCs/>
          <w:i/>
          <w:iCs/>
          <w:szCs w:val="24"/>
        </w:rPr>
        <w:t>any other statutory provision, or any important regulatory principle or practice</w:t>
      </w:r>
      <w:r w:rsidRPr="0087048B">
        <w:rPr>
          <w:rFonts w:cs="Times New Roman"/>
          <w:szCs w:val="24"/>
        </w:rPr>
        <w:t>.”</w:t>
      </w:r>
      <w:r>
        <w:rPr>
          <w:rStyle w:val="FootnoteReference"/>
          <w:rFonts w:cs="Times New Roman"/>
          <w:szCs w:val="24"/>
        </w:rPr>
        <w:footnoteReference w:id="37"/>
      </w:r>
    </w:p>
    <w:p w:rsidR="0036016C" w:rsidRPr="0087048B" w:rsidP="003C0C30" w14:paraId="27718C1B" w14:textId="5B28B9FB">
      <w:pPr>
        <w:pStyle w:val="Heading2"/>
      </w:pPr>
      <w:bookmarkStart w:id="10" w:name="_Toc91148198"/>
      <w:bookmarkStart w:id="11" w:name="_Toc91769896"/>
      <w:r w:rsidRPr="0087048B">
        <w:t>B</w:t>
      </w:r>
      <w:r w:rsidRPr="0087048B" w:rsidR="00B76F05">
        <w:t>.</w:t>
      </w:r>
      <w:r w:rsidRPr="0087048B" w:rsidR="00B76F05">
        <w:tab/>
      </w:r>
      <w:r w:rsidRPr="0087048B" w:rsidR="00D7464C">
        <w:t>The PUCO’s Order correctly approved</w:t>
      </w:r>
      <w:r w:rsidR="00D91D18">
        <w:t xml:space="preserve"> the Settlement with its consumer protection </w:t>
      </w:r>
      <w:r w:rsidR="0022504E">
        <w:t>in</w:t>
      </w:r>
      <w:r w:rsidRPr="0087048B" w:rsidR="00D7464C">
        <w:t xml:space="preserve"> AEP’s provision of “shadow billing” data to OCC and </w:t>
      </w:r>
      <w:r w:rsidRPr="0087048B" w:rsidR="00250994">
        <w:t xml:space="preserve">the </w:t>
      </w:r>
      <w:r w:rsidRPr="0087048B" w:rsidR="00D7464C">
        <w:t>PUCO Staff</w:t>
      </w:r>
      <w:r w:rsidRPr="0087048B" w:rsidR="00B76F05">
        <w:t>.</w:t>
      </w:r>
      <w:r w:rsidRPr="0087048B">
        <w:t xml:space="preserve"> (IGS Assignments of Error Nos. 6 and 7).</w:t>
      </w:r>
      <w:bookmarkEnd w:id="10"/>
      <w:bookmarkEnd w:id="11"/>
    </w:p>
    <w:p w:rsidR="00CC3D14" w:rsidP="008D192F" w14:paraId="21F7CA55" w14:textId="74BB1B67">
      <w:pPr>
        <w:spacing w:after="0" w:line="480" w:lineRule="auto"/>
        <w:ind w:firstLine="720"/>
        <w:rPr>
          <w:rFonts w:cs="Times New Roman"/>
          <w:szCs w:val="24"/>
        </w:rPr>
      </w:pPr>
      <w:r>
        <w:rPr>
          <w:rFonts w:cs="Times New Roman"/>
          <w:szCs w:val="24"/>
        </w:rPr>
        <w:t xml:space="preserve">Marketer </w:t>
      </w:r>
      <w:r w:rsidRPr="0087048B" w:rsidR="009D4E3C">
        <w:rPr>
          <w:rFonts w:cs="Times New Roman"/>
          <w:szCs w:val="24"/>
        </w:rPr>
        <w:t>IGS seeks rehearing o</w:t>
      </w:r>
      <w:r>
        <w:rPr>
          <w:rFonts w:cs="Times New Roman"/>
          <w:szCs w:val="24"/>
        </w:rPr>
        <w:t>f</w:t>
      </w:r>
      <w:r w:rsidRPr="0087048B" w:rsidR="009D4E3C">
        <w:rPr>
          <w:rFonts w:cs="Times New Roman"/>
          <w:szCs w:val="24"/>
        </w:rPr>
        <w:t xml:space="preserve"> the PUCO’s Order approving the provision in the</w:t>
      </w:r>
      <w:r w:rsidRPr="0087048B" w:rsidR="00EB78E2">
        <w:rPr>
          <w:rFonts w:cs="Times New Roman"/>
          <w:szCs w:val="24"/>
        </w:rPr>
        <w:t xml:space="preserve"> Settlement </w:t>
      </w:r>
      <w:r w:rsidRPr="0087048B" w:rsidR="009D4E3C">
        <w:rPr>
          <w:rFonts w:cs="Times New Roman"/>
          <w:szCs w:val="24"/>
        </w:rPr>
        <w:t>where AEP agrees to</w:t>
      </w:r>
      <w:r w:rsidRPr="0087048B" w:rsidR="00EB78E2">
        <w:rPr>
          <w:rFonts w:cs="Times New Roman"/>
          <w:szCs w:val="24"/>
        </w:rPr>
        <w:t xml:space="preserve"> </w:t>
      </w:r>
      <w:r w:rsidRPr="0087048B" w:rsidR="009D4E3C">
        <w:rPr>
          <w:rFonts w:cs="Times New Roman"/>
          <w:szCs w:val="24"/>
        </w:rPr>
        <w:t xml:space="preserve">share </w:t>
      </w:r>
      <w:r w:rsidRPr="0087048B" w:rsidR="00EB78E2">
        <w:rPr>
          <w:rFonts w:cs="Times New Roman"/>
          <w:szCs w:val="24"/>
        </w:rPr>
        <w:t>“shadow billing” information with OCC and the PUCO Staff.</w:t>
      </w:r>
      <w:r>
        <w:rPr>
          <w:rStyle w:val="FootnoteReference"/>
          <w:rFonts w:cs="Times New Roman"/>
          <w:szCs w:val="24"/>
        </w:rPr>
        <w:footnoteReference w:id="38"/>
      </w:r>
      <w:r w:rsidRPr="0087048B" w:rsidR="00EB78E2">
        <w:rPr>
          <w:rFonts w:cs="Times New Roman"/>
          <w:szCs w:val="24"/>
        </w:rPr>
        <w:t xml:space="preserve"> Shadow billing</w:t>
      </w:r>
      <w:r w:rsidR="008D192F">
        <w:rPr>
          <w:rFonts w:cs="Times New Roman"/>
          <w:szCs w:val="24"/>
        </w:rPr>
        <w:t xml:space="preserve"> is an important consumer protection term in the Settlement. Shadow billing</w:t>
      </w:r>
      <w:r w:rsidRPr="0087048B" w:rsidR="00EB78E2">
        <w:rPr>
          <w:rFonts w:cs="Times New Roman"/>
          <w:szCs w:val="24"/>
        </w:rPr>
        <w:t xml:space="preserve"> </w:t>
      </w:r>
      <w:r w:rsidR="008D192F">
        <w:rPr>
          <w:rFonts w:cs="Times New Roman"/>
          <w:szCs w:val="24"/>
        </w:rPr>
        <w:t>provides consumer educational information that</w:t>
      </w:r>
      <w:r w:rsidRPr="0087048B" w:rsidR="008D192F">
        <w:rPr>
          <w:rFonts w:cs="Times New Roman"/>
          <w:szCs w:val="24"/>
        </w:rPr>
        <w:t xml:space="preserve"> </w:t>
      </w:r>
      <w:r w:rsidRPr="0087048B" w:rsidR="00EB78E2">
        <w:rPr>
          <w:rFonts w:cs="Times New Roman"/>
          <w:szCs w:val="24"/>
        </w:rPr>
        <w:t xml:space="preserve">compares what consumers paid to marketers with what they would have paid under the </w:t>
      </w:r>
      <w:r w:rsidR="008D192F">
        <w:rPr>
          <w:rFonts w:cs="Times New Roman"/>
          <w:szCs w:val="24"/>
        </w:rPr>
        <w:t xml:space="preserve">utility’s </w:t>
      </w:r>
      <w:r w:rsidRPr="0087048B" w:rsidR="00EB78E2">
        <w:rPr>
          <w:rFonts w:cs="Times New Roman"/>
          <w:szCs w:val="24"/>
        </w:rPr>
        <w:t>SSO</w:t>
      </w:r>
      <w:r w:rsidR="008D192F">
        <w:rPr>
          <w:rFonts w:cs="Times New Roman"/>
          <w:szCs w:val="24"/>
        </w:rPr>
        <w:t>. Shadow billing</w:t>
      </w:r>
      <w:r w:rsidRPr="0087048B" w:rsidR="00EB78E2">
        <w:rPr>
          <w:rFonts w:cs="Times New Roman"/>
          <w:szCs w:val="24"/>
        </w:rPr>
        <w:t xml:space="preserve"> thus giv</w:t>
      </w:r>
      <w:r w:rsidR="008D192F">
        <w:rPr>
          <w:rFonts w:cs="Times New Roman"/>
          <w:szCs w:val="24"/>
        </w:rPr>
        <w:t>es helpful</w:t>
      </w:r>
      <w:r w:rsidRPr="0087048B" w:rsidR="00EB78E2">
        <w:rPr>
          <w:rFonts w:cs="Times New Roman"/>
          <w:szCs w:val="24"/>
        </w:rPr>
        <w:t xml:space="preserve"> insight </w:t>
      </w:r>
      <w:r w:rsidR="008D192F">
        <w:rPr>
          <w:rFonts w:cs="Times New Roman"/>
          <w:szCs w:val="24"/>
        </w:rPr>
        <w:t xml:space="preserve">for consumers </w:t>
      </w:r>
      <w:r w:rsidRPr="0087048B" w:rsidR="00EB78E2">
        <w:rPr>
          <w:rFonts w:cs="Times New Roman"/>
          <w:szCs w:val="24"/>
        </w:rPr>
        <w:t xml:space="preserve">into whether </w:t>
      </w:r>
      <w:r w:rsidR="008D192F">
        <w:rPr>
          <w:rFonts w:cs="Times New Roman"/>
          <w:szCs w:val="24"/>
        </w:rPr>
        <w:t>consumers have been</w:t>
      </w:r>
      <w:r w:rsidRPr="0087048B" w:rsidR="00EB78E2">
        <w:rPr>
          <w:rFonts w:cs="Times New Roman"/>
          <w:szCs w:val="24"/>
        </w:rPr>
        <w:t xml:space="preserve"> saving or losing money, </w:t>
      </w:r>
      <w:r w:rsidRPr="00781315" w:rsidR="00EB78E2">
        <w:rPr>
          <w:rFonts w:cs="Times New Roman"/>
          <w:i/>
          <w:iCs/>
          <w:szCs w:val="24"/>
        </w:rPr>
        <w:t>in the aggregate</w:t>
      </w:r>
      <w:r w:rsidRPr="0087048B" w:rsidR="00EB78E2">
        <w:rPr>
          <w:rFonts w:cs="Times New Roman"/>
          <w:szCs w:val="24"/>
        </w:rPr>
        <w:t>, as a result of shopping with marketers.</w:t>
      </w:r>
      <w:r w:rsidRPr="0087048B" w:rsidR="005B2531">
        <w:rPr>
          <w:rFonts w:cs="Times New Roman"/>
          <w:szCs w:val="24"/>
        </w:rPr>
        <w:t xml:space="preserve"> </w:t>
      </w:r>
      <w:r w:rsidR="008D192F">
        <w:rPr>
          <w:rFonts w:cs="Times New Roman"/>
          <w:szCs w:val="24"/>
        </w:rPr>
        <w:t xml:space="preserve">It seems that </w:t>
      </w:r>
      <w:r w:rsidRPr="0087048B" w:rsidR="00383841">
        <w:rPr>
          <w:rFonts w:cs="Times New Roman"/>
          <w:szCs w:val="24"/>
        </w:rPr>
        <w:t>IGS</w:t>
      </w:r>
      <w:r w:rsidRPr="0087048B" w:rsidR="00EB78E2">
        <w:rPr>
          <w:rFonts w:cs="Times New Roman"/>
          <w:szCs w:val="24"/>
        </w:rPr>
        <w:t xml:space="preserve"> do</w:t>
      </w:r>
      <w:r w:rsidRPr="0087048B" w:rsidR="00383841">
        <w:rPr>
          <w:rFonts w:cs="Times New Roman"/>
          <w:szCs w:val="24"/>
        </w:rPr>
        <w:t>es</w:t>
      </w:r>
      <w:r w:rsidRPr="0087048B" w:rsidR="00EB78E2">
        <w:rPr>
          <w:rFonts w:cs="Times New Roman"/>
          <w:szCs w:val="24"/>
        </w:rPr>
        <w:t xml:space="preserve"> not like this information being made public</w:t>
      </w:r>
      <w:r w:rsidRPr="0087048B" w:rsidR="00383841">
        <w:rPr>
          <w:rFonts w:cs="Times New Roman"/>
          <w:szCs w:val="24"/>
        </w:rPr>
        <w:t xml:space="preserve"> because it generally shows that residential consumers pay more for </w:t>
      </w:r>
      <w:r>
        <w:rPr>
          <w:rFonts w:cs="Times New Roman"/>
          <w:szCs w:val="24"/>
        </w:rPr>
        <w:t>marketers’</w:t>
      </w:r>
      <w:r w:rsidRPr="0087048B">
        <w:rPr>
          <w:rFonts w:cs="Times New Roman"/>
          <w:szCs w:val="24"/>
        </w:rPr>
        <w:t xml:space="preserve"> </w:t>
      </w:r>
      <w:r w:rsidRPr="0087048B" w:rsidR="00383841">
        <w:rPr>
          <w:rFonts w:cs="Times New Roman"/>
          <w:szCs w:val="24"/>
        </w:rPr>
        <w:t>service than service under AEP’s SSO</w:t>
      </w:r>
      <w:r w:rsidRPr="0087048B" w:rsidR="00EB78E2">
        <w:rPr>
          <w:rFonts w:cs="Times New Roman"/>
          <w:szCs w:val="24"/>
        </w:rPr>
        <w:t xml:space="preserve">. </w:t>
      </w:r>
    </w:p>
    <w:p w:rsidR="00E04AE1" w:rsidRPr="0087048B" w:rsidP="00E04AE1" w14:paraId="032F59A5" w14:textId="13713756">
      <w:pPr>
        <w:spacing w:after="0" w:line="480" w:lineRule="auto"/>
        <w:ind w:firstLine="720"/>
        <w:rPr>
          <w:rFonts w:cs="Times New Roman"/>
          <w:szCs w:val="24"/>
        </w:rPr>
      </w:pPr>
      <w:r w:rsidRPr="0087048B">
        <w:rPr>
          <w:rFonts w:cs="Times New Roman"/>
          <w:szCs w:val="24"/>
        </w:rPr>
        <w:t xml:space="preserve">The PUCO found that </w:t>
      </w:r>
      <w:r w:rsidRPr="0087048B" w:rsidR="00006FE9">
        <w:rPr>
          <w:rFonts w:cs="Times New Roman"/>
          <w:szCs w:val="24"/>
        </w:rPr>
        <w:t>IGS provided no valid reason for excluding the shadow billing provisions from the Settlement</w:t>
      </w:r>
      <w:r w:rsidRPr="0087048B" w:rsidR="002B2E25">
        <w:rPr>
          <w:rFonts w:cs="Times New Roman"/>
          <w:szCs w:val="24"/>
        </w:rPr>
        <w:t xml:space="preserve"> and that </w:t>
      </w:r>
      <w:r w:rsidR="008D192F">
        <w:rPr>
          <w:rFonts w:cs="Times New Roman"/>
          <w:szCs w:val="24"/>
        </w:rPr>
        <w:t>the Settlement does</w:t>
      </w:r>
      <w:r w:rsidRPr="0087048B" w:rsidR="002B2E25">
        <w:rPr>
          <w:rFonts w:cs="Times New Roman"/>
          <w:szCs w:val="24"/>
        </w:rPr>
        <w:t xml:space="preserve"> not violate any regulatory principles or practices</w:t>
      </w:r>
      <w:r w:rsidRPr="0087048B" w:rsidR="00006FE9">
        <w:rPr>
          <w:rFonts w:cs="Times New Roman"/>
          <w:szCs w:val="24"/>
        </w:rPr>
        <w:t>.</w:t>
      </w:r>
      <w:r>
        <w:rPr>
          <w:rStyle w:val="FootnoteReference"/>
          <w:rFonts w:cs="Times New Roman"/>
          <w:szCs w:val="24"/>
        </w:rPr>
        <w:footnoteReference w:id="39"/>
      </w:r>
      <w:r w:rsidRPr="0087048B" w:rsidR="00654F75">
        <w:rPr>
          <w:rFonts w:cs="Times New Roman"/>
          <w:szCs w:val="24"/>
        </w:rPr>
        <w:t xml:space="preserve">  IGS claims that the PUCO’s Order approving the shadow billing provisions is unreasonable, unlawful, and contrary to prior PUCO precedent.</w:t>
      </w:r>
      <w:r>
        <w:rPr>
          <w:rStyle w:val="FootnoteReference"/>
          <w:rFonts w:cs="Times New Roman"/>
          <w:szCs w:val="24"/>
        </w:rPr>
        <w:footnoteReference w:id="40"/>
      </w:r>
      <w:r w:rsidRPr="0087048B" w:rsidR="00654F75">
        <w:rPr>
          <w:rFonts w:cs="Times New Roman"/>
          <w:szCs w:val="24"/>
        </w:rPr>
        <w:t xml:space="preserve"> IGS’s arguments should be rejected.  </w:t>
      </w:r>
    </w:p>
    <w:p w:rsidR="00847141" w:rsidRPr="0087048B" w:rsidP="00E04AE1" w14:paraId="2E12A6F7" w14:textId="074B8C01">
      <w:pPr>
        <w:spacing w:after="0" w:line="480" w:lineRule="auto"/>
        <w:ind w:firstLine="720"/>
        <w:rPr>
          <w:rFonts w:cs="Times New Roman"/>
          <w:szCs w:val="24"/>
        </w:rPr>
      </w:pPr>
      <w:r w:rsidRPr="0087048B">
        <w:rPr>
          <w:rFonts w:cs="Times New Roman"/>
          <w:szCs w:val="24"/>
        </w:rPr>
        <w:t>IGS claims that the Order violates R.C. 4903.09 because the PUCO did not fully explain the basis for its decision.</w:t>
      </w:r>
      <w:r>
        <w:rPr>
          <w:rStyle w:val="FootnoteReference"/>
          <w:rFonts w:cs="Times New Roman"/>
          <w:szCs w:val="24"/>
        </w:rPr>
        <w:footnoteReference w:id="41"/>
      </w:r>
      <w:r w:rsidRPr="0087048B">
        <w:rPr>
          <w:rFonts w:cs="Times New Roman"/>
          <w:szCs w:val="24"/>
        </w:rPr>
        <w:t xml:space="preserve"> That is not correct. Again, just because IGS is dissatisfied with the PUCO’s decision does not mean there has been a violation of R.C. 4903.09.</w:t>
      </w:r>
      <w:r w:rsidRPr="0087048B" w:rsidR="00132D8E">
        <w:rPr>
          <w:rFonts w:cs="Times New Roman"/>
          <w:szCs w:val="24"/>
        </w:rPr>
        <w:t xml:space="preserve"> In the Order, the PUCO explained how the shadow billing provisions are not unreasonable, and that they are part of a larger settlement package</w:t>
      </w:r>
      <w:r w:rsidRPr="0087048B" w:rsidR="00250994">
        <w:rPr>
          <w:rFonts w:cs="Times New Roman"/>
          <w:szCs w:val="24"/>
        </w:rPr>
        <w:t xml:space="preserve"> that</w:t>
      </w:r>
      <w:r w:rsidRPr="0087048B" w:rsidR="00132D8E">
        <w:rPr>
          <w:rFonts w:cs="Times New Roman"/>
          <w:szCs w:val="24"/>
        </w:rPr>
        <w:t xml:space="preserve"> benefits consumers and the public interest.</w:t>
      </w:r>
      <w:r>
        <w:rPr>
          <w:rStyle w:val="FootnoteReference"/>
          <w:rFonts w:cs="Times New Roman"/>
          <w:szCs w:val="24"/>
        </w:rPr>
        <w:footnoteReference w:id="42"/>
      </w:r>
      <w:r w:rsidRPr="0087048B" w:rsidR="0079294C">
        <w:rPr>
          <w:rFonts w:cs="Times New Roman"/>
          <w:szCs w:val="24"/>
        </w:rPr>
        <w:t xml:space="preserve"> The PUCO stated that: </w:t>
      </w:r>
      <w:r w:rsidRPr="0087048B">
        <w:rPr>
          <w:rFonts w:cs="Times New Roman"/>
          <w:szCs w:val="24"/>
        </w:rPr>
        <w:t>“</w:t>
      </w:r>
      <w:r w:rsidRPr="0087048B" w:rsidR="0079294C">
        <w:rPr>
          <w:rFonts w:cs="Times New Roman"/>
          <w:szCs w:val="24"/>
        </w:rPr>
        <w:t>We emphasize that the Commission must evaluate the benefits of the Stipulation as a package and each provision of the Stipulation need not provide a direct and immediate benefit to ratepayers and the public interest.</w:t>
      </w:r>
      <w:r w:rsidRPr="0087048B">
        <w:rPr>
          <w:rFonts w:cs="Times New Roman"/>
          <w:szCs w:val="24"/>
        </w:rPr>
        <w:t>”</w:t>
      </w:r>
      <w:r>
        <w:rPr>
          <w:rStyle w:val="FootnoteReference"/>
          <w:rFonts w:cs="Times New Roman"/>
          <w:szCs w:val="24"/>
        </w:rPr>
        <w:footnoteReference w:id="43"/>
      </w:r>
      <w:r w:rsidRPr="0087048B">
        <w:rPr>
          <w:rFonts w:cs="Times New Roman"/>
          <w:szCs w:val="24"/>
        </w:rPr>
        <w:t xml:space="preserve"> </w:t>
      </w:r>
    </w:p>
    <w:p w:rsidR="00E04AE1" w:rsidRPr="0087048B" w:rsidP="00AC2D95" w14:paraId="3AC0FB59" w14:textId="79694A6C">
      <w:pPr>
        <w:spacing w:after="0" w:line="480" w:lineRule="auto"/>
        <w:ind w:firstLine="720"/>
        <w:rPr>
          <w:rFonts w:cs="Times New Roman"/>
          <w:szCs w:val="24"/>
        </w:rPr>
      </w:pPr>
      <w:r w:rsidRPr="0087048B">
        <w:rPr>
          <w:rFonts w:cs="Times New Roman"/>
          <w:szCs w:val="24"/>
        </w:rPr>
        <w:t xml:space="preserve">IGS </w:t>
      </w:r>
      <w:r w:rsidRPr="0087048B" w:rsidR="00301B6A">
        <w:rPr>
          <w:rFonts w:cs="Times New Roman"/>
          <w:szCs w:val="24"/>
        </w:rPr>
        <w:t>claims that the Order is unreasonable because</w:t>
      </w:r>
      <w:r w:rsidRPr="0087048B">
        <w:rPr>
          <w:rFonts w:cs="Times New Roman"/>
          <w:szCs w:val="24"/>
        </w:rPr>
        <w:t xml:space="preserve"> shadow billing information focuses on the price for service.</w:t>
      </w:r>
      <w:r>
        <w:rPr>
          <w:rStyle w:val="FootnoteReference"/>
          <w:rFonts w:cs="Times New Roman"/>
          <w:szCs w:val="24"/>
        </w:rPr>
        <w:footnoteReference w:id="44"/>
      </w:r>
      <w:r w:rsidRPr="0087048B">
        <w:rPr>
          <w:rFonts w:cs="Times New Roman"/>
          <w:szCs w:val="24"/>
        </w:rPr>
        <w:t xml:space="preserve"> </w:t>
      </w:r>
      <w:r w:rsidRPr="0087048B" w:rsidR="00301B6A">
        <w:rPr>
          <w:rFonts w:cs="Times New Roman"/>
          <w:szCs w:val="24"/>
        </w:rPr>
        <w:t>T</w:t>
      </w:r>
      <w:r w:rsidRPr="0087048B">
        <w:rPr>
          <w:rFonts w:cs="Times New Roman"/>
          <w:szCs w:val="24"/>
        </w:rPr>
        <w:t xml:space="preserve">he PUCO </w:t>
      </w:r>
      <w:r w:rsidRPr="0087048B" w:rsidR="00301B6A">
        <w:rPr>
          <w:rFonts w:cs="Times New Roman"/>
          <w:szCs w:val="24"/>
        </w:rPr>
        <w:t>addressed that argument by stating that while</w:t>
      </w:r>
      <w:r w:rsidRPr="0087048B">
        <w:rPr>
          <w:rFonts w:cs="Times New Roman"/>
          <w:szCs w:val="24"/>
        </w:rPr>
        <w:t xml:space="preserve"> consumers may consider other factors besides price when they shop for service, </w:t>
      </w:r>
      <w:r w:rsidRPr="0087048B" w:rsidR="00847141">
        <w:rPr>
          <w:rFonts w:cs="Times New Roman"/>
          <w:szCs w:val="24"/>
        </w:rPr>
        <w:t>shadow billing “may serve to confirm information otherwise available about the competitive market or highlight issues for further review and analysis.”</w:t>
      </w:r>
      <w:r>
        <w:rPr>
          <w:rStyle w:val="FootnoteReference"/>
          <w:rFonts w:cs="Times New Roman"/>
          <w:szCs w:val="24"/>
        </w:rPr>
        <w:footnoteReference w:id="45"/>
      </w:r>
      <w:r w:rsidRPr="008D192F" w:rsidR="008D192F">
        <w:rPr>
          <w:rFonts w:cs="Times New Roman"/>
          <w:szCs w:val="24"/>
        </w:rPr>
        <w:t xml:space="preserve"> </w:t>
      </w:r>
      <w:r w:rsidR="008D192F">
        <w:rPr>
          <w:rFonts w:cs="Times New Roman"/>
          <w:szCs w:val="24"/>
        </w:rPr>
        <w:t>The PUCO should not entertain fanciful rationalizations from marketers about price not being important to consumers.</w:t>
      </w:r>
    </w:p>
    <w:p w:rsidR="00ED2FEF" w:rsidRPr="0087048B" w:rsidP="00ED2FEF" w14:paraId="3BBE42B4" w14:textId="6AACBF56">
      <w:pPr>
        <w:spacing w:after="0" w:line="480" w:lineRule="auto"/>
        <w:ind w:firstLine="720"/>
        <w:rPr>
          <w:rFonts w:cs="Times New Roman"/>
          <w:szCs w:val="24"/>
        </w:rPr>
      </w:pPr>
      <w:r w:rsidRPr="0087048B">
        <w:rPr>
          <w:rFonts w:cs="Times New Roman"/>
          <w:szCs w:val="24"/>
        </w:rPr>
        <w:t>In any event, IGS’s claims that aggregate shadow billing is inaccurate or misleading are contrary to AEP’s commitment to provide the information to OCC and the PUCO Staff based on objective calculations, subject to the terms identified on Attachment D to the Settlement.</w:t>
      </w:r>
      <w:r>
        <w:rPr>
          <w:rStyle w:val="FootnoteReference"/>
          <w:rFonts w:cs="Times New Roman"/>
          <w:szCs w:val="24"/>
        </w:rPr>
        <w:footnoteReference w:id="46"/>
      </w:r>
      <w:r w:rsidRPr="0087048B">
        <w:rPr>
          <w:rFonts w:cs="Times New Roman"/>
          <w:szCs w:val="24"/>
        </w:rPr>
        <w:t xml:space="preserve"> OCC and the PUCO Staff are more than capable of understanding what the shadow billing information means.</w:t>
      </w:r>
    </w:p>
    <w:p w:rsidR="002758D1" w:rsidP="00301B6A" w14:paraId="693B00EA" w14:textId="77777777">
      <w:pPr>
        <w:spacing w:after="0" w:line="480" w:lineRule="auto"/>
        <w:ind w:firstLine="720"/>
        <w:rPr>
          <w:rFonts w:cs="Times New Roman"/>
          <w:szCs w:val="24"/>
        </w:rPr>
      </w:pPr>
      <w:r w:rsidRPr="0087048B">
        <w:rPr>
          <w:rFonts w:cs="Times New Roman"/>
          <w:szCs w:val="24"/>
        </w:rPr>
        <w:t xml:space="preserve">Further, </w:t>
      </w:r>
      <w:r w:rsidRPr="0087048B" w:rsidR="00301B6A">
        <w:rPr>
          <w:rFonts w:cs="Times New Roman"/>
          <w:szCs w:val="24"/>
        </w:rPr>
        <w:t xml:space="preserve">IGS argues that </w:t>
      </w:r>
      <w:r w:rsidRPr="0087048B" w:rsidR="00011481">
        <w:rPr>
          <w:rFonts w:cs="Times New Roman"/>
          <w:szCs w:val="24"/>
        </w:rPr>
        <w:t xml:space="preserve">the PUCO </w:t>
      </w:r>
      <w:r w:rsidRPr="0087048B" w:rsidR="00E759A0">
        <w:rPr>
          <w:rFonts w:cs="Times New Roman"/>
          <w:szCs w:val="24"/>
        </w:rPr>
        <w:t xml:space="preserve">erred by </w:t>
      </w:r>
      <w:r w:rsidRPr="0087048B" w:rsidR="00011481">
        <w:rPr>
          <w:rFonts w:cs="Times New Roman"/>
          <w:szCs w:val="24"/>
        </w:rPr>
        <w:t>fail</w:t>
      </w:r>
      <w:r w:rsidRPr="0087048B" w:rsidR="00E759A0">
        <w:rPr>
          <w:rFonts w:cs="Times New Roman"/>
          <w:szCs w:val="24"/>
        </w:rPr>
        <w:t xml:space="preserve">ing </w:t>
      </w:r>
      <w:r w:rsidRPr="0087048B" w:rsidR="00011481">
        <w:rPr>
          <w:rFonts w:cs="Times New Roman"/>
          <w:szCs w:val="24"/>
        </w:rPr>
        <w:t xml:space="preserve">to explain the PUCO’s </w:t>
      </w:r>
      <w:r w:rsidRPr="0087048B" w:rsidR="003726B2">
        <w:rPr>
          <w:rFonts w:cs="Times New Roman"/>
          <w:szCs w:val="24"/>
        </w:rPr>
        <w:t xml:space="preserve">so-called </w:t>
      </w:r>
      <w:r w:rsidRPr="0087048B" w:rsidR="00011481">
        <w:rPr>
          <w:rFonts w:cs="Times New Roman"/>
          <w:szCs w:val="24"/>
        </w:rPr>
        <w:t>“break” with past precedent rejecting</w:t>
      </w:r>
      <w:r w:rsidRPr="0087048B" w:rsidR="00E759A0">
        <w:rPr>
          <w:rFonts w:cs="Times New Roman"/>
          <w:szCs w:val="24"/>
        </w:rPr>
        <w:t xml:space="preserve"> prior</w:t>
      </w:r>
      <w:r w:rsidRPr="0087048B" w:rsidR="00011481">
        <w:rPr>
          <w:rFonts w:cs="Times New Roman"/>
          <w:szCs w:val="24"/>
        </w:rPr>
        <w:t xml:space="preserve"> OCC requests </w:t>
      </w:r>
      <w:r w:rsidRPr="0087048B" w:rsidR="00E759A0">
        <w:rPr>
          <w:rFonts w:cs="Times New Roman"/>
          <w:szCs w:val="24"/>
        </w:rPr>
        <w:t xml:space="preserve">for </w:t>
      </w:r>
      <w:r w:rsidRPr="0087048B" w:rsidR="0070334C">
        <w:rPr>
          <w:rFonts w:cs="Times New Roman"/>
          <w:szCs w:val="24"/>
        </w:rPr>
        <w:t xml:space="preserve">the PUCO </w:t>
      </w:r>
      <w:r w:rsidRPr="0087048B" w:rsidR="00E759A0">
        <w:rPr>
          <w:rFonts w:cs="Times New Roman"/>
          <w:szCs w:val="24"/>
        </w:rPr>
        <w:t xml:space="preserve">to </w:t>
      </w:r>
      <w:r w:rsidRPr="0087048B" w:rsidR="0070334C">
        <w:rPr>
          <w:rFonts w:cs="Times New Roman"/>
          <w:szCs w:val="24"/>
        </w:rPr>
        <w:t>require</w:t>
      </w:r>
      <w:r w:rsidRPr="0087048B" w:rsidR="003726B2">
        <w:rPr>
          <w:rFonts w:cs="Times New Roman"/>
          <w:szCs w:val="24"/>
        </w:rPr>
        <w:t xml:space="preserve"> industrywide</w:t>
      </w:r>
      <w:r w:rsidRPr="0087048B" w:rsidR="00011481">
        <w:rPr>
          <w:rFonts w:cs="Times New Roman"/>
          <w:szCs w:val="24"/>
        </w:rPr>
        <w:t xml:space="preserve"> utility shadow billing.</w:t>
      </w:r>
      <w:r>
        <w:rPr>
          <w:rStyle w:val="FootnoteReference"/>
          <w:rFonts w:cs="Times New Roman"/>
          <w:szCs w:val="24"/>
        </w:rPr>
        <w:footnoteReference w:id="47"/>
      </w:r>
      <w:r w:rsidRPr="0087048B" w:rsidR="003726B2">
        <w:rPr>
          <w:rFonts w:cs="Times New Roman"/>
          <w:szCs w:val="24"/>
        </w:rPr>
        <w:t xml:space="preserve"> </w:t>
      </w:r>
      <w:r w:rsidRPr="0087048B" w:rsidR="0070334C">
        <w:rPr>
          <w:rFonts w:cs="Times New Roman"/>
          <w:szCs w:val="24"/>
        </w:rPr>
        <w:t xml:space="preserve">But </w:t>
      </w:r>
      <w:r w:rsidRPr="0087048B" w:rsidR="00E759A0">
        <w:rPr>
          <w:rFonts w:cs="Times New Roman"/>
          <w:szCs w:val="24"/>
        </w:rPr>
        <w:t xml:space="preserve">contrary to IGS’s claims, </w:t>
      </w:r>
      <w:r w:rsidRPr="0087048B" w:rsidR="0070334C">
        <w:rPr>
          <w:rFonts w:cs="Times New Roman"/>
          <w:szCs w:val="24"/>
        </w:rPr>
        <w:t>the</w:t>
      </w:r>
      <w:r w:rsidRPr="0087048B" w:rsidR="00E759A0">
        <w:rPr>
          <w:rFonts w:cs="Times New Roman"/>
          <w:szCs w:val="24"/>
        </w:rPr>
        <w:t xml:space="preserve"> Order did not</w:t>
      </w:r>
      <w:r w:rsidRPr="0087048B" w:rsidR="0070334C">
        <w:rPr>
          <w:rFonts w:cs="Times New Roman"/>
          <w:szCs w:val="24"/>
        </w:rPr>
        <w:t xml:space="preserve"> “break” with past PUCO precedent. </w:t>
      </w:r>
      <w:r w:rsidRPr="0087048B" w:rsidR="00E759A0">
        <w:rPr>
          <w:rFonts w:cs="Times New Roman"/>
          <w:szCs w:val="24"/>
        </w:rPr>
        <w:t>In</w:t>
      </w:r>
      <w:r w:rsidRPr="0087048B" w:rsidR="00437141">
        <w:rPr>
          <w:rFonts w:cs="Times New Roman"/>
          <w:szCs w:val="24"/>
        </w:rPr>
        <w:t>stead</w:t>
      </w:r>
      <w:r w:rsidRPr="0087048B" w:rsidR="00E759A0">
        <w:rPr>
          <w:rFonts w:cs="Times New Roman"/>
          <w:szCs w:val="24"/>
        </w:rPr>
        <w:t>, the</w:t>
      </w:r>
      <w:r w:rsidRPr="0087048B" w:rsidR="003726B2">
        <w:rPr>
          <w:rFonts w:cs="Times New Roman"/>
          <w:szCs w:val="24"/>
        </w:rPr>
        <w:t xml:space="preserve"> </w:t>
      </w:r>
      <w:r w:rsidRPr="0087048B" w:rsidR="0070334C">
        <w:rPr>
          <w:rFonts w:cs="Times New Roman"/>
          <w:szCs w:val="24"/>
        </w:rPr>
        <w:t xml:space="preserve">PUCO </w:t>
      </w:r>
      <w:r w:rsidRPr="0087048B" w:rsidR="003726B2">
        <w:rPr>
          <w:rFonts w:cs="Times New Roman"/>
          <w:szCs w:val="24"/>
        </w:rPr>
        <w:t>expressly explain</w:t>
      </w:r>
      <w:r w:rsidRPr="0087048B" w:rsidR="00437141">
        <w:rPr>
          <w:rFonts w:cs="Times New Roman"/>
          <w:szCs w:val="24"/>
        </w:rPr>
        <w:t>ed</w:t>
      </w:r>
      <w:r w:rsidRPr="0087048B" w:rsidR="0070334C">
        <w:rPr>
          <w:rFonts w:cs="Times New Roman"/>
          <w:szCs w:val="24"/>
        </w:rPr>
        <w:t xml:space="preserve"> in the Order</w:t>
      </w:r>
      <w:r w:rsidRPr="0087048B" w:rsidR="003726B2">
        <w:rPr>
          <w:rFonts w:cs="Times New Roman"/>
          <w:szCs w:val="24"/>
        </w:rPr>
        <w:t xml:space="preserve"> </w:t>
      </w:r>
    </w:p>
    <w:p w:rsidR="002758D1" w:rsidP="002758D1" w14:paraId="28DBDA04" w14:textId="77777777">
      <w:pPr>
        <w:spacing w:after="0" w:line="480" w:lineRule="auto"/>
        <w:rPr>
          <w:rFonts w:cs="Times New Roman"/>
          <w:szCs w:val="24"/>
        </w:rPr>
      </w:pPr>
      <w:r w:rsidRPr="0087048B">
        <w:rPr>
          <w:rFonts w:cs="Times New Roman"/>
          <w:szCs w:val="24"/>
        </w:rPr>
        <w:t>that it</w:t>
      </w:r>
      <w:r w:rsidRPr="0087048B" w:rsidR="0070334C">
        <w:rPr>
          <w:rFonts w:cs="Times New Roman"/>
          <w:szCs w:val="24"/>
        </w:rPr>
        <w:t xml:space="preserve"> </w:t>
      </w:r>
      <w:r w:rsidRPr="0087048B" w:rsidR="003726B2">
        <w:rPr>
          <w:rFonts w:cs="Times New Roman"/>
          <w:szCs w:val="24"/>
        </w:rPr>
        <w:t xml:space="preserve">rejected </w:t>
      </w:r>
      <w:r w:rsidRPr="0087048B" w:rsidR="0070334C">
        <w:rPr>
          <w:rFonts w:cs="Times New Roman"/>
          <w:szCs w:val="24"/>
        </w:rPr>
        <w:t>IGS’s</w:t>
      </w:r>
      <w:r w:rsidRPr="0087048B" w:rsidR="003726B2">
        <w:rPr>
          <w:rFonts w:cs="Times New Roman"/>
          <w:szCs w:val="24"/>
        </w:rPr>
        <w:t xml:space="preserve"> argument</w:t>
      </w:r>
      <w:r w:rsidRPr="0087048B">
        <w:rPr>
          <w:rFonts w:cs="Times New Roman"/>
          <w:szCs w:val="24"/>
        </w:rPr>
        <w:t xml:space="preserve"> because</w:t>
      </w:r>
      <w:r w:rsidRPr="0087048B" w:rsidR="004F39BA">
        <w:rPr>
          <w:rFonts w:cs="Times New Roman"/>
          <w:szCs w:val="24"/>
        </w:rPr>
        <w:t xml:space="preserve"> nothing prevents an </w:t>
      </w:r>
      <w:r w:rsidRPr="0087048B" w:rsidR="004F39BA">
        <w:rPr>
          <w:rFonts w:cs="Times New Roman"/>
          <w:i/>
          <w:iCs/>
          <w:szCs w:val="24"/>
        </w:rPr>
        <w:t>individual utility</w:t>
      </w:r>
      <w:r w:rsidRPr="0087048B" w:rsidR="004F39BA">
        <w:rPr>
          <w:rFonts w:cs="Times New Roman"/>
          <w:szCs w:val="24"/>
        </w:rPr>
        <w:t xml:space="preserve"> from </w:t>
      </w:r>
    </w:p>
    <w:p w:rsidR="00301B6A" w:rsidRPr="0087048B" w:rsidP="002758D1" w14:paraId="39AB81AF" w14:textId="3ACD6267">
      <w:pPr>
        <w:spacing w:after="0" w:line="480" w:lineRule="auto"/>
        <w:rPr>
          <w:rFonts w:cs="Times New Roman"/>
          <w:szCs w:val="24"/>
        </w:rPr>
      </w:pPr>
      <w:r w:rsidRPr="0087048B">
        <w:rPr>
          <w:rFonts w:cs="Times New Roman"/>
          <w:i/>
          <w:iCs/>
          <w:szCs w:val="24"/>
        </w:rPr>
        <w:t>agreeing</w:t>
      </w:r>
      <w:r w:rsidRPr="0087048B">
        <w:rPr>
          <w:rFonts w:cs="Times New Roman"/>
          <w:szCs w:val="24"/>
        </w:rPr>
        <w:t xml:space="preserve"> to provide shadow billing data to OCC</w:t>
      </w:r>
      <w:r w:rsidRPr="0087048B" w:rsidR="003726B2">
        <w:rPr>
          <w:rFonts w:cs="Times New Roman"/>
          <w:szCs w:val="24"/>
        </w:rPr>
        <w:t>.</w:t>
      </w:r>
      <w:r>
        <w:rPr>
          <w:rStyle w:val="FootnoteReference"/>
          <w:rFonts w:cs="Times New Roman"/>
          <w:szCs w:val="24"/>
        </w:rPr>
        <w:footnoteReference w:id="48"/>
      </w:r>
      <w:r w:rsidRPr="0087048B" w:rsidR="003726B2">
        <w:rPr>
          <w:rFonts w:cs="Times New Roman"/>
          <w:szCs w:val="24"/>
        </w:rPr>
        <w:t xml:space="preserve"> </w:t>
      </w:r>
      <w:r w:rsidRPr="0087048B">
        <w:rPr>
          <w:rFonts w:cs="Times New Roman"/>
          <w:szCs w:val="24"/>
        </w:rPr>
        <w:t>The PUCO explained:</w:t>
      </w:r>
    </w:p>
    <w:p w:rsidR="004F39BA" w:rsidRPr="0087048B" w:rsidP="0070334C" w14:paraId="66444FCC" w14:textId="30AECC00">
      <w:pPr>
        <w:spacing w:after="0" w:line="240" w:lineRule="auto"/>
        <w:ind w:left="720" w:right="720"/>
        <w:rPr>
          <w:rFonts w:cs="Times New Roman"/>
          <w:szCs w:val="24"/>
        </w:rPr>
      </w:pPr>
      <w:r w:rsidRPr="0087048B">
        <w:rPr>
          <w:rFonts w:cs="Times New Roman"/>
          <w:szCs w:val="24"/>
        </w:rPr>
        <w:t xml:space="preserve">The Commission finds that IGS and Direct Energy have not shown that the shadow-billing provisions in the Stipulation violate any important regulatory principle or practice. First, the Stipulation requires AEP Ohio to perform aggregate shadow-billing calculations for residential customers and report the information to OCC and Staff (Joint Ex. 1 at 11). Although we do not here address the value of such information, we do not agree that AEP Ohio’s mere provision of the calculations to OCC or Staff violates the third part of the three-part test or that the provision must be rejected because it is insufficiently clear. </w:t>
      </w:r>
      <w:r w:rsidRPr="0087048B">
        <w:rPr>
          <w:rFonts w:cs="Times New Roman"/>
          <w:b/>
          <w:bCs/>
          <w:i/>
          <w:iCs/>
          <w:szCs w:val="24"/>
        </w:rPr>
        <w:t>As Direct Energy has previously acknowledged, a utility company may, as AEP Ohio has done here, elect to engage in shadow billing by agreement.</w:t>
      </w:r>
      <w:r w:rsidRPr="0087048B">
        <w:rPr>
          <w:rFonts w:cs="Times New Roman"/>
          <w:szCs w:val="24"/>
        </w:rPr>
        <w:t xml:space="preserve"> In re Commission’s Review of Its Rules for Electrical Safety and Service Standards Contained in Chapter 4901:1-10 of the Ohio Administrative Code, Case No. 17-1842-EL-ORD, Finding and Order (Feb. 26, 2020) at ¶ 160, citing In re Columbia Gas of Ohio, Inc., Case No. 12-2637-GA-EXM, Opinion and Order (Jan. 9, 2013).</w:t>
      </w:r>
      <w:r>
        <w:rPr>
          <w:rStyle w:val="FootnoteReference"/>
          <w:rFonts w:cs="Times New Roman"/>
          <w:szCs w:val="24"/>
        </w:rPr>
        <w:footnoteReference w:id="49"/>
      </w:r>
    </w:p>
    <w:p w:rsidR="001F570C" w:rsidRPr="0087048B" w:rsidP="0070334C" w14:paraId="3CD4F2B1" w14:textId="77777777">
      <w:pPr>
        <w:spacing w:after="0" w:line="240" w:lineRule="auto"/>
        <w:ind w:left="720" w:right="720"/>
        <w:rPr>
          <w:rFonts w:cs="Times New Roman"/>
          <w:szCs w:val="24"/>
        </w:rPr>
      </w:pPr>
    </w:p>
    <w:p w:rsidR="002F1496" w:rsidRPr="0087048B" w:rsidP="002F1496" w14:paraId="796AE421" w14:textId="12CE0BDF">
      <w:pPr>
        <w:spacing w:after="0" w:line="480" w:lineRule="auto"/>
        <w:rPr>
          <w:rFonts w:cs="Times New Roman"/>
          <w:szCs w:val="24"/>
        </w:rPr>
      </w:pPr>
      <w:r w:rsidRPr="0087048B">
        <w:rPr>
          <w:rFonts w:cs="Times New Roman"/>
          <w:szCs w:val="24"/>
        </w:rPr>
        <w:t>The PUCO further stated that:</w:t>
      </w:r>
    </w:p>
    <w:p w:rsidR="002F1496" w:rsidRPr="0087048B" w:rsidP="002F1496" w14:paraId="05AA2549" w14:textId="616876FA">
      <w:pPr>
        <w:spacing w:after="0" w:line="240" w:lineRule="auto"/>
        <w:ind w:left="720" w:right="720"/>
        <w:rPr>
          <w:rFonts w:cs="Times New Roman"/>
          <w:b/>
          <w:bCs/>
          <w:i/>
          <w:iCs/>
          <w:szCs w:val="24"/>
        </w:rPr>
      </w:pPr>
      <w:r w:rsidRPr="0087048B">
        <w:rPr>
          <w:rFonts w:cs="Times New Roman"/>
          <w:szCs w:val="24"/>
        </w:rPr>
        <w:t xml:space="preserve">As IGS notes, the Commission has previously declined to adopt a number of shadow-billing proposals, in light of the availability of useful price-comparison resources like the Commission’s Energy Choice Ohio website. </w:t>
      </w:r>
      <w:r w:rsidRPr="0087048B">
        <w:rPr>
          <w:rFonts w:cs="Times New Roman"/>
          <w:b/>
          <w:bCs/>
          <w:i/>
          <w:iCs/>
          <w:szCs w:val="24"/>
        </w:rPr>
        <w:t>IGS, however, has not explained how these prior decisions of the Commission preclude AEP Ohio’s agreement to include a shadow-billing proposal in an amended application filed in the Company’s pending bill format case.</w:t>
      </w:r>
      <w:r>
        <w:rPr>
          <w:rStyle w:val="FootnoteReference"/>
          <w:rFonts w:cs="Times New Roman"/>
          <w:szCs w:val="24"/>
        </w:rPr>
        <w:footnoteReference w:id="50"/>
      </w:r>
    </w:p>
    <w:p w:rsidR="001F570C" w:rsidRPr="0087048B" w:rsidP="001F570C" w14:paraId="7FA933C0" w14:textId="19335246">
      <w:pPr>
        <w:spacing w:after="0" w:line="240" w:lineRule="auto"/>
        <w:ind w:right="720"/>
        <w:rPr>
          <w:rFonts w:cs="Times New Roman"/>
          <w:b/>
          <w:bCs/>
          <w:i/>
          <w:iCs/>
          <w:szCs w:val="24"/>
        </w:rPr>
      </w:pPr>
    </w:p>
    <w:p w:rsidR="008D192F" w:rsidP="001F570C" w14:paraId="3EB059D6" w14:textId="77777777">
      <w:pPr>
        <w:spacing w:after="0" w:line="480" w:lineRule="auto"/>
        <w:rPr>
          <w:rFonts w:cs="Times New Roman"/>
          <w:szCs w:val="24"/>
        </w:rPr>
      </w:pPr>
      <w:r w:rsidRPr="0087048B">
        <w:rPr>
          <w:rFonts w:cs="Times New Roman"/>
          <w:szCs w:val="24"/>
        </w:rPr>
        <w:t xml:space="preserve">IGS similarly fails to explain in the application for rehearing how the shadow billing provisions – agreed to by AEP and OCC as a part of a larger settlement package – are unreasonable or violate regulatory principals. </w:t>
      </w:r>
    </w:p>
    <w:p w:rsidR="006425D6" w:rsidRPr="0087048B" w:rsidP="00CE46DA" w14:paraId="639BFD2C" w14:textId="04DD73CE">
      <w:pPr>
        <w:spacing w:after="0" w:line="480" w:lineRule="auto"/>
        <w:ind w:firstLine="720"/>
        <w:rPr>
          <w:rFonts w:cs="Times New Roman"/>
          <w:szCs w:val="24"/>
        </w:rPr>
      </w:pPr>
      <w:r w:rsidRPr="0087048B">
        <w:rPr>
          <w:rFonts w:cs="Times New Roman"/>
          <w:szCs w:val="24"/>
        </w:rPr>
        <w:t xml:space="preserve">The PUCO should reject IGS’s </w:t>
      </w:r>
      <w:r w:rsidR="008D192F">
        <w:rPr>
          <w:rFonts w:cs="Times New Roman"/>
          <w:szCs w:val="24"/>
        </w:rPr>
        <w:t xml:space="preserve">attempt to materially modify the Settlement by removing a key consumer protection. The PUCO should deny the IGS </w:t>
      </w:r>
      <w:r w:rsidRPr="0087048B">
        <w:rPr>
          <w:rFonts w:cs="Times New Roman"/>
          <w:szCs w:val="24"/>
        </w:rPr>
        <w:t>application for rehearing.</w:t>
      </w:r>
    </w:p>
    <w:p w:rsidR="00F64F1C" w:rsidRPr="0087048B" w:rsidP="003C0C30" w14:paraId="7F615BF0" w14:textId="0BF70075">
      <w:pPr>
        <w:pStyle w:val="Heading2"/>
      </w:pPr>
      <w:bookmarkStart w:id="12" w:name="_Toc91148199"/>
      <w:bookmarkStart w:id="13" w:name="_Toc91769897"/>
      <w:r w:rsidRPr="0087048B">
        <w:t>C.</w:t>
      </w:r>
      <w:r w:rsidRPr="0087048B">
        <w:tab/>
        <w:t xml:space="preserve">The PUCO </w:t>
      </w:r>
      <w:r w:rsidRPr="0087048B" w:rsidR="003E4F5D">
        <w:t xml:space="preserve">correctly evaluated whether the Settlement as a package benefits </w:t>
      </w:r>
      <w:r w:rsidR="000D1074">
        <w:t>consumer</w:t>
      </w:r>
      <w:r w:rsidRPr="0087048B" w:rsidR="003E4F5D">
        <w:t>s and the public interest. The PUCO should</w:t>
      </w:r>
      <w:r w:rsidRPr="0087048B">
        <w:t xml:space="preserve"> </w:t>
      </w:r>
      <w:r w:rsidRPr="0087048B" w:rsidR="00F52FD4">
        <w:t xml:space="preserve">deny </w:t>
      </w:r>
      <w:r w:rsidRPr="0087048B">
        <w:t xml:space="preserve">NEP’s request </w:t>
      </w:r>
      <w:r w:rsidRPr="0087048B" w:rsidR="00F52FD4">
        <w:t>that the PUCO modify the Settlement to include NEP’s additional proposals</w:t>
      </w:r>
      <w:r w:rsidRPr="0087048B" w:rsidR="003E4F5D">
        <w:t>. (NEP Assignment of Error No. 2)</w:t>
      </w:r>
      <w:bookmarkEnd w:id="12"/>
      <w:r w:rsidR="003E162E">
        <w:t>.</w:t>
      </w:r>
      <w:bookmarkEnd w:id="13"/>
      <w:r w:rsidRPr="0087048B" w:rsidR="003C0C30">
        <w:t xml:space="preserve"> </w:t>
      </w:r>
    </w:p>
    <w:p w:rsidR="0096168F" w:rsidRPr="0087048B" w:rsidP="007479D5" w14:paraId="2750F190" w14:textId="61DC48EF">
      <w:pPr>
        <w:spacing w:after="0" w:line="480" w:lineRule="auto"/>
        <w:ind w:firstLine="720"/>
        <w:rPr>
          <w:rFonts w:cs="Times New Roman"/>
          <w:szCs w:val="24"/>
        </w:rPr>
      </w:pPr>
      <w:r w:rsidRPr="0087048B">
        <w:rPr>
          <w:rFonts w:cs="Times New Roman"/>
          <w:szCs w:val="24"/>
        </w:rPr>
        <w:t>NEP claims that the PUCO erred when it declin</w:t>
      </w:r>
      <w:r w:rsidRPr="0087048B" w:rsidR="005323D1">
        <w:rPr>
          <w:rFonts w:cs="Times New Roman"/>
          <w:szCs w:val="24"/>
        </w:rPr>
        <w:t>ed</w:t>
      </w:r>
      <w:r w:rsidRPr="0087048B">
        <w:rPr>
          <w:rFonts w:cs="Times New Roman"/>
          <w:szCs w:val="24"/>
        </w:rPr>
        <w:t xml:space="preserve"> to adopt various proposals that NEP</w:t>
      </w:r>
      <w:r w:rsidRPr="0087048B" w:rsidR="0036118C">
        <w:rPr>
          <w:rFonts w:cs="Times New Roman"/>
          <w:szCs w:val="24"/>
        </w:rPr>
        <w:t xml:space="preserve"> argues</w:t>
      </w:r>
      <w:r w:rsidRPr="0087048B">
        <w:rPr>
          <w:rFonts w:cs="Times New Roman"/>
          <w:szCs w:val="24"/>
        </w:rPr>
        <w:t xml:space="preserve"> would benefit certain</w:t>
      </w:r>
      <w:r w:rsidRPr="0087048B" w:rsidR="0036118C">
        <w:rPr>
          <w:rFonts w:cs="Times New Roman"/>
          <w:szCs w:val="24"/>
        </w:rPr>
        <w:t xml:space="preserve"> </w:t>
      </w:r>
      <w:r w:rsidR="000D1074">
        <w:rPr>
          <w:rFonts w:cs="Times New Roman"/>
          <w:szCs w:val="24"/>
        </w:rPr>
        <w:t>consumer</w:t>
      </w:r>
      <w:r w:rsidRPr="0087048B">
        <w:rPr>
          <w:rFonts w:cs="Times New Roman"/>
          <w:szCs w:val="24"/>
        </w:rPr>
        <w:t>s.</w:t>
      </w:r>
      <w:r>
        <w:rPr>
          <w:rStyle w:val="FootnoteReference"/>
          <w:rFonts w:cs="Times New Roman"/>
          <w:szCs w:val="24"/>
        </w:rPr>
        <w:footnoteReference w:id="51"/>
      </w:r>
      <w:r w:rsidRPr="0087048B" w:rsidR="005323D1">
        <w:rPr>
          <w:rFonts w:cs="Times New Roman"/>
          <w:szCs w:val="24"/>
        </w:rPr>
        <w:t xml:space="preserve"> NEP’s proposals rejected by the PUCO primarily concern issues</w:t>
      </w:r>
      <w:r w:rsidRPr="0087048B" w:rsidR="0036118C">
        <w:rPr>
          <w:rFonts w:cs="Times New Roman"/>
          <w:szCs w:val="24"/>
        </w:rPr>
        <w:t xml:space="preserve"> on which OCC took no position during the case</w:t>
      </w:r>
      <w:r w:rsidRPr="0087048B" w:rsidR="005323D1">
        <w:rPr>
          <w:rFonts w:cs="Times New Roman"/>
          <w:szCs w:val="24"/>
        </w:rPr>
        <w:t xml:space="preserve">, such as proposed tariff language regarding low-load factor </w:t>
      </w:r>
      <w:r w:rsidR="000E71D7">
        <w:rPr>
          <w:rFonts w:cs="Times New Roman"/>
          <w:szCs w:val="24"/>
        </w:rPr>
        <w:t>consumer</w:t>
      </w:r>
      <w:r w:rsidRPr="0087048B" w:rsidR="005323D1">
        <w:rPr>
          <w:rFonts w:cs="Times New Roman"/>
          <w:szCs w:val="24"/>
        </w:rPr>
        <w:t>s</w:t>
      </w:r>
      <w:r w:rsidRPr="0087048B" w:rsidR="00F37571">
        <w:rPr>
          <w:rFonts w:cs="Times New Roman"/>
          <w:szCs w:val="24"/>
        </w:rPr>
        <w:t xml:space="preserve">, </w:t>
      </w:r>
      <w:r w:rsidRPr="0087048B" w:rsidR="005323D1">
        <w:rPr>
          <w:rFonts w:cs="Times New Roman"/>
          <w:szCs w:val="24"/>
        </w:rPr>
        <w:t>construction and line extension requests</w:t>
      </w:r>
      <w:r w:rsidRPr="0087048B" w:rsidR="00F37571">
        <w:rPr>
          <w:rFonts w:cs="Times New Roman"/>
          <w:szCs w:val="24"/>
        </w:rPr>
        <w:t xml:space="preserve">, and </w:t>
      </w:r>
      <w:r w:rsidRPr="0087048B">
        <w:rPr>
          <w:rFonts w:cs="Times New Roman"/>
          <w:szCs w:val="24"/>
        </w:rPr>
        <w:t>the</w:t>
      </w:r>
      <w:r w:rsidRPr="0087048B" w:rsidR="00F37571">
        <w:rPr>
          <w:rFonts w:cs="Times New Roman"/>
          <w:szCs w:val="24"/>
        </w:rPr>
        <w:t xml:space="preserve"> BTCR pilot program</w:t>
      </w:r>
      <w:r w:rsidRPr="0087048B">
        <w:rPr>
          <w:rFonts w:cs="Times New Roman"/>
          <w:szCs w:val="24"/>
        </w:rPr>
        <w:t>.</w:t>
      </w:r>
      <w:r>
        <w:rPr>
          <w:rStyle w:val="FootnoteReference"/>
          <w:rFonts w:cs="Times New Roman"/>
          <w:szCs w:val="24"/>
        </w:rPr>
        <w:footnoteReference w:id="52"/>
      </w:r>
      <w:r w:rsidRPr="0087048B">
        <w:rPr>
          <w:rFonts w:cs="Times New Roman"/>
          <w:szCs w:val="24"/>
        </w:rPr>
        <w:t xml:space="preserve"> OCC</w:t>
      </w:r>
      <w:r w:rsidRPr="0087048B" w:rsidR="0036118C">
        <w:rPr>
          <w:rFonts w:cs="Times New Roman"/>
          <w:szCs w:val="24"/>
        </w:rPr>
        <w:t xml:space="preserve"> does take issue however, with NEP’s assertion that the PUCO should now grant rehearing and modify the Settlement to include these proposals</w:t>
      </w:r>
      <w:r w:rsidRPr="0087048B">
        <w:rPr>
          <w:rFonts w:cs="Times New Roman"/>
          <w:szCs w:val="24"/>
        </w:rPr>
        <w:t xml:space="preserve">. </w:t>
      </w:r>
      <w:r w:rsidRPr="0087048B" w:rsidR="0036118C">
        <w:rPr>
          <w:rFonts w:cs="Times New Roman"/>
          <w:szCs w:val="24"/>
        </w:rPr>
        <w:t>T</w:t>
      </w:r>
      <w:r w:rsidRPr="0087048B" w:rsidR="00032197">
        <w:rPr>
          <w:rFonts w:cs="Times New Roman"/>
          <w:szCs w:val="24"/>
        </w:rPr>
        <w:t>hese proposals were not agreed to</w:t>
      </w:r>
      <w:r w:rsidRPr="0087048B" w:rsidR="00E83B55">
        <w:rPr>
          <w:rFonts w:cs="Times New Roman"/>
          <w:szCs w:val="24"/>
        </w:rPr>
        <w:t xml:space="preserve"> by the signatory parties, and the PUCO </w:t>
      </w:r>
      <w:r w:rsidRPr="0087048B" w:rsidR="001A2DA8">
        <w:rPr>
          <w:rFonts w:cs="Times New Roman"/>
          <w:szCs w:val="24"/>
        </w:rPr>
        <w:t>appropriately</w:t>
      </w:r>
      <w:r w:rsidRPr="0087048B" w:rsidR="00E83B55">
        <w:rPr>
          <w:rFonts w:cs="Times New Roman"/>
          <w:szCs w:val="24"/>
        </w:rPr>
        <w:t xml:space="preserve"> rejected them</w:t>
      </w:r>
      <w:r w:rsidRPr="0087048B" w:rsidR="00032197">
        <w:rPr>
          <w:rFonts w:cs="Times New Roman"/>
          <w:szCs w:val="24"/>
        </w:rPr>
        <w:t xml:space="preserve"> in favor of </w:t>
      </w:r>
      <w:r w:rsidRPr="0087048B" w:rsidR="00F52FD4">
        <w:rPr>
          <w:rFonts w:cs="Times New Roman"/>
          <w:szCs w:val="24"/>
        </w:rPr>
        <w:t xml:space="preserve">the </w:t>
      </w:r>
      <w:r w:rsidRPr="0087048B" w:rsidR="00032197">
        <w:rPr>
          <w:rFonts w:cs="Times New Roman"/>
          <w:szCs w:val="24"/>
        </w:rPr>
        <w:t xml:space="preserve">settlement </w:t>
      </w:r>
      <w:r w:rsidRPr="0087048B" w:rsidR="00032197">
        <w:rPr>
          <w:rFonts w:cs="Times New Roman"/>
          <w:i/>
          <w:iCs/>
          <w:szCs w:val="24"/>
        </w:rPr>
        <w:t>package</w:t>
      </w:r>
      <w:r w:rsidRPr="0087048B" w:rsidR="00032197">
        <w:rPr>
          <w:rFonts w:cs="Times New Roman"/>
          <w:szCs w:val="24"/>
        </w:rPr>
        <w:t xml:space="preserve"> benefitting </w:t>
      </w:r>
      <w:r w:rsidR="000E71D7">
        <w:rPr>
          <w:rFonts w:cs="Times New Roman"/>
          <w:szCs w:val="24"/>
        </w:rPr>
        <w:t>consumer</w:t>
      </w:r>
      <w:r w:rsidRPr="0087048B" w:rsidR="00032197">
        <w:rPr>
          <w:rFonts w:cs="Times New Roman"/>
          <w:szCs w:val="24"/>
        </w:rPr>
        <w:t>s and the public interest.</w:t>
      </w:r>
      <w:r w:rsidRPr="0087048B">
        <w:rPr>
          <w:rFonts w:cs="Times New Roman"/>
          <w:szCs w:val="24"/>
        </w:rPr>
        <w:t xml:space="preserve"> </w:t>
      </w:r>
      <w:r w:rsidR="008D192F">
        <w:rPr>
          <w:rFonts w:cs="Times New Roman"/>
          <w:szCs w:val="24"/>
        </w:rPr>
        <w:t>The PUCO should not place the Settlement</w:t>
      </w:r>
      <w:r w:rsidR="00656387">
        <w:rPr>
          <w:rFonts w:cs="Times New Roman"/>
          <w:szCs w:val="24"/>
        </w:rPr>
        <w:t>, with its consumer protections,</w:t>
      </w:r>
      <w:r w:rsidR="008D192F">
        <w:rPr>
          <w:rFonts w:cs="Times New Roman"/>
          <w:szCs w:val="24"/>
        </w:rPr>
        <w:t xml:space="preserve"> at risk</w:t>
      </w:r>
      <w:r w:rsidR="00656387">
        <w:rPr>
          <w:rFonts w:cs="Times New Roman"/>
          <w:szCs w:val="24"/>
        </w:rPr>
        <w:t>.</w:t>
      </w:r>
    </w:p>
    <w:p w:rsidR="00AF4B22" w:rsidRPr="0087048B" w:rsidP="007479D5" w14:paraId="1572DE2F" w14:textId="5758F8B6">
      <w:pPr>
        <w:spacing w:after="0" w:line="480" w:lineRule="auto"/>
        <w:ind w:firstLine="720"/>
        <w:rPr>
          <w:rFonts w:cs="Times New Roman"/>
          <w:szCs w:val="24"/>
        </w:rPr>
      </w:pPr>
      <w:r w:rsidRPr="0087048B">
        <w:rPr>
          <w:rFonts w:cs="Times New Roman"/>
          <w:szCs w:val="24"/>
        </w:rPr>
        <w:t>The PUCO stated that “[w]e have repeatedly found value in the parties’ resolution of pending matters through a stipulation package, as an efficient and cost-effective means of bringing the issues before the Commission, while also avoiding the considerable time and expense associated with the litigation of a fully contested case.”</w:t>
      </w:r>
      <w:r>
        <w:rPr>
          <w:rStyle w:val="FootnoteReference"/>
          <w:rFonts w:cs="Times New Roman"/>
          <w:szCs w:val="24"/>
        </w:rPr>
        <w:footnoteReference w:id="53"/>
      </w:r>
      <w:r w:rsidRPr="0087048B">
        <w:rPr>
          <w:rFonts w:cs="Times New Roman"/>
          <w:szCs w:val="24"/>
        </w:rPr>
        <w:t xml:space="preserve"> </w:t>
      </w:r>
      <w:r w:rsidRPr="0087048B" w:rsidR="001A2DA8">
        <w:rPr>
          <w:rFonts w:cs="Times New Roman"/>
          <w:szCs w:val="24"/>
        </w:rPr>
        <w:t xml:space="preserve"> Thus, as the PUCO noted in the Order in this case, the PUCO</w:t>
      </w:r>
      <w:r w:rsidRPr="0087048B" w:rsidR="00A817FB">
        <w:rPr>
          <w:rFonts w:cs="Times New Roman"/>
          <w:szCs w:val="24"/>
        </w:rPr>
        <w:t>’s analysis does not consider “whether there are different or additional provisions that would better benefit ratepayers and the public interest but whether the Stipulation, as a package, benefits ratepayers and the public interest.”</w:t>
      </w:r>
      <w:r>
        <w:rPr>
          <w:rStyle w:val="FootnoteReference"/>
          <w:rFonts w:cs="Times New Roman"/>
          <w:szCs w:val="24"/>
        </w:rPr>
        <w:footnoteReference w:id="54"/>
      </w:r>
      <w:r w:rsidRPr="0087048B" w:rsidR="00643DD2">
        <w:rPr>
          <w:rFonts w:cs="Times New Roman"/>
          <w:i/>
          <w:iCs/>
          <w:szCs w:val="24"/>
        </w:rPr>
        <w:t xml:space="preserve"> </w:t>
      </w:r>
      <w:r w:rsidRPr="0087048B" w:rsidR="00A817FB">
        <w:rPr>
          <w:rFonts w:cs="Times New Roman"/>
          <w:szCs w:val="24"/>
        </w:rPr>
        <w:t xml:space="preserve">Accordingly, NEP’s claim that </w:t>
      </w:r>
      <w:r w:rsidRPr="0087048B" w:rsidR="005E1D95">
        <w:rPr>
          <w:rFonts w:cs="Times New Roman"/>
          <w:szCs w:val="24"/>
        </w:rPr>
        <w:t>the PUCO acted inconsistently by not approving NEP’s proposed modifications</w:t>
      </w:r>
      <w:r>
        <w:rPr>
          <w:rStyle w:val="FootnoteReference"/>
          <w:rFonts w:cs="Times New Roman"/>
          <w:szCs w:val="24"/>
        </w:rPr>
        <w:footnoteReference w:id="55"/>
      </w:r>
      <w:r w:rsidRPr="0087048B" w:rsidR="005E1D95">
        <w:rPr>
          <w:rFonts w:cs="Times New Roman"/>
          <w:szCs w:val="24"/>
        </w:rPr>
        <w:t xml:space="preserve"> should be rejected.</w:t>
      </w:r>
    </w:p>
    <w:p w:rsidR="00510CE3" w:rsidP="0055168C" w14:paraId="5088E111" w14:textId="5AB6DB37">
      <w:pPr>
        <w:spacing w:after="0" w:line="480" w:lineRule="auto"/>
        <w:ind w:firstLine="720"/>
        <w:rPr>
          <w:rFonts w:cs="Times New Roman"/>
          <w:szCs w:val="24"/>
        </w:rPr>
      </w:pPr>
      <w:r w:rsidRPr="0087048B">
        <w:rPr>
          <w:rFonts w:cs="Times New Roman"/>
          <w:szCs w:val="24"/>
        </w:rPr>
        <w:t xml:space="preserve">Finally, NEP’s </w:t>
      </w:r>
      <w:r>
        <w:rPr>
          <w:rFonts w:cs="Times New Roman"/>
          <w:szCs w:val="24"/>
        </w:rPr>
        <w:t>application for rehearing (in claim number 2)</w:t>
      </w:r>
      <w:r w:rsidRPr="0087048B">
        <w:rPr>
          <w:rFonts w:cs="Times New Roman"/>
          <w:szCs w:val="24"/>
        </w:rPr>
        <w:t xml:space="preserve"> references </w:t>
      </w:r>
      <w:r w:rsidRPr="0087048B" w:rsidR="0096168F">
        <w:rPr>
          <w:rFonts w:cs="Times New Roman"/>
          <w:szCs w:val="24"/>
        </w:rPr>
        <w:t>paragraph 134 of the</w:t>
      </w:r>
      <w:r>
        <w:rPr>
          <w:rFonts w:cs="Times New Roman"/>
          <w:szCs w:val="24"/>
        </w:rPr>
        <w:t xml:space="preserve"> PUCO’s</w:t>
      </w:r>
      <w:r w:rsidRPr="0087048B" w:rsidR="0096168F">
        <w:rPr>
          <w:rFonts w:cs="Times New Roman"/>
          <w:szCs w:val="24"/>
        </w:rPr>
        <w:t xml:space="preserve"> Order</w:t>
      </w:r>
      <w:r>
        <w:rPr>
          <w:rFonts w:cs="Times New Roman"/>
          <w:szCs w:val="24"/>
        </w:rPr>
        <w:t>. In that paragraph, the PUCO rejects</w:t>
      </w:r>
      <w:r w:rsidR="00900F9A">
        <w:rPr>
          <w:rFonts w:cs="Times New Roman"/>
          <w:szCs w:val="24"/>
        </w:rPr>
        <w:t xml:space="preserve"> </w:t>
      </w:r>
      <w:r w:rsidRPr="0087048B" w:rsidR="0096168F">
        <w:rPr>
          <w:rFonts w:cs="Times New Roman"/>
          <w:szCs w:val="24"/>
        </w:rPr>
        <w:t>Armada’s proposed water</w:t>
      </w:r>
      <w:r w:rsidRPr="0087048B">
        <w:rPr>
          <w:rFonts w:cs="Times New Roman"/>
          <w:szCs w:val="24"/>
        </w:rPr>
        <w:t xml:space="preserve"> heater pilot program.</w:t>
      </w:r>
      <w:r>
        <w:rPr>
          <w:rStyle w:val="FootnoteReference"/>
          <w:rFonts w:cs="Times New Roman"/>
          <w:szCs w:val="24"/>
        </w:rPr>
        <w:footnoteReference w:id="56"/>
      </w:r>
      <w:r w:rsidRPr="0087048B" w:rsidR="007479D5">
        <w:rPr>
          <w:rFonts w:cs="Times New Roman"/>
          <w:szCs w:val="24"/>
        </w:rPr>
        <w:t xml:space="preserve"> </w:t>
      </w:r>
      <w:r>
        <w:rPr>
          <w:rFonts w:cs="Times New Roman"/>
          <w:szCs w:val="24"/>
        </w:rPr>
        <w:t xml:space="preserve">In our Reply Brief, </w:t>
      </w:r>
      <w:r w:rsidRPr="0087048B" w:rsidR="008703D2">
        <w:rPr>
          <w:rFonts w:cs="Times New Roman"/>
          <w:szCs w:val="24"/>
        </w:rPr>
        <w:t>OCC oppose</w:t>
      </w:r>
      <w:r w:rsidR="00284D57">
        <w:rPr>
          <w:rFonts w:cs="Times New Roman"/>
          <w:szCs w:val="24"/>
        </w:rPr>
        <w:t>d</w:t>
      </w:r>
      <w:r w:rsidRPr="0087048B" w:rsidR="008703D2">
        <w:rPr>
          <w:rFonts w:cs="Times New Roman"/>
          <w:szCs w:val="24"/>
        </w:rPr>
        <w:t xml:space="preserve"> Armada’s propos</w:t>
      </w:r>
      <w:r w:rsidRPr="0087048B" w:rsidR="000C7523">
        <w:rPr>
          <w:rFonts w:cs="Times New Roman"/>
          <w:szCs w:val="24"/>
        </w:rPr>
        <w:t>al to charge consumers for its</w:t>
      </w:r>
      <w:r w:rsidRPr="0087048B" w:rsidR="008703D2">
        <w:rPr>
          <w:rFonts w:cs="Times New Roman"/>
          <w:szCs w:val="24"/>
        </w:rPr>
        <w:t xml:space="preserve"> water heater pilot program</w:t>
      </w:r>
      <w:r>
        <w:rPr>
          <w:rFonts w:cs="Times New Roman"/>
          <w:szCs w:val="24"/>
        </w:rPr>
        <w:t>.</w:t>
      </w:r>
      <w:r>
        <w:rPr>
          <w:rStyle w:val="FootnoteReference"/>
          <w:rFonts w:cs="Times New Roman"/>
          <w:szCs w:val="24"/>
        </w:rPr>
        <w:footnoteReference w:id="57"/>
      </w:r>
      <w:r w:rsidRPr="0087048B" w:rsidR="000C7523">
        <w:rPr>
          <w:rFonts w:cs="Times New Roman"/>
          <w:szCs w:val="24"/>
        </w:rPr>
        <w:t xml:space="preserve"> </w:t>
      </w:r>
      <w:r>
        <w:rPr>
          <w:rFonts w:cs="Times New Roman"/>
          <w:szCs w:val="24"/>
        </w:rPr>
        <w:t>T</w:t>
      </w:r>
      <w:r w:rsidR="00900F9A">
        <w:rPr>
          <w:rFonts w:cs="Times New Roman"/>
          <w:szCs w:val="24"/>
        </w:rPr>
        <w:t>he PUCO correctly rejected Armada’s proposed modification</w:t>
      </w:r>
      <w:r>
        <w:rPr>
          <w:rFonts w:cs="Times New Roman"/>
          <w:szCs w:val="24"/>
        </w:rPr>
        <w:t xml:space="preserve"> of the Settlement</w:t>
      </w:r>
      <w:r w:rsidR="00900F9A">
        <w:rPr>
          <w:rFonts w:cs="Times New Roman"/>
          <w:szCs w:val="24"/>
        </w:rPr>
        <w:t xml:space="preserve">. </w:t>
      </w:r>
      <w:r>
        <w:rPr>
          <w:rFonts w:cs="Times New Roman"/>
          <w:szCs w:val="24"/>
        </w:rPr>
        <w:t xml:space="preserve">Note that </w:t>
      </w:r>
      <w:r w:rsidRPr="0087048B" w:rsidR="000C7523">
        <w:rPr>
          <w:rFonts w:cs="Times New Roman"/>
          <w:szCs w:val="24"/>
        </w:rPr>
        <w:t xml:space="preserve">Armada did </w:t>
      </w:r>
      <w:r w:rsidRPr="0087048B" w:rsidR="000C7523">
        <w:rPr>
          <w:rFonts w:cs="Times New Roman"/>
          <w:i/>
          <w:iCs/>
          <w:szCs w:val="24"/>
        </w:rPr>
        <w:t>not</w:t>
      </w:r>
      <w:r w:rsidRPr="0087048B" w:rsidR="000C7523">
        <w:rPr>
          <w:rFonts w:cs="Times New Roman"/>
          <w:szCs w:val="24"/>
        </w:rPr>
        <w:t xml:space="preserve"> file an application for rehearing of the Order. </w:t>
      </w:r>
    </w:p>
    <w:p w:rsidR="007479D5" w:rsidRPr="0055168C" w:rsidP="0055168C" w14:paraId="19D37D46" w14:textId="74FB4F87">
      <w:pPr>
        <w:spacing w:after="0" w:line="480" w:lineRule="auto"/>
        <w:ind w:firstLine="720"/>
        <w:rPr>
          <w:rFonts w:cs="Times New Roman"/>
          <w:szCs w:val="24"/>
        </w:rPr>
      </w:pPr>
      <w:r>
        <w:rPr>
          <w:rFonts w:cs="Times New Roman"/>
          <w:szCs w:val="24"/>
        </w:rPr>
        <w:t xml:space="preserve">The PUCO should </w:t>
      </w:r>
      <w:r w:rsidR="00A96FA0">
        <w:rPr>
          <w:rFonts w:cs="Times New Roman"/>
          <w:szCs w:val="24"/>
        </w:rPr>
        <w:t>not change</w:t>
      </w:r>
      <w:r>
        <w:rPr>
          <w:rFonts w:cs="Times New Roman"/>
          <w:szCs w:val="24"/>
        </w:rPr>
        <w:t xml:space="preserve"> its original ruling against modifying the Settlement for the Armada water heater proposal, based on NEP’s rehearing application. The PUCO should not even entertain this</w:t>
      </w:r>
      <w:r w:rsidR="00A96FA0">
        <w:rPr>
          <w:rFonts w:cs="Times New Roman"/>
          <w:szCs w:val="24"/>
        </w:rPr>
        <w:t xml:space="preserve"> water heater</w:t>
      </w:r>
      <w:r>
        <w:rPr>
          <w:rFonts w:cs="Times New Roman"/>
          <w:szCs w:val="24"/>
        </w:rPr>
        <w:t xml:space="preserve"> issue because NEP, in framing its application for rehearing, failed to satisfy the requirement in O.A.C. 4901-1-35(A) to set forth “specific grounds” for why an order is unreasonable or unlawful.</w:t>
      </w:r>
      <w:r w:rsidRPr="0087048B" w:rsidR="00693FAB">
        <w:rPr>
          <w:rFonts w:cs="Times New Roman"/>
          <w:szCs w:val="24"/>
        </w:rPr>
        <w:t xml:space="preserve"> </w:t>
      </w:r>
    </w:p>
    <w:p w:rsidR="0036016C" w:rsidRPr="0087048B" w:rsidP="0055168C" w14:paraId="2C1DA83A" w14:textId="77777777">
      <w:pPr>
        <w:pStyle w:val="Heading1"/>
      </w:pPr>
      <w:bookmarkStart w:id="14" w:name="_Toc91148200"/>
      <w:bookmarkStart w:id="15" w:name="_Toc91769898"/>
      <w:r w:rsidRPr="0087048B">
        <w:t>III.</w:t>
      </w:r>
      <w:r w:rsidRPr="0087048B">
        <w:tab/>
        <w:t>CONCLUSION</w:t>
      </w:r>
      <w:bookmarkEnd w:id="14"/>
      <w:bookmarkEnd w:id="15"/>
    </w:p>
    <w:p w:rsidR="0036016C" w:rsidRPr="0087048B" w:rsidP="0036016C" w14:paraId="538432F8" w14:textId="2C794EEA">
      <w:pPr>
        <w:spacing w:after="0" w:line="480" w:lineRule="auto"/>
        <w:ind w:firstLine="720"/>
        <w:rPr>
          <w:rFonts w:cs="Times New Roman"/>
          <w:szCs w:val="24"/>
        </w:rPr>
      </w:pPr>
      <w:r w:rsidRPr="0087048B">
        <w:rPr>
          <w:rFonts w:cs="Times New Roman"/>
          <w:szCs w:val="24"/>
        </w:rPr>
        <w:t>The PUCO rightfully rejecte</w:t>
      </w:r>
      <w:r w:rsidRPr="0087048B" w:rsidR="00C6495D">
        <w:rPr>
          <w:rFonts w:cs="Times New Roman"/>
          <w:szCs w:val="24"/>
        </w:rPr>
        <w:t xml:space="preserve">d </w:t>
      </w:r>
      <w:r w:rsidRPr="0087048B" w:rsidR="00A9508A">
        <w:rPr>
          <w:rFonts w:cs="Times New Roman"/>
          <w:szCs w:val="24"/>
        </w:rPr>
        <w:t>IGS’s and NEP’s</w:t>
      </w:r>
      <w:r w:rsidRPr="0087048B">
        <w:rPr>
          <w:rFonts w:cs="Times New Roman"/>
          <w:szCs w:val="24"/>
        </w:rPr>
        <w:t xml:space="preserve"> proposal</w:t>
      </w:r>
      <w:r w:rsidRPr="0087048B" w:rsidR="00C6495D">
        <w:rPr>
          <w:rFonts w:cs="Times New Roman"/>
          <w:szCs w:val="24"/>
        </w:rPr>
        <w:t>s</w:t>
      </w:r>
      <w:r w:rsidRPr="0087048B">
        <w:rPr>
          <w:rFonts w:cs="Times New Roman"/>
          <w:szCs w:val="24"/>
        </w:rPr>
        <w:t xml:space="preserve"> in the Order</w:t>
      </w:r>
      <w:r w:rsidRPr="0087048B" w:rsidR="00C6495D">
        <w:rPr>
          <w:rFonts w:cs="Times New Roman"/>
          <w:szCs w:val="24"/>
        </w:rPr>
        <w:t xml:space="preserve"> and thoroughly explain</w:t>
      </w:r>
      <w:r w:rsidRPr="0087048B" w:rsidR="00683D48">
        <w:rPr>
          <w:rFonts w:cs="Times New Roman"/>
          <w:szCs w:val="24"/>
        </w:rPr>
        <w:t>ed the evidentiary support and rationale for</w:t>
      </w:r>
      <w:r w:rsidR="00E6545A">
        <w:rPr>
          <w:rFonts w:cs="Times New Roman"/>
          <w:szCs w:val="24"/>
        </w:rPr>
        <w:t xml:space="preserve"> the Settlement that they would undo</w:t>
      </w:r>
      <w:r w:rsidRPr="0087048B" w:rsidR="00683D48">
        <w:rPr>
          <w:rFonts w:cs="Times New Roman"/>
          <w:szCs w:val="24"/>
        </w:rPr>
        <w:t xml:space="preserve">. The PUCO should </w:t>
      </w:r>
      <w:r w:rsidRPr="0087048B">
        <w:rPr>
          <w:rFonts w:cs="Times New Roman"/>
          <w:szCs w:val="24"/>
        </w:rPr>
        <w:t xml:space="preserve">reject </w:t>
      </w:r>
      <w:r w:rsidRPr="0087048B" w:rsidR="00A9508A">
        <w:rPr>
          <w:rFonts w:cs="Times New Roman"/>
          <w:szCs w:val="24"/>
        </w:rPr>
        <w:t>the</w:t>
      </w:r>
      <w:r w:rsidRPr="0087048B">
        <w:rPr>
          <w:rFonts w:cs="Times New Roman"/>
          <w:szCs w:val="24"/>
        </w:rPr>
        <w:t xml:space="preserve"> application</w:t>
      </w:r>
      <w:r w:rsidRPr="0087048B" w:rsidR="00A9508A">
        <w:rPr>
          <w:rFonts w:cs="Times New Roman"/>
          <w:szCs w:val="24"/>
        </w:rPr>
        <w:t>s</w:t>
      </w:r>
      <w:r w:rsidRPr="0087048B">
        <w:rPr>
          <w:rFonts w:cs="Times New Roman"/>
          <w:szCs w:val="24"/>
        </w:rPr>
        <w:t xml:space="preserve"> for rehearing</w:t>
      </w:r>
      <w:r w:rsidRPr="0087048B" w:rsidR="00A9508A">
        <w:rPr>
          <w:rFonts w:cs="Times New Roman"/>
          <w:szCs w:val="24"/>
        </w:rPr>
        <w:t xml:space="preserve"> as well</w:t>
      </w:r>
      <w:r w:rsidRPr="0087048B">
        <w:rPr>
          <w:rFonts w:cs="Times New Roman"/>
          <w:szCs w:val="24"/>
        </w:rPr>
        <w:t xml:space="preserve">. </w:t>
      </w:r>
      <w:r w:rsidRPr="0087048B" w:rsidR="00930BE7">
        <w:rPr>
          <w:rFonts w:cs="Times New Roman"/>
          <w:szCs w:val="24"/>
        </w:rPr>
        <w:t>To protect consumers</w:t>
      </w:r>
      <w:r w:rsidRPr="0087048B">
        <w:rPr>
          <w:rFonts w:cs="Times New Roman"/>
          <w:szCs w:val="24"/>
        </w:rPr>
        <w:t xml:space="preserve">, the PUCO should preserve and protect the Settlement from </w:t>
      </w:r>
      <w:r w:rsidR="00114895">
        <w:rPr>
          <w:rFonts w:cs="Times New Roman"/>
          <w:szCs w:val="24"/>
        </w:rPr>
        <w:t xml:space="preserve">material </w:t>
      </w:r>
      <w:r w:rsidRPr="0087048B">
        <w:rPr>
          <w:rFonts w:cs="Times New Roman"/>
          <w:szCs w:val="24"/>
        </w:rPr>
        <w:t xml:space="preserve">modification by </w:t>
      </w:r>
      <w:r w:rsidRPr="0087048B" w:rsidR="00683D48">
        <w:rPr>
          <w:rFonts w:cs="Times New Roman"/>
          <w:szCs w:val="24"/>
        </w:rPr>
        <w:t>IGS</w:t>
      </w:r>
      <w:r w:rsidRPr="0087048B" w:rsidR="00A9508A">
        <w:rPr>
          <w:rFonts w:cs="Times New Roman"/>
          <w:szCs w:val="24"/>
        </w:rPr>
        <w:t xml:space="preserve"> and NEP</w:t>
      </w:r>
      <w:r w:rsidRPr="0087048B">
        <w:rPr>
          <w:rFonts w:cs="Times New Roman"/>
          <w:szCs w:val="24"/>
        </w:rPr>
        <w:t>.</w:t>
      </w:r>
    </w:p>
    <w:p w:rsidR="000076F1" w:rsidRPr="0087048B" w:rsidP="002D4090" w14:paraId="793B01C5" w14:textId="0BDE8993">
      <w:pPr>
        <w:rPr>
          <w:rFonts w:eastAsia="Times New Roman" w:cs="Times New Roman"/>
          <w:szCs w:val="24"/>
        </w:rPr>
      </w:pPr>
      <w:r w:rsidRPr="0087048B">
        <w:rPr>
          <w:rFonts w:eastAsiaTheme="minorEastAsia" w:cs="Times New Roman"/>
          <w:szCs w:val="24"/>
        </w:rPr>
        <w:tab/>
      </w:r>
      <w:r w:rsidRPr="0087048B">
        <w:rPr>
          <w:rFonts w:eastAsiaTheme="minorEastAsia" w:cs="Times New Roman"/>
          <w:szCs w:val="24"/>
        </w:rPr>
        <w:tab/>
      </w:r>
      <w:r w:rsidRPr="0087048B">
        <w:rPr>
          <w:rFonts w:eastAsiaTheme="minorEastAsia" w:cs="Times New Roman"/>
          <w:szCs w:val="24"/>
        </w:rPr>
        <w:tab/>
      </w:r>
      <w:r w:rsidRPr="0087048B">
        <w:rPr>
          <w:rFonts w:eastAsiaTheme="minorEastAsia" w:cs="Times New Roman"/>
          <w:szCs w:val="24"/>
        </w:rPr>
        <w:tab/>
      </w:r>
      <w:r w:rsidRPr="0087048B">
        <w:rPr>
          <w:rFonts w:eastAsiaTheme="minorEastAsia" w:cs="Times New Roman"/>
          <w:szCs w:val="24"/>
        </w:rPr>
        <w:tab/>
      </w:r>
      <w:r w:rsidRPr="0087048B">
        <w:rPr>
          <w:rFonts w:eastAsiaTheme="minorEastAsia" w:cs="Times New Roman"/>
          <w:szCs w:val="24"/>
        </w:rPr>
        <w:tab/>
      </w:r>
      <w:r w:rsidRPr="0087048B">
        <w:rPr>
          <w:rFonts w:eastAsia="Times New Roman" w:cs="Times New Roman"/>
          <w:szCs w:val="24"/>
        </w:rPr>
        <w:t>Respectfully submitted,</w:t>
      </w:r>
    </w:p>
    <w:p w:rsidR="000076F1" w:rsidRPr="0087048B" w:rsidP="000076F1" w14:paraId="60A1BD85" w14:textId="77777777">
      <w:pPr>
        <w:spacing w:after="0" w:line="240" w:lineRule="auto"/>
        <w:ind w:left="3600" w:right="-672" w:firstLine="720"/>
        <w:rPr>
          <w:rFonts w:eastAsia="Times New Roman" w:cs="Times New Roman"/>
          <w:szCs w:val="24"/>
        </w:rPr>
      </w:pPr>
      <w:r w:rsidRPr="0087048B">
        <w:rPr>
          <w:rFonts w:eastAsia="Times New Roman" w:cs="Times New Roman"/>
          <w:szCs w:val="24"/>
        </w:rPr>
        <w:t>Bruce Weston (0016973)</w:t>
      </w:r>
    </w:p>
    <w:p w:rsidR="000076F1" w:rsidRPr="0087048B" w:rsidP="000076F1" w14:paraId="37F07CB2" w14:textId="77777777">
      <w:pPr>
        <w:spacing w:after="0" w:line="240" w:lineRule="auto"/>
        <w:ind w:left="3600" w:right="-672" w:firstLine="720"/>
        <w:rPr>
          <w:rFonts w:eastAsia="Times New Roman" w:cs="Times New Roman"/>
          <w:szCs w:val="24"/>
        </w:rPr>
      </w:pPr>
      <w:r w:rsidRPr="0087048B">
        <w:rPr>
          <w:rFonts w:eastAsia="Times New Roman" w:cs="Times New Roman"/>
          <w:szCs w:val="24"/>
        </w:rPr>
        <w:t xml:space="preserve">Ohio Consumers’ Counsel </w:t>
      </w:r>
    </w:p>
    <w:p w:rsidR="000076F1" w:rsidRPr="0087048B" w:rsidP="000076F1" w14:paraId="58A19EEE" w14:textId="77777777">
      <w:pPr>
        <w:spacing w:after="0" w:line="240" w:lineRule="auto"/>
        <w:ind w:firstLine="4320"/>
        <w:rPr>
          <w:rFonts w:eastAsiaTheme="minorEastAsia" w:cs="Times New Roman"/>
          <w:szCs w:val="24"/>
          <w:u w:val="single"/>
        </w:rPr>
      </w:pPr>
    </w:p>
    <w:p w:rsidR="000076F1" w:rsidRPr="0087048B" w:rsidP="000076F1" w14:paraId="5B9A4C9A" w14:textId="497996F9">
      <w:pPr>
        <w:spacing w:after="0" w:line="240" w:lineRule="auto"/>
        <w:ind w:firstLine="4320"/>
        <w:rPr>
          <w:rFonts w:eastAsiaTheme="minorEastAsia" w:cs="Times New Roman"/>
          <w:szCs w:val="24"/>
        </w:rPr>
      </w:pPr>
      <w:r w:rsidRPr="0087048B">
        <w:rPr>
          <w:rFonts w:eastAsiaTheme="minorEastAsia" w:cs="Times New Roman"/>
          <w:szCs w:val="24"/>
          <w:u w:val="single"/>
        </w:rPr>
        <w:t xml:space="preserve">/s/ </w:t>
      </w:r>
      <w:r w:rsidRPr="0087048B">
        <w:rPr>
          <w:rFonts w:eastAsiaTheme="minorEastAsia" w:cs="Times New Roman"/>
          <w:i/>
          <w:szCs w:val="24"/>
          <w:u w:val="single"/>
        </w:rPr>
        <w:t>Angela O’Brien</w:t>
      </w:r>
    </w:p>
    <w:p w:rsidR="000076F1" w:rsidRPr="00323C22" w:rsidP="000076F1" w14:paraId="505BA071" w14:textId="77777777">
      <w:pPr>
        <w:spacing w:after="0" w:line="240" w:lineRule="auto"/>
        <w:ind w:firstLine="4320"/>
        <w:rPr>
          <w:rFonts w:eastAsiaTheme="minorEastAsia" w:cs="Times New Roman"/>
          <w:szCs w:val="24"/>
        </w:rPr>
      </w:pPr>
      <w:r w:rsidRPr="0087048B">
        <w:rPr>
          <w:rFonts w:eastAsiaTheme="minorEastAsia" w:cs="Times New Roman"/>
          <w:szCs w:val="24"/>
        </w:rPr>
        <w:t xml:space="preserve">Angela O’Brien </w:t>
      </w:r>
      <w:r w:rsidRPr="00323C22">
        <w:rPr>
          <w:rFonts w:eastAsia="Times New Roman" w:cs="Times New Roman"/>
          <w:szCs w:val="24"/>
        </w:rPr>
        <w:t>(</w:t>
      </w:r>
      <w:r w:rsidRPr="0087048B">
        <w:rPr>
          <w:rFonts w:eastAsia="Times New Roman" w:cs="Times New Roman"/>
          <w:szCs w:val="24"/>
        </w:rPr>
        <w:t>0097579</w:t>
      </w:r>
      <w:r w:rsidRPr="00323C22">
        <w:rPr>
          <w:rFonts w:eastAsia="Times New Roman" w:cs="Times New Roman"/>
          <w:szCs w:val="24"/>
        </w:rPr>
        <w:t xml:space="preserve">) </w:t>
      </w:r>
    </w:p>
    <w:p w:rsidR="000076F1" w:rsidRPr="0087048B" w:rsidP="000076F1" w14:paraId="6626F09B" w14:textId="77777777">
      <w:pPr>
        <w:spacing w:after="0" w:line="240" w:lineRule="auto"/>
        <w:ind w:left="3600" w:right="-672" w:firstLine="720"/>
        <w:rPr>
          <w:rFonts w:eastAsia="Times New Roman" w:cs="Times New Roman"/>
          <w:szCs w:val="24"/>
        </w:rPr>
      </w:pPr>
      <w:r w:rsidRPr="0087048B">
        <w:rPr>
          <w:rFonts w:eastAsia="Times New Roman" w:cs="Times New Roman"/>
          <w:szCs w:val="24"/>
        </w:rPr>
        <w:t xml:space="preserve">Counsel of Record </w:t>
      </w:r>
    </w:p>
    <w:p w:rsidR="000076F1" w:rsidRPr="0087048B" w:rsidP="000076F1" w14:paraId="7EE9572D" w14:textId="77777777">
      <w:pPr>
        <w:tabs>
          <w:tab w:val="left" w:pos="4320"/>
        </w:tabs>
        <w:spacing w:after="0" w:line="240" w:lineRule="auto"/>
        <w:ind w:left="4320"/>
        <w:rPr>
          <w:rFonts w:cs="Times New Roman"/>
          <w:szCs w:val="24"/>
        </w:rPr>
      </w:pPr>
      <w:r w:rsidRPr="0087048B">
        <w:rPr>
          <w:rFonts w:cs="Times New Roman"/>
          <w:szCs w:val="24"/>
        </w:rPr>
        <w:t>Christopher Healey (0086027)</w:t>
      </w:r>
    </w:p>
    <w:p w:rsidR="000076F1" w:rsidRPr="0087048B" w:rsidP="000076F1" w14:paraId="58C256A0" w14:textId="77777777">
      <w:pPr>
        <w:spacing w:after="0" w:line="240" w:lineRule="auto"/>
        <w:ind w:left="3600" w:right="-672" w:firstLine="720"/>
        <w:rPr>
          <w:rFonts w:eastAsia="Times New Roman" w:cs="Times New Roman"/>
          <w:szCs w:val="24"/>
        </w:rPr>
      </w:pPr>
      <w:r w:rsidRPr="0087048B">
        <w:rPr>
          <w:rFonts w:cs="Times New Roman"/>
          <w:szCs w:val="24"/>
        </w:rPr>
        <w:t>John Finnigan (0018689)</w:t>
      </w:r>
    </w:p>
    <w:p w:rsidR="000076F1" w:rsidRPr="0087048B" w:rsidP="000076F1" w14:paraId="32822CF0" w14:textId="77777777">
      <w:pPr>
        <w:spacing w:after="0" w:line="240" w:lineRule="auto"/>
        <w:ind w:left="3600" w:right="-672" w:firstLine="720"/>
        <w:rPr>
          <w:rFonts w:eastAsia="Times New Roman" w:cs="Times New Roman"/>
          <w:szCs w:val="24"/>
        </w:rPr>
      </w:pPr>
      <w:r w:rsidRPr="0087048B">
        <w:rPr>
          <w:rFonts w:eastAsia="Times New Roman" w:cs="Times New Roman"/>
          <w:szCs w:val="24"/>
        </w:rPr>
        <w:t xml:space="preserve">Assistant Consumers’ Counsel </w:t>
      </w:r>
    </w:p>
    <w:p w:rsidR="000076F1" w:rsidRPr="0087048B" w:rsidP="000076F1" w14:paraId="4702D3D8" w14:textId="77777777">
      <w:pPr>
        <w:spacing w:after="0" w:line="240" w:lineRule="auto"/>
        <w:ind w:left="3600" w:right="-672" w:firstLine="720"/>
        <w:rPr>
          <w:rFonts w:eastAsia="Times New Roman" w:cs="Times New Roman"/>
          <w:szCs w:val="24"/>
        </w:rPr>
      </w:pPr>
    </w:p>
    <w:p w:rsidR="000076F1" w:rsidRPr="0087048B" w:rsidP="000076F1" w14:paraId="5285EB72" w14:textId="77777777">
      <w:pPr>
        <w:spacing w:after="0" w:line="240" w:lineRule="auto"/>
        <w:ind w:left="3600" w:right="-672" w:firstLine="720"/>
        <w:rPr>
          <w:rFonts w:eastAsia="Times New Roman" w:cs="Times New Roman"/>
          <w:b/>
          <w:bCs/>
          <w:szCs w:val="24"/>
        </w:rPr>
      </w:pPr>
      <w:r w:rsidRPr="0087048B">
        <w:rPr>
          <w:rFonts w:eastAsia="Times New Roman" w:cs="Times New Roman"/>
          <w:b/>
          <w:bCs/>
          <w:szCs w:val="24"/>
        </w:rPr>
        <w:t xml:space="preserve">Office of the Ohio Consumers’ Counsel </w:t>
      </w:r>
    </w:p>
    <w:p w:rsidR="000076F1" w:rsidRPr="0087048B" w:rsidP="000076F1" w14:paraId="76A6566B" w14:textId="77777777">
      <w:pPr>
        <w:spacing w:after="0" w:line="240" w:lineRule="auto"/>
        <w:ind w:left="3600" w:right="-672" w:firstLine="720"/>
        <w:rPr>
          <w:rFonts w:eastAsia="Times New Roman" w:cs="Times New Roman"/>
          <w:szCs w:val="24"/>
        </w:rPr>
      </w:pPr>
      <w:r w:rsidRPr="0087048B">
        <w:rPr>
          <w:rFonts w:eastAsia="Times New Roman" w:cs="Times New Roman"/>
          <w:szCs w:val="24"/>
        </w:rPr>
        <w:t>65 East State Street, Suite 700</w:t>
      </w:r>
    </w:p>
    <w:p w:rsidR="000076F1" w:rsidRPr="0087048B" w:rsidP="000076F1" w14:paraId="664E3730" w14:textId="77777777">
      <w:pPr>
        <w:spacing w:after="0" w:line="240" w:lineRule="auto"/>
        <w:ind w:left="3600" w:right="-672" w:firstLine="720"/>
        <w:rPr>
          <w:rFonts w:eastAsia="Times New Roman" w:cs="Times New Roman"/>
          <w:szCs w:val="24"/>
        </w:rPr>
      </w:pPr>
      <w:r w:rsidRPr="0087048B">
        <w:rPr>
          <w:rFonts w:eastAsia="Times New Roman" w:cs="Times New Roman"/>
          <w:szCs w:val="24"/>
        </w:rPr>
        <w:t xml:space="preserve">Columbus, Ohio 43215-4213 </w:t>
      </w:r>
    </w:p>
    <w:p w:rsidR="000076F1" w:rsidRPr="0087048B" w:rsidP="000076F1" w14:paraId="61A81111" w14:textId="77777777">
      <w:pPr>
        <w:spacing w:after="0" w:line="240" w:lineRule="auto"/>
        <w:ind w:left="3600" w:right="-672" w:firstLine="720"/>
        <w:rPr>
          <w:rFonts w:eastAsia="Times New Roman" w:cs="Times New Roman"/>
          <w:szCs w:val="24"/>
        </w:rPr>
      </w:pPr>
      <w:r w:rsidRPr="0087048B">
        <w:rPr>
          <w:rFonts w:eastAsia="Times New Roman" w:cs="Times New Roman"/>
          <w:szCs w:val="24"/>
        </w:rPr>
        <w:t>Telephone [O’Brien]: (614) 466-9531</w:t>
      </w:r>
    </w:p>
    <w:p w:rsidR="000076F1" w:rsidRPr="0087048B" w:rsidP="000076F1" w14:paraId="07A390D8" w14:textId="77777777">
      <w:pPr>
        <w:spacing w:after="0" w:line="240" w:lineRule="auto"/>
        <w:ind w:left="3600" w:right="-672" w:firstLine="720"/>
        <w:rPr>
          <w:rFonts w:eastAsia="Times New Roman" w:cs="Times New Roman"/>
          <w:szCs w:val="24"/>
        </w:rPr>
      </w:pPr>
      <w:r w:rsidRPr="0087048B">
        <w:rPr>
          <w:rFonts w:eastAsia="Times New Roman" w:cs="Times New Roman"/>
          <w:szCs w:val="24"/>
        </w:rPr>
        <w:t>Telephone [Healey]: (614) 466-9571</w:t>
      </w:r>
    </w:p>
    <w:p w:rsidR="000076F1" w:rsidRPr="0087048B" w:rsidP="000076F1" w14:paraId="28F875E1" w14:textId="77777777">
      <w:pPr>
        <w:spacing w:after="0" w:line="240" w:lineRule="auto"/>
        <w:ind w:left="3600" w:right="-672" w:firstLine="720"/>
        <w:rPr>
          <w:rFonts w:eastAsia="Times New Roman" w:cs="Times New Roman"/>
          <w:szCs w:val="24"/>
        </w:rPr>
      </w:pPr>
      <w:r w:rsidRPr="0087048B">
        <w:rPr>
          <w:rFonts w:eastAsia="Times New Roman" w:cs="Times New Roman"/>
          <w:szCs w:val="24"/>
        </w:rPr>
        <w:t>Telephone [Finnigan]: (614) 466-9585</w:t>
      </w:r>
    </w:p>
    <w:p w:rsidR="000076F1" w:rsidRPr="0087048B" w:rsidP="000076F1" w14:paraId="5ECEF02F" w14:textId="77777777">
      <w:pPr>
        <w:spacing w:after="0" w:line="240" w:lineRule="auto"/>
        <w:ind w:left="3600" w:right="-672" w:firstLine="720"/>
        <w:rPr>
          <w:rFonts w:eastAsia="Times New Roman" w:cs="Times New Roman"/>
          <w:szCs w:val="24"/>
        </w:rPr>
      </w:pPr>
      <w:hyperlink r:id="rId6" w:history="1">
        <w:r w:rsidRPr="0087048B" w:rsidR="00AD47D4">
          <w:rPr>
            <w:rStyle w:val="Hyperlink"/>
            <w:rFonts w:eastAsia="Times New Roman" w:cs="Times New Roman"/>
            <w:szCs w:val="24"/>
          </w:rPr>
          <w:t>angela.obrien@occ.ohio.gov</w:t>
        </w:r>
      </w:hyperlink>
    </w:p>
    <w:p w:rsidR="000076F1" w:rsidRPr="0087048B" w:rsidP="000076F1" w14:paraId="43E124CC" w14:textId="77777777">
      <w:pPr>
        <w:spacing w:after="0" w:line="240" w:lineRule="auto"/>
        <w:ind w:left="3600" w:right="-672" w:firstLine="720"/>
        <w:rPr>
          <w:rFonts w:eastAsia="Times New Roman" w:cs="Times New Roman"/>
          <w:szCs w:val="24"/>
        </w:rPr>
      </w:pPr>
      <w:hyperlink r:id="rId7" w:history="1">
        <w:r w:rsidRPr="0087048B" w:rsidR="00AD47D4">
          <w:rPr>
            <w:rStyle w:val="Hyperlink"/>
            <w:rFonts w:eastAsia="Times New Roman" w:cs="Times New Roman"/>
            <w:szCs w:val="24"/>
          </w:rPr>
          <w:t>christopher.healey@occ.ohio.gov</w:t>
        </w:r>
      </w:hyperlink>
    </w:p>
    <w:p w:rsidR="000076F1" w:rsidRPr="0087048B" w:rsidP="000076F1" w14:paraId="30C75088" w14:textId="77777777">
      <w:pPr>
        <w:spacing w:after="0" w:line="240" w:lineRule="auto"/>
        <w:ind w:left="3600" w:right="-672" w:firstLine="720"/>
        <w:rPr>
          <w:rFonts w:eastAsia="Times New Roman" w:cs="Times New Roman"/>
          <w:szCs w:val="24"/>
        </w:rPr>
      </w:pPr>
      <w:hyperlink r:id="rId8" w:history="1">
        <w:r w:rsidRPr="0087048B" w:rsidR="00AD47D4">
          <w:rPr>
            <w:rStyle w:val="Hyperlink"/>
            <w:rFonts w:eastAsia="Times New Roman" w:cs="Times New Roman"/>
            <w:szCs w:val="24"/>
          </w:rPr>
          <w:t>john.finnigan@occ.ohio.gov</w:t>
        </w:r>
      </w:hyperlink>
    </w:p>
    <w:p w:rsidR="000076F1" w:rsidRPr="0087048B" w:rsidP="000076F1" w14:paraId="71F9DF27" w14:textId="00FACE41">
      <w:pPr>
        <w:spacing w:after="0" w:line="240" w:lineRule="auto"/>
        <w:ind w:left="3600" w:right="-672" w:firstLine="720"/>
        <w:rPr>
          <w:rFonts w:eastAsia="Times New Roman" w:cs="Times New Roman"/>
          <w:szCs w:val="24"/>
        </w:rPr>
      </w:pPr>
      <w:r w:rsidRPr="0087048B">
        <w:rPr>
          <w:rFonts w:eastAsia="Times New Roman" w:cs="Times New Roman"/>
          <w:szCs w:val="24"/>
        </w:rPr>
        <w:t>(willing to accept service by e-mail)</w:t>
      </w:r>
    </w:p>
    <w:p w:rsidR="00C634EF" w:rsidRPr="0087048B" w:rsidP="000076F1" w14:paraId="52D71895" w14:textId="77777777">
      <w:pPr>
        <w:spacing w:after="0" w:line="240" w:lineRule="auto"/>
        <w:rPr>
          <w:rFonts w:eastAsiaTheme="minorEastAsia" w:cs="Times New Roman"/>
          <w:b/>
          <w:szCs w:val="24"/>
          <w:u w:val="single"/>
        </w:rPr>
      </w:pPr>
    </w:p>
    <w:p w:rsidR="00C634EF" w:rsidRPr="0087048B" w:rsidP="0036016C" w14:paraId="6EF94FFF" w14:textId="77777777">
      <w:pPr>
        <w:spacing w:after="0" w:line="240" w:lineRule="auto"/>
        <w:jc w:val="center"/>
        <w:rPr>
          <w:rFonts w:eastAsiaTheme="minorEastAsia" w:cs="Times New Roman"/>
          <w:b/>
          <w:szCs w:val="24"/>
          <w:u w:val="single"/>
        </w:rPr>
      </w:pPr>
    </w:p>
    <w:p w:rsidR="00C634EF" w:rsidRPr="0087048B" w:rsidP="0036016C" w14:paraId="36FDA460" w14:textId="13258566">
      <w:pPr>
        <w:spacing w:after="0" w:line="240" w:lineRule="auto"/>
        <w:jc w:val="center"/>
        <w:rPr>
          <w:rFonts w:eastAsiaTheme="minorEastAsia" w:cs="Times New Roman"/>
          <w:b/>
          <w:szCs w:val="24"/>
          <w:u w:val="single"/>
        </w:rPr>
      </w:pPr>
    </w:p>
    <w:p w:rsidR="00930BE7" w:rsidRPr="0087048B" w:rsidP="0036016C" w14:paraId="217B55DA" w14:textId="13993DBA">
      <w:pPr>
        <w:spacing w:after="0" w:line="240" w:lineRule="auto"/>
        <w:jc w:val="center"/>
        <w:rPr>
          <w:rFonts w:eastAsiaTheme="minorEastAsia" w:cs="Times New Roman"/>
          <w:b/>
          <w:szCs w:val="24"/>
          <w:u w:val="single"/>
        </w:rPr>
      </w:pPr>
    </w:p>
    <w:p w:rsidR="00930BE7" w:rsidRPr="0087048B" w:rsidP="0036016C" w14:paraId="78E1BE84" w14:textId="0756C5C4">
      <w:pPr>
        <w:spacing w:after="0" w:line="240" w:lineRule="auto"/>
        <w:jc w:val="center"/>
        <w:rPr>
          <w:rFonts w:eastAsiaTheme="minorEastAsia" w:cs="Times New Roman"/>
          <w:b/>
          <w:szCs w:val="24"/>
          <w:u w:val="single"/>
        </w:rPr>
      </w:pPr>
    </w:p>
    <w:p w:rsidR="00930BE7" w:rsidRPr="0087048B" w:rsidP="0036016C" w14:paraId="26EDB4C4" w14:textId="083C7E66">
      <w:pPr>
        <w:spacing w:after="0" w:line="240" w:lineRule="auto"/>
        <w:jc w:val="center"/>
        <w:rPr>
          <w:rFonts w:eastAsiaTheme="minorEastAsia" w:cs="Times New Roman"/>
          <w:b/>
          <w:szCs w:val="24"/>
          <w:u w:val="single"/>
        </w:rPr>
      </w:pPr>
    </w:p>
    <w:p w:rsidR="0094671C" w:rsidP="0036016C" w14:paraId="4FA266C8" w14:textId="57C4FD2B">
      <w:pPr>
        <w:spacing w:after="0" w:line="240" w:lineRule="auto"/>
        <w:jc w:val="center"/>
        <w:rPr>
          <w:rFonts w:eastAsiaTheme="minorEastAsia" w:cs="Times New Roman"/>
          <w:b/>
          <w:szCs w:val="24"/>
          <w:u w:val="single"/>
        </w:rPr>
      </w:pPr>
    </w:p>
    <w:p w:rsidR="002758D1" w:rsidP="0036016C" w14:paraId="3B313104" w14:textId="77777777">
      <w:pPr>
        <w:spacing w:after="0" w:line="240" w:lineRule="auto"/>
        <w:jc w:val="center"/>
        <w:rPr>
          <w:rFonts w:eastAsiaTheme="minorEastAsia" w:cs="Times New Roman"/>
          <w:b/>
          <w:szCs w:val="24"/>
          <w:u w:val="single"/>
        </w:rPr>
      </w:pPr>
    </w:p>
    <w:p w:rsidR="0094671C" w:rsidP="0036016C" w14:paraId="5B81D01C" w14:textId="77777777">
      <w:pPr>
        <w:spacing w:after="0" w:line="240" w:lineRule="auto"/>
        <w:jc w:val="center"/>
        <w:rPr>
          <w:rFonts w:eastAsiaTheme="minorEastAsia" w:cs="Times New Roman"/>
          <w:b/>
          <w:szCs w:val="24"/>
          <w:u w:val="single"/>
        </w:rPr>
      </w:pPr>
    </w:p>
    <w:p w:rsidR="003E162E" w14:paraId="34F55A4B" w14:textId="77777777">
      <w:pPr>
        <w:rPr>
          <w:rFonts w:eastAsiaTheme="minorEastAsia" w:cs="Times New Roman"/>
          <w:b/>
          <w:szCs w:val="24"/>
          <w:u w:val="single"/>
        </w:rPr>
      </w:pPr>
      <w:r>
        <w:rPr>
          <w:rFonts w:eastAsiaTheme="minorEastAsia" w:cs="Times New Roman"/>
          <w:b/>
          <w:szCs w:val="24"/>
          <w:u w:val="single"/>
        </w:rPr>
        <w:br w:type="page"/>
      </w:r>
    </w:p>
    <w:p w:rsidR="0036016C" w:rsidRPr="0087048B" w:rsidP="0036016C" w14:paraId="4296CCE8" w14:textId="1DD95096">
      <w:pPr>
        <w:spacing w:after="0" w:line="240" w:lineRule="auto"/>
        <w:jc w:val="center"/>
        <w:rPr>
          <w:rFonts w:eastAsiaTheme="minorEastAsia" w:cs="Times New Roman"/>
          <w:b/>
          <w:szCs w:val="24"/>
          <w:u w:val="single"/>
        </w:rPr>
      </w:pPr>
      <w:r w:rsidRPr="0087048B">
        <w:rPr>
          <w:rFonts w:eastAsiaTheme="minorEastAsia" w:cs="Times New Roman"/>
          <w:b/>
          <w:szCs w:val="24"/>
          <w:u w:val="single"/>
        </w:rPr>
        <w:t>CERTIFICATE OF SERVICE</w:t>
      </w:r>
    </w:p>
    <w:p w:rsidR="0036016C" w:rsidRPr="0087048B" w:rsidP="0036016C" w14:paraId="2E3FB507" w14:textId="77777777">
      <w:pPr>
        <w:spacing w:after="0" w:line="240" w:lineRule="auto"/>
        <w:jc w:val="center"/>
        <w:rPr>
          <w:rFonts w:eastAsiaTheme="minorEastAsia" w:cs="Times New Roman"/>
          <w:b/>
          <w:szCs w:val="24"/>
          <w:u w:val="single"/>
        </w:rPr>
      </w:pPr>
    </w:p>
    <w:p w:rsidR="0036016C" w:rsidRPr="0087048B" w:rsidP="0036016C" w14:paraId="5D1091BA" w14:textId="4A942D2F">
      <w:pPr>
        <w:spacing w:after="0" w:line="360" w:lineRule="auto"/>
        <w:ind w:firstLine="720"/>
        <w:rPr>
          <w:rFonts w:eastAsiaTheme="minorEastAsia" w:cs="Times New Roman"/>
          <w:szCs w:val="24"/>
        </w:rPr>
      </w:pPr>
      <w:r w:rsidRPr="0087048B">
        <w:rPr>
          <w:rFonts w:eastAsiaTheme="minorEastAsia" w:cs="Times New Roman"/>
          <w:szCs w:val="24"/>
        </w:rPr>
        <w:t xml:space="preserve">I hereby certify that a copy of the foregoing Memorandum Contra was served on the persons stated below via electronic transmission, this </w:t>
      </w:r>
      <w:r w:rsidRPr="0087048B" w:rsidR="00C634EF">
        <w:rPr>
          <w:rFonts w:eastAsiaTheme="minorEastAsia" w:cs="Times New Roman"/>
          <w:szCs w:val="24"/>
        </w:rPr>
        <w:t>30</w:t>
      </w:r>
      <w:r w:rsidRPr="0087048B">
        <w:rPr>
          <w:rFonts w:eastAsiaTheme="minorEastAsia" w:cs="Times New Roman"/>
          <w:szCs w:val="24"/>
        </w:rPr>
        <w:t xml:space="preserve">th day of </w:t>
      </w:r>
      <w:r w:rsidRPr="0087048B" w:rsidR="00C634EF">
        <w:rPr>
          <w:rFonts w:eastAsiaTheme="minorEastAsia" w:cs="Times New Roman"/>
          <w:szCs w:val="24"/>
        </w:rPr>
        <w:t>December</w:t>
      </w:r>
      <w:r w:rsidRPr="0087048B">
        <w:rPr>
          <w:rFonts w:eastAsiaTheme="minorEastAsia" w:cs="Times New Roman"/>
          <w:szCs w:val="24"/>
        </w:rPr>
        <w:t xml:space="preserve"> 20</w:t>
      </w:r>
      <w:r w:rsidRPr="0087048B" w:rsidR="00C634EF">
        <w:rPr>
          <w:rFonts w:eastAsiaTheme="minorEastAsia" w:cs="Times New Roman"/>
          <w:szCs w:val="24"/>
        </w:rPr>
        <w:t>21</w:t>
      </w:r>
      <w:r w:rsidRPr="0087048B">
        <w:rPr>
          <w:rFonts w:eastAsiaTheme="minorEastAsia" w:cs="Times New Roman"/>
          <w:szCs w:val="24"/>
        </w:rPr>
        <w:t>.</w:t>
      </w:r>
    </w:p>
    <w:p w:rsidR="00553C02" w:rsidRPr="0087048B" w:rsidP="0036016C" w14:paraId="7D53AF9C" w14:textId="77777777">
      <w:pPr>
        <w:spacing w:after="0" w:line="240" w:lineRule="auto"/>
        <w:ind w:firstLine="5040"/>
        <w:rPr>
          <w:rFonts w:eastAsiaTheme="minorEastAsia" w:cs="Times New Roman"/>
          <w:szCs w:val="24"/>
          <w:u w:val="single"/>
        </w:rPr>
      </w:pPr>
    </w:p>
    <w:p w:rsidR="0036016C" w:rsidRPr="0087048B" w:rsidP="0036016C" w14:paraId="021BC86C" w14:textId="1C2973FF">
      <w:pPr>
        <w:spacing w:after="0" w:line="240" w:lineRule="auto"/>
        <w:ind w:firstLine="5040"/>
        <w:rPr>
          <w:rFonts w:eastAsiaTheme="minorEastAsia" w:cs="Times New Roman"/>
          <w:szCs w:val="24"/>
        </w:rPr>
      </w:pPr>
      <w:r w:rsidRPr="0087048B">
        <w:rPr>
          <w:rFonts w:eastAsiaTheme="minorEastAsia" w:cs="Times New Roman"/>
          <w:szCs w:val="24"/>
          <w:u w:val="single"/>
        </w:rPr>
        <w:t xml:space="preserve">/s/ </w:t>
      </w:r>
      <w:r w:rsidRPr="0087048B" w:rsidR="00C634EF">
        <w:rPr>
          <w:rFonts w:eastAsiaTheme="minorEastAsia" w:cs="Times New Roman"/>
          <w:i/>
          <w:szCs w:val="24"/>
          <w:u w:val="single"/>
        </w:rPr>
        <w:t>Angela O’Brien</w:t>
      </w:r>
      <w:r w:rsidRPr="0087048B">
        <w:rPr>
          <w:rFonts w:eastAsiaTheme="minorEastAsia" w:cs="Times New Roman"/>
          <w:szCs w:val="24"/>
        </w:rPr>
        <w:t>_______</w:t>
      </w:r>
    </w:p>
    <w:p w:rsidR="0036016C" w:rsidRPr="0087048B" w:rsidP="0036016C" w14:paraId="7EE485E9" w14:textId="2BBC1B77">
      <w:pPr>
        <w:spacing w:after="0" w:line="240" w:lineRule="auto"/>
        <w:ind w:firstLine="5040"/>
        <w:rPr>
          <w:rFonts w:eastAsiaTheme="minorEastAsia" w:cs="Times New Roman"/>
          <w:szCs w:val="24"/>
        </w:rPr>
      </w:pPr>
      <w:r w:rsidRPr="0087048B">
        <w:rPr>
          <w:rFonts w:eastAsiaTheme="minorEastAsia" w:cs="Times New Roman"/>
          <w:szCs w:val="24"/>
        </w:rPr>
        <w:t>Angela O’Brien</w:t>
      </w:r>
    </w:p>
    <w:p w:rsidR="0036016C" w:rsidRPr="0087048B" w:rsidP="0036016C" w14:paraId="1FF24212" w14:textId="77777777">
      <w:pPr>
        <w:spacing w:after="0" w:line="240" w:lineRule="auto"/>
        <w:ind w:firstLine="5040"/>
        <w:rPr>
          <w:rFonts w:eastAsiaTheme="minorEastAsia" w:cs="Times New Roman"/>
          <w:szCs w:val="24"/>
        </w:rPr>
      </w:pPr>
      <w:r w:rsidRPr="0087048B">
        <w:rPr>
          <w:rFonts w:eastAsiaTheme="minorEastAsia" w:cs="Times New Roman"/>
          <w:szCs w:val="24"/>
        </w:rPr>
        <w:t>Counsel of Record</w:t>
      </w:r>
    </w:p>
    <w:p w:rsidR="00323C22" w:rsidRPr="0087048B" w:rsidP="00323C22" w14:paraId="33E74836" w14:textId="79A4B071">
      <w:pPr>
        <w:spacing w:after="0" w:line="240" w:lineRule="auto"/>
        <w:jc w:val="center"/>
        <w:rPr>
          <w:rFonts w:cs="Times New Roman"/>
          <w:b/>
          <w:szCs w:val="24"/>
          <w:u w:val="single"/>
        </w:rPr>
      </w:pPr>
    </w:p>
    <w:p w:rsidR="00323C22" w:rsidRPr="0087048B" w:rsidP="00323C22" w14:paraId="3E11D1C4" w14:textId="77777777">
      <w:pPr>
        <w:spacing w:after="0" w:line="240" w:lineRule="auto"/>
        <w:jc w:val="center"/>
        <w:rPr>
          <w:rFonts w:cs="Times New Roman"/>
          <w:b/>
          <w:szCs w:val="24"/>
          <w:u w:val="single"/>
        </w:rPr>
      </w:pPr>
    </w:p>
    <w:p w:rsidR="00323C22" w:rsidRPr="00323C22" w:rsidP="00323C22" w14:paraId="091FE0FD" w14:textId="77777777">
      <w:pPr>
        <w:spacing w:after="0" w:line="240" w:lineRule="auto"/>
        <w:rPr>
          <w:rFonts w:eastAsia="Times New Roman" w:cs="Times New Roman"/>
          <w:bCs/>
          <w:szCs w:val="24"/>
        </w:rPr>
      </w:pPr>
      <w:r w:rsidRPr="00323C22">
        <w:rPr>
          <w:rFonts w:eastAsia="Times New Roman" w:cs="Times New Roman"/>
          <w:bCs/>
          <w:szCs w:val="24"/>
        </w:rPr>
        <w:t>The PUCO’s e-filing system will electronically serve notice of the filing of this document on the following parties:</w:t>
      </w:r>
    </w:p>
    <w:p w:rsidR="00323C22" w:rsidRPr="0087048B" w:rsidP="00323C22" w14:paraId="5B7A17BC" w14:textId="51C32C64">
      <w:pPr>
        <w:spacing w:after="0" w:line="240" w:lineRule="auto"/>
        <w:jc w:val="center"/>
        <w:rPr>
          <w:rFonts w:cs="Times New Roman"/>
          <w:b/>
          <w:szCs w:val="24"/>
          <w:u w:val="single"/>
        </w:rPr>
      </w:pPr>
    </w:p>
    <w:p w:rsidR="00323C22" w:rsidRPr="0087048B" w:rsidP="00323C22" w14:paraId="478ACCC6" w14:textId="77777777">
      <w:pPr>
        <w:spacing w:after="0" w:line="240" w:lineRule="auto"/>
        <w:jc w:val="center"/>
        <w:rPr>
          <w:rFonts w:cs="Times New Roman"/>
          <w:b/>
          <w:szCs w:val="24"/>
          <w:u w:val="single"/>
        </w:rPr>
      </w:pPr>
    </w:p>
    <w:p w:rsidR="0036016C" w:rsidRPr="0087048B" w:rsidP="00323C22" w14:paraId="69656C58" w14:textId="0A70877A">
      <w:pPr>
        <w:tabs>
          <w:tab w:val="left" w:pos="4320"/>
        </w:tabs>
        <w:spacing w:after="0" w:line="240" w:lineRule="auto"/>
        <w:jc w:val="center"/>
        <w:rPr>
          <w:rFonts w:cs="Times New Roman"/>
          <w:b/>
          <w:szCs w:val="24"/>
          <w:u w:val="single"/>
        </w:rPr>
      </w:pPr>
      <w:r w:rsidRPr="0087048B">
        <w:rPr>
          <w:rFonts w:cs="Times New Roman"/>
          <w:b/>
          <w:szCs w:val="24"/>
          <w:u w:val="single"/>
        </w:rPr>
        <w:t>SERVICE LIST</w:t>
      </w:r>
    </w:p>
    <w:p w:rsidR="00BA1302" w:rsidRPr="0087048B" w:rsidP="00323C22" w14:paraId="3ABB2B37" w14:textId="3975C26F">
      <w:pPr>
        <w:tabs>
          <w:tab w:val="left" w:pos="4320"/>
        </w:tabs>
        <w:spacing w:after="0" w:line="240" w:lineRule="auto"/>
        <w:jc w:val="center"/>
        <w:rPr>
          <w:rFonts w:cs="Times New Roman"/>
          <w:b/>
          <w:szCs w:val="24"/>
          <w:u w:val="single"/>
        </w:rPr>
      </w:pPr>
    </w:p>
    <w:p w:rsidR="00BA1302" w:rsidRPr="00BA1302" w:rsidP="00BA1302" w14:paraId="12F3F1CF" w14:textId="77777777">
      <w:pPr>
        <w:spacing w:after="0" w:line="240" w:lineRule="auto"/>
        <w:jc w:val="center"/>
        <w:rPr>
          <w:rFonts w:eastAsia="Times New Roman" w:cs="Times New Roman"/>
          <w:b/>
          <w:szCs w:val="24"/>
          <w:u w:val="single"/>
        </w:rPr>
      </w:pPr>
    </w:p>
    <w:tbl>
      <w:tblPr>
        <w:tblW w:w="0" w:type="auto"/>
        <w:tblLook w:val="04A0"/>
      </w:tblPr>
      <w:tblGrid>
        <w:gridCol w:w="4172"/>
        <w:gridCol w:w="4468"/>
      </w:tblGrid>
      <w:tr w14:paraId="1D52FD33" w14:textId="77777777" w:rsidTr="0036016C">
        <w:tblPrEx>
          <w:tblW w:w="0" w:type="auto"/>
          <w:tblLook w:val="04A0"/>
        </w:tblPrEx>
        <w:tc>
          <w:tcPr>
            <w:tcW w:w="4476" w:type="dxa"/>
          </w:tcPr>
          <w:p w:rsidR="00553C02" w:rsidRPr="00553C02" w:rsidP="00553C02" w14:paraId="096BAC93" w14:textId="77777777">
            <w:pPr>
              <w:spacing w:after="0" w:line="240" w:lineRule="auto"/>
              <w:rPr>
                <w:rFonts w:eastAsia="Times New Roman" w:cs="Times New Roman"/>
                <w:color w:val="0000FF"/>
                <w:szCs w:val="24"/>
                <w:u w:val="single"/>
              </w:rPr>
            </w:pPr>
            <w:hyperlink r:id="rId11" w:history="1">
              <w:r w:rsidRPr="00553C02" w:rsidR="00AD47D4">
                <w:rPr>
                  <w:rFonts w:eastAsia="Times New Roman" w:cs="Times New Roman"/>
                  <w:color w:val="0000FF"/>
                  <w:szCs w:val="24"/>
                  <w:u w:val="single"/>
                </w:rPr>
                <w:t>Werner.margard@ohioAGO.gov</w:t>
              </w:r>
            </w:hyperlink>
          </w:p>
          <w:p w:rsidR="00553C02" w:rsidRPr="00553C02" w:rsidP="00553C02" w14:paraId="02C826EC" w14:textId="77777777">
            <w:pPr>
              <w:spacing w:after="0" w:line="240" w:lineRule="auto"/>
              <w:rPr>
                <w:rFonts w:eastAsia="Times New Roman" w:cs="Times New Roman"/>
                <w:color w:val="0000FF"/>
                <w:szCs w:val="24"/>
                <w:u w:val="single"/>
              </w:rPr>
            </w:pPr>
            <w:hyperlink r:id="rId12" w:history="1">
              <w:r w:rsidRPr="00553C02" w:rsidR="00AD47D4">
                <w:rPr>
                  <w:rFonts w:eastAsia="Times New Roman" w:cs="Times New Roman"/>
                  <w:color w:val="0000FF"/>
                  <w:szCs w:val="24"/>
                  <w:u w:val="single"/>
                </w:rPr>
                <w:t>Kyle.kern@ohioAGO.gov</w:t>
              </w:r>
            </w:hyperlink>
          </w:p>
          <w:p w:rsidR="00553C02" w:rsidRPr="00553C02" w:rsidP="00553C02" w14:paraId="5389E2F5" w14:textId="77777777">
            <w:pPr>
              <w:spacing w:after="0" w:line="240" w:lineRule="auto"/>
              <w:rPr>
                <w:rFonts w:eastAsia="Times New Roman" w:cs="Times New Roman"/>
                <w:color w:val="0000FF"/>
                <w:szCs w:val="24"/>
                <w:u w:val="single"/>
              </w:rPr>
            </w:pPr>
            <w:hyperlink r:id="rId13" w:history="1">
              <w:r w:rsidRPr="00553C02" w:rsidR="00AD47D4">
                <w:rPr>
                  <w:rFonts w:eastAsia="Times New Roman" w:cs="Times New Roman"/>
                  <w:color w:val="0000FF"/>
                  <w:szCs w:val="24"/>
                  <w:u w:val="single"/>
                </w:rPr>
                <w:t>Thomas.shepherd@ohioAGO.gov</w:t>
              </w:r>
            </w:hyperlink>
          </w:p>
          <w:p w:rsidR="00553C02" w:rsidRPr="00553C02" w:rsidP="00553C02" w14:paraId="6BD4A5D3" w14:textId="77777777">
            <w:pPr>
              <w:adjustRightInd w:val="0"/>
              <w:spacing w:after="0" w:line="240" w:lineRule="auto"/>
              <w:rPr>
                <w:rFonts w:cs="Times New Roman"/>
                <w:bCs/>
                <w:color w:val="0000FF"/>
                <w:szCs w:val="24"/>
              </w:rPr>
            </w:pPr>
            <w:hyperlink r:id="rId14" w:history="1">
              <w:r w:rsidRPr="00553C02" w:rsidR="00AD47D4">
                <w:rPr>
                  <w:rFonts w:cs="Times New Roman"/>
                  <w:color w:val="0000FF"/>
                  <w:szCs w:val="24"/>
                  <w:u w:val="single"/>
                </w:rPr>
                <w:t>mkurtz@BKLlawfirm.com</w:t>
              </w:r>
            </w:hyperlink>
          </w:p>
          <w:p w:rsidR="00553C02" w:rsidRPr="00553C02" w:rsidP="00553C02" w14:paraId="57EA71CF" w14:textId="77777777">
            <w:pPr>
              <w:adjustRightInd w:val="0"/>
              <w:spacing w:after="0" w:line="240" w:lineRule="auto"/>
              <w:rPr>
                <w:rFonts w:cs="Times New Roman"/>
                <w:bCs/>
                <w:color w:val="0000FF"/>
                <w:szCs w:val="24"/>
              </w:rPr>
            </w:pPr>
            <w:hyperlink r:id="rId15" w:history="1">
              <w:r w:rsidRPr="00553C02" w:rsidR="00AD47D4">
                <w:rPr>
                  <w:rFonts w:cs="Times New Roman"/>
                  <w:color w:val="0000FF"/>
                  <w:szCs w:val="24"/>
                  <w:u w:val="single"/>
                </w:rPr>
                <w:t>kboehm@BKLlawfirm.com</w:t>
              </w:r>
            </w:hyperlink>
          </w:p>
          <w:p w:rsidR="00553C02" w:rsidP="00553C02" w14:paraId="581CEA3D" w14:textId="6F7DBCBF">
            <w:pPr>
              <w:spacing w:after="0" w:line="240" w:lineRule="auto"/>
              <w:rPr>
                <w:rFonts w:eastAsia="Times New Roman" w:cs="Times New Roman"/>
                <w:szCs w:val="24"/>
              </w:rPr>
            </w:pPr>
            <w:hyperlink r:id="rId16" w:history="1">
              <w:r w:rsidRPr="00553C02" w:rsidR="00AD47D4">
                <w:rPr>
                  <w:rFonts w:eastAsia="Times New Roman" w:cs="Times New Roman"/>
                  <w:color w:val="0000FF"/>
                  <w:szCs w:val="24"/>
                  <w:u w:val="single"/>
                </w:rPr>
                <w:t>jkylercohn@BKLlawfirm.com</w:t>
              </w:r>
            </w:hyperlink>
          </w:p>
          <w:p w:rsidR="00553C02" w:rsidRPr="00553C02" w:rsidP="00553C02" w14:paraId="55A95559" w14:textId="77777777">
            <w:pPr>
              <w:spacing w:after="0" w:line="240" w:lineRule="auto"/>
              <w:rPr>
                <w:rFonts w:eastAsia="Times New Roman" w:cs="Times New Roman"/>
                <w:color w:val="0000FF"/>
                <w:szCs w:val="24"/>
              </w:rPr>
            </w:pPr>
            <w:hyperlink r:id="rId17" w:history="1">
              <w:r w:rsidRPr="00553C02" w:rsidR="00AD47D4">
                <w:rPr>
                  <w:rFonts w:eastAsia="Times New Roman" w:cs="Times New Roman"/>
                  <w:color w:val="0000FF"/>
                  <w:szCs w:val="24"/>
                  <w:u w:val="single"/>
                </w:rPr>
                <w:t>joe.oliker@igs.com</w:t>
              </w:r>
            </w:hyperlink>
          </w:p>
          <w:p w:rsidR="00553C02" w:rsidRPr="00553C02" w:rsidP="00553C02" w14:paraId="5C3C22ED" w14:textId="77777777">
            <w:pPr>
              <w:spacing w:after="0" w:line="240" w:lineRule="auto"/>
              <w:rPr>
                <w:rFonts w:eastAsia="Times New Roman" w:cs="Times New Roman"/>
                <w:color w:val="0000FF"/>
                <w:szCs w:val="24"/>
                <w:u w:val="single"/>
              </w:rPr>
            </w:pPr>
            <w:hyperlink r:id="rId18" w:history="1">
              <w:r w:rsidRPr="00553C02" w:rsidR="00AD47D4">
                <w:rPr>
                  <w:rFonts w:eastAsia="Times New Roman" w:cs="Times New Roman"/>
                  <w:color w:val="0000FF"/>
                  <w:szCs w:val="24"/>
                  <w:u w:val="single"/>
                </w:rPr>
                <w:t>michael.nugent@igs.com</w:t>
              </w:r>
            </w:hyperlink>
          </w:p>
          <w:p w:rsidR="00553C02" w:rsidRPr="00553C02" w:rsidP="00553C02" w14:paraId="0A14D802" w14:textId="77777777">
            <w:pPr>
              <w:spacing w:after="0" w:line="240" w:lineRule="auto"/>
              <w:rPr>
                <w:rFonts w:eastAsia="Times New Roman" w:cs="Times New Roman"/>
                <w:szCs w:val="24"/>
              </w:rPr>
            </w:pPr>
            <w:hyperlink r:id="rId19" w:history="1">
              <w:r w:rsidRPr="00553C02" w:rsidR="00AD47D4">
                <w:rPr>
                  <w:rFonts w:eastAsia="Times New Roman" w:cs="Times New Roman"/>
                  <w:color w:val="0000FF"/>
                  <w:szCs w:val="24"/>
                  <w:u w:val="single"/>
                </w:rPr>
                <w:t>Evan.betterton@igs.com</w:t>
              </w:r>
            </w:hyperlink>
          </w:p>
          <w:p w:rsidR="00553C02" w:rsidRPr="00553C02" w:rsidP="00553C02" w14:paraId="5CAF8C82" w14:textId="77777777">
            <w:pPr>
              <w:spacing w:after="0" w:line="240" w:lineRule="auto"/>
              <w:rPr>
                <w:rFonts w:eastAsia="Times New Roman" w:cs="Times New Roman"/>
                <w:szCs w:val="24"/>
              </w:rPr>
            </w:pPr>
            <w:hyperlink r:id="rId20" w:history="1">
              <w:r w:rsidRPr="00553C02" w:rsidR="00AD47D4">
                <w:rPr>
                  <w:rFonts w:eastAsia="Times New Roman" w:cs="Times New Roman"/>
                  <w:color w:val="0000FF"/>
                  <w:szCs w:val="24"/>
                  <w:u w:val="single"/>
                </w:rPr>
                <w:t>fdarr2019@gmail.com</w:t>
              </w:r>
            </w:hyperlink>
          </w:p>
          <w:p w:rsidR="00553C02" w:rsidRPr="00553C02" w:rsidP="00553C02" w14:paraId="55AE3184" w14:textId="77777777">
            <w:pPr>
              <w:spacing w:after="0" w:line="240" w:lineRule="auto"/>
              <w:rPr>
                <w:rFonts w:eastAsia="Times New Roman" w:cs="Times New Roman"/>
                <w:color w:val="0000FF"/>
                <w:szCs w:val="24"/>
              </w:rPr>
            </w:pPr>
            <w:hyperlink r:id="rId21" w:history="1">
              <w:r w:rsidRPr="00553C02" w:rsidR="00AD47D4">
                <w:rPr>
                  <w:rFonts w:eastAsia="Times New Roman" w:cs="Times New Roman"/>
                  <w:color w:val="0000FF"/>
                  <w:szCs w:val="24"/>
                  <w:u w:val="single"/>
                </w:rPr>
                <w:t>dparram@bricker.com</w:t>
              </w:r>
            </w:hyperlink>
          </w:p>
          <w:p w:rsidR="00553C02" w:rsidRPr="00553C02" w:rsidP="00553C02" w14:paraId="16AE6A13" w14:textId="77777777">
            <w:pPr>
              <w:spacing w:after="0" w:line="240" w:lineRule="auto"/>
              <w:rPr>
                <w:rFonts w:eastAsia="Times New Roman" w:cs="Times New Roman"/>
                <w:color w:val="0000FF"/>
                <w:szCs w:val="24"/>
                <w:u w:val="single"/>
              </w:rPr>
            </w:pPr>
            <w:hyperlink r:id="rId22" w:history="1">
              <w:r w:rsidRPr="00553C02" w:rsidR="00AD47D4">
                <w:rPr>
                  <w:rFonts w:eastAsia="Times New Roman" w:cs="Times New Roman"/>
                  <w:color w:val="0000FF"/>
                  <w:szCs w:val="24"/>
                  <w:u w:val="single"/>
                </w:rPr>
                <w:t>rmains@bricker.com</w:t>
              </w:r>
            </w:hyperlink>
          </w:p>
          <w:p w:rsidR="00553C02" w:rsidRPr="00553C02" w:rsidP="00553C02" w14:paraId="3C281B91" w14:textId="77777777">
            <w:pPr>
              <w:spacing w:after="0" w:line="240" w:lineRule="auto"/>
              <w:rPr>
                <w:rFonts w:eastAsia="Calibri" w:cs="Times New Roman"/>
                <w:color w:val="0000FF"/>
                <w:szCs w:val="24"/>
                <w:u w:val="single"/>
              </w:rPr>
            </w:pPr>
            <w:hyperlink r:id="rId23" w:history="1">
              <w:r w:rsidRPr="00553C02" w:rsidR="00AD47D4">
                <w:rPr>
                  <w:rFonts w:eastAsia="Calibri" w:cs="Times New Roman"/>
                  <w:color w:val="0000FF"/>
                  <w:szCs w:val="24"/>
                  <w:u w:val="single"/>
                </w:rPr>
                <w:t>rkelter@elpc.org</w:t>
              </w:r>
            </w:hyperlink>
          </w:p>
          <w:p w:rsidR="00553C02" w:rsidRPr="00553C02" w:rsidP="00553C02" w14:paraId="69B65A26" w14:textId="77777777">
            <w:pPr>
              <w:adjustRightInd w:val="0"/>
              <w:spacing w:after="0" w:line="240" w:lineRule="auto"/>
              <w:rPr>
                <w:rFonts w:cs="Times New Roman"/>
                <w:color w:val="0000FF"/>
                <w:szCs w:val="24"/>
                <w:u w:val="single"/>
              </w:rPr>
            </w:pPr>
            <w:hyperlink r:id="rId24" w:history="1">
              <w:r w:rsidRPr="00553C02" w:rsidR="00AD47D4">
                <w:rPr>
                  <w:rFonts w:cs="Times New Roman"/>
                  <w:color w:val="0000FF"/>
                  <w:szCs w:val="24"/>
                  <w:u w:val="single"/>
                </w:rPr>
                <w:t>mjsettineri@vorys.com</w:t>
              </w:r>
            </w:hyperlink>
          </w:p>
          <w:p w:rsidR="00553C02" w:rsidRPr="00553C02" w:rsidP="00553C02" w14:paraId="13AD40CB" w14:textId="77777777">
            <w:pPr>
              <w:autoSpaceDE w:val="0"/>
              <w:autoSpaceDN w:val="0"/>
              <w:adjustRightInd w:val="0"/>
              <w:spacing w:after="0" w:line="240" w:lineRule="auto"/>
              <w:rPr>
                <w:rFonts w:cs="Times New Roman"/>
                <w:color w:val="0000FF"/>
                <w:szCs w:val="24"/>
              </w:rPr>
            </w:pPr>
            <w:hyperlink r:id="rId25" w:history="1">
              <w:r w:rsidRPr="00553C02" w:rsidR="00AD47D4">
                <w:rPr>
                  <w:rFonts w:cs="Times New Roman"/>
                  <w:color w:val="0000FF"/>
                  <w:szCs w:val="24"/>
                  <w:u w:val="single"/>
                </w:rPr>
                <w:t>eowoyt@vorys.com</w:t>
              </w:r>
            </w:hyperlink>
          </w:p>
          <w:p w:rsidR="00553C02" w:rsidRPr="00553C02" w:rsidP="00553C02" w14:paraId="789B6F2E" w14:textId="77777777">
            <w:pPr>
              <w:adjustRightInd w:val="0"/>
              <w:spacing w:after="0" w:line="240" w:lineRule="auto"/>
              <w:rPr>
                <w:rFonts w:cs="Times New Roman"/>
                <w:color w:val="0000FF"/>
                <w:szCs w:val="24"/>
              </w:rPr>
            </w:pPr>
            <w:hyperlink r:id="rId26" w:history="1">
              <w:r w:rsidRPr="00553C02" w:rsidR="00AD47D4">
                <w:rPr>
                  <w:rFonts w:cs="Times New Roman"/>
                  <w:color w:val="0000FF"/>
                  <w:szCs w:val="24"/>
                  <w:u w:val="single"/>
                </w:rPr>
                <w:t>glpetrucci@vorys.com</w:t>
              </w:r>
            </w:hyperlink>
          </w:p>
          <w:p w:rsidR="00553C02" w:rsidRPr="00553C02" w:rsidP="00553C02" w14:paraId="7E0523D4" w14:textId="77777777">
            <w:pPr>
              <w:adjustRightInd w:val="0"/>
              <w:spacing w:after="0" w:line="240" w:lineRule="auto"/>
              <w:rPr>
                <w:rFonts w:cs="Times New Roman"/>
                <w:color w:val="0000FF"/>
                <w:szCs w:val="24"/>
              </w:rPr>
            </w:pPr>
            <w:hyperlink r:id="rId27" w:history="1">
              <w:r w:rsidRPr="00553C02" w:rsidR="00AD47D4">
                <w:rPr>
                  <w:rFonts w:cs="Times New Roman"/>
                  <w:color w:val="0000FF"/>
                  <w:szCs w:val="24"/>
                  <w:u w:val="single"/>
                </w:rPr>
                <w:t>dromig@armadapower.com</w:t>
              </w:r>
            </w:hyperlink>
          </w:p>
          <w:p w:rsidR="00553C02" w:rsidRPr="00553C02" w:rsidP="00553C02" w14:paraId="263C806A" w14:textId="77777777">
            <w:pPr>
              <w:spacing w:after="0" w:line="240" w:lineRule="auto"/>
              <w:rPr>
                <w:rFonts w:eastAsia="Times New Roman" w:cs="Times New Roman"/>
                <w:szCs w:val="24"/>
              </w:rPr>
            </w:pPr>
            <w:hyperlink r:id="rId28" w:history="1">
              <w:r w:rsidRPr="00553C02" w:rsidR="00AD47D4">
                <w:rPr>
                  <w:rFonts w:eastAsia="Times New Roman" w:cs="Times New Roman"/>
                  <w:color w:val="0000FF"/>
                  <w:szCs w:val="24"/>
                  <w:u w:val="single"/>
                </w:rPr>
                <w:t>bmckenney@mcneeslaw.com</w:t>
              </w:r>
            </w:hyperlink>
          </w:p>
          <w:p w:rsidR="00553C02" w:rsidRPr="00553C02" w:rsidP="00553C02" w14:paraId="7F875E16" w14:textId="77777777">
            <w:pPr>
              <w:spacing w:after="0" w:line="240" w:lineRule="auto"/>
              <w:rPr>
                <w:rFonts w:eastAsia="Times New Roman" w:cs="Times New Roman"/>
                <w:color w:val="0000FF"/>
                <w:szCs w:val="24"/>
                <w:u w:val="single"/>
              </w:rPr>
            </w:pPr>
            <w:hyperlink r:id="rId29" w:history="1">
              <w:r w:rsidRPr="00553C02" w:rsidR="00AD47D4">
                <w:rPr>
                  <w:rFonts w:eastAsia="Times New Roman" w:cs="Times New Roman"/>
                  <w:color w:val="0000FF"/>
                  <w:szCs w:val="24"/>
                  <w:u w:val="single"/>
                </w:rPr>
                <w:t>ctavenor@theOEC.org</w:t>
              </w:r>
            </w:hyperlink>
          </w:p>
          <w:p w:rsidR="00553C02" w:rsidRPr="00553C02" w:rsidP="00553C02" w14:paraId="07316D07" w14:textId="77777777">
            <w:pPr>
              <w:spacing w:after="0" w:line="240" w:lineRule="auto"/>
              <w:rPr>
                <w:rFonts w:eastAsia="Times New Roman" w:cs="Times New Roman"/>
                <w:color w:val="0000FF"/>
                <w:szCs w:val="24"/>
                <w:u w:val="single"/>
              </w:rPr>
            </w:pPr>
            <w:hyperlink r:id="rId30" w:history="1">
              <w:r w:rsidRPr="00553C02" w:rsidR="00AD47D4">
                <w:rPr>
                  <w:rFonts w:eastAsia="Times New Roman" w:cs="Times New Roman"/>
                  <w:color w:val="0000FF"/>
                  <w:szCs w:val="24"/>
                  <w:u w:val="single"/>
                </w:rPr>
                <w:t>lmckenna@keyesfox.com</w:t>
              </w:r>
            </w:hyperlink>
          </w:p>
          <w:p w:rsidR="00553C02" w:rsidRPr="00553C02" w:rsidP="00553C02" w14:paraId="0E3062EA" w14:textId="77777777">
            <w:pPr>
              <w:spacing w:after="0" w:line="240" w:lineRule="auto"/>
              <w:rPr>
                <w:rFonts w:eastAsia="Times New Roman" w:cs="Times New Roman"/>
                <w:color w:val="0000FF"/>
                <w:szCs w:val="24"/>
              </w:rPr>
            </w:pPr>
            <w:hyperlink r:id="rId31" w:history="1">
              <w:r w:rsidRPr="00553C02" w:rsidR="00AD47D4">
                <w:rPr>
                  <w:rFonts w:eastAsia="Times New Roman" w:cs="Times New Roman"/>
                  <w:color w:val="0000FF"/>
                  <w:szCs w:val="24"/>
                  <w:u w:val="single"/>
                </w:rPr>
                <w:t>Donadio@carpenterlipps.com</w:t>
              </w:r>
            </w:hyperlink>
          </w:p>
          <w:p w:rsidR="00553C02" w:rsidRPr="00553C02" w:rsidP="00553C02" w14:paraId="714F556A" w14:textId="77777777">
            <w:pPr>
              <w:spacing w:after="0" w:line="240" w:lineRule="auto"/>
              <w:rPr>
                <w:rFonts w:eastAsia="Times New Roman" w:cs="Times New Roman"/>
                <w:color w:val="0000FF"/>
                <w:szCs w:val="24"/>
                <w:u w:val="single"/>
              </w:rPr>
            </w:pPr>
            <w:hyperlink r:id="rId32" w:history="1">
              <w:r w:rsidRPr="00553C02" w:rsidR="00AD47D4">
                <w:rPr>
                  <w:rFonts w:eastAsia="Times New Roman" w:cs="Times New Roman"/>
                  <w:color w:val="0000FF"/>
                  <w:szCs w:val="24"/>
                  <w:u w:val="single"/>
                </w:rPr>
                <w:t>Bojko@carpenterlipps.com</w:t>
              </w:r>
            </w:hyperlink>
          </w:p>
          <w:p w:rsidR="00553C02" w:rsidRPr="00553C02" w:rsidP="00553C02" w14:paraId="0B8CBC5F" w14:textId="77777777">
            <w:pPr>
              <w:spacing w:after="0" w:line="240" w:lineRule="auto"/>
              <w:rPr>
                <w:rFonts w:eastAsia="Times New Roman" w:cs="Times New Roman"/>
                <w:bCs/>
                <w:szCs w:val="24"/>
              </w:rPr>
            </w:pPr>
          </w:p>
          <w:p w:rsidR="00553C02" w:rsidRPr="00553C02" w:rsidP="00553C02" w14:paraId="31233B8A" w14:textId="77777777">
            <w:pPr>
              <w:spacing w:after="0" w:line="240" w:lineRule="auto"/>
              <w:rPr>
                <w:rFonts w:eastAsia="Times New Roman" w:cs="Times New Roman"/>
                <w:bCs/>
                <w:color w:val="0000FF"/>
                <w:szCs w:val="24"/>
              </w:rPr>
            </w:pPr>
            <w:r w:rsidRPr="00553C02">
              <w:rPr>
                <w:rFonts w:eastAsia="Times New Roman" w:cs="Times New Roman"/>
                <w:bCs/>
                <w:szCs w:val="24"/>
              </w:rPr>
              <w:t>Attorney Examiners</w:t>
            </w:r>
            <w:r w:rsidRPr="00553C02">
              <w:rPr>
                <w:rFonts w:eastAsia="Times New Roman" w:cs="Times New Roman"/>
                <w:bCs/>
                <w:color w:val="0000FF"/>
                <w:szCs w:val="24"/>
              </w:rPr>
              <w:t>:</w:t>
            </w:r>
          </w:p>
          <w:p w:rsidR="00553C02" w:rsidRPr="00553C02" w:rsidP="00553C02" w14:paraId="2FAFEB5C" w14:textId="77777777">
            <w:pPr>
              <w:spacing w:after="0" w:line="240" w:lineRule="auto"/>
              <w:rPr>
                <w:rFonts w:eastAsia="Times New Roman" w:cs="Times New Roman"/>
                <w:bCs/>
                <w:color w:val="0000FF"/>
                <w:szCs w:val="24"/>
              </w:rPr>
            </w:pPr>
            <w:hyperlink r:id="rId33" w:history="1">
              <w:r w:rsidRPr="00553C02" w:rsidR="00AD47D4">
                <w:rPr>
                  <w:rFonts w:eastAsia="Times New Roman" w:cs="Times New Roman"/>
                  <w:color w:val="0000FF"/>
                  <w:szCs w:val="24"/>
                  <w:u w:val="single"/>
                </w:rPr>
                <w:t>Sarah.parrot@puco.ohio.gov</w:t>
              </w:r>
            </w:hyperlink>
          </w:p>
          <w:p w:rsidR="00553C02" w:rsidRPr="00553C02" w:rsidP="00553C02" w14:paraId="0AE4F42E" w14:textId="77777777">
            <w:pPr>
              <w:spacing w:after="0" w:line="240" w:lineRule="auto"/>
              <w:rPr>
                <w:rFonts w:eastAsia="Times New Roman" w:cs="Times New Roman"/>
                <w:bCs/>
                <w:szCs w:val="24"/>
                <w:u w:val="single"/>
              </w:rPr>
            </w:pPr>
            <w:hyperlink r:id="rId34" w:history="1">
              <w:r w:rsidRPr="00553C02" w:rsidR="00AD47D4">
                <w:rPr>
                  <w:rFonts w:eastAsia="Times New Roman" w:cs="Times New Roman"/>
                  <w:color w:val="0000FF"/>
                  <w:szCs w:val="24"/>
                  <w:u w:val="single"/>
                </w:rPr>
                <w:t>Greta.see@puco.ohio.gov</w:t>
              </w:r>
            </w:hyperlink>
          </w:p>
        </w:tc>
        <w:tc>
          <w:tcPr>
            <w:tcW w:w="4428" w:type="dxa"/>
          </w:tcPr>
          <w:p w:rsidR="00553C02" w:rsidRPr="00553C02" w:rsidP="00553C02" w14:paraId="0C782E54" w14:textId="77777777">
            <w:pPr>
              <w:spacing w:after="0" w:line="240" w:lineRule="auto"/>
              <w:ind w:left="798"/>
              <w:rPr>
                <w:rFonts w:eastAsia="Times New Roman" w:cs="Times New Roman"/>
                <w:bCs/>
                <w:szCs w:val="24"/>
                <w:u w:val="single"/>
              </w:rPr>
            </w:pPr>
            <w:hyperlink r:id="rId35" w:history="1">
              <w:r w:rsidRPr="00553C02" w:rsidR="00AD47D4">
                <w:rPr>
                  <w:rFonts w:eastAsia="Times New Roman" w:cs="Times New Roman"/>
                  <w:color w:val="0000FF"/>
                  <w:szCs w:val="24"/>
                  <w:u w:val="single"/>
                </w:rPr>
                <w:t>stnourse@aep.com</w:t>
              </w:r>
            </w:hyperlink>
          </w:p>
          <w:p w:rsidR="00553C02" w:rsidRPr="00553C02" w:rsidP="00553C02" w14:paraId="79960708" w14:textId="77777777">
            <w:pPr>
              <w:spacing w:after="0" w:line="240" w:lineRule="auto"/>
              <w:ind w:left="798"/>
              <w:rPr>
                <w:rFonts w:eastAsia="Times New Roman" w:cs="Times New Roman"/>
                <w:color w:val="0000FF"/>
                <w:szCs w:val="24"/>
                <w:u w:val="single"/>
              </w:rPr>
            </w:pPr>
            <w:hyperlink r:id="rId36" w:history="1">
              <w:r w:rsidRPr="00553C02" w:rsidR="00AD47D4">
                <w:rPr>
                  <w:rFonts w:eastAsia="Times New Roman" w:cs="Times New Roman"/>
                  <w:color w:val="0000FF"/>
                  <w:szCs w:val="24"/>
                  <w:u w:val="single"/>
                </w:rPr>
                <w:t>cmblend@aep.com</w:t>
              </w:r>
            </w:hyperlink>
          </w:p>
          <w:p w:rsidR="00553C02" w:rsidRPr="00553C02" w:rsidP="00553C02" w14:paraId="0B98B8CB" w14:textId="77777777">
            <w:pPr>
              <w:spacing w:after="0" w:line="240" w:lineRule="auto"/>
              <w:ind w:left="774"/>
              <w:rPr>
                <w:rFonts w:eastAsia="Times New Roman" w:cs="Times New Roman"/>
                <w:color w:val="0563C2"/>
                <w:szCs w:val="24"/>
              </w:rPr>
            </w:pPr>
            <w:hyperlink r:id="rId37" w:history="1">
              <w:r w:rsidRPr="00553C02" w:rsidR="00AD47D4">
                <w:rPr>
                  <w:rFonts w:eastAsiaTheme="majorEastAsia" w:cs="Times New Roman"/>
                  <w:color w:val="0000FF"/>
                  <w:szCs w:val="24"/>
                  <w:u w:val="single"/>
                </w:rPr>
                <w:t>tswolffram@aep.com</w:t>
              </w:r>
            </w:hyperlink>
          </w:p>
          <w:p w:rsidR="00553C02" w:rsidRPr="00553C02" w:rsidP="00553C02" w14:paraId="7CF5F306" w14:textId="77777777">
            <w:pPr>
              <w:spacing w:after="0" w:line="240" w:lineRule="auto"/>
              <w:ind w:left="798"/>
              <w:rPr>
                <w:rFonts w:eastAsia="Times New Roman" w:cs="Times New Roman"/>
                <w:szCs w:val="24"/>
              </w:rPr>
            </w:pPr>
            <w:hyperlink r:id="rId38" w:history="1">
              <w:r w:rsidRPr="00553C02" w:rsidR="00AD47D4">
                <w:rPr>
                  <w:rFonts w:eastAsia="Times New Roman" w:cs="Times New Roman"/>
                  <w:color w:val="0000FF"/>
                  <w:szCs w:val="24"/>
                  <w:u w:val="single"/>
                </w:rPr>
                <w:t>egallon@porterwright.com</w:t>
              </w:r>
            </w:hyperlink>
          </w:p>
          <w:p w:rsidR="00553C02" w:rsidRPr="00553C02" w:rsidP="00553C02" w14:paraId="02791EA0" w14:textId="77777777">
            <w:pPr>
              <w:spacing w:after="0" w:line="240" w:lineRule="auto"/>
              <w:ind w:left="798"/>
              <w:rPr>
                <w:rFonts w:eastAsia="Times New Roman" w:cs="Times New Roman"/>
                <w:szCs w:val="24"/>
              </w:rPr>
            </w:pPr>
            <w:hyperlink r:id="rId39" w:history="1">
              <w:r w:rsidRPr="00553C02" w:rsidR="00AD47D4">
                <w:rPr>
                  <w:rFonts w:eastAsia="Times New Roman" w:cs="Times New Roman"/>
                  <w:color w:val="0000FF"/>
                  <w:szCs w:val="24"/>
                  <w:u w:val="single"/>
                </w:rPr>
                <w:t>christopher.miller@icemiller.com</w:t>
              </w:r>
            </w:hyperlink>
          </w:p>
          <w:p w:rsidR="00553C02" w:rsidRPr="00553C02" w:rsidP="00553C02" w14:paraId="7B9893E6" w14:textId="77777777">
            <w:pPr>
              <w:spacing w:after="0" w:line="240" w:lineRule="auto"/>
              <w:ind w:left="798"/>
              <w:rPr>
                <w:rFonts w:eastAsia="Times New Roman" w:cs="Times New Roman"/>
                <w:szCs w:val="24"/>
              </w:rPr>
            </w:pPr>
            <w:hyperlink r:id="rId40" w:history="1">
              <w:r w:rsidRPr="00553C02" w:rsidR="00AD47D4">
                <w:rPr>
                  <w:rFonts w:eastAsia="Times New Roman" w:cs="Times New Roman"/>
                  <w:color w:val="0000FF"/>
                  <w:szCs w:val="24"/>
                  <w:u w:val="single"/>
                </w:rPr>
                <w:t>cgrundmann@spilmanlaw.com</w:t>
              </w:r>
            </w:hyperlink>
          </w:p>
          <w:p w:rsidR="00553C02" w:rsidRPr="00553C02" w:rsidP="00553C02" w14:paraId="276ECC1B" w14:textId="77777777">
            <w:pPr>
              <w:spacing w:after="0" w:line="240" w:lineRule="auto"/>
              <w:ind w:left="798"/>
              <w:rPr>
                <w:rFonts w:eastAsia="Times New Roman" w:cs="Times New Roman"/>
                <w:color w:val="0000FF"/>
                <w:szCs w:val="24"/>
              </w:rPr>
            </w:pPr>
            <w:hyperlink r:id="rId41" w:history="1">
              <w:r w:rsidRPr="00553C02" w:rsidR="00AD47D4">
                <w:rPr>
                  <w:rFonts w:eastAsia="Times New Roman" w:cs="Times New Roman"/>
                  <w:color w:val="0000FF"/>
                  <w:szCs w:val="24"/>
                  <w:u w:val="single"/>
                </w:rPr>
                <w:t>dwilliamson@spilmanlaw.com</w:t>
              </w:r>
            </w:hyperlink>
          </w:p>
          <w:p w:rsidR="00553C02" w:rsidRPr="00553C02" w:rsidP="00553C02" w14:paraId="640D0696" w14:textId="77777777">
            <w:pPr>
              <w:spacing w:after="0" w:line="240" w:lineRule="auto"/>
              <w:ind w:left="774"/>
              <w:rPr>
                <w:rFonts w:eastAsia="Times New Roman" w:cs="Times New Roman"/>
                <w:color w:val="0000FF"/>
                <w:szCs w:val="24"/>
              </w:rPr>
            </w:pPr>
            <w:hyperlink r:id="rId42" w:history="1">
              <w:r w:rsidRPr="00553C02" w:rsidR="00AD47D4">
                <w:rPr>
                  <w:rFonts w:eastAsiaTheme="majorEastAsia" w:cs="Times New Roman"/>
                  <w:color w:val="0000FF"/>
                  <w:szCs w:val="24"/>
                  <w:u w:val="single"/>
                </w:rPr>
                <w:t>rlazer@elpc.org</w:t>
              </w:r>
            </w:hyperlink>
          </w:p>
          <w:p w:rsidR="00553C02" w:rsidRPr="00553C02" w:rsidP="00553C02" w14:paraId="62C28939" w14:textId="77777777">
            <w:pPr>
              <w:spacing w:after="0" w:line="240" w:lineRule="auto"/>
              <w:ind w:left="798"/>
              <w:rPr>
                <w:rFonts w:eastAsia="Times New Roman" w:cs="Times New Roman"/>
                <w:szCs w:val="24"/>
              </w:rPr>
            </w:pPr>
            <w:hyperlink r:id="rId43" w:history="1">
              <w:r w:rsidRPr="00553C02" w:rsidR="00AD47D4">
                <w:rPr>
                  <w:rFonts w:eastAsia="Times New Roman" w:cs="Times New Roman"/>
                  <w:color w:val="0000FF"/>
                  <w:szCs w:val="24"/>
                  <w:u w:val="single"/>
                </w:rPr>
                <w:t>rdove@keglerbrown.com</w:t>
              </w:r>
            </w:hyperlink>
          </w:p>
          <w:p w:rsidR="00553C02" w:rsidRPr="00553C02" w:rsidP="00553C02" w14:paraId="5C173CA7" w14:textId="77777777">
            <w:pPr>
              <w:spacing w:after="0" w:line="240" w:lineRule="auto"/>
              <w:ind w:left="798"/>
              <w:rPr>
                <w:rFonts w:eastAsia="Times New Roman" w:cs="Times New Roman"/>
                <w:szCs w:val="24"/>
              </w:rPr>
            </w:pPr>
            <w:hyperlink r:id="rId44" w:history="1">
              <w:r w:rsidRPr="00553C02" w:rsidR="00AD47D4">
                <w:rPr>
                  <w:rFonts w:eastAsia="Times New Roman" w:cs="Times New Roman"/>
                  <w:color w:val="0000FF"/>
                  <w:szCs w:val="24"/>
                  <w:u w:val="single"/>
                </w:rPr>
                <w:t>mpritchard@mcneeslaw.com</w:t>
              </w:r>
            </w:hyperlink>
          </w:p>
          <w:p w:rsidR="00553C02" w:rsidRPr="00553C02" w:rsidP="00553C02" w14:paraId="027EB08F" w14:textId="77777777">
            <w:pPr>
              <w:spacing w:after="0" w:line="240" w:lineRule="auto"/>
              <w:ind w:left="798"/>
              <w:rPr>
                <w:rFonts w:eastAsia="Times New Roman" w:cs="Times New Roman"/>
                <w:szCs w:val="24"/>
              </w:rPr>
            </w:pPr>
            <w:hyperlink r:id="rId45" w:history="1">
              <w:r w:rsidRPr="00553C02" w:rsidR="00AD47D4">
                <w:rPr>
                  <w:rFonts w:eastAsia="Times New Roman" w:cs="Times New Roman"/>
                  <w:color w:val="0000FF"/>
                  <w:szCs w:val="24"/>
                  <w:u w:val="single"/>
                </w:rPr>
                <w:t>rglover@mcneeslaw.com</w:t>
              </w:r>
            </w:hyperlink>
          </w:p>
          <w:p w:rsidR="00553C02" w:rsidRPr="00553C02" w:rsidP="00553C02" w14:paraId="514801EA" w14:textId="77777777">
            <w:pPr>
              <w:spacing w:after="0" w:line="240" w:lineRule="auto"/>
              <w:ind w:left="798"/>
              <w:rPr>
                <w:rFonts w:eastAsia="Times New Roman" w:cs="Times New Roman"/>
                <w:color w:val="0000FF"/>
                <w:szCs w:val="24"/>
              </w:rPr>
            </w:pPr>
            <w:hyperlink r:id="rId46" w:history="1">
              <w:r w:rsidRPr="00553C02" w:rsidR="00AD47D4">
                <w:rPr>
                  <w:rFonts w:eastAsia="Times New Roman" w:cs="Times New Roman"/>
                  <w:color w:val="0000FF"/>
                  <w:szCs w:val="24"/>
                  <w:u w:val="single"/>
                </w:rPr>
                <w:t>paul@carpenterlipps.com</w:t>
              </w:r>
            </w:hyperlink>
          </w:p>
          <w:p w:rsidR="00553C02" w:rsidRPr="00553C02" w:rsidP="00553C02" w14:paraId="527E4F0B" w14:textId="77777777">
            <w:pPr>
              <w:spacing w:after="0" w:line="240" w:lineRule="auto"/>
              <w:ind w:left="798"/>
              <w:rPr>
                <w:rFonts w:eastAsia="Times New Roman" w:cs="Times New Roman"/>
                <w:color w:val="0000FF"/>
                <w:szCs w:val="24"/>
              </w:rPr>
            </w:pPr>
            <w:hyperlink r:id="rId47" w:history="1">
              <w:r w:rsidRPr="00553C02" w:rsidR="00AD47D4">
                <w:rPr>
                  <w:rFonts w:eastAsia="Times New Roman" w:cs="Times New Roman"/>
                  <w:color w:val="0000FF"/>
                  <w:szCs w:val="24"/>
                  <w:u w:val="single"/>
                </w:rPr>
                <w:t>whitt@whitt-sturtevant.com</w:t>
              </w:r>
            </w:hyperlink>
          </w:p>
          <w:p w:rsidR="00553C02" w:rsidRPr="00553C02" w:rsidP="00553C02" w14:paraId="52AB2C17" w14:textId="77777777">
            <w:pPr>
              <w:spacing w:after="0" w:line="240" w:lineRule="auto"/>
              <w:ind w:left="798"/>
              <w:rPr>
                <w:rFonts w:eastAsia="Times New Roman" w:cs="Times New Roman"/>
                <w:color w:val="0000FF"/>
                <w:szCs w:val="24"/>
                <w:u w:val="single"/>
              </w:rPr>
            </w:pPr>
            <w:hyperlink r:id="rId48" w:history="1">
              <w:r w:rsidRPr="00553C02" w:rsidR="00AD47D4">
                <w:rPr>
                  <w:rFonts w:eastAsia="Times New Roman" w:cs="Times New Roman"/>
                  <w:color w:val="0000FF"/>
                  <w:szCs w:val="24"/>
                  <w:u w:val="single"/>
                </w:rPr>
                <w:t>fykes@whitt-sturtevant.com</w:t>
              </w:r>
            </w:hyperlink>
          </w:p>
          <w:p w:rsidR="00553C02" w:rsidRPr="00553C02" w:rsidP="00553C02" w14:paraId="0BC7590F" w14:textId="77777777">
            <w:pPr>
              <w:spacing w:after="0" w:line="240" w:lineRule="auto"/>
              <w:ind w:left="798"/>
              <w:rPr>
                <w:rFonts w:eastAsia="Times New Roman" w:cs="Times New Roman"/>
                <w:color w:val="0000FF"/>
                <w:szCs w:val="24"/>
              </w:rPr>
            </w:pPr>
            <w:hyperlink r:id="rId49" w:history="1">
              <w:r w:rsidRPr="00553C02" w:rsidR="00AD47D4">
                <w:rPr>
                  <w:rFonts w:eastAsia="Times New Roman" w:cs="Times New Roman"/>
                  <w:color w:val="0000FF"/>
                  <w:szCs w:val="24"/>
                  <w:u w:val="single"/>
                </w:rPr>
                <w:t>dborchers@bricker.com</w:t>
              </w:r>
            </w:hyperlink>
          </w:p>
          <w:p w:rsidR="00553C02" w:rsidRPr="00553C02" w:rsidP="00553C02" w14:paraId="79B03ABC" w14:textId="77777777">
            <w:pPr>
              <w:spacing w:after="0" w:line="240" w:lineRule="auto"/>
              <w:ind w:left="798"/>
              <w:rPr>
                <w:rFonts w:eastAsia="Times New Roman" w:cs="Times New Roman"/>
                <w:color w:val="0000FF"/>
                <w:szCs w:val="24"/>
              </w:rPr>
            </w:pPr>
            <w:hyperlink r:id="rId50" w:history="1">
              <w:r w:rsidRPr="00553C02" w:rsidR="00AD47D4">
                <w:rPr>
                  <w:rFonts w:eastAsia="Times New Roman" w:cs="Times New Roman"/>
                  <w:color w:val="0000FF"/>
                  <w:szCs w:val="24"/>
                  <w:u w:val="single"/>
                </w:rPr>
                <w:t>kherrnstein@bricker.com</w:t>
              </w:r>
            </w:hyperlink>
          </w:p>
          <w:p w:rsidR="00553C02" w:rsidRPr="00553C02" w:rsidP="00553C02" w14:paraId="78CA3787" w14:textId="77777777">
            <w:pPr>
              <w:adjustRightInd w:val="0"/>
              <w:spacing w:after="0" w:line="240" w:lineRule="auto"/>
              <w:ind w:left="792"/>
              <w:rPr>
                <w:rFonts w:cs="Times New Roman"/>
                <w:color w:val="0000FF"/>
                <w:szCs w:val="24"/>
              </w:rPr>
            </w:pPr>
            <w:hyperlink r:id="rId51" w:history="1">
              <w:r w:rsidRPr="00553C02" w:rsidR="00AD47D4">
                <w:rPr>
                  <w:rFonts w:cs="Times New Roman"/>
                  <w:color w:val="0000FF"/>
                  <w:szCs w:val="24"/>
                  <w:u w:val="single"/>
                </w:rPr>
                <w:t>little@litohio.com</w:t>
              </w:r>
            </w:hyperlink>
          </w:p>
          <w:p w:rsidR="00553C02" w:rsidRPr="00553C02" w:rsidP="00553C02" w14:paraId="00C1325A" w14:textId="77777777">
            <w:pPr>
              <w:spacing w:after="0" w:line="240" w:lineRule="auto"/>
              <w:ind w:left="798"/>
              <w:rPr>
                <w:rFonts w:eastAsia="Times New Roman" w:cs="Times New Roman"/>
                <w:color w:val="0000FF"/>
                <w:szCs w:val="24"/>
              </w:rPr>
            </w:pPr>
            <w:hyperlink r:id="rId52" w:history="1">
              <w:r w:rsidRPr="00553C02" w:rsidR="00AD47D4">
                <w:rPr>
                  <w:rFonts w:eastAsia="Times New Roman" w:cs="Times New Roman"/>
                  <w:color w:val="0000FF"/>
                  <w:szCs w:val="24"/>
                  <w:u w:val="single"/>
                </w:rPr>
                <w:t>hogan@litohio.com</w:t>
              </w:r>
            </w:hyperlink>
          </w:p>
          <w:p w:rsidR="00553C02" w:rsidRPr="00553C02" w:rsidP="00553C02" w14:paraId="0EB5675D" w14:textId="77777777">
            <w:pPr>
              <w:adjustRightInd w:val="0"/>
              <w:spacing w:after="0" w:line="240" w:lineRule="auto"/>
              <w:ind w:left="792"/>
              <w:rPr>
                <w:rFonts w:cs="Times New Roman"/>
                <w:color w:val="0000FF"/>
                <w:szCs w:val="24"/>
              </w:rPr>
            </w:pPr>
            <w:hyperlink r:id="rId53" w:history="1">
              <w:r w:rsidRPr="00553C02" w:rsidR="00AD47D4">
                <w:rPr>
                  <w:rFonts w:cs="Times New Roman"/>
                  <w:color w:val="0000FF"/>
                  <w:szCs w:val="24"/>
                  <w:u w:val="single"/>
                </w:rPr>
                <w:t>dstinson@bricker.com</w:t>
              </w:r>
            </w:hyperlink>
          </w:p>
          <w:p w:rsidR="00553C02" w:rsidRPr="00553C02" w:rsidP="00553C02" w14:paraId="604B04E5" w14:textId="77777777">
            <w:pPr>
              <w:spacing w:after="0" w:line="240" w:lineRule="auto"/>
              <w:ind w:left="798"/>
              <w:rPr>
                <w:rFonts w:eastAsia="Times New Roman" w:cs="Times New Roman"/>
                <w:color w:val="0000FF"/>
                <w:szCs w:val="24"/>
              </w:rPr>
            </w:pPr>
            <w:hyperlink r:id="rId54" w:history="1">
              <w:r w:rsidRPr="00553C02" w:rsidR="00AD47D4">
                <w:rPr>
                  <w:rFonts w:eastAsia="Times New Roman" w:cs="Times New Roman"/>
                  <w:color w:val="0000FF"/>
                  <w:szCs w:val="24"/>
                  <w:u w:val="single"/>
                </w:rPr>
                <w:t>mwarnock@bricker.com</w:t>
              </w:r>
            </w:hyperlink>
          </w:p>
          <w:p w:rsidR="00553C02" w:rsidRPr="00553C02" w:rsidP="003D7320" w14:paraId="769EBE54" w14:textId="772A7AB8">
            <w:pPr>
              <w:spacing w:after="0" w:line="240" w:lineRule="auto"/>
              <w:ind w:left="798"/>
              <w:rPr>
                <w:rFonts w:eastAsia="Times New Roman" w:cs="Times New Roman"/>
                <w:color w:val="0000FF"/>
                <w:szCs w:val="24"/>
              </w:rPr>
            </w:pPr>
            <w:hyperlink r:id="rId55" w:history="1">
              <w:r w:rsidRPr="00553C02" w:rsidR="00AD47D4">
                <w:rPr>
                  <w:rFonts w:eastAsia="Times New Roman" w:cs="Times New Roman"/>
                  <w:color w:val="0000FF"/>
                  <w:szCs w:val="24"/>
                  <w:u w:val="single"/>
                </w:rPr>
                <w:t>ktreadway@oneenergyllc.com</w:t>
              </w:r>
            </w:hyperlink>
          </w:p>
          <w:p w:rsidR="00553C02" w:rsidRPr="00553C02" w:rsidP="00553C02" w14:paraId="42F89FB7" w14:textId="77777777">
            <w:pPr>
              <w:spacing w:after="0" w:line="240" w:lineRule="auto"/>
              <w:ind w:left="798"/>
              <w:rPr>
                <w:rFonts w:eastAsia="Times New Roman" w:cs="Times New Roman"/>
                <w:color w:val="0000FF"/>
                <w:szCs w:val="24"/>
              </w:rPr>
            </w:pPr>
            <w:hyperlink r:id="rId56" w:history="1">
              <w:r w:rsidRPr="00553C02" w:rsidR="00AD47D4">
                <w:rPr>
                  <w:rFonts w:eastAsia="Times New Roman" w:cs="Times New Roman"/>
                  <w:color w:val="0000FF"/>
                  <w:szCs w:val="24"/>
                  <w:u w:val="single"/>
                </w:rPr>
                <w:t>mmcdonnell@dickinsonwright.com</w:t>
              </w:r>
            </w:hyperlink>
          </w:p>
          <w:p w:rsidR="00553C02" w:rsidRPr="00553C02" w:rsidP="00553C02" w14:paraId="57140B6B" w14:textId="77777777">
            <w:pPr>
              <w:spacing w:after="0" w:line="240" w:lineRule="auto"/>
              <w:ind w:left="798"/>
              <w:rPr>
                <w:rFonts w:eastAsia="Times New Roman" w:cs="Times New Roman"/>
                <w:color w:val="0000FF"/>
                <w:szCs w:val="24"/>
              </w:rPr>
            </w:pPr>
          </w:p>
          <w:p w:rsidR="00553C02" w:rsidRPr="00553C02" w:rsidP="00553C02" w14:paraId="3706DCD7" w14:textId="77777777">
            <w:pPr>
              <w:spacing w:after="0" w:line="240" w:lineRule="auto"/>
              <w:ind w:left="792"/>
              <w:rPr>
                <w:rFonts w:eastAsia="Times New Roman" w:cs="Times New Roman"/>
                <w:bCs/>
                <w:szCs w:val="24"/>
                <w:u w:val="single"/>
              </w:rPr>
            </w:pPr>
          </w:p>
        </w:tc>
      </w:tr>
    </w:tbl>
    <w:p w:rsidR="00BA1302" w:rsidRPr="0087048B" w:rsidP="00BA1302" w14:paraId="75B0F3EA" w14:textId="77777777">
      <w:pPr>
        <w:tabs>
          <w:tab w:val="left" w:pos="4320"/>
        </w:tabs>
        <w:spacing w:after="0" w:line="240" w:lineRule="auto"/>
        <w:rPr>
          <w:rFonts w:cs="Times New Roman"/>
          <w:szCs w:val="24"/>
          <w:u w:val="single"/>
        </w:rPr>
      </w:pPr>
    </w:p>
    <w:sectPr w:rsidSect="00907737">
      <w:headerReference w:type="default" r:id="rId57"/>
      <w:pgSz w:w="12240" w:h="15840"/>
      <w:pgMar w:top="1440" w:right="1800" w:bottom="1440" w:left="180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492689215"/>
      <w:docPartObj>
        <w:docPartGallery w:val="Page Numbers (Bottom of Page)"/>
        <w:docPartUnique/>
      </w:docPartObj>
    </w:sdtPr>
    <w:sdtEndPr>
      <w:rPr>
        <w:noProof/>
      </w:rPr>
    </w:sdtEndPr>
    <w:sdtContent>
      <w:p w:rsidR="0036016C" w14:paraId="404C7814" w14:textId="4080237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36016C" w14:paraId="32C34CBC" w14:textId="7777777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6723A" w:rsidP="0036016C" w14:paraId="636194F6" w14:textId="77777777">
      <w:pPr>
        <w:spacing w:after="0" w:line="240" w:lineRule="auto"/>
        <w:rPr>
          <w:noProof/>
        </w:rPr>
      </w:pPr>
      <w:r>
        <w:rPr>
          <w:noProof/>
        </w:rPr>
        <w:separator/>
      </w:r>
    </w:p>
  </w:footnote>
  <w:footnote w:type="continuationSeparator" w:id="1">
    <w:p w:rsidR="00D6723A" w:rsidP="0036016C" w14:paraId="5FCFBCA4" w14:textId="77777777">
      <w:pPr>
        <w:spacing w:after="0" w:line="240" w:lineRule="auto"/>
      </w:pPr>
      <w:r>
        <w:continuationSeparator/>
      </w:r>
    </w:p>
  </w:footnote>
  <w:footnote w:id="2">
    <w:p w:rsidR="0036016C" w:rsidRPr="00893D25" w:rsidP="00893D25" w14:paraId="68388341" w14:textId="3334014B">
      <w:pPr>
        <w:pStyle w:val="FootnoteText"/>
      </w:pPr>
      <w:r w:rsidRPr="00893D25">
        <w:rPr>
          <w:rStyle w:val="FootnoteReference"/>
        </w:rPr>
        <w:footnoteRef/>
      </w:r>
      <w:r w:rsidRPr="00893D25">
        <w:t xml:space="preserve"> PUCO Opinion and Order (November 17, 2021)</w:t>
      </w:r>
      <w:r>
        <w:t xml:space="preserve"> (“Order”)</w:t>
      </w:r>
      <w:r w:rsidRPr="00893D25">
        <w:t>.</w:t>
      </w:r>
    </w:p>
  </w:footnote>
  <w:footnote w:id="3">
    <w:p w:rsidR="0036016C" w:rsidRPr="00893D25" w:rsidP="00893D25" w14:paraId="4DF22F91" w14:textId="755DAFA7">
      <w:pPr>
        <w:pStyle w:val="FootnoteText"/>
      </w:pPr>
      <w:r w:rsidRPr="00893D25">
        <w:rPr>
          <w:rStyle w:val="FootnoteReference"/>
        </w:rPr>
        <w:footnoteRef/>
      </w:r>
      <w:r w:rsidRPr="00893D25">
        <w:t xml:space="preserve"> </w:t>
      </w:r>
      <w:r w:rsidRPr="00893D25">
        <w:rPr>
          <w:i/>
          <w:iCs/>
        </w:rPr>
        <w:t>See id.</w:t>
      </w:r>
      <w:r w:rsidRPr="00893D25">
        <w:t xml:space="preserve"> at ¶¶108, 150, 206.</w:t>
      </w:r>
    </w:p>
  </w:footnote>
  <w:footnote w:id="4">
    <w:p w:rsidR="0036016C" w:rsidRPr="00893D25" w:rsidP="00893D25" w14:paraId="077A373E" w14:textId="2974F163">
      <w:pPr>
        <w:pStyle w:val="FootnoteText"/>
        <w:rPr>
          <w:i/>
          <w:iCs/>
        </w:rPr>
      </w:pPr>
      <w:r w:rsidRPr="00893D25">
        <w:rPr>
          <w:rStyle w:val="FootnoteReference"/>
        </w:rPr>
        <w:footnoteRef/>
      </w:r>
      <w:r w:rsidRPr="00893D25">
        <w:t xml:space="preserve"> </w:t>
      </w:r>
      <w:r w:rsidRPr="00893D25">
        <w:rPr>
          <w:i/>
          <w:iCs/>
        </w:rPr>
        <w:t>Id.</w:t>
      </w:r>
    </w:p>
  </w:footnote>
  <w:footnote w:id="5">
    <w:p w:rsidR="00F2310F" w:rsidRPr="00893D25" w:rsidP="00F2310F" w14:paraId="61165865" w14:textId="77777777">
      <w:pPr>
        <w:pStyle w:val="FootnoteText"/>
      </w:pPr>
      <w:r w:rsidRPr="00893D25">
        <w:rPr>
          <w:rStyle w:val="FootnoteReference"/>
        </w:rPr>
        <w:footnoteRef/>
      </w:r>
      <w:r w:rsidRPr="00893D25">
        <w:t xml:space="preserve"> Order at ¶63.</w:t>
      </w:r>
    </w:p>
  </w:footnote>
  <w:footnote w:id="6">
    <w:p w:rsidR="0036016C" w:rsidRPr="00893D25" w:rsidP="00893D25" w14:paraId="3E2BD827" w14:textId="408C0ECB">
      <w:pPr>
        <w:pStyle w:val="FootnoteText"/>
      </w:pPr>
      <w:r w:rsidRPr="00893D25">
        <w:rPr>
          <w:rStyle w:val="FootnoteReference"/>
        </w:rPr>
        <w:footnoteRef/>
      </w:r>
      <w:r w:rsidRPr="00893D25">
        <w:t xml:space="preserve"> Marketer Direct Energy Business, LLC and Direct Energy Services, LLC (collectively “Direct”) co-sponsored with IGS the testimony of Frank Lacey. However, Direct did not file an Application for Rehearing of the PUCO’s Order.</w:t>
      </w:r>
    </w:p>
  </w:footnote>
  <w:footnote w:id="7">
    <w:p w:rsidR="0036016C" w:rsidRPr="00893D25" w:rsidP="00893D25" w14:paraId="0591393D" w14:textId="77777777">
      <w:pPr>
        <w:pStyle w:val="FootnoteText"/>
      </w:pPr>
      <w:r w:rsidRPr="00893D25">
        <w:rPr>
          <w:rStyle w:val="FootnoteReference"/>
        </w:rPr>
        <w:footnoteRef/>
      </w:r>
      <w:r w:rsidRPr="00893D25">
        <w:t xml:space="preserve"> IGS Ex. 2 (Lacey Direct) at 14:1 (“I calculate a full allocation of costs to SSO service to be $64,377,767...”).</w:t>
      </w:r>
    </w:p>
  </w:footnote>
  <w:footnote w:id="8">
    <w:p w:rsidR="0036016C" w:rsidRPr="00893D25" w:rsidP="00893D25" w14:paraId="2F4D7C74" w14:textId="0B60C23C">
      <w:pPr>
        <w:pStyle w:val="FootnoteText"/>
      </w:pPr>
      <w:r w:rsidRPr="00893D25">
        <w:rPr>
          <w:rStyle w:val="FootnoteReference"/>
        </w:rPr>
        <w:footnoteRef/>
      </w:r>
      <w:r w:rsidRPr="00893D25">
        <w:t xml:space="preserve"> Assuming typical usage of 1,000 kWh per month and </w:t>
      </w:r>
      <w:r w:rsidR="009355B2">
        <w:t>IGS’s</w:t>
      </w:r>
      <w:r w:rsidRPr="00893D25">
        <w:t xml:space="preserve"> proposed rate of $0.0042 per kWh for SSO </w:t>
      </w:r>
      <w:r w:rsidR="000E71D7">
        <w:t>consumer</w:t>
      </w:r>
      <w:r w:rsidRPr="00893D25">
        <w:t xml:space="preserve">s. </w:t>
      </w:r>
      <w:r w:rsidRPr="00893D25">
        <w:rPr>
          <w:i/>
          <w:iCs/>
        </w:rPr>
        <w:t>See</w:t>
      </w:r>
      <w:r w:rsidRPr="00893D25">
        <w:t xml:space="preserve"> Tr. Vol. V at 1058:23 – 1059:1 (</w:t>
      </w:r>
      <w:r w:rsidR="009355B2">
        <w:t>IGS</w:t>
      </w:r>
      <w:r w:rsidRPr="00893D25">
        <w:t xml:space="preserve"> witness Lacey testifying that under their proposal, SSO </w:t>
      </w:r>
      <w:r w:rsidR="000E71D7">
        <w:t>consumer</w:t>
      </w:r>
      <w:r w:rsidRPr="00893D25">
        <w:t>s would pay $0.0042 per kWh).</w:t>
      </w:r>
    </w:p>
  </w:footnote>
  <w:footnote w:id="9">
    <w:p w:rsidR="0036016C" w:rsidRPr="00893D25" w:rsidP="00893D25" w14:paraId="4AAC36D2" w14:textId="01EF27B2">
      <w:pPr>
        <w:pStyle w:val="FootnoteText"/>
      </w:pPr>
      <w:r w:rsidRPr="00893D25">
        <w:rPr>
          <w:rStyle w:val="FootnoteReference"/>
        </w:rPr>
        <w:footnoteRef/>
      </w:r>
      <w:r w:rsidRPr="00893D25">
        <w:t xml:space="preserve"> </w:t>
      </w:r>
      <w:r w:rsidRPr="00893D25">
        <w:rPr>
          <w:i/>
          <w:iCs/>
        </w:rPr>
        <w:t>See</w:t>
      </w:r>
      <w:r w:rsidRPr="00893D25">
        <w:t xml:space="preserve"> Tr. Vol. V at 1059:2-5 (</w:t>
      </w:r>
      <w:r w:rsidR="009355B2">
        <w:t>IGS</w:t>
      </w:r>
      <w:r w:rsidRPr="00893D25">
        <w:t xml:space="preserve"> witness Lacey testifying that under their proposal, </w:t>
      </w:r>
      <w:r w:rsidR="000E71D7">
        <w:t>consumer</w:t>
      </w:r>
      <w:r w:rsidRPr="00893D25">
        <w:t xml:space="preserve">s of marketers, sometimes called “shopping” </w:t>
      </w:r>
      <w:r w:rsidR="000E71D7">
        <w:t>consumer</w:t>
      </w:r>
      <w:r w:rsidRPr="00893D25">
        <w:t>s, would get a credit of $0.0015 per kWh).</w:t>
      </w:r>
    </w:p>
  </w:footnote>
  <w:footnote w:id="10">
    <w:p w:rsidR="0036016C" w:rsidRPr="00893D25" w:rsidP="00893D25" w14:paraId="4BBFF778" w14:textId="77777777">
      <w:pPr>
        <w:pStyle w:val="FootnoteText"/>
      </w:pPr>
      <w:r w:rsidRPr="00893D25">
        <w:rPr>
          <w:rStyle w:val="FootnoteReference"/>
        </w:rPr>
        <w:footnoteRef/>
      </w:r>
      <w:r w:rsidRPr="00893D25">
        <w:t xml:space="preserve"> The different between a $50 charge and an $18 credit.</w:t>
      </w:r>
    </w:p>
  </w:footnote>
  <w:footnote w:id="11">
    <w:p w:rsidR="0036016C" w:rsidRPr="00893D25" w:rsidP="00893D25" w14:paraId="36BABFB9" w14:textId="43A55AF2">
      <w:pPr>
        <w:pStyle w:val="FootnoteText"/>
      </w:pPr>
      <w:r w:rsidRPr="00893D25">
        <w:rPr>
          <w:rStyle w:val="FootnoteReference"/>
        </w:rPr>
        <w:footnoteRef/>
      </w:r>
      <w:r w:rsidRPr="00893D25">
        <w:t xml:space="preserve"> IGS AFR at 10.</w:t>
      </w:r>
    </w:p>
  </w:footnote>
  <w:footnote w:id="12">
    <w:p w:rsidR="0036016C" w:rsidRPr="00893D25" w:rsidP="00893D25" w14:paraId="5F488BFD" w14:textId="50EF3A5A">
      <w:pPr>
        <w:pStyle w:val="FootnoteText"/>
      </w:pPr>
      <w:r w:rsidRPr="00893D25">
        <w:rPr>
          <w:rStyle w:val="FootnoteReference"/>
        </w:rPr>
        <w:footnoteRef/>
      </w:r>
      <w:r w:rsidRPr="00893D25">
        <w:t xml:space="preserve"> Order, at ¶183.</w:t>
      </w:r>
    </w:p>
  </w:footnote>
  <w:footnote w:id="13">
    <w:p w:rsidR="0036016C" w:rsidRPr="00893D25" w:rsidP="00893D25" w14:paraId="54D09800" w14:textId="231EAA58">
      <w:pPr>
        <w:pStyle w:val="FootnoteText"/>
      </w:pPr>
      <w:r w:rsidRPr="00893D25">
        <w:rPr>
          <w:rStyle w:val="FootnoteReference"/>
        </w:rPr>
        <w:footnoteRef/>
      </w:r>
      <w:r w:rsidRPr="00893D25">
        <w:t xml:space="preserve"> </w:t>
      </w:r>
      <w:r w:rsidRPr="00893D25">
        <w:rPr>
          <w:i/>
          <w:iCs/>
        </w:rPr>
        <w:t>Id.</w:t>
      </w:r>
      <w:r w:rsidRPr="00893D25">
        <w:t xml:space="preserve"> at ¶¶183-184.</w:t>
      </w:r>
    </w:p>
  </w:footnote>
  <w:footnote w:id="14">
    <w:p w:rsidR="0036016C" w:rsidRPr="00893D25" w:rsidP="00893D25" w14:paraId="0C905118" w14:textId="4AC919A3">
      <w:pPr>
        <w:pStyle w:val="FootnoteText"/>
      </w:pPr>
      <w:r w:rsidRPr="00893D25">
        <w:rPr>
          <w:rStyle w:val="FootnoteReference"/>
        </w:rPr>
        <w:footnoteRef/>
      </w:r>
      <w:r w:rsidRPr="00893D25">
        <w:t xml:space="preserve"> Order, at ¶184 (footnotes omitted).</w:t>
      </w:r>
    </w:p>
  </w:footnote>
  <w:footnote w:id="15">
    <w:p w:rsidR="0036016C" w:rsidRPr="00893D25" w:rsidP="00893D25" w14:paraId="3141873B" w14:textId="41ACAE74">
      <w:pPr>
        <w:pStyle w:val="FootnoteText"/>
      </w:pPr>
      <w:r w:rsidRPr="00893D25">
        <w:rPr>
          <w:rStyle w:val="FootnoteReference"/>
        </w:rPr>
        <w:footnoteRef/>
      </w:r>
      <w:r w:rsidRPr="00893D25">
        <w:t xml:space="preserve"> Order, at ¶185.</w:t>
      </w:r>
    </w:p>
  </w:footnote>
  <w:footnote w:id="16">
    <w:p w:rsidR="0036016C" w:rsidRPr="00893D25" w:rsidP="00893D25" w14:paraId="6CC1414C" w14:textId="10914DB8">
      <w:pPr>
        <w:pStyle w:val="FootnoteText"/>
        <w:rPr>
          <w:i/>
          <w:iCs/>
        </w:rPr>
      </w:pPr>
      <w:r w:rsidRPr="00893D25">
        <w:rPr>
          <w:rStyle w:val="FootnoteReference"/>
        </w:rPr>
        <w:footnoteRef/>
      </w:r>
      <w:r w:rsidRPr="00893D25">
        <w:t xml:space="preserve"> </w:t>
      </w:r>
      <w:r w:rsidRPr="00893D25">
        <w:rPr>
          <w:i/>
          <w:iCs/>
        </w:rPr>
        <w:t>Id.</w:t>
      </w:r>
    </w:p>
  </w:footnote>
  <w:footnote w:id="17">
    <w:p w:rsidR="0036016C" w:rsidRPr="00893D25" w:rsidP="00893D25" w14:paraId="1F3CAE36" w14:textId="0E42D345">
      <w:pPr>
        <w:pStyle w:val="FootnoteText"/>
        <w:rPr>
          <w:i/>
          <w:iCs/>
        </w:rPr>
      </w:pPr>
      <w:r w:rsidRPr="00893D25">
        <w:rPr>
          <w:rStyle w:val="FootnoteReference"/>
        </w:rPr>
        <w:footnoteRef/>
      </w:r>
      <w:r w:rsidRPr="00893D25">
        <w:t xml:space="preserve"> </w:t>
      </w:r>
      <w:r w:rsidRPr="00893D25">
        <w:rPr>
          <w:i/>
          <w:iCs/>
        </w:rPr>
        <w:t>Id.</w:t>
      </w:r>
    </w:p>
  </w:footnote>
  <w:footnote w:id="18">
    <w:p w:rsidR="0036016C" w:rsidRPr="00893D25" w:rsidP="00893D25" w14:paraId="3D96A5D3" w14:textId="7358AE27">
      <w:pPr>
        <w:pStyle w:val="FootnoteText"/>
        <w:rPr>
          <w:i/>
          <w:iCs/>
        </w:rPr>
      </w:pPr>
      <w:r w:rsidRPr="00893D25">
        <w:rPr>
          <w:rStyle w:val="FootnoteReference"/>
        </w:rPr>
        <w:footnoteRef/>
      </w:r>
      <w:r w:rsidRPr="00893D25">
        <w:t xml:space="preserve"> </w:t>
      </w:r>
      <w:r w:rsidRPr="00893D25">
        <w:rPr>
          <w:i/>
          <w:iCs/>
        </w:rPr>
        <w:t>Id.</w:t>
      </w:r>
    </w:p>
  </w:footnote>
  <w:footnote w:id="19">
    <w:p w:rsidR="0036016C" w:rsidRPr="00893D25" w:rsidP="00893D25" w14:paraId="48C4C8D6" w14:textId="6961B890">
      <w:pPr>
        <w:pStyle w:val="FootnoteText"/>
        <w:rPr>
          <w:i/>
          <w:iCs/>
        </w:rPr>
      </w:pPr>
      <w:r w:rsidRPr="00893D25">
        <w:rPr>
          <w:rStyle w:val="FootnoteReference"/>
        </w:rPr>
        <w:footnoteRef/>
      </w:r>
      <w:r w:rsidRPr="00893D25">
        <w:t xml:space="preserve"> </w:t>
      </w:r>
      <w:r w:rsidRPr="00893D25">
        <w:rPr>
          <w:i/>
          <w:iCs/>
        </w:rPr>
        <w:t>Id.</w:t>
      </w:r>
    </w:p>
  </w:footnote>
  <w:footnote w:id="20">
    <w:p w:rsidR="0036016C" w:rsidRPr="00893D25" w:rsidP="00893D25" w14:paraId="6FD8602C" w14:textId="72981D0E">
      <w:pPr>
        <w:pStyle w:val="FootnoteText"/>
        <w:rPr>
          <w:i/>
          <w:iCs/>
        </w:rPr>
      </w:pPr>
      <w:r w:rsidRPr="00893D25">
        <w:rPr>
          <w:rStyle w:val="FootnoteReference"/>
        </w:rPr>
        <w:footnoteRef/>
      </w:r>
      <w:r w:rsidRPr="00893D25">
        <w:t xml:space="preserve"> </w:t>
      </w:r>
      <w:r w:rsidRPr="00893D25">
        <w:rPr>
          <w:i/>
          <w:iCs/>
        </w:rPr>
        <w:t>Id.</w:t>
      </w:r>
    </w:p>
  </w:footnote>
  <w:footnote w:id="21">
    <w:p w:rsidR="0036016C" w:rsidRPr="00893D25" w:rsidP="00893D25" w14:paraId="03523A35" w14:textId="2EA273D3">
      <w:pPr>
        <w:pStyle w:val="FootnoteText"/>
      </w:pPr>
      <w:r w:rsidRPr="00893D25">
        <w:rPr>
          <w:rStyle w:val="FootnoteReference"/>
        </w:rPr>
        <w:footnoteRef/>
      </w:r>
      <w:r w:rsidRPr="00893D25">
        <w:t xml:space="preserve"> </w:t>
      </w:r>
      <w:r w:rsidRPr="00893D25">
        <w:rPr>
          <w:i/>
          <w:iCs/>
        </w:rPr>
        <w:t>In re Application of FirstEnergy Advisors for Certification as a Competitive Retail Elec. Serv. Power Broker &amp; Aggregator</w:t>
      </w:r>
      <w:r w:rsidRPr="00893D25">
        <w:t>, Slip Opinion No. 2021-Ohio-3630 (“</w:t>
      </w:r>
      <w:r w:rsidRPr="00893D25">
        <w:rPr>
          <w:i/>
          <w:iCs/>
        </w:rPr>
        <w:t>FirstEnergy Advisors</w:t>
      </w:r>
      <w:r w:rsidRPr="00893D25">
        <w:t>”), ¶21.</w:t>
      </w:r>
    </w:p>
  </w:footnote>
  <w:footnote w:id="22">
    <w:p w:rsidR="0036016C" w:rsidRPr="00893D25" w:rsidP="00893D25" w14:paraId="723B48FA" w14:textId="201718A3">
      <w:pPr>
        <w:pStyle w:val="FootnoteText"/>
      </w:pPr>
      <w:r w:rsidRPr="00893D25">
        <w:rPr>
          <w:rStyle w:val="FootnoteReference"/>
        </w:rPr>
        <w:footnoteRef/>
      </w:r>
      <w:r w:rsidRPr="00893D25">
        <w:t xml:space="preserve"> </w:t>
      </w:r>
      <w:r w:rsidRPr="00893D25">
        <w:rPr>
          <w:i/>
          <w:iCs/>
        </w:rPr>
        <w:t>FirstEnergy Advisors</w:t>
      </w:r>
      <w:r w:rsidRPr="00893D25">
        <w:t>, ¶27.</w:t>
      </w:r>
    </w:p>
  </w:footnote>
  <w:footnote w:id="23">
    <w:p w:rsidR="0036016C" w:rsidRPr="00893D25" w:rsidP="00893D25" w14:paraId="3EFDE93F" w14:textId="68B6429C">
      <w:pPr>
        <w:pStyle w:val="FootnoteText"/>
      </w:pPr>
      <w:r w:rsidRPr="00893D25">
        <w:rPr>
          <w:rStyle w:val="FootnoteReference"/>
        </w:rPr>
        <w:footnoteRef/>
      </w:r>
      <w:r w:rsidRPr="00893D25">
        <w:t xml:space="preserve"> Order, at ¶¶183-186.</w:t>
      </w:r>
    </w:p>
  </w:footnote>
  <w:footnote w:id="24">
    <w:p w:rsidR="0036016C" w:rsidRPr="00893D25" w:rsidP="00893D25" w14:paraId="22FCA087" w14:textId="5CCFC4A1">
      <w:pPr>
        <w:pStyle w:val="FootnoteText"/>
      </w:pPr>
      <w:r w:rsidRPr="00893D25">
        <w:rPr>
          <w:rStyle w:val="FootnoteReference"/>
        </w:rPr>
        <w:footnoteRef/>
      </w:r>
      <w:r w:rsidRPr="00893D25">
        <w:t xml:space="preserve"> IGS AFR, at 19. (IGS refers to </w:t>
      </w:r>
      <w:r w:rsidRPr="00893D25">
        <w:rPr>
          <w:i/>
          <w:iCs/>
        </w:rPr>
        <w:t>FirstEnergy Advisors</w:t>
      </w:r>
      <w:r w:rsidRPr="00893D25">
        <w:t xml:space="preserve"> as the “</w:t>
      </w:r>
      <w:r w:rsidRPr="00893D25">
        <w:rPr>
          <w:i/>
          <w:iCs/>
        </w:rPr>
        <w:t>Suvon</w:t>
      </w:r>
      <w:r w:rsidRPr="00893D25">
        <w:t>” case.)</w:t>
      </w:r>
      <w:r>
        <w:t>.</w:t>
      </w:r>
    </w:p>
  </w:footnote>
  <w:footnote w:id="25">
    <w:p w:rsidR="0036016C" w:rsidRPr="00893D25" w:rsidP="00893D25" w14:paraId="24ADC4A3" w14:textId="64B0E319">
      <w:pPr>
        <w:pStyle w:val="FootnoteText"/>
      </w:pPr>
      <w:r w:rsidRPr="00893D25">
        <w:rPr>
          <w:rStyle w:val="FootnoteReference"/>
        </w:rPr>
        <w:footnoteRef/>
      </w:r>
      <w:r w:rsidRPr="00893D25">
        <w:t xml:space="preserve"> </w:t>
      </w:r>
      <w:r w:rsidRPr="00893D25">
        <w:rPr>
          <w:i/>
          <w:iCs/>
        </w:rPr>
        <w:t>FirstEnergy Advisors</w:t>
      </w:r>
      <w:r w:rsidRPr="00893D25">
        <w:t>, ¶24.</w:t>
      </w:r>
    </w:p>
  </w:footnote>
  <w:footnote w:id="26">
    <w:p w:rsidR="0036016C" w:rsidRPr="00893D25" w:rsidP="00893D25" w14:paraId="47D0D72C" w14:textId="45A9A9DF">
      <w:pPr>
        <w:pStyle w:val="FootnoteText"/>
      </w:pPr>
      <w:r w:rsidRPr="00893D25">
        <w:rPr>
          <w:rStyle w:val="FootnoteReference"/>
        </w:rPr>
        <w:footnoteRef/>
      </w:r>
      <w:r w:rsidRPr="00893D25">
        <w:t xml:space="preserve"> </w:t>
      </w:r>
      <w:r w:rsidRPr="00893D25">
        <w:rPr>
          <w:i/>
          <w:iCs/>
        </w:rPr>
        <w:t>FirstEnergy Advisors</w:t>
      </w:r>
      <w:r w:rsidRPr="00893D25">
        <w:t>, at ¶¶23-26.</w:t>
      </w:r>
    </w:p>
  </w:footnote>
  <w:footnote w:id="27">
    <w:p w:rsidR="0036016C" w:rsidRPr="00893D25" w:rsidP="00893D25" w14:paraId="24178809" w14:textId="2260FD1F">
      <w:pPr>
        <w:pStyle w:val="FootnoteText"/>
      </w:pPr>
      <w:r w:rsidRPr="00893D25">
        <w:rPr>
          <w:rStyle w:val="FootnoteReference"/>
        </w:rPr>
        <w:footnoteRef/>
      </w:r>
      <w:r w:rsidRPr="00893D25">
        <w:t xml:space="preserve"> Order, at ¶¶183-186.</w:t>
      </w:r>
    </w:p>
  </w:footnote>
  <w:footnote w:id="28">
    <w:p w:rsidR="0036016C" w:rsidRPr="00893D25" w:rsidP="00893D25" w14:paraId="0EEF8CC2" w14:textId="2D742A2F">
      <w:pPr>
        <w:pStyle w:val="FootnoteText"/>
        <w:rPr>
          <w:i/>
          <w:iCs/>
        </w:rPr>
      </w:pPr>
      <w:r w:rsidRPr="00893D25">
        <w:rPr>
          <w:rStyle w:val="FootnoteReference"/>
        </w:rPr>
        <w:footnoteRef/>
      </w:r>
      <w:r w:rsidRPr="00893D25">
        <w:t xml:space="preserve"> </w:t>
      </w:r>
      <w:r w:rsidRPr="00893D25">
        <w:rPr>
          <w:i/>
          <w:iCs/>
        </w:rPr>
        <w:t>Id.</w:t>
      </w:r>
    </w:p>
  </w:footnote>
  <w:footnote w:id="29">
    <w:p w:rsidR="0036016C" w:rsidRPr="00893D25" w:rsidP="00893D25" w14:paraId="2F3396C0" w14:textId="223AF0FD">
      <w:pPr>
        <w:pStyle w:val="FootnoteText"/>
      </w:pPr>
      <w:r w:rsidRPr="00893D25">
        <w:rPr>
          <w:rStyle w:val="FootnoteReference"/>
        </w:rPr>
        <w:footnoteRef/>
      </w:r>
      <w:r w:rsidRPr="00893D25">
        <w:t xml:space="preserve"> IGS AFR, at 11-12. </w:t>
      </w:r>
    </w:p>
  </w:footnote>
  <w:footnote w:id="30">
    <w:p w:rsidR="0036016C" w:rsidRPr="00893D25" w:rsidP="00893D25" w14:paraId="75B3C5E9" w14:textId="7CD23840">
      <w:pPr>
        <w:pStyle w:val="FootnoteText"/>
      </w:pPr>
      <w:r w:rsidRPr="00893D25">
        <w:rPr>
          <w:rStyle w:val="FootnoteReference"/>
        </w:rPr>
        <w:footnoteRef/>
      </w:r>
      <w:r w:rsidRPr="00893D25">
        <w:t xml:space="preserve"> Order, at ¶184.</w:t>
      </w:r>
    </w:p>
  </w:footnote>
  <w:footnote w:id="31">
    <w:p w:rsidR="0036016C" w:rsidRPr="00893D25" w:rsidP="00893D25" w14:paraId="00C539C1" w14:textId="6F74F149">
      <w:pPr>
        <w:pStyle w:val="FootnoteText"/>
      </w:pPr>
      <w:r w:rsidRPr="00893D25">
        <w:rPr>
          <w:rStyle w:val="FootnoteReference"/>
        </w:rPr>
        <w:footnoteRef/>
      </w:r>
      <w:r w:rsidRPr="00893D25">
        <w:t xml:space="preserve"> IGS AFR, at 15-18. </w:t>
      </w:r>
    </w:p>
  </w:footnote>
  <w:footnote w:id="32">
    <w:p w:rsidR="0036016C" w:rsidRPr="00893D25" w:rsidP="00893D25" w14:paraId="133A7A6D" w14:textId="6DEBC35D">
      <w:pPr>
        <w:pStyle w:val="FootnoteText"/>
      </w:pPr>
      <w:r w:rsidRPr="00893D25">
        <w:rPr>
          <w:rStyle w:val="FootnoteReference"/>
        </w:rPr>
        <w:footnoteRef/>
      </w:r>
      <w:r w:rsidRPr="00893D25">
        <w:t xml:space="preserve"> Tr. Vol. V at 1087:7-11 (Lacey Cross Examination) (“Q. [I]f a CRES fails to supply generation service to a shopping </w:t>
      </w:r>
      <w:r w:rsidR="000E71D7">
        <w:t>consumer</w:t>
      </w:r>
      <w:r w:rsidRPr="00893D25">
        <w:t xml:space="preserve">, that would result in </w:t>
      </w:r>
      <w:r w:rsidR="000E71D7">
        <w:t>consumer</w:t>
      </w:r>
      <w:r w:rsidRPr="00893D25">
        <w:t>s defaulting to the utility’s SSO, correct? A. That is correct.”).</w:t>
      </w:r>
    </w:p>
  </w:footnote>
  <w:footnote w:id="33">
    <w:p w:rsidR="0036016C" w:rsidRPr="00893D25" w:rsidP="00893D25" w14:paraId="457760D8" w14:textId="77777777">
      <w:pPr>
        <w:pStyle w:val="FootnoteText"/>
      </w:pPr>
      <w:r w:rsidRPr="00893D25">
        <w:rPr>
          <w:rStyle w:val="FootnoteReference"/>
        </w:rPr>
        <w:footnoteRef/>
      </w:r>
      <w:r w:rsidRPr="00893D25">
        <w:t xml:space="preserve"> Tr. Vol. V. at 1088:9-16 (Lacey Cross Examination) (“Q. And you would agree that the SSO benefits all customers, SSO and shopping customers alike? A. ... [T]here is some benefit to the market, to SSO, to everybody, yes.”).</w:t>
      </w:r>
    </w:p>
  </w:footnote>
  <w:footnote w:id="34">
    <w:p w:rsidR="0036016C" w:rsidRPr="00893D25" w:rsidP="00893D25" w14:paraId="0FCB0F9F" w14:textId="77777777">
      <w:pPr>
        <w:pStyle w:val="FootnoteText"/>
      </w:pPr>
      <w:r w:rsidRPr="00893D25">
        <w:rPr>
          <w:rStyle w:val="FootnoteReference"/>
        </w:rPr>
        <w:footnoteRef/>
      </w:r>
      <w:r w:rsidRPr="00893D25">
        <w:t xml:space="preserve"> </w:t>
      </w:r>
      <w:r w:rsidRPr="00893D25">
        <w:rPr>
          <w:i/>
          <w:iCs/>
        </w:rPr>
        <w:t>In re Application of Duke Energy Ohio, Inc. for Authority to Establish a Standard Service Offer</w:t>
      </w:r>
      <w:r w:rsidRPr="00893D25">
        <w:t>, Case No. 17-1263-EL-SSO, Second Entry on Rehearing ¶¶ 30-32 (July 27, 2019).</w:t>
      </w:r>
    </w:p>
  </w:footnote>
  <w:footnote w:id="35">
    <w:p w:rsidR="0036016C" w:rsidRPr="00893D25" w:rsidP="00893D25" w14:paraId="7C22EF5F" w14:textId="77777777">
      <w:pPr>
        <w:pStyle w:val="FootnoteText"/>
      </w:pPr>
      <w:r w:rsidRPr="00893D25">
        <w:rPr>
          <w:rStyle w:val="FootnoteReference"/>
        </w:rPr>
        <w:footnoteRef/>
      </w:r>
      <w:r w:rsidRPr="00893D25">
        <w:t xml:space="preserve"> </w:t>
      </w:r>
      <w:r w:rsidRPr="00893D25">
        <w:rPr>
          <w:i/>
          <w:iCs/>
        </w:rPr>
        <w:t>Id.</w:t>
      </w:r>
      <w:r w:rsidRPr="00893D25">
        <w:t xml:space="preserve"> ¶ 32.</w:t>
      </w:r>
    </w:p>
  </w:footnote>
  <w:footnote w:id="36">
    <w:p w:rsidR="0036016C" w:rsidRPr="00893D25" w:rsidP="00893D25" w14:paraId="6345FA95" w14:textId="77777777">
      <w:pPr>
        <w:pStyle w:val="FootnoteText"/>
      </w:pPr>
      <w:r w:rsidRPr="00893D25">
        <w:rPr>
          <w:rStyle w:val="FootnoteReference"/>
        </w:rPr>
        <w:footnoteRef/>
      </w:r>
      <w:r w:rsidRPr="00893D25">
        <w:t xml:space="preserve"> IGS Ex. 2 (Lacey Direct) at 43 (“the clear answer is to charge all customers for the costs of the choice program, for all customers benefit from the choice program”).</w:t>
      </w:r>
    </w:p>
  </w:footnote>
  <w:footnote w:id="37">
    <w:p w:rsidR="0036016C" w:rsidRPr="00893D25" w:rsidP="00893D25" w14:paraId="669E5E78" w14:textId="477F2E61">
      <w:pPr>
        <w:pStyle w:val="FootnoteText"/>
      </w:pPr>
      <w:r w:rsidRPr="00893D25">
        <w:rPr>
          <w:rStyle w:val="FootnoteReference"/>
        </w:rPr>
        <w:footnoteRef/>
      </w:r>
      <w:r w:rsidRPr="00893D25">
        <w:t xml:space="preserve"> Order, at ¶184 (emphasis added).</w:t>
      </w:r>
    </w:p>
  </w:footnote>
  <w:footnote w:id="38">
    <w:p w:rsidR="0036016C" w:rsidRPr="00893D25" w:rsidP="00893D25" w14:paraId="0AB94862" w14:textId="70387B1C">
      <w:pPr>
        <w:pStyle w:val="FootnoteText"/>
      </w:pPr>
      <w:r w:rsidRPr="00893D25">
        <w:rPr>
          <w:rStyle w:val="FootnoteReference"/>
        </w:rPr>
        <w:footnoteRef/>
      </w:r>
      <w:r w:rsidRPr="00893D25">
        <w:t xml:space="preserve"> IGS AFR, at 29-34.</w:t>
      </w:r>
    </w:p>
  </w:footnote>
  <w:footnote w:id="39">
    <w:p w:rsidR="0036016C" w:rsidRPr="00893D25" w:rsidP="00893D25" w14:paraId="62F098A3" w14:textId="4C1DADFC">
      <w:pPr>
        <w:pStyle w:val="FootnoteText"/>
      </w:pPr>
      <w:r w:rsidRPr="00893D25">
        <w:rPr>
          <w:rStyle w:val="FootnoteReference"/>
        </w:rPr>
        <w:footnoteRef/>
      </w:r>
      <w:r w:rsidRPr="00893D25">
        <w:t xml:space="preserve"> Order, at ¶¶131, 198. </w:t>
      </w:r>
    </w:p>
  </w:footnote>
  <w:footnote w:id="40">
    <w:p w:rsidR="0036016C" w:rsidRPr="00893D25" w:rsidP="00893D25" w14:paraId="7C4C20D1" w14:textId="77777777">
      <w:pPr>
        <w:pStyle w:val="FootnoteText"/>
        <w:rPr>
          <w:i/>
          <w:iCs/>
        </w:rPr>
      </w:pPr>
      <w:r w:rsidRPr="00893D25">
        <w:rPr>
          <w:rStyle w:val="FootnoteReference"/>
        </w:rPr>
        <w:footnoteRef/>
      </w:r>
      <w:r w:rsidRPr="00893D25">
        <w:t xml:space="preserve"> </w:t>
      </w:r>
      <w:r w:rsidRPr="00893D25">
        <w:rPr>
          <w:i/>
          <w:iCs/>
        </w:rPr>
        <w:t>Id.</w:t>
      </w:r>
    </w:p>
  </w:footnote>
  <w:footnote w:id="41">
    <w:p w:rsidR="0036016C" w:rsidRPr="00893D25" w:rsidP="00893D25" w14:paraId="7EBD61F2" w14:textId="58C600BA">
      <w:pPr>
        <w:pStyle w:val="FootnoteText"/>
      </w:pPr>
      <w:r w:rsidRPr="00893D25">
        <w:rPr>
          <w:rStyle w:val="FootnoteReference"/>
        </w:rPr>
        <w:footnoteRef/>
      </w:r>
      <w:r w:rsidRPr="00893D25">
        <w:t xml:space="preserve"> IGS AFR, at 31.</w:t>
      </w:r>
    </w:p>
  </w:footnote>
  <w:footnote w:id="42">
    <w:p w:rsidR="0036016C" w:rsidRPr="00893D25" w:rsidP="00893D25" w14:paraId="496DA3F8" w14:textId="7E58A622">
      <w:pPr>
        <w:pStyle w:val="FootnoteText"/>
      </w:pPr>
      <w:r w:rsidRPr="00893D25">
        <w:rPr>
          <w:rStyle w:val="FootnoteReference"/>
        </w:rPr>
        <w:footnoteRef/>
      </w:r>
      <w:r w:rsidRPr="00893D25">
        <w:t xml:space="preserve"> Order, at ¶131.</w:t>
      </w:r>
    </w:p>
  </w:footnote>
  <w:footnote w:id="43">
    <w:p w:rsidR="0036016C" w:rsidRPr="00893D25" w:rsidP="00893D25" w14:paraId="55AFC509" w14:textId="24689C7C">
      <w:pPr>
        <w:pStyle w:val="FootnoteText"/>
        <w:rPr>
          <w:i/>
          <w:iCs/>
        </w:rPr>
      </w:pPr>
      <w:r w:rsidRPr="00893D25">
        <w:rPr>
          <w:rStyle w:val="FootnoteReference"/>
        </w:rPr>
        <w:footnoteRef/>
      </w:r>
      <w:r w:rsidRPr="00893D25">
        <w:t xml:space="preserve"> </w:t>
      </w:r>
      <w:r w:rsidRPr="00893D25">
        <w:rPr>
          <w:i/>
          <w:iCs/>
        </w:rPr>
        <w:t>Id.</w:t>
      </w:r>
    </w:p>
  </w:footnote>
  <w:footnote w:id="44">
    <w:p w:rsidR="0036016C" w:rsidRPr="00893D25" w:rsidP="00893D25" w14:paraId="4B676178" w14:textId="65828CF8">
      <w:pPr>
        <w:pStyle w:val="FootnoteText"/>
      </w:pPr>
      <w:r w:rsidRPr="00893D25">
        <w:rPr>
          <w:rStyle w:val="FootnoteReference"/>
        </w:rPr>
        <w:footnoteRef/>
      </w:r>
      <w:r w:rsidRPr="00893D25">
        <w:t xml:space="preserve"> IGS AFR, at 30.</w:t>
      </w:r>
    </w:p>
  </w:footnote>
  <w:footnote w:id="45">
    <w:p w:rsidR="0036016C" w:rsidRPr="00893D25" w:rsidP="00893D25" w14:paraId="35B27BE8" w14:textId="25459C04">
      <w:pPr>
        <w:pStyle w:val="FootnoteText"/>
        <w:rPr>
          <w:i/>
          <w:iCs/>
        </w:rPr>
      </w:pPr>
      <w:r w:rsidRPr="00893D25">
        <w:rPr>
          <w:rStyle w:val="FootnoteReference"/>
        </w:rPr>
        <w:footnoteRef/>
      </w:r>
      <w:r w:rsidRPr="00893D25">
        <w:t xml:space="preserve"> Order, at ¶131.</w:t>
      </w:r>
    </w:p>
  </w:footnote>
  <w:footnote w:id="46">
    <w:p w:rsidR="0036016C" w:rsidRPr="00893D25" w:rsidP="00893D25" w14:paraId="723A3A9F" w14:textId="77777777">
      <w:pPr>
        <w:pStyle w:val="FootnoteText"/>
      </w:pPr>
      <w:r w:rsidRPr="00893D25">
        <w:rPr>
          <w:rStyle w:val="FootnoteReference"/>
        </w:rPr>
        <w:footnoteRef/>
      </w:r>
      <w:r w:rsidRPr="00893D25">
        <w:t xml:space="preserve"> Joint Ex. 1 (Settlement), Attachment D (explaining the various methodologies for what is included or excluded in the aggregate shadow billing calculations).</w:t>
      </w:r>
    </w:p>
  </w:footnote>
  <w:footnote w:id="47">
    <w:p w:rsidR="0036016C" w:rsidRPr="00893D25" w:rsidP="00893D25" w14:paraId="147B381B" w14:textId="24B357E9">
      <w:pPr>
        <w:pStyle w:val="FootnoteText"/>
      </w:pPr>
      <w:r w:rsidRPr="00893D25">
        <w:rPr>
          <w:rStyle w:val="FootnoteReference"/>
        </w:rPr>
        <w:footnoteRef/>
      </w:r>
      <w:r w:rsidRPr="00893D25">
        <w:t xml:space="preserve"> IGS AFR, at 32-34.</w:t>
      </w:r>
    </w:p>
  </w:footnote>
  <w:footnote w:id="48">
    <w:p w:rsidR="0036016C" w:rsidRPr="00893D25" w:rsidP="00893D25" w14:paraId="73AD527A" w14:textId="203D876E">
      <w:pPr>
        <w:pStyle w:val="FootnoteText"/>
      </w:pPr>
      <w:r w:rsidRPr="00893D25">
        <w:rPr>
          <w:rStyle w:val="FootnoteReference"/>
        </w:rPr>
        <w:footnoteRef/>
      </w:r>
      <w:r w:rsidRPr="00893D25">
        <w:t xml:space="preserve"> Order, at ¶198.</w:t>
      </w:r>
    </w:p>
  </w:footnote>
  <w:footnote w:id="49">
    <w:p w:rsidR="0036016C" w:rsidRPr="00893D25" w:rsidP="00893D25" w14:paraId="04AEDDED" w14:textId="57B41274">
      <w:pPr>
        <w:pStyle w:val="FootnoteText"/>
      </w:pPr>
      <w:r w:rsidRPr="00893D25">
        <w:rPr>
          <w:rStyle w:val="FootnoteReference"/>
        </w:rPr>
        <w:footnoteRef/>
      </w:r>
      <w:r w:rsidRPr="00893D25">
        <w:t xml:space="preserve"> Order, at ¶198 (emphasis added).</w:t>
      </w:r>
    </w:p>
  </w:footnote>
  <w:footnote w:id="50">
    <w:p w:rsidR="0036016C" w:rsidRPr="00893D25" w:rsidP="00893D25" w14:paraId="1480AFAF" w14:textId="31172EBB">
      <w:pPr>
        <w:pStyle w:val="FootnoteText"/>
      </w:pPr>
      <w:r w:rsidRPr="00893D25">
        <w:rPr>
          <w:rStyle w:val="FootnoteReference"/>
        </w:rPr>
        <w:footnoteRef/>
      </w:r>
      <w:r w:rsidRPr="00893D25">
        <w:t xml:space="preserve"> Order, at ¶199 (emphasis added).</w:t>
      </w:r>
    </w:p>
  </w:footnote>
  <w:footnote w:id="51">
    <w:p w:rsidR="0036016C" w:rsidRPr="00893D25" w:rsidP="00893D25" w14:paraId="39F0BD81" w14:textId="6AF633B9">
      <w:pPr>
        <w:pStyle w:val="FootnoteText"/>
      </w:pPr>
      <w:r w:rsidRPr="00893D25">
        <w:rPr>
          <w:rStyle w:val="FootnoteReference"/>
        </w:rPr>
        <w:footnoteRef/>
      </w:r>
      <w:r w:rsidRPr="00893D25">
        <w:t xml:space="preserve"> NEP AFR, at 9-11.</w:t>
      </w:r>
    </w:p>
  </w:footnote>
  <w:footnote w:id="52">
    <w:p w:rsidR="0036016C" w:rsidRPr="00893D25" w:rsidP="00893D25" w14:paraId="655C584E" w14:textId="701369D9">
      <w:pPr>
        <w:pStyle w:val="FootnoteText"/>
      </w:pPr>
      <w:r w:rsidRPr="00893D25">
        <w:rPr>
          <w:rStyle w:val="FootnoteReference"/>
        </w:rPr>
        <w:footnoteRef/>
      </w:r>
      <w:r w:rsidRPr="00893D25">
        <w:t xml:space="preserve"> </w:t>
      </w:r>
      <w:r w:rsidRPr="00893D25">
        <w:rPr>
          <w:i/>
          <w:iCs/>
        </w:rPr>
        <w:t xml:space="preserve">See </w:t>
      </w:r>
      <w:r w:rsidRPr="00893D25">
        <w:t>Order at ¶¶140, 146, 149, and 151.</w:t>
      </w:r>
    </w:p>
  </w:footnote>
  <w:footnote w:id="53">
    <w:p w:rsidR="000E71D7" w14:paraId="0B4A321E" w14:textId="24B3094A">
      <w:pPr>
        <w:pStyle w:val="FootnoteText"/>
      </w:pPr>
      <w:r>
        <w:rPr>
          <w:rStyle w:val="FootnoteReference"/>
        </w:rPr>
        <w:footnoteRef/>
      </w:r>
      <w:r>
        <w:t xml:space="preserve"> Order, at ¶151.</w:t>
      </w:r>
    </w:p>
  </w:footnote>
  <w:footnote w:id="54">
    <w:p w:rsidR="0036016C" w:rsidRPr="00893D25" w:rsidP="00893D25" w14:paraId="48E3AFD8" w14:textId="578D46B9">
      <w:pPr>
        <w:pStyle w:val="FootnoteText"/>
      </w:pPr>
      <w:r w:rsidRPr="00893D25">
        <w:rPr>
          <w:rStyle w:val="FootnoteReference"/>
        </w:rPr>
        <w:footnoteRef/>
      </w:r>
      <w:r w:rsidRPr="00893D25">
        <w:t xml:space="preserve"> Order, at ¶151.</w:t>
      </w:r>
    </w:p>
  </w:footnote>
  <w:footnote w:id="55">
    <w:p w:rsidR="0036016C" w:rsidRPr="00893D25" w:rsidP="00893D25" w14:paraId="37BAE7D7" w14:textId="4FB1AF36">
      <w:pPr>
        <w:pStyle w:val="FootnoteText"/>
      </w:pPr>
      <w:r w:rsidRPr="00893D25">
        <w:rPr>
          <w:rStyle w:val="FootnoteReference"/>
        </w:rPr>
        <w:footnoteRef/>
      </w:r>
      <w:r w:rsidRPr="00893D25">
        <w:t xml:space="preserve"> NEP AFR, at 10.</w:t>
      </w:r>
    </w:p>
  </w:footnote>
  <w:footnote w:id="56">
    <w:p w:rsidR="0036016C" w:rsidRPr="00893D25" w:rsidP="00893D25" w14:paraId="2B4A9DC2" w14:textId="08B0E7D6">
      <w:pPr>
        <w:pStyle w:val="FootnoteText"/>
      </w:pPr>
      <w:r w:rsidRPr="00893D25">
        <w:rPr>
          <w:rStyle w:val="FootnoteReference"/>
        </w:rPr>
        <w:footnoteRef/>
      </w:r>
      <w:r w:rsidRPr="00893D25">
        <w:t xml:space="preserve"> NEP AFR, at 9.</w:t>
      </w:r>
    </w:p>
  </w:footnote>
  <w:footnote w:id="57">
    <w:p w:rsidR="0036016C" w:rsidRPr="00893D25" w:rsidP="00893D25" w14:paraId="7FAA0EE3" w14:textId="39D4AF15">
      <w:pPr>
        <w:pStyle w:val="FootnoteText"/>
      </w:pPr>
      <w:r w:rsidRPr="00893D25">
        <w:rPr>
          <w:rStyle w:val="FootnoteReference"/>
        </w:rPr>
        <w:footnoteRef/>
      </w:r>
      <w:r w:rsidRPr="00893D25">
        <w:t xml:space="preserve"> OCC Reply Brief (July 6, 2021), at 21-24.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07737" w14:paraId="319EE9D0"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07737" w14:paraId="0D8BAC54"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539C1AB6"/>
    <w:lvl w:ilvl="0">
      <w:start w:val="1"/>
      <w:numFmt w:val="decimal"/>
      <w:lvlText w:val="%1."/>
      <w:lvlJc w:val="left"/>
      <w:pPr>
        <w:tabs>
          <w:tab w:val="num" w:pos="1800"/>
        </w:tabs>
        <w:ind w:left="1800" w:hanging="360"/>
      </w:pPr>
    </w:lvl>
  </w:abstractNum>
  <w:abstractNum w:abstractNumId="1">
    <w:nsid w:val="FFFFFF7D"/>
    <w:multiLevelType w:val="singleLevel"/>
    <w:tmpl w:val="305E07D8"/>
    <w:lvl w:ilvl="0">
      <w:start w:val="1"/>
      <w:numFmt w:val="decimal"/>
      <w:lvlText w:val="%1."/>
      <w:lvlJc w:val="left"/>
      <w:pPr>
        <w:tabs>
          <w:tab w:val="num" w:pos="1440"/>
        </w:tabs>
        <w:ind w:left="1440" w:hanging="360"/>
      </w:pPr>
    </w:lvl>
  </w:abstractNum>
  <w:abstractNum w:abstractNumId="2">
    <w:nsid w:val="FFFFFF7E"/>
    <w:multiLevelType w:val="singleLevel"/>
    <w:tmpl w:val="782481F0"/>
    <w:lvl w:ilvl="0">
      <w:start w:val="1"/>
      <w:numFmt w:val="decimal"/>
      <w:lvlText w:val="%1."/>
      <w:lvlJc w:val="left"/>
      <w:pPr>
        <w:tabs>
          <w:tab w:val="num" w:pos="1080"/>
        </w:tabs>
        <w:ind w:left="1080" w:hanging="360"/>
      </w:pPr>
    </w:lvl>
  </w:abstractNum>
  <w:abstractNum w:abstractNumId="3">
    <w:nsid w:val="FFFFFF7F"/>
    <w:multiLevelType w:val="singleLevel"/>
    <w:tmpl w:val="3DA69542"/>
    <w:lvl w:ilvl="0">
      <w:start w:val="1"/>
      <w:numFmt w:val="decimal"/>
      <w:lvlText w:val="%1."/>
      <w:lvlJc w:val="left"/>
      <w:pPr>
        <w:tabs>
          <w:tab w:val="num" w:pos="720"/>
        </w:tabs>
        <w:ind w:left="720" w:hanging="360"/>
      </w:pPr>
    </w:lvl>
  </w:abstractNum>
  <w:abstractNum w:abstractNumId="4">
    <w:nsid w:val="FFFFFF80"/>
    <w:multiLevelType w:val="singleLevel"/>
    <w:tmpl w:val="EBAE128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65E035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C8CD67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C327B0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A7AA63C"/>
    <w:lvl w:ilvl="0">
      <w:start w:val="1"/>
      <w:numFmt w:val="decimal"/>
      <w:lvlText w:val="%1."/>
      <w:lvlJc w:val="left"/>
      <w:pPr>
        <w:tabs>
          <w:tab w:val="num" w:pos="360"/>
        </w:tabs>
        <w:ind w:left="360" w:hanging="360"/>
      </w:pPr>
    </w:lvl>
  </w:abstractNum>
  <w:abstractNum w:abstractNumId="9">
    <w:nsid w:val="FFFFFF89"/>
    <w:multiLevelType w:val="singleLevel"/>
    <w:tmpl w:val="B5E6F18A"/>
    <w:lvl w:ilvl="0">
      <w:start w:val="1"/>
      <w:numFmt w:val="bullet"/>
      <w:lvlText w:val=""/>
      <w:lvlJc w:val="left"/>
      <w:pPr>
        <w:tabs>
          <w:tab w:val="num" w:pos="360"/>
        </w:tabs>
        <w:ind w:left="360" w:hanging="360"/>
      </w:pPr>
      <w:rPr>
        <w:rFonts w:ascii="Symbol" w:hAnsi="Symbol" w:hint="default"/>
      </w:rPr>
    </w:lvl>
  </w:abstractNum>
  <w:abstractNum w:abstractNumId="10">
    <w:nsid w:val="00322334"/>
    <w:multiLevelType w:val="hybridMultilevel"/>
    <w:tmpl w:val="C4A6C6C2"/>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1">
    <w:nsid w:val="015841E5"/>
    <w:multiLevelType w:val="hybridMultilevel"/>
    <w:tmpl w:val="38161688"/>
    <w:lvl w:ilvl="0">
      <w:start w:val="1"/>
      <w:numFmt w:val="upperRoman"/>
      <w:lvlText w:val="%1."/>
      <w:lvlJc w:val="righ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05E55674"/>
    <w:multiLevelType w:val="hybridMultilevel"/>
    <w:tmpl w:val="9C4EEEAE"/>
    <w:lvl w:ilvl="0">
      <w:start w:val="1"/>
      <w:numFmt w:val="upp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3">
    <w:nsid w:val="093F5ECD"/>
    <w:multiLevelType w:val="hybridMultilevel"/>
    <w:tmpl w:val="9F5AE368"/>
    <w:lvl w:ilvl="0">
      <w:start w:val="1"/>
      <w:numFmt w:val="decimal"/>
      <w:lvlText w:val="%1."/>
      <w:lvlJc w:val="left"/>
      <w:pPr>
        <w:ind w:left="2520" w:hanging="360"/>
      </w:pPr>
      <w:rPr>
        <w:rFonts w:hint="default"/>
        <w:b/>
      </w:rPr>
    </w:lvl>
    <w:lvl w:ilvl="1" w:tentative="1">
      <w:start w:val="1"/>
      <w:numFmt w:val="lowerLetter"/>
      <w:lvlText w:val="%2."/>
      <w:lvlJc w:val="left"/>
      <w:pPr>
        <w:ind w:left="3240" w:hanging="360"/>
      </w:pPr>
    </w:lvl>
    <w:lvl w:ilvl="2" w:tentative="1">
      <w:start w:val="1"/>
      <w:numFmt w:val="lowerRoman"/>
      <w:lvlText w:val="%3."/>
      <w:lvlJc w:val="right"/>
      <w:pPr>
        <w:ind w:left="3960" w:hanging="180"/>
      </w:pPr>
    </w:lvl>
    <w:lvl w:ilvl="3" w:tentative="1">
      <w:start w:val="1"/>
      <w:numFmt w:val="decimal"/>
      <w:lvlText w:val="%4."/>
      <w:lvlJc w:val="left"/>
      <w:pPr>
        <w:ind w:left="4680" w:hanging="360"/>
      </w:pPr>
    </w:lvl>
    <w:lvl w:ilvl="4" w:tentative="1">
      <w:start w:val="1"/>
      <w:numFmt w:val="lowerLetter"/>
      <w:lvlText w:val="%5."/>
      <w:lvlJc w:val="left"/>
      <w:pPr>
        <w:ind w:left="5400" w:hanging="360"/>
      </w:pPr>
    </w:lvl>
    <w:lvl w:ilvl="5" w:tentative="1">
      <w:start w:val="1"/>
      <w:numFmt w:val="lowerRoman"/>
      <w:lvlText w:val="%6."/>
      <w:lvlJc w:val="right"/>
      <w:pPr>
        <w:ind w:left="6120" w:hanging="180"/>
      </w:pPr>
    </w:lvl>
    <w:lvl w:ilvl="6" w:tentative="1">
      <w:start w:val="1"/>
      <w:numFmt w:val="decimal"/>
      <w:lvlText w:val="%7."/>
      <w:lvlJc w:val="left"/>
      <w:pPr>
        <w:ind w:left="6840" w:hanging="360"/>
      </w:pPr>
    </w:lvl>
    <w:lvl w:ilvl="7" w:tentative="1">
      <w:start w:val="1"/>
      <w:numFmt w:val="lowerLetter"/>
      <w:lvlText w:val="%8."/>
      <w:lvlJc w:val="left"/>
      <w:pPr>
        <w:ind w:left="7560" w:hanging="360"/>
      </w:pPr>
    </w:lvl>
    <w:lvl w:ilvl="8" w:tentative="1">
      <w:start w:val="1"/>
      <w:numFmt w:val="lowerRoman"/>
      <w:lvlText w:val="%9."/>
      <w:lvlJc w:val="right"/>
      <w:pPr>
        <w:ind w:left="8280" w:hanging="180"/>
      </w:pPr>
    </w:lvl>
  </w:abstractNum>
  <w:abstractNum w:abstractNumId="14">
    <w:nsid w:val="0B393111"/>
    <w:multiLevelType w:val="hybridMultilevel"/>
    <w:tmpl w:val="245885E8"/>
    <w:lvl w:ilvl="0">
      <w:start w:val="1"/>
      <w:numFmt w:val="upperRoman"/>
      <w:lvlText w:val="%1."/>
      <w:lvlJc w:val="righ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5">
    <w:nsid w:val="0C0D12AF"/>
    <w:multiLevelType w:val="hybridMultilevel"/>
    <w:tmpl w:val="16729C92"/>
    <w:lvl w:ilvl="0">
      <w:start w:val="1"/>
      <w:numFmt w:val="decimal"/>
      <w:lvlText w:val="%1."/>
      <w:lvlJc w:val="left"/>
      <w:pPr>
        <w:ind w:left="778" w:hanging="360"/>
      </w:pPr>
      <w:rPr>
        <w:b/>
      </w:rPr>
    </w:lvl>
    <w:lvl w:ilvl="1" w:tentative="1">
      <w:start w:val="1"/>
      <w:numFmt w:val="lowerLetter"/>
      <w:lvlText w:val="%2."/>
      <w:lvlJc w:val="left"/>
      <w:pPr>
        <w:ind w:left="1498" w:hanging="360"/>
      </w:pPr>
    </w:lvl>
    <w:lvl w:ilvl="2" w:tentative="1">
      <w:start w:val="1"/>
      <w:numFmt w:val="lowerRoman"/>
      <w:lvlText w:val="%3."/>
      <w:lvlJc w:val="right"/>
      <w:pPr>
        <w:ind w:left="2218" w:hanging="180"/>
      </w:pPr>
    </w:lvl>
    <w:lvl w:ilvl="3" w:tentative="1">
      <w:start w:val="1"/>
      <w:numFmt w:val="decimal"/>
      <w:lvlText w:val="%4."/>
      <w:lvlJc w:val="left"/>
      <w:pPr>
        <w:ind w:left="2938" w:hanging="360"/>
      </w:pPr>
    </w:lvl>
    <w:lvl w:ilvl="4" w:tentative="1">
      <w:start w:val="1"/>
      <w:numFmt w:val="lowerLetter"/>
      <w:lvlText w:val="%5."/>
      <w:lvlJc w:val="left"/>
      <w:pPr>
        <w:ind w:left="3658" w:hanging="360"/>
      </w:pPr>
    </w:lvl>
    <w:lvl w:ilvl="5" w:tentative="1">
      <w:start w:val="1"/>
      <w:numFmt w:val="lowerRoman"/>
      <w:lvlText w:val="%6."/>
      <w:lvlJc w:val="right"/>
      <w:pPr>
        <w:ind w:left="4378" w:hanging="180"/>
      </w:pPr>
    </w:lvl>
    <w:lvl w:ilvl="6" w:tentative="1">
      <w:start w:val="1"/>
      <w:numFmt w:val="decimal"/>
      <w:lvlText w:val="%7."/>
      <w:lvlJc w:val="left"/>
      <w:pPr>
        <w:ind w:left="5098" w:hanging="360"/>
      </w:pPr>
    </w:lvl>
    <w:lvl w:ilvl="7" w:tentative="1">
      <w:start w:val="1"/>
      <w:numFmt w:val="lowerLetter"/>
      <w:lvlText w:val="%8."/>
      <w:lvlJc w:val="left"/>
      <w:pPr>
        <w:ind w:left="5818" w:hanging="360"/>
      </w:pPr>
    </w:lvl>
    <w:lvl w:ilvl="8" w:tentative="1">
      <w:start w:val="1"/>
      <w:numFmt w:val="lowerRoman"/>
      <w:lvlText w:val="%9."/>
      <w:lvlJc w:val="right"/>
      <w:pPr>
        <w:ind w:left="6538" w:hanging="180"/>
      </w:pPr>
    </w:lvl>
  </w:abstractNum>
  <w:abstractNum w:abstractNumId="16">
    <w:nsid w:val="0C45766B"/>
    <w:multiLevelType w:val="hybridMultilevel"/>
    <w:tmpl w:val="A5C03746"/>
    <w:lvl w:ilvl="0">
      <w:start w:val="1"/>
      <w:numFmt w:val="upperLetter"/>
      <w:lvlText w:val="%1."/>
      <w:lvlJc w:val="left"/>
      <w:pPr>
        <w:ind w:left="3240" w:hanging="360"/>
      </w:pPr>
      <w:rPr>
        <w:rFonts w:ascii="Times New Roman" w:hAnsi="Times New Roman"/>
        <w:b/>
        <w:bCs w:val="0"/>
        <w:i w:val="0"/>
        <w:iCs w:val="0"/>
        <w:caps w:val="0"/>
        <w:smallCaps w:val="0"/>
        <w:strike w:val="0"/>
        <w:dstrike w:val="0"/>
        <w:noProof w:val="0"/>
        <w:vanish w:val="0"/>
        <w:color w:val="000000"/>
        <w:spacing w:val="0"/>
        <w:kern w:val="0"/>
        <w:position w:val="0"/>
        <w:u w:val="none"/>
        <w:effect w:val="none"/>
        <w:vertAlign w:val="baseline"/>
        <w:specVanish w:val="0"/>
      </w:rPr>
    </w:lvl>
    <w:lvl w:ilvl="1" w:tentative="1">
      <w:start w:val="1"/>
      <w:numFmt w:val="lowerLetter"/>
      <w:lvlText w:val="%2."/>
      <w:lvlJc w:val="left"/>
      <w:pPr>
        <w:ind w:left="3960" w:hanging="360"/>
      </w:pPr>
    </w:lvl>
    <w:lvl w:ilvl="2" w:tentative="1">
      <w:start w:val="1"/>
      <w:numFmt w:val="lowerRoman"/>
      <w:lvlText w:val="%3."/>
      <w:lvlJc w:val="right"/>
      <w:pPr>
        <w:ind w:left="4680" w:hanging="180"/>
      </w:pPr>
    </w:lvl>
    <w:lvl w:ilvl="3" w:tentative="1">
      <w:start w:val="1"/>
      <w:numFmt w:val="decimal"/>
      <w:lvlText w:val="%4."/>
      <w:lvlJc w:val="left"/>
      <w:pPr>
        <w:ind w:left="5400" w:hanging="360"/>
      </w:pPr>
    </w:lvl>
    <w:lvl w:ilvl="4" w:tentative="1">
      <w:start w:val="1"/>
      <w:numFmt w:val="lowerLetter"/>
      <w:lvlText w:val="%5."/>
      <w:lvlJc w:val="left"/>
      <w:pPr>
        <w:ind w:left="6120" w:hanging="360"/>
      </w:pPr>
    </w:lvl>
    <w:lvl w:ilvl="5" w:tentative="1">
      <w:start w:val="1"/>
      <w:numFmt w:val="lowerRoman"/>
      <w:lvlText w:val="%6."/>
      <w:lvlJc w:val="right"/>
      <w:pPr>
        <w:ind w:left="6840" w:hanging="180"/>
      </w:pPr>
    </w:lvl>
    <w:lvl w:ilvl="6" w:tentative="1">
      <w:start w:val="1"/>
      <w:numFmt w:val="decimal"/>
      <w:lvlText w:val="%7."/>
      <w:lvlJc w:val="left"/>
      <w:pPr>
        <w:ind w:left="7560" w:hanging="360"/>
      </w:pPr>
    </w:lvl>
    <w:lvl w:ilvl="7" w:tentative="1">
      <w:start w:val="1"/>
      <w:numFmt w:val="lowerLetter"/>
      <w:lvlText w:val="%8."/>
      <w:lvlJc w:val="left"/>
      <w:pPr>
        <w:ind w:left="8280" w:hanging="360"/>
      </w:pPr>
    </w:lvl>
    <w:lvl w:ilvl="8" w:tentative="1">
      <w:start w:val="1"/>
      <w:numFmt w:val="lowerRoman"/>
      <w:lvlText w:val="%9."/>
      <w:lvlJc w:val="right"/>
      <w:pPr>
        <w:ind w:left="9000" w:hanging="180"/>
      </w:pPr>
    </w:lvl>
  </w:abstractNum>
  <w:abstractNum w:abstractNumId="17">
    <w:nsid w:val="0EC67D1C"/>
    <w:multiLevelType w:val="hybridMultilevel"/>
    <w:tmpl w:val="EF505188"/>
    <w:lvl w:ilvl="0">
      <w:start w:val="1"/>
      <w:numFmt w:val="upperRoman"/>
      <w:lvlText w:val="%1."/>
      <w:lvlJc w:val="righ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8">
    <w:nsid w:val="0FAD25BD"/>
    <w:multiLevelType w:val="hybridMultilevel"/>
    <w:tmpl w:val="AFE0CF3E"/>
    <w:lvl w:ilvl="0">
      <w:start w:val="1"/>
      <w:numFmt w:val="upperRoman"/>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9">
    <w:nsid w:val="10E8414B"/>
    <w:multiLevelType w:val="hybridMultilevel"/>
    <w:tmpl w:val="33F0F474"/>
    <w:lvl w:ilvl="0">
      <w:start w:val="1"/>
      <w:numFmt w:val="upperLetter"/>
      <w:lvlText w:val="%1."/>
      <w:lvlJc w:val="left"/>
      <w:pPr>
        <w:ind w:left="1800" w:hanging="360"/>
      </w:p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0">
    <w:nsid w:val="16A56791"/>
    <w:multiLevelType w:val="hybridMultilevel"/>
    <w:tmpl w:val="20E2044C"/>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17A66774"/>
    <w:multiLevelType w:val="hybridMultilevel"/>
    <w:tmpl w:val="839EADB2"/>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2">
    <w:nsid w:val="1A961368"/>
    <w:multiLevelType w:val="hybridMultilevel"/>
    <w:tmpl w:val="A09850D4"/>
    <w:lvl w:ilvl="0">
      <w:start w:val="1"/>
      <w:numFmt w:val="decimal"/>
      <w:pStyle w:val="Heading3"/>
      <w:lvlText w:val="%1."/>
      <w:lvlJc w:val="left"/>
      <w:pPr>
        <w:ind w:left="2520" w:hanging="360"/>
      </w:pPr>
      <w:rPr>
        <w:rFonts w:hint="default"/>
      </w:rPr>
    </w:lvl>
    <w:lvl w:ilvl="1" w:tentative="1">
      <w:start w:val="1"/>
      <w:numFmt w:val="lowerLetter"/>
      <w:lvlText w:val="%2."/>
      <w:lvlJc w:val="left"/>
      <w:pPr>
        <w:ind w:left="3240" w:hanging="360"/>
      </w:pPr>
    </w:lvl>
    <w:lvl w:ilvl="2" w:tentative="1">
      <w:start w:val="1"/>
      <w:numFmt w:val="lowerRoman"/>
      <w:lvlText w:val="%3."/>
      <w:lvlJc w:val="right"/>
      <w:pPr>
        <w:ind w:left="3960" w:hanging="180"/>
      </w:pPr>
    </w:lvl>
    <w:lvl w:ilvl="3" w:tentative="1">
      <w:start w:val="1"/>
      <w:numFmt w:val="decimal"/>
      <w:lvlText w:val="%4."/>
      <w:lvlJc w:val="left"/>
      <w:pPr>
        <w:ind w:left="4680" w:hanging="360"/>
      </w:pPr>
    </w:lvl>
    <w:lvl w:ilvl="4" w:tentative="1">
      <w:start w:val="1"/>
      <w:numFmt w:val="lowerLetter"/>
      <w:lvlText w:val="%5."/>
      <w:lvlJc w:val="left"/>
      <w:pPr>
        <w:ind w:left="5400" w:hanging="360"/>
      </w:pPr>
    </w:lvl>
    <w:lvl w:ilvl="5" w:tentative="1">
      <w:start w:val="1"/>
      <w:numFmt w:val="lowerRoman"/>
      <w:lvlText w:val="%6."/>
      <w:lvlJc w:val="right"/>
      <w:pPr>
        <w:ind w:left="6120" w:hanging="180"/>
      </w:pPr>
    </w:lvl>
    <w:lvl w:ilvl="6" w:tentative="1">
      <w:start w:val="1"/>
      <w:numFmt w:val="decimal"/>
      <w:lvlText w:val="%7."/>
      <w:lvlJc w:val="left"/>
      <w:pPr>
        <w:ind w:left="6840" w:hanging="360"/>
      </w:pPr>
    </w:lvl>
    <w:lvl w:ilvl="7" w:tentative="1">
      <w:start w:val="1"/>
      <w:numFmt w:val="lowerLetter"/>
      <w:lvlText w:val="%8."/>
      <w:lvlJc w:val="left"/>
      <w:pPr>
        <w:ind w:left="7560" w:hanging="360"/>
      </w:pPr>
    </w:lvl>
    <w:lvl w:ilvl="8" w:tentative="1">
      <w:start w:val="1"/>
      <w:numFmt w:val="lowerRoman"/>
      <w:lvlText w:val="%9."/>
      <w:lvlJc w:val="right"/>
      <w:pPr>
        <w:ind w:left="8280" w:hanging="180"/>
      </w:pPr>
    </w:lvl>
  </w:abstractNum>
  <w:abstractNum w:abstractNumId="23">
    <w:nsid w:val="1D086487"/>
    <w:multiLevelType w:val="hybridMultilevel"/>
    <w:tmpl w:val="B8A28E24"/>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22043176"/>
    <w:multiLevelType w:val="hybridMultilevel"/>
    <w:tmpl w:val="EF507CAC"/>
    <w:lvl w:ilvl="0">
      <w:start w:val="1"/>
      <w:numFmt w:val="upperRoman"/>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5">
    <w:nsid w:val="22E4477C"/>
    <w:multiLevelType w:val="hybridMultilevel"/>
    <w:tmpl w:val="52D2A1A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6">
    <w:nsid w:val="295B5242"/>
    <w:multiLevelType w:val="hybridMultilevel"/>
    <w:tmpl w:val="F0BCEFF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2F440CF7"/>
    <w:multiLevelType w:val="hybridMultilevel"/>
    <w:tmpl w:val="571A092A"/>
    <w:lvl w:ilvl="0">
      <w:start w:val="1"/>
      <w:numFmt w:val="decimal"/>
      <w:pStyle w:val="Heading4"/>
      <w:lvlText w:val="%1."/>
      <w:lvlJc w:val="left"/>
      <w:pPr>
        <w:ind w:left="2520" w:hanging="360"/>
      </w:pPr>
      <w:rPr>
        <w:rFonts w:hint="default"/>
      </w:rPr>
    </w:lvl>
    <w:lvl w:ilvl="1" w:tentative="1">
      <w:start w:val="1"/>
      <w:numFmt w:val="lowerLetter"/>
      <w:lvlText w:val="%2."/>
      <w:lvlJc w:val="left"/>
      <w:pPr>
        <w:ind w:left="3240" w:hanging="360"/>
      </w:pPr>
    </w:lvl>
    <w:lvl w:ilvl="2" w:tentative="1">
      <w:start w:val="1"/>
      <w:numFmt w:val="lowerRoman"/>
      <w:lvlText w:val="%3."/>
      <w:lvlJc w:val="right"/>
      <w:pPr>
        <w:ind w:left="3960" w:hanging="180"/>
      </w:pPr>
    </w:lvl>
    <w:lvl w:ilvl="3" w:tentative="1">
      <w:start w:val="1"/>
      <w:numFmt w:val="decimal"/>
      <w:lvlText w:val="%4."/>
      <w:lvlJc w:val="left"/>
      <w:pPr>
        <w:ind w:left="4680" w:hanging="360"/>
      </w:pPr>
    </w:lvl>
    <w:lvl w:ilvl="4" w:tentative="1">
      <w:start w:val="1"/>
      <w:numFmt w:val="lowerLetter"/>
      <w:lvlText w:val="%5."/>
      <w:lvlJc w:val="left"/>
      <w:pPr>
        <w:ind w:left="5400" w:hanging="360"/>
      </w:pPr>
    </w:lvl>
    <w:lvl w:ilvl="5" w:tentative="1">
      <w:start w:val="1"/>
      <w:numFmt w:val="lowerRoman"/>
      <w:lvlText w:val="%6."/>
      <w:lvlJc w:val="right"/>
      <w:pPr>
        <w:ind w:left="6120" w:hanging="180"/>
      </w:pPr>
    </w:lvl>
    <w:lvl w:ilvl="6" w:tentative="1">
      <w:start w:val="1"/>
      <w:numFmt w:val="decimal"/>
      <w:lvlText w:val="%7."/>
      <w:lvlJc w:val="left"/>
      <w:pPr>
        <w:ind w:left="6840" w:hanging="360"/>
      </w:pPr>
    </w:lvl>
    <w:lvl w:ilvl="7" w:tentative="1">
      <w:start w:val="1"/>
      <w:numFmt w:val="lowerLetter"/>
      <w:lvlText w:val="%8."/>
      <w:lvlJc w:val="left"/>
      <w:pPr>
        <w:ind w:left="7560" w:hanging="360"/>
      </w:pPr>
    </w:lvl>
    <w:lvl w:ilvl="8" w:tentative="1">
      <w:start w:val="1"/>
      <w:numFmt w:val="lowerRoman"/>
      <w:lvlText w:val="%9."/>
      <w:lvlJc w:val="right"/>
      <w:pPr>
        <w:ind w:left="8280" w:hanging="180"/>
      </w:pPr>
    </w:lvl>
  </w:abstractNum>
  <w:abstractNum w:abstractNumId="28">
    <w:nsid w:val="317B7CE6"/>
    <w:multiLevelType w:val="hybridMultilevel"/>
    <w:tmpl w:val="DF3CC680"/>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9">
    <w:nsid w:val="3DBE7556"/>
    <w:multiLevelType w:val="hybridMultilevel"/>
    <w:tmpl w:val="56904B6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0">
    <w:nsid w:val="3F8A44A5"/>
    <w:multiLevelType w:val="hybridMultilevel"/>
    <w:tmpl w:val="6E7625C0"/>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1">
    <w:nsid w:val="41FB707D"/>
    <w:multiLevelType w:val="hybridMultilevel"/>
    <w:tmpl w:val="519C5DC8"/>
    <w:lvl w:ilvl="0">
      <w:start w:val="1"/>
      <w:numFmt w:val="upp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2">
    <w:nsid w:val="45260755"/>
    <w:multiLevelType w:val="hybridMultilevel"/>
    <w:tmpl w:val="6F4E7C9A"/>
    <w:lvl w:ilvl="0">
      <w:start w:val="1"/>
      <w:numFmt w:val="lowerRoman"/>
      <w:lvlText w:val="%1."/>
      <w:lvlJc w:val="righ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3">
    <w:nsid w:val="4743258A"/>
    <w:multiLevelType w:val="hybridMultilevel"/>
    <w:tmpl w:val="B33445E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4">
    <w:nsid w:val="4C2F5E2B"/>
    <w:multiLevelType w:val="hybridMultilevel"/>
    <w:tmpl w:val="6568A10E"/>
    <w:lvl w:ilvl="0">
      <w:start w:val="1"/>
      <w:numFmt w:val="lowerRoman"/>
      <w:lvlText w:val="%1."/>
      <w:lvlJc w:val="righ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5">
    <w:nsid w:val="4DAB6C42"/>
    <w:multiLevelType w:val="hybridMultilevel"/>
    <w:tmpl w:val="247AE7DE"/>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nsid w:val="51502BAB"/>
    <w:multiLevelType w:val="hybridMultilevel"/>
    <w:tmpl w:val="F726059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7">
    <w:nsid w:val="519D3C25"/>
    <w:multiLevelType w:val="hybridMultilevel"/>
    <w:tmpl w:val="26363B8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8">
    <w:nsid w:val="53286F4C"/>
    <w:multiLevelType w:val="hybridMultilevel"/>
    <w:tmpl w:val="F348B506"/>
    <w:lvl w:ilvl="0">
      <w:start w:val="2"/>
      <w:numFmt w:val="upperLetter"/>
      <w:lvlText w:val="%1."/>
      <w:lvlJc w:val="left"/>
      <w:pPr>
        <w:ind w:left="144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nsid w:val="591A73F3"/>
    <w:multiLevelType w:val="hybridMultilevel"/>
    <w:tmpl w:val="EAE03BE0"/>
    <w:lvl w:ilvl="0">
      <w:start w:val="1"/>
      <w:numFmt w:val="decimal"/>
      <w:lvlText w:val="%1."/>
      <w:lvlJc w:val="left"/>
      <w:pPr>
        <w:ind w:left="2160" w:hanging="72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40">
    <w:nsid w:val="5A31614A"/>
    <w:multiLevelType w:val="hybridMultilevel"/>
    <w:tmpl w:val="6278EC90"/>
    <w:lvl w:ilvl="0">
      <w:start w:val="1"/>
      <w:numFmt w:val="upperRoman"/>
      <w:lvlText w:val="%1."/>
      <w:lvlJc w:val="righ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
    <w:nsid w:val="5F0518BC"/>
    <w:multiLevelType w:val="hybridMultilevel"/>
    <w:tmpl w:val="73644D50"/>
    <w:lvl w:ilvl="0">
      <w:start w:val="1"/>
      <w:numFmt w:val="upperRoman"/>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2">
    <w:nsid w:val="68DA3CDD"/>
    <w:multiLevelType w:val="hybridMultilevel"/>
    <w:tmpl w:val="574460AC"/>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43">
    <w:nsid w:val="6FB419F2"/>
    <w:multiLevelType w:val="hybridMultilevel"/>
    <w:tmpl w:val="157EDF2E"/>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4">
    <w:nsid w:val="6FFE2FD5"/>
    <w:multiLevelType w:val="hybridMultilevel"/>
    <w:tmpl w:val="7154FB9C"/>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5">
    <w:nsid w:val="77E157A2"/>
    <w:multiLevelType w:val="hybridMultilevel"/>
    <w:tmpl w:val="03146A3E"/>
    <w:lvl w:ilvl="0">
      <w:start w:val="1"/>
      <w:numFmt w:val="decimal"/>
      <w:lvlText w:val="%1."/>
      <w:lvlJc w:val="left"/>
      <w:pPr>
        <w:ind w:left="778" w:hanging="360"/>
      </w:pPr>
      <w:rPr>
        <w:b/>
        <w:i w:val="0"/>
      </w:rPr>
    </w:lvl>
    <w:lvl w:ilvl="1" w:tentative="1">
      <w:start w:val="1"/>
      <w:numFmt w:val="lowerLetter"/>
      <w:lvlText w:val="%2."/>
      <w:lvlJc w:val="left"/>
      <w:pPr>
        <w:ind w:left="1498" w:hanging="360"/>
      </w:pPr>
    </w:lvl>
    <w:lvl w:ilvl="2" w:tentative="1">
      <w:start w:val="1"/>
      <w:numFmt w:val="lowerRoman"/>
      <w:lvlText w:val="%3."/>
      <w:lvlJc w:val="right"/>
      <w:pPr>
        <w:ind w:left="2218" w:hanging="180"/>
      </w:pPr>
    </w:lvl>
    <w:lvl w:ilvl="3" w:tentative="1">
      <w:start w:val="1"/>
      <w:numFmt w:val="decimal"/>
      <w:lvlText w:val="%4."/>
      <w:lvlJc w:val="left"/>
      <w:pPr>
        <w:ind w:left="2938" w:hanging="360"/>
      </w:pPr>
    </w:lvl>
    <w:lvl w:ilvl="4" w:tentative="1">
      <w:start w:val="1"/>
      <w:numFmt w:val="lowerLetter"/>
      <w:lvlText w:val="%5."/>
      <w:lvlJc w:val="left"/>
      <w:pPr>
        <w:ind w:left="3658" w:hanging="360"/>
      </w:pPr>
    </w:lvl>
    <w:lvl w:ilvl="5" w:tentative="1">
      <w:start w:val="1"/>
      <w:numFmt w:val="lowerRoman"/>
      <w:lvlText w:val="%6."/>
      <w:lvlJc w:val="right"/>
      <w:pPr>
        <w:ind w:left="4378" w:hanging="180"/>
      </w:pPr>
    </w:lvl>
    <w:lvl w:ilvl="6" w:tentative="1">
      <w:start w:val="1"/>
      <w:numFmt w:val="decimal"/>
      <w:lvlText w:val="%7."/>
      <w:lvlJc w:val="left"/>
      <w:pPr>
        <w:ind w:left="5098" w:hanging="360"/>
      </w:pPr>
    </w:lvl>
    <w:lvl w:ilvl="7" w:tentative="1">
      <w:start w:val="1"/>
      <w:numFmt w:val="lowerLetter"/>
      <w:lvlText w:val="%8."/>
      <w:lvlJc w:val="left"/>
      <w:pPr>
        <w:ind w:left="5818" w:hanging="360"/>
      </w:pPr>
    </w:lvl>
    <w:lvl w:ilvl="8" w:tentative="1">
      <w:start w:val="1"/>
      <w:numFmt w:val="lowerRoman"/>
      <w:lvlText w:val="%9."/>
      <w:lvlJc w:val="right"/>
      <w:pPr>
        <w:ind w:left="6538" w:hanging="180"/>
      </w:pPr>
    </w:lvl>
  </w:abstractNum>
  <w:abstractNum w:abstractNumId="46">
    <w:nsid w:val="79D82F71"/>
    <w:multiLevelType w:val="hybridMultilevel"/>
    <w:tmpl w:val="45FEB340"/>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7">
    <w:nsid w:val="7B66497B"/>
    <w:multiLevelType w:val="hybridMultilevel"/>
    <w:tmpl w:val="94343A50"/>
    <w:lvl w:ilvl="0">
      <w:start w:val="1"/>
      <w:numFmt w:val="upp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num w:numId="1">
    <w:abstractNumId w:val="46"/>
  </w:num>
  <w:num w:numId="2">
    <w:abstractNumId w:val="23"/>
  </w:num>
  <w:num w:numId="3">
    <w:abstractNumId w:val="40"/>
  </w:num>
  <w:num w:numId="4">
    <w:abstractNumId w:val="12"/>
  </w:num>
  <w:num w:numId="5">
    <w:abstractNumId w:val="32"/>
  </w:num>
  <w:num w:numId="6">
    <w:abstractNumId w:val="31"/>
  </w:num>
  <w:num w:numId="7">
    <w:abstractNumId w:val="19"/>
  </w:num>
  <w:num w:numId="8">
    <w:abstractNumId w:val="38"/>
  </w:num>
  <w:num w:numId="9">
    <w:abstractNumId w:val="25"/>
  </w:num>
  <w:num w:numId="10">
    <w:abstractNumId w:val="35"/>
  </w:num>
  <w:num w:numId="11">
    <w:abstractNumId w:val="26"/>
  </w:num>
  <w:num w:numId="12">
    <w:abstractNumId w:val="34"/>
  </w:num>
  <w:num w:numId="13">
    <w:abstractNumId w:val="28"/>
  </w:num>
  <w:num w:numId="14">
    <w:abstractNumId w:val="20"/>
  </w:num>
  <w:num w:numId="15">
    <w:abstractNumId w:val="14"/>
  </w:num>
  <w:num w:numId="16">
    <w:abstractNumId w:val="17"/>
  </w:num>
  <w:num w:numId="17">
    <w:abstractNumId w:val="36"/>
  </w:num>
  <w:num w:numId="18">
    <w:abstractNumId w:val="15"/>
  </w:num>
  <w:num w:numId="19">
    <w:abstractNumId w:val="45"/>
  </w:num>
  <w:num w:numId="20">
    <w:abstractNumId w:val="42"/>
  </w:num>
  <w:num w:numId="21">
    <w:abstractNumId w:val="10"/>
  </w:num>
  <w:num w:numId="22">
    <w:abstractNumId w:val="22"/>
  </w:num>
  <w:num w:numId="23">
    <w:abstractNumId w:val="43"/>
  </w:num>
  <w:num w:numId="24">
    <w:abstractNumId w:val="47"/>
  </w:num>
  <w:num w:numId="25">
    <w:abstractNumId w:val="21"/>
  </w:num>
  <w:num w:numId="26">
    <w:abstractNumId w:val="16"/>
  </w:num>
  <w:num w:numId="27">
    <w:abstractNumId w:val="16"/>
    <w:lvlOverride w:ilvl="0">
      <w:startOverride w:val="1"/>
    </w:lvlOverride>
  </w:num>
  <w:num w:numId="28">
    <w:abstractNumId w:val="16"/>
    <w:lvlOverride w:ilvl="0">
      <w:startOverride w:val="1"/>
    </w:lvlOverride>
  </w:num>
  <w:num w:numId="29">
    <w:abstractNumId w:val="9"/>
  </w:num>
  <w:num w:numId="30">
    <w:abstractNumId w:val="7"/>
  </w:num>
  <w:num w:numId="31">
    <w:abstractNumId w:val="6"/>
  </w:num>
  <w:num w:numId="32">
    <w:abstractNumId w:val="5"/>
  </w:num>
  <w:num w:numId="33">
    <w:abstractNumId w:val="4"/>
  </w:num>
  <w:num w:numId="34">
    <w:abstractNumId w:val="41"/>
  </w:num>
  <w:num w:numId="35">
    <w:abstractNumId w:val="24"/>
  </w:num>
  <w:num w:numId="36">
    <w:abstractNumId w:val="27"/>
  </w:num>
  <w:num w:numId="37">
    <w:abstractNumId w:val="18"/>
  </w:num>
  <w:num w:numId="38">
    <w:abstractNumId w:val="37"/>
  </w:num>
  <w:num w:numId="39">
    <w:abstractNumId w:val="30"/>
  </w:num>
  <w:num w:numId="40">
    <w:abstractNumId w:val="29"/>
  </w:num>
  <w:num w:numId="41">
    <w:abstractNumId w:val="33"/>
  </w:num>
  <w:num w:numId="42">
    <w:abstractNumId w:val="11"/>
  </w:num>
  <w:num w:numId="43">
    <w:abstractNumId w:val="44"/>
  </w:num>
  <w:num w:numId="44">
    <w:abstractNumId w:val="8"/>
  </w:num>
  <w:num w:numId="45">
    <w:abstractNumId w:val="3"/>
  </w:num>
  <w:num w:numId="46">
    <w:abstractNumId w:val="2"/>
  </w:num>
  <w:num w:numId="47">
    <w:abstractNumId w:val="1"/>
  </w:num>
  <w:num w:numId="48">
    <w:abstractNumId w:val="0"/>
  </w:num>
  <w:num w:numId="49">
    <w:abstractNumId w:val="39"/>
  </w:num>
  <w:num w:numId="5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1024" w:allStyles="0" w:alternateStyleNames="0" w:clearFormatting="1" w:customStyles="0" w:directFormattingOnNumbering="0" w:directFormattingOnParagraphs="0" w:directFormattingOnRuns="0" w:directFormattingOnTables="0" w:headingStyles="1" w:latentStyles="1" w:numberingStyles="0" w:stylesInUse="0" w:tableStyles="0" w:top3HeadingStyles="0" w:visibleStyles="0"/>
  <w:stylePaneSortMethod w:val="name"/>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0EB"/>
    <w:rsid w:val="00000A5C"/>
    <w:rsid w:val="00002ECC"/>
    <w:rsid w:val="00006FE9"/>
    <w:rsid w:val="000076F1"/>
    <w:rsid w:val="00011481"/>
    <w:rsid w:val="00014F4C"/>
    <w:rsid w:val="0002699B"/>
    <w:rsid w:val="00032197"/>
    <w:rsid w:val="000371CE"/>
    <w:rsid w:val="00040F76"/>
    <w:rsid w:val="00045B33"/>
    <w:rsid w:val="00046DD1"/>
    <w:rsid w:val="000545C2"/>
    <w:rsid w:val="00057048"/>
    <w:rsid w:val="000667E9"/>
    <w:rsid w:val="000729BA"/>
    <w:rsid w:val="000866DB"/>
    <w:rsid w:val="00091853"/>
    <w:rsid w:val="00095BA5"/>
    <w:rsid w:val="000A608F"/>
    <w:rsid w:val="000A749E"/>
    <w:rsid w:val="000C49AA"/>
    <w:rsid w:val="000C7523"/>
    <w:rsid w:val="000D03F5"/>
    <w:rsid w:val="000D1074"/>
    <w:rsid w:val="000D58DF"/>
    <w:rsid w:val="000E71D7"/>
    <w:rsid w:val="000F1D8B"/>
    <w:rsid w:val="000F1F5B"/>
    <w:rsid w:val="000F553C"/>
    <w:rsid w:val="00114895"/>
    <w:rsid w:val="0012010B"/>
    <w:rsid w:val="00132D8E"/>
    <w:rsid w:val="00134B15"/>
    <w:rsid w:val="00140EA3"/>
    <w:rsid w:val="00141163"/>
    <w:rsid w:val="0014174B"/>
    <w:rsid w:val="00145B86"/>
    <w:rsid w:val="00162D5F"/>
    <w:rsid w:val="00166EBD"/>
    <w:rsid w:val="00180577"/>
    <w:rsid w:val="0018232D"/>
    <w:rsid w:val="00192659"/>
    <w:rsid w:val="001966AA"/>
    <w:rsid w:val="001A2DA8"/>
    <w:rsid w:val="001B3A66"/>
    <w:rsid w:val="001B5882"/>
    <w:rsid w:val="001E424D"/>
    <w:rsid w:val="001E4C1C"/>
    <w:rsid w:val="001F570C"/>
    <w:rsid w:val="00204742"/>
    <w:rsid w:val="00204D74"/>
    <w:rsid w:val="00211E9B"/>
    <w:rsid w:val="0022504E"/>
    <w:rsid w:val="00226A60"/>
    <w:rsid w:val="00250994"/>
    <w:rsid w:val="00250E8F"/>
    <w:rsid w:val="002533BB"/>
    <w:rsid w:val="002534AA"/>
    <w:rsid w:val="00270A05"/>
    <w:rsid w:val="0027111F"/>
    <w:rsid w:val="002758D1"/>
    <w:rsid w:val="00276090"/>
    <w:rsid w:val="00284D57"/>
    <w:rsid w:val="002A5BD1"/>
    <w:rsid w:val="002B2E25"/>
    <w:rsid w:val="002C46B1"/>
    <w:rsid w:val="002C7DCD"/>
    <w:rsid w:val="002D4090"/>
    <w:rsid w:val="002F1496"/>
    <w:rsid w:val="00300284"/>
    <w:rsid w:val="003014B4"/>
    <w:rsid w:val="00301B6A"/>
    <w:rsid w:val="003065F5"/>
    <w:rsid w:val="00323C22"/>
    <w:rsid w:val="003253EC"/>
    <w:rsid w:val="003353DC"/>
    <w:rsid w:val="0035765F"/>
    <w:rsid w:val="0036016C"/>
    <w:rsid w:val="0036118C"/>
    <w:rsid w:val="00366D69"/>
    <w:rsid w:val="003717D3"/>
    <w:rsid w:val="003726B2"/>
    <w:rsid w:val="0037575F"/>
    <w:rsid w:val="00377E1C"/>
    <w:rsid w:val="00383841"/>
    <w:rsid w:val="00385278"/>
    <w:rsid w:val="0038572A"/>
    <w:rsid w:val="00391C63"/>
    <w:rsid w:val="00396109"/>
    <w:rsid w:val="003A227D"/>
    <w:rsid w:val="003A7397"/>
    <w:rsid w:val="003C0C30"/>
    <w:rsid w:val="003D03D7"/>
    <w:rsid w:val="003D7320"/>
    <w:rsid w:val="003E162E"/>
    <w:rsid w:val="003E4F5D"/>
    <w:rsid w:val="003E57D0"/>
    <w:rsid w:val="003E7432"/>
    <w:rsid w:val="0040182D"/>
    <w:rsid w:val="00413FAD"/>
    <w:rsid w:val="00427537"/>
    <w:rsid w:val="004342DC"/>
    <w:rsid w:val="00437141"/>
    <w:rsid w:val="004466DC"/>
    <w:rsid w:val="00454090"/>
    <w:rsid w:val="004A24E5"/>
    <w:rsid w:val="004A280F"/>
    <w:rsid w:val="004B482C"/>
    <w:rsid w:val="004D5E09"/>
    <w:rsid w:val="004E6932"/>
    <w:rsid w:val="004F0CC0"/>
    <w:rsid w:val="004F3204"/>
    <w:rsid w:val="004F39BA"/>
    <w:rsid w:val="004F5786"/>
    <w:rsid w:val="004F7806"/>
    <w:rsid w:val="00510CE3"/>
    <w:rsid w:val="005323D1"/>
    <w:rsid w:val="00541165"/>
    <w:rsid w:val="0055168C"/>
    <w:rsid w:val="00553C02"/>
    <w:rsid w:val="00582F4D"/>
    <w:rsid w:val="00592FD4"/>
    <w:rsid w:val="00597E9D"/>
    <w:rsid w:val="005A74EE"/>
    <w:rsid w:val="005B0EA7"/>
    <w:rsid w:val="005B2531"/>
    <w:rsid w:val="005C257A"/>
    <w:rsid w:val="005D121C"/>
    <w:rsid w:val="005D6091"/>
    <w:rsid w:val="005E00EB"/>
    <w:rsid w:val="005E1D95"/>
    <w:rsid w:val="005F4EC8"/>
    <w:rsid w:val="00611289"/>
    <w:rsid w:val="006355A5"/>
    <w:rsid w:val="006425D6"/>
    <w:rsid w:val="00643DD2"/>
    <w:rsid w:val="00654F75"/>
    <w:rsid w:val="00655AA6"/>
    <w:rsid w:val="00656387"/>
    <w:rsid w:val="00683D48"/>
    <w:rsid w:val="00693FAB"/>
    <w:rsid w:val="006A6024"/>
    <w:rsid w:val="006A6E71"/>
    <w:rsid w:val="006A7DE8"/>
    <w:rsid w:val="006C06FD"/>
    <w:rsid w:val="006D2153"/>
    <w:rsid w:val="006D2B45"/>
    <w:rsid w:val="006D44DC"/>
    <w:rsid w:val="006E748B"/>
    <w:rsid w:val="0070334C"/>
    <w:rsid w:val="00704517"/>
    <w:rsid w:val="00716A04"/>
    <w:rsid w:val="007341E3"/>
    <w:rsid w:val="00735B40"/>
    <w:rsid w:val="00735F9D"/>
    <w:rsid w:val="0074119D"/>
    <w:rsid w:val="007479D5"/>
    <w:rsid w:val="00751A16"/>
    <w:rsid w:val="007551A7"/>
    <w:rsid w:val="00766C51"/>
    <w:rsid w:val="00771C8D"/>
    <w:rsid w:val="00780B49"/>
    <w:rsid w:val="00780DBF"/>
    <w:rsid w:val="00781315"/>
    <w:rsid w:val="007835E9"/>
    <w:rsid w:val="0079294C"/>
    <w:rsid w:val="00797D4B"/>
    <w:rsid w:val="007A04E7"/>
    <w:rsid w:val="007C69A7"/>
    <w:rsid w:val="007E03F7"/>
    <w:rsid w:val="007E4B0B"/>
    <w:rsid w:val="00805AD7"/>
    <w:rsid w:val="00827B55"/>
    <w:rsid w:val="00847141"/>
    <w:rsid w:val="00867CBC"/>
    <w:rsid w:val="008703D2"/>
    <w:rsid w:val="0087048B"/>
    <w:rsid w:val="00874CAE"/>
    <w:rsid w:val="00885A57"/>
    <w:rsid w:val="008875D9"/>
    <w:rsid w:val="00893D25"/>
    <w:rsid w:val="008969B6"/>
    <w:rsid w:val="008A4D89"/>
    <w:rsid w:val="008D192F"/>
    <w:rsid w:val="008F48B8"/>
    <w:rsid w:val="00900F9A"/>
    <w:rsid w:val="00901B2A"/>
    <w:rsid w:val="00907737"/>
    <w:rsid w:val="0091757E"/>
    <w:rsid w:val="00924B41"/>
    <w:rsid w:val="009273C3"/>
    <w:rsid w:val="00930BE7"/>
    <w:rsid w:val="00932469"/>
    <w:rsid w:val="009355B2"/>
    <w:rsid w:val="0094212F"/>
    <w:rsid w:val="00943C6F"/>
    <w:rsid w:val="0094671C"/>
    <w:rsid w:val="00946C6A"/>
    <w:rsid w:val="00950B8E"/>
    <w:rsid w:val="0095115E"/>
    <w:rsid w:val="00955F13"/>
    <w:rsid w:val="0096168F"/>
    <w:rsid w:val="00963F55"/>
    <w:rsid w:val="00965238"/>
    <w:rsid w:val="00965796"/>
    <w:rsid w:val="00975E6F"/>
    <w:rsid w:val="00982A47"/>
    <w:rsid w:val="009A1BC0"/>
    <w:rsid w:val="009A522B"/>
    <w:rsid w:val="009A7B69"/>
    <w:rsid w:val="009C0C8F"/>
    <w:rsid w:val="009D44AD"/>
    <w:rsid w:val="009D4E3C"/>
    <w:rsid w:val="009D726E"/>
    <w:rsid w:val="009E1140"/>
    <w:rsid w:val="009F0EC2"/>
    <w:rsid w:val="00A00E05"/>
    <w:rsid w:val="00A04B0C"/>
    <w:rsid w:val="00A150FB"/>
    <w:rsid w:val="00A17ABC"/>
    <w:rsid w:val="00A236E9"/>
    <w:rsid w:val="00A317A7"/>
    <w:rsid w:val="00A45B7F"/>
    <w:rsid w:val="00A5284D"/>
    <w:rsid w:val="00A73349"/>
    <w:rsid w:val="00A76B9D"/>
    <w:rsid w:val="00A817FB"/>
    <w:rsid w:val="00A82340"/>
    <w:rsid w:val="00A850B0"/>
    <w:rsid w:val="00A9508A"/>
    <w:rsid w:val="00A96FA0"/>
    <w:rsid w:val="00AC2062"/>
    <w:rsid w:val="00AC2D95"/>
    <w:rsid w:val="00AD47D4"/>
    <w:rsid w:val="00AE7E4E"/>
    <w:rsid w:val="00AF3739"/>
    <w:rsid w:val="00AF4B22"/>
    <w:rsid w:val="00AF55BF"/>
    <w:rsid w:val="00B11ED1"/>
    <w:rsid w:val="00B23BCB"/>
    <w:rsid w:val="00B36AD2"/>
    <w:rsid w:val="00B42DE7"/>
    <w:rsid w:val="00B55935"/>
    <w:rsid w:val="00B76F05"/>
    <w:rsid w:val="00B806CD"/>
    <w:rsid w:val="00B83154"/>
    <w:rsid w:val="00B836FF"/>
    <w:rsid w:val="00B879F2"/>
    <w:rsid w:val="00BA1302"/>
    <w:rsid w:val="00BB538C"/>
    <w:rsid w:val="00BD3110"/>
    <w:rsid w:val="00BD7075"/>
    <w:rsid w:val="00BE5205"/>
    <w:rsid w:val="00C02C94"/>
    <w:rsid w:val="00C03F2A"/>
    <w:rsid w:val="00C127E2"/>
    <w:rsid w:val="00C1503D"/>
    <w:rsid w:val="00C2115C"/>
    <w:rsid w:val="00C30994"/>
    <w:rsid w:val="00C374D0"/>
    <w:rsid w:val="00C4180B"/>
    <w:rsid w:val="00C448AA"/>
    <w:rsid w:val="00C4712C"/>
    <w:rsid w:val="00C54B4E"/>
    <w:rsid w:val="00C634EF"/>
    <w:rsid w:val="00C6495D"/>
    <w:rsid w:val="00C80B74"/>
    <w:rsid w:val="00C83FFB"/>
    <w:rsid w:val="00C86124"/>
    <w:rsid w:val="00C950FE"/>
    <w:rsid w:val="00CB5615"/>
    <w:rsid w:val="00CB72BB"/>
    <w:rsid w:val="00CB7F58"/>
    <w:rsid w:val="00CC3D14"/>
    <w:rsid w:val="00CE46DA"/>
    <w:rsid w:val="00CE491F"/>
    <w:rsid w:val="00CE67CD"/>
    <w:rsid w:val="00D0468F"/>
    <w:rsid w:val="00D169E3"/>
    <w:rsid w:val="00D26850"/>
    <w:rsid w:val="00D32C62"/>
    <w:rsid w:val="00D3499B"/>
    <w:rsid w:val="00D354D0"/>
    <w:rsid w:val="00D40BDA"/>
    <w:rsid w:val="00D411A7"/>
    <w:rsid w:val="00D44062"/>
    <w:rsid w:val="00D46EBA"/>
    <w:rsid w:val="00D50993"/>
    <w:rsid w:val="00D53B9C"/>
    <w:rsid w:val="00D53E88"/>
    <w:rsid w:val="00D56F28"/>
    <w:rsid w:val="00D644AF"/>
    <w:rsid w:val="00D6723A"/>
    <w:rsid w:val="00D715C9"/>
    <w:rsid w:val="00D7464C"/>
    <w:rsid w:val="00D77078"/>
    <w:rsid w:val="00D777B0"/>
    <w:rsid w:val="00D91D18"/>
    <w:rsid w:val="00DA6CC9"/>
    <w:rsid w:val="00DC4E28"/>
    <w:rsid w:val="00DC5B4B"/>
    <w:rsid w:val="00DD1041"/>
    <w:rsid w:val="00DD1D61"/>
    <w:rsid w:val="00DD3FEA"/>
    <w:rsid w:val="00DE224E"/>
    <w:rsid w:val="00DE30CB"/>
    <w:rsid w:val="00E04AE1"/>
    <w:rsid w:val="00E06438"/>
    <w:rsid w:val="00E10109"/>
    <w:rsid w:val="00E242A7"/>
    <w:rsid w:val="00E45692"/>
    <w:rsid w:val="00E45E5E"/>
    <w:rsid w:val="00E467F4"/>
    <w:rsid w:val="00E52927"/>
    <w:rsid w:val="00E6545A"/>
    <w:rsid w:val="00E759A0"/>
    <w:rsid w:val="00E826B2"/>
    <w:rsid w:val="00E83B55"/>
    <w:rsid w:val="00E84F13"/>
    <w:rsid w:val="00E85470"/>
    <w:rsid w:val="00EB1BBD"/>
    <w:rsid w:val="00EB285A"/>
    <w:rsid w:val="00EB5A87"/>
    <w:rsid w:val="00EB78E2"/>
    <w:rsid w:val="00EC3D7A"/>
    <w:rsid w:val="00EC61B2"/>
    <w:rsid w:val="00ED2FEF"/>
    <w:rsid w:val="00EE4D53"/>
    <w:rsid w:val="00EF5566"/>
    <w:rsid w:val="00F16FAE"/>
    <w:rsid w:val="00F17D8C"/>
    <w:rsid w:val="00F2310F"/>
    <w:rsid w:val="00F37571"/>
    <w:rsid w:val="00F47FED"/>
    <w:rsid w:val="00F50127"/>
    <w:rsid w:val="00F52FD4"/>
    <w:rsid w:val="00F56EF2"/>
    <w:rsid w:val="00F62DA4"/>
    <w:rsid w:val="00F64F1C"/>
    <w:rsid w:val="00F80A6F"/>
    <w:rsid w:val="00F8214A"/>
    <w:rsid w:val="00F87FF6"/>
    <w:rsid w:val="00F979AD"/>
    <w:rsid w:val="00FA6733"/>
    <w:rsid w:val="00FB3118"/>
    <w:rsid w:val="00FC04B7"/>
    <w:rsid w:val="00FD3387"/>
    <w:rsid w:val="00FD7439"/>
    <w:rsid w:val="00FD746F"/>
    <w:rsid w:val="00FE3F13"/>
    <w:rsid w:val="00FF459D"/>
    <w:rsid w:val="00FF595A"/>
  </w:rsid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683"/>
    <w:rPr>
      <w:rFonts w:ascii="Times New Roman" w:hAnsi="Times New Roman"/>
      <w:sz w:val="24"/>
    </w:rPr>
  </w:style>
  <w:style w:type="paragraph" w:styleId="Heading1">
    <w:name w:val="heading 1"/>
    <w:basedOn w:val="Normal"/>
    <w:next w:val="Normal"/>
    <w:link w:val="Heading1Char"/>
    <w:autoRedefine/>
    <w:uiPriority w:val="9"/>
    <w:qFormat/>
    <w:rsid w:val="0055168C"/>
    <w:pPr>
      <w:keepNext/>
      <w:keepLines/>
      <w:spacing w:after="240" w:line="240" w:lineRule="auto"/>
      <w:ind w:left="720" w:hanging="720"/>
      <w:outlineLvl w:val="0"/>
    </w:pPr>
    <w:rPr>
      <w:rFonts w:eastAsia="Times New Roman" w:cs="Times New Roman"/>
      <w:b/>
      <w:bCs/>
      <w:caps/>
      <w:szCs w:val="24"/>
    </w:rPr>
  </w:style>
  <w:style w:type="paragraph" w:styleId="Heading2">
    <w:name w:val="heading 2"/>
    <w:basedOn w:val="Normal"/>
    <w:next w:val="Normal"/>
    <w:link w:val="Heading2Char"/>
    <w:autoRedefine/>
    <w:uiPriority w:val="9"/>
    <w:unhideWhenUsed/>
    <w:qFormat/>
    <w:rsid w:val="003C0C30"/>
    <w:pPr>
      <w:keepNext/>
      <w:keepLines/>
      <w:spacing w:after="240" w:line="240" w:lineRule="auto"/>
      <w:ind w:left="1440" w:right="720" w:hanging="720"/>
      <w:outlineLvl w:val="1"/>
    </w:pPr>
    <w:rPr>
      <w:rFonts w:eastAsia="Times New Roman" w:cs="Times New Roman"/>
      <w:b/>
      <w:bCs/>
      <w:szCs w:val="24"/>
    </w:rPr>
  </w:style>
  <w:style w:type="paragraph" w:styleId="Heading3">
    <w:name w:val="heading 3"/>
    <w:basedOn w:val="Normal"/>
    <w:next w:val="Normal"/>
    <w:link w:val="Heading3Char"/>
    <w:autoRedefine/>
    <w:uiPriority w:val="9"/>
    <w:unhideWhenUsed/>
    <w:qFormat/>
    <w:rsid w:val="00BB538C"/>
    <w:pPr>
      <w:keepNext/>
      <w:keepLines/>
      <w:numPr>
        <w:numId w:val="22"/>
      </w:numPr>
      <w:spacing w:after="240" w:line="240" w:lineRule="auto"/>
      <w:ind w:left="2160" w:right="144" w:hanging="720"/>
      <w:outlineLvl w:val="2"/>
    </w:pPr>
    <w:rPr>
      <w:rFonts w:eastAsiaTheme="majorEastAsia" w:cs="Times New Roman"/>
      <w:b/>
      <w:bCs/>
      <w:szCs w:val="24"/>
    </w:rPr>
  </w:style>
  <w:style w:type="paragraph" w:styleId="Heading4">
    <w:name w:val="heading 4"/>
    <w:basedOn w:val="Normal"/>
    <w:next w:val="Normal"/>
    <w:link w:val="Heading4Char"/>
    <w:autoRedefine/>
    <w:uiPriority w:val="9"/>
    <w:unhideWhenUsed/>
    <w:qFormat/>
    <w:rsid w:val="00E90D37"/>
    <w:pPr>
      <w:keepNext/>
      <w:keepLines/>
      <w:numPr>
        <w:numId w:val="36"/>
      </w:numPr>
      <w:spacing w:after="240" w:line="240" w:lineRule="auto"/>
      <w:ind w:left="2880" w:right="720" w:hanging="720"/>
      <w:outlineLvl w:val="3"/>
    </w:pPr>
    <w:rPr>
      <w:rFonts w:ascii="Times New Roman Bold" w:hAnsi="Times New Roman Bold" w:eastAsiaTheme="majorEastAsia" w:cstheme="majorBidi"/>
      <w:b/>
      <w:bCs/>
      <w:iCs/>
    </w:rPr>
  </w:style>
  <w:style w:type="paragraph" w:styleId="Heading5">
    <w:name w:val="heading 5"/>
    <w:basedOn w:val="Normal"/>
    <w:next w:val="Normal"/>
    <w:link w:val="Heading5Char"/>
    <w:uiPriority w:val="9"/>
    <w:unhideWhenUsed/>
    <w:qFormat/>
    <w:rsid w:val="0035274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C0C30"/>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uiPriority w:val="9"/>
    <w:rsid w:val="00BB538C"/>
    <w:rPr>
      <w:rFonts w:ascii="Times New Roman" w:hAnsi="Times New Roman" w:eastAsiaTheme="majorEastAsia" w:cs="Times New Roman"/>
      <w:b/>
      <w:bCs/>
      <w:sz w:val="24"/>
      <w:szCs w:val="24"/>
    </w:rPr>
  </w:style>
  <w:style w:type="character" w:customStyle="1" w:styleId="FootnoteTextChar">
    <w:name w:val="Footnote Text Char"/>
    <w:aliases w:val="ALTS FOOTNOTE Char,Footnote Text Cha Char,Footnote Text Char Char4 Char Char,Footnote Text Char Char4 Char1 Char Char Char,Footnote Text Char2 Char,Footnote Text Char4 Char Char,Footnote Text Char4 Char1 Char Char Char,fn Char1"/>
    <w:basedOn w:val="DefaultParagraphFont"/>
    <w:link w:val="FootnoteText"/>
    <w:uiPriority w:val="99"/>
    <w:locked/>
    <w:rsid w:val="00CF1095"/>
    <w:rPr>
      <w:rFonts w:ascii="Times New Roman" w:eastAsia="Times New Roman" w:hAnsi="Times New Roman" w:cs="Times New Roman"/>
      <w:spacing w:val="-5"/>
      <w:sz w:val="20"/>
      <w:szCs w:val="20"/>
    </w:rPr>
  </w:style>
  <w:style w:type="paragraph" w:styleId="FootnoteText">
    <w:name w:val="footnote text"/>
    <w:aliases w:val="ALTS FOOTNOTE,Footnote Text Cha,Footnote Text Char Char4 Char,Footnote Text Char Char4 Char1 Char Char,Footnote Text Char2,Footnote Text Char4 Char,Footnote Text Char4 Char1 Char Char,Footnote Text Char5 Char1 Char Char Char Char Char,fn"/>
    <w:basedOn w:val="Normal"/>
    <w:link w:val="FootnoteTextChar"/>
    <w:uiPriority w:val="99"/>
    <w:unhideWhenUsed/>
    <w:qFormat/>
    <w:rsid w:val="00CF1095"/>
    <w:pPr>
      <w:spacing w:after="120" w:line="240" w:lineRule="auto"/>
    </w:pPr>
    <w:rPr>
      <w:rFonts w:eastAsia="Times New Roman" w:cs="Times New Roman"/>
      <w:spacing w:val="-5"/>
      <w:sz w:val="20"/>
      <w:szCs w:val="20"/>
    </w:rPr>
  </w:style>
  <w:style w:type="character" w:customStyle="1" w:styleId="FootnoteTextChar1">
    <w:name w:val="Footnote Text Char1"/>
    <w:aliases w:val="Footnote Text Char Char,Footnote Text Char Char Char Char,Footnote Text Char Char4 Char Char Char Char,Footnote Text Char1 Char Char,Footnote Text Char4 Char Char Char Char,Footnote Text Char4 Char1 Char Char Char Char Char"/>
    <w:basedOn w:val="DefaultParagraphFont"/>
    <w:uiPriority w:val="99"/>
    <w:rsid w:val="00921526"/>
    <w:rPr>
      <w:rFonts w:ascii="Times New Roman" w:hAnsi="Times New Roman"/>
      <w:sz w:val="20"/>
      <w:szCs w:val="20"/>
    </w:rPr>
  </w:style>
  <w:style w:type="character" w:styleId="FootnoteReference">
    <w:name w:val="footnote reference"/>
    <w:aliases w:val="(NECG) Footnote Reference,Appel note de bas de p,Style 11,Style 12,Style 124,Style 13,Style 15,Style 16,Style 17,Style 18,Style 19,Style 20,Style 21,Style 28,Style 3,Style 4,Style 42,Style 7,Style 8,Style 9,fr,fr1,fr2,fr3,o,o1,o2,o3"/>
    <w:uiPriority w:val="99"/>
    <w:unhideWhenUsed/>
    <w:qFormat/>
    <w:rsid w:val="00921526"/>
    <w:rPr>
      <w:vertAlign w:val="superscript"/>
    </w:rPr>
  </w:style>
  <w:style w:type="character" w:styleId="Hyperlink">
    <w:name w:val="Hyperlink"/>
    <w:basedOn w:val="DefaultParagraphFont"/>
    <w:uiPriority w:val="99"/>
    <w:unhideWhenUsed/>
    <w:rsid w:val="00921526"/>
    <w:rPr>
      <w:color w:val="0000FF"/>
      <w:u w:val="single"/>
    </w:rPr>
  </w:style>
  <w:style w:type="character" w:customStyle="1" w:styleId="Heading1Char">
    <w:name w:val="Heading 1 Char"/>
    <w:basedOn w:val="DefaultParagraphFont"/>
    <w:link w:val="Heading1"/>
    <w:uiPriority w:val="9"/>
    <w:rsid w:val="0055168C"/>
    <w:rPr>
      <w:rFonts w:ascii="Times New Roman" w:eastAsia="Times New Roman" w:hAnsi="Times New Roman" w:cs="Times New Roman"/>
      <w:b/>
      <w:bCs/>
      <w:caps/>
      <w:sz w:val="24"/>
      <w:szCs w:val="24"/>
    </w:rPr>
  </w:style>
  <w:style w:type="table" w:styleId="TableGrid">
    <w:name w:val="Table Grid"/>
    <w:basedOn w:val="TableNormal"/>
    <w:uiPriority w:val="59"/>
    <w:rsid w:val="00E37FF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90C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0C57"/>
    <w:rPr>
      <w:rFonts w:ascii="Times New Roman" w:hAnsi="Times New Roman"/>
      <w:sz w:val="24"/>
    </w:rPr>
  </w:style>
  <w:style w:type="paragraph" w:styleId="Footer">
    <w:name w:val="footer"/>
    <w:basedOn w:val="Normal"/>
    <w:link w:val="FooterChar"/>
    <w:uiPriority w:val="99"/>
    <w:unhideWhenUsed/>
    <w:rsid w:val="00490C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0C57"/>
    <w:rPr>
      <w:rFonts w:ascii="Times New Roman" w:hAnsi="Times New Roman"/>
      <w:sz w:val="24"/>
    </w:rPr>
  </w:style>
  <w:style w:type="paragraph" w:styleId="BalloonText">
    <w:name w:val="Balloon Text"/>
    <w:basedOn w:val="Normal"/>
    <w:link w:val="BalloonTextChar"/>
    <w:uiPriority w:val="99"/>
    <w:semiHidden/>
    <w:unhideWhenUsed/>
    <w:rsid w:val="008979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7944"/>
    <w:rPr>
      <w:rFonts w:ascii="Tahoma" w:hAnsi="Tahoma" w:cs="Tahoma"/>
      <w:sz w:val="16"/>
      <w:szCs w:val="16"/>
    </w:rPr>
  </w:style>
  <w:style w:type="character" w:styleId="CommentReference">
    <w:name w:val="annotation reference"/>
    <w:basedOn w:val="DefaultParagraphFont"/>
    <w:uiPriority w:val="99"/>
    <w:semiHidden/>
    <w:unhideWhenUsed/>
    <w:rsid w:val="00F91D6B"/>
    <w:rPr>
      <w:sz w:val="16"/>
      <w:szCs w:val="16"/>
    </w:rPr>
  </w:style>
  <w:style w:type="paragraph" w:styleId="CommentText">
    <w:name w:val="annotation text"/>
    <w:basedOn w:val="Normal"/>
    <w:link w:val="CommentTextChar"/>
    <w:uiPriority w:val="99"/>
    <w:unhideWhenUsed/>
    <w:rsid w:val="00F91D6B"/>
    <w:pPr>
      <w:spacing w:line="240" w:lineRule="auto"/>
    </w:pPr>
    <w:rPr>
      <w:sz w:val="20"/>
      <w:szCs w:val="20"/>
    </w:rPr>
  </w:style>
  <w:style w:type="character" w:customStyle="1" w:styleId="CommentTextChar">
    <w:name w:val="Comment Text Char"/>
    <w:basedOn w:val="DefaultParagraphFont"/>
    <w:link w:val="CommentText"/>
    <w:uiPriority w:val="99"/>
    <w:rsid w:val="00F91D6B"/>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91D6B"/>
    <w:rPr>
      <w:b/>
      <w:bCs/>
    </w:rPr>
  </w:style>
  <w:style w:type="character" w:customStyle="1" w:styleId="CommentSubjectChar">
    <w:name w:val="Comment Subject Char"/>
    <w:basedOn w:val="CommentTextChar"/>
    <w:link w:val="CommentSubject"/>
    <w:uiPriority w:val="99"/>
    <w:semiHidden/>
    <w:rsid w:val="00F91D6B"/>
    <w:rPr>
      <w:rFonts w:ascii="Times New Roman" w:hAnsi="Times New Roman"/>
      <w:b/>
      <w:bCs/>
      <w:sz w:val="20"/>
      <w:szCs w:val="20"/>
    </w:rPr>
  </w:style>
  <w:style w:type="paragraph" w:styleId="ListParagraph">
    <w:name w:val="List Paragraph"/>
    <w:basedOn w:val="Normal"/>
    <w:uiPriority w:val="34"/>
    <w:qFormat/>
    <w:rsid w:val="00F91D6B"/>
    <w:pPr>
      <w:ind w:left="720"/>
      <w:contextualSpacing/>
    </w:pPr>
  </w:style>
  <w:style w:type="paragraph" w:styleId="BodyText">
    <w:name w:val="Body Text"/>
    <w:basedOn w:val="Normal"/>
    <w:link w:val="BodyTextChar"/>
    <w:rsid w:val="00475BCD"/>
    <w:pPr>
      <w:widowControl w:val="0"/>
      <w:overflowPunct w:val="0"/>
      <w:adjustRightInd w:val="0"/>
      <w:spacing w:after="120" w:line="240" w:lineRule="auto"/>
    </w:pPr>
    <w:rPr>
      <w:rFonts w:eastAsia="Times New Roman" w:cs="Times New Roman"/>
      <w:kern w:val="28"/>
      <w:szCs w:val="24"/>
    </w:rPr>
  </w:style>
  <w:style w:type="character" w:customStyle="1" w:styleId="BodyTextChar">
    <w:name w:val="Body Text Char"/>
    <w:basedOn w:val="DefaultParagraphFont"/>
    <w:link w:val="BodyText"/>
    <w:rsid w:val="00475BCD"/>
    <w:rPr>
      <w:rFonts w:ascii="Times New Roman" w:eastAsia="Times New Roman" w:hAnsi="Times New Roman" w:cs="Times New Roman"/>
      <w:kern w:val="28"/>
      <w:sz w:val="24"/>
      <w:szCs w:val="24"/>
    </w:rPr>
  </w:style>
  <w:style w:type="character" w:customStyle="1" w:styleId="apple-converted-space">
    <w:name w:val="apple-converted-space"/>
    <w:basedOn w:val="DefaultParagraphFont"/>
    <w:rsid w:val="00AE0D6F"/>
  </w:style>
  <w:style w:type="paragraph" w:styleId="TOC1">
    <w:name w:val="toc 1"/>
    <w:basedOn w:val="Normal"/>
    <w:next w:val="Normal"/>
    <w:autoRedefine/>
    <w:uiPriority w:val="39"/>
    <w:unhideWhenUsed/>
    <w:qFormat/>
    <w:rsid w:val="003E162E"/>
    <w:pPr>
      <w:tabs>
        <w:tab w:val="decimal" w:leader="dot" w:pos="8640"/>
      </w:tabs>
      <w:spacing w:after="240" w:line="240" w:lineRule="auto"/>
      <w:ind w:left="720" w:hanging="720"/>
    </w:pPr>
    <w:rPr>
      <w:caps/>
    </w:rPr>
  </w:style>
  <w:style w:type="paragraph" w:styleId="TOC2">
    <w:name w:val="toc 2"/>
    <w:basedOn w:val="Normal"/>
    <w:next w:val="Normal"/>
    <w:autoRedefine/>
    <w:uiPriority w:val="39"/>
    <w:unhideWhenUsed/>
    <w:qFormat/>
    <w:rsid w:val="003E162E"/>
    <w:pPr>
      <w:tabs>
        <w:tab w:val="left" w:pos="1440"/>
        <w:tab w:val="decimal" w:leader="dot" w:pos="8640"/>
      </w:tabs>
      <w:spacing w:after="240" w:line="240" w:lineRule="auto"/>
      <w:ind w:left="1440" w:hanging="720"/>
      <w:outlineLvl w:val="1"/>
    </w:pPr>
    <w:rPr>
      <w:rFonts w:cs="Times New Roman"/>
      <w:bCs/>
      <w:noProof/>
    </w:rPr>
  </w:style>
  <w:style w:type="paragraph" w:styleId="TOC3">
    <w:name w:val="toc 3"/>
    <w:basedOn w:val="Normal"/>
    <w:next w:val="Normal"/>
    <w:autoRedefine/>
    <w:uiPriority w:val="39"/>
    <w:unhideWhenUsed/>
    <w:qFormat/>
    <w:rsid w:val="003E162E"/>
    <w:pPr>
      <w:tabs>
        <w:tab w:val="left" w:pos="2160"/>
        <w:tab w:val="decimal" w:leader="dot" w:pos="8640"/>
      </w:tabs>
      <w:spacing w:after="240" w:line="240" w:lineRule="auto"/>
      <w:ind w:left="2160" w:hanging="720"/>
    </w:pPr>
  </w:style>
  <w:style w:type="character" w:customStyle="1" w:styleId="Heading4Char">
    <w:name w:val="Heading 4 Char"/>
    <w:basedOn w:val="DefaultParagraphFont"/>
    <w:link w:val="Heading4"/>
    <w:uiPriority w:val="9"/>
    <w:rsid w:val="00E90D37"/>
    <w:rPr>
      <w:rFonts w:ascii="Times New Roman Bold" w:hAnsi="Times New Roman Bold" w:eastAsiaTheme="majorEastAsia" w:cstheme="majorBidi"/>
      <w:b/>
      <w:bCs/>
      <w:iCs/>
      <w:sz w:val="24"/>
    </w:rPr>
  </w:style>
  <w:style w:type="character" w:customStyle="1" w:styleId="FootnoteTextChar3">
    <w:name w:val="Footnote Text Char3"/>
    <w:aliases w:val="Footnote Text Char Char Char,Footnote Text Char Char Char Char Char,Footnote Text Char1 Char,Footnote Text Char1 Char Char1 Char,Footnote Text Char1 Char Char1 Char Char Char Char,Footnote Text Char2 Char Char Char Char1 Char,fn Char"/>
    <w:semiHidden/>
    <w:locked/>
    <w:rsid w:val="00FF46FF"/>
    <w:rPr>
      <w:lang w:val="en-US" w:eastAsia="en-US" w:bidi="ar-SA"/>
    </w:rPr>
  </w:style>
  <w:style w:type="paragraph" w:styleId="TOC4">
    <w:name w:val="toc 4"/>
    <w:basedOn w:val="Normal"/>
    <w:next w:val="Normal"/>
    <w:autoRedefine/>
    <w:uiPriority w:val="39"/>
    <w:unhideWhenUsed/>
    <w:qFormat/>
    <w:rsid w:val="00E90D37"/>
    <w:pPr>
      <w:tabs>
        <w:tab w:val="decimal" w:leader="dot" w:pos="8640"/>
      </w:tabs>
      <w:spacing w:after="240" w:line="240" w:lineRule="auto"/>
      <w:ind w:left="2880" w:hanging="720"/>
    </w:pPr>
  </w:style>
  <w:style w:type="paragraph" w:styleId="TOC5">
    <w:name w:val="toc 5"/>
    <w:basedOn w:val="Normal"/>
    <w:next w:val="Normal"/>
    <w:autoRedefine/>
    <w:uiPriority w:val="39"/>
    <w:semiHidden/>
    <w:unhideWhenUsed/>
    <w:rsid w:val="003F5D42"/>
    <w:pPr>
      <w:tabs>
        <w:tab w:val="left" w:pos="720"/>
        <w:tab w:val="left" w:pos="1440"/>
        <w:tab w:val="left" w:pos="2160"/>
        <w:tab w:val="decimal" w:leader="dot" w:pos="8640"/>
      </w:tabs>
      <w:spacing w:after="240" w:line="240" w:lineRule="auto"/>
      <w:ind w:left="3600" w:hanging="720"/>
    </w:pPr>
  </w:style>
  <w:style w:type="character" w:customStyle="1" w:styleId="Heading5Char">
    <w:name w:val="Heading 5 Char"/>
    <w:basedOn w:val="DefaultParagraphFont"/>
    <w:link w:val="Heading5"/>
    <w:uiPriority w:val="9"/>
    <w:rsid w:val="00352742"/>
    <w:rPr>
      <w:rFonts w:asciiTheme="majorHAnsi" w:eastAsiaTheme="majorEastAsia" w:hAnsiTheme="majorHAnsi" w:cstheme="majorBidi"/>
      <w:color w:val="243F60" w:themeColor="accent1" w:themeShade="7F"/>
      <w:sz w:val="24"/>
    </w:rPr>
  </w:style>
  <w:style w:type="character" w:customStyle="1" w:styleId="sssh">
    <w:name w:val="ss_sh"/>
    <w:basedOn w:val="DefaultParagraphFont"/>
    <w:rsid w:val="004D5C08"/>
  </w:style>
  <w:style w:type="character" w:customStyle="1" w:styleId="ssrptrline">
    <w:name w:val="ss_rptrline"/>
    <w:rsid w:val="00D44B24"/>
  </w:style>
  <w:style w:type="character" w:customStyle="1" w:styleId="ssnonpaginatedrptr">
    <w:name w:val="ss_nonpaginatedrptr"/>
    <w:rsid w:val="00D44B24"/>
  </w:style>
  <w:style w:type="paragraph" w:styleId="HTMLPreformatted">
    <w:name w:val="HTML Preformatted"/>
    <w:basedOn w:val="Normal"/>
    <w:link w:val="HTMLPreformattedChar"/>
    <w:rsid w:val="00A451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uiPriority w:val="99"/>
    <w:rsid w:val="00A4515D"/>
    <w:rPr>
      <w:rFonts w:ascii="Courier New" w:eastAsia="Courier New" w:hAnsi="Courier New" w:cs="Courier New"/>
      <w:sz w:val="20"/>
      <w:szCs w:val="20"/>
    </w:rPr>
  </w:style>
  <w:style w:type="paragraph" w:styleId="BodyTextIndent3">
    <w:name w:val="Body Text Indent 3"/>
    <w:basedOn w:val="Normal"/>
    <w:link w:val="BodyTextIndent3Char"/>
    <w:uiPriority w:val="99"/>
    <w:semiHidden/>
    <w:unhideWhenUsed/>
    <w:rsid w:val="00A4515D"/>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4515D"/>
    <w:rPr>
      <w:rFonts w:ascii="Times New Roman" w:hAnsi="Times New Roman"/>
      <w:sz w:val="16"/>
      <w:szCs w:val="16"/>
    </w:rPr>
  </w:style>
  <w:style w:type="paragraph" w:styleId="Revision">
    <w:name w:val="Revision"/>
    <w:hidden/>
    <w:uiPriority w:val="99"/>
    <w:semiHidden/>
    <w:rsid w:val="009E65EE"/>
    <w:pPr>
      <w:spacing w:after="0" w:line="240" w:lineRule="auto"/>
    </w:pPr>
    <w:rPr>
      <w:rFonts w:ascii="Times New Roman" w:hAnsi="Times New Roman"/>
      <w:sz w:val="24"/>
    </w:rPr>
  </w:style>
  <w:style w:type="paragraph" w:customStyle="1" w:styleId="p1">
    <w:name w:val="p1"/>
    <w:basedOn w:val="Normal"/>
    <w:rsid w:val="00D90472"/>
    <w:pPr>
      <w:spacing w:after="0" w:line="240" w:lineRule="auto"/>
    </w:pPr>
    <w:rPr>
      <w:rFonts w:ascii="Verdana" w:hAnsi="Verdana" w:cs="Times New Roman"/>
      <w:sz w:val="19"/>
      <w:szCs w:val="19"/>
    </w:rPr>
  </w:style>
  <w:style w:type="character" w:customStyle="1" w:styleId="s1">
    <w:name w:val="s1"/>
    <w:basedOn w:val="DefaultParagraphFont"/>
    <w:rsid w:val="00D90472"/>
  </w:style>
  <w:style w:type="table" w:customStyle="1" w:styleId="TableGrid2">
    <w:name w:val="Table Grid2"/>
    <w:basedOn w:val="TableNormal"/>
    <w:next w:val="TableGrid"/>
    <w:rsid w:val="00AF6F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77744E"/>
    <w:rPr>
      <w:color w:val="605E5C"/>
      <w:shd w:val="clear" w:color="auto" w:fill="E1DFDD"/>
    </w:rPr>
  </w:style>
  <w:style w:type="character" w:customStyle="1" w:styleId="UnresolvedMention2">
    <w:name w:val="Unresolved Mention2"/>
    <w:basedOn w:val="DefaultParagraphFont"/>
    <w:uiPriority w:val="99"/>
    <w:rsid w:val="00F62DA4"/>
    <w:rPr>
      <w:color w:val="605E5C"/>
      <w:shd w:val="clear" w:color="auto" w:fill="E1DFDD"/>
    </w:rPr>
  </w:style>
  <w:style w:type="table" w:customStyle="1" w:styleId="TableGrid1">
    <w:name w:val="Table Grid1"/>
    <w:basedOn w:val="TableNormal"/>
    <w:next w:val="TableGrid"/>
    <w:rsid w:val="00BA130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hyperlink" Target="mailto:Werner.margard@ohioAGO.gov" TargetMode="External" /><Relationship Id="rId12" Type="http://schemas.openxmlformats.org/officeDocument/2006/relationships/hyperlink" Target="mailto:Kyle.kern@ohioAGO.gov" TargetMode="External" /><Relationship Id="rId13" Type="http://schemas.openxmlformats.org/officeDocument/2006/relationships/hyperlink" Target="mailto:Thomas.shepherd@ohioAGO.gov" TargetMode="External" /><Relationship Id="rId14" Type="http://schemas.openxmlformats.org/officeDocument/2006/relationships/hyperlink" Target="mailto:mkurtz@BKLlawfirm.com" TargetMode="External" /><Relationship Id="rId15" Type="http://schemas.openxmlformats.org/officeDocument/2006/relationships/hyperlink" Target="mailto:kboehm@BKLlawfirm.com" TargetMode="External" /><Relationship Id="rId16" Type="http://schemas.openxmlformats.org/officeDocument/2006/relationships/hyperlink" Target="mailto:jkylercohn@BKLlawfirm.com" TargetMode="External" /><Relationship Id="rId17" Type="http://schemas.openxmlformats.org/officeDocument/2006/relationships/hyperlink" Target="mailto:joe.oliker@igs.com" TargetMode="External" /><Relationship Id="rId18" Type="http://schemas.openxmlformats.org/officeDocument/2006/relationships/hyperlink" Target="mailto:michael.nugent@igs.com" TargetMode="External" /><Relationship Id="rId19" Type="http://schemas.openxmlformats.org/officeDocument/2006/relationships/hyperlink" Target="mailto:Evan.betterton@igs.com" TargetMode="External" /><Relationship Id="rId2" Type="http://schemas.openxmlformats.org/officeDocument/2006/relationships/settings" Target="settings.xml" /><Relationship Id="rId20" Type="http://schemas.openxmlformats.org/officeDocument/2006/relationships/hyperlink" Target="mailto:fdarr2019@gmail.com" TargetMode="External" /><Relationship Id="rId21" Type="http://schemas.openxmlformats.org/officeDocument/2006/relationships/hyperlink" Target="mailto:dparram@bricker.com" TargetMode="External" /><Relationship Id="rId22" Type="http://schemas.openxmlformats.org/officeDocument/2006/relationships/hyperlink" Target="mailto:rmains@bricker.com" TargetMode="External" /><Relationship Id="rId23" Type="http://schemas.openxmlformats.org/officeDocument/2006/relationships/hyperlink" Target="mailto:rkelter@elpc.org" TargetMode="External" /><Relationship Id="rId24" Type="http://schemas.openxmlformats.org/officeDocument/2006/relationships/hyperlink" Target="mailto:mjsettineri@vorys.com" TargetMode="External" /><Relationship Id="rId25" Type="http://schemas.openxmlformats.org/officeDocument/2006/relationships/hyperlink" Target="mailto:eowoyt@vorys.com" TargetMode="External" /><Relationship Id="rId26" Type="http://schemas.openxmlformats.org/officeDocument/2006/relationships/hyperlink" Target="mailto:glpetrucci@vorys.com" TargetMode="External" /><Relationship Id="rId27" Type="http://schemas.openxmlformats.org/officeDocument/2006/relationships/hyperlink" Target="mailto:dromig@armadapower.com" TargetMode="External" /><Relationship Id="rId28" Type="http://schemas.openxmlformats.org/officeDocument/2006/relationships/hyperlink" Target="mailto:bmckenney@mcneeslaw.com" TargetMode="External" /><Relationship Id="rId29" Type="http://schemas.openxmlformats.org/officeDocument/2006/relationships/hyperlink" Target="mailto:ctavenor@theOEC.org" TargetMode="External" /><Relationship Id="rId3" Type="http://schemas.openxmlformats.org/officeDocument/2006/relationships/webSettings" Target="webSettings.xml" /><Relationship Id="rId30" Type="http://schemas.openxmlformats.org/officeDocument/2006/relationships/hyperlink" Target="mailto:lmckenna@keyesfox.com" TargetMode="External" /><Relationship Id="rId31" Type="http://schemas.openxmlformats.org/officeDocument/2006/relationships/hyperlink" Target="mailto:Donadio@carpenterlipps.com" TargetMode="External" /><Relationship Id="rId32" Type="http://schemas.openxmlformats.org/officeDocument/2006/relationships/hyperlink" Target="mailto:Bojko@carpenterlipps.com" TargetMode="External" /><Relationship Id="rId33" Type="http://schemas.openxmlformats.org/officeDocument/2006/relationships/hyperlink" Target="mailto:Sarah.parrot@puco.ohio.gov" TargetMode="External" /><Relationship Id="rId34" Type="http://schemas.openxmlformats.org/officeDocument/2006/relationships/hyperlink" Target="mailto:Greta.see@puco.ohio.gov" TargetMode="External" /><Relationship Id="rId35" Type="http://schemas.openxmlformats.org/officeDocument/2006/relationships/hyperlink" Target="mailto:stnourse@aep.com" TargetMode="External" /><Relationship Id="rId36" Type="http://schemas.openxmlformats.org/officeDocument/2006/relationships/hyperlink" Target="mailto:cmblend@aep.com" TargetMode="External" /><Relationship Id="rId37" Type="http://schemas.openxmlformats.org/officeDocument/2006/relationships/hyperlink" Target="mailto:tswolffram@aep.com" TargetMode="External" /><Relationship Id="rId38" Type="http://schemas.openxmlformats.org/officeDocument/2006/relationships/hyperlink" Target="mailto:egallon@porterwright.com" TargetMode="External" /><Relationship Id="rId39" Type="http://schemas.openxmlformats.org/officeDocument/2006/relationships/hyperlink" Target="mailto:christopher.miller@icemiller.com" TargetMode="External" /><Relationship Id="rId4" Type="http://schemas.openxmlformats.org/officeDocument/2006/relationships/fontTable" Target="fontTable.xml" /><Relationship Id="rId40" Type="http://schemas.openxmlformats.org/officeDocument/2006/relationships/hyperlink" Target="mailto:cgrundmann@spilmanlaw.com" TargetMode="External" /><Relationship Id="rId41" Type="http://schemas.openxmlformats.org/officeDocument/2006/relationships/hyperlink" Target="mailto:dwilliamson@spilmanlaw.com" TargetMode="External" /><Relationship Id="rId42" Type="http://schemas.openxmlformats.org/officeDocument/2006/relationships/hyperlink" Target="mailto:rlazer@elpc.org" TargetMode="External" /><Relationship Id="rId43" Type="http://schemas.openxmlformats.org/officeDocument/2006/relationships/hyperlink" Target="mailto:rdove@keglerbrown.com" TargetMode="External" /><Relationship Id="rId44" Type="http://schemas.openxmlformats.org/officeDocument/2006/relationships/hyperlink" Target="mailto:mpritchard@mcneeslaw.com" TargetMode="External" /><Relationship Id="rId45" Type="http://schemas.openxmlformats.org/officeDocument/2006/relationships/hyperlink" Target="mailto:rglover@mcneeslaw.com" TargetMode="External" /><Relationship Id="rId46" Type="http://schemas.openxmlformats.org/officeDocument/2006/relationships/hyperlink" Target="mailto:paul@carpenterlipps.com" TargetMode="External" /><Relationship Id="rId47" Type="http://schemas.openxmlformats.org/officeDocument/2006/relationships/hyperlink" Target="mailto:whitt@whitt-sturtevant.com" TargetMode="External" /><Relationship Id="rId48" Type="http://schemas.openxmlformats.org/officeDocument/2006/relationships/hyperlink" Target="mailto:fykes@whitt-sturtevant.com" TargetMode="External" /><Relationship Id="rId49" Type="http://schemas.openxmlformats.org/officeDocument/2006/relationships/hyperlink" Target="mailto:dborchers@bricker.com" TargetMode="External" /><Relationship Id="rId5" Type="http://schemas.openxmlformats.org/officeDocument/2006/relationships/customXml" Target="../customXml/item1.xml" /><Relationship Id="rId50" Type="http://schemas.openxmlformats.org/officeDocument/2006/relationships/hyperlink" Target="mailto:kherrnstein@bricker.com" TargetMode="External" /><Relationship Id="rId51" Type="http://schemas.openxmlformats.org/officeDocument/2006/relationships/hyperlink" Target="mailto:little@litohio.com" TargetMode="External" /><Relationship Id="rId52" Type="http://schemas.openxmlformats.org/officeDocument/2006/relationships/hyperlink" Target="mailto:hogan@litohio.com" TargetMode="External" /><Relationship Id="rId53" Type="http://schemas.openxmlformats.org/officeDocument/2006/relationships/hyperlink" Target="mailto:dstinson@bricker.com" TargetMode="External" /><Relationship Id="rId54" Type="http://schemas.openxmlformats.org/officeDocument/2006/relationships/hyperlink" Target="mailto:mwarnock@bricker.com" TargetMode="External" /><Relationship Id="rId55" Type="http://schemas.openxmlformats.org/officeDocument/2006/relationships/hyperlink" Target="mailto:ktreadway@oneenergyllc.com" TargetMode="External" /><Relationship Id="rId56" Type="http://schemas.openxmlformats.org/officeDocument/2006/relationships/hyperlink" Target="mailto:mmcdonnell@dickinsonwright.com" TargetMode="External" /><Relationship Id="rId57" Type="http://schemas.openxmlformats.org/officeDocument/2006/relationships/header" Target="header2.xml" /><Relationship Id="rId58" Type="http://schemas.openxmlformats.org/officeDocument/2006/relationships/theme" Target="theme/theme1.xml" /><Relationship Id="rId59" Type="http://schemas.openxmlformats.org/officeDocument/2006/relationships/numbering" Target="numbering.xml" /><Relationship Id="rId6" Type="http://schemas.openxmlformats.org/officeDocument/2006/relationships/hyperlink" Target="mailto:angela.obrien@occ.ohio.gov" TargetMode="External" /><Relationship Id="rId60" Type="http://schemas.openxmlformats.org/officeDocument/2006/relationships/styles" Target="styles.xml" /><Relationship Id="rId7" Type="http://schemas.openxmlformats.org/officeDocument/2006/relationships/hyperlink" Target="mailto:christopher.healey@occ.ohio.gov" TargetMode="External" /><Relationship Id="rId8" Type="http://schemas.openxmlformats.org/officeDocument/2006/relationships/hyperlink" Target="mailto:john.finnigan@occ.ohio.gov" TargetMode="Externa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60E3BD-460E-4D66-A008-633A20395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4313</Words>
  <Characters>24588</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OCC MC AFR - AEP - 20-585-EL-AIR et al - 12.23.21.mrw (djd 12-27-2021) ls ___ 2.docx  -  Read-Only.docx</vt:lpstr>
    </vt:vector>
  </TitlesOfParts>
  <Company/>
  <LinksUpToDate>false</LinksUpToDate>
  <CharactersWithSpaces>28844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2021-12-30T20:18:30Z</dcterms:created>
  <dcterms:modified xsi:type="dcterms:W3CDTF">2021-12-30T20:18:30Z</dcterms:modified>
</cp:coreProperties>
</file>