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1C0FED" w:rsidP="007C2976">
      <w:pPr>
        <w:pStyle w:val="HTMLPreformatted"/>
        <w:jc w:val="center"/>
        <w:rPr>
          <w:rFonts w:ascii="Times New Roman" w:hAnsi="Times New Roman" w:cs="Times New Roman"/>
          <w:b/>
          <w:bCs/>
          <w:sz w:val="24"/>
          <w:szCs w:val="24"/>
        </w:rPr>
      </w:pPr>
      <w:bookmarkStart w:id="0" w:name="_GoBack"/>
      <w:bookmarkEnd w:id="0"/>
      <w:r w:rsidRPr="001C0FED">
        <w:rPr>
          <w:rFonts w:ascii="Times New Roman" w:hAnsi="Times New Roman" w:cs="Times New Roman"/>
          <w:b/>
          <w:bCs/>
          <w:sz w:val="24"/>
          <w:szCs w:val="24"/>
        </w:rPr>
        <w:t>BEFORE</w:t>
      </w:r>
    </w:p>
    <w:p w:rsidR="007C2976" w:rsidRPr="001C0FED" w:rsidP="007C2976">
      <w:pPr>
        <w:pStyle w:val="HTMLPreformatted"/>
        <w:jc w:val="center"/>
        <w:rPr>
          <w:rFonts w:ascii="Times New Roman" w:hAnsi="Times New Roman" w:cs="Times New Roman"/>
          <w:sz w:val="24"/>
          <w:szCs w:val="24"/>
        </w:rPr>
      </w:pPr>
      <w:r w:rsidRPr="001C0FED">
        <w:rPr>
          <w:rFonts w:ascii="Times New Roman" w:hAnsi="Times New Roman" w:cs="Times New Roman"/>
          <w:b/>
          <w:bCs/>
          <w:sz w:val="24"/>
          <w:szCs w:val="24"/>
        </w:rPr>
        <w:t>THE PUBLIC UTILITIES COMMISSION OF OHIO</w:t>
      </w:r>
    </w:p>
    <w:p w:rsidR="007C2976" w:rsidRPr="001C0FED" w:rsidP="007C2976">
      <w:pPr>
        <w:pStyle w:val="HTMLPreformatted"/>
        <w:rPr>
          <w:rFonts w:ascii="Times New Roman" w:hAnsi="Times New Roman" w:cs="Times New Roman"/>
          <w:sz w:val="24"/>
          <w:szCs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416920" w:rsidRPr="001C0FED" w:rsidP="00BF5394">
            <w:pPr>
              <w:autoSpaceDE w:val="0"/>
              <w:autoSpaceDN w:val="0"/>
              <w:adjustRightInd w:val="0"/>
              <w:rPr>
                <w:rStyle w:val="DefaultParagraphFont"/>
                <w:sz w:val="24"/>
                <w:szCs w:val="24"/>
                <w:lang w:val="en-US" w:eastAsia="en-US" w:bidi="ar-SA"/>
              </w:rPr>
            </w:pPr>
            <w:r w:rsidRPr="001C0FED">
              <w:rPr>
                <w:sz w:val="24"/>
                <w:szCs w:val="24"/>
                <w:lang w:val="en-US" w:eastAsia="en-US" w:bidi="ar-SA"/>
              </w:rPr>
              <w:t xml:space="preserve">In the Matter of the </w:t>
            </w:r>
            <w:r w:rsidRPr="001C0FED" w:rsidR="00BF5394">
              <w:rPr>
                <w:sz w:val="24"/>
                <w:szCs w:val="24"/>
                <w:lang w:val="en-US" w:eastAsia="en-US" w:bidi="ar-SA"/>
              </w:rPr>
              <w:t>Application of Duke Energy</w:t>
            </w:r>
            <w:r w:rsidRPr="001C0FED">
              <w:rPr>
                <w:sz w:val="24"/>
                <w:szCs w:val="24"/>
                <w:lang w:val="en-US" w:eastAsia="en-US" w:bidi="ar-SA"/>
              </w:rPr>
              <w:t xml:space="preserve"> Ohio, Inc. for </w:t>
            </w:r>
            <w:r w:rsidRPr="001C0FED" w:rsidR="00BF5394">
              <w:rPr>
                <w:sz w:val="24"/>
                <w:szCs w:val="24"/>
                <w:lang w:val="en-US" w:eastAsia="en-US" w:bidi="ar-SA"/>
              </w:rPr>
              <w:t>the Annual Audit of Rider SCR, Rider RE, Rider RC, Rider LFA, Rider ESSC, and Rider ECF.</w:t>
            </w:r>
          </w:p>
          <w:p w:rsidR="00BF5394" w:rsidRPr="001C0FED" w:rsidP="00BF5394">
            <w:pPr>
              <w:autoSpaceDE w:val="0"/>
              <w:autoSpaceDN w:val="0"/>
              <w:adjustRightInd w:val="0"/>
              <w:rPr>
                <w:rStyle w:val="DefaultParagraphFont"/>
                <w:sz w:val="24"/>
                <w:szCs w:val="24"/>
                <w:lang w:val="en-US" w:eastAsia="en-US" w:bidi="ar-SA"/>
              </w:rPr>
            </w:pPr>
          </w:p>
        </w:tc>
        <w:tc>
          <w:tcPr>
            <w:tcW w:w="360" w:type="dxa"/>
            <w:shd w:val="clear" w:color="auto" w:fill="auto"/>
          </w:tcPr>
          <w:p w:rsidR="007C2976" w:rsidRPr="001C0FE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1C0FED">
              <w:rPr>
                <w:rFonts w:ascii="Times New Roman" w:eastAsia="Courier New" w:hAnsi="Times New Roman" w:cs="Times New Roman"/>
                <w:sz w:val="24"/>
                <w:szCs w:val="24"/>
                <w:lang w:val="en-US" w:eastAsia="en-US" w:bidi="ar-SA"/>
              </w:rPr>
              <w:t>)</w:t>
            </w:r>
          </w:p>
          <w:p w:rsidR="007C2976" w:rsidRPr="001C0FE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1C0FED">
              <w:rPr>
                <w:rFonts w:ascii="Times New Roman" w:eastAsia="Courier New" w:hAnsi="Times New Roman" w:cs="Times New Roman"/>
                <w:sz w:val="24"/>
                <w:szCs w:val="24"/>
                <w:lang w:val="en-US" w:eastAsia="en-US" w:bidi="ar-SA"/>
              </w:rPr>
              <w:t>)</w:t>
            </w:r>
          </w:p>
          <w:p w:rsidR="00416920" w:rsidRPr="001C0FED"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1C0FED">
              <w:rPr>
                <w:rFonts w:ascii="Times New Roman" w:eastAsia="Courier New" w:hAnsi="Times New Roman" w:cs="Times New Roman"/>
                <w:sz w:val="24"/>
                <w:szCs w:val="24"/>
                <w:lang w:val="en-US" w:eastAsia="en-US" w:bidi="ar-SA"/>
              </w:rPr>
              <w:t>)</w:t>
            </w:r>
          </w:p>
        </w:tc>
        <w:tc>
          <w:tcPr>
            <w:tcW w:w="4400" w:type="dxa"/>
            <w:shd w:val="clear" w:color="auto" w:fill="auto"/>
          </w:tcPr>
          <w:p w:rsidR="007C2976" w:rsidRPr="001C0FE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7C2976" w:rsidRPr="001C0FED" w:rsidP="00C31A75">
            <w:pPr>
              <w:rPr>
                <w:rStyle w:val="DefaultParagraphFont"/>
                <w:i/>
                <w:sz w:val="24"/>
                <w:szCs w:val="24"/>
                <w:lang w:val="en-US" w:eastAsia="en-US" w:bidi="ar-SA"/>
              </w:rPr>
            </w:pPr>
            <w:r w:rsidRPr="001C0FED">
              <w:rPr>
                <w:sz w:val="24"/>
                <w:szCs w:val="24"/>
                <w:lang w:val="en-US" w:eastAsia="en-US" w:bidi="ar-SA"/>
              </w:rPr>
              <w:t xml:space="preserve">Case No. </w:t>
            </w:r>
            <w:r w:rsidRPr="001C0FED" w:rsidR="00BF5394">
              <w:rPr>
                <w:sz w:val="24"/>
                <w:szCs w:val="24"/>
                <w:lang w:val="en-US" w:eastAsia="en-US" w:bidi="ar-SA"/>
              </w:rPr>
              <w:t>18</w:t>
            </w:r>
            <w:r w:rsidRPr="001C0FED">
              <w:rPr>
                <w:sz w:val="24"/>
                <w:szCs w:val="24"/>
                <w:lang w:val="en-US" w:eastAsia="en-US" w:bidi="ar-SA"/>
              </w:rPr>
              <w:t>-</w:t>
            </w:r>
            <w:r w:rsidRPr="001C0FED" w:rsidR="00BF5394">
              <w:rPr>
                <w:sz w:val="24"/>
                <w:szCs w:val="24"/>
                <w:lang w:val="en-US" w:eastAsia="en-US" w:bidi="ar-SA"/>
              </w:rPr>
              <w:t>0046</w:t>
            </w:r>
            <w:r w:rsidRPr="001C0FED">
              <w:rPr>
                <w:sz w:val="24"/>
                <w:szCs w:val="24"/>
                <w:lang w:val="en-US" w:eastAsia="en-US" w:bidi="ar-SA"/>
              </w:rPr>
              <w:t>-</w:t>
            </w:r>
            <w:r w:rsidRPr="001C0FED" w:rsidR="00BF5394">
              <w:rPr>
                <w:sz w:val="24"/>
                <w:szCs w:val="24"/>
                <w:lang w:val="en-US" w:eastAsia="en-US" w:bidi="ar-SA"/>
              </w:rPr>
              <w:t>EL</w:t>
            </w:r>
            <w:r w:rsidRPr="001C0FED">
              <w:rPr>
                <w:sz w:val="24"/>
                <w:szCs w:val="24"/>
                <w:lang w:val="en-US" w:eastAsia="en-US" w:bidi="ar-SA"/>
              </w:rPr>
              <w:t>-RDR</w:t>
            </w:r>
          </w:p>
          <w:p w:rsidR="00416920" w:rsidRPr="001C0FED"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7C2976" w:rsidRPr="001C0FED" w:rsidP="007C2976">
      <w:pPr>
        <w:pStyle w:val="HTMLPreformatted"/>
        <w:pBdr>
          <w:top w:val="single" w:sz="12" w:space="1" w:color="auto"/>
        </w:pBdr>
        <w:rPr>
          <w:rFonts w:ascii="Times New Roman" w:hAnsi="Times New Roman" w:cs="Times New Roman"/>
          <w:sz w:val="24"/>
          <w:szCs w:val="24"/>
        </w:rPr>
      </w:pPr>
    </w:p>
    <w:p w:rsidR="007C2976" w:rsidRPr="001C0FED" w:rsidP="007C2976">
      <w:pPr>
        <w:jc w:val="center"/>
        <w:rPr>
          <w:b/>
          <w:bCs/>
          <w:szCs w:val="24"/>
        </w:rPr>
      </w:pPr>
      <w:r w:rsidRPr="001C0FED">
        <w:rPr>
          <w:b/>
          <w:bCs/>
          <w:szCs w:val="24"/>
        </w:rPr>
        <w:t>MOTION TO INTERVENE</w:t>
      </w:r>
    </w:p>
    <w:p w:rsidR="007C2976" w:rsidRPr="001C0FED" w:rsidP="007C2976">
      <w:pPr>
        <w:jc w:val="center"/>
        <w:rPr>
          <w:b/>
          <w:bCs/>
          <w:szCs w:val="24"/>
        </w:rPr>
      </w:pPr>
      <w:r w:rsidRPr="001C0FED">
        <w:rPr>
          <w:b/>
          <w:bCs/>
          <w:szCs w:val="24"/>
        </w:rPr>
        <w:t>BY</w:t>
      </w:r>
    </w:p>
    <w:p w:rsidR="007C2976" w:rsidRPr="001C0FED" w:rsidP="007C2976">
      <w:pPr>
        <w:jc w:val="center"/>
        <w:rPr>
          <w:b/>
          <w:bCs/>
          <w:szCs w:val="24"/>
        </w:rPr>
      </w:pPr>
      <w:r w:rsidRPr="001C0FED">
        <w:rPr>
          <w:b/>
          <w:bCs/>
          <w:szCs w:val="24"/>
        </w:rPr>
        <w:t>THE OFFICE OF THE OHIO CONSUMERS' COUNSEL</w:t>
      </w:r>
    </w:p>
    <w:p w:rsidR="007C2976" w:rsidRPr="001C0FED" w:rsidP="007C2976">
      <w:pPr>
        <w:pBdr>
          <w:bottom w:val="single" w:sz="12" w:space="1" w:color="auto"/>
        </w:pBdr>
        <w:tabs>
          <w:tab w:val="left" w:pos="4320"/>
        </w:tabs>
        <w:rPr>
          <w:szCs w:val="24"/>
        </w:rPr>
      </w:pPr>
    </w:p>
    <w:p w:rsidR="007C2976" w:rsidRPr="001C0FED" w:rsidP="00E15494">
      <w:pPr>
        <w:spacing w:before="240" w:line="480" w:lineRule="auto"/>
        <w:ind w:firstLine="720"/>
        <w:rPr>
          <w:szCs w:val="24"/>
        </w:rPr>
      </w:pPr>
      <w:r w:rsidRPr="001C0FED">
        <w:rPr>
          <w:szCs w:val="24"/>
        </w:rPr>
        <w:t xml:space="preserve">The Office of the Ohio Consumers' Counsel ("OCC") moves to intervene in this case where </w:t>
      </w:r>
      <w:r w:rsidRPr="001C0FED" w:rsidR="00BF5394">
        <w:rPr>
          <w:szCs w:val="24"/>
        </w:rPr>
        <w:t>Duke Energy Ohio, Inc.</w:t>
      </w:r>
      <w:r w:rsidRPr="001C0FED">
        <w:rPr>
          <w:szCs w:val="24"/>
        </w:rPr>
        <w:t xml:space="preserve"> ("</w:t>
      </w:r>
      <w:r w:rsidRPr="001C0FED" w:rsidR="00BF5394">
        <w:rPr>
          <w:szCs w:val="24"/>
        </w:rPr>
        <w:t>Duke</w:t>
      </w:r>
      <w:r w:rsidRPr="001C0FED">
        <w:rPr>
          <w:szCs w:val="24"/>
        </w:rPr>
        <w:t xml:space="preserve">") </w:t>
      </w:r>
      <w:r w:rsidRPr="001C0FED" w:rsidR="00BF5394">
        <w:rPr>
          <w:szCs w:val="24"/>
        </w:rPr>
        <w:t>is collecting charges from customers through its Supplier Cost Reconciliation Rider (“Rider SCR”), Retail Energy Rider (“Rider RE”), Retail Capacity Rider (“Rider RC”), Load Factor Adjustment Rider (“Rider LFA”), and Economic Competitiveness Fund (“Rider ECF”)</w:t>
      </w:r>
      <w:r w:rsidRPr="001C0FED">
        <w:rPr>
          <w:szCs w:val="24"/>
        </w:rPr>
        <w:t>.</w:t>
      </w:r>
      <w:r>
        <w:rPr>
          <w:rStyle w:val="FootnoteReference"/>
          <w:szCs w:val="24"/>
        </w:rPr>
        <w:footnoteReference w:id="2"/>
      </w:r>
      <w:r w:rsidRPr="001C0FED" w:rsidR="009B62D5">
        <w:rPr>
          <w:szCs w:val="24"/>
        </w:rPr>
        <w:t xml:space="preserve"> </w:t>
      </w:r>
      <w:r w:rsidRPr="001C0FED" w:rsidR="00BF5394">
        <w:rPr>
          <w:szCs w:val="24"/>
        </w:rPr>
        <w:t>This proceeding is an annual audit to determine whether the 2017 charges that been collected by Duke</w:t>
      </w:r>
      <w:r w:rsidRPr="001C0FED" w:rsidR="00163AC7">
        <w:rPr>
          <w:szCs w:val="24"/>
        </w:rPr>
        <w:t xml:space="preserve"> under these riders</w:t>
      </w:r>
      <w:r w:rsidRPr="001C0FED" w:rsidR="00293353">
        <w:rPr>
          <w:szCs w:val="24"/>
        </w:rPr>
        <w:t xml:space="preserve"> are reasonable and in compliance with PUCO Orders.</w:t>
      </w:r>
      <w:r>
        <w:rPr>
          <w:rStyle w:val="FootnoteReference"/>
          <w:szCs w:val="24"/>
        </w:rPr>
        <w:footnoteReference w:id="3"/>
      </w:r>
      <w:r w:rsidRPr="001C0FED" w:rsidR="00293353">
        <w:rPr>
          <w:szCs w:val="24"/>
        </w:rPr>
        <w:t xml:space="preserve"> </w:t>
      </w:r>
      <w:r w:rsidRPr="001C0FED" w:rsidR="00BF5394">
        <w:rPr>
          <w:szCs w:val="24"/>
        </w:rPr>
        <w:t>OCC is filing on behalf of the 623,000 residential utility customers of Duke.</w:t>
      </w:r>
      <w:r w:rsidRPr="001C0FED">
        <w:rPr>
          <w:szCs w:val="24"/>
        </w:rPr>
        <w:t xml:space="preserve"> </w:t>
      </w:r>
      <w:r w:rsidRPr="001C0FED" w:rsidR="00BF5394">
        <w:rPr>
          <w:szCs w:val="24"/>
        </w:rPr>
        <w:t>The reasons the PUCO</w:t>
      </w:r>
      <w:r w:rsidRPr="001C0FED">
        <w:rPr>
          <w:szCs w:val="24"/>
        </w:rPr>
        <w:t xml:space="preserve"> should grant OCC's motion to intervene</w:t>
      </w:r>
      <w:r w:rsidRPr="001C0FED" w:rsidR="00BF5394">
        <w:rPr>
          <w:szCs w:val="24"/>
        </w:rPr>
        <w:t xml:space="preserve"> are further set forth in the attached Memorandum in Support</w:t>
      </w:r>
      <w:r w:rsidRPr="001C0FED">
        <w:rPr>
          <w:szCs w:val="24"/>
        </w:rPr>
        <w:t>.</w:t>
      </w:r>
    </w:p>
    <w:p w:rsidR="001A5E32" w:rsidRPr="001C0FED" w:rsidP="00A25FE5">
      <w:pPr>
        <w:pStyle w:val="BodyTextIndent3"/>
        <w:widowControl w:val="0"/>
        <w:spacing w:line="480" w:lineRule="auto"/>
        <w:ind w:left="4320" w:firstLine="0"/>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7C2976" w:rsidRPr="001C0FED" w:rsidP="00A25FE5">
      <w:pPr>
        <w:pStyle w:val="BodyTextIndent3"/>
        <w:widowControl w:val="0"/>
        <w:spacing w:line="480" w:lineRule="auto"/>
        <w:ind w:left="4320" w:firstLine="0"/>
        <w:rPr>
          <w:szCs w:val="24"/>
        </w:rPr>
      </w:pPr>
      <w:r w:rsidRPr="001C0FED">
        <w:rPr>
          <w:szCs w:val="24"/>
        </w:rPr>
        <w:t>Respectfully submitted,</w:t>
      </w:r>
    </w:p>
    <w:p w:rsidR="007C2976" w:rsidRPr="001C0FED" w:rsidP="003B5047">
      <w:pPr>
        <w:ind w:left="4320"/>
        <w:rPr>
          <w:szCs w:val="24"/>
        </w:rPr>
      </w:pPr>
      <w:r w:rsidRPr="001C0FED">
        <w:rPr>
          <w:szCs w:val="24"/>
        </w:rPr>
        <w:t>BRUCE WESTON (0016973)</w:t>
      </w:r>
    </w:p>
    <w:p w:rsidR="007C2976" w:rsidRPr="001C0FED" w:rsidP="007C2976">
      <w:pPr>
        <w:tabs>
          <w:tab w:val="left" w:pos="4320"/>
        </w:tabs>
        <w:ind w:left="4320"/>
        <w:rPr>
          <w:szCs w:val="24"/>
        </w:rPr>
      </w:pPr>
      <w:r w:rsidRPr="001C0FED">
        <w:rPr>
          <w:szCs w:val="24"/>
        </w:rPr>
        <w:t>OHIO CONSUMERS' COUNSEL</w:t>
      </w:r>
    </w:p>
    <w:p w:rsidR="007C2976" w:rsidRPr="001C0FED" w:rsidP="007C2976">
      <w:pPr>
        <w:tabs>
          <w:tab w:val="left" w:pos="4320"/>
        </w:tabs>
        <w:ind w:left="4320"/>
        <w:rPr>
          <w:szCs w:val="24"/>
        </w:rPr>
      </w:pPr>
    </w:p>
    <w:p w:rsidR="00C05D8D" w:rsidRPr="001C0FED" w:rsidP="00C05D8D">
      <w:pPr>
        <w:autoSpaceDE w:val="0"/>
        <w:autoSpaceDN w:val="0"/>
        <w:adjustRightInd w:val="0"/>
        <w:ind w:left="4320"/>
        <w:rPr>
          <w:i/>
          <w:szCs w:val="24"/>
        </w:rPr>
      </w:pPr>
      <w:r w:rsidRPr="001C0FED">
        <w:rPr>
          <w:i/>
          <w:szCs w:val="24"/>
          <w:u w:val="single"/>
        </w:rPr>
        <w:t xml:space="preserve">/s/ </w:t>
      </w:r>
      <w:r w:rsidRPr="001C0FED" w:rsidR="00BF5394">
        <w:rPr>
          <w:i/>
          <w:szCs w:val="24"/>
          <w:u w:val="single"/>
        </w:rPr>
        <w:t>Kevin Moore</w:t>
      </w:r>
      <w:r w:rsidRPr="001C0FED">
        <w:rPr>
          <w:i/>
          <w:szCs w:val="24"/>
          <w:u w:val="single"/>
        </w:rPr>
        <w:tab/>
      </w:r>
    </w:p>
    <w:p w:rsidR="007C2976" w:rsidRPr="001C0FED" w:rsidP="007C2976">
      <w:pPr>
        <w:tabs>
          <w:tab w:val="left" w:pos="4320"/>
        </w:tabs>
        <w:ind w:left="4320"/>
        <w:rPr>
          <w:szCs w:val="24"/>
        </w:rPr>
      </w:pPr>
      <w:r w:rsidRPr="001C0FED">
        <w:rPr>
          <w:szCs w:val="24"/>
        </w:rPr>
        <w:t>Kevin Moore</w:t>
      </w:r>
      <w:r w:rsidRPr="001C0FED" w:rsidR="00FC0C37">
        <w:rPr>
          <w:szCs w:val="24"/>
        </w:rPr>
        <w:t xml:space="preserve"> (00</w:t>
      </w:r>
      <w:r w:rsidRPr="001C0FED">
        <w:rPr>
          <w:szCs w:val="24"/>
        </w:rPr>
        <w:t>89228</w:t>
      </w:r>
      <w:r w:rsidRPr="001C0FED" w:rsidR="00FC0C37">
        <w:rPr>
          <w:szCs w:val="24"/>
        </w:rPr>
        <w:t>)</w:t>
      </w:r>
      <w:r w:rsidRPr="001C0FED" w:rsidR="00FC0C37">
        <w:rPr>
          <w:szCs w:val="24"/>
        </w:rPr>
        <w:br/>
        <w:t>Counsel of Record</w:t>
      </w:r>
    </w:p>
    <w:p w:rsidR="007C2976" w:rsidRPr="001C0FED" w:rsidP="007C2976">
      <w:pPr>
        <w:pStyle w:val="Heading1"/>
        <w:spacing w:before="120"/>
        <w:ind w:left="4320"/>
        <w:rPr>
          <w:u w:val="none"/>
        </w:rPr>
      </w:pPr>
      <w:r w:rsidRPr="001C0FED">
        <w:rPr>
          <w:u w:val="none"/>
        </w:rPr>
        <w:t>Office of the Ohio Consumers' Counsel</w:t>
      </w:r>
    </w:p>
    <w:p w:rsidR="006C5851" w:rsidRPr="001C0FED" w:rsidP="006C5851">
      <w:pPr>
        <w:pStyle w:val="Heading1"/>
        <w:ind w:left="4320"/>
        <w:rPr>
          <w:b w:val="0"/>
          <w:u w:val="none"/>
        </w:rPr>
      </w:pPr>
      <w:r w:rsidRPr="001C0FED">
        <w:rPr>
          <w:b w:val="0"/>
          <w:u w:val="none"/>
        </w:rPr>
        <w:t>65 East State Street, Suite 700</w:t>
      </w:r>
    </w:p>
    <w:p w:rsidR="006C5851" w:rsidRPr="001C0FED" w:rsidP="006C5851">
      <w:pPr>
        <w:pStyle w:val="Heading1"/>
        <w:ind w:left="4320"/>
        <w:rPr>
          <w:b w:val="0"/>
          <w:u w:val="none"/>
        </w:rPr>
      </w:pPr>
      <w:r w:rsidRPr="001C0FED">
        <w:rPr>
          <w:b w:val="0"/>
          <w:u w:val="none"/>
        </w:rPr>
        <w:t>Columbus, Ohio 43215</w:t>
      </w:r>
    </w:p>
    <w:p w:rsidR="003B5047" w:rsidRPr="001C0FED" w:rsidP="003B5047">
      <w:pPr>
        <w:autoSpaceDE w:val="0"/>
        <w:autoSpaceDN w:val="0"/>
        <w:adjustRightInd w:val="0"/>
        <w:ind w:left="3600" w:firstLine="720"/>
        <w:rPr>
          <w:szCs w:val="24"/>
        </w:rPr>
      </w:pPr>
      <w:r w:rsidRPr="001C0FED">
        <w:rPr>
          <w:szCs w:val="24"/>
        </w:rPr>
        <w:t xml:space="preserve">Telephone: (614) </w:t>
      </w:r>
      <w:r w:rsidRPr="001C0FED" w:rsidR="00BF5394">
        <w:rPr>
          <w:szCs w:val="24"/>
        </w:rPr>
        <w:t>387</w:t>
      </w:r>
      <w:r w:rsidRPr="001C0FED">
        <w:rPr>
          <w:szCs w:val="24"/>
        </w:rPr>
        <w:t>-</w:t>
      </w:r>
      <w:r w:rsidRPr="001C0FED" w:rsidR="00BF5394">
        <w:rPr>
          <w:szCs w:val="24"/>
        </w:rPr>
        <w:t>2965</w:t>
      </w:r>
    </w:p>
    <w:p w:rsidR="003B5047" w:rsidRPr="001C0FED" w:rsidP="003B5047">
      <w:pPr>
        <w:ind w:left="4320"/>
        <w:rPr>
          <w:szCs w:val="24"/>
        </w:rPr>
      </w:pPr>
      <w:r>
        <w:fldChar w:fldCharType="begin"/>
      </w:r>
      <w:r>
        <w:instrText xml:space="preserve"> HYPERLINK "mailto:Kevin.moore@occ.ohio.gov" </w:instrText>
      </w:r>
      <w:r>
        <w:fldChar w:fldCharType="separate"/>
      </w:r>
      <w:r w:rsidRPr="001C0FED" w:rsidR="007436AC">
        <w:rPr>
          <w:rStyle w:val="Hyperlink"/>
          <w:szCs w:val="24"/>
        </w:rPr>
        <w:t>Kevin.moore@occ.ohio.gov</w:t>
      </w:r>
      <w:r>
        <w:fldChar w:fldCharType="end"/>
      </w:r>
    </w:p>
    <w:p w:rsidR="00D50439" w:rsidRPr="001C0FED" w:rsidP="003B5047">
      <w:pPr>
        <w:ind w:left="4320"/>
        <w:rPr>
          <w:szCs w:val="24"/>
        </w:rPr>
      </w:pPr>
      <w:r w:rsidRPr="001C0FED">
        <w:rPr>
          <w:szCs w:val="24"/>
        </w:rPr>
        <w:t>(</w:t>
      </w:r>
      <w:r w:rsidRPr="001C0FED" w:rsidR="007436AC">
        <w:rPr>
          <w:szCs w:val="24"/>
        </w:rPr>
        <w:t>W</w:t>
      </w:r>
      <w:r w:rsidRPr="001C0FED">
        <w:rPr>
          <w:szCs w:val="24"/>
        </w:rPr>
        <w:t>ill accept service via email)</w:t>
      </w:r>
    </w:p>
    <w:p w:rsidR="008A6DE3" w:rsidRPr="001C0FED" w:rsidP="003B5047">
      <w:pPr>
        <w:ind w:left="4320"/>
        <w:rPr>
          <w:szCs w:val="24"/>
        </w:rPr>
      </w:pPr>
    </w:p>
    <w:p w:rsidR="001C0FED" w:rsidRPr="001C0FED" w:rsidP="002554BF">
      <w:pPr>
        <w:pStyle w:val="HTMLPreformatted"/>
        <w:jc w:val="center"/>
        <w:rPr>
          <w:rFonts w:ascii="Times New Roman" w:hAnsi="Times New Roman" w:cs="Times New Roman"/>
          <w:b/>
          <w:bCs/>
          <w:sz w:val="24"/>
          <w:szCs w:val="24"/>
        </w:rPr>
        <w:sectPr w:rsidSect="001A5E32">
          <w:footerReference w:type="default" r:id="rId11"/>
          <w:pgSz w:w="12240" w:h="15840"/>
          <w:pgMar w:top="1440" w:right="1800" w:bottom="1440" w:left="1800" w:header="720" w:footer="720" w:gutter="0"/>
          <w:pgNumType w:start="2"/>
          <w:cols w:space="720"/>
          <w:docGrid w:linePitch="360"/>
        </w:sectPr>
      </w:pPr>
    </w:p>
    <w:p w:rsidR="002554BF" w:rsidRPr="001C0FED" w:rsidP="002554BF">
      <w:pPr>
        <w:pStyle w:val="HTMLPreformatted"/>
        <w:jc w:val="center"/>
        <w:rPr>
          <w:rFonts w:ascii="Times New Roman" w:hAnsi="Times New Roman" w:cs="Times New Roman"/>
          <w:b/>
          <w:bCs/>
          <w:sz w:val="24"/>
          <w:szCs w:val="24"/>
        </w:rPr>
      </w:pPr>
      <w:r w:rsidRPr="001C0FED">
        <w:rPr>
          <w:rFonts w:ascii="Times New Roman" w:hAnsi="Times New Roman" w:cs="Times New Roman"/>
          <w:b/>
          <w:bCs/>
          <w:sz w:val="24"/>
          <w:szCs w:val="24"/>
        </w:rPr>
        <w:t>BEFORE</w:t>
      </w:r>
    </w:p>
    <w:p w:rsidR="002554BF" w:rsidRPr="001C0FED" w:rsidP="002554BF">
      <w:pPr>
        <w:pStyle w:val="HTMLPreformatted"/>
        <w:jc w:val="center"/>
        <w:rPr>
          <w:rFonts w:ascii="Times New Roman" w:hAnsi="Times New Roman" w:cs="Times New Roman"/>
          <w:sz w:val="24"/>
          <w:szCs w:val="24"/>
        </w:rPr>
      </w:pPr>
      <w:r w:rsidRPr="001C0FED">
        <w:rPr>
          <w:rFonts w:ascii="Times New Roman" w:hAnsi="Times New Roman" w:cs="Times New Roman"/>
          <w:b/>
          <w:bCs/>
          <w:sz w:val="24"/>
          <w:szCs w:val="24"/>
        </w:rPr>
        <w:t>THE PUBLIC UTILITIES COMMISSION OF OHIO</w:t>
      </w:r>
    </w:p>
    <w:p w:rsidR="002554BF" w:rsidRPr="001C0FED" w:rsidP="002554BF">
      <w:pPr>
        <w:pStyle w:val="HTMLPreformatted"/>
        <w:rPr>
          <w:rFonts w:ascii="Times New Roman" w:hAnsi="Times New Roman" w:cs="Times New Roman"/>
          <w:sz w:val="24"/>
          <w:szCs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BF5394" w:rsidRPr="001C0FED" w:rsidP="005F312A">
            <w:pPr>
              <w:autoSpaceDE w:val="0"/>
              <w:autoSpaceDN w:val="0"/>
              <w:adjustRightInd w:val="0"/>
              <w:rPr>
                <w:rStyle w:val="DefaultParagraphFont"/>
                <w:sz w:val="24"/>
                <w:szCs w:val="24"/>
                <w:lang w:val="en-US" w:eastAsia="en-US" w:bidi="ar-SA"/>
              </w:rPr>
            </w:pPr>
            <w:r w:rsidRPr="001C0FED">
              <w:rPr>
                <w:sz w:val="24"/>
                <w:szCs w:val="24"/>
                <w:lang w:val="en-US" w:eastAsia="en-US" w:bidi="ar-SA"/>
              </w:rPr>
              <w:t>In the Matter of the Application of Duke Energy Ohio, Inc. for the Annual Audit of Rider SCR, Rider RE, Rider RC, Rider LFA, Rider ESSC, and Rider ECF.</w:t>
            </w:r>
          </w:p>
          <w:p w:rsidR="00BF5394" w:rsidRPr="001C0FED" w:rsidP="005F312A">
            <w:pPr>
              <w:autoSpaceDE w:val="0"/>
              <w:autoSpaceDN w:val="0"/>
              <w:adjustRightInd w:val="0"/>
              <w:rPr>
                <w:rStyle w:val="DefaultParagraphFont"/>
                <w:sz w:val="24"/>
                <w:szCs w:val="24"/>
                <w:lang w:val="en-US" w:eastAsia="en-US" w:bidi="ar-SA"/>
              </w:rPr>
            </w:pPr>
          </w:p>
        </w:tc>
        <w:tc>
          <w:tcPr>
            <w:tcW w:w="360" w:type="dxa"/>
            <w:shd w:val="clear" w:color="auto" w:fill="auto"/>
          </w:tcPr>
          <w:p w:rsidR="00BF5394" w:rsidRPr="001C0FED" w:rsidP="005F31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1C0FED">
              <w:rPr>
                <w:rFonts w:ascii="Times New Roman" w:eastAsia="Courier New" w:hAnsi="Times New Roman" w:cs="Times New Roman"/>
                <w:sz w:val="24"/>
                <w:szCs w:val="24"/>
                <w:lang w:val="en-US" w:eastAsia="en-US" w:bidi="ar-SA"/>
              </w:rPr>
              <w:t>)</w:t>
            </w:r>
          </w:p>
          <w:p w:rsidR="00BF5394" w:rsidRPr="001C0FED" w:rsidP="005F31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1C0FED">
              <w:rPr>
                <w:rFonts w:ascii="Times New Roman" w:eastAsia="Courier New" w:hAnsi="Times New Roman" w:cs="Times New Roman"/>
                <w:sz w:val="24"/>
                <w:szCs w:val="24"/>
                <w:lang w:val="en-US" w:eastAsia="en-US" w:bidi="ar-SA"/>
              </w:rPr>
              <w:t>)</w:t>
            </w:r>
          </w:p>
          <w:p w:rsidR="00BF5394" w:rsidRPr="001C0FED" w:rsidP="005F31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1C0FED">
              <w:rPr>
                <w:rFonts w:ascii="Times New Roman" w:eastAsia="Courier New" w:hAnsi="Times New Roman" w:cs="Times New Roman"/>
                <w:sz w:val="24"/>
                <w:szCs w:val="24"/>
                <w:lang w:val="en-US" w:eastAsia="en-US" w:bidi="ar-SA"/>
              </w:rPr>
              <w:t>)</w:t>
            </w:r>
          </w:p>
        </w:tc>
        <w:tc>
          <w:tcPr>
            <w:tcW w:w="4400" w:type="dxa"/>
            <w:shd w:val="clear" w:color="auto" w:fill="auto"/>
          </w:tcPr>
          <w:p w:rsidR="00BF5394" w:rsidRPr="001C0FED" w:rsidP="005F31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BF5394" w:rsidRPr="001C0FED" w:rsidP="005F312A">
            <w:pPr>
              <w:rPr>
                <w:rStyle w:val="DefaultParagraphFont"/>
                <w:i/>
                <w:sz w:val="24"/>
                <w:szCs w:val="24"/>
                <w:lang w:val="en-US" w:eastAsia="en-US" w:bidi="ar-SA"/>
              </w:rPr>
            </w:pPr>
            <w:r w:rsidRPr="001C0FED">
              <w:rPr>
                <w:sz w:val="24"/>
                <w:szCs w:val="24"/>
                <w:lang w:val="en-US" w:eastAsia="en-US" w:bidi="ar-SA"/>
              </w:rPr>
              <w:t>Case No. 18-0046-EL-RDR</w:t>
            </w:r>
          </w:p>
          <w:p w:rsidR="00BF5394" w:rsidRPr="001C0FED" w:rsidP="005F312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r>
    </w:tbl>
    <w:p w:rsidR="00ED0722" w:rsidRPr="001C0FED" w:rsidP="00ED0722">
      <w:pPr>
        <w:pStyle w:val="HTMLPreformatted"/>
        <w:pBdr>
          <w:top w:val="single" w:sz="12" w:space="1" w:color="auto"/>
        </w:pBdr>
        <w:rPr>
          <w:rFonts w:ascii="Times New Roman" w:hAnsi="Times New Roman" w:cs="Times New Roman"/>
          <w:sz w:val="24"/>
          <w:szCs w:val="24"/>
        </w:rPr>
      </w:pPr>
    </w:p>
    <w:p w:rsidR="00ED0722" w:rsidRPr="001C0FED" w:rsidP="00ED0722">
      <w:pPr>
        <w:jc w:val="center"/>
        <w:rPr>
          <w:b/>
          <w:bCs/>
          <w:szCs w:val="24"/>
        </w:rPr>
      </w:pPr>
      <w:r w:rsidRPr="001C0FED">
        <w:rPr>
          <w:b/>
          <w:bCs/>
          <w:szCs w:val="24"/>
        </w:rPr>
        <w:t>MEMORANDUM IN SUPPORT</w:t>
      </w:r>
    </w:p>
    <w:p w:rsidR="00ED0722" w:rsidRPr="001C0FED" w:rsidP="00ED0722">
      <w:pPr>
        <w:pBdr>
          <w:bottom w:val="single" w:sz="12" w:space="1" w:color="auto"/>
        </w:pBdr>
        <w:tabs>
          <w:tab w:val="left" w:pos="4320"/>
        </w:tabs>
        <w:rPr>
          <w:szCs w:val="24"/>
        </w:rPr>
      </w:pPr>
    </w:p>
    <w:p w:rsidR="001C0FED" w:rsidRPr="001C0FED" w:rsidP="007436AC">
      <w:pPr>
        <w:pStyle w:val="BodyTextIndent3"/>
        <w:spacing w:line="480" w:lineRule="auto"/>
        <w:rPr>
          <w:szCs w:val="24"/>
        </w:rPr>
      </w:pPr>
    </w:p>
    <w:p w:rsidR="007436AC" w:rsidRPr="001C0FED" w:rsidP="007436AC">
      <w:pPr>
        <w:pStyle w:val="BodyTextIndent3"/>
        <w:spacing w:line="480" w:lineRule="auto"/>
        <w:rPr>
          <w:szCs w:val="24"/>
        </w:rPr>
      </w:pPr>
      <w:r w:rsidRPr="001C0FED">
        <w:rPr>
          <w:szCs w:val="24"/>
        </w:rPr>
        <w:t>This case involves charges on customers’ bills for the collection of costs from Duke’s Rider SCR, Rider RE, Rider RC, Rider LFA, and Rider ECF.</w:t>
      </w:r>
      <w:r w:rsidRPr="001C0FED" w:rsidR="003B51A9">
        <w:rPr>
          <w:szCs w:val="24"/>
        </w:rPr>
        <w:t xml:space="preserve"> The outcome of this proceeding could impact the utility bills that Ohio customers pay.</w:t>
      </w:r>
      <w:r w:rsidRPr="001C0FED" w:rsidR="00293353">
        <w:rPr>
          <w:szCs w:val="24"/>
        </w:rPr>
        <w:t xml:space="preserve"> </w:t>
      </w:r>
      <w:r w:rsidRPr="001C0FED" w:rsidR="00FC0C37">
        <w:rPr>
          <w:szCs w:val="24"/>
        </w:rPr>
        <w:t xml:space="preserve">Ohio law authorizes OCC to represent the interests of all of </w:t>
      </w:r>
      <w:r w:rsidRPr="001C0FED">
        <w:rPr>
          <w:szCs w:val="24"/>
        </w:rPr>
        <w:t>Duke’s 623,000</w:t>
      </w:r>
      <w:r w:rsidRPr="001C0FED" w:rsidR="00FC0C37">
        <w:rPr>
          <w:szCs w:val="24"/>
        </w:rPr>
        <w:t xml:space="preserve"> residential </w:t>
      </w:r>
      <w:r w:rsidRPr="001C0FED">
        <w:rPr>
          <w:szCs w:val="24"/>
        </w:rPr>
        <w:t xml:space="preserve">utility </w:t>
      </w:r>
      <w:r w:rsidRPr="001C0FED" w:rsidR="00FC0C37">
        <w:rPr>
          <w:szCs w:val="24"/>
        </w:rPr>
        <w:t>customers.</w:t>
      </w:r>
      <w:r>
        <w:rPr>
          <w:rStyle w:val="FootnoteReference"/>
          <w:szCs w:val="24"/>
        </w:rPr>
        <w:footnoteReference w:id="4"/>
      </w:r>
      <w:r w:rsidRPr="001C0FED" w:rsidR="00FC0C37">
        <w:rPr>
          <w:szCs w:val="24"/>
        </w:rPr>
        <w:t xml:space="preserve"> R.C. 4903.221 provides that any person "who may be adversely affected" by a PUCO proceeding is entitled to intervene in that proceeding. The interests of Ohio's residential consumers may be adversely affected by this case because </w:t>
      </w:r>
      <w:r w:rsidRPr="001C0FED">
        <w:rPr>
          <w:szCs w:val="24"/>
        </w:rPr>
        <w:t>Duke’s Rider SCR, Rider RE, Rider RC, Rider LFA, and Rider ECF</w:t>
      </w:r>
      <w:r w:rsidRPr="001C0FED" w:rsidR="00FC0C37">
        <w:rPr>
          <w:szCs w:val="24"/>
        </w:rPr>
        <w:t xml:space="preserve"> </w:t>
      </w:r>
      <w:r w:rsidRPr="001C0FED">
        <w:rPr>
          <w:szCs w:val="24"/>
        </w:rPr>
        <w:t>charges</w:t>
      </w:r>
      <w:r w:rsidRPr="001C0FED" w:rsidR="00FC0C37">
        <w:rPr>
          <w:szCs w:val="24"/>
        </w:rPr>
        <w:t xml:space="preserve"> </w:t>
      </w:r>
      <w:r w:rsidRPr="001C0FED" w:rsidR="00BE3D5A">
        <w:rPr>
          <w:szCs w:val="24"/>
        </w:rPr>
        <w:t>could</w:t>
      </w:r>
      <w:r w:rsidRPr="001C0FED" w:rsidR="00FC0C37">
        <w:rPr>
          <w:szCs w:val="24"/>
        </w:rPr>
        <w:t xml:space="preserve"> cost consumers millions of dollars. Thus, this element of the intervention standard in R.C. 4903.221 is satisfied.</w:t>
      </w:r>
    </w:p>
    <w:p w:rsidR="007C2976" w:rsidRPr="001C0FED" w:rsidP="007436AC">
      <w:pPr>
        <w:pStyle w:val="BodyTextIndent3"/>
        <w:spacing w:line="480" w:lineRule="auto"/>
        <w:rPr>
          <w:szCs w:val="24"/>
        </w:rPr>
      </w:pPr>
      <w:r w:rsidRPr="001C0FED">
        <w:rPr>
          <w:szCs w:val="24"/>
        </w:rPr>
        <w:t>R.C. 4903.221(B) requires the PUCO to consider the following criteria in ruling on motions to intervene:</w:t>
      </w:r>
    </w:p>
    <w:p w:rsidR="007C2976" w:rsidRPr="001C0FED" w:rsidP="0091432F">
      <w:pPr>
        <w:spacing w:after="240"/>
        <w:ind w:left="2160" w:right="720" w:hanging="720"/>
        <w:rPr>
          <w:szCs w:val="24"/>
        </w:rPr>
      </w:pPr>
      <w:r w:rsidRPr="001C0FED">
        <w:rPr>
          <w:szCs w:val="24"/>
        </w:rPr>
        <w:t>(1)</w:t>
      </w:r>
      <w:r w:rsidRPr="001C0FED">
        <w:rPr>
          <w:szCs w:val="24"/>
        </w:rPr>
        <w:tab/>
        <w:t>The nature and extent of the prospective intervenor's interest;</w:t>
      </w:r>
    </w:p>
    <w:p w:rsidR="00CE0972" w:rsidRPr="001C0FED" w:rsidP="0091432F">
      <w:pPr>
        <w:spacing w:after="240"/>
        <w:ind w:left="2160" w:right="720" w:hanging="720"/>
        <w:rPr>
          <w:szCs w:val="24"/>
        </w:rPr>
      </w:pPr>
      <w:r w:rsidRPr="001C0FED">
        <w:rPr>
          <w:szCs w:val="24"/>
        </w:rPr>
        <w:t>(2)</w:t>
      </w:r>
      <w:r w:rsidRPr="001C0FED">
        <w:rPr>
          <w:szCs w:val="24"/>
        </w:rPr>
        <w:tab/>
        <w:t>The legal position advanced by the prospective intervenor and its probable relation to the merits of the case;</w:t>
      </w:r>
    </w:p>
    <w:p w:rsidR="00CE0972" w:rsidRPr="001C0FED" w:rsidP="0091432F">
      <w:pPr>
        <w:spacing w:after="240"/>
        <w:ind w:left="2160" w:right="720" w:hanging="720"/>
        <w:rPr>
          <w:szCs w:val="24"/>
        </w:rPr>
      </w:pPr>
      <w:r w:rsidRPr="001C0FED">
        <w:rPr>
          <w:szCs w:val="24"/>
        </w:rPr>
        <w:t>(3)</w:t>
      </w:r>
      <w:r w:rsidRPr="001C0FED">
        <w:rPr>
          <w:szCs w:val="24"/>
        </w:rPr>
        <w:tab/>
        <w:t>Whether the intervention by the prospective intervenor will unduly prolong or delay the proceeding; and</w:t>
      </w:r>
    </w:p>
    <w:p w:rsidR="007C2976" w:rsidRPr="001C0FED" w:rsidP="0091432F">
      <w:pPr>
        <w:spacing w:after="240"/>
        <w:ind w:left="2160" w:right="720" w:hanging="720"/>
        <w:rPr>
          <w:szCs w:val="24"/>
        </w:rPr>
      </w:pPr>
      <w:r w:rsidRPr="001C0FED">
        <w:rPr>
          <w:szCs w:val="24"/>
        </w:rPr>
        <w:t>(4)</w:t>
      </w:r>
      <w:r w:rsidRPr="001C0FED">
        <w:rPr>
          <w:szCs w:val="24"/>
        </w:rPr>
        <w:tab/>
        <w:t>Whether the prospective intervenor will significantly contribute to the full development and equitable resolution of the factual issues.</w:t>
      </w:r>
    </w:p>
    <w:p w:rsidR="007C2976" w:rsidRPr="001C0FED" w:rsidP="007C2976">
      <w:pPr>
        <w:pStyle w:val="BodyTextIndent3"/>
        <w:suppressAutoHyphens/>
        <w:spacing w:line="480" w:lineRule="auto"/>
        <w:rPr>
          <w:szCs w:val="24"/>
        </w:rPr>
      </w:pPr>
      <w:r w:rsidRPr="001C0FED">
        <w:rPr>
          <w:szCs w:val="24"/>
        </w:rPr>
        <w:t xml:space="preserve">First, the nature and extent of OCC's interest is representing </w:t>
      </w:r>
      <w:r w:rsidRPr="001C0FED" w:rsidR="00BF5394">
        <w:rPr>
          <w:szCs w:val="24"/>
        </w:rPr>
        <w:t>Duke’s</w:t>
      </w:r>
      <w:r w:rsidRPr="001C0FED">
        <w:rPr>
          <w:szCs w:val="24"/>
        </w:rPr>
        <w:t xml:space="preserve"> residential consumers. This interest is different from that of any other party and especially different than that of the Utility, whose advocacy includes the financial interest of stockholders.</w:t>
      </w:r>
    </w:p>
    <w:p w:rsidR="007C2976" w:rsidRPr="001C0FED" w:rsidP="007C2976">
      <w:pPr>
        <w:pStyle w:val="Footer"/>
        <w:tabs>
          <w:tab w:val="clear" w:pos="4320"/>
          <w:tab w:val="clear" w:pos="8640"/>
        </w:tabs>
        <w:suppressAutoHyphens/>
        <w:spacing w:line="480" w:lineRule="auto"/>
        <w:ind w:firstLine="720"/>
        <w:rPr>
          <w:sz w:val="24"/>
          <w:szCs w:val="24"/>
        </w:rPr>
      </w:pPr>
      <w:r w:rsidRPr="001C0FED">
        <w:rPr>
          <w:sz w:val="24"/>
          <w:szCs w:val="24"/>
        </w:rPr>
        <w:t>Second, OCC's legal position will include (without limitation) that utility rates charged to consumers should be just and reasonable.</w:t>
      </w:r>
      <w:r>
        <w:rPr>
          <w:rStyle w:val="FootnoteReference"/>
          <w:sz w:val="24"/>
          <w:szCs w:val="24"/>
        </w:rPr>
        <w:footnoteReference w:id="5"/>
      </w:r>
      <w:r w:rsidRPr="001C0FED">
        <w:rPr>
          <w:sz w:val="24"/>
          <w:szCs w:val="24"/>
        </w:rPr>
        <w:t xml:space="preserve"> OCC will work to determine whether the proposed charges for </w:t>
      </w:r>
      <w:r w:rsidRPr="001C0FED" w:rsidR="00BF5394">
        <w:rPr>
          <w:sz w:val="24"/>
          <w:szCs w:val="24"/>
        </w:rPr>
        <w:t xml:space="preserve">Duke’s Rider SCR, Rider RE, Rider RC, Rider LFA, and Rider ECF </w:t>
      </w:r>
      <w:r w:rsidRPr="001C0FED">
        <w:rPr>
          <w:sz w:val="24"/>
          <w:szCs w:val="24"/>
        </w:rPr>
        <w:t>are just and reasonable. OCC's position is therefore directly related to the merits of this case.</w:t>
      </w:r>
    </w:p>
    <w:p w:rsidR="007C2976" w:rsidRPr="001C0FED" w:rsidP="007C2976">
      <w:pPr>
        <w:pStyle w:val="BodyTextIndent3"/>
        <w:suppressAutoHyphens/>
        <w:spacing w:line="480" w:lineRule="auto"/>
        <w:rPr>
          <w:szCs w:val="24"/>
        </w:rPr>
      </w:pPr>
      <w:r w:rsidRPr="001C0FED">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7C2976" w:rsidRPr="001C0FED" w:rsidP="007C2976">
      <w:pPr>
        <w:pStyle w:val="Footer"/>
        <w:tabs>
          <w:tab w:val="clear" w:pos="4320"/>
          <w:tab w:val="clear" w:pos="8640"/>
        </w:tabs>
        <w:suppressAutoHyphens/>
        <w:spacing w:line="480" w:lineRule="auto"/>
        <w:ind w:firstLine="720"/>
        <w:rPr>
          <w:sz w:val="24"/>
          <w:szCs w:val="24"/>
        </w:rPr>
      </w:pPr>
      <w:r w:rsidRPr="001C0FED">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1C0FED" w:rsidP="007C2976">
      <w:pPr>
        <w:pStyle w:val="WW-BodyTextIndent3"/>
        <w:spacing w:line="480" w:lineRule="auto"/>
        <w:rPr>
          <w:szCs w:val="24"/>
        </w:rPr>
      </w:pPr>
      <w:r w:rsidRPr="001C0FED">
        <w:rPr>
          <w:szCs w:val="24"/>
        </w:rPr>
        <w:t>OCC also satisfies the intervention criteria in the Ohio Administrative Code (which are subordinate to the criteria that OCC satisfies in the Ohio Revised Code). To intervene, a party should have a "real and substantial interest."</w:t>
      </w:r>
      <w:r>
        <w:rPr>
          <w:rStyle w:val="FootnoteReference"/>
          <w:szCs w:val="24"/>
        </w:rPr>
        <w:footnoteReference w:id="6"/>
      </w:r>
      <w:r w:rsidRPr="001C0FED">
        <w:rPr>
          <w:szCs w:val="24"/>
        </w:rPr>
        <w:t xml:space="preserve"> As the residential utility consumer advocate, OCC has a real and substantial interest in this case in which the PUCO will review the charges that customers pay for </w:t>
      </w:r>
      <w:r w:rsidRPr="001C0FED" w:rsidR="00BF5394">
        <w:rPr>
          <w:szCs w:val="24"/>
        </w:rPr>
        <w:t>Duke’s Rider SCR, Rider RE, Rider RC, Rider LFA, and Rider ECF</w:t>
      </w:r>
      <w:r w:rsidRPr="001C0FED">
        <w:rPr>
          <w:szCs w:val="24"/>
        </w:rPr>
        <w:t>.</w:t>
      </w:r>
    </w:p>
    <w:p w:rsidR="007C2976" w:rsidRPr="001C0FED" w:rsidP="007C2976">
      <w:pPr>
        <w:pStyle w:val="BodyTextIndent3"/>
        <w:suppressAutoHyphens/>
        <w:spacing w:line="480" w:lineRule="auto"/>
        <w:rPr>
          <w:szCs w:val="24"/>
        </w:rPr>
      </w:pPr>
      <w:r w:rsidRPr="001C0FED">
        <w:rPr>
          <w:szCs w:val="24"/>
        </w:rPr>
        <w:t>In addition, OCC meets the criteria of Ohio Adm. Code 4901-1-11(B)(1)-(4). These criteria mirror the statutory criteria in R.C. 4903.221(B), which OCC already has addressed and which OCC satisfies.</w:t>
      </w:r>
    </w:p>
    <w:p w:rsidR="007C2976" w:rsidRPr="001C0FED" w:rsidP="007C2976">
      <w:pPr>
        <w:pStyle w:val="BodyTextIndent3"/>
        <w:suppressAutoHyphens/>
        <w:spacing w:line="480" w:lineRule="auto"/>
        <w:rPr>
          <w:szCs w:val="24"/>
        </w:rPr>
      </w:pPr>
      <w:r w:rsidRPr="001C0FED">
        <w:rPr>
          <w:szCs w:val="24"/>
        </w:rPr>
        <w:t>Ohio Adm. Code 4901-1-11(B)(5) states that the PUCO shall consider the "extent to which the person's interest is represented by existing parties." Although OCC does not concede that the PUCO must consider this factor, OCC satisfies it because OCC has been uniquely designated as the state representative of the interests of Ohio's residential utility consumers. That interest is different from, and not represented by, any other entity in Ohio.</w:t>
      </w:r>
    </w:p>
    <w:p w:rsidR="005D22E9" w:rsidRPr="001C0FED" w:rsidP="00BE3D5A">
      <w:pPr>
        <w:pStyle w:val="WW-BodyTextIndent3"/>
        <w:widowControl w:val="0"/>
        <w:spacing w:line="480" w:lineRule="auto"/>
        <w:ind w:right="-24"/>
        <w:rPr>
          <w:szCs w:val="24"/>
        </w:rPr>
      </w:pPr>
      <w:r w:rsidRPr="001C0FED">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sidRPr="001C0FED">
        <w:rPr>
          <w:szCs w:val="24"/>
        </w:rPr>
        <w:t xml:space="preserve">  </w:t>
      </w:r>
    </w:p>
    <w:p w:rsidR="00947572" w:rsidRPr="001C0FED" w:rsidP="007C2976">
      <w:pPr>
        <w:suppressAutoHyphens/>
        <w:spacing w:line="480" w:lineRule="auto"/>
        <w:ind w:firstLine="720"/>
        <w:rPr>
          <w:szCs w:val="24"/>
        </w:rPr>
      </w:pPr>
      <w:r w:rsidRPr="001C0FED">
        <w:rPr>
          <w:szCs w:val="24"/>
        </w:rPr>
        <w:t>OCC meets the criteria set forth in R.C. 4903.221, Ohio Adm. Code 4901-1-11, and the precedent established by the Supreme Court of Ohio for intervention. On behalf of Ohio residential consumers, the PUCO should grant OCC's motion to intervene.</w:t>
      </w:r>
    </w:p>
    <w:p w:rsidR="006909CB" w:rsidRPr="001C0FED">
      <w:pPr>
        <w:rPr>
          <w:szCs w:val="24"/>
        </w:rPr>
      </w:pPr>
    </w:p>
    <w:p w:rsidR="001C0FED" w:rsidRPr="001C0FED">
      <w:pPr>
        <w:rPr>
          <w:szCs w:val="24"/>
        </w:rPr>
      </w:pPr>
      <w:r w:rsidRPr="001C0FED">
        <w:rPr>
          <w:szCs w:val="24"/>
        </w:rPr>
        <w:br w:type="page"/>
      </w:r>
    </w:p>
    <w:p w:rsidR="00220105" w:rsidRPr="001C0FED" w:rsidP="006909CB">
      <w:pPr>
        <w:ind w:firstLine="4320"/>
        <w:rPr>
          <w:szCs w:val="24"/>
        </w:rPr>
      </w:pPr>
      <w:r w:rsidRPr="001C0FED">
        <w:rPr>
          <w:szCs w:val="24"/>
        </w:rPr>
        <w:t>Respectfully submitted,</w:t>
      </w:r>
    </w:p>
    <w:p w:rsidR="00AE7D20" w:rsidRPr="001C0FED" w:rsidP="00AE7D20">
      <w:pPr>
        <w:rPr>
          <w:szCs w:val="24"/>
        </w:rPr>
      </w:pPr>
    </w:p>
    <w:p w:rsidR="00220105" w:rsidRPr="001C0FED" w:rsidP="00220105">
      <w:pPr>
        <w:ind w:left="4320"/>
        <w:rPr>
          <w:szCs w:val="24"/>
        </w:rPr>
      </w:pPr>
      <w:r w:rsidRPr="001C0FED">
        <w:rPr>
          <w:szCs w:val="24"/>
        </w:rPr>
        <w:t>BRUCE WESTON (0016973)</w:t>
      </w:r>
    </w:p>
    <w:p w:rsidR="00220105" w:rsidRPr="001C0FED" w:rsidP="00220105">
      <w:pPr>
        <w:tabs>
          <w:tab w:val="left" w:pos="4320"/>
        </w:tabs>
        <w:ind w:left="4320"/>
        <w:rPr>
          <w:szCs w:val="24"/>
        </w:rPr>
      </w:pPr>
      <w:r w:rsidRPr="001C0FED">
        <w:rPr>
          <w:szCs w:val="24"/>
        </w:rPr>
        <w:t>OHIO CONSUMERS' COUNSEL</w:t>
      </w:r>
    </w:p>
    <w:p w:rsidR="00220105" w:rsidRPr="001C0FED" w:rsidP="00220105">
      <w:pPr>
        <w:tabs>
          <w:tab w:val="left" w:pos="4320"/>
        </w:tabs>
        <w:ind w:left="4320"/>
        <w:rPr>
          <w:szCs w:val="24"/>
        </w:rPr>
      </w:pPr>
    </w:p>
    <w:p w:rsidR="00BF5394" w:rsidRPr="001C0FED" w:rsidP="00BF5394">
      <w:pPr>
        <w:autoSpaceDE w:val="0"/>
        <w:autoSpaceDN w:val="0"/>
        <w:adjustRightInd w:val="0"/>
        <w:ind w:left="4320"/>
        <w:rPr>
          <w:i/>
          <w:szCs w:val="24"/>
        </w:rPr>
      </w:pPr>
      <w:r w:rsidRPr="001C0FED">
        <w:rPr>
          <w:i/>
          <w:szCs w:val="24"/>
          <w:u w:val="single"/>
        </w:rPr>
        <w:t>/s/ Kevin Moore</w:t>
      </w:r>
      <w:r w:rsidRPr="001C0FED">
        <w:rPr>
          <w:i/>
          <w:szCs w:val="24"/>
          <w:u w:val="single"/>
        </w:rPr>
        <w:tab/>
      </w:r>
    </w:p>
    <w:p w:rsidR="00BF5394" w:rsidRPr="001C0FED" w:rsidP="00BF5394">
      <w:pPr>
        <w:tabs>
          <w:tab w:val="left" w:pos="4320"/>
        </w:tabs>
        <w:ind w:left="4320"/>
        <w:rPr>
          <w:szCs w:val="24"/>
        </w:rPr>
      </w:pPr>
      <w:r w:rsidRPr="001C0FED">
        <w:rPr>
          <w:szCs w:val="24"/>
        </w:rPr>
        <w:t>Kevin Moore (0089228)</w:t>
      </w:r>
      <w:r w:rsidRPr="001C0FED">
        <w:rPr>
          <w:szCs w:val="24"/>
        </w:rPr>
        <w:br/>
        <w:t>Counsel of Record</w:t>
      </w:r>
    </w:p>
    <w:p w:rsidR="00BF5394" w:rsidRPr="001C0FED" w:rsidP="00BF5394">
      <w:pPr>
        <w:pStyle w:val="Heading1"/>
        <w:spacing w:before="120"/>
        <w:ind w:left="4320"/>
        <w:rPr>
          <w:u w:val="none"/>
        </w:rPr>
      </w:pPr>
      <w:r w:rsidRPr="001C0FED">
        <w:rPr>
          <w:u w:val="none"/>
        </w:rPr>
        <w:t>Office of the Ohio Consumers' Counsel</w:t>
      </w:r>
    </w:p>
    <w:p w:rsidR="00BF5394" w:rsidRPr="001C0FED" w:rsidP="00BF5394">
      <w:pPr>
        <w:pStyle w:val="Heading1"/>
        <w:ind w:left="4320"/>
        <w:rPr>
          <w:b w:val="0"/>
          <w:u w:val="none"/>
        </w:rPr>
      </w:pPr>
      <w:r w:rsidRPr="001C0FED">
        <w:rPr>
          <w:b w:val="0"/>
          <w:u w:val="none"/>
        </w:rPr>
        <w:t>65 East State Street, Suite 700</w:t>
      </w:r>
    </w:p>
    <w:p w:rsidR="00BF5394" w:rsidRPr="001C0FED" w:rsidP="00BF5394">
      <w:pPr>
        <w:pStyle w:val="Heading1"/>
        <w:ind w:left="4320"/>
        <w:rPr>
          <w:b w:val="0"/>
          <w:u w:val="none"/>
        </w:rPr>
      </w:pPr>
      <w:r w:rsidRPr="001C0FED">
        <w:rPr>
          <w:b w:val="0"/>
          <w:u w:val="none"/>
        </w:rPr>
        <w:t>Columbus, Ohio 43215</w:t>
      </w:r>
    </w:p>
    <w:p w:rsidR="00BF5394" w:rsidRPr="001C0FED" w:rsidP="00BF5394">
      <w:pPr>
        <w:autoSpaceDE w:val="0"/>
        <w:autoSpaceDN w:val="0"/>
        <w:adjustRightInd w:val="0"/>
        <w:ind w:left="3600" w:firstLine="720"/>
        <w:rPr>
          <w:szCs w:val="24"/>
        </w:rPr>
      </w:pPr>
      <w:r w:rsidRPr="001C0FED">
        <w:rPr>
          <w:szCs w:val="24"/>
        </w:rPr>
        <w:t>Telephone: (614) 387-2965</w:t>
      </w:r>
    </w:p>
    <w:p w:rsidR="00BF5394" w:rsidRPr="001C0FED" w:rsidP="00BF5394">
      <w:pPr>
        <w:ind w:left="4320"/>
        <w:rPr>
          <w:szCs w:val="24"/>
        </w:rPr>
      </w:pPr>
      <w:r>
        <w:fldChar w:fldCharType="begin"/>
      </w:r>
      <w:r>
        <w:instrText xml:space="preserve"> HYPERLINK "mailto:Kevin.moore@occ.ohio.gov" </w:instrText>
      </w:r>
      <w:r>
        <w:fldChar w:fldCharType="separate"/>
      </w:r>
      <w:r w:rsidRPr="001C0FED" w:rsidR="007436AC">
        <w:rPr>
          <w:rStyle w:val="Hyperlink"/>
          <w:szCs w:val="24"/>
        </w:rPr>
        <w:t>Kevin.moore@occ.ohio.gov</w:t>
      </w:r>
      <w:r>
        <w:fldChar w:fldCharType="end"/>
      </w:r>
    </w:p>
    <w:p w:rsidR="00BF5394" w:rsidRPr="001C0FED" w:rsidP="00BF5394">
      <w:pPr>
        <w:ind w:left="4320"/>
        <w:rPr>
          <w:szCs w:val="24"/>
        </w:rPr>
      </w:pPr>
      <w:r w:rsidRPr="001C0FED">
        <w:rPr>
          <w:szCs w:val="24"/>
        </w:rPr>
        <w:t>(</w:t>
      </w:r>
      <w:r w:rsidRPr="001C0FED" w:rsidR="007436AC">
        <w:rPr>
          <w:szCs w:val="24"/>
        </w:rPr>
        <w:t>W</w:t>
      </w:r>
      <w:r w:rsidRPr="001C0FED">
        <w:rPr>
          <w:szCs w:val="24"/>
        </w:rPr>
        <w:t>ill accept service via email)</w:t>
      </w:r>
    </w:p>
    <w:p w:rsidR="00220105" w:rsidRPr="001C0FED" w:rsidP="00BF5394">
      <w:pPr>
        <w:autoSpaceDE w:val="0"/>
        <w:autoSpaceDN w:val="0"/>
        <w:adjustRightInd w:val="0"/>
        <w:ind w:left="4320"/>
        <w:rPr>
          <w:szCs w:val="24"/>
        </w:rPr>
      </w:pPr>
    </w:p>
    <w:p w:rsidR="007C2976" w:rsidRPr="001C0FED" w:rsidP="007C2976">
      <w:pPr>
        <w:rPr>
          <w:szCs w:val="24"/>
        </w:rPr>
      </w:pPr>
    </w:p>
    <w:p w:rsidR="007C2976" w:rsidRPr="001C0FED" w:rsidP="007C2976">
      <w:pPr>
        <w:rPr>
          <w:szCs w:val="24"/>
        </w:rPr>
      </w:pPr>
    </w:p>
    <w:p w:rsidR="007C2976" w:rsidRPr="001C0FED" w:rsidP="007C2976">
      <w:pPr>
        <w:rPr>
          <w:szCs w:val="24"/>
        </w:rPr>
      </w:pPr>
      <w:r w:rsidRPr="001C0FED">
        <w:rPr>
          <w:szCs w:val="24"/>
        </w:rPr>
        <w:tab/>
      </w:r>
      <w:r w:rsidRPr="001C0FED">
        <w:rPr>
          <w:szCs w:val="24"/>
        </w:rPr>
        <w:tab/>
      </w:r>
      <w:r w:rsidRPr="001C0FED">
        <w:rPr>
          <w:szCs w:val="24"/>
        </w:rPr>
        <w:tab/>
      </w:r>
      <w:r w:rsidRPr="001C0FED">
        <w:rPr>
          <w:szCs w:val="24"/>
        </w:rPr>
        <w:tab/>
      </w:r>
      <w:r w:rsidRPr="001C0FED">
        <w:rPr>
          <w:szCs w:val="24"/>
        </w:rPr>
        <w:tab/>
      </w:r>
      <w:r w:rsidRPr="001C0FED">
        <w:rPr>
          <w:szCs w:val="24"/>
        </w:rPr>
        <w:tab/>
      </w:r>
    </w:p>
    <w:p w:rsidR="00685817" w:rsidRPr="001C0FED" w:rsidP="007C2976">
      <w:pPr>
        <w:jc w:val="center"/>
        <w:rPr>
          <w:b/>
          <w:bCs/>
          <w:szCs w:val="24"/>
          <w:u w:val="single"/>
        </w:rPr>
        <w:sectPr w:rsidSect="001C0FED">
          <w:headerReference w:type="default" r:id="rId12"/>
          <w:footerReference w:type="default" r:id="rId13"/>
          <w:pgSz w:w="12240" w:h="15840"/>
          <w:pgMar w:top="1440" w:right="1800" w:bottom="1440" w:left="1800" w:header="720" w:footer="720" w:gutter="0"/>
          <w:pgNumType w:start="1"/>
          <w:cols w:space="720"/>
          <w:docGrid w:linePitch="360"/>
        </w:sectPr>
      </w:pPr>
    </w:p>
    <w:p w:rsidR="007C2976" w:rsidRPr="001C0FED" w:rsidP="007C2976">
      <w:pPr>
        <w:jc w:val="center"/>
        <w:rPr>
          <w:b/>
          <w:bCs/>
          <w:szCs w:val="24"/>
          <w:u w:val="single"/>
        </w:rPr>
      </w:pPr>
      <w:r w:rsidRPr="001C0FED">
        <w:rPr>
          <w:b/>
          <w:bCs/>
          <w:szCs w:val="24"/>
          <w:u w:val="single"/>
        </w:rPr>
        <w:t>CERTIFICATE OF SERVICE</w:t>
      </w:r>
    </w:p>
    <w:p w:rsidR="001A5E32" w:rsidRPr="001C0FED" w:rsidP="007C2976">
      <w:pPr>
        <w:jc w:val="center"/>
        <w:rPr>
          <w:b/>
          <w:bCs/>
          <w:szCs w:val="24"/>
          <w:u w:val="single"/>
        </w:rPr>
      </w:pPr>
    </w:p>
    <w:p w:rsidR="007C2976" w:rsidRPr="001C0FED" w:rsidP="00D0554D">
      <w:pPr>
        <w:spacing w:line="480" w:lineRule="atLeast"/>
        <w:ind w:firstLine="720"/>
        <w:rPr>
          <w:szCs w:val="24"/>
        </w:rPr>
      </w:pPr>
      <w:r w:rsidRPr="001C0FED">
        <w:rPr>
          <w:szCs w:val="24"/>
        </w:rPr>
        <w:t>I hereby certify that a copy of this Motion to Intervene was served on the persons stated below via</w:t>
      </w:r>
      <w:r w:rsidRPr="001C0FED">
        <w:rPr>
          <w:i/>
          <w:szCs w:val="24"/>
        </w:rPr>
        <w:t xml:space="preserve"> </w:t>
      </w:r>
      <w:r w:rsidRPr="001C0FED">
        <w:rPr>
          <w:szCs w:val="24"/>
        </w:rPr>
        <w:t>electric transmission this</w:t>
      </w:r>
      <w:r w:rsidRPr="001C0FED" w:rsidR="001C0FED">
        <w:rPr>
          <w:szCs w:val="24"/>
        </w:rPr>
        <w:t xml:space="preserve"> 15th</w:t>
      </w:r>
      <w:r w:rsidRPr="001C0FED">
        <w:rPr>
          <w:szCs w:val="24"/>
        </w:rPr>
        <w:t xml:space="preserve"> day of </w:t>
      </w:r>
      <w:r w:rsidRPr="001C0FED" w:rsidR="00BF5394">
        <w:rPr>
          <w:szCs w:val="24"/>
        </w:rPr>
        <w:t>Februa</w:t>
      </w:r>
      <w:r w:rsidRPr="001C0FED">
        <w:rPr>
          <w:szCs w:val="24"/>
        </w:rPr>
        <w:t>r</w:t>
      </w:r>
      <w:r w:rsidRPr="001C0FED" w:rsidR="00BF5394">
        <w:rPr>
          <w:szCs w:val="24"/>
        </w:rPr>
        <w:t>y</w:t>
      </w:r>
      <w:r w:rsidRPr="001C0FED">
        <w:rPr>
          <w:szCs w:val="24"/>
        </w:rPr>
        <w:t xml:space="preserve"> 201</w:t>
      </w:r>
      <w:r w:rsidRPr="001C0FED" w:rsidR="00BF5394">
        <w:rPr>
          <w:szCs w:val="24"/>
        </w:rPr>
        <w:t>8</w:t>
      </w:r>
      <w:r w:rsidRPr="001C0FED">
        <w:rPr>
          <w:szCs w:val="24"/>
        </w:rPr>
        <w:t>.</w:t>
      </w:r>
    </w:p>
    <w:p w:rsidR="007C2976" w:rsidRPr="001C0FED" w:rsidP="007C2976">
      <w:pPr>
        <w:spacing w:line="480" w:lineRule="atLeast"/>
        <w:rPr>
          <w:szCs w:val="24"/>
        </w:rPr>
      </w:pPr>
    </w:p>
    <w:p w:rsidR="00C05D8D" w:rsidRPr="001C0FED" w:rsidP="00C05D8D">
      <w:pPr>
        <w:autoSpaceDE w:val="0"/>
        <w:autoSpaceDN w:val="0"/>
        <w:adjustRightInd w:val="0"/>
        <w:ind w:left="4320"/>
        <w:rPr>
          <w:i/>
          <w:szCs w:val="24"/>
        </w:rPr>
      </w:pPr>
      <w:r w:rsidRPr="001C0FED">
        <w:rPr>
          <w:i/>
          <w:szCs w:val="24"/>
          <w:u w:val="single"/>
        </w:rPr>
        <w:t>/s/ </w:t>
      </w:r>
      <w:r w:rsidRPr="001C0FED" w:rsidR="00BF5394">
        <w:rPr>
          <w:i/>
          <w:szCs w:val="24"/>
          <w:u w:val="single"/>
        </w:rPr>
        <w:t>Kevin Moore</w:t>
      </w:r>
      <w:r w:rsidRPr="001C0FED">
        <w:rPr>
          <w:i/>
          <w:szCs w:val="24"/>
          <w:u w:val="single"/>
        </w:rPr>
        <w:tab/>
      </w:r>
    </w:p>
    <w:p w:rsidR="007C2976" w:rsidRPr="001C0FED" w:rsidP="00C05D8D">
      <w:pPr>
        <w:tabs>
          <w:tab w:val="left" w:pos="4320"/>
        </w:tabs>
        <w:ind w:left="4320"/>
        <w:rPr>
          <w:szCs w:val="24"/>
        </w:rPr>
      </w:pPr>
      <w:r w:rsidRPr="001C0FED">
        <w:rPr>
          <w:szCs w:val="24"/>
        </w:rPr>
        <w:t>Kevin Moore</w:t>
      </w:r>
      <w:r w:rsidRPr="001C0FED" w:rsidR="00FC0C37">
        <w:rPr>
          <w:szCs w:val="24"/>
        </w:rPr>
        <w:br/>
        <w:t>Assistant Consumers' Counsel</w:t>
      </w:r>
    </w:p>
    <w:p w:rsidR="007C2976" w:rsidRPr="001C0FED" w:rsidP="007C2976">
      <w:pPr>
        <w:pStyle w:val="CommentSubject"/>
        <w:rPr>
          <w:szCs w:val="24"/>
        </w:rPr>
      </w:pPr>
    </w:p>
    <w:p w:rsidR="007C2976" w:rsidRPr="001C0FED" w:rsidP="007C2976">
      <w:pPr>
        <w:pStyle w:val="CommentText"/>
      </w:pPr>
    </w:p>
    <w:p w:rsidR="007C2976" w:rsidRPr="001C0FED" w:rsidP="00C11533">
      <w:pPr>
        <w:pStyle w:val="CommentText"/>
        <w:jc w:val="center"/>
        <w:rPr>
          <w:b/>
          <w:u w:val="single"/>
        </w:rPr>
      </w:pPr>
      <w:r w:rsidRPr="001C0FED">
        <w:rPr>
          <w:b/>
          <w:u w:val="single"/>
        </w:rPr>
        <w:t>SERVICE LIST</w:t>
      </w:r>
    </w:p>
    <w:p w:rsidR="007436AC" w:rsidRPr="001C0FED" w:rsidP="00C11533">
      <w:pPr>
        <w:pStyle w:val="CommentText"/>
        <w:jc w:val="center"/>
        <w:rPr>
          <w:b/>
          <w:u w:val="single"/>
        </w:rPr>
      </w:pPr>
    </w:p>
    <w:p w:rsidR="00914719" w:rsidRPr="001C0FED" w:rsidP="00C11533">
      <w:pPr>
        <w:pStyle w:val="CommentText"/>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1A5E3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1A5E32" w:rsidRPr="001C0FED" w:rsidP="007C2976">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1C0FED" w:rsidR="007436AC">
              <w:rPr>
                <w:rStyle w:val="Hyperlink"/>
                <w:color w:val="0000FF"/>
                <w:sz w:val="24"/>
                <w:szCs w:val="24"/>
                <w:u w:val="single"/>
                <w:lang w:val="en-US" w:eastAsia="en-US" w:bidi="ar-SA"/>
              </w:rPr>
              <w:t>William.wright@ohioattorneygeneral.gov</w:t>
            </w:r>
            <w:r>
              <w:fldChar w:fldCharType="end"/>
            </w:r>
          </w:p>
          <w:p w:rsidR="007436AC" w:rsidRPr="001C0FED" w:rsidP="007C2976">
            <w:pPr>
              <w:pStyle w:val="BodyText"/>
              <w:jc w:val="both"/>
              <w:rPr>
                <w:rStyle w:val="DefaultParagraphFont"/>
                <w:sz w:val="24"/>
                <w:szCs w:val="24"/>
                <w:lang w:val="en-US" w:eastAsia="en-US" w:bidi="ar-SA"/>
              </w:rPr>
            </w:pPr>
          </w:p>
        </w:tc>
        <w:tc>
          <w:tcPr>
            <w:tcW w:w="4428" w:type="dxa"/>
          </w:tcPr>
          <w:p w:rsidR="007436AC" w:rsidRPr="001C0FED" w:rsidP="007436AC">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1C0FED">
              <w:rPr>
                <w:rStyle w:val="Hyperlink"/>
                <w:color w:val="0000FF"/>
                <w:sz w:val="24"/>
                <w:szCs w:val="24"/>
                <w:u w:val="single"/>
                <w:lang w:val="en-US" w:eastAsia="en-US" w:bidi="ar-SA"/>
              </w:rPr>
              <w:t>Rocco.DAscenzo@duke-energy.com</w:t>
            </w:r>
            <w:r>
              <w:fldChar w:fldCharType="end"/>
            </w:r>
          </w:p>
          <w:p w:rsidR="007436AC" w:rsidRPr="001C0FED" w:rsidP="007436AC">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1C0FED">
              <w:rPr>
                <w:rStyle w:val="Hyperlink"/>
                <w:color w:val="0000FF"/>
                <w:sz w:val="24"/>
                <w:szCs w:val="24"/>
                <w:u w:val="single"/>
                <w:lang w:val="en-US" w:eastAsia="en-US" w:bidi="ar-SA"/>
              </w:rPr>
              <w:t>Elizabeth.Watts@duke-energy.com</w:t>
            </w:r>
            <w:r>
              <w:fldChar w:fldCharType="end"/>
            </w:r>
          </w:p>
          <w:p w:rsidR="007436AC" w:rsidRPr="001C0FED" w:rsidP="007436AC">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1C0FED">
              <w:rPr>
                <w:rStyle w:val="Hyperlink"/>
                <w:color w:val="0000FF"/>
                <w:sz w:val="24"/>
                <w:szCs w:val="24"/>
                <w:u w:val="single"/>
                <w:lang w:val="en-US" w:eastAsia="en-US" w:bidi="ar-SA"/>
              </w:rPr>
              <w:t>Jeanne.Kingery@duke-energy.com</w:t>
            </w:r>
            <w:r>
              <w:fldChar w:fldCharType="end"/>
            </w:r>
          </w:p>
          <w:p w:rsidR="007436AC" w:rsidRPr="001C0FED" w:rsidP="007436AC">
            <w:pPr>
              <w:pStyle w:val="BodyText"/>
              <w:jc w:val="both"/>
              <w:rPr>
                <w:rStyle w:val="DefaultParagraphFont"/>
                <w:b/>
                <w:sz w:val="24"/>
                <w:szCs w:val="24"/>
                <w:lang w:val="en-US" w:eastAsia="en-US" w:bidi="ar-SA"/>
              </w:rPr>
            </w:pPr>
          </w:p>
        </w:tc>
      </w:tr>
    </w:tbl>
    <w:p w:rsidR="007C2976" w:rsidRPr="001C0FED" w:rsidP="007C2976">
      <w:pPr>
        <w:pStyle w:val="BodyText"/>
        <w:ind w:firstLine="720"/>
        <w:rPr>
          <w:szCs w:val="24"/>
        </w:rPr>
      </w:pPr>
    </w:p>
    <w:sectPr w:rsidSect="00D50439">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E3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3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0742420"/>
      <w:docPartObj>
        <w:docPartGallery w:val="Page Numbers (Bottom of Page)"/>
        <w:docPartUnique/>
      </w:docPartObj>
    </w:sdtPr>
    <w:sdtEndPr>
      <w:rPr>
        <w:noProof/>
        <w:sz w:val="24"/>
      </w:rPr>
    </w:sdtEndPr>
    <w:sdtContent>
      <w:p w:rsidR="001A5E32" w:rsidRPr="001A5E32">
        <w:pPr>
          <w:pStyle w:val="Footer"/>
          <w:jc w:val="center"/>
          <w:rPr>
            <w:sz w:val="24"/>
          </w:rPr>
        </w:pPr>
        <w:r w:rsidRPr="001A5E32">
          <w:rPr>
            <w:sz w:val="24"/>
          </w:rPr>
          <w:fldChar w:fldCharType="begin"/>
        </w:r>
        <w:r w:rsidRPr="001A5E32">
          <w:rPr>
            <w:sz w:val="24"/>
          </w:rPr>
          <w:instrText xml:space="preserve"> PAGE   \* MERGEFORMAT </w:instrText>
        </w:r>
        <w:r w:rsidRPr="001A5E32">
          <w:rPr>
            <w:sz w:val="24"/>
          </w:rPr>
          <w:fldChar w:fldCharType="separate"/>
        </w:r>
        <w:r w:rsidR="001C0FED">
          <w:rPr>
            <w:noProof/>
            <w:sz w:val="24"/>
          </w:rPr>
          <w:t>2</w:t>
        </w:r>
        <w:r w:rsidRPr="001A5E32">
          <w:rPr>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4217088"/>
      <w:docPartObj>
        <w:docPartGallery w:val="Page Numbers (Bottom of Page)"/>
        <w:docPartUnique/>
      </w:docPartObj>
    </w:sdtPr>
    <w:sdtEndPr>
      <w:rPr>
        <w:noProof/>
        <w:sz w:val="24"/>
        <w:szCs w:val="24"/>
      </w:rPr>
    </w:sdtEndPr>
    <w:sdtContent>
      <w:p w:rsidR="00363626" w:rsidRPr="003E2884">
        <w:pPr>
          <w:pStyle w:val="Footer"/>
          <w:jc w:val="center"/>
          <w:rPr>
            <w:sz w:val="24"/>
            <w:szCs w:val="24"/>
          </w:rPr>
        </w:pPr>
        <w:r w:rsidRPr="003E2884">
          <w:rPr>
            <w:sz w:val="24"/>
            <w:szCs w:val="24"/>
          </w:rPr>
          <w:fldChar w:fldCharType="begin"/>
        </w:r>
        <w:r w:rsidRPr="003E2884">
          <w:rPr>
            <w:sz w:val="24"/>
            <w:szCs w:val="24"/>
          </w:rPr>
          <w:instrText xml:space="preserve"> PAGE   \* MERGEFORMAT </w:instrText>
        </w:r>
        <w:r w:rsidRPr="003E2884">
          <w:rPr>
            <w:sz w:val="24"/>
            <w:szCs w:val="24"/>
          </w:rPr>
          <w:fldChar w:fldCharType="separate"/>
        </w:r>
        <w:r w:rsidR="001C0FED">
          <w:rPr>
            <w:noProof/>
            <w:sz w:val="24"/>
            <w:szCs w:val="24"/>
          </w:rPr>
          <w:t>1</w:t>
        </w:r>
        <w:r w:rsidRPr="003E2884">
          <w:rPr>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0C37">
      <w:r>
        <w:separator/>
      </w:r>
    </w:p>
  </w:footnote>
  <w:footnote w:type="continuationSeparator" w:id="1">
    <w:p w:rsidR="00FC0C37">
      <w:r>
        <w:continuationSeparator/>
      </w:r>
    </w:p>
  </w:footnote>
  <w:footnote w:id="2">
    <w:p w:rsidR="00293353">
      <w:pPr>
        <w:pStyle w:val="FootnoteText"/>
      </w:pPr>
      <w:r>
        <w:rPr>
          <w:rStyle w:val="FootnoteReference"/>
        </w:rPr>
        <w:footnoteRef/>
      </w:r>
      <w:r>
        <w:t xml:space="preserve"> </w:t>
      </w:r>
      <w:r w:rsidR="009B62D5">
        <w:t>Rider SCR reconciles and collects costs related to the competitive auctions for the standard service offer. Riders RC and RE collect costs for capacity and energy, respectively, supplied to the standard service offer customers. Rider LFA was created to incentivize larger customers to reduce their load factor and Rider ECF collects costs for Duke’s large customer interruptible program.</w:t>
      </w:r>
      <w:r w:rsidR="00C10859">
        <w:t xml:space="preserve"> </w:t>
      </w:r>
    </w:p>
  </w:footnote>
  <w:footnote w:id="3">
    <w:p w:rsidR="00C10859" w:rsidP="00C10859">
      <w:pPr>
        <w:pStyle w:val="FootnoteText"/>
      </w:pPr>
      <w:r>
        <w:rPr>
          <w:rStyle w:val="FootnoteReference"/>
        </w:rPr>
        <w:footnoteRef/>
      </w:r>
      <w:r>
        <w:t xml:space="preserve"> Duke’s ESSC Rider was terminated by PUCO Order. See </w:t>
      </w:r>
      <w:r>
        <w:rPr>
          <w:i/>
        </w:rPr>
        <w:t xml:space="preserve">In the Matter of the Application of Duke Energy Ohio, Inc. for Authority to Establish a Standard Service Offer Pursuant to R.C. 4928.143 in the Form of an Electric Security Plan, Accounting Modifications, and Tariffs for Generation Service, </w:t>
      </w:r>
      <w:r>
        <w:t>Case No. 14-841-EL-SSO, Opinion and Order at 66 (April 2, 2015). Duke’s current Tariff states that the ESSC Rider has been cancelled and withdrawn. See Duke PUCO Electric No. 19, Sheet 113.8.</w:t>
      </w:r>
    </w:p>
    <w:p w:rsidR="00C10859">
      <w:pPr>
        <w:pStyle w:val="FootnoteText"/>
      </w:pPr>
    </w:p>
  </w:footnote>
  <w:footnote w:id="4">
    <w:p w:rsidR="004B47A1" w:rsidRPr="00A93B8E" w:rsidP="001A5E32">
      <w:pPr>
        <w:pStyle w:val="FootnoteText"/>
        <w:spacing w:before="0" w:after="120"/>
      </w:pPr>
      <w:r w:rsidRPr="00A93B8E">
        <w:rPr>
          <w:rStyle w:val="FootnoteReference"/>
        </w:rPr>
        <w:footnoteRef/>
      </w:r>
      <w:r w:rsidRPr="00A93B8E">
        <w:t xml:space="preserve"> </w:t>
      </w:r>
      <w:r w:rsidRPr="00A93B8E">
        <w:rPr>
          <w:i/>
        </w:rPr>
        <w:t>See</w:t>
      </w:r>
      <w:r w:rsidRPr="00A93B8E">
        <w:t xml:space="preserve"> R.C. Chapter 4911.</w:t>
      </w:r>
    </w:p>
  </w:footnote>
  <w:footnote w:id="5">
    <w:p w:rsidR="00031FE7" w:rsidRPr="00A93B8E" w:rsidP="001A5E32">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("All charges made or demanded for any service rendered, or to be rendered, shall be just, reasonable, and not more than the charges allowed by law or by order of the public utilities commission . . .").</w:t>
      </w:r>
    </w:p>
  </w:footnote>
  <w:footnote w:id="6">
    <w:p w:rsidR="006C5851" w:rsidP="001A5E32">
      <w:pPr>
        <w:pStyle w:val="FootnoteText"/>
        <w:spacing w:before="0" w:after="120"/>
      </w:pPr>
      <w:r>
        <w:rPr>
          <w:rStyle w:val="FootnoteReference"/>
        </w:rPr>
        <w:footnoteRef/>
      </w:r>
      <w:r>
        <w:t xml:space="preserve"> </w:t>
      </w:r>
      <w:r w:rsidRPr="00710E80">
        <w:rPr>
          <w:szCs w:val="24"/>
        </w:rPr>
        <w:t>O</w:t>
      </w:r>
      <w:r>
        <w:rPr>
          <w:szCs w:val="24"/>
        </w:rPr>
        <w:t>hio Adm. Code 4901-1-11(A)(2).</w:t>
      </w:r>
    </w:p>
  </w:footnote>
  <w:footnote w:id="7">
    <w:p w:rsidR="005D22E9" w:rsidP="005D22E9">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03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574B3A"/>
    <w:multiLevelType w:val="hybridMultilevel"/>
    <w:tmpl w:val="6214F772"/>
    <w:lvl w:ilvl="0">
      <w:start w:val="1"/>
      <w:numFmt w:val="decimal"/>
      <w:lvlText w:val="%1."/>
      <w:lvlJc w:val="left"/>
      <w:pPr>
        <w:ind w:left="784" w:hanging="360"/>
      </w:pPr>
    </w:lvl>
    <w:lvl w:ilvl="1" w:tentative="1">
      <w:start w:val="1"/>
      <w:numFmt w:val="lowerLetter"/>
      <w:lvlText w:val="%2."/>
      <w:lvlJc w:val="left"/>
      <w:pPr>
        <w:ind w:left="1504" w:hanging="360"/>
      </w:pPr>
    </w:lvl>
    <w:lvl w:ilvl="2" w:tentative="1">
      <w:start w:val="1"/>
      <w:numFmt w:val="lowerRoman"/>
      <w:lvlText w:val="%3."/>
      <w:lvlJc w:val="right"/>
      <w:pPr>
        <w:ind w:left="2224" w:hanging="180"/>
      </w:pPr>
    </w:lvl>
    <w:lvl w:ilvl="3" w:tentative="1">
      <w:start w:val="1"/>
      <w:numFmt w:val="decimal"/>
      <w:lvlText w:val="%4."/>
      <w:lvlJc w:val="left"/>
      <w:pPr>
        <w:ind w:left="2944" w:hanging="360"/>
      </w:pPr>
    </w:lvl>
    <w:lvl w:ilvl="4" w:tentative="1">
      <w:start w:val="1"/>
      <w:numFmt w:val="lowerLetter"/>
      <w:lvlText w:val="%5."/>
      <w:lvlJc w:val="left"/>
      <w:pPr>
        <w:ind w:left="3664" w:hanging="360"/>
      </w:pPr>
    </w:lvl>
    <w:lvl w:ilvl="5" w:tentative="1">
      <w:start w:val="1"/>
      <w:numFmt w:val="lowerRoman"/>
      <w:lvlText w:val="%6."/>
      <w:lvlJc w:val="right"/>
      <w:pPr>
        <w:ind w:left="4384" w:hanging="180"/>
      </w:pPr>
    </w:lvl>
    <w:lvl w:ilvl="6" w:tentative="1">
      <w:start w:val="1"/>
      <w:numFmt w:val="decimal"/>
      <w:lvlText w:val="%7."/>
      <w:lvlJc w:val="left"/>
      <w:pPr>
        <w:ind w:left="5104" w:hanging="360"/>
      </w:pPr>
    </w:lvl>
    <w:lvl w:ilvl="7" w:tentative="1">
      <w:start w:val="1"/>
      <w:numFmt w:val="lowerLetter"/>
      <w:lvlText w:val="%8."/>
      <w:lvlJc w:val="left"/>
      <w:pPr>
        <w:ind w:left="5824" w:hanging="360"/>
      </w:pPr>
    </w:lvl>
    <w:lvl w:ilvl="8" w:tentative="1">
      <w:start w:val="1"/>
      <w:numFmt w:val="lowerRoman"/>
      <w:lvlText w:val="%9."/>
      <w:lvlJc w:val="right"/>
      <w:pPr>
        <w:ind w:left="6544" w:hanging="180"/>
      </w:pPr>
    </w:lvl>
  </w:abstractNum>
  <w:abstractNum w:abstractNumId="1">
    <w:nsid w:val="7B6A5D2F"/>
    <w:multiLevelType w:val="hybridMultilevel"/>
    <w:tmpl w:val="4BDE0A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18-46 OCC MTI w/dfs  (00052089.DOCX;1)</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2018-02-15T19:48:11Z</dcterms:created>
  <dcterms:modified xsi:type="dcterms:W3CDTF">2018-02-15T19:48:11Z</dcterms:modified>
</cp:coreProperties>
</file>