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1E3B36" w:rsidRPr="00816D1F" w:rsidP="001E3B36" w14:paraId="1122F49F" w14:textId="77777777">
      <w:pPr>
        <w:pStyle w:val="HTMLPreformatted"/>
        <w:jc w:val="center"/>
        <w:rPr>
          <w:rFonts w:ascii="Times New Roman" w:hAnsi="Times New Roman" w:cs="Times New Roman"/>
          <w:b/>
          <w:bCs/>
          <w:sz w:val="24"/>
          <w:szCs w:val="24"/>
        </w:rPr>
      </w:pPr>
      <w:r w:rsidRPr="00816D1F">
        <w:rPr>
          <w:rFonts w:ascii="Times New Roman" w:hAnsi="Times New Roman" w:cs="Times New Roman"/>
          <w:b/>
          <w:bCs/>
          <w:sz w:val="24"/>
          <w:szCs w:val="24"/>
        </w:rPr>
        <w:t>BEFORE</w:t>
      </w:r>
    </w:p>
    <w:p w:rsidR="001E3B36" w:rsidRPr="00816D1F" w:rsidP="001E3B36" w14:paraId="050F31D6" w14:textId="77777777">
      <w:pPr>
        <w:pStyle w:val="HTMLPreformatted"/>
        <w:jc w:val="center"/>
        <w:rPr>
          <w:rFonts w:ascii="Times New Roman" w:hAnsi="Times New Roman" w:cs="Times New Roman"/>
          <w:sz w:val="24"/>
          <w:szCs w:val="24"/>
        </w:rPr>
      </w:pPr>
      <w:r w:rsidRPr="00816D1F">
        <w:rPr>
          <w:rFonts w:ascii="Times New Roman" w:hAnsi="Times New Roman" w:cs="Times New Roman"/>
          <w:b/>
          <w:bCs/>
          <w:sz w:val="24"/>
          <w:szCs w:val="24"/>
        </w:rPr>
        <w:t>THE PUBLIC UTILITIES COMMISSION OF OHIO</w:t>
      </w:r>
    </w:p>
    <w:tbl>
      <w:tblPr>
        <w:tblW w:w="9092" w:type="dxa"/>
        <w:tblInd w:w="0" w:type="dxa"/>
        <w:tblCellMar>
          <w:top w:w="0" w:type="dxa"/>
          <w:left w:w="108" w:type="dxa"/>
          <w:bottom w:w="0" w:type="dxa"/>
          <w:right w:w="108" w:type="dxa"/>
        </w:tblCellMar>
        <w:tblLook w:val="01E0"/>
      </w:tblPr>
      <w:tblGrid>
        <w:gridCol w:w="4332"/>
        <w:gridCol w:w="360"/>
        <w:gridCol w:w="4400"/>
      </w:tblGrid>
      <w:tr w14:paraId="675FBA54" w14:textId="77777777" w:rsidTr="00DD539A">
        <w:tblPrEx>
          <w:tblW w:w="9092" w:type="dxa"/>
          <w:tblInd w:w="0" w:type="dxa"/>
          <w:tblCellMar>
            <w:top w:w="0" w:type="dxa"/>
            <w:left w:w="108" w:type="dxa"/>
            <w:bottom w:w="0" w:type="dxa"/>
            <w:right w:w="108" w:type="dxa"/>
          </w:tblCellMar>
          <w:tblLook w:val="01E0"/>
        </w:tblPrEx>
        <w:trPr>
          <w:trHeight w:val="342"/>
        </w:trPr>
        <w:tc>
          <w:tcPr>
            <w:tcW w:w="4332" w:type="dxa"/>
            <w:shd w:val="clear" w:color="auto" w:fill="auto"/>
          </w:tcPr>
          <w:p w:rsidR="001E3B36" w:rsidRPr="00816D1F" w:rsidP="00DD539A" w14:paraId="32F78974" w14:textId="77777777">
            <w:pPr>
              <w:autoSpaceDE w:val="0"/>
              <w:autoSpaceDN w:val="0"/>
              <w:adjustRightInd w:val="0"/>
              <w:rPr>
                <w:sz w:val="24"/>
                <w:szCs w:val="24"/>
                <w:lang w:val="en-US" w:eastAsia="en-US" w:bidi="ar-SA"/>
              </w:rPr>
            </w:pPr>
          </w:p>
          <w:p w:rsidR="001E3B36" w:rsidRPr="00816D1F" w:rsidP="00DD539A" w14:paraId="5D60EF25" w14:textId="77777777">
            <w:pPr>
              <w:autoSpaceDE w:val="0"/>
              <w:autoSpaceDN w:val="0"/>
              <w:adjustRightInd w:val="0"/>
              <w:rPr>
                <w:sz w:val="24"/>
                <w:szCs w:val="24"/>
                <w:lang w:val="en-US" w:eastAsia="en-US" w:bidi="ar-SA"/>
              </w:rPr>
            </w:pPr>
            <w:r w:rsidRPr="00816D1F">
              <w:rPr>
                <w:sz w:val="24"/>
                <w:szCs w:val="24"/>
                <w:lang w:val="en-US" w:eastAsia="en-US" w:bidi="ar-SA"/>
              </w:rPr>
              <w:t>In the Matter of the Application of Ohio Edison Company, The Cleveland Electric Illuminating Company, and The Toledo Edison Company of a Grid Modernization Business Plan.</w:t>
            </w:r>
          </w:p>
          <w:p w:rsidR="001E3B36" w:rsidRPr="00816D1F" w:rsidP="00DD539A" w14:paraId="6AC34DA2" w14:textId="77777777">
            <w:pPr>
              <w:autoSpaceDE w:val="0"/>
              <w:autoSpaceDN w:val="0"/>
              <w:adjustRightInd w:val="0"/>
              <w:rPr>
                <w:sz w:val="24"/>
                <w:szCs w:val="24"/>
                <w:lang w:val="en-US" w:eastAsia="en-US" w:bidi="ar-SA"/>
              </w:rPr>
            </w:pPr>
          </w:p>
          <w:p w:rsidR="001E3B36" w:rsidRPr="00816D1F" w:rsidP="00DD539A" w14:paraId="61862EF8" w14:textId="77777777">
            <w:pPr>
              <w:autoSpaceDE w:val="0"/>
              <w:autoSpaceDN w:val="0"/>
              <w:adjustRightInd w:val="0"/>
              <w:rPr>
                <w:sz w:val="24"/>
                <w:szCs w:val="24"/>
                <w:lang w:val="en-US" w:eastAsia="en-US" w:bidi="ar-SA"/>
              </w:rPr>
            </w:pPr>
            <w:r w:rsidRPr="00816D1F">
              <w:rPr>
                <w:sz w:val="24"/>
                <w:szCs w:val="24"/>
                <w:lang w:val="en-US" w:eastAsia="en-US" w:bidi="ar-SA"/>
              </w:rPr>
              <w:t>In the Matter of the Filing by Ohio Edison Company, The Cleveland Electric Illuminating Company, and The Toledo Edison Company Application for Approval of a Distribution Platform Modernization Plan.</w:t>
            </w:r>
          </w:p>
          <w:p w:rsidR="001E3B36" w:rsidRPr="00816D1F" w:rsidP="00DD539A" w14:paraId="73C4C83E" w14:textId="77777777">
            <w:pPr>
              <w:autoSpaceDE w:val="0"/>
              <w:autoSpaceDN w:val="0"/>
              <w:adjustRightInd w:val="0"/>
              <w:rPr>
                <w:sz w:val="24"/>
                <w:szCs w:val="24"/>
                <w:lang w:val="en-US" w:eastAsia="en-US" w:bidi="ar-SA"/>
              </w:rPr>
            </w:pPr>
          </w:p>
          <w:p w:rsidR="001E3B36" w:rsidRPr="00816D1F" w:rsidP="00DD539A" w14:paraId="5F42DECB" w14:textId="10BA9AE1">
            <w:pPr>
              <w:autoSpaceDE w:val="0"/>
              <w:autoSpaceDN w:val="0"/>
              <w:adjustRightInd w:val="0"/>
              <w:rPr>
                <w:sz w:val="24"/>
                <w:szCs w:val="24"/>
                <w:lang w:val="en-US" w:eastAsia="en-US" w:bidi="ar-SA"/>
              </w:rPr>
            </w:pPr>
            <w:r w:rsidRPr="00816D1F">
              <w:rPr>
                <w:sz w:val="24"/>
                <w:szCs w:val="24"/>
                <w:lang w:val="en-US" w:eastAsia="en-US" w:bidi="ar-SA"/>
              </w:rPr>
              <w:t>In the Matter of the Application of Ohio Edison Company, The Cleveland Electric Illuminating Company, and The Toledo Edison Company to Implement Matters Relating to the Tax Cuts and Jobs Act of 2017.</w:t>
            </w:r>
          </w:p>
          <w:p w:rsidR="001E3B36" w:rsidRPr="00816D1F" w:rsidP="00DD539A" w14:paraId="2369FDB8" w14:textId="77777777">
            <w:pPr>
              <w:autoSpaceDE w:val="0"/>
              <w:autoSpaceDN w:val="0"/>
              <w:adjustRightInd w:val="0"/>
              <w:rPr>
                <w:sz w:val="24"/>
                <w:szCs w:val="24"/>
                <w:lang w:val="en-US" w:eastAsia="en-US" w:bidi="ar-SA"/>
              </w:rPr>
            </w:pPr>
          </w:p>
          <w:p w:rsidR="001E3B36" w:rsidRPr="00816D1F" w:rsidP="00DD539A" w14:paraId="34374BDE" w14:textId="77777777">
            <w:pPr>
              <w:autoSpaceDE w:val="0"/>
              <w:autoSpaceDN w:val="0"/>
              <w:adjustRightInd w:val="0"/>
              <w:rPr>
                <w:sz w:val="24"/>
                <w:szCs w:val="24"/>
                <w:lang w:val="en-US" w:eastAsia="en-US" w:bidi="ar-SA"/>
              </w:rPr>
            </w:pPr>
            <w:r w:rsidRPr="00816D1F">
              <w:rPr>
                <w:sz w:val="24"/>
                <w:szCs w:val="24"/>
                <w:lang w:val="en-US" w:eastAsia="en-US" w:bidi="ar-SA"/>
              </w:rPr>
              <w:t>In the Matter of the Application of Ohio Edison Company, The Cleveland Electric Illuminating Company, and The Toledo Edison Company for Approval of a Tariff Change.</w:t>
            </w:r>
          </w:p>
        </w:tc>
        <w:tc>
          <w:tcPr>
            <w:tcW w:w="360" w:type="dxa"/>
            <w:shd w:val="clear" w:color="auto" w:fill="auto"/>
          </w:tcPr>
          <w:p w:rsidR="001E3B36" w:rsidRPr="00816D1F" w:rsidP="00DD539A" w14:paraId="48665D3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1A11D69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E3B36" w:rsidRPr="00816D1F" w:rsidP="00DD539A" w14:paraId="3962957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E3B36" w:rsidRPr="00816D1F" w:rsidP="00DD539A" w14:paraId="160C763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E3B36" w:rsidRPr="00816D1F" w:rsidP="00DD539A" w14:paraId="77208F4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E3B36" w:rsidRPr="00816D1F" w:rsidP="00DD539A" w14:paraId="3725421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E3B36" w:rsidRPr="00816D1F" w:rsidP="00DD539A" w14:paraId="2B65B8F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787677B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E3B36" w:rsidRPr="00816D1F" w:rsidP="00DD539A" w14:paraId="73DB44A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E3B36" w:rsidRPr="00816D1F" w:rsidP="00DD539A" w14:paraId="3DE4A14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E3B36" w:rsidRPr="00816D1F" w:rsidP="00DD539A" w14:paraId="070C74C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E3B36" w:rsidRPr="00816D1F" w:rsidP="00DD539A" w14:paraId="03E857B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E3B36" w:rsidRPr="00816D1F" w:rsidP="00DD539A" w14:paraId="037A29D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E3B36" w:rsidRPr="00816D1F" w:rsidP="00DD539A" w14:paraId="00A45B4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3C4E666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E3B36" w:rsidRPr="00816D1F" w:rsidP="00DD539A" w14:paraId="26BBF67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E3B36" w:rsidRPr="00816D1F" w:rsidP="00DD539A" w14:paraId="13EBA94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r w:rsidRPr="00816D1F">
              <w:rPr>
                <w:rFonts w:ascii="Times New Roman" w:eastAsia="Courier New" w:hAnsi="Times New Roman" w:cs="Times New Roman"/>
                <w:sz w:val="24"/>
                <w:szCs w:val="24"/>
                <w:lang w:val="en-US" w:eastAsia="en-US" w:bidi="ar-SA"/>
              </w:rPr>
              <w:br/>
              <w:t>)</w:t>
            </w:r>
          </w:p>
          <w:p w:rsidR="001E3B36" w:rsidRPr="00816D1F" w:rsidP="00DD539A" w14:paraId="52CA8F9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E3B36" w:rsidRPr="00816D1F" w:rsidP="00DD539A" w14:paraId="3FF2880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E3B36" w:rsidRPr="00816D1F" w:rsidP="00DD539A" w14:paraId="5659C3B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4CB64CC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E3B36" w:rsidRPr="00816D1F" w:rsidP="00DD539A" w14:paraId="08AB329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E3B36" w:rsidRPr="00816D1F" w:rsidP="00DD539A" w14:paraId="2AC0F10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E3B36" w:rsidRPr="00816D1F" w:rsidP="00DD539A" w14:paraId="46EC2E8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E3B36" w:rsidRPr="00816D1F" w:rsidP="00DD539A" w14:paraId="6DC2C53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tc>
        <w:tc>
          <w:tcPr>
            <w:tcW w:w="4400" w:type="dxa"/>
            <w:shd w:val="clear" w:color="auto" w:fill="auto"/>
          </w:tcPr>
          <w:p w:rsidR="001E3B36" w:rsidRPr="00816D1F" w:rsidP="00DD539A" w14:paraId="6414C1B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0B57A71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3CB2575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20CD04E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Case No. 16-481-EL-UNC</w:t>
            </w:r>
          </w:p>
          <w:p w:rsidR="001E3B36" w:rsidRPr="00816D1F" w:rsidP="00DD539A" w14:paraId="74423ED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2C7213B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2F6B9B0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4E26B72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3E4C3C3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0DADD70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611FF0D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Case No. 17-2436-EL-UNC</w:t>
            </w:r>
          </w:p>
          <w:p w:rsidR="001E3B36" w:rsidRPr="00816D1F" w:rsidP="00DD539A" w14:paraId="2167C0F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2461F76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5D5C1A8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31739D0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3B5B7DB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3FF2B87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5D9B5EAF"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Case No. 18-1604-EL-UNC</w:t>
            </w:r>
          </w:p>
          <w:p w:rsidR="001E3B36" w:rsidRPr="00816D1F" w:rsidP="00DD539A" w14:paraId="2C8C34E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19D6F0F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65E611A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46405E8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2E765A1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E3B36" w:rsidRPr="00816D1F" w:rsidP="00DD539A" w14:paraId="0D6B45C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Case No. 18-1656-EL-UNC</w:t>
            </w:r>
          </w:p>
        </w:tc>
      </w:tr>
    </w:tbl>
    <w:p w:rsidR="001E3B36" w:rsidRPr="00816D1F" w:rsidP="001E3B36" w14:paraId="5E7C11B7" w14:textId="77777777">
      <w:pPr>
        <w:pStyle w:val="HTMLPreformatted"/>
        <w:rPr>
          <w:rFonts w:ascii="Times New Roman" w:hAnsi="Times New Roman" w:cs="Times New Roman"/>
          <w:sz w:val="24"/>
          <w:szCs w:val="24"/>
        </w:rPr>
      </w:pPr>
    </w:p>
    <w:p w:rsidR="001E3B36" w:rsidRPr="00816D1F" w:rsidP="001E3B36" w14:paraId="58C07438" w14:textId="77777777">
      <w:pPr>
        <w:pStyle w:val="HTMLPreformatted"/>
        <w:pBdr>
          <w:top w:val="single" w:sz="12" w:space="1" w:color="auto"/>
        </w:pBdr>
        <w:rPr>
          <w:rFonts w:ascii="Times New Roman" w:hAnsi="Times New Roman" w:cs="Times New Roman"/>
          <w:sz w:val="24"/>
          <w:szCs w:val="24"/>
        </w:rPr>
      </w:pPr>
    </w:p>
    <w:p w:rsidR="001E3B36" w:rsidRPr="00816D1F" w:rsidP="001E3B36" w14:paraId="6A3760E8" w14:textId="673836C2">
      <w:pPr>
        <w:jc w:val="center"/>
        <w:rPr>
          <w:b/>
          <w:bCs/>
          <w:szCs w:val="24"/>
        </w:rPr>
      </w:pPr>
      <w:r w:rsidRPr="00816D1F">
        <w:rPr>
          <w:b/>
          <w:bCs/>
          <w:szCs w:val="24"/>
        </w:rPr>
        <w:t>APPLICATION FOR REHEARING</w:t>
      </w:r>
    </w:p>
    <w:p w:rsidR="001E3B36" w:rsidRPr="00816D1F" w:rsidP="001E3B36" w14:paraId="698D98F1" w14:textId="77777777">
      <w:pPr>
        <w:jc w:val="center"/>
        <w:rPr>
          <w:b/>
          <w:bCs/>
          <w:szCs w:val="24"/>
        </w:rPr>
      </w:pPr>
      <w:r w:rsidRPr="00816D1F">
        <w:rPr>
          <w:b/>
          <w:bCs/>
          <w:szCs w:val="24"/>
        </w:rPr>
        <w:t>BY</w:t>
      </w:r>
    </w:p>
    <w:p w:rsidR="001E3B36" w:rsidRPr="00816D1F" w:rsidP="001E3B36" w14:paraId="78314EA2" w14:textId="77777777">
      <w:pPr>
        <w:jc w:val="center"/>
        <w:rPr>
          <w:b/>
          <w:bCs/>
          <w:szCs w:val="24"/>
        </w:rPr>
      </w:pPr>
      <w:r w:rsidRPr="00816D1F">
        <w:rPr>
          <w:b/>
          <w:bCs/>
          <w:szCs w:val="24"/>
        </w:rPr>
        <w:t>OFFICE OF THE OHIO CONSUMERS’ COUNSEL</w:t>
      </w:r>
    </w:p>
    <w:p w:rsidR="001E3B36" w:rsidRPr="00816D1F" w:rsidP="001E3B36" w14:paraId="16A28B13" w14:textId="77777777">
      <w:pPr>
        <w:pBdr>
          <w:bottom w:val="single" w:sz="12" w:space="1" w:color="auto"/>
        </w:pBdr>
        <w:tabs>
          <w:tab w:val="left" w:pos="4320"/>
        </w:tabs>
        <w:rPr>
          <w:szCs w:val="24"/>
        </w:rPr>
      </w:pPr>
    </w:p>
    <w:p w:rsidR="001E3B36" w:rsidRPr="00816D1F" w14:paraId="022666CF" w14:textId="77777777">
      <w:pPr>
        <w:pStyle w:val="HTMLPreformatted"/>
        <w:jc w:val="center"/>
        <w:rPr>
          <w:rFonts w:ascii="Times New Roman" w:hAnsi="Times New Roman" w:cs="Times New Roman"/>
          <w:b/>
          <w:bCs/>
          <w:sz w:val="24"/>
          <w:szCs w:val="24"/>
        </w:rPr>
      </w:pPr>
    </w:p>
    <w:p w:rsidR="001E3B36" w:rsidRPr="00816D1F" w:rsidP="0032046C" w14:paraId="1642C268" w14:textId="44C18A91">
      <w:pPr>
        <w:pStyle w:val="Footer"/>
        <w:tabs>
          <w:tab w:val="clear" w:pos="4320"/>
          <w:tab w:val="clear" w:pos="8640"/>
        </w:tabs>
        <w:ind w:left="4320"/>
        <w:rPr>
          <w:sz w:val="24"/>
          <w:szCs w:val="24"/>
        </w:rPr>
      </w:pPr>
      <w:r w:rsidRPr="00816D1F">
        <w:rPr>
          <w:sz w:val="24"/>
          <w:szCs w:val="24"/>
        </w:rPr>
        <w:t xml:space="preserve">Maureen Willis </w:t>
      </w:r>
      <w:r w:rsidRPr="00816D1F" w:rsidR="007D0B7E">
        <w:rPr>
          <w:sz w:val="24"/>
          <w:szCs w:val="24"/>
        </w:rPr>
        <w:t>(0020847)</w:t>
      </w:r>
    </w:p>
    <w:p w:rsidR="001E3B36" w:rsidRPr="00816D1F" w:rsidP="0032046C" w14:paraId="1A28D3E5" w14:textId="77777777">
      <w:pPr>
        <w:pStyle w:val="Footer"/>
        <w:tabs>
          <w:tab w:val="clear" w:pos="4320"/>
          <w:tab w:val="clear" w:pos="8640"/>
        </w:tabs>
        <w:ind w:left="4320"/>
        <w:rPr>
          <w:sz w:val="24"/>
          <w:szCs w:val="24"/>
        </w:rPr>
      </w:pPr>
      <w:r w:rsidRPr="00816D1F">
        <w:rPr>
          <w:sz w:val="24"/>
          <w:szCs w:val="24"/>
        </w:rPr>
        <w:t>Ohio Consumer’s Counsel</w:t>
      </w:r>
    </w:p>
    <w:p w:rsidR="001E3B36" w:rsidRPr="00816D1F" w:rsidP="0032046C" w14:paraId="2B55C6F1" w14:textId="77777777">
      <w:pPr>
        <w:pStyle w:val="Footer"/>
        <w:tabs>
          <w:tab w:val="left" w:pos="4320"/>
          <w:tab w:val="clear" w:pos="8640"/>
        </w:tabs>
        <w:ind w:left="3600"/>
        <w:rPr>
          <w:sz w:val="24"/>
          <w:szCs w:val="24"/>
        </w:rPr>
      </w:pPr>
    </w:p>
    <w:p w:rsidR="001E3B36" w:rsidRPr="00816D1F" w:rsidP="0032046C" w14:paraId="53892556" w14:textId="77777777">
      <w:pPr>
        <w:tabs>
          <w:tab w:val="left" w:pos="4320"/>
        </w:tabs>
        <w:ind w:left="4320"/>
        <w:rPr>
          <w:szCs w:val="24"/>
        </w:rPr>
      </w:pPr>
      <w:r w:rsidRPr="00816D1F">
        <w:rPr>
          <w:szCs w:val="24"/>
        </w:rPr>
        <w:t>Angela D. O’Brien (0097579)</w:t>
      </w:r>
    </w:p>
    <w:p w:rsidR="001E3B36" w:rsidRPr="00816D1F" w:rsidP="001E3B36" w14:paraId="4F6A37BF" w14:textId="77777777">
      <w:pPr>
        <w:tabs>
          <w:tab w:val="left" w:pos="4320"/>
        </w:tabs>
        <w:ind w:left="4320"/>
        <w:rPr>
          <w:szCs w:val="24"/>
        </w:rPr>
      </w:pPr>
      <w:r w:rsidRPr="00816D1F">
        <w:rPr>
          <w:szCs w:val="24"/>
        </w:rPr>
        <w:t>Counsel of Record</w:t>
      </w:r>
    </w:p>
    <w:p w:rsidR="001E3B36" w:rsidRPr="00816D1F" w:rsidP="001E3B36" w14:paraId="38E97C9E" w14:textId="77777777">
      <w:pPr>
        <w:tabs>
          <w:tab w:val="left" w:pos="4320"/>
        </w:tabs>
        <w:ind w:left="4320"/>
        <w:rPr>
          <w:szCs w:val="24"/>
        </w:rPr>
      </w:pPr>
      <w:r w:rsidRPr="00816D1F">
        <w:rPr>
          <w:szCs w:val="24"/>
        </w:rPr>
        <w:t>Deputy Consumers’ Counsel</w:t>
      </w:r>
    </w:p>
    <w:p w:rsidR="001E3B36" w:rsidRPr="00816D1F" w:rsidP="001E3B36" w14:paraId="705E9841" w14:textId="77777777">
      <w:pPr>
        <w:tabs>
          <w:tab w:val="left" w:pos="4320"/>
        </w:tabs>
        <w:ind w:left="4320"/>
        <w:rPr>
          <w:szCs w:val="24"/>
        </w:rPr>
      </w:pPr>
    </w:p>
    <w:p w:rsidR="001E3B36" w:rsidRPr="00816D1F" w:rsidP="001E3B36" w14:paraId="7803F42A" w14:textId="77777777">
      <w:pPr>
        <w:ind w:firstLine="4320"/>
        <w:rPr>
          <w:b/>
          <w:bCs/>
          <w:szCs w:val="24"/>
        </w:rPr>
      </w:pPr>
      <w:r w:rsidRPr="00816D1F">
        <w:rPr>
          <w:b/>
          <w:bCs/>
          <w:szCs w:val="24"/>
        </w:rPr>
        <w:t>Office of the Ohio Consumers' Counsel</w:t>
      </w:r>
    </w:p>
    <w:p w:rsidR="001E3B36" w:rsidRPr="00816D1F" w:rsidP="001E3B36" w14:paraId="4ABAE784" w14:textId="77777777">
      <w:pPr>
        <w:ind w:firstLine="4320"/>
        <w:rPr>
          <w:b/>
          <w:szCs w:val="24"/>
        </w:rPr>
      </w:pPr>
      <w:r w:rsidRPr="00816D1F">
        <w:rPr>
          <w:szCs w:val="24"/>
        </w:rPr>
        <w:t>65 East State Street, Suite 700</w:t>
      </w:r>
    </w:p>
    <w:p w:rsidR="001E3B36" w:rsidRPr="00816D1F" w:rsidP="001E3B36" w14:paraId="7F50A152" w14:textId="77777777">
      <w:pPr>
        <w:ind w:firstLine="4320"/>
        <w:rPr>
          <w:b/>
          <w:szCs w:val="24"/>
        </w:rPr>
      </w:pPr>
      <w:r w:rsidRPr="00816D1F">
        <w:rPr>
          <w:szCs w:val="24"/>
        </w:rPr>
        <w:t>Columbus, Ohio 43215</w:t>
      </w:r>
    </w:p>
    <w:p w:rsidR="001E3B36" w:rsidRPr="00816D1F" w:rsidP="001E3B36" w14:paraId="5349B5FB" w14:textId="77777777">
      <w:pPr>
        <w:ind w:firstLine="4320"/>
        <w:rPr>
          <w:szCs w:val="24"/>
        </w:rPr>
      </w:pPr>
      <w:r w:rsidRPr="00816D1F">
        <w:rPr>
          <w:szCs w:val="24"/>
        </w:rPr>
        <w:t>Telephone: [O’Brien] (614) 466-9531</w:t>
      </w:r>
    </w:p>
    <w:p w:rsidR="001545AA" w:rsidRPr="00816D1F" w:rsidP="001E3B36" w14:paraId="758515E5" w14:textId="77777777">
      <w:pPr>
        <w:ind w:left="4320"/>
        <w:rPr>
          <w:rStyle w:val="Hyperlink"/>
          <w:szCs w:val="24"/>
        </w:rPr>
      </w:pPr>
      <w:hyperlink r:id="rId6" w:history="1">
        <w:r w:rsidRPr="00816D1F" w:rsidR="001E3B36">
          <w:rPr>
            <w:rStyle w:val="Hyperlink"/>
            <w:szCs w:val="24"/>
          </w:rPr>
          <w:t>angela.obrien@occ.ohio.gov</w:t>
        </w:r>
      </w:hyperlink>
    </w:p>
    <w:p w:rsidR="00C85483" w:rsidRPr="00816D1F" w:rsidP="001545AA" w14:paraId="6E4A84C8" w14:textId="3B915D02">
      <w:pPr>
        <w:ind w:left="4320" w:hanging="4320"/>
        <w:rPr>
          <w:color w:val="0000FF"/>
          <w:szCs w:val="24"/>
          <w:u w:val="single"/>
        </w:rPr>
      </w:pPr>
      <w:r w:rsidRPr="00816D1F">
        <w:rPr>
          <w:rStyle w:val="Hyperlink"/>
          <w:color w:val="auto"/>
          <w:szCs w:val="24"/>
          <w:u w:val="none"/>
        </w:rPr>
        <w:t>December</w:t>
      </w:r>
      <w:r w:rsidRPr="00816D1F" w:rsidR="000A7EB7">
        <w:rPr>
          <w:rStyle w:val="Hyperlink"/>
          <w:color w:val="auto"/>
          <w:szCs w:val="24"/>
          <w:u w:val="none"/>
        </w:rPr>
        <w:t xml:space="preserve"> 18, 2023</w:t>
      </w:r>
      <w:r w:rsidRPr="00816D1F" w:rsidR="00833D69">
        <w:rPr>
          <w:szCs w:val="24"/>
        </w:rPr>
        <w:tab/>
        <w:t>(willing to accept service by e-mail)</w:t>
      </w:r>
    </w:p>
    <w:p w:rsidR="00057887" w:rsidRPr="00816D1F" w14:paraId="115FD6FE" w14:textId="77777777">
      <w:pPr>
        <w:pStyle w:val="HTMLPreformatted"/>
        <w:jc w:val="center"/>
        <w:rPr>
          <w:rFonts w:ascii="Times New Roman" w:hAnsi="Times New Roman" w:cs="Times New Roman"/>
          <w:b/>
          <w:bCs/>
          <w:sz w:val="24"/>
          <w:szCs w:val="24"/>
        </w:rPr>
        <w:sectPr w:rsidSect="0072695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titlePg/>
          <w:docGrid w:linePitch="65"/>
        </w:sectPr>
      </w:pPr>
    </w:p>
    <w:p w:rsidR="00714C1E" w:rsidRPr="00816D1F" w14:paraId="2CA87C52" w14:textId="20FD1917">
      <w:pPr>
        <w:pStyle w:val="HTMLPreformatted"/>
        <w:jc w:val="center"/>
        <w:rPr>
          <w:rFonts w:ascii="Times New Roman" w:hAnsi="Times New Roman" w:cs="Times New Roman"/>
          <w:b/>
          <w:bCs/>
          <w:sz w:val="24"/>
          <w:szCs w:val="24"/>
        </w:rPr>
      </w:pPr>
      <w:r w:rsidRPr="00816D1F">
        <w:rPr>
          <w:rFonts w:ascii="Times New Roman" w:hAnsi="Times New Roman" w:cs="Times New Roman"/>
          <w:b/>
          <w:bCs/>
          <w:sz w:val="24"/>
          <w:szCs w:val="24"/>
        </w:rPr>
        <w:t>BEFORE</w:t>
      </w:r>
    </w:p>
    <w:p w:rsidR="00714C1E" w:rsidRPr="00816D1F" w:rsidP="001C390E" w14:paraId="254E30AC" w14:textId="7DFEBA6D">
      <w:pPr>
        <w:pStyle w:val="HTMLPreformatted"/>
        <w:jc w:val="center"/>
        <w:rPr>
          <w:rFonts w:ascii="Times New Roman" w:hAnsi="Times New Roman" w:cs="Times New Roman"/>
          <w:sz w:val="24"/>
          <w:szCs w:val="24"/>
        </w:rPr>
      </w:pPr>
      <w:r w:rsidRPr="00816D1F">
        <w:rPr>
          <w:rFonts w:ascii="Times New Roman" w:hAnsi="Times New Roman" w:cs="Times New Roman"/>
          <w:b/>
          <w:bCs/>
          <w:sz w:val="24"/>
          <w:szCs w:val="24"/>
        </w:rPr>
        <w:t>THE PUBLIC UTILITIES COMMISSION OF OHIO</w:t>
      </w:r>
    </w:p>
    <w:tbl>
      <w:tblPr>
        <w:tblW w:w="9092" w:type="dxa"/>
        <w:tblInd w:w="0" w:type="dxa"/>
        <w:tblCellMar>
          <w:top w:w="0" w:type="dxa"/>
          <w:left w:w="108" w:type="dxa"/>
          <w:bottom w:w="0" w:type="dxa"/>
          <w:right w:w="108" w:type="dxa"/>
        </w:tblCellMar>
        <w:tblLook w:val="01E0"/>
      </w:tblPr>
      <w:tblGrid>
        <w:gridCol w:w="4332"/>
        <w:gridCol w:w="360"/>
        <w:gridCol w:w="4400"/>
      </w:tblGrid>
      <w:tr w14:paraId="0809F25C" w14:textId="77777777" w:rsidTr="004D78B7">
        <w:tblPrEx>
          <w:tblW w:w="9092" w:type="dxa"/>
          <w:tblInd w:w="0" w:type="dxa"/>
          <w:tblCellMar>
            <w:top w:w="0" w:type="dxa"/>
            <w:left w:w="108" w:type="dxa"/>
            <w:bottom w:w="0" w:type="dxa"/>
            <w:right w:w="108" w:type="dxa"/>
          </w:tblCellMar>
          <w:tblLook w:val="01E0"/>
        </w:tblPrEx>
        <w:trPr>
          <w:trHeight w:val="342"/>
        </w:trPr>
        <w:tc>
          <w:tcPr>
            <w:tcW w:w="4332" w:type="dxa"/>
            <w:shd w:val="clear" w:color="auto" w:fill="auto"/>
          </w:tcPr>
          <w:p w:rsidR="001C390E" w:rsidRPr="00816D1F" w:rsidP="004D78B7" w14:paraId="52858BDC" w14:textId="77777777">
            <w:pPr>
              <w:autoSpaceDE w:val="0"/>
              <w:autoSpaceDN w:val="0"/>
              <w:adjustRightInd w:val="0"/>
              <w:rPr>
                <w:sz w:val="24"/>
                <w:szCs w:val="24"/>
                <w:lang w:val="en-US" w:eastAsia="en-US" w:bidi="ar-SA"/>
              </w:rPr>
            </w:pPr>
          </w:p>
          <w:p w:rsidR="001C390E" w:rsidRPr="00816D1F" w:rsidP="004D78B7" w14:paraId="68535674" w14:textId="77777777">
            <w:pPr>
              <w:autoSpaceDE w:val="0"/>
              <w:autoSpaceDN w:val="0"/>
              <w:adjustRightInd w:val="0"/>
              <w:rPr>
                <w:sz w:val="24"/>
                <w:szCs w:val="24"/>
                <w:lang w:val="en-US" w:eastAsia="en-US" w:bidi="ar-SA"/>
              </w:rPr>
            </w:pPr>
            <w:r w:rsidRPr="00816D1F">
              <w:rPr>
                <w:sz w:val="24"/>
                <w:szCs w:val="24"/>
                <w:lang w:val="en-US" w:eastAsia="en-US" w:bidi="ar-SA"/>
              </w:rPr>
              <w:t>In the Matter of the Application of Ohio Edison Company, The Cleveland Electric Illuminating Company, and The Toledo Edison Company of a Grid Modernization Business Plan.</w:t>
            </w:r>
          </w:p>
          <w:p w:rsidR="001C390E" w:rsidRPr="00816D1F" w:rsidP="004D78B7" w14:paraId="602890AE" w14:textId="77777777">
            <w:pPr>
              <w:autoSpaceDE w:val="0"/>
              <w:autoSpaceDN w:val="0"/>
              <w:adjustRightInd w:val="0"/>
              <w:rPr>
                <w:sz w:val="24"/>
                <w:szCs w:val="24"/>
                <w:lang w:val="en-US" w:eastAsia="en-US" w:bidi="ar-SA"/>
              </w:rPr>
            </w:pPr>
          </w:p>
          <w:p w:rsidR="001C390E" w:rsidRPr="00816D1F" w:rsidP="004D78B7" w14:paraId="0F435CAC" w14:textId="77777777">
            <w:pPr>
              <w:autoSpaceDE w:val="0"/>
              <w:autoSpaceDN w:val="0"/>
              <w:adjustRightInd w:val="0"/>
              <w:rPr>
                <w:sz w:val="24"/>
                <w:szCs w:val="24"/>
                <w:lang w:val="en-US" w:eastAsia="en-US" w:bidi="ar-SA"/>
              </w:rPr>
            </w:pPr>
            <w:r w:rsidRPr="00816D1F">
              <w:rPr>
                <w:sz w:val="24"/>
                <w:szCs w:val="24"/>
                <w:lang w:val="en-US" w:eastAsia="en-US" w:bidi="ar-SA"/>
              </w:rPr>
              <w:t>In the Matter of the Filing by Ohio Edison Company, The Cleveland Electric Illuminating Company, and The Toledo Edison Company Application for Approval of a Distribution Platform Modernization Plan.</w:t>
            </w:r>
          </w:p>
          <w:p w:rsidR="001C390E" w:rsidRPr="00816D1F" w:rsidP="004D78B7" w14:paraId="2646F6D2" w14:textId="77777777">
            <w:pPr>
              <w:autoSpaceDE w:val="0"/>
              <w:autoSpaceDN w:val="0"/>
              <w:adjustRightInd w:val="0"/>
              <w:rPr>
                <w:sz w:val="24"/>
                <w:szCs w:val="24"/>
                <w:lang w:val="en-US" w:eastAsia="en-US" w:bidi="ar-SA"/>
              </w:rPr>
            </w:pPr>
          </w:p>
          <w:p w:rsidR="001C390E" w:rsidRPr="00816D1F" w:rsidP="004D78B7" w14:paraId="0B77A2F2" w14:textId="77777777">
            <w:pPr>
              <w:autoSpaceDE w:val="0"/>
              <w:autoSpaceDN w:val="0"/>
              <w:adjustRightInd w:val="0"/>
              <w:rPr>
                <w:sz w:val="24"/>
                <w:szCs w:val="24"/>
                <w:lang w:val="en-US" w:eastAsia="en-US" w:bidi="ar-SA"/>
              </w:rPr>
            </w:pPr>
            <w:r w:rsidRPr="00816D1F">
              <w:rPr>
                <w:sz w:val="24"/>
                <w:szCs w:val="24"/>
                <w:lang w:val="en-US" w:eastAsia="en-US" w:bidi="ar-SA"/>
              </w:rPr>
              <w:t>In the Matter of the Application of Ohio Edison Company, The Cleveland Electric Illuminating Company, and The Toledo Edison Company to Implement Matters Relating to the Tax Cuts and Jobs Act of 2017.</w:t>
            </w:r>
          </w:p>
          <w:p w:rsidR="001C390E" w:rsidRPr="00816D1F" w:rsidP="004D78B7" w14:paraId="07B2CA6D" w14:textId="77777777">
            <w:pPr>
              <w:autoSpaceDE w:val="0"/>
              <w:autoSpaceDN w:val="0"/>
              <w:adjustRightInd w:val="0"/>
              <w:rPr>
                <w:sz w:val="24"/>
                <w:szCs w:val="24"/>
                <w:lang w:val="en-US" w:eastAsia="en-US" w:bidi="ar-SA"/>
              </w:rPr>
            </w:pPr>
          </w:p>
          <w:p w:rsidR="001C390E" w:rsidRPr="00816D1F" w:rsidP="004D78B7" w14:paraId="710C6706" w14:textId="77777777">
            <w:pPr>
              <w:autoSpaceDE w:val="0"/>
              <w:autoSpaceDN w:val="0"/>
              <w:adjustRightInd w:val="0"/>
              <w:rPr>
                <w:sz w:val="24"/>
                <w:szCs w:val="24"/>
                <w:lang w:val="en-US" w:eastAsia="en-US" w:bidi="ar-SA"/>
              </w:rPr>
            </w:pPr>
            <w:r w:rsidRPr="00816D1F">
              <w:rPr>
                <w:sz w:val="24"/>
                <w:szCs w:val="24"/>
                <w:lang w:val="en-US" w:eastAsia="en-US" w:bidi="ar-SA"/>
              </w:rPr>
              <w:t>In the Matter of the Application of Ohio Edison Company, The Cleveland Electric Illuminating Company, and The Toledo Edison Company for Approval of a Tariff Change.</w:t>
            </w:r>
          </w:p>
        </w:tc>
        <w:tc>
          <w:tcPr>
            <w:tcW w:w="360" w:type="dxa"/>
            <w:shd w:val="clear" w:color="auto" w:fill="auto"/>
          </w:tcPr>
          <w:p w:rsidR="001C390E" w:rsidRPr="00816D1F" w:rsidP="004D78B7" w14:paraId="03D9509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42F44FB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C390E" w:rsidRPr="00816D1F" w:rsidP="004D78B7" w14:paraId="31A2400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C390E" w:rsidRPr="00816D1F" w:rsidP="004D78B7" w14:paraId="387EF04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C390E" w:rsidRPr="00816D1F" w:rsidP="004D78B7" w14:paraId="78D4ECA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C390E" w:rsidRPr="00816D1F" w:rsidP="004D78B7" w14:paraId="1B8764C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C390E" w:rsidRPr="00816D1F" w:rsidP="004D78B7" w14:paraId="3431593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64378A2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C390E" w:rsidRPr="00816D1F" w:rsidP="004D78B7" w14:paraId="41BC2D2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C390E" w:rsidRPr="00816D1F" w:rsidP="004D78B7" w14:paraId="6B1DC88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C390E" w:rsidRPr="00816D1F" w:rsidP="004D78B7" w14:paraId="70A1B65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C390E" w:rsidRPr="00816D1F" w:rsidP="004D78B7" w14:paraId="06DCC10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C390E" w:rsidRPr="00816D1F" w:rsidP="004D78B7" w14:paraId="5DE5336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C390E" w:rsidRPr="00816D1F" w:rsidP="004D78B7" w14:paraId="3CF0FF4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047E4E5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C390E" w:rsidRPr="00816D1F" w:rsidP="004D78B7" w14:paraId="7C9029A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C390E" w:rsidRPr="00816D1F" w:rsidP="004D78B7" w14:paraId="419A176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r w:rsidRPr="00816D1F">
              <w:rPr>
                <w:rFonts w:ascii="Times New Roman" w:eastAsia="Courier New" w:hAnsi="Times New Roman" w:cs="Times New Roman"/>
                <w:sz w:val="24"/>
                <w:szCs w:val="24"/>
                <w:lang w:val="en-US" w:eastAsia="en-US" w:bidi="ar-SA"/>
              </w:rPr>
              <w:br/>
              <w:t>)</w:t>
            </w:r>
          </w:p>
          <w:p w:rsidR="001C390E" w:rsidRPr="00816D1F" w:rsidP="004D78B7" w14:paraId="4F7F8A8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C390E" w:rsidRPr="00816D1F" w:rsidP="004D78B7" w14:paraId="6AF22FE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C390E" w:rsidRPr="00816D1F" w:rsidP="004D78B7" w14:paraId="6824F9C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6D90068F"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C390E" w:rsidRPr="00816D1F" w:rsidP="004D78B7" w14:paraId="49589B0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C390E" w:rsidRPr="00816D1F" w:rsidP="004D78B7" w14:paraId="674037C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C390E" w:rsidRPr="00816D1F" w:rsidP="004D78B7" w14:paraId="25A8BE2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1C390E" w:rsidRPr="00816D1F" w:rsidP="004D78B7" w14:paraId="55930D5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tc>
        <w:tc>
          <w:tcPr>
            <w:tcW w:w="4400" w:type="dxa"/>
            <w:shd w:val="clear" w:color="auto" w:fill="auto"/>
          </w:tcPr>
          <w:p w:rsidR="001C390E" w:rsidRPr="00816D1F" w:rsidP="004D78B7" w14:paraId="0572DD0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22953D8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5265B5B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22F9E3C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Case No. 16-481-EL-UNC</w:t>
            </w:r>
          </w:p>
          <w:p w:rsidR="001C390E" w:rsidRPr="00816D1F" w:rsidP="004D78B7" w14:paraId="67A369F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0325C09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5A5A24B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4F40563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7238F1A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0D9C1DF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3936557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Case No. 17-2436-EL-UNC</w:t>
            </w:r>
          </w:p>
          <w:p w:rsidR="001C390E" w:rsidRPr="00816D1F" w:rsidP="004D78B7" w14:paraId="747A5E3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157C907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66BDDE4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1D05D9A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047AF56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7C24D97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2CB87A4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Case No. 18-1604-EL-UNC</w:t>
            </w:r>
          </w:p>
          <w:p w:rsidR="001C390E" w:rsidRPr="00816D1F" w:rsidP="004D78B7" w14:paraId="3C380F5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4DB09D9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0B9AC42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4B63261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35BA179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1C390E" w:rsidRPr="00816D1F" w:rsidP="004D78B7" w14:paraId="3F284C7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Case No. 18-1656-EL-UNC</w:t>
            </w:r>
          </w:p>
        </w:tc>
      </w:tr>
    </w:tbl>
    <w:p w:rsidR="00714C1E" w:rsidRPr="00816D1F" w14:paraId="0E3AA1CD" w14:textId="77777777">
      <w:pPr>
        <w:pStyle w:val="HTMLPreformatted"/>
        <w:rPr>
          <w:rFonts w:ascii="Times New Roman" w:hAnsi="Times New Roman" w:cs="Times New Roman"/>
          <w:sz w:val="24"/>
          <w:szCs w:val="24"/>
        </w:rPr>
      </w:pPr>
    </w:p>
    <w:p w:rsidR="00714C1E" w:rsidRPr="00816D1F" w14:paraId="7A5DFB01" w14:textId="77777777">
      <w:pPr>
        <w:pStyle w:val="HTMLPreformatted"/>
        <w:pBdr>
          <w:top w:val="single" w:sz="12" w:space="1" w:color="auto"/>
        </w:pBdr>
        <w:rPr>
          <w:rFonts w:ascii="Times New Roman" w:hAnsi="Times New Roman" w:cs="Times New Roman"/>
          <w:sz w:val="24"/>
          <w:szCs w:val="24"/>
        </w:rPr>
      </w:pPr>
    </w:p>
    <w:p w:rsidR="00714C1E" w:rsidRPr="00816D1F" w14:paraId="0273504A" w14:textId="1895248B">
      <w:pPr>
        <w:jc w:val="center"/>
        <w:rPr>
          <w:b/>
          <w:bCs/>
          <w:szCs w:val="24"/>
        </w:rPr>
      </w:pPr>
      <w:r w:rsidRPr="00816D1F">
        <w:rPr>
          <w:b/>
          <w:bCs/>
          <w:szCs w:val="24"/>
        </w:rPr>
        <w:t>APPLICATION FOR REHEARING</w:t>
      </w:r>
    </w:p>
    <w:p w:rsidR="00714C1E" w:rsidRPr="00816D1F" w14:paraId="1CDBC694" w14:textId="77777777">
      <w:pPr>
        <w:jc w:val="center"/>
        <w:rPr>
          <w:b/>
          <w:bCs/>
          <w:szCs w:val="24"/>
        </w:rPr>
      </w:pPr>
      <w:r w:rsidRPr="00816D1F">
        <w:rPr>
          <w:b/>
          <w:bCs/>
          <w:szCs w:val="24"/>
        </w:rPr>
        <w:t>BY</w:t>
      </w:r>
    </w:p>
    <w:p w:rsidR="00714C1E" w:rsidRPr="00816D1F" w14:paraId="365DEF3D" w14:textId="4A409B4C">
      <w:pPr>
        <w:jc w:val="center"/>
        <w:rPr>
          <w:b/>
          <w:bCs/>
          <w:szCs w:val="24"/>
        </w:rPr>
      </w:pPr>
      <w:r w:rsidRPr="00816D1F">
        <w:rPr>
          <w:b/>
          <w:bCs/>
          <w:szCs w:val="24"/>
        </w:rPr>
        <w:t>OFFICE OF THE OHIO CONSUMERS’ COUNSEL</w:t>
      </w:r>
    </w:p>
    <w:p w:rsidR="00714C1E" w:rsidRPr="00816D1F" w14:paraId="4CAFCEFA" w14:textId="77777777">
      <w:pPr>
        <w:pBdr>
          <w:bottom w:val="single" w:sz="12" w:space="1" w:color="auto"/>
        </w:pBdr>
        <w:tabs>
          <w:tab w:val="left" w:pos="4320"/>
        </w:tabs>
        <w:rPr>
          <w:szCs w:val="24"/>
        </w:rPr>
      </w:pPr>
    </w:p>
    <w:p w:rsidR="0011495E" w:rsidRPr="00816D1F" w:rsidP="00731C41" w14:paraId="6FE779FF" w14:textId="77777777">
      <w:pPr>
        <w:pStyle w:val="Heading1"/>
        <w:spacing w:after="0"/>
      </w:pPr>
    </w:p>
    <w:p w:rsidR="001F11E3" w:rsidRPr="00816D1F" w:rsidP="000A67F1" w14:paraId="748A695D" w14:textId="15E47687">
      <w:pPr>
        <w:spacing w:line="480" w:lineRule="auto"/>
        <w:ind w:firstLine="720"/>
        <w:rPr>
          <w:szCs w:val="24"/>
        </w:rPr>
      </w:pPr>
      <w:r w:rsidRPr="00816D1F">
        <w:rPr>
          <w:szCs w:val="24"/>
        </w:rPr>
        <w:t>An audit has determined that FirstEnergy failed to demonstrate the benefits to consumers of investment</w:t>
      </w:r>
      <w:r w:rsidRPr="00816D1F" w:rsidR="00EC67DE">
        <w:rPr>
          <w:szCs w:val="24"/>
        </w:rPr>
        <w:t>s</w:t>
      </w:r>
      <w:r w:rsidRPr="00816D1F">
        <w:rPr>
          <w:szCs w:val="24"/>
        </w:rPr>
        <w:t xml:space="preserve"> under</w:t>
      </w:r>
      <w:r w:rsidRPr="00816D1F" w:rsidR="0001642C">
        <w:rPr>
          <w:szCs w:val="24"/>
        </w:rPr>
        <w:t xml:space="preserve"> its</w:t>
      </w:r>
      <w:r w:rsidRPr="00816D1F" w:rsidR="00EC67DE">
        <w:rPr>
          <w:szCs w:val="24"/>
        </w:rPr>
        <w:t xml:space="preserve"> </w:t>
      </w:r>
      <w:r w:rsidRPr="00816D1F">
        <w:rPr>
          <w:szCs w:val="24"/>
        </w:rPr>
        <w:t>Grid Mod I</w:t>
      </w:r>
      <w:r w:rsidRPr="00816D1F" w:rsidR="00EC67DE">
        <w:rPr>
          <w:szCs w:val="24"/>
        </w:rPr>
        <w:t xml:space="preserve"> program, for which</w:t>
      </w:r>
      <w:r w:rsidRPr="00816D1F">
        <w:rPr>
          <w:szCs w:val="24"/>
        </w:rPr>
        <w:t xml:space="preserve"> consumers have paid more than $600 million over the past four years.</w:t>
      </w:r>
      <w:r>
        <w:rPr>
          <w:rStyle w:val="FootnoteReference"/>
          <w:szCs w:val="24"/>
        </w:rPr>
        <w:footnoteReference w:id="2"/>
      </w:r>
      <w:r w:rsidRPr="00816D1F">
        <w:rPr>
          <w:szCs w:val="24"/>
        </w:rPr>
        <w:t xml:space="preserve"> </w:t>
      </w:r>
      <w:r w:rsidRPr="00816D1F" w:rsidR="00EC67DE">
        <w:rPr>
          <w:szCs w:val="24"/>
        </w:rPr>
        <w:t xml:space="preserve">In </w:t>
      </w:r>
      <w:r w:rsidRPr="00816D1F" w:rsidR="0001642C">
        <w:rPr>
          <w:szCs w:val="24"/>
        </w:rPr>
        <w:t>a</w:t>
      </w:r>
      <w:r w:rsidRPr="00816D1F" w:rsidR="00EC67DE">
        <w:rPr>
          <w:szCs w:val="24"/>
        </w:rPr>
        <w:t xml:space="preserve"> November 16, 2023 Order, the </w:t>
      </w:r>
      <w:r w:rsidRPr="00816D1F" w:rsidR="00914B44">
        <w:rPr>
          <w:szCs w:val="24"/>
        </w:rPr>
        <w:t xml:space="preserve">PUCO </w:t>
      </w:r>
      <w:r w:rsidRPr="00816D1F" w:rsidR="0001642C">
        <w:rPr>
          <w:szCs w:val="24"/>
        </w:rPr>
        <w:t>nonetheless authorized</w:t>
      </w:r>
      <w:r w:rsidRPr="00816D1F" w:rsidR="00EC67DE">
        <w:rPr>
          <w:szCs w:val="24"/>
        </w:rPr>
        <w:t xml:space="preserve"> </w:t>
      </w:r>
      <w:r w:rsidRPr="00816D1F" w:rsidR="000A7EB7">
        <w:rPr>
          <w:szCs w:val="24"/>
        </w:rPr>
        <w:t xml:space="preserve">FirstEnergy </w:t>
      </w:r>
      <w:r w:rsidRPr="00816D1F" w:rsidR="00914B44">
        <w:rPr>
          <w:szCs w:val="24"/>
        </w:rPr>
        <w:t xml:space="preserve">to move forward </w:t>
      </w:r>
      <w:r w:rsidR="007B3C9E">
        <w:rPr>
          <w:szCs w:val="24"/>
        </w:rPr>
        <w:t xml:space="preserve">with </w:t>
      </w:r>
      <w:r w:rsidRPr="00816D1F" w:rsidR="00914B44">
        <w:rPr>
          <w:szCs w:val="24"/>
        </w:rPr>
        <w:t>phase</w:t>
      </w:r>
      <w:r w:rsidRPr="00816D1F" w:rsidR="00EC67DE">
        <w:rPr>
          <w:szCs w:val="24"/>
        </w:rPr>
        <w:t xml:space="preserve"> two</w:t>
      </w:r>
      <w:r w:rsidRPr="00816D1F" w:rsidR="00914B44">
        <w:rPr>
          <w:szCs w:val="24"/>
        </w:rPr>
        <w:t xml:space="preserve"> of its grid modernization p</w:t>
      </w:r>
      <w:r w:rsidRPr="00816D1F" w:rsidR="00EC67DE">
        <w:rPr>
          <w:szCs w:val="24"/>
        </w:rPr>
        <w:t>rogram</w:t>
      </w:r>
      <w:r w:rsidRPr="00816D1F" w:rsidR="0001642C">
        <w:rPr>
          <w:szCs w:val="24"/>
        </w:rPr>
        <w:t>, Grid Mod II,</w:t>
      </w:r>
      <w:r>
        <w:rPr>
          <w:rStyle w:val="FootnoteReference"/>
          <w:szCs w:val="24"/>
        </w:rPr>
        <w:footnoteReference w:id="3"/>
      </w:r>
      <w:r w:rsidRPr="00816D1F" w:rsidR="00343BC2">
        <w:rPr>
          <w:szCs w:val="24"/>
        </w:rPr>
        <w:t xml:space="preserve"> </w:t>
      </w:r>
      <w:r w:rsidRPr="00816D1F" w:rsidR="0085404A">
        <w:rPr>
          <w:szCs w:val="24"/>
        </w:rPr>
        <w:t xml:space="preserve">where </w:t>
      </w:r>
      <w:r w:rsidRPr="00816D1F" w:rsidR="00343BC2">
        <w:rPr>
          <w:szCs w:val="24"/>
        </w:rPr>
        <w:t xml:space="preserve">FirstEnergy is asking consumers to </w:t>
      </w:r>
      <w:r w:rsidRPr="00816D1F" w:rsidR="00914B44">
        <w:rPr>
          <w:szCs w:val="24"/>
        </w:rPr>
        <w:t>fund</w:t>
      </w:r>
      <w:r w:rsidRPr="00816D1F" w:rsidR="00343BC2">
        <w:rPr>
          <w:szCs w:val="24"/>
        </w:rPr>
        <w:t xml:space="preserve"> </w:t>
      </w:r>
      <w:r w:rsidRPr="00816D1F" w:rsidR="00914B44">
        <w:rPr>
          <w:szCs w:val="24"/>
        </w:rPr>
        <w:t>a</w:t>
      </w:r>
      <w:r w:rsidRPr="00816D1F" w:rsidR="000A67F1">
        <w:rPr>
          <w:szCs w:val="24"/>
        </w:rPr>
        <w:t>n additional</w:t>
      </w:r>
      <w:r w:rsidR="00816D1F">
        <w:rPr>
          <w:szCs w:val="24"/>
        </w:rPr>
        <w:t xml:space="preserve"> </w:t>
      </w:r>
      <w:r w:rsidRPr="00816D1F" w:rsidR="00914B44">
        <w:rPr>
          <w:i/>
          <w:iCs/>
          <w:szCs w:val="24"/>
        </w:rPr>
        <w:t>$</w:t>
      </w:r>
      <w:r w:rsidR="00D2161E">
        <w:rPr>
          <w:i/>
          <w:iCs/>
          <w:szCs w:val="24"/>
        </w:rPr>
        <w:t>7</w:t>
      </w:r>
      <w:r w:rsidRPr="00816D1F" w:rsidR="00914B44">
        <w:rPr>
          <w:i/>
          <w:iCs/>
          <w:szCs w:val="24"/>
        </w:rPr>
        <w:t>00 million</w:t>
      </w:r>
      <w:r w:rsidRPr="00816D1F" w:rsidR="00914B44">
        <w:rPr>
          <w:szCs w:val="24"/>
        </w:rPr>
        <w:t xml:space="preserve"> investment</w:t>
      </w:r>
      <w:r w:rsidRPr="00816D1F">
        <w:rPr>
          <w:szCs w:val="24"/>
        </w:rPr>
        <w:t>.</w:t>
      </w:r>
      <w:r w:rsidRPr="00816D1F">
        <w:rPr>
          <w:szCs w:val="24"/>
        </w:rPr>
        <w:t xml:space="preserve"> </w:t>
      </w:r>
      <w:r w:rsidRPr="00816D1F" w:rsidR="0001642C">
        <w:rPr>
          <w:szCs w:val="24"/>
        </w:rPr>
        <w:t>C</w:t>
      </w:r>
      <w:r w:rsidRPr="00816D1F">
        <w:rPr>
          <w:szCs w:val="24"/>
        </w:rPr>
        <w:t>onsumers</w:t>
      </w:r>
      <w:r w:rsidRPr="00816D1F" w:rsidR="0001642C">
        <w:rPr>
          <w:szCs w:val="24"/>
        </w:rPr>
        <w:t xml:space="preserve"> should not pay a penny in funding</w:t>
      </w:r>
      <w:r w:rsidRPr="00816D1F">
        <w:rPr>
          <w:szCs w:val="24"/>
        </w:rPr>
        <w:t xml:space="preserve"> for GridMod II until </w:t>
      </w:r>
      <w:r w:rsidRPr="00816D1F" w:rsidR="0001642C">
        <w:rPr>
          <w:szCs w:val="24"/>
        </w:rPr>
        <w:t xml:space="preserve">FirstEnergy demonstrates the </w:t>
      </w:r>
      <w:r w:rsidRPr="00816D1F" w:rsidR="0001642C">
        <w:rPr>
          <w:i/>
          <w:iCs/>
          <w:szCs w:val="24"/>
        </w:rPr>
        <w:t>actual</w:t>
      </w:r>
      <w:r w:rsidRPr="00816D1F" w:rsidR="0001642C">
        <w:rPr>
          <w:szCs w:val="24"/>
        </w:rPr>
        <w:t xml:space="preserve"> benefits of</w:t>
      </w:r>
      <w:r w:rsidRPr="00816D1F" w:rsidR="0085404A">
        <w:rPr>
          <w:szCs w:val="24"/>
        </w:rPr>
        <w:t xml:space="preserve"> GridMod I</w:t>
      </w:r>
      <w:r w:rsidRPr="00816D1F" w:rsidR="0058474B">
        <w:rPr>
          <w:szCs w:val="24"/>
        </w:rPr>
        <w:t xml:space="preserve"> </w:t>
      </w:r>
      <w:r w:rsidRPr="00816D1F" w:rsidR="0001642C">
        <w:rPr>
          <w:szCs w:val="24"/>
        </w:rPr>
        <w:t xml:space="preserve">to </w:t>
      </w:r>
      <w:r w:rsidRPr="00816D1F" w:rsidR="0058474B">
        <w:rPr>
          <w:szCs w:val="24"/>
        </w:rPr>
        <w:t>consumers</w:t>
      </w:r>
      <w:r w:rsidRPr="00816D1F" w:rsidR="0085404A">
        <w:rPr>
          <w:szCs w:val="24"/>
        </w:rPr>
        <w:t xml:space="preserve">. </w:t>
      </w:r>
      <w:r w:rsidRPr="00816D1F" w:rsidR="0001642C">
        <w:rPr>
          <w:szCs w:val="24"/>
        </w:rPr>
        <w:t>FirstEnergy should also demonstrate that GridMod I investments were used and useful and prudently incurred under Ohio ratemaking law.</w:t>
      </w:r>
      <w:r>
        <w:rPr>
          <w:rStyle w:val="FootnoteReference"/>
          <w:szCs w:val="24"/>
        </w:rPr>
        <w:footnoteReference w:id="4"/>
      </w:r>
    </w:p>
    <w:p w:rsidR="005D77A0" w:rsidRPr="00816D1F" w:rsidP="0085404A" w14:paraId="76C46631" w14:textId="7F53275C">
      <w:pPr>
        <w:spacing w:line="480" w:lineRule="auto"/>
        <w:ind w:firstLine="720"/>
        <w:rPr>
          <w:szCs w:val="24"/>
        </w:rPr>
      </w:pPr>
      <w:r w:rsidRPr="00816D1F">
        <w:rPr>
          <w:szCs w:val="24"/>
        </w:rPr>
        <w:t xml:space="preserve"> </w:t>
      </w:r>
      <w:r w:rsidRPr="00816D1F" w:rsidR="00750DDF">
        <w:rPr>
          <w:szCs w:val="24"/>
        </w:rPr>
        <w:t>F</w:t>
      </w:r>
      <w:r w:rsidRPr="00816D1F" w:rsidR="000A7EB7">
        <w:rPr>
          <w:szCs w:val="24"/>
        </w:rPr>
        <w:t xml:space="preserve">irstEnergy sold </w:t>
      </w:r>
      <w:r w:rsidRPr="00816D1F">
        <w:rPr>
          <w:szCs w:val="24"/>
        </w:rPr>
        <w:t>Grid Mod I</w:t>
      </w:r>
      <w:r w:rsidRPr="00816D1F">
        <w:rPr>
          <w:szCs w:val="24"/>
        </w:rPr>
        <w:t xml:space="preserve"> to the PUCO with a cost-benefit analysis showing that the program would produce over $1 billion of net benefits for consumers.</w:t>
      </w:r>
      <w:r>
        <w:rPr>
          <w:rStyle w:val="FootnoteReference"/>
          <w:szCs w:val="24"/>
        </w:rPr>
        <w:footnoteReference w:id="5"/>
      </w:r>
      <w:r w:rsidRPr="00816D1F" w:rsidR="0001642C">
        <w:rPr>
          <w:szCs w:val="24"/>
        </w:rPr>
        <w:t xml:space="preserve"> And a</w:t>
      </w:r>
      <w:r w:rsidRPr="00816D1F" w:rsidR="0085404A">
        <w:rPr>
          <w:szCs w:val="24"/>
        </w:rPr>
        <w:t xml:space="preserve">t the time </w:t>
      </w:r>
      <w:r w:rsidRPr="00816D1F">
        <w:rPr>
          <w:szCs w:val="24"/>
        </w:rPr>
        <w:t xml:space="preserve">Grid Mod I </w:t>
      </w:r>
      <w:r w:rsidRPr="00816D1F" w:rsidR="000A67F1">
        <w:rPr>
          <w:szCs w:val="24"/>
        </w:rPr>
        <w:t xml:space="preserve">funding </w:t>
      </w:r>
      <w:r w:rsidRPr="00816D1F">
        <w:rPr>
          <w:szCs w:val="24"/>
        </w:rPr>
        <w:t>was approved</w:t>
      </w:r>
      <w:r w:rsidRPr="00816D1F" w:rsidR="0085404A">
        <w:rPr>
          <w:szCs w:val="24"/>
        </w:rPr>
        <w:t>,</w:t>
      </w:r>
      <w:r w:rsidRPr="00816D1F">
        <w:rPr>
          <w:szCs w:val="24"/>
        </w:rPr>
        <w:t xml:space="preserve"> </w:t>
      </w:r>
      <w:r w:rsidRPr="00816D1F">
        <w:rPr>
          <w:szCs w:val="24"/>
        </w:rPr>
        <w:t xml:space="preserve">the </w:t>
      </w:r>
      <w:r w:rsidRPr="00816D1F" w:rsidR="000A7EB7">
        <w:rPr>
          <w:szCs w:val="24"/>
        </w:rPr>
        <w:t>PUCO</w:t>
      </w:r>
      <w:r w:rsidRPr="00816D1F" w:rsidR="00343BC2">
        <w:rPr>
          <w:szCs w:val="24"/>
        </w:rPr>
        <w:t xml:space="preserve"> </w:t>
      </w:r>
      <w:r w:rsidRPr="00816D1F" w:rsidR="0085404A">
        <w:rPr>
          <w:szCs w:val="24"/>
        </w:rPr>
        <w:t>was led by former</w:t>
      </w:r>
      <w:r w:rsidRPr="00816D1F" w:rsidR="00343BC2">
        <w:rPr>
          <w:szCs w:val="24"/>
        </w:rPr>
        <w:t xml:space="preserve"> PUCO Chair </w:t>
      </w:r>
      <w:r w:rsidRPr="00816D1F" w:rsidR="0085404A">
        <w:rPr>
          <w:szCs w:val="24"/>
        </w:rPr>
        <w:t xml:space="preserve">Sam </w:t>
      </w:r>
      <w:r w:rsidRPr="00816D1F" w:rsidR="00343BC2">
        <w:rPr>
          <w:szCs w:val="24"/>
        </w:rPr>
        <w:t>Randazzo who</w:t>
      </w:r>
      <w:r w:rsidRPr="00816D1F" w:rsidR="0085404A">
        <w:rPr>
          <w:szCs w:val="24"/>
        </w:rPr>
        <w:t xml:space="preserve"> was</w:t>
      </w:r>
      <w:r w:rsidRPr="00816D1F" w:rsidR="00343BC2">
        <w:rPr>
          <w:szCs w:val="24"/>
        </w:rPr>
        <w:t xml:space="preserve"> recently</w:t>
      </w:r>
      <w:r w:rsidRPr="00816D1F">
        <w:rPr>
          <w:szCs w:val="24"/>
        </w:rPr>
        <w:t xml:space="preserve"> </w:t>
      </w:r>
      <w:r w:rsidRPr="00816D1F" w:rsidR="00343BC2">
        <w:rPr>
          <w:szCs w:val="24"/>
        </w:rPr>
        <w:t>criminally indicted by a federal grand jury for</w:t>
      </w:r>
      <w:r w:rsidRPr="00816D1F" w:rsidR="0085404A">
        <w:rPr>
          <w:szCs w:val="24"/>
        </w:rPr>
        <w:t xml:space="preserve"> embezzlement and</w:t>
      </w:r>
      <w:r w:rsidRPr="00816D1F" w:rsidR="00343BC2">
        <w:rPr>
          <w:szCs w:val="24"/>
        </w:rPr>
        <w:t xml:space="preserve"> accepting $4.3 million in bribes from FirstEnergy.</w:t>
      </w:r>
      <w:r>
        <w:rPr>
          <w:rStyle w:val="FootnoteReference"/>
          <w:szCs w:val="24"/>
        </w:rPr>
        <w:footnoteReference w:id="6"/>
      </w:r>
      <w:r w:rsidRPr="00816D1F" w:rsidR="00343BC2">
        <w:rPr>
          <w:szCs w:val="24"/>
        </w:rPr>
        <w:t xml:space="preserve"> </w:t>
      </w:r>
      <w:r w:rsidRPr="00816D1F" w:rsidR="000527EC">
        <w:rPr>
          <w:szCs w:val="24"/>
        </w:rPr>
        <w:t xml:space="preserve">Now, FirstEnergy </w:t>
      </w:r>
      <w:r w:rsidRPr="00816D1F" w:rsidR="0001642C">
        <w:rPr>
          <w:szCs w:val="24"/>
        </w:rPr>
        <w:t>cannot demonstrate the</w:t>
      </w:r>
      <w:r w:rsidRPr="00816D1F" w:rsidR="000527EC">
        <w:rPr>
          <w:szCs w:val="24"/>
        </w:rPr>
        <w:t xml:space="preserve"> Grid Mod I</w:t>
      </w:r>
      <w:r w:rsidRPr="00816D1F" w:rsidR="0001642C">
        <w:rPr>
          <w:szCs w:val="24"/>
        </w:rPr>
        <w:t xml:space="preserve"> benefits</w:t>
      </w:r>
      <w:r w:rsidRPr="00816D1F" w:rsidR="000527EC">
        <w:rPr>
          <w:szCs w:val="24"/>
        </w:rPr>
        <w:t xml:space="preserve"> it</w:t>
      </w:r>
      <w:r w:rsidRPr="00816D1F" w:rsidR="0001642C">
        <w:rPr>
          <w:szCs w:val="24"/>
        </w:rPr>
        <w:t xml:space="preserve"> promised consumers. The</w:t>
      </w:r>
      <w:r w:rsidRPr="00816D1F" w:rsidR="001236D2">
        <w:rPr>
          <w:szCs w:val="24"/>
        </w:rPr>
        <w:t xml:space="preserve"> PUCO’s Order </w:t>
      </w:r>
      <w:r w:rsidRPr="00816D1F" w:rsidR="0001642C">
        <w:rPr>
          <w:szCs w:val="24"/>
        </w:rPr>
        <w:t xml:space="preserve">allowing FirstEnergy </w:t>
      </w:r>
      <w:r w:rsidRPr="00816D1F" w:rsidR="001236D2">
        <w:rPr>
          <w:szCs w:val="24"/>
        </w:rPr>
        <w:t xml:space="preserve">to proceed with Grid Mod II </w:t>
      </w:r>
      <w:r w:rsidRPr="00816D1F" w:rsidR="000527EC">
        <w:rPr>
          <w:szCs w:val="24"/>
        </w:rPr>
        <w:t xml:space="preserve">was </w:t>
      </w:r>
      <w:r w:rsidRPr="00816D1F" w:rsidR="0058474B">
        <w:rPr>
          <w:szCs w:val="24"/>
        </w:rPr>
        <w:t>wrong</w:t>
      </w:r>
      <w:r w:rsidRPr="00816D1F" w:rsidR="000527EC">
        <w:rPr>
          <w:szCs w:val="24"/>
        </w:rPr>
        <w:t xml:space="preserve"> and it should be modified to protect consumers</w:t>
      </w:r>
      <w:r w:rsidRPr="00816D1F" w:rsidR="0058474B">
        <w:rPr>
          <w:szCs w:val="24"/>
        </w:rPr>
        <w:t>.</w:t>
      </w:r>
    </w:p>
    <w:p w:rsidR="0058474B" w:rsidRPr="00816D1F" w:rsidP="0085404A" w14:paraId="4EC97890" w14:textId="7F70107C">
      <w:pPr>
        <w:spacing w:line="480" w:lineRule="auto"/>
        <w:ind w:firstLine="720"/>
        <w:rPr>
          <w:szCs w:val="24"/>
        </w:rPr>
      </w:pPr>
      <w:r w:rsidRPr="00816D1F">
        <w:rPr>
          <w:szCs w:val="24"/>
        </w:rPr>
        <w:t xml:space="preserve">Pursuant to R.C. 4903.10, the Office of the Ohio Consumers’ Counsel (“OCC”) applies for rehearing of the PUCO’s </w:t>
      </w:r>
      <w:r w:rsidRPr="00816D1F" w:rsidR="00EC6E9C">
        <w:rPr>
          <w:szCs w:val="24"/>
        </w:rPr>
        <w:t>November 16</w:t>
      </w:r>
      <w:r w:rsidRPr="00816D1F">
        <w:rPr>
          <w:szCs w:val="24"/>
        </w:rPr>
        <w:t>, 2023 Order, which is unreasonable in the following respec</w:t>
      </w:r>
      <w:r w:rsidRPr="00816D1F" w:rsidR="00EC6E9C">
        <w:rPr>
          <w:szCs w:val="24"/>
        </w:rPr>
        <w:t>ts</w:t>
      </w:r>
      <w:r w:rsidRPr="00816D1F">
        <w:rPr>
          <w:szCs w:val="24"/>
        </w:rPr>
        <w:t>:</w:t>
      </w:r>
    </w:p>
    <w:p w:rsidR="003F7100" w:rsidRPr="00816D1F" w:rsidP="00716413" w14:paraId="68E27E4C" w14:textId="35A2C91C">
      <w:pPr>
        <w:ind w:left="720"/>
        <w:rPr>
          <w:szCs w:val="24"/>
        </w:rPr>
      </w:pPr>
      <w:r w:rsidRPr="00816D1F">
        <w:rPr>
          <w:b/>
          <w:bCs/>
          <w:szCs w:val="24"/>
        </w:rPr>
        <w:t>ASSIGNMENT OF ERROR NO. 1:</w:t>
      </w:r>
      <w:r w:rsidRPr="00816D1F">
        <w:rPr>
          <w:szCs w:val="24"/>
        </w:rPr>
        <w:t xml:space="preserve"> The PUCO erred by issuing an Order that allows FirstEnergy to continue with and charge consumers for Grid Mod II</w:t>
      </w:r>
      <w:r w:rsidRPr="00816D1F" w:rsidR="00716413">
        <w:rPr>
          <w:szCs w:val="24"/>
        </w:rPr>
        <w:t xml:space="preserve"> when FirstEnergy has failed to demonstrate the operational benefits to consumers of Grid Mod I. </w:t>
      </w:r>
    </w:p>
    <w:p w:rsidR="00716413" w:rsidRPr="00816D1F" w:rsidP="00716413" w14:paraId="5E38B235" w14:textId="77777777">
      <w:pPr>
        <w:ind w:left="720"/>
        <w:rPr>
          <w:szCs w:val="24"/>
        </w:rPr>
      </w:pPr>
    </w:p>
    <w:p w:rsidR="00716413" w:rsidRPr="00816D1F" w:rsidP="00716413" w14:paraId="2F23438F" w14:textId="65684651">
      <w:pPr>
        <w:ind w:left="720"/>
        <w:rPr>
          <w:szCs w:val="24"/>
        </w:rPr>
      </w:pPr>
      <w:r w:rsidRPr="00816D1F">
        <w:rPr>
          <w:b/>
          <w:bCs/>
          <w:szCs w:val="24"/>
        </w:rPr>
        <w:t>ASSIGNMENT OF ERROR NO. 2:</w:t>
      </w:r>
      <w:r w:rsidRPr="00816D1F">
        <w:rPr>
          <w:szCs w:val="24"/>
        </w:rPr>
        <w:t xml:space="preserve"> The PUCO erred by issuing an Order that allows FirstEnergy to continue with and charge consumers for Grid Mod II when FirstEnergy has failed to demonstrate that the investments for Grid Mod I are used and useful and were prudently incurred</w:t>
      </w:r>
      <w:r w:rsidRPr="00816D1F" w:rsidR="001B28C9">
        <w:rPr>
          <w:szCs w:val="24"/>
        </w:rPr>
        <w:t xml:space="preserve"> under Ohio ratemaking law, R.C. 4909.15.</w:t>
      </w:r>
    </w:p>
    <w:p w:rsidR="000A7EB7" w:rsidRPr="00816D1F" w:rsidP="00716413" w14:paraId="1EE23412" w14:textId="77777777">
      <w:pPr>
        <w:ind w:left="720"/>
        <w:rPr>
          <w:szCs w:val="24"/>
        </w:rPr>
      </w:pPr>
    </w:p>
    <w:p w:rsidR="000A7EB7" w:rsidRPr="00816D1F" w:rsidP="00716413" w14:paraId="4993B5E7" w14:textId="09851F53">
      <w:pPr>
        <w:ind w:left="720"/>
        <w:rPr>
          <w:szCs w:val="24"/>
        </w:rPr>
      </w:pPr>
      <w:r w:rsidRPr="00816D1F">
        <w:rPr>
          <w:b/>
          <w:bCs/>
          <w:szCs w:val="24"/>
        </w:rPr>
        <w:t>ASSIGNMENT OF ERROR NO. 3:</w:t>
      </w:r>
      <w:r w:rsidRPr="00816D1F">
        <w:rPr>
          <w:szCs w:val="24"/>
        </w:rPr>
        <w:t xml:space="preserve"> The PUCO erred by issuing an Order that allows FirstEnergy to apply fixed operational savings in years four through six of Grid Mod. The PUCO should grant rehearing to require FirstEnergy to identify the actual operational savings of Grid Mod I before implementing Grid Mod II.</w:t>
      </w:r>
    </w:p>
    <w:p w:rsidR="008B0B0B" w:rsidRPr="00816D1F" w:rsidP="00716413" w14:paraId="4CBB89BA" w14:textId="77777777">
      <w:pPr>
        <w:ind w:left="720"/>
        <w:rPr>
          <w:szCs w:val="24"/>
        </w:rPr>
      </w:pPr>
    </w:p>
    <w:p w:rsidR="008B0B0B" w:rsidRPr="00816D1F" w:rsidP="00716413" w14:paraId="039A8D5F" w14:textId="7A5BEBD7">
      <w:pPr>
        <w:ind w:left="720"/>
        <w:rPr>
          <w:szCs w:val="24"/>
        </w:rPr>
      </w:pPr>
      <w:r w:rsidRPr="00816D1F">
        <w:rPr>
          <w:b/>
          <w:bCs/>
          <w:szCs w:val="24"/>
        </w:rPr>
        <w:t>ASSIGNMENT OF ERROR NO. 4:</w:t>
      </w:r>
      <w:r w:rsidRPr="00816D1F">
        <w:rPr>
          <w:szCs w:val="24"/>
        </w:rPr>
        <w:t xml:space="preserve"> The PUCO erred by issuing an Order that allows FirstEnergy to continue with and charge consumers for Grid Mod II given</w:t>
      </w:r>
      <w:r w:rsidRPr="00816D1F" w:rsidR="00312CB7">
        <w:rPr>
          <w:szCs w:val="24"/>
        </w:rPr>
        <w:t xml:space="preserve"> the commonality of Grid Mod II with </w:t>
      </w:r>
      <w:r w:rsidRPr="00816D1F" w:rsidR="00515DF7">
        <w:rPr>
          <w:szCs w:val="24"/>
        </w:rPr>
        <w:t xml:space="preserve">the FirstEnergy </w:t>
      </w:r>
      <w:r w:rsidRPr="00816D1F" w:rsidR="00312CB7">
        <w:rPr>
          <w:szCs w:val="24"/>
        </w:rPr>
        <w:t>H.B. 6 investigation cases stayed by the PUCO</w:t>
      </w:r>
      <w:r w:rsidRPr="00816D1F">
        <w:rPr>
          <w:szCs w:val="24"/>
        </w:rPr>
        <w:t>.</w:t>
      </w:r>
      <w:r w:rsidRPr="00816D1F" w:rsidR="00312CB7">
        <w:rPr>
          <w:szCs w:val="24"/>
        </w:rPr>
        <w:t xml:space="preserve"> </w:t>
      </w:r>
      <w:r w:rsidRPr="00816D1F" w:rsidR="00971FDF">
        <w:rPr>
          <w:szCs w:val="24"/>
        </w:rPr>
        <w:t>The PUCO should grant rehearing and stay the continuation of Grid Mod II as well.</w:t>
      </w:r>
    </w:p>
    <w:p w:rsidR="00C9534C" w:rsidRPr="00816D1F" w:rsidP="00C9534C" w14:paraId="2CB424BA" w14:textId="77777777">
      <w:pPr>
        <w:ind w:firstLine="720"/>
        <w:rPr>
          <w:szCs w:val="24"/>
        </w:rPr>
      </w:pPr>
    </w:p>
    <w:p w:rsidR="00AB65FB" w:rsidRPr="00816D1F" w:rsidP="00651241" w14:paraId="275ADF9D" w14:textId="69E90D67">
      <w:pPr>
        <w:spacing w:line="480" w:lineRule="auto"/>
        <w:ind w:firstLine="720"/>
        <w:rPr>
          <w:szCs w:val="24"/>
        </w:rPr>
      </w:pPr>
      <w:r w:rsidRPr="00816D1F">
        <w:rPr>
          <w:szCs w:val="24"/>
        </w:rPr>
        <w:t>The reasons in support of this Application for Rehearing are set forth in the accompanying Memorandum in Support. The PUCO should grant rehearing and abrogate or modify its Order as proposed by OCC.</w:t>
      </w:r>
    </w:p>
    <w:p w:rsidR="001C217C" w:rsidRPr="00816D1F" w:rsidP="001C217C" w14:paraId="5A2CA7E6" w14:textId="0E8A89E4">
      <w:pPr>
        <w:pStyle w:val="Footer"/>
        <w:tabs>
          <w:tab w:val="clear" w:pos="4320"/>
          <w:tab w:val="clear" w:pos="8640"/>
        </w:tabs>
        <w:ind w:left="4320"/>
        <w:rPr>
          <w:sz w:val="24"/>
          <w:szCs w:val="24"/>
        </w:rPr>
      </w:pPr>
      <w:r w:rsidRPr="00816D1F">
        <w:rPr>
          <w:sz w:val="24"/>
          <w:szCs w:val="24"/>
        </w:rPr>
        <w:t>Respectfully submitted,</w:t>
      </w:r>
    </w:p>
    <w:p w:rsidR="001C217C" w:rsidRPr="00816D1F" w:rsidP="001C217C" w14:paraId="7E321A49" w14:textId="77777777">
      <w:pPr>
        <w:pStyle w:val="Footer"/>
        <w:tabs>
          <w:tab w:val="clear" w:pos="4320"/>
          <w:tab w:val="clear" w:pos="8640"/>
        </w:tabs>
        <w:ind w:left="4320"/>
        <w:rPr>
          <w:sz w:val="24"/>
          <w:szCs w:val="24"/>
        </w:rPr>
      </w:pPr>
    </w:p>
    <w:p w:rsidR="001C217C" w:rsidRPr="00816D1F" w:rsidP="00C85483" w14:paraId="63276CC3" w14:textId="7FC76F96">
      <w:pPr>
        <w:pStyle w:val="Footer"/>
        <w:tabs>
          <w:tab w:val="clear" w:pos="4320"/>
          <w:tab w:val="clear" w:pos="8640"/>
        </w:tabs>
        <w:ind w:left="3600" w:firstLine="720"/>
        <w:rPr>
          <w:sz w:val="24"/>
          <w:szCs w:val="24"/>
        </w:rPr>
      </w:pPr>
      <w:r w:rsidRPr="00816D1F">
        <w:rPr>
          <w:sz w:val="24"/>
          <w:szCs w:val="24"/>
        </w:rPr>
        <w:t xml:space="preserve">Maureen Willis </w:t>
      </w:r>
      <w:r w:rsidRPr="00816D1F" w:rsidR="007D0B7E">
        <w:rPr>
          <w:sz w:val="24"/>
          <w:szCs w:val="24"/>
        </w:rPr>
        <w:t>(0020847)</w:t>
      </w:r>
    </w:p>
    <w:p w:rsidR="001C217C" w:rsidRPr="00816D1F" w:rsidP="001C217C" w14:paraId="7A84539F" w14:textId="77777777">
      <w:pPr>
        <w:pStyle w:val="Footer"/>
        <w:tabs>
          <w:tab w:val="clear" w:pos="4320"/>
          <w:tab w:val="clear" w:pos="8640"/>
        </w:tabs>
        <w:ind w:left="4320"/>
        <w:rPr>
          <w:sz w:val="24"/>
          <w:szCs w:val="24"/>
        </w:rPr>
      </w:pPr>
      <w:r w:rsidRPr="00816D1F">
        <w:rPr>
          <w:sz w:val="24"/>
          <w:szCs w:val="24"/>
        </w:rPr>
        <w:t>Ohio Consumer’s Counsel</w:t>
      </w:r>
    </w:p>
    <w:p w:rsidR="001C217C" w:rsidRPr="00816D1F" w:rsidP="001C217C" w14:paraId="4188F259" w14:textId="77777777">
      <w:pPr>
        <w:pStyle w:val="Footer"/>
        <w:tabs>
          <w:tab w:val="left" w:pos="4320"/>
          <w:tab w:val="clear" w:pos="8640"/>
        </w:tabs>
        <w:ind w:left="3600"/>
        <w:rPr>
          <w:sz w:val="24"/>
          <w:szCs w:val="24"/>
        </w:rPr>
      </w:pPr>
    </w:p>
    <w:p w:rsidR="001C217C" w:rsidRPr="00816D1F" w:rsidP="001C217C" w14:paraId="3DC61646" w14:textId="361B7FCF">
      <w:pPr>
        <w:ind w:left="4320"/>
        <w:rPr>
          <w:szCs w:val="24"/>
          <w:u w:val="single"/>
        </w:rPr>
      </w:pPr>
      <w:r w:rsidRPr="00816D1F">
        <w:rPr>
          <w:i/>
          <w:szCs w:val="24"/>
          <w:u w:val="single"/>
        </w:rPr>
        <w:t>/s/ Angela D. O’Brien</w:t>
      </w:r>
    </w:p>
    <w:p w:rsidR="001C217C" w:rsidRPr="00816D1F" w:rsidP="001C217C" w14:paraId="4641D3FE" w14:textId="77777777">
      <w:pPr>
        <w:tabs>
          <w:tab w:val="left" w:pos="4320"/>
        </w:tabs>
        <w:ind w:left="4320"/>
        <w:rPr>
          <w:szCs w:val="24"/>
        </w:rPr>
      </w:pPr>
      <w:r w:rsidRPr="00816D1F">
        <w:rPr>
          <w:szCs w:val="24"/>
        </w:rPr>
        <w:t>Angela D. O’Brien (0097579)</w:t>
      </w:r>
    </w:p>
    <w:p w:rsidR="00E51F5A" w:rsidRPr="00816D1F" w:rsidP="001C217C" w14:paraId="1ECFC40E" w14:textId="5E37B692">
      <w:pPr>
        <w:tabs>
          <w:tab w:val="left" w:pos="4320"/>
        </w:tabs>
        <w:ind w:left="4320"/>
        <w:rPr>
          <w:szCs w:val="24"/>
        </w:rPr>
      </w:pPr>
      <w:r w:rsidRPr="00816D1F">
        <w:rPr>
          <w:szCs w:val="24"/>
        </w:rPr>
        <w:t>Counsel of Record</w:t>
      </w:r>
    </w:p>
    <w:p w:rsidR="001C217C" w:rsidRPr="00816D1F" w:rsidP="001C217C" w14:paraId="666E814D" w14:textId="4909D1B1">
      <w:pPr>
        <w:tabs>
          <w:tab w:val="left" w:pos="4320"/>
        </w:tabs>
        <w:ind w:left="4320"/>
        <w:rPr>
          <w:szCs w:val="24"/>
        </w:rPr>
      </w:pPr>
      <w:r w:rsidRPr="00816D1F">
        <w:rPr>
          <w:szCs w:val="24"/>
        </w:rPr>
        <w:t>Deputy Consumers’ Counsel</w:t>
      </w:r>
    </w:p>
    <w:p w:rsidR="001C217C" w:rsidRPr="00816D1F" w:rsidP="001C217C" w14:paraId="3863527F" w14:textId="77777777">
      <w:pPr>
        <w:tabs>
          <w:tab w:val="left" w:pos="4320"/>
        </w:tabs>
        <w:ind w:left="4320"/>
        <w:rPr>
          <w:szCs w:val="24"/>
        </w:rPr>
      </w:pPr>
    </w:p>
    <w:p w:rsidR="001C217C" w:rsidRPr="00816D1F" w:rsidP="001C217C" w14:paraId="55609EB6" w14:textId="77777777">
      <w:pPr>
        <w:ind w:firstLine="4320"/>
        <w:rPr>
          <w:b/>
          <w:bCs/>
          <w:szCs w:val="24"/>
        </w:rPr>
      </w:pPr>
      <w:r w:rsidRPr="00816D1F">
        <w:rPr>
          <w:b/>
          <w:bCs/>
          <w:szCs w:val="24"/>
        </w:rPr>
        <w:t>Office of the Ohio Consumers' Counsel</w:t>
      </w:r>
    </w:p>
    <w:p w:rsidR="001C217C" w:rsidRPr="00816D1F" w:rsidP="001C217C" w14:paraId="76B59E61" w14:textId="347F0AC5">
      <w:pPr>
        <w:ind w:firstLine="4320"/>
        <w:rPr>
          <w:b/>
          <w:szCs w:val="24"/>
        </w:rPr>
      </w:pPr>
      <w:r w:rsidRPr="00816D1F">
        <w:rPr>
          <w:szCs w:val="24"/>
        </w:rPr>
        <w:t xml:space="preserve">65 East State Street, </w:t>
      </w:r>
      <w:r w:rsidRPr="00816D1F" w:rsidR="00173DD3">
        <w:rPr>
          <w:szCs w:val="24"/>
        </w:rPr>
        <w:t>Suite 700</w:t>
      </w:r>
    </w:p>
    <w:p w:rsidR="001C217C" w:rsidRPr="00816D1F" w:rsidP="001C217C" w14:paraId="3089EF84" w14:textId="77777777">
      <w:pPr>
        <w:ind w:firstLine="4320"/>
        <w:rPr>
          <w:b/>
          <w:szCs w:val="24"/>
        </w:rPr>
      </w:pPr>
      <w:r w:rsidRPr="00816D1F">
        <w:rPr>
          <w:szCs w:val="24"/>
        </w:rPr>
        <w:t>Columbus, Ohio 43215</w:t>
      </w:r>
    </w:p>
    <w:p w:rsidR="001C217C" w:rsidRPr="00816D1F" w:rsidP="001C217C" w14:paraId="107D637E" w14:textId="77777777">
      <w:pPr>
        <w:ind w:firstLine="4320"/>
        <w:rPr>
          <w:szCs w:val="24"/>
        </w:rPr>
      </w:pPr>
      <w:r w:rsidRPr="00816D1F">
        <w:rPr>
          <w:szCs w:val="24"/>
        </w:rPr>
        <w:t>Telephone: [O’Brien] (614) 466-9531</w:t>
      </w:r>
    </w:p>
    <w:p w:rsidR="001C217C" w:rsidRPr="00816D1F" w:rsidP="001C217C" w14:paraId="05881853" w14:textId="77777777">
      <w:pPr>
        <w:ind w:left="4320"/>
        <w:rPr>
          <w:rStyle w:val="Hyperlink"/>
          <w:szCs w:val="24"/>
        </w:rPr>
      </w:pPr>
      <w:hyperlink r:id="rId6" w:history="1">
        <w:r w:rsidRPr="00816D1F" w:rsidR="00E90D6F">
          <w:rPr>
            <w:rStyle w:val="Hyperlink"/>
            <w:szCs w:val="24"/>
          </w:rPr>
          <w:t>angela.obrien@occ.ohio.gov</w:t>
        </w:r>
      </w:hyperlink>
    </w:p>
    <w:p w:rsidR="001C217C" w:rsidRPr="00816D1F" w:rsidP="00961CFD" w14:paraId="1DBC4195" w14:textId="47232893">
      <w:pPr>
        <w:ind w:left="4320"/>
        <w:rPr>
          <w:szCs w:val="24"/>
        </w:rPr>
      </w:pPr>
      <w:r w:rsidRPr="00816D1F">
        <w:rPr>
          <w:szCs w:val="24"/>
        </w:rPr>
        <w:t>(willing to accept service by e-mail)</w:t>
      </w:r>
    </w:p>
    <w:p w:rsidR="00714C1E" w:rsidRPr="00816D1F" w:rsidP="00714C1E" w14:paraId="26C3C988" w14:textId="77777777">
      <w:pPr>
        <w:rPr>
          <w:szCs w:val="24"/>
        </w:rPr>
      </w:pPr>
    </w:p>
    <w:p w:rsidR="00714C1E" w:rsidRPr="00816D1F" w14:paraId="40172FC3" w14:textId="77777777">
      <w:pPr>
        <w:rPr>
          <w:szCs w:val="24"/>
        </w:rPr>
      </w:pPr>
    </w:p>
    <w:p w:rsidR="00714C1E" w:rsidRPr="00816D1F" w14:paraId="54901F02" w14:textId="77777777">
      <w:pPr>
        <w:rPr>
          <w:szCs w:val="24"/>
        </w:rPr>
      </w:pPr>
    </w:p>
    <w:p w:rsidR="00714C1E" w:rsidRPr="00816D1F" w14:paraId="38028165" w14:textId="77777777">
      <w:pPr>
        <w:rPr>
          <w:szCs w:val="24"/>
        </w:rPr>
      </w:pPr>
      <w:r w:rsidRPr="00816D1F">
        <w:rPr>
          <w:szCs w:val="24"/>
        </w:rPr>
        <w:tab/>
      </w:r>
      <w:r w:rsidRPr="00816D1F">
        <w:rPr>
          <w:szCs w:val="24"/>
        </w:rPr>
        <w:tab/>
      </w:r>
      <w:r w:rsidRPr="00816D1F">
        <w:rPr>
          <w:szCs w:val="24"/>
        </w:rPr>
        <w:tab/>
      </w:r>
      <w:r w:rsidRPr="00816D1F">
        <w:rPr>
          <w:szCs w:val="24"/>
        </w:rPr>
        <w:tab/>
      </w:r>
      <w:r w:rsidRPr="00816D1F">
        <w:rPr>
          <w:szCs w:val="24"/>
        </w:rPr>
        <w:tab/>
      </w:r>
      <w:r w:rsidRPr="00816D1F">
        <w:rPr>
          <w:szCs w:val="24"/>
        </w:rPr>
        <w:tab/>
      </w:r>
    </w:p>
    <w:p w:rsidR="00C85483" w:rsidRPr="00816D1F" w14:paraId="61EE97C5" w14:textId="77777777">
      <w:pPr>
        <w:jc w:val="center"/>
        <w:rPr>
          <w:szCs w:val="24"/>
        </w:rPr>
        <w:sectPr w:rsidSect="00726953">
          <w:footerReference w:type="first" r:id="rId13"/>
          <w:pgSz w:w="12240" w:h="15840"/>
          <w:pgMar w:top="1440" w:right="1800" w:bottom="1440" w:left="1800" w:header="720" w:footer="720" w:gutter="0"/>
          <w:pgNumType w:start="1"/>
          <w:cols w:space="720"/>
          <w:titlePg/>
          <w:docGrid w:linePitch="65"/>
        </w:sectPr>
      </w:pPr>
    </w:p>
    <w:p w:rsidR="00AB65FB" w:rsidRPr="00816D1F" w:rsidP="00AB65FB" w14:paraId="2AD7B32F" w14:textId="77777777">
      <w:pPr>
        <w:widowControl w:val="0"/>
        <w:jc w:val="center"/>
        <w:rPr>
          <w:b/>
          <w:bCs/>
          <w:szCs w:val="24"/>
          <w:u w:val="single"/>
        </w:rPr>
      </w:pPr>
      <w:r w:rsidRPr="00816D1F">
        <w:rPr>
          <w:b/>
          <w:bCs/>
          <w:szCs w:val="24"/>
          <w:u w:val="single"/>
        </w:rPr>
        <w:t>TABLE OF CONTENTS</w:t>
      </w:r>
    </w:p>
    <w:p w:rsidR="00AB65FB" w:rsidRPr="00816D1F" w:rsidP="00AB65FB" w14:paraId="3001CA92" w14:textId="77777777">
      <w:pPr>
        <w:widowControl w:val="0"/>
        <w:ind w:left="720"/>
        <w:jc w:val="center"/>
        <w:rPr>
          <w:b/>
          <w:bCs/>
          <w:szCs w:val="24"/>
          <w:u w:val="single"/>
        </w:rPr>
      </w:pPr>
    </w:p>
    <w:p w:rsidR="00AB65FB" w:rsidRPr="00816D1F" w:rsidP="00AB65FB" w14:paraId="4FC51B3B" w14:textId="77777777">
      <w:pPr>
        <w:widowControl w:val="0"/>
        <w:ind w:left="720"/>
        <w:jc w:val="right"/>
        <w:rPr>
          <w:b/>
          <w:bCs/>
          <w:szCs w:val="24"/>
        </w:rPr>
      </w:pPr>
      <w:r w:rsidRPr="00816D1F">
        <w:rPr>
          <w:b/>
          <w:bCs/>
          <w:szCs w:val="24"/>
        </w:rPr>
        <w:t>PAGE</w:t>
      </w:r>
    </w:p>
    <w:p w:rsidR="00AB65FB" w:rsidRPr="00816D1F" w:rsidP="00AB65FB" w14:paraId="57B27841" w14:textId="77777777">
      <w:pPr>
        <w:widowControl w:val="0"/>
        <w:ind w:left="720"/>
        <w:jc w:val="right"/>
        <w:rPr>
          <w:b/>
          <w:bCs/>
          <w:szCs w:val="24"/>
        </w:rPr>
      </w:pPr>
    </w:p>
    <w:p w:rsidR="00CC494A" w14:paraId="17AE5F39" w14:textId="65B8C18B">
      <w:pPr>
        <w:pStyle w:val="TOC1"/>
        <w:rPr>
          <w:rFonts w:asciiTheme="minorHAnsi" w:eastAsiaTheme="minorEastAsia" w:hAnsiTheme="minorHAnsi"/>
          <w:noProof/>
          <w:kern w:val="2"/>
          <w:sz w:val="22"/>
          <w14:ligatures w14:val="standardContextual"/>
        </w:rPr>
      </w:pPr>
      <w:r w:rsidRPr="00816D1F">
        <w:rPr>
          <w:rFonts w:cs="Times New Roman"/>
          <w:szCs w:val="24"/>
        </w:rPr>
        <w:fldChar w:fldCharType="begin"/>
      </w:r>
      <w:r w:rsidRPr="00816D1F">
        <w:rPr>
          <w:rFonts w:cs="Times New Roman"/>
          <w:szCs w:val="24"/>
        </w:rPr>
        <w:instrText xml:space="preserve"> TOC \o "1-4" \h \z \u </w:instrText>
      </w:r>
      <w:r w:rsidRPr="00816D1F">
        <w:rPr>
          <w:rFonts w:cs="Times New Roman"/>
          <w:szCs w:val="24"/>
        </w:rPr>
        <w:fldChar w:fldCharType="separate"/>
      </w:r>
      <w:hyperlink w:anchor="_Toc153809963" w:history="1">
        <w:r w:rsidRPr="00BE51A8">
          <w:rPr>
            <w:rStyle w:val="Hyperlink"/>
            <w:noProof/>
          </w:rPr>
          <w:t>I.</w:t>
        </w:r>
        <w:r>
          <w:rPr>
            <w:rFonts w:asciiTheme="minorHAnsi" w:eastAsiaTheme="minorEastAsia" w:hAnsiTheme="minorHAnsi"/>
            <w:noProof/>
            <w:kern w:val="2"/>
            <w:sz w:val="22"/>
            <w14:ligatures w14:val="standardContextual"/>
          </w:rPr>
          <w:tab/>
        </w:r>
        <w:r w:rsidRPr="00BE51A8">
          <w:rPr>
            <w:rStyle w:val="Hyperlink"/>
            <w:noProof/>
          </w:rPr>
          <w:t>INTRODUCTION</w:t>
        </w:r>
        <w:r>
          <w:rPr>
            <w:noProof/>
            <w:webHidden/>
          </w:rPr>
          <w:tab/>
        </w:r>
        <w:r>
          <w:rPr>
            <w:noProof/>
            <w:webHidden/>
          </w:rPr>
          <w:fldChar w:fldCharType="begin"/>
        </w:r>
        <w:r>
          <w:rPr>
            <w:noProof/>
            <w:webHidden/>
          </w:rPr>
          <w:instrText xml:space="preserve"> PAGEREF _Toc153809963 \h </w:instrText>
        </w:r>
        <w:r>
          <w:rPr>
            <w:noProof/>
            <w:webHidden/>
          </w:rPr>
          <w:fldChar w:fldCharType="separate"/>
        </w:r>
        <w:r>
          <w:rPr>
            <w:noProof/>
            <w:webHidden/>
          </w:rPr>
          <w:t>1</w:t>
        </w:r>
        <w:r>
          <w:rPr>
            <w:noProof/>
            <w:webHidden/>
          </w:rPr>
          <w:fldChar w:fldCharType="end"/>
        </w:r>
      </w:hyperlink>
    </w:p>
    <w:p w:rsidR="00CC494A" w14:paraId="1787C681" w14:textId="34BAD0D0">
      <w:pPr>
        <w:pStyle w:val="TOC1"/>
        <w:rPr>
          <w:rFonts w:asciiTheme="minorHAnsi" w:eastAsiaTheme="minorEastAsia" w:hAnsiTheme="minorHAnsi"/>
          <w:noProof/>
          <w:kern w:val="2"/>
          <w:sz w:val="22"/>
          <w14:ligatures w14:val="standardContextual"/>
        </w:rPr>
      </w:pPr>
      <w:hyperlink w:anchor="_Toc153809964" w:history="1">
        <w:r w:rsidRPr="00BE51A8">
          <w:rPr>
            <w:rStyle w:val="Hyperlink"/>
            <w:noProof/>
          </w:rPr>
          <w:t>II.</w:t>
        </w:r>
        <w:r>
          <w:rPr>
            <w:rFonts w:asciiTheme="minorHAnsi" w:eastAsiaTheme="minorEastAsia" w:hAnsiTheme="minorHAnsi"/>
            <w:noProof/>
            <w:kern w:val="2"/>
            <w:sz w:val="22"/>
            <w14:ligatures w14:val="standardContextual"/>
          </w:rPr>
          <w:tab/>
        </w:r>
        <w:r w:rsidRPr="00BE51A8">
          <w:rPr>
            <w:rStyle w:val="Hyperlink"/>
            <w:noProof/>
          </w:rPr>
          <w:t>ASSIGNMENTS OF ERROR</w:t>
        </w:r>
        <w:r>
          <w:rPr>
            <w:noProof/>
            <w:webHidden/>
          </w:rPr>
          <w:tab/>
        </w:r>
        <w:r>
          <w:rPr>
            <w:noProof/>
            <w:webHidden/>
          </w:rPr>
          <w:fldChar w:fldCharType="begin"/>
        </w:r>
        <w:r>
          <w:rPr>
            <w:noProof/>
            <w:webHidden/>
          </w:rPr>
          <w:instrText xml:space="preserve"> PAGEREF _Toc153809964 \h </w:instrText>
        </w:r>
        <w:r>
          <w:rPr>
            <w:noProof/>
            <w:webHidden/>
          </w:rPr>
          <w:fldChar w:fldCharType="separate"/>
        </w:r>
        <w:r>
          <w:rPr>
            <w:noProof/>
            <w:webHidden/>
          </w:rPr>
          <w:t>3</w:t>
        </w:r>
        <w:r>
          <w:rPr>
            <w:noProof/>
            <w:webHidden/>
          </w:rPr>
          <w:fldChar w:fldCharType="end"/>
        </w:r>
      </w:hyperlink>
    </w:p>
    <w:p w:rsidR="00CC494A" w14:paraId="4ED71090" w14:textId="23CF5C4A">
      <w:pPr>
        <w:pStyle w:val="TOC2"/>
        <w:rPr>
          <w:rFonts w:asciiTheme="minorHAnsi" w:eastAsiaTheme="minorEastAsia" w:hAnsiTheme="minorHAnsi"/>
          <w:noProof/>
          <w:kern w:val="2"/>
          <w:sz w:val="22"/>
          <w14:ligatures w14:val="standardContextual"/>
        </w:rPr>
      </w:pPr>
      <w:hyperlink w:anchor="_Toc153809965" w:history="1">
        <w:r w:rsidRPr="00BE51A8">
          <w:rPr>
            <w:rStyle w:val="Hyperlink"/>
            <w:noProof/>
          </w:rPr>
          <w:t xml:space="preserve">ASSIGNMENT OF ERROR NO. 1: The PUCO erred by issuing an </w:t>
        </w:r>
        <w:r>
          <w:rPr>
            <w:rStyle w:val="Hyperlink"/>
            <w:noProof/>
          </w:rPr>
          <w:br/>
        </w:r>
        <w:r w:rsidRPr="00BE51A8">
          <w:rPr>
            <w:rStyle w:val="Hyperlink"/>
            <w:noProof/>
          </w:rPr>
          <w:t xml:space="preserve">Order that allows FirstEnergy to continue with and charge consumers </w:t>
        </w:r>
        <w:r>
          <w:rPr>
            <w:rStyle w:val="Hyperlink"/>
            <w:noProof/>
          </w:rPr>
          <w:br/>
        </w:r>
        <w:r w:rsidRPr="00BE51A8">
          <w:rPr>
            <w:rStyle w:val="Hyperlink"/>
            <w:noProof/>
          </w:rPr>
          <w:t>for Grid Mod II when FirstEnergy has failed to demonstrate the operational benefits to consumers of Grid Mod I.</w:t>
        </w:r>
        <w:r>
          <w:rPr>
            <w:noProof/>
            <w:webHidden/>
          </w:rPr>
          <w:tab/>
        </w:r>
        <w:r>
          <w:rPr>
            <w:noProof/>
            <w:webHidden/>
          </w:rPr>
          <w:fldChar w:fldCharType="begin"/>
        </w:r>
        <w:r>
          <w:rPr>
            <w:noProof/>
            <w:webHidden/>
          </w:rPr>
          <w:instrText xml:space="preserve"> PAGEREF _Toc153809965 \h </w:instrText>
        </w:r>
        <w:r>
          <w:rPr>
            <w:noProof/>
            <w:webHidden/>
          </w:rPr>
          <w:fldChar w:fldCharType="separate"/>
        </w:r>
        <w:r>
          <w:rPr>
            <w:noProof/>
            <w:webHidden/>
          </w:rPr>
          <w:t>3</w:t>
        </w:r>
        <w:r>
          <w:rPr>
            <w:noProof/>
            <w:webHidden/>
          </w:rPr>
          <w:fldChar w:fldCharType="end"/>
        </w:r>
      </w:hyperlink>
    </w:p>
    <w:p w:rsidR="00CC494A" w14:paraId="2BA34C04" w14:textId="48E4B10B">
      <w:pPr>
        <w:pStyle w:val="TOC2"/>
        <w:rPr>
          <w:rFonts w:asciiTheme="minorHAnsi" w:eastAsiaTheme="minorEastAsia" w:hAnsiTheme="minorHAnsi"/>
          <w:noProof/>
          <w:kern w:val="2"/>
          <w:sz w:val="22"/>
          <w14:ligatures w14:val="standardContextual"/>
        </w:rPr>
      </w:pPr>
      <w:hyperlink w:anchor="_Toc153809966" w:history="1">
        <w:r w:rsidRPr="00BE51A8">
          <w:rPr>
            <w:rStyle w:val="Hyperlink"/>
            <w:noProof/>
          </w:rPr>
          <w:t xml:space="preserve">ASSIGNMENT OF ERROR NO. 2: The PUCO erred by issuing an </w:t>
        </w:r>
        <w:r>
          <w:rPr>
            <w:rStyle w:val="Hyperlink"/>
            <w:noProof/>
          </w:rPr>
          <w:br/>
        </w:r>
        <w:r w:rsidRPr="00BE51A8">
          <w:rPr>
            <w:rStyle w:val="Hyperlink"/>
            <w:noProof/>
          </w:rPr>
          <w:t xml:space="preserve">Order that allows FirstEnergy to continue with and charge consumers </w:t>
        </w:r>
        <w:r>
          <w:rPr>
            <w:rStyle w:val="Hyperlink"/>
            <w:noProof/>
          </w:rPr>
          <w:br/>
        </w:r>
        <w:r w:rsidRPr="00BE51A8">
          <w:rPr>
            <w:rStyle w:val="Hyperlink"/>
            <w:noProof/>
          </w:rPr>
          <w:t xml:space="preserve">for Grid Mod II when FirstEnergy has failed to demonstrate that the </w:t>
        </w:r>
        <w:r>
          <w:rPr>
            <w:rStyle w:val="Hyperlink"/>
            <w:noProof/>
          </w:rPr>
          <w:br/>
        </w:r>
        <w:r w:rsidRPr="00BE51A8">
          <w:rPr>
            <w:rStyle w:val="Hyperlink"/>
            <w:noProof/>
          </w:rPr>
          <w:t xml:space="preserve">investments for Grid Mod I are used and useful and were prudently </w:t>
        </w:r>
        <w:r>
          <w:rPr>
            <w:rStyle w:val="Hyperlink"/>
            <w:noProof/>
          </w:rPr>
          <w:br/>
        </w:r>
        <w:r w:rsidRPr="00BE51A8">
          <w:rPr>
            <w:rStyle w:val="Hyperlink"/>
            <w:noProof/>
          </w:rPr>
          <w:t>incurred under Ohio ratemaking law, R.C. 4909.15.</w:t>
        </w:r>
        <w:r>
          <w:rPr>
            <w:noProof/>
            <w:webHidden/>
          </w:rPr>
          <w:tab/>
        </w:r>
        <w:r>
          <w:rPr>
            <w:noProof/>
            <w:webHidden/>
          </w:rPr>
          <w:fldChar w:fldCharType="begin"/>
        </w:r>
        <w:r>
          <w:rPr>
            <w:noProof/>
            <w:webHidden/>
          </w:rPr>
          <w:instrText xml:space="preserve"> PAGEREF _Toc153809966 \h </w:instrText>
        </w:r>
        <w:r>
          <w:rPr>
            <w:noProof/>
            <w:webHidden/>
          </w:rPr>
          <w:fldChar w:fldCharType="separate"/>
        </w:r>
        <w:r>
          <w:rPr>
            <w:noProof/>
            <w:webHidden/>
          </w:rPr>
          <w:t>6</w:t>
        </w:r>
        <w:r>
          <w:rPr>
            <w:noProof/>
            <w:webHidden/>
          </w:rPr>
          <w:fldChar w:fldCharType="end"/>
        </w:r>
      </w:hyperlink>
    </w:p>
    <w:p w:rsidR="00CC494A" w14:paraId="32A7F7EA" w14:textId="62F5BE65">
      <w:pPr>
        <w:pStyle w:val="TOC2"/>
        <w:rPr>
          <w:rFonts w:asciiTheme="minorHAnsi" w:eastAsiaTheme="minorEastAsia" w:hAnsiTheme="minorHAnsi"/>
          <w:noProof/>
          <w:kern w:val="2"/>
          <w:sz w:val="22"/>
          <w14:ligatures w14:val="standardContextual"/>
        </w:rPr>
      </w:pPr>
      <w:hyperlink w:anchor="_Toc153809967" w:history="1">
        <w:r w:rsidRPr="00BE51A8">
          <w:rPr>
            <w:rStyle w:val="Hyperlink"/>
            <w:noProof/>
          </w:rPr>
          <w:t xml:space="preserve">ASSIGNMENT OF ERROR NO. 3: The PUCO erred by issuing an </w:t>
        </w:r>
        <w:r>
          <w:rPr>
            <w:rStyle w:val="Hyperlink"/>
            <w:noProof/>
          </w:rPr>
          <w:br/>
        </w:r>
        <w:r w:rsidRPr="00BE51A8">
          <w:rPr>
            <w:rStyle w:val="Hyperlink"/>
            <w:noProof/>
          </w:rPr>
          <w:t xml:space="preserve">Order that allows FirstEnergy to apply fixed operational savings in </w:t>
        </w:r>
        <w:r>
          <w:rPr>
            <w:rStyle w:val="Hyperlink"/>
            <w:noProof/>
          </w:rPr>
          <w:br/>
        </w:r>
        <w:r w:rsidRPr="00BE51A8">
          <w:rPr>
            <w:rStyle w:val="Hyperlink"/>
            <w:noProof/>
          </w:rPr>
          <w:t xml:space="preserve">years four through six of Grid Mod. The PUCO should grant rehearing </w:t>
        </w:r>
        <w:r>
          <w:rPr>
            <w:rStyle w:val="Hyperlink"/>
            <w:noProof/>
          </w:rPr>
          <w:br/>
        </w:r>
        <w:r w:rsidRPr="00BE51A8">
          <w:rPr>
            <w:rStyle w:val="Hyperlink"/>
            <w:noProof/>
          </w:rPr>
          <w:t xml:space="preserve">to require FirstEnergy to identify the actual operational savings of Grid </w:t>
        </w:r>
        <w:r>
          <w:rPr>
            <w:rStyle w:val="Hyperlink"/>
            <w:noProof/>
          </w:rPr>
          <w:br/>
        </w:r>
        <w:r w:rsidRPr="00BE51A8">
          <w:rPr>
            <w:rStyle w:val="Hyperlink"/>
            <w:noProof/>
          </w:rPr>
          <w:t>Mod I before implementing Grid Mod II.</w:t>
        </w:r>
        <w:r>
          <w:rPr>
            <w:noProof/>
            <w:webHidden/>
          </w:rPr>
          <w:tab/>
        </w:r>
        <w:r>
          <w:rPr>
            <w:noProof/>
            <w:webHidden/>
          </w:rPr>
          <w:fldChar w:fldCharType="begin"/>
        </w:r>
        <w:r>
          <w:rPr>
            <w:noProof/>
            <w:webHidden/>
          </w:rPr>
          <w:instrText xml:space="preserve"> PAGEREF _Toc153809967 \h </w:instrText>
        </w:r>
        <w:r>
          <w:rPr>
            <w:noProof/>
            <w:webHidden/>
          </w:rPr>
          <w:fldChar w:fldCharType="separate"/>
        </w:r>
        <w:r>
          <w:rPr>
            <w:noProof/>
            <w:webHidden/>
          </w:rPr>
          <w:t>8</w:t>
        </w:r>
        <w:r>
          <w:rPr>
            <w:noProof/>
            <w:webHidden/>
          </w:rPr>
          <w:fldChar w:fldCharType="end"/>
        </w:r>
      </w:hyperlink>
    </w:p>
    <w:p w:rsidR="00CC494A" w14:paraId="70DEAA44" w14:textId="7D3AFF5A">
      <w:pPr>
        <w:pStyle w:val="TOC2"/>
        <w:rPr>
          <w:rFonts w:asciiTheme="minorHAnsi" w:eastAsiaTheme="minorEastAsia" w:hAnsiTheme="minorHAnsi"/>
          <w:noProof/>
          <w:kern w:val="2"/>
          <w:sz w:val="22"/>
          <w14:ligatures w14:val="standardContextual"/>
        </w:rPr>
      </w:pPr>
      <w:hyperlink w:anchor="_Toc153809968" w:history="1">
        <w:r w:rsidRPr="00BE51A8">
          <w:rPr>
            <w:rStyle w:val="Hyperlink"/>
            <w:noProof/>
          </w:rPr>
          <w:t xml:space="preserve">ASSIGNMENT OF ERROR NO. 4: The PUCO erred by issuing an </w:t>
        </w:r>
        <w:r>
          <w:rPr>
            <w:rStyle w:val="Hyperlink"/>
            <w:noProof/>
          </w:rPr>
          <w:br/>
        </w:r>
        <w:r w:rsidRPr="00BE51A8">
          <w:rPr>
            <w:rStyle w:val="Hyperlink"/>
            <w:noProof/>
          </w:rPr>
          <w:t xml:space="preserve">Order that allows FirstEnergy to continue with and charge consumers </w:t>
        </w:r>
        <w:r>
          <w:rPr>
            <w:rStyle w:val="Hyperlink"/>
            <w:noProof/>
          </w:rPr>
          <w:br/>
        </w:r>
        <w:r w:rsidRPr="00BE51A8">
          <w:rPr>
            <w:rStyle w:val="Hyperlink"/>
            <w:noProof/>
          </w:rPr>
          <w:t xml:space="preserve">for Grid Mod II given the commonality of Grid Mod II with the </w:t>
        </w:r>
        <w:r>
          <w:rPr>
            <w:rStyle w:val="Hyperlink"/>
            <w:noProof/>
          </w:rPr>
          <w:br/>
        </w:r>
        <w:r w:rsidRPr="00BE51A8">
          <w:rPr>
            <w:rStyle w:val="Hyperlink"/>
            <w:noProof/>
          </w:rPr>
          <w:t xml:space="preserve">FirstEnergy H.B. 6 investigation cases stayed by the PUCO. The </w:t>
        </w:r>
        <w:r>
          <w:rPr>
            <w:rStyle w:val="Hyperlink"/>
            <w:noProof/>
          </w:rPr>
          <w:br/>
        </w:r>
        <w:r w:rsidRPr="00BE51A8">
          <w:rPr>
            <w:rStyle w:val="Hyperlink"/>
            <w:noProof/>
          </w:rPr>
          <w:t xml:space="preserve">PUCO should grant rehearing and stay the continuation of Grid Mod </w:t>
        </w:r>
        <w:r>
          <w:rPr>
            <w:rStyle w:val="Hyperlink"/>
            <w:noProof/>
          </w:rPr>
          <w:br/>
        </w:r>
        <w:r w:rsidRPr="00BE51A8">
          <w:rPr>
            <w:rStyle w:val="Hyperlink"/>
            <w:noProof/>
          </w:rPr>
          <w:t>II as well.</w:t>
        </w:r>
        <w:r>
          <w:rPr>
            <w:noProof/>
            <w:webHidden/>
          </w:rPr>
          <w:tab/>
        </w:r>
        <w:r>
          <w:rPr>
            <w:noProof/>
            <w:webHidden/>
          </w:rPr>
          <w:fldChar w:fldCharType="begin"/>
        </w:r>
        <w:r>
          <w:rPr>
            <w:noProof/>
            <w:webHidden/>
          </w:rPr>
          <w:instrText xml:space="preserve"> PAGEREF _Toc153809968 \h </w:instrText>
        </w:r>
        <w:r>
          <w:rPr>
            <w:noProof/>
            <w:webHidden/>
          </w:rPr>
          <w:fldChar w:fldCharType="separate"/>
        </w:r>
        <w:r>
          <w:rPr>
            <w:noProof/>
            <w:webHidden/>
          </w:rPr>
          <w:t>9</w:t>
        </w:r>
        <w:r>
          <w:rPr>
            <w:noProof/>
            <w:webHidden/>
          </w:rPr>
          <w:fldChar w:fldCharType="end"/>
        </w:r>
      </w:hyperlink>
    </w:p>
    <w:p w:rsidR="00CC494A" w14:paraId="2936DFE0" w14:textId="3922A122">
      <w:pPr>
        <w:pStyle w:val="TOC1"/>
        <w:rPr>
          <w:rFonts w:asciiTheme="minorHAnsi" w:eastAsiaTheme="minorEastAsia" w:hAnsiTheme="minorHAnsi"/>
          <w:noProof/>
          <w:kern w:val="2"/>
          <w:sz w:val="22"/>
          <w14:ligatures w14:val="standardContextual"/>
        </w:rPr>
      </w:pPr>
      <w:hyperlink w:anchor="_Toc153809969" w:history="1">
        <w:r w:rsidRPr="00BE51A8">
          <w:rPr>
            <w:rStyle w:val="Hyperlink"/>
            <w:noProof/>
          </w:rPr>
          <w:t>III.</w:t>
        </w:r>
        <w:r>
          <w:rPr>
            <w:rFonts w:asciiTheme="minorHAnsi" w:eastAsiaTheme="minorEastAsia" w:hAnsiTheme="minorHAnsi"/>
            <w:noProof/>
            <w:kern w:val="2"/>
            <w:sz w:val="22"/>
            <w14:ligatures w14:val="standardContextual"/>
          </w:rPr>
          <w:tab/>
        </w:r>
        <w:r w:rsidRPr="00BE51A8">
          <w:rPr>
            <w:rStyle w:val="Hyperlink"/>
            <w:noProof/>
          </w:rPr>
          <w:t>CONCLUSION</w:t>
        </w:r>
        <w:r>
          <w:rPr>
            <w:noProof/>
            <w:webHidden/>
          </w:rPr>
          <w:tab/>
        </w:r>
        <w:r>
          <w:rPr>
            <w:noProof/>
            <w:webHidden/>
          </w:rPr>
          <w:fldChar w:fldCharType="begin"/>
        </w:r>
        <w:r>
          <w:rPr>
            <w:noProof/>
            <w:webHidden/>
          </w:rPr>
          <w:instrText xml:space="preserve"> PAGEREF _Toc153809969 \h </w:instrText>
        </w:r>
        <w:r>
          <w:rPr>
            <w:noProof/>
            <w:webHidden/>
          </w:rPr>
          <w:fldChar w:fldCharType="separate"/>
        </w:r>
        <w:r>
          <w:rPr>
            <w:noProof/>
            <w:webHidden/>
          </w:rPr>
          <w:t>13</w:t>
        </w:r>
        <w:r>
          <w:rPr>
            <w:noProof/>
            <w:webHidden/>
          </w:rPr>
          <w:fldChar w:fldCharType="end"/>
        </w:r>
      </w:hyperlink>
    </w:p>
    <w:p w:rsidR="00AB65FB" w:rsidRPr="00816D1F" w:rsidP="00AB65FB" w14:paraId="21ACE76C" w14:textId="393760E1">
      <w:pPr>
        <w:pStyle w:val="HTMLPreformatted"/>
        <w:jc w:val="center"/>
        <w:rPr>
          <w:rFonts w:ascii="Times New Roman" w:hAnsi="Times New Roman" w:cs="Times New Roman"/>
          <w:b/>
          <w:bCs/>
          <w:sz w:val="24"/>
          <w:szCs w:val="24"/>
        </w:rPr>
        <w:sectPr w:rsidSect="00057887">
          <w:footerReference w:type="first" r:id="rId14"/>
          <w:pgSz w:w="12240" w:h="15840"/>
          <w:pgMar w:top="1440" w:right="1800" w:bottom="1440" w:left="1800" w:header="720" w:footer="720" w:gutter="0"/>
          <w:pgNumType w:fmt="lowerRoman" w:start="1"/>
          <w:cols w:space="720"/>
          <w:titlePg/>
          <w:docGrid w:linePitch="65"/>
        </w:sectPr>
      </w:pPr>
      <w:r w:rsidRPr="00816D1F">
        <w:rPr>
          <w:rFonts w:ascii="Times New Roman" w:hAnsi="Times New Roman" w:eastAsiaTheme="minorHAnsi" w:cs="Times New Roman"/>
          <w:sz w:val="24"/>
          <w:szCs w:val="24"/>
        </w:rPr>
        <w:fldChar w:fldCharType="end"/>
      </w:r>
    </w:p>
    <w:p w:rsidR="00C85483" w:rsidRPr="00816D1F" w:rsidP="00C85483" w14:paraId="58B2AA86" w14:textId="77777777">
      <w:pPr>
        <w:pStyle w:val="HTMLPreformatted"/>
        <w:jc w:val="center"/>
        <w:rPr>
          <w:rFonts w:ascii="Times New Roman" w:hAnsi="Times New Roman" w:cs="Times New Roman"/>
          <w:b/>
          <w:bCs/>
          <w:sz w:val="24"/>
          <w:szCs w:val="24"/>
        </w:rPr>
      </w:pPr>
      <w:r w:rsidRPr="00816D1F">
        <w:rPr>
          <w:rFonts w:ascii="Times New Roman" w:hAnsi="Times New Roman" w:cs="Times New Roman"/>
          <w:b/>
          <w:bCs/>
          <w:sz w:val="24"/>
          <w:szCs w:val="24"/>
        </w:rPr>
        <w:t>BEFORE</w:t>
      </w:r>
    </w:p>
    <w:p w:rsidR="00C85483" w:rsidRPr="00816D1F" w:rsidP="00C85483" w14:paraId="5944C5DF" w14:textId="77777777">
      <w:pPr>
        <w:pStyle w:val="HTMLPreformatted"/>
        <w:jc w:val="center"/>
        <w:rPr>
          <w:rFonts w:ascii="Times New Roman" w:hAnsi="Times New Roman" w:cs="Times New Roman"/>
          <w:sz w:val="24"/>
          <w:szCs w:val="24"/>
        </w:rPr>
      </w:pPr>
      <w:r w:rsidRPr="00816D1F">
        <w:rPr>
          <w:rFonts w:ascii="Times New Roman" w:hAnsi="Times New Roman" w:cs="Times New Roman"/>
          <w:b/>
          <w:bCs/>
          <w:sz w:val="24"/>
          <w:szCs w:val="24"/>
        </w:rPr>
        <w:t>THE PUBLIC UTILITIES COMMISSION OF OHIO</w:t>
      </w:r>
    </w:p>
    <w:tbl>
      <w:tblPr>
        <w:tblW w:w="9092" w:type="dxa"/>
        <w:tblInd w:w="0" w:type="dxa"/>
        <w:tblCellMar>
          <w:top w:w="0" w:type="dxa"/>
          <w:left w:w="108" w:type="dxa"/>
          <w:bottom w:w="0" w:type="dxa"/>
          <w:right w:w="108" w:type="dxa"/>
        </w:tblCellMar>
        <w:tblLook w:val="01E0"/>
      </w:tblPr>
      <w:tblGrid>
        <w:gridCol w:w="4332"/>
        <w:gridCol w:w="360"/>
        <w:gridCol w:w="4400"/>
      </w:tblGrid>
      <w:tr w14:paraId="45418E9A" w14:textId="77777777" w:rsidTr="007C4B99">
        <w:tblPrEx>
          <w:tblW w:w="9092" w:type="dxa"/>
          <w:tblInd w:w="0" w:type="dxa"/>
          <w:tblCellMar>
            <w:top w:w="0" w:type="dxa"/>
            <w:left w:w="108" w:type="dxa"/>
            <w:bottom w:w="0" w:type="dxa"/>
            <w:right w:w="108" w:type="dxa"/>
          </w:tblCellMar>
          <w:tblLook w:val="01E0"/>
        </w:tblPrEx>
        <w:trPr>
          <w:trHeight w:val="342"/>
        </w:trPr>
        <w:tc>
          <w:tcPr>
            <w:tcW w:w="4332" w:type="dxa"/>
            <w:shd w:val="clear" w:color="auto" w:fill="auto"/>
          </w:tcPr>
          <w:p w:rsidR="00C85483" w:rsidRPr="00816D1F" w:rsidP="007C4B99" w14:paraId="3E67EB21" w14:textId="77777777">
            <w:pPr>
              <w:autoSpaceDE w:val="0"/>
              <w:autoSpaceDN w:val="0"/>
              <w:adjustRightInd w:val="0"/>
              <w:rPr>
                <w:sz w:val="24"/>
                <w:szCs w:val="24"/>
                <w:lang w:val="en-US" w:eastAsia="en-US" w:bidi="ar-SA"/>
              </w:rPr>
            </w:pPr>
          </w:p>
          <w:p w:rsidR="00C85483" w:rsidRPr="00816D1F" w:rsidP="007C4B99" w14:paraId="33B43924" w14:textId="77777777">
            <w:pPr>
              <w:autoSpaceDE w:val="0"/>
              <w:autoSpaceDN w:val="0"/>
              <w:adjustRightInd w:val="0"/>
              <w:rPr>
                <w:sz w:val="24"/>
                <w:szCs w:val="24"/>
                <w:lang w:val="en-US" w:eastAsia="en-US" w:bidi="ar-SA"/>
              </w:rPr>
            </w:pPr>
            <w:r w:rsidRPr="00816D1F">
              <w:rPr>
                <w:sz w:val="24"/>
                <w:szCs w:val="24"/>
                <w:lang w:val="en-US" w:eastAsia="en-US" w:bidi="ar-SA"/>
              </w:rPr>
              <w:t>In the Matter of the Application of Ohio Edison Company, The Cleveland Electric Illuminating Company, and The Toledo Edison Company of a Grid Modernization Business Plan.</w:t>
            </w:r>
          </w:p>
          <w:p w:rsidR="00C85483" w:rsidRPr="00816D1F" w:rsidP="007C4B99" w14:paraId="2400DFFD" w14:textId="77777777">
            <w:pPr>
              <w:autoSpaceDE w:val="0"/>
              <w:autoSpaceDN w:val="0"/>
              <w:adjustRightInd w:val="0"/>
              <w:rPr>
                <w:sz w:val="24"/>
                <w:szCs w:val="24"/>
                <w:lang w:val="en-US" w:eastAsia="en-US" w:bidi="ar-SA"/>
              </w:rPr>
            </w:pPr>
          </w:p>
          <w:p w:rsidR="00C85483" w:rsidRPr="00816D1F" w:rsidP="007C4B99" w14:paraId="509DB271" w14:textId="77777777">
            <w:pPr>
              <w:autoSpaceDE w:val="0"/>
              <w:autoSpaceDN w:val="0"/>
              <w:adjustRightInd w:val="0"/>
              <w:rPr>
                <w:sz w:val="24"/>
                <w:szCs w:val="24"/>
                <w:lang w:val="en-US" w:eastAsia="en-US" w:bidi="ar-SA"/>
              </w:rPr>
            </w:pPr>
            <w:r w:rsidRPr="00816D1F">
              <w:rPr>
                <w:sz w:val="24"/>
                <w:szCs w:val="24"/>
                <w:lang w:val="en-US" w:eastAsia="en-US" w:bidi="ar-SA"/>
              </w:rPr>
              <w:t>In the Matter of the Filing by Ohio Edison Company, The Cleveland Electric Illuminating Company, and The Toledo Edison Company Application for Approval of a Distribution Platform Modernization Plan.</w:t>
            </w:r>
          </w:p>
          <w:p w:rsidR="00C85483" w:rsidRPr="00816D1F" w:rsidP="007C4B99" w14:paraId="4CD38878" w14:textId="77777777">
            <w:pPr>
              <w:autoSpaceDE w:val="0"/>
              <w:autoSpaceDN w:val="0"/>
              <w:adjustRightInd w:val="0"/>
              <w:rPr>
                <w:sz w:val="24"/>
                <w:szCs w:val="24"/>
                <w:lang w:val="en-US" w:eastAsia="en-US" w:bidi="ar-SA"/>
              </w:rPr>
            </w:pPr>
          </w:p>
          <w:p w:rsidR="00C85483" w:rsidRPr="00816D1F" w:rsidP="007C4B99" w14:paraId="6A274140" w14:textId="77777777">
            <w:pPr>
              <w:autoSpaceDE w:val="0"/>
              <w:autoSpaceDN w:val="0"/>
              <w:adjustRightInd w:val="0"/>
              <w:rPr>
                <w:sz w:val="24"/>
                <w:szCs w:val="24"/>
                <w:lang w:val="en-US" w:eastAsia="en-US" w:bidi="ar-SA"/>
              </w:rPr>
            </w:pPr>
            <w:r w:rsidRPr="00816D1F">
              <w:rPr>
                <w:sz w:val="24"/>
                <w:szCs w:val="24"/>
                <w:lang w:val="en-US" w:eastAsia="en-US" w:bidi="ar-SA"/>
              </w:rPr>
              <w:t>In the Matter of the Application of Ohio Edison Company, The Cleveland Electric Illuminating Company, and The Toledo Edison Company to Implement Matters Relating to the Tax Cuts and Jobs Act of 2017.</w:t>
            </w:r>
          </w:p>
          <w:p w:rsidR="00C85483" w:rsidRPr="00816D1F" w:rsidP="007C4B99" w14:paraId="7EFF3666" w14:textId="77777777">
            <w:pPr>
              <w:autoSpaceDE w:val="0"/>
              <w:autoSpaceDN w:val="0"/>
              <w:adjustRightInd w:val="0"/>
              <w:rPr>
                <w:sz w:val="24"/>
                <w:szCs w:val="24"/>
                <w:lang w:val="en-US" w:eastAsia="en-US" w:bidi="ar-SA"/>
              </w:rPr>
            </w:pPr>
          </w:p>
          <w:p w:rsidR="00C85483" w:rsidRPr="00816D1F" w:rsidP="007C4B99" w14:paraId="1FD6D474" w14:textId="77777777">
            <w:pPr>
              <w:autoSpaceDE w:val="0"/>
              <w:autoSpaceDN w:val="0"/>
              <w:adjustRightInd w:val="0"/>
              <w:rPr>
                <w:sz w:val="24"/>
                <w:szCs w:val="24"/>
                <w:lang w:val="en-US" w:eastAsia="en-US" w:bidi="ar-SA"/>
              </w:rPr>
            </w:pPr>
            <w:r w:rsidRPr="00816D1F">
              <w:rPr>
                <w:sz w:val="24"/>
                <w:szCs w:val="24"/>
                <w:lang w:val="en-US" w:eastAsia="en-US" w:bidi="ar-SA"/>
              </w:rPr>
              <w:t>In the Matter of the Application of Ohio Edison Company, The Cleveland Electric Illuminating Company, and The Toledo Edison Company for Approval of a Tariff Change.</w:t>
            </w:r>
          </w:p>
        </w:tc>
        <w:tc>
          <w:tcPr>
            <w:tcW w:w="360" w:type="dxa"/>
            <w:shd w:val="clear" w:color="auto" w:fill="auto"/>
          </w:tcPr>
          <w:p w:rsidR="00C85483" w:rsidRPr="00816D1F" w:rsidP="007C4B99" w14:paraId="0FA1211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3380072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C85483" w:rsidRPr="00816D1F" w:rsidP="007C4B99" w14:paraId="519EACF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C85483" w:rsidRPr="00816D1F" w:rsidP="007C4B99" w14:paraId="4F5F7FF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C85483" w:rsidRPr="00816D1F" w:rsidP="007C4B99" w14:paraId="1DBCEB9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C85483" w:rsidRPr="00816D1F" w:rsidP="007C4B99" w14:paraId="73A6D6E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C85483" w:rsidRPr="00816D1F" w:rsidP="007C4B99" w14:paraId="628FF81F"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482E95C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C85483" w:rsidRPr="00816D1F" w:rsidP="007C4B99" w14:paraId="3E33D47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C85483" w:rsidRPr="00816D1F" w:rsidP="007C4B99" w14:paraId="6569F04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C85483" w:rsidRPr="00816D1F" w:rsidP="007C4B99" w14:paraId="2C32DB7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C85483" w:rsidRPr="00816D1F" w:rsidP="007C4B99" w14:paraId="3619FC4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C85483" w:rsidRPr="00816D1F" w:rsidP="007C4B99" w14:paraId="1DF03BC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C85483" w:rsidRPr="00816D1F" w:rsidP="007C4B99" w14:paraId="2431670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16496FE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C85483" w:rsidRPr="00816D1F" w:rsidP="007C4B99" w14:paraId="1A57936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C85483" w:rsidRPr="00816D1F" w:rsidP="007C4B99" w14:paraId="2CBF2BD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r w:rsidRPr="00816D1F">
              <w:rPr>
                <w:rFonts w:ascii="Times New Roman" w:eastAsia="Courier New" w:hAnsi="Times New Roman" w:cs="Times New Roman"/>
                <w:sz w:val="24"/>
                <w:szCs w:val="24"/>
                <w:lang w:val="en-US" w:eastAsia="en-US" w:bidi="ar-SA"/>
              </w:rPr>
              <w:br/>
              <w:t>)</w:t>
            </w:r>
          </w:p>
          <w:p w:rsidR="00C85483" w:rsidRPr="00816D1F" w:rsidP="007C4B99" w14:paraId="3D00B06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C85483" w:rsidRPr="00816D1F" w:rsidP="007C4B99" w14:paraId="5E7BC06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C85483" w:rsidRPr="00816D1F" w:rsidP="007C4B99" w14:paraId="4C90DB4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6C380A0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C85483" w:rsidRPr="00816D1F" w:rsidP="007C4B99" w14:paraId="3CE692D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C85483" w:rsidRPr="00816D1F" w:rsidP="007C4B99" w14:paraId="749B9D7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C85483" w:rsidRPr="00816D1F" w:rsidP="007C4B99" w14:paraId="10F4BEE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p w:rsidR="00C85483" w:rsidRPr="00816D1F" w:rsidP="007C4B99" w14:paraId="184BF09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w:t>
            </w:r>
          </w:p>
        </w:tc>
        <w:tc>
          <w:tcPr>
            <w:tcW w:w="4400" w:type="dxa"/>
            <w:shd w:val="clear" w:color="auto" w:fill="auto"/>
          </w:tcPr>
          <w:p w:rsidR="00C85483" w:rsidRPr="00816D1F" w:rsidP="007C4B99" w14:paraId="3459C0C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72463A2F"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0B33026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3EEF0CE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Case No. 16-481-EL-UNC</w:t>
            </w:r>
          </w:p>
          <w:p w:rsidR="00C85483" w:rsidRPr="00816D1F" w:rsidP="007C4B99" w14:paraId="73CE75D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528CCD3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7EA8C14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2B0B403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69AA869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4DFB4E0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3CEDAC0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Case No. 17-2436-EL-UNC</w:t>
            </w:r>
          </w:p>
          <w:p w:rsidR="00C85483" w:rsidRPr="00816D1F" w:rsidP="007C4B99" w14:paraId="04ED4C9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1E9FA0E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6CECC7A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52B38C8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4D223E6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35C0D3D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418B40C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Case No. 18-1604-EL-UNC</w:t>
            </w:r>
          </w:p>
          <w:p w:rsidR="00C85483" w:rsidRPr="00816D1F" w:rsidP="007C4B99" w14:paraId="16403D0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3971F44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63B4631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1A4A3E6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2D48AF1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5483" w:rsidRPr="00816D1F" w:rsidP="007C4B99" w14:paraId="5872C02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816D1F">
              <w:rPr>
                <w:rFonts w:ascii="Times New Roman" w:eastAsia="Courier New" w:hAnsi="Times New Roman" w:cs="Times New Roman"/>
                <w:sz w:val="24"/>
                <w:szCs w:val="24"/>
                <w:lang w:val="en-US" w:eastAsia="en-US" w:bidi="ar-SA"/>
              </w:rPr>
              <w:t>Case No. 18-1656-EL-UNC</w:t>
            </w:r>
          </w:p>
        </w:tc>
      </w:tr>
    </w:tbl>
    <w:p w:rsidR="00C85483" w:rsidRPr="00816D1F" w:rsidP="00C85483" w14:paraId="7F0870E6" w14:textId="77777777">
      <w:pPr>
        <w:pStyle w:val="HTMLPreformatted"/>
        <w:rPr>
          <w:rFonts w:ascii="Times New Roman" w:hAnsi="Times New Roman" w:cs="Times New Roman"/>
          <w:sz w:val="24"/>
          <w:szCs w:val="24"/>
        </w:rPr>
      </w:pPr>
    </w:p>
    <w:p w:rsidR="00C85483" w:rsidRPr="00816D1F" w:rsidP="00C85483" w14:paraId="01E02849" w14:textId="77777777">
      <w:pPr>
        <w:pStyle w:val="HTMLPreformatted"/>
        <w:pBdr>
          <w:top w:val="single" w:sz="12" w:space="1" w:color="auto"/>
        </w:pBdr>
        <w:rPr>
          <w:rFonts w:ascii="Times New Roman" w:hAnsi="Times New Roman" w:cs="Times New Roman"/>
          <w:sz w:val="24"/>
          <w:szCs w:val="24"/>
        </w:rPr>
      </w:pPr>
    </w:p>
    <w:p w:rsidR="00C85483" w:rsidRPr="00816D1F" w:rsidP="00C85483" w14:paraId="4F26AE98" w14:textId="0259E4E3">
      <w:pPr>
        <w:jc w:val="center"/>
        <w:rPr>
          <w:b/>
          <w:bCs/>
          <w:szCs w:val="24"/>
        </w:rPr>
      </w:pPr>
      <w:r w:rsidRPr="00816D1F">
        <w:rPr>
          <w:b/>
          <w:bCs/>
          <w:szCs w:val="24"/>
        </w:rPr>
        <w:t>MEMORANDUM IN SUPPORT</w:t>
      </w:r>
    </w:p>
    <w:p w:rsidR="00C85483" w:rsidRPr="00816D1F" w:rsidP="00C85483" w14:paraId="1A04CE5E" w14:textId="77777777">
      <w:pPr>
        <w:pBdr>
          <w:bottom w:val="single" w:sz="12" w:space="1" w:color="auto"/>
        </w:pBdr>
        <w:tabs>
          <w:tab w:val="left" w:pos="4320"/>
        </w:tabs>
        <w:rPr>
          <w:szCs w:val="24"/>
        </w:rPr>
      </w:pPr>
    </w:p>
    <w:p w:rsidR="00C85483" w:rsidRPr="00816D1F" w:rsidP="00BF42C8" w14:paraId="456DBB1F" w14:textId="77777777">
      <w:pPr>
        <w:pStyle w:val="HTMLPreformatted"/>
        <w:jc w:val="center"/>
        <w:rPr>
          <w:rFonts w:ascii="Times New Roman" w:hAnsi="Times New Roman" w:cs="Times New Roman"/>
          <w:b/>
          <w:bCs/>
          <w:sz w:val="24"/>
          <w:szCs w:val="24"/>
        </w:rPr>
      </w:pPr>
    </w:p>
    <w:p w:rsidR="0013225C" w:rsidRPr="00816D1F" w:rsidP="00BF42C8" w14:paraId="66791971" w14:textId="7AA0FCBC">
      <w:pPr>
        <w:pStyle w:val="Heading1"/>
      </w:pPr>
      <w:bookmarkStart w:id="0" w:name="_Toc153809963"/>
      <w:r w:rsidRPr="00816D1F">
        <w:t>I.</w:t>
      </w:r>
      <w:r w:rsidRPr="00816D1F">
        <w:tab/>
      </w:r>
      <w:r w:rsidRPr="00816D1F">
        <w:t>INTRODUCTION</w:t>
      </w:r>
      <w:bookmarkEnd w:id="0"/>
    </w:p>
    <w:p w:rsidR="00763A20" w:rsidRPr="00816D1F" w:rsidP="00BF32BA" w14:paraId="05F7052A" w14:textId="77777777">
      <w:pPr>
        <w:spacing w:line="480" w:lineRule="auto"/>
        <w:ind w:firstLine="720"/>
        <w:rPr>
          <w:szCs w:val="24"/>
        </w:rPr>
      </w:pPr>
      <w:r w:rsidRPr="00816D1F">
        <w:rPr>
          <w:szCs w:val="24"/>
        </w:rPr>
        <w:t xml:space="preserve">Consumers have paid more than $600 million over the past four years </w:t>
      </w:r>
      <w:r w:rsidRPr="00816D1F" w:rsidR="00BF32BA">
        <w:rPr>
          <w:szCs w:val="24"/>
        </w:rPr>
        <w:t>for FirstEnergy</w:t>
      </w:r>
      <w:r w:rsidRPr="00816D1F" w:rsidR="0013225C">
        <w:rPr>
          <w:szCs w:val="24"/>
        </w:rPr>
        <w:t>’s</w:t>
      </w:r>
      <w:r w:rsidRPr="00816D1F" w:rsidR="00BF32BA">
        <w:rPr>
          <w:szCs w:val="24"/>
        </w:rPr>
        <w:t xml:space="preserve"> grid modernization program, Grid Mod I. The charges to FirstEnergy</w:t>
      </w:r>
      <w:r w:rsidRPr="00816D1F" w:rsidR="001B28C9">
        <w:rPr>
          <w:szCs w:val="24"/>
        </w:rPr>
        <w:t>’s</w:t>
      </w:r>
      <w:r w:rsidRPr="00816D1F" w:rsidR="00BF32BA">
        <w:rPr>
          <w:szCs w:val="24"/>
        </w:rPr>
        <w:t xml:space="preserve"> consumers include up to $72 million for </w:t>
      </w:r>
      <w:r w:rsidRPr="00816D1F" w:rsidR="005C6DE4">
        <w:rPr>
          <w:szCs w:val="24"/>
        </w:rPr>
        <w:t>a so</w:t>
      </w:r>
      <w:r w:rsidRPr="00816D1F" w:rsidR="00BF32BA">
        <w:rPr>
          <w:szCs w:val="24"/>
        </w:rPr>
        <w:t xml:space="preserve">-called stranded investment associated with legacy meters. That means FirstEnergy is charging consumers for both the old (replaced) meters and the new meters. That’s a lot of money for two million FirstEnergy consumers to be charged. </w:t>
      </w:r>
    </w:p>
    <w:p w:rsidR="00BF32BA" w:rsidRPr="00816D1F" w:rsidP="00BF32BA" w14:paraId="55BFEDE4" w14:textId="0A700185">
      <w:pPr>
        <w:spacing w:line="480" w:lineRule="auto"/>
        <w:ind w:firstLine="720"/>
        <w:rPr>
          <w:szCs w:val="24"/>
        </w:rPr>
      </w:pPr>
      <w:r w:rsidRPr="00816D1F">
        <w:rPr>
          <w:szCs w:val="24"/>
        </w:rPr>
        <w:t xml:space="preserve">Now, in a November 16, 2023 Order, the PUCO has given FirstEnergy the green light to </w:t>
      </w:r>
      <w:r w:rsidRPr="00816D1F" w:rsidR="001B28C9">
        <w:rPr>
          <w:szCs w:val="24"/>
        </w:rPr>
        <w:t>move forward in seeking approval of</w:t>
      </w:r>
      <w:r w:rsidRPr="00816D1F">
        <w:rPr>
          <w:szCs w:val="24"/>
        </w:rPr>
        <w:t xml:space="preserve"> the second phase of grid modernization</w:t>
      </w:r>
      <w:r w:rsidRPr="00816D1F" w:rsidR="001B28C9">
        <w:rPr>
          <w:szCs w:val="24"/>
        </w:rPr>
        <w:t xml:space="preserve">, </w:t>
      </w:r>
      <w:r w:rsidRPr="00816D1F">
        <w:rPr>
          <w:szCs w:val="24"/>
        </w:rPr>
        <w:t>Grid Mod II</w:t>
      </w:r>
      <w:r w:rsidRPr="00816D1F" w:rsidR="001B28C9">
        <w:rPr>
          <w:szCs w:val="24"/>
        </w:rPr>
        <w:t xml:space="preserve">, </w:t>
      </w:r>
      <w:r w:rsidRPr="00816D1F">
        <w:rPr>
          <w:szCs w:val="24"/>
        </w:rPr>
        <w:t>even though the audit of Grid Mod I found that FirstEnergy is incapable of demonstrating th</w:t>
      </w:r>
      <w:r w:rsidRPr="00816D1F" w:rsidR="001B28C9">
        <w:rPr>
          <w:szCs w:val="24"/>
        </w:rPr>
        <w:t>e actual benefits of</w:t>
      </w:r>
      <w:r w:rsidRPr="00816D1F">
        <w:rPr>
          <w:szCs w:val="24"/>
        </w:rPr>
        <w:t xml:space="preserve"> Grid Mod I.</w:t>
      </w:r>
      <w:r w:rsidRPr="00816D1F" w:rsidR="006D4156">
        <w:rPr>
          <w:szCs w:val="24"/>
        </w:rPr>
        <w:t xml:space="preserve"> </w:t>
      </w:r>
    </w:p>
    <w:p w:rsidR="000F732F" w:rsidRPr="00816D1F" w:rsidP="001B28C9" w14:paraId="0F3EF23D" w14:textId="6A768D5D">
      <w:pPr>
        <w:spacing w:line="480" w:lineRule="auto"/>
        <w:ind w:firstLine="720"/>
        <w:rPr>
          <w:szCs w:val="24"/>
        </w:rPr>
      </w:pPr>
      <w:r w:rsidRPr="00816D1F">
        <w:rPr>
          <w:szCs w:val="24"/>
        </w:rPr>
        <w:t>FirstEnergy sold the PUCO on its program with a cost-benefit analysis showing that the program would produce over $1 billion of net benefits for consumers.</w:t>
      </w:r>
      <w:r>
        <w:rPr>
          <w:rStyle w:val="FootnoteReference"/>
          <w:szCs w:val="24"/>
        </w:rPr>
        <w:footnoteReference w:id="7"/>
      </w:r>
      <w:r w:rsidRPr="00816D1F">
        <w:rPr>
          <w:szCs w:val="24"/>
        </w:rPr>
        <w:t xml:space="preserve"> But to date – after consumers have paid more than $600 million over the past four years – there </w:t>
      </w:r>
      <w:r w:rsidRPr="00816D1F" w:rsidR="00651F46">
        <w:rPr>
          <w:szCs w:val="24"/>
        </w:rPr>
        <w:t xml:space="preserve">is nothing to show </w:t>
      </w:r>
      <w:r w:rsidRPr="00816D1F">
        <w:rPr>
          <w:szCs w:val="24"/>
        </w:rPr>
        <w:t>the promised benefits for consumers.</w:t>
      </w:r>
      <w:r>
        <w:rPr>
          <w:rStyle w:val="FootnoteReference"/>
          <w:szCs w:val="24"/>
        </w:rPr>
        <w:footnoteReference w:id="8"/>
      </w:r>
      <w:r w:rsidRPr="00816D1F">
        <w:rPr>
          <w:szCs w:val="24"/>
        </w:rPr>
        <w:t xml:space="preserve"> </w:t>
      </w:r>
      <w:r w:rsidRPr="00816D1F" w:rsidR="00651F46">
        <w:rPr>
          <w:szCs w:val="24"/>
        </w:rPr>
        <w:t>T</w:t>
      </w:r>
      <w:r w:rsidRPr="00816D1F">
        <w:rPr>
          <w:szCs w:val="24"/>
        </w:rPr>
        <w:t xml:space="preserve">here has been no PUCO determination that Grid Mod I is </w:t>
      </w:r>
      <w:r w:rsidRPr="00816D1F" w:rsidR="00651F46">
        <w:rPr>
          <w:szCs w:val="24"/>
        </w:rPr>
        <w:t>used and useful to consumers under Ohio ratemaking law</w:t>
      </w:r>
      <w:r w:rsidRPr="00816D1F" w:rsidR="00863463">
        <w:rPr>
          <w:szCs w:val="24"/>
        </w:rPr>
        <w:t xml:space="preserve"> (R.C. 4909.15)</w:t>
      </w:r>
      <w:r w:rsidRPr="00816D1F" w:rsidR="00651F46">
        <w:rPr>
          <w:szCs w:val="24"/>
        </w:rPr>
        <w:t xml:space="preserve">. Nor has there been any determination that FirstEnergy’s investments </w:t>
      </w:r>
      <w:r w:rsidRPr="00816D1F" w:rsidR="00892563">
        <w:rPr>
          <w:szCs w:val="24"/>
        </w:rPr>
        <w:t>were</w:t>
      </w:r>
      <w:r w:rsidRPr="00816D1F" w:rsidR="00651F46">
        <w:rPr>
          <w:szCs w:val="24"/>
        </w:rPr>
        <w:t xml:space="preserve"> prudent. For all we know, FirstEnergy’s hundreds of millions in investments funded by consumers </w:t>
      </w:r>
      <w:r w:rsidRPr="00816D1F">
        <w:rPr>
          <w:szCs w:val="24"/>
        </w:rPr>
        <w:t xml:space="preserve">may just be “gold-plating.” </w:t>
      </w:r>
      <w:r w:rsidRPr="00816D1F" w:rsidR="00651F46">
        <w:rPr>
          <w:szCs w:val="24"/>
        </w:rPr>
        <w:t xml:space="preserve">Yet the PUCO’s Order allows </w:t>
      </w:r>
      <w:r w:rsidRPr="00816D1F">
        <w:rPr>
          <w:szCs w:val="24"/>
        </w:rPr>
        <w:t xml:space="preserve">FirstEnergy </w:t>
      </w:r>
      <w:r w:rsidRPr="00816D1F" w:rsidR="00651F46">
        <w:rPr>
          <w:szCs w:val="24"/>
        </w:rPr>
        <w:t xml:space="preserve">to </w:t>
      </w:r>
      <w:r w:rsidRPr="00816D1F" w:rsidR="00766845">
        <w:rPr>
          <w:szCs w:val="24"/>
        </w:rPr>
        <w:t>push forward with</w:t>
      </w:r>
      <w:r w:rsidRPr="00816D1F">
        <w:rPr>
          <w:szCs w:val="24"/>
        </w:rPr>
        <w:t xml:space="preserve"> seeking PUCO approval to charge consumers for Grid Mod II where </w:t>
      </w:r>
      <w:r w:rsidRPr="00816D1F" w:rsidR="00651F46">
        <w:rPr>
          <w:szCs w:val="24"/>
        </w:rPr>
        <w:t>FirstEnergy</w:t>
      </w:r>
      <w:r w:rsidRPr="00816D1F">
        <w:rPr>
          <w:szCs w:val="24"/>
        </w:rPr>
        <w:t xml:space="preserve"> is asking consumers to fund a</w:t>
      </w:r>
      <w:r w:rsidRPr="00816D1F" w:rsidR="00763A20">
        <w:rPr>
          <w:szCs w:val="24"/>
        </w:rPr>
        <w:t>n additional</w:t>
      </w:r>
      <w:r w:rsidRPr="00816D1F">
        <w:rPr>
          <w:szCs w:val="24"/>
        </w:rPr>
        <w:t xml:space="preserve"> </w:t>
      </w:r>
      <w:r w:rsidRPr="00816D1F">
        <w:rPr>
          <w:i/>
          <w:iCs/>
          <w:szCs w:val="24"/>
        </w:rPr>
        <w:t>$</w:t>
      </w:r>
      <w:r w:rsidR="00D2161E">
        <w:rPr>
          <w:i/>
          <w:iCs/>
          <w:szCs w:val="24"/>
        </w:rPr>
        <w:t>7</w:t>
      </w:r>
      <w:r w:rsidRPr="00816D1F">
        <w:rPr>
          <w:i/>
          <w:iCs/>
          <w:szCs w:val="24"/>
        </w:rPr>
        <w:t>00 million</w:t>
      </w:r>
      <w:r w:rsidRPr="00816D1F">
        <w:rPr>
          <w:szCs w:val="24"/>
        </w:rPr>
        <w:t xml:space="preserve"> investment.</w:t>
      </w:r>
    </w:p>
    <w:p w:rsidR="0013225C" w:rsidRPr="00816D1F" w:rsidP="00BF32BA" w14:paraId="603AB50E" w14:textId="3522351C">
      <w:pPr>
        <w:spacing w:line="480" w:lineRule="auto"/>
        <w:ind w:firstLine="720"/>
        <w:rPr>
          <w:szCs w:val="24"/>
        </w:rPr>
      </w:pPr>
      <w:r w:rsidRPr="00816D1F">
        <w:rPr>
          <w:szCs w:val="24"/>
        </w:rPr>
        <w:t>FirstEnergy’s Grid Mod Program</w:t>
      </w:r>
      <w:r w:rsidRPr="00816D1F" w:rsidR="00A8414F">
        <w:rPr>
          <w:szCs w:val="24"/>
        </w:rPr>
        <w:t xml:space="preserve"> funding</w:t>
      </w:r>
      <w:r w:rsidRPr="00816D1F">
        <w:rPr>
          <w:szCs w:val="24"/>
        </w:rPr>
        <w:t xml:space="preserve"> was </w:t>
      </w:r>
      <w:r w:rsidRPr="00816D1F" w:rsidR="001B28C9">
        <w:rPr>
          <w:szCs w:val="24"/>
        </w:rPr>
        <w:t xml:space="preserve">also </w:t>
      </w:r>
      <w:r w:rsidRPr="00816D1F">
        <w:rPr>
          <w:szCs w:val="24"/>
        </w:rPr>
        <w:t>approved by the PUCO under the leadership of former PUCO Chair Sam Randazzo</w:t>
      </w:r>
      <w:r w:rsidRPr="00816D1F" w:rsidR="00766845">
        <w:rPr>
          <w:szCs w:val="24"/>
        </w:rPr>
        <w:t xml:space="preserve">. </w:t>
      </w:r>
      <w:r w:rsidRPr="00816D1F" w:rsidR="001B28C9">
        <w:rPr>
          <w:szCs w:val="24"/>
        </w:rPr>
        <w:t>The f</w:t>
      </w:r>
      <w:r w:rsidRPr="00816D1F" w:rsidR="00766845">
        <w:rPr>
          <w:szCs w:val="24"/>
        </w:rPr>
        <w:t>ormer PUCO Chair has been</w:t>
      </w:r>
      <w:r w:rsidRPr="00816D1F">
        <w:rPr>
          <w:szCs w:val="24"/>
        </w:rPr>
        <w:t xml:space="preserve"> criminally indicted by a federal grand jury for embezzlement and for accepting $4.3 million in bribes from FirstEnergy.</w:t>
      </w:r>
      <w:r>
        <w:rPr>
          <w:rStyle w:val="FootnoteReference"/>
          <w:szCs w:val="24"/>
        </w:rPr>
        <w:footnoteReference w:id="9"/>
      </w:r>
      <w:r w:rsidRPr="00816D1F">
        <w:rPr>
          <w:szCs w:val="24"/>
        </w:rPr>
        <w:t xml:space="preserve"> FirstEnergy Corp. entered into a Deferred Prosecution Agreement with the Government under which it admitted that it </w:t>
      </w:r>
      <w:r w:rsidRPr="00816D1F">
        <w:rPr>
          <w:color w:val="000000" w:themeColor="text1"/>
          <w:szCs w:val="24"/>
        </w:rPr>
        <w:t>“</w:t>
      </w:r>
      <w:r w:rsidRPr="00816D1F">
        <w:rPr>
          <w:color w:val="000000" w:themeColor="text1"/>
          <w:szCs w:val="24"/>
          <w:shd w:val="clear" w:color="auto" w:fill="FFFFFF"/>
        </w:rPr>
        <w:t xml:space="preserve">paid $4.3 million dollars to [Randazzo] through his consulting company in return for [Randazzo] performing official action in his capacity as PUCO Chairman to further FirstEnergy Corp.’s interests relating to passage of nuclear legislation and </w:t>
      </w:r>
      <w:r w:rsidRPr="00816D1F">
        <w:rPr>
          <w:i/>
          <w:iCs/>
          <w:color w:val="000000" w:themeColor="text1"/>
          <w:szCs w:val="24"/>
          <w:shd w:val="clear" w:color="auto" w:fill="FFFFFF"/>
        </w:rPr>
        <w:t>other specific FirstEnergy Corp. legislative and regulatory priorities, as requested and as opportunities arose.”</w:t>
      </w:r>
      <w:r>
        <w:rPr>
          <w:rStyle w:val="FootnoteReference"/>
          <w:color w:val="000000" w:themeColor="text1"/>
          <w:szCs w:val="24"/>
          <w:shd w:val="clear" w:color="auto" w:fill="FFFFFF"/>
        </w:rPr>
        <w:footnoteReference w:id="10"/>
      </w:r>
      <w:r w:rsidRPr="00816D1F">
        <w:rPr>
          <w:szCs w:val="24"/>
        </w:rPr>
        <w:t xml:space="preserve"> </w:t>
      </w:r>
    </w:p>
    <w:p w:rsidR="00863463" w:rsidRPr="00816D1F" w:rsidP="00BF32BA" w14:paraId="30A1B2BF" w14:textId="6254F299">
      <w:pPr>
        <w:spacing w:line="480" w:lineRule="auto"/>
        <w:ind w:firstLine="720"/>
        <w:rPr>
          <w:szCs w:val="24"/>
        </w:rPr>
      </w:pPr>
      <w:r w:rsidRPr="00816D1F">
        <w:rPr>
          <w:szCs w:val="24"/>
        </w:rPr>
        <w:t>We and the public still do not know how much of the public corruption was at the expense of FirstEnergy’s utility consumers. Consumers deserve answers – and protection.</w:t>
      </w:r>
      <w:r w:rsidRPr="00816D1F" w:rsidR="001B28C9">
        <w:rPr>
          <w:szCs w:val="24"/>
        </w:rPr>
        <w:t xml:space="preserve"> Yet the PUCO is allowing FirstEnergy to proceed with charging consumers for Grid Mod when FirstEnergy cannot demonstrate the benefits.</w:t>
      </w:r>
      <w:r w:rsidRPr="00816D1F" w:rsidR="0013225C">
        <w:rPr>
          <w:szCs w:val="24"/>
        </w:rPr>
        <w:t xml:space="preserve"> The PUCO should grant rehearing and modify the Order consistent with OCC’s recommendations.</w:t>
      </w:r>
    </w:p>
    <w:p w:rsidR="00A766DB" w:rsidRPr="00816D1F" w:rsidP="00A766DB" w14:paraId="05DBDBAC" w14:textId="77777777">
      <w:pPr>
        <w:ind w:firstLine="720"/>
        <w:rPr>
          <w:szCs w:val="24"/>
        </w:rPr>
      </w:pPr>
    </w:p>
    <w:p w:rsidR="000F732F" w:rsidRPr="00816D1F" w:rsidP="00A766DB" w14:paraId="2E4E04D0" w14:textId="4343CE8B">
      <w:pPr>
        <w:pStyle w:val="Heading1"/>
      </w:pPr>
      <w:bookmarkStart w:id="1" w:name="_Toc153809964"/>
      <w:r w:rsidRPr="00816D1F">
        <w:t>II.</w:t>
      </w:r>
      <w:r w:rsidRPr="00816D1F">
        <w:tab/>
      </w:r>
      <w:r w:rsidRPr="00816D1F" w:rsidR="0013225C">
        <w:t>ASSIGN</w:t>
      </w:r>
      <w:r w:rsidRPr="00816D1F">
        <w:t>M</w:t>
      </w:r>
      <w:r w:rsidRPr="00816D1F" w:rsidR="0013225C">
        <w:t>ENTS OF ERROR</w:t>
      </w:r>
      <w:bookmarkEnd w:id="1"/>
    </w:p>
    <w:p w:rsidR="00C260AB" w:rsidRPr="00816D1F" w:rsidP="00D37645" w14:paraId="17D35338" w14:textId="00DB4D0B">
      <w:pPr>
        <w:pStyle w:val="Heading2"/>
        <w:numPr>
          <w:ilvl w:val="0"/>
          <w:numId w:val="0"/>
        </w:numPr>
        <w:ind w:left="720"/>
      </w:pPr>
      <w:bookmarkStart w:id="2" w:name="_Toc153809965"/>
      <w:r w:rsidRPr="00816D1F">
        <w:t>ASSIGNMENT OF ERROR NO. 1: The PUCO erred by issuing an Order that allows FirstEnergy to continue with and charge consumers for Grid Mod II when FirstEnergy has failed to demonstrate the operational benefits to consumers of Grid Mod I.</w:t>
      </w:r>
      <w:bookmarkEnd w:id="2"/>
    </w:p>
    <w:p w:rsidR="0093684E" w:rsidRPr="00816D1F" w:rsidP="0093684E" w14:paraId="1FD9E05B" w14:textId="6EC8F092">
      <w:pPr>
        <w:spacing w:line="480" w:lineRule="auto"/>
        <w:ind w:firstLine="720"/>
        <w:rPr>
          <w:szCs w:val="24"/>
        </w:rPr>
      </w:pPr>
      <w:r w:rsidRPr="00816D1F">
        <w:rPr>
          <w:szCs w:val="24"/>
        </w:rPr>
        <w:t xml:space="preserve">The PUCO should grant rehearing to modify the Order to halt the </w:t>
      </w:r>
      <w:r w:rsidRPr="00816D1F" w:rsidR="001B28C9">
        <w:rPr>
          <w:szCs w:val="24"/>
        </w:rPr>
        <w:t xml:space="preserve">consideration and </w:t>
      </w:r>
      <w:r w:rsidRPr="00816D1F">
        <w:rPr>
          <w:szCs w:val="24"/>
        </w:rPr>
        <w:t xml:space="preserve">implementation of Grid Mod II because FirstEnergy cannot demonstrate operational benefits to consumers under Grid Mod I. Permitting FirstEnergy to proceed with Grid Mod II without resolving the issues in Grid Mod I would be unfair </w:t>
      </w:r>
      <w:r w:rsidR="007B3C9E">
        <w:rPr>
          <w:szCs w:val="24"/>
        </w:rPr>
        <w:t xml:space="preserve">to </w:t>
      </w:r>
      <w:r w:rsidRPr="00816D1F">
        <w:rPr>
          <w:szCs w:val="24"/>
        </w:rPr>
        <w:t>the consumers who have been charged hundreds of millions for the program. And it would violate the supplemental s</w:t>
      </w:r>
      <w:r w:rsidRPr="00816D1F" w:rsidR="001B28C9">
        <w:rPr>
          <w:szCs w:val="24"/>
        </w:rPr>
        <w:t>ettlement</w:t>
      </w:r>
      <w:r w:rsidRPr="00816D1F">
        <w:rPr>
          <w:szCs w:val="24"/>
        </w:rPr>
        <w:t xml:space="preserve"> previously approved by the PUCO in this case.</w:t>
      </w:r>
    </w:p>
    <w:p w:rsidR="006D6618" w:rsidRPr="00816D1F" w:rsidP="0093684E" w14:paraId="6B26914A" w14:textId="65965C16">
      <w:pPr>
        <w:spacing w:line="480" w:lineRule="auto"/>
        <w:ind w:firstLine="720"/>
        <w:rPr>
          <w:szCs w:val="24"/>
        </w:rPr>
      </w:pPr>
      <w:r w:rsidRPr="00816D1F">
        <w:rPr>
          <w:szCs w:val="24"/>
        </w:rPr>
        <w:t xml:space="preserve">The PUCO </w:t>
      </w:r>
      <w:r w:rsidRPr="00816D1F" w:rsidR="0093684E">
        <w:rPr>
          <w:szCs w:val="24"/>
        </w:rPr>
        <w:t xml:space="preserve">(led by the </w:t>
      </w:r>
      <w:r w:rsidRPr="00816D1F" w:rsidR="00F81768">
        <w:rPr>
          <w:szCs w:val="24"/>
        </w:rPr>
        <w:t>recently</w:t>
      </w:r>
      <w:r w:rsidRPr="00816D1F" w:rsidR="0093684E">
        <w:rPr>
          <w:szCs w:val="24"/>
        </w:rPr>
        <w:t xml:space="preserve"> indicted former PUCO Chair Randazzo) </w:t>
      </w:r>
      <w:r w:rsidRPr="00816D1F">
        <w:rPr>
          <w:szCs w:val="24"/>
        </w:rPr>
        <w:t xml:space="preserve">approved a </w:t>
      </w:r>
      <w:r w:rsidRPr="00816D1F" w:rsidR="00D63023">
        <w:rPr>
          <w:szCs w:val="24"/>
        </w:rPr>
        <w:t xml:space="preserve">supplemental </w:t>
      </w:r>
      <w:r w:rsidRPr="00816D1F">
        <w:rPr>
          <w:szCs w:val="24"/>
        </w:rPr>
        <w:t>settlement in this case that allowed FirstEnergy to</w:t>
      </w:r>
      <w:r w:rsidRPr="00816D1F" w:rsidR="0093684E">
        <w:rPr>
          <w:szCs w:val="24"/>
        </w:rPr>
        <w:t xml:space="preserve"> </w:t>
      </w:r>
      <w:r w:rsidRPr="00816D1F" w:rsidR="00D63023">
        <w:rPr>
          <w:szCs w:val="24"/>
        </w:rPr>
        <w:t xml:space="preserve">implement the first phase of </w:t>
      </w:r>
      <w:r w:rsidRPr="00816D1F" w:rsidR="0093684E">
        <w:rPr>
          <w:szCs w:val="24"/>
        </w:rPr>
        <w:t>its Grid Mod Program</w:t>
      </w:r>
      <w:r w:rsidRPr="00816D1F">
        <w:rPr>
          <w:szCs w:val="24"/>
        </w:rPr>
        <w:t>.</w:t>
      </w:r>
      <w:r>
        <w:rPr>
          <w:rStyle w:val="FootnoteReference"/>
          <w:color w:val="000000" w:themeColor="text1"/>
          <w:szCs w:val="24"/>
          <w:shd w:val="clear" w:color="auto" w:fill="FFFFFF"/>
        </w:rPr>
        <w:footnoteReference w:id="11"/>
      </w:r>
      <w:r w:rsidRPr="00816D1F">
        <w:rPr>
          <w:szCs w:val="24"/>
        </w:rPr>
        <w:t xml:space="preserve"> </w:t>
      </w:r>
      <w:r w:rsidRPr="00816D1F" w:rsidR="0093684E">
        <w:rPr>
          <w:szCs w:val="24"/>
        </w:rPr>
        <w:t xml:space="preserve">Under the </w:t>
      </w:r>
      <w:r w:rsidRPr="00816D1F">
        <w:rPr>
          <w:szCs w:val="24"/>
        </w:rPr>
        <w:t>settlement</w:t>
      </w:r>
      <w:r w:rsidRPr="00816D1F" w:rsidR="0093684E">
        <w:rPr>
          <w:szCs w:val="24"/>
        </w:rPr>
        <w:t>,</w:t>
      </w:r>
      <w:r w:rsidRPr="00816D1F">
        <w:rPr>
          <w:szCs w:val="24"/>
        </w:rPr>
        <w:t xml:space="preserve"> an operational benefits assessment and review </w:t>
      </w:r>
      <w:r w:rsidRPr="00816D1F" w:rsidR="0093684E">
        <w:rPr>
          <w:szCs w:val="24"/>
        </w:rPr>
        <w:t xml:space="preserve">was </w:t>
      </w:r>
      <w:r w:rsidRPr="00816D1F">
        <w:rPr>
          <w:szCs w:val="24"/>
        </w:rPr>
        <w:t>to be performed on investments made by FirstEnergy</w:t>
      </w:r>
      <w:r w:rsidRPr="00816D1F" w:rsidR="0093684E">
        <w:rPr>
          <w:szCs w:val="24"/>
        </w:rPr>
        <w:t xml:space="preserve"> for Grid Mod I</w:t>
      </w:r>
      <w:r w:rsidRPr="00816D1F">
        <w:rPr>
          <w:szCs w:val="24"/>
        </w:rPr>
        <w:t xml:space="preserve">, to demonstrate that consumers were receiving </w:t>
      </w:r>
      <w:r w:rsidRPr="00816D1F" w:rsidR="000F3A62">
        <w:rPr>
          <w:szCs w:val="24"/>
        </w:rPr>
        <w:t xml:space="preserve">operational savings </w:t>
      </w:r>
      <w:r w:rsidRPr="00816D1F">
        <w:rPr>
          <w:szCs w:val="24"/>
        </w:rPr>
        <w:t>benefits.</w:t>
      </w:r>
      <w:r>
        <w:rPr>
          <w:rStyle w:val="FootnoteReference"/>
          <w:szCs w:val="24"/>
        </w:rPr>
        <w:footnoteReference w:id="12"/>
      </w:r>
      <w:r w:rsidRPr="00816D1F">
        <w:rPr>
          <w:szCs w:val="24"/>
        </w:rPr>
        <w:t xml:space="preserve"> This assessment was to be made before </w:t>
      </w:r>
      <w:r w:rsidRPr="00816D1F" w:rsidR="0093684E">
        <w:rPr>
          <w:szCs w:val="24"/>
        </w:rPr>
        <w:t xml:space="preserve">the </w:t>
      </w:r>
      <w:r w:rsidRPr="00816D1F">
        <w:rPr>
          <w:szCs w:val="24"/>
        </w:rPr>
        <w:t>next phase of the project, Grid Mod II</w:t>
      </w:r>
      <w:r w:rsidRPr="00816D1F" w:rsidR="0093684E">
        <w:rPr>
          <w:szCs w:val="24"/>
        </w:rPr>
        <w:t>, could be implemented</w:t>
      </w:r>
      <w:r w:rsidRPr="00816D1F">
        <w:rPr>
          <w:szCs w:val="24"/>
        </w:rPr>
        <w:t xml:space="preserve">. </w:t>
      </w:r>
      <w:r w:rsidRPr="00816D1F" w:rsidR="0093684E">
        <w:rPr>
          <w:szCs w:val="24"/>
        </w:rPr>
        <w:t>T</w:t>
      </w:r>
      <w:r w:rsidRPr="00816D1F">
        <w:rPr>
          <w:szCs w:val="24"/>
        </w:rPr>
        <w:t>he PUCO-adopted settlement</w:t>
      </w:r>
      <w:r w:rsidRPr="00816D1F" w:rsidR="0093684E">
        <w:rPr>
          <w:szCs w:val="24"/>
        </w:rPr>
        <w:t xml:space="preserve"> even</w:t>
      </w:r>
      <w:r w:rsidRPr="00816D1F">
        <w:rPr>
          <w:szCs w:val="24"/>
        </w:rPr>
        <w:t xml:space="preserve"> included a specific provision that there would be no PUCO approval of Grid Mod II until after the operational savings audit is filed and the PUCO resolves issues in a decision.</w:t>
      </w:r>
      <w:r>
        <w:rPr>
          <w:rStyle w:val="FootnoteReference"/>
          <w:szCs w:val="24"/>
        </w:rPr>
        <w:footnoteReference w:id="13"/>
      </w:r>
      <w:r w:rsidRPr="00816D1F">
        <w:rPr>
          <w:szCs w:val="24"/>
        </w:rPr>
        <w:t xml:space="preserve"> </w:t>
      </w:r>
    </w:p>
    <w:p w:rsidR="00C260AB" w:rsidRPr="00816D1F" w:rsidP="00C260AB" w14:paraId="734EE0F9" w14:textId="7434D3F2">
      <w:pPr>
        <w:spacing w:line="480" w:lineRule="auto"/>
        <w:ind w:firstLine="720"/>
        <w:rPr>
          <w:szCs w:val="24"/>
        </w:rPr>
      </w:pPr>
      <w:r w:rsidRPr="00816D1F">
        <w:rPr>
          <w:szCs w:val="24"/>
        </w:rPr>
        <w:t>In addition, the</w:t>
      </w:r>
      <w:r w:rsidRPr="00816D1F">
        <w:rPr>
          <w:szCs w:val="24"/>
        </w:rPr>
        <w:t xml:space="preserve"> audit review was </w:t>
      </w:r>
      <w:r w:rsidRPr="00816D1F">
        <w:rPr>
          <w:szCs w:val="24"/>
        </w:rPr>
        <w:t>supposed to include</w:t>
      </w:r>
      <w:r w:rsidRPr="00816D1F">
        <w:rPr>
          <w:szCs w:val="24"/>
        </w:rPr>
        <w:t xml:space="preserve"> an evaluation of whether the actual functionality and performance of Grid Mod I is consistent with planned specifications as well as an independent cost analysis.</w:t>
      </w:r>
      <w:r>
        <w:rPr>
          <w:rStyle w:val="FootnoteReference"/>
          <w:szCs w:val="24"/>
        </w:rPr>
        <w:footnoteReference w:id="14"/>
      </w:r>
      <w:r w:rsidRPr="00816D1F">
        <w:rPr>
          <w:szCs w:val="24"/>
        </w:rPr>
        <w:t xml:space="preserve"> In other words, for consumer protection, the audit was intended to compare the alleged benefits of Grid Mod I to the actual benefits consumers are realizing.</w:t>
      </w:r>
    </w:p>
    <w:p w:rsidR="00EE72E9" w:rsidRPr="00816D1F" w:rsidP="006D6618" w14:paraId="2236822F" w14:textId="3D748F2F">
      <w:pPr>
        <w:spacing w:line="480" w:lineRule="auto"/>
        <w:ind w:firstLine="720"/>
        <w:rPr>
          <w:szCs w:val="24"/>
        </w:rPr>
      </w:pPr>
      <w:r w:rsidRPr="00816D1F">
        <w:rPr>
          <w:szCs w:val="24"/>
        </w:rPr>
        <w:t>However, t</w:t>
      </w:r>
      <w:r w:rsidRPr="00816D1F" w:rsidR="000F3A62">
        <w:rPr>
          <w:szCs w:val="24"/>
        </w:rPr>
        <w:t xml:space="preserve">he </w:t>
      </w:r>
      <w:r w:rsidRPr="00816D1F" w:rsidR="006D6618">
        <w:rPr>
          <w:szCs w:val="24"/>
        </w:rPr>
        <w:t>PUCO appointed auditor</w:t>
      </w:r>
      <w:r w:rsidRPr="00816D1F" w:rsidR="00E84E06">
        <w:rPr>
          <w:szCs w:val="24"/>
        </w:rPr>
        <w:t xml:space="preserve"> (</w:t>
      </w:r>
      <w:r w:rsidRPr="00816D1F" w:rsidR="006D6618">
        <w:rPr>
          <w:szCs w:val="24"/>
        </w:rPr>
        <w:t>Daymark Energy Advisors</w:t>
      </w:r>
      <w:r w:rsidRPr="00816D1F" w:rsidR="00E84E06">
        <w:rPr>
          <w:szCs w:val="24"/>
        </w:rPr>
        <w:t>)</w:t>
      </w:r>
      <w:r w:rsidRPr="00816D1F" w:rsidR="000F3A62">
        <w:rPr>
          <w:szCs w:val="24"/>
        </w:rPr>
        <w:t xml:space="preserve"> was unable to determine the operational benefits of Grid Mod I. The auditor</w:t>
      </w:r>
      <w:r w:rsidRPr="00816D1F" w:rsidR="006D6618">
        <w:rPr>
          <w:szCs w:val="24"/>
        </w:rPr>
        <w:t xml:space="preserve"> identified numerous flaws in FirstEnergy’s ability to demonstrate that consumers are </w:t>
      </w:r>
      <w:r w:rsidRPr="00816D1F" w:rsidR="000F3A62">
        <w:rPr>
          <w:szCs w:val="24"/>
        </w:rPr>
        <w:t xml:space="preserve">actually </w:t>
      </w:r>
      <w:r w:rsidRPr="00816D1F" w:rsidR="006D6618">
        <w:rPr>
          <w:szCs w:val="24"/>
        </w:rPr>
        <w:t>getting the benefits they pay for under Grid Mod I.</w:t>
      </w:r>
      <w:r w:rsidRPr="00816D1F" w:rsidR="006D4156">
        <w:rPr>
          <w:szCs w:val="24"/>
        </w:rPr>
        <w:t xml:space="preserve"> </w:t>
      </w:r>
      <w:r w:rsidRPr="00816D1F" w:rsidR="006D6618">
        <w:rPr>
          <w:szCs w:val="24"/>
        </w:rPr>
        <w:t>The auditor concluded that “the lack of clear documentation***combined with the lack of direct reporting as to operational savings being achieved, precluded a direct audit determination of a current and future level of operational savings to be credited to Rider AMI [consumers].”</w:t>
      </w:r>
      <w:r>
        <w:rPr>
          <w:rStyle w:val="FootnoteReference"/>
          <w:szCs w:val="24"/>
        </w:rPr>
        <w:footnoteReference w:id="15"/>
      </w:r>
      <w:r w:rsidRPr="00816D1F" w:rsidR="006D6618">
        <w:rPr>
          <w:szCs w:val="24"/>
        </w:rPr>
        <w:t xml:space="preserve"> </w:t>
      </w:r>
      <w:r w:rsidRPr="00816D1F" w:rsidR="00C27F81">
        <w:rPr>
          <w:bCs/>
          <w:szCs w:val="24"/>
        </w:rPr>
        <w:t>The auditor made twelve key findings demonstrating that FirstEnergy’s implementation of Grid Mod I is essentially unauditable.</w:t>
      </w:r>
      <w:r>
        <w:rPr>
          <w:rStyle w:val="FootnoteReference"/>
          <w:bCs/>
          <w:szCs w:val="24"/>
        </w:rPr>
        <w:footnoteReference w:id="16"/>
      </w:r>
    </w:p>
    <w:p w:rsidR="00941292" w:rsidRPr="00816D1F" w:rsidP="006D6618" w14:paraId="19A61089" w14:textId="613421E4">
      <w:pPr>
        <w:spacing w:line="480" w:lineRule="auto"/>
        <w:ind w:firstLine="720"/>
        <w:rPr>
          <w:szCs w:val="24"/>
        </w:rPr>
      </w:pPr>
      <w:r w:rsidRPr="00816D1F">
        <w:rPr>
          <w:szCs w:val="24"/>
        </w:rPr>
        <w:t>T</w:t>
      </w:r>
      <w:r w:rsidRPr="00816D1F" w:rsidR="00C717D7">
        <w:rPr>
          <w:szCs w:val="24"/>
        </w:rPr>
        <w:t>he</w:t>
      </w:r>
      <w:r w:rsidRPr="00816D1F" w:rsidR="006D6618">
        <w:rPr>
          <w:szCs w:val="24"/>
        </w:rPr>
        <w:t xml:space="preserve"> PUCO</w:t>
      </w:r>
      <w:r w:rsidRPr="00816D1F">
        <w:rPr>
          <w:szCs w:val="24"/>
        </w:rPr>
        <w:t>’s Order</w:t>
      </w:r>
      <w:r w:rsidRPr="00816D1F" w:rsidR="006D6618">
        <w:rPr>
          <w:szCs w:val="24"/>
        </w:rPr>
        <w:t xml:space="preserve"> </w:t>
      </w:r>
      <w:r w:rsidRPr="00816D1F" w:rsidR="00C27F81">
        <w:rPr>
          <w:szCs w:val="24"/>
        </w:rPr>
        <w:t xml:space="preserve">acknowledged </w:t>
      </w:r>
      <w:r w:rsidRPr="00816D1F" w:rsidR="00C27F81">
        <w:rPr>
          <w:bCs/>
          <w:szCs w:val="24"/>
        </w:rPr>
        <w:t>FirstEnergy’s failure to provide the data necessary so that the auditor could complete an assessment of the operational benefits of Grid Mod I.</w:t>
      </w:r>
      <w:r>
        <w:rPr>
          <w:rStyle w:val="FootnoteReference"/>
          <w:szCs w:val="24"/>
        </w:rPr>
        <w:footnoteReference w:id="17"/>
      </w:r>
      <w:r w:rsidRPr="00816D1F">
        <w:rPr>
          <w:szCs w:val="24"/>
        </w:rPr>
        <w:t xml:space="preserve"> However, instead of</w:t>
      </w:r>
      <w:r w:rsidRPr="00816D1F" w:rsidR="00C27F81">
        <w:rPr>
          <w:szCs w:val="24"/>
        </w:rPr>
        <w:t xml:space="preserve"> setting a procedural schedule in this case and</w:t>
      </w:r>
      <w:r w:rsidRPr="00816D1F">
        <w:rPr>
          <w:szCs w:val="24"/>
        </w:rPr>
        <w:t xml:space="preserve"> implement</w:t>
      </w:r>
      <w:r w:rsidRPr="00816D1F" w:rsidR="00C27F81">
        <w:rPr>
          <w:szCs w:val="24"/>
        </w:rPr>
        <w:t>ing</w:t>
      </w:r>
      <w:r w:rsidRPr="00816D1F">
        <w:rPr>
          <w:szCs w:val="24"/>
        </w:rPr>
        <w:t xml:space="preserve"> the auditor’s recommendations </w:t>
      </w:r>
      <w:r w:rsidRPr="00816D1F" w:rsidR="00C27F81">
        <w:rPr>
          <w:szCs w:val="24"/>
        </w:rPr>
        <w:t xml:space="preserve">in order </w:t>
      </w:r>
      <w:r w:rsidRPr="00816D1F">
        <w:rPr>
          <w:szCs w:val="24"/>
        </w:rPr>
        <w:t>to resolve the issues related to Grid Mod I</w:t>
      </w:r>
      <w:r w:rsidRPr="00816D1F" w:rsidR="00C27F81">
        <w:rPr>
          <w:szCs w:val="24"/>
        </w:rPr>
        <w:t>,</w:t>
      </w:r>
      <w:r w:rsidRPr="00816D1F" w:rsidR="006D4156">
        <w:rPr>
          <w:szCs w:val="24"/>
        </w:rPr>
        <w:t xml:space="preserve"> </w:t>
      </w:r>
      <w:r w:rsidRPr="00816D1F">
        <w:rPr>
          <w:szCs w:val="24"/>
        </w:rPr>
        <w:t>the PUCO’s Order allows FirstEnergy</w:t>
      </w:r>
      <w:r w:rsidRPr="00816D1F" w:rsidR="00C27F81">
        <w:rPr>
          <w:szCs w:val="24"/>
        </w:rPr>
        <w:t xml:space="preserve"> to move forward with Grid Mod II and </w:t>
      </w:r>
      <w:r w:rsidRPr="00816D1F">
        <w:rPr>
          <w:szCs w:val="24"/>
        </w:rPr>
        <w:t>implement the auditor’s recommendations</w:t>
      </w:r>
      <w:r w:rsidRPr="00816D1F" w:rsidR="00C27F81">
        <w:rPr>
          <w:szCs w:val="24"/>
        </w:rPr>
        <w:t xml:space="preserve"> there</w:t>
      </w:r>
      <w:r w:rsidRPr="00816D1F">
        <w:rPr>
          <w:szCs w:val="24"/>
        </w:rPr>
        <w:t>.</w:t>
      </w:r>
      <w:r>
        <w:rPr>
          <w:rStyle w:val="FootnoteReference"/>
          <w:szCs w:val="24"/>
        </w:rPr>
        <w:footnoteReference w:id="18"/>
      </w:r>
      <w:r w:rsidRPr="00816D1F" w:rsidR="00694E21">
        <w:rPr>
          <w:szCs w:val="24"/>
        </w:rPr>
        <w:t xml:space="preserve"> </w:t>
      </w:r>
      <w:r w:rsidRPr="00816D1F" w:rsidR="00E84E06">
        <w:rPr>
          <w:szCs w:val="24"/>
        </w:rPr>
        <w:t>How convenient for FirstEnergy.</w:t>
      </w:r>
    </w:p>
    <w:p w:rsidR="00EA3C70" w:rsidRPr="00816D1F" w:rsidP="00941292" w14:paraId="63EB6415" w14:textId="06B09F34">
      <w:pPr>
        <w:spacing w:line="480" w:lineRule="auto"/>
        <w:ind w:firstLine="720"/>
        <w:rPr>
          <w:bCs/>
          <w:szCs w:val="24"/>
        </w:rPr>
      </w:pPr>
      <w:r w:rsidRPr="00816D1F">
        <w:rPr>
          <w:szCs w:val="24"/>
        </w:rPr>
        <w:t xml:space="preserve">The PUCO Order </w:t>
      </w:r>
      <w:r w:rsidRPr="00816D1F" w:rsidR="00694E21">
        <w:rPr>
          <w:szCs w:val="24"/>
        </w:rPr>
        <w:t xml:space="preserve">is patently unreasonable. Consumers should not have to pay a </w:t>
      </w:r>
      <w:r w:rsidRPr="00816D1F" w:rsidR="00E84E06">
        <w:rPr>
          <w:szCs w:val="24"/>
        </w:rPr>
        <w:t xml:space="preserve">penny </w:t>
      </w:r>
      <w:r w:rsidRPr="00816D1F" w:rsidR="00694E21">
        <w:rPr>
          <w:szCs w:val="24"/>
        </w:rPr>
        <w:t xml:space="preserve">toward funding FirstEnergy’s </w:t>
      </w:r>
      <w:r w:rsidRPr="00816D1F" w:rsidR="0070391E">
        <w:rPr>
          <w:szCs w:val="24"/>
        </w:rPr>
        <w:t xml:space="preserve">additional </w:t>
      </w:r>
      <w:r w:rsidRPr="00816D1F" w:rsidR="00694E21">
        <w:rPr>
          <w:szCs w:val="24"/>
        </w:rPr>
        <w:t>planned $</w:t>
      </w:r>
      <w:r w:rsidR="00D2161E">
        <w:rPr>
          <w:szCs w:val="24"/>
        </w:rPr>
        <w:t>7</w:t>
      </w:r>
      <w:r w:rsidRPr="00816D1F" w:rsidR="00694E21">
        <w:rPr>
          <w:szCs w:val="24"/>
        </w:rPr>
        <w:t xml:space="preserve">00 million investment for Grid Mod II until it can demonstrate that consumers have benefitted from Grid Mod I. As the PUCO itself found in its July 17, 2019 Order approving the supplemental settlement, </w:t>
      </w:r>
      <w:r w:rsidRPr="00816D1F" w:rsidR="00694E21">
        <w:rPr>
          <w:bCs/>
          <w:szCs w:val="24"/>
        </w:rPr>
        <w:t>“grid modernization should only be implemented if the benefits of grid modernization outweigh the costs.”</w:t>
      </w:r>
      <w:r>
        <w:rPr>
          <w:rStyle w:val="FootnoteReference"/>
          <w:bCs/>
          <w:szCs w:val="24"/>
        </w:rPr>
        <w:footnoteReference w:id="19"/>
      </w:r>
      <w:r w:rsidRPr="00816D1F">
        <w:rPr>
          <w:bCs/>
          <w:szCs w:val="24"/>
        </w:rPr>
        <w:t xml:space="preserve"> Accordingly, the PUCO should grant rehearing to require a resolution of the issues regarding Grid Mod I before FirstEnergy can proceed with Grid Mod II. </w:t>
      </w:r>
    </w:p>
    <w:p w:rsidR="00EA3C70" w:rsidRPr="00816D1F" w14:paraId="312996A1" w14:textId="77777777">
      <w:pPr>
        <w:rPr>
          <w:bCs/>
          <w:szCs w:val="24"/>
        </w:rPr>
      </w:pPr>
      <w:r w:rsidRPr="00816D1F">
        <w:rPr>
          <w:bCs/>
          <w:szCs w:val="24"/>
        </w:rPr>
        <w:br w:type="page"/>
      </w:r>
    </w:p>
    <w:p w:rsidR="00891BE4" w:rsidRPr="00816D1F" w:rsidP="00EA3C70" w14:paraId="7F520D6C" w14:textId="51FFE29B">
      <w:pPr>
        <w:pStyle w:val="Heading2"/>
        <w:numPr>
          <w:ilvl w:val="0"/>
          <w:numId w:val="0"/>
        </w:numPr>
        <w:ind w:left="720"/>
      </w:pPr>
      <w:bookmarkStart w:id="3" w:name="_Toc153809966"/>
      <w:bookmarkStart w:id="4" w:name="_Hlk153458246"/>
      <w:r w:rsidRPr="00816D1F">
        <w:t>ASSIGNMENT OF ERROR NO. 2: The PUCO erred by issuing an Order that allows FirstEnergy to continue with and charge consumers for Grid Mod II when FirstEnergy has failed to demonstrate that the investments for Grid Mod I are used and useful and were prudently incurred under Ohio ratemaking law, R.C. 4909.15.</w:t>
      </w:r>
      <w:bookmarkEnd w:id="3"/>
    </w:p>
    <w:bookmarkEnd w:id="4"/>
    <w:p w:rsidR="00891BE4" w:rsidRPr="00816D1F" w:rsidP="00E84E06" w14:paraId="1285D638" w14:textId="0194D49E">
      <w:pPr>
        <w:spacing w:line="480" w:lineRule="auto"/>
        <w:ind w:firstLine="720"/>
        <w:rPr>
          <w:szCs w:val="24"/>
        </w:rPr>
      </w:pPr>
      <w:r w:rsidRPr="00816D1F">
        <w:rPr>
          <w:szCs w:val="24"/>
        </w:rPr>
        <w:t xml:space="preserve">The PUCO acknowledges in the Order that </w:t>
      </w:r>
      <w:r w:rsidRPr="00816D1F">
        <w:rPr>
          <w:szCs w:val="24"/>
        </w:rPr>
        <w:t>FirstEnergy must show that the Grid Mod 1 investment is used and useful and prudently incurred.</w:t>
      </w:r>
      <w:r>
        <w:rPr>
          <w:rStyle w:val="FootnoteReference"/>
          <w:szCs w:val="24"/>
        </w:rPr>
        <w:footnoteReference w:id="20"/>
      </w:r>
      <w:r w:rsidRPr="00816D1F">
        <w:rPr>
          <w:szCs w:val="24"/>
        </w:rPr>
        <w:t xml:space="preserve"> T</w:t>
      </w:r>
      <w:r w:rsidRPr="00816D1F" w:rsidR="00635BB7">
        <w:rPr>
          <w:szCs w:val="24"/>
        </w:rPr>
        <w:t xml:space="preserve">he </w:t>
      </w:r>
      <w:r w:rsidRPr="00816D1F">
        <w:rPr>
          <w:szCs w:val="24"/>
        </w:rPr>
        <w:t xml:space="preserve">PUCO </w:t>
      </w:r>
      <w:r w:rsidRPr="00816D1F" w:rsidR="00635BB7">
        <w:rPr>
          <w:szCs w:val="24"/>
        </w:rPr>
        <w:t xml:space="preserve">expressly </w:t>
      </w:r>
      <w:r w:rsidRPr="00816D1F">
        <w:rPr>
          <w:szCs w:val="24"/>
        </w:rPr>
        <w:t>stated that “[w]e agree with some of the commenters that it is appropriate to determine whether investments were used and useful and prudently incurred, as ordered in Grid Mod I Case, et al., Opinion and Order (July 17, 2019) at ¶ 33.”</w:t>
      </w:r>
      <w:r>
        <w:rPr>
          <w:rStyle w:val="FootnoteReference"/>
          <w:szCs w:val="24"/>
        </w:rPr>
        <w:footnoteReference w:id="21"/>
      </w:r>
      <w:r w:rsidRPr="00816D1F">
        <w:rPr>
          <w:szCs w:val="24"/>
        </w:rPr>
        <w:t xml:space="preserve"> </w:t>
      </w:r>
      <w:r w:rsidRPr="00816D1F" w:rsidR="00E84E06">
        <w:rPr>
          <w:szCs w:val="24"/>
        </w:rPr>
        <w:t>There has been no showing by FirstEnergy</w:t>
      </w:r>
      <w:r w:rsidR="005C55AB">
        <w:rPr>
          <w:szCs w:val="24"/>
        </w:rPr>
        <w:t xml:space="preserve"> that its</w:t>
      </w:r>
      <w:r w:rsidRPr="00816D1F" w:rsidR="00E84E06">
        <w:rPr>
          <w:szCs w:val="24"/>
        </w:rPr>
        <w:t xml:space="preserve"> Grid Mod I investments were used and useful and prudently incurred. </w:t>
      </w:r>
      <w:r w:rsidRPr="00816D1F">
        <w:rPr>
          <w:szCs w:val="24"/>
        </w:rPr>
        <w:t xml:space="preserve">Yet the PUCO </w:t>
      </w:r>
      <w:r w:rsidRPr="00816D1F" w:rsidR="00E84E06">
        <w:rPr>
          <w:szCs w:val="24"/>
        </w:rPr>
        <w:t xml:space="preserve">still </w:t>
      </w:r>
      <w:r w:rsidRPr="00816D1F">
        <w:rPr>
          <w:szCs w:val="24"/>
        </w:rPr>
        <w:t xml:space="preserve">determined that FirstEnergy </w:t>
      </w:r>
      <w:r w:rsidRPr="00816D1F" w:rsidR="00635BB7">
        <w:rPr>
          <w:szCs w:val="24"/>
        </w:rPr>
        <w:t xml:space="preserve">can </w:t>
      </w:r>
      <w:r w:rsidRPr="00816D1F">
        <w:rPr>
          <w:szCs w:val="24"/>
        </w:rPr>
        <w:t>mov</w:t>
      </w:r>
      <w:r w:rsidRPr="00816D1F" w:rsidR="00635BB7">
        <w:rPr>
          <w:szCs w:val="24"/>
        </w:rPr>
        <w:t>e</w:t>
      </w:r>
      <w:r w:rsidRPr="00816D1F">
        <w:rPr>
          <w:szCs w:val="24"/>
        </w:rPr>
        <w:t xml:space="preserve"> forward with Grid Mod II</w:t>
      </w:r>
      <w:r w:rsidRPr="00816D1F" w:rsidR="00E84E06">
        <w:rPr>
          <w:szCs w:val="24"/>
        </w:rPr>
        <w:t xml:space="preserve">, given the </w:t>
      </w:r>
      <w:r w:rsidRPr="00816D1F">
        <w:rPr>
          <w:szCs w:val="24"/>
        </w:rPr>
        <w:t>PUCO Staff</w:t>
      </w:r>
      <w:r w:rsidRPr="00816D1F" w:rsidR="00E84E06">
        <w:rPr>
          <w:szCs w:val="24"/>
        </w:rPr>
        <w:t>’s</w:t>
      </w:r>
      <w:r w:rsidRPr="00816D1F">
        <w:rPr>
          <w:szCs w:val="24"/>
        </w:rPr>
        <w:t xml:space="preserve"> annual</w:t>
      </w:r>
      <w:r w:rsidRPr="00816D1F" w:rsidR="00E84E06">
        <w:rPr>
          <w:szCs w:val="24"/>
        </w:rPr>
        <w:t xml:space="preserve"> audits of</w:t>
      </w:r>
      <w:r w:rsidRPr="00816D1F">
        <w:rPr>
          <w:szCs w:val="24"/>
        </w:rPr>
        <w:t xml:space="preserve"> </w:t>
      </w:r>
      <w:r w:rsidRPr="00816D1F" w:rsidR="00635BB7">
        <w:rPr>
          <w:szCs w:val="24"/>
        </w:rPr>
        <w:t>the Advanced Metering Infrastructure Rider (“Rider AMI”)</w:t>
      </w:r>
      <w:r w:rsidRPr="00816D1F">
        <w:rPr>
          <w:szCs w:val="24"/>
        </w:rPr>
        <w:t xml:space="preserve">. </w:t>
      </w:r>
      <w:r w:rsidRPr="00816D1F" w:rsidR="00E84E06">
        <w:rPr>
          <w:szCs w:val="24"/>
        </w:rPr>
        <w:t xml:space="preserve">The PUCO’s Order </w:t>
      </w:r>
      <w:r w:rsidRPr="00816D1F">
        <w:rPr>
          <w:szCs w:val="24"/>
        </w:rPr>
        <w:t>is unreasonable</w:t>
      </w:r>
      <w:r w:rsidRPr="00816D1F" w:rsidR="00E84E06">
        <w:rPr>
          <w:szCs w:val="24"/>
        </w:rPr>
        <w:t xml:space="preserve"> and unlawful under R.C. 4909.15. </w:t>
      </w:r>
    </w:p>
    <w:p w:rsidR="00891BE4" w:rsidRPr="00816D1F" w:rsidP="00B101BF" w14:paraId="6F1BF419" w14:textId="257D24E9">
      <w:pPr>
        <w:spacing w:line="480" w:lineRule="auto"/>
        <w:ind w:firstLine="720"/>
        <w:rPr>
          <w:szCs w:val="24"/>
        </w:rPr>
      </w:pPr>
      <w:r w:rsidRPr="00816D1F">
        <w:rPr>
          <w:szCs w:val="24"/>
        </w:rPr>
        <w:t>The</w:t>
      </w:r>
      <w:r w:rsidRPr="00816D1F" w:rsidR="00B101BF">
        <w:rPr>
          <w:szCs w:val="24"/>
        </w:rPr>
        <w:t xml:space="preserve"> auditor’s</w:t>
      </w:r>
      <w:r w:rsidRPr="00816D1F">
        <w:rPr>
          <w:szCs w:val="24"/>
        </w:rPr>
        <w:t xml:space="preserve"> review of Grid Mod I shows that FirstEnergy failed to demonstrate the usefulness of its Grid Mod I investments. For example, Daymark found that at the time of the Audit Report, portions of Grid Mod I technologies were in fact undergoing or awaiting full activation.</w:t>
      </w:r>
      <w:r>
        <w:rPr>
          <w:rStyle w:val="FootnoteReference"/>
          <w:szCs w:val="24"/>
        </w:rPr>
        <w:footnoteReference w:id="22"/>
      </w:r>
      <w:r w:rsidRPr="00816D1F">
        <w:rPr>
          <w:szCs w:val="24"/>
        </w:rPr>
        <w:t xml:space="preserve"> </w:t>
      </w:r>
      <w:r w:rsidRPr="00816D1F">
        <w:rPr>
          <w:bCs/>
          <w:szCs w:val="24"/>
        </w:rPr>
        <w:t>As a result, Daymark did not have the data “to rely on for determining functionality and performance of these technologies in comparison to planned specifications.”</w:t>
      </w:r>
      <w:r>
        <w:rPr>
          <w:rStyle w:val="FootnoteReference"/>
          <w:bCs/>
          <w:szCs w:val="24"/>
        </w:rPr>
        <w:footnoteReference w:id="23"/>
      </w:r>
      <w:r w:rsidRPr="00816D1F">
        <w:rPr>
          <w:bCs/>
          <w:szCs w:val="24"/>
        </w:rPr>
        <w:t xml:space="preserve"> </w:t>
      </w:r>
      <w:r w:rsidRPr="00816D1F">
        <w:rPr>
          <w:szCs w:val="24"/>
        </w:rPr>
        <w:t xml:space="preserve">Moreover, Daymark found FirstEnergy to be lax in presentation of clear documentation of the complete assumptions behind operational savings estimates, combined with the lack of direct reporting as to operations savings being achieved. This precluded a direct audit determination of current and future level of operational savings to be credited to consumers under Rider AMI. </w:t>
      </w:r>
    </w:p>
    <w:p w:rsidR="003F600A" w:rsidRPr="00816D1F" w:rsidP="00891BE4" w14:paraId="43A5FFA7" w14:textId="430BE879">
      <w:pPr>
        <w:spacing w:line="480" w:lineRule="auto"/>
        <w:ind w:firstLine="720"/>
        <w:rPr>
          <w:bCs/>
          <w:szCs w:val="24"/>
        </w:rPr>
      </w:pPr>
      <w:r w:rsidRPr="00816D1F">
        <w:rPr>
          <w:bCs/>
          <w:szCs w:val="24"/>
        </w:rPr>
        <w:t xml:space="preserve">The PUCO should </w:t>
      </w:r>
      <w:r w:rsidRPr="00816D1F" w:rsidR="00B101BF">
        <w:rPr>
          <w:bCs/>
          <w:szCs w:val="24"/>
        </w:rPr>
        <w:t xml:space="preserve">grant rehearing to </w:t>
      </w:r>
      <w:r w:rsidRPr="00816D1F">
        <w:rPr>
          <w:bCs/>
          <w:szCs w:val="24"/>
        </w:rPr>
        <w:t>consider these issues through an evidentiary hearing in this case</w:t>
      </w:r>
      <w:r w:rsidRPr="00816D1F" w:rsidR="00E84E06">
        <w:rPr>
          <w:bCs/>
          <w:szCs w:val="24"/>
        </w:rPr>
        <w:t>,</w:t>
      </w:r>
      <w:r w:rsidRPr="00816D1F">
        <w:rPr>
          <w:bCs/>
          <w:szCs w:val="24"/>
        </w:rPr>
        <w:t xml:space="preserve"> before allowing FirstEnergy to proceed with its application for Grid Mod II. Consumers should not be forced to pay for FirstEnergy’s Grid Mod I investments that cannot be demonstrated to be used and useful and prudently incurred.</w:t>
      </w:r>
      <w:r w:rsidRPr="00816D1F">
        <w:rPr>
          <w:bCs/>
          <w:szCs w:val="24"/>
        </w:rPr>
        <w:t xml:space="preserve"> </w:t>
      </w:r>
    </w:p>
    <w:p w:rsidR="0070391E" w:rsidRPr="00816D1F" w:rsidP="00E84E06" w14:paraId="03333180" w14:textId="77777777">
      <w:pPr>
        <w:spacing w:line="480" w:lineRule="auto"/>
        <w:ind w:firstLine="720"/>
        <w:rPr>
          <w:szCs w:val="24"/>
        </w:rPr>
      </w:pPr>
      <w:r w:rsidRPr="00816D1F">
        <w:rPr>
          <w:szCs w:val="24"/>
        </w:rPr>
        <w:t>Moreover, if Grid Mod I investments are not found to be used and useful, the past collections from consumers should be refunded. Refunds to consumers could be ordered under Rider AMI, given the approved tariff language that “[t]his Rider is subject to reconciliation, including, but not limited to increases or refunds.”</w:t>
      </w:r>
      <w:r>
        <w:rPr>
          <w:rStyle w:val="FootnoteReference"/>
          <w:szCs w:val="24"/>
        </w:rPr>
        <w:footnoteReference w:id="24"/>
      </w:r>
      <w:r w:rsidRPr="00816D1F">
        <w:rPr>
          <w:szCs w:val="24"/>
        </w:rPr>
        <w:t xml:space="preserve"> The PUCO found this tariff language “clearly anticipates the possibility that, as a result of an audit ordered by the Commission, a disallowance may occur and such disallowance may result in a refund to ratepayers.”</w:t>
      </w:r>
      <w:r>
        <w:rPr>
          <w:rStyle w:val="FootnoteReference"/>
          <w:szCs w:val="24"/>
        </w:rPr>
        <w:footnoteReference w:id="25"/>
      </w:r>
      <w:r w:rsidRPr="00816D1F">
        <w:rPr>
          <w:szCs w:val="24"/>
        </w:rPr>
        <w:t xml:space="preserve"> </w:t>
      </w:r>
    </w:p>
    <w:p w:rsidR="00891BE4" w:rsidRPr="00816D1F" w:rsidP="00E84E06" w14:paraId="1E7059EC" w14:textId="60B4627D">
      <w:pPr>
        <w:spacing w:line="480" w:lineRule="auto"/>
        <w:ind w:firstLine="720"/>
        <w:rPr>
          <w:szCs w:val="24"/>
        </w:rPr>
      </w:pPr>
      <w:r w:rsidRPr="00816D1F">
        <w:rPr>
          <w:szCs w:val="24"/>
        </w:rPr>
        <w:t>Refunds should be ordered if FirstEnergy fails to show how the Grid Mod I investments are both used and useful to its consumers. Refunds to consumers are also required under the supplemental settlement, which requires that “[i]f a Commission order finds that costs were either not prudently incurred or were not used and useful, such costs will not be collected from customers and, if already collected, shall be refunded to the customers.”</w:t>
      </w:r>
      <w:r w:rsidRPr="00816D1F">
        <w:rPr>
          <w:rStyle w:val="FootnoteReference"/>
          <w:szCs w:val="24"/>
        </w:rPr>
        <w:t xml:space="preserve"> </w:t>
      </w:r>
      <w:r>
        <w:rPr>
          <w:rStyle w:val="FootnoteReference"/>
          <w:szCs w:val="24"/>
        </w:rPr>
        <w:footnoteReference w:id="26"/>
      </w:r>
      <w:r w:rsidRPr="00816D1F" w:rsidR="00E84E06">
        <w:rPr>
          <w:szCs w:val="24"/>
        </w:rPr>
        <w:t xml:space="preserve"> </w:t>
      </w:r>
      <w:r w:rsidRPr="00816D1F" w:rsidR="00B555D3">
        <w:rPr>
          <w:szCs w:val="24"/>
        </w:rPr>
        <w:t>The PUCO should grant rehearing and modify the Order.</w:t>
      </w:r>
      <w:r w:rsidRPr="00816D1F">
        <w:rPr>
          <w:bCs/>
          <w:szCs w:val="24"/>
        </w:rPr>
        <w:t xml:space="preserve"> </w:t>
      </w:r>
    </w:p>
    <w:p w:rsidR="00B555D3" w:rsidRPr="00816D1F" w:rsidP="00EA3C70" w14:paraId="33CDEB18" w14:textId="2230BAC7">
      <w:pPr>
        <w:pStyle w:val="Heading2"/>
        <w:numPr>
          <w:ilvl w:val="0"/>
          <w:numId w:val="0"/>
        </w:numPr>
        <w:ind w:left="720"/>
      </w:pPr>
      <w:bookmarkStart w:id="5" w:name="_Toc153809967"/>
      <w:bookmarkStart w:id="6" w:name="_Hlk153458270"/>
      <w:r w:rsidRPr="00816D1F">
        <w:t>ASSIGNMENT OF ERROR NO. 3: The PUCO erred by issuing an Order that allows FirstEnergy to apply fixed operational savings in years four through six of Grid Mod. The PUCO should grant rehearing to require FirstEnergy to identify the actual operational savings of Grid Mod I before implementing Grid Mod II.</w:t>
      </w:r>
      <w:bookmarkEnd w:id="5"/>
    </w:p>
    <w:bookmarkEnd w:id="6"/>
    <w:p w:rsidR="00B555D3" w:rsidRPr="00816D1F" w:rsidP="00B81E20" w14:paraId="71D433C8" w14:textId="6462AF21">
      <w:pPr>
        <w:spacing w:line="480" w:lineRule="auto"/>
        <w:ind w:firstLine="720"/>
        <w:rPr>
          <w:szCs w:val="24"/>
        </w:rPr>
      </w:pPr>
      <w:r w:rsidRPr="00816D1F">
        <w:rPr>
          <w:szCs w:val="24"/>
        </w:rPr>
        <w:t>T</w:t>
      </w:r>
      <w:r w:rsidRPr="00816D1F" w:rsidR="00D661D9">
        <w:rPr>
          <w:szCs w:val="24"/>
        </w:rPr>
        <w:t>he PUCO</w:t>
      </w:r>
      <w:r w:rsidRPr="00816D1F">
        <w:rPr>
          <w:szCs w:val="24"/>
        </w:rPr>
        <w:t>’s Order unreasonably allows FirstEnergy to continue charging consumers for Grid Mod</w:t>
      </w:r>
      <w:r w:rsidRPr="00816D1F" w:rsidR="002A2007">
        <w:rPr>
          <w:szCs w:val="24"/>
        </w:rPr>
        <w:t xml:space="preserve">. And because FirstEnergy has not been able to demonstrate actual benefits to consumers, the PUCO </w:t>
      </w:r>
      <w:r w:rsidRPr="00816D1F">
        <w:rPr>
          <w:szCs w:val="24"/>
        </w:rPr>
        <w:t xml:space="preserve">adopts </w:t>
      </w:r>
      <w:r w:rsidRPr="00816D1F" w:rsidR="00D661D9">
        <w:rPr>
          <w:szCs w:val="24"/>
        </w:rPr>
        <w:t>FirstEnergy</w:t>
      </w:r>
      <w:r w:rsidRPr="00816D1F">
        <w:rPr>
          <w:szCs w:val="24"/>
        </w:rPr>
        <w:t xml:space="preserve">’s proposal to </w:t>
      </w:r>
      <w:r w:rsidRPr="00816D1F" w:rsidR="00D661D9">
        <w:rPr>
          <w:szCs w:val="24"/>
        </w:rPr>
        <w:t>apply fixed operational savings for years four through six of the program. The PUCO</w:t>
      </w:r>
      <w:r w:rsidRPr="00816D1F">
        <w:rPr>
          <w:szCs w:val="24"/>
        </w:rPr>
        <w:t xml:space="preserve">’s Order is unfair and unreasonable. </w:t>
      </w:r>
      <w:r w:rsidRPr="00816D1F" w:rsidR="00B81E20">
        <w:rPr>
          <w:szCs w:val="24"/>
        </w:rPr>
        <w:t xml:space="preserve">FirstEnergy should not be able to charge consumers </w:t>
      </w:r>
      <w:r w:rsidRPr="00816D1F" w:rsidR="00B81E20">
        <w:rPr>
          <w:i/>
          <w:iCs/>
          <w:szCs w:val="24"/>
        </w:rPr>
        <w:t>at all</w:t>
      </w:r>
      <w:r w:rsidRPr="00816D1F" w:rsidR="00B81E20">
        <w:rPr>
          <w:szCs w:val="24"/>
        </w:rPr>
        <w:t xml:space="preserve"> until it can demonstrate actual operational savings</w:t>
      </w:r>
      <w:r w:rsidRPr="00816D1F" w:rsidR="004A347E">
        <w:rPr>
          <w:szCs w:val="24"/>
        </w:rPr>
        <w:t xml:space="preserve"> from Grid Mod I</w:t>
      </w:r>
      <w:r w:rsidRPr="00816D1F" w:rsidR="00B81E20">
        <w:rPr>
          <w:szCs w:val="24"/>
        </w:rPr>
        <w:t>.</w:t>
      </w:r>
    </w:p>
    <w:p w:rsidR="004A347E" w:rsidRPr="00816D1F" w:rsidP="004A347E" w14:paraId="78460913" w14:textId="77777777">
      <w:pPr>
        <w:spacing w:line="480" w:lineRule="auto"/>
        <w:ind w:firstLine="720"/>
        <w:rPr>
          <w:szCs w:val="24"/>
        </w:rPr>
      </w:pPr>
      <w:r w:rsidRPr="00816D1F">
        <w:rPr>
          <w:szCs w:val="24"/>
        </w:rPr>
        <w:t>The auditor was supposed to determine the actual operational savings under FirstEnergy’s Grid Mod I and compare those savings to the credits being made to consumers and recommend an ongoing level of credits to consumers.</w:t>
      </w:r>
      <w:r>
        <w:rPr>
          <w:rStyle w:val="FootnoteReference"/>
          <w:szCs w:val="24"/>
        </w:rPr>
        <w:footnoteReference w:id="27"/>
      </w:r>
      <w:r w:rsidRPr="00816D1F">
        <w:rPr>
          <w:szCs w:val="24"/>
        </w:rPr>
        <w:t xml:space="preserve"> But the auditor was unable to do this because of FirstEnergy’s </w:t>
      </w:r>
      <w:r w:rsidRPr="00816D1F">
        <w:rPr>
          <w:i/>
          <w:iCs/>
          <w:szCs w:val="24"/>
        </w:rPr>
        <w:t>own failure</w:t>
      </w:r>
      <w:r w:rsidRPr="00816D1F">
        <w:rPr>
          <w:szCs w:val="24"/>
        </w:rPr>
        <w:t xml:space="preserve"> to provide necessary documentation regarding the operational savings achieved.</w:t>
      </w:r>
      <w:r>
        <w:rPr>
          <w:rStyle w:val="FootnoteReference"/>
          <w:szCs w:val="24"/>
        </w:rPr>
        <w:footnoteReference w:id="28"/>
      </w:r>
      <w:r w:rsidRPr="00816D1F">
        <w:rPr>
          <w:szCs w:val="24"/>
        </w:rPr>
        <w:t xml:space="preserve"> </w:t>
      </w:r>
      <w:r w:rsidRPr="00816D1F" w:rsidR="00B555D3">
        <w:rPr>
          <w:szCs w:val="24"/>
        </w:rPr>
        <w:t xml:space="preserve">FirstEnergy’s lack of clear documentation and its lack of direct reporting led to the </w:t>
      </w:r>
      <w:r w:rsidRPr="00816D1F">
        <w:rPr>
          <w:szCs w:val="24"/>
        </w:rPr>
        <w:t>a</w:t>
      </w:r>
      <w:r w:rsidRPr="00816D1F" w:rsidR="00B555D3">
        <w:rPr>
          <w:szCs w:val="24"/>
        </w:rPr>
        <w:t xml:space="preserve">uditor having “no adopted recommendation” for a consumer credit in years </w:t>
      </w:r>
      <w:r w:rsidRPr="00816D1F" w:rsidR="00B81E20">
        <w:rPr>
          <w:szCs w:val="24"/>
        </w:rPr>
        <w:t>four</w:t>
      </w:r>
      <w:r w:rsidRPr="00816D1F" w:rsidR="00B555D3">
        <w:rPr>
          <w:szCs w:val="24"/>
        </w:rPr>
        <w:t xml:space="preserve">, </w:t>
      </w:r>
      <w:r w:rsidRPr="00816D1F" w:rsidR="00B81E20">
        <w:rPr>
          <w:szCs w:val="24"/>
        </w:rPr>
        <w:t>five</w:t>
      </w:r>
      <w:r w:rsidRPr="00816D1F" w:rsidR="00B555D3">
        <w:rPr>
          <w:szCs w:val="24"/>
        </w:rPr>
        <w:t xml:space="preserve">, and </w:t>
      </w:r>
      <w:r w:rsidRPr="00816D1F" w:rsidR="00B81E20">
        <w:rPr>
          <w:szCs w:val="24"/>
        </w:rPr>
        <w:t>six</w:t>
      </w:r>
      <w:r w:rsidRPr="00816D1F" w:rsidR="00B555D3">
        <w:rPr>
          <w:szCs w:val="24"/>
        </w:rPr>
        <w:t xml:space="preserve">. </w:t>
      </w:r>
    </w:p>
    <w:p w:rsidR="00B555D3" w:rsidRPr="00816D1F" w:rsidP="004A347E" w14:paraId="74D37C69" w14:textId="4EC39DD9">
      <w:pPr>
        <w:spacing w:line="480" w:lineRule="auto"/>
        <w:ind w:firstLine="720"/>
        <w:rPr>
          <w:szCs w:val="24"/>
        </w:rPr>
      </w:pPr>
      <w:r w:rsidRPr="00816D1F">
        <w:rPr>
          <w:szCs w:val="24"/>
        </w:rPr>
        <w:t>For the PUCO to</w:t>
      </w:r>
      <w:r w:rsidRPr="00816D1F">
        <w:rPr>
          <w:szCs w:val="24"/>
        </w:rPr>
        <w:t xml:space="preserve"> </w:t>
      </w:r>
      <w:r w:rsidRPr="00816D1F" w:rsidR="004A347E">
        <w:rPr>
          <w:szCs w:val="24"/>
        </w:rPr>
        <w:t xml:space="preserve">simply </w:t>
      </w:r>
      <w:r w:rsidRPr="00816D1F">
        <w:rPr>
          <w:szCs w:val="24"/>
        </w:rPr>
        <w:t xml:space="preserve">accept </w:t>
      </w:r>
      <w:r w:rsidRPr="00816D1F">
        <w:rPr>
          <w:szCs w:val="24"/>
        </w:rPr>
        <w:t>the</w:t>
      </w:r>
      <w:r w:rsidRPr="00816D1F">
        <w:rPr>
          <w:szCs w:val="24"/>
        </w:rPr>
        <w:t xml:space="preserve"> fixed </w:t>
      </w:r>
      <w:r w:rsidRPr="00816D1F">
        <w:rPr>
          <w:szCs w:val="24"/>
        </w:rPr>
        <w:t xml:space="preserve">operational </w:t>
      </w:r>
      <w:r w:rsidRPr="00816D1F">
        <w:rPr>
          <w:szCs w:val="24"/>
        </w:rPr>
        <w:t xml:space="preserve">savings </w:t>
      </w:r>
      <w:r w:rsidRPr="00816D1F" w:rsidR="004A347E">
        <w:rPr>
          <w:szCs w:val="24"/>
        </w:rPr>
        <w:t>going forward</w:t>
      </w:r>
      <w:r w:rsidRPr="00816D1F">
        <w:rPr>
          <w:szCs w:val="24"/>
        </w:rPr>
        <w:t xml:space="preserve"> unfairly rewards </w:t>
      </w:r>
      <w:r w:rsidRPr="00816D1F">
        <w:rPr>
          <w:szCs w:val="24"/>
        </w:rPr>
        <w:t xml:space="preserve">FirstEnergy. And it seems to undermine the settlement agreed to by FirstEnergy and others, including OCC, which was intended to allow a modified level of savings to be considered by the </w:t>
      </w:r>
      <w:r w:rsidRPr="00816D1F">
        <w:rPr>
          <w:szCs w:val="24"/>
        </w:rPr>
        <w:t>a</w:t>
      </w:r>
      <w:r w:rsidRPr="00816D1F">
        <w:rPr>
          <w:szCs w:val="24"/>
        </w:rPr>
        <w:t xml:space="preserve">uditor. </w:t>
      </w:r>
    </w:p>
    <w:p w:rsidR="00B555D3" w:rsidRPr="00816D1F" w:rsidP="00B81E20" w14:paraId="3FFF35C1" w14:textId="5E3041E6">
      <w:pPr>
        <w:spacing w:line="480" w:lineRule="auto"/>
        <w:ind w:firstLine="720"/>
        <w:rPr>
          <w:szCs w:val="24"/>
        </w:rPr>
      </w:pPr>
      <w:r w:rsidRPr="00816D1F">
        <w:rPr>
          <w:szCs w:val="24"/>
        </w:rPr>
        <w:t xml:space="preserve">The </w:t>
      </w:r>
      <w:r w:rsidRPr="00816D1F">
        <w:rPr>
          <w:szCs w:val="24"/>
        </w:rPr>
        <w:t xml:space="preserve">PUCO </w:t>
      </w:r>
      <w:r w:rsidRPr="00816D1F">
        <w:rPr>
          <w:szCs w:val="24"/>
        </w:rPr>
        <w:t xml:space="preserve">should grant rehearing and modify its Order to </w:t>
      </w:r>
      <w:r w:rsidRPr="00816D1F">
        <w:rPr>
          <w:szCs w:val="24"/>
        </w:rPr>
        <w:t xml:space="preserve">direct FirstEnergy to </w:t>
      </w:r>
      <w:r w:rsidRPr="00816D1F">
        <w:rPr>
          <w:szCs w:val="24"/>
        </w:rPr>
        <w:t>work</w:t>
      </w:r>
      <w:r w:rsidRPr="00816D1F">
        <w:rPr>
          <w:szCs w:val="24"/>
        </w:rPr>
        <w:t xml:space="preserve"> with the </w:t>
      </w:r>
      <w:r w:rsidRPr="00816D1F">
        <w:rPr>
          <w:szCs w:val="24"/>
        </w:rPr>
        <w:t>a</w:t>
      </w:r>
      <w:r w:rsidRPr="00816D1F">
        <w:rPr>
          <w:szCs w:val="24"/>
        </w:rPr>
        <w:t xml:space="preserve">uditor and identify the actual operational savings achieved to date under FirstEnergy’s Grid Mod I program. </w:t>
      </w:r>
      <w:r w:rsidRPr="00816D1F">
        <w:rPr>
          <w:szCs w:val="24"/>
        </w:rPr>
        <w:t>Until FirstEnergy can demonstrate actual operational savings from Grid Mod I, it should not be allowed to continue charging consumers for the Grid Mod program in years four, five, and six.</w:t>
      </w:r>
    </w:p>
    <w:p w:rsidR="00515DF7" w:rsidRPr="00816D1F" w:rsidP="00515DF7" w14:paraId="166D8714" w14:textId="7F0AA937">
      <w:pPr>
        <w:pStyle w:val="Heading2"/>
        <w:numPr>
          <w:ilvl w:val="0"/>
          <w:numId w:val="0"/>
        </w:numPr>
        <w:ind w:left="720"/>
      </w:pPr>
      <w:bookmarkStart w:id="7" w:name="_Toc153809968"/>
      <w:r w:rsidRPr="00816D1F">
        <w:t>ASSIGNMENT OF ERROR NO. 4: The PUCO erred by issuing an Order that allows FirstEnergy to continue with and charge consumers for Grid Mod II given the commonality of Grid Mod II with the FirstEnergy H.B. 6 investigation cases stayed by the PUCO. The PUCO should</w:t>
      </w:r>
      <w:r w:rsidRPr="00816D1F" w:rsidR="00971FDF">
        <w:t xml:space="preserve"> grant rehearing and</w:t>
      </w:r>
      <w:r w:rsidRPr="00816D1F">
        <w:t xml:space="preserve"> stay the continuation of Grid Mod II</w:t>
      </w:r>
      <w:r w:rsidRPr="00816D1F" w:rsidR="00971FDF">
        <w:t xml:space="preserve"> as well.</w:t>
      </w:r>
      <w:bookmarkEnd w:id="7"/>
    </w:p>
    <w:p w:rsidR="002C55A2" w:rsidRPr="00816D1F" w:rsidP="002C55A2" w14:paraId="1B118068" w14:textId="795BB0F8">
      <w:pPr>
        <w:spacing w:line="480" w:lineRule="auto"/>
        <w:ind w:firstLine="720"/>
        <w:rPr>
          <w:szCs w:val="24"/>
        </w:rPr>
      </w:pPr>
      <w:r w:rsidRPr="00816D1F">
        <w:rPr>
          <w:szCs w:val="24"/>
        </w:rPr>
        <w:t xml:space="preserve">The PUCO’s Order </w:t>
      </w:r>
      <w:r w:rsidRPr="00816D1F">
        <w:rPr>
          <w:szCs w:val="24"/>
        </w:rPr>
        <w:t>permits FirstEnergy to move forward with GridMod II.</w:t>
      </w:r>
      <w:r>
        <w:rPr>
          <w:rStyle w:val="FootnoteReference"/>
          <w:szCs w:val="24"/>
        </w:rPr>
        <w:footnoteReference w:id="29"/>
      </w:r>
      <w:r w:rsidRPr="00816D1F">
        <w:rPr>
          <w:szCs w:val="24"/>
        </w:rPr>
        <w:t xml:space="preserve"> The PUCO’s Order is unreasonable</w:t>
      </w:r>
      <w:r w:rsidRPr="00816D1F" w:rsidR="004A19FA">
        <w:rPr>
          <w:szCs w:val="24"/>
        </w:rPr>
        <w:t>,</w:t>
      </w:r>
      <w:r w:rsidRPr="00816D1F">
        <w:rPr>
          <w:szCs w:val="24"/>
        </w:rPr>
        <w:t xml:space="preserve"> and rehearing should be granted to stay the continuation of GridMod pending the resolution of the FirstEnergy H.B.6 investigation cases, which </w:t>
      </w:r>
      <w:r w:rsidRPr="00816D1F" w:rsidR="004A19FA">
        <w:rPr>
          <w:szCs w:val="24"/>
        </w:rPr>
        <w:t>have been stayed by the</w:t>
      </w:r>
      <w:r w:rsidRPr="00816D1F">
        <w:rPr>
          <w:szCs w:val="24"/>
        </w:rPr>
        <w:t xml:space="preserve"> PUCO.</w:t>
      </w:r>
      <w:r w:rsidRPr="00816D1F" w:rsidR="004A19FA">
        <w:rPr>
          <w:szCs w:val="24"/>
        </w:rPr>
        <w:t xml:space="preserve"> </w:t>
      </w:r>
      <w:r w:rsidRPr="00816D1F" w:rsidR="004A19FA">
        <w:rPr>
          <w:color w:val="000000" w:themeColor="text1"/>
          <w:szCs w:val="24"/>
          <w:shd w:val="clear" w:color="auto" w:fill="FFFFFF"/>
        </w:rPr>
        <w:t xml:space="preserve">Recently, </w:t>
      </w:r>
      <w:r w:rsidRPr="00816D1F" w:rsidR="004A19FA">
        <w:rPr>
          <w:szCs w:val="24"/>
        </w:rPr>
        <w:t>former PUCO Chair Randazzo was criminally indicted on eleven counts related to bribery and embezzlement, including an alleged conspiracy scheme and scheme to defraud customers dating back to 2010.</w:t>
      </w:r>
      <w:r>
        <w:rPr>
          <w:rStyle w:val="FootnoteReference"/>
          <w:szCs w:val="24"/>
        </w:rPr>
        <w:footnoteReference w:id="30"/>
      </w:r>
    </w:p>
    <w:p w:rsidR="002C55A2" w:rsidRPr="00816D1F" w:rsidP="002C55A2" w14:paraId="4EB9F59A" w14:textId="172A7F23">
      <w:pPr>
        <w:kinsoku w:val="0"/>
        <w:overflowPunct w:val="0"/>
        <w:autoSpaceDE w:val="0"/>
        <w:autoSpaceDN w:val="0"/>
        <w:adjustRightInd w:val="0"/>
        <w:spacing w:line="480" w:lineRule="auto"/>
        <w:ind w:firstLine="720"/>
        <w:rPr>
          <w:szCs w:val="24"/>
        </w:rPr>
      </w:pPr>
      <w:r w:rsidRPr="00816D1F">
        <w:rPr>
          <w:szCs w:val="24"/>
        </w:rPr>
        <w:t xml:space="preserve">Before increasing what FirstEnergy will charge consumers under GridMod II, consumers have a right to know how deep the corruption runs. That corruption potentially involves FirstEnergy and its grid modernization plan and its relationship with Randazzo. Recall that FirstEnergy Corp. entered into a Deferred Prosecution Agreement with the Government under which it admitted that it </w:t>
      </w:r>
      <w:r w:rsidRPr="00816D1F">
        <w:rPr>
          <w:color w:val="000000" w:themeColor="text1"/>
          <w:szCs w:val="24"/>
        </w:rPr>
        <w:t>“</w:t>
      </w:r>
      <w:r w:rsidRPr="00816D1F">
        <w:rPr>
          <w:color w:val="000000" w:themeColor="text1"/>
          <w:szCs w:val="24"/>
          <w:shd w:val="clear" w:color="auto" w:fill="FFFFFF"/>
        </w:rPr>
        <w:t xml:space="preserve">paid $4.3 million dollars to [Randazzo] through his consulting company in return for [Randazzo] performing official action in his capacity as PUCO Chairman to further FirstEnergy Corp.’s interests relating to passage of nuclear legislation and </w:t>
      </w:r>
      <w:r w:rsidRPr="00816D1F">
        <w:rPr>
          <w:i/>
          <w:iCs/>
          <w:color w:val="000000" w:themeColor="text1"/>
          <w:szCs w:val="24"/>
          <w:shd w:val="clear" w:color="auto" w:fill="FFFFFF"/>
        </w:rPr>
        <w:t>other specific FirstEnergy Corp. legislative and regulatory priorities, as requested and as opportunities arose.”</w:t>
      </w:r>
      <w:r>
        <w:rPr>
          <w:rStyle w:val="FootnoteReference"/>
          <w:color w:val="000000" w:themeColor="text1"/>
          <w:szCs w:val="24"/>
          <w:shd w:val="clear" w:color="auto" w:fill="FFFFFF"/>
        </w:rPr>
        <w:footnoteReference w:id="31"/>
      </w:r>
      <w:r w:rsidRPr="00816D1F">
        <w:rPr>
          <w:szCs w:val="24"/>
        </w:rPr>
        <w:t xml:space="preserve"> </w:t>
      </w:r>
    </w:p>
    <w:p w:rsidR="00026AE9" w:rsidP="002C55A2" w14:paraId="4F0FFE12" w14:textId="793B2B17">
      <w:pPr>
        <w:pStyle w:val="BodyTextIndent3"/>
        <w:widowControl w:val="0"/>
        <w:spacing w:line="480" w:lineRule="auto"/>
        <w:ind w:right="90"/>
        <w:rPr>
          <w:szCs w:val="24"/>
        </w:rPr>
      </w:pPr>
      <w:r w:rsidRPr="00816D1F">
        <w:rPr>
          <w:szCs w:val="24"/>
        </w:rPr>
        <w:t>In FirstEnergy’s Grid Mod I case,</w:t>
      </w:r>
      <w:r>
        <w:rPr>
          <w:rStyle w:val="FootnoteReference"/>
          <w:szCs w:val="24"/>
        </w:rPr>
        <w:footnoteReference w:id="32"/>
      </w:r>
      <w:r w:rsidRPr="00816D1F">
        <w:rPr>
          <w:szCs w:val="24"/>
        </w:rPr>
        <w:t xml:space="preserve"> FirstEnergy is charging consumers for $516 million related to its Grid Mod I program which was set in motion through a settlement in FirstEnergy’s ESP IV.</w:t>
      </w:r>
      <w:r>
        <w:rPr>
          <w:rStyle w:val="FootnoteReference"/>
          <w:szCs w:val="24"/>
        </w:rPr>
        <w:footnoteReference w:id="33"/>
      </w:r>
      <w:r w:rsidRPr="00816D1F">
        <w:rPr>
          <w:szCs w:val="24"/>
        </w:rPr>
        <w:t xml:space="preserve"> In FirstEnergy’s ESP IV, as part of the settlement, FirstEnergy agreed that, if the PUCO approved its plan, it would collect charges from consumers through a single-issue ratemaking charge.</w:t>
      </w:r>
      <w:r>
        <w:rPr>
          <w:rStyle w:val="FootnoteReference"/>
          <w:szCs w:val="24"/>
        </w:rPr>
        <w:footnoteReference w:id="34"/>
      </w:r>
      <w:r w:rsidRPr="00816D1F">
        <w:rPr>
          <w:szCs w:val="24"/>
        </w:rPr>
        <w:t xml:space="preserve"> FirstEnergy’s ESP IV is presently under investigation, through Case No. 20-1629-EL-RDR, where the PUCO expanded the audit scope to include an investigation of whether FirstEnergy violated R.C. 4928.145.</w:t>
      </w:r>
      <w:r>
        <w:rPr>
          <w:rStyle w:val="FootnoteReference"/>
          <w:szCs w:val="24"/>
        </w:rPr>
        <w:footnoteReference w:id="35"/>
      </w:r>
    </w:p>
    <w:p w:rsidR="00026AE9" w14:paraId="6DF0FA41" w14:textId="77777777">
      <w:pPr>
        <w:rPr>
          <w:szCs w:val="24"/>
        </w:rPr>
      </w:pPr>
      <w:r>
        <w:rPr>
          <w:szCs w:val="24"/>
        </w:rPr>
        <w:br w:type="page"/>
      </w:r>
    </w:p>
    <w:p w:rsidR="002C55A2" w:rsidRPr="00816D1F" w:rsidP="002C55A2" w14:paraId="3392E350" w14:textId="77777777">
      <w:pPr>
        <w:pStyle w:val="BodyTextIndent3"/>
        <w:widowControl w:val="0"/>
        <w:spacing w:line="480" w:lineRule="auto"/>
        <w:ind w:right="90"/>
        <w:rPr>
          <w:szCs w:val="24"/>
        </w:rPr>
      </w:pPr>
      <w:r w:rsidRPr="00816D1F">
        <w:rPr>
          <w:szCs w:val="24"/>
        </w:rPr>
        <w:t>The PUCO, under the direction of former Chair Randazzo, later approved a specific grid modernization charge to consumers when it resolved a seemingly unrelated tax savings case.</w:t>
      </w:r>
      <w:r>
        <w:rPr>
          <w:rStyle w:val="FootnoteReference"/>
          <w:szCs w:val="24"/>
        </w:rPr>
        <w:footnoteReference w:id="36"/>
      </w:r>
      <w:r w:rsidRPr="00816D1F">
        <w:rPr>
          <w:szCs w:val="24"/>
        </w:rPr>
        <w:t xml:space="preserve"> Consumers who have been ordered to pay for Grid Mod I expenditures</w:t>
      </w:r>
      <w:r>
        <w:rPr>
          <w:rStyle w:val="FootnoteReference"/>
          <w:szCs w:val="24"/>
        </w:rPr>
        <w:footnoteReference w:id="37"/>
      </w:r>
      <w:r w:rsidRPr="00816D1F">
        <w:rPr>
          <w:szCs w:val="24"/>
        </w:rPr>
        <w:t xml:space="preserve"> deserve to know whether Mr. Randazzo undertook “official action in his capacity as PUCO Chairman to further FirstEnergy Corp.’s interests” “as requested and as opportunities arose”</w:t>
      </w:r>
      <w:r>
        <w:rPr>
          <w:rStyle w:val="FootnoteReference"/>
          <w:szCs w:val="24"/>
        </w:rPr>
        <w:footnoteReference w:id="38"/>
      </w:r>
      <w:r w:rsidRPr="00816D1F">
        <w:rPr>
          <w:szCs w:val="24"/>
        </w:rPr>
        <w:t xml:space="preserve"> in securing approval for the Grid Mod I rider charge to consumers. </w:t>
      </w:r>
    </w:p>
    <w:p w:rsidR="002C55A2" w:rsidRPr="00816D1F" w:rsidP="002C55A2" w14:paraId="252747AF" w14:textId="77777777">
      <w:pPr>
        <w:pStyle w:val="BodyTextIndent3"/>
        <w:widowControl w:val="0"/>
        <w:spacing w:line="480" w:lineRule="auto"/>
        <w:ind w:right="90"/>
        <w:rPr>
          <w:szCs w:val="24"/>
        </w:rPr>
      </w:pPr>
      <w:r w:rsidRPr="00816D1F">
        <w:rPr>
          <w:szCs w:val="24"/>
        </w:rPr>
        <w:t>In FirstEnergy’s Grid Mod II, FirstEnergy is seeking approval to charge consumers for an additional $626 million grid modernization investment even though it hasn’t demonstrated the benefits it promised from Grid Mod I.</w:t>
      </w:r>
      <w:r>
        <w:rPr>
          <w:rStyle w:val="FootnoteReference"/>
          <w:szCs w:val="24"/>
        </w:rPr>
        <w:footnoteReference w:id="39"/>
      </w:r>
      <w:r w:rsidRPr="00816D1F">
        <w:rPr>
          <w:szCs w:val="24"/>
        </w:rPr>
        <w:t xml:space="preserve"> FirstEnergy’s Grid Mod II case is premised on its Grid Mod business plan which relates back to FirstEnergy’s ESP IV as well as former Chairman Randazzo’s approval of grid modernization charges to consumers through the tax savings case. Grid Mod II (and Grid Mod I) cannot be separated from the HB 6 investigations.</w:t>
      </w:r>
    </w:p>
    <w:p w:rsidR="004A19FA" w:rsidRPr="00816D1F" w:rsidP="002C55A2" w14:paraId="120B17E9" w14:textId="77777777">
      <w:pPr>
        <w:kinsoku w:val="0"/>
        <w:overflowPunct w:val="0"/>
        <w:autoSpaceDE w:val="0"/>
        <w:autoSpaceDN w:val="0"/>
        <w:adjustRightInd w:val="0"/>
        <w:spacing w:line="480" w:lineRule="auto"/>
        <w:ind w:firstLine="720"/>
        <w:rPr>
          <w:color w:val="000000" w:themeColor="text1"/>
          <w:szCs w:val="24"/>
          <w:shd w:val="clear" w:color="auto" w:fill="FFFFFF"/>
        </w:rPr>
      </w:pPr>
      <w:r w:rsidRPr="00816D1F">
        <w:rPr>
          <w:szCs w:val="24"/>
        </w:rPr>
        <w:t xml:space="preserve">The new indictment and allegation of criminal behavior have now been tied to a scheme to defraud consumers. Therefore, not only has FirstEnergy Corp. entered into a Deferred Prosecution Agreement with the Government under which it admitted that it </w:t>
      </w:r>
      <w:r w:rsidRPr="00816D1F">
        <w:rPr>
          <w:color w:val="000000" w:themeColor="text1"/>
          <w:szCs w:val="24"/>
        </w:rPr>
        <w:t>“</w:t>
      </w:r>
      <w:r w:rsidRPr="00816D1F">
        <w:rPr>
          <w:color w:val="000000" w:themeColor="text1"/>
          <w:szCs w:val="24"/>
          <w:shd w:val="clear" w:color="auto" w:fill="FFFFFF"/>
        </w:rPr>
        <w:t xml:space="preserve">paid $4.3 million dollars to [Randazzo] through his consulting company in return for [Randazzo] performing official action in his capacity as PUCO Chairman to further FirstEnergy Corp.’s interests relating to passage of nuclear legislation and </w:t>
      </w:r>
      <w:r w:rsidRPr="00816D1F">
        <w:rPr>
          <w:i/>
          <w:iCs/>
          <w:color w:val="000000" w:themeColor="text1"/>
          <w:szCs w:val="24"/>
          <w:shd w:val="clear" w:color="auto" w:fill="FFFFFF"/>
        </w:rPr>
        <w:t>other specific FirstEnergy Corp. legislative and regulatory priorities, as requested and as opportunities arose,”</w:t>
      </w:r>
      <w:r>
        <w:rPr>
          <w:rStyle w:val="FootnoteReference"/>
          <w:color w:val="000000" w:themeColor="text1"/>
          <w:szCs w:val="24"/>
          <w:shd w:val="clear" w:color="auto" w:fill="FFFFFF"/>
        </w:rPr>
        <w:footnoteReference w:id="40"/>
      </w:r>
      <w:r w:rsidRPr="00816D1F">
        <w:rPr>
          <w:i/>
          <w:iCs/>
          <w:color w:val="000000" w:themeColor="text1"/>
          <w:szCs w:val="24"/>
          <w:shd w:val="clear" w:color="auto" w:fill="FFFFFF"/>
        </w:rPr>
        <w:t xml:space="preserve"> </w:t>
      </w:r>
      <w:r w:rsidRPr="00816D1F">
        <w:rPr>
          <w:color w:val="000000" w:themeColor="text1"/>
          <w:szCs w:val="24"/>
          <w:shd w:val="clear" w:color="auto" w:fill="FFFFFF"/>
        </w:rPr>
        <w:t xml:space="preserve">there is now evidence that the corruption runs deeper and may be the basis of inappropriate charges to consumers for Grid Smart. </w:t>
      </w:r>
    </w:p>
    <w:p w:rsidR="002C55A2" w:rsidRPr="00816D1F" w:rsidP="004A19FA" w14:paraId="67B8ED51" w14:textId="6CC57EFE">
      <w:pPr>
        <w:kinsoku w:val="0"/>
        <w:overflowPunct w:val="0"/>
        <w:autoSpaceDE w:val="0"/>
        <w:autoSpaceDN w:val="0"/>
        <w:adjustRightInd w:val="0"/>
        <w:spacing w:line="480" w:lineRule="auto"/>
        <w:ind w:firstLine="720"/>
        <w:rPr>
          <w:szCs w:val="24"/>
        </w:rPr>
      </w:pPr>
      <w:r w:rsidRPr="00816D1F">
        <w:rPr>
          <w:color w:val="000000" w:themeColor="text1"/>
          <w:szCs w:val="24"/>
          <w:shd w:val="clear" w:color="auto" w:fill="FFFFFF"/>
        </w:rPr>
        <w:t xml:space="preserve">In light of this new information and the potential connection to Grid Smart, it is imperative for the </w:t>
      </w:r>
      <w:r w:rsidRPr="00816D1F" w:rsidR="004A19FA">
        <w:rPr>
          <w:color w:val="000000" w:themeColor="text1"/>
          <w:szCs w:val="24"/>
          <w:shd w:val="clear" w:color="auto" w:fill="FFFFFF"/>
        </w:rPr>
        <w:t>PUCO</w:t>
      </w:r>
      <w:r w:rsidRPr="00816D1F">
        <w:rPr>
          <w:color w:val="000000" w:themeColor="text1"/>
          <w:szCs w:val="24"/>
          <w:shd w:val="clear" w:color="auto" w:fill="FFFFFF"/>
        </w:rPr>
        <w:t xml:space="preserve"> to investigate the payments and get to the bottom of this corruption and the amounts charged to consumers before increasing those charges passed on to consumers for Grid Smart</w:t>
      </w:r>
      <w:r w:rsidRPr="00816D1F" w:rsidR="004A19FA">
        <w:rPr>
          <w:color w:val="000000" w:themeColor="text1"/>
          <w:szCs w:val="24"/>
          <w:shd w:val="clear" w:color="auto" w:fill="FFFFFF"/>
        </w:rPr>
        <w:t xml:space="preserve"> II</w:t>
      </w:r>
      <w:r w:rsidRPr="00816D1F">
        <w:rPr>
          <w:color w:val="000000" w:themeColor="text1"/>
          <w:szCs w:val="24"/>
          <w:shd w:val="clear" w:color="auto" w:fill="FFFFFF"/>
        </w:rPr>
        <w:t xml:space="preserve">. The PUCO should protect consumers and determine whether harm has been perpetrated on them by FirstEnergy and Randazzo through their criminal activities. </w:t>
      </w:r>
    </w:p>
    <w:p w:rsidR="004A19FA" w:rsidRPr="00816D1F" w:rsidP="004A19FA" w14:paraId="4B7E38A0" w14:textId="7AB265F9">
      <w:pPr>
        <w:spacing w:line="480" w:lineRule="auto"/>
        <w:ind w:firstLine="720"/>
        <w:rPr>
          <w:szCs w:val="24"/>
        </w:rPr>
      </w:pPr>
      <w:r w:rsidRPr="00816D1F">
        <w:rPr>
          <w:szCs w:val="24"/>
        </w:rPr>
        <w:t>Given that the H.B. 6 investigations are stayed, it is only fair that the related portions (</w:t>
      </w:r>
      <w:r w:rsidRPr="00816D1F">
        <w:rPr>
          <w:i/>
          <w:iCs/>
          <w:szCs w:val="24"/>
        </w:rPr>
        <w:t>i.e</w:t>
      </w:r>
      <w:r w:rsidRPr="00816D1F">
        <w:rPr>
          <w:szCs w:val="24"/>
        </w:rPr>
        <w:t>., Grid Smart) also be stayed. The PUCO has broad powers to ensure fairness and has done so in past cases.</w:t>
      </w:r>
      <w:r>
        <w:rPr>
          <w:rStyle w:val="FootnoteReference"/>
          <w:szCs w:val="24"/>
        </w:rPr>
        <w:footnoteReference w:id="41"/>
      </w:r>
      <w:r w:rsidRPr="00816D1F">
        <w:rPr>
          <w:szCs w:val="24"/>
        </w:rPr>
        <w:t xml:space="preserve"> Staying the implementation and consideration of Grid Smart II in this case would create a fairness of balance and symmetry in the PUCO’s regulation – something that is especially needed when it comes to FirstEnergy’s two million consumers. Going forward with considering and continuing Grid Smart II in this proceeding is also inefficient and prejudicial to consumers. As the PUCO acknowledged, the public has an interest in the efficient use of government resources.</w:t>
      </w:r>
      <w:r>
        <w:rPr>
          <w:rStyle w:val="FootnoteReference"/>
          <w:szCs w:val="24"/>
        </w:rPr>
        <w:footnoteReference w:id="42"/>
      </w:r>
      <w:r w:rsidRPr="00816D1F">
        <w:rPr>
          <w:szCs w:val="24"/>
        </w:rPr>
        <w:t xml:space="preserve"> </w:t>
      </w:r>
      <w:r w:rsidRPr="00816D1F">
        <w:rPr>
          <w:szCs w:val="24"/>
        </w:rPr>
        <w:t>Accordingly, the PUCO should grant rehearing and modify the Order to stay the continuation of Grid Mod II.</w:t>
      </w:r>
    </w:p>
    <w:p w:rsidR="00EA3C70" w:rsidRPr="00816D1F" w:rsidP="00EA3C70" w14:paraId="5B0083D1" w14:textId="77777777">
      <w:pPr>
        <w:ind w:firstLine="720"/>
        <w:rPr>
          <w:szCs w:val="24"/>
        </w:rPr>
      </w:pPr>
    </w:p>
    <w:p w:rsidR="002A2007" w:rsidRPr="00816D1F" w:rsidP="00EA3C70" w14:paraId="635C501F" w14:textId="4B765C6B">
      <w:pPr>
        <w:pStyle w:val="Heading1"/>
      </w:pPr>
      <w:bookmarkStart w:id="8" w:name="_Toc153809969"/>
      <w:r w:rsidRPr="00816D1F">
        <w:t>III.</w:t>
      </w:r>
      <w:r w:rsidRPr="00816D1F">
        <w:tab/>
      </w:r>
      <w:r w:rsidRPr="00816D1F">
        <w:t>CONCLUSION</w:t>
      </w:r>
      <w:bookmarkEnd w:id="8"/>
    </w:p>
    <w:p w:rsidR="00833D69" w:rsidRPr="00816D1F" w:rsidP="0034188A" w14:paraId="23FB9CE7" w14:textId="4DB6CCD2">
      <w:pPr>
        <w:spacing w:line="480" w:lineRule="auto"/>
        <w:ind w:firstLine="720"/>
        <w:rPr>
          <w:b/>
          <w:bCs/>
          <w:szCs w:val="24"/>
        </w:rPr>
      </w:pPr>
      <w:r w:rsidRPr="00816D1F">
        <w:rPr>
          <w:szCs w:val="24"/>
        </w:rPr>
        <w:t>Consumers should not be charged by FirstEnergy for Grid Mod investments that don’t deliver the benefits FirstEnergy promised. The PUCO’s November 16, 2023</w:t>
      </w:r>
      <w:r w:rsidRPr="00816D1F" w:rsidR="00F423EA">
        <w:rPr>
          <w:szCs w:val="24"/>
        </w:rPr>
        <w:t xml:space="preserve"> Order</w:t>
      </w:r>
      <w:r w:rsidRPr="00816D1F">
        <w:rPr>
          <w:szCs w:val="24"/>
        </w:rPr>
        <w:t xml:space="preserve"> is unreasonable and unlawful under Ohio ratemaking law (R.C. 4909.15). T</w:t>
      </w:r>
      <w:r w:rsidRPr="00816D1F" w:rsidR="00F423EA">
        <w:rPr>
          <w:szCs w:val="24"/>
        </w:rPr>
        <w:t>o protect consumers, t</w:t>
      </w:r>
      <w:r w:rsidRPr="00816D1F">
        <w:rPr>
          <w:szCs w:val="24"/>
        </w:rPr>
        <w:t>he PUCO should grant this application for rehearing and modify the O</w:t>
      </w:r>
      <w:r w:rsidRPr="00816D1F" w:rsidR="00F423EA">
        <w:rPr>
          <w:szCs w:val="24"/>
        </w:rPr>
        <w:t>rder consistent with OCC’s above recommendations.</w:t>
      </w:r>
    </w:p>
    <w:p w:rsidR="00833D69" w:rsidRPr="00816D1F" w:rsidP="00833D69" w14:paraId="60BBD533" w14:textId="279F43DF">
      <w:pPr>
        <w:pStyle w:val="Footer"/>
        <w:tabs>
          <w:tab w:val="clear" w:pos="4320"/>
          <w:tab w:val="clear" w:pos="8640"/>
        </w:tabs>
        <w:ind w:left="4320"/>
        <w:rPr>
          <w:sz w:val="24"/>
          <w:szCs w:val="24"/>
        </w:rPr>
      </w:pPr>
      <w:r w:rsidRPr="00816D1F">
        <w:rPr>
          <w:sz w:val="24"/>
          <w:szCs w:val="24"/>
        </w:rPr>
        <w:t>Respectfully submitted,</w:t>
      </w:r>
    </w:p>
    <w:p w:rsidR="00833D69" w:rsidRPr="00816D1F" w:rsidP="00833D69" w14:paraId="20EEF6BF" w14:textId="77777777">
      <w:pPr>
        <w:pStyle w:val="Footer"/>
        <w:tabs>
          <w:tab w:val="clear" w:pos="4320"/>
          <w:tab w:val="clear" w:pos="8640"/>
        </w:tabs>
        <w:ind w:left="4320"/>
        <w:rPr>
          <w:sz w:val="24"/>
          <w:szCs w:val="24"/>
        </w:rPr>
      </w:pPr>
    </w:p>
    <w:p w:rsidR="00833D69" w:rsidRPr="00816D1F" w:rsidP="00833D69" w14:paraId="0A7CC279" w14:textId="77777777">
      <w:pPr>
        <w:pStyle w:val="Footer"/>
        <w:tabs>
          <w:tab w:val="clear" w:pos="4320"/>
          <w:tab w:val="clear" w:pos="8640"/>
        </w:tabs>
        <w:ind w:left="3600" w:firstLine="720"/>
        <w:rPr>
          <w:sz w:val="24"/>
          <w:szCs w:val="24"/>
        </w:rPr>
      </w:pPr>
      <w:r w:rsidRPr="00816D1F">
        <w:rPr>
          <w:sz w:val="24"/>
          <w:szCs w:val="24"/>
        </w:rPr>
        <w:t>Maureen Willis (0020847)</w:t>
      </w:r>
    </w:p>
    <w:p w:rsidR="00833D69" w:rsidRPr="00816D1F" w:rsidP="00833D69" w14:paraId="6F3D6190" w14:textId="77777777">
      <w:pPr>
        <w:pStyle w:val="Footer"/>
        <w:tabs>
          <w:tab w:val="clear" w:pos="4320"/>
          <w:tab w:val="clear" w:pos="8640"/>
        </w:tabs>
        <w:ind w:left="4320"/>
        <w:rPr>
          <w:sz w:val="24"/>
          <w:szCs w:val="24"/>
        </w:rPr>
      </w:pPr>
      <w:r w:rsidRPr="00816D1F">
        <w:rPr>
          <w:sz w:val="24"/>
          <w:szCs w:val="24"/>
        </w:rPr>
        <w:t>Ohio Consumer’s Counsel</w:t>
      </w:r>
    </w:p>
    <w:p w:rsidR="00833D69" w:rsidRPr="00816D1F" w:rsidP="00833D69" w14:paraId="20D4C7B4" w14:textId="77777777">
      <w:pPr>
        <w:pStyle w:val="Footer"/>
        <w:tabs>
          <w:tab w:val="left" w:pos="4320"/>
          <w:tab w:val="clear" w:pos="8640"/>
        </w:tabs>
        <w:ind w:left="3600"/>
        <w:rPr>
          <w:sz w:val="24"/>
          <w:szCs w:val="24"/>
        </w:rPr>
      </w:pPr>
    </w:p>
    <w:p w:rsidR="00833D69" w:rsidRPr="00816D1F" w:rsidP="00833D69" w14:paraId="1DFDF792" w14:textId="4B4FB4B2">
      <w:pPr>
        <w:ind w:left="4320"/>
        <w:rPr>
          <w:szCs w:val="24"/>
          <w:u w:val="single"/>
        </w:rPr>
      </w:pPr>
      <w:r w:rsidRPr="00816D1F">
        <w:rPr>
          <w:i/>
          <w:szCs w:val="24"/>
          <w:u w:val="single"/>
        </w:rPr>
        <w:t>/s/ Angela D. O’Brien</w:t>
      </w:r>
    </w:p>
    <w:p w:rsidR="00833D69" w:rsidRPr="00816D1F" w:rsidP="00833D69" w14:paraId="330F51D7" w14:textId="77777777">
      <w:pPr>
        <w:tabs>
          <w:tab w:val="left" w:pos="4320"/>
        </w:tabs>
        <w:ind w:left="4320"/>
        <w:rPr>
          <w:szCs w:val="24"/>
        </w:rPr>
      </w:pPr>
      <w:r w:rsidRPr="00816D1F">
        <w:rPr>
          <w:szCs w:val="24"/>
        </w:rPr>
        <w:t>Angela D. O’Brien (0097579)</w:t>
      </w:r>
    </w:p>
    <w:p w:rsidR="00833D69" w:rsidRPr="00816D1F" w:rsidP="00833D69" w14:paraId="6DC3689D" w14:textId="77777777">
      <w:pPr>
        <w:tabs>
          <w:tab w:val="left" w:pos="4320"/>
        </w:tabs>
        <w:ind w:left="4320"/>
        <w:rPr>
          <w:szCs w:val="24"/>
        </w:rPr>
      </w:pPr>
      <w:r w:rsidRPr="00816D1F">
        <w:rPr>
          <w:szCs w:val="24"/>
        </w:rPr>
        <w:t>Counsel of Record</w:t>
      </w:r>
    </w:p>
    <w:p w:rsidR="00833D69" w:rsidRPr="00816D1F" w:rsidP="00833D69" w14:paraId="7C91421F" w14:textId="77777777">
      <w:pPr>
        <w:tabs>
          <w:tab w:val="left" w:pos="4320"/>
        </w:tabs>
        <w:ind w:left="4320"/>
        <w:rPr>
          <w:szCs w:val="24"/>
        </w:rPr>
      </w:pPr>
      <w:r w:rsidRPr="00816D1F">
        <w:rPr>
          <w:szCs w:val="24"/>
        </w:rPr>
        <w:t>Deputy Consumers’ Counsel</w:t>
      </w:r>
    </w:p>
    <w:p w:rsidR="00833D69" w:rsidRPr="00816D1F" w:rsidP="00833D69" w14:paraId="6BA29F76" w14:textId="77777777">
      <w:pPr>
        <w:tabs>
          <w:tab w:val="left" w:pos="4320"/>
        </w:tabs>
        <w:ind w:left="4320"/>
        <w:rPr>
          <w:szCs w:val="24"/>
        </w:rPr>
      </w:pPr>
    </w:p>
    <w:p w:rsidR="00833D69" w:rsidRPr="00816D1F" w:rsidP="00833D69" w14:paraId="58CC69FA" w14:textId="77777777">
      <w:pPr>
        <w:ind w:firstLine="4320"/>
        <w:rPr>
          <w:b/>
          <w:bCs/>
          <w:szCs w:val="24"/>
        </w:rPr>
      </w:pPr>
      <w:r w:rsidRPr="00816D1F">
        <w:rPr>
          <w:b/>
          <w:bCs/>
          <w:szCs w:val="24"/>
        </w:rPr>
        <w:t>Office of the Ohio Consumers' Counsel</w:t>
      </w:r>
    </w:p>
    <w:p w:rsidR="00833D69" w:rsidRPr="00816D1F" w:rsidP="00833D69" w14:paraId="350A7C41" w14:textId="77777777">
      <w:pPr>
        <w:ind w:firstLine="4320"/>
        <w:rPr>
          <w:b/>
          <w:szCs w:val="24"/>
        </w:rPr>
      </w:pPr>
      <w:r w:rsidRPr="00816D1F">
        <w:rPr>
          <w:szCs w:val="24"/>
        </w:rPr>
        <w:t>65 East State Street, Suite 700</w:t>
      </w:r>
    </w:p>
    <w:p w:rsidR="00833D69" w:rsidRPr="00816D1F" w:rsidP="00833D69" w14:paraId="6E4D9AAF" w14:textId="77777777">
      <w:pPr>
        <w:ind w:firstLine="4320"/>
        <w:rPr>
          <w:b/>
          <w:szCs w:val="24"/>
        </w:rPr>
      </w:pPr>
      <w:r w:rsidRPr="00816D1F">
        <w:rPr>
          <w:szCs w:val="24"/>
        </w:rPr>
        <w:t>Columbus, Ohio 43215</w:t>
      </w:r>
    </w:p>
    <w:p w:rsidR="00833D69" w:rsidRPr="00816D1F" w:rsidP="00833D69" w14:paraId="323419F2" w14:textId="77777777">
      <w:pPr>
        <w:ind w:firstLine="4320"/>
        <w:rPr>
          <w:szCs w:val="24"/>
        </w:rPr>
      </w:pPr>
      <w:r w:rsidRPr="00816D1F">
        <w:rPr>
          <w:szCs w:val="24"/>
        </w:rPr>
        <w:t>Telephone: [O’Brien] (614) 466-9531</w:t>
      </w:r>
    </w:p>
    <w:p w:rsidR="00833D69" w:rsidRPr="00816D1F" w:rsidP="00833D69" w14:paraId="13D421D3" w14:textId="77777777">
      <w:pPr>
        <w:ind w:left="4320"/>
        <w:rPr>
          <w:rStyle w:val="Hyperlink"/>
          <w:szCs w:val="24"/>
        </w:rPr>
      </w:pPr>
      <w:hyperlink r:id="rId6" w:history="1">
        <w:r w:rsidRPr="00816D1F">
          <w:rPr>
            <w:rStyle w:val="Hyperlink"/>
            <w:szCs w:val="24"/>
          </w:rPr>
          <w:t>angela.obrien@occ.ohio.gov</w:t>
        </w:r>
      </w:hyperlink>
    </w:p>
    <w:p w:rsidR="00833D69" w:rsidRPr="00816D1F" w:rsidP="00833D69" w14:paraId="4C224503" w14:textId="77777777">
      <w:pPr>
        <w:ind w:left="4320"/>
        <w:rPr>
          <w:szCs w:val="24"/>
        </w:rPr>
      </w:pPr>
      <w:r w:rsidRPr="00816D1F">
        <w:rPr>
          <w:szCs w:val="24"/>
        </w:rPr>
        <w:t>(willing to accept service by e-mail)</w:t>
      </w:r>
    </w:p>
    <w:p w:rsidR="00AB65FB" w:rsidRPr="00816D1F" w:rsidP="00AB65FB" w14:paraId="25769150" w14:textId="77777777">
      <w:pPr>
        <w:pStyle w:val="HTMLPreformatted"/>
        <w:spacing w:line="480" w:lineRule="auto"/>
        <w:jc w:val="center"/>
        <w:rPr>
          <w:rFonts w:ascii="Times New Roman" w:hAnsi="Times New Roman" w:cs="Times New Roman"/>
          <w:b/>
          <w:bCs/>
          <w:sz w:val="24"/>
          <w:szCs w:val="24"/>
        </w:rPr>
      </w:pPr>
    </w:p>
    <w:p w:rsidR="00AB65FB" w:rsidRPr="00816D1F" w:rsidP="00AB65FB" w14:paraId="40BCF907" w14:textId="77777777">
      <w:pPr>
        <w:pStyle w:val="HTMLPreformatted"/>
        <w:spacing w:line="480" w:lineRule="auto"/>
        <w:jc w:val="center"/>
        <w:rPr>
          <w:rFonts w:ascii="Times New Roman" w:hAnsi="Times New Roman" w:cs="Times New Roman"/>
          <w:b/>
          <w:bCs/>
          <w:sz w:val="24"/>
          <w:szCs w:val="24"/>
        </w:rPr>
      </w:pPr>
    </w:p>
    <w:p w:rsidR="00833D69" w:rsidRPr="00816D1F" w14:paraId="3182FE97" w14:textId="77777777">
      <w:pPr>
        <w:rPr>
          <w:b/>
          <w:bCs/>
          <w:szCs w:val="24"/>
          <w:u w:val="single"/>
        </w:rPr>
      </w:pPr>
      <w:r w:rsidRPr="00816D1F">
        <w:rPr>
          <w:b/>
          <w:bCs/>
          <w:szCs w:val="24"/>
          <w:u w:val="single"/>
        </w:rPr>
        <w:br w:type="page"/>
      </w:r>
    </w:p>
    <w:p w:rsidR="00714C1E" w:rsidRPr="00816D1F" w14:paraId="532AC839" w14:textId="717F08D6">
      <w:pPr>
        <w:jc w:val="center"/>
        <w:rPr>
          <w:b/>
          <w:bCs/>
          <w:szCs w:val="24"/>
          <w:u w:val="single"/>
        </w:rPr>
      </w:pPr>
      <w:r w:rsidRPr="00816D1F">
        <w:rPr>
          <w:b/>
          <w:bCs/>
          <w:szCs w:val="24"/>
          <w:u w:val="single"/>
        </w:rPr>
        <w:t>CERTIFICATE OF SERVICE</w:t>
      </w:r>
    </w:p>
    <w:p w:rsidR="004C7062" w:rsidRPr="00816D1F" w:rsidP="00DD5204" w14:paraId="4D779DFE" w14:textId="0B92A86C">
      <w:pPr>
        <w:spacing w:line="480" w:lineRule="atLeast"/>
        <w:rPr>
          <w:szCs w:val="24"/>
        </w:rPr>
      </w:pPr>
      <w:r w:rsidRPr="00816D1F">
        <w:rPr>
          <w:szCs w:val="24"/>
        </w:rPr>
        <w:tab/>
        <w:t xml:space="preserve">I hereby certify that a copy of </w:t>
      </w:r>
      <w:r w:rsidRPr="00816D1F" w:rsidR="00AB65FB">
        <w:rPr>
          <w:szCs w:val="24"/>
        </w:rPr>
        <w:t xml:space="preserve">Application for Rehearing by the Office of the Ohio Consumers’ Counsel </w:t>
      </w:r>
      <w:r w:rsidRPr="00816D1F">
        <w:rPr>
          <w:szCs w:val="24"/>
        </w:rPr>
        <w:t xml:space="preserve">was served on the persons stated below </w:t>
      </w:r>
      <w:r w:rsidRPr="00816D1F">
        <w:rPr>
          <w:iCs/>
          <w:szCs w:val="24"/>
        </w:rPr>
        <w:t xml:space="preserve">via </w:t>
      </w:r>
      <w:r w:rsidRPr="00816D1F">
        <w:rPr>
          <w:szCs w:val="24"/>
        </w:rPr>
        <w:t xml:space="preserve">electronic transmission, this </w:t>
      </w:r>
      <w:r w:rsidRPr="00816D1F" w:rsidR="0092322A">
        <w:rPr>
          <w:szCs w:val="24"/>
        </w:rPr>
        <w:t>18</w:t>
      </w:r>
      <w:r w:rsidRPr="00816D1F" w:rsidR="003631FB">
        <w:rPr>
          <w:szCs w:val="24"/>
          <w:vertAlign w:val="superscript"/>
        </w:rPr>
        <w:t>th</w:t>
      </w:r>
      <w:r w:rsidRPr="00816D1F" w:rsidR="003631FB">
        <w:rPr>
          <w:szCs w:val="24"/>
        </w:rPr>
        <w:t xml:space="preserve"> </w:t>
      </w:r>
      <w:r w:rsidRPr="00816D1F">
        <w:rPr>
          <w:szCs w:val="24"/>
        </w:rPr>
        <w:t>day of</w:t>
      </w:r>
      <w:r w:rsidRPr="00816D1F" w:rsidR="003631FB">
        <w:rPr>
          <w:szCs w:val="24"/>
        </w:rPr>
        <w:t xml:space="preserve"> </w:t>
      </w:r>
      <w:r w:rsidRPr="00816D1F" w:rsidR="00AB65FB">
        <w:rPr>
          <w:szCs w:val="24"/>
        </w:rPr>
        <w:t>December</w:t>
      </w:r>
      <w:r w:rsidRPr="00816D1F" w:rsidR="003631FB">
        <w:rPr>
          <w:szCs w:val="24"/>
        </w:rPr>
        <w:t xml:space="preserve"> 2023</w:t>
      </w:r>
      <w:r w:rsidRPr="00816D1F">
        <w:rPr>
          <w:szCs w:val="24"/>
        </w:rPr>
        <w:t>.</w:t>
      </w:r>
    </w:p>
    <w:p w:rsidR="004C7062" w:rsidRPr="00816D1F" w:rsidP="004C7062" w14:paraId="624FCF02" w14:textId="77777777">
      <w:pPr>
        <w:ind w:left="4320"/>
        <w:rPr>
          <w:szCs w:val="24"/>
          <w:u w:val="single"/>
        </w:rPr>
      </w:pPr>
      <w:r w:rsidRPr="00816D1F">
        <w:rPr>
          <w:i/>
          <w:szCs w:val="24"/>
          <w:u w:val="single"/>
        </w:rPr>
        <w:t>/s/ Angela D. O’Brien</w:t>
      </w:r>
    </w:p>
    <w:p w:rsidR="004C7062" w:rsidRPr="00816D1F" w:rsidP="004C7062" w14:paraId="2AC57AD6" w14:textId="592DB972">
      <w:pPr>
        <w:tabs>
          <w:tab w:val="left" w:pos="4320"/>
        </w:tabs>
        <w:ind w:left="4320"/>
        <w:rPr>
          <w:szCs w:val="24"/>
        </w:rPr>
      </w:pPr>
      <w:r w:rsidRPr="00816D1F">
        <w:rPr>
          <w:szCs w:val="24"/>
        </w:rPr>
        <w:t>Angela D. O’Brien</w:t>
      </w:r>
    </w:p>
    <w:p w:rsidR="004C7062" w:rsidRPr="00816D1F" w:rsidP="004C7062" w14:paraId="0D0E1C37" w14:textId="7D837D30">
      <w:pPr>
        <w:tabs>
          <w:tab w:val="left" w:pos="4320"/>
        </w:tabs>
        <w:ind w:left="4320"/>
        <w:rPr>
          <w:szCs w:val="24"/>
        </w:rPr>
      </w:pPr>
      <w:r w:rsidRPr="00816D1F">
        <w:rPr>
          <w:szCs w:val="24"/>
        </w:rPr>
        <w:t>Deputy Consumers’ Counsel</w:t>
      </w:r>
    </w:p>
    <w:p w:rsidR="00714C1E" w:rsidRPr="00816D1F" w:rsidP="004C7062" w14:paraId="6FAF62EB" w14:textId="38669CF7">
      <w:pPr>
        <w:tabs>
          <w:tab w:val="left" w:pos="4320"/>
        </w:tabs>
        <w:rPr>
          <w:szCs w:val="24"/>
        </w:rPr>
      </w:pPr>
      <w:r w:rsidRPr="00816D1F">
        <w:rPr>
          <w:szCs w:val="24"/>
        </w:rPr>
        <w:tab/>
      </w:r>
    </w:p>
    <w:p w:rsidR="00714C1E" w:rsidRPr="00816D1F" w:rsidP="00714C1E" w14:paraId="3672D432" w14:textId="77777777">
      <w:pPr>
        <w:pStyle w:val="CommentText"/>
        <w:rPr>
          <w:bCs/>
        </w:rPr>
      </w:pPr>
      <w:r w:rsidRPr="00816D1F">
        <w:rPr>
          <w:bCs/>
        </w:rPr>
        <w:t>The PUCO’s e-filing system will electronically serve notice of the filing of this document on the following parties:</w:t>
      </w:r>
    </w:p>
    <w:p w:rsidR="00714C1E" w:rsidRPr="00816D1F" w14:paraId="2A07DA35" w14:textId="77777777">
      <w:pPr>
        <w:pStyle w:val="CommentText"/>
      </w:pPr>
    </w:p>
    <w:p w:rsidR="00714C1E" w:rsidRPr="00816D1F" w14:paraId="0A4AF681" w14:textId="77777777">
      <w:pPr>
        <w:pStyle w:val="CommentText"/>
        <w:jc w:val="center"/>
        <w:rPr>
          <w:b/>
          <w:u w:val="single"/>
        </w:rPr>
      </w:pPr>
      <w:r w:rsidRPr="00816D1F">
        <w:rPr>
          <w:b/>
          <w:u w:val="single"/>
        </w:rPr>
        <w:t>SERVICE LIST</w:t>
      </w:r>
    </w:p>
    <w:p w:rsidR="00714C1E" w:rsidRPr="00816D1F" w14:paraId="78DF5EC5" w14:textId="77777777">
      <w:pPr>
        <w:pStyle w:val="CommentText"/>
        <w:jc w:val="center"/>
        <w:rPr>
          <w:b/>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258"/>
        <w:gridCol w:w="4382"/>
      </w:tblGrid>
      <w:tr w14:paraId="4CA5413E" w14:textId="77777777" w:rsidTr="00C72933">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788" w:type="dxa"/>
          </w:tcPr>
          <w:p w:rsidR="007C6C5A" w:rsidRPr="00816D1F" w:rsidP="00C72933" w14:paraId="37195995" w14:textId="77777777">
            <w:pPr>
              <w:autoSpaceDE w:val="0"/>
              <w:autoSpaceDN w:val="0"/>
              <w:adjustRightInd w:val="0"/>
              <w:rPr>
                <w:bCs/>
                <w:sz w:val="24"/>
                <w:szCs w:val="24"/>
                <w:lang w:val="en-US" w:eastAsia="en-US" w:bidi="ar-SA"/>
              </w:rPr>
            </w:pPr>
            <w:hyperlink r:id="rId15" w:history="1">
              <w:r w:rsidRPr="00816D1F" w:rsidR="00833D69">
                <w:rPr>
                  <w:rStyle w:val="Hyperlink"/>
                  <w:bCs/>
                  <w:color w:val="0000FF"/>
                  <w:sz w:val="24"/>
                  <w:szCs w:val="24"/>
                  <w:u w:val="single"/>
                  <w:lang w:val="en-US" w:eastAsia="en-US" w:bidi="ar-SA"/>
                </w:rPr>
                <w:t>Thomas.lindgren@ohioago.gov</w:t>
              </w:r>
            </w:hyperlink>
          </w:p>
          <w:p w:rsidR="007C6C5A" w:rsidRPr="00816D1F" w:rsidP="00C72933" w14:paraId="628E892F" w14:textId="77777777">
            <w:pPr>
              <w:autoSpaceDE w:val="0"/>
              <w:autoSpaceDN w:val="0"/>
              <w:adjustRightInd w:val="0"/>
              <w:rPr>
                <w:sz w:val="24"/>
                <w:szCs w:val="24"/>
                <w:lang w:val="en-US" w:eastAsia="en-US" w:bidi="ar-SA"/>
              </w:rPr>
            </w:pPr>
            <w:hyperlink r:id="rId16" w:history="1">
              <w:r w:rsidRPr="00816D1F" w:rsidR="00833D69">
                <w:rPr>
                  <w:rStyle w:val="Hyperlink"/>
                  <w:color w:val="0000FF"/>
                  <w:sz w:val="24"/>
                  <w:szCs w:val="24"/>
                  <w:u w:val="single"/>
                  <w:lang w:val="en-US" w:eastAsia="en-US" w:bidi="ar-SA"/>
                </w:rPr>
                <w:t>mkurtz@BKLlawfirm.com</w:t>
              </w:r>
            </w:hyperlink>
          </w:p>
          <w:p w:rsidR="007C6C5A" w:rsidRPr="00816D1F" w:rsidP="00C72933" w14:paraId="1131CB09" w14:textId="77777777">
            <w:pPr>
              <w:autoSpaceDE w:val="0"/>
              <w:autoSpaceDN w:val="0"/>
              <w:adjustRightInd w:val="0"/>
              <w:rPr>
                <w:sz w:val="24"/>
                <w:szCs w:val="24"/>
                <w:lang w:val="en-US" w:eastAsia="en-US" w:bidi="ar-SA"/>
              </w:rPr>
            </w:pPr>
            <w:hyperlink r:id="rId17" w:history="1">
              <w:r w:rsidRPr="00816D1F" w:rsidR="00833D69">
                <w:rPr>
                  <w:rStyle w:val="Hyperlink"/>
                  <w:color w:val="0000FF"/>
                  <w:sz w:val="24"/>
                  <w:szCs w:val="24"/>
                  <w:u w:val="single"/>
                  <w:lang w:val="en-US" w:eastAsia="en-US" w:bidi="ar-SA"/>
                </w:rPr>
                <w:t>kboehm@BKLlawfirm.com</w:t>
              </w:r>
            </w:hyperlink>
          </w:p>
          <w:p w:rsidR="007C6C5A" w:rsidRPr="00816D1F" w:rsidP="00C72933" w14:paraId="3E46CE85" w14:textId="77777777">
            <w:pPr>
              <w:autoSpaceDE w:val="0"/>
              <w:autoSpaceDN w:val="0"/>
              <w:adjustRightInd w:val="0"/>
              <w:rPr>
                <w:sz w:val="24"/>
                <w:szCs w:val="24"/>
                <w:lang w:val="en-US" w:eastAsia="en-US" w:bidi="ar-SA"/>
              </w:rPr>
            </w:pPr>
            <w:hyperlink r:id="rId18" w:history="1">
              <w:r w:rsidRPr="00816D1F" w:rsidR="00833D69">
                <w:rPr>
                  <w:rStyle w:val="Hyperlink"/>
                  <w:color w:val="0000FF"/>
                  <w:sz w:val="24"/>
                  <w:szCs w:val="24"/>
                  <w:u w:val="single"/>
                  <w:lang w:val="en-US" w:eastAsia="en-US" w:bidi="ar-SA"/>
                </w:rPr>
                <w:t>jkylercohn@BKLlawfirm.com</w:t>
              </w:r>
            </w:hyperlink>
          </w:p>
          <w:p w:rsidR="007C6C5A" w:rsidRPr="00816D1F" w:rsidP="00C72933" w14:paraId="3D6D8B46" w14:textId="77777777">
            <w:pPr>
              <w:autoSpaceDE w:val="0"/>
              <w:autoSpaceDN w:val="0"/>
              <w:adjustRightInd w:val="0"/>
              <w:rPr>
                <w:rFonts w:eastAsiaTheme="minorHAnsi"/>
                <w:color w:val="0000FF"/>
                <w:sz w:val="24"/>
                <w:szCs w:val="24"/>
                <w:lang w:val="en-US" w:eastAsia="en-US" w:bidi="ar-SA"/>
              </w:rPr>
            </w:pPr>
            <w:hyperlink r:id="rId19" w:history="1">
              <w:r w:rsidRPr="00816D1F" w:rsidR="00833D69">
                <w:rPr>
                  <w:rStyle w:val="Hyperlink"/>
                  <w:rFonts w:eastAsiaTheme="minorHAnsi"/>
                  <w:color w:val="0000FF"/>
                  <w:sz w:val="24"/>
                  <w:szCs w:val="24"/>
                  <w:u w:val="single"/>
                  <w:lang w:val="en-US" w:eastAsia="en-US" w:bidi="ar-SA"/>
                </w:rPr>
                <w:t>gkrassen@bricker.com</w:t>
              </w:r>
            </w:hyperlink>
          </w:p>
          <w:p w:rsidR="007C6C5A" w:rsidRPr="00816D1F" w:rsidP="00C72933" w14:paraId="2E84D6CB" w14:textId="77777777">
            <w:pPr>
              <w:autoSpaceDE w:val="0"/>
              <w:autoSpaceDN w:val="0"/>
              <w:adjustRightInd w:val="0"/>
              <w:rPr>
                <w:rFonts w:eastAsiaTheme="minorHAnsi"/>
                <w:color w:val="0000FF"/>
                <w:sz w:val="24"/>
                <w:szCs w:val="24"/>
                <w:lang w:val="en-US" w:eastAsia="en-US" w:bidi="ar-SA"/>
              </w:rPr>
            </w:pPr>
            <w:hyperlink r:id="rId20" w:history="1">
              <w:r w:rsidRPr="00816D1F" w:rsidR="00833D69">
                <w:rPr>
                  <w:rStyle w:val="Hyperlink"/>
                  <w:rFonts w:eastAsiaTheme="minorHAnsi"/>
                  <w:color w:val="0000FF"/>
                  <w:sz w:val="24"/>
                  <w:szCs w:val="24"/>
                  <w:u w:val="single"/>
                  <w:lang w:val="en-US" w:eastAsia="en-US" w:bidi="ar-SA"/>
                </w:rPr>
                <w:t>dstinson@bricker.com</w:t>
              </w:r>
            </w:hyperlink>
          </w:p>
          <w:p w:rsidR="007C6C5A" w:rsidRPr="00816D1F" w:rsidP="00C72933" w14:paraId="393105D5" w14:textId="77777777">
            <w:pPr>
              <w:autoSpaceDE w:val="0"/>
              <w:autoSpaceDN w:val="0"/>
              <w:adjustRightInd w:val="0"/>
              <w:rPr>
                <w:rStyle w:val="Hyperlink"/>
                <w:rFonts w:eastAsiaTheme="minorHAnsi"/>
                <w:color w:val="0000FF"/>
                <w:sz w:val="24"/>
                <w:szCs w:val="24"/>
                <w:u w:val="single"/>
                <w:lang w:val="en-US" w:eastAsia="en-US" w:bidi="ar-SA"/>
              </w:rPr>
            </w:pPr>
            <w:hyperlink r:id="rId21" w:history="1">
              <w:r w:rsidRPr="00816D1F" w:rsidR="00833D69">
                <w:rPr>
                  <w:rStyle w:val="Hyperlink"/>
                  <w:rFonts w:eastAsiaTheme="minorHAnsi"/>
                  <w:color w:val="0000FF"/>
                  <w:sz w:val="24"/>
                  <w:szCs w:val="24"/>
                  <w:u w:val="single"/>
                  <w:lang w:val="en-US" w:eastAsia="en-US" w:bidi="ar-SA"/>
                </w:rPr>
                <w:t>paul@carpenterlipps.com</w:t>
              </w:r>
            </w:hyperlink>
          </w:p>
          <w:p w:rsidR="007C6C5A" w:rsidRPr="00816D1F" w:rsidP="00C72933" w14:paraId="28B99F49" w14:textId="77777777">
            <w:pPr>
              <w:autoSpaceDE w:val="0"/>
              <w:autoSpaceDN w:val="0"/>
              <w:adjustRightInd w:val="0"/>
              <w:rPr>
                <w:rStyle w:val="Hyperlink"/>
                <w:rFonts w:eastAsiaTheme="minorHAnsi"/>
                <w:color w:val="0000FF"/>
                <w:sz w:val="24"/>
                <w:szCs w:val="24"/>
                <w:u w:val="single"/>
                <w:lang w:val="en-US" w:eastAsia="en-US" w:bidi="ar-SA"/>
              </w:rPr>
            </w:pPr>
            <w:r w:rsidRPr="00816D1F">
              <w:rPr>
                <w:rStyle w:val="Hyperlink"/>
                <w:rFonts w:eastAsiaTheme="minorHAnsi"/>
                <w:color w:val="0000FF"/>
                <w:sz w:val="24"/>
                <w:szCs w:val="24"/>
                <w:u w:val="single"/>
                <w:lang w:val="en-US" w:eastAsia="en-US" w:bidi="ar-SA"/>
              </w:rPr>
              <w:t>ctavenor@theOEC.org</w:t>
            </w:r>
          </w:p>
          <w:p w:rsidR="007C6C5A" w:rsidRPr="00816D1F" w:rsidP="00C72933" w14:paraId="7420845D" w14:textId="77777777">
            <w:pPr>
              <w:autoSpaceDE w:val="0"/>
              <w:autoSpaceDN w:val="0"/>
              <w:adjustRightInd w:val="0"/>
              <w:rPr>
                <w:rFonts w:eastAsiaTheme="minorHAnsi"/>
                <w:sz w:val="24"/>
                <w:szCs w:val="24"/>
                <w:lang w:val="en-US" w:eastAsia="en-US" w:bidi="ar-SA"/>
              </w:rPr>
            </w:pPr>
            <w:hyperlink r:id="rId22" w:history="1">
              <w:r w:rsidRPr="00816D1F" w:rsidR="00833D69">
                <w:rPr>
                  <w:rStyle w:val="Hyperlink"/>
                  <w:rFonts w:eastAsiaTheme="minorHAnsi"/>
                  <w:color w:val="0000FF"/>
                  <w:sz w:val="24"/>
                  <w:szCs w:val="24"/>
                  <w:u w:val="single"/>
                  <w:lang w:val="en-US" w:eastAsia="en-US" w:bidi="ar-SA"/>
                </w:rPr>
                <w:t>rkelter@elpc.org</w:t>
              </w:r>
            </w:hyperlink>
          </w:p>
          <w:p w:rsidR="007C6C5A" w:rsidRPr="00816D1F" w:rsidP="00C72933" w14:paraId="1E82E39D" w14:textId="77777777">
            <w:pPr>
              <w:autoSpaceDE w:val="0"/>
              <w:autoSpaceDN w:val="0"/>
              <w:adjustRightInd w:val="0"/>
              <w:rPr>
                <w:rFonts w:eastAsiaTheme="minorHAnsi"/>
                <w:sz w:val="24"/>
                <w:szCs w:val="24"/>
                <w:lang w:val="en-US" w:eastAsia="en-US" w:bidi="ar-SA"/>
              </w:rPr>
            </w:pPr>
            <w:hyperlink r:id="rId23" w:history="1">
              <w:r w:rsidRPr="00816D1F" w:rsidR="00833D69">
                <w:rPr>
                  <w:rStyle w:val="Hyperlink"/>
                  <w:rFonts w:eastAsiaTheme="minorHAnsi"/>
                  <w:color w:val="0000FF"/>
                  <w:sz w:val="24"/>
                  <w:szCs w:val="24"/>
                  <w:u w:val="single"/>
                  <w:lang w:val="en-US" w:eastAsia="en-US" w:bidi="ar-SA"/>
                </w:rPr>
                <w:t>jweber@elpc.org</w:t>
              </w:r>
            </w:hyperlink>
          </w:p>
          <w:p w:rsidR="007C6C5A" w:rsidRPr="00816D1F" w:rsidP="00C72933" w14:paraId="1E62D361" w14:textId="77777777">
            <w:pPr>
              <w:autoSpaceDE w:val="0"/>
              <w:autoSpaceDN w:val="0"/>
              <w:adjustRightInd w:val="0"/>
              <w:rPr>
                <w:rStyle w:val="Hyperlink"/>
                <w:rFonts w:eastAsiaTheme="minorHAnsi"/>
                <w:color w:val="0000FF"/>
                <w:sz w:val="24"/>
                <w:szCs w:val="24"/>
                <w:u w:val="single"/>
                <w:lang w:val="en-US" w:eastAsia="en-US" w:bidi="ar-SA"/>
              </w:rPr>
            </w:pPr>
            <w:hyperlink r:id="rId24" w:history="1">
              <w:r w:rsidRPr="00816D1F" w:rsidR="00833D69">
                <w:rPr>
                  <w:rStyle w:val="Hyperlink"/>
                  <w:rFonts w:eastAsiaTheme="minorHAnsi"/>
                  <w:color w:val="0000FF"/>
                  <w:sz w:val="24"/>
                  <w:szCs w:val="24"/>
                  <w:u w:val="single"/>
                  <w:lang w:val="en-US" w:eastAsia="en-US" w:bidi="ar-SA"/>
                </w:rPr>
                <w:t>Bojko@carpenterlipps.com</w:t>
              </w:r>
            </w:hyperlink>
          </w:p>
          <w:p w:rsidR="007C6C5A" w:rsidRPr="00816D1F" w:rsidP="00C72933" w14:paraId="505405CE" w14:textId="77777777">
            <w:pPr>
              <w:autoSpaceDE w:val="0"/>
              <w:autoSpaceDN w:val="0"/>
              <w:adjustRightInd w:val="0"/>
              <w:rPr>
                <w:rFonts w:eastAsiaTheme="minorHAnsi"/>
                <w:color w:val="0000FF"/>
                <w:sz w:val="24"/>
                <w:szCs w:val="24"/>
                <w:lang w:val="en-US" w:eastAsia="en-US" w:bidi="ar-SA"/>
              </w:rPr>
            </w:pPr>
            <w:hyperlink r:id="rId25" w:history="1">
              <w:r w:rsidRPr="00816D1F" w:rsidR="00833D69">
                <w:rPr>
                  <w:rStyle w:val="Hyperlink"/>
                  <w:rFonts w:eastAsiaTheme="minorHAnsi"/>
                  <w:color w:val="0000FF"/>
                  <w:sz w:val="24"/>
                  <w:szCs w:val="24"/>
                  <w:u w:val="single"/>
                  <w:lang w:val="en-US" w:eastAsia="en-US" w:bidi="ar-SA"/>
                </w:rPr>
                <w:t>ghiloni@carpenterlipps.com</w:t>
              </w:r>
            </w:hyperlink>
          </w:p>
          <w:p w:rsidR="007C6C5A" w:rsidRPr="00816D1F" w:rsidP="00C72933" w14:paraId="426F9A4F" w14:textId="77777777">
            <w:pPr>
              <w:autoSpaceDE w:val="0"/>
              <w:autoSpaceDN w:val="0"/>
              <w:adjustRightInd w:val="0"/>
              <w:rPr>
                <w:sz w:val="24"/>
                <w:szCs w:val="24"/>
                <w:lang w:val="en-US" w:eastAsia="en-US" w:bidi="ar-SA"/>
              </w:rPr>
            </w:pPr>
            <w:hyperlink r:id="rId26" w:history="1">
              <w:r w:rsidRPr="00816D1F" w:rsidR="00833D69">
                <w:rPr>
                  <w:rStyle w:val="Hyperlink"/>
                  <w:color w:val="0000FF"/>
                  <w:sz w:val="24"/>
                  <w:szCs w:val="24"/>
                  <w:u w:val="single"/>
                  <w:lang w:val="en-US" w:eastAsia="en-US" w:bidi="ar-SA"/>
                </w:rPr>
                <w:t>glpetrucci@vorys.com</w:t>
              </w:r>
            </w:hyperlink>
          </w:p>
          <w:p w:rsidR="007C6C5A" w:rsidRPr="00816D1F" w:rsidP="00C72933" w14:paraId="122F3270" w14:textId="77777777">
            <w:pPr>
              <w:pStyle w:val="CommentText"/>
              <w:rPr>
                <w:rFonts w:eastAsiaTheme="minorHAnsi"/>
                <w:color w:val="0000FF"/>
                <w:sz w:val="24"/>
                <w:szCs w:val="24"/>
                <w:lang w:val="en-US" w:eastAsia="en-US" w:bidi="ar-SA"/>
              </w:rPr>
            </w:pPr>
            <w:hyperlink r:id="rId27" w:history="1">
              <w:r w:rsidRPr="00816D1F" w:rsidR="00833D69">
                <w:rPr>
                  <w:rStyle w:val="Hyperlink"/>
                  <w:rFonts w:eastAsiaTheme="minorHAnsi"/>
                  <w:color w:val="0000FF"/>
                  <w:sz w:val="24"/>
                  <w:szCs w:val="24"/>
                  <w:u w:val="single"/>
                  <w:lang w:val="en-US" w:eastAsia="en-US" w:bidi="ar-SA"/>
                </w:rPr>
                <w:t>dborchers@bricker.com</w:t>
              </w:r>
            </w:hyperlink>
          </w:p>
          <w:p w:rsidR="007C6C5A" w:rsidRPr="00816D1F" w:rsidP="00C72933" w14:paraId="37AEA0FE" w14:textId="77777777">
            <w:pPr>
              <w:autoSpaceDE w:val="0"/>
              <w:autoSpaceDN w:val="0"/>
              <w:adjustRightInd w:val="0"/>
              <w:rPr>
                <w:rFonts w:eastAsiaTheme="minorHAnsi"/>
                <w:color w:val="0000FF"/>
                <w:sz w:val="24"/>
                <w:szCs w:val="24"/>
                <w:lang w:val="en-US" w:eastAsia="en-US" w:bidi="ar-SA"/>
              </w:rPr>
            </w:pPr>
          </w:p>
          <w:p w:rsidR="007C6C5A" w:rsidRPr="00816D1F" w:rsidP="00C72933" w14:paraId="416313DA" w14:textId="77777777">
            <w:pPr>
              <w:pStyle w:val="BodyText"/>
              <w:jc w:val="both"/>
              <w:rPr>
                <w:sz w:val="24"/>
                <w:szCs w:val="24"/>
                <w:lang w:val="en-US" w:eastAsia="en-US" w:bidi="ar-SA"/>
              </w:rPr>
            </w:pPr>
            <w:r w:rsidRPr="00816D1F">
              <w:rPr>
                <w:sz w:val="24"/>
                <w:szCs w:val="24"/>
                <w:lang w:val="en-US" w:eastAsia="en-US" w:bidi="ar-SA"/>
              </w:rPr>
              <w:t>Attorney Examiners:</w:t>
            </w:r>
          </w:p>
          <w:p w:rsidR="007C6C5A" w:rsidRPr="00816D1F" w:rsidP="00C72933" w14:paraId="10FD7B66" w14:textId="77777777">
            <w:pPr>
              <w:pStyle w:val="BodyText"/>
              <w:jc w:val="both"/>
              <w:rPr>
                <w:color w:val="0000FF"/>
                <w:sz w:val="24"/>
                <w:szCs w:val="24"/>
                <w:lang w:val="en-US" w:eastAsia="en-US" w:bidi="ar-SA"/>
              </w:rPr>
            </w:pPr>
            <w:hyperlink r:id="rId28" w:history="1">
              <w:r w:rsidRPr="00816D1F" w:rsidR="00833D69">
                <w:rPr>
                  <w:rStyle w:val="Hyperlink"/>
                  <w:color w:val="0000FF"/>
                  <w:sz w:val="24"/>
                  <w:szCs w:val="24"/>
                  <w:u w:val="single"/>
                  <w:lang w:val="en-US" w:eastAsia="en-US" w:bidi="ar-SA"/>
                </w:rPr>
                <w:t>Megan.addison@puc.state.oh.us</w:t>
              </w:r>
            </w:hyperlink>
          </w:p>
          <w:p w:rsidR="007C6C5A" w:rsidRPr="00816D1F" w:rsidP="00C72933" w14:paraId="6773AC6D" w14:textId="77777777">
            <w:pPr>
              <w:pStyle w:val="BodyText"/>
              <w:jc w:val="both"/>
              <w:rPr>
                <w:color w:val="0000FF"/>
                <w:sz w:val="24"/>
                <w:szCs w:val="24"/>
                <w:lang w:val="en-US" w:eastAsia="en-US" w:bidi="ar-SA"/>
              </w:rPr>
            </w:pPr>
            <w:hyperlink r:id="rId29" w:history="1">
              <w:r w:rsidRPr="00816D1F" w:rsidR="00833D69">
                <w:rPr>
                  <w:rStyle w:val="Hyperlink"/>
                  <w:color w:val="0000FF"/>
                  <w:sz w:val="24"/>
                  <w:szCs w:val="24"/>
                  <w:u w:val="single"/>
                  <w:lang w:val="en-US" w:eastAsia="en-US" w:bidi="ar-SA"/>
                </w:rPr>
                <w:t>Gregory.price@puc.state.oh.us</w:t>
              </w:r>
            </w:hyperlink>
          </w:p>
          <w:p w:rsidR="007C6C5A" w:rsidRPr="00816D1F" w:rsidP="00C72933" w14:paraId="5BAAD086" w14:textId="77777777">
            <w:pPr>
              <w:autoSpaceDE w:val="0"/>
              <w:autoSpaceDN w:val="0"/>
              <w:adjustRightInd w:val="0"/>
              <w:rPr>
                <w:rFonts w:eastAsiaTheme="minorHAnsi"/>
                <w:color w:val="0000FF"/>
                <w:sz w:val="24"/>
                <w:szCs w:val="24"/>
                <w:lang w:val="en-US" w:eastAsia="en-US" w:bidi="ar-SA"/>
              </w:rPr>
            </w:pPr>
          </w:p>
          <w:p w:rsidR="007C6C5A" w:rsidRPr="00816D1F" w:rsidP="00C72933" w14:paraId="430E9958" w14:textId="77777777">
            <w:pPr>
              <w:autoSpaceDE w:val="0"/>
              <w:autoSpaceDN w:val="0"/>
              <w:adjustRightInd w:val="0"/>
              <w:rPr>
                <w:rFonts w:eastAsiaTheme="minorHAnsi"/>
                <w:color w:val="0000FF"/>
                <w:sz w:val="24"/>
                <w:szCs w:val="24"/>
                <w:lang w:val="en-US" w:eastAsia="en-US" w:bidi="ar-SA"/>
              </w:rPr>
            </w:pPr>
          </w:p>
          <w:p w:rsidR="007C6C5A" w:rsidRPr="00816D1F" w:rsidP="00C72933" w14:paraId="221D97B1" w14:textId="77777777">
            <w:pPr>
              <w:autoSpaceDE w:val="0"/>
              <w:autoSpaceDN w:val="0"/>
              <w:adjustRightInd w:val="0"/>
              <w:rPr>
                <w:rFonts w:eastAsiaTheme="minorHAnsi"/>
                <w:sz w:val="24"/>
                <w:szCs w:val="24"/>
                <w:lang w:val="en-US" w:eastAsia="en-US" w:bidi="ar-SA"/>
              </w:rPr>
            </w:pPr>
          </w:p>
          <w:p w:rsidR="007C6C5A" w:rsidRPr="00816D1F" w:rsidP="00C72933" w14:paraId="64512928" w14:textId="77777777">
            <w:pPr>
              <w:autoSpaceDE w:val="0"/>
              <w:autoSpaceDN w:val="0"/>
              <w:adjustRightInd w:val="0"/>
              <w:rPr>
                <w:rFonts w:eastAsiaTheme="minorHAnsi"/>
                <w:sz w:val="24"/>
                <w:szCs w:val="24"/>
                <w:lang w:val="en-US" w:eastAsia="en-US" w:bidi="ar-SA"/>
              </w:rPr>
            </w:pPr>
          </w:p>
          <w:p w:rsidR="007C6C5A" w:rsidRPr="00816D1F" w:rsidP="00C72933" w14:paraId="18A4C4CA" w14:textId="77777777">
            <w:pPr>
              <w:autoSpaceDE w:val="0"/>
              <w:autoSpaceDN w:val="0"/>
              <w:adjustRightInd w:val="0"/>
              <w:rPr>
                <w:sz w:val="24"/>
                <w:szCs w:val="24"/>
                <w:lang w:val="en-US" w:eastAsia="en-US" w:bidi="ar-SA"/>
              </w:rPr>
            </w:pPr>
          </w:p>
          <w:p w:rsidR="007C6C5A" w:rsidRPr="00816D1F" w:rsidP="00C72933" w14:paraId="041E4A62" w14:textId="77777777">
            <w:pPr>
              <w:pStyle w:val="BodyText"/>
              <w:jc w:val="both"/>
              <w:rPr>
                <w:bCs/>
                <w:i/>
                <w:sz w:val="24"/>
                <w:szCs w:val="24"/>
                <w:lang w:val="en-US" w:eastAsia="en-US" w:bidi="ar-SA"/>
              </w:rPr>
            </w:pPr>
          </w:p>
        </w:tc>
        <w:tc>
          <w:tcPr>
            <w:tcW w:w="4788" w:type="dxa"/>
          </w:tcPr>
          <w:p w:rsidR="007C6C5A" w:rsidRPr="00816D1F" w:rsidP="00C72933" w14:paraId="191852A4" w14:textId="77777777">
            <w:pPr>
              <w:pStyle w:val="CommentText"/>
              <w:ind w:left="296"/>
              <w:rPr>
                <w:sz w:val="24"/>
                <w:szCs w:val="24"/>
                <w:lang w:val="en-US" w:eastAsia="en-US" w:bidi="ar-SA"/>
              </w:rPr>
            </w:pPr>
            <w:hyperlink r:id="rId30" w:history="1">
              <w:r w:rsidRPr="00816D1F" w:rsidR="00833D69">
                <w:rPr>
                  <w:rStyle w:val="Hyperlink"/>
                  <w:color w:val="0000FF"/>
                  <w:sz w:val="24"/>
                  <w:szCs w:val="24"/>
                  <w:u w:val="single"/>
                  <w:lang w:val="en-US" w:eastAsia="en-US" w:bidi="ar-SA"/>
                </w:rPr>
                <w:t>cwatchorn@firstenergycorp.com</w:t>
              </w:r>
            </w:hyperlink>
          </w:p>
          <w:p w:rsidR="007C6C5A" w:rsidRPr="00816D1F" w:rsidP="00C72933" w14:paraId="55272A87" w14:textId="77777777">
            <w:pPr>
              <w:pStyle w:val="CommentText"/>
              <w:ind w:left="296"/>
              <w:rPr>
                <w:sz w:val="24"/>
                <w:szCs w:val="24"/>
                <w:lang w:val="en-US" w:eastAsia="en-US" w:bidi="ar-SA"/>
              </w:rPr>
            </w:pPr>
            <w:hyperlink r:id="rId31" w:history="1">
              <w:r w:rsidRPr="00816D1F" w:rsidR="00833D69">
                <w:rPr>
                  <w:rStyle w:val="Hyperlink"/>
                  <w:color w:val="0000FF"/>
                  <w:sz w:val="24"/>
                  <w:szCs w:val="24"/>
                  <w:u w:val="single"/>
                  <w:lang w:val="en-US" w:eastAsia="en-US" w:bidi="ar-SA"/>
                </w:rPr>
                <w:t>bknipe@firstenergycorp.com</w:t>
              </w:r>
            </w:hyperlink>
          </w:p>
          <w:p w:rsidR="007C6C5A" w:rsidRPr="00816D1F" w:rsidP="00C72933" w14:paraId="5A976BC9" w14:textId="77777777">
            <w:pPr>
              <w:pStyle w:val="CommentText"/>
              <w:ind w:left="296"/>
              <w:rPr>
                <w:sz w:val="24"/>
                <w:szCs w:val="24"/>
                <w:lang w:val="en-US" w:eastAsia="en-US" w:bidi="ar-SA"/>
              </w:rPr>
            </w:pPr>
            <w:hyperlink r:id="rId32" w:history="1">
              <w:r w:rsidRPr="00816D1F" w:rsidR="00833D69">
                <w:rPr>
                  <w:rStyle w:val="Hyperlink"/>
                  <w:color w:val="0000FF"/>
                  <w:sz w:val="24"/>
                  <w:szCs w:val="24"/>
                  <w:u w:val="single"/>
                  <w:lang w:val="en-US" w:eastAsia="en-US" w:bidi="ar-SA"/>
                </w:rPr>
                <w:t>mkeaney@calfee.com</w:t>
              </w:r>
            </w:hyperlink>
          </w:p>
          <w:p w:rsidR="007C6C5A" w:rsidRPr="00816D1F" w:rsidP="00C72933" w14:paraId="7E0EE9B0" w14:textId="77777777">
            <w:pPr>
              <w:pStyle w:val="CommentText"/>
              <w:ind w:left="296"/>
              <w:rPr>
                <w:sz w:val="24"/>
                <w:szCs w:val="24"/>
                <w:lang w:val="en-US" w:eastAsia="en-US" w:bidi="ar-SA"/>
              </w:rPr>
            </w:pPr>
            <w:hyperlink r:id="rId33" w:history="1">
              <w:r w:rsidRPr="00816D1F" w:rsidR="00833D69">
                <w:rPr>
                  <w:rStyle w:val="Hyperlink"/>
                  <w:color w:val="0000FF"/>
                  <w:sz w:val="24"/>
                  <w:szCs w:val="24"/>
                  <w:u w:val="single"/>
                  <w:lang w:val="en-US" w:eastAsia="en-US" w:bidi="ar-SA"/>
                </w:rPr>
                <w:t>mpritchard@mwncmh.com</w:t>
              </w:r>
            </w:hyperlink>
          </w:p>
          <w:p w:rsidR="007C6C5A" w:rsidRPr="00816D1F" w:rsidP="00C72933" w14:paraId="1D2805D1" w14:textId="77777777">
            <w:pPr>
              <w:pStyle w:val="BodyText"/>
              <w:ind w:left="296"/>
              <w:jc w:val="both"/>
              <w:rPr>
                <w:sz w:val="24"/>
                <w:szCs w:val="24"/>
                <w:lang w:val="en-US" w:eastAsia="en-US" w:bidi="ar-SA"/>
              </w:rPr>
            </w:pPr>
            <w:hyperlink r:id="rId34" w:history="1">
              <w:r w:rsidRPr="00816D1F" w:rsidR="00833D69">
                <w:rPr>
                  <w:rStyle w:val="Hyperlink"/>
                  <w:iCs/>
                  <w:color w:val="0000FF"/>
                  <w:sz w:val="24"/>
                  <w:szCs w:val="24"/>
                  <w:u w:val="single"/>
                  <w:lang w:val="en-US" w:eastAsia="en-US" w:bidi="ar-SA"/>
                </w:rPr>
                <w:t>rdove@keglerbrown.com</w:t>
              </w:r>
            </w:hyperlink>
          </w:p>
          <w:p w:rsidR="007C6C5A" w:rsidRPr="00816D1F" w:rsidP="00C72933" w14:paraId="2373E697" w14:textId="77777777">
            <w:pPr>
              <w:pStyle w:val="BodyText"/>
              <w:ind w:left="296"/>
              <w:jc w:val="both"/>
              <w:rPr>
                <w:rFonts w:eastAsiaTheme="minorHAnsi"/>
                <w:i/>
                <w:sz w:val="24"/>
                <w:szCs w:val="24"/>
                <w:lang w:val="en-US" w:eastAsia="en-US" w:bidi="ar-SA"/>
              </w:rPr>
            </w:pPr>
            <w:hyperlink r:id="rId35" w:history="1">
              <w:r w:rsidRPr="00816D1F" w:rsidR="00833D69">
                <w:rPr>
                  <w:rStyle w:val="Hyperlink"/>
                  <w:rFonts w:eastAsiaTheme="minorHAnsi"/>
                  <w:iCs/>
                  <w:color w:val="0000FF"/>
                  <w:sz w:val="24"/>
                  <w:szCs w:val="24"/>
                  <w:u w:val="single"/>
                  <w:lang w:val="en-US" w:eastAsia="en-US" w:bidi="ar-SA"/>
                </w:rPr>
                <w:t>mdortch@kravitzllc.com</w:t>
              </w:r>
            </w:hyperlink>
          </w:p>
          <w:p w:rsidR="007C6C5A" w:rsidRPr="00816D1F" w:rsidP="00C72933" w14:paraId="3061E328" w14:textId="77777777">
            <w:pPr>
              <w:autoSpaceDE w:val="0"/>
              <w:autoSpaceDN w:val="0"/>
              <w:adjustRightInd w:val="0"/>
              <w:ind w:left="296"/>
              <w:rPr>
                <w:rFonts w:eastAsiaTheme="minorHAnsi"/>
                <w:color w:val="0000FF"/>
                <w:sz w:val="24"/>
                <w:szCs w:val="24"/>
                <w:lang w:val="en-US" w:eastAsia="en-US" w:bidi="ar-SA"/>
              </w:rPr>
            </w:pPr>
            <w:hyperlink r:id="rId36" w:history="1">
              <w:r w:rsidRPr="00816D1F" w:rsidR="00833D69">
                <w:rPr>
                  <w:rStyle w:val="Hyperlink"/>
                  <w:rFonts w:eastAsiaTheme="minorHAnsi"/>
                  <w:color w:val="0000FF"/>
                  <w:sz w:val="24"/>
                  <w:szCs w:val="24"/>
                  <w:u w:val="single"/>
                  <w:lang w:val="en-US" w:eastAsia="en-US" w:bidi="ar-SA"/>
                </w:rPr>
                <w:t>dparram@bricker.com</w:t>
              </w:r>
            </w:hyperlink>
          </w:p>
          <w:p w:rsidR="007C6C5A" w:rsidRPr="00816D1F" w:rsidP="00C72933" w14:paraId="36544721" w14:textId="77777777">
            <w:pPr>
              <w:pStyle w:val="CommentText"/>
              <w:ind w:left="296"/>
              <w:rPr>
                <w:rFonts w:eastAsiaTheme="minorHAnsi"/>
                <w:sz w:val="24"/>
                <w:szCs w:val="24"/>
                <w:lang w:val="en-US" w:eastAsia="en-US" w:bidi="ar-SA"/>
              </w:rPr>
            </w:pPr>
            <w:hyperlink r:id="rId37" w:history="1">
              <w:r w:rsidRPr="00816D1F" w:rsidR="00833D69">
                <w:rPr>
                  <w:rStyle w:val="Hyperlink"/>
                  <w:rFonts w:eastAsiaTheme="minorHAnsi"/>
                  <w:color w:val="0000FF"/>
                  <w:sz w:val="24"/>
                  <w:szCs w:val="24"/>
                  <w:u w:val="single"/>
                  <w:lang w:val="en-US" w:eastAsia="en-US" w:bidi="ar-SA"/>
                </w:rPr>
                <w:t>joliker@igsenergy.com</w:t>
              </w:r>
            </w:hyperlink>
          </w:p>
          <w:p w:rsidR="007C6C5A" w:rsidRPr="00816D1F" w:rsidP="00C72933" w14:paraId="5A398F68" w14:textId="77777777">
            <w:pPr>
              <w:pStyle w:val="CommentText"/>
              <w:ind w:left="296"/>
              <w:rPr>
                <w:rFonts w:eastAsiaTheme="minorHAnsi"/>
                <w:sz w:val="24"/>
                <w:szCs w:val="24"/>
                <w:lang w:val="en-US" w:eastAsia="en-US" w:bidi="ar-SA"/>
              </w:rPr>
            </w:pPr>
            <w:hyperlink r:id="rId38" w:history="1">
              <w:r w:rsidRPr="00816D1F" w:rsidR="00833D69">
                <w:rPr>
                  <w:rStyle w:val="Hyperlink"/>
                  <w:rFonts w:eastAsiaTheme="minorHAnsi"/>
                  <w:color w:val="0000FF"/>
                  <w:sz w:val="24"/>
                  <w:szCs w:val="24"/>
                  <w:u w:val="single"/>
                  <w:lang w:val="en-US" w:eastAsia="en-US" w:bidi="ar-SA"/>
                </w:rPr>
                <w:t>mnugent@igsenergy.com</w:t>
              </w:r>
            </w:hyperlink>
          </w:p>
          <w:p w:rsidR="007C6C5A" w:rsidRPr="00816D1F" w:rsidP="00C72933" w14:paraId="6D3F817D" w14:textId="77777777">
            <w:pPr>
              <w:pStyle w:val="CommentText"/>
              <w:ind w:left="296"/>
              <w:rPr>
                <w:rFonts w:eastAsiaTheme="minorHAnsi"/>
                <w:sz w:val="24"/>
                <w:szCs w:val="24"/>
                <w:lang w:val="en-US" w:eastAsia="en-US" w:bidi="ar-SA"/>
              </w:rPr>
            </w:pPr>
            <w:hyperlink r:id="rId39" w:history="1">
              <w:r w:rsidRPr="00816D1F" w:rsidR="00833D69">
                <w:rPr>
                  <w:rStyle w:val="Hyperlink"/>
                  <w:rFonts w:eastAsiaTheme="minorHAnsi"/>
                  <w:color w:val="0000FF"/>
                  <w:sz w:val="24"/>
                  <w:szCs w:val="24"/>
                  <w:u w:val="single"/>
                  <w:lang w:val="en-US" w:eastAsia="en-US" w:bidi="ar-SA"/>
                </w:rPr>
                <w:t>Bethany.Allen@igs.com</w:t>
              </w:r>
            </w:hyperlink>
          </w:p>
          <w:p w:rsidR="007C6C5A" w:rsidRPr="00816D1F" w:rsidP="00C72933" w14:paraId="38578A27" w14:textId="77777777">
            <w:pPr>
              <w:autoSpaceDE w:val="0"/>
              <w:autoSpaceDN w:val="0"/>
              <w:adjustRightInd w:val="0"/>
              <w:ind w:left="296"/>
              <w:rPr>
                <w:rStyle w:val="Hyperlink"/>
                <w:rFonts w:eastAsiaTheme="minorHAnsi"/>
                <w:color w:val="0000FF"/>
                <w:sz w:val="24"/>
                <w:szCs w:val="24"/>
                <w:u w:val="single"/>
                <w:lang w:val="en-US" w:eastAsia="en-US" w:bidi="ar-SA"/>
              </w:rPr>
            </w:pPr>
            <w:hyperlink r:id="rId40" w:history="1">
              <w:r w:rsidRPr="00816D1F" w:rsidR="00833D69">
                <w:rPr>
                  <w:rStyle w:val="Hyperlink"/>
                  <w:rFonts w:eastAsiaTheme="minorHAnsi"/>
                  <w:color w:val="0000FF"/>
                  <w:sz w:val="24"/>
                  <w:szCs w:val="24"/>
                  <w:u w:val="single"/>
                  <w:lang w:val="en-US" w:eastAsia="en-US" w:bidi="ar-SA"/>
                </w:rPr>
                <w:t>whitt@whitt-sturtevant.com</w:t>
              </w:r>
            </w:hyperlink>
          </w:p>
          <w:p w:rsidR="007C6C5A" w:rsidRPr="00816D1F" w:rsidP="00C72933" w14:paraId="115BC9D2" w14:textId="77777777">
            <w:pPr>
              <w:autoSpaceDE w:val="0"/>
              <w:autoSpaceDN w:val="0"/>
              <w:adjustRightInd w:val="0"/>
              <w:ind w:left="296"/>
              <w:rPr>
                <w:rFonts w:eastAsiaTheme="minorHAnsi"/>
                <w:sz w:val="24"/>
                <w:szCs w:val="24"/>
                <w:lang w:val="en-US" w:eastAsia="en-US" w:bidi="ar-SA"/>
              </w:rPr>
            </w:pPr>
            <w:hyperlink r:id="rId41" w:history="1">
              <w:r w:rsidRPr="00816D1F" w:rsidR="00833D69">
                <w:rPr>
                  <w:rStyle w:val="Hyperlink"/>
                  <w:rFonts w:eastAsiaTheme="minorHAnsi"/>
                  <w:color w:val="0000FF"/>
                  <w:sz w:val="24"/>
                  <w:szCs w:val="24"/>
                  <w:u w:val="single"/>
                  <w:lang w:val="en-US" w:eastAsia="en-US" w:bidi="ar-SA"/>
                </w:rPr>
                <w:t>kennedy@whitt-sturtevant.com</w:t>
              </w:r>
            </w:hyperlink>
          </w:p>
          <w:p w:rsidR="007C6C5A" w:rsidRPr="00816D1F" w:rsidP="00C72933" w14:paraId="095A33FE" w14:textId="77777777">
            <w:pPr>
              <w:autoSpaceDE w:val="0"/>
              <w:autoSpaceDN w:val="0"/>
              <w:adjustRightInd w:val="0"/>
              <w:ind w:left="296"/>
              <w:rPr>
                <w:rFonts w:eastAsiaTheme="minorHAnsi"/>
                <w:sz w:val="24"/>
                <w:szCs w:val="24"/>
                <w:lang w:val="en-US" w:eastAsia="en-US" w:bidi="ar-SA"/>
              </w:rPr>
            </w:pPr>
            <w:hyperlink r:id="rId42" w:history="1">
              <w:r w:rsidRPr="00816D1F" w:rsidR="00833D69">
                <w:rPr>
                  <w:rStyle w:val="Hyperlink"/>
                  <w:rFonts w:eastAsiaTheme="minorHAnsi"/>
                  <w:color w:val="0000FF"/>
                  <w:sz w:val="24"/>
                  <w:szCs w:val="24"/>
                  <w:u w:val="single"/>
                  <w:lang w:val="en-US" w:eastAsia="en-US" w:bidi="ar-SA"/>
                </w:rPr>
                <w:t>dproano@bakerlaw.com</w:t>
              </w:r>
            </w:hyperlink>
          </w:p>
          <w:p w:rsidR="007C6C5A" w:rsidRPr="00816D1F" w:rsidP="00C72933" w14:paraId="64893B50" w14:textId="77777777">
            <w:pPr>
              <w:autoSpaceDE w:val="0"/>
              <w:autoSpaceDN w:val="0"/>
              <w:adjustRightInd w:val="0"/>
              <w:ind w:left="296"/>
              <w:rPr>
                <w:sz w:val="24"/>
                <w:szCs w:val="24"/>
                <w:lang w:val="en-US" w:eastAsia="en-US" w:bidi="ar-SA"/>
              </w:rPr>
            </w:pPr>
            <w:hyperlink r:id="rId43" w:history="1">
              <w:r w:rsidRPr="00816D1F" w:rsidR="00833D69">
                <w:rPr>
                  <w:rStyle w:val="Hyperlink"/>
                  <w:color w:val="0000FF"/>
                  <w:sz w:val="24"/>
                  <w:szCs w:val="24"/>
                  <w:u w:val="single"/>
                  <w:lang w:val="en-US" w:eastAsia="en-US" w:bidi="ar-SA"/>
                </w:rPr>
                <w:t>ahaque@bakerlaw.com</w:t>
              </w:r>
            </w:hyperlink>
          </w:p>
          <w:p w:rsidR="007C6C5A" w:rsidRPr="00816D1F" w:rsidP="00C72933" w14:paraId="7FB5540F" w14:textId="77777777">
            <w:pPr>
              <w:autoSpaceDE w:val="0"/>
              <w:autoSpaceDN w:val="0"/>
              <w:adjustRightInd w:val="0"/>
              <w:ind w:left="296"/>
              <w:rPr>
                <w:sz w:val="24"/>
                <w:szCs w:val="24"/>
                <w:lang w:val="en-US" w:eastAsia="en-US" w:bidi="ar-SA"/>
              </w:rPr>
            </w:pPr>
            <w:hyperlink r:id="rId44" w:history="1">
              <w:r w:rsidRPr="00816D1F" w:rsidR="00833D69">
                <w:rPr>
                  <w:rStyle w:val="Hyperlink"/>
                  <w:color w:val="0000FF"/>
                  <w:sz w:val="24"/>
                  <w:szCs w:val="24"/>
                  <w:u w:val="single"/>
                  <w:lang w:val="en-US" w:eastAsia="en-US" w:bidi="ar-SA"/>
                </w:rPr>
                <w:t>eprouty@bakerlaw.com</w:t>
              </w:r>
            </w:hyperlink>
          </w:p>
          <w:p w:rsidR="0057186D" w:rsidRPr="00816D1F" w:rsidP="00C72933" w14:paraId="7BDAC631" w14:textId="7E7EAAA2">
            <w:pPr>
              <w:autoSpaceDE w:val="0"/>
              <w:autoSpaceDN w:val="0"/>
              <w:adjustRightInd w:val="0"/>
              <w:ind w:left="296"/>
              <w:rPr>
                <w:sz w:val="24"/>
                <w:szCs w:val="24"/>
                <w:lang w:val="en-US" w:eastAsia="en-US" w:bidi="ar-SA"/>
              </w:rPr>
            </w:pPr>
            <w:hyperlink r:id="rId45" w:history="1">
              <w:r w:rsidRPr="00816D1F">
                <w:rPr>
                  <w:rStyle w:val="Hyperlink"/>
                  <w:color w:val="0000FF"/>
                  <w:sz w:val="24"/>
                  <w:szCs w:val="24"/>
                  <w:u w:val="single"/>
                  <w:lang w:val="en-US" w:eastAsia="en-US" w:bidi="ar-SA"/>
                </w:rPr>
                <w:t>mpritchard@mcneeslaw.com</w:t>
              </w:r>
            </w:hyperlink>
          </w:p>
          <w:p w:rsidR="007C6C5A" w:rsidRPr="00816D1F" w:rsidP="00C72933" w14:paraId="6A66C825" w14:textId="4C1F1FC3">
            <w:pPr>
              <w:autoSpaceDE w:val="0"/>
              <w:autoSpaceDN w:val="0"/>
              <w:adjustRightInd w:val="0"/>
              <w:ind w:left="296"/>
              <w:rPr>
                <w:sz w:val="24"/>
                <w:szCs w:val="24"/>
                <w:lang w:val="en-US" w:eastAsia="en-US" w:bidi="ar-SA"/>
              </w:rPr>
            </w:pPr>
            <w:hyperlink r:id="rId46" w:history="1">
              <w:r w:rsidRPr="00816D1F" w:rsidR="0057186D">
                <w:rPr>
                  <w:rStyle w:val="Hyperlink"/>
                  <w:color w:val="0000FF"/>
                  <w:sz w:val="24"/>
                  <w:szCs w:val="24"/>
                  <w:u w:val="single"/>
                  <w:lang w:val="en-US" w:eastAsia="en-US" w:bidi="ar-SA"/>
                </w:rPr>
                <w:t>awalke@mcneeslaw.com</w:t>
              </w:r>
            </w:hyperlink>
          </w:p>
          <w:p w:rsidR="0057186D" w:rsidRPr="00816D1F" w:rsidP="00C72933" w14:paraId="7DDB71A2" w14:textId="37796DF0">
            <w:pPr>
              <w:autoSpaceDE w:val="0"/>
              <w:autoSpaceDN w:val="0"/>
              <w:adjustRightInd w:val="0"/>
              <w:ind w:left="296"/>
              <w:rPr>
                <w:rFonts w:eastAsiaTheme="minorHAnsi"/>
                <w:sz w:val="24"/>
                <w:szCs w:val="24"/>
                <w:lang w:val="en-US" w:eastAsia="en-US" w:bidi="ar-SA"/>
              </w:rPr>
            </w:pPr>
          </w:p>
          <w:p w:rsidR="007C6C5A" w:rsidRPr="00816D1F" w:rsidP="00C72933" w14:paraId="041927A9" w14:textId="77777777">
            <w:pPr>
              <w:pStyle w:val="CommentText"/>
              <w:ind w:left="296"/>
              <w:rPr>
                <w:rFonts w:eastAsiaTheme="minorHAnsi"/>
                <w:color w:val="0000FF"/>
                <w:sz w:val="24"/>
                <w:szCs w:val="24"/>
                <w:lang w:val="en-US" w:eastAsia="en-US" w:bidi="ar-SA"/>
              </w:rPr>
            </w:pPr>
          </w:p>
          <w:p w:rsidR="007C6C5A" w:rsidRPr="00816D1F" w:rsidP="00C72933" w14:paraId="5413274E" w14:textId="77777777">
            <w:pPr>
              <w:pStyle w:val="CommentText"/>
              <w:ind w:left="296"/>
              <w:rPr>
                <w:rFonts w:eastAsiaTheme="minorHAnsi"/>
                <w:color w:val="0000FF"/>
                <w:sz w:val="24"/>
                <w:szCs w:val="24"/>
                <w:lang w:val="en-US" w:eastAsia="en-US" w:bidi="ar-SA"/>
              </w:rPr>
            </w:pPr>
          </w:p>
          <w:p w:rsidR="007C6C5A" w:rsidRPr="00816D1F" w:rsidP="00C72933" w14:paraId="7DD7BBEA" w14:textId="77777777">
            <w:pPr>
              <w:pStyle w:val="CommentText"/>
              <w:ind w:left="296"/>
              <w:rPr>
                <w:rFonts w:eastAsiaTheme="minorHAnsi"/>
                <w:sz w:val="24"/>
                <w:szCs w:val="24"/>
                <w:lang w:val="en-US" w:eastAsia="en-US" w:bidi="ar-SA"/>
              </w:rPr>
            </w:pPr>
          </w:p>
          <w:p w:rsidR="007C6C5A" w:rsidRPr="00816D1F" w:rsidP="00C72933" w14:paraId="58510561" w14:textId="77777777">
            <w:pPr>
              <w:pStyle w:val="CommentText"/>
              <w:ind w:left="296"/>
              <w:rPr>
                <w:rFonts w:eastAsiaTheme="minorHAnsi"/>
                <w:sz w:val="24"/>
                <w:szCs w:val="24"/>
                <w:lang w:val="en-US" w:eastAsia="en-US" w:bidi="ar-SA"/>
              </w:rPr>
            </w:pPr>
          </w:p>
          <w:p w:rsidR="007C6C5A" w:rsidRPr="00816D1F" w:rsidP="00C72933" w14:paraId="3748405E" w14:textId="77777777">
            <w:pPr>
              <w:pStyle w:val="CommentText"/>
              <w:ind w:left="972"/>
              <w:rPr>
                <w:rFonts w:eastAsiaTheme="minorHAnsi"/>
                <w:sz w:val="24"/>
                <w:szCs w:val="24"/>
                <w:lang w:val="en-US" w:eastAsia="en-US" w:bidi="ar-SA"/>
              </w:rPr>
            </w:pPr>
          </w:p>
          <w:p w:rsidR="007C6C5A" w:rsidRPr="00816D1F" w:rsidP="00C72933" w14:paraId="69DA1FBA" w14:textId="77777777">
            <w:pPr>
              <w:pStyle w:val="CommentText"/>
              <w:ind w:left="972"/>
              <w:rPr>
                <w:rFonts w:eastAsiaTheme="minorHAnsi"/>
                <w:sz w:val="24"/>
                <w:szCs w:val="24"/>
                <w:lang w:val="en-US" w:eastAsia="en-US" w:bidi="ar-SA"/>
              </w:rPr>
            </w:pPr>
          </w:p>
          <w:p w:rsidR="007C6C5A" w:rsidRPr="00816D1F" w:rsidP="00C72933" w14:paraId="70000AA5" w14:textId="77777777">
            <w:pPr>
              <w:pStyle w:val="CommentText"/>
              <w:ind w:left="972"/>
              <w:rPr>
                <w:b/>
                <w:sz w:val="24"/>
                <w:szCs w:val="24"/>
                <w:u w:val="single"/>
                <w:lang w:val="en-US" w:eastAsia="en-US" w:bidi="ar-SA"/>
              </w:rPr>
            </w:pPr>
          </w:p>
        </w:tc>
      </w:tr>
    </w:tbl>
    <w:p w:rsidR="00714C1E" w:rsidRPr="00816D1F" w14:paraId="658FF2F2" w14:textId="77777777">
      <w:pPr>
        <w:pStyle w:val="CommentText"/>
        <w:jc w:val="center"/>
        <w:rPr>
          <w:b/>
          <w:u w:val="single"/>
        </w:rPr>
      </w:pPr>
    </w:p>
    <w:p w:rsidR="00714C1E" w:rsidRPr="00816D1F" w14:paraId="5E6827F9" w14:textId="77777777">
      <w:pPr>
        <w:pStyle w:val="BodyText"/>
        <w:rPr>
          <w:b/>
          <w:bCs/>
          <w:szCs w:val="24"/>
        </w:rPr>
      </w:pPr>
    </w:p>
    <w:p w:rsidR="00714C1E" w:rsidRPr="00816D1F" w14:paraId="7EF83E0F" w14:textId="77777777">
      <w:pPr>
        <w:pStyle w:val="BodyText"/>
        <w:rPr>
          <w:b/>
          <w:bCs/>
          <w:szCs w:val="24"/>
        </w:rPr>
      </w:pPr>
    </w:p>
    <w:sectPr w:rsidSect="00726953">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347E" w14:paraId="4F0EDDC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95654414"/>
      <w:docPartObj>
        <w:docPartGallery w:val="Page Numbers (Bottom of Page)"/>
        <w:docPartUnique/>
      </w:docPartObj>
    </w:sdtPr>
    <w:sdtEndPr>
      <w:rPr>
        <w:noProof/>
        <w:sz w:val="24"/>
        <w:szCs w:val="24"/>
      </w:rPr>
    </w:sdtEndPr>
    <w:sdtContent>
      <w:p w:rsidR="00833D69" w:rsidRPr="00D4672E" w:rsidP="00D4672E" w14:paraId="55C8ADAF" w14:textId="42D3E797">
        <w:pPr>
          <w:pStyle w:val="Footer"/>
          <w:jc w:val="center"/>
          <w:rPr>
            <w:sz w:val="24"/>
            <w:szCs w:val="24"/>
          </w:rPr>
        </w:pPr>
        <w:r w:rsidRPr="00D4672E">
          <w:rPr>
            <w:sz w:val="24"/>
            <w:szCs w:val="24"/>
          </w:rPr>
          <w:fldChar w:fldCharType="begin"/>
        </w:r>
        <w:r w:rsidRPr="00D4672E">
          <w:rPr>
            <w:sz w:val="24"/>
            <w:szCs w:val="24"/>
          </w:rPr>
          <w:instrText xml:space="preserve"> PAGE   \* MERGEFORMAT </w:instrText>
        </w:r>
        <w:r w:rsidRPr="00D4672E">
          <w:rPr>
            <w:sz w:val="24"/>
            <w:szCs w:val="24"/>
          </w:rPr>
          <w:fldChar w:fldCharType="separate"/>
        </w:r>
        <w:r w:rsidRPr="00D4672E">
          <w:rPr>
            <w:noProof/>
            <w:sz w:val="24"/>
            <w:szCs w:val="24"/>
          </w:rPr>
          <w:t>2</w:t>
        </w:r>
        <w:r w:rsidRPr="00D4672E">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347E" w14:paraId="1F231D7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3099171"/>
      <w:docPartObj>
        <w:docPartGallery w:val="Page Numbers (Bottom of Page)"/>
        <w:docPartUnique/>
      </w:docPartObj>
    </w:sdtPr>
    <w:sdtEndPr>
      <w:rPr>
        <w:noProof/>
        <w:sz w:val="24"/>
        <w:szCs w:val="24"/>
      </w:rPr>
    </w:sdtEndPr>
    <w:sdtContent>
      <w:p w:rsidR="00C72933" w:rsidRPr="00057887" w14:paraId="233816F8" w14:textId="1CF1C561">
        <w:pPr>
          <w:pStyle w:val="Footer"/>
          <w:jc w:val="center"/>
          <w:rPr>
            <w:sz w:val="24"/>
            <w:szCs w:val="24"/>
          </w:rPr>
        </w:pPr>
        <w:r w:rsidRPr="00057887">
          <w:rPr>
            <w:sz w:val="24"/>
            <w:szCs w:val="24"/>
          </w:rPr>
          <w:fldChar w:fldCharType="begin"/>
        </w:r>
        <w:r w:rsidRPr="00057887">
          <w:rPr>
            <w:sz w:val="24"/>
            <w:szCs w:val="24"/>
          </w:rPr>
          <w:instrText xml:space="preserve"> PAGE   \* MERGEFORMAT </w:instrText>
        </w:r>
        <w:r w:rsidRPr="00057887">
          <w:rPr>
            <w:sz w:val="24"/>
            <w:szCs w:val="24"/>
          </w:rPr>
          <w:fldChar w:fldCharType="separate"/>
        </w:r>
        <w:r w:rsidRPr="00057887">
          <w:rPr>
            <w:noProof/>
            <w:sz w:val="24"/>
            <w:szCs w:val="24"/>
          </w:rPr>
          <w:t>2</w:t>
        </w:r>
        <w:r w:rsidRPr="00057887">
          <w:rPr>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724075"/>
      <w:docPartObj>
        <w:docPartGallery w:val="Page Numbers (Bottom of Page)"/>
        <w:docPartUnique/>
      </w:docPartObj>
    </w:sdtPr>
    <w:sdtEndPr>
      <w:rPr>
        <w:noProof/>
        <w:sz w:val="24"/>
        <w:szCs w:val="24"/>
      </w:rPr>
    </w:sdtEndPr>
    <w:sdtContent>
      <w:p w:rsidR="00AB65FB" w:rsidRPr="00057887" w14:paraId="340B28DA" w14:textId="77777777">
        <w:pPr>
          <w:pStyle w:val="Footer"/>
          <w:jc w:val="center"/>
          <w:rPr>
            <w:sz w:val="24"/>
            <w:szCs w:val="24"/>
          </w:rPr>
        </w:pPr>
        <w:r w:rsidRPr="00057887">
          <w:rPr>
            <w:sz w:val="24"/>
            <w:szCs w:val="24"/>
          </w:rPr>
          <w:fldChar w:fldCharType="begin"/>
        </w:r>
        <w:r w:rsidRPr="00057887">
          <w:rPr>
            <w:sz w:val="24"/>
            <w:szCs w:val="24"/>
          </w:rPr>
          <w:instrText xml:space="preserve"> PAGE   \* MERGEFORMAT </w:instrText>
        </w:r>
        <w:r w:rsidRPr="00057887">
          <w:rPr>
            <w:sz w:val="24"/>
            <w:szCs w:val="24"/>
          </w:rPr>
          <w:fldChar w:fldCharType="separate"/>
        </w:r>
        <w:r w:rsidRPr="00057887">
          <w:rPr>
            <w:noProof/>
            <w:sz w:val="24"/>
            <w:szCs w:val="24"/>
          </w:rPr>
          <w:t>2</w:t>
        </w:r>
        <w:r w:rsidRPr="00057887">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76B21" w14:paraId="29B51150" w14:textId="77777777">
      <w:r>
        <w:separator/>
      </w:r>
    </w:p>
  </w:footnote>
  <w:footnote w:type="continuationSeparator" w:id="1">
    <w:p w:rsidR="00076B21" w14:paraId="3C82DFAE" w14:textId="77777777">
      <w:r>
        <w:continuationSeparator/>
      </w:r>
    </w:p>
  </w:footnote>
  <w:footnote w:id="2">
    <w:p w:rsidR="00750DDF" w:rsidP="00816D1F" w14:paraId="5C139CFB" w14:textId="21347D11">
      <w:pPr>
        <w:pStyle w:val="FootnoteText"/>
        <w:spacing w:after="120"/>
      </w:pPr>
      <w:r>
        <w:rPr>
          <w:rStyle w:val="FootnoteReference"/>
        </w:rPr>
        <w:footnoteRef/>
      </w:r>
      <w:r>
        <w:t xml:space="preserve"> Finding and Order (Nov. 16, 2023) (“Order”), at ¶ 20.</w:t>
      </w:r>
    </w:p>
  </w:footnote>
  <w:footnote w:id="3">
    <w:p w:rsidR="0085404A" w:rsidP="00816D1F" w14:paraId="50F99BA8" w14:textId="77777777">
      <w:pPr>
        <w:pStyle w:val="FootnoteText"/>
        <w:spacing w:after="120"/>
      </w:pPr>
      <w:r>
        <w:rPr>
          <w:rStyle w:val="FootnoteReference"/>
        </w:rPr>
        <w:footnoteRef/>
      </w:r>
      <w:r>
        <w:t xml:space="preserve"> Order, at ¶ 33.</w:t>
      </w:r>
    </w:p>
  </w:footnote>
  <w:footnote w:id="4">
    <w:p w:rsidR="0001642C" w:rsidRPr="001236D2" w:rsidP="00816D1F" w14:paraId="607048F6" w14:textId="77777777">
      <w:pPr>
        <w:pStyle w:val="FootnoteText"/>
        <w:spacing w:after="120"/>
      </w:pPr>
      <w:r>
        <w:rPr>
          <w:rStyle w:val="FootnoteReference"/>
        </w:rPr>
        <w:footnoteRef/>
      </w:r>
      <w:r>
        <w:t xml:space="preserve"> R.C. 4909.15.</w:t>
      </w:r>
    </w:p>
  </w:footnote>
  <w:footnote w:id="5">
    <w:p w:rsidR="005D77A0" w:rsidP="00816D1F" w14:paraId="180976B6" w14:textId="77777777">
      <w:pPr>
        <w:pStyle w:val="FootnoteText"/>
        <w:spacing w:after="120"/>
      </w:pPr>
      <w:r>
        <w:rPr>
          <w:rStyle w:val="FootnoteReference"/>
        </w:rPr>
        <w:footnoteRef/>
      </w:r>
      <w:r>
        <w:t xml:space="preserve"> </w:t>
      </w:r>
      <w:r w:rsidRPr="000443E3">
        <w:rPr>
          <w:i/>
          <w:iCs/>
        </w:rPr>
        <w:t>In the Matter of the Filing by Ohio Edison Company, the Cleveland Electric Illuminating Company and the Toledo Edison Company of a Grid Modernization Business Plan</w:t>
      </w:r>
      <w:r>
        <w:t xml:space="preserve">, Case No. 16-481-EL-UNC, Stipulation and Recommendation at Attachment B (Nov. 9, 2018). </w:t>
      </w:r>
    </w:p>
  </w:footnote>
  <w:footnote w:id="6">
    <w:p w:rsidR="00343BC2" w:rsidRPr="00CA1934" w:rsidP="00816D1F" w14:paraId="5DDE550F" w14:textId="77777777">
      <w:pPr>
        <w:pStyle w:val="FootnoteText"/>
        <w:spacing w:after="120"/>
      </w:pPr>
      <w:r w:rsidRPr="00CA1934">
        <w:rPr>
          <w:rStyle w:val="FootnoteReference"/>
        </w:rPr>
        <w:footnoteRef/>
      </w:r>
      <w:r w:rsidRPr="00CA1934">
        <w:t xml:space="preserve"> </w:t>
      </w:r>
      <w:r w:rsidRPr="00CA1934">
        <w:rPr>
          <w:i/>
          <w:iCs/>
        </w:rPr>
        <w:t>United States of America v. Samuel Randazzo</w:t>
      </w:r>
      <w:r w:rsidRPr="00CA1934">
        <w:t>, Case No. 1:23-cr-114, Indictment (Nov. 29, 2023).</w:t>
      </w:r>
    </w:p>
  </w:footnote>
  <w:footnote w:id="7">
    <w:p w:rsidR="00BF32BA" w:rsidP="00816D1F" w14:paraId="4E6E9B70" w14:textId="77777777">
      <w:pPr>
        <w:pStyle w:val="FootnoteText"/>
        <w:spacing w:after="120"/>
      </w:pPr>
      <w:r>
        <w:rPr>
          <w:rStyle w:val="FootnoteReference"/>
        </w:rPr>
        <w:footnoteRef/>
      </w:r>
      <w:r>
        <w:t xml:space="preserve"> </w:t>
      </w:r>
      <w:r w:rsidRPr="000443E3">
        <w:rPr>
          <w:i/>
          <w:iCs/>
        </w:rPr>
        <w:t>In the Matter of the Filing by Ohio Edison Company, the Cleveland Electric Illuminating Company and the Toledo Edison Company of a Grid Modernization Business Plan</w:t>
      </w:r>
      <w:r>
        <w:t xml:space="preserve">, Case No. 16-481-EL-UNC, Stipulation and Recommendation at Attachment B (Nov. 9, 2018). </w:t>
      </w:r>
    </w:p>
  </w:footnote>
  <w:footnote w:id="8">
    <w:p w:rsidR="00BF32BA" w:rsidP="00816D1F" w14:paraId="044E05B0" w14:textId="06E93E30">
      <w:pPr>
        <w:pStyle w:val="FootnoteText"/>
        <w:spacing w:after="120"/>
      </w:pPr>
      <w:r>
        <w:rPr>
          <w:rStyle w:val="FootnoteReference"/>
        </w:rPr>
        <w:footnoteRef/>
      </w:r>
      <w:r>
        <w:t xml:space="preserve"> There have been very limited disallowances recommended by the PUCO Staff for FirstEnergy’s Grid Mod expenses and investment</w:t>
      </w:r>
      <w:r w:rsidRPr="00931E01">
        <w:t xml:space="preserve">. </w:t>
      </w:r>
      <w:r w:rsidRPr="007B3247">
        <w:rPr>
          <w:szCs w:val="24"/>
        </w:rPr>
        <w:t xml:space="preserve">From 2019 to 2021, approximately </w:t>
      </w:r>
      <w:r w:rsidRPr="00514C2E">
        <w:rPr>
          <w:szCs w:val="24"/>
        </w:rPr>
        <w:t>$</w:t>
      </w:r>
      <w:r>
        <w:rPr>
          <w:szCs w:val="24"/>
        </w:rPr>
        <w:t xml:space="preserve">5 million in total has been recommended for disallowance in FirstEnergy’s Grid Mod 1 annual audit cases, which are all awaiting a PUCO decision. </w:t>
      </w:r>
      <w:r w:rsidRPr="00514C2E">
        <w:rPr>
          <w:i/>
          <w:iCs/>
          <w:szCs w:val="24"/>
        </w:rPr>
        <w:t>See</w:t>
      </w:r>
      <w:r>
        <w:rPr>
          <w:szCs w:val="24"/>
        </w:rPr>
        <w:t xml:space="preserve"> Case Nos. 18-1647-EL-UNC, 21-1903-EL-UNC</w:t>
      </w:r>
      <w:r w:rsidR="00764D4E">
        <w:rPr>
          <w:szCs w:val="24"/>
        </w:rPr>
        <w:t xml:space="preserve"> and</w:t>
      </w:r>
      <w:r>
        <w:rPr>
          <w:szCs w:val="24"/>
        </w:rPr>
        <w:t xml:space="preserve"> 20-1672-El-UNC. </w:t>
      </w:r>
    </w:p>
  </w:footnote>
  <w:footnote w:id="9">
    <w:p w:rsidR="00863463" w:rsidRPr="00CA1934" w:rsidP="00816D1F" w14:paraId="38FD0519" w14:textId="77777777">
      <w:pPr>
        <w:pStyle w:val="FootnoteText"/>
        <w:spacing w:after="120"/>
      </w:pPr>
      <w:r w:rsidRPr="00CA1934">
        <w:rPr>
          <w:rStyle w:val="FootnoteReference"/>
        </w:rPr>
        <w:footnoteRef/>
      </w:r>
      <w:r w:rsidRPr="00CA1934">
        <w:t xml:space="preserve"> </w:t>
      </w:r>
      <w:r w:rsidRPr="00CA1934">
        <w:rPr>
          <w:i/>
          <w:iCs/>
        </w:rPr>
        <w:t>United States of America v. Samuel Randazzo</w:t>
      </w:r>
      <w:r w:rsidRPr="00CA1934">
        <w:t>, Case No. 1:23-cr-114, Indictment (Nov. 29, 2023).</w:t>
      </w:r>
    </w:p>
  </w:footnote>
  <w:footnote w:id="10">
    <w:p w:rsidR="0013225C" w:rsidRPr="00D82DE7" w:rsidP="00816D1F" w14:paraId="452C2F42" w14:textId="77777777">
      <w:pPr>
        <w:pStyle w:val="FootnoteText"/>
        <w:spacing w:after="120"/>
      </w:pPr>
      <w:r w:rsidRPr="00D82DE7">
        <w:rPr>
          <w:rStyle w:val="FootnoteReference"/>
        </w:rPr>
        <w:footnoteRef/>
      </w:r>
      <w:r w:rsidRPr="00D82DE7">
        <w:t xml:space="preserve"> </w:t>
      </w:r>
      <w:r w:rsidRPr="00D82DE7">
        <w:rPr>
          <w:i/>
          <w:iCs/>
        </w:rPr>
        <w:t>United States of America v. FirstEnergy Corp</w:t>
      </w:r>
      <w:r w:rsidRPr="00D82DE7">
        <w:t>., Case No. 1:21-cr-86, Deferred Prosecution Agreement at 17 (July 20, 2021) (emphasis added).</w:t>
      </w:r>
    </w:p>
  </w:footnote>
  <w:footnote w:id="11">
    <w:p w:rsidR="00C260AB" w:rsidP="00816D1F" w14:paraId="586D1736" w14:textId="7393056F">
      <w:pPr>
        <w:pStyle w:val="FootnoteText"/>
        <w:spacing w:after="120"/>
      </w:pPr>
      <w:r>
        <w:rPr>
          <w:rStyle w:val="FootnoteReference"/>
        </w:rPr>
        <w:footnoteRef/>
      </w:r>
      <w:r>
        <w:t xml:space="preserve"> Case No. 16-481-EL-UNC, PUCO Opinion and Order (July 17, 2019)</w:t>
      </w:r>
      <w:r w:rsidR="000F3A62">
        <w:t xml:space="preserve"> (“July 17, 2019 Order”)</w:t>
      </w:r>
      <w:r>
        <w:t>.</w:t>
      </w:r>
    </w:p>
  </w:footnote>
  <w:footnote w:id="12">
    <w:p w:rsidR="00C260AB" w:rsidP="00816D1F" w14:paraId="68715DB4" w14:textId="77777777">
      <w:pPr>
        <w:pStyle w:val="FootnoteText"/>
        <w:spacing w:after="120"/>
      </w:pPr>
      <w:r>
        <w:rPr>
          <w:rStyle w:val="FootnoteReference"/>
        </w:rPr>
        <w:footnoteRef/>
      </w:r>
      <w:r>
        <w:t xml:space="preserve"> </w:t>
      </w:r>
      <w:r w:rsidRPr="00B27675">
        <w:rPr>
          <w:i/>
          <w:iCs/>
        </w:rPr>
        <w:t>Id</w:t>
      </w:r>
      <w:r>
        <w:t>. at ¶ 44.</w:t>
      </w:r>
    </w:p>
  </w:footnote>
  <w:footnote w:id="13">
    <w:p w:rsidR="00C260AB" w:rsidP="00816D1F" w14:paraId="6024B4F4" w14:textId="77777777">
      <w:pPr>
        <w:pStyle w:val="FootnoteText"/>
        <w:spacing w:after="120"/>
      </w:pPr>
      <w:r>
        <w:rPr>
          <w:rStyle w:val="FootnoteReference"/>
        </w:rPr>
        <w:footnoteRef/>
      </w:r>
      <w:r>
        <w:t xml:space="preserve"> Supplemental Settlement at 5 (Jan. 25, 2019).</w:t>
      </w:r>
    </w:p>
  </w:footnote>
  <w:footnote w:id="14">
    <w:p w:rsidR="00C260AB" w:rsidRPr="006F43AB" w:rsidP="00816D1F" w14:paraId="7B3EEA6D" w14:textId="02457E2A">
      <w:pPr>
        <w:pStyle w:val="FootnoteText"/>
        <w:spacing w:after="120"/>
        <w:rPr>
          <w:i/>
          <w:iCs/>
        </w:rPr>
      </w:pPr>
      <w:r>
        <w:rPr>
          <w:rStyle w:val="FootnoteReference"/>
        </w:rPr>
        <w:footnoteRef/>
      </w:r>
      <w:r>
        <w:t xml:space="preserve"> </w:t>
      </w:r>
      <w:r w:rsidR="000F3A62">
        <w:t xml:space="preserve">July 17, 2019 Order, </w:t>
      </w:r>
      <w:r>
        <w:t>at ¶ 44</w:t>
      </w:r>
      <w:r>
        <w:rPr>
          <w:i/>
          <w:iCs/>
        </w:rPr>
        <w:t>.</w:t>
      </w:r>
    </w:p>
  </w:footnote>
  <w:footnote w:id="15">
    <w:p w:rsidR="006D6618" w:rsidP="00816D1F" w14:paraId="2A92FB91" w14:textId="77777777">
      <w:pPr>
        <w:pStyle w:val="FootnoteText"/>
        <w:spacing w:after="120"/>
      </w:pPr>
      <w:r>
        <w:rPr>
          <w:rStyle w:val="FootnoteReference"/>
        </w:rPr>
        <w:footnoteRef/>
      </w:r>
      <w:r>
        <w:t xml:space="preserve"> Daymark Energy Advisors’ Operational Benefits Assessment of FirstEnergy Ohio’s Grid Mod I (Nov. 14, 2022) (“Audit Report”).</w:t>
      </w:r>
    </w:p>
  </w:footnote>
  <w:footnote w:id="16">
    <w:p w:rsidR="00C27F81" w:rsidP="00816D1F" w14:paraId="4ED99269" w14:textId="77777777">
      <w:pPr>
        <w:pStyle w:val="FootnoteText"/>
        <w:spacing w:after="120"/>
      </w:pPr>
      <w:r>
        <w:rPr>
          <w:rStyle w:val="FootnoteReference"/>
        </w:rPr>
        <w:footnoteRef/>
      </w:r>
      <w:r>
        <w:t xml:space="preserve"> Operational Benefits Assessment of FirstEnergy Ohio’s Grid Mod I at 1-5.</w:t>
      </w:r>
    </w:p>
  </w:footnote>
  <w:footnote w:id="17">
    <w:p w:rsidR="00EE72E9" w:rsidP="00816D1F" w14:paraId="3078EC6B" w14:textId="43F1FB5A">
      <w:pPr>
        <w:pStyle w:val="FootnoteText"/>
        <w:spacing w:after="120"/>
      </w:pPr>
      <w:r>
        <w:rPr>
          <w:rStyle w:val="FootnoteReference"/>
        </w:rPr>
        <w:footnoteRef/>
      </w:r>
      <w:r>
        <w:t xml:space="preserve"> Order, at ¶ 20.</w:t>
      </w:r>
    </w:p>
  </w:footnote>
  <w:footnote w:id="18">
    <w:p w:rsidR="00EE72E9" w:rsidP="00816D1F" w14:paraId="1BB36CEF" w14:textId="57D35139">
      <w:pPr>
        <w:pStyle w:val="FootnoteText"/>
        <w:spacing w:after="120"/>
      </w:pPr>
      <w:r>
        <w:rPr>
          <w:rStyle w:val="FootnoteReference"/>
        </w:rPr>
        <w:footnoteRef/>
      </w:r>
      <w:r>
        <w:t xml:space="preserve"> Order, at ¶</w:t>
      </w:r>
      <w:r w:rsidR="00056C22">
        <w:t>¶</w:t>
      </w:r>
      <w:r>
        <w:t xml:space="preserve"> 30</w:t>
      </w:r>
      <w:r w:rsidR="00056C22">
        <w:t>, 33</w:t>
      </w:r>
      <w:r>
        <w:t>.</w:t>
      </w:r>
    </w:p>
  </w:footnote>
  <w:footnote w:id="19">
    <w:p w:rsidR="00694E21" w:rsidP="00816D1F" w14:paraId="31ABDBBA" w14:textId="675BCFC7">
      <w:pPr>
        <w:pStyle w:val="FootnoteText"/>
        <w:spacing w:after="120"/>
      </w:pPr>
      <w:r>
        <w:rPr>
          <w:rStyle w:val="FootnoteReference"/>
        </w:rPr>
        <w:footnoteRef/>
      </w:r>
      <w:r>
        <w:t xml:space="preserve"> July 17, 2019 Order, at ¶ 111.</w:t>
      </w:r>
    </w:p>
  </w:footnote>
  <w:footnote w:id="20">
    <w:p w:rsidR="00891BE4" w:rsidP="00816D1F" w14:paraId="5D7A7199" w14:textId="38E29E62">
      <w:pPr>
        <w:pStyle w:val="FootnoteText"/>
        <w:spacing w:after="120"/>
      </w:pPr>
      <w:r>
        <w:rPr>
          <w:rStyle w:val="FootnoteReference"/>
        </w:rPr>
        <w:footnoteRef/>
      </w:r>
      <w:r>
        <w:t xml:space="preserve"> Order at ¶ 3</w:t>
      </w:r>
      <w:r w:rsidR="00475580">
        <w:t>4</w:t>
      </w:r>
      <w:r>
        <w:t>.</w:t>
      </w:r>
    </w:p>
  </w:footnote>
  <w:footnote w:id="21">
    <w:p w:rsidR="00475580" w:rsidRPr="00475580" w:rsidP="00816D1F" w14:paraId="3FC8E030" w14:textId="1226E559">
      <w:pPr>
        <w:pStyle w:val="FootnoteText"/>
        <w:spacing w:after="120"/>
        <w:rPr>
          <w:i/>
          <w:iCs/>
        </w:rPr>
      </w:pPr>
      <w:r>
        <w:rPr>
          <w:rStyle w:val="FootnoteReference"/>
        </w:rPr>
        <w:footnoteRef/>
      </w:r>
      <w:r>
        <w:t xml:space="preserve"> </w:t>
      </w:r>
      <w:r>
        <w:rPr>
          <w:i/>
          <w:iCs/>
        </w:rPr>
        <w:t>Id.</w:t>
      </w:r>
    </w:p>
  </w:footnote>
  <w:footnote w:id="22">
    <w:p w:rsidR="00891BE4" w:rsidP="00816D1F" w14:paraId="61B73393" w14:textId="77777777">
      <w:pPr>
        <w:pStyle w:val="FootnoteText"/>
        <w:spacing w:after="120"/>
      </w:pPr>
      <w:r>
        <w:rPr>
          <w:rStyle w:val="FootnoteReference"/>
        </w:rPr>
        <w:footnoteRef/>
      </w:r>
      <w:r>
        <w:t xml:space="preserve"> Audit Report at 4.</w:t>
      </w:r>
    </w:p>
  </w:footnote>
  <w:footnote w:id="23">
    <w:p w:rsidR="00891BE4" w:rsidRPr="003430F4" w:rsidP="00816D1F" w14:paraId="4C427F05" w14:textId="77777777">
      <w:pPr>
        <w:pStyle w:val="FootnoteText"/>
        <w:spacing w:after="120"/>
      </w:pPr>
      <w:r>
        <w:rPr>
          <w:rStyle w:val="FootnoteReference"/>
        </w:rPr>
        <w:footnoteRef/>
      </w:r>
      <w:r>
        <w:t xml:space="preserve"> </w:t>
      </w:r>
      <w:r w:rsidRPr="003430F4">
        <w:t xml:space="preserve">Audit </w:t>
      </w:r>
      <w:r>
        <w:t>R</w:t>
      </w:r>
      <w:r w:rsidRPr="003430F4">
        <w:t>eport at 4</w:t>
      </w:r>
      <w:r>
        <w:t>.</w:t>
      </w:r>
    </w:p>
  </w:footnote>
  <w:footnote w:id="24">
    <w:p w:rsidR="003F600A" w:rsidP="00816D1F" w14:paraId="0FC259E5" w14:textId="77777777">
      <w:pPr>
        <w:pStyle w:val="FootnoteText"/>
        <w:spacing w:after="120"/>
      </w:pPr>
      <w:r>
        <w:rPr>
          <w:rStyle w:val="FootnoteReference"/>
        </w:rPr>
        <w:footnoteRef/>
      </w:r>
      <w:r>
        <w:t xml:space="preserve"> </w:t>
      </w:r>
      <w:r w:rsidRPr="00491292">
        <w:rPr>
          <w:i/>
          <w:iCs/>
        </w:rPr>
        <w:t>See</w:t>
      </w:r>
      <w:r>
        <w:t xml:space="preserve"> FirstEnergy Utilities Rider AMI Tariff. The Rider AMI tariff also defines reconciliation “based solely upon the results of audits ordered by the Commission in accordance with the July 18, 2012 Opinion and Order in Case No. 12-1230-EL-SSO, and the March 21, 2016 Opinion and Order in Case No. 14-1297-EL-SSO and upon the Commission’s orders in Case No. 18-47-AU-COI.”</w:t>
      </w:r>
    </w:p>
  </w:footnote>
  <w:footnote w:id="25">
    <w:p w:rsidR="003F600A" w:rsidP="00816D1F" w14:paraId="2DFF516D" w14:textId="6863CB7F">
      <w:pPr>
        <w:pStyle w:val="FootnoteText"/>
        <w:spacing w:after="120"/>
      </w:pPr>
      <w:r>
        <w:rPr>
          <w:rStyle w:val="FootnoteReference"/>
        </w:rPr>
        <w:footnoteRef/>
      </w:r>
      <w:r>
        <w:t xml:space="preserve"> July 17, 2019 Order, at ¶ 120. </w:t>
      </w:r>
    </w:p>
  </w:footnote>
  <w:footnote w:id="26">
    <w:p w:rsidR="003F600A" w:rsidP="00816D1F" w14:paraId="16423C36" w14:textId="77777777">
      <w:pPr>
        <w:pStyle w:val="FootnoteText"/>
        <w:spacing w:after="120"/>
      </w:pPr>
      <w:r>
        <w:rPr>
          <w:rStyle w:val="FootnoteReference"/>
        </w:rPr>
        <w:footnoteRef/>
      </w:r>
      <w:r>
        <w:t xml:space="preserve"> </w:t>
      </w:r>
      <w:r w:rsidRPr="00A64F0A">
        <w:rPr>
          <w:i/>
          <w:iCs/>
        </w:rPr>
        <w:t>Id</w:t>
      </w:r>
      <w:r>
        <w:t>., Supplemental Stipulation and Recommendation at ¶ 4 (Jan. 25, 2019).</w:t>
      </w:r>
    </w:p>
  </w:footnote>
  <w:footnote w:id="27">
    <w:p w:rsidR="004A347E" w:rsidP="00816D1F" w14:paraId="27E73B24" w14:textId="77777777">
      <w:pPr>
        <w:pStyle w:val="FootnoteText"/>
        <w:spacing w:after="120"/>
      </w:pPr>
      <w:r>
        <w:rPr>
          <w:rStyle w:val="FootnoteReference"/>
        </w:rPr>
        <w:footnoteRef/>
      </w:r>
      <w:r>
        <w:t xml:space="preserve"> </w:t>
      </w:r>
      <w:r w:rsidRPr="000443E3">
        <w:rPr>
          <w:i/>
          <w:iCs/>
        </w:rPr>
        <w:t>In the Matter of the Filing by Ohio Edison Company, the Cleveland Electric Illuminating Company and the Toledo Edison Company of a Grid Modernization Business Plan</w:t>
      </w:r>
      <w:r>
        <w:t xml:space="preserve">, Case No. 16-481-EL-UNC, Request for Proposal No. RA21-GM-1 at 3 (March 9, 2022); </w:t>
      </w:r>
      <w:r w:rsidRPr="00A909DA">
        <w:rPr>
          <w:i/>
          <w:iCs/>
        </w:rPr>
        <w:t>see also</w:t>
      </w:r>
      <w:r>
        <w:t xml:space="preserve"> July 17, 2019 Order at ¶ 44. </w:t>
      </w:r>
    </w:p>
  </w:footnote>
  <w:footnote w:id="28">
    <w:p w:rsidR="004A347E" w:rsidP="00816D1F" w14:paraId="6CD4903E" w14:textId="77777777">
      <w:pPr>
        <w:pStyle w:val="FootnoteText"/>
        <w:spacing w:after="120"/>
      </w:pPr>
      <w:r>
        <w:rPr>
          <w:rStyle w:val="FootnoteReference"/>
        </w:rPr>
        <w:footnoteRef/>
      </w:r>
      <w:r>
        <w:t xml:space="preserve"> Daymark Audit at 2 (Nov. 14, 2022). </w:t>
      </w:r>
    </w:p>
  </w:footnote>
  <w:footnote w:id="29">
    <w:p w:rsidR="002C55A2" w:rsidP="00816D1F" w14:paraId="35431ED5" w14:textId="4D2B1F00">
      <w:pPr>
        <w:pStyle w:val="FootnoteText"/>
        <w:spacing w:after="120"/>
      </w:pPr>
      <w:r>
        <w:rPr>
          <w:rStyle w:val="FootnoteReference"/>
        </w:rPr>
        <w:footnoteRef/>
      </w:r>
      <w:r>
        <w:t xml:space="preserve"> Order, at ¶ 33.</w:t>
      </w:r>
    </w:p>
  </w:footnote>
  <w:footnote w:id="30">
    <w:p w:rsidR="004A19FA" w:rsidRPr="00CA1934" w:rsidP="00816D1F" w14:paraId="3AC35C4C" w14:textId="77777777">
      <w:pPr>
        <w:pStyle w:val="FootnoteText"/>
        <w:spacing w:after="120"/>
      </w:pPr>
      <w:r w:rsidRPr="00CA1934">
        <w:rPr>
          <w:rStyle w:val="FootnoteReference"/>
        </w:rPr>
        <w:footnoteRef/>
      </w:r>
      <w:r w:rsidRPr="00CA1934">
        <w:t xml:space="preserve"> </w:t>
      </w:r>
      <w:r w:rsidRPr="00CA1934">
        <w:rPr>
          <w:i/>
          <w:iCs/>
        </w:rPr>
        <w:t>United States of America v. Samuel Randazzo</w:t>
      </w:r>
      <w:r w:rsidRPr="00CA1934">
        <w:t>, Case No. 1:23-cr-114, Indictment (Nov. 29, 2023).</w:t>
      </w:r>
    </w:p>
  </w:footnote>
  <w:footnote w:id="31">
    <w:p w:rsidR="002C55A2" w:rsidRPr="00D82DE7" w:rsidP="00816D1F" w14:paraId="1CC11930" w14:textId="77777777">
      <w:pPr>
        <w:pStyle w:val="FootnoteText"/>
        <w:spacing w:after="120"/>
      </w:pPr>
      <w:r w:rsidRPr="00D82DE7">
        <w:rPr>
          <w:rStyle w:val="FootnoteReference"/>
        </w:rPr>
        <w:footnoteRef/>
      </w:r>
      <w:r w:rsidRPr="00D82DE7">
        <w:t xml:space="preserve"> </w:t>
      </w:r>
      <w:r w:rsidRPr="00D82DE7">
        <w:rPr>
          <w:i/>
          <w:iCs/>
        </w:rPr>
        <w:t>United States of America v. FirstEnergy Corp</w:t>
      </w:r>
      <w:r w:rsidRPr="00D82DE7">
        <w:t>., Case No. 1:21-cr-86, Deferred Prosecution Agreement at 17 (July 20, 2021) (emphasis added).</w:t>
      </w:r>
    </w:p>
  </w:footnote>
  <w:footnote w:id="32">
    <w:p w:rsidR="002C55A2" w:rsidRPr="00D82DE7" w:rsidP="00816D1F" w14:paraId="36F00B86" w14:textId="77777777">
      <w:pPr>
        <w:pStyle w:val="FootnoteText"/>
        <w:spacing w:after="120"/>
      </w:pPr>
      <w:r w:rsidRPr="00D82DE7">
        <w:rPr>
          <w:rStyle w:val="FootnoteReference"/>
        </w:rPr>
        <w:footnoteRef/>
      </w:r>
      <w:r w:rsidRPr="00D82DE7">
        <w:t xml:space="preserve"> </w:t>
      </w:r>
      <w:r w:rsidRPr="00D82DE7">
        <w:rPr>
          <w:i/>
          <w:iCs/>
        </w:rPr>
        <w:t xml:space="preserve">In the Matter of the Application of Ohio Edison Company, the Cleveland Electric Illuminating Company, and the Toledo Edison Company for Approval of Phase Two of Their Distribution Grid Modernization Plan, </w:t>
      </w:r>
      <w:r w:rsidRPr="00D82DE7">
        <w:t xml:space="preserve">Case No. 22-704-EL-UNC; </w:t>
      </w:r>
      <w:r w:rsidRPr="00D82DE7">
        <w:rPr>
          <w:i/>
          <w:iCs/>
        </w:rPr>
        <w:t>In the Matter of the Filing by Ohio Edison Company, the Cleveland Electric Illuminating Company and the Toledo Edison Company of a Grid Modernization Business Plan</w:t>
      </w:r>
      <w:r w:rsidRPr="00D82DE7">
        <w:t>, Case No. 16-481-EL-UNC.</w:t>
      </w:r>
    </w:p>
  </w:footnote>
  <w:footnote w:id="33">
    <w:p w:rsidR="002C55A2" w:rsidRPr="00D82DE7" w:rsidP="00816D1F" w14:paraId="31F6D94A" w14:textId="77777777">
      <w:pPr>
        <w:pStyle w:val="FootnoteText"/>
        <w:spacing w:after="120"/>
      </w:pPr>
      <w:r w:rsidRPr="00D82DE7">
        <w:rPr>
          <w:rStyle w:val="FootnoteReference"/>
        </w:rPr>
        <w:footnoteRef/>
      </w:r>
      <w:r w:rsidRPr="00D82DE7">
        <w:t xml:space="preserve"> </w:t>
      </w:r>
      <w:r w:rsidRPr="00D82DE7">
        <w:rPr>
          <w:i/>
          <w:iCs/>
        </w:rPr>
        <w:t xml:space="preserve">In the Matter of the Application of Ohio Edison Company, the Cleveland Electric Illuminating Company, and the Toledo Edison Company for Approval of Phase Two of Their Distribution Grid Modernization Plan, </w:t>
      </w:r>
      <w:r w:rsidRPr="00D82DE7">
        <w:t xml:space="preserve">Case No. 22-704-EL-UNC; </w:t>
      </w:r>
      <w:r w:rsidRPr="00D82DE7">
        <w:rPr>
          <w:i/>
          <w:iCs/>
        </w:rPr>
        <w:t>In the Matter of the Filing by Ohio Edison Company, the Cleveland Electric Illuminating Company and the Toledo Edison Company of a Grid Modernization Business Plan</w:t>
      </w:r>
      <w:r w:rsidRPr="00D82DE7">
        <w:t>, Case No. 16-481-EL-UNC.</w:t>
      </w:r>
    </w:p>
  </w:footnote>
  <w:footnote w:id="34">
    <w:p w:rsidR="002C55A2" w:rsidP="00816D1F" w14:paraId="65FABBE7" w14:textId="77777777">
      <w:pPr>
        <w:pStyle w:val="FootnoteText"/>
        <w:spacing w:after="120"/>
      </w:pPr>
      <w:r>
        <w:rPr>
          <w:rStyle w:val="FootnoteReference"/>
        </w:rPr>
        <w:footnoteRef/>
      </w:r>
      <w:r>
        <w:t xml:space="preserve"> </w:t>
      </w:r>
      <w:r w:rsidRPr="00D82DE7">
        <w:rPr>
          <w:i/>
          <w:iCs/>
        </w:rPr>
        <w:t>In the Matter of the Application of Ohio Edison Company, the Cleveland Electric Illuminating Company and the Toledo Edison Company for Authority to Provide a Standard Service Offer Pursuant to R.C. 4928.143 in the Form of an Electric Security Plan</w:t>
      </w:r>
      <w:r w:rsidRPr="00D82DE7">
        <w:t>, Case No. 14-1297-EL-SSO, Third Supplemental Stipulation at 9-10 (Dec. 1, 2015).</w:t>
      </w:r>
    </w:p>
  </w:footnote>
  <w:footnote w:id="35">
    <w:p w:rsidR="002C55A2" w:rsidRPr="00D82DE7" w:rsidP="00816D1F" w14:paraId="5F078CD2" w14:textId="77777777">
      <w:pPr>
        <w:pStyle w:val="FootnoteText"/>
        <w:spacing w:after="120"/>
      </w:pPr>
      <w:r w:rsidRPr="00D82DE7">
        <w:rPr>
          <w:rStyle w:val="FootnoteReference"/>
        </w:rPr>
        <w:footnoteRef/>
      </w:r>
      <w:r w:rsidRPr="00D82DE7">
        <w:t xml:space="preserve"> </w:t>
      </w:r>
      <w:r w:rsidRPr="00D82DE7">
        <w:rPr>
          <w:i/>
          <w:iCs/>
        </w:rPr>
        <w:t>In the Matter of the 2020 Review of the Delivery Capital Recovery Rider of Ohio Edison Company, the Cleveland Electric Illuminating Company, and the Toledo Edison Company</w:t>
      </w:r>
      <w:r w:rsidRPr="00D82DE7">
        <w:t>, Case No. 20-1629-EL-RDR, Entry (Dec. 15, 2021).</w:t>
      </w:r>
    </w:p>
  </w:footnote>
  <w:footnote w:id="36">
    <w:p w:rsidR="002C55A2" w:rsidRPr="00D82DE7" w:rsidP="00816D1F" w14:paraId="3FB23074" w14:textId="77777777">
      <w:pPr>
        <w:pStyle w:val="FootnoteText"/>
        <w:spacing w:after="120"/>
      </w:pPr>
      <w:r w:rsidRPr="00D82DE7">
        <w:rPr>
          <w:rStyle w:val="FootnoteReference"/>
        </w:rPr>
        <w:footnoteRef/>
      </w:r>
      <w:r w:rsidRPr="00D82DE7">
        <w:t xml:space="preserve"> </w:t>
      </w:r>
      <w:r w:rsidRPr="00D82DE7">
        <w:rPr>
          <w:i/>
          <w:iCs/>
        </w:rPr>
        <w:t xml:space="preserve">In the Matter of the Application of Ohio Edison Company, the Cleveland Electric Illuminating Company and the Toledo Edison Company to Implement Matters Relating to the Tax Cuts and Jobs Act of 2017, </w:t>
      </w:r>
      <w:r w:rsidRPr="00D82DE7">
        <w:t>Case No. 18-1604-EL-UNC, Opinion and Order (July 17, 2019).</w:t>
      </w:r>
    </w:p>
  </w:footnote>
  <w:footnote w:id="37">
    <w:p w:rsidR="002C55A2" w:rsidRPr="00D82DE7" w:rsidP="00816D1F" w14:paraId="31F995A7" w14:textId="77777777">
      <w:pPr>
        <w:pStyle w:val="FootnoteText"/>
        <w:spacing w:after="120"/>
      </w:pPr>
      <w:r w:rsidRPr="00D82DE7">
        <w:rPr>
          <w:rStyle w:val="FootnoteReference"/>
        </w:rPr>
        <w:footnoteRef/>
      </w:r>
      <w:r w:rsidRPr="00D82DE7">
        <w:t xml:space="preserve"> </w:t>
      </w:r>
      <w:r w:rsidRPr="00D82DE7">
        <w:rPr>
          <w:i/>
          <w:iCs/>
        </w:rPr>
        <w:t xml:space="preserve">In the Matter of the Application of Ohio Edison Company, the Cleveland Electric Illuminating Company, and the Toledo Edison Company for Approval of Phase Two of Their Distribution Grid Modernization Plan, </w:t>
      </w:r>
      <w:r w:rsidRPr="00D82DE7">
        <w:t xml:space="preserve">Case No. 22-704-EL-UNC; </w:t>
      </w:r>
      <w:r w:rsidRPr="00D82DE7">
        <w:rPr>
          <w:i/>
          <w:iCs/>
        </w:rPr>
        <w:t>In the Matter of the Filing by Ohio Edison Company, the Cleveland Electric Illuminating Company and the Toledo Edison Company of a Grid Modernization Business Plan</w:t>
      </w:r>
      <w:r w:rsidRPr="00D82DE7">
        <w:t xml:space="preserve">, Case No. 16-481-EL-UNC, Entry (Nov. 16, 2023). </w:t>
      </w:r>
    </w:p>
  </w:footnote>
  <w:footnote w:id="38">
    <w:p w:rsidR="002C55A2" w:rsidRPr="002C1181" w:rsidP="00816D1F" w14:paraId="4EEEF465" w14:textId="77777777">
      <w:pPr>
        <w:pStyle w:val="FootnoteText"/>
        <w:spacing w:after="120"/>
      </w:pPr>
      <w:r>
        <w:rPr>
          <w:rStyle w:val="FootnoteReference"/>
        </w:rPr>
        <w:footnoteRef/>
      </w:r>
      <w:r>
        <w:t xml:space="preserve"> </w:t>
      </w:r>
      <w:r>
        <w:rPr>
          <w:i/>
          <w:iCs/>
        </w:rPr>
        <w:t xml:space="preserve">See supra </w:t>
      </w:r>
      <w:r>
        <w:t>note 9.</w:t>
      </w:r>
    </w:p>
  </w:footnote>
  <w:footnote w:id="39">
    <w:p w:rsidR="002C55A2" w:rsidRPr="00FF0590" w:rsidP="00816D1F" w14:paraId="4022A088" w14:textId="52B6582B">
      <w:pPr>
        <w:pStyle w:val="FootnoteText"/>
        <w:spacing w:after="120"/>
      </w:pPr>
      <w:r>
        <w:rPr>
          <w:rStyle w:val="FootnoteReference"/>
        </w:rPr>
        <w:footnoteRef/>
      </w:r>
      <w:r>
        <w:t xml:space="preserve"> Application (July 15, 2022) at 66, </w:t>
      </w:r>
      <w:r w:rsidR="00BE68D2">
        <w:t>¶</w:t>
      </w:r>
      <w:r>
        <w:t xml:space="preserve"> 21 (“The Companies request authorization to recover in Rider AMI their actual Grid Mod II capital costs, up to $626.4 million, and incremental O&amp;M expenses associated with Grid Mod II up to an aggregate of $144.1 million over the deployment period.”)</w:t>
      </w:r>
    </w:p>
  </w:footnote>
  <w:footnote w:id="40">
    <w:p w:rsidR="002C55A2" w:rsidRPr="00CA1934" w:rsidP="00816D1F" w14:paraId="0B755315" w14:textId="77777777">
      <w:pPr>
        <w:pStyle w:val="FootnoteText"/>
        <w:spacing w:after="120"/>
      </w:pPr>
      <w:r w:rsidRPr="00CA1934">
        <w:rPr>
          <w:rStyle w:val="FootnoteReference"/>
        </w:rPr>
        <w:footnoteRef/>
      </w:r>
      <w:r w:rsidRPr="00CA1934">
        <w:t xml:space="preserve"> </w:t>
      </w:r>
      <w:r w:rsidRPr="00CA1934">
        <w:rPr>
          <w:i/>
          <w:iCs/>
        </w:rPr>
        <w:t>United States of America v. FirstEnergy Corp</w:t>
      </w:r>
      <w:r w:rsidRPr="00CA1934">
        <w:t>., Case No. 1:21-cr-86, Deferred Prosecution Agreement at 17 (July 20, 2021) (emphasis added).</w:t>
      </w:r>
    </w:p>
  </w:footnote>
  <w:footnote w:id="41">
    <w:p w:rsidR="002C55A2" w:rsidRPr="00CA1934" w:rsidP="00816D1F" w14:paraId="2F00FFA8" w14:textId="77777777">
      <w:pPr>
        <w:pStyle w:val="FootnoteText"/>
        <w:spacing w:after="120"/>
      </w:pPr>
      <w:r w:rsidRPr="00CA1934">
        <w:rPr>
          <w:rStyle w:val="FootnoteReference"/>
        </w:rPr>
        <w:footnoteRef/>
      </w:r>
      <w:r w:rsidRPr="00CA1934">
        <w:t xml:space="preserve"> </w:t>
      </w:r>
      <w:r w:rsidRPr="00CA1934">
        <w:rPr>
          <w:i/>
          <w:iCs/>
        </w:rPr>
        <w:t>See</w:t>
      </w:r>
      <w:r>
        <w:rPr>
          <w:i/>
          <w:iCs/>
        </w:rPr>
        <w:t>,</w:t>
      </w:r>
      <w:r w:rsidRPr="00CA1934">
        <w:rPr>
          <w:i/>
          <w:iCs/>
        </w:rPr>
        <w:t xml:space="preserve"> e.g.</w:t>
      </w:r>
      <w:r>
        <w:rPr>
          <w:i/>
          <w:iCs/>
        </w:rPr>
        <w:t>,</w:t>
      </w:r>
      <w:r w:rsidRPr="00CA1934">
        <w:rPr>
          <w:i/>
          <w:iCs/>
        </w:rPr>
        <w:t xml:space="preserve"> In the Matter of the Application of Ohio Edison Company, the Cleveland Electric Illuminating Company, and the Toledo Edison Company for Authority to Provide for a Standard Service Offer Pursuant to R.C. 4928.143 in the Form of an Electric Security Plan</w:t>
      </w:r>
      <w:r w:rsidRPr="00CA1934">
        <w:t>, Case No. 14-1297-EL-SSO, Fifth Entry on Rehearing (Oct. 12, 2016), at ¶¶ 38, 39 (permitting the PUCO Staff to propose an alternative proposal for a distribution modernization rider).</w:t>
      </w:r>
    </w:p>
  </w:footnote>
  <w:footnote w:id="42">
    <w:p w:rsidR="002C55A2" w:rsidRPr="00CA1934" w:rsidP="00816D1F" w14:paraId="545C9E41" w14:textId="77777777">
      <w:pPr>
        <w:pStyle w:val="FootnoteText"/>
        <w:spacing w:after="120"/>
      </w:pPr>
      <w:r w:rsidRPr="00CA1934">
        <w:rPr>
          <w:rStyle w:val="FootnoteReference"/>
        </w:rPr>
        <w:footnoteRef/>
      </w:r>
      <w:r w:rsidRPr="00CA1934">
        <w:t xml:space="preserve"> </w:t>
      </w:r>
      <w:r w:rsidRPr="00CA1934">
        <w:rPr>
          <w:i/>
          <w:iCs/>
        </w:rPr>
        <w:t>In the Matter of the Review of Ohio Edison Company, the Cleveland Electric Illuminating Company, and the Toledo Edison Company’s Compliance with R.C. 4928.17 and Ohio Adm. Code Chapter</w:t>
      </w:r>
      <w:r w:rsidRPr="00CA1934">
        <w:t xml:space="preserve"> </w:t>
      </w:r>
      <w:r w:rsidRPr="00CA1934">
        <w:rPr>
          <w:i/>
          <w:iCs/>
        </w:rPr>
        <w:t>4901:1-37</w:t>
      </w:r>
      <w:r w:rsidRPr="00CA1934">
        <w:t xml:space="preserve">, Case No. 17-974-EL-UNC, Entry at ¶ 79 (Aug. 24,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347E" w14:paraId="75D542B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347E" w14:paraId="45C87C4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347E" w14:paraId="680766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6E45B0"/>
    <w:multiLevelType w:val="hybridMultilevel"/>
    <w:tmpl w:val="B1801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E4F2F3B"/>
    <w:multiLevelType w:val="hybridMultilevel"/>
    <w:tmpl w:val="19B4873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33FE5846"/>
    <w:multiLevelType w:val="hybridMultilevel"/>
    <w:tmpl w:val="1646CAC4"/>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86B1BB9"/>
    <w:multiLevelType w:val="hybridMultilevel"/>
    <w:tmpl w:val="4AD2BBA0"/>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8EF6DAB"/>
    <w:multiLevelType w:val="hybridMultilevel"/>
    <w:tmpl w:val="10E44AC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47147C5F"/>
    <w:multiLevelType w:val="hybridMultilevel"/>
    <w:tmpl w:val="B1801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D8234BE"/>
    <w:multiLevelType w:val="hybridMultilevel"/>
    <w:tmpl w:val="C5224E3E"/>
    <w:lvl w:ilvl="0">
      <w:start w:val="1"/>
      <w:numFmt w:val="upperLetter"/>
      <w:pStyle w:val="Heading2"/>
      <w:lvlText w:val="%1."/>
      <w:lvlJc w:val="left"/>
      <w:pPr>
        <w:ind w:left="1620" w:hanging="72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5A855E68"/>
    <w:multiLevelType w:val="hybridMultilevel"/>
    <w:tmpl w:val="EF82E774"/>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63823889"/>
    <w:multiLevelType w:val="hybridMultilevel"/>
    <w:tmpl w:val="40406C8C"/>
    <w:lvl w:ilvl="0">
      <w:start w:val="1"/>
      <w:numFmt w:val="upperLetter"/>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4">
    <w:nsid w:val="6A6E56E7"/>
    <w:multiLevelType w:val="hybridMultilevel"/>
    <w:tmpl w:val="322084A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6E824022"/>
    <w:multiLevelType w:val="hybridMultilevel"/>
    <w:tmpl w:val="1F929D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9"/>
  </w:num>
  <w:num w:numId="2">
    <w:abstractNumId w:val="8"/>
  </w:num>
  <w:num w:numId="3">
    <w:abstractNumId w:val="13"/>
  </w:num>
  <w:num w:numId="4">
    <w:abstractNumId w:val="11"/>
  </w:num>
  <w:num w:numId="5">
    <w:abstractNumId w:val="1"/>
  </w:num>
  <w:num w:numId="6">
    <w:abstractNumId w:val="16"/>
  </w:num>
  <w:num w:numId="7">
    <w:abstractNumId w:val="14"/>
  </w:num>
  <w:num w:numId="8">
    <w:abstractNumId w:val="0"/>
  </w:num>
  <w:num w:numId="9">
    <w:abstractNumId w:val="7"/>
  </w:num>
  <w:num w:numId="10">
    <w:abstractNumId w:val="5"/>
  </w:num>
  <w:num w:numId="11">
    <w:abstractNumId w:val="6"/>
  </w:num>
  <w:num w:numId="12">
    <w:abstractNumId w:val="2"/>
  </w:num>
  <w:num w:numId="13">
    <w:abstractNumId w:val="15"/>
  </w:num>
  <w:num w:numId="14">
    <w:abstractNumId w:val="3"/>
  </w:num>
  <w:num w:numId="15">
    <w:abstractNumId w:val="4"/>
  </w:num>
  <w:num w:numId="16">
    <w:abstractNumId w:val="12"/>
  </w:num>
  <w:num w:numId="17">
    <w:abstractNumId w:val="7"/>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53"/>
    <w:rsid w:val="000015AD"/>
    <w:rsid w:val="00002EDA"/>
    <w:rsid w:val="00012087"/>
    <w:rsid w:val="000125E4"/>
    <w:rsid w:val="000135A5"/>
    <w:rsid w:val="0001642C"/>
    <w:rsid w:val="00016D8E"/>
    <w:rsid w:val="000209A9"/>
    <w:rsid w:val="00021B58"/>
    <w:rsid w:val="00022939"/>
    <w:rsid w:val="00024173"/>
    <w:rsid w:val="000254A3"/>
    <w:rsid w:val="00026AE9"/>
    <w:rsid w:val="000277AA"/>
    <w:rsid w:val="00032497"/>
    <w:rsid w:val="00033BAB"/>
    <w:rsid w:val="00033EB1"/>
    <w:rsid w:val="00034664"/>
    <w:rsid w:val="0003546F"/>
    <w:rsid w:val="00037600"/>
    <w:rsid w:val="00040B01"/>
    <w:rsid w:val="00041152"/>
    <w:rsid w:val="000443E3"/>
    <w:rsid w:val="000465D3"/>
    <w:rsid w:val="000527EC"/>
    <w:rsid w:val="00056C22"/>
    <w:rsid w:val="00057887"/>
    <w:rsid w:val="000648A7"/>
    <w:rsid w:val="00071807"/>
    <w:rsid w:val="00073E1A"/>
    <w:rsid w:val="00074C4C"/>
    <w:rsid w:val="00075DD1"/>
    <w:rsid w:val="00076B21"/>
    <w:rsid w:val="00076F8C"/>
    <w:rsid w:val="0008354E"/>
    <w:rsid w:val="000873C5"/>
    <w:rsid w:val="00093513"/>
    <w:rsid w:val="000938FF"/>
    <w:rsid w:val="00097DF8"/>
    <w:rsid w:val="000A1C71"/>
    <w:rsid w:val="000A67F1"/>
    <w:rsid w:val="000A6C50"/>
    <w:rsid w:val="000A7EB7"/>
    <w:rsid w:val="000B1495"/>
    <w:rsid w:val="000B1E2C"/>
    <w:rsid w:val="000B44E4"/>
    <w:rsid w:val="000B6243"/>
    <w:rsid w:val="000B6AC4"/>
    <w:rsid w:val="000C3F2D"/>
    <w:rsid w:val="000C4475"/>
    <w:rsid w:val="000C5945"/>
    <w:rsid w:val="000D03E3"/>
    <w:rsid w:val="000D1FA3"/>
    <w:rsid w:val="000D699F"/>
    <w:rsid w:val="000E0CA0"/>
    <w:rsid w:val="000E265C"/>
    <w:rsid w:val="000E4521"/>
    <w:rsid w:val="000E71F8"/>
    <w:rsid w:val="000F19E0"/>
    <w:rsid w:val="000F379F"/>
    <w:rsid w:val="000F3A62"/>
    <w:rsid w:val="000F5668"/>
    <w:rsid w:val="000F732F"/>
    <w:rsid w:val="000F7A9A"/>
    <w:rsid w:val="00100E2C"/>
    <w:rsid w:val="0011040F"/>
    <w:rsid w:val="00110FD8"/>
    <w:rsid w:val="0011495E"/>
    <w:rsid w:val="00115079"/>
    <w:rsid w:val="001236D2"/>
    <w:rsid w:val="0013225C"/>
    <w:rsid w:val="001330A3"/>
    <w:rsid w:val="0013480A"/>
    <w:rsid w:val="001423A2"/>
    <w:rsid w:val="00142422"/>
    <w:rsid w:val="00143FEA"/>
    <w:rsid w:val="00146C12"/>
    <w:rsid w:val="00150F1E"/>
    <w:rsid w:val="00151250"/>
    <w:rsid w:val="00152406"/>
    <w:rsid w:val="001545AA"/>
    <w:rsid w:val="00166FDF"/>
    <w:rsid w:val="00170866"/>
    <w:rsid w:val="00171B21"/>
    <w:rsid w:val="00173DD3"/>
    <w:rsid w:val="00173F42"/>
    <w:rsid w:val="00174B62"/>
    <w:rsid w:val="0017742D"/>
    <w:rsid w:val="001804D7"/>
    <w:rsid w:val="00182BE6"/>
    <w:rsid w:val="00183128"/>
    <w:rsid w:val="00183351"/>
    <w:rsid w:val="00183EEC"/>
    <w:rsid w:val="0018622D"/>
    <w:rsid w:val="0019164C"/>
    <w:rsid w:val="00195880"/>
    <w:rsid w:val="00195C2A"/>
    <w:rsid w:val="00196602"/>
    <w:rsid w:val="001A0240"/>
    <w:rsid w:val="001A1B93"/>
    <w:rsid w:val="001A579A"/>
    <w:rsid w:val="001B07C4"/>
    <w:rsid w:val="001B0AEE"/>
    <w:rsid w:val="001B28C9"/>
    <w:rsid w:val="001B2DDF"/>
    <w:rsid w:val="001B429D"/>
    <w:rsid w:val="001B4681"/>
    <w:rsid w:val="001B554C"/>
    <w:rsid w:val="001C217C"/>
    <w:rsid w:val="001C390E"/>
    <w:rsid w:val="001C3D70"/>
    <w:rsid w:val="001E3B36"/>
    <w:rsid w:val="001E5DFC"/>
    <w:rsid w:val="001E731D"/>
    <w:rsid w:val="001F0E18"/>
    <w:rsid w:val="001F11E3"/>
    <w:rsid w:val="001F2710"/>
    <w:rsid w:val="001F6102"/>
    <w:rsid w:val="00205FE3"/>
    <w:rsid w:val="00213397"/>
    <w:rsid w:val="002209C7"/>
    <w:rsid w:val="00221D2E"/>
    <w:rsid w:val="00222647"/>
    <w:rsid w:val="00222BD5"/>
    <w:rsid w:val="00223BA5"/>
    <w:rsid w:val="00224A92"/>
    <w:rsid w:val="0022664B"/>
    <w:rsid w:val="00231E8C"/>
    <w:rsid w:val="00234C3D"/>
    <w:rsid w:val="00235133"/>
    <w:rsid w:val="002408E7"/>
    <w:rsid w:val="002439BA"/>
    <w:rsid w:val="0024698C"/>
    <w:rsid w:val="00247984"/>
    <w:rsid w:val="002520A0"/>
    <w:rsid w:val="002520B2"/>
    <w:rsid w:val="00252989"/>
    <w:rsid w:val="00255143"/>
    <w:rsid w:val="00256015"/>
    <w:rsid w:val="0025610D"/>
    <w:rsid w:val="002561F4"/>
    <w:rsid w:val="00272398"/>
    <w:rsid w:val="002728C4"/>
    <w:rsid w:val="00275DB9"/>
    <w:rsid w:val="002768ED"/>
    <w:rsid w:val="00277E63"/>
    <w:rsid w:val="00282E46"/>
    <w:rsid w:val="0029101C"/>
    <w:rsid w:val="00293D26"/>
    <w:rsid w:val="002A2007"/>
    <w:rsid w:val="002A6920"/>
    <w:rsid w:val="002B150A"/>
    <w:rsid w:val="002B2C2B"/>
    <w:rsid w:val="002B773B"/>
    <w:rsid w:val="002C0C5B"/>
    <w:rsid w:val="002C1181"/>
    <w:rsid w:val="002C1269"/>
    <w:rsid w:val="002C2510"/>
    <w:rsid w:val="002C55A2"/>
    <w:rsid w:val="002C78FC"/>
    <w:rsid w:val="002D16B6"/>
    <w:rsid w:val="002D29BD"/>
    <w:rsid w:val="002D2CF7"/>
    <w:rsid w:val="002D306F"/>
    <w:rsid w:val="002D4E21"/>
    <w:rsid w:val="002D768D"/>
    <w:rsid w:val="002E2B02"/>
    <w:rsid w:val="002E4A32"/>
    <w:rsid w:val="002E4F75"/>
    <w:rsid w:val="002F709C"/>
    <w:rsid w:val="0030354D"/>
    <w:rsid w:val="00303DE5"/>
    <w:rsid w:val="003048BD"/>
    <w:rsid w:val="00306505"/>
    <w:rsid w:val="00307FCD"/>
    <w:rsid w:val="00312CB7"/>
    <w:rsid w:val="00313188"/>
    <w:rsid w:val="003148F8"/>
    <w:rsid w:val="0032046C"/>
    <w:rsid w:val="00320575"/>
    <w:rsid w:val="003305C8"/>
    <w:rsid w:val="00331F3D"/>
    <w:rsid w:val="00334366"/>
    <w:rsid w:val="0034188A"/>
    <w:rsid w:val="003430F4"/>
    <w:rsid w:val="00343BC2"/>
    <w:rsid w:val="00344FB7"/>
    <w:rsid w:val="00347824"/>
    <w:rsid w:val="00351167"/>
    <w:rsid w:val="0035392B"/>
    <w:rsid w:val="003631FB"/>
    <w:rsid w:val="003667E3"/>
    <w:rsid w:val="00367846"/>
    <w:rsid w:val="003706CE"/>
    <w:rsid w:val="0037384F"/>
    <w:rsid w:val="00376A36"/>
    <w:rsid w:val="00381363"/>
    <w:rsid w:val="00382108"/>
    <w:rsid w:val="003866A5"/>
    <w:rsid w:val="00386DB6"/>
    <w:rsid w:val="00387726"/>
    <w:rsid w:val="003904F9"/>
    <w:rsid w:val="00391171"/>
    <w:rsid w:val="00391A08"/>
    <w:rsid w:val="00391FD1"/>
    <w:rsid w:val="00395E6A"/>
    <w:rsid w:val="003A2352"/>
    <w:rsid w:val="003A41DD"/>
    <w:rsid w:val="003A4DE4"/>
    <w:rsid w:val="003B0DA4"/>
    <w:rsid w:val="003B2D11"/>
    <w:rsid w:val="003B4513"/>
    <w:rsid w:val="003C097A"/>
    <w:rsid w:val="003C0CF3"/>
    <w:rsid w:val="003C127F"/>
    <w:rsid w:val="003C551A"/>
    <w:rsid w:val="003E0C90"/>
    <w:rsid w:val="003F2FC5"/>
    <w:rsid w:val="003F4327"/>
    <w:rsid w:val="003F600A"/>
    <w:rsid w:val="003F7100"/>
    <w:rsid w:val="00400448"/>
    <w:rsid w:val="00404652"/>
    <w:rsid w:val="00407BA1"/>
    <w:rsid w:val="00412C6C"/>
    <w:rsid w:val="00413175"/>
    <w:rsid w:val="00413E18"/>
    <w:rsid w:val="00414724"/>
    <w:rsid w:val="004232A9"/>
    <w:rsid w:val="00431359"/>
    <w:rsid w:val="00440504"/>
    <w:rsid w:val="00440520"/>
    <w:rsid w:val="0044257B"/>
    <w:rsid w:val="0045048D"/>
    <w:rsid w:val="004558B0"/>
    <w:rsid w:val="00455CE0"/>
    <w:rsid w:val="004617FC"/>
    <w:rsid w:val="004618F5"/>
    <w:rsid w:val="00462766"/>
    <w:rsid w:val="00465A20"/>
    <w:rsid w:val="00467C18"/>
    <w:rsid w:val="00475189"/>
    <w:rsid w:val="00475580"/>
    <w:rsid w:val="004770B6"/>
    <w:rsid w:val="00480285"/>
    <w:rsid w:val="00481DDE"/>
    <w:rsid w:val="00483C61"/>
    <w:rsid w:val="004852BD"/>
    <w:rsid w:val="0048620B"/>
    <w:rsid w:val="004869B7"/>
    <w:rsid w:val="004901E4"/>
    <w:rsid w:val="00490DFB"/>
    <w:rsid w:val="00491292"/>
    <w:rsid w:val="00493D98"/>
    <w:rsid w:val="004A19FA"/>
    <w:rsid w:val="004A347E"/>
    <w:rsid w:val="004A57C1"/>
    <w:rsid w:val="004B346F"/>
    <w:rsid w:val="004B619F"/>
    <w:rsid w:val="004B6258"/>
    <w:rsid w:val="004C7062"/>
    <w:rsid w:val="004D1060"/>
    <w:rsid w:val="004D67D1"/>
    <w:rsid w:val="004D71FF"/>
    <w:rsid w:val="004D78B7"/>
    <w:rsid w:val="004D7F46"/>
    <w:rsid w:val="004E16A8"/>
    <w:rsid w:val="004E405B"/>
    <w:rsid w:val="004E6483"/>
    <w:rsid w:val="004E6CF0"/>
    <w:rsid w:val="004E6DE2"/>
    <w:rsid w:val="004E7E65"/>
    <w:rsid w:val="004F750D"/>
    <w:rsid w:val="005001F9"/>
    <w:rsid w:val="0050629D"/>
    <w:rsid w:val="005137BB"/>
    <w:rsid w:val="00514C08"/>
    <w:rsid w:val="00514C2E"/>
    <w:rsid w:val="00515DF7"/>
    <w:rsid w:val="005211EB"/>
    <w:rsid w:val="005363B7"/>
    <w:rsid w:val="0054097C"/>
    <w:rsid w:val="00540F5A"/>
    <w:rsid w:val="0054662F"/>
    <w:rsid w:val="00546AEA"/>
    <w:rsid w:val="00551281"/>
    <w:rsid w:val="0055410C"/>
    <w:rsid w:val="00565E34"/>
    <w:rsid w:val="0057186D"/>
    <w:rsid w:val="00573E57"/>
    <w:rsid w:val="00581CD6"/>
    <w:rsid w:val="00583DA4"/>
    <w:rsid w:val="00584043"/>
    <w:rsid w:val="0058474B"/>
    <w:rsid w:val="005863A6"/>
    <w:rsid w:val="00587E64"/>
    <w:rsid w:val="005913FE"/>
    <w:rsid w:val="005970E7"/>
    <w:rsid w:val="005A2F20"/>
    <w:rsid w:val="005A4BB0"/>
    <w:rsid w:val="005A6B1F"/>
    <w:rsid w:val="005A7842"/>
    <w:rsid w:val="005B095A"/>
    <w:rsid w:val="005B352B"/>
    <w:rsid w:val="005B6CA9"/>
    <w:rsid w:val="005C4224"/>
    <w:rsid w:val="005C55AB"/>
    <w:rsid w:val="005C65E1"/>
    <w:rsid w:val="005C65FF"/>
    <w:rsid w:val="005C6DE4"/>
    <w:rsid w:val="005D1E67"/>
    <w:rsid w:val="005D65A2"/>
    <w:rsid w:val="005D77A0"/>
    <w:rsid w:val="005E0437"/>
    <w:rsid w:val="005E1D46"/>
    <w:rsid w:val="005E353E"/>
    <w:rsid w:val="005E41F9"/>
    <w:rsid w:val="005E4685"/>
    <w:rsid w:val="005E57A1"/>
    <w:rsid w:val="005F197F"/>
    <w:rsid w:val="006020F3"/>
    <w:rsid w:val="0060273F"/>
    <w:rsid w:val="00605566"/>
    <w:rsid w:val="00610061"/>
    <w:rsid w:val="006144B6"/>
    <w:rsid w:val="00615D59"/>
    <w:rsid w:val="00616CA7"/>
    <w:rsid w:val="006171CC"/>
    <w:rsid w:val="0061737A"/>
    <w:rsid w:val="00621A7B"/>
    <w:rsid w:val="00627491"/>
    <w:rsid w:val="00627C8C"/>
    <w:rsid w:val="006344C3"/>
    <w:rsid w:val="00635BB7"/>
    <w:rsid w:val="00641542"/>
    <w:rsid w:val="00651241"/>
    <w:rsid w:val="00651F46"/>
    <w:rsid w:val="00652CD0"/>
    <w:rsid w:val="006553C3"/>
    <w:rsid w:val="00665FD6"/>
    <w:rsid w:val="006729EB"/>
    <w:rsid w:val="0068139C"/>
    <w:rsid w:val="0068191D"/>
    <w:rsid w:val="00685C5A"/>
    <w:rsid w:val="00687053"/>
    <w:rsid w:val="006907EC"/>
    <w:rsid w:val="00691A80"/>
    <w:rsid w:val="006944F3"/>
    <w:rsid w:val="00694E21"/>
    <w:rsid w:val="00694E2D"/>
    <w:rsid w:val="006A0C8B"/>
    <w:rsid w:val="006A2B3A"/>
    <w:rsid w:val="006A511E"/>
    <w:rsid w:val="006A629A"/>
    <w:rsid w:val="006A78AA"/>
    <w:rsid w:val="006B009D"/>
    <w:rsid w:val="006B10B1"/>
    <w:rsid w:val="006B702E"/>
    <w:rsid w:val="006C3F71"/>
    <w:rsid w:val="006C5713"/>
    <w:rsid w:val="006C5B0C"/>
    <w:rsid w:val="006D4156"/>
    <w:rsid w:val="006D6618"/>
    <w:rsid w:val="006D7973"/>
    <w:rsid w:val="006E5101"/>
    <w:rsid w:val="006E5D72"/>
    <w:rsid w:val="006F3905"/>
    <w:rsid w:val="006F43AB"/>
    <w:rsid w:val="006F4AD4"/>
    <w:rsid w:val="00703169"/>
    <w:rsid w:val="0070390F"/>
    <w:rsid w:val="0070391E"/>
    <w:rsid w:val="00704A57"/>
    <w:rsid w:val="00706CD2"/>
    <w:rsid w:val="007101DF"/>
    <w:rsid w:val="00711F59"/>
    <w:rsid w:val="00714C1E"/>
    <w:rsid w:val="00714F38"/>
    <w:rsid w:val="00716413"/>
    <w:rsid w:val="00717720"/>
    <w:rsid w:val="00720276"/>
    <w:rsid w:val="00722034"/>
    <w:rsid w:val="0072263A"/>
    <w:rsid w:val="00726953"/>
    <w:rsid w:val="0073081F"/>
    <w:rsid w:val="00731C41"/>
    <w:rsid w:val="00732DA4"/>
    <w:rsid w:val="007340E9"/>
    <w:rsid w:val="00734D06"/>
    <w:rsid w:val="007351AE"/>
    <w:rsid w:val="00735704"/>
    <w:rsid w:val="007364CB"/>
    <w:rsid w:val="007410B9"/>
    <w:rsid w:val="00742A89"/>
    <w:rsid w:val="00742C32"/>
    <w:rsid w:val="00746208"/>
    <w:rsid w:val="0074625A"/>
    <w:rsid w:val="00747BB0"/>
    <w:rsid w:val="00750DDF"/>
    <w:rsid w:val="00754727"/>
    <w:rsid w:val="00755507"/>
    <w:rsid w:val="00763A20"/>
    <w:rsid w:val="00764D4E"/>
    <w:rsid w:val="00766845"/>
    <w:rsid w:val="00766A16"/>
    <w:rsid w:val="00766D97"/>
    <w:rsid w:val="007701D0"/>
    <w:rsid w:val="00772BFB"/>
    <w:rsid w:val="00773CDC"/>
    <w:rsid w:val="00780AAF"/>
    <w:rsid w:val="00781D79"/>
    <w:rsid w:val="00782036"/>
    <w:rsid w:val="007873F9"/>
    <w:rsid w:val="00790DAE"/>
    <w:rsid w:val="00791214"/>
    <w:rsid w:val="007932E4"/>
    <w:rsid w:val="0079483F"/>
    <w:rsid w:val="00795185"/>
    <w:rsid w:val="00797689"/>
    <w:rsid w:val="007A0385"/>
    <w:rsid w:val="007A1956"/>
    <w:rsid w:val="007A25A1"/>
    <w:rsid w:val="007A28B9"/>
    <w:rsid w:val="007B1023"/>
    <w:rsid w:val="007B3247"/>
    <w:rsid w:val="007B3C9E"/>
    <w:rsid w:val="007B61CB"/>
    <w:rsid w:val="007C4B99"/>
    <w:rsid w:val="007C54FB"/>
    <w:rsid w:val="007C6C5A"/>
    <w:rsid w:val="007D0035"/>
    <w:rsid w:val="007D0B7E"/>
    <w:rsid w:val="007D3E0D"/>
    <w:rsid w:val="007D4EBF"/>
    <w:rsid w:val="007D56BD"/>
    <w:rsid w:val="007E4F8D"/>
    <w:rsid w:val="007E68EA"/>
    <w:rsid w:val="007E6F7C"/>
    <w:rsid w:val="007F00E7"/>
    <w:rsid w:val="007F4587"/>
    <w:rsid w:val="008017EA"/>
    <w:rsid w:val="008064C3"/>
    <w:rsid w:val="0081341F"/>
    <w:rsid w:val="008136A5"/>
    <w:rsid w:val="00816D1F"/>
    <w:rsid w:val="00821AE8"/>
    <w:rsid w:val="00821CC9"/>
    <w:rsid w:val="008244C6"/>
    <w:rsid w:val="008332AE"/>
    <w:rsid w:val="00833436"/>
    <w:rsid w:val="0083379C"/>
    <w:rsid w:val="00833D69"/>
    <w:rsid w:val="008376C1"/>
    <w:rsid w:val="00840FE1"/>
    <w:rsid w:val="00844E6D"/>
    <w:rsid w:val="00845C7A"/>
    <w:rsid w:val="00852014"/>
    <w:rsid w:val="0085404A"/>
    <w:rsid w:val="00857C44"/>
    <w:rsid w:val="00860AA3"/>
    <w:rsid w:val="00863463"/>
    <w:rsid w:val="00874FEC"/>
    <w:rsid w:val="008754F0"/>
    <w:rsid w:val="00886309"/>
    <w:rsid w:val="008915F5"/>
    <w:rsid w:val="00891BE4"/>
    <w:rsid w:val="00892563"/>
    <w:rsid w:val="0089261D"/>
    <w:rsid w:val="00892F78"/>
    <w:rsid w:val="00893740"/>
    <w:rsid w:val="008A189E"/>
    <w:rsid w:val="008A7180"/>
    <w:rsid w:val="008A7C53"/>
    <w:rsid w:val="008B0B0B"/>
    <w:rsid w:val="008B0CB8"/>
    <w:rsid w:val="008B282F"/>
    <w:rsid w:val="008B3AD5"/>
    <w:rsid w:val="008B40DC"/>
    <w:rsid w:val="008B4903"/>
    <w:rsid w:val="008B59B2"/>
    <w:rsid w:val="008B627B"/>
    <w:rsid w:val="008B7978"/>
    <w:rsid w:val="008C5A01"/>
    <w:rsid w:val="008D287D"/>
    <w:rsid w:val="008D3EA8"/>
    <w:rsid w:val="008D6E82"/>
    <w:rsid w:val="008E0FE7"/>
    <w:rsid w:val="008E3BE3"/>
    <w:rsid w:val="008F1CDF"/>
    <w:rsid w:val="008F5E8F"/>
    <w:rsid w:val="008F7985"/>
    <w:rsid w:val="00902381"/>
    <w:rsid w:val="009111F4"/>
    <w:rsid w:val="00912930"/>
    <w:rsid w:val="0091386F"/>
    <w:rsid w:val="00913DA6"/>
    <w:rsid w:val="00914B44"/>
    <w:rsid w:val="00915A15"/>
    <w:rsid w:val="00915A7F"/>
    <w:rsid w:val="009162F8"/>
    <w:rsid w:val="00916564"/>
    <w:rsid w:val="00917EFA"/>
    <w:rsid w:val="0092086F"/>
    <w:rsid w:val="00921654"/>
    <w:rsid w:val="00922369"/>
    <w:rsid w:val="0092322A"/>
    <w:rsid w:val="00927505"/>
    <w:rsid w:val="00931E01"/>
    <w:rsid w:val="009349B3"/>
    <w:rsid w:val="00934C8B"/>
    <w:rsid w:val="0093684E"/>
    <w:rsid w:val="00941292"/>
    <w:rsid w:val="009414F9"/>
    <w:rsid w:val="00941613"/>
    <w:rsid w:val="00942A37"/>
    <w:rsid w:val="00950A1C"/>
    <w:rsid w:val="009525C1"/>
    <w:rsid w:val="00953FD6"/>
    <w:rsid w:val="009540FC"/>
    <w:rsid w:val="009547FE"/>
    <w:rsid w:val="00960C88"/>
    <w:rsid w:val="00961CFD"/>
    <w:rsid w:val="00966A13"/>
    <w:rsid w:val="00971FDF"/>
    <w:rsid w:val="0097230A"/>
    <w:rsid w:val="0097473D"/>
    <w:rsid w:val="00974F60"/>
    <w:rsid w:val="00980F22"/>
    <w:rsid w:val="009A35C4"/>
    <w:rsid w:val="009A67C5"/>
    <w:rsid w:val="009A7ED1"/>
    <w:rsid w:val="009B008C"/>
    <w:rsid w:val="009B4F2F"/>
    <w:rsid w:val="009B780E"/>
    <w:rsid w:val="009B7F85"/>
    <w:rsid w:val="009C7D5E"/>
    <w:rsid w:val="009D00A5"/>
    <w:rsid w:val="009D0E53"/>
    <w:rsid w:val="009D3740"/>
    <w:rsid w:val="009D607E"/>
    <w:rsid w:val="009E08B3"/>
    <w:rsid w:val="009E1C08"/>
    <w:rsid w:val="009E2A32"/>
    <w:rsid w:val="009F3DC7"/>
    <w:rsid w:val="009F54A5"/>
    <w:rsid w:val="00A000A9"/>
    <w:rsid w:val="00A0048C"/>
    <w:rsid w:val="00A03C6C"/>
    <w:rsid w:val="00A05068"/>
    <w:rsid w:val="00A06944"/>
    <w:rsid w:val="00A10F3F"/>
    <w:rsid w:val="00A1101E"/>
    <w:rsid w:val="00A15D78"/>
    <w:rsid w:val="00A16C00"/>
    <w:rsid w:val="00A216FD"/>
    <w:rsid w:val="00A30008"/>
    <w:rsid w:val="00A32254"/>
    <w:rsid w:val="00A36ED5"/>
    <w:rsid w:val="00A406C0"/>
    <w:rsid w:val="00A43C23"/>
    <w:rsid w:val="00A47F55"/>
    <w:rsid w:val="00A53368"/>
    <w:rsid w:val="00A54B9E"/>
    <w:rsid w:val="00A57CA6"/>
    <w:rsid w:val="00A61CF5"/>
    <w:rsid w:val="00A620F7"/>
    <w:rsid w:val="00A63F5E"/>
    <w:rsid w:val="00A64452"/>
    <w:rsid w:val="00A64F0A"/>
    <w:rsid w:val="00A66D88"/>
    <w:rsid w:val="00A678C4"/>
    <w:rsid w:val="00A722BE"/>
    <w:rsid w:val="00A73CA3"/>
    <w:rsid w:val="00A747BB"/>
    <w:rsid w:val="00A75897"/>
    <w:rsid w:val="00A766DB"/>
    <w:rsid w:val="00A77A66"/>
    <w:rsid w:val="00A833AA"/>
    <w:rsid w:val="00A83D92"/>
    <w:rsid w:val="00A8414F"/>
    <w:rsid w:val="00A85600"/>
    <w:rsid w:val="00A909DA"/>
    <w:rsid w:val="00A92BCE"/>
    <w:rsid w:val="00A9309B"/>
    <w:rsid w:val="00A94036"/>
    <w:rsid w:val="00AA046E"/>
    <w:rsid w:val="00AA315A"/>
    <w:rsid w:val="00AB150B"/>
    <w:rsid w:val="00AB21C0"/>
    <w:rsid w:val="00AB3A8F"/>
    <w:rsid w:val="00AB42BE"/>
    <w:rsid w:val="00AB526F"/>
    <w:rsid w:val="00AB58CD"/>
    <w:rsid w:val="00AB65FB"/>
    <w:rsid w:val="00AC1703"/>
    <w:rsid w:val="00AC3011"/>
    <w:rsid w:val="00AD2E86"/>
    <w:rsid w:val="00AE17EB"/>
    <w:rsid w:val="00AE6481"/>
    <w:rsid w:val="00AE69BA"/>
    <w:rsid w:val="00AF218C"/>
    <w:rsid w:val="00AF2BB9"/>
    <w:rsid w:val="00AF2FB1"/>
    <w:rsid w:val="00B02F5A"/>
    <w:rsid w:val="00B101BF"/>
    <w:rsid w:val="00B108D2"/>
    <w:rsid w:val="00B13829"/>
    <w:rsid w:val="00B15B5F"/>
    <w:rsid w:val="00B16B43"/>
    <w:rsid w:val="00B21E30"/>
    <w:rsid w:val="00B2223E"/>
    <w:rsid w:val="00B26CF0"/>
    <w:rsid w:val="00B27675"/>
    <w:rsid w:val="00B27867"/>
    <w:rsid w:val="00B366E4"/>
    <w:rsid w:val="00B429CD"/>
    <w:rsid w:val="00B51DD3"/>
    <w:rsid w:val="00B555D3"/>
    <w:rsid w:val="00B55CA9"/>
    <w:rsid w:val="00B5639D"/>
    <w:rsid w:val="00B6618A"/>
    <w:rsid w:val="00B671BB"/>
    <w:rsid w:val="00B71462"/>
    <w:rsid w:val="00B71855"/>
    <w:rsid w:val="00B73B4A"/>
    <w:rsid w:val="00B76663"/>
    <w:rsid w:val="00B80B31"/>
    <w:rsid w:val="00B81E20"/>
    <w:rsid w:val="00B85708"/>
    <w:rsid w:val="00B92AA5"/>
    <w:rsid w:val="00B954EB"/>
    <w:rsid w:val="00BA35F5"/>
    <w:rsid w:val="00BA57CA"/>
    <w:rsid w:val="00BA77EB"/>
    <w:rsid w:val="00BB3ACB"/>
    <w:rsid w:val="00BC0678"/>
    <w:rsid w:val="00BC5226"/>
    <w:rsid w:val="00BD1B38"/>
    <w:rsid w:val="00BD78D6"/>
    <w:rsid w:val="00BE0924"/>
    <w:rsid w:val="00BE27FE"/>
    <w:rsid w:val="00BE51A8"/>
    <w:rsid w:val="00BE68D2"/>
    <w:rsid w:val="00BF275A"/>
    <w:rsid w:val="00BF32BA"/>
    <w:rsid w:val="00BF3A2C"/>
    <w:rsid w:val="00BF42C8"/>
    <w:rsid w:val="00C013CC"/>
    <w:rsid w:val="00C0326D"/>
    <w:rsid w:val="00C10F92"/>
    <w:rsid w:val="00C12521"/>
    <w:rsid w:val="00C1321A"/>
    <w:rsid w:val="00C1515D"/>
    <w:rsid w:val="00C2182D"/>
    <w:rsid w:val="00C260AB"/>
    <w:rsid w:val="00C2639C"/>
    <w:rsid w:val="00C27F81"/>
    <w:rsid w:val="00C339EF"/>
    <w:rsid w:val="00C34DB5"/>
    <w:rsid w:val="00C36D17"/>
    <w:rsid w:val="00C415B0"/>
    <w:rsid w:val="00C44F58"/>
    <w:rsid w:val="00C478DC"/>
    <w:rsid w:val="00C52529"/>
    <w:rsid w:val="00C5347E"/>
    <w:rsid w:val="00C60E96"/>
    <w:rsid w:val="00C611D1"/>
    <w:rsid w:val="00C638EA"/>
    <w:rsid w:val="00C63B19"/>
    <w:rsid w:val="00C70145"/>
    <w:rsid w:val="00C717D7"/>
    <w:rsid w:val="00C72933"/>
    <w:rsid w:val="00C76A54"/>
    <w:rsid w:val="00C847EE"/>
    <w:rsid w:val="00C85483"/>
    <w:rsid w:val="00C868E2"/>
    <w:rsid w:val="00C9265D"/>
    <w:rsid w:val="00C9534C"/>
    <w:rsid w:val="00C971FE"/>
    <w:rsid w:val="00C97B62"/>
    <w:rsid w:val="00C97EC8"/>
    <w:rsid w:val="00CA1934"/>
    <w:rsid w:val="00CA1A03"/>
    <w:rsid w:val="00CB0DE7"/>
    <w:rsid w:val="00CB4008"/>
    <w:rsid w:val="00CB55E6"/>
    <w:rsid w:val="00CC3BFE"/>
    <w:rsid w:val="00CC494A"/>
    <w:rsid w:val="00CC5D74"/>
    <w:rsid w:val="00CD3834"/>
    <w:rsid w:val="00CD4C8E"/>
    <w:rsid w:val="00CD5D0A"/>
    <w:rsid w:val="00CE57DD"/>
    <w:rsid w:val="00CE5D54"/>
    <w:rsid w:val="00CF1EDF"/>
    <w:rsid w:val="00CF2B33"/>
    <w:rsid w:val="00CF3C54"/>
    <w:rsid w:val="00D0217A"/>
    <w:rsid w:val="00D036F5"/>
    <w:rsid w:val="00D05B24"/>
    <w:rsid w:val="00D11049"/>
    <w:rsid w:val="00D13F91"/>
    <w:rsid w:val="00D1499B"/>
    <w:rsid w:val="00D1771E"/>
    <w:rsid w:val="00D2161E"/>
    <w:rsid w:val="00D233F3"/>
    <w:rsid w:val="00D24665"/>
    <w:rsid w:val="00D24696"/>
    <w:rsid w:val="00D26E7F"/>
    <w:rsid w:val="00D32269"/>
    <w:rsid w:val="00D32FAC"/>
    <w:rsid w:val="00D35ACF"/>
    <w:rsid w:val="00D37645"/>
    <w:rsid w:val="00D37800"/>
    <w:rsid w:val="00D37DD5"/>
    <w:rsid w:val="00D40A2B"/>
    <w:rsid w:val="00D41201"/>
    <w:rsid w:val="00D4672E"/>
    <w:rsid w:val="00D52616"/>
    <w:rsid w:val="00D55A03"/>
    <w:rsid w:val="00D574FE"/>
    <w:rsid w:val="00D602D1"/>
    <w:rsid w:val="00D62DEB"/>
    <w:rsid w:val="00D63023"/>
    <w:rsid w:val="00D661D9"/>
    <w:rsid w:val="00D66310"/>
    <w:rsid w:val="00D75525"/>
    <w:rsid w:val="00D765F1"/>
    <w:rsid w:val="00D82DE7"/>
    <w:rsid w:val="00D849F9"/>
    <w:rsid w:val="00D90F54"/>
    <w:rsid w:val="00D97B28"/>
    <w:rsid w:val="00DA6625"/>
    <w:rsid w:val="00DA6A61"/>
    <w:rsid w:val="00DA71ED"/>
    <w:rsid w:val="00DB7E9B"/>
    <w:rsid w:val="00DC0171"/>
    <w:rsid w:val="00DC0C8A"/>
    <w:rsid w:val="00DC1D80"/>
    <w:rsid w:val="00DC7055"/>
    <w:rsid w:val="00DD1919"/>
    <w:rsid w:val="00DD36AB"/>
    <w:rsid w:val="00DD5204"/>
    <w:rsid w:val="00DD539A"/>
    <w:rsid w:val="00DD69E6"/>
    <w:rsid w:val="00DE0A38"/>
    <w:rsid w:val="00DE4B08"/>
    <w:rsid w:val="00DE6350"/>
    <w:rsid w:val="00DF3D0E"/>
    <w:rsid w:val="00DF3ECE"/>
    <w:rsid w:val="00DF5613"/>
    <w:rsid w:val="00E01D3D"/>
    <w:rsid w:val="00E02E51"/>
    <w:rsid w:val="00E075BF"/>
    <w:rsid w:val="00E116C8"/>
    <w:rsid w:val="00E13236"/>
    <w:rsid w:val="00E138B3"/>
    <w:rsid w:val="00E14D28"/>
    <w:rsid w:val="00E16449"/>
    <w:rsid w:val="00E16685"/>
    <w:rsid w:val="00E17F55"/>
    <w:rsid w:val="00E20E7E"/>
    <w:rsid w:val="00E2199B"/>
    <w:rsid w:val="00E237AA"/>
    <w:rsid w:val="00E23B40"/>
    <w:rsid w:val="00E23BD1"/>
    <w:rsid w:val="00E26835"/>
    <w:rsid w:val="00E26E67"/>
    <w:rsid w:val="00E31917"/>
    <w:rsid w:val="00E3275A"/>
    <w:rsid w:val="00E35202"/>
    <w:rsid w:val="00E3672D"/>
    <w:rsid w:val="00E41E53"/>
    <w:rsid w:val="00E44FA5"/>
    <w:rsid w:val="00E51F5A"/>
    <w:rsid w:val="00E549CE"/>
    <w:rsid w:val="00E55E4B"/>
    <w:rsid w:val="00E5712B"/>
    <w:rsid w:val="00E61039"/>
    <w:rsid w:val="00E61086"/>
    <w:rsid w:val="00E73B84"/>
    <w:rsid w:val="00E77095"/>
    <w:rsid w:val="00E84E06"/>
    <w:rsid w:val="00E90D6F"/>
    <w:rsid w:val="00E93B92"/>
    <w:rsid w:val="00EA36A9"/>
    <w:rsid w:val="00EA37C1"/>
    <w:rsid w:val="00EA3C70"/>
    <w:rsid w:val="00EA4B3F"/>
    <w:rsid w:val="00EB0FA2"/>
    <w:rsid w:val="00EC21F2"/>
    <w:rsid w:val="00EC6168"/>
    <w:rsid w:val="00EC67DE"/>
    <w:rsid w:val="00EC6E9C"/>
    <w:rsid w:val="00EC75B2"/>
    <w:rsid w:val="00EC760C"/>
    <w:rsid w:val="00ED08DF"/>
    <w:rsid w:val="00ED3DAE"/>
    <w:rsid w:val="00ED5E63"/>
    <w:rsid w:val="00ED6066"/>
    <w:rsid w:val="00ED6BD9"/>
    <w:rsid w:val="00EE37BB"/>
    <w:rsid w:val="00EE68BC"/>
    <w:rsid w:val="00EE72E9"/>
    <w:rsid w:val="00EF01F4"/>
    <w:rsid w:val="00EF0423"/>
    <w:rsid w:val="00EF1A7C"/>
    <w:rsid w:val="00EF20D7"/>
    <w:rsid w:val="00EF4F45"/>
    <w:rsid w:val="00EF6BC3"/>
    <w:rsid w:val="00EF6BC7"/>
    <w:rsid w:val="00EF776C"/>
    <w:rsid w:val="00F007FB"/>
    <w:rsid w:val="00F058F5"/>
    <w:rsid w:val="00F10CF1"/>
    <w:rsid w:val="00F15562"/>
    <w:rsid w:val="00F22063"/>
    <w:rsid w:val="00F24010"/>
    <w:rsid w:val="00F31747"/>
    <w:rsid w:val="00F33D65"/>
    <w:rsid w:val="00F423EA"/>
    <w:rsid w:val="00F428F0"/>
    <w:rsid w:val="00F443AA"/>
    <w:rsid w:val="00F51D40"/>
    <w:rsid w:val="00F57E9A"/>
    <w:rsid w:val="00F64765"/>
    <w:rsid w:val="00F663D4"/>
    <w:rsid w:val="00F66D8F"/>
    <w:rsid w:val="00F73423"/>
    <w:rsid w:val="00F81768"/>
    <w:rsid w:val="00F849F6"/>
    <w:rsid w:val="00F87139"/>
    <w:rsid w:val="00F9252B"/>
    <w:rsid w:val="00F925AE"/>
    <w:rsid w:val="00F9262C"/>
    <w:rsid w:val="00F955A6"/>
    <w:rsid w:val="00F97ECF"/>
    <w:rsid w:val="00FA2690"/>
    <w:rsid w:val="00FA3EEF"/>
    <w:rsid w:val="00FA4731"/>
    <w:rsid w:val="00FB1BF3"/>
    <w:rsid w:val="00FB5881"/>
    <w:rsid w:val="00FC2870"/>
    <w:rsid w:val="00FD0BC6"/>
    <w:rsid w:val="00FD3288"/>
    <w:rsid w:val="00FD3583"/>
    <w:rsid w:val="00FD6F43"/>
    <w:rsid w:val="00FE0C7D"/>
    <w:rsid w:val="00FE2B15"/>
    <w:rsid w:val="00FE671B"/>
    <w:rsid w:val="00FE6979"/>
    <w:rsid w:val="00FF05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FC30D6"/>
  <w15:docId w15:val="{0312081F-50D4-4818-9A95-9F72ED47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footnote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B36"/>
    <w:rPr>
      <w:sz w:val="24"/>
    </w:rPr>
  </w:style>
  <w:style w:type="paragraph" w:styleId="Heading1">
    <w:name w:val="heading 1"/>
    <w:basedOn w:val="ListParagraph"/>
    <w:next w:val="Normal"/>
    <w:link w:val="Heading1Char"/>
    <w:qFormat/>
    <w:rsid w:val="00D55A03"/>
    <w:pPr>
      <w:spacing w:after="240"/>
      <w:ind w:hanging="720"/>
      <w:outlineLvl w:val="0"/>
    </w:pPr>
    <w:rPr>
      <w:b/>
      <w:bCs/>
      <w:szCs w:val="24"/>
    </w:rPr>
  </w:style>
  <w:style w:type="paragraph" w:styleId="Heading2">
    <w:name w:val="heading 2"/>
    <w:basedOn w:val="BodyTextIndent3"/>
    <w:next w:val="Normal"/>
    <w:qFormat/>
    <w:rsid w:val="001804D7"/>
    <w:pPr>
      <w:keepNext/>
      <w:keepLines/>
      <w:numPr>
        <w:numId w:val="9"/>
      </w:numPr>
      <w:spacing w:after="240" w:line="240" w:lineRule="auto"/>
      <w:outlineLvl w:val="1"/>
    </w:pPr>
    <w:rPr>
      <w:b/>
      <w:szCs w:val="24"/>
    </w:rPr>
  </w:style>
  <w:style w:type="paragraph" w:styleId="Heading3">
    <w:name w:val="heading 3"/>
    <w:basedOn w:val="Normal"/>
    <w:next w:val="Normal"/>
    <w:qFormat/>
    <w:rsid w:val="00726953"/>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2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26953"/>
    <w:pPr>
      <w:tabs>
        <w:tab w:val="center" w:pos="4320"/>
        <w:tab w:val="right" w:pos="8640"/>
      </w:tabs>
    </w:pPr>
    <w:rPr>
      <w:sz w:val="20"/>
    </w:rPr>
  </w:style>
  <w:style w:type="character" w:styleId="Hyperlink">
    <w:name w:val="Hyperlink"/>
    <w:uiPriority w:val="99"/>
    <w:rsid w:val="00726953"/>
    <w:rPr>
      <w:color w:val="0000FF"/>
      <w:u w:val="single"/>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qFormat/>
    <w:rsid w:val="00726953"/>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qFormat/>
    <w:rsid w:val="00726953"/>
    <w:rPr>
      <w:vertAlign w:val="superscript"/>
    </w:rPr>
  </w:style>
  <w:style w:type="paragraph" w:styleId="BodyTextIndent">
    <w:name w:val="Body Text Indent"/>
    <w:basedOn w:val="Normal"/>
    <w:rsid w:val="00726953"/>
    <w:pPr>
      <w:spacing w:line="480" w:lineRule="auto"/>
      <w:ind w:firstLine="720"/>
    </w:pPr>
  </w:style>
  <w:style w:type="paragraph" w:styleId="BodyTextIndent3">
    <w:name w:val="Body Text Indent 3"/>
    <w:basedOn w:val="Normal"/>
    <w:link w:val="BodyTextIndent3Char"/>
    <w:rsid w:val="00726953"/>
    <w:pPr>
      <w:spacing w:line="480" w:lineRule="atLeast"/>
      <w:ind w:firstLine="720"/>
    </w:pPr>
  </w:style>
  <w:style w:type="paragraph" w:styleId="BodyTextIndent2">
    <w:name w:val="Body Text Indent 2"/>
    <w:basedOn w:val="Normal"/>
    <w:rsid w:val="00726953"/>
    <w:pPr>
      <w:tabs>
        <w:tab w:val="left" w:pos="720"/>
      </w:tabs>
      <w:spacing w:before="240" w:after="240"/>
      <w:ind w:left="1464" w:hanging="744"/>
    </w:pPr>
  </w:style>
  <w:style w:type="character" w:styleId="PageNumber">
    <w:name w:val="page number"/>
    <w:basedOn w:val="DefaultParagraphFont"/>
    <w:rsid w:val="00726953"/>
  </w:style>
  <w:style w:type="paragraph" w:styleId="BodyText">
    <w:name w:val="Body Text"/>
    <w:basedOn w:val="Normal"/>
    <w:link w:val="BodyTextChar"/>
    <w:rsid w:val="00726953"/>
    <w:pPr>
      <w:jc w:val="both"/>
    </w:pPr>
  </w:style>
  <w:style w:type="paragraph" w:styleId="BlockText">
    <w:name w:val="Block Text"/>
    <w:basedOn w:val="Normal"/>
    <w:rsid w:val="00726953"/>
    <w:pPr>
      <w:ind w:left="1440" w:right="720"/>
    </w:pPr>
  </w:style>
  <w:style w:type="paragraph" w:styleId="EndnoteText">
    <w:name w:val="endnote text"/>
    <w:basedOn w:val="Normal"/>
    <w:semiHidden/>
    <w:rsid w:val="00726953"/>
    <w:rPr>
      <w:sz w:val="20"/>
    </w:rPr>
  </w:style>
  <w:style w:type="character" w:styleId="EndnoteReference">
    <w:name w:val="endnote reference"/>
    <w:semiHidden/>
    <w:rsid w:val="00726953"/>
    <w:rPr>
      <w:vertAlign w:val="superscript"/>
    </w:rPr>
  </w:style>
  <w:style w:type="paragraph" w:styleId="BodyText2">
    <w:name w:val="Body Text 2"/>
    <w:basedOn w:val="Normal"/>
    <w:rsid w:val="00726953"/>
    <w:pPr>
      <w:spacing w:line="480" w:lineRule="auto"/>
      <w:ind w:right="1440"/>
    </w:pPr>
  </w:style>
  <w:style w:type="paragraph" w:styleId="Header">
    <w:name w:val="header"/>
    <w:basedOn w:val="Normal"/>
    <w:rsid w:val="00726953"/>
    <w:pPr>
      <w:tabs>
        <w:tab w:val="center" w:pos="4320"/>
        <w:tab w:val="right" w:pos="8640"/>
      </w:tabs>
    </w:pPr>
  </w:style>
  <w:style w:type="paragraph" w:styleId="BalloonText">
    <w:name w:val="Balloon Text"/>
    <w:basedOn w:val="Normal"/>
    <w:semiHidden/>
    <w:rsid w:val="00726953"/>
    <w:rPr>
      <w:rFonts w:ascii="Lucida Grande" w:hAnsi="Lucida Grande"/>
      <w:sz w:val="18"/>
      <w:szCs w:val="18"/>
    </w:rPr>
  </w:style>
  <w:style w:type="character" w:styleId="CommentReference">
    <w:name w:val="annotation reference"/>
    <w:uiPriority w:val="99"/>
    <w:rsid w:val="00726953"/>
    <w:rPr>
      <w:sz w:val="18"/>
    </w:rPr>
  </w:style>
  <w:style w:type="paragraph" w:styleId="CommentText">
    <w:name w:val="annotation text"/>
    <w:basedOn w:val="Normal"/>
    <w:link w:val="CommentTextChar"/>
    <w:rsid w:val="00726953"/>
    <w:rPr>
      <w:szCs w:val="24"/>
    </w:rPr>
  </w:style>
  <w:style w:type="paragraph" w:styleId="CommentSubject">
    <w:name w:val="annotation subject"/>
    <w:basedOn w:val="CommentText"/>
    <w:next w:val="CommentText"/>
    <w:semiHidden/>
    <w:rsid w:val="00726953"/>
    <w:rPr>
      <w:szCs w:val="20"/>
    </w:rPr>
  </w:style>
  <w:style w:type="character" w:styleId="FollowedHyperlink">
    <w:name w:val="FollowedHyperlink"/>
    <w:rsid w:val="00726953"/>
    <w:rPr>
      <w:color w:val="800080"/>
      <w:u w:val="single"/>
    </w:rPr>
  </w:style>
  <w:style w:type="character" w:customStyle="1" w:styleId="term1">
    <w:name w:val="term1"/>
    <w:rsid w:val="00726953"/>
    <w:rPr>
      <w:b/>
      <w:bCs/>
    </w:rPr>
  </w:style>
  <w:style w:type="table" w:styleId="TableGrid">
    <w:name w:val="Table Grid"/>
    <w:basedOn w:val="TableNormal"/>
    <w:rsid w:val="00726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26953"/>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D5095"/>
    <w:rPr>
      <w:color w:val="605E5C"/>
      <w:shd w:val="clear" w:color="auto" w:fill="E1DFDD"/>
    </w:rPr>
  </w:style>
  <w:style w:type="character" w:customStyle="1" w:styleId="CommentTextChar">
    <w:name w:val="Comment Text Char"/>
    <w:basedOn w:val="DefaultParagraphFont"/>
    <w:link w:val="CommentText"/>
    <w:rsid w:val="009A2718"/>
    <w:rPr>
      <w:sz w:val="24"/>
      <w:szCs w:val="24"/>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6A78AA"/>
  </w:style>
  <w:style w:type="character" w:customStyle="1" w:styleId="BodyTextIndent3Char">
    <w:name w:val="Body Text Indent 3 Char"/>
    <w:basedOn w:val="DefaultParagraphFont"/>
    <w:link w:val="BodyTextIndent3"/>
    <w:rsid w:val="006A78AA"/>
    <w:rPr>
      <w:sz w:val="24"/>
    </w:rPr>
  </w:style>
  <w:style w:type="paragraph" w:customStyle="1" w:styleId="Style1">
    <w:name w:val="Style1"/>
    <w:basedOn w:val="BodyTextIndent3"/>
    <w:link w:val="Style1Char"/>
    <w:qFormat/>
    <w:rsid w:val="007A0385"/>
    <w:pPr>
      <w:keepNext/>
      <w:keepLines/>
      <w:spacing w:after="240" w:line="240" w:lineRule="auto"/>
      <w:ind w:right="-317" w:firstLine="0"/>
    </w:pPr>
    <w:rPr>
      <w:b/>
    </w:rPr>
  </w:style>
  <w:style w:type="character" w:customStyle="1" w:styleId="Style1Char">
    <w:name w:val="Style1 Char"/>
    <w:basedOn w:val="BodyTextIndent3Char"/>
    <w:link w:val="Style1"/>
    <w:rsid w:val="007A0385"/>
    <w:rPr>
      <w:b/>
      <w:sz w:val="24"/>
    </w:rPr>
  </w:style>
  <w:style w:type="character" w:styleId="BookTitle">
    <w:name w:val="Book Title"/>
    <w:basedOn w:val="DefaultParagraphFont"/>
    <w:uiPriority w:val="33"/>
    <w:qFormat/>
    <w:rsid w:val="007A0385"/>
    <w:rPr>
      <w:spacing w:val="5"/>
    </w:rPr>
  </w:style>
  <w:style w:type="paragraph" w:styleId="ListParagraph">
    <w:name w:val="List Paragraph"/>
    <w:basedOn w:val="Normal"/>
    <w:uiPriority w:val="34"/>
    <w:qFormat/>
    <w:rsid w:val="007A0385"/>
    <w:pPr>
      <w:ind w:left="720"/>
      <w:contextualSpacing/>
    </w:pPr>
  </w:style>
  <w:style w:type="character" w:customStyle="1" w:styleId="UnresolvedMention2">
    <w:name w:val="Unresolved Mention2"/>
    <w:basedOn w:val="DefaultParagraphFont"/>
    <w:uiPriority w:val="99"/>
    <w:semiHidden/>
    <w:unhideWhenUsed/>
    <w:rsid w:val="00892F78"/>
    <w:rPr>
      <w:color w:val="605E5C"/>
      <w:shd w:val="clear" w:color="auto" w:fill="E1DFDD"/>
    </w:rPr>
  </w:style>
  <w:style w:type="character" w:customStyle="1" w:styleId="HTMLPreformattedChar">
    <w:name w:val="HTML Preformatted Char"/>
    <w:basedOn w:val="DefaultParagraphFont"/>
    <w:link w:val="HTMLPreformatted"/>
    <w:rsid w:val="001C390E"/>
    <w:rPr>
      <w:rFonts w:ascii="Courier New" w:eastAsia="Courier New" w:hAnsi="Courier New" w:cs="Courier New"/>
    </w:rPr>
  </w:style>
  <w:style w:type="character" w:customStyle="1" w:styleId="FooterChar">
    <w:name w:val="Footer Char"/>
    <w:basedOn w:val="DefaultParagraphFont"/>
    <w:link w:val="Footer"/>
    <w:uiPriority w:val="99"/>
    <w:rsid w:val="00C013CC"/>
  </w:style>
  <w:style w:type="character" w:customStyle="1" w:styleId="BodyTextChar">
    <w:name w:val="Body Text Char"/>
    <w:basedOn w:val="DefaultParagraphFont"/>
    <w:link w:val="BodyText"/>
    <w:rsid w:val="002A6920"/>
    <w:rPr>
      <w:sz w:val="24"/>
    </w:rPr>
  </w:style>
  <w:style w:type="paragraph" w:styleId="Revision">
    <w:name w:val="Revision"/>
    <w:hidden/>
    <w:uiPriority w:val="99"/>
    <w:semiHidden/>
    <w:rsid w:val="00546AEA"/>
    <w:rPr>
      <w:sz w:val="24"/>
    </w:rPr>
  </w:style>
  <w:style w:type="character" w:customStyle="1" w:styleId="Heading1Char">
    <w:name w:val="Heading 1 Char"/>
    <w:basedOn w:val="DefaultParagraphFont"/>
    <w:link w:val="Heading1"/>
    <w:rsid w:val="00D55A03"/>
    <w:rPr>
      <w:b/>
      <w:bCs/>
      <w:sz w:val="24"/>
      <w:szCs w:val="24"/>
    </w:rPr>
  </w:style>
  <w:style w:type="paragraph" w:styleId="TOC1">
    <w:name w:val="toc 1"/>
    <w:basedOn w:val="Normal"/>
    <w:next w:val="Normal"/>
    <w:autoRedefine/>
    <w:uiPriority w:val="39"/>
    <w:unhideWhenUsed/>
    <w:qFormat/>
    <w:rsid w:val="00706CD2"/>
    <w:pPr>
      <w:tabs>
        <w:tab w:val="decimal" w:leader="dot" w:pos="9360"/>
      </w:tabs>
      <w:spacing w:after="240"/>
      <w:ind w:left="720" w:hanging="720"/>
      <w:outlineLvl w:val="0"/>
    </w:pPr>
    <w:rPr>
      <w:rFonts w:eastAsiaTheme="minorHAnsi" w:cstheme="minorBidi"/>
      <w:szCs w:val="22"/>
    </w:rPr>
  </w:style>
  <w:style w:type="paragraph" w:styleId="TOC2">
    <w:name w:val="toc 2"/>
    <w:basedOn w:val="Normal"/>
    <w:next w:val="Normal"/>
    <w:autoRedefine/>
    <w:uiPriority w:val="39"/>
    <w:unhideWhenUsed/>
    <w:qFormat/>
    <w:rsid w:val="00706CD2"/>
    <w:pPr>
      <w:tabs>
        <w:tab w:val="decimal" w:leader="dot" w:pos="9360"/>
      </w:tabs>
      <w:spacing w:after="240"/>
      <w:ind w:left="720"/>
      <w:outlineLvl w:val="1"/>
    </w:pPr>
    <w:rPr>
      <w:rFonts w:eastAsiaTheme="minorHAnsi" w:cstheme="minorBidi"/>
      <w:szCs w:val="22"/>
    </w:rPr>
  </w:style>
  <w:style w:type="paragraph" w:styleId="TOC3">
    <w:name w:val="toc 3"/>
    <w:basedOn w:val="Normal"/>
    <w:next w:val="Normal"/>
    <w:autoRedefine/>
    <w:uiPriority w:val="39"/>
    <w:unhideWhenUsed/>
    <w:rsid w:val="00057887"/>
    <w:pPr>
      <w:tabs>
        <w:tab w:val="left" w:pos="2160"/>
        <w:tab w:val="decimal" w:leader="dot" w:pos="9360"/>
      </w:tabs>
      <w:spacing w:after="240"/>
      <w:ind w:left="2160" w:hanging="720"/>
    </w:pPr>
    <w:rPr>
      <w:rFonts w:eastAsiaTheme="minorHAnsi" w:cstheme="minorBidi"/>
      <w:szCs w:val="22"/>
    </w:rPr>
  </w:style>
  <w:style w:type="character" w:customStyle="1" w:styleId="UnresolvedMention">
    <w:name w:val="Unresolved Mention"/>
    <w:basedOn w:val="DefaultParagraphFont"/>
    <w:rsid w:val="00571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yperlink" Target="mailto:Thomas.lindgren@ohioago.gov" TargetMode="External" /><Relationship Id="rId16" Type="http://schemas.openxmlformats.org/officeDocument/2006/relationships/hyperlink" Target="mailto:mkurtz@BKLlawfirm.com" TargetMode="External" /><Relationship Id="rId17" Type="http://schemas.openxmlformats.org/officeDocument/2006/relationships/hyperlink" Target="mailto:kboehm@BKLlawfirm.com" TargetMode="External" /><Relationship Id="rId18" Type="http://schemas.openxmlformats.org/officeDocument/2006/relationships/hyperlink" Target="mailto:jkylercohn@BKLlawfirm.com" TargetMode="External" /><Relationship Id="rId19" Type="http://schemas.openxmlformats.org/officeDocument/2006/relationships/hyperlink" Target="mailto:gkrassen@bricker.com" TargetMode="External" /><Relationship Id="rId2" Type="http://schemas.openxmlformats.org/officeDocument/2006/relationships/settings" Target="settings.xml" /><Relationship Id="rId20" Type="http://schemas.openxmlformats.org/officeDocument/2006/relationships/hyperlink" Target="mailto:dstinson@bricker.com" TargetMode="External" /><Relationship Id="rId21" Type="http://schemas.openxmlformats.org/officeDocument/2006/relationships/hyperlink" Target="mailto:paul@carpenterlipps.com" TargetMode="External" /><Relationship Id="rId22" Type="http://schemas.openxmlformats.org/officeDocument/2006/relationships/hyperlink" Target="mailto:rkelter@elpc.org" TargetMode="External" /><Relationship Id="rId23" Type="http://schemas.openxmlformats.org/officeDocument/2006/relationships/hyperlink" Target="mailto:jweber@elpc.org" TargetMode="External" /><Relationship Id="rId24" Type="http://schemas.openxmlformats.org/officeDocument/2006/relationships/hyperlink" Target="mailto:Bojko@carpenterlipps.com" TargetMode="External" /><Relationship Id="rId25" Type="http://schemas.openxmlformats.org/officeDocument/2006/relationships/hyperlink" Target="mailto:ghiloni@carpenterlipps.com" TargetMode="External" /><Relationship Id="rId26" Type="http://schemas.openxmlformats.org/officeDocument/2006/relationships/hyperlink" Target="mailto:glpetrucci@vorys.com" TargetMode="External" /><Relationship Id="rId27" Type="http://schemas.openxmlformats.org/officeDocument/2006/relationships/hyperlink" Target="mailto:dborchers@bricker.com" TargetMode="External" /><Relationship Id="rId28" Type="http://schemas.openxmlformats.org/officeDocument/2006/relationships/hyperlink" Target="mailto:Megan.addison@puc.state.oh.us" TargetMode="External" /><Relationship Id="rId29" Type="http://schemas.openxmlformats.org/officeDocument/2006/relationships/hyperlink" Target="mailto:Gregory.price@puc.state.oh.us" TargetMode="External" /><Relationship Id="rId3" Type="http://schemas.openxmlformats.org/officeDocument/2006/relationships/webSettings" Target="webSettings.xml" /><Relationship Id="rId30" Type="http://schemas.openxmlformats.org/officeDocument/2006/relationships/hyperlink" Target="mailto:cwatchorn@firstenergycorp.com" TargetMode="External" /><Relationship Id="rId31" Type="http://schemas.openxmlformats.org/officeDocument/2006/relationships/hyperlink" Target="mailto:bknipe@firstenergycorp.com" TargetMode="External" /><Relationship Id="rId32" Type="http://schemas.openxmlformats.org/officeDocument/2006/relationships/hyperlink" Target="mailto:mkeaney@calfee.com" TargetMode="External" /><Relationship Id="rId33" Type="http://schemas.openxmlformats.org/officeDocument/2006/relationships/hyperlink" Target="mailto:mpritchard@mwncmh.com" TargetMode="External" /><Relationship Id="rId34" Type="http://schemas.openxmlformats.org/officeDocument/2006/relationships/hyperlink" Target="mailto:rdove@keglerbrown.com" TargetMode="External" /><Relationship Id="rId35" Type="http://schemas.openxmlformats.org/officeDocument/2006/relationships/hyperlink" Target="mailto:mdortch@kravitzllc.com" TargetMode="External" /><Relationship Id="rId36" Type="http://schemas.openxmlformats.org/officeDocument/2006/relationships/hyperlink" Target="mailto:dparram@bricker.com" TargetMode="External" /><Relationship Id="rId37" Type="http://schemas.openxmlformats.org/officeDocument/2006/relationships/hyperlink" Target="mailto:joliker@igsenergy.com" TargetMode="External" /><Relationship Id="rId38" Type="http://schemas.openxmlformats.org/officeDocument/2006/relationships/hyperlink" Target="mailto:mnugent@igsenergy.com" TargetMode="External" /><Relationship Id="rId39" Type="http://schemas.openxmlformats.org/officeDocument/2006/relationships/hyperlink" Target="mailto:Bethany.Allen@igs.com" TargetMode="External" /><Relationship Id="rId4" Type="http://schemas.openxmlformats.org/officeDocument/2006/relationships/fontTable" Target="fontTable.xml" /><Relationship Id="rId40" Type="http://schemas.openxmlformats.org/officeDocument/2006/relationships/hyperlink" Target="mailto:whitt@whitt-sturtevant.com" TargetMode="External" /><Relationship Id="rId41" Type="http://schemas.openxmlformats.org/officeDocument/2006/relationships/hyperlink" Target="mailto:kennedy@whitt-sturtevant.com" TargetMode="External" /><Relationship Id="rId42" Type="http://schemas.openxmlformats.org/officeDocument/2006/relationships/hyperlink" Target="mailto:dproano@bakerlaw.com" TargetMode="External" /><Relationship Id="rId43" Type="http://schemas.openxmlformats.org/officeDocument/2006/relationships/hyperlink" Target="mailto:ahaque@bakerlaw.com" TargetMode="External" /><Relationship Id="rId44" Type="http://schemas.openxmlformats.org/officeDocument/2006/relationships/hyperlink" Target="mailto:eprouty@bakerlaw.com" TargetMode="External" /><Relationship Id="rId45" Type="http://schemas.openxmlformats.org/officeDocument/2006/relationships/hyperlink" Target="mailto:mpritchard@mcneeslaw.com" TargetMode="External" /><Relationship Id="rId46" Type="http://schemas.openxmlformats.org/officeDocument/2006/relationships/hyperlink" Target="mailto:awalke@mcneeslaw.com" TargetMode="External" /><Relationship Id="rId47" Type="http://schemas.openxmlformats.org/officeDocument/2006/relationships/theme" Target="theme/theme1.xml" /><Relationship Id="rId48" Type="http://schemas.openxmlformats.org/officeDocument/2006/relationships/numbering" Target="numbering.xml" /><Relationship Id="rId49"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5F80B-724A-442A-81DC-499E0468545C}">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137</ap:TotalTime>
  <ap:Pages>2</ap:Pages>
  <ap:Words>4286</ap:Words>
  <ap:Characters>24434</ap:Characters>
  <ap:Application>Microsoft Office Word</ap:Application>
  <ap:DocSecurity>0</ap:DocSecurity>
  <ap:Lines>203</ap:Lines>
  <ap:Paragraphs>57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28663</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2023-12-18T21:40:25Z</dcterms:created>
  <dcterms:modified xsi:type="dcterms:W3CDTF">2023-12-18T21:40:25Z</dcterms:modified>
</cp:coreProperties>
</file>