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ED" w:rsidRDefault="00BA79ED">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BEFORE</w:t>
      </w:r>
    </w:p>
    <w:p w:rsidR="00BA79ED" w:rsidRDefault="00BA79ED">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THE PUBLIC UTILITIES COMMISSION OF OHIO</w:t>
      </w:r>
    </w:p>
    <w:p w:rsidR="00BA79ED" w:rsidRDefault="00BA79ED">
      <w:pPr>
        <w:widowControl/>
        <w:spacing w:line="320" w:lineRule="exact"/>
        <w:jc w:val="both"/>
        <w:rPr>
          <w:rFonts w:ascii="Palatino Linotype" w:hAnsi="Palatino Linotype"/>
          <w:b/>
          <w:bCs/>
          <w:spacing w:val="-12"/>
        </w:rPr>
      </w:pPr>
    </w:p>
    <w:p w:rsidR="00BA79ED" w:rsidRDefault="00BA79ED">
      <w:pPr>
        <w:widowControl/>
        <w:spacing w:line="320" w:lineRule="exact"/>
        <w:jc w:val="both"/>
        <w:rPr>
          <w:rFonts w:ascii="Palatino Linotype" w:hAnsi="Palatino Linotype"/>
          <w:b/>
          <w:bCs/>
        </w:rPr>
        <w:sectPr w:rsidR="00BA79ED">
          <w:pgSz w:w="12240" w:h="15840"/>
          <w:pgMar w:top="1440" w:right="1800" w:bottom="1440" w:left="1800" w:header="1440" w:footer="1440" w:gutter="0"/>
          <w:cols w:space="720"/>
          <w:noEndnote/>
        </w:sectPr>
      </w:pPr>
    </w:p>
    <w:tbl>
      <w:tblPr>
        <w:tblW w:w="9360" w:type="dxa"/>
        <w:tblLayout w:type="fixed"/>
        <w:tblCellMar>
          <w:left w:w="0" w:type="dxa"/>
          <w:right w:w="0" w:type="dxa"/>
        </w:tblCellMar>
        <w:tblLook w:val="0000"/>
      </w:tblPr>
      <w:tblGrid>
        <w:gridCol w:w="4230"/>
        <w:gridCol w:w="90"/>
        <w:gridCol w:w="270"/>
        <w:gridCol w:w="90"/>
        <w:gridCol w:w="4680"/>
      </w:tblGrid>
      <w:tr w:rsidR="00BA79ED">
        <w:tc>
          <w:tcPr>
            <w:tcW w:w="4230" w:type="dxa"/>
            <w:tcBorders>
              <w:top w:val="nil"/>
              <w:left w:val="nil"/>
              <w:bottom w:val="nil"/>
              <w:right w:val="nil"/>
            </w:tcBorders>
          </w:tcPr>
          <w:p w:rsidR="00BA79ED" w:rsidRDefault="00BA79ED">
            <w:pPr>
              <w:keepLines/>
              <w:widowControl/>
              <w:spacing w:line="320" w:lineRule="exact"/>
              <w:jc w:val="both"/>
              <w:rPr>
                <w:rFonts w:ascii="Palatino Linotype" w:hAnsi="Palatino Linotype"/>
              </w:rPr>
            </w:pPr>
            <w:r>
              <w:rPr>
                <w:rFonts w:ascii="Palatino Linotype" w:hAnsi="Palatino Linotype"/>
              </w:rPr>
              <w:t>In the Matter of the Application of C</w:t>
            </w:r>
            <w:r>
              <w:rPr>
                <w:rFonts w:ascii="Palatino Linotype" w:hAnsi="Palatino Linotype"/>
              </w:rPr>
              <w:t>o</w:t>
            </w:r>
            <w:r>
              <w:rPr>
                <w:rFonts w:ascii="Palatino Linotype" w:hAnsi="Palatino Linotype"/>
              </w:rPr>
              <w:t>lumbia Gas of Ohio, Inc. for Approval of an Alternative Form of Regulation.</w:t>
            </w:r>
          </w:p>
        </w:tc>
        <w:tc>
          <w:tcPr>
            <w:tcW w:w="90" w:type="dxa"/>
            <w:tcBorders>
              <w:top w:val="nil"/>
              <w:left w:val="nil"/>
              <w:bottom w:val="nil"/>
              <w:right w:val="nil"/>
            </w:tcBorders>
          </w:tcPr>
          <w:p w:rsidR="00BA79ED" w:rsidRDefault="00BA79ED">
            <w:pPr>
              <w:spacing w:line="320" w:lineRule="exact"/>
              <w:rPr>
                <w:rFonts w:ascii="Palatino Linotype" w:hAnsi="Palatino Linotype"/>
              </w:rPr>
            </w:pPr>
          </w:p>
        </w:tc>
        <w:tc>
          <w:tcPr>
            <w:tcW w:w="270" w:type="dxa"/>
            <w:tcBorders>
              <w:top w:val="nil"/>
              <w:left w:val="nil"/>
              <w:bottom w:val="nil"/>
              <w:right w:val="nil"/>
            </w:tcBorders>
          </w:tcPr>
          <w:p w:rsidR="00BA79ED" w:rsidRDefault="00BA79ED">
            <w:pPr>
              <w:widowControl/>
              <w:spacing w:line="320" w:lineRule="exact"/>
              <w:jc w:val="both"/>
              <w:rPr>
                <w:rFonts w:ascii="Palatino Linotype" w:hAnsi="Palatino Linotype"/>
              </w:rPr>
            </w:pPr>
            <w:r>
              <w:rPr>
                <w:rFonts w:ascii="Palatino Linotype" w:hAnsi="Palatino Linotype"/>
              </w:rPr>
              <w:t>)</w:t>
            </w:r>
          </w:p>
          <w:p w:rsidR="00BA79ED" w:rsidRDefault="00BA79ED">
            <w:pPr>
              <w:widowControl/>
              <w:spacing w:line="320" w:lineRule="exact"/>
              <w:jc w:val="both"/>
              <w:rPr>
                <w:rFonts w:ascii="Palatino Linotype" w:hAnsi="Palatino Linotype"/>
              </w:rPr>
            </w:pPr>
            <w:r>
              <w:rPr>
                <w:rFonts w:ascii="Palatino Linotype" w:hAnsi="Palatino Linotype"/>
              </w:rPr>
              <w:t>)</w:t>
            </w:r>
          </w:p>
          <w:p w:rsidR="00BA79ED" w:rsidRDefault="00BA79ED">
            <w:pPr>
              <w:widowControl/>
              <w:spacing w:line="320" w:lineRule="exact"/>
              <w:jc w:val="both"/>
              <w:rPr>
                <w:rFonts w:ascii="Palatino Linotype" w:hAnsi="Palatino Linotype"/>
              </w:rPr>
            </w:pPr>
            <w:r>
              <w:rPr>
                <w:rFonts w:ascii="Palatino Linotype" w:hAnsi="Palatino Linotype"/>
              </w:rPr>
              <w:t>)</w:t>
            </w:r>
          </w:p>
        </w:tc>
        <w:tc>
          <w:tcPr>
            <w:tcW w:w="90" w:type="dxa"/>
            <w:tcBorders>
              <w:top w:val="nil"/>
              <w:left w:val="nil"/>
              <w:bottom w:val="nil"/>
              <w:right w:val="nil"/>
            </w:tcBorders>
          </w:tcPr>
          <w:p w:rsidR="00BA79ED" w:rsidRDefault="00BA79ED">
            <w:pPr>
              <w:spacing w:line="320" w:lineRule="exact"/>
              <w:rPr>
                <w:rFonts w:ascii="Palatino Linotype" w:hAnsi="Palatino Linotype"/>
              </w:rPr>
            </w:pPr>
          </w:p>
        </w:tc>
        <w:tc>
          <w:tcPr>
            <w:tcW w:w="4680" w:type="dxa"/>
            <w:tcBorders>
              <w:top w:val="nil"/>
              <w:left w:val="nil"/>
              <w:bottom w:val="nil"/>
              <w:right w:val="nil"/>
            </w:tcBorders>
          </w:tcPr>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Case No. 11-5515-GA-ALT</w:t>
            </w:r>
          </w:p>
        </w:tc>
      </w:tr>
    </w:tbl>
    <w:p w:rsidR="00BA79ED" w:rsidRDefault="00BA79ED">
      <w:pPr>
        <w:spacing w:line="320" w:lineRule="exact"/>
        <w:rPr>
          <w:rFonts w:ascii="Palatino Linotype" w:hAnsi="Palatino Linotype"/>
        </w:rPr>
        <w:sectPr w:rsidR="00BA79ED">
          <w:footerReference w:type="default" r:id="rId7"/>
          <w:type w:val="continuous"/>
          <w:pgSz w:w="12240" w:h="15840"/>
          <w:pgMar w:top="1440" w:right="1800" w:bottom="1440" w:left="1800" w:header="1440" w:footer="1440" w:gutter="0"/>
          <w:cols w:space="720"/>
          <w:noEndnote/>
        </w:sectPr>
      </w:pPr>
    </w:p>
    <w:p w:rsidR="00BA79ED" w:rsidRDefault="00BA79ED">
      <w:pPr>
        <w:widowControl/>
        <w:tabs>
          <w:tab w:val="center" w:pos="4680"/>
        </w:tabs>
        <w:spacing w:line="320" w:lineRule="exact"/>
        <w:jc w:val="both"/>
        <w:rPr>
          <w:rFonts w:ascii="Palatino Linotype" w:hAnsi="Palatino Linotype"/>
        </w:rPr>
      </w:pPr>
      <w:r>
        <w:rPr>
          <w:rFonts w:ascii="Palatino Linotype" w:hAnsi="Palatino Linotype"/>
        </w:rPr>
        <w:tab/>
      </w:r>
    </w:p>
    <w:p w:rsidR="00BA79ED" w:rsidRDefault="00BA79ED">
      <w:pPr>
        <w:widowControl/>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BA79ED" w:rsidRDefault="00BA79ED">
      <w:pPr>
        <w:widowControl/>
        <w:spacing w:line="320" w:lineRule="exact"/>
        <w:jc w:val="both"/>
        <w:rPr>
          <w:rFonts w:ascii="Palatino Linotype" w:hAnsi="Palatino Linotype"/>
        </w:rPr>
      </w:pPr>
    </w:p>
    <w:p w:rsidR="00BA79ED" w:rsidRDefault="00BA79ED">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MOTION TO STRIKE AND REPLY MEMORANDUM</w:t>
      </w:r>
    </w:p>
    <w:p w:rsidR="00BA79ED" w:rsidRDefault="00BA79ED">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OF COLUMBIA GAS OF OHIO, INC.</w:t>
      </w:r>
    </w:p>
    <w:p w:rsidR="00BA79ED" w:rsidRDefault="00BA79ED">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TO THE MEMORANDUM CONTRA OF</w:t>
      </w:r>
    </w:p>
    <w:p w:rsidR="00BA79ED" w:rsidRDefault="00BA79ED">
      <w:pPr>
        <w:widowControl/>
        <w:tabs>
          <w:tab w:val="center" w:pos="4680"/>
        </w:tabs>
        <w:spacing w:line="320" w:lineRule="exact"/>
        <w:jc w:val="center"/>
        <w:rPr>
          <w:rFonts w:ascii="Palatino Linotype" w:hAnsi="Palatino Linotype"/>
          <w:spacing w:val="-12"/>
        </w:rPr>
      </w:pPr>
      <w:r>
        <w:rPr>
          <w:rFonts w:ascii="Palatino Linotype" w:hAnsi="Palatino Linotype"/>
          <w:b/>
          <w:bCs/>
          <w:spacing w:val="-12"/>
        </w:rPr>
        <w:t>OHIO PARTNERS FOR AFFORDABLE ENERGY</w:t>
      </w:r>
    </w:p>
    <w:p w:rsidR="00BA79ED" w:rsidRDefault="00BA79ED">
      <w:pPr>
        <w:widowControl/>
        <w:tabs>
          <w:tab w:val="center" w:pos="4680"/>
        </w:tabs>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Pursuant to Ohio Adm. Code § 4901-1-12(A), Columbia Gas of Ohio, Inc. ("Columbia") respectfully requests issuance of an Entry striking the Memora</w:t>
      </w:r>
      <w:r>
        <w:rPr>
          <w:rFonts w:ascii="Palatino Linotype" w:hAnsi="Palatino Linotype"/>
        </w:rPr>
        <w:t>n</w:t>
      </w:r>
      <w:r>
        <w:rPr>
          <w:rFonts w:ascii="Palatino Linotype" w:hAnsi="Palatino Linotype"/>
        </w:rPr>
        <w:t>dum Contra filed in this docket on January 11, 2012 by Ohio Partners for Affor</w:t>
      </w:r>
      <w:r>
        <w:rPr>
          <w:rFonts w:ascii="Palatino Linotype" w:hAnsi="Palatino Linotype"/>
        </w:rPr>
        <w:t>d</w:t>
      </w:r>
      <w:r>
        <w:rPr>
          <w:rFonts w:ascii="Palatino Linotype" w:hAnsi="Palatino Linotype"/>
        </w:rPr>
        <w:t>able Energy (“OPAE”) OPAE's Memorandum Contra is procedurally improper and substantively deficient. This Motion should be granted for the reasons stated in the attached memorandum in support.</w:t>
      </w:r>
    </w:p>
    <w:p w:rsidR="00BA79ED" w:rsidRDefault="00BA79ED">
      <w:pPr>
        <w:widowControl/>
        <w:spacing w:line="320" w:lineRule="exact"/>
        <w:ind w:firstLine="720"/>
        <w:jc w:val="both"/>
        <w:rPr>
          <w:rFonts w:ascii="Palatino Linotype" w:hAnsi="Palatino Linotype"/>
        </w:rPr>
      </w:pPr>
    </w:p>
    <w:p w:rsidR="00BA79ED" w:rsidRDefault="00BA79ED">
      <w:pPr>
        <w:widowControl/>
        <w:spacing w:line="320" w:lineRule="exact"/>
        <w:ind w:left="4320"/>
        <w:jc w:val="both"/>
        <w:rPr>
          <w:rFonts w:ascii="Palatino Linotype" w:hAnsi="Palatino Linotype"/>
        </w:rPr>
      </w:pPr>
      <w:r>
        <w:rPr>
          <w:rFonts w:ascii="Palatino Linotype" w:hAnsi="Palatino Linotype"/>
        </w:rPr>
        <w:t>Respectfully submitted,</w:t>
      </w:r>
    </w:p>
    <w:p w:rsidR="00BA79ED" w:rsidRDefault="00BA79ED">
      <w:pPr>
        <w:widowControl/>
        <w:spacing w:line="320" w:lineRule="exact"/>
        <w:ind w:left="4320"/>
        <w:jc w:val="both"/>
        <w:rPr>
          <w:rFonts w:ascii="Palatino Linotype" w:hAnsi="Palatino Linotype"/>
          <w:b/>
          <w:spacing w:val="-12"/>
        </w:rPr>
      </w:pPr>
      <w:r>
        <w:rPr>
          <w:rFonts w:ascii="Palatino Linotype" w:hAnsi="Palatino Linotype"/>
          <w:b/>
          <w:bCs/>
          <w:spacing w:val="-12"/>
        </w:rPr>
        <w:t>COLUMBIA GAS OF OHIO, INC.</w:t>
      </w:r>
    </w:p>
    <w:p w:rsidR="00BA79ED" w:rsidRDefault="00BA79ED">
      <w:pPr>
        <w:widowControl/>
        <w:spacing w:line="320" w:lineRule="exact"/>
        <w:ind w:left="4320"/>
        <w:jc w:val="both"/>
        <w:rPr>
          <w:rFonts w:ascii="Palatino Linotype" w:hAnsi="Palatino Linotype"/>
        </w:rPr>
      </w:pPr>
    </w:p>
    <w:p w:rsidR="00BA79ED" w:rsidRDefault="00BA79ED">
      <w:pPr>
        <w:widowControl/>
        <w:spacing w:line="320" w:lineRule="exact"/>
        <w:ind w:left="4320"/>
        <w:jc w:val="both"/>
        <w:rPr>
          <w:rFonts w:ascii="Palatino Linotype" w:hAnsi="Palatino Linotype"/>
        </w:rPr>
      </w:pPr>
      <w:r>
        <w:rPr>
          <w:rFonts w:ascii="Palatino Linotype" w:hAnsi="Palatino Linotype"/>
          <w:u w:val="single"/>
        </w:rPr>
        <w:t>/s/ Stephen B. Seiple</w:t>
      </w:r>
      <w:r>
        <w:rPr>
          <w:rFonts w:ascii="Palatino Linotype" w:hAnsi="Palatino Linotype"/>
          <w:u w:val="single"/>
        </w:rPr>
        <w:tab/>
      </w:r>
    </w:p>
    <w:p w:rsidR="00BA79ED" w:rsidRDefault="00BA79ED">
      <w:pPr>
        <w:widowControl/>
        <w:spacing w:line="320" w:lineRule="exact"/>
        <w:ind w:left="4320"/>
        <w:jc w:val="both"/>
        <w:rPr>
          <w:rFonts w:ascii="Palatino Linotype" w:hAnsi="Palatino Linotype"/>
        </w:rPr>
      </w:pPr>
      <w:r>
        <w:rPr>
          <w:rFonts w:ascii="Palatino Linotype" w:hAnsi="Palatino Linotype"/>
        </w:rPr>
        <w:t>Stephen B. Seiple (Counsel of Record)</w:t>
      </w:r>
    </w:p>
    <w:p w:rsidR="00BA79ED" w:rsidRDefault="00BA79ED">
      <w:pPr>
        <w:widowControl/>
        <w:spacing w:line="320" w:lineRule="exact"/>
        <w:ind w:left="4320"/>
        <w:jc w:val="both"/>
        <w:rPr>
          <w:rFonts w:ascii="Palatino Linotype" w:hAnsi="Palatino Linotype"/>
        </w:rPr>
      </w:pPr>
    </w:p>
    <w:p w:rsidR="00BA79ED" w:rsidRDefault="00BA79ED">
      <w:pPr>
        <w:widowControl/>
        <w:spacing w:line="320" w:lineRule="exact"/>
        <w:ind w:left="4320"/>
        <w:jc w:val="both"/>
        <w:rPr>
          <w:rFonts w:ascii="Palatino Linotype" w:hAnsi="Palatino Linotype"/>
        </w:rPr>
      </w:pPr>
      <w:r>
        <w:rPr>
          <w:rFonts w:ascii="Palatino Linotype" w:hAnsi="Palatino Linotype"/>
        </w:rPr>
        <w:t>Stephen B. Seiple, Asst. General Counsel</w:t>
      </w:r>
    </w:p>
    <w:p w:rsidR="00BA79ED" w:rsidRDefault="00BA79ED">
      <w:pPr>
        <w:widowControl/>
        <w:spacing w:line="320" w:lineRule="exact"/>
        <w:ind w:left="4320"/>
        <w:jc w:val="both"/>
        <w:rPr>
          <w:rFonts w:ascii="Palatino Linotype" w:hAnsi="Palatino Linotype"/>
        </w:rPr>
      </w:pPr>
      <w:r>
        <w:rPr>
          <w:rFonts w:ascii="Palatino Linotype" w:hAnsi="Palatino Linotype"/>
        </w:rPr>
        <w:t>Brooke E. Leslie, Attorney</w:t>
      </w:r>
    </w:p>
    <w:p w:rsidR="00BA79ED" w:rsidRDefault="00BA79ED">
      <w:pPr>
        <w:widowControl/>
        <w:spacing w:line="320" w:lineRule="exact"/>
        <w:ind w:left="4320"/>
        <w:jc w:val="both"/>
        <w:rPr>
          <w:rFonts w:ascii="Palatino Linotype" w:hAnsi="Palatino Linotype"/>
        </w:rPr>
      </w:pPr>
      <w:r>
        <w:rPr>
          <w:rFonts w:ascii="Palatino Linotype" w:hAnsi="Palatino Linotype"/>
        </w:rPr>
        <w:t>200 Civic Center Drive</w:t>
      </w:r>
    </w:p>
    <w:p w:rsidR="00BA79ED" w:rsidRDefault="00BA79ED">
      <w:pPr>
        <w:widowControl/>
        <w:spacing w:line="320" w:lineRule="exact"/>
        <w:ind w:left="4320"/>
        <w:jc w:val="both"/>
        <w:rPr>
          <w:rFonts w:ascii="Palatino Linotype" w:hAnsi="Palatino Linotype"/>
        </w:rPr>
      </w:pPr>
      <w:r>
        <w:rPr>
          <w:rFonts w:ascii="Palatino Linotype" w:hAnsi="Palatino Linotype"/>
        </w:rPr>
        <w:t>P. O. Box 117</w:t>
      </w:r>
    </w:p>
    <w:p w:rsidR="00BA79ED" w:rsidRDefault="00BA79ED">
      <w:pPr>
        <w:widowControl/>
        <w:spacing w:line="320" w:lineRule="exact"/>
        <w:ind w:left="4320"/>
        <w:jc w:val="both"/>
        <w:rPr>
          <w:rFonts w:ascii="Palatino Linotype" w:hAnsi="Palatino Linotype"/>
        </w:rPr>
      </w:pPr>
      <w:r>
        <w:rPr>
          <w:rFonts w:ascii="Palatino Linotype" w:hAnsi="Palatino Linotype"/>
        </w:rPr>
        <w:t>Columbus, Ohio 43216-0117</w:t>
      </w:r>
    </w:p>
    <w:p w:rsidR="00BA79ED" w:rsidRDefault="00BA79ED">
      <w:pPr>
        <w:widowControl/>
        <w:spacing w:line="320" w:lineRule="exact"/>
        <w:ind w:left="4320"/>
        <w:jc w:val="both"/>
        <w:rPr>
          <w:rFonts w:ascii="Palatino Linotype" w:hAnsi="Palatino Linotype"/>
        </w:rPr>
      </w:pPr>
      <w:r>
        <w:rPr>
          <w:rFonts w:ascii="Palatino Linotype" w:hAnsi="Palatino Linotype"/>
        </w:rPr>
        <w:t>Telephone: (614) 460-4648</w:t>
      </w:r>
    </w:p>
    <w:p w:rsidR="00BA79ED" w:rsidRDefault="00BA79ED">
      <w:pPr>
        <w:widowControl/>
        <w:spacing w:line="320" w:lineRule="exact"/>
        <w:ind w:left="4320"/>
        <w:jc w:val="both"/>
        <w:rPr>
          <w:rFonts w:ascii="Palatino Linotype" w:hAnsi="Palatino Linotype"/>
        </w:rPr>
      </w:pPr>
      <w:r>
        <w:rPr>
          <w:rFonts w:ascii="Palatino Linotype" w:hAnsi="Palatino Linotype"/>
        </w:rPr>
        <w:t>Fax: (614) 460-6986</w:t>
      </w:r>
    </w:p>
    <w:p w:rsidR="00BA79ED" w:rsidRDefault="00BA79ED">
      <w:pPr>
        <w:widowControl/>
        <w:spacing w:line="320" w:lineRule="exact"/>
        <w:ind w:left="4320"/>
        <w:jc w:val="both"/>
        <w:rPr>
          <w:rFonts w:ascii="Palatino Linotype" w:hAnsi="Palatino Linotype"/>
        </w:rPr>
      </w:pPr>
      <w:r>
        <w:rPr>
          <w:rFonts w:ascii="Palatino Linotype" w:hAnsi="Palatino Linotype"/>
        </w:rPr>
        <w:t>Email: sseiple@nisource.com</w:t>
      </w:r>
    </w:p>
    <w:p w:rsidR="00BA79ED" w:rsidRDefault="00BA79ED">
      <w:pPr>
        <w:widowControl/>
        <w:spacing w:line="320" w:lineRule="exact"/>
        <w:ind w:left="4320"/>
        <w:jc w:val="both"/>
        <w:rPr>
          <w:rFonts w:ascii="Palatino Linotype" w:hAnsi="Palatino Linotype"/>
        </w:rPr>
      </w:pPr>
      <w:r>
        <w:rPr>
          <w:rFonts w:ascii="Palatino Linotype" w:hAnsi="Palatino Linotype"/>
        </w:rPr>
        <w:tab/>
        <w:t>bleslie@nisource.com</w:t>
      </w:r>
    </w:p>
    <w:p w:rsidR="00BA79ED" w:rsidRDefault="00BA79ED">
      <w:pPr>
        <w:widowControl/>
        <w:spacing w:line="320" w:lineRule="exact"/>
        <w:ind w:left="4320"/>
        <w:jc w:val="both"/>
        <w:rPr>
          <w:rFonts w:ascii="Palatino Linotype" w:hAnsi="Palatino Linotype"/>
        </w:rPr>
      </w:pPr>
    </w:p>
    <w:p w:rsidR="00BA79ED" w:rsidRDefault="00BA79ED">
      <w:pPr>
        <w:widowControl/>
        <w:spacing w:line="320" w:lineRule="exact"/>
        <w:ind w:left="4320"/>
        <w:jc w:val="both"/>
        <w:rPr>
          <w:rFonts w:ascii="Palatino Linotype" w:hAnsi="Palatino Linotype"/>
        </w:rPr>
      </w:pPr>
      <w:r>
        <w:rPr>
          <w:rFonts w:ascii="Palatino Linotype" w:hAnsi="Palatino Linotype"/>
        </w:rPr>
        <w:t>Attorneys for</w:t>
      </w:r>
    </w:p>
    <w:p w:rsidR="00BA79ED" w:rsidRDefault="00BA79ED">
      <w:pPr>
        <w:widowControl/>
        <w:spacing w:line="320" w:lineRule="exact"/>
        <w:ind w:left="4320"/>
        <w:jc w:val="both"/>
        <w:rPr>
          <w:rFonts w:ascii="Palatino Linotype" w:hAnsi="Palatino Linotype"/>
          <w:b/>
          <w:spacing w:val="-12"/>
        </w:rPr>
      </w:pPr>
      <w:r>
        <w:rPr>
          <w:rFonts w:ascii="Palatino Linotype" w:hAnsi="Palatino Linotype"/>
          <w:b/>
          <w:bCs/>
          <w:spacing w:val="-12"/>
        </w:rPr>
        <w:t>COLUMBIA GAS OF OHIO, INC.</w:t>
      </w:r>
    </w:p>
    <w:p w:rsidR="00BA79ED" w:rsidRDefault="00BA79ED">
      <w:pPr>
        <w:widowControl/>
        <w:spacing w:line="320" w:lineRule="exact"/>
        <w:jc w:val="center"/>
        <w:rPr>
          <w:rFonts w:ascii="Palatino Linotype" w:hAnsi="Palatino Linotype"/>
          <w:b/>
          <w:u w:val="single"/>
        </w:rPr>
      </w:pPr>
      <w:r>
        <w:rPr>
          <w:rFonts w:ascii="Palatino Linotype" w:hAnsi="Palatino Linotype"/>
          <w:b/>
          <w:u w:val="single"/>
        </w:rPr>
        <w:t>MEMORANDUM IN SUPPORT</w:t>
      </w:r>
    </w:p>
    <w:p w:rsidR="00BA79ED" w:rsidRDefault="00BA79ED">
      <w:pPr>
        <w:widowControl/>
        <w:spacing w:line="320" w:lineRule="exact"/>
        <w:jc w:val="both"/>
        <w:rPr>
          <w:rFonts w:ascii="Palatino Linotype" w:hAnsi="Palatino Linotype"/>
          <w:b/>
        </w:rPr>
      </w:pPr>
    </w:p>
    <w:p w:rsidR="00BA79ED" w:rsidRDefault="00BA79ED">
      <w:pPr>
        <w:widowControl/>
        <w:spacing w:line="320" w:lineRule="exact"/>
        <w:jc w:val="both"/>
        <w:rPr>
          <w:rFonts w:ascii="Palatino Linotype" w:hAnsi="Palatino Linotype"/>
        </w:rPr>
      </w:pPr>
      <w:r>
        <w:rPr>
          <w:rFonts w:ascii="Palatino Linotype" w:hAnsi="Palatino Linotype"/>
        </w:rPr>
        <w:tab/>
        <w:t>On January 11, 2012, OPAE filed a pleading styled as a "Reply to the Memorandum Contra." The pleading explains that it is a reply to the memora</w:t>
      </w:r>
      <w:r>
        <w:rPr>
          <w:rFonts w:ascii="Palatino Linotype" w:hAnsi="Palatino Linotype"/>
        </w:rPr>
        <w:t>n</w:t>
      </w:r>
      <w:r>
        <w:rPr>
          <w:rFonts w:ascii="Palatino Linotype" w:hAnsi="Palatino Linotype"/>
        </w:rPr>
        <w:t>dum contra filed by the Office of the Consumers’ Counsel (“OCC”) on January 6, 2012. OPAE’s “reply should be stricken on both procedural and substantive grounds.</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b/>
        </w:rPr>
        <w:tab/>
      </w:r>
      <w:r>
        <w:rPr>
          <w:rFonts w:ascii="Palatino Linotype" w:hAnsi="Palatino Linotype"/>
        </w:rPr>
        <w:t>The Commission's rules for filing and responding to motions are clear. Rule 4901-1-12(A) requires motions to be in writing, accompanied by a mem</w:t>
      </w:r>
      <w:r>
        <w:rPr>
          <w:rFonts w:ascii="Palatino Linotype" w:hAnsi="Palatino Linotype"/>
        </w:rPr>
        <w:t>o</w:t>
      </w:r>
      <w:r>
        <w:rPr>
          <w:rFonts w:ascii="Palatino Linotype" w:hAnsi="Palatino Linotype"/>
        </w:rPr>
        <w:t>randum in support explaining the grounds for relief. Thereafter, Rule 4901-1-12(B)(1) states that any party may file a memorandum contra</w:t>
      </w:r>
      <w:r>
        <w:rPr>
          <w:rFonts w:ascii="Palatino Linotype" w:hAnsi="Palatino Linotype"/>
          <w:i/>
        </w:rPr>
        <w:t xml:space="preserve"> </w:t>
      </w:r>
      <w:r>
        <w:rPr>
          <w:rFonts w:ascii="Palatino Linotype" w:hAnsi="Palatino Linotype"/>
        </w:rPr>
        <w:t>within fifteen days after the service of a motion. After a memorandum contra is filed, rule 4901-1-12(B)(2) permits any party to file a reply memorandum within seven days after service of a memorandum contra.</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In this instance, OPAE’s claims to be filing a reply to the OCC’s mem</w:t>
      </w:r>
      <w:r>
        <w:rPr>
          <w:rFonts w:ascii="Palatino Linotype" w:hAnsi="Palatino Linotype"/>
        </w:rPr>
        <w:t>o</w:t>
      </w:r>
      <w:r>
        <w:rPr>
          <w:rFonts w:ascii="Palatino Linotype" w:hAnsi="Palatino Linotype"/>
        </w:rPr>
        <w:t>randum contra. However, nothing in the OPAE’s reply takes exception to any of the arguments in the OCC’s memorandum contra. Instead, OPAE supports the OCC’s position. The Commission's rules do not provide a mechanism for parties to file memoranda in support of other parties' motions. There is a good reason for this. Such a practice is both inefficient and prejudicial to other parties because the Commission and opposing parties are forced to address arguments in a piecemeal fashion through multiple rounds of pleadings. Where parties have aligned interests in litigation, they should seek relief jointly rather than through piecemeal and repetitive motions. OPAE provides no explanation for failing to join in OCC’s memorandum contra when it was filed on January 6, 2012.</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ab/>
        <w:t>In the analogous context of applications for rehearing, the Commission has recognized that rules authorizing the filing of memoranda contra do not a</w:t>
      </w:r>
      <w:r>
        <w:rPr>
          <w:rFonts w:ascii="Palatino Linotype" w:hAnsi="Palatino Linotype"/>
        </w:rPr>
        <w:t>u</w:t>
      </w:r>
      <w:r>
        <w:rPr>
          <w:rFonts w:ascii="Palatino Linotype" w:hAnsi="Palatino Linotype"/>
        </w:rPr>
        <w:t>thorize filing memoranda in support of another party's motion:</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left="1440" w:right="720"/>
        <w:jc w:val="both"/>
        <w:rPr>
          <w:rFonts w:ascii="Palatino Linotype" w:hAnsi="Palatino Linotype"/>
        </w:rPr>
      </w:pPr>
      <w:r>
        <w:rPr>
          <w:rFonts w:ascii="Palatino Linotype" w:hAnsi="Palatino Linotype"/>
        </w:rPr>
        <w:t>The Commission agrees with OCC's assertion that Rule 4901-1-35, O.A.C., is limited in scope to the filing of mem</w:t>
      </w:r>
      <w:r>
        <w:rPr>
          <w:rFonts w:ascii="Palatino Linotype" w:hAnsi="Palatino Linotype"/>
        </w:rPr>
        <w:t>o</w:t>
      </w:r>
      <w:r>
        <w:rPr>
          <w:rFonts w:ascii="Palatino Linotype" w:hAnsi="Palatino Linotype"/>
        </w:rPr>
        <w:t>randum contra applications for rehearing. To the extent that a party believes that it is necessary to inform the Commi</w:t>
      </w:r>
      <w:r>
        <w:rPr>
          <w:rFonts w:ascii="Palatino Linotype" w:hAnsi="Palatino Linotype"/>
        </w:rPr>
        <w:t>s</w:t>
      </w:r>
      <w:r>
        <w:rPr>
          <w:rFonts w:ascii="Palatino Linotype" w:hAnsi="Palatino Linotype"/>
        </w:rPr>
        <w:t>sion of its support for another party's rehearing position the appropriate motion for leave to file a memorandum in su</w:t>
      </w:r>
      <w:r>
        <w:rPr>
          <w:rFonts w:ascii="Palatino Linotype" w:hAnsi="Palatino Linotype"/>
        </w:rPr>
        <w:t>p</w:t>
      </w:r>
      <w:r>
        <w:rPr>
          <w:rFonts w:ascii="Palatino Linotype" w:hAnsi="Palatino Linotype"/>
        </w:rPr>
        <w:t>port should be submitted for the Commission's consider</w:t>
      </w:r>
      <w:r>
        <w:rPr>
          <w:rFonts w:ascii="Palatino Linotype" w:hAnsi="Palatino Linotype"/>
        </w:rPr>
        <w:t>a</w:t>
      </w:r>
      <w:r>
        <w:rPr>
          <w:rFonts w:ascii="Palatino Linotype" w:hAnsi="Palatino Linotype"/>
        </w:rPr>
        <w:t>tion.</w:t>
      </w:r>
      <w:r>
        <w:rPr>
          <w:rStyle w:val="FootnoteReference"/>
          <w:rFonts w:ascii="Palatino Linotype" w:hAnsi="Palatino Linotype"/>
          <w:vertAlign w:val="superscript"/>
        </w:rPr>
        <w:footnoteReference w:id="1"/>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Where a party files a memorandum in support instead of a memorandum contra, the memorandum is properly stricken.</w:t>
      </w:r>
      <w:r>
        <w:rPr>
          <w:rStyle w:val="FootnoteReference"/>
          <w:rFonts w:ascii="Palatino Linotype" w:hAnsi="Palatino Linotype"/>
          <w:vertAlign w:val="superscript"/>
        </w:rPr>
        <w:footnoteReference w:id="2"/>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ab/>
        <w:t>In its reply OPAE also takes exception with Columbia’s reply memora</w:t>
      </w:r>
      <w:r>
        <w:rPr>
          <w:rFonts w:ascii="Palatino Linotype" w:hAnsi="Palatino Linotype"/>
        </w:rPr>
        <w:t>n</w:t>
      </w:r>
      <w:r>
        <w:rPr>
          <w:rFonts w:ascii="Palatino Linotype" w:hAnsi="Palatino Linotype"/>
        </w:rPr>
        <w:t>dum also filed on January 11.</w:t>
      </w:r>
      <w:r>
        <w:rPr>
          <w:rStyle w:val="FootnoteReference"/>
          <w:rFonts w:ascii="Palatino Linotype" w:hAnsi="Palatino Linotype"/>
          <w:vertAlign w:val="superscript"/>
        </w:rPr>
        <w:footnoteReference w:id="3"/>
      </w:r>
      <w:r>
        <w:rPr>
          <w:rFonts w:ascii="Palatino Linotype" w:hAnsi="Palatino Linotype"/>
        </w:rPr>
        <w:t xml:space="preserve"> To the extent that OPAE is attempting to respond to a reply memorandum this too is procedurally improper. The Commission’s rules for motion practice provide for a memorandum contra and a reply mem</w:t>
      </w:r>
      <w:r>
        <w:rPr>
          <w:rFonts w:ascii="Palatino Linotype" w:hAnsi="Palatino Linotype"/>
        </w:rPr>
        <w:t>o</w:t>
      </w:r>
      <w:r>
        <w:rPr>
          <w:rFonts w:ascii="Palatino Linotype" w:hAnsi="Palatino Linotype"/>
        </w:rPr>
        <w:t>randum, but no responses to reply memoranda. As the Commission recently held:</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left="1440" w:right="720"/>
        <w:jc w:val="both"/>
        <w:rPr>
          <w:rFonts w:ascii="Palatino Linotype" w:hAnsi="Palatino Linotype"/>
        </w:rPr>
      </w:pPr>
      <w:r>
        <w:rPr>
          <w:rFonts w:ascii="Palatino Linotype" w:hAnsi="Palatino Linotype"/>
        </w:rPr>
        <w:t>Rule 4901-1-12, Ohio Administrative Code, provides for the filing of memorandum contra and replies to motions filed in Commission proceedings. The rule does not provide for the filing of rebuttals to replies.</w:t>
      </w:r>
      <w:r>
        <w:rPr>
          <w:rStyle w:val="FootnoteReference"/>
          <w:rFonts w:ascii="Palatino Linotype" w:hAnsi="Palatino Linotype"/>
          <w:vertAlign w:val="superscript"/>
        </w:rPr>
        <w:footnoteReference w:id="4"/>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Therefore, the Commission should strike OPAE’s improper pleading.</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jc w:val="both"/>
        <w:rPr>
          <w:rFonts w:ascii="Palatino Linotype" w:hAnsi="Palatino Linotype"/>
        </w:rPr>
      </w:pPr>
      <w:r>
        <w:rPr>
          <w:rFonts w:ascii="Palatino Linotype" w:hAnsi="Palatino Linotype"/>
        </w:rPr>
        <w:tab/>
        <w:t>OPAE's “reply” fails on substantive grounds as well. OPAE’s arguments are identical to those of the OCC, which Columbia rebutted in its Reply Mem</w:t>
      </w:r>
      <w:r>
        <w:rPr>
          <w:rFonts w:ascii="Palatino Linotype" w:hAnsi="Palatino Linotype"/>
        </w:rPr>
        <w:t>o</w:t>
      </w:r>
      <w:r>
        <w:rPr>
          <w:rFonts w:ascii="Palatino Linotype" w:hAnsi="Palatino Linotype"/>
        </w:rPr>
        <w:t xml:space="preserve">randum filed on January 11, 2012. OPAE too claims that Columbia’s 2008 Rate Case stipulation says something that it does not. </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As explained in Columbia’s Reply Memorandum filed on January 11, 2012, Paragraph 10A of Columbia’s 2008 Rate Case stipulation provides that if Columbia’s IRP is to be modified during its initial five-year term, such mid-term alterations of the IRP may be accomplished by the filing of a base rate case, or the filing of an application to establish base rates pursuant to an alternative regul</w:t>
      </w:r>
      <w:r>
        <w:rPr>
          <w:rFonts w:ascii="Palatino Linotype" w:hAnsi="Palatino Linotype"/>
        </w:rPr>
        <w:t>a</w:t>
      </w:r>
      <w:r>
        <w:rPr>
          <w:rFonts w:ascii="Palatino Linotype" w:hAnsi="Palatino Linotype"/>
        </w:rPr>
        <w:t>tion plan. Thus, if Columbia were proposing a modification of the existing IRP that runs through 2012 the OCC and OPAE would be correct that such a modif</w:t>
      </w:r>
      <w:r>
        <w:rPr>
          <w:rFonts w:ascii="Palatino Linotype" w:hAnsi="Palatino Linotype"/>
        </w:rPr>
        <w:t>i</w:t>
      </w:r>
      <w:r>
        <w:rPr>
          <w:rFonts w:ascii="Palatino Linotype" w:hAnsi="Palatino Linotype"/>
        </w:rPr>
        <w:t>cation would require a review of base rates along with any alternative rate plan proposal. However, where the both OCC and OPAE err is in assuming that the same base rate review process applies to extensions of the IRP, as opposed to modifications of the IRP during its initial five-year term. The plain language of the stipulation clearly indicates that a different standard applies to extensions of the IRP.</w:t>
      </w:r>
    </w:p>
    <w:p w:rsidR="00BA79ED" w:rsidRDefault="00BA79ED">
      <w:pPr>
        <w:widowControl/>
        <w:spacing w:line="320" w:lineRule="exact"/>
        <w:jc w:val="both"/>
        <w:rPr>
          <w:rFonts w:ascii="Palatino Linotype" w:hAnsi="Palatino Linotype"/>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In discussing this stipulation provision, OPAE claims that the “requir</w:t>
      </w:r>
      <w:r>
        <w:rPr>
          <w:rFonts w:ascii="Palatino Linotype" w:hAnsi="Palatino Linotype"/>
        </w:rPr>
        <w:t>e</w:t>
      </w:r>
      <w:r>
        <w:rPr>
          <w:rFonts w:ascii="Palatino Linotype" w:hAnsi="Palatino Linotype"/>
        </w:rPr>
        <w:t>ment for a review of base rates when an extension request is filed is part of the agreement that Columbia signed with OCC and OPAE in 2008.”</w:t>
      </w:r>
      <w:r>
        <w:rPr>
          <w:rStyle w:val="FootnoteReference"/>
          <w:rFonts w:ascii="Palatino Linotype" w:hAnsi="Palatino Linotype"/>
          <w:vertAlign w:val="superscript"/>
        </w:rPr>
        <w:footnoteReference w:id="5"/>
      </w:r>
      <w:r>
        <w:rPr>
          <w:rFonts w:ascii="Palatino Linotype" w:hAnsi="Palatino Linotype"/>
        </w:rPr>
        <w:t xml:space="preserve"> This is simply not the case – the plain wording of the stipulation contains no such commitment. The commitment is to file a base rate case or an alternative regulation plan appl</w:t>
      </w:r>
      <w:r>
        <w:rPr>
          <w:rFonts w:ascii="Palatino Linotype" w:hAnsi="Palatino Linotype"/>
        </w:rPr>
        <w:t>i</w:t>
      </w:r>
      <w:r>
        <w:rPr>
          <w:rFonts w:ascii="Palatino Linotype" w:hAnsi="Palatino Linotype"/>
        </w:rPr>
        <w:t>cation pursuant to Revised Code § 4929.05. Like the OCC, OPAE is improperly attempting to comingle concepts that apply only to alteration of the original five-year IRP.</w:t>
      </w:r>
    </w:p>
    <w:p w:rsidR="00BA79ED" w:rsidRDefault="00BA79ED">
      <w:pPr>
        <w:widowControl/>
        <w:spacing w:line="320" w:lineRule="exact"/>
        <w:jc w:val="both"/>
        <w:rPr>
          <w:rFonts w:ascii="Palatino Linotype" w:hAnsi="Palatino Linotype"/>
          <w:b/>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Columbia, OCC and OPAE all agree that Columbia’s 2008 Rate Case stip</w:t>
      </w:r>
      <w:r>
        <w:rPr>
          <w:rFonts w:ascii="Palatino Linotype" w:hAnsi="Palatino Linotype"/>
        </w:rPr>
        <w:t>u</w:t>
      </w:r>
      <w:r>
        <w:rPr>
          <w:rFonts w:ascii="Palatino Linotype" w:hAnsi="Palatino Linotype"/>
        </w:rPr>
        <w:t>lation should be enforced. However, the Commission should reject OCC’s and OPAE’s attempt to obfuscate the clear meaning of the words to which the parties agreed, and which the Commission approved.</w:t>
      </w:r>
    </w:p>
    <w:p w:rsidR="00BA79ED" w:rsidRDefault="00BA79ED">
      <w:pPr>
        <w:widowControl/>
        <w:spacing w:line="320" w:lineRule="exact"/>
        <w:ind w:firstLine="720"/>
        <w:jc w:val="both"/>
        <w:rPr>
          <w:rFonts w:ascii="Palatino Linotype" w:hAnsi="Palatino Linotype"/>
        </w:rPr>
      </w:pPr>
    </w:p>
    <w:p w:rsidR="00BA79ED" w:rsidRDefault="00BA79ED">
      <w:pPr>
        <w:widowControl/>
        <w:spacing w:line="320" w:lineRule="exact"/>
        <w:ind w:firstLine="720"/>
        <w:jc w:val="both"/>
        <w:rPr>
          <w:rFonts w:ascii="Palatino Linotype" w:hAnsi="Palatino Linotype"/>
        </w:rPr>
      </w:pPr>
      <w:r>
        <w:rPr>
          <w:rFonts w:ascii="Palatino Linotype" w:hAnsi="Palatino Linotype"/>
        </w:rPr>
        <w:t>Wherefore, for the reasons stated above, the Commission should strike OPAE’s Reply to the Memorandum Contra, or, in the alternative, reject the pleading because of its substantive inaccuracies.</w:t>
      </w:r>
    </w:p>
    <w:p w:rsidR="00BA79ED" w:rsidRDefault="00BA79ED">
      <w:pPr>
        <w:widowControl/>
        <w:spacing w:line="320" w:lineRule="exact"/>
        <w:ind w:firstLine="720"/>
        <w:jc w:val="both"/>
        <w:rPr>
          <w:rFonts w:ascii="Palatino Linotype" w:hAnsi="Palatino Linotype"/>
        </w:rPr>
      </w:pP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Respectfully submitted,</w:t>
      </w:r>
    </w:p>
    <w:p w:rsidR="00BA79ED" w:rsidRDefault="00BA79ED">
      <w:pPr>
        <w:keepNext/>
        <w:keepLines/>
        <w:widowControl/>
        <w:spacing w:line="320" w:lineRule="exact"/>
        <w:ind w:firstLine="3600"/>
        <w:jc w:val="both"/>
        <w:rPr>
          <w:rFonts w:ascii="Palatino Linotype" w:hAnsi="Palatino Linotype"/>
        </w:rPr>
      </w:pPr>
    </w:p>
    <w:p w:rsidR="00BA79ED" w:rsidRDefault="00BA79ED">
      <w:pPr>
        <w:keepNext/>
        <w:keepLines/>
        <w:widowControl/>
        <w:spacing w:line="320" w:lineRule="exact"/>
        <w:ind w:firstLine="3600"/>
        <w:jc w:val="both"/>
        <w:rPr>
          <w:rFonts w:ascii="Palatino Linotype" w:hAnsi="Palatino Linotype"/>
          <w:spacing w:val="-12"/>
        </w:rPr>
      </w:pPr>
      <w:r>
        <w:rPr>
          <w:rFonts w:ascii="Palatino Linotype" w:hAnsi="Palatino Linotype"/>
          <w:b/>
          <w:bCs/>
          <w:spacing w:val="-12"/>
        </w:rPr>
        <w:t>COLUMBIA GAS OF OHIO, INC.</w:t>
      </w:r>
    </w:p>
    <w:p w:rsidR="00BA79ED" w:rsidRDefault="00BA79ED">
      <w:pPr>
        <w:keepNext/>
        <w:keepLines/>
        <w:widowControl/>
        <w:spacing w:line="320" w:lineRule="exact"/>
        <w:ind w:firstLine="3600"/>
        <w:jc w:val="both"/>
        <w:rPr>
          <w:rFonts w:ascii="Palatino Linotype" w:hAnsi="Palatino Linotype"/>
        </w:rPr>
      </w:pPr>
    </w:p>
    <w:p w:rsidR="00BA79ED" w:rsidRDefault="00BA79ED">
      <w:pPr>
        <w:keepNext/>
        <w:keepLines/>
        <w:widowControl/>
        <w:tabs>
          <w:tab w:val="right" w:pos="8640"/>
        </w:tabs>
        <w:spacing w:line="320" w:lineRule="exact"/>
        <w:ind w:firstLine="3600"/>
        <w:jc w:val="both"/>
        <w:rPr>
          <w:rFonts w:ascii="Palatino Linotype" w:hAnsi="Palatino Linotype"/>
        </w:rPr>
      </w:pPr>
      <w:r>
        <w:rPr>
          <w:rFonts w:ascii="Palatino Linotype" w:hAnsi="Palatino Linotype"/>
          <w:u w:val="single"/>
        </w:rPr>
        <w:t>/s/ Stephen B. Seiple</w:t>
      </w:r>
      <w:r>
        <w:rPr>
          <w:rFonts w:ascii="Palatino Linotype" w:hAnsi="Palatino Linotype"/>
          <w:u w:val="single"/>
        </w:rPr>
        <w:tab/>
      </w:r>
    </w:p>
    <w:p w:rsidR="00BA79ED" w:rsidRDefault="00BA79ED">
      <w:pPr>
        <w:keepNext/>
        <w:keepLines/>
        <w:widowControl/>
        <w:spacing w:line="320" w:lineRule="exact"/>
        <w:ind w:left="2880" w:firstLine="720"/>
        <w:jc w:val="both"/>
        <w:rPr>
          <w:rFonts w:ascii="Palatino Linotype" w:hAnsi="Palatino Linotype"/>
        </w:rPr>
      </w:pPr>
      <w:r>
        <w:rPr>
          <w:rFonts w:ascii="Palatino Linotype" w:hAnsi="Palatino Linotype"/>
        </w:rPr>
        <w:t>Stephen B. Seiple (Counsel of Record)</w:t>
      </w:r>
    </w:p>
    <w:p w:rsidR="00BA79ED" w:rsidRDefault="00BA79ED">
      <w:pPr>
        <w:keepNext/>
        <w:keepLines/>
        <w:widowControl/>
        <w:spacing w:line="320" w:lineRule="exact"/>
        <w:ind w:firstLine="3600"/>
        <w:jc w:val="both"/>
        <w:rPr>
          <w:rFonts w:ascii="Palatino Linotype" w:hAnsi="Palatino Linotype"/>
        </w:rPr>
      </w:pP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Stephen B. Seiple, Assistant General Counsel</w:t>
      </w: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Brooke E. Leslie, Attorney</w:t>
      </w: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200 Civic Center Drive</w:t>
      </w:r>
    </w:p>
    <w:p w:rsidR="00BA79ED" w:rsidRDefault="00BA79ED">
      <w:pPr>
        <w:keepNext/>
        <w:keepLines/>
        <w:widowControl/>
        <w:spacing w:line="320" w:lineRule="exact"/>
        <w:ind w:firstLine="3600"/>
        <w:jc w:val="both"/>
        <w:rPr>
          <w:rFonts w:ascii="Palatino Linotype" w:hAnsi="Palatino Linotype"/>
        </w:rPr>
      </w:pPr>
      <w:smartTag w:uri="urn:schemas-microsoft-com:office:smarttags" w:element="address">
        <w:smartTag w:uri="urn:schemas-microsoft-com:office:smarttags" w:element="Street">
          <w:r>
            <w:rPr>
              <w:rFonts w:ascii="Palatino Linotype" w:hAnsi="Palatino Linotype"/>
            </w:rPr>
            <w:t>P. O. Box</w:t>
          </w:r>
        </w:smartTag>
        <w:r>
          <w:rPr>
            <w:rFonts w:ascii="Palatino Linotype" w:hAnsi="Palatino Linotype"/>
          </w:rPr>
          <w:t xml:space="preserve"> 117</w:t>
        </w:r>
      </w:smartTag>
    </w:p>
    <w:p w:rsidR="00BA79ED" w:rsidRDefault="00BA79ED">
      <w:pPr>
        <w:keepNext/>
        <w:keepLines/>
        <w:widowControl/>
        <w:spacing w:line="320" w:lineRule="exact"/>
        <w:ind w:firstLine="3600"/>
        <w:jc w:val="both"/>
        <w:rPr>
          <w:rFonts w:ascii="Palatino Linotype" w:hAnsi="Palatino Linotype"/>
        </w:rPr>
      </w:pPr>
      <w:smartTag w:uri="urn:schemas-microsoft-com:office:smarttags" w:element="place">
        <w:smartTag w:uri="urn:schemas-microsoft-com:office:smarttags" w:element="City">
          <w:r>
            <w:rPr>
              <w:rFonts w:ascii="Palatino Linotype" w:hAnsi="Palatino Linotype"/>
            </w:rPr>
            <w:t>Columbus</w:t>
          </w:r>
        </w:smartTag>
        <w:r>
          <w:rPr>
            <w:rFonts w:ascii="Palatino Linotype" w:hAnsi="Palatino Linotype"/>
          </w:rPr>
          <w:t xml:space="preserve">, </w:t>
        </w:r>
        <w:smartTag w:uri="urn:schemas-microsoft-com:office:smarttags" w:element="PostalCode">
          <w:r>
            <w:rPr>
              <w:rFonts w:ascii="Palatino Linotype" w:hAnsi="Palatino Linotype"/>
            </w:rPr>
            <w:t>Ohio</w:t>
          </w:r>
        </w:smartTag>
        <w:r>
          <w:rPr>
            <w:rFonts w:ascii="Palatino Linotype" w:hAnsi="Palatino Linotype"/>
          </w:rPr>
          <w:t xml:space="preserve"> </w:t>
        </w:r>
        <w:smartTag w:uri="urn:schemas-microsoft-com:office:smarttags" w:element="PostalCode">
          <w:r>
            <w:rPr>
              <w:rFonts w:ascii="Palatino Linotype" w:hAnsi="Palatino Linotype"/>
            </w:rPr>
            <w:t>43216-0117</w:t>
          </w:r>
        </w:smartTag>
      </w:smartTag>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Telephone: (614) 460-4648</w:t>
      </w: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Fax: (614) 460-6986</w:t>
      </w: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 xml:space="preserve">Email: </w:t>
      </w:r>
      <w:r>
        <w:t>sseiple@nisource.com</w:t>
      </w: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ab/>
        <w:t>bleslie@nisource.com</w:t>
      </w:r>
    </w:p>
    <w:p w:rsidR="00BA79ED" w:rsidRDefault="00BA79ED">
      <w:pPr>
        <w:keepNext/>
        <w:keepLines/>
        <w:widowControl/>
        <w:spacing w:line="320" w:lineRule="exact"/>
        <w:ind w:firstLine="3600"/>
        <w:jc w:val="both"/>
        <w:rPr>
          <w:rFonts w:ascii="Palatino Linotype" w:hAnsi="Palatino Linotype"/>
        </w:rPr>
      </w:pPr>
    </w:p>
    <w:p w:rsidR="00BA79ED" w:rsidRDefault="00BA79ED">
      <w:pPr>
        <w:keepNext/>
        <w:keepLines/>
        <w:widowControl/>
        <w:spacing w:line="320" w:lineRule="exact"/>
        <w:ind w:firstLine="3600"/>
        <w:jc w:val="both"/>
        <w:rPr>
          <w:rFonts w:ascii="Palatino Linotype" w:hAnsi="Palatino Linotype"/>
        </w:rPr>
      </w:pPr>
      <w:r>
        <w:rPr>
          <w:rFonts w:ascii="Palatino Linotype" w:hAnsi="Palatino Linotype"/>
        </w:rPr>
        <w:t>Attorneys for</w:t>
      </w:r>
    </w:p>
    <w:p w:rsidR="00BA79ED" w:rsidRDefault="00BA79ED">
      <w:pPr>
        <w:keepNext/>
        <w:keepLines/>
        <w:widowControl/>
        <w:spacing w:line="320" w:lineRule="exact"/>
        <w:ind w:firstLine="3600"/>
        <w:jc w:val="both"/>
        <w:rPr>
          <w:rFonts w:ascii="Palatino Linotype" w:hAnsi="Palatino Linotype"/>
          <w:b/>
          <w:bCs/>
          <w:spacing w:val="-12"/>
        </w:rPr>
        <w:sectPr w:rsidR="00BA79ED">
          <w:type w:val="continuous"/>
          <w:pgSz w:w="12240" w:h="15840"/>
          <w:pgMar w:top="1440" w:right="1800" w:bottom="1440" w:left="1800" w:header="1440" w:footer="1440" w:gutter="0"/>
          <w:cols w:space="720"/>
          <w:noEndnote/>
        </w:sectPr>
      </w:pPr>
      <w:r>
        <w:rPr>
          <w:rFonts w:ascii="Palatino Linotype" w:hAnsi="Palatino Linotype"/>
          <w:b/>
          <w:bCs/>
          <w:spacing w:val="-12"/>
        </w:rPr>
        <w:t>COLUMBIA GAS OF OHIO, INC.</w:t>
      </w:r>
    </w:p>
    <w:p w:rsidR="00BA79ED" w:rsidRDefault="00BA79ED">
      <w:pPr>
        <w:keepNext/>
        <w:keepLines/>
        <w:widowControl/>
        <w:spacing w:line="320" w:lineRule="exact"/>
        <w:jc w:val="center"/>
        <w:rPr>
          <w:rFonts w:ascii="Palatino Linotype" w:hAnsi="Palatino Linotype"/>
          <w:spacing w:val="-12"/>
        </w:rPr>
      </w:pPr>
      <w:r>
        <w:rPr>
          <w:rFonts w:ascii="Palatino Linotype" w:hAnsi="Palatino Linotype"/>
          <w:b/>
          <w:spacing w:val="-12"/>
        </w:rPr>
        <w:t>CERTIFICATE OF SERVICE</w:t>
      </w:r>
    </w:p>
    <w:p w:rsidR="00BA79ED" w:rsidRDefault="00BA79ED">
      <w:pPr>
        <w:keepNext/>
        <w:keepLines/>
        <w:widowControl/>
        <w:spacing w:line="320" w:lineRule="exact"/>
        <w:ind w:firstLine="3600"/>
        <w:jc w:val="both"/>
        <w:rPr>
          <w:rFonts w:ascii="Palatino Linotype" w:hAnsi="Palatino Linotype"/>
          <w:spacing w:val="-12"/>
        </w:rPr>
      </w:pPr>
    </w:p>
    <w:p w:rsidR="00BA79ED" w:rsidRDefault="00BA79ED">
      <w:pPr>
        <w:keepNext/>
        <w:keepLines/>
        <w:widowControl/>
        <w:spacing w:line="320" w:lineRule="exact"/>
        <w:ind w:firstLine="720"/>
        <w:jc w:val="both"/>
        <w:rPr>
          <w:rFonts w:ascii="Palatino Linotype" w:hAnsi="Palatino Linotype"/>
          <w:spacing w:val="-12"/>
        </w:rPr>
      </w:pPr>
      <w:r>
        <w:rPr>
          <w:rFonts w:ascii="Palatino Linotype" w:hAnsi="Palatino Linotype"/>
          <w:spacing w:val="-12"/>
        </w:rPr>
        <w:t>I hereby certify that a copy of the foregoing Motion to Strike and Reply Memora</w:t>
      </w:r>
      <w:r>
        <w:rPr>
          <w:rFonts w:ascii="Palatino Linotype" w:hAnsi="Palatino Linotype"/>
          <w:spacing w:val="-12"/>
        </w:rPr>
        <w:t>n</w:t>
      </w:r>
      <w:r>
        <w:rPr>
          <w:rFonts w:ascii="Palatino Linotype" w:hAnsi="Palatino Linotype"/>
          <w:spacing w:val="-12"/>
        </w:rPr>
        <w:t>dum of Columbia Gas of Ohio, Inc. was served upon all parties of record by regular U. S. mail this 13</w:t>
      </w:r>
      <w:bookmarkStart w:id="0" w:name="_GoBack"/>
      <w:bookmarkEnd w:id="0"/>
      <w:r>
        <w:rPr>
          <w:rFonts w:ascii="Palatino Linotype" w:hAnsi="Palatino Linotype"/>
          <w:spacing w:val="-12"/>
          <w:vertAlign w:val="superscript"/>
        </w:rPr>
        <w:t>th</w:t>
      </w:r>
      <w:r>
        <w:rPr>
          <w:rFonts w:ascii="Palatino Linotype" w:hAnsi="Palatino Linotype"/>
          <w:spacing w:val="-12"/>
        </w:rPr>
        <w:t xml:space="preserve"> day of January, 2012.</w:t>
      </w:r>
    </w:p>
    <w:p w:rsidR="00BA79ED" w:rsidRDefault="00BA79ED">
      <w:pPr>
        <w:keepNext/>
        <w:keepLines/>
        <w:widowControl/>
        <w:spacing w:line="320" w:lineRule="exact"/>
        <w:ind w:firstLine="3600"/>
        <w:jc w:val="both"/>
        <w:rPr>
          <w:rFonts w:ascii="Palatino Linotype" w:hAnsi="Palatino Linotype"/>
          <w:spacing w:val="-12"/>
        </w:rPr>
      </w:pPr>
    </w:p>
    <w:p w:rsidR="00BA79ED" w:rsidRDefault="00BA79ED">
      <w:pPr>
        <w:keepNext/>
        <w:keepLines/>
        <w:widowControl/>
        <w:spacing w:line="320" w:lineRule="exact"/>
        <w:ind w:firstLine="3600"/>
        <w:jc w:val="both"/>
        <w:rPr>
          <w:rFonts w:ascii="Palatino Linotype" w:hAnsi="Palatino Linotype"/>
          <w:spacing w:val="-12"/>
        </w:rPr>
      </w:pPr>
    </w:p>
    <w:p w:rsidR="00BA79ED" w:rsidRDefault="00BA79ED">
      <w:pPr>
        <w:keepNext/>
        <w:keepLines/>
        <w:widowControl/>
        <w:spacing w:line="320" w:lineRule="exact"/>
        <w:ind w:firstLine="3600"/>
        <w:jc w:val="both"/>
        <w:rPr>
          <w:rFonts w:ascii="Palatino Linotype" w:hAnsi="Palatino Linotype"/>
          <w:spacing w:val="-12"/>
        </w:rPr>
      </w:pPr>
      <w:r>
        <w:rPr>
          <w:rFonts w:ascii="Palatino Linotype" w:hAnsi="Palatino Linotype"/>
          <w:spacing w:val="-12"/>
          <w:u w:val="single"/>
        </w:rPr>
        <w:t>/s/ Stephen B. Seiple</w:t>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p>
    <w:p w:rsidR="00BA79ED" w:rsidRDefault="00BA79ED">
      <w:pPr>
        <w:keepNext/>
        <w:keepLines/>
        <w:widowControl/>
        <w:spacing w:line="320" w:lineRule="exact"/>
        <w:ind w:firstLine="3600"/>
        <w:jc w:val="both"/>
        <w:rPr>
          <w:rFonts w:ascii="Palatino Linotype" w:hAnsi="Palatino Linotype"/>
          <w:spacing w:val="-12"/>
        </w:rPr>
      </w:pPr>
      <w:r>
        <w:rPr>
          <w:rFonts w:ascii="Palatino Linotype" w:hAnsi="Palatino Linotype"/>
          <w:spacing w:val="-12"/>
        </w:rPr>
        <w:t>Stephen B. Seiple</w:t>
      </w:r>
    </w:p>
    <w:p w:rsidR="00BA79ED" w:rsidRDefault="00BA79ED">
      <w:pPr>
        <w:keepNext/>
        <w:keepLines/>
        <w:widowControl/>
        <w:spacing w:line="320" w:lineRule="exact"/>
        <w:ind w:firstLine="3600"/>
        <w:jc w:val="both"/>
        <w:rPr>
          <w:rFonts w:ascii="Palatino Linotype" w:hAnsi="Palatino Linotype"/>
          <w:spacing w:val="-12"/>
        </w:rPr>
      </w:pPr>
      <w:r>
        <w:rPr>
          <w:rFonts w:ascii="Palatino Linotype" w:hAnsi="Palatino Linotype"/>
          <w:spacing w:val="-12"/>
        </w:rPr>
        <w:t>Attorney for</w:t>
      </w:r>
    </w:p>
    <w:p w:rsidR="00BA79ED" w:rsidRDefault="00BA79ED">
      <w:pPr>
        <w:keepNext/>
        <w:keepLines/>
        <w:widowControl/>
        <w:spacing w:line="320" w:lineRule="exact"/>
        <w:ind w:firstLine="3600"/>
        <w:jc w:val="both"/>
        <w:rPr>
          <w:rFonts w:ascii="Palatino Linotype" w:hAnsi="Palatino Linotype"/>
          <w:spacing w:val="-12"/>
        </w:rPr>
      </w:pPr>
      <w:r>
        <w:rPr>
          <w:rFonts w:ascii="Palatino Linotype" w:hAnsi="Palatino Linotype"/>
          <w:b/>
          <w:spacing w:val="-12"/>
        </w:rPr>
        <w:t>COLUMBIA GAS OF OHIO, INC.</w:t>
      </w:r>
    </w:p>
    <w:p w:rsidR="00BA79ED" w:rsidRDefault="00BA79ED">
      <w:pPr>
        <w:keepNext/>
        <w:keepLines/>
        <w:widowControl/>
        <w:spacing w:line="320" w:lineRule="exact"/>
        <w:ind w:firstLine="3600"/>
        <w:jc w:val="both"/>
        <w:rPr>
          <w:rFonts w:ascii="Palatino Linotype" w:hAnsi="Palatino Linotype"/>
          <w:spacing w:val="-12"/>
        </w:rPr>
      </w:pPr>
    </w:p>
    <w:p w:rsidR="00BA79ED" w:rsidRDefault="00BA79ED">
      <w:pPr>
        <w:keepNext/>
        <w:keepLines/>
        <w:widowControl/>
        <w:spacing w:line="320" w:lineRule="exact"/>
        <w:ind w:firstLine="3600"/>
        <w:jc w:val="both"/>
        <w:rPr>
          <w:rFonts w:ascii="Palatino Linotype" w:hAnsi="Palatino Linotype"/>
          <w:spacing w:val="-12"/>
        </w:rPr>
      </w:pPr>
    </w:p>
    <w:p w:rsidR="00BA79ED" w:rsidRDefault="00BA79ED">
      <w:pPr>
        <w:keepNext/>
        <w:keepLines/>
        <w:widowControl/>
        <w:spacing w:line="320" w:lineRule="exact"/>
        <w:ind w:firstLine="3600"/>
        <w:jc w:val="both"/>
        <w:rPr>
          <w:rFonts w:ascii="Palatino Linotype" w:hAnsi="Palatino Linotype"/>
          <w:b/>
          <w:spacing w:val="-12"/>
        </w:rPr>
      </w:pPr>
      <w:r>
        <w:rPr>
          <w:rFonts w:ascii="Palatino Linotype" w:hAnsi="Palatino Linotype"/>
          <w:b/>
          <w:spacing w:val="-12"/>
        </w:rPr>
        <w:t>SERVICE LIST</w:t>
      </w:r>
    </w:p>
    <w:p w:rsidR="00BA79ED" w:rsidRDefault="00BA79ED">
      <w:pPr>
        <w:keepNext/>
        <w:keepLines/>
        <w:widowControl/>
        <w:spacing w:line="320" w:lineRule="exact"/>
        <w:ind w:firstLine="3600"/>
        <w:jc w:val="both"/>
        <w:rPr>
          <w:rFonts w:ascii="Palatino Linotype" w:hAnsi="Palatino Linotype"/>
          <w:b/>
          <w:bCs/>
          <w:spacing w:val="-12"/>
          <w:u w:val="single"/>
        </w:rPr>
      </w:pPr>
    </w:p>
    <w:tbl>
      <w:tblPr>
        <w:tblW w:w="0" w:type="auto"/>
        <w:tblLook w:val="00A0"/>
      </w:tblPr>
      <w:tblGrid>
        <w:gridCol w:w="4428"/>
        <w:gridCol w:w="4428"/>
      </w:tblGrid>
      <w:tr w:rsidR="00BA79ED">
        <w:tc>
          <w:tcPr>
            <w:tcW w:w="4428" w:type="dxa"/>
          </w:tcPr>
          <w:p w:rsidR="00BA79ED" w:rsidRDefault="00BA79ED">
            <w:pPr>
              <w:keepNext/>
              <w:keepLines/>
              <w:widowControl/>
              <w:spacing w:line="320" w:lineRule="exact"/>
              <w:rPr>
                <w:rFonts w:ascii="Palatino Linotype" w:hAnsi="Palatino Linotype"/>
                <w:bCs/>
              </w:rPr>
            </w:pPr>
            <w:r>
              <w:rPr>
                <w:rFonts w:ascii="Palatino Linotype" w:hAnsi="Palatino Linotype"/>
                <w:bCs/>
              </w:rPr>
              <w:t>William Wright</w:t>
            </w:r>
          </w:p>
          <w:p w:rsidR="00BA79ED" w:rsidRDefault="00BA79ED">
            <w:pPr>
              <w:keepNext/>
              <w:keepLines/>
              <w:widowControl/>
              <w:spacing w:line="320" w:lineRule="exact"/>
              <w:rPr>
                <w:rFonts w:ascii="Palatino Linotype" w:hAnsi="Palatino Linotype"/>
                <w:bCs/>
              </w:rPr>
            </w:pPr>
            <w:r>
              <w:rPr>
                <w:rFonts w:ascii="Palatino Linotype" w:hAnsi="Palatino Linotype"/>
                <w:bCs/>
              </w:rPr>
              <w:t>Public Utilities Commission of Ohio</w:t>
            </w:r>
          </w:p>
          <w:p w:rsidR="00BA79ED" w:rsidRDefault="00BA79ED">
            <w:pPr>
              <w:keepNext/>
              <w:keepLines/>
              <w:widowControl/>
              <w:spacing w:line="320" w:lineRule="exact"/>
              <w:rPr>
                <w:rFonts w:ascii="Palatino Linotype" w:hAnsi="Palatino Linotype"/>
                <w:bCs/>
              </w:rPr>
            </w:pPr>
            <w:r>
              <w:rPr>
                <w:rFonts w:ascii="Palatino Linotype" w:hAnsi="Palatino Linotype"/>
                <w:bCs/>
              </w:rPr>
              <w:t>180 East Broad Street, 6</w:t>
            </w:r>
            <w:r>
              <w:rPr>
                <w:rFonts w:ascii="Palatino Linotype" w:hAnsi="Palatino Linotype"/>
                <w:bCs/>
                <w:vertAlign w:val="superscript"/>
              </w:rPr>
              <w:t>th</w:t>
            </w:r>
            <w:r>
              <w:rPr>
                <w:rFonts w:ascii="Palatino Linotype" w:hAnsi="Palatino Linotype"/>
                <w:bCs/>
              </w:rPr>
              <w:t xml:space="preserve"> Floor</w:t>
            </w:r>
          </w:p>
          <w:p w:rsidR="00BA79ED" w:rsidRDefault="00BA79ED">
            <w:pPr>
              <w:keepNext/>
              <w:keepLines/>
              <w:widowControl/>
              <w:spacing w:line="320" w:lineRule="exact"/>
              <w:rPr>
                <w:rFonts w:ascii="Palatino Linotype" w:hAnsi="Palatino Linotype"/>
                <w:bCs/>
              </w:rPr>
            </w:pPr>
            <w:r>
              <w:rPr>
                <w:rFonts w:ascii="Palatino Linotype" w:hAnsi="Palatino Linotype"/>
                <w:bCs/>
              </w:rPr>
              <w:t>Columbus, OH 43215</w:t>
            </w:r>
          </w:p>
          <w:p w:rsidR="00BA79ED" w:rsidRDefault="00BA79ED">
            <w:pPr>
              <w:keepNext/>
              <w:keepLines/>
              <w:widowControl/>
              <w:spacing w:line="320" w:lineRule="exact"/>
              <w:rPr>
                <w:rFonts w:ascii="Palatino Linotype" w:hAnsi="Palatino Linotype"/>
                <w:bCs/>
              </w:rPr>
            </w:pPr>
            <w:r>
              <w:rPr>
                <w:rFonts w:ascii="Palatino Linotype" w:hAnsi="Palatino Linotype"/>
                <w:bCs/>
              </w:rPr>
              <w:t>William.wright@puc.state.oh.us</w:t>
            </w:r>
          </w:p>
          <w:p w:rsidR="00BA79ED" w:rsidRDefault="00BA79ED">
            <w:pPr>
              <w:keepNext/>
              <w:keepLines/>
              <w:widowControl/>
              <w:spacing w:line="320" w:lineRule="exact"/>
              <w:rPr>
                <w:rFonts w:ascii="Palatino Linotype" w:hAnsi="Palatino Linotype"/>
                <w:bCs/>
              </w:rPr>
            </w:pPr>
          </w:p>
        </w:tc>
        <w:tc>
          <w:tcPr>
            <w:tcW w:w="4428" w:type="dxa"/>
          </w:tcPr>
          <w:p w:rsidR="00BA79ED" w:rsidRDefault="00BA79ED">
            <w:pPr>
              <w:keepNext/>
              <w:keepLines/>
              <w:widowControl/>
              <w:spacing w:line="320" w:lineRule="exact"/>
              <w:rPr>
                <w:rFonts w:ascii="Palatino Linotype" w:hAnsi="Palatino Linotype"/>
                <w:bCs/>
              </w:rPr>
            </w:pPr>
            <w:r>
              <w:rPr>
                <w:rFonts w:ascii="Palatino Linotype" w:hAnsi="Palatino Linotype"/>
                <w:bCs/>
              </w:rPr>
              <w:t>Larry S. Sauer</w:t>
            </w:r>
          </w:p>
          <w:p w:rsidR="00BA79ED" w:rsidRDefault="00BA79ED">
            <w:pPr>
              <w:keepNext/>
              <w:keepLines/>
              <w:widowControl/>
              <w:spacing w:line="320" w:lineRule="exact"/>
              <w:rPr>
                <w:rFonts w:ascii="Palatino Linotype" w:hAnsi="Palatino Linotype"/>
                <w:bCs/>
              </w:rPr>
            </w:pPr>
            <w:r>
              <w:rPr>
                <w:rFonts w:ascii="Palatino Linotype" w:hAnsi="Palatino Linotype"/>
                <w:bCs/>
              </w:rPr>
              <w:t>Joseph P. Serio</w:t>
            </w:r>
          </w:p>
          <w:p w:rsidR="00BA79ED" w:rsidRDefault="00BA79ED">
            <w:pPr>
              <w:keepNext/>
              <w:keepLines/>
              <w:widowControl/>
              <w:spacing w:line="320" w:lineRule="exact"/>
              <w:rPr>
                <w:rFonts w:ascii="Palatino Linotype" w:hAnsi="Palatino Linotype"/>
                <w:bCs/>
              </w:rPr>
            </w:pPr>
            <w:r>
              <w:rPr>
                <w:rFonts w:ascii="Palatino Linotype" w:hAnsi="Palatino Linotype"/>
                <w:bCs/>
              </w:rPr>
              <w:t>Assistant Consumers’ Counsel</w:t>
            </w:r>
          </w:p>
          <w:p w:rsidR="00BA79ED" w:rsidRDefault="00BA79ED">
            <w:pPr>
              <w:keepNext/>
              <w:keepLines/>
              <w:widowControl/>
              <w:spacing w:line="320" w:lineRule="exact"/>
              <w:rPr>
                <w:rFonts w:ascii="Palatino Linotype" w:hAnsi="Palatino Linotype"/>
                <w:bCs/>
              </w:rPr>
            </w:pPr>
            <w:r>
              <w:rPr>
                <w:rFonts w:ascii="Palatino Linotype" w:hAnsi="Palatino Linotype"/>
                <w:bCs/>
              </w:rPr>
              <w:t>10 West Broad Street, Suite 1800</w:t>
            </w:r>
          </w:p>
          <w:p w:rsidR="00BA79ED" w:rsidRDefault="00BA79ED">
            <w:pPr>
              <w:keepNext/>
              <w:keepLines/>
              <w:widowControl/>
              <w:spacing w:line="320" w:lineRule="exact"/>
              <w:rPr>
                <w:rFonts w:ascii="Palatino Linotype" w:hAnsi="Palatino Linotype"/>
                <w:bCs/>
              </w:rPr>
            </w:pPr>
            <w:r>
              <w:rPr>
                <w:rFonts w:ascii="Palatino Linotype" w:hAnsi="Palatino Linotype"/>
                <w:bCs/>
              </w:rPr>
              <w:t>Columbus, OH 43215-3485</w:t>
            </w:r>
          </w:p>
          <w:p w:rsidR="00BA79ED" w:rsidRDefault="00BA79ED">
            <w:pPr>
              <w:keepNext/>
              <w:keepLines/>
              <w:widowControl/>
              <w:spacing w:line="320" w:lineRule="exact"/>
              <w:rPr>
                <w:rFonts w:ascii="Palatino Linotype" w:hAnsi="Palatino Linotype"/>
                <w:bCs/>
              </w:rPr>
            </w:pPr>
            <w:r>
              <w:rPr>
                <w:rFonts w:ascii="Palatino Linotype" w:hAnsi="Palatino Linotype"/>
                <w:bCs/>
              </w:rPr>
              <w:t>sauer@occ.state.oh.us</w:t>
            </w:r>
          </w:p>
          <w:p w:rsidR="00BA79ED" w:rsidRDefault="00BA79ED">
            <w:pPr>
              <w:keepNext/>
              <w:keepLines/>
              <w:widowControl/>
              <w:spacing w:line="320" w:lineRule="exact"/>
              <w:rPr>
                <w:rFonts w:ascii="Palatino Linotype" w:hAnsi="Palatino Linotype"/>
                <w:bCs/>
              </w:rPr>
            </w:pPr>
            <w:r>
              <w:rPr>
                <w:rFonts w:ascii="Palatino Linotype" w:hAnsi="Palatino Linotype"/>
                <w:bCs/>
              </w:rPr>
              <w:t>serio@occ.state.oh.us</w:t>
            </w:r>
          </w:p>
          <w:p w:rsidR="00BA79ED" w:rsidRDefault="00BA79ED">
            <w:pPr>
              <w:keepNext/>
              <w:keepLines/>
              <w:widowControl/>
              <w:spacing w:line="320" w:lineRule="exact"/>
              <w:rPr>
                <w:rFonts w:ascii="Palatino Linotype" w:hAnsi="Palatino Linotype"/>
                <w:bCs/>
              </w:rPr>
            </w:pPr>
          </w:p>
        </w:tc>
      </w:tr>
      <w:tr w:rsidR="00BA79ED">
        <w:tc>
          <w:tcPr>
            <w:tcW w:w="4428" w:type="dxa"/>
          </w:tcPr>
          <w:p w:rsidR="00BA79ED" w:rsidRDefault="00BA79ED">
            <w:pPr>
              <w:keepNext/>
              <w:keepLines/>
              <w:widowControl/>
              <w:spacing w:line="320" w:lineRule="exact"/>
              <w:rPr>
                <w:rFonts w:ascii="Palatino Linotype" w:hAnsi="Palatino Linotype"/>
                <w:bCs/>
              </w:rPr>
            </w:pPr>
            <w:r>
              <w:rPr>
                <w:rFonts w:ascii="Palatino Linotype" w:hAnsi="Palatino Linotype"/>
                <w:bCs/>
              </w:rPr>
              <w:t>Colleen L. Mooney</w:t>
            </w:r>
          </w:p>
          <w:p w:rsidR="00BA79ED" w:rsidRDefault="00BA79ED">
            <w:pPr>
              <w:keepNext/>
              <w:keepLines/>
              <w:widowControl/>
              <w:spacing w:line="320" w:lineRule="exact"/>
              <w:rPr>
                <w:rFonts w:ascii="Palatino Linotype" w:hAnsi="Palatino Linotype"/>
                <w:bCs/>
              </w:rPr>
            </w:pPr>
            <w:r>
              <w:rPr>
                <w:rFonts w:ascii="Palatino Linotype" w:hAnsi="Palatino Linotype"/>
                <w:bCs/>
              </w:rPr>
              <w:t>Ohio Partners for Affordable Energy</w:t>
            </w:r>
          </w:p>
          <w:p w:rsidR="00BA79ED" w:rsidRDefault="00BA79ED">
            <w:pPr>
              <w:keepNext/>
              <w:keepLines/>
              <w:widowControl/>
              <w:spacing w:line="320" w:lineRule="exact"/>
              <w:rPr>
                <w:rFonts w:ascii="Palatino Linotype" w:hAnsi="Palatino Linotype"/>
                <w:bCs/>
              </w:rPr>
            </w:pPr>
            <w:r>
              <w:rPr>
                <w:rFonts w:ascii="Palatino Linotype" w:hAnsi="Palatino Linotype"/>
                <w:bCs/>
              </w:rPr>
              <w:t>231 West Lima Street</w:t>
            </w:r>
          </w:p>
          <w:p w:rsidR="00BA79ED" w:rsidRDefault="00BA79ED">
            <w:pPr>
              <w:keepNext/>
              <w:keepLines/>
              <w:widowControl/>
              <w:spacing w:line="320" w:lineRule="exact"/>
              <w:rPr>
                <w:rFonts w:ascii="Palatino Linotype" w:hAnsi="Palatino Linotype"/>
                <w:bCs/>
              </w:rPr>
            </w:pPr>
            <w:r>
              <w:rPr>
                <w:rFonts w:ascii="Palatino Linotype" w:hAnsi="Palatino Linotype"/>
                <w:bCs/>
              </w:rPr>
              <w:t>P.O. Box 1793</w:t>
            </w:r>
          </w:p>
          <w:p w:rsidR="00BA79ED" w:rsidRDefault="00BA79ED">
            <w:pPr>
              <w:keepNext/>
              <w:keepLines/>
              <w:widowControl/>
              <w:spacing w:line="320" w:lineRule="exact"/>
              <w:rPr>
                <w:rFonts w:ascii="Palatino Linotype" w:hAnsi="Palatino Linotype"/>
                <w:bCs/>
              </w:rPr>
            </w:pPr>
            <w:r>
              <w:rPr>
                <w:rFonts w:ascii="Palatino Linotype" w:hAnsi="Palatino Linotype"/>
                <w:bCs/>
              </w:rPr>
              <w:t>Findlay, OH 45839-1793</w:t>
            </w:r>
          </w:p>
          <w:p w:rsidR="00BA79ED" w:rsidRDefault="00BA79ED">
            <w:pPr>
              <w:keepNext/>
              <w:keepLines/>
              <w:widowControl/>
              <w:spacing w:line="320" w:lineRule="exact"/>
              <w:rPr>
                <w:rFonts w:ascii="Palatino Linotype" w:hAnsi="Palatino Linotype"/>
                <w:bCs/>
              </w:rPr>
            </w:pPr>
            <w:r>
              <w:rPr>
                <w:rFonts w:ascii="Palatino Linotype" w:hAnsi="Palatino Linotype"/>
                <w:bCs/>
              </w:rPr>
              <w:t>Cmooney2@columbus.rr.com</w:t>
            </w:r>
          </w:p>
          <w:p w:rsidR="00BA79ED" w:rsidRDefault="00BA79ED">
            <w:pPr>
              <w:keepNext/>
              <w:keepLines/>
              <w:widowControl/>
              <w:spacing w:line="320" w:lineRule="exact"/>
              <w:rPr>
                <w:rFonts w:ascii="Palatino Linotype" w:hAnsi="Palatino Linotype"/>
                <w:bCs/>
              </w:rPr>
            </w:pPr>
          </w:p>
        </w:tc>
        <w:tc>
          <w:tcPr>
            <w:tcW w:w="4428" w:type="dxa"/>
          </w:tcPr>
          <w:p w:rsidR="00BA79ED" w:rsidRDefault="00BA79ED">
            <w:pPr>
              <w:keepNext/>
              <w:keepLines/>
              <w:widowControl/>
              <w:spacing w:line="320" w:lineRule="exact"/>
              <w:rPr>
                <w:rFonts w:ascii="Palatino Linotype" w:hAnsi="Palatino Linotype"/>
                <w:bCs/>
              </w:rPr>
            </w:pPr>
          </w:p>
        </w:tc>
      </w:tr>
    </w:tbl>
    <w:p w:rsidR="00BA79ED" w:rsidRDefault="00BA79ED">
      <w:pPr>
        <w:keepNext/>
        <w:keepLines/>
        <w:widowControl/>
        <w:spacing w:line="320" w:lineRule="exact"/>
        <w:rPr>
          <w:rFonts w:ascii="Palatino Linotype" w:hAnsi="Palatino Linotype"/>
          <w:b/>
          <w:bCs/>
          <w:spacing w:val="-12"/>
          <w:u w:val="single"/>
        </w:rPr>
      </w:pPr>
    </w:p>
    <w:sectPr w:rsidR="00BA79ED" w:rsidSect="00533715">
      <w:footerReference w:type="default" r:id="rId8"/>
      <w:pgSz w:w="12240" w:h="15840"/>
      <w:pgMar w:top="1440" w:right="1800" w:bottom="1440" w:left="180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ED" w:rsidRDefault="00BA79ED">
      <w:r>
        <w:separator/>
      </w:r>
    </w:p>
  </w:endnote>
  <w:endnote w:type="continuationSeparator" w:id="0">
    <w:p w:rsidR="00BA79ED" w:rsidRDefault="00BA7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ED" w:rsidRDefault="00BA79ED">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5</w:t>
    </w:r>
    <w:r>
      <w:rPr>
        <w:rFonts w:cs="Courier"/>
      </w:rPr>
      <w:fldChar w:fldCharType="end"/>
    </w:r>
  </w:p>
  <w:p w:rsidR="00BA79ED" w:rsidRDefault="00BA79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ED" w:rsidRDefault="00BA79ED">
    <w:r>
      <w:rPr>
        <w:noProof/>
      </w:rPr>
      <w:pict>
        <v:rect id="Rectangle 1" o:spid="_x0000_s2049" style="position:absolute;margin-left:1in;margin-top:12pt;width:468pt;height:1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BA79ED" w:rsidRDefault="00BA79ED">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Pr>
                    <w:noProof/>
                    <w:spacing w:val="-3"/>
                  </w:rPr>
                  <w:t>6</w:t>
                </w:r>
                <w:r>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ED" w:rsidRDefault="00BA79ED">
      <w:r>
        <w:separator/>
      </w:r>
    </w:p>
  </w:footnote>
  <w:footnote w:type="continuationSeparator" w:id="0">
    <w:p w:rsidR="00BA79ED" w:rsidRDefault="00BA79ED">
      <w:r>
        <w:continuationSeparator/>
      </w:r>
    </w:p>
  </w:footnote>
  <w:footnote w:id="1">
    <w:p w:rsidR="00BA79ED" w:rsidRDefault="00BA79ED">
      <w:pPr>
        <w:pStyle w:val="FootnoteText"/>
      </w:pPr>
      <w:r>
        <w:rPr>
          <w:rStyle w:val="FootnoteReference"/>
          <w:rFonts w:ascii="Palatino Linotype" w:hAnsi="Palatino Linotype"/>
        </w:rPr>
        <w:footnoteRef/>
      </w:r>
      <w:r>
        <w:rPr>
          <w:rFonts w:ascii="Palatino Linotype" w:hAnsi="Palatino Linotype"/>
        </w:rPr>
        <w:t xml:space="preserve"> </w:t>
      </w:r>
      <w:r>
        <w:rPr>
          <w:rFonts w:ascii="Palatino Linotype" w:hAnsi="Palatino Linotype"/>
          <w:i/>
        </w:rPr>
        <w:t xml:space="preserve">In the Matter of the Establishment of Carrier-to-Carrier Rules, </w:t>
      </w:r>
      <w:r>
        <w:rPr>
          <w:rFonts w:ascii="Palatino Linotype" w:hAnsi="Palatino Linotype"/>
        </w:rPr>
        <w:t>Case No. 06-1344-TP-ORD, Entry on Rehearing (Oct. 17, 2007) at Finding (6).</w:t>
      </w:r>
    </w:p>
  </w:footnote>
  <w:footnote w:id="2">
    <w:p w:rsidR="00BA79ED" w:rsidRDefault="00BA79ED">
      <w:pPr>
        <w:pStyle w:val="FootnoteText"/>
      </w:pPr>
      <w:r>
        <w:rPr>
          <w:rStyle w:val="FootnoteReference"/>
          <w:rFonts w:ascii="Palatino Linotype" w:hAnsi="Palatino Linotype"/>
        </w:rPr>
        <w:footnoteRef/>
      </w:r>
      <w:r>
        <w:rPr>
          <w:rFonts w:ascii="Palatino Linotype" w:hAnsi="Palatino Linotype"/>
        </w:rPr>
        <w:t xml:space="preserve"> </w:t>
      </w:r>
      <w:r>
        <w:rPr>
          <w:rFonts w:ascii="Palatino Linotype" w:hAnsi="Palatino Linotype"/>
          <w:i/>
        </w:rPr>
        <w:t>In the Matter of Investigation in SBC's Entry into In-Region InterLATA</w:t>
      </w:r>
      <w:r>
        <w:rPr>
          <w:rFonts w:ascii="Palatino Linotype" w:hAnsi="Palatino Linotype"/>
        </w:rPr>
        <w:t>, Case No. 00-942-TP-COI, Entry on Rehearing (August 26, 2003) at Finding (19) ("SBC Ohio's motion to strike is granted" because "CLEC's filing is simply a memorandum in support of OCC's application for rehearing.").</w:t>
      </w:r>
    </w:p>
  </w:footnote>
  <w:footnote w:id="3">
    <w:p w:rsidR="00BA79ED" w:rsidRDefault="00BA79ED">
      <w:pPr>
        <w:pStyle w:val="FootnoteText"/>
      </w:pPr>
      <w:r>
        <w:rPr>
          <w:rStyle w:val="FootnoteReference"/>
          <w:rFonts w:ascii="Palatino Linotype" w:hAnsi="Palatino Linotype"/>
        </w:rPr>
        <w:footnoteRef/>
      </w:r>
      <w:r>
        <w:rPr>
          <w:rFonts w:ascii="Palatino Linotype" w:hAnsi="Palatino Linotype"/>
        </w:rPr>
        <w:t xml:space="preserve"> Ohio Partners for Affordable Energy, Reply to Memorandum Contra (January 11, 2012) at 1-2.</w:t>
      </w:r>
    </w:p>
  </w:footnote>
  <w:footnote w:id="4">
    <w:p w:rsidR="00BA79ED" w:rsidRDefault="00BA79ED">
      <w:pPr>
        <w:pStyle w:val="FootnoteText"/>
      </w:pPr>
      <w:r>
        <w:rPr>
          <w:rStyle w:val="FootnoteReference"/>
          <w:rFonts w:ascii="Palatino Linotype" w:hAnsi="Palatino Linotype"/>
        </w:rPr>
        <w:footnoteRef/>
      </w:r>
      <w:r>
        <w:rPr>
          <w:rFonts w:ascii="Palatino Linotype" w:hAnsi="Palatino Linotype"/>
        </w:rPr>
        <w:t xml:space="preserve"> </w:t>
      </w:r>
      <w:r>
        <w:rPr>
          <w:rFonts w:ascii="Palatino Linotype" w:hAnsi="Palatino Linotype"/>
          <w:i/>
        </w:rPr>
        <w:t>In the Matter of the Application of The Dayton Power and Light Company for Approval of its Electric Security Plan, et al</w:t>
      </w:r>
      <w:r>
        <w:rPr>
          <w:rFonts w:ascii="Palatino Linotype" w:hAnsi="Palatino Linotype"/>
        </w:rPr>
        <w:t>., Case Nos. 08-1094-EL-SSO et al., 2009 Ohio PUC Lexis 15, Entry (January 9, 2009) at 3, paragraph 8.</w:t>
      </w:r>
    </w:p>
  </w:footnote>
  <w:footnote w:id="5">
    <w:p w:rsidR="00BA79ED" w:rsidRDefault="00BA79ED">
      <w:pPr>
        <w:pStyle w:val="FootnoteText"/>
      </w:pPr>
      <w:r>
        <w:rPr>
          <w:rStyle w:val="FootnoteReference"/>
          <w:rFonts w:ascii="Palatino Linotype" w:hAnsi="Palatino Linotype"/>
        </w:rPr>
        <w:footnoteRef/>
      </w:r>
      <w:r>
        <w:rPr>
          <w:rFonts w:ascii="Palatino Linotype" w:hAnsi="Palatino Linotype"/>
        </w:rPr>
        <w:t xml:space="preserve"> </w:t>
      </w:r>
      <w:r>
        <w:rPr>
          <w:rFonts w:ascii="Palatino Linotype" w:hAnsi="Palatino Linotype"/>
          <w:i/>
        </w:rPr>
        <w:t>Id.</w:t>
      </w:r>
      <w:r>
        <w:rPr>
          <w:rFonts w:ascii="Palatino Linotype" w:hAnsi="Palatino Linotype"/>
        </w:rPr>
        <w:t xml:space="preserve"> at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9FA"/>
    <w:multiLevelType w:val="hybridMultilevel"/>
    <w:tmpl w:val="9E8A82BC"/>
    <w:lvl w:ilvl="0" w:tplc="04090015">
      <w:start w:val="1"/>
      <w:numFmt w:val="upperLetter"/>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A782EEA"/>
    <w:multiLevelType w:val="hybridMultilevel"/>
    <w:tmpl w:val="67186156"/>
    <w:lvl w:ilvl="0" w:tplc="0A74752A">
      <w:start w:val="10"/>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5E26CA4"/>
    <w:multiLevelType w:val="hybridMultilevel"/>
    <w:tmpl w:val="E7402250"/>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05B1D2A"/>
    <w:multiLevelType w:val="hybridMultilevel"/>
    <w:tmpl w:val="06E0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9ED"/>
    <w:rsid w:val="00533715"/>
    <w:rsid w:val="00BA7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99"/>
    <w:qFormat/>
    <w:pPr>
      <w:widowControl/>
      <w:autoSpaceDE/>
      <w:autoSpaceDN/>
      <w:adjustRightInd/>
      <w:ind w:left="720"/>
      <w:contextualSpacing/>
    </w:pPr>
  </w:style>
  <w:style w:type="paragraph" w:styleId="FootnoteText">
    <w:name w:val="footnote text"/>
    <w:basedOn w:val="Normal"/>
    <w:link w:val="FootnoteTextChar"/>
    <w:uiPriority w:val="99"/>
    <w:pPr>
      <w:widowControl/>
      <w:autoSpaceDE/>
      <w:autoSpaceDN/>
      <w:adjustRightInd/>
    </w:pPr>
    <w:rPr>
      <w:sz w:val="20"/>
      <w:szCs w:val="20"/>
      <w:lang w:eastAsia="ko-KR"/>
    </w:rPr>
  </w:style>
  <w:style w:type="character" w:customStyle="1" w:styleId="FootnoteTextChar">
    <w:name w:val="Footnote Text Char"/>
    <w:basedOn w:val="DefaultParagraphFont"/>
    <w:link w:val="FootnoteText"/>
    <w:uiPriority w:val="99"/>
    <w:locked/>
    <w:rPr>
      <w:rFonts w:cs="Times New Roman"/>
      <w:lang w:eastAsia="ko-KR"/>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1139</Words>
  <Characters>6495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Stephen Seiple</dc:creator>
  <cp:keywords/>
  <dc:description/>
  <cp:lastModifiedBy>u124106</cp:lastModifiedBy>
  <cp:revision>3</cp:revision>
  <cp:lastPrinted>2012-01-11T12:32:00Z</cp:lastPrinted>
  <dcterms:created xsi:type="dcterms:W3CDTF">2012-01-13T14:00:00Z</dcterms:created>
  <dcterms:modified xsi:type="dcterms:W3CDTF">2012-01-13T20:00:00Z</dcterms:modified>
</cp:coreProperties>
</file>