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A7" w:rsidRDefault="005339A7" w:rsidP="005339A7">
      <w:pPr>
        <w:pStyle w:val="HTMLPreformatted"/>
        <w:jc w:val="center"/>
        <w:outlineLvl w:val="0"/>
        <w:rPr>
          <w:rFonts w:ascii="Times New Roman" w:hAnsi="Times New Roman" w:cs="Times New Roman"/>
          <w:sz w:val="24"/>
          <w:szCs w:val="24"/>
        </w:rPr>
      </w:pPr>
      <w:r>
        <w:rPr>
          <w:rFonts w:ascii="Times New Roman" w:hAnsi="Times New Roman" w:cs="Times New Roman"/>
          <w:sz w:val="24"/>
          <w:szCs w:val="24"/>
        </w:rPr>
        <w:t>BEFORE</w:t>
      </w:r>
    </w:p>
    <w:p w:rsidR="005339A7" w:rsidRDefault="005339A7" w:rsidP="005339A7">
      <w:pPr>
        <w:pStyle w:val="HTMLPreformatted"/>
        <w:jc w:val="center"/>
        <w:outlineLvl w:val="0"/>
        <w:rPr>
          <w:rFonts w:ascii="Times New Roman" w:hAnsi="Times New Roman" w:cs="Times New Roman"/>
          <w:sz w:val="24"/>
          <w:szCs w:val="24"/>
        </w:rPr>
      </w:pPr>
      <w:r>
        <w:rPr>
          <w:rFonts w:ascii="Times New Roman" w:hAnsi="Times New Roman" w:cs="Times New Roman"/>
          <w:sz w:val="24"/>
          <w:szCs w:val="24"/>
        </w:rPr>
        <w:t>THE PUBLIC UTILITIES COMMISSION OF OHIO</w:t>
      </w:r>
    </w:p>
    <w:p w:rsidR="005339A7" w:rsidRDefault="005339A7" w:rsidP="005339A7">
      <w:pPr>
        <w:pStyle w:val="HTMLPreformatted"/>
        <w:rPr>
          <w:rFonts w:ascii="Times New Roman" w:hAnsi="Times New Roman" w:cs="Times New Roman"/>
          <w:sz w:val="24"/>
          <w:szCs w:val="24"/>
        </w:rPr>
      </w:pPr>
    </w:p>
    <w:p w:rsidR="005339A7" w:rsidRPr="0088359E" w:rsidRDefault="005339A7" w:rsidP="005339A7">
      <w:pPr>
        <w:pStyle w:val="HTMLPreformatted"/>
        <w:rPr>
          <w:rFonts w:ascii="Times New Roman" w:hAnsi="Times New Roman" w:cs="Times New Roman"/>
          <w:sz w:val="24"/>
          <w:szCs w:val="24"/>
        </w:rPr>
      </w:pPr>
      <w:r w:rsidRPr="0088359E">
        <w:rPr>
          <w:rFonts w:ascii="Times New Roman" w:hAnsi="Times New Roman" w:cs="Times New Roman"/>
          <w:sz w:val="24"/>
          <w:szCs w:val="24"/>
        </w:rPr>
        <w:t>In the Matter of the Application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339A7" w:rsidRPr="0088359E" w:rsidRDefault="005339A7" w:rsidP="005339A7">
      <w:pPr>
        <w:pStyle w:val="HTMLPreformatted"/>
        <w:rPr>
          <w:rFonts w:ascii="Times New Roman" w:hAnsi="Times New Roman" w:cs="Times New Roman"/>
          <w:sz w:val="24"/>
          <w:szCs w:val="24"/>
        </w:rPr>
      </w:pPr>
      <w:r>
        <w:rPr>
          <w:rFonts w:ascii="Times New Roman" w:hAnsi="Times New Roman" w:cs="Times New Roman"/>
          <w:sz w:val="24"/>
          <w:szCs w:val="24"/>
        </w:rPr>
        <w:t>The Ohio Bell Telephone Company d/b/a AT&amp;T Ohio</w:t>
      </w:r>
      <w:r>
        <w:rPr>
          <w:rFonts w:ascii="Times New Roman" w:hAnsi="Times New Roman" w:cs="Times New Roman"/>
          <w:sz w:val="24"/>
          <w:szCs w:val="24"/>
        </w:rPr>
        <w:tab/>
        <w:t>)</w:t>
      </w:r>
    </w:p>
    <w:p w:rsidR="005339A7" w:rsidRPr="0088359E" w:rsidRDefault="005339A7" w:rsidP="005339A7">
      <w:pPr>
        <w:pStyle w:val="HTMLPreformatted"/>
        <w:rPr>
          <w:rFonts w:ascii="Times New Roman" w:hAnsi="Times New Roman" w:cs="Times New Roman"/>
          <w:sz w:val="24"/>
          <w:szCs w:val="24"/>
        </w:rPr>
      </w:pPr>
      <w:r w:rsidRPr="0088359E">
        <w:rPr>
          <w:rFonts w:ascii="Times New Roman" w:hAnsi="Times New Roman" w:cs="Times New Roman"/>
          <w:sz w:val="24"/>
          <w:szCs w:val="24"/>
        </w:rPr>
        <w:t>For Approval of an Alte</w:t>
      </w:r>
      <w:r>
        <w:rPr>
          <w:rFonts w:ascii="Times New Roman" w:hAnsi="Times New Roman" w:cs="Times New Roman"/>
          <w:sz w:val="24"/>
          <w:szCs w:val="24"/>
        </w:rPr>
        <w:t>rn</w:t>
      </w:r>
      <w:r w:rsidRPr="0088359E">
        <w:rPr>
          <w:rFonts w:ascii="Times New Roman" w:hAnsi="Times New Roman" w:cs="Times New Roman"/>
          <w:sz w:val="24"/>
          <w:szCs w:val="24"/>
        </w:rPr>
        <w:t>ative Form of</w:t>
      </w:r>
      <w:r>
        <w:rPr>
          <w:rFonts w:ascii="Times New Roman" w:hAnsi="Times New Roman" w:cs="Times New Roman"/>
          <w:sz w:val="24"/>
          <w:szCs w:val="24"/>
        </w:rPr>
        <w:tab/>
      </w:r>
      <w:r>
        <w:rPr>
          <w:rFonts w:ascii="Times New Roman" w:hAnsi="Times New Roman" w:cs="Times New Roman"/>
          <w:sz w:val="24"/>
          <w:szCs w:val="24"/>
        </w:rPr>
        <w:tab/>
        <w:t>)</w:t>
      </w:r>
    </w:p>
    <w:p w:rsidR="005339A7" w:rsidRPr="0088359E" w:rsidRDefault="005339A7" w:rsidP="005339A7">
      <w:pPr>
        <w:pStyle w:val="HTMLPreformatted"/>
        <w:rPr>
          <w:rFonts w:ascii="Times New Roman" w:hAnsi="Times New Roman" w:cs="Times New Roman"/>
          <w:sz w:val="24"/>
          <w:szCs w:val="24"/>
        </w:rPr>
      </w:pPr>
      <w:r w:rsidRPr="0088359E">
        <w:rPr>
          <w:rFonts w:ascii="Times New Roman" w:hAnsi="Times New Roman" w:cs="Times New Roman"/>
          <w:sz w:val="24"/>
          <w:szCs w:val="24"/>
        </w:rPr>
        <w:t>Regulation of Basic Local Exchange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Case No. 0</w:t>
      </w:r>
      <w:r w:rsidR="001278EE">
        <w:rPr>
          <w:rFonts w:ascii="Times New Roman" w:hAnsi="Times New Roman" w:cs="Times New Roman"/>
          <w:sz w:val="24"/>
          <w:szCs w:val="24"/>
        </w:rPr>
        <w:t>8</w:t>
      </w:r>
      <w:r>
        <w:rPr>
          <w:rFonts w:ascii="Times New Roman" w:hAnsi="Times New Roman" w:cs="Times New Roman"/>
          <w:sz w:val="24"/>
          <w:szCs w:val="24"/>
        </w:rPr>
        <w:t>-</w:t>
      </w:r>
      <w:r w:rsidR="001278EE">
        <w:rPr>
          <w:rFonts w:ascii="Times New Roman" w:hAnsi="Times New Roman" w:cs="Times New Roman"/>
          <w:sz w:val="24"/>
          <w:szCs w:val="24"/>
        </w:rPr>
        <w:t>107</w:t>
      </w:r>
      <w:r>
        <w:rPr>
          <w:rFonts w:ascii="Times New Roman" w:hAnsi="Times New Roman" w:cs="Times New Roman"/>
          <w:sz w:val="24"/>
          <w:szCs w:val="24"/>
        </w:rPr>
        <w:t>-TP-BLS</w:t>
      </w:r>
    </w:p>
    <w:p w:rsidR="005339A7" w:rsidRPr="0088359E" w:rsidRDefault="005339A7" w:rsidP="005339A7">
      <w:pPr>
        <w:pStyle w:val="HTMLPreformatted"/>
        <w:rPr>
          <w:rFonts w:ascii="Times New Roman" w:hAnsi="Times New Roman" w:cs="Times New Roman"/>
          <w:sz w:val="24"/>
          <w:szCs w:val="24"/>
        </w:rPr>
      </w:pPr>
      <w:r w:rsidRPr="0088359E">
        <w:rPr>
          <w:rFonts w:ascii="Times New Roman" w:hAnsi="Times New Roman" w:cs="Times New Roman"/>
          <w:sz w:val="24"/>
          <w:szCs w:val="24"/>
        </w:rPr>
        <w:t>And other Tier 1 Services Pursuant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339A7" w:rsidRPr="0088359E" w:rsidRDefault="005339A7" w:rsidP="005339A7">
      <w:pPr>
        <w:pStyle w:val="HTMLPreformatted"/>
        <w:rPr>
          <w:rFonts w:ascii="Times New Roman" w:hAnsi="Times New Roman" w:cs="Times New Roman"/>
          <w:sz w:val="24"/>
          <w:szCs w:val="24"/>
        </w:rPr>
      </w:pPr>
      <w:r w:rsidRPr="0088359E">
        <w:rPr>
          <w:rFonts w:ascii="Times New Roman" w:hAnsi="Times New Roman" w:cs="Times New Roman"/>
          <w:sz w:val="24"/>
          <w:szCs w:val="24"/>
        </w:rPr>
        <w:t>Chapter 4901:1-4, Ohio Administrative</w:t>
      </w:r>
      <w:r>
        <w:rPr>
          <w:rFonts w:ascii="Times New Roman" w:hAnsi="Times New Roman" w:cs="Times New Roman"/>
          <w:sz w:val="24"/>
          <w:szCs w:val="24"/>
        </w:rPr>
        <w:tab/>
      </w:r>
      <w:r>
        <w:rPr>
          <w:rFonts w:ascii="Times New Roman" w:hAnsi="Times New Roman" w:cs="Times New Roman"/>
          <w:sz w:val="24"/>
          <w:szCs w:val="24"/>
        </w:rPr>
        <w:tab/>
        <w:t>)</w:t>
      </w:r>
    </w:p>
    <w:p w:rsidR="005339A7" w:rsidRPr="0088359E" w:rsidRDefault="005339A7" w:rsidP="005339A7">
      <w:pPr>
        <w:pStyle w:val="HTMLPreformatted"/>
        <w:rPr>
          <w:rFonts w:ascii="Times New Roman" w:hAnsi="Times New Roman" w:cs="Times New Roman"/>
          <w:sz w:val="24"/>
          <w:szCs w:val="24"/>
        </w:rPr>
      </w:pPr>
      <w:r w:rsidRPr="0088359E">
        <w:rPr>
          <w:rFonts w:ascii="Times New Roman" w:hAnsi="Times New Roman" w:cs="Times New Roman"/>
          <w:sz w:val="24"/>
          <w:szCs w:val="24"/>
        </w:rPr>
        <w:t>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339A7" w:rsidRDefault="005339A7" w:rsidP="005339A7">
      <w:pPr>
        <w:pStyle w:val="HTMLPreformatted"/>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339A7" w:rsidRDefault="005339A7" w:rsidP="005339A7">
      <w:pPr>
        <w:pStyle w:val="HTMLPreformatted"/>
        <w:rPr>
          <w:rFonts w:ascii="Times New Roman" w:hAnsi="Times New Roman" w:cs="Times New Roman"/>
          <w:sz w:val="24"/>
          <w:szCs w:val="24"/>
        </w:rPr>
      </w:pPr>
    </w:p>
    <w:p w:rsidR="005339A7" w:rsidRPr="0088359E" w:rsidRDefault="005339A7" w:rsidP="005339A7">
      <w:pPr>
        <w:pStyle w:val="HTMLPreformatted"/>
        <w:jc w:val="center"/>
        <w:outlineLvl w:val="0"/>
        <w:rPr>
          <w:rFonts w:ascii="Times New Roman" w:hAnsi="Times New Roman" w:cs="Times New Roman"/>
          <w:sz w:val="24"/>
          <w:szCs w:val="24"/>
        </w:rPr>
      </w:pPr>
      <w:r>
        <w:rPr>
          <w:rFonts w:ascii="Times New Roman" w:hAnsi="Times New Roman" w:cs="Times New Roman"/>
          <w:sz w:val="24"/>
          <w:szCs w:val="24"/>
        </w:rPr>
        <w:t xml:space="preserve">MOTION FOR </w:t>
      </w:r>
      <w:r w:rsidR="006D008C">
        <w:rPr>
          <w:rFonts w:ascii="Times New Roman" w:hAnsi="Times New Roman" w:cs="Times New Roman"/>
          <w:sz w:val="24"/>
          <w:szCs w:val="24"/>
        </w:rPr>
        <w:t xml:space="preserve">EXTENSION OF </w:t>
      </w:r>
      <w:r>
        <w:rPr>
          <w:rFonts w:ascii="Times New Roman" w:hAnsi="Times New Roman" w:cs="Times New Roman"/>
          <w:sz w:val="24"/>
          <w:szCs w:val="24"/>
        </w:rPr>
        <w:t>PROTECTIVE ORDER</w:t>
      </w:r>
      <w:r w:rsidR="006D008C">
        <w:rPr>
          <w:rFonts w:ascii="Times New Roman" w:hAnsi="Times New Roman" w:cs="Times New Roman"/>
          <w:sz w:val="24"/>
          <w:szCs w:val="24"/>
        </w:rPr>
        <w:t>S</w:t>
      </w:r>
    </w:p>
    <w:p w:rsidR="005339A7" w:rsidRPr="0088359E" w:rsidRDefault="005339A7" w:rsidP="005339A7">
      <w:pPr>
        <w:pStyle w:val="HTMLPreformatted"/>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339A7" w:rsidRDefault="005339A7" w:rsidP="005339A7">
      <w:pPr>
        <w:rPr>
          <w:rFonts w:ascii="Times New Roman" w:hAnsi="Times New Roman"/>
        </w:rPr>
      </w:pPr>
    </w:p>
    <w:p w:rsidR="00AD448E" w:rsidRPr="005339A7" w:rsidRDefault="00AD448E" w:rsidP="005339A7">
      <w:pPr>
        <w:rPr>
          <w:rFonts w:ascii="Times New Roman" w:hAnsi="Times New Roman"/>
        </w:rPr>
      </w:pPr>
    </w:p>
    <w:p w:rsidR="006D008C" w:rsidRDefault="00570BA9" w:rsidP="00FF7AB0">
      <w:pPr>
        <w:pStyle w:val="Caption"/>
        <w:widowControl/>
        <w:spacing w:line="480" w:lineRule="auto"/>
        <w:ind w:firstLine="1440"/>
        <w:rPr>
          <w:rFonts w:ascii="Times New Roman" w:hAnsi="Times New Roman"/>
        </w:rPr>
      </w:pPr>
      <w:r>
        <w:rPr>
          <w:rFonts w:ascii="Times New Roman" w:hAnsi="Times New Roman"/>
        </w:rPr>
        <w:t>AT&amp;T</w:t>
      </w:r>
      <w:r w:rsidR="008A63D0">
        <w:rPr>
          <w:rFonts w:ascii="Times New Roman" w:hAnsi="Times New Roman"/>
        </w:rPr>
        <w:t xml:space="preserve"> </w:t>
      </w:r>
      <w:r w:rsidR="005339A7">
        <w:rPr>
          <w:rFonts w:ascii="Times New Roman" w:hAnsi="Times New Roman"/>
        </w:rPr>
        <w:t>Ohio</w:t>
      </w:r>
      <w:r w:rsidR="005339A7">
        <w:rPr>
          <w:rStyle w:val="FootnoteReference"/>
          <w:rFonts w:ascii="Times New Roman" w:hAnsi="Times New Roman"/>
        </w:rPr>
        <w:footnoteReference w:id="1"/>
      </w:r>
      <w:r w:rsidR="005339A7">
        <w:rPr>
          <w:rFonts w:ascii="Times New Roman" w:hAnsi="Times New Roman"/>
        </w:rPr>
        <w:t xml:space="preserve">, </w:t>
      </w:r>
      <w:r>
        <w:rPr>
          <w:rFonts w:ascii="Times New Roman" w:hAnsi="Times New Roman"/>
        </w:rPr>
        <w:t xml:space="preserve">by </w:t>
      </w:r>
      <w:r w:rsidR="005339A7">
        <w:rPr>
          <w:rFonts w:ascii="Times New Roman" w:hAnsi="Times New Roman"/>
        </w:rPr>
        <w:t>its</w:t>
      </w:r>
      <w:r w:rsidR="00DA7564">
        <w:rPr>
          <w:rFonts w:ascii="Times New Roman" w:hAnsi="Times New Roman"/>
        </w:rPr>
        <w:t xml:space="preserve"> attorneys</w:t>
      </w:r>
      <w:r w:rsidR="00C1061D">
        <w:rPr>
          <w:rFonts w:ascii="Times New Roman" w:hAnsi="Times New Roman"/>
        </w:rPr>
        <w:t>,</w:t>
      </w:r>
      <w:r w:rsidR="00DA7564">
        <w:rPr>
          <w:rFonts w:ascii="Times New Roman" w:hAnsi="Times New Roman"/>
        </w:rPr>
        <w:t xml:space="preserve"> and pursuant to </w:t>
      </w:r>
      <w:r>
        <w:rPr>
          <w:rFonts w:ascii="Times New Roman" w:hAnsi="Times New Roman"/>
        </w:rPr>
        <w:t xml:space="preserve">O.A.C. </w:t>
      </w:r>
      <w:r w:rsidR="00C32041">
        <w:rPr>
          <w:rFonts w:ascii="Times New Roman" w:hAnsi="Times New Roman"/>
        </w:rPr>
        <w:t>§</w:t>
      </w:r>
      <w:r>
        <w:rPr>
          <w:rFonts w:ascii="Times New Roman" w:hAnsi="Times New Roman"/>
        </w:rPr>
        <w:t>§ 4901-1-24(D)</w:t>
      </w:r>
      <w:r w:rsidR="00C32041">
        <w:rPr>
          <w:rFonts w:ascii="Times New Roman" w:hAnsi="Times New Roman"/>
        </w:rPr>
        <w:t xml:space="preserve"> and 4901:1-4-09(E)</w:t>
      </w:r>
      <w:r w:rsidR="009B072F">
        <w:rPr>
          <w:rFonts w:ascii="Times New Roman" w:hAnsi="Times New Roman"/>
        </w:rPr>
        <w:t>,</w:t>
      </w:r>
      <w:r>
        <w:rPr>
          <w:rFonts w:ascii="Times New Roman" w:hAnsi="Times New Roman"/>
        </w:rPr>
        <w:t xml:space="preserve"> move</w:t>
      </w:r>
      <w:r w:rsidR="005339A7">
        <w:rPr>
          <w:rFonts w:ascii="Times New Roman" w:hAnsi="Times New Roman"/>
        </w:rPr>
        <w:t>s</w:t>
      </w:r>
      <w:r w:rsidR="00DA7564">
        <w:rPr>
          <w:rFonts w:ascii="Times New Roman" w:hAnsi="Times New Roman"/>
        </w:rPr>
        <w:t xml:space="preserve"> for a</w:t>
      </w:r>
      <w:r w:rsidR="006D008C">
        <w:rPr>
          <w:rFonts w:ascii="Times New Roman" w:hAnsi="Times New Roman"/>
        </w:rPr>
        <w:t xml:space="preserve">n extension of the </w:t>
      </w:r>
      <w:r w:rsidR="00DA7564">
        <w:rPr>
          <w:rFonts w:ascii="Times New Roman" w:hAnsi="Times New Roman"/>
        </w:rPr>
        <w:t>protective order</w:t>
      </w:r>
      <w:r w:rsidR="006D008C">
        <w:rPr>
          <w:rFonts w:ascii="Times New Roman" w:hAnsi="Times New Roman"/>
        </w:rPr>
        <w:t>s</w:t>
      </w:r>
      <w:r w:rsidR="00DA7564">
        <w:rPr>
          <w:rFonts w:ascii="Times New Roman" w:hAnsi="Times New Roman"/>
        </w:rPr>
        <w:t xml:space="preserve"> </w:t>
      </w:r>
      <w:r w:rsidR="006D008C">
        <w:rPr>
          <w:rFonts w:ascii="Times New Roman" w:hAnsi="Times New Roman"/>
        </w:rPr>
        <w:t xml:space="preserve">granted in the captioned case.  In its Entry adopted on </w:t>
      </w:r>
      <w:smartTag w:uri="urn:schemas-microsoft-com:office:smarttags" w:element="date">
        <w:smartTagPr>
          <w:attr w:name="Year" w:val="2008"/>
          <w:attr w:name="Day" w:val="27"/>
          <w:attr w:name="Month" w:val="2"/>
          <w:attr w:name="ls" w:val="trans"/>
        </w:smartTagPr>
        <w:r w:rsidR="001278EE">
          <w:rPr>
            <w:rFonts w:ascii="Times New Roman" w:hAnsi="Times New Roman"/>
          </w:rPr>
          <w:t>February 27,</w:t>
        </w:r>
        <w:r w:rsidR="006D008C">
          <w:rPr>
            <w:rFonts w:ascii="Times New Roman" w:hAnsi="Times New Roman"/>
          </w:rPr>
          <w:t xml:space="preserve"> 200</w:t>
        </w:r>
        <w:r w:rsidR="001278EE">
          <w:rPr>
            <w:rFonts w:ascii="Times New Roman" w:hAnsi="Times New Roman"/>
          </w:rPr>
          <w:t>8</w:t>
        </w:r>
      </w:smartTag>
      <w:r w:rsidR="006D008C">
        <w:rPr>
          <w:rFonts w:ascii="Times New Roman" w:hAnsi="Times New Roman"/>
        </w:rPr>
        <w:t xml:space="preserve"> and in its Opinion and Order adopted on </w:t>
      </w:r>
      <w:smartTag w:uri="urn:schemas-microsoft-com:office:smarttags" w:element="date">
        <w:smartTagPr>
          <w:attr w:name="Year" w:val="2008"/>
          <w:attr w:name="Day" w:val="25"/>
          <w:attr w:name="Month" w:val="6"/>
          <w:attr w:name="ls" w:val="trans"/>
        </w:smartTagPr>
        <w:r w:rsidR="001278EE">
          <w:rPr>
            <w:rFonts w:ascii="Times New Roman" w:hAnsi="Times New Roman"/>
          </w:rPr>
          <w:t>June 25</w:t>
        </w:r>
        <w:r w:rsidR="006D008C">
          <w:rPr>
            <w:rFonts w:ascii="Times New Roman" w:hAnsi="Times New Roman"/>
          </w:rPr>
          <w:t>, 200</w:t>
        </w:r>
        <w:r w:rsidR="001278EE">
          <w:rPr>
            <w:rFonts w:ascii="Times New Roman" w:hAnsi="Times New Roman"/>
          </w:rPr>
          <w:t>8</w:t>
        </w:r>
      </w:smartTag>
      <w:r w:rsidR="006D008C">
        <w:rPr>
          <w:rFonts w:ascii="Times New Roman" w:hAnsi="Times New Roman"/>
        </w:rPr>
        <w:t xml:space="preserve"> the Commission granted</w:t>
      </w:r>
      <w:r w:rsidR="00D050AE">
        <w:rPr>
          <w:rFonts w:ascii="Times New Roman" w:hAnsi="Times New Roman"/>
        </w:rPr>
        <w:t>, respectively,</w:t>
      </w:r>
      <w:r w:rsidR="006D008C">
        <w:rPr>
          <w:rFonts w:ascii="Times New Roman" w:hAnsi="Times New Roman"/>
        </w:rPr>
        <w:t xml:space="preserve"> AT&amp;T Ohio</w:t>
      </w:r>
      <w:r w:rsidR="00C750A6">
        <w:rPr>
          <w:rFonts w:ascii="Times New Roman" w:hAnsi="Times New Roman"/>
        </w:rPr>
        <w:t>'</w:t>
      </w:r>
      <w:r w:rsidR="006D008C">
        <w:rPr>
          <w:rFonts w:ascii="Times New Roman" w:hAnsi="Times New Roman"/>
        </w:rPr>
        <w:t xml:space="preserve">s </w:t>
      </w:r>
      <w:r w:rsidR="001278EE">
        <w:rPr>
          <w:rFonts w:ascii="Times New Roman" w:hAnsi="Times New Roman"/>
        </w:rPr>
        <w:t xml:space="preserve">and the Ohio Consumers' Counsel's </w:t>
      </w:r>
      <w:r w:rsidR="006D008C">
        <w:rPr>
          <w:rFonts w:ascii="Times New Roman" w:hAnsi="Times New Roman"/>
        </w:rPr>
        <w:t>motion</w:t>
      </w:r>
      <w:r w:rsidR="009B072F">
        <w:rPr>
          <w:rFonts w:ascii="Times New Roman" w:hAnsi="Times New Roman"/>
        </w:rPr>
        <w:t>s</w:t>
      </w:r>
      <w:r w:rsidR="006D008C">
        <w:rPr>
          <w:rFonts w:ascii="Times New Roman" w:hAnsi="Times New Roman"/>
        </w:rPr>
        <w:t xml:space="preserve"> for a protective order concerning CLEC</w:t>
      </w:r>
      <w:r w:rsidR="009B072F">
        <w:rPr>
          <w:rFonts w:ascii="Times New Roman" w:hAnsi="Times New Roman"/>
        </w:rPr>
        <w:t xml:space="preserve"> and wireless carrier</w:t>
      </w:r>
      <w:r w:rsidR="006D008C">
        <w:rPr>
          <w:rFonts w:ascii="Times New Roman" w:hAnsi="Times New Roman"/>
        </w:rPr>
        <w:t xml:space="preserve"> proprietary information that was filed as part of </w:t>
      </w:r>
      <w:r w:rsidR="00DC34EA">
        <w:rPr>
          <w:rFonts w:ascii="Times New Roman" w:hAnsi="Times New Roman"/>
        </w:rPr>
        <w:t>AT&amp;T Ohio's</w:t>
      </w:r>
      <w:r w:rsidR="006D008C">
        <w:rPr>
          <w:rFonts w:ascii="Times New Roman" w:hAnsi="Times New Roman"/>
        </w:rPr>
        <w:t xml:space="preserve"> application and that was used in various pleadings filed in the case.  </w:t>
      </w:r>
      <w:r w:rsidR="00153EBA">
        <w:rPr>
          <w:rFonts w:ascii="Times New Roman" w:hAnsi="Times New Roman"/>
        </w:rPr>
        <w:t xml:space="preserve">At the Company's request, the orders were extended in an Entry adopted on July 20, 2009.  </w:t>
      </w:r>
      <w:r w:rsidR="001278EE">
        <w:rPr>
          <w:rFonts w:ascii="Times New Roman" w:hAnsi="Times New Roman"/>
        </w:rPr>
        <w:t xml:space="preserve">The </w:t>
      </w:r>
      <w:r w:rsidR="00153EBA">
        <w:rPr>
          <w:rFonts w:ascii="Times New Roman" w:hAnsi="Times New Roman"/>
        </w:rPr>
        <w:t>protective orders will expire on February 27, 2011.</w:t>
      </w:r>
      <w:r w:rsidR="00E67DB8">
        <w:rPr>
          <w:rFonts w:ascii="Times New Roman" w:hAnsi="Times New Roman"/>
        </w:rPr>
        <w:t xml:space="preserve">  </w:t>
      </w:r>
      <w:r w:rsidR="006D008C">
        <w:rPr>
          <w:rFonts w:ascii="Times New Roman" w:hAnsi="Times New Roman"/>
        </w:rPr>
        <w:t>Under O.A.C. § 4901-1-24(F), AT&amp;T seeks a</w:t>
      </w:r>
      <w:r w:rsidR="00153EBA">
        <w:rPr>
          <w:rFonts w:ascii="Times New Roman" w:hAnsi="Times New Roman"/>
        </w:rPr>
        <w:t xml:space="preserve"> further</w:t>
      </w:r>
      <w:r w:rsidR="006D008C">
        <w:rPr>
          <w:rFonts w:ascii="Times New Roman" w:hAnsi="Times New Roman"/>
        </w:rPr>
        <w:t xml:space="preserve"> extension of the protective orders.</w:t>
      </w:r>
      <w:r w:rsidR="00AB4E40">
        <w:rPr>
          <w:rFonts w:ascii="Times New Roman" w:hAnsi="Times New Roman"/>
        </w:rPr>
        <w:t xml:space="preserve">  The reasons underlying this motion are detailed in the attached Memorandum in Support.</w:t>
      </w:r>
    </w:p>
    <w:p w:rsidR="006D008C" w:rsidRDefault="006D008C" w:rsidP="009A1B87">
      <w:pPr>
        <w:pStyle w:val="Caption"/>
        <w:widowControl/>
        <w:spacing w:line="480" w:lineRule="auto"/>
        <w:rPr>
          <w:rFonts w:ascii="Times New Roman" w:hAnsi="Times New Roman"/>
        </w:rPr>
      </w:pPr>
    </w:p>
    <w:p w:rsidR="005A77BF" w:rsidRPr="005A77BF" w:rsidRDefault="005A77BF" w:rsidP="005A77BF">
      <w:pPr>
        <w:spacing w:line="480" w:lineRule="auto"/>
        <w:rPr>
          <w:rFonts w:ascii="Times New Roman" w:hAnsi="Times New Roman"/>
        </w:rPr>
      </w:pPr>
      <w:r>
        <w:rPr>
          <w:rFonts w:ascii="Times New Roman" w:hAnsi="Times New Roman"/>
        </w:rPr>
        <w:tab/>
      </w:r>
      <w:r>
        <w:rPr>
          <w:rFonts w:ascii="Times New Roman" w:hAnsi="Times New Roman"/>
        </w:rPr>
        <w:tab/>
        <w:t xml:space="preserve">This motion is being filed more than 45 days prior to the </w:t>
      </w:r>
      <w:r w:rsidR="00153EBA">
        <w:rPr>
          <w:rFonts w:ascii="Times New Roman" w:hAnsi="Times New Roman"/>
        </w:rPr>
        <w:t xml:space="preserve">February 27, 2011 </w:t>
      </w:r>
      <w:r>
        <w:rPr>
          <w:rFonts w:ascii="Times New Roman" w:hAnsi="Times New Roman"/>
        </w:rPr>
        <w:t xml:space="preserve">expiration of the </w:t>
      </w:r>
      <w:r w:rsidR="00153EBA">
        <w:rPr>
          <w:rFonts w:ascii="Times New Roman" w:hAnsi="Times New Roman"/>
        </w:rPr>
        <w:t>protective orders</w:t>
      </w:r>
      <w:r w:rsidR="00AD448E">
        <w:rPr>
          <w:rFonts w:ascii="Times New Roman" w:hAnsi="Times New Roman"/>
        </w:rPr>
        <w:t>.</w:t>
      </w:r>
    </w:p>
    <w:p w:rsidR="00DA7564" w:rsidRDefault="000A6A91" w:rsidP="000A6A91">
      <w:pPr>
        <w:pStyle w:val="Caption"/>
        <w:widowControl/>
        <w:spacing w:line="480" w:lineRule="auto"/>
        <w:ind w:firstLine="1440"/>
        <w:rPr>
          <w:rFonts w:ascii="Times New Roman" w:hAnsi="Times New Roman"/>
        </w:rPr>
      </w:pPr>
      <w:r>
        <w:rPr>
          <w:rFonts w:ascii="Times New Roman" w:hAnsi="Times New Roman"/>
        </w:rPr>
        <w:br w:type="page"/>
      </w: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A7564">
        <w:rPr>
          <w:rFonts w:ascii="Times New Roman" w:hAnsi="Times New Roman"/>
        </w:rPr>
        <w:t>Respectfully submitted,</w:t>
      </w:r>
    </w:p>
    <w:p w:rsidR="005339A7" w:rsidRDefault="005339A7" w:rsidP="00FF7AB0">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AT&amp;T Ohio</w:t>
      </w:r>
    </w:p>
    <w:p w:rsidR="005339A7" w:rsidRPr="005339A7" w:rsidRDefault="005339A7" w:rsidP="00FF7AB0">
      <w:pPr>
        <w:jc w:val="both"/>
        <w:rPr>
          <w:rFonts w:ascii="Times New Roman" w:hAnsi="Times New Roman"/>
        </w:rPr>
      </w:pPr>
    </w:p>
    <w:p w:rsidR="00DA7564" w:rsidRDefault="00DA7564" w:rsidP="00FF7AB0">
      <w:pPr>
        <w:pStyle w:val="Caption"/>
        <w:widowControl/>
        <w:rPr>
          <w:rFonts w:ascii="Times New Roman" w:hAnsi="Times New Roman"/>
        </w:rPr>
      </w:pPr>
    </w:p>
    <w:p w:rsidR="00DA7564" w:rsidRDefault="00DA7564" w:rsidP="00FF7AB0">
      <w:pPr>
        <w:pStyle w:val="Caption"/>
        <w:widowControl/>
        <w:ind w:left="4320" w:firstLine="720"/>
        <w:rPr>
          <w:rFonts w:ascii="Times New Roman" w:hAnsi="Times New Roman"/>
        </w:rPr>
      </w:pPr>
      <w:r>
        <w:rPr>
          <w:rFonts w:ascii="Times New Roman" w:hAnsi="Times New Roman"/>
        </w:rPr>
        <w:t>_____</w:t>
      </w:r>
      <w:r w:rsidR="00695DD2">
        <w:rPr>
          <w:rFonts w:ascii="Times New Roman" w:hAnsi="Times New Roman"/>
          <w:u w:val="single"/>
        </w:rPr>
        <w:t>/s/ Jon F. Kelly</w:t>
      </w:r>
      <w:r>
        <w:rPr>
          <w:rFonts w:ascii="Times New Roman" w:hAnsi="Times New Roman"/>
        </w:rPr>
        <w:t>__________________</w:t>
      </w:r>
    </w:p>
    <w:p w:rsidR="005339A7" w:rsidRDefault="005339A7" w:rsidP="00FF7AB0">
      <w:pPr>
        <w:pStyle w:val="CourtName"/>
        <w:widowControl/>
        <w:spacing w:line="240" w:lineRule="auto"/>
        <w:ind w:firstLine="5040"/>
        <w:jc w:val="both"/>
        <w:outlineLvl w:val="0"/>
        <w:rPr>
          <w:sz w:val="24"/>
        </w:rPr>
      </w:pPr>
      <w:r>
        <w:rPr>
          <w:sz w:val="24"/>
        </w:rPr>
        <w:t>Jon F. Kelly (</w:t>
      </w:r>
      <w:r w:rsidR="00AB4E40">
        <w:rPr>
          <w:sz w:val="24"/>
        </w:rPr>
        <w:t>Counsel of Record</w:t>
      </w:r>
      <w:r>
        <w:rPr>
          <w:sz w:val="24"/>
        </w:rPr>
        <w:t>)</w:t>
      </w:r>
    </w:p>
    <w:p w:rsidR="00DA7564" w:rsidRDefault="00DA7564" w:rsidP="00FF7AB0">
      <w:pPr>
        <w:pStyle w:val="CourtName"/>
        <w:widowControl/>
        <w:spacing w:line="240" w:lineRule="auto"/>
        <w:ind w:firstLine="5040"/>
        <w:jc w:val="both"/>
        <w:outlineLvl w:val="0"/>
        <w:rPr>
          <w:sz w:val="24"/>
        </w:rPr>
      </w:pPr>
      <w:r>
        <w:rPr>
          <w:sz w:val="24"/>
        </w:rPr>
        <w:t>Mary Ryan Fenlon</w:t>
      </w:r>
    </w:p>
    <w:p w:rsidR="005339A7" w:rsidRDefault="005339A7" w:rsidP="00FF7AB0">
      <w:pPr>
        <w:pStyle w:val="CourtName"/>
        <w:widowControl/>
        <w:spacing w:line="240" w:lineRule="auto"/>
        <w:ind w:firstLine="5040"/>
        <w:jc w:val="both"/>
        <w:rPr>
          <w:sz w:val="24"/>
        </w:rPr>
      </w:pPr>
      <w:r>
        <w:rPr>
          <w:sz w:val="24"/>
        </w:rPr>
        <w:t>AT&amp;T Ohio</w:t>
      </w:r>
    </w:p>
    <w:p w:rsidR="00DA7564" w:rsidRDefault="00DA7564" w:rsidP="00FF7AB0">
      <w:pPr>
        <w:pStyle w:val="CourtName"/>
        <w:widowControl/>
        <w:spacing w:line="240" w:lineRule="auto"/>
        <w:ind w:firstLine="5040"/>
        <w:jc w:val="both"/>
        <w:rPr>
          <w:sz w:val="24"/>
        </w:rPr>
      </w:pPr>
      <w:r>
        <w:rPr>
          <w:sz w:val="24"/>
        </w:rPr>
        <w:t>150 E. Gay St., Rm. 4-</w:t>
      </w:r>
      <w:r w:rsidR="005339A7">
        <w:rPr>
          <w:sz w:val="24"/>
        </w:rPr>
        <w:t>A</w:t>
      </w:r>
    </w:p>
    <w:p w:rsidR="00DA7564" w:rsidRDefault="00DA7564" w:rsidP="00FF7AB0">
      <w:pPr>
        <w:pStyle w:val="CourtName"/>
        <w:widowControl/>
        <w:spacing w:line="240" w:lineRule="auto"/>
        <w:ind w:firstLine="5040"/>
        <w:jc w:val="both"/>
        <w:rPr>
          <w:sz w:val="24"/>
        </w:rPr>
      </w:pPr>
      <w:r>
        <w:rPr>
          <w:sz w:val="24"/>
        </w:rPr>
        <w:t>Columbus, Ohio 43215</w:t>
      </w:r>
    </w:p>
    <w:p w:rsidR="005339A7" w:rsidRDefault="005339A7" w:rsidP="00FF7AB0">
      <w:pPr>
        <w:pStyle w:val="CourtName"/>
        <w:widowControl/>
        <w:spacing w:line="240" w:lineRule="auto"/>
        <w:ind w:firstLine="5040"/>
        <w:jc w:val="both"/>
        <w:rPr>
          <w:sz w:val="24"/>
        </w:rPr>
      </w:pPr>
    </w:p>
    <w:p w:rsidR="00DA7564" w:rsidRDefault="00DA7564" w:rsidP="00FF7AB0">
      <w:pPr>
        <w:pStyle w:val="CourtName"/>
        <w:widowControl/>
        <w:spacing w:line="240" w:lineRule="auto"/>
        <w:ind w:firstLine="5040"/>
        <w:jc w:val="both"/>
        <w:rPr>
          <w:sz w:val="24"/>
        </w:rPr>
      </w:pPr>
      <w:r>
        <w:rPr>
          <w:sz w:val="24"/>
        </w:rPr>
        <w:t>(614) 223-</w:t>
      </w:r>
      <w:r w:rsidR="005339A7">
        <w:rPr>
          <w:sz w:val="24"/>
        </w:rPr>
        <w:t>7928</w:t>
      </w:r>
    </w:p>
    <w:p w:rsidR="008136CA" w:rsidRDefault="008136CA" w:rsidP="00FF7AB0">
      <w:pPr>
        <w:pStyle w:val="CourtName"/>
        <w:widowControl/>
        <w:spacing w:line="240" w:lineRule="auto"/>
        <w:ind w:firstLine="5040"/>
        <w:jc w:val="both"/>
        <w:rPr>
          <w:sz w:val="24"/>
        </w:rPr>
      </w:pPr>
    </w:p>
    <w:p w:rsidR="008136CA" w:rsidRDefault="00FF7AB0" w:rsidP="00FF7AB0">
      <w:pPr>
        <w:pStyle w:val="CourtName"/>
        <w:widowControl/>
        <w:spacing w:line="240" w:lineRule="auto"/>
        <w:ind w:firstLine="5040"/>
        <w:jc w:val="both"/>
        <w:outlineLvl w:val="0"/>
        <w:rPr>
          <w:sz w:val="24"/>
        </w:rPr>
      </w:pPr>
      <w:r>
        <w:rPr>
          <w:sz w:val="24"/>
        </w:rPr>
        <w:t xml:space="preserve">Its </w:t>
      </w:r>
      <w:r w:rsidR="008136CA">
        <w:rPr>
          <w:sz w:val="24"/>
        </w:rPr>
        <w:t>Attorney</w:t>
      </w:r>
      <w:r w:rsidR="005339A7">
        <w:rPr>
          <w:sz w:val="24"/>
        </w:rPr>
        <w:t>s</w:t>
      </w:r>
    </w:p>
    <w:p w:rsidR="009910F3" w:rsidRPr="000A6A91" w:rsidRDefault="000A6A91" w:rsidP="000A6A91">
      <w:pPr>
        <w:rPr>
          <w:rFonts w:ascii="Times New Roman" w:hAnsi="Times New Roman"/>
        </w:rPr>
      </w:pPr>
      <w:r>
        <w:br w:type="page"/>
      </w:r>
      <w:r>
        <w:rPr>
          <w:rFonts w:ascii="Times New Roman" w:hAnsi="Times New Roman"/>
        </w:rPr>
        <w:lastRenderedPageBreak/>
        <w:t>______________________________________________________________________________</w:t>
      </w:r>
    </w:p>
    <w:p w:rsidR="00236F9D" w:rsidRPr="00236F9D" w:rsidRDefault="00236F9D" w:rsidP="00236F9D">
      <w:pPr>
        <w:rPr>
          <w:rFonts w:ascii="Times New Roman" w:hAnsi="Times New Roman"/>
        </w:rPr>
      </w:pPr>
    </w:p>
    <w:p w:rsidR="00AB4E40" w:rsidRDefault="00DA7564" w:rsidP="00236F9D">
      <w:pPr>
        <w:pStyle w:val="Caption"/>
        <w:widowControl/>
        <w:jc w:val="center"/>
        <w:outlineLvl w:val="0"/>
        <w:rPr>
          <w:rFonts w:ascii="Times New Roman" w:hAnsi="Times New Roman"/>
        </w:rPr>
      </w:pPr>
      <w:r w:rsidRPr="00236F9D">
        <w:rPr>
          <w:rFonts w:ascii="Times New Roman" w:hAnsi="Times New Roman"/>
        </w:rPr>
        <w:t>MEMORANDUM IN SUPPORT OF</w:t>
      </w:r>
      <w:r w:rsidR="00236F9D">
        <w:rPr>
          <w:rFonts w:ascii="Times New Roman" w:hAnsi="Times New Roman"/>
        </w:rPr>
        <w:t xml:space="preserve"> </w:t>
      </w:r>
      <w:r w:rsidRPr="00236F9D">
        <w:rPr>
          <w:rFonts w:ascii="Times New Roman" w:hAnsi="Times New Roman"/>
        </w:rPr>
        <w:t>MOTION FOR</w:t>
      </w:r>
    </w:p>
    <w:p w:rsidR="00DA7564" w:rsidRDefault="00AB4E40" w:rsidP="00236F9D">
      <w:pPr>
        <w:pStyle w:val="Caption"/>
        <w:widowControl/>
        <w:jc w:val="center"/>
        <w:outlineLvl w:val="0"/>
        <w:rPr>
          <w:rFonts w:ascii="Times New Roman" w:hAnsi="Times New Roman"/>
        </w:rPr>
      </w:pPr>
      <w:r>
        <w:rPr>
          <w:rFonts w:ascii="Times New Roman" w:hAnsi="Times New Roman"/>
        </w:rPr>
        <w:t xml:space="preserve">EXTENSION OF </w:t>
      </w:r>
      <w:r w:rsidR="00DA7564" w:rsidRPr="00236F9D">
        <w:rPr>
          <w:rFonts w:ascii="Times New Roman" w:hAnsi="Times New Roman"/>
        </w:rPr>
        <w:t>PROTECTIVE ORDER</w:t>
      </w:r>
      <w:r w:rsidR="00440942">
        <w:rPr>
          <w:rFonts w:ascii="Times New Roman" w:hAnsi="Times New Roman"/>
        </w:rPr>
        <w:t>S</w:t>
      </w:r>
    </w:p>
    <w:p w:rsidR="00236F9D" w:rsidRPr="00236F9D" w:rsidRDefault="00236F9D" w:rsidP="00236F9D">
      <w:pPr>
        <w:rPr>
          <w:rFonts w:ascii="Times New Roman" w:hAnsi="Times New Roman"/>
        </w:rPr>
      </w:pPr>
      <w:r w:rsidRPr="00236F9D">
        <w:rPr>
          <w:rFonts w:ascii="Times New Roman" w:hAnsi="Times New Roman"/>
        </w:rPr>
        <w:t>_________________________________________________________________</w:t>
      </w:r>
      <w:r>
        <w:rPr>
          <w:rFonts w:ascii="Times New Roman" w:hAnsi="Times New Roman"/>
        </w:rPr>
        <w:t>_____________</w:t>
      </w:r>
    </w:p>
    <w:p w:rsidR="00DA7564" w:rsidRDefault="00DA7564" w:rsidP="00E80D4F">
      <w:pPr>
        <w:pStyle w:val="Caption"/>
        <w:widowControl/>
        <w:rPr>
          <w:rFonts w:ascii="Times New Roman" w:hAnsi="Times New Roman"/>
        </w:rPr>
      </w:pPr>
    </w:p>
    <w:p w:rsidR="00AD448E" w:rsidRPr="00AD448E" w:rsidRDefault="00AD448E" w:rsidP="00AD448E">
      <w:pPr>
        <w:rPr>
          <w:rFonts w:ascii="Times New Roman" w:hAnsi="Times New Roman"/>
        </w:rPr>
      </w:pPr>
    </w:p>
    <w:p w:rsidR="00E64671" w:rsidRDefault="00AB4E40" w:rsidP="00E64671">
      <w:pPr>
        <w:pStyle w:val="Caption"/>
        <w:widowControl/>
        <w:spacing w:line="480" w:lineRule="auto"/>
        <w:ind w:firstLine="1440"/>
        <w:rPr>
          <w:rFonts w:ascii="Times New Roman" w:hAnsi="Times New Roman"/>
        </w:rPr>
      </w:pPr>
      <w:r>
        <w:rPr>
          <w:rFonts w:ascii="Times New Roman" w:hAnsi="Times New Roman"/>
        </w:rPr>
        <w:t xml:space="preserve">AT&amp;T Ohio seeks an extension of the protective orders previously granted in this case.  </w:t>
      </w:r>
      <w:r w:rsidR="00E64671">
        <w:rPr>
          <w:rFonts w:ascii="Times New Roman" w:hAnsi="Times New Roman"/>
        </w:rPr>
        <w:t>In a</w:t>
      </w:r>
      <w:r w:rsidR="00153EBA">
        <w:rPr>
          <w:rFonts w:ascii="Times New Roman" w:hAnsi="Times New Roman"/>
        </w:rPr>
        <w:t>n</w:t>
      </w:r>
      <w:r w:rsidR="00E64671">
        <w:rPr>
          <w:rFonts w:ascii="Times New Roman" w:hAnsi="Times New Roman"/>
        </w:rPr>
        <w:t xml:space="preserve"> Entry in another case, the Commission denied the Company's request for an unlimited extension and instead granted an 18-month extension.  </w:t>
      </w:r>
      <w:r w:rsidR="00E64671" w:rsidRPr="00134FF8">
        <w:rPr>
          <w:rFonts w:ascii="Times New Roman" w:hAnsi="Times New Roman"/>
          <w:i/>
        </w:rPr>
        <w:t>See</w:t>
      </w:r>
      <w:r w:rsidR="00E64671">
        <w:rPr>
          <w:rFonts w:ascii="Times New Roman" w:hAnsi="Times New Roman"/>
        </w:rPr>
        <w:t xml:space="preserve">, AT&amp;T Ohio, Case No. 09-259-TP-BLS, Entry, </w:t>
      </w:r>
      <w:smartTag w:uri="urn:schemas-microsoft-com:office:smarttags" w:element="date">
        <w:smartTagPr>
          <w:attr w:name="ls" w:val="trans"/>
          <w:attr w:name="Month" w:val="5"/>
          <w:attr w:name="Day" w:val="1"/>
          <w:attr w:name="Year" w:val="2009"/>
        </w:smartTagPr>
        <w:r w:rsidR="00E64671">
          <w:rPr>
            <w:rFonts w:ascii="Times New Roman" w:hAnsi="Times New Roman"/>
          </w:rPr>
          <w:t>May 1, 2009</w:t>
        </w:r>
      </w:smartTag>
      <w:r w:rsidR="00E64671">
        <w:rPr>
          <w:rFonts w:ascii="Times New Roman" w:hAnsi="Times New Roman"/>
        </w:rPr>
        <w:t>.  There, the Attorney Examiner found that the information sought to be protected was proprietary but did not warrant permanent protection.</w:t>
      </w:r>
    </w:p>
    <w:p w:rsidR="00E64671" w:rsidRPr="00E64671" w:rsidRDefault="00E64671" w:rsidP="00E64671">
      <w:pPr>
        <w:spacing w:line="480" w:lineRule="auto"/>
        <w:rPr>
          <w:rFonts w:ascii="Times New Roman" w:hAnsi="Times New Roman"/>
        </w:rPr>
      </w:pPr>
    </w:p>
    <w:p w:rsidR="00AB4E40" w:rsidRDefault="00AB4E40" w:rsidP="00E64671">
      <w:pPr>
        <w:pStyle w:val="Caption"/>
        <w:widowControl/>
        <w:spacing w:line="480" w:lineRule="auto"/>
        <w:ind w:firstLine="1440"/>
        <w:rPr>
          <w:rFonts w:ascii="Times New Roman" w:hAnsi="Times New Roman"/>
        </w:rPr>
      </w:pPr>
      <w:r>
        <w:rPr>
          <w:rFonts w:ascii="Times New Roman" w:hAnsi="Times New Roman"/>
        </w:rPr>
        <w:t xml:space="preserve">The </w:t>
      </w:r>
      <w:r w:rsidR="009B072F">
        <w:rPr>
          <w:rFonts w:ascii="Times New Roman" w:hAnsi="Times New Roman"/>
        </w:rPr>
        <w:t>CLEC and wireless carrier proprietary</w:t>
      </w:r>
      <w:r>
        <w:rPr>
          <w:rFonts w:ascii="Times New Roman" w:hAnsi="Times New Roman"/>
        </w:rPr>
        <w:t xml:space="preserve"> information filed and used in this case is competitively sensitive information that is deserving of further protection under Ohio law as a trade secret.  </w:t>
      </w:r>
      <w:r w:rsidR="00E64671">
        <w:rPr>
          <w:rFonts w:ascii="Times New Roman" w:hAnsi="Times New Roman"/>
        </w:rPr>
        <w:t xml:space="preserve">It has not lost its commercial relevance since the time it was first granted protection.  </w:t>
      </w:r>
      <w:r>
        <w:rPr>
          <w:rFonts w:ascii="Times New Roman" w:hAnsi="Times New Roman"/>
        </w:rPr>
        <w:t xml:space="preserve">As explained in its application, AT&amp;T Ohio notified the CLECs and </w:t>
      </w:r>
      <w:r w:rsidR="00AD448E">
        <w:rPr>
          <w:rFonts w:ascii="Times New Roman" w:hAnsi="Times New Roman"/>
        </w:rPr>
        <w:t>wireless</w:t>
      </w:r>
      <w:r>
        <w:rPr>
          <w:rFonts w:ascii="Times New Roman" w:hAnsi="Times New Roman"/>
        </w:rPr>
        <w:t xml:space="preserve"> carriers of the Company</w:t>
      </w:r>
      <w:r w:rsidR="00C750A6">
        <w:rPr>
          <w:rFonts w:ascii="Times New Roman" w:hAnsi="Times New Roman"/>
        </w:rPr>
        <w:t>'</w:t>
      </w:r>
      <w:r>
        <w:rPr>
          <w:rFonts w:ascii="Times New Roman" w:hAnsi="Times New Roman"/>
        </w:rPr>
        <w:t xml:space="preserve">s </w:t>
      </w:r>
      <w:r w:rsidR="00AD448E">
        <w:rPr>
          <w:rFonts w:ascii="Times New Roman" w:hAnsi="Times New Roman"/>
        </w:rPr>
        <w:t xml:space="preserve">possible </w:t>
      </w:r>
      <w:r>
        <w:rPr>
          <w:rFonts w:ascii="Times New Roman" w:hAnsi="Times New Roman"/>
        </w:rPr>
        <w:t>use of that information and the manner in which it would be used.  As AT&amp;T Ohio noted:</w:t>
      </w:r>
    </w:p>
    <w:p w:rsidR="00AB4E40" w:rsidRDefault="001278EE" w:rsidP="001278EE">
      <w:pPr>
        <w:ind w:left="720"/>
        <w:rPr>
          <w:rFonts w:ascii="Times New Roman" w:hAnsi="Times New Roman"/>
        </w:rPr>
      </w:pPr>
      <w:r w:rsidRPr="001278EE">
        <w:rPr>
          <w:rFonts w:ascii="Times New Roman" w:hAnsi="Times New Roman"/>
        </w:rPr>
        <w:t>In Case Nos. 06-1013-TP-BLS and 07-259-TP-BLS, AT&amp;T Ohio sent CLECs and wireless service providers separate "Accessible Letters" regarding the use and treatment of data that might be considered to be proprietary, giving them an opportunity for comment and feedback.  AT&amp;T Ohio is relying on the letters from Case No. 07-259-TP-BLS for this proceeding.  The Accessible Letters are included in this filing as Attachments 1 and 2.</w:t>
      </w:r>
    </w:p>
    <w:p w:rsidR="001278EE" w:rsidRPr="001278EE" w:rsidRDefault="001278EE" w:rsidP="001278EE">
      <w:pPr>
        <w:ind w:left="720"/>
        <w:rPr>
          <w:rFonts w:ascii="Times New Roman" w:hAnsi="Times New Roman"/>
        </w:rPr>
      </w:pPr>
    </w:p>
    <w:p w:rsidR="00AB4E40" w:rsidRDefault="00AB4E40" w:rsidP="00AB4E40">
      <w:pPr>
        <w:spacing w:line="480" w:lineRule="auto"/>
        <w:rPr>
          <w:rFonts w:ascii="Times New Roman" w:hAnsi="Times New Roman"/>
        </w:rPr>
      </w:pPr>
      <w:r>
        <w:rPr>
          <w:rFonts w:ascii="Times New Roman" w:hAnsi="Times New Roman"/>
        </w:rPr>
        <w:t xml:space="preserve">Memorandum in Support of Application, </w:t>
      </w:r>
      <w:smartTag w:uri="urn:schemas-microsoft-com:office:smarttags" w:element="date">
        <w:smartTagPr>
          <w:attr w:name="Year" w:val="2008"/>
          <w:attr w:name="Day" w:val="8"/>
          <w:attr w:name="Month" w:val="2"/>
          <w:attr w:name="ls" w:val="trans"/>
        </w:smartTagPr>
        <w:r w:rsidR="001278EE">
          <w:rPr>
            <w:rFonts w:ascii="Times New Roman" w:hAnsi="Times New Roman"/>
          </w:rPr>
          <w:t>Feb</w:t>
        </w:r>
        <w:r w:rsidR="009009E8">
          <w:rPr>
            <w:rFonts w:ascii="Times New Roman" w:hAnsi="Times New Roman"/>
          </w:rPr>
          <w:t>r</w:t>
        </w:r>
        <w:r w:rsidR="001278EE">
          <w:rPr>
            <w:rFonts w:ascii="Times New Roman" w:hAnsi="Times New Roman"/>
          </w:rPr>
          <w:t>uary 8, 2008</w:t>
        </w:r>
      </w:smartTag>
      <w:r>
        <w:rPr>
          <w:rFonts w:ascii="Times New Roman" w:hAnsi="Times New Roman"/>
        </w:rPr>
        <w:t xml:space="preserve">, p. </w:t>
      </w:r>
      <w:r w:rsidR="001278EE">
        <w:rPr>
          <w:rFonts w:ascii="Times New Roman" w:hAnsi="Times New Roman"/>
        </w:rPr>
        <w:t>4</w:t>
      </w:r>
      <w:r>
        <w:rPr>
          <w:rFonts w:ascii="Times New Roman" w:hAnsi="Times New Roman"/>
        </w:rPr>
        <w:t>.</w:t>
      </w:r>
    </w:p>
    <w:p w:rsidR="00E67DB8" w:rsidRDefault="00E67DB8" w:rsidP="00AB4E40">
      <w:pPr>
        <w:spacing w:line="480" w:lineRule="auto"/>
        <w:rPr>
          <w:rFonts w:ascii="Times New Roman" w:hAnsi="Times New Roman"/>
        </w:rPr>
      </w:pPr>
    </w:p>
    <w:p w:rsidR="00AB4E40" w:rsidRDefault="00AB4E40" w:rsidP="00AB4E40">
      <w:pPr>
        <w:spacing w:line="480" w:lineRule="auto"/>
        <w:rPr>
          <w:rFonts w:ascii="Times New Roman" w:hAnsi="Times New Roman"/>
        </w:rPr>
      </w:pPr>
      <w:r>
        <w:rPr>
          <w:rFonts w:ascii="Times New Roman" w:hAnsi="Times New Roman"/>
        </w:rPr>
        <w:tab/>
      </w:r>
      <w:r>
        <w:rPr>
          <w:rFonts w:ascii="Times New Roman" w:hAnsi="Times New Roman"/>
        </w:rPr>
        <w:tab/>
        <w:t>Typically, AT&amp;T Ohio</w:t>
      </w:r>
      <w:r w:rsidR="00C750A6">
        <w:rPr>
          <w:rFonts w:ascii="Times New Roman" w:hAnsi="Times New Roman"/>
        </w:rPr>
        <w:t>'</w:t>
      </w:r>
      <w:r>
        <w:rPr>
          <w:rFonts w:ascii="Times New Roman" w:hAnsi="Times New Roman"/>
        </w:rPr>
        <w:t>s interconnection agreements with CLECs and wireless carriers contain the following provision:</w:t>
      </w:r>
    </w:p>
    <w:p w:rsidR="00042798" w:rsidRPr="00042798" w:rsidRDefault="00042798" w:rsidP="00042798">
      <w:pPr>
        <w:ind w:left="720"/>
        <w:rPr>
          <w:rFonts w:ascii="Times New Roman" w:hAnsi="Times New Roman"/>
        </w:rPr>
      </w:pPr>
      <w:r w:rsidRPr="00042798">
        <w:rPr>
          <w:rFonts w:ascii="Times New Roman" w:hAnsi="Times New Roman"/>
        </w:rPr>
        <w:lastRenderedPageBreak/>
        <w:t>Notwithstanding any other provision of this Agreement, the Confidential</w:t>
      </w:r>
    </w:p>
    <w:p w:rsidR="00042798" w:rsidRPr="00042798" w:rsidRDefault="00042798" w:rsidP="00042798">
      <w:pPr>
        <w:ind w:left="720"/>
        <w:rPr>
          <w:rFonts w:ascii="Times New Roman" w:hAnsi="Times New Roman"/>
        </w:rPr>
      </w:pPr>
      <w:r w:rsidRPr="00042798">
        <w:rPr>
          <w:rFonts w:ascii="Times New Roman" w:hAnsi="Times New Roman"/>
        </w:rPr>
        <w:t>Information provisions of this Agreement shall apply to all information regarding</w:t>
      </w:r>
    </w:p>
    <w:p w:rsidR="00042798" w:rsidRPr="00042798" w:rsidRDefault="00042798" w:rsidP="00042798">
      <w:pPr>
        <w:ind w:left="720"/>
        <w:rPr>
          <w:rFonts w:ascii="Times New Roman" w:hAnsi="Times New Roman"/>
        </w:rPr>
      </w:pPr>
      <w:r w:rsidRPr="00042798">
        <w:rPr>
          <w:rFonts w:ascii="Times New Roman" w:hAnsi="Times New Roman"/>
        </w:rPr>
        <w:t>the usage and other characteristics of the other Party</w:t>
      </w:r>
      <w:r w:rsidR="00C750A6">
        <w:rPr>
          <w:rFonts w:ascii="Times New Roman" w:hAnsi="Times New Roman"/>
        </w:rPr>
        <w:t>'</w:t>
      </w:r>
      <w:r w:rsidRPr="00042798">
        <w:rPr>
          <w:rFonts w:ascii="Times New Roman" w:hAnsi="Times New Roman"/>
        </w:rPr>
        <w:t>s Customers acquired by</w:t>
      </w:r>
    </w:p>
    <w:p w:rsidR="00042798" w:rsidRPr="00042798" w:rsidRDefault="00042798" w:rsidP="00042798">
      <w:pPr>
        <w:ind w:left="720"/>
        <w:rPr>
          <w:rFonts w:ascii="Times New Roman" w:hAnsi="Times New Roman"/>
        </w:rPr>
      </w:pPr>
      <w:r w:rsidRPr="00042798">
        <w:rPr>
          <w:rFonts w:ascii="Times New Roman" w:hAnsi="Times New Roman"/>
        </w:rPr>
        <w:t>either Party in performing under this Agreement, and to all information furnished</w:t>
      </w:r>
    </w:p>
    <w:p w:rsidR="00042798" w:rsidRPr="00042798" w:rsidRDefault="00042798" w:rsidP="00042798">
      <w:pPr>
        <w:ind w:left="720"/>
        <w:rPr>
          <w:rFonts w:ascii="Times New Roman" w:hAnsi="Times New Roman"/>
        </w:rPr>
      </w:pPr>
      <w:r w:rsidRPr="00042798">
        <w:rPr>
          <w:rFonts w:ascii="Times New Roman" w:hAnsi="Times New Roman"/>
        </w:rPr>
        <w:t>by either Party to the other in furtherance of the purpose of this Agreement, even</w:t>
      </w:r>
    </w:p>
    <w:p w:rsidR="00042798" w:rsidRPr="00042798" w:rsidRDefault="00042798" w:rsidP="00042798">
      <w:pPr>
        <w:ind w:left="720"/>
        <w:rPr>
          <w:rFonts w:ascii="Times New Roman" w:hAnsi="Times New Roman"/>
        </w:rPr>
      </w:pPr>
      <w:r w:rsidRPr="00042798">
        <w:rPr>
          <w:rFonts w:ascii="Times New Roman" w:hAnsi="Times New Roman"/>
        </w:rPr>
        <w:t>if furnished before the date of this Agreement and each Party</w:t>
      </w:r>
      <w:r w:rsidR="00C750A6">
        <w:rPr>
          <w:rFonts w:ascii="Times New Roman" w:hAnsi="Times New Roman"/>
        </w:rPr>
        <w:t>'</w:t>
      </w:r>
      <w:r w:rsidRPr="00042798">
        <w:rPr>
          <w:rFonts w:ascii="Times New Roman" w:hAnsi="Times New Roman"/>
        </w:rPr>
        <w:t>s obligation to</w:t>
      </w:r>
    </w:p>
    <w:p w:rsidR="00042798" w:rsidRPr="00042798" w:rsidRDefault="00042798" w:rsidP="00042798">
      <w:pPr>
        <w:ind w:left="720"/>
        <w:rPr>
          <w:rFonts w:ascii="Times New Roman" w:hAnsi="Times New Roman"/>
        </w:rPr>
      </w:pPr>
      <w:r w:rsidRPr="00042798">
        <w:rPr>
          <w:rFonts w:ascii="Times New Roman" w:hAnsi="Times New Roman"/>
        </w:rPr>
        <w:t>safeguard Confidential Information disclosed prior to expiration or termination of</w:t>
      </w:r>
    </w:p>
    <w:p w:rsidR="00042798" w:rsidRPr="00042798" w:rsidRDefault="00042798" w:rsidP="00042798">
      <w:pPr>
        <w:ind w:left="720"/>
        <w:rPr>
          <w:rFonts w:ascii="Times New Roman" w:hAnsi="Times New Roman"/>
        </w:rPr>
      </w:pPr>
      <w:r w:rsidRPr="00042798">
        <w:rPr>
          <w:rFonts w:ascii="Times New Roman" w:hAnsi="Times New Roman"/>
        </w:rPr>
        <w:t>this Agreement will survive such expiration or termination.</w:t>
      </w:r>
    </w:p>
    <w:p w:rsidR="00AB4E40" w:rsidRDefault="00AB4E40" w:rsidP="00042798">
      <w:pPr>
        <w:pStyle w:val="Caption"/>
        <w:widowControl/>
        <w:spacing w:line="480" w:lineRule="auto"/>
        <w:rPr>
          <w:rFonts w:ascii="Times New Roman" w:hAnsi="Times New Roman"/>
        </w:rPr>
      </w:pPr>
    </w:p>
    <w:p w:rsidR="00042798" w:rsidRDefault="00042798" w:rsidP="009B072F">
      <w:pPr>
        <w:spacing w:line="480" w:lineRule="auto"/>
        <w:rPr>
          <w:rFonts w:ascii="Times New Roman" w:hAnsi="Times New Roman"/>
        </w:rPr>
      </w:pPr>
      <w:r>
        <w:rPr>
          <w:rFonts w:ascii="Times New Roman" w:hAnsi="Times New Roman"/>
        </w:rPr>
        <w:t>The obligations under that provision are not time-limited.</w:t>
      </w:r>
      <w:r w:rsidR="009B072F">
        <w:rPr>
          <w:rFonts w:ascii="Times New Roman" w:hAnsi="Times New Roman"/>
        </w:rPr>
        <w:t xml:space="preserve">  AT&amp;T Ohio thus seeks continued protection of the information filed under seal in this case.</w:t>
      </w:r>
    </w:p>
    <w:p w:rsidR="00042798" w:rsidRPr="00042798" w:rsidRDefault="00042798" w:rsidP="009B072F">
      <w:pPr>
        <w:spacing w:line="480" w:lineRule="auto"/>
        <w:rPr>
          <w:rFonts w:ascii="Times New Roman" w:hAnsi="Times New Roman"/>
        </w:rPr>
      </w:pPr>
    </w:p>
    <w:p w:rsidR="00E64671" w:rsidRDefault="00AB4E40" w:rsidP="00E64671">
      <w:pPr>
        <w:pStyle w:val="Caption"/>
        <w:widowControl/>
        <w:spacing w:line="480" w:lineRule="auto"/>
        <w:ind w:firstLine="1440"/>
        <w:rPr>
          <w:rFonts w:ascii="Times New Roman" w:hAnsi="Times New Roman"/>
        </w:rPr>
      </w:pPr>
      <w:r>
        <w:rPr>
          <w:rFonts w:ascii="Times New Roman" w:hAnsi="Times New Roman"/>
        </w:rPr>
        <w:t>The information that is the subject of this motion should b</w:t>
      </w:r>
      <w:r w:rsidR="00657720">
        <w:rPr>
          <w:rFonts w:ascii="Times New Roman" w:hAnsi="Times New Roman"/>
        </w:rPr>
        <w:t xml:space="preserve">e considered </w:t>
      </w:r>
      <w:r w:rsidR="00DA7564">
        <w:rPr>
          <w:rFonts w:ascii="Times New Roman" w:hAnsi="Times New Roman"/>
        </w:rPr>
        <w:t xml:space="preserve">as confidential and/or proprietary </w:t>
      </w:r>
      <w:r w:rsidR="00657720">
        <w:rPr>
          <w:rFonts w:ascii="Times New Roman" w:hAnsi="Times New Roman"/>
        </w:rPr>
        <w:t xml:space="preserve">and </w:t>
      </w:r>
      <w:r w:rsidR="00E440E1">
        <w:rPr>
          <w:rFonts w:ascii="Times New Roman" w:hAnsi="Times New Roman"/>
        </w:rPr>
        <w:t xml:space="preserve">should </w:t>
      </w:r>
      <w:r w:rsidR="00DA7564">
        <w:rPr>
          <w:rFonts w:ascii="Times New Roman" w:hAnsi="Times New Roman"/>
        </w:rPr>
        <w:t xml:space="preserve">be </w:t>
      </w:r>
      <w:r>
        <w:rPr>
          <w:rFonts w:ascii="Times New Roman" w:hAnsi="Times New Roman"/>
        </w:rPr>
        <w:t xml:space="preserve">further </w:t>
      </w:r>
      <w:r w:rsidR="00DA7564">
        <w:rPr>
          <w:rFonts w:ascii="Times New Roman" w:hAnsi="Times New Roman"/>
        </w:rPr>
        <w:t>protected from public disclosure.</w:t>
      </w:r>
      <w:r w:rsidR="00657720">
        <w:rPr>
          <w:rFonts w:ascii="Times New Roman" w:hAnsi="Times New Roman"/>
        </w:rPr>
        <w:t xml:space="preserve">  </w:t>
      </w:r>
      <w:r w:rsidR="009B072F">
        <w:rPr>
          <w:rFonts w:ascii="Times New Roman" w:hAnsi="Times New Roman"/>
        </w:rPr>
        <w:t>O.A.C. §</w:t>
      </w:r>
      <w:r w:rsidR="00C32041">
        <w:rPr>
          <w:rFonts w:ascii="Times New Roman" w:hAnsi="Times New Roman"/>
        </w:rPr>
        <w:t xml:space="preserve"> 4901:1-4-09(E) provides that confidential information filed by the ILEC will be eligible for proprietary treatment in according with </w:t>
      </w:r>
      <w:r w:rsidR="009B072F">
        <w:rPr>
          <w:rFonts w:ascii="Times New Roman" w:hAnsi="Times New Roman"/>
        </w:rPr>
        <w:t>O.A.C. §</w:t>
      </w:r>
      <w:r w:rsidR="00DA7564">
        <w:rPr>
          <w:rFonts w:ascii="Times New Roman" w:hAnsi="Times New Roman"/>
        </w:rPr>
        <w:t xml:space="preserve"> 4901-1-24</w:t>
      </w:r>
      <w:r w:rsidR="00C32041">
        <w:rPr>
          <w:rFonts w:ascii="Times New Roman" w:hAnsi="Times New Roman"/>
        </w:rPr>
        <w:t>.  Division (D) of that section</w:t>
      </w:r>
      <w:r w:rsidR="00DA7564">
        <w:rPr>
          <w:rFonts w:ascii="Times New Roman" w:hAnsi="Times New Roman"/>
        </w:rPr>
        <w:t xml:space="preserve"> provides that the Commission or certain designated employees may issue an order which is necessary to protect the confidentiality of information contained in documents filed with the Commission</w:t>
      </w:r>
      <w:r w:rsidR="00C750A6">
        <w:rPr>
          <w:rFonts w:ascii="Times New Roman" w:hAnsi="Times New Roman"/>
        </w:rPr>
        <w:t>'</w:t>
      </w:r>
      <w:r w:rsidR="00DA7564">
        <w:rPr>
          <w:rFonts w:ascii="Times New Roman" w:hAnsi="Times New Roman"/>
        </w:rPr>
        <w:t xml:space="preserve">s Docketing Division to the extent that state or federal law prohibits the release of the information and where non-disclosure of the information is not inconsistent with the purposes of Title 49 of the Revised Code.  As set forth herein, the </w:t>
      </w:r>
      <w:r w:rsidR="00C64C08">
        <w:rPr>
          <w:rFonts w:ascii="Times New Roman" w:hAnsi="Times New Roman"/>
        </w:rPr>
        <w:t xml:space="preserve">information </w:t>
      </w:r>
      <w:r w:rsidR="00657720">
        <w:rPr>
          <w:rFonts w:ascii="Times New Roman" w:hAnsi="Times New Roman"/>
        </w:rPr>
        <w:t xml:space="preserve">described below </w:t>
      </w:r>
      <w:r w:rsidR="00DA7564">
        <w:rPr>
          <w:rFonts w:ascii="Times New Roman" w:hAnsi="Times New Roman"/>
        </w:rPr>
        <w:t>represent</w:t>
      </w:r>
      <w:r w:rsidR="00C64C08">
        <w:rPr>
          <w:rFonts w:ascii="Times New Roman" w:hAnsi="Times New Roman"/>
        </w:rPr>
        <w:t>s</w:t>
      </w:r>
      <w:r w:rsidR="00DA7564">
        <w:rPr>
          <w:rFonts w:ascii="Times New Roman" w:hAnsi="Times New Roman"/>
        </w:rPr>
        <w:t xml:space="preserve"> confidential business information</w:t>
      </w:r>
      <w:r w:rsidR="00657720">
        <w:rPr>
          <w:rFonts w:ascii="Times New Roman" w:hAnsi="Times New Roman"/>
        </w:rPr>
        <w:t xml:space="preserve"> and, therefore, </w:t>
      </w:r>
      <w:r w:rsidR="00DA7564">
        <w:rPr>
          <w:rFonts w:ascii="Times New Roman" w:hAnsi="Times New Roman"/>
        </w:rPr>
        <w:t>should be protected from disclosure.</w:t>
      </w:r>
      <w:r w:rsidR="00E64671">
        <w:rPr>
          <w:rFonts w:ascii="Times New Roman" w:hAnsi="Times New Roman"/>
        </w:rPr>
        <w:t xml:space="preserve">  While it is no longer the most current information on the presence of CLEC and wireless providers and CLEC market share in the AT&amp;T Ohio exchanges, the information is not considered by those entities to be transitory.</w:t>
      </w:r>
    </w:p>
    <w:p w:rsidR="00236F9D" w:rsidRDefault="00236F9D" w:rsidP="00AB4E40">
      <w:pPr>
        <w:spacing w:line="480" w:lineRule="auto"/>
        <w:rPr>
          <w:rFonts w:ascii="Times New Roman" w:hAnsi="Times New Roman"/>
        </w:rPr>
      </w:pPr>
    </w:p>
    <w:p w:rsidR="00E80D4F" w:rsidRDefault="00E80D4F" w:rsidP="00AB4E40">
      <w:pPr>
        <w:spacing w:line="480" w:lineRule="auto"/>
        <w:ind w:firstLine="1440"/>
        <w:rPr>
          <w:rFonts w:ascii="Times New Roman" w:hAnsi="Times New Roman"/>
        </w:rPr>
      </w:pPr>
      <w:r w:rsidRPr="003858AF">
        <w:rPr>
          <w:rFonts w:ascii="Times New Roman" w:hAnsi="Times New Roman"/>
        </w:rPr>
        <w:t xml:space="preserve">The confidential information </w:t>
      </w:r>
      <w:r w:rsidR="003858AF">
        <w:rPr>
          <w:rFonts w:ascii="Times New Roman" w:hAnsi="Times New Roman"/>
        </w:rPr>
        <w:t xml:space="preserve">consists of </w:t>
      </w:r>
      <w:r w:rsidR="005566BE">
        <w:rPr>
          <w:rFonts w:ascii="Times New Roman" w:hAnsi="Times New Roman"/>
        </w:rPr>
        <w:t>CLEC line count</w:t>
      </w:r>
      <w:r w:rsidR="00AB4E40">
        <w:rPr>
          <w:rFonts w:ascii="Times New Roman" w:hAnsi="Times New Roman"/>
        </w:rPr>
        <w:t>s</w:t>
      </w:r>
      <w:r w:rsidR="005566BE">
        <w:rPr>
          <w:rFonts w:ascii="Times New Roman" w:hAnsi="Times New Roman"/>
        </w:rPr>
        <w:t xml:space="preserve"> </w:t>
      </w:r>
      <w:r w:rsidR="009B072F">
        <w:rPr>
          <w:rFonts w:ascii="Times New Roman" w:hAnsi="Times New Roman"/>
        </w:rPr>
        <w:t xml:space="preserve">and </w:t>
      </w:r>
      <w:r w:rsidR="005566BE">
        <w:rPr>
          <w:rFonts w:ascii="Times New Roman" w:hAnsi="Times New Roman"/>
        </w:rPr>
        <w:t xml:space="preserve">the count of </w:t>
      </w:r>
      <w:r w:rsidR="00DC34EA">
        <w:rPr>
          <w:rFonts w:ascii="Times New Roman" w:hAnsi="Times New Roman"/>
        </w:rPr>
        <w:t>other</w:t>
      </w:r>
      <w:r w:rsidR="005566BE">
        <w:rPr>
          <w:rFonts w:ascii="Times New Roman" w:hAnsi="Times New Roman"/>
        </w:rPr>
        <w:t xml:space="preserve"> </w:t>
      </w:r>
      <w:r w:rsidR="005566BE">
        <w:rPr>
          <w:rFonts w:ascii="Times New Roman" w:hAnsi="Times New Roman"/>
        </w:rPr>
        <w:lastRenderedPageBreak/>
        <w:t xml:space="preserve">CLEC </w:t>
      </w:r>
      <w:r w:rsidR="009B072F">
        <w:rPr>
          <w:rFonts w:ascii="Times New Roman" w:hAnsi="Times New Roman"/>
        </w:rPr>
        <w:t xml:space="preserve">and wireless carrier </w:t>
      </w:r>
      <w:r w:rsidR="005566BE">
        <w:rPr>
          <w:rFonts w:ascii="Times New Roman" w:hAnsi="Times New Roman"/>
        </w:rPr>
        <w:t>presence indicators</w:t>
      </w:r>
      <w:r w:rsidR="00E62752">
        <w:rPr>
          <w:rFonts w:ascii="Times New Roman" w:hAnsi="Times New Roman"/>
        </w:rPr>
        <w:t>.</w:t>
      </w:r>
      <w:r w:rsidR="003858AF">
        <w:rPr>
          <w:rFonts w:ascii="Times New Roman" w:hAnsi="Times New Roman"/>
        </w:rPr>
        <w:t xml:space="preserve">  </w:t>
      </w:r>
      <w:r w:rsidR="00E62752">
        <w:rPr>
          <w:rFonts w:ascii="Times New Roman" w:hAnsi="Times New Roman"/>
        </w:rPr>
        <w:t>Exchange</w:t>
      </w:r>
      <w:r w:rsidR="003858AF">
        <w:rPr>
          <w:rFonts w:ascii="Times New Roman" w:hAnsi="Times New Roman"/>
        </w:rPr>
        <w:t>-specific information of this nature is generally protected from public disclosure in Commission proceedings.</w:t>
      </w:r>
    </w:p>
    <w:p w:rsidR="003858AF" w:rsidRPr="00236F9D" w:rsidRDefault="003858AF" w:rsidP="003858AF">
      <w:pPr>
        <w:spacing w:line="480" w:lineRule="auto"/>
        <w:rPr>
          <w:rFonts w:ascii="Times New Roman" w:hAnsi="Times New Roman"/>
        </w:rPr>
      </w:pPr>
    </w:p>
    <w:p w:rsidR="000C710C" w:rsidRDefault="00DA7564" w:rsidP="00236F9D">
      <w:pPr>
        <w:spacing w:line="480" w:lineRule="auto"/>
        <w:ind w:firstLine="1440"/>
        <w:rPr>
          <w:rFonts w:ascii="Times New Roman" w:hAnsi="Times New Roman"/>
        </w:rPr>
      </w:pPr>
      <w:r w:rsidRPr="00EF30B7">
        <w:rPr>
          <w:rFonts w:ascii="Times New Roman" w:hAnsi="Times New Roman"/>
        </w:rPr>
        <w:t xml:space="preserve">Non-disclosure of the </w:t>
      </w:r>
      <w:r w:rsidR="00C32041">
        <w:rPr>
          <w:rFonts w:ascii="Times New Roman" w:hAnsi="Times New Roman"/>
        </w:rPr>
        <w:t xml:space="preserve">identified confidential </w:t>
      </w:r>
      <w:r w:rsidRPr="00EF30B7">
        <w:rPr>
          <w:rFonts w:ascii="Times New Roman" w:hAnsi="Times New Roman"/>
        </w:rPr>
        <w:t xml:space="preserve">information will not impair the purposes of Title 49.  The Commission and its Staff have full access to the information in order to review the </w:t>
      </w:r>
      <w:r w:rsidR="00236F9D">
        <w:rPr>
          <w:rFonts w:ascii="Times New Roman" w:hAnsi="Times New Roman"/>
        </w:rPr>
        <w:t xml:space="preserve">competitive showings made in the application.  </w:t>
      </w:r>
      <w:r w:rsidRPr="00EF30B7">
        <w:rPr>
          <w:rFonts w:ascii="Times New Roman" w:hAnsi="Times New Roman"/>
        </w:rPr>
        <w:t>No purpose of Title 49 would be served by the public disclosure of the information.</w:t>
      </w:r>
    </w:p>
    <w:p w:rsidR="00E64671" w:rsidRDefault="00E64671" w:rsidP="00E64671">
      <w:pPr>
        <w:spacing w:line="480" w:lineRule="auto"/>
        <w:rPr>
          <w:rFonts w:ascii="Times New Roman" w:hAnsi="Times New Roman"/>
        </w:rPr>
      </w:pPr>
    </w:p>
    <w:p w:rsidR="000C710C" w:rsidRPr="00EF30B7" w:rsidRDefault="000C710C" w:rsidP="00236F9D">
      <w:pPr>
        <w:spacing w:line="480" w:lineRule="auto"/>
        <w:ind w:firstLine="1440"/>
        <w:rPr>
          <w:rFonts w:ascii="Times New Roman" w:hAnsi="Times New Roman"/>
        </w:rPr>
      </w:pPr>
      <w:r w:rsidRPr="00EF30B7">
        <w:rPr>
          <w:rFonts w:ascii="Times New Roman" w:hAnsi="Times New Roman"/>
        </w:rPr>
        <w:t>The need to protect the designated information from public disclosure is clear, and there is compelling legal authority supporting the requested protective order.  While the Commission has often expressed its preference for open proceedings, the Commission also long ago recognized its statutory obligations with regard to trade secrets:</w:t>
      </w:r>
    </w:p>
    <w:p w:rsidR="000C710C" w:rsidRDefault="000C710C" w:rsidP="00E80D4F">
      <w:pPr>
        <w:ind w:left="720"/>
        <w:jc w:val="both"/>
        <w:rPr>
          <w:rFonts w:ascii="Times New Roman" w:hAnsi="Times New Roman"/>
        </w:rPr>
      </w:pPr>
      <w:r w:rsidRPr="00EF30B7">
        <w:rPr>
          <w:rFonts w:ascii="Times New Roman" w:hAnsi="Times New Roman"/>
        </w:rPr>
        <w:t xml:space="preserve">The Commission is of the opinion that the </w:t>
      </w:r>
      <w:r w:rsidR="00C750A6">
        <w:rPr>
          <w:rFonts w:ascii="Times New Roman" w:hAnsi="Times New Roman"/>
        </w:rPr>
        <w:t>"</w:t>
      </w:r>
      <w:r w:rsidRPr="00EF30B7">
        <w:rPr>
          <w:rFonts w:ascii="Times New Roman" w:hAnsi="Times New Roman"/>
        </w:rPr>
        <w:t>public records</w:t>
      </w:r>
      <w:r w:rsidR="00C750A6">
        <w:rPr>
          <w:rFonts w:ascii="Times New Roman" w:hAnsi="Times New Roman"/>
        </w:rPr>
        <w:t>"</w:t>
      </w:r>
      <w:r w:rsidRPr="00EF30B7">
        <w:rPr>
          <w:rFonts w:ascii="Times New Roman" w:hAnsi="Times New Roman"/>
        </w:rPr>
        <w:t xml:space="preserve"> statute must also be read </w:t>
      </w:r>
      <w:r w:rsidRPr="00EF30B7">
        <w:rPr>
          <w:rFonts w:ascii="Times New Roman" w:hAnsi="Times New Roman"/>
          <w:u w:val="single"/>
        </w:rPr>
        <w:t>in pari materia</w:t>
      </w:r>
      <w:r w:rsidRPr="00EF30B7">
        <w:rPr>
          <w:rFonts w:ascii="Times New Roman" w:hAnsi="Times New Roman"/>
        </w:rPr>
        <w:t xml:space="preserve"> with Section 1333.31, Revised Code (</w:t>
      </w:r>
      <w:r w:rsidR="00C750A6">
        <w:rPr>
          <w:rFonts w:ascii="Times New Roman" w:hAnsi="Times New Roman"/>
        </w:rPr>
        <w:t>"</w:t>
      </w:r>
      <w:r w:rsidRPr="00EF30B7">
        <w:rPr>
          <w:rFonts w:ascii="Times New Roman" w:hAnsi="Times New Roman"/>
        </w:rPr>
        <w:t>trade secrets</w:t>
      </w:r>
      <w:r w:rsidR="00C750A6">
        <w:rPr>
          <w:rFonts w:ascii="Times New Roman" w:hAnsi="Times New Roman"/>
        </w:rPr>
        <w:t>"</w:t>
      </w:r>
      <w:r w:rsidRPr="00EF30B7">
        <w:rPr>
          <w:rFonts w:ascii="Times New Roman" w:hAnsi="Times New Roman"/>
        </w:rPr>
        <w:t xml:space="preserve"> statute).  The latter statute must be interpreted as evincing the recognition, on the part of the General Assembly, of the value of trade secret information.</w:t>
      </w:r>
    </w:p>
    <w:p w:rsidR="003858AF" w:rsidRPr="00EF30B7" w:rsidRDefault="003858AF" w:rsidP="00E80D4F">
      <w:pPr>
        <w:ind w:left="720"/>
        <w:jc w:val="both"/>
        <w:rPr>
          <w:rFonts w:ascii="Times New Roman" w:hAnsi="Times New Roman"/>
        </w:rPr>
      </w:pPr>
    </w:p>
    <w:p w:rsidR="000C710C" w:rsidRDefault="000C710C" w:rsidP="00FF7AB0">
      <w:pPr>
        <w:spacing w:line="480" w:lineRule="auto"/>
        <w:jc w:val="both"/>
        <w:rPr>
          <w:rFonts w:ascii="Times New Roman" w:hAnsi="Times New Roman"/>
        </w:rPr>
      </w:pPr>
      <w:r w:rsidRPr="00EF30B7">
        <w:rPr>
          <w:rFonts w:ascii="Times New Roman" w:hAnsi="Times New Roman"/>
          <w:u w:val="single"/>
        </w:rPr>
        <w:t>In re</w:t>
      </w:r>
      <w:r w:rsidR="003858AF">
        <w:rPr>
          <w:rFonts w:ascii="Times New Roman" w:hAnsi="Times New Roman"/>
          <w:u w:val="single"/>
        </w:rPr>
        <w:t xml:space="preserve"> </w:t>
      </w:r>
      <w:r w:rsidRPr="00EF30B7">
        <w:rPr>
          <w:rFonts w:ascii="Times New Roman" w:hAnsi="Times New Roman"/>
          <w:u w:val="single"/>
        </w:rPr>
        <w:t>General Telephone Co.</w:t>
      </w:r>
      <w:r w:rsidRPr="00EF30B7">
        <w:rPr>
          <w:rFonts w:ascii="Times New Roman" w:hAnsi="Times New Roman"/>
        </w:rPr>
        <w:t xml:space="preserve">, Case No. 81-383-TP-AIR (Entry, </w:t>
      </w:r>
      <w:smartTag w:uri="urn:schemas-microsoft-com:office:smarttags" w:element="date">
        <w:smartTagPr>
          <w:attr w:name="ls" w:val="trans"/>
          <w:attr w:name="Month" w:val="2"/>
          <w:attr w:name="Day" w:val="17"/>
          <w:attr w:name="Year" w:val="1982"/>
        </w:smartTagPr>
        <w:r w:rsidRPr="00EF30B7">
          <w:rPr>
            <w:rFonts w:ascii="Times New Roman" w:hAnsi="Times New Roman"/>
          </w:rPr>
          <w:t>February 17, 1982</w:t>
        </w:r>
      </w:smartTag>
      <w:r w:rsidRPr="00EF30B7">
        <w:rPr>
          <w:rFonts w:ascii="Times New Roman" w:hAnsi="Times New Roman"/>
        </w:rPr>
        <w:t>).  Likewise, the Commission has facilitated the protection of trade secrets in its rules (O.A.C. § 4901-1-24(A)(7)).</w:t>
      </w:r>
    </w:p>
    <w:p w:rsidR="00E80D4F" w:rsidRPr="00EF30B7" w:rsidRDefault="00E80D4F" w:rsidP="00FF7AB0">
      <w:pPr>
        <w:spacing w:line="480" w:lineRule="auto"/>
        <w:jc w:val="both"/>
        <w:rPr>
          <w:rFonts w:ascii="Times New Roman" w:hAnsi="Times New Roman"/>
        </w:rPr>
      </w:pPr>
    </w:p>
    <w:p w:rsidR="000C710C" w:rsidRDefault="000C710C" w:rsidP="001B663D">
      <w:pPr>
        <w:spacing w:line="480" w:lineRule="auto"/>
        <w:ind w:firstLine="1440"/>
        <w:jc w:val="both"/>
        <w:rPr>
          <w:rFonts w:ascii="Times New Roman" w:hAnsi="Times New Roman"/>
        </w:rPr>
      </w:pPr>
      <w:r w:rsidRPr="00EF30B7">
        <w:rPr>
          <w:rFonts w:ascii="Times New Roman" w:hAnsi="Times New Roman"/>
        </w:rPr>
        <w:t xml:space="preserve">The definition of a </w:t>
      </w:r>
      <w:r w:rsidR="00C750A6">
        <w:rPr>
          <w:rFonts w:ascii="Times New Roman" w:hAnsi="Times New Roman"/>
        </w:rPr>
        <w:t>"</w:t>
      </w:r>
      <w:r w:rsidRPr="00EF30B7">
        <w:rPr>
          <w:rFonts w:ascii="Times New Roman" w:hAnsi="Times New Roman"/>
        </w:rPr>
        <w:t>trade secret</w:t>
      </w:r>
      <w:r w:rsidR="00C750A6">
        <w:rPr>
          <w:rFonts w:ascii="Times New Roman" w:hAnsi="Times New Roman"/>
        </w:rPr>
        <w:t>"</w:t>
      </w:r>
      <w:r w:rsidRPr="00EF30B7">
        <w:rPr>
          <w:rFonts w:ascii="Times New Roman" w:hAnsi="Times New Roman"/>
        </w:rPr>
        <w:t xml:space="preserve"> is set forth in the Uniform Trade Secrets Act:</w:t>
      </w:r>
    </w:p>
    <w:p w:rsidR="000C710C" w:rsidRPr="00EF30B7" w:rsidRDefault="00C750A6" w:rsidP="00E80D4F">
      <w:pPr>
        <w:ind w:left="720"/>
        <w:jc w:val="both"/>
        <w:rPr>
          <w:rFonts w:ascii="Times New Roman" w:hAnsi="Times New Roman"/>
        </w:rPr>
      </w:pPr>
      <w:r>
        <w:rPr>
          <w:rFonts w:ascii="Times New Roman" w:hAnsi="Times New Roman"/>
        </w:rPr>
        <w:t>"</w:t>
      </w:r>
      <w:r w:rsidR="000C710C" w:rsidRPr="00EF30B7">
        <w:rPr>
          <w:rFonts w:ascii="Times New Roman" w:hAnsi="Times New Roman"/>
        </w:rPr>
        <w:t>Trade secret</w:t>
      </w:r>
      <w:r>
        <w:rPr>
          <w:rFonts w:ascii="Times New Roman" w:hAnsi="Times New Roman"/>
        </w:rPr>
        <w:t>"</w:t>
      </w:r>
      <w:r w:rsidR="000C710C" w:rsidRPr="00EF30B7">
        <w:rPr>
          <w:rFonts w:ascii="Times New Roman" w:hAnsi="Times New Roman"/>
        </w:rPr>
        <w:t xml:space="preserve"> means information, including the whole or any portion or phase of any scientific or technical information, design, process, procedure, formula, pattern, compilation, program, device, method, technique, or improvement, or any business information or plans, financial information, or listing of names, addresses, or telephone numbers, that satisfies both of the following:</w:t>
      </w:r>
    </w:p>
    <w:p w:rsidR="000C710C" w:rsidRPr="00EF30B7" w:rsidRDefault="00E80D4F" w:rsidP="00E80D4F">
      <w:pPr>
        <w:ind w:left="720"/>
        <w:jc w:val="both"/>
        <w:rPr>
          <w:rFonts w:ascii="Times New Roman" w:hAnsi="Times New Roman"/>
        </w:rPr>
      </w:pPr>
      <w:r>
        <w:rPr>
          <w:rFonts w:ascii="Times New Roman" w:hAnsi="Times New Roman"/>
        </w:rPr>
        <w:t>(</w:t>
      </w:r>
      <w:r w:rsidR="000C710C" w:rsidRPr="00EF30B7">
        <w:rPr>
          <w:rFonts w:ascii="Times New Roman" w:hAnsi="Times New Roman"/>
        </w:rPr>
        <w:t xml:space="preserve">1) It derives independent economic value, actual or potential, from not being generally known to, and not being readily ascertainable by proper means by, other persons who can </w:t>
      </w:r>
      <w:r w:rsidR="000C710C" w:rsidRPr="00EF30B7">
        <w:rPr>
          <w:rFonts w:ascii="Times New Roman" w:hAnsi="Times New Roman"/>
        </w:rPr>
        <w:lastRenderedPageBreak/>
        <w:t>obtain economic value from its disclosure or use.</w:t>
      </w:r>
    </w:p>
    <w:p w:rsidR="000C710C" w:rsidRPr="00EF30B7" w:rsidRDefault="000C710C" w:rsidP="00E80D4F">
      <w:pPr>
        <w:ind w:left="720"/>
        <w:jc w:val="both"/>
        <w:rPr>
          <w:rFonts w:ascii="Times New Roman" w:hAnsi="Times New Roman"/>
        </w:rPr>
      </w:pPr>
      <w:r w:rsidRPr="00EF30B7">
        <w:rPr>
          <w:rFonts w:ascii="Times New Roman" w:hAnsi="Times New Roman"/>
        </w:rPr>
        <w:t>(2)  It is the subject of efforts that are reasonable under the circumstances to maintain its secrecy.</w:t>
      </w:r>
    </w:p>
    <w:p w:rsidR="000C710C" w:rsidRPr="00EF30B7" w:rsidRDefault="000C710C" w:rsidP="00E80D4F">
      <w:pPr>
        <w:rPr>
          <w:rFonts w:ascii="Times New Roman" w:hAnsi="Times New Roman"/>
        </w:rPr>
      </w:pPr>
    </w:p>
    <w:p w:rsidR="000C710C" w:rsidRDefault="000C710C" w:rsidP="00E80D4F">
      <w:pPr>
        <w:spacing w:line="480" w:lineRule="auto"/>
        <w:outlineLvl w:val="0"/>
        <w:rPr>
          <w:rFonts w:ascii="Times New Roman" w:hAnsi="Times New Roman"/>
        </w:rPr>
      </w:pPr>
      <w:r w:rsidRPr="00EF30B7">
        <w:rPr>
          <w:rFonts w:ascii="Times New Roman" w:hAnsi="Times New Roman"/>
        </w:rPr>
        <w:t>R. C. § 1333.61(D).  This definition clearly reflects the state policy favoring the protection of trade secrets such as the information which is the subject of this motion.</w:t>
      </w:r>
    </w:p>
    <w:p w:rsidR="00E80D4F" w:rsidRPr="00EF30B7" w:rsidRDefault="00E80D4F" w:rsidP="00E80D4F">
      <w:pPr>
        <w:spacing w:line="480" w:lineRule="auto"/>
        <w:outlineLvl w:val="0"/>
        <w:rPr>
          <w:rFonts w:ascii="Times New Roman" w:hAnsi="Times New Roman"/>
        </w:rPr>
      </w:pPr>
    </w:p>
    <w:p w:rsidR="000C710C" w:rsidRDefault="000C710C" w:rsidP="00E80D4F">
      <w:pPr>
        <w:spacing w:line="480" w:lineRule="auto"/>
        <w:ind w:firstLine="1440"/>
        <w:rPr>
          <w:rFonts w:ascii="Times New Roman" w:hAnsi="Times New Roman"/>
        </w:rPr>
      </w:pPr>
      <w:r w:rsidRPr="00EF30B7">
        <w:rPr>
          <w:rFonts w:ascii="Times New Roman" w:hAnsi="Times New Roman"/>
        </w:rPr>
        <w:t xml:space="preserve">Courts of other jurisdictions have held that not only does a public utilities commission have the authority to protect the trade secrets of a public utility, the trade secret statute creates a duty to protect them.  </w:t>
      </w:r>
      <w:r w:rsidRPr="00EF30B7">
        <w:rPr>
          <w:rFonts w:ascii="Times New Roman" w:hAnsi="Times New Roman"/>
          <w:u w:val="single"/>
        </w:rPr>
        <w:t>New York Tel. Co. v. Pub. Serv. Comm. N.Y.</w:t>
      </w:r>
      <w:r w:rsidRPr="00EF30B7">
        <w:rPr>
          <w:rFonts w:ascii="Times New Roman" w:hAnsi="Times New Roman"/>
        </w:rPr>
        <w:t xml:space="preserve">, 56 N.Y. 2d 213 (1982).  Indeed, for the Commission to do otherwise would be to negate the protections the Ohio General Assembly has granted to all businesses, including public utilities, through the Uniform Trade Secrets Act.  This Commission has previously carried out its obligations in this regard in numerous proceedings.  </w:t>
      </w:r>
      <w:r w:rsidRPr="00EF30B7">
        <w:rPr>
          <w:rFonts w:ascii="Times New Roman" w:hAnsi="Times New Roman"/>
          <w:u w:val="single"/>
        </w:rPr>
        <w:t>See</w:t>
      </w:r>
      <w:r w:rsidRPr="00EF30B7">
        <w:rPr>
          <w:rFonts w:ascii="Times New Roman" w:hAnsi="Times New Roman"/>
        </w:rPr>
        <w:t xml:space="preserve">, </w:t>
      </w:r>
      <w:r w:rsidRPr="00EF30B7">
        <w:rPr>
          <w:rFonts w:ascii="Times New Roman" w:hAnsi="Times New Roman"/>
          <w:u w:val="single"/>
        </w:rPr>
        <w:t>e.g.</w:t>
      </w:r>
      <w:r w:rsidRPr="00EF30B7">
        <w:rPr>
          <w:rFonts w:ascii="Times New Roman" w:hAnsi="Times New Roman"/>
        </w:rPr>
        <w:t xml:space="preserve">, </w:t>
      </w:r>
      <w:r w:rsidRPr="00EF30B7">
        <w:rPr>
          <w:rFonts w:ascii="Times New Roman" w:hAnsi="Times New Roman"/>
          <w:u w:val="single"/>
        </w:rPr>
        <w:t>Elyria Tel. Co.</w:t>
      </w:r>
      <w:r w:rsidRPr="00EF30B7">
        <w:rPr>
          <w:rFonts w:ascii="Times New Roman" w:hAnsi="Times New Roman"/>
        </w:rPr>
        <w:t xml:space="preserve">, Case No. 89-965-TP-AEC (Finding and Order, </w:t>
      </w:r>
      <w:smartTag w:uri="urn:schemas-microsoft-com:office:smarttags" w:element="date">
        <w:smartTagPr>
          <w:attr w:name="ls" w:val="trans"/>
          <w:attr w:name="Month" w:val="9"/>
          <w:attr w:name="Day" w:val="21"/>
          <w:attr w:name="Year" w:val="1989"/>
        </w:smartTagPr>
        <w:r w:rsidRPr="00EF30B7">
          <w:rPr>
            <w:rFonts w:ascii="Times New Roman" w:hAnsi="Times New Roman"/>
          </w:rPr>
          <w:t>September 21, 1989</w:t>
        </w:r>
      </w:smartTag>
      <w:r w:rsidRPr="00EF30B7">
        <w:rPr>
          <w:rFonts w:ascii="Times New Roman" w:hAnsi="Times New Roman"/>
        </w:rPr>
        <w:t xml:space="preserve">); </w:t>
      </w:r>
      <w:r w:rsidRPr="00EF30B7">
        <w:rPr>
          <w:rFonts w:ascii="Times New Roman" w:hAnsi="Times New Roman"/>
          <w:u w:val="single"/>
        </w:rPr>
        <w:t>Ohio Bell Tel. Co.</w:t>
      </w:r>
      <w:r w:rsidRPr="00EF30B7">
        <w:rPr>
          <w:rFonts w:ascii="Times New Roman" w:hAnsi="Times New Roman"/>
        </w:rPr>
        <w:t xml:space="preserve">, Case No. 89-718-TP-ATA (Finding and Order, </w:t>
      </w:r>
      <w:smartTag w:uri="urn:schemas-microsoft-com:office:smarttags" w:element="date">
        <w:smartTagPr>
          <w:attr w:name="ls" w:val="trans"/>
          <w:attr w:name="Month" w:val="5"/>
          <w:attr w:name="Day" w:val="31"/>
          <w:attr w:name="Year" w:val="1989"/>
        </w:smartTagPr>
        <w:r w:rsidRPr="00EF30B7">
          <w:rPr>
            <w:rFonts w:ascii="Times New Roman" w:hAnsi="Times New Roman"/>
          </w:rPr>
          <w:t>May 31, 1989</w:t>
        </w:r>
      </w:smartTag>
      <w:r w:rsidRPr="00EF30B7">
        <w:rPr>
          <w:rFonts w:ascii="Times New Roman" w:hAnsi="Times New Roman"/>
        </w:rPr>
        <w:t xml:space="preserve">); </w:t>
      </w:r>
      <w:r w:rsidRPr="00EF30B7">
        <w:rPr>
          <w:rFonts w:ascii="Times New Roman" w:hAnsi="Times New Roman"/>
          <w:u w:val="single"/>
        </w:rPr>
        <w:t>Columbia Gas of Ohio, Inc.</w:t>
      </w:r>
      <w:r w:rsidRPr="00EF30B7">
        <w:rPr>
          <w:rFonts w:ascii="Times New Roman" w:hAnsi="Times New Roman"/>
        </w:rPr>
        <w:t xml:space="preserve">, Case No. 90-17-GA-GCR (Entry, </w:t>
      </w:r>
      <w:smartTag w:uri="urn:schemas-microsoft-com:office:smarttags" w:element="date">
        <w:smartTagPr>
          <w:attr w:name="ls" w:val="trans"/>
          <w:attr w:name="Month" w:val="8"/>
          <w:attr w:name="Day" w:val="17"/>
          <w:attr w:name="Year" w:val="1990"/>
        </w:smartTagPr>
        <w:r w:rsidRPr="00EF30B7">
          <w:rPr>
            <w:rFonts w:ascii="Times New Roman" w:hAnsi="Times New Roman"/>
          </w:rPr>
          <w:t>August 17, 1990</w:t>
        </w:r>
      </w:smartTag>
      <w:r w:rsidRPr="00EF30B7">
        <w:rPr>
          <w:rFonts w:ascii="Times New Roman" w:hAnsi="Times New Roman"/>
        </w:rPr>
        <w:t>).</w:t>
      </w:r>
    </w:p>
    <w:p w:rsidR="00E80D4F" w:rsidRPr="00EF30B7" w:rsidRDefault="00E80D4F" w:rsidP="00E80D4F">
      <w:pPr>
        <w:spacing w:line="480" w:lineRule="auto"/>
        <w:rPr>
          <w:rFonts w:ascii="Times New Roman" w:hAnsi="Times New Roman"/>
        </w:rPr>
      </w:pPr>
    </w:p>
    <w:p w:rsidR="000C710C" w:rsidRDefault="000C710C" w:rsidP="00E80D4F">
      <w:pPr>
        <w:spacing w:line="480" w:lineRule="auto"/>
        <w:ind w:firstLine="1440"/>
        <w:rPr>
          <w:rFonts w:ascii="Times New Roman" w:hAnsi="Times New Roman"/>
        </w:rPr>
      </w:pPr>
      <w:r w:rsidRPr="00EF30B7">
        <w:rPr>
          <w:rFonts w:ascii="Times New Roman" w:hAnsi="Times New Roman"/>
        </w:rPr>
        <w:t>In 1996, the Ohio General Assembly amended R. C. §§ 4901.12 and 4905.07 in order to facilitate the protection of trade secrets in the Commission</w:t>
      </w:r>
      <w:r w:rsidR="00C750A6">
        <w:rPr>
          <w:rFonts w:ascii="Times New Roman" w:hAnsi="Times New Roman"/>
        </w:rPr>
        <w:t>'</w:t>
      </w:r>
      <w:r w:rsidRPr="00EF30B7">
        <w:rPr>
          <w:rFonts w:ascii="Times New Roman" w:hAnsi="Times New Roman"/>
        </w:rPr>
        <w:t>s possession.  The General Assembly carved out an exception to the general rule in favor of the public disclosure of information in the Commission</w:t>
      </w:r>
      <w:r w:rsidR="00C750A6">
        <w:rPr>
          <w:rFonts w:ascii="Times New Roman" w:hAnsi="Times New Roman"/>
        </w:rPr>
        <w:t>'</w:t>
      </w:r>
      <w:r w:rsidRPr="00EF30B7">
        <w:rPr>
          <w:rFonts w:ascii="Times New Roman" w:hAnsi="Times New Roman"/>
        </w:rPr>
        <w:t xml:space="preserve">s possession.  By referencing R. C. § 149.43, the Commission-specific statutes now incorporate the provision of that statute that excepts from the definition of </w:t>
      </w:r>
      <w:r w:rsidR="00C750A6">
        <w:rPr>
          <w:rFonts w:ascii="Times New Roman" w:hAnsi="Times New Roman"/>
        </w:rPr>
        <w:t>"</w:t>
      </w:r>
      <w:r w:rsidRPr="00EF30B7">
        <w:rPr>
          <w:rFonts w:ascii="Times New Roman" w:hAnsi="Times New Roman"/>
        </w:rPr>
        <w:t>public record</w:t>
      </w:r>
      <w:r w:rsidR="00C750A6">
        <w:rPr>
          <w:rFonts w:ascii="Times New Roman" w:hAnsi="Times New Roman"/>
        </w:rPr>
        <w:t>"</w:t>
      </w:r>
      <w:r w:rsidRPr="00EF30B7">
        <w:rPr>
          <w:rFonts w:ascii="Times New Roman" w:hAnsi="Times New Roman"/>
        </w:rPr>
        <w:t xml:space="preserve"> records the release of which is prohibited by state or federal law.  R. C. § 149.43(A)(1).  In turn, state law prohibits the release of information meeting the definition of a </w:t>
      </w:r>
      <w:r w:rsidRPr="00EF30B7">
        <w:rPr>
          <w:rFonts w:ascii="Times New Roman" w:hAnsi="Times New Roman"/>
        </w:rPr>
        <w:lastRenderedPageBreak/>
        <w:t xml:space="preserve">trade secret.  R. C. §§ 1333.61(D) and 1333.62.  The amended statutes also reference the purposes of Title 49 of the Revised Code.  The protection of trade secret information from public disclosure is consistent with the purposes of Title 49 because the Commission and its Staff have access to the information; in many cases, the parties to a case may have access under an appropriate protective agreement.  </w:t>
      </w:r>
      <w:r w:rsidR="00E440E1">
        <w:rPr>
          <w:rFonts w:ascii="Times New Roman" w:hAnsi="Times New Roman"/>
        </w:rPr>
        <w:t xml:space="preserve">Such a protective agreement is in place in this case.  </w:t>
      </w:r>
      <w:r w:rsidRPr="00EF30B7">
        <w:rPr>
          <w:rFonts w:ascii="Times New Roman" w:hAnsi="Times New Roman"/>
        </w:rPr>
        <w:t>The protection of trade secret information as requested herein will not impair the Commission</w:t>
      </w:r>
      <w:r w:rsidR="00C750A6">
        <w:rPr>
          <w:rFonts w:ascii="Times New Roman" w:hAnsi="Times New Roman"/>
        </w:rPr>
        <w:t>'</w:t>
      </w:r>
      <w:r w:rsidRPr="00EF30B7">
        <w:rPr>
          <w:rFonts w:ascii="Times New Roman" w:hAnsi="Times New Roman"/>
        </w:rPr>
        <w:t>s regulatory responsibilities.</w:t>
      </w:r>
    </w:p>
    <w:p w:rsidR="00DC03AE" w:rsidRPr="00EF30B7" w:rsidRDefault="00DC03AE" w:rsidP="00E80D4F">
      <w:pPr>
        <w:spacing w:line="480" w:lineRule="auto"/>
        <w:rPr>
          <w:rFonts w:ascii="Times New Roman" w:hAnsi="Times New Roman"/>
        </w:rPr>
      </w:pPr>
    </w:p>
    <w:p w:rsidR="000C710C" w:rsidRPr="00EF30B7" w:rsidRDefault="000C710C" w:rsidP="00E80D4F">
      <w:pPr>
        <w:spacing w:line="480" w:lineRule="auto"/>
        <w:ind w:firstLine="1440"/>
        <w:rPr>
          <w:rFonts w:ascii="Times New Roman" w:hAnsi="Times New Roman"/>
        </w:rPr>
      </w:pPr>
      <w:r w:rsidRPr="00EF30B7">
        <w:rPr>
          <w:rFonts w:ascii="Times New Roman" w:hAnsi="Times New Roman"/>
        </w:rPr>
        <w:t xml:space="preserve">In </w:t>
      </w:r>
      <w:r w:rsidRPr="00EF30B7">
        <w:rPr>
          <w:rFonts w:ascii="Times New Roman" w:hAnsi="Times New Roman"/>
          <w:u w:val="single"/>
        </w:rPr>
        <w:t>Pyromatics, Inc. v. Petruziello</w:t>
      </w:r>
      <w:r w:rsidRPr="00EF30B7">
        <w:rPr>
          <w:rFonts w:ascii="Times New Roman" w:hAnsi="Times New Roman"/>
        </w:rPr>
        <w:t xml:space="preserve">, 7 Ohio App. 3d 131, 134-135 (Cuyahoga County 1983), the Court of Appeals, citing </w:t>
      </w:r>
      <w:r w:rsidRPr="00EF30B7">
        <w:rPr>
          <w:rFonts w:ascii="Times New Roman" w:hAnsi="Times New Roman"/>
          <w:u w:val="single"/>
        </w:rPr>
        <w:t>Koch Engineering Co. v. Faulconer</w:t>
      </w:r>
      <w:r w:rsidRPr="00EF30B7">
        <w:rPr>
          <w:rFonts w:ascii="Times New Roman" w:hAnsi="Times New Roman"/>
        </w:rPr>
        <w:t>, 210 U.S.P.Q. 854, 861 (Kansas 1980), has delineated factors to be considered in recognizing a trade secret:</w:t>
      </w:r>
    </w:p>
    <w:p w:rsidR="000C710C" w:rsidRDefault="000C710C" w:rsidP="00E80D4F">
      <w:pPr>
        <w:ind w:left="720"/>
        <w:rPr>
          <w:rFonts w:ascii="Times New Roman" w:hAnsi="Times New Roman"/>
        </w:rPr>
      </w:pPr>
      <w:r w:rsidRPr="00EF30B7">
        <w:rPr>
          <w:rFonts w:ascii="Times New Roman" w:hAnsi="Times New Roman"/>
        </w:rPr>
        <w:t xml:space="preserve">(1) The extent to which the information is known outside the business, (2) the extent to which it is known to those inside the business, </w:t>
      </w:r>
      <w:r w:rsidRPr="00EF30B7">
        <w:rPr>
          <w:rFonts w:ascii="Times New Roman" w:hAnsi="Times New Roman"/>
          <w:u w:val="single"/>
        </w:rPr>
        <w:t>i.e.</w:t>
      </w:r>
      <w:r w:rsidRPr="00EF30B7">
        <w:rPr>
          <w:rFonts w:ascii="Times New Roman" w:hAnsi="Times New Roman"/>
        </w:rPr>
        <w:t>, by the employees, (3) the precautions taken by the holder of the trade secret to guard the secrecy of the information, (4) the savings effected and the value to the holder in having the information as against competitors, (5) the amount of effort or money expended in obtaining and developing the information, and (6) the amount of time and expense it would take for others to acquire and duplicate the information.</w:t>
      </w:r>
    </w:p>
    <w:p w:rsidR="00153EBA" w:rsidRPr="00EF30B7" w:rsidRDefault="00153EBA" w:rsidP="00E80D4F">
      <w:pPr>
        <w:ind w:left="720"/>
        <w:rPr>
          <w:rFonts w:ascii="Times New Roman" w:hAnsi="Times New Roman"/>
        </w:rPr>
      </w:pPr>
    </w:p>
    <w:p w:rsidR="00E80D4F" w:rsidRDefault="00E80D4F" w:rsidP="00E80D4F">
      <w:pPr>
        <w:spacing w:line="480" w:lineRule="auto"/>
        <w:rPr>
          <w:rFonts w:ascii="Times New Roman" w:hAnsi="Times New Roman"/>
        </w:rPr>
      </w:pPr>
    </w:p>
    <w:p w:rsidR="004737C6" w:rsidRDefault="000C710C" w:rsidP="00E80D4F">
      <w:pPr>
        <w:spacing w:line="480" w:lineRule="auto"/>
        <w:ind w:firstLine="1440"/>
        <w:rPr>
          <w:rFonts w:ascii="Times New Roman" w:hAnsi="Times New Roman"/>
        </w:rPr>
      </w:pPr>
      <w:r w:rsidRPr="00EF30B7">
        <w:rPr>
          <w:rFonts w:ascii="Times New Roman" w:hAnsi="Times New Roman"/>
        </w:rPr>
        <w:t xml:space="preserve">For all of the information which is the subject of this motion, </w:t>
      </w:r>
      <w:r w:rsidR="00570BA9">
        <w:rPr>
          <w:rFonts w:ascii="Times New Roman" w:hAnsi="Times New Roman"/>
        </w:rPr>
        <w:t>AT&amp;T</w:t>
      </w:r>
      <w:r w:rsidRPr="00EF30B7">
        <w:rPr>
          <w:rFonts w:ascii="Times New Roman" w:hAnsi="Times New Roman"/>
        </w:rPr>
        <w:t xml:space="preserve"> consider</w:t>
      </w:r>
      <w:r w:rsidR="00E80D4F">
        <w:rPr>
          <w:rFonts w:ascii="Times New Roman" w:hAnsi="Times New Roman"/>
        </w:rPr>
        <w:t>s</w:t>
      </w:r>
      <w:r w:rsidR="00570BA9">
        <w:rPr>
          <w:rFonts w:ascii="Times New Roman" w:hAnsi="Times New Roman"/>
        </w:rPr>
        <w:t xml:space="preserve"> and ha</w:t>
      </w:r>
      <w:r w:rsidR="00E80D4F">
        <w:rPr>
          <w:rFonts w:ascii="Times New Roman" w:hAnsi="Times New Roman"/>
        </w:rPr>
        <w:t xml:space="preserve">s </w:t>
      </w:r>
      <w:r w:rsidRPr="00EF30B7">
        <w:rPr>
          <w:rFonts w:ascii="Times New Roman" w:hAnsi="Times New Roman"/>
        </w:rPr>
        <w:t xml:space="preserve">treated the information as a trade secret.  In the ordinary course of business of </w:t>
      </w:r>
      <w:r w:rsidR="00570BA9">
        <w:rPr>
          <w:rFonts w:ascii="Times New Roman" w:hAnsi="Times New Roman"/>
        </w:rPr>
        <w:t>AT&amp;T</w:t>
      </w:r>
      <w:r w:rsidR="00E80D4F">
        <w:rPr>
          <w:rFonts w:ascii="Times New Roman" w:hAnsi="Times New Roman"/>
        </w:rPr>
        <w:t xml:space="preserve"> Ohio</w:t>
      </w:r>
      <w:r w:rsidRPr="00EF30B7">
        <w:rPr>
          <w:rFonts w:ascii="Times New Roman" w:hAnsi="Times New Roman"/>
        </w:rPr>
        <w:t xml:space="preserve">, this information is stamped confidential, is treated as proprietary and confidential by </w:t>
      </w:r>
      <w:r w:rsidR="00E80D4F">
        <w:rPr>
          <w:rFonts w:ascii="Times New Roman" w:hAnsi="Times New Roman"/>
        </w:rPr>
        <w:t>AT&amp;T</w:t>
      </w:r>
      <w:r w:rsidR="0058620E" w:rsidRPr="00EF30B7">
        <w:rPr>
          <w:rFonts w:ascii="Times New Roman" w:hAnsi="Times New Roman"/>
        </w:rPr>
        <w:t xml:space="preserve"> </w:t>
      </w:r>
      <w:r w:rsidRPr="00EF30B7">
        <w:rPr>
          <w:rFonts w:ascii="Times New Roman" w:hAnsi="Times New Roman"/>
        </w:rPr>
        <w:t>Ohio</w:t>
      </w:r>
      <w:r w:rsidR="00570BA9">
        <w:rPr>
          <w:rFonts w:ascii="Times New Roman" w:hAnsi="Times New Roman"/>
        </w:rPr>
        <w:t xml:space="preserve"> </w:t>
      </w:r>
      <w:r w:rsidRPr="00EF30B7">
        <w:rPr>
          <w:rFonts w:ascii="Times New Roman" w:hAnsi="Times New Roman"/>
        </w:rPr>
        <w:t xml:space="preserve">employees, and is not disclosed to anyone except in a Commission proceeding and/or pursuant to staff data request.  During the course of discovery, information of this type information has generally been provided only pursuant to </w:t>
      </w:r>
      <w:r w:rsidR="00BD4771">
        <w:rPr>
          <w:rFonts w:ascii="Times New Roman" w:hAnsi="Times New Roman"/>
        </w:rPr>
        <w:t xml:space="preserve">a </w:t>
      </w:r>
      <w:r w:rsidRPr="00EF30B7">
        <w:rPr>
          <w:rFonts w:ascii="Times New Roman" w:hAnsi="Times New Roman"/>
        </w:rPr>
        <w:t>protective agreement.</w:t>
      </w:r>
    </w:p>
    <w:p w:rsidR="00E80D4F" w:rsidRDefault="00E80D4F" w:rsidP="00E80D4F">
      <w:pPr>
        <w:spacing w:line="480" w:lineRule="auto"/>
        <w:rPr>
          <w:rFonts w:ascii="Times New Roman" w:hAnsi="Times New Roman"/>
        </w:rPr>
      </w:pPr>
    </w:p>
    <w:p w:rsidR="005566BE" w:rsidRDefault="00DA7564" w:rsidP="00E80D4F">
      <w:pPr>
        <w:pStyle w:val="Caption"/>
        <w:widowControl/>
        <w:spacing w:line="480" w:lineRule="auto"/>
        <w:ind w:firstLine="1440"/>
        <w:rPr>
          <w:rFonts w:ascii="Times New Roman" w:hAnsi="Times New Roman"/>
        </w:rPr>
      </w:pPr>
      <w:r>
        <w:rPr>
          <w:rFonts w:ascii="Times New Roman" w:hAnsi="Times New Roman"/>
        </w:rPr>
        <w:lastRenderedPageBreak/>
        <w:t xml:space="preserve">For the foregoing reasons, </w:t>
      </w:r>
      <w:r w:rsidR="00E80D4F">
        <w:rPr>
          <w:rFonts w:ascii="Times New Roman" w:hAnsi="Times New Roman"/>
        </w:rPr>
        <w:t>A</w:t>
      </w:r>
      <w:r w:rsidR="00570BA9">
        <w:rPr>
          <w:rFonts w:ascii="Times New Roman" w:hAnsi="Times New Roman"/>
        </w:rPr>
        <w:t xml:space="preserve">T&amp;T </w:t>
      </w:r>
      <w:r w:rsidR="00E80D4F">
        <w:rPr>
          <w:rFonts w:ascii="Times New Roman" w:hAnsi="Times New Roman"/>
        </w:rPr>
        <w:t xml:space="preserve">Ohio </w:t>
      </w:r>
      <w:r w:rsidR="00570BA9">
        <w:rPr>
          <w:rFonts w:ascii="Times New Roman" w:hAnsi="Times New Roman"/>
        </w:rPr>
        <w:t>request</w:t>
      </w:r>
      <w:r w:rsidR="00E80D4F">
        <w:rPr>
          <w:rFonts w:ascii="Times New Roman" w:hAnsi="Times New Roman"/>
        </w:rPr>
        <w:t>s</w:t>
      </w:r>
      <w:r>
        <w:rPr>
          <w:rFonts w:ascii="Times New Roman" w:hAnsi="Times New Roman"/>
        </w:rPr>
        <w:t xml:space="preserve"> that the </w:t>
      </w:r>
      <w:r w:rsidR="00155AA1">
        <w:rPr>
          <w:rFonts w:ascii="Times New Roman" w:hAnsi="Times New Roman"/>
        </w:rPr>
        <w:t>protective orders issued in this case be extended.</w:t>
      </w:r>
    </w:p>
    <w:p w:rsidR="00E64671" w:rsidRDefault="00E64671" w:rsidP="00E64671">
      <w:pPr>
        <w:pStyle w:val="Caption"/>
        <w:widowControl/>
        <w:spacing w:line="480" w:lineRule="auto"/>
        <w:rPr>
          <w:rFonts w:ascii="Times New Roman" w:hAnsi="Times New Roman"/>
        </w:rPr>
      </w:pPr>
    </w:p>
    <w:p w:rsidR="001B663D" w:rsidRDefault="00E64671" w:rsidP="00E64671">
      <w:pPr>
        <w:pStyle w:val="Caption"/>
        <w:widowControl/>
        <w:spacing w:line="480" w:lineRule="auto"/>
        <w:rPr>
          <w:rFonts w:ascii="Times New Roman" w:hAnsi="Times New Roman"/>
        </w:rPr>
      </w:pPr>
      <w:r>
        <w:rPr>
          <w:rFonts w:ascii="Times New Roman" w:hAnsi="Times New Roman"/>
        </w:rPr>
        <w:tab/>
      </w:r>
      <w:r>
        <w:rPr>
          <w:rFonts w:ascii="Times New Roman" w:hAnsi="Times New Roman"/>
        </w:rPr>
        <w:tab/>
      </w:r>
      <w:r w:rsidR="005566BE">
        <w:rPr>
          <w:rFonts w:ascii="Times New Roman" w:hAnsi="Times New Roman"/>
        </w:rPr>
        <w:tab/>
      </w:r>
      <w:r w:rsidR="005566BE">
        <w:rPr>
          <w:rFonts w:ascii="Times New Roman" w:hAnsi="Times New Roman"/>
        </w:rPr>
        <w:tab/>
      </w:r>
      <w:r w:rsidR="005566BE">
        <w:rPr>
          <w:rFonts w:ascii="Times New Roman" w:hAnsi="Times New Roman"/>
        </w:rPr>
        <w:tab/>
      </w:r>
      <w:r w:rsidR="005566BE">
        <w:rPr>
          <w:rFonts w:ascii="Times New Roman" w:hAnsi="Times New Roman"/>
        </w:rPr>
        <w:tab/>
      </w:r>
      <w:r w:rsidR="005566BE">
        <w:rPr>
          <w:rFonts w:ascii="Times New Roman" w:hAnsi="Times New Roman"/>
        </w:rPr>
        <w:tab/>
      </w:r>
      <w:r w:rsidR="001B663D">
        <w:rPr>
          <w:rFonts w:ascii="Times New Roman" w:hAnsi="Times New Roman"/>
        </w:rPr>
        <w:t>Respectfully submitted,</w:t>
      </w:r>
    </w:p>
    <w:p w:rsidR="001B663D" w:rsidRDefault="001B663D" w:rsidP="001B663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AT&amp;T Ohio</w:t>
      </w:r>
    </w:p>
    <w:p w:rsidR="001B663D" w:rsidRPr="005339A7" w:rsidRDefault="001B663D" w:rsidP="001B663D">
      <w:pPr>
        <w:jc w:val="both"/>
        <w:rPr>
          <w:rFonts w:ascii="Times New Roman" w:hAnsi="Times New Roman"/>
        </w:rPr>
      </w:pPr>
    </w:p>
    <w:p w:rsidR="001B663D" w:rsidRDefault="001B663D" w:rsidP="001B663D">
      <w:pPr>
        <w:pStyle w:val="Caption"/>
        <w:widowControl/>
        <w:rPr>
          <w:rFonts w:ascii="Times New Roman" w:hAnsi="Times New Roman"/>
        </w:rPr>
      </w:pPr>
    </w:p>
    <w:p w:rsidR="001B663D" w:rsidRDefault="001B663D" w:rsidP="001B663D">
      <w:pPr>
        <w:pStyle w:val="Caption"/>
        <w:widowControl/>
        <w:ind w:left="4320" w:firstLine="720"/>
        <w:rPr>
          <w:rFonts w:ascii="Times New Roman" w:hAnsi="Times New Roman"/>
        </w:rPr>
      </w:pPr>
      <w:r>
        <w:rPr>
          <w:rFonts w:ascii="Times New Roman" w:hAnsi="Times New Roman"/>
        </w:rPr>
        <w:t>______</w:t>
      </w:r>
      <w:r w:rsidR="00695DD2">
        <w:rPr>
          <w:rFonts w:ascii="Times New Roman" w:hAnsi="Times New Roman"/>
          <w:u w:val="single"/>
        </w:rPr>
        <w:t>/s/ Jon F. Kelly</w:t>
      </w:r>
      <w:r>
        <w:rPr>
          <w:rFonts w:ascii="Times New Roman" w:hAnsi="Times New Roman"/>
        </w:rPr>
        <w:t>_________________</w:t>
      </w:r>
    </w:p>
    <w:p w:rsidR="001B663D" w:rsidRDefault="001B663D" w:rsidP="001B663D">
      <w:pPr>
        <w:pStyle w:val="CourtName"/>
        <w:widowControl/>
        <w:spacing w:line="240" w:lineRule="auto"/>
        <w:ind w:firstLine="5040"/>
        <w:jc w:val="both"/>
        <w:outlineLvl w:val="0"/>
        <w:rPr>
          <w:sz w:val="24"/>
        </w:rPr>
      </w:pPr>
      <w:r>
        <w:rPr>
          <w:sz w:val="24"/>
        </w:rPr>
        <w:t>Jon F. Kelly (</w:t>
      </w:r>
      <w:r w:rsidR="00155AA1">
        <w:rPr>
          <w:sz w:val="24"/>
        </w:rPr>
        <w:t>Counsel of Record</w:t>
      </w:r>
      <w:r>
        <w:rPr>
          <w:sz w:val="24"/>
        </w:rPr>
        <w:t>)</w:t>
      </w:r>
    </w:p>
    <w:p w:rsidR="001B663D" w:rsidRDefault="001B663D" w:rsidP="001B663D">
      <w:pPr>
        <w:pStyle w:val="CourtName"/>
        <w:widowControl/>
        <w:spacing w:line="240" w:lineRule="auto"/>
        <w:ind w:firstLine="5040"/>
        <w:jc w:val="both"/>
        <w:outlineLvl w:val="0"/>
        <w:rPr>
          <w:sz w:val="24"/>
        </w:rPr>
      </w:pPr>
      <w:r>
        <w:rPr>
          <w:sz w:val="24"/>
        </w:rPr>
        <w:t>Mary Ryan Fenlon</w:t>
      </w:r>
    </w:p>
    <w:p w:rsidR="001B663D" w:rsidRDefault="001B663D" w:rsidP="001B663D">
      <w:pPr>
        <w:pStyle w:val="CourtName"/>
        <w:widowControl/>
        <w:spacing w:line="240" w:lineRule="auto"/>
        <w:ind w:firstLine="5040"/>
        <w:jc w:val="both"/>
        <w:rPr>
          <w:sz w:val="24"/>
        </w:rPr>
      </w:pPr>
      <w:r>
        <w:rPr>
          <w:sz w:val="24"/>
        </w:rPr>
        <w:t>AT&amp;T Ohio</w:t>
      </w:r>
    </w:p>
    <w:p w:rsidR="001B663D" w:rsidRDefault="001B663D" w:rsidP="001B663D">
      <w:pPr>
        <w:pStyle w:val="CourtName"/>
        <w:widowControl/>
        <w:spacing w:line="240" w:lineRule="auto"/>
        <w:ind w:firstLine="5040"/>
        <w:jc w:val="both"/>
        <w:rPr>
          <w:sz w:val="24"/>
        </w:rPr>
      </w:pPr>
      <w:r>
        <w:rPr>
          <w:sz w:val="24"/>
        </w:rPr>
        <w:t>150 E. Gay St., Rm. 4-A</w:t>
      </w:r>
    </w:p>
    <w:p w:rsidR="001B663D" w:rsidRDefault="001B663D" w:rsidP="001B663D">
      <w:pPr>
        <w:pStyle w:val="CourtName"/>
        <w:widowControl/>
        <w:spacing w:line="240" w:lineRule="auto"/>
        <w:ind w:firstLine="5040"/>
        <w:jc w:val="both"/>
        <w:rPr>
          <w:sz w:val="24"/>
        </w:rPr>
      </w:pPr>
      <w:r>
        <w:rPr>
          <w:sz w:val="24"/>
        </w:rPr>
        <w:t>Columbus, Ohio 43215</w:t>
      </w:r>
    </w:p>
    <w:p w:rsidR="001B663D" w:rsidRDefault="001B663D" w:rsidP="001B663D">
      <w:pPr>
        <w:pStyle w:val="CourtName"/>
        <w:widowControl/>
        <w:spacing w:line="240" w:lineRule="auto"/>
        <w:ind w:firstLine="5040"/>
        <w:jc w:val="both"/>
        <w:rPr>
          <w:sz w:val="24"/>
        </w:rPr>
      </w:pPr>
    </w:p>
    <w:p w:rsidR="001B663D" w:rsidRDefault="001B663D" w:rsidP="001B663D">
      <w:pPr>
        <w:pStyle w:val="CourtName"/>
        <w:widowControl/>
        <w:spacing w:line="240" w:lineRule="auto"/>
        <w:ind w:firstLine="5040"/>
        <w:jc w:val="both"/>
        <w:rPr>
          <w:sz w:val="24"/>
        </w:rPr>
      </w:pPr>
      <w:r>
        <w:rPr>
          <w:sz w:val="24"/>
        </w:rPr>
        <w:t>(614) 223-7928</w:t>
      </w:r>
    </w:p>
    <w:p w:rsidR="001B663D" w:rsidRDefault="001B663D" w:rsidP="001B663D">
      <w:pPr>
        <w:pStyle w:val="CourtName"/>
        <w:widowControl/>
        <w:spacing w:line="240" w:lineRule="auto"/>
        <w:ind w:firstLine="5040"/>
        <w:jc w:val="both"/>
        <w:rPr>
          <w:sz w:val="24"/>
        </w:rPr>
      </w:pPr>
    </w:p>
    <w:p w:rsidR="001B663D" w:rsidRDefault="001B663D" w:rsidP="00DC03AE">
      <w:pPr>
        <w:pStyle w:val="CourtName"/>
        <w:widowControl/>
        <w:spacing w:line="240" w:lineRule="auto"/>
        <w:ind w:firstLine="5040"/>
        <w:jc w:val="both"/>
        <w:outlineLvl w:val="0"/>
        <w:rPr>
          <w:sz w:val="24"/>
        </w:rPr>
      </w:pPr>
      <w:r>
        <w:rPr>
          <w:sz w:val="24"/>
        </w:rPr>
        <w:t>Its Attorneys</w:t>
      </w:r>
    </w:p>
    <w:p w:rsidR="001B663D" w:rsidRPr="00C32041" w:rsidRDefault="00E62752" w:rsidP="00C32041">
      <w:pPr>
        <w:pStyle w:val="CourtName"/>
        <w:widowControl/>
        <w:spacing w:line="240" w:lineRule="auto"/>
        <w:ind w:firstLine="90"/>
        <w:jc w:val="left"/>
        <w:rPr>
          <w:szCs w:val="16"/>
        </w:rPr>
      </w:pPr>
      <w:r>
        <w:rPr>
          <w:szCs w:val="16"/>
        </w:rPr>
        <w:t>0</w:t>
      </w:r>
      <w:r w:rsidR="001278EE">
        <w:rPr>
          <w:szCs w:val="16"/>
        </w:rPr>
        <w:t>8</w:t>
      </w:r>
      <w:r>
        <w:rPr>
          <w:szCs w:val="16"/>
        </w:rPr>
        <w:t>-</w:t>
      </w:r>
      <w:r w:rsidR="001278EE">
        <w:rPr>
          <w:szCs w:val="16"/>
        </w:rPr>
        <w:t>107</w:t>
      </w:r>
      <w:r w:rsidR="00C32041" w:rsidRPr="00C32041">
        <w:rPr>
          <w:szCs w:val="16"/>
        </w:rPr>
        <w:t>.motion protective order</w:t>
      </w:r>
      <w:r w:rsidR="00155AA1">
        <w:rPr>
          <w:szCs w:val="16"/>
        </w:rPr>
        <w:t xml:space="preserve"> extension</w:t>
      </w:r>
    </w:p>
    <w:sectPr w:rsidR="001B663D" w:rsidRPr="00C32041" w:rsidSect="003031C0">
      <w:footerReference w:type="even" r:id="rId7"/>
      <w:footerReference w:type="default" r:id="rId8"/>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ABC" w:rsidRDefault="00E25ABC">
      <w:pPr>
        <w:widowControl/>
        <w:spacing w:line="20" w:lineRule="exact"/>
      </w:pPr>
    </w:p>
  </w:endnote>
  <w:endnote w:type="continuationSeparator" w:id="0">
    <w:p w:rsidR="00E25ABC" w:rsidRDefault="00E25ABC">
      <w:r>
        <w:t xml:space="preserve"> </w:t>
      </w:r>
    </w:p>
  </w:endnote>
  <w:endnote w:type="continuationNotice" w:id="1">
    <w:p w:rsidR="00E25ABC" w:rsidRDefault="00E25ABC">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FB" w:rsidRDefault="00BD24FB" w:rsidP="00F600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4FB" w:rsidRDefault="00BD24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FB" w:rsidRPr="0039253B" w:rsidRDefault="00BD24FB" w:rsidP="00F6006B">
    <w:pPr>
      <w:pStyle w:val="Footer"/>
      <w:framePr w:wrap="around" w:vAnchor="text" w:hAnchor="margin" w:xAlign="center" w:y="1"/>
      <w:rPr>
        <w:rStyle w:val="PageNumber"/>
        <w:rFonts w:ascii="Times New Roman" w:hAnsi="Times New Roman"/>
      </w:rPr>
    </w:pPr>
    <w:r w:rsidRPr="0039253B">
      <w:rPr>
        <w:rStyle w:val="PageNumber"/>
        <w:rFonts w:ascii="Times New Roman" w:hAnsi="Times New Roman"/>
      </w:rPr>
      <w:fldChar w:fldCharType="begin"/>
    </w:r>
    <w:r w:rsidRPr="0039253B">
      <w:rPr>
        <w:rStyle w:val="PageNumber"/>
        <w:rFonts w:ascii="Times New Roman" w:hAnsi="Times New Roman"/>
      </w:rPr>
      <w:instrText xml:space="preserve">PAGE  </w:instrText>
    </w:r>
    <w:r w:rsidRPr="0039253B">
      <w:rPr>
        <w:rStyle w:val="PageNumber"/>
        <w:rFonts w:ascii="Times New Roman" w:hAnsi="Times New Roman"/>
      </w:rPr>
      <w:fldChar w:fldCharType="separate"/>
    </w:r>
    <w:r w:rsidR="00E82FDF">
      <w:rPr>
        <w:rStyle w:val="PageNumber"/>
        <w:rFonts w:ascii="Times New Roman" w:hAnsi="Times New Roman"/>
        <w:noProof/>
      </w:rPr>
      <w:t>8</w:t>
    </w:r>
    <w:r w:rsidRPr="0039253B">
      <w:rPr>
        <w:rStyle w:val="PageNumber"/>
        <w:rFonts w:ascii="Times New Roman" w:hAnsi="Times New Roman"/>
      </w:rPr>
      <w:fldChar w:fldCharType="end"/>
    </w:r>
  </w:p>
  <w:p w:rsidR="00BD24FB" w:rsidRPr="00795D8E" w:rsidRDefault="00BD24FB">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ABC" w:rsidRDefault="00E25ABC">
      <w:r>
        <w:separator/>
      </w:r>
    </w:p>
  </w:footnote>
  <w:footnote w:type="continuationSeparator" w:id="0">
    <w:p w:rsidR="00E25ABC" w:rsidRDefault="00E25ABC">
      <w:r>
        <w:continuationSeparator/>
      </w:r>
    </w:p>
  </w:footnote>
  <w:footnote w:id="1">
    <w:p w:rsidR="00BD24FB" w:rsidRPr="005339A7" w:rsidRDefault="00BD24FB">
      <w:pPr>
        <w:pStyle w:val="FootnoteText"/>
        <w:rPr>
          <w:rFonts w:ascii="Times New Roman" w:hAnsi="Times New Roman"/>
          <w:sz w:val="20"/>
        </w:rPr>
      </w:pPr>
      <w:r w:rsidRPr="005339A7">
        <w:rPr>
          <w:rStyle w:val="FootnoteReference"/>
          <w:rFonts w:ascii="Times New Roman" w:hAnsi="Times New Roman"/>
          <w:sz w:val="20"/>
        </w:rPr>
        <w:footnoteRef/>
      </w:r>
      <w:r w:rsidRPr="005339A7">
        <w:rPr>
          <w:rFonts w:ascii="Times New Roman" w:hAnsi="Times New Roman"/>
          <w:sz w:val="20"/>
        </w:rPr>
        <w:t xml:space="preserve"> The Ohio Bell Telephone Company uses the name AT&amp;T Ohio.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D8A0C0"/>
    <w:lvl w:ilvl="0">
      <w:start w:val="1"/>
      <w:numFmt w:val="decimal"/>
      <w:lvlText w:val="%1."/>
      <w:lvlJc w:val="left"/>
      <w:pPr>
        <w:tabs>
          <w:tab w:val="num" w:pos="1800"/>
        </w:tabs>
        <w:ind w:left="1800" w:hanging="360"/>
      </w:pPr>
    </w:lvl>
  </w:abstractNum>
  <w:abstractNum w:abstractNumId="1">
    <w:nsid w:val="FFFFFF7D"/>
    <w:multiLevelType w:val="singleLevel"/>
    <w:tmpl w:val="36A0FBF4"/>
    <w:lvl w:ilvl="0">
      <w:start w:val="1"/>
      <w:numFmt w:val="decimal"/>
      <w:lvlText w:val="%1."/>
      <w:lvlJc w:val="left"/>
      <w:pPr>
        <w:tabs>
          <w:tab w:val="num" w:pos="1440"/>
        </w:tabs>
        <w:ind w:left="1440" w:hanging="360"/>
      </w:pPr>
    </w:lvl>
  </w:abstractNum>
  <w:abstractNum w:abstractNumId="2">
    <w:nsid w:val="FFFFFF7E"/>
    <w:multiLevelType w:val="singleLevel"/>
    <w:tmpl w:val="7D2223EC"/>
    <w:lvl w:ilvl="0">
      <w:start w:val="1"/>
      <w:numFmt w:val="decimal"/>
      <w:lvlText w:val="%1."/>
      <w:lvlJc w:val="left"/>
      <w:pPr>
        <w:tabs>
          <w:tab w:val="num" w:pos="1080"/>
        </w:tabs>
        <w:ind w:left="1080" w:hanging="360"/>
      </w:pPr>
    </w:lvl>
  </w:abstractNum>
  <w:abstractNum w:abstractNumId="3">
    <w:nsid w:val="FFFFFF7F"/>
    <w:multiLevelType w:val="singleLevel"/>
    <w:tmpl w:val="54B04446"/>
    <w:lvl w:ilvl="0">
      <w:start w:val="1"/>
      <w:numFmt w:val="decimal"/>
      <w:lvlText w:val="%1."/>
      <w:lvlJc w:val="left"/>
      <w:pPr>
        <w:tabs>
          <w:tab w:val="num" w:pos="720"/>
        </w:tabs>
        <w:ind w:left="720" w:hanging="360"/>
      </w:pPr>
    </w:lvl>
  </w:abstractNum>
  <w:abstractNum w:abstractNumId="4">
    <w:nsid w:val="FFFFFF80"/>
    <w:multiLevelType w:val="singleLevel"/>
    <w:tmpl w:val="EAEA9D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801A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FE70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EE35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2423AC"/>
    <w:lvl w:ilvl="0">
      <w:start w:val="1"/>
      <w:numFmt w:val="decimal"/>
      <w:lvlText w:val="%1."/>
      <w:lvlJc w:val="left"/>
      <w:pPr>
        <w:tabs>
          <w:tab w:val="num" w:pos="360"/>
        </w:tabs>
        <w:ind w:left="360" w:hanging="360"/>
      </w:pPr>
    </w:lvl>
  </w:abstractNum>
  <w:abstractNum w:abstractNumId="9">
    <w:nsid w:val="FFFFFF89"/>
    <w:multiLevelType w:val="singleLevel"/>
    <w:tmpl w:val="036A341A"/>
    <w:lvl w:ilvl="0">
      <w:start w:val="1"/>
      <w:numFmt w:val="bullet"/>
      <w:lvlText w:val=""/>
      <w:lvlJc w:val="left"/>
      <w:pPr>
        <w:tabs>
          <w:tab w:val="num" w:pos="360"/>
        </w:tabs>
        <w:ind w:left="360" w:hanging="360"/>
      </w:pPr>
      <w:rPr>
        <w:rFonts w:ascii="Symbol" w:hAnsi="Symbol" w:hint="default"/>
      </w:rPr>
    </w:lvl>
  </w:abstractNum>
  <w:abstractNum w:abstractNumId="10">
    <w:nsid w:val="058D20EC"/>
    <w:multiLevelType w:val="singleLevel"/>
    <w:tmpl w:val="91D04D4A"/>
    <w:lvl w:ilvl="0">
      <w:start w:val="1"/>
      <w:numFmt w:val="decimal"/>
      <w:lvlText w:val="%1."/>
      <w:lvlJc w:val="left"/>
      <w:pPr>
        <w:tabs>
          <w:tab w:val="num" w:pos="1440"/>
        </w:tabs>
        <w:ind w:left="1440" w:hanging="720"/>
      </w:pPr>
      <w:rPr>
        <w:rFonts w:hint="default"/>
      </w:rPr>
    </w:lvl>
  </w:abstractNum>
  <w:abstractNum w:abstractNumId="11">
    <w:nsid w:val="10012775"/>
    <w:multiLevelType w:val="multilevel"/>
    <w:tmpl w:val="6DA8241E"/>
    <w:lvl w:ilvl="0">
      <w:start w:val="1"/>
      <w:numFmt w:val="upperRoman"/>
      <w:lvlText w:val="%1."/>
      <w:lvlJc w:val="left"/>
      <w:pPr>
        <w:tabs>
          <w:tab w:val="num" w:pos="720"/>
        </w:tabs>
        <w:ind w:left="720" w:hanging="720"/>
      </w:pPr>
    </w:lvl>
    <w:lvl w:ilvl="1">
      <w:start w:val="1"/>
      <w:numFmt w:val="upperLetter"/>
      <w:suff w:val="nothing"/>
      <w:lvlText w:val="%2."/>
      <w:lvlJc w:val="left"/>
      <w:pPr>
        <w:ind w:left="1440" w:hanging="720"/>
      </w:pPr>
    </w:lvl>
    <w:lvl w:ilvl="2">
      <w:start w:val="1"/>
      <w:numFmt w:val="decimal"/>
      <w:suff w:val="nothing"/>
      <w:lvlText w:val="%3."/>
      <w:lvlJc w:val="left"/>
      <w:pPr>
        <w:ind w:left="2160" w:hanging="720"/>
      </w:pPr>
    </w:lvl>
    <w:lvl w:ilvl="3">
      <w:start w:val="1"/>
      <w:numFmt w:val="lowerLetter"/>
      <w:suff w:val="nothing"/>
      <w:lvlText w:val="%4."/>
      <w:lvlJc w:val="left"/>
      <w:pPr>
        <w:ind w:left="2880" w:hanging="720"/>
      </w:pPr>
    </w:lvl>
    <w:lvl w:ilvl="4">
      <w:start w:val="1"/>
      <w:numFmt w:val="upperLetter"/>
      <w:suff w:val="nothing"/>
      <w:lvlText w:val="(%5)"/>
      <w:lvlJc w:val="left"/>
      <w:pPr>
        <w:ind w:left="3600" w:hanging="720"/>
      </w:pPr>
    </w:lvl>
    <w:lvl w:ilvl="5">
      <w:start w:val="1"/>
      <w:numFmt w:val="decimal"/>
      <w:suff w:val="nothing"/>
      <w:lvlText w:val="%6)"/>
      <w:lvlJc w:val="left"/>
      <w:pPr>
        <w:ind w:left="4320" w:hanging="720"/>
      </w:pPr>
    </w:lvl>
    <w:lvl w:ilvl="6">
      <w:start w:val="1"/>
      <w:numFmt w:val="lowerLetter"/>
      <w:suff w:val="nothing"/>
      <w:lvlText w:val="%7."/>
      <w:lvlJc w:val="left"/>
      <w:pPr>
        <w:ind w:left="5760" w:hanging="720"/>
      </w:pPr>
    </w:lvl>
    <w:lvl w:ilvl="7">
      <w:start w:val="1"/>
      <w:numFmt w:val="decimal"/>
      <w:suff w:val="nothing"/>
      <w:lvlText w:val="%8."/>
      <w:lvlJc w:val="left"/>
      <w:pPr>
        <w:ind w:left="6480" w:hanging="720"/>
      </w:pPr>
    </w:lvl>
    <w:lvl w:ilvl="8">
      <w:start w:val="1"/>
      <w:numFmt w:val="decimal"/>
      <w:lvlText w:val="%1.%2.%3.%4.%5.%6.%7.%8.%9."/>
      <w:lvlJc w:val="left"/>
      <w:pPr>
        <w:tabs>
          <w:tab w:val="num" w:pos="5400"/>
        </w:tabs>
        <w:ind w:left="4320" w:hanging="1440"/>
      </w:pPr>
    </w:lvl>
  </w:abstractNum>
  <w:abstractNum w:abstractNumId="12">
    <w:nsid w:val="10106B2F"/>
    <w:multiLevelType w:val="multilevel"/>
    <w:tmpl w:val="0EC4F1B0"/>
    <w:lvl w:ilvl="0">
      <w:start w:val="1"/>
      <w:numFmt w:val="upperRoman"/>
      <w:lvlText w:val="%1."/>
      <w:lvlJc w:val="left"/>
      <w:pPr>
        <w:tabs>
          <w:tab w:val="num" w:pos="720"/>
        </w:tabs>
        <w:ind w:left="720" w:hanging="720"/>
      </w:pPr>
    </w:lvl>
    <w:lvl w:ilvl="1">
      <w:start w:val="1"/>
      <w:numFmt w:val="upperLetter"/>
      <w:pStyle w:val="PageNumb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upperLetter"/>
      <w:suff w:val="nothing"/>
      <w:lvlText w:val="(%5)"/>
      <w:lvlJc w:val="left"/>
      <w:pPr>
        <w:ind w:left="3600" w:hanging="720"/>
      </w:pPr>
    </w:lvl>
    <w:lvl w:ilvl="5">
      <w:start w:val="1"/>
      <w:numFmt w:val="decimal"/>
      <w:suff w:val="nothing"/>
      <w:lvlText w:val="%6)"/>
      <w:lvlJc w:val="left"/>
      <w:pPr>
        <w:ind w:left="4320" w:hanging="720"/>
      </w:pPr>
    </w:lvl>
    <w:lvl w:ilvl="6">
      <w:start w:val="1"/>
      <w:numFmt w:val="lowerLetter"/>
      <w:suff w:val="nothing"/>
      <w:lvlText w:val="%7."/>
      <w:lvlJc w:val="left"/>
      <w:pPr>
        <w:ind w:left="5760" w:hanging="720"/>
      </w:pPr>
    </w:lvl>
    <w:lvl w:ilvl="7">
      <w:start w:val="1"/>
      <w:numFmt w:val="decimal"/>
      <w:suff w:val="nothing"/>
      <w:lvlText w:val="%8."/>
      <w:lvlJc w:val="left"/>
      <w:pPr>
        <w:ind w:left="6480" w:hanging="720"/>
      </w:pPr>
    </w:lvl>
    <w:lvl w:ilvl="8">
      <w:start w:val="1"/>
      <w:numFmt w:val="decimal"/>
      <w:lvlText w:val="%1.%2.%3.%4.%5.%6.%7.%8.%9."/>
      <w:lvlJc w:val="left"/>
      <w:pPr>
        <w:tabs>
          <w:tab w:val="num" w:pos="4680"/>
        </w:tabs>
        <w:ind w:left="4320" w:hanging="1440"/>
      </w:pPr>
    </w:lvl>
  </w:abstractNum>
  <w:abstractNum w:abstractNumId="13">
    <w:nsid w:val="101F1AEE"/>
    <w:multiLevelType w:val="multilevel"/>
    <w:tmpl w:val="6616E4CA"/>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upperLetter"/>
      <w:suff w:val="nothing"/>
      <w:lvlText w:val="(%5)"/>
      <w:lvlJc w:val="left"/>
      <w:pPr>
        <w:ind w:left="3600" w:hanging="720"/>
      </w:pPr>
    </w:lvl>
    <w:lvl w:ilvl="5">
      <w:start w:val="1"/>
      <w:numFmt w:val="decimal"/>
      <w:suff w:val="nothing"/>
      <w:lvlText w:val="%6)"/>
      <w:lvlJc w:val="left"/>
      <w:pPr>
        <w:ind w:left="4320" w:hanging="720"/>
      </w:pPr>
    </w:lvl>
    <w:lvl w:ilvl="6">
      <w:start w:val="1"/>
      <w:numFmt w:val="lowerLetter"/>
      <w:suff w:val="nothing"/>
      <w:lvlText w:val="%7."/>
      <w:lvlJc w:val="left"/>
      <w:pPr>
        <w:ind w:left="5760" w:hanging="720"/>
      </w:pPr>
    </w:lvl>
    <w:lvl w:ilvl="7">
      <w:start w:val="1"/>
      <w:numFmt w:val="decimal"/>
      <w:suff w:val="nothing"/>
      <w:lvlText w:val="%8."/>
      <w:lvlJc w:val="left"/>
      <w:pPr>
        <w:ind w:left="6480" w:hanging="720"/>
      </w:pPr>
    </w:lvl>
    <w:lvl w:ilvl="8">
      <w:start w:val="1"/>
      <w:numFmt w:val="decimal"/>
      <w:lvlText w:val="%1.%2.%3.%4.%5.%6.%7.%8.%9."/>
      <w:lvlJc w:val="left"/>
      <w:pPr>
        <w:tabs>
          <w:tab w:val="num" w:pos="4680"/>
        </w:tabs>
        <w:ind w:left="4320" w:hanging="1440"/>
      </w:pPr>
    </w:lvl>
  </w:abstractNum>
  <w:abstractNum w:abstractNumId="14">
    <w:nsid w:val="18FE6F04"/>
    <w:multiLevelType w:val="multilevel"/>
    <w:tmpl w:val="6A78F8E2"/>
    <w:lvl w:ilvl="0">
      <w:start w:val="1"/>
      <w:numFmt w:val="upperRoman"/>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suff w:val="nothing"/>
      <w:lvlText w:val="%3."/>
      <w:lvlJc w:val="left"/>
      <w:pPr>
        <w:ind w:left="2160" w:hanging="720"/>
      </w:pPr>
    </w:lvl>
    <w:lvl w:ilvl="3">
      <w:start w:val="1"/>
      <w:numFmt w:val="lowerLetter"/>
      <w:lvlText w:val="%4."/>
      <w:lvlJc w:val="left"/>
      <w:pPr>
        <w:tabs>
          <w:tab w:val="num" w:pos="2880"/>
        </w:tabs>
        <w:ind w:left="2880" w:hanging="720"/>
      </w:pPr>
    </w:lvl>
    <w:lvl w:ilvl="4">
      <w:start w:val="1"/>
      <w:numFmt w:val="upperLetter"/>
      <w:suff w:val="nothing"/>
      <w:lvlText w:val="(%5)"/>
      <w:lvlJc w:val="left"/>
      <w:pPr>
        <w:ind w:left="3600" w:hanging="720"/>
      </w:pPr>
    </w:lvl>
    <w:lvl w:ilvl="5">
      <w:start w:val="1"/>
      <w:numFmt w:val="decimal"/>
      <w:suff w:val="nothing"/>
      <w:lvlText w:val="%6)"/>
      <w:lvlJc w:val="left"/>
      <w:pPr>
        <w:ind w:left="4320" w:hanging="720"/>
      </w:pPr>
    </w:lvl>
    <w:lvl w:ilvl="6">
      <w:start w:val="1"/>
      <w:numFmt w:val="lowerLetter"/>
      <w:suff w:val="nothing"/>
      <w:lvlText w:val="%7."/>
      <w:lvlJc w:val="left"/>
      <w:pPr>
        <w:ind w:left="5760" w:hanging="720"/>
      </w:pPr>
    </w:lvl>
    <w:lvl w:ilvl="7">
      <w:start w:val="1"/>
      <w:numFmt w:val="decimal"/>
      <w:suff w:val="nothing"/>
      <w:lvlText w:val="%8."/>
      <w:lvlJc w:val="left"/>
      <w:pPr>
        <w:ind w:left="6480" w:hanging="720"/>
      </w:pPr>
    </w:lvl>
    <w:lvl w:ilvl="8">
      <w:start w:val="1"/>
      <w:numFmt w:val="decimal"/>
      <w:lvlText w:val="%1.%2.%3.%4.%5.%6.%7.%8.%9."/>
      <w:lvlJc w:val="left"/>
      <w:pPr>
        <w:tabs>
          <w:tab w:val="num" w:pos="5400"/>
        </w:tabs>
        <w:ind w:left="4320" w:hanging="1440"/>
      </w:pPr>
    </w:lvl>
  </w:abstractNum>
  <w:abstractNum w:abstractNumId="15">
    <w:nsid w:val="1CAA4A42"/>
    <w:multiLevelType w:val="multilevel"/>
    <w:tmpl w:val="EFC2A062"/>
    <w:lvl w:ilvl="0">
      <w:start w:val="1"/>
      <w:numFmt w:val="upperRoman"/>
      <w:lvlText w:val="%1."/>
      <w:lvlJc w:val="left"/>
      <w:pPr>
        <w:tabs>
          <w:tab w:val="num" w:pos="720"/>
        </w:tabs>
        <w:ind w:left="720" w:hanging="720"/>
      </w:pPr>
    </w:lvl>
    <w:lvl w:ilvl="1">
      <w:start w:val="1"/>
      <w:numFmt w:val="upperLetter"/>
      <w:suff w:val="nothing"/>
      <w:lvlText w:val="%2."/>
      <w:lvlJc w:val="left"/>
      <w:pPr>
        <w:ind w:left="1440" w:hanging="720"/>
      </w:pPr>
    </w:lvl>
    <w:lvl w:ilvl="2">
      <w:start w:val="1"/>
      <w:numFmt w:val="decimal"/>
      <w:lvlText w:val="%3."/>
      <w:lvlJc w:val="left"/>
      <w:pPr>
        <w:tabs>
          <w:tab w:val="num" w:pos="2160"/>
        </w:tabs>
        <w:ind w:left="2160" w:hanging="720"/>
      </w:pPr>
    </w:lvl>
    <w:lvl w:ilvl="3">
      <w:start w:val="1"/>
      <w:numFmt w:val="lowerLetter"/>
      <w:suff w:val="nothing"/>
      <w:lvlText w:val="%4."/>
      <w:lvlJc w:val="left"/>
      <w:pPr>
        <w:ind w:left="2880" w:hanging="720"/>
      </w:pPr>
    </w:lvl>
    <w:lvl w:ilvl="4">
      <w:start w:val="1"/>
      <w:numFmt w:val="upperLetter"/>
      <w:suff w:val="nothing"/>
      <w:lvlText w:val="(%5)"/>
      <w:lvlJc w:val="left"/>
      <w:pPr>
        <w:ind w:left="3600" w:hanging="720"/>
      </w:pPr>
    </w:lvl>
    <w:lvl w:ilvl="5">
      <w:start w:val="1"/>
      <w:numFmt w:val="decimal"/>
      <w:suff w:val="nothing"/>
      <w:lvlText w:val="%6)"/>
      <w:lvlJc w:val="left"/>
      <w:pPr>
        <w:ind w:left="4320" w:hanging="720"/>
      </w:pPr>
    </w:lvl>
    <w:lvl w:ilvl="6">
      <w:start w:val="1"/>
      <w:numFmt w:val="lowerLetter"/>
      <w:suff w:val="nothing"/>
      <w:lvlText w:val="%7."/>
      <w:lvlJc w:val="left"/>
      <w:pPr>
        <w:ind w:left="5760" w:hanging="720"/>
      </w:pPr>
    </w:lvl>
    <w:lvl w:ilvl="7">
      <w:start w:val="1"/>
      <w:numFmt w:val="decimal"/>
      <w:suff w:val="nothing"/>
      <w:lvlText w:val="%8."/>
      <w:lvlJc w:val="left"/>
      <w:pPr>
        <w:ind w:left="6480" w:hanging="720"/>
      </w:pPr>
    </w:lvl>
    <w:lvl w:ilvl="8">
      <w:start w:val="1"/>
      <w:numFmt w:val="decimal"/>
      <w:lvlText w:val="%1.%2.%3.%4.%5.%6.%7.%8.%9."/>
      <w:lvlJc w:val="left"/>
      <w:pPr>
        <w:tabs>
          <w:tab w:val="num" w:pos="5400"/>
        </w:tabs>
        <w:ind w:left="4320" w:hanging="1440"/>
      </w:pPr>
    </w:lvl>
  </w:abstractNum>
  <w:abstractNum w:abstractNumId="16">
    <w:nsid w:val="3976287D"/>
    <w:multiLevelType w:val="multilevel"/>
    <w:tmpl w:val="F2AC367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upperLetter"/>
      <w:suff w:val="nothing"/>
      <w:lvlText w:val="(%5)"/>
      <w:lvlJc w:val="left"/>
      <w:pPr>
        <w:ind w:left="3600" w:hanging="720"/>
      </w:pPr>
    </w:lvl>
    <w:lvl w:ilvl="5">
      <w:start w:val="1"/>
      <w:numFmt w:val="decimal"/>
      <w:suff w:val="nothing"/>
      <w:lvlText w:val="%6)"/>
      <w:lvlJc w:val="left"/>
      <w:pPr>
        <w:ind w:left="4320" w:hanging="720"/>
      </w:pPr>
    </w:lvl>
    <w:lvl w:ilvl="6">
      <w:start w:val="1"/>
      <w:numFmt w:val="lowerLetter"/>
      <w:suff w:val="nothing"/>
      <w:lvlText w:val="%7."/>
      <w:lvlJc w:val="left"/>
      <w:pPr>
        <w:ind w:left="5760" w:hanging="720"/>
      </w:pPr>
    </w:lvl>
    <w:lvl w:ilvl="7">
      <w:start w:val="1"/>
      <w:numFmt w:val="decimal"/>
      <w:suff w:val="nothing"/>
      <w:lvlText w:val="%8."/>
      <w:lvlJc w:val="left"/>
      <w:pPr>
        <w:ind w:left="6480" w:hanging="720"/>
      </w:pPr>
    </w:lvl>
    <w:lvl w:ilvl="8">
      <w:start w:val="1"/>
      <w:numFmt w:val="decimal"/>
      <w:lvlText w:val="%1.%2.%3.%4.%5.%6.%7.%8.%9."/>
      <w:lvlJc w:val="left"/>
      <w:pPr>
        <w:tabs>
          <w:tab w:val="num" w:pos="4680"/>
        </w:tabs>
        <w:ind w:left="4320" w:hanging="1440"/>
      </w:pPr>
    </w:lvl>
  </w:abstractNum>
  <w:abstractNum w:abstractNumId="17">
    <w:nsid w:val="46B96CED"/>
    <w:multiLevelType w:val="multilevel"/>
    <w:tmpl w:val="4148B382"/>
    <w:lvl w:ilvl="0">
      <w:start w:val="1"/>
      <w:numFmt w:val="upperRoman"/>
      <w:pStyle w:val="Heading1"/>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suff w:val="nothing"/>
      <w:lvlText w:val="%3."/>
      <w:lvlJc w:val="left"/>
      <w:pPr>
        <w:ind w:left="2160" w:hanging="720"/>
      </w:pPr>
    </w:lvl>
    <w:lvl w:ilvl="3">
      <w:start w:val="1"/>
      <w:numFmt w:val="lowerLetter"/>
      <w:suff w:val="nothing"/>
      <w:lvlText w:val="%4."/>
      <w:lvlJc w:val="left"/>
      <w:pPr>
        <w:ind w:left="2880" w:hanging="720"/>
      </w:pPr>
    </w:lvl>
    <w:lvl w:ilvl="4">
      <w:start w:val="1"/>
      <w:numFmt w:val="upperLetter"/>
      <w:suff w:val="nothing"/>
      <w:lvlText w:val="(%5)"/>
      <w:lvlJc w:val="left"/>
      <w:pPr>
        <w:ind w:left="3600" w:hanging="720"/>
      </w:pPr>
    </w:lvl>
    <w:lvl w:ilvl="5">
      <w:start w:val="1"/>
      <w:numFmt w:val="decimal"/>
      <w:suff w:val="nothing"/>
      <w:lvlText w:val="%6)"/>
      <w:lvlJc w:val="left"/>
      <w:pPr>
        <w:ind w:left="4320" w:hanging="720"/>
      </w:pPr>
    </w:lvl>
    <w:lvl w:ilvl="6">
      <w:start w:val="1"/>
      <w:numFmt w:val="lowerLetter"/>
      <w:suff w:val="nothing"/>
      <w:lvlText w:val="%7."/>
      <w:lvlJc w:val="left"/>
      <w:pPr>
        <w:ind w:left="5760" w:hanging="720"/>
      </w:pPr>
    </w:lvl>
    <w:lvl w:ilvl="7">
      <w:start w:val="1"/>
      <w:numFmt w:val="decimal"/>
      <w:suff w:val="nothing"/>
      <w:lvlText w:val="%8."/>
      <w:lvlJc w:val="left"/>
      <w:pPr>
        <w:ind w:left="6480" w:hanging="720"/>
      </w:pPr>
    </w:lvl>
    <w:lvl w:ilvl="8">
      <w:start w:val="1"/>
      <w:numFmt w:val="decimal"/>
      <w:lvlText w:val="%1.%2.%3.%4.%5.%6.%7.%8.%9."/>
      <w:lvlJc w:val="left"/>
      <w:pPr>
        <w:tabs>
          <w:tab w:val="num" w:pos="5400"/>
        </w:tabs>
        <w:ind w:left="4320" w:hanging="1440"/>
      </w:pPr>
    </w:lvl>
  </w:abstractNum>
  <w:abstractNum w:abstractNumId="18">
    <w:nsid w:val="64961BA3"/>
    <w:multiLevelType w:val="multilevel"/>
    <w:tmpl w:val="90EE90B6"/>
    <w:lvl w:ilvl="0">
      <w:start w:val="1"/>
      <w:numFmt w:val="upperRoman"/>
      <w:lvlText w:val="%1."/>
      <w:lvlJc w:val="left"/>
      <w:pPr>
        <w:tabs>
          <w:tab w:val="num" w:pos="720"/>
        </w:tabs>
        <w:ind w:left="720" w:hanging="720"/>
      </w:pPr>
    </w:lvl>
    <w:lvl w:ilvl="1">
      <w:start w:val="1"/>
      <w:numFmt w:val="upperLetter"/>
      <w:suff w:val="nothing"/>
      <w:lvlText w:val="%2."/>
      <w:lvlJc w:val="left"/>
      <w:pPr>
        <w:ind w:left="1440" w:hanging="720"/>
      </w:pPr>
    </w:lvl>
    <w:lvl w:ilvl="2">
      <w:start w:val="1"/>
      <w:numFmt w:val="decimal"/>
      <w:suff w:val="nothing"/>
      <w:lvlText w:val="%3."/>
      <w:lvlJc w:val="left"/>
      <w:pPr>
        <w:ind w:left="2160" w:hanging="720"/>
      </w:pPr>
    </w:lvl>
    <w:lvl w:ilvl="3">
      <w:start w:val="1"/>
      <w:numFmt w:val="lowerLetter"/>
      <w:suff w:val="nothing"/>
      <w:lvlText w:val="%4."/>
      <w:lvlJc w:val="left"/>
      <w:pPr>
        <w:ind w:left="2880" w:hanging="720"/>
      </w:pPr>
    </w:lvl>
    <w:lvl w:ilvl="4">
      <w:start w:val="1"/>
      <w:numFmt w:val="upperLetter"/>
      <w:suff w:val="nothing"/>
      <w:lvlText w:val="(%5)"/>
      <w:lvlJc w:val="left"/>
      <w:pPr>
        <w:ind w:left="3600" w:hanging="720"/>
      </w:pPr>
    </w:lvl>
    <w:lvl w:ilvl="5">
      <w:start w:val="1"/>
      <w:numFmt w:val="decimal"/>
      <w:suff w:val="nothing"/>
      <w:lvlText w:val="%6)"/>
      <w:lvlJc w:val="left"/>
      <w:pPr>
        <w:ind w:left="4320" w:hanging="720"/>
      </w:pPr>
    </w:lvl>
    <w:lvl w:ilvl="6">
      <w:start w:val="1"/>
      <w:numFmt w:val="lowerLetter"/>
      <w:suff w:val="nothing"/>
      <w:lvlText w:val="%7."/>
      <w:lvlJc w:val="left"/>
      <w:pPr>
        <w:ind w:left="5760" w:hanging="720"/>
      </w:pPr>
    </w:lvl>
    <w:lvl w:ilvl="7">
      <w:start w:val="1"/>
      <w:numFmt w:val="decimal"/>
      <w:suff w:val="nothing"/>
      <w:lvlText w:val="%8."/>
      <w:lvlJc w:val="left"/>
      <w:pPr>
        <w:ind w:left="6480" w:hanging="720"/>
      </w:pPr>
    </w:lvl>
    <w:lvl w:ilvl="8">
      <w:start w:val="1"/>
      <w:numFmt w:val="decimal"/>
      <w:lvlText w:val="%1.%2.%3.%4.%5.%6.%7.%8.%9."/>
      <w:lvlJc w:val="left"/>
      <w:pPr>
        <w:tabs>
          <w:tab w:val="num" w:pos="540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2"/>
  </w:num>
  <w:num w:numId="15">
    <w:abstractNumId w:val="18"/>
  </w:num>
  <w:num w:numId="16">
    <w:abstractNumId w:val="17"/>
  </w:num>
  <w:num w:numId="17">
    <w:abstractNumId w:val="14"/>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embedSystemFonts/>
  <w:bordersDoNotSurroundHeader/>
  <w:bordersDoNotSurroundFooter/>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rsids>
    <w:rsidRoot w:val="00DA4ADC"/>
    <w:rsid w:val="000078ED"/>
    <w:rsid w:val="00042798"/>
    <w:rsid w:val="00044EC6"/>
    <w:rsid w:val="0005615E"/>
    <w:rsid w:val="00062D71"/>
    <w:rsid w:val="00067F0E"/>
    <w:rsid w:val="00081834"/>
    <w:rsid w:val="000A6A91"/>
    <w:rsid w:val="000C710C"/>
    <w:rsid w:val="001278EE"/>
    <w:rsid w:val="00150D69"/>
    <w:rsid w:val="00153EBA"/>
    <w:rsid w:val="00155AA1"/>
    <w:rsid w:val="001608FB"/>
    <w:rsid w:val="00172D8B"/>
    <w:rsid w:val="001B663D"/>
    <w:rsid w:val="001C0670"/>
    <w:rsid w:val="001D31D5"/>
    <w:rsid w:val="001D5A2A"/>
    <w:rsid w:val="001E6AC6"/>
    <w:rsid w:val="00217706"/>
    <w:rsid w:val="00236F9D"/>
    <w:rsid w:val="00244B1C"/>
    <w:rsid w:val="0029086E"/>
    <w:rsid w:val="002A2AF9"/>
    <w:rsid w:val="002F0FB5"/>
    <w:rsid w:val="003031C0"/>
    <w:rsid w:val="00350F8D"/>
    <w:rsid w:val="003858AF"/>
    <w:rsid w:val="0039253B"/>
    <w:rsid w:val="003B21A6"/>
    <w:rsid w:val="00440942"/>
    <w:rsid w:val="00450377"/>
    <w:rsid w:val="004737C6"/>
    <w:rsid w:val="00485B4B"/>
    <w:rsid w:val="00487C37"/>
    <w:rsid w:val="004900F0"/>
    <w:rsid w:val="00497DDC"/>
    <w:rsid w:val="005339A7"/>
    <w:rsid w:val="005566BE"/>
    <w:rsid w:val="005644A4"/>
    <w:rsid w:val="00570BA9"/>
    <w:rsid w:val="00574144"/>
    <w:rsid w:val="0058620E"/>
    <w:rsid w:val="005A374F"/>
    <w:rsid w:val="005A77BF"/>
    <w:rsid w:val="005B1C03"/>
    <w:rsid w:val="005D7FE7"/>
    <w:rsid w:val="006211B9"/>
    <w:rsid w:val="006519E6"/>
    <w:rsid w:val="00657720"/>
    <w:rsid w:val="00695DD2"/>
    <w:rsid w:val="00696FAB"/>
    <w:rsid w:val="006A4EF4"/>
    <w:rsid w:val="006B40BC"/>
    <w:rsid w:val="006D008C"/>
    <w:rsid w:val="006D3950"/>
    <w:rsid w:val="006D645F"/>
    <w:rsid w:val="00710BAE"/>
    <w:rsid w:val="00720262"/>
    <w:rsid w:val="00733C3A"/>
    <w:rsid w:val="007714E8"/>
    <w:rsid w:val="00795D8E"/>
    <w:rsid w:val="007D72A2"/>
    <w:rsid w:val="008136CA"/>
    <w:rsid w:val="0082309C"/>
    <w:rsid w:val="00863C59"/>
    <w:rsid w:val="008A63D0"/>
    <w:rsid w:val="009009E8"/>
    <w:rsid w:val="009023F0"/>
    <w:rsid w:val="00923C81"/>
    <w:rsid w:val="009256A7"/>
    <w:rsid w:val="009407F9"/>
    <w:rsid w:val="009504F3"/>
    <w:rsid w:val="009910F3"/>
    <w:rsid w:val="009A1B87"/>
    <w:rsid w:val="009B072F"/>
    <w:rsid w:val="009F108F"/>
    <w:rsid w:val="00A25902"/>
    <w:rsid w:val="00A82F62"/>
    <w:rsid w:val="00AB1D44"/>
    <w:rsid w:val="00AB4E40"/>
    <w:rsid w:val="00AD448E"/>
    <w:rsid w:val="00AE4D99"/>
    <w:rsid w:val="00B2503A"/>
    <w:rsid w:val="00B56B6F"/>
    <w:rsid w:val="00B81638"/>
    <w:rsid w:val="00B81E2C"/>
    <w:rsid w:val="00B8779F"/>
    <w:rsid w:val="00B931B9"/>
    <w:rsid w:val="00BD24FB"/>
    <w:rsid w:val="00BD4771"/>
    <w:rsid w:val="00C06644"/>
    <w:rsid w:val="00C1061D"/>
    <w:rsid w:val="00C1774E"/>
    <w:rsid w:val="00C2507A"/>
    <w:rsid w:val="00C30704"/>
    <w:rsid w:val="00C32041"/>
    <w:rsid w:val="00C34EA2"/>
    <w:rsid w:val="00C40698"/>
    <w:rsid w:val="00C64C08"/>
    <w:rsid w:val="00C71913"/>
    <w:rsid w:val="00C750A6"/>
    <w:rsid w:val="00C93BB1"/>
    <w:rsid w:val="00CA0AC6"/>
    <w:rsid w:val="00CE2791"/>
    <w:rsid w:val="00CF0A7A"/>
    <w:rsid w:val="00D050AE"/>
    <w:rsid w:val="00D65CDE"/>
    <w:rsid w:val="00D96616"/>
    <w:rsid w:val="00D97F22"/>
    <w:rsid w:val="00DA4ADC"/>
    <w:rsid w:val="00DA7564"/>
    <w:rsid w:val="00DC03AE"/>
    <w:rsid w:val="00DC34EA"/>
    <w:rsid w:val="00DE5BD1"/>
    <w:rsid w:val="00E102ED"/>
    <w:rsid w:val="00E25ABC"/>
    <w:rsid w:val="00E440E1"/>
    <w:rsid w:val="00E62752"/>
    <w:rsid w:val="00E64671"/>
    <w:rsid w:val="00E66830"/>
    <w:rsid w:val="00E67DB8"/>
    <w:rsid w:val="00E80D4F"/>
    <w:rsid w:val="00E82FDF"/>
    <w:rsid w:val="00EA28B0"/>
    <w:rsid w:val="00ED61AF"/>
    <w:rsid w:val="00EE67B3"/>
    <w:rsid w:val="00EF30B7"/>
    <w:rsid w:val="00F248CF"/>
    <w:rsid w:val="00F6006B"/>
    <w:rsid w:val="00F62DA1"/>
    <w:rsid w:val="00F63465"/>
    <w:rsid w:val="00F843BE"/>
    <w:rsid w:val="00FA5F0B"/>
    <w:rsid w:val="00FA6955"/>
    <w:rsid w:val="00FA6AAE"/>
    <w:rsid w:val="00FE1762"/>
    <w:rsid w:val="00FE24F3"/>
    <w:rsid w:val="00FF7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BodyText"/>
    <w:qFormat/>
    <w:pPr>
      <w:keepNext/>
      <w:widowControl/>
      <w:numPr>
        <w:numId w:val="16"/>
      </w:numPr>
      <w:spacing w:after="240"/>
      <w:outlineLvl w:val="0"/>
    </w:pPr>
    <w:rPr>
      <w:rFonts w:ascii="Times New Roman" w:hAnsi="Times New Roman"/>
      <w:b/>
      <w:smallCaps/>
      <w:snapToGrid/>
    </w:rPr>
  </w:style>
  <w:style w:type="paragraph" w:styleId="Heading2">
    <w:name w:val="heading 2"/>
    <w:basedOn w:val="Normal"/>
    <w:next w:val="BodyText"/>
    <w:qFormat/>
    <w:pPr>
      <w:keepNext/>
      <w:widowControl/>
      <w:numPr>
        <w:ilvl w:val="1"/>
        <w:numId w:val="17"/>
      </w:numPr>
      <w:spacing w:after="240"/>
      <w:outlineLvl w:val="1"/>
    </w:pPr>
    <w:rPr>
      <w:rFonts w:ascii="Times New Roman" w:hAnsi="Times New Roman"/>
      <w:b/>
      <w:snapToGrid/>
      <w:u w:val="single"/>
    </w:rPr>
  </w:style>
  <w:style w:type="paragraph" w:styleId="Heading3">
    <w:name w:val="heading 3"/>
    <w:basedOn w:val="Normal"/>
    <w:next w:val="BodyText"/>
    <w:qFormat/>
    <w:pPr>
      <w:keepNext/>
      <w:widowControl/>
      <w:numPr>
        <w:ilvl w:val="2"/>
        <w:numId w:val="17"/>
      </w:numPr>
      <w:spacing w:after="240"/>
      <w:outlineLvl w:val="2"/>
    </w:pPr>
    <w:rPr>
      <w:rFonts w:ascii="Times New Roman" w:hAnsi="Times New Roman"/>
      <w:b/>
      <w:snapToGrid/>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spacing w:line="480" w:lineRule="auto"/>
      <w:ind w:firstLine="720"/>
    </w:pPr>
    <w:rPr>
      <w:rFonts w:ascii="Times New Roman" w:hAnsi="Times New Roman"/>
      <w:snapToGrid/>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urtName">
    <w:name w:val="CourtName"/>
    <w:basedOn w:val="Normal"/>
    <w:pPr>
      <w:spacing w:line="447" w:lineRule="exact"/>
      <w:jc w:val="center"/>
    </w:pPr>
    <w:rPr>
      <w:rFonts w:ascii="Times New Roman" w:hAnsi="Times New Roman"/>
      <w:snapToGrid/>
      <w:sz w:val="16"/>
    </w:rPr>
  </w:style>
  <w:style w:type="character" w:styleId="PageNumber">
    <w:name w:val="page number"/>
    <w:basedOn w:val="DefaultParagraphFont"/>
  </w:style>
  <w:style w:type="paragraph" w:customStyle="1" w:styleId="Level2">
    <w:name w:val="Level 2"/>
    <w:basedOn w:val="Normal"/>
    <w:next w:val="BodyText"/>
    <w:pPr>
      <w:keepNext/>
      <w:widowControl/>
      <w:numPr>
        <w:ilvl w:val="1"/>
        <w:numId w:val="14"/>
      </w:numPr>
      <w:spacing w:after="240"/>
      <w:outlineLvl w:val="1"/>
    </w:pPr>
    <w:rPr>
      <w:rFonts w:ascii="Times New Roman" w:hAnsi="Times New Roman"/>
      <w:b/>
      <w:snapToGrid/>
    </w:rPr>
  </w:style>
  <w:style w:type="paragraph" w:customStyle="1" w:styleId="Level3">
    <w:name w:val="Level 3"/>
    <w:basedOn w:val="Normal"/>
    <w:next w:val="BodyText"/>
    <w:pPr>
      <w:keepNext/>
      <w:widowControl/>
      <w:numPr>
        <w:ilvl w:val="2"/>
        <w:numId w:val="14"/>
      </w:numPr>
      <w:spacing w:after="240"/>
      <w:outlineLvl w:val="2"/>
    </w:pPr>
    <w:rPr>
      <w:rFonts w:ascii="Times New Roman" w:hAnsi="Times New Roman"/>
      <w:b/>
      <w:snapToGrid/>
    </w:rPr>
  </w:style>
  <w:style w:type="paragraph" w:customStyle="1" w:styleId="Level4">
    <w:name w:val="Level 4"/>
    <w:basedOn w:val="Normal"/>
    <w:pPr>
      <w:widowControl/>
      <w:numPr>
        <w:ilvl w:val="3"/>
        <w:numId w:val="14"/>
      </w:numPr>
      <w:spacing w:line="480" w:lineRule="auto"/>
      <w:jc w:val="both"/>
      <w:outlineLvl w:val="3"/>
    </w:pPr>
    <w:rPr>
      <w:rFonts w:ascii="Times New Roman" w:hAnsi="Times New Roman"/>
      <w:snapToGrid/>
    </w:rPr>
  </w:style>
  <w:style w:type="paragraph" w:customStyle="1" w:styleId="Level1">
    <w:name w:val="Level 1"/>
    <w:basedOn w:val="Normal"/>
    <w:next w:val="BodyText"/>
    <w:pPr>
      <w:keepNext/>
      <w:widowControl/>
      <w:numPr>
        <w:numId w:val="18"/>
      </w:numPr>
      <w:spacing w:after="240"/>
    </w:pPr>
    <w:rPr>
      <w:rFonts w:ascii="Times New Roman" w:hAnsi="Times New Roman"/>
      <w:b/>
      <w:smallCaps/>
      <w:snapToGrid/>
      <w:lang w:val="en-GB"/>
    </w:rPr>
  </w:style>
  <w:style w:type="paragraph" w:customStyle="1" w:styleId="Heading40">
    <w:name w:val="Heading4"/>
    <w:basedOn w:val="Normal"/>
    <w:next w:val="BodyText"/>
    <w:pPr>
      <w:keepNext/>
      <w:widowControl/>
      <w:numPr>
        <w:ilvl w:val="3"/>
        <w:numId w:val="17"/>
      </w:numPr>
      <w:spacing w:after="240"/>
    </w:pPr>
    <w:rPr>
      <w:rFonts w:ascii="Times New Roman" w:hAnsi="Times New Roman"/>
      <w:snapToGrid/>
    </w:rPr>
  </w:style>
  <w:style w:type="paragraph" w:styleId="ListBullet">
    <w:name w:val="List Bullet"/>
    <w:basedOn w:val="Normal"/>
    <w:autoRedefine/>
    <w:pPr>
      <w:widowControl/>
      <w:numPr>
        <w:numId w:val="1"/>
      </w:numPr>
      <w:spacing w:line="480" w:lineRule="auto"/>
      <w:jc w:val="both"/>
    </w:pPr>
    <w:rPr>
      <w:rFonts w:ascii="Times New Roman" w:hAnsi="Times New Roman"/>
      <w:snapToGrid/>
    </w:rPr>
  </w:style>
  <w:style w:type="paragraph" w:styleId="ListBullet2">
    <w:name w:val="List Bullet 2"/>
    <w:basedOn w:val="Normal"/>
    <w:autoRedefine/>
    <w:pPr>
      <w:widowControl/>
      <w:numPr>
        <w:numId w:val="2"/>
      </w:numPr>
      <w:spacing w:line="480" w:lineRule="auto"/>
      <w:jc w:val="both"/>
    </w:pPr>
    <w:rPr>
      <w:rFonts w:ascii="Times New Roman" w:hAnsi="Times New Roman"/>
      <w:snapToGrid/>
    </w:rPr>
  </w:style>
  <w:style w:type="paragraph" w:styleId="ListBullet3">
    <w:name w:val="List Bullet 3"/>
    <w:basedOn w:val="Normal"/>
    <w:autoRedefine/>
    <w:pPr>
      <w:widowControl/>
      <w:numPr>
        <w:numId w:val="3"/>
      </w:numPr>
      <w:spacing w:line="480" w:lineRule="auto"/>
      <w:jc w:val="both"/>
    </w:pPr>
    <w:rPr>
      <w:rFonts w:ascii="Times New Roman" w:hAnsi="Times New Roman"/>
      <w:snapToGrid/>
    </w:rPr>
  </w:style>
  <w:style w:type="paragraph" w:styleId="ListBullet4">
    <w:name w:val="List Bullet 4"/>
    <w:basedOn w:val="Normal"/>
    <w:autoRedefine/>
    <w:pPr>
      <w:widowControl/>
      <w:numPr>
        <w:numId w:val="4"/>
      </w:numPr>
      <w:spacing w:line="480" w:lineRule="auto"/>
      <w:jc w:val="both"/>
    </w:pPr>
    <w:rPr>
      <w:rFonts w:ascii="Times New Roman" w:hAnsi="Times New Roman"/>
      <w:snapToGrid/>
    </w:rPr>
  </w:style>
  <w:style w:type="paragraph" w:styleId="ListBullet5">
    <w:name w:val="List Bullet 5"/>
    <w:basedOn w:val="Normal"/>
    <w:autoRedefine/>
    <w:pPr>
      <w:widowControl/>
      <w:numPr>
        <w:numId w:val="5"/>
      </w:numPr>
      <w:spacing w:line="480" w:lineRule="auto"/>
      <w:jc w:val="both"/>
    </w:pPr>
    <w:rPr>
      <w:rFonts w:ascii="Times New Roman" w:hAnsi="Times New Roman"/>
      <w:snapToGrid/>
    </w:rPr>
  </w:style>
  <w:style w:type="paragraph" w:styleId="ListNumber">
    <w:name w:val="List Number"/>
    <w:basedOn w:val="Normal"/>
    <w:pPr>
      <w:widowControl/>
      <w:numPr>
        <w:numId w:val="6"/>
      </w:numPr>
      <w:spacing w:line="480" w:lineRule="auto"/>
      <w:jc w:val="both"/>
    </w:pPr>
    <w:rPr>
      <w:rFonts w:ascii="Times New Roman" w:hAnsi="Times New Roman"/>
      <w:snapToGrid/>
    </w:rPr>
  </w:style>
  <w:style w:type="paragraph" w:styleId="ListNumber2">
    <w:name w:val="List Number 2"/>
    <w:basedOn w:val="Normal"/>
    <w:pPr>
      <w:widowControl/>
      <w:numPr>
        <w:numId w:val="7"/>
      </w:numPr>
      <w:spacing w:line="480" w:lineRule="auto"/>
      <w:jc w:val="both"/>
    </w:pPr>
    <w:rPr>
      <w:rFonts w:ascii="Times New Roman" w:hAnsi="Times New Roman"/>
      <w:snapToGrid/>
    </w:rPr>
  </w:style>
  <w:style w:type="paragraph" w:styleId="ListNumber3">
    <w:name w:val="List Number 3"/>
    <w:basedOn w:val="Normal"/>
    <w:pPr>
      <w:widowControl/>
      <w:numPr>
        <w:numId w:val="8"/>
      </w:numPr>
      <w:spacing w:line="480" w:lineRule="auto"/>
      <w:jc w:val="both"/>
    </w:pPr>
    <w:rPr>
      <w:rFonts w:ascii="Times New Roman" w:hAnsi="Times New Roman"/>
      <w:snapToGrid/>
    </w:rPr>
  </w:style>
  <w:style w:type="paragraph" w:styleId="ListNumber4">
    <w:name w:val="List Number 4"/>
    <w:basedOn w:val="Normal"/>
    <w:pPr>
      <w:widowControl/>
      <w:numPr>
        <w:numId w:val="9"/>
      </w:numPr>
      <w:spacing w:line="480" w:lineRule="auto"/>
      <w:jc w:val="both"/>
    </w:pPr>
    <w:rPr>
      <w:rFonts w:ascii="Times New Roman" w:hAnsi="Times New Roman"/>
      <w:snapToGrid/>
    </w:rPr>
  </w:style>
  <w:style w:type="paragraph" w:styleId="ListNumber5">
    <w:name w:val="List Number 5"/>
    <w:basedOn w:val="Normal"/>
    <w:pPr>
      <w:widowControl/>
      <w:numPr>
        <w:numId w:val="10"/>
      </w:numPr>
      <w:spacing w:line="480" w:lineRule="auto"/>
      <w:jc w:val="both"/>
    </w:pPr>
    <w:rPr>
      <w:rFonts w:ascii="Times New Roman" w:hAnsi="Times New Roman"/>
      <w:snapToGrid/>
    </w:rPr>
  </w:style>
  <w:style w:type="paragraph" w:styleId="NormalWeb">
    <w:name w:val="Normal (Web)"/>
    <w:basedOn w:val="Normal"/>
    <w:rPr>
      <w:rFonts w:ascii="Times New Roman" w:hAnsi="Times New Roman"/>
      <w:snapToGrid/>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widowControl w:val="0"/>
      <w:spacing w:after="120" w:line="240" w:lineRule="auto"/>
      <w:ind w:firstLine="210"/>
    </w:pPr>
    <w:rPr>
      <w:rFonts w:ascii="Courier New" w:hAnsi="Courier New"/>
      <w:snapToGrid w:val="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character" w:styleId="CommentReference">
    <w:name w:val="annotation reference"/>
    <w:basedOn w:val="DefaultParagraphFont"/>
    <w:semiHidden/>
    <w:rsid w:val="008A63D0"/>
    <w:rPr>
      <w:sz w:val="16"/>
      <w:szCs w:val="16"/>
    </w:rPr>
  </w:style>
  <w:style w:type="paragraph" w:styleId="BalloonText">
    <w:name w:val="Balloon Text"/>
    <w:basedOn w:val="Normal"/>
    <w:semiHidden/>
    <w:rsid w:val="00244B1C"/>
    <w:rPr>
      <w:rFonts w:ascii="Tahoma" w:hAnsi="Tahoma" w:cs="Tahoma"/>
      <w:sz w:val="16"/>
      <w:szCs w:val="16"/>
    </w:rPr>
  </w:style>
  <w:style w:type="paragraph" w:styleId="HTMLPreformatted">
    <w:name w:val="HTML Preformatted"/>
    <w:basedOn w:val="Normal"/>
    <w:rsid w:val="0053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1731</Words>
  <Characters>9871</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2006-10-30T16:39:00Z</cp:lastPrinted>
  <dcterms:created xsi:type="dcterms:W3CDTF">2010-12-14T17:20:00Z</dcterms:created>
  <dcterms:modified xsi:type="dcterms:W3CDTF">2010-12-14T17:21:00Z</dcterms:modified>
</cp:coreProperties>
</file>