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47" w:rsidRDefault="00535347"/>
    <w:p w:rsidR="0095057A" w:rsidRPr="00696012" w:rsidRDefault="0095057A" w:rsidP="0095057A">
      <w:pPr>
        <w:pStyle w:val="Title"/>
        <w:widowControl w:val="0"/>
        <w:rPr>
          <w:rFonts w:ascii="Arial" w:hAnsi="Arial" w:cs="Arial"/>
          <w:szCs w:val="24"/>
        </w:rPr>
      </w:pPr>
      <w:r w:rsidRPr="00696012">
        <w:rPr>
          <w:rFonts w:ascii="Arial" w:hAnsi="Arial" w:cs="Arial"/>
          <w:szCs w:val="24"/>
        </w:rPr>
        <w:t>BEFORE</w:t>
      </w:r>
    </w:p>
    <w:p w:rsidR="0095057A" w:rsidRPr="00696012" w:rsidRDefault="0095057A" w:rsidP="0095057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696012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69"/>
        <w:gridCol w:w="634"/>
        <w:gridCol w:w="3954"/>
      </w:tblGrid>
      <w:tr w:rsidR="0095057A" w:rsidRPr="00696012" w:rsidTr="007569A9">
        <w:trPr>
          <w:trHeight w:val="1288"/>
          <w:jc w:val="center"/>
        </w:trPr>
        <w:tc>
          <w:tcPr>
            <w:tcW w:w="4769" w:type="dxa"/>
          </w:tcPr>
          <w:p w:rsidR="0095057A" w:rsidRPr="00696012" w:rsidRDefault="0095057A" w:rsidP="007569A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012">
              <w:rPr>
                <w:rFonts w:ascii="Arial" w:hAnsi="Arial" w:cs="Arial"/>
                <w:sz w:val="24"/>
                <w:szCs w:val="24"/>
              </w:rPr>
              <w:t>In the Matter of the Commission's Investigation of Ohio’s Retail Electric Service Market</w:t>
            </w:r>
          </w:p>
        </w:tc>
        <w:tc>
          <w:tcPr>
            <w:tcW w:w="634" w:type="dxa"/>
          </w:tcPr>
          <w:p w:rsidR="0095057A" w:rsidRPr="00696012" w:rsidRDefault="0095057A" w:rsidP="007569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01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5057A" w:rsidRPr="00696012" w:rsidRDefault="0095057A" w:rsidP="007569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01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5057A" w:rsidRPr="00696012" w:rsidRDefault="0095057A" w:rsidP="007569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0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54" w:type="dxa"/>
          </w:tcPr>
          <w:p w:rsidR="0095057A" w:rsidRPr="00696012" w:rsidRDefault="0095057A" w:rsidP="007569A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A" w:rsidRPr="00696012" w:rsidRDefault="0095057A" w:rsidP="007569A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012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bookmarkStart w:id="0" w:name="OLE_LINK1"/>
            <w:bookmarkStart w:id="1" w:name="OLE_LINK2"/>
            <w:r w:rsidRPr="00696012">
              <w:rPr>
                <w:rFonts w:ascii="Arial" w:hAnsi="Arial" w:cs="Arial"/>
                <w:sz w:val="24"/>
                <w:szCs w:val="24"/>
              </w:rPr>
              <w:t>12-3151-EL-COI</w:t>
            </w:r>
            <w:bookmarkEnd w:id="0"/>
            <w:bookmarkEnd w:id="1"/>
          </w:p>
          <w:p w:rsidR="0095057A" w:rsidRPr="00696012" w:rsidRDefault="0095057A" w:rsidP="007569A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057A" w:rsidRPr="00696012" w:rsidRDefault="0095057A" w:rsidP="0095057A">
      <w:pPr>
        <w:pStyle w:val="Footer"/>
        <w:pBdr>
          <w:top w:val="single" w:sz="12" w:space="1" w:color="auto"/>
          <w:bottom w:val="single" w:sz="12" w:space="1" w:color="auto"/>
        </w:pBd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95057A" w:rsidRPr="00696012" w:rsidRDefault="0095057A" w:rsidP="0095057A">
      <w:pPr>
        <w:pStyle w:val="Footer"/>
        <w:pBdr>
          <w:top w:val="single" w:sz="12" w:space="1" w:color="auto"/>
          <w:bottom w:val="single" w:sz="12" w:space="1" w:color="auto"/>
        </w:pBdr>
        <w:tabs>
          <w:tab w:val="left" w:pos="43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</w:t>
      </w:r>
      <w:r w:rsidRPr="00696012">
        <w:rPr>
          <w:rFonts w:ascii="Arial" w:hAnsi="Arial" w:cs="Arial"/>
          <w:b/>
          <w:sz w:val="24"/>
          <w:szCs w:val="24"/>
        </w:rPr>
        <w:t xml:space="preserve">COMMENTS OF INTERSTATE GAS SUPPLY, INC </w:t>
      </w:r>
    </w:p>
    <w:p w:rsidR="0095057A" w:rsidRPr="00696012" w:rsidRDefault="0095057A" w:rsidP="0095057A">
      <w:pPr>
        <w:pStyle w:val="Footer"/>
        <w:pBdr>
          <w:top w:val="single" w:sz="12" w:space="1" w:color="auto"/>
          <w:bottom w:val="single" w:sz="12" w:space="1" w:color="auto"/>
        </w:pBd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95057A" w:rsidRDefault="0095057A" w:rsidP="0095057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156BC" w:rsidRPr="009156BC" w:rsidRDefault="009156BC" w:rsidP="009156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B2085A" w:rsidRPr="00B2085A" w:rsidRDefault="00B2085A" w:rsidP="00B2085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6012">
        <w:rPr>
          <w:rFonts w:ascii="Arial" w:hAnsi="Arial" w:cs="Arial"/>
          <w:sz w:val="24"/>
          <w:szCs w:val="24"/>
        </w:rPr>
        <w:t xml:space="preserve">In accordance with the Commission’s Entry of January 24, 2013, Interstate Gas Supply, Inc. (“IGS”) submits these </w:t>
      </w:r>
      <w:r>
        <w:rPr>
          <w:rFonts w:ascii="Arial" w:hAnsi="Arial" w:cs="Arial"/>
          <w:sz w:val="24"/>
          <w:szCs w:val="24"/>
        </w:rPr>
        <w:t>Reply</w:t>
      </w:r>
      <w:r w:rsidRPr="00696012">
        <w:rPr>
          <w:rFonts w:ascii="Arial" w:hAnsi="Arial" w:cs="Arial"/>
          <w:sz w:val="24"/>
          <w:szCs w:val="24"/>
        </w:rPr>
        <w:t xml:space="preserve"> Comments is response to</w:t>
      </w:r>
      <w:r>
        <w:rPr>
          <w:rFonts w:ascii="Arial" w:hAnsi="Arial" w:cs="Arial"/>
          <w:sz w:val="24"/>
          <w:szCs w:val="24"/>
        </w:rPr>
        <w:t xml:space="preserve"> comments filed by other parties</w:t>
      </w:r>
      <w:r w:rsidRPr="00696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this proceeding.</w:t>
      </w:r>
    </w:p>
    <w:p w:rsidR="0095057A" w:rsidRDefault="0095057A" w:rsidP="0095057A">
      <w:pPr>
        <w:spacing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95057A">
        <w:rPr>
          <w:rFonts w:ascii="Arial" w:hAnsi="Arial" w:cs="Arial"/>
          <w:bCs/>
          <w:sz w:val="24"/>
          <w:szCs w:val="24"/>
        </w:rPr>
        <w:t>IGS</w:t>
      </w:r>
      <w:r>
        <w:rPr>
          <w:rFonts w:ascii="Arial" w:hAnsi="Arial" w:cs="Arial"/>
          <w:bCs/>
          <w:sz w:val="24"/>
          <w:szCs w:val="24"/>
        </w:rPr>
        <w:t xml:space="preserve"> is encouraged that most, if not all, of the Comments submitted in this proceeding are</w:t>
      </w:r>
      <w:r w:rsidR="007F231C">
        <w:rPr>
          <w:rFonts w:ascii="Arial" w:hAnsi="Arial" w:cs="Arial"/>
          <w:bCs/>
          <w:sz w:val="24"/>
          <w:szCs w:val="24"/>
        </w:rPr>
        <w:t xml:space="preserve"> generally</w:t>
      </w:r>
      <w:r>
        <w:rPr>
          <w:rFonts w:ascii="Arial" w:hAnsi="Arial" w:cs="Arial"/>
          <w:bCs/>
          <w:sz w:val="24"/>
          <w:szCs w:val="24"/>
        </w:rPr>
        <w:t xml:space="preserve"> supportive of retail electric competition.  </w:t>
      </w:r>
      <w:r w:rsidR="00994DA1">
        <w:rPr>
          <w:rFonts w:ascii="Arial" w:hAnsi="Arial" w:cs="Arial"/>
          <w:bCs/>
          <w:sz w:val="24"/>
          <w:szCs w:val="24"/>
        </w:rPr>
        <w:t>In the not too distant past some parties</w:t>
      </w:r>
      <w:r w:rsidR="00061276">
        <w:rPr>
          <w:rFonts w:ascii="Arial" w:hAnsi="Arial" w:cs="Arial"/>
          <w:bCs/>
          <w:sz w:val="24"/>
          <w:szCs w:val="24"/>
        </w:rPr>
        <w:t xml:space="preserve"> </w:t>
      </w:r>
      <w:r w:rsidR="00994DA1">
        <w:rPr>
          <w:rFonts w:ascii="Arial" w:hAnsi="Arial" w:cs="Arial"/>
          <w:bCs/>
          <w:sz w:val="24"/>
          <w:szCs w:val="24"/>
        </w:rPr>
        <w:t>(</w:t>
      </w:r>
      <w:r w:rsidR="00061276">
        <w:rPr>
          <w:rFonts w:ascii="Arial" w:hAnsi="Arial" w:cs="Arial"/>
          <w:bCs/>
          <w:sz w:val="24"/>
          <w:szCs w:val="24"/>
        </w:rPr>
        <w:t>including parties submitting comments in this proceeding</w:t>
      </w:r>
      <w:r w:rsidR="00994DA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argued</w:t>
      </w:r>
      <w:r w:rsidR="0006127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 traditionally regulated utility monopolies, with regulated</w:t>
      </w:r>
      <w:r w:rsidR="00D73F61">
        <w:rPr>
          <w:rFonts w:ascii="Arial" w:hAnsi="Arial" w:cs="Arial"/>
          <w:bCs/>
          <w:sz w:val="24"/>
          <w:szCs w:val="24"/>
        </w:rPr>
        <w:t xml:space="preserve"> retail</w:t>
      </w:r>
      <w:r>
        <w:rPr>
          <w:rFonts w:ascii="Arial" w:hAnsi="Arial" w:cs="Arial"/>
          <w:bCs/>
          <w:sz w:val="24"/>
          <w:szCs w:val="24"/>
        </w:rPr>
        <w:t xml:space="preserve"> pricing, w</w:t>
      </w:r>
      <w:r w:rsidR="00061276">
        <w:rPr>
          <w:rFonts w:ascii="Arial" w:hAnsi="Arial" w:cs="Arial"/>
          <w:bCs/>
          <w:sz w:val="24"/>
          <w:szCs w:val="24"/>
        </w:rPr>
        <w:t>ere</w:t>
      </w:r>
      <w:r>
        <w:rPr>
          <w:rFonts w:ascii="Arial" w:hAnsi="Arial" w:cs="Arial"/>
          <w:bCs/>
          <w:sz w:val="24"/>
          <w:szCs w:val="24"/>
        </w:rPr>
        <w:t xml:space="preserve"> the only way to ensure reliable, safe and </w:t>
      </w:r>
      <w:r w:rsidR="004D54D8">
        <w:rPr>
          <w:rFonts w:ascii="Arial" w:hAnsi="Arial" w:cs="Arial"/>
          <w:bCs/>
          <w:sz w:val="24"/>
          <w:szCs w:val="24"/>
        </w:rPr>
        <w:t>reasonably priced</w:t>
      </w:r>
      <w:r>
        <w:rPr>
          <w:rFonts w:ascii="Arial" w:hAnsi="Arial" w:cs="Arial"/>
          <w:bCs/>
          <w:sz w:val="24"/>
          <w:szCs w:val="24"/>
        </w:rPr>
        <w:t xml:space="preserve"> electric service.</w:t>
      </w:r>
      <w:r w:rsidR="00D73F61">
        <w:rPr>
          <w:rFonts w:ascii="Arial" w:hAnsi="Arial" w:cs="Arial"/>
          <w:bCs/>
          <w:sz w:val="24"/>
          <w:szCs w:val="24"/>
        </w:rPr>
        <w:t xml:space="preserve">  </w:t>
      </w:r>
      <w:r w:rsidR="00BF2B1C">
        <w:rPr>
          <w:rFonts w:ascii="Arial" w:hAnsi="Arial" w:cs="Arial"/>
          <w:bCs/>
          <w:sz w:val="24"/>
          <w:szCs w:val="24"/>
        </w:rPr>
        <w:t xml:space="preserve">As evidenced by the lack of demand to </w:t>
      </w:r>
      <w:r w:rsidR="009156BC">
        <w:rPr>
          <w:rFonts w:ascii="Arial" w:hAnsi="Arial" w:cs="Arial"/>
          <w:bCs/>
          <w:sz w:val="24"/>
          <w:szCs w:val="24"/>
        </w:rPr>
        <w:t>return</w:t>
      </w:r>
      <w:r w:rsidR="00BF2B1C">
        <w:rPr>
          <w:rFonts w:ascii="Arial" w:hAnsi="Arial" w:cs="Arial"/>
          <w:bCs/>
          <w:sz w:val="24"/>
          <w:szCs w:val="24"/>
        </w:rPr>
        <w:t xml:space="preserve"> to traditional utility regulation,</w:t>
      </w:r>
      <w:r w:rsidR="004D54D8">
        <w:rPr>
          <w:rFonts w:ascii="Arial" w:hAnsi="Arial" w:cs="Arial"/>
          <w:bCs/>
          <w:sz w:val="24"/>
          <w:szCs w:val="24"/>
        </w:rPr>
        <w:t xml:space="preserve"> </w:t>
      </w:r>
      <w:r w:rsidR="00BF2B1C">
        <w:rPr>
          <w:rFonts w:ascii="Arial" w:hAnsi="Arial" w:cs="Arial"/>
          <w:bCs/>
          <w:sz w:val="24"/>
          <w:szCs w:val="24"/>
        </w:rPr>
        <w:t>there</w:t>
      </w:r>
      <w:r w:rsidR="00FA0A28">
        <w:rPr>
          <w:rFonts w:ascii="Arial" w:hAnsi="Arial" w:cs="Arial"/>
          <w:bCs/>
          <w:sz w:val="24"/>
          <w:szCs w:val="24"/>
        </w:rPr>
        <w:t xml:space="preserve"> now</w:t>
      </w:r>
      <w:r w:rsidR="00BF2B1C">
        <w:rPr>
          <w:rFonts w:ascii="Arial" w:hAnsi="Arial" w:cs="Arial"/>
          <w:bCs/>
          <w:sz w:val="24"/>
          <w:szCs w:val="24"/>
        </w:rPr>
        <w:t xml:space="preserve"> appears to</w:t>
      </w:r>
      <w:r w:rsidR="00061276">
        <w:rPr>
          <w:rFonts w:ascii="Arial" w:hAnsi="Arial" w:cs="Arial"/>
          <w:bCs/>
          <w:sz w:val="24"/>
          <w:szCs w:val="24"/>
        </w:rPr>
        <w:t xml:space="preserve"> be</w:t>
      </w:r>
      <w:r w:rsidR="00BF2B1C">
        <w:rPr>
          <w:rFonts w:ascii="Arial" w:hAnsi="Arial" w:cs="Arial"/>
          <w:bCs/>
          <w:sz w:val="24"/>
          <w:szCs w:val="24"/>
        </w:rPr>
        <w:t xml:space="preserve"> </w:t>
      </w:r>
      <w:r w:rsidR="00061276">
        <w:rPr>
          <w:rFonts w:ascii="Arial" w:hAnsi="Arial" w:cs="Arial"/>
          <w:bCs/>
          <w:sz w:val="24"/>
          <w:szCs w:val="24"/>
        </w:rPr>
        <w:t>a consensus</w:t>
      </w:r>
      <w:r w:rsidR="00D73F61">
        <w:rPr>
          <w:rFonts w:ascii="Arial" w:hAnsi="Arial" w:cs="Arial"/>
          <w:bCs/>
          <w:sz w:val="24"/>
          <w:szCs w:val="24"/>
        </w:rPr>
        <w:t xml:space="preserve"> that</w:t>
      </w:r>
      <w:r w:rsidR="004D54D8">
        <w:rPr>
          <w:rFonts w:ascii="Arial" w:hAnsi="Arial" w:cs="Arial"/>
          <w:bCs/>
          <w:sz w:val="24"/>
          <w:szCs w:val="24"/>
        </w:rPr>
        <w:t xml:space="preserve"> </w:t>
      </w:r>
      <w:r w:rsidR="00E7661E">
        <w:rPr>
          <w:rFonts w:ascii="Arial" w:hAnsi="Arial" w:cs="Arial"/>
          <w:bCs/>
          <w:sz w:val="24"/>
          <w:szCs w:val="24"/>
        </w:rPr>
        <w:t>electric competition can</w:t>
      </w:r>
      <w:r w:rsidR="004D54D8">
        <w:rPr>
          <w:rFonts w:ascii="Arial" w:hAnsi="Arial" w:cs="Arial"/>
          <w:bCs/>
          <w:sz w:val="24"/>
          <w:szCs w:val="24"/>
        </w:rPr>
        <w:t>, and does, bring numerous benefits to customers and</w:t>
      </w:r>
      <w:r w:rsidR="00C134DF">
        <w:rPr>
          <w:rFonts w:ascii="Arial" w:hAnsi="Arial" w:cs="Arial"/>
          <w:bCs/>
          <w:sz w:val="24"/>
          <w:szCs w:val="24"/>
        </w:rPr>
        <w:t xml:space="preserve"> to</w:t>
      </w:r>
      <w:r w:rsidR="004D54D8">
        <w:rPr>
          <w:rFonts w:ascii="Arial" w:hAnsi="Arial" w:cs="Arial"/>
          <w:bCs/>
          <w:sz w:val="24"/>
          <w:szCs w:val="24"/>
        </w:rPr>
        <w:t xml:space="preserve"> the State of Ohio</w:t>
      </w:r>
      <w:r w:rsidR="00061276">
        <w:rPr>
          <w:rFonts w:ascii="Arial" w:hAnsi="Arial" w:cs="Arial"/>
          <w:bCs/>
          <w:sz w:val="24"/>
          <w:szCs w:val="24"/>
        </w:rPr>
        <w:t>.</w:t>
      </w:r>
    </w:p>
    <w:p w:rsidR="0095057A" w:rsidRDefault="008E71E4" w:rsidP="0095057A">
      <w:pPr>
        <w:spacing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Many of those</w:t>
      </w:r>
      <w:r w:rsidR="00FB287C">
        <w:rPr>
          <w:rFonts w:ascii="Arial" w:hAnsi="Arial" w:cs="Arial"/>
          <w:bCs/>
          <w:sz w:val="24"/>
          <w:szCs w:val="24"/>
        </w:rPr>
        <w:t xml:space="preserve"> </w:t>
      </w:r>
      <w:r w:rsidR="00A56151">
        <w:rPr>
          <w:rFonts w:ascii="Arial" w:hAnsi="Arial" w:cs="Arial"/>
          <w:bCs/>
          <w:sz w:val="24"/>
          <w:szCs w:val="24"/>
        </w:rPr>
        <w:t xml:space="preserve">who </w:t>
      </w:r>
      <w:r w:rsidR="007F231C">
        <w:rPr>
          <w:rFonts w:ascii="Arial" w:hAnsi="Arial" w:cs="Arial"/>
          <w:bCs/>
          <w:sz w:val="24"/>
          <w:szCs w:val="24"/>
        </w:rPr>
        <w:t xml:space="preserve">doubted the benefit of competitive electric markets in the </w:t>
      </w:r>
      <w:proofErr w:type="gramStart"/>
      <w:r w:rsidR="007F231C">
        <w:rPr>
          <w:rFonts w:ascii="Arial" w:hAnsi="Arial" w:cs="Arial"/>
          <w:bCs/>
          <w:sz w:val="24"/>
          <w:szCs w:val="24"/>
        </w:rPr>
        <w:t>past</w:t>
      </w:r>
      <w:r w:rsidR="00D73F61">
        <w:rPr>
          <w:rFonts w:ascii="Arial" w:hAnsi="Arial" w:cs="Arial"/>
          <w:bCs/>
          <w:sz w:val="24"/>
          <w:szCs w:val="24"/>
        </w:rPr>
        <w:t>,</w:t>
      </w:r>
      <w:proofErr w:type="gramEnd"/>
      <w:r w:rsidR="00D73F61">
        <w:rPr>
          <w:rFonts w:ascii="Arial" w:hAnsi="Arial" w:cs="Arial"/>
          <w:bCs/>
          <w:sz w:val="24"/>
          <w:szCs w:val="24"/>
        </w:rPr>
        <w:t xml:space="preserve"> </w:t>
      </w:r>
      <w:r w:rsidR="00FB287C">
        <w:rPr>
          <w:rFonts w:ascii="Arial" w:hAnsi="Arial" w:cs="Arial"/>
          <w:bCs/>
          <w:sz w:val="24"/>
          <w:szCs w:val="24"/>
        </w:rPr>
        <w:t>now</w:t>
      </w:r>
      <w:r w:rsidR="00D73F61">
        <w:rPr>
          <w:rFonts w:ascii="Arial" w:hAnsi="Arial" w:cs="Arial"/>
          <w:bCs/>
          <w:sz w:val="24"/>
          <w:szCs w:val="24"/>
        </w:rPr>
        <w:t xml:space="preserve"> argue that it is necessary to subsidize and protect the current default rate structure</w:t>
      </w:r>
      <w:r w:rsidR="004D54D8">
        <w:rPr>
          <w:rFonts w:ascii="Arial" w:hAnsi="Arial" w:cs="Arial"/>
          <w:bCs/>
          <w:sz w:val="24"/>
          <w:szCs w:val="24"/>
        </w:rPr>
        <w:t xml:space="preserve"> because customers are </w:t>
      </w:r>
      <w:r w:rsidR="007F231C">
        <w:rPr>
          <w:rFonts w:ascii="Arial" w:hAnsi="Arial" w:cs="Arial"/>
          <w:bCs/>
          <w:sz w:val="24"/>
          <w:szCs w:val="24"/>
        </w:rPr>
        <w:t>in</w:t>
      </w:r>
      <w:r w:rsidR="004D54D8">
        <w:rPr>
          <w:rFonts w:ascii="Arial" w:hAnsi="Arial" w:cs="Arial"/>
          <w:bCs/>
          <w:sz w:val="24"/>
          <w:szCs w:val="24"/>
        </w:rPr>
        <w:t xml:space="preserve">capable of making rational choices to protect their own </w:t>
      </w:r>
      <w:r w:rsidR="004D54D8">
        <w:rPr>
          <w:rFonts w:ascii="Arial" w:hAnsi="Arial" w:cs="Arial"/>
          <w:bCs/>
          <w:sz w:val="24"/>
          <w:szCs w:val="24"/>
        </w:rPr>
        <w:lastRenderedPageBreak/>
        <w:t>interests.</w:t>
      </w:r>
      <w:r w:rsidR="00FB287C">
        <w:rPr>
          <w:rFonts w:ascii="Arial" w:hAnsi="Arial" w:cs="Arial"/>
          <w:bCs/>
          <w:sz w:val="24"/>
          <w:szCs w:val="24"/>
        </w:rPr>
        <w:t xml:space="preserve">  However,</w:t>
      </w:r>
      <w:r w:rsidR="007F231C">
        <w:rPr>
          <w:rFonts w:ascii="Arial" w:hAnsi="Arial" w:cs="Arial"/>
          <w:bCs/>
          <w:sz w:val="24"/>
          <w:szCs w:val="24"/>
        </w:rPr>
        <w:t xml:space="preserve"> maintaining the current default rate structure </w:t>
      </w:r>
      <w:r w:rsidR="007F231C" w:rsidRPr="004909FE">
        <w:rPr>
          <w:rFonts w:ascii="Arial" w:hAnsi="Arial" w:cs="Arial"/>
          <w:bCs/>
          <w:i/>
          <w:sz w:val="24"/>
          <w:szCs w:val="24"/>
        </w:rPr>
        <w:t>harms</w:t>
      </w:r>
      <w:r w:rsidR="007F231C">
        <w:rPr>
          <w:rFonts w:ascii="Arial" w:hAnsi="Arial" w:cs="Arial"/>
          <w:bCs/>
          <w:sz w:val="24"/>
          <w:szCs w:val="24"/>
        </w:rPr>
        <w:t xml:space="preserve"> customer’s interests because it incentivizes custom</w:t>
      </w:r>
      <w:r w:rsidR="009156BC">
        <w:rPr>
          <w:rFonts w:ascii="Arial" w:hAnsi="Arial" w:cs="Arial"/>
          <w:bCs/>
          <w:sz w:val="24"/>
          <w:szCs w:val="24"/>
        </w:rPr>
        <w:t>ers not to engage</w:t>
      </w:r>
      <w:r w:rsidR="00004BF3">
        <w:rPr>
          <w:rFonts w:ascii="Arial" w:hAnsi="Arial" w:cs="Arial"/>
          <w:bCs/>
          <w:sz w:val="24"/>
          <w:szCs w:val="24"/>
        </w:rPr>
        <w:t xml:space="preserve"> in the marketplace</w:t>
      </w:r>
      <w:r w:rsidR="009156BC">
        <w:rPr>
          <w:rFonts w:ascii="Arial" w:hAnsi="Arial" w:cs="Arial"/>
          <w:bCs/>
          <w:sz w:val="24"/>
          <w:szCs w:val="24"/>
        </w:rPr>
        <w:t xml:space="preserve"> </w:t>
      </w:r>
      <w:r w:rsidR="00004BF3">
        <w:rPr>
          <w:rFonts w:ascii="Arial" w:hAnsi="Arial" w:cs="Arial"/>
          <w:bCs/>
          <w:sz w:val="24"/>
          <w:szCs w:val="24"/>
        </w:rPr>
        <w:t xml:space="preserve">and to remain </w:t>
      </w:r>
      <w:r w:rsidR="00004BF3" w:rsidRPr="00A33DB8">
        <w:rPr>
          <w:rFonts w:ascii="Arial" w:hAnsi="Arial" w:cs="Arial"/>
          <w:bCs/>
          <w:sz w:val="24"/>
          <w:szCs w:val="24"/>
        </w:rPr>
        <w:t>un</w:t>
      </w:r>
      <w:r w:rsidR="00A56151">
        <w:rPr>
          <w:rFonts w:ascii="Arial" w:hAnsi="Arial" w:cs="Arial"/>
          <w:bCs/>
          <w:sz w:val="24"/>
          <w:szCs w:val="24"/>
        </w:rPr>
        <w:t>informed</w:t>
      </w:r>
      <w:r w:rsidR="00004BF3">
        <w:rPr>
          <w:rFonts w:ascii="Arial" w:hAnsi="Arial" w:cs="Arial"/>
          <w:bCs/>
          <w:sz w:val="24"/>
          <w:szCs w:val="24"/>
        </w:rPr>
        <w:t xml:space="preserve"> about the products that are available to them</w:t>
      </w:r>
      <w:r w:rsidR="007F231C">
        <w:rPr>
          <w:rFonts w:ascii="Arial" w:hAnsi="Arial" w:cs="Arial"/>
          <w:bCs/>
          <w:sz w:val="24"/>
          <w:szCs w:val="24"/>
        </w:rPr>
        <w:t xml:space="preserve">.  </w:t>
      </w:r>
      <w:r w:rsidR="00004BF3">
        <w:rPr>
          <w:rFonts w:ascii="Arial" w:hAnsi="Arial" w:cs="Arial"/>
          <w:bCs/>
          <w:sz w:val="24"/>
          <w:szCs w:val="24"/>
        </w:rPr>
        <w:t>E</w:t>
      </w:r>
      <w:r w:rsidR="007F231C">
        <w:rPr>
          <w:rFonts w:ascii="Arial" w:hAnsi="Arial" w:cs="Arial"/>
          <w:bCs/>
          <w:sz w:val="24"/>
          <w:szCs w:val="24"/>
        </w:rPr>
        <w:t>ngaged</w:t>
      </w:r>
      <w:r w:rsidR="008007B8">
        <w:rPr>
          <w:rFonts w:ascii="Arial" w:hAnsi="Arial" w:cs="Arial"/>
          <w:bCs/>
          <w:sz w:val="24"/>
          <w:szCs w:val="24"/>
        </w:rPr>
        <w:t xml:space="preserve"> and educated</w:t>
      </w:r>
      <w:r w:rsidR="007F231C">
        <w:rPr>
          <w:rFonts w:ascii="Arial" w:hAnsi="Arial" w:cs="Arial"/>
          <w:bCs/>
          <w:sz w:val="24"/>
          <w:szCs w:val="24"/>
        </w:rPr>
        <w:t xml:space="preserve"> customer</w:t>
      </w:r>
      <w:r w:rsidR="00004BF3">
        <w:rPr>
          <w:rFonts w:ascii="Arial" w:hAnsi="Arial" w:cs="Arial"/>
          <w:bCs/>
          <w:sz w:val="24"/>
          <w:szCs w:val="24"/>
        </w:rPr>
        <w:t>s</w:t>
      </w:r>
      <w:r w:rsidR="007F231C">
        <w:rPr>
          <w:rFonts w:ascii="Arial" w:hAnsi="Arial" w:cs="Arial"/>
          <w:bCs/>
          <w:sz w:val="24"/>
          <w:szCs w:val="24"/>
        </w:rPr>
        <w:t xml:space="preserve"> </w:t>
      </w:r>
      <w:r w:rsidR="00004BF3">
        <w:rPr>
          <w:rFonts w:ascii="Arial" w:hAnsi="Arial" w:cs="Arial"/>
          <w:bCs/>
          <w:sz w:val="24"/>
          <w:szCs w:val="24"/>
        </w:rPr>
        <w:t>are the most protected customer</w:t>
      </w:r>
      <w:r w:rsidR="00A56151">
        <w:rPr>
          <w:rFonts w:ascii="Arial" w:hAnsi="Arial" w:cs="Arial"/>
          <w:bCs/>
          <w:sz w:val="24"/>
          <w:szCs w:val="24"/>
        </w:rPr>
        <w:t>s</w:t>
      </w:r>
      <w:r w:rsidR="00004BF3">
        <w:rPr>
          <w:rFonts w:ascii="Arial" w:hAnsi="Arial" w:cs="Arial"/>
          <w:bCs/>
          <w:sz w:val="24"/>
          <w:szCs w:val="24"/>
        </w:rPr>
        <w:t xml:space="preserve"> because they are more able </w:t>
      </w:r>
      <w:r w:rsidR="00FA0A28">
        <w:rPr>
          <w:rFonts w:ascii="Arial" w:hAnsi="Arial" w:cs="Arial"/>
          <w:bCs/>
          <w:sz w:val="24"/>
          <w:szCs w:val="24"/>
        </w:rPr>
        <w:t>to make</w:t>
      </w:r>
      <w:r w:rsidR="00004BF3">
        <w:rPr>
          <w:rFonts w:ascii="Arial" w:hAnsi="Arial" w:cs="Arial"/>
          <w:bCs/>
          <w:sz w:val="24"/>
          <w:szCs w:val="24"/>
        </w:rPr>
        <w:t xml:space="preserve"> knowledgeable decisions about the products and services that best suit their </w:t>
      </w:r>
      <w:r w:rsidR="00760142">
        <w:rPr>
          <w:rFonts w:ascii="Arial" w:hAnsi="Arial" w:cs="Arial"/>
          <w:bCs/>
          <w:sz w:val="24"/>
          <w:szCs w:val="24"/>
        </w:rPr>
        <w:t>preferences</w:t>
      </w:r>
      <w:r w:rsidR="008007B8">
        <w:rPr>
          <w:rFonts w:ascii="Arial" w:hAnsi="Arial" w:cs="Arial"/>
          <w:bCs/>
          <w:sz w:val="24"/>
          <w:szCs w:val="24"/>
        </w:rPr>
        <w:t xml:space="preserve">.  </w:t>
      </w:r>
      <w:r w:rsidR="00FB287C">
        <w:rPr>
          <w:rFonts w:ascii="Arial" w:hAnsi="Arial" w:cs="Arial"/>
          <w:bCs/>
          <w:sz w:val="24"/>
          <w:szCs w:val="24"/>
        </w:rPr>
        <w:t>Further,</w:t>
      </w:r>
      <w:r w:rsidR="005042E8">
        <w:rPr>
          <w:rFonts w:ascii="Arial" w:hAnsi="Arial" w:cs="Arial"/>
          <w:bCs/>
          <w:sz w:val="24"/>
          <w:szCs w:val="24"/>
        </w:rPr>
        <w:t xml:space="preserve"> </w:t>
      </w:r>
      <w:r w:rsidR="00004BF3">
        <w:rPr>
          <w:rFonts w:ascii="Arial" w:hAnsi="Arial" w:cs="Arial"/>
          <w:bCs/>
          <w:sz w:val="24"/>
          <w:szCs w:val="24"/>
        </w:rPr>
        <w:t>an engaged and educated customer</w:t>
      </w:r>
      <w:r w:rsidR="00BF2B1C">
        <w:rPr>
          <w:rFonts w:ascii="Arial" w:hAnsi="Arial" w:cs="Arial"/>
          <w:bCs/>
          <w:sz w:val="24"/>
          <w:szCs w:val="24"/>
        </w:rPr>
        <w:t xml:space="preserve"> </w:t>
      </w:r>
      <w:r w:rsidR="00004BF3">
        <w:rPr>
          <w:rFonts w:ascii="Arial" w:hAnsi="Arial" w:cs="Arial"/>
          <w:bCs/>
          <w:sz w:val="24"/>
          <w:szCs w:val="24"/>
        </w:rPr>
        <w:t>drives</w:t>
      </w:r>
      <w:r w:rsidR="00BF2B1C">
        <w:rPr>
          <w:rFonts w:ascii="Arial" w:hAnsi="Arial" w:cs="Arial"/>
          <w:bCs/>
          <w:sz w:val="24"/>
          <w:szCs w:val="24"/>
        </w:rPr>
        <w:t xml:space="preserve"> innovation</w:t>
      </w:r>
      <w:r w:rsidR="00007FFD">
        <w:rPr>
          <w:rFonts w:ascii="Arial" w:hAnsi="Arial" w:cs="Arial"/>
          <w:bCs/>
          <w:sz w:val="24"/>
          <w:szCs w:val="24"/>
        </w:rPr>
        <w:t xml:space="preserve"> </w:t>
      </w:r>
      <w:r w:rsidR="00994DA1">
        <w:rPr>
          <w:rFonts w:ascii="Arial" w:hAnsi="Arial" w:cs="Arial"/>
          <w:bCs/>
          <w:sz w:val="24"/>
          <w:szCs w:val="24"/>
        </w:rPr>
        <w:t xml:space="preserve">by </w:t>
      </w:r>
      <w:r w:rsidR="00004BF3">
        <w:rPr>
          <w:rFonts w:ascii="Arial" w:hAnsi="Arial" w:cs="Arial"/>
          <w:bCs/>
          <w:sz w:val="24"/>
          <w:szCs w:val="24"/>
        </w:rPr>
        <w:t>making their</w:t>
      </w:r>
      <w:r w:rsidR="00994DA1">
        <w:rPr>
          <w:rFonts w:ascii="Arial" w:hAnsi="Arial" w:cs="Arial"/>
          <w:bCs/>
          <w:sz w:val="24"/>
          <w:szCs w:val="24"/>
        </w:rPr>
        <w:t xml:space="preserve"> preferences</w:t>
      </w:r>
      <w:r w:rsidR="00004BF3">
        <w:rPr>
          <w:rFonts w:ascii="Arial" w:hAnsi="Arial" w:cs="Arial"/>
          <w:bCs/>
          <w:sz w:val="24"/>
          <w:szCs w:val="24"/>
        </w:rPr>
        <w:t xml:space="preserve"> know</w:t>
      </w:r>
      <w:r w:rsidR="00994DA1">
        <w:rPr>
          <w:rFonts w:ascii="Arial" w:hAnsi="Arial" w:cs="Arial"/>
          <w:bCs/>
          <w:sz w:val="24"/>
          <w:szCs w:val="24"/>
        </w:rPr>
        <w:t xml:space="preserve"> in the marketplace</w:t>
      </w:r>
      <w:r w:rsidR="00004BF3">
        <w:rPr>
          <w:rFonts w:ascii="Arial" w:hAnsi="Arial" w:cs="Arial"/>
          <w:bCs/>
          <w:sz w:val="24"/>
          <w:szCs w:val="24"/>
        </w:rPr>
        <w:t>, forcing suppliers to adapt their product offering</w:t>
      </w:r>
      <w:r w:rsidR="004909FE">
        <w:rPr>
          <w:rFonts w:ascii="Arial" w:hAnsi="Arial" w:cs="Arial"/>
          <w:bCs/>
          <w:sz w:val="24"/>
          <w:szCs w:val="24"/>
        </w:rPr>
        <w:t>s</w:t>
      </w:r>
      <w:r w:rsidR="00004BF3">
        <w:rPr>
          <w:rFonts w:ascii="Arial" w:hAnsi="Arial" w:cs="Arial"/>
          <w:bCs/>
          <w:sz w:val="24"/>
          <w:szCs w:val="24"/>
        </w:rPr>
        <w:t xml:space="preserve"> to increasingly sophisticated buyers</w:t>
      </w:r>
      <w:r w:rsidR="00BF2B1C">
        <w:rPr>
          <w:rFonts w:ascii="Arial" w:hAnsi="Arial" w:cs="Arial"/>
          <w:bCs/>
          <w:sz w:val="24"/>
          <w:szCs w:val="24"/>
        </w:rPr>
        <w:t>.</w:t>
      </w:r>
    </w:p>
    <w:p w:rsidR="00C134DF" w:rsidRDefault="00C134DF" w:rsidP="0095057A">
      <w:pPr>
        <w:spacing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Conceptually, we all understan</w:t>
      </w:r>
      <w:r w:rsidR="003E551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that competition produces efficient pricing, encourages innovation, and is the market structure that is most beneficial to customers.  This is why, for every other </w:t>
      </w:r>
      <w:r w:rsidR="005042E8">
        <w:rPr>
          <w:rFonts w:ascii="Arial" w:hAnsi="Arial" w:cs="Arial"/>
          <w:bCs/>
          <w:sz w:val="24"/>
          <w:szCs w:val="24"/>
        </w:rPr>
        <w:t xml:space="preserve">retail </w:t>
      </w:r>
      <w:r>
        <w:rPr>
          <w:rFonts w:ascii="Arial" w:hAnsi="Arial" w:cs="Arial"/>
          <w:bCs/>
          <w:sz w:val="24"/>
          <w:szCs w:val="24"/>
        </w:rPr>
        <w:t>product and service</w:t>
      </w:r>
      <w:r w:rsidR="008007B8">
        <w:rPr>
          <w:rFonts w:ascii="Arial" w:hAnsi="Arial" w:cs="Arial"/>
          <w:bCs/>
          <w:sz w:val="24"/>
          <w:szCs w:val="24"/>
        </w:rPr>
        <w:t xml:space="preserve"> (e.g. insurance, baking, food etc.),</w:t>
      </w:r>
      <w:r w:rsidR="003E551D">
        <w:rPr>
          <w:rFonts w:ascii="Arial" w:hAnsi="Arial" w:cs="Arial"/>
          <w:bCs/>
          <w:sz w:val="24"/>
          <w:szCs w:val="24"/>
        </w:rPr>
        <w:t xml:space="preserve"> customers</w:t>
      </w:r>
      <w:r w:rsidR="00457853">
        <w:rPr>
          <w:rFonts w:ascii="Arial" w:hAnsi="Arial" w:cs="Arial"/>
          <w:bCs/>
          <w:sz w:val="24"/>
          <w:szCs w:val="24"/>
        </w:rPr>
        <w:t xml:space="preserve"> are required</w:t>
      </w:r>
      <w:r w:rsidR="003E551D">
        <w:rPr>
          <w:rFonts w:ascii="Arial" w:hAnsi="Arial" w:cs="Arial"/>
          <w:bCs/>
          <w:sz w:val="24"/>
          <w:szCs w:val="24"/>
        </w:rPr>
        <w:t xml:space="preserve"> to actively </w:t>
      </w:r>
      <w:r w:rsidR="00BF2B1C">
        <w:rPr>
          <w:rFonts w:ascii="Arial" w:hAnsi="Arial" w:cs="Arial"/>
          <w:bCs/>
          <w:sz w:val="24"/>
          <w:szCs w:val="24"/>
        </w:rPr>
        <w:t>choose a service provider</w:t>
      </w:r>
      <w:r w:rsidR="003E551D">
        <w:rPr>
          <w:rFonts w:ascii="Arial" w:hAnsi="Arial" w:cs="Arial"/>
          <w:bCs/>
          <w:sz w:val="24"/>
          <w:szCs w:val="24"/>
        </w:rPr>
        <w:t xml:space="preserve">.  In fact, other traditionally regulated industries, including telecommunication and airlines </w:t>
      </w:r>
      <w:proofErr w:type="gramStart"/>
      <w:r w:rsidR="003E551D">
        <w:rPr>
          <w:rFonts w:ascii="Arial" w:hAnsi="Arial" w:cs="Arial"/>
          <w:bCs/>
          <w:sz w:val="24"/>
          <w:szCs w:val="24"/>
        </w:rPr>
        <w:t>have</w:t>
      </w:r>
      <w:proofErr w:type="gramEnd"/>
      <w:r w:rsidR="003E551D">
        <w:rPr>
          <w:rFonts w:ascii="Arial" w:hAnsi="Arial" w:cs="Arial"/>
          <w:bCs/>
          <w:sz w:val="24"/>
          <w:szCs w:val="24"/>
        </w:rPr>
        <w:t xml:space="preserve"> moved away from the regulated models</w:t>
      </w:r>
      <w:r w:rsidR="00C81522">
        <w:rPr>
          <w:rFonts w:ascii="Arial" w:hAnsi="Arial" w:cs="Arial"/>
          <w:bCs/>
          <w:sz w:val="24"/>
          <w:szCs w:val="24"/>
        </w:rPr>
        <w:t>,</w:t>
      </w:r>
      <w:r w:rsidR="003E551D">
        <w:rPr>
          <w:rFonts w:ascii="Arial" w:hAnsi="Arial" w:cs="Arial"/>
          <w:bCs/>
          <w:sz w:val="24"/>
          <w:szCs w:val="24"/>
        </w:rPr>
        <w:t xml:space="preserve"> and do not maintain a default </w:t>
      </w:r>
      <w:r w:rsidR="00697287">
        <w:rPr>
          <w:rFonts w:ascii="Arial" w:hAnsi="Arial" w:cs="Arial"/>
          <w:bCs/>
          <w:sz w:val="24"/>
          <w:szCs w:val="24"/>
        </w:rPr>
        <w:t>service</w:t>
      </w:r>
      <w:r w:rsidR="00C81522">
        <w:rPr>
          <w:rFonts w:ascii="Arial" w:hAnsi="Arial" w:cs="Arial"/>
          <w:bCs/>
          <w:sz w:val="24"/>
          <w:szCs w:val="24"/>
        </w:rPr>
        <w:t>,</w:t>
      </w:r>
      <w:r w:rsidR="00697287">
        <w:rPr>
          <w:rFonts w:ascii="Arial" w:hAnsi="Arial" w:cs="Arial"/>
          <w:bCs/>
          <w:sz w:val="24"/>
          <w:szCs w:val="24"/>
        </w:rPr>
        <w:t xml:space="preserve"> because </w:t>
      </w:r>
      <w:r w:rsidR="00B2085A">
        <w:rPr>
          <w:rFonts w:ascii="Arial" w:hAnsi="Arial" w:cs="Arial"/>
          <w:bCs/>
          <w:sz w:val="24"/>
          <w:szCs w:val="24"/>
        </w:rPr>
        <w:t>as a society</w:t>
      </w:r>
      <w:r w:rsidR="00760142">
        <w:rPr>
          <w:rFonts w:ascii="Arial" w:hAnsi="Arial" w:cs="Arial"/>
          <w:bCs/>
          <w:sz w:val="24"/>
          <w:szCs w:val="24"/>
        </w:rPr>
        <w:t>,</w:t>
      </w:r>
      <w:r w:rsidR="00B2085A">
        <w:rPr>
          <w:rFonts w:ascii="Arial" w:hAnsi="Arial" w:cs="Arial"/>
          <w:bCs/>
          <w:sz w:val="24"/>
          <w:szCs w:val="24"/>
        </w:rPr>
        <w:t xml:space="preserve"> we </w:t>
      </w:r>
      <w:r w:rsidR="00697287">
        <w:rPr>
          <w:rFonts w:ascii="Arial" w:hAnsi="Arial" w:cs="Arial"/>
          <w:bCs/>
          <w:sz w:val="24"/>
          <w:szCs w:val="24"/>
        </w:rPr>
        <w:t>recognize the benefit that full competition brings to customers</w:t>
      </w:r>
      <w:r w:rsidR="003E551D">
        <w:rPr>
          <w:rFonts w:ascii="Arial" w:hAnsi="Arial" w:cs="Arial"/>
          <w:bCs/>
          <w:sz w:val="24"/>
          <w:szCs w:val="24"/>
        </w:rPr>
        <w:t xml:space="preserve">.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20C78" w:rsidRDefault="00920C78" w:rsidP="0095057A">
      <w:pPr>
        <w:spacing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the </w:t>
      </w:r>
      <w:r w:rsidR="00963AC8">
        <w:rPr>
          <w:rFonts w:ascii="Arial" w:hAnsi="Arial" w:cs="Arial"/>
          <w:bCs/>
          <w:sz w:val="24"/>
          <w:szCs w:val="24"/>
        </w:rPr>
        <w:t xml:space="preserve">Initial </w:t>
      </w:r>
      <w:r>
        <w:rPr>
          <w:rFonts w:ascii="Arial" w:hAnsi="Arial" w:cs="Arial"/>
          <w:bCs/>
          <w:sz w:val="24"/>
          <w:szCs w:val="24"/>
        </w:rPr>
        <w:t xml:space="preserve">Comments submitted in this proceeding, some of the parties argue that </w:t>
      </w:r>
      <w:r w:rsidR="00BF2B1C">
        <w:rPr>
          <w:rFonts w:ascii="Arial" w:hAnsi="Arial" w:cs="Arial"/>
          <w:bCs/>
          <w:sz w:val="24"/>
          <w:szCs w:val="24"/>
        </w:rPr>
        <w:t>transitioning to a default</w:t>
      </w:r>
      <w:r w:rsidR="00697287">
        <w:rPr>
          <w:rFonts w:ascii="Arial" w:hAnsi="Arial" w:cs="Arial"/>
          <w:bCs/>
          <w:sz w:val="24"/>
          <w:szCs w:val="24"/>
        </w:rPr>
        <w:t xml:space="preserve"> service</w:t>
      </w:r>
      <w:r w:rsidR="00BF2B1C">
        <w:rPr>
          <w:rFonts w:ascii="Arial" w:hAnsi="Arial" w:cs="Arial"/>
          <w:bCs/>
          <w:sz w:val="24"/>
          <w:szCs w:val="24"/>
        </w:rPr>
        <w:t xml:space="preserve"> that is procured by a wholesale auction is all that is needed to have fully competitive markets in accordance with the policy of the State of Ohio.</w:t>
      </w:r>
      <w:r w:rsidR="00697287">
        <w:rPr>
          <w:rFonts w:ascii="Arial" w:hAnsi="Arial" w:cs="Arial"/>
          <w:bCs/>
          <w:sz w:val="24"/>
          <w:szCs w:val="24"/>
        </w:rPr>
        <w:t xml:space="preserve">  </w:t>
      </w:r>
      <w:r w:rsidR="00FB287C">
        <w:rPr>
          <w:rFonts w:ascii="Arial" w:hAnsi="Arial" w:cs="Arial"/>
          <w:bCs/>
          <w:sz w:val="24"/>
          <w:szCs w:val="24"/>
        </w:rPr>
        <w:t>However, the current state of the competitio</w:t>
      </w:r>
      <w:r w:rsidR="000454FA">
        <w:rPr>
          <w:rFonts w:ascii="Arial" w:hAnsi="Arial" w:cs="Arial"/>
          <w:bCs/>
          <w:sz w:val="24"/>
          <w:szCs w:val="24"/>
        </w:rPr>
        <w:t>n should not be the desired end-</w:t>
      </w:r>
      <w:r w:rsidR="00FB287C">
        <w:rPr>
          <w:rFonts w:ascii="Arial" w:hAnsi="Arial" w:cs="Arial"/>
          <w:bCs/>
          <w:sz w:val="24"/>
          <w:szCs w:val="24"/>
        </w:rPr>
        <w:t xml:space="preserve">state for Ohio electric markets. </w:t>
      </w:r>
      <w:r w:rsidR="00697287">
        <w:rPr>
          <w:rFonts w:ascii="Arial" w:hAnsi="Arial" w:cs="Arial"/>
          <w:bCs/>
          <w:sz w:val="24"/>
          <w:szCs w:val="24"/>
        </w:rPr>
        <w:t xml:space="preserve">Assignment of customers to a default product is an inherent aberration in </w:t>
      </w:r>
      <w:r w:rsidR="00061276">
        <w:rPr>
          <w:rFonts w:ascii="Arial" w:hAnsi="Arial" w:cs="Arial"/>
          <w:bCs/>
          <w:sz w:val="24"/>
          <w:szCs w:val="24"/>
        </w:rPr>
        <w:t>a</w:t>
      </w:r>
      <w:r w:rsidR="00697287">
        <w:rPr>
          <w:rFonts w:ascii="Arial" w:hAnsi="Arial" w:cs="Arial"/>
          <w:bCs/>
          <w:sz w:val="24"/>
          <w:szCs w:val="24"/>
        </w:rPr>
        <w:t xml:space="preserve"> marketplace</w:t>
      </w:r>
      <w:r w:rsidR="007A4D51">
        <w:rPr>
          <w:rFonts w:ascii="Arial" w:hAnsi="Arial" w:cs="Arial"/>
          <w:bCs/>
          <w:sz w:val="24"/>
          <w:szCs w:val="24"/>
        </w:rPr>
        <w:t xml:space="preserve">.  </w:t>
      </w:r>
      <w:r w:rsidR="00760142">
        <w:rPr>
          <w:rFonts w:ascii="Arial" w:hAnsi="Arial" w:cs="Arial"/>
          <w:bCs/>
          <w:sz w:val="24"/>
          <w:szCs w:val="24"/>
        </w:rPr>
        <w:t>O</w:t>
      </w:r>
      <w:r w:rsidR="00457853">
        <w:rPr>
          <w:rFonts w:ascii="Arial" w:hAnsi="Arial" w:cs="Arial"/>
          <w:bCs/>
          <w:sz w:val="24"/>
          <w:szCs w:val="24"/>
        </w:rPr>
        <w:t xml:space="preserve">ther </w:t>
      </w:r>
      <w:r w:rsidR="009156BC">
        <w:rPr>
          <w:rFonts w:ascii="Arial" w:hAnsi="Arial" w:cs="Arial"/>
          <w:bCs/>
          <w:sz w:val="24"/>
          <w:szCs w:val="24"/>
        </w:rPr>
        <w:t xml:space="preserve">retail </w:t>
      </w:r>
      <w:r w:rsidR="00457853">
        <w:rPr>
          <w:rFonts w:ascii="Arial" w:hAnsi="Arial" w:cs="Arial"/>
          <w:bCs/>
          <w:sz w:val="24"/>
          <w:szCs w:val="24"/>
        </w:rPr>
        <w:t>products and services</w:t>
      </w:r>
      <w:r w:rsidR="00760142">
        <w:rPr>
          <w:rFonts w:ascii="Arial" w:hAnsi="Arial" w:cs="Arial"/>
          <w:bCs/>
          <w:sz w:val="24"/>
          <w:szCs w:val="24"/>
        </w:rPr>
        <w:t xml:space="preserve"> do not maintain a default service</w:t>
      </w:r>
      <w:r w:rsidR="00036114">
        <w:rPr>
          <w:rFonts w:ascii="Arial" w:hAnsi="Arial" w:cs="Arial"/>
          <w:bCs/>
          <w:sz w:val="24"/>
          <w:szCs w:val="24"/>
        </w:rPr>
        <w:t>,</w:t>
      </w:r>
      <w:r w:rsidR="00760142">
        <w:rPr>
          <w:rFonts w:ascii="Arial" w:hAnsi="Arial" w:cs="Arial"/>
          <w:bCs/>
          <w:sz w:val="24"/>
          <w:szCs w:val="24"/>
        </w:rPr>
        <w:t xml:space="preserve"> </w:t>
      </w:r>
      <w:r w:rsidR="00457853">
        <w:rPr>
          <w:rFonts w:ascii="Arial" w:hAnsi="Arial" w:cs="Arial"/>
          <w:bCs/>
          <w:sz w:val="24"/>
          <w:szCs w:val="24"/>
        </w:rPr>
        <w:t>because in all other markets</w:t>
      </w:r>
      <w:r w:rsidR="00036114">
        <w:rPr>
          <w:rFonts w:ascii="Arial" w:hAnsi="Arial" w:cs="Arial"/>
          <w:bCs/>
          <w:sz w:val="24"/>
          <w:szCs w:val="24"/>
        </w:rPr>
        <w:t>,</w:t>
      </w:r>
      <w:r w:rsidR="00457853">
        <w:rPr>
          <w:rFonts w:ascii="Arial" w:hAnsi="Arial" w:cs="Arial"/>
          <w:bCs/>
          <w:sz w:val="24"/>
          <w:szCs w:val="24"/>
        </w:rPr>
        <w:t xml:space="preserve"> </w:t>
      </w:r>
      <w:r w:rsidR="007A4D51">
        <w:rPr>
          <w:rFonts w:ascii="Arial" w:hAnsi="Arial" w:cs="Arial"/>
          <w:bCs/>
          <w:sz w:val="24"/>
          <w:szCs w:val="24"/>
        </w:rPr>
        <w:t>it is an accepted axiom that default service distort</w:t>
      </w:r>
      <w:r w:rsidR="00457853">
        <w:rPr>
          <w:rFonts w:ascii="Arial" w:hAnsi="Arial" w:cs="Arial"/>
          <w:bCs/>
          <w:sz w:val="24"/>
          <w:szCs w:val="24"/>
        </w:rPr>
        <w:t xml:space="preserve">s </w:t>
      </w:r>
      <w:r w:rsidR="000454FA">
        <w:rPr>
          <w:rFonts w:ascii="Arial" w:hAnsi="Arial" w:cs="Arial"/>
          <w:bCs/>
          <w:sz w:val="24"/>
          <w:szCs w:val="24"/>
        </w:rPr>
        <w:t>pricing,</w:t>
      </w:r>
      <w:r w:rsidR="00007FFD">
        <w:rPr>
          <w:rFonts w:ascii="Arial" w:hAnsi="Arial" w:cs="Arial"/>
          <w:bCs/>
          <w:sz w:val="24"/>
          <w:szCs w:val="24"/>
        </w:rPr>
        <w:t xml:space="preserve"> </w:t>
      </w:r>
      <w:r w:rsidR="007A4D51">
        <w:rPr>
          <w:rFonts w:ascii="Arial" w:hAnsi="Arial" w:cs="Arial"/>
          <w:bCs/>
          <w:sz w:val="24"/>
          <w:szCs w:val="24"/>
        </w:rPr>
        <w:t>discourage</w:t>
      </w:r>
      <w:r w:rsidR="00457853">
        <w:rPr>
          <w:rFonts w:ascii="Arial" w:hAnsi="Arial" w:cs="Arial"/>
          <w:bCs/>
          <w:sz w:val="24"/>
          <w:szCs w:val="24"/>
        </w:rPr>
        <w:t>s</w:t>
      </w:r>
      <w:r w:rsidR="007A4D51">
        <w:rPr>
          <w:rFonts w:ascii="Arial" w:hAnsi="Arial" w:cs="Arial"/>
          <w:bCs/>
          <w:sz w:val="24"/>
          <w:szCs w:val="24"/>
        </w:rPr>
        <w:t xml:space="preserve"> innovation</w:t>
      </w:r>
      <w:r w:rsidR="00A56151">
        <w:rPr>
          <w:rFonts w:ascii="Arial" w:hAnsi="Arial" w:cs="Arial"/>
          <w:bCs/>
          <w:sz w:val="24"/>
          <w:szCs w:val="24"/>
        </w:rPr>
        <w:t>,</w:t>
      </w:r>
      <w:r w:rsidR="00007FFD">
        <w:rPr>
          <w:rFonts w:ascii="Arial" w:hAnsi="Arial" w:cs="Arial"/>
          <w:bCs/>
          <w:sz w:val="24"/>
          <w:szCs w:val="24"/>
        </w:rPr>
        <w:t xml:space="preserve"> and harms customers in the long run</w:t>
      </w:r>
      <w:r w:rsidR="007A4D51">
        <w:rPr>
          <w:rFonts w:ascii="Arial" w:hAnsi="Arial" w:cs="Arial"/>
          <w:bCs/>
          <w:sz w:val="24"/>
          <w:szCs w:val="24"/>
        </w:rPr>
        <w:t>.</w:t>
      </w:r>
      <w:r w:rsidR="00457853">
        <w:rPr>
          <w:rFonts w:ascii="Arial" w:hAnsi="Arial" w:cs="Arial"/>
          <w:bCs/>
          <w:sz w:val="24"/>
          <w:szCs w:val="24"/>
        </w:rPr>
        <w:t xml:space="preserve">  This is </w:t>
      </w:r>
      <w:r w:rsidR="00457853">
        <w:rPr>
          <w:rFonts w:ascii="Arial" w:hAnsi="Arial" w:cs="Arial"/>
          <w:bCs/>
          <w:sz w:val="24"/>
          <w:szCs w:val="24"/>
        </w:rPr>
        <w:lastRenderedPageBreak/>
        <w:t>why, while Ohio</w:t>
      </w:r>
      <w:r w:rsidR="00007FFD">
        <w:rPr>
          <w:rFonts w:ascii="Arial" w:hAnsi="Arial" w:cs="Arial"/>
          <w:bCs/>
          <w:sz w:val="24"/>
          <w:szCs w:val="24"/>
        </w:rPr>
        <w:t xml:space="preserve"> has made great strides</w:t>
      </w:r>
      <w:r w:rsidR="00B2085A">
        <w:rPr>
          <w:rFonts w:ascii="Arial" w:hAnsi="Arial" w:cs="Arial"/>
          <w:bCs/>
          <w:sz w:val="24"/>
          <w:szCs w:val="24"/>
        </w:rPr>
        <w:t xml:space="preserve"> by</w:t>
      </w:r>
      <w:r w:rsidR="00457853">
        <w:rPr>
          <w:rFonts w:ascii="Arial" w:hAnsi="Arial" w:cs="Arial"/>
          <w:bCs/>
          <w:sz w:val="24"/>
          <w:szCs w:val="24"/>
        </w:rPr>
        <w:t xml:space="preserve"> adopt</w:t>
      </w:r>
      <w:r w:rsidR="00B2085A">
        <w:rPr>
          <w:rFonts w:ascii="Arial" w:hAnsi="Arial" w:cs="Arial"/>
          <w:bCs/>
          <w:sz w:val="24"/>
          <w:szCs w:val="24"/>
        </w:rPr>
        <w:t>ing</w:t>
      </w:r>
      <w:r w:rsidR="00457853">
        <w:rPr>
          <w:rFonts w:ascii="Arial" w:hAnsi="Arial" w:cs="Arial"/>
          <w:bCs/>
          <w:sz w:val="24"/>
          <w:szCs w:val="24"/>
        </w:rPr>
        <w:t xml:space="preserve"> a certain level of compe</w:t>
      </w:r>
      <w:r w:rsidR="00007FFD">
        <w:rPr>
          <w:rFonts w:ascii="Arial" w:hAnsi="Arial" w:cs="Arial"/>
          <w:bCs/>
          <w:sz w:val="24"/>
          <w:szCs w:val="24"/>
        </w:rPr>
        <w:t>tition in the electric markets,</w:t>
      </w:r>
      <w:r w:rsidR="00457853">
        <w:rPr>
          <w:rFonts w:ascii="Arial" w:hAnsi="Arial" w:cs="Arial"/>
          <w:bCs/>
          <w:sz w:val="24"/>
          <w:szCs w:val="24"/>
        </w:rPr>
        <w:t xml:space="preserve"> </w:t>
      </w:r>
      <w:r w:rsidR="00007FFD">
        <w:rPr>
          <w:rFonts w:ascii="Arial" w:hAnsi="Arial" w:cs="Arial"/>
          <w:bCs/>
          <w:sz w:val="24"/>
          <w:szCs w:val="24"/>
        </w:rPr>
        <w:t xml:space="preserve">the transition to </w:t>
      </w:r>
      <w:r w:rsidR="00007FFD" w:rsidRPr="00007FFD">
        <w:rPr>
          <w:rFonts w:ascii="Arial" w:hAnsi="Arial" w:cs="Arial"/>
          <w:bCs/>
          <w:i/>
          <w:sz w:val="24"/>
          <w:szCs w:val="24"/>
        </w:rPr>
        <w:t>fully</w:t>
      </w:r>
      <w:r w:rsidR="00007FFD">
        <w:rPr>
          <w:rFonts w:ascii="Arial" w:hAnsi="Arial" w:cs="Arial"/>
          <w:bCs/>
          <w:sz w:val="24"/>
          <w:szCs w:val="24"/>
        </w:rPr>
        <w:t xml:space="preserve"> competitive markets must continue, including taking measures to correct the distortions</w:t>
      </w:r>
      <w:r w:rsidR="00061276">
        <w:rPr>
          <w:rFonts w:ascii="Arial" w:hAnsi="Arial" w:cs="Arial"/>
          <w:bCs/>
          <w:sz w:val="24"/>
          <w:szCs w:val="24"/>
        </w:rPr>
        <w:t>,</w:t>
      </w:r>
      <w:r w:rsidR="00007FFD">
        <w:rPr>
          <w:rFonts w:ascii="Arial" w:hAnsi="Arial" w:cs="Arial"/>
          <w:bCs/>
          <w:sz w:val="24"/>
          <w:szCs w:val="24"/>
        </w:rPr>
        <w:t xml:space="preserve"> aberrations</w:t>
      </w:r>
      <w:r w:rsidR="00061276">
        <w:rPr>
          <w:rFonts w:ascii="Arial" w:hAnsi="Arial" w:cs="Arial"/>
          <w:bCs/>
          <w:sz w:val="24"/>
          <w:szCs w:val="24"/>
        </w:rPr>
        <w:t xml:space="preserve"> and inefficiencies</w:t>
      </w:r>
      <w:r w:rsidR="00007FFD">
        <w:rPr>
          <w:rFonts w:ascii="Arial" w:hAnsi="Arial" w:cs="Arial"/>
          <w:bCs/>
          <w:sz w:val="24"/>
          <w:szCs w:val="24"/>
        </w:rPr>
        <w:t xml:space="preserve"> caused by default service.</w:t>
      </w:r>
    </w:p>
    <w:p w:rsidR="00B2085A" w:rsidRDefault="00B2085A" w:rsidP="00B2085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085A">
        <w:rPr>
          <w:rFonts w:ascii="Arial" w:hAnsi="Arial" w:cs="Arial"/>
          <w:b/>
          <w:bCs/>
          <w:sz w:val="24"/>
          <w:szCs w:val="24"/>
        </w:rPr>
        <w:t>I</w:t>
      </w:r>
      <w:r w:rsidR="009156BC">
        <w:rPr>
          <w:rFonts w:ascii="Arial" w:hAnsi="Arial" w:cs="Arial"/>
          <w:b/>
          <w:bCs/>
          <w:sz w:val="24"/>
          <w:szCs w:val="24"/>
        </w:rPr>
        <w:t>I</w:t>
      </w:r>
      <w:proofErr w:type="gramStart"/>
      <w:r w:rsidRPr="00B2085A">
        <w:rPr>
          <w:rFonts w:ascii="Arial" w:hAnsi="Arial" w:cs="Arial"/>
          <w:b/>
          <w:bCs/>
          <w:sz w:val="24"/>
          <w:szCs w:val="24"/>
        </w:rPr>
        <w:t xml:space="preserve">.  </w:t>
      </w:r>
      <w:r w:rsidR="009156BC">
        <w:rPr>
          <w:rFonts w:ascii="Arial" w:hAnsi="Arial" w:cs="Arial"/>
          <w:b/>
          <w:bCs/>
          <w:sz w:val="24"/>
          <w:szCs w:val="24"/>
        </w:rPr>
        <w:t>REPLY</w:t>
      </w:r>
      <w:proofErr w:type="gramEnd"/>
      <w:r w:rsidR="009156BC">
        <w:rPr>
          <w:rFonts w:ascii="Arial" w:hAnsi="Arial" w:cs="Arial"/>
          <w:b/>
          <w:bCs/>
          <w:sz w:val="24"/>
          <w:szCs w:val="24"/>
        </w:rPr>
        <w:t xml:space="preserve"> COMMENTS</w:t>
      </w:r>
    </w:p>
    <w:p w:rsidR="009156BC" w:rsidRDefault="009156BC" w:rsidP="00B2085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ab/>
        <w:t>Default Service Does Not Enhance Competition</w:t>
      </w:r>
    </w:p>
    <w:p w:rsidR="009156BC" w:rsidRDefault="009156BC" w:rsidP="00B2085A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156BC">
        <w:rPr>
          <w:rFonts w:ascii="Arial" w:hAnsi="Arial" w:cs="Arial"/>
          <w:bCs/>
          <w:sz w:val="24"/>
          <w:szCs w:val="24"/>
        </w:rPr>
        <w:t xml:space="preserve">Some </w:t>
      </w:r>
      <w:r>
        <w:rPr>
          <w:rFonts w:ascii="Arial" w:hAnsi="Arial" w:cs="Arial"/>
          <w:bCs/>
          <w:sz w:val="24"/>
          <w:szCs w:val="24"/>
        </w:rPr>
        <w:t>parties argue, including the Office of the Ohio Consumer’s Counsel (“OCC”), that a default service enhances competition by offering</w:t>
      </w:r>
      <w:r w:rsidR="004779A0">
        <w:rPr>
          <w:rFonts w:ascii="Arial" w:hAnsi="Arial" w:cs="Arial"/>
          <w:bCs/>
          <w:sz w:val="24"/>
          <w:szCs w:val="24"/>
        </w:rPr>
        <w:t xml:space="preserve"> an additional choice</w:t>
      </w:r>
      <w:r>
        <w:rPr>
          <w:rFonts w:ascii="Arial" w:hAnsi="Arial" w:cs="Arial"/>
          <w:bCs/>
          <w:sz w:val="24"/>
          <w:szCs w:val="24"/>
        </w:rPr>
        <w:t xml:space="preserve"> in the marketplace.</w:t>
      </w:r>
      <w:r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  <w:r>
        <w:rPr>
          <w:rFonts w:ascii="Arial" w:hAnsi="Arial" w:cs="Arial"/>
          <w:bCs/>
          <w:sz w:val="24"/>
          <w:szCs w:val="24"/>
        </w:rPr>
        <w:t xml:space="preserve">  However, default service does not </w:t>
      </w:r>
      <w:r w:rsidR="00A77CEF">
        <w:rPr>
          <w:rFonts w:ascii="Arial" w:hAnsi="Arial" w:cs="Arial"/>
          <w:bCs/>
          <w:sz w:val="24"/>
          <w:szCs w:val="24"/>
        </w:rPr>
        <w:t>result in</w:t>
      </w:r>
      <w:r>
        <w:rPr>
          <w:rFonts w:ascii="Arial" w:hAnsi="Arial" w:cs="Arial"/>
          <w:bCs/>
          <w:sz w:val="24"/>
          <w:szCs w:val="24"/>
        </w:rPr>
        <w:t xml:space="preserve"> more choices in the marketplace, because default service </w:t>
      </w:r>
      <w:r w:rsidR="00074038">
        <w:rPr>
          <w:rFonts w:ascii="Arial" w:hAnsi="Arial" w:cs="Arial"/>
          <w:bCs/>
          <w:sz w:val="24"/>
          <w:szCs w:val="24"/>
        </w:rPr>
        <w:t>is often not a choice made by customers</w:t>
      </w:r>
      <w:r w:rsidR="00B77A7A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rather</w:t>
      </w:r>
      <w:r w:rsidR="00A5615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it is a product that customers are assigned to</w:t>
      </w:r>
      <w:r w:rsidR="00074038">
        <w:rPr>
          <w:rFonts w:ascii="Arial" w:hAnsi="Arial" w:cs="Arial"/>
          <w:bCs/>
          <w:sz w:val="24"/>
          <w:szCs w:val="24"/>
        </w:rPr>
        <w:t xml:space="preserve"> without an affirmative choice</w:t>
      </w:r>
      <w:r>
        <w:rPr>
          <w:rFonts w:ascii="Arial" w:hAnsi="Arial" w:cs="Arial"/>
          <w:bCs/>
          <w:sz w:val="24"/>
          <w:szCs w:val="24"/>
        </w:rPr>
        <w:t xml:space="preserve">.  In the Ohio electric markets, in order to receive electric service, customers must </w:t>
      </w:r>
      <w:r w:rsidR="00074038">
        <w:rPr>
          <w:rFonts w:ascii="Arial" w:hAnsi="Arial" w:cs="Arial"/>
          <w:bCs/>
          <w:sz w:val="24"/>
          <w:szCs w:val="24"/>
        </w:rPr>
        <w:t>contact</w:t>
      </w:r>
      <w:r>
        <w:rPr>
          <w:rFonts w:ascii="Arial" w:hAnsi="Arial" w:cs="Arial"/>
          <w:bCs/>
          <w:sz w:val="24"/>
          <w:szCs w:val="24"/>
        </w:rPr>
        <w:t xml:space="preserve"> the electric distribution utility, and </w:t>
      </w:r>
      <w:r w:rsidR="00074038">
        <w:rPr>
          <w:rFonts w:ascii="Arial" w:hAnsi="Arial" w:cs="Arial"/>
          <w:bCs/>
          <w:sz w:val="24"/>
          <w:szCs w:val="24"/>
        </w:rPr>
        <w:t>those customers are</w:t>
      </w:r>
      <w:r>
        <w:rPr>
          <w:rFonts w:ascii="Arial" w:hAnsi="Arial" w:cs="Arial"/>
          <w:bCs/>
          <w:sz w:val="24"/>
          <w:szCs w:val="24"/>
        </w:rPr>
        <w:t xml:space="preserve"> automatically </w:t>
      </w:r>
      <w:r w:rsidR="00074038">
        <w:rPr>
          <w:rFonts w:ascii="Arial" w:hAnsi="Arial" w:cs="Arial"/>
          <w:bCs/>
          <w:sz w:val="24"/>
          <w:szCs w:val="24"/>
        </w:rPr>
        <w:t>placed on</w:t>
      </w:r>
      <w:r>
        <w:rPr>
          <w:rFonts w:ascii="Arial" w:hAnsi="Arial" w:cs="Arial"/>
          <w:bCs/>
          <w:sz w:val="24"/>
          <w:szCs w:val="24"/>
        </w:rPr>
        <w:t xml:space="preserve"> the utility’s default service</w:t>
      </w:r>
      <w:r w:rsidR="00DD62DA">
        <w:rPr>
          <w:rFonts w:ascii="Arial" w:hAnsi="Arial" w:cs="Arial"/>
          <w:bCs/>
          <w:sz w:val="24"/>
          <w:szCs w:val="24"/>
        </w:rPr>
        <w:t>.  Further</w:t>
      </w:r>
      <w:r w:rsidR="00A56151">
        <w:rPr>
          <w:rFonts w:ascii="Arial" w:hAnsi="Arial" w:cs="Arial"/>
          <w:bCs/>
          <w:sz w:val="24"/>
          <w:szCs w:val="24"/>
        </w:rPr>
        <w:t>,</w:t>
      </w:r>
      <w:r w:rsidR="00DD62DA">
        <w:rPr>
          <w:rFonts w:ascii="Arial" w:hAnsi="Arial" w:cs="Arial"/>
          <w:bCs/>
          <w:sz w:val="24"/>
          <w:szCs w:val="24"/>
        </w:rPr>
        <w:t xml:space="preserve"> customers</w:t>
      </w:r>
      <w:r w:rsidR="004779A0">
        <w:rPr>
          <w:rFonts w:ascii="Arial" w:hAnsi="Arial" w:cs="Arial"/>
          <w:bCs/>
          <w:sz w:val="24"/>
          <w:szCs w:val="24"/>
        </w:rPr>
        <w:t xml:space="preserve"> must remain on </w:t>
      </w:r>
      <w:r w:rsidR="00DD62DA">
        <w:rPr>
          <w:rFonts w:ascii="Arial" w:hAnsi="Arial" w:cs="Arial"/>
          <w:bCs/>
          <w:sz w:val="24"/>
          <w:szCs w:val="24"/>
        </w:rPr>
        <w:t>default</w:t>
      </w:r>
      <w:r w:rsidR="004779A0">
        <w:rPr>
          <w:rFonts w:ascii="Arial" w:hAnsi="Arial" w:cs="Arial"/>
          <w:bCs/>
          <w:sz w:val="24"/>
          <w:szCs w:val="24"/>
        </w:rPr>
        <w:t xml:space="preserve"> service for a period of time, </w:t>
      </w:r>
      <w:r w:rsidR="00DD62DA">
        <w:rPr>
          <w:rFonts w:ascii="Arial" w:hAnsi="Arial" w:cs="Arial"/>
          <w:bCs/>
          <w:sz w:val="24"/>
          <w:szCs w:val="24"/>
        </w:rPr>
        <w:t xml:space="preserve">before having an opportunity to choose a competitive supplier, </w:t>
      </w:r>
      <w:r w:rsidR="004779A0">
        <w:rPr>
          <w:rFonts w:ascii="Arial" w:hAnsi="Arial" w:cs="Arial"/>
          <w:bCs/>
          <w:sz w:val="24"/>
          <w:szCs w:val="24"/>
        </w:rPr>
        <w:t xml:space="preserve">and </w:t>
      </w:r>
      <w:r w:rsidR="00DD62DA">
        <w:rPr>
          <w:rFonts w:ascii="Arial" w:hAnsi="Arial" w:cs="Arial"/>
          <w:bCs/>
          <w:sz w:val="24"/>
          <w:szCs w:val="24"/>
        </w:rPr>
        <w:t>customers will remain on default service unless an affirmative choice to receive competitive supply is made</w:t>
      </w:r>
      <w:r w:rsidR="00074038">
        <w:rPr>
          <w:rFonts w:ascii="Arial" w:hAnsi="Arial" w:cs="Arial"/>
          <w:bCs/>
          <w:sz w:val="24"/>
          <w:szCs w:val="24"/>
        </w:rPr>
        <w:t xml:space="preserve">.  Also, utility customers </w:t>
      </w:r>
      <w:r w:rsidR="00A56151">
        <w:rPr>
          <w:rFonts w:ascii="Arial" w:hAnsi="Arial" w:cs="Arial"/>
          <w:bCs/>
          <w:sz w:val="24"/>
          <w:szCs w:val="24"/>
        </w:rPr>
        <w:t xml:space="preserve">who </w:t>
      </w:r>
      <w:r w:rsidR="00074038">
        <w:rPr>
          <w:rFonts w:ascii="Arial" w:hAnsi="Arial" w:cs="Arial"/>
          <w:bCs/>
          <w:sz w:val="24"/>
          <w:szCs w:val="24"/>
        </w:rPr>
        <w:t xml:space="preserve">initiated service before electric markets were restructured remain on the default service unless they affirmatively choose a competitive supplier.  </w:t>
      </w:r>
      <w:r w:rsidR="00141F66">
        <w:rPr>
          <w:rFonts w:ascii="Arial" w:hAnsi="Arial" w:cs="Arial"/>
          <w:bCs/>
          <w:sz w:val="24"/>
          <w:szCs w:val="24"/>
        </w:rPr>
        <w:t>Thus many customers are being served on utility default service without having made the affirm</w:t>
      </w:r>
      <w:r w:rsidR="004779A0">
        <w:rPr>
          <w:rFonts w:ascii="Arial" w:hAnsi="Arial" w:cs="Arial"/>
          <w:bCs/>
          <w:sz w:val="24"/>
          <w:szCs w:val="24"/>
        </w:rPr>
        <w:t>ative</w:t>
      </w:r>
      <w:r w:rsidR="00141F66">
        <w:rPr>
          <w:rFonts w:ascii="Arial" w:hAnsi="Arial" w:cs="Arial"/>
          <w:bCs/>
          <w:sz w:val="24"/>
          <w:szCs w:val="24"/>
        </w:rPr>
        <w:t xml:space="preserve"> choice to be there.</w:t>
      </w:r>
    </w:p>
    <w:p w:rsidR="00B77A7A" w:rsidRPr="009156BC" w:rsidRDefault="00B77A7A" w:rsidP="00B2085A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="00DD62D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tatus quo bias </w:t>
      </w:r>
      <w:r w:rsidR="00DD62DA">
        <w:rPr>
          <w:rFonts w:ascii="Arial" w:hAnsi="Arial" w:cs="Arial"/>
          <w:bCs/>
          <w:sz w:val="24"/>
          <w:szCs w:val="24"/>
        </w:rPr>
        <w:t>causes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1F66">
        <w:rPr>
          <w:rFonts w:ascii="Arial" w:hAnsi="Arial" w:cs="Arial"/>
          <w:bCs/>
          <w:sz w:val="24"/>
          <w:szCs w:val="24"/>
        </w:rPr>
        <w:t xml:space="preserve">default service customers </w:t>
      </w:r>
      <w:r w:rsidR="00DD62DA">
        <w:rPr>
          <w:rFonts w:ascii="Arial" w:hAnsi="Arial" w:cs="Arial"/>
          <w:bCs/>
          <w:sz w:val="24"/>
          <w:szCs w:val="24"/>
        </w:rPr>
        <w:t>to</w:t>
      </w:r>
      <w:r w:rsidR="00141F66">
        <w:rPr>
          <w:rFonts w:ascii="Arial" w:hAnsi="Arial" w:cs="Arial"/>
          <w:bCs/>
          <w:sz w:val="24"/>
          <w:szCs w:val="24"/>
        </w:rPr>
        <w:t xml:space="preserve"> remain on default service, even when there are alternative products </w:t>
      </w:r>
      <w:r w:rsidR="004779A0">
        <w:rPr>
          <w:rFonts w:ascii="Arial" w:hAnsi="Arial" w:cs="Arial"/>
          <w:bCs/>
          <w:sz w:val="24"/>
          <w:szCs w:val="24"/>
        </w:rPr>
        <w:t xml:space="preserve">that </w:t>
      </w:r>
      <w:r w:rsidR="00540EBE">
        <w:rPr>
          <w:rFonts w:ascii="Arial" w:hAnsi="Arial" w:cs="Arial"/>
          <w:bCs/>
          <w:sz w:val="24"/>
          <w:szCs w:val="24"/>
        </w:rPr>
        <w:t>are better priced</w:t>
      </w:r>
      <w:r w:rsidR="00141F66">
        <w:rPr>
          <w:rFonts w:ascii="Arial" w:hAnsi="Arial" w:cs="Arial"/>
          <w:bCs/>
          <w:sz w:val="24"/>
          <w:szCs w:val="24"/>
        </w:rPr>
        <w:t xml:space="preserve">, or are better suited for the customer’s preferences.  </w:t>
      </w:r>
      <w:r w:rsidR="00540EBE">
        <w:rPr>
          <w:rFonts w:ascii="Arial" w:hAnsi="Arial" w:cs="Arial"/>
          <w:bCs/>
          <w:sz w:val="24"/>
          <w:szCs w:val="24"/>
        </w:rPr>
        <w:t>Further,</w:t>
      </w:r>
      <w:r w:rsidR="00141F66">
        <w:rPr>
          <w:rFonts w:ascii="Arial" w:hAnsi="Arial" w:cs="Arial"/>
          <w:bCs/>
          <w:sz w:val="24"/>
          <w:szCs w:val="24"/>
        </w:rPr>
        <w:t xml:space="preserve"> </w:t>
      </w:r>
      <w:r w:rsidR="00540EBE">
        <w:rPr>
          <w:rFonts w:ascii="Arial" w:hAnsi="Arial" w:cs="Arial"/>
          <w:bCs/>
          <w:sz w:val="24"/>
          <w:szCs w:val="24"/>
        </w:rPr>
        <w:t xml:space="preserve">the existence of </w:t>
      </w:r>
      <w:r w:rsidR="00141F66">
        <w:rPr>
          <w:rFonts w:ascii="Arial" w:hAnsi="Arial" w:cs="Arial"/>
          <w:bCs/>
          <w:sz w:val="24"/>
          <w:szCs w:val="24"/>
        </w:rPr>
        <w:t>default service</w:t>
      </w:r>
      <w:r w:rsidR="00540EBE">
        <w:rPr>
          <w:rFonts w:ascii="Arial" w:hAnsi="Arial" w:cs="Arial"/>
          <w:bCs/>
          <w:sz w:val="24"/>
          <w:szCs w:val="24"/>
        </w:rPr>
        <w:t xml:space="preserve"> </w:t>
      </w:r>
      <w:r w:rsidR="00141F66">
        <w:rPr>
          <w:rFonts w:ascii="Arial" w:hAnsi="Arial" w:cs="Arial"/>
          <w:bCs/>
          <w:sz w:val="24"/>
          <w:szCs w:val="24"/>
        </w:rPr>
        <w:t xml:space="preserve">exacerbates customer’s status quo bias.  This is because when customers </w:t>
      </w:r>
      <w:r w:rsidR="00994DA1">
        <w:rPr>
          <w:rFonts w:ascii="Arial" w:hAnsi="Arial" w:cs="Arial"/>
          <w:bCs/>
          <w:sz w:val="24"/>
          <w:szCs w:val="24"/>
        </w:rPr>
        <w:t>don’t</w:t>
      </w:r>
      <w:r w:rsidR="00141F66">
        <w:rPr>
          <w:rFonts w:ascii="Arial" w:hAnsi="Arial" w:cs="Arial"/>
          <w:bCs/>
          <w:sz w:val="24"/>
          <w:szCs w:val="24"/>
        </w:rPr>
        <w:t xml:space="preserve"> engag</w:t>
      </w:r>
      <w:r w:rsidR="00962BD7">
        <w:rPr>
          <w:rFonts w:ascii="Arial" w:hAnsi="Arial" w:cs="Arial"/>
          <w:bCs/>
          <w:sz w:val="24"/>
          <w:szCs w:val="24"/>
        </w:rPr>
        <w:t>e</w:t>
      </w:r>
      <w:r w:rsidR="00141F66">
        <w:rPr>
          <w:rFonts w:ascii="Arial" w:hAnsi="Arial" w:cs="Arial"/>
          <w:bCs/>
          <w:sz w:val="24"/>
          <w:szCs w:val="24"/>
        </w:rPr>
        <w:t xml:space="preserve"> in the market</w:t>
      </w:r>
      <w:r w:rsidR="004779A0">
        <w:rPr>
          <w:rFonts w:ascii="Arial" w:hAnsi="Arial" w:cs="Arial"/>
          <w:bCs/>
          <w:sz w:val="24"/>
          <w:szCs w:val="24"/>
        </w:rPr>
        <w:t>, they are less likely to be educated about the products in the marketplace, and thus less inclined to make a choice</w:t>
      </w:r>
      <w:r w:rsidR="00CC4A97">
        <w:rPr>
          <w:rFonts w:ascii="Arial" w:hAnsi="Arial" w:cs="Arial"/>
          <w:bCs/>
          <w:sz w:val="24"/>
          <w:szCs w:val="24"/>
        </w:rPr>
        <w:t xml:space="preserve"> in the future</w:t>
      </w:r>
      <w:r w:rsidR="004779A0">
        <w:rPr>
          <w:rFonts w:ascii="Arial" w:hAnsi="Arial" w:cs="Arial"/>
          <w:bCs/>
          <w:sz w:val="24"/>
          <w:szCs w:val="24"/>
        </w:rPr>
        <w:t>.</w:t>
      </w:r>
      <w:r w:rsidR="00DD62DA">
        <w:rPr>
          <w:rFonts w:ascii="Arial" w:hAnsi="Arial" w:cs="Arial"/>
          <w:bCs/>
          <w:sz w:val="24"/>
          <w:szCs w:val="24"/>
        </w:rPr>
        <w:t xml:space="preserve">  </w:t>
      </w:r>
      <w:r w:rsidR="00CC4A97">
        <w:rPr>
          <w:rFonts w:ascii="Arial" w:hAnsi="Arial" w:cs="Arial"/>
          <w:bCs/>
          <w:sz w:val="24"/>
          <w:szCs w:val="24"/>
        </w:rPr>
        <w:t>Additionally</w:t>
      </w:r>
      <w:r w:rsidR="00DD62DA">
        <w:rPr>
          <w:rFonts w:ascii="Arial" w:hAnsi="Arial" w:cs="Arial"/>
          <w:bCs/>
          <w:sz w:val="24"/>
          <w:szCs w:val="24"/>
        </w:rPr>
        <w:t>, because a large portion of customers remain on default service</w:t>
      </w:r>
      <w:r w:rsidR="00082769">
        <w:rPr>
          <w:rFonts w:ascii="Arial" w:hAnsi="Arial" w:cs="Arial"/>
          <w:bCs/>
          <w:sz w:val="24"/>
          <w:szCs w:val="24"/>
        </w:rPr>
        <w:t>,</w:t>
      </w:r>
      <w:r w:rsidR="00DD62DA">
        <w:rPr>
          <w:rFonts w:ascii="Arial" w:hAnsi="Arial" w:cs="Arial"/>
          <w:bCs/>
          <w:sz w:val="24"/>
          <w:szCs w:val="24"/>
        </w:rPr>
        <w:t xml:space="preserve"> regardless of the choices offered by other suppliers, </w:t>
      </w:r>
      <w:r w:rsidR="00540EBE">
        <w:rPr>
          <w:rFonts w:ascii="Arial" w:hAnsi="Arial" w:cs="Arial"/>
          <w:bCs/>
          <w:sz w:val="24"/>
          <w:szCs w:val="24"/>
        </w:rPr>
        <w:t xml:space="preserve">suppliers </w:t>
      </w:r>
      <w:r w:rsidR="00DD62DA">
        <w:rPr>
          <w:rFonts w:ascii="Arial" w:hAnsi="Arial" w:cs="Arial"/>
          <w:bCs/>
          <w:sz w:val="24"/>
          <w:szCs w:val="24"/>
        </w:rPr>
        <w:t xml:space="preserve">simply do not offer </w:t>
      </w:r>
      <w:r w:rsidR="00540EBE">
        <w:rPr>
          <w:rFonts w:ascii="Arial" w:hAnsi="Arial" w:cs="Arial"/>
          <w:bCs/>
          <w:sz w:val="24"/>
          <w:szCs w:val="24"/>
        </w:rPr>
        <w:t>certain</w:t>
      </w:r>
      <w:r w:rsidR="00DD62DA">
        <w:rPr>
          <w:rFonts w:ascii="Arial" w:hAnsi="Arial" w:cs="Arial"/>
          <w:bCs/>
          <w:sz w:val="24"/>
          <w:szCs w:val="24"/>
        </w:rPr>
        <w:t xml:space="preserve"> products that otherwise would exist in a fully competitive market.</w:t>
      </w:r>
      <w:r w:rsidR="004779A0">
        <w:rPr>
          <w:rFonts w:ascii="Arial" w:hAnsi="Arial" w:cs="Arial"/>
          <w:bCs/>
          <w:sz w:val="24"/>
          <w:szCs w:val="24"/>
        </w:rPr>
        <w:t xml:space="preserve">  Th</w:t>
      </w:r>
      <w:r w:rsidR="00DD62DA">
        <w:rPr>
          <w:rFonts w:ascii="Arial" w:hAnsi="Arial" w:cs="Arial"/>
          <w:bCs/>
          <w:sz w:val="24"/>
          <w:szCs w:val="24"/>
        </w:rPr>
        <w:t>erefore</w:t>
      </w:r>
      <w:r w:rsidR="004779A0">
        <w:rPr>
          <w:rFonts w:ascii="Arial" w:hAnsi="Arial" w:cs="Arial"/>
          <w:bCs/>
          <w:sz w:val="24"/>
          <w:szCs w:val="24"/>
        </w:rPr>
        <w:t xml:space="preserve">, rather than </w:t>
      </w:r>
      <w:r w:rsidR="00540EBE">
        <w:rPr>
          <w:rFonts w:ascii="Arial" w:hAnsi="Arial" w:cs="Arial"/>
          <w:bCs/>
          <w:sz w:val="24"/>
          <w:szCs w:val="24"/>
        </w:rPr>
        <w:t>adding a choice to the</w:t>
      </w:r>
      <w:r w:rsidR="004779A0">
        <w:rPr>
          <w:rFonts w:ascii="Arial" w:hAnsi="Arial" w:cs="Arial"/>
          <w:bCs/>
          <w:sz w:val="24"/>
          <w:szCs w:val="24"/>
        </w:rPr>
        <w:t xml:space="preserve"> market, </w:t>
      </w:r>
      <w:r w:rsidR="00540EBE">
        <w:rPr>
          <w:rFonts w:ascii="Arial" w:hAnsi="Arial" w:cs="Arial"/>
          <w:bCs/>
          <w:sz w:val="24"/>
          <w:szCs w:val="24"/>
        </w:rPr>
        <w:t>default service is a mechanism that restricts the choices and products offered to customers</w:t>
      </w:r>
      <w:r w:rsidR="004779A0">
        <w:rPr>
          <w:rFonts w:ascii="Arial" w:hAnsi="Arial" w:cs="Arial"/>
          <w:bCs/>
          <w:sz w:val="24"/>
          <w:szCs w:val="24"/>
        </w:rPr>
        <w:t xml:space="preserve">.  </w:t>
      </w:r>
    </w:p>
    <w:p w:rsidR="00994DA1" w:rsidRDefault="00994DA1" w:rsidP="00994DA1">
      <w:pPr>
        <w:spacing w:line="48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ab/>
        <w:t>Procuring Default Service</w:t>
      </w:r>
      <w:r w:rsidR="00C052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C0527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Wholesal</w:t>
      </w:r>
      <w:r w:rsidR="00036114">
        <w:rPr>
          <w:rFonts w:ascii="Arial" w:hAnsi="Arial" w:cs="Arial"/>
          <w:b/>
          <w:bCs/>
          <w:sz w:val="24"/>
          <w:szCs w:val="24"/>
        </w:rPr>
        <w:t>e Auction Should not Be the End-</w:t>
      </w:r>
      <w:r>
        <w:rPr>
          <w:rFonts w:ascii="Arial" w:hAnsi="Arial" w:cs="Arial"/>
          <w:b/>
          <w:bCs/>
          <w:sz w:val="24"/>
          <w:szCs w:val="24"/>
        </w:rPr>
        <w:t xml:space="preserve">State for Competition in the Ohio Electric Markets </w:t>
      </w:r>
    </w:p>
    <w:p w:rsidR="00D36DE5" w:rsidRDefault="00994DA1" w:rsidP="00994DA1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Some parties filed comments </w:t>
      </w:r>
      <w:r w:rsidR="00BD0ADC">
        <w:rPr>
          <w:rFonts w:ascii="Arial" w:hAnsi="Arial" w:cs="Arial"/>
          <w:bCs/>
          <w:sz w:val="24"/>
          <w:szCs w:val="24"/>
        </w:rPr>
        <w:t>suggesting</w:t>
      </w:r>
      <w:r>
        <w:rPr>
          <w:rFonts w:ascii="Arial" w:hAnsi="Arial" w:cs="Arial"/>
          <w:bCs/>
          <w:sz w:val="24"/>
          <w:szCs w:val="24"/>
        </w:rPr>
        <w:t xml:space="preserve"> that</w:t>
      </w:r>
      <w:r w:rsidR="00BD0ADC">
        <w:rPr>
          <w:rFonts w:ascii="Arial" w:hAnsi="Arial" w:cs="Arial"/>
          <w:bCs/>
          <w:sz w:val="24"/>
          <w:szCs w:val="24"/>
        </w:rPr>
        <w:t xml:space="preserve"> having the ability to choose a retail supplier, coupled with a default service that is supplie</w:t>
      </w:r>
      <w:r w:rsidR="00D82E32">
        <w:rPr>
          <w:rFonts w:ascii="Arial" w:hAnsi="Arial" w:cs="Arial"/>
          <w:bCs/>
          <w:sz w:val="24"/>
          <w:szCs w:val="24"/>
        </w:rPr>
        <w:t>d</w:t>
      </w:r>
      <w:r w:rsidR="00BD0ADC">
        <w:rPr>
          <w:rFonts w:ascii="Arial" w:hAnsi="Arial" w:cs="Arial"/>
          <w:bCs/>
          <w:sz w:val="24"/>
          <w:szCs w:val="24"/>
        </w:rPr>
        <w:t xml:space="preserve"> by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D0ADC">
        <w:rPr>
          <w:rFonts w:ascii="Arial" w:hAnsi="Arial" w:cs="Arial"/>
          <w:bCs/>
          <w:sz w:val="24"/>
          <w:szCs w:val="24"/>
        </w:rPr>
        <w:t>wholesale auctions</w:t>
      </w:r>
      <w:r w:rsidR="005562E9">
        <w:rPr>
          <w:rFonts w:ascii="Arial" w:hAnsi="Arial" w:cs="Arial"/>
          <w:bCs/>
          <w:sz w:val="24"/>
          <w:szCs w:val="24"/>
        </w:rPr>
        <w:t>,</w:t>
      </w:r>
      <w:r w:rsidR="00BD0ADC">
        <w:rPr>
          <w:rFonts w:ascii="Arial" w:hAnsi="Arial" w:cs="Arial"/>
          <w:bCs/>
          <w:sz w:val="24"/>
          <w:szCs w:val="24"/>
        </w:rPr>
        <w:t xml:space="preserve"> is the desired end-state for Ohio’s tr</w:t>
      </w:r>
      <w:r w:rsidR="00D82E32">
        <w:rPr>
          <w:rFonts w:ascii="Arial" w:hAnsi="Arial" w:cs="Arial"/>
          <w:bCs/>
          <w:sz w:val="24"/>
          <w:szCs w:val="24"/>
        </w:rPr>
        <w:t>ansition to competitive markets</w:t>
      </w:r>
      <w:r w:rsidR="00BD0ADC">
        <w:rPr>
          <w:rFonts w:ascii="Arial" w:hAnsi="Arial" w:cs="Arial"/>
          <w:bCs/>
          <w:sz w:val="24"/>
          <w:szCs w:val="24"/>
        </w:rPr>
        <w:t>.</w:t>
      </w:r>
      <w:r w:rsidR="00D82E32">
        <w:rPr>
          <w:rStyle w:val="FootnoteReference"/>
          <w:rFonts w:ascii="Arial" w:hAnsi="Arial" w:cs="Arial"/>
          <w:bCs/>
          <w:sz w:val="24"/>
          <w:szCs w:val="24"/>
        </w:rPr>
        <w:footnoteReference w:id="2"/>
      </w:r>
      <w:r w:rsidR="00BD0ADC">
        <w:rPr>
          <w:rFonts w:ascii="Arial" w:hAnsi="Arial" w:cs="Arial"/>
          <w:bCs/>
          <w:sz w:val="24"/>
          <w:szCs w:val="24"/>
        </w:rPr>
        <w:t xml:space="preserve">  </w:t>
      </w:r>
      <w:r w:rsidR="00004BF3">
        <w:rPr>
          <w:rFonts w:ascii="Arial" w:hAnsi="Arial" w:cs="Arial"/>
          <w:bCs/>
          <w:sz w:val="24"/>
          <w:szCs w:val="24"/>
        </w:rPr>
        <w:t>As already noted</w:t>
      </w:r>
      <w:r w:rsidR="00036114">
        <w:rPr>
          <w:rFonts w:ascii="Arial" w:hAnsi="Arial" w:cs="Arial"/>
          <w:bCs/>
          <w:sz w:val="24"/>
          <w:szCs w:val="24"/>
        </w:rPr>
        <w:t>, the end-</w:t>
      </w:r>
      <w:r w:rsidR="00D36DE5">
        <w:rPr>
          <w:rFonts w:ascii="Arial" w:hAnsi="Arial" w:cs="Arial"/>
          <w:bCs/>
          <w:sz w:val="24"/>
          <w:szCs w:val="24"/>
        </w:rPr>
        <w:t>state of fully competitive electric markets cannot be realized simply by transitioning</w:t>
      </w:r>
      <w:r w:rsidR="00D82E32">
        <w:rPr>
          <w:rFonts w:ascii="Arial" w:hAnsi="Arial" w:cs="Arial"/>
          <w:bCs/>
          <w:sz w:val="24"/>
          <w:szCs w:val="24"/>
        </w:rPr>
        <w:t xml:space="preserve"> to default service</w:t>
      </w:r>
      <w:r w:rsidR="00D36DE5">
        <w:rPr>
          <w:rFonts w:ascii="Arial" w:hAnsi="Arial" w:cs="Arial"/>
          <w:bCs/>
          <w:sz w:val="24"/>
          <w:szCs w:val="24"/>
        </w:rPr>
        <w:t xml:space="preserve"> procured by wholesale auctions</w:t>
      </w:r>
      <w:r w:rsidR="00D82E32">
        <w:rPr>
          <w:rFonts w:ascii="Arial" w:hAnsi="Arial" w:cs="Arial"/>
          <w:bCs/>
          <w:sz w:val="24"/>
          <w:szCs w:val="24"/>
        </w:rPr>
        <w:t xml:space="preserve">, without fixing the inherent subsidies and inefficiencies that arise from assigning </w:t>
      </w:r>
      <w:r w:rsidR="00D36DE5">
        <w:rPr>
          <w:rFonts w:ascii="Arial" w:hAnsi="Arial" w:cs="Arial"/>
          <w:bCs/>
          <w:sz w:val="24"/>
          <w:szCs w:val="24"/>
        </w:rPr>
        <w:t>customers to a default supplier</w:t>
      </w:r>
      <w:r w:rsidR="00D82E32">
        <w:rPr>
          <w:rFonts w:ascii="Arial" w:hAnsi="Arial" w:cs="Arial"/>
          <w:bCs/>
          <w:sz w:val="24"/>
          <w:szCs w:val="24"/>
        </w:rPr>
        <w:t xml:space="preserve">.   These subsidies and inefficiencies include </w:t>
      </w:r>
      <w:r w:rsidR="00C05273">
        <w:rPr>
          <w:rFonts w:ascii="Arial" w:hAnsi="Arial" w:cs="Arial"/>
          <w:bCs/>
          <w:sz w:val="24"/>
          <w:szCs w:val="24"/>
        </w:rPr>
        <w:t xml:space="preserve">1) </w:t>
      </w:r>
      <w:r w:rsidR="00D82E32">
        <w:rPr>
          <w:rFonts w:ascii="Arial" w:hAnsi="Arial" w:cs="Arial"/>
          <w:bCs/>
          <w:sz w:val="24"/>
          <w:szCs w:val="24"/>
        </w:rPr>
        <w:t xml:space="preserve">requiring competitive supplied products to bear the costs of complying with the numerous regulatory requirements, while </w:t>
      </w:r>
      <w:r w:rsidR="00C05273">
        <w:rPr>
          <w:rFonts w:ascii="Arial" w:hAnsi="Arial" w:cs="Arial"/>
          <w:bCs/>
          <w:sz w:val="24"/>
          <w:szCs w:val="24"/>
        </w:rPr>
        <w:t xml:space="preserve">largely </w:t>
      </w:r>
      <w:r w:rsidR="00D82E32">
        <w:rPr>
          <w:rFonts w:ascii="Arial" w:hAnsi="Arial" w:cs="Arial"/>
          <w:bCs/>
          <w:sz w:val="24"/>
          <w:szCs w:val="24"/>
        </w:rPr>
        <w:t>freeing the suppliers of the default service from these costs;</w:t>
      </w:r>
      <w:r w:rsidR="00C05273">
        <w:rPr>
          <w:rFonts w:ascii="Arial" w:hAnsi="Arial" w:cs="Arial"/>
          <w:bCs/>
          <w:sz w:val="24"/>
          <w:szCs w:val="24"/>
        </w:rPr>
        <w:t xml:space="preserve"> 2)</w:t>
      </w:r>
      <w:r w:rsidR="00D82E32">
        <w:rPr>
          <w:rFonts w:ascii="Arial" w:hAnsi="Arial" w:cs="Arial"/>
          <w:bCs/>
          <w:sz w:val="24"/>
          <w:szCs w:val="24"/>
        </w:rPr>
        <w:t xml:space="preserve"> assigning customers to default service</w:t>
      </w:r>
      <w:r w:rsidR="00C05273">
        <w:rPr>
          <w:rFonts w:ascii="Arial" w:hAnsi="Arial" w:cs="Arial"/>
          <w:bCs/>
          <w:sz w:val="24"/>
          <w:szCs w:val="24"/>
        </w:rPr>
        <w:t xml:space="preserve"> product</w:t>
      </w:r>
      <w:r w:rsidR="00D82E32">
        <w:rPr>
          <w:rFonts w:ascii="Arial" w:hAnsi="Arial" w:cs="Arial"/>
          <w:bCs/>
          <w:sz w:val="24"/>
          <w:szCs w:val="24"/>
        </w:rPr>
        <w:t xml:space="preserve"> </w:t>
      </w:r>
      <w:r w:rsidR="00C05273">
        <w:rPr>
          <w:rFonts w:ascii="Arial" w:hAnsi="Arial" w:cs="Arial"/>
          <w:bCs/>
          <w:sz w:val="24"/>
          <w:szCs w:val="24"/>
        </w:rPr>
        <w:t xml:space="preserve">at zero cost to the suppliers providing the product, while competitive </w:t>
      </w:r>
      <w:r w:rsidR="00C05273">
        <w:rPr>
          <w:rFonts w:ascii="Arial" w:hAnsi="Arial" w:cs="Arial"/>
          <w:bCs/>
          <w:sz w:val="24"/>
          <w:szCs w:val="24"/>
        </w:rPr>
        <w:lastRenderedPageBreak/>
        <w:t xml:space="preserve">suppliers must incur significant costs to attract and retain customers; and 3) utilizing the electric utility distribution base rates to recover costs that are incurred </w:t>
      </w:r>
      <w:r w:rsidR="007D1BA0">
        <w:rPr>
          <w:rFonts w:ascii="Arial" w:hAnsi="Arial" w:cs="Arial"/>
          <w:bCs/>
          <w:sz w:val="24"/>
          <w:szCs w:val="24"/>
        </w:rPr>
        <w:t>solely</w:t>
      </w:r>
      <w:r w:rsidR="005562E9">
        <w:rPr>
          <w:rFonts w:ascii="Arial" w:hAnsi="Arial" w:cs="Arial"/>
          <w:bCs/>
          <w:sz w:val="24"/>
          <w:szCs w:val="24"/>
        </w:rPr>
        <w:t xml:space="preserve"> for the purposes of providing</w:t>
      </w:r>
      <w:r w:rsidR="00C05273">
        <w:rPr>
          <w:rFonts w:ascii="Arial" w:hAnsi="Arial" w:cs="Arial"/>
          <w:bCs/>
          <w:sz w:val="24"/>
          <w:szCs w:val="24"/>
        </w:rPr>
        <w:t xml:space="preserve"> default service. </w:t>
      </w:r>
    </w:p>
    <w:p w:rsidR="003E551D" w:rsidRDefault="00D36DE5" w:rsidP="005562E9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favoring of one particular product in the marketplace (default service) over other products (competitive </w:t>
      </w:r>
      <w:r w:rsidR="004D5359">
        <w:rPr>
          <w:rFonts w:ascii="Arial" w:hAnsi="Arial" w:cs="Arial"/>
          <w:bCs/>
          <w:sz w:val="24"/>
          <w:szCs w:val="24"/>
        </w:rPr>
        <w:t>products</w:t>
      </w:r>
      <w:r>
        <w:rPr>
          <w:rFonts w:ascii="Arial" w:hAnsi="Arial" w:cs="Arial"/>
          <w:bCs/>
          <w:sz w:val="24"/>
          <w:szCs w:val="24"/>
        </w:rPr>
        <w:t>) pose</w:t>
      </w:r>
      <w:r w:rsidR="00A5615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a significant risk to consumers, because it hinders the ability to fully develop competitive supply products available to customers.  </w:t>
      </w:r>
      <w:r w:rsidR="00D82E32">
        <w:rPr>
          <w:rFonts w:ascii="Arial" w:hAnsi="Arial" w:cs="Arial"/>
          <w:bCs/>
          <w:sz w:val="24"/>
          <w:szCs w:val="24"/>
        </w:rPr>
        <w:t xml:space="preserve"> </w:t>
      </w:r>
      <w:r w:rsidR="00E15CDE">
        <w:rPr>
          <w:rFonts w:ascii="Arial" w:hAnsi="Arial" w:cs="Arial"/>
          <w:bCs/>
          <w:sz w:val="24"/>
          <w:szCs w:val="24"/>
        </w:rPr>
        <w:t>T</w:t>
      </w:r>
      <w:r w:rsidR="005562E9">
        <w:rPr>
          <w:rFonts w:ascii="Arial" w:hAnsi="Arial" w:cs="Arial"/>
          <w:bCs/>
          <w:sz w:val="24"/>
          <w:szCs w:val="24"/>
        </w:rPr>
        <w:t>he full</w:t>
      </w:r>
      <w:r>
        <w:rPr>
          <w:rFonts w:ascii="Arial" w:hAnsi="Arial" w:cs="Arial"/>
          <w:bCs/>
          <w:sz w:val="24"/>
          <w:szCs w:val="24"/>
        </w:rPr>
        <w:t xml:space="preserve"> benefits of competition will not be realized by Ohio consumers</w:t>
      </w:r>
      <w:r w:rsidR="00E15CDE">
        <w:rPr>
          <w:rFonts w:ascii="Arial" w:hAnsi="Arial" w:cs="Arial"/>
          <w:bCs/>
          <w:sz w:val="24"/>
          <w:szCs w:val="24"/>
        </w:rPr>
        <w:t xml:space="preserve"> while subsidizes and inequities to the default service</w:t>
      </w:r>
      <w:r w:rsidR="004D5359">
        <w:rPr>
          <w:rFonts w:ascii="Arial" w:hAnsi="Arial" w:cs="Arial"/>
          <w:bCs/>
          <w:sz w:val="24"/>
          <w:szCs w:val="24"/>
        </w:rPr>
        <w:t xml:space="preserve"> still exist</w:t>
      </w:r>
      <w:r>
        <w:rPr>
          <w:rFonts w:ascii="Arial" w:hAnsi="Arial" w:cs="Arial"/>
          <w:bCs/>
          <w:sz w:val="24"/>
          <w:szCs w:val="24"/>
        </w:rPr>
        <w:t xml:space="preserve">;  in fact, the State of Ohio runs the risk of </w:t>
      </w:r>
      <w:r w:rsidR="004D5359">
        <w:rPr>
          <w:rFonts w:ascii="Arial" w:hAnsi="Arial" w:cs="Arial"/>
          <w:bCs/>
          <w:sz w:val="24"/>
          <w:szCs w:val="24"/>
        </w:rPr>
        <w:t>retrenchment of</w:t>
      </w:r>
      <w:r>
        <w:rPr>
          <w:rFonts w:ascii="Arial" w:hAnsi="Arial" w:cs="Arial"/>
          <w:bCs/>
          <w:sz w:val="24"/>
          <w:szCs w:val="24"/>
        </w:rPr>
        <w:t xml:space="preserve"> the gains that have been achieved from the competitive market</w:t>
      </w:r>
      <w:r w:rsidR="005562E9">
        <w:rPr>
          <w:rFonts w:ascii="Arial" w:hAnsi="Arial" w:cs="Arial"/>
          <w:bCs/>
          <w:sz w:val="24"/>
          <w:szCs w:val="24"/>
        </w:rPr>
        <w:t xml:space="preserve"> if measures are not taken to correct the distortions in the market caused by default service</w:t>
      </w:r>
      <w:r>
        <w:rPr>
          <w:rFonts w:ascii="Arial" w:hAnsi="Arial" w:cs="Arial"/>
          <w:bCs/>
          <w:sz w:val="24"/>
          <w:szCs w:val="24"/>
        </w:rPr>
        <w:t>.</w:t>
      </w:r>
    </w:p>
    <w:p w:rsidR="007D1BA0" w:rsidRDefault="007D1BA0" w:rsidP="005562E9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its initial comments IGS proposed a number of solutions to </w:t>
      </w:r>
      <w:r w:rsidR="009B2FA8">
        <w:rPr>
          <w:rFonts w:ascii="Arial" w:hAnsi="Arial" w:cs="Arial"/>
          <w:bCs/>
          <w:sz w:val="24"/>
          <w:szCs w:val="24"/>
        </w:rPr>
        <w:t>help correct some of</w:t>
      </w:r>
      <w:r>
        <w:rPr>
          <w:rFonts w:ascii="Arial" w:hAnsi="Arial" w:cs="Arial"/>
          <w:bCs/>
          <w:sz w:val="24"/>
          <w:szCs w:val="24"/>
        </w:rPr>
        <w:t xml:space="preserve"> the market distortions caused by default services.  </w:t>
      </w:r>
      <w:r w:rsidR="009B2FA8">
        <w:rPr>
          <w:rFonts w:ascii="Arial" w:hAnsi="Arial" w:cs="Arial"/>
          <w:bCs/>
          <w:sz w:val="24"/>
          <w:szCs w:val="24"/>
        </w:rPr>
        <w:t>These remedies include 1) assessing a fee to default service provider</w:t>
      </w:r>
      <w:r w:rsidR="00A56151">
        <w:rPr>
          <w:rFonts w:ascii="Arial" w:hAnsi="Arial" w:cs="Arial"/>
          <w:bCs/>
          <w:sz w:val="24"/>
          <w:szCs w:val="24"/>
        </w:rPr>
        <w:t>s</w:t>
      </w:r>
      <w:r w:rsidR="009B2FA8">
        <w:rPr>
          <w:rFonts w:ascii="Arial" w:hAnsi="Arial" w:cs="Arial"/>
          <w:bCs/>
          <w:sz w:val="24"/>
          <w:szCs w:val="24"/>
        </w:rPr>
        <w:t xml:space="preserve">, which will be </w:t>
      </w:r>
      <w:r w:rsidR="00A56151">
        <w:rPr>
          <w:rFonts w:ascii="Arial" w:hAnsi="Arial" w:cs="Arial"/>
          <w:bCs/>
          <w:sz w:val="24"/>
          <w:szCs w:val="24"/>
        </w:rPr>
        <w:t xml:space="preserve">given </w:t>
      </w:r>
      <w:r w:rsidR="009B2FA8">
        <w:rPr>
          <w:rFonts w:ascii="Arial" w:hAnsi="Arial" w:cs="Arial"/>
          <w:bCs/>
          <w:sz w:val="24"/>
          <w:szCs w:val="24"/>
        </w:rPr>
        <w:t>to all customer</w:t>
      </w:r>
      <w:r w:rsidR="009417FA">
        <w:rPr>
          <w:rFonts w:ascii="Arial" w:hAnsi="Arial" w:cs="Arial"/>
          <w:bCs/>
          <w:sz w:val="24"/>
          <w:szCs w:val="24"/>
        </w:rPr>
        <w:t>s</w:t>
      </w:r>
      <w:r w:rsidR="009B2FA8">
        <w:rPr>
          <w:rFonts w:ascii="Arial" w:hAnsi="Arial" w:cs="Arial"/>
          <w:bCs/>
          <w:sz w:val="24"/>
          <w:szCs w:val="24"/>
        </w:rPr>
        <w:t xml:space="preserve">, to ensure that default service providers are paying their fair share of costs to participate in </w:t>
      </w:r>
      <w:r w:rsidR="00A33DB8">
        <w:rPr>
          <w:rFonts w:ascii="Arial" w:hAnsi="Arial" w:cs="Arial"/>
          <w:bCs/>
          <w:sz w:val="24"/>
          <w:szCs w:val="24"/>
        </w:rPr>
        <w:t>the competitive marketplace;</w:t>
      </w:r>
      <w:r w:rsidR="009B2FA8">
        <w:rPr>
          <w:rFonts w:ascii="Arial" w:hAnsi="Arial" w:cs="Arial"/>
          <w:bCs/>
          <w:sz w:val="24"/>
          <w:szCs w:val="24"/>
        </w:rPr>
        <w:t xml:space="preserve"> 2) eliminate default service and transition all default service Choice eligible customers to </w:t>
      </w:r>
      <w:r w:rsidR="000454FA">
        <w:rPr>
          <w:rFonts w:ascii="Arial" w:hAnsi="Arial" w:cs="Arial"/>
          <w:bCs/>
          <w:sz w:val="24"/>
          <w:szCs w:val="24"/>
        </w:rPr>
        <w:t xml:space="preserve">no cancellation fee  </w:t>
      </w:r>
      <w:r w:rsidR="009B2FA8">
        <w:rPr>
          <w:rFonts w:ascii="Arial" w:hAnsi="Arial" w:cs="Arial"/>
          <w:bCs/>
          <w:sz w:val="24"/>
          <w:szCs w:val="24"/>
        </w:rPr>
        <w:t>market variable offers served by competitive suppliers</w:t>
      </w:r>
      <w:r w:rsidR="00A33DB8">
        <w:rPr>
          <w:rFonts w:ascii="Arial" w:hAnsi="Arial" w:cs="Arial"/>
          <w:bCs/>
          <w:sz w:val="24"/>
          <w:szCs w:val="24"/>
        </w:rPr>
        <w:t>;</w:t>
      </w:r>
      <w:r w:rsidR="00BF52DA">
        <w:rPr>
          <w:rFonts w:ascii="Arial" w:hAnsi="Arial" w:cs="Arial"/>
          <w:bCs/>
          <w:sz w:val="24"/>
          <w:szCs w:val="24"/>
        </w:rPr>
        <w:t xml:space="preserve"> </w:t>
      </w:r>
      <w:r w:rsidR="009B2FA8">
        <w:rPr>
          <w:rFonts w:ascii="Arial" w:hAnsi="Arial" w:cs="Arial"/>
          <w:bCs/>
          <w:sz w:val="24"/>
          <w:szCs w:val="24"/>
        </w:rPr>
        <w:t>or 3) conduct a retail auction that would allow CRES suppliers to bid to serve default service customers</w:t>
      </w:r>
      <w:r w:rsidR="000454FA">
        <w:rPr>
          <w:rFonts w:ascii="Arial" w:hAnsi="Arial" w:cs="Arial"/>
          <w:bCs/>
          <w:sz w:val="24"/>
          <w:szCs w:val="24"/>
        </w:rPr>
        <w:t xml:space="preserve"> at no cancellation fee</w:t>
      </w:r>
      <w:r w:rsidR="009B2FA8">
        <w:rPr>
          <w:rFonts w:ascii="Arial" w:hAnsi="Arial" w:cs="Arial"/>
          <w:bCs/>
          <w:sz w:val="24"/>
          <w:szCs w:val="24"/>
        </w:rPr>
        <w:t xml:space="preserve"> market variable rate published at the PUCO apples-to-apples website.</w:t>
      </w:r>
      <w:r w:rsidR="009B2FA8" w:rsidRPr="009B2FA8">
        <w:rPr>
          <w:rStyle w:val="FootnoteReference"/>
          <w:rFonts w:ascii="Arial" w:hAnsi="Arial" w:cs="Arial"/>
          <w:bCs/>
          <w:sz w:val="24"/>
          <w:szCs w:val="24"/>
        </w:rPr>
        <w:t xml:space="preserve"> </w:t>
      </w:r>
      <w:r w:rsidR="009B2FA8">
        <w:rPr>
          <w:rStyle w:val="FootnoteReference"/>
          <w:rFonts w:ascii="Arial" w:hAnsi="Arial" w:cs="Arial"/>
          <w:bCs/>
          <w:sz w:val="24"/>
          <w:szCs w:val="24"/>
        </w:rPr>
        <w:footnoteReference w:id="3"/>
      </w:r>
      <w:r w:rsidR="009B2FA8">
        <w:rPr>
          <w:rFonts w:ascii="Arial" w:hAnsi="Arial" w:cs="Arial"/>
          <w:bCs/>
          <w:sz w:val="24"/>
          <w:szCs w:val="24"/>
        </w:rPr>
        <w:t xml:space="preserve"> </w:t>
      </w:r>
      <w:r w:rsidR="00082769">
        <w:rPr>
          <w:rFonts w:ascii="Arial" w:hAnsi="Arial" w:cs="Arial"/>
          <w:bCs/>
          <w:sz w:val="24"/>
          <w:szCs w:val="24"/>
        </w:rPr>
        <w:t xml:space="preserve"> </w:t>
      </w:r>
      <w:r w:rsidR="004D5359">
        <w:rPr>
          <w:rFonts w:ascii="Arial" w:hAnsi="Arial" w:cs="Arial"/>
          <w:bCs/>
          <w:sz w:val="24"/>
          <w:szCs w:val="24"/>
        </w:rPr>
        <w:t>The Commission should strongly consider one of IGS’ proposed measures to ensure the transition to competitive markets in Ohio moves forward.</w:t>
      </w:r>
    </w:p>
    <w:p w:rsidR="00671677" w:rsidRDefault="00C81522" w:rsidP="00671677">
      <w:pPr>
        <w:spacing w:line="48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C.</w:t>
      </w:r>
      <w:r>
        <w:rPr>
          <w:rFonts w:ascii="Arial" w:hAnsi="Arial" w:cs="Arial"/>
          <w:bCs/>
          <w:sz w:val="24"/>
          <w:szCs w:val="24"/>
        </w:rPr>
        <w:tab/>
      </w:r>
      <w:r w:rsidRPr="00C81522">
        <w:rPr>
          <w:rFonts w:ascii="Arial" w:hAnsi="Arial" w:cs="Arial"/>
          <w:b/>
          <w:bCs/>
          <w:sz w:val="24"/>
          <w:szCs w:val="24"/>
        </w:rPr>
        <w:t xml:space="preserve">Measures </w:t>
      </w:r>
      <w:proofErr w:type="gramStart"/>
      <w:r w:rsidRPr="00C81522">
        <w:rPr>
          <w:rFonts w:ascii="Arial" w:hAnsi="Arial" w:cs="Arial"/>
          <w:b/>
          <w:bCs/>
          <w:sz w:val="24"/>
          <w:szCs w:val="24"/>
        </w:rPr>
        <w:t>Must</w:t>
      </w:r>
      <w:proofErr w:type="gramEnd"/>
      <w:r w:rsidRPr="00C81522">
        <w:rPr>
          <w:rFonts w:ascii="Arial" w:hAnsi="Arial" w:cs="Arial"/>
          <w:b/>
          <w:bCs/>
          <w:sz w:val="24"/>
          <w:szCs w:val="24"/>
        </w:rPr>
        <w:t xml:space="preserve"> be Taken to Correct the Distortions Caused by Default Service</w:t>
      </w:r>
      <w:r w:rsidR="00671677">
        <w:rPr>
          <w:rFonts w:ascii="Arial" w:hAnsi="Arial" w:cs="Arial"/>
          <w:b/>
          <w:bCs/>
          <w:sz w:val="24"/>
          <w:szCs w:val="24"/>
        </w:rPr>
        <w:t xml:space="preserve"> in the Market Place</w:t>
      </w:r>
    </w:p>
    <w:p w:rsidR="00671677" w:rsidRDefault="00FB5198" w:rsidP="00671677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common denominator</w:t>
      </w:r>
      <w:r w:rsidR="00BF7ACC">
        <w:rPr>
          <w:rFonts w:ascii="Arial" w:hAnsi="Arial" w:cs="Arial"/>
          <w:bCs/>
          <w:sz w:val="24"/>
          <w:szCs w:val="24"/>
        </w:rPr>
        <w:t xml:space="preserve"> for all of the </w:t>
      </w:r>
      <w:r>
        <w:rPr>
          <w:rFonts w:ascii="Arial" w:hAnsi="Arial" w:cs="Arial"/>
          <w:bCs/>
          <w:sz w:val="24"/>
          <w:szCs w:val="24"/>
        </w:rPr>
        <w:t xml:space="preserve">market enhancement </w:t>
      </w:r>
      <w:r w:rsidR="00BF7ACC">
        <w:rPr>
          <w:rFonts w:ascii="Arial" w:hAnsi="Arial" w:cs="Arial"/>
          <w:bCs/>
          <w:sz w:val="24"/>
          <w:szCs w:val="24"/>
        </w:rPr>
        <w:t>proposals made by parties</w:t>
      </w:r>
      <w:r>
        <w:rPr>
          <w:rFonts w:ascii="Arial" w:hAnsi="Arial" w:cs="Arial"/>
          <w:bCs/>
          <w:sz w:val="24"/>
          <w:szCs w:val="24"/>
        </w:rPr>
        <w:t xml:space="preserve"> in this proceeding</w:t>
      </w:r>
      <w:r w:rsidR="00BF7AC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are</w:t>
      </w:r>
      <w:r w:rsidR="00BF7ACC">
        <w:rPr>
          <w:rFonts w:ascii="Arial" w:hAnsi="Arial" w:cs="Arial"/>
          <w:bCs/>
          <w:sz w:val="24"/>
          <w:szCs w:val="24"/>
        </w:rPr>
        <w:t xml:space="preserve"> that they are </w:t>
      </w:r>
      <w:r>
        <w:rPr>
          <w:rFonts w:ascii="Arial" w:hAnsi="Arial" w:cs="Arial"/>
          <w:bCs/>
          <w:sz w:val="24"/>
          <w:szCs w:val="24"/>
        </w:rPr>
        <w:t xml:space="preserve">largely </w:t>
      </w:r>
      <w:r w:rsidR="00BF7ACC">
        <w:rPr>
          <w:rFonts w:ascii="Arial" w:hAnsi="Arial" w:cs="Arial"/>
          <w:bCs/>
          <w:sz w:val="24"/>
          <w:szCs w:val="24"/>
        </w:rPr>
        <w:t>an attempt to correct the</w:t>
      </w:r>
      <w:r>
        <w:rPr>
          <w:rFonts w:ascii="Arial" w:hAnsi="Arial" w:cs="Arial"/>
          <w:bCs/>
          <w:sz w:val="24"/>
          <w:szCs w:val="24"/>
        </w:rPr>
        <w:t xml:space="preserve"> market</w:t>
      </w:r>
      <w:r w:rsidR="00BF7ACC">
        <w:rPr>
          <w:rFonts w:ascii="Arial" w:hAnsi="Arial" w:cs="Arial"/>
          <w:bCs/>
          <w:sz w:val="24"/>
          <w:szCs w:val="24"/>
        </w:rPr>
        <w:t xml:space="preserve"> distortions caused by default service</w:t>
      </w:r>
      <w:r w:rsidR="0067167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As long as default service exists, the Commission on some level will have to address the issue of subsidies and inefficiencies that </w:t>
      </w:r>
      <w:r w:rsidR="00036114">
        <w:rPr>
          <w:rFonts w:ascii="Arial" w:hAnsi="Arial" w:cs="Arial"/>
          <w:bCs/>
          <w:sz w:val="24"/>
          <w:szCs w:val="24"/>
        </w:rPr>
        <w:t>result from</w:t>
      </w:r>
      <w:r>
        <w:rPr>
          <w:rFonts w:ascii="Arial" w:hAnsi="Arial" w:cs="Arial"/>
          <w:bCs/>
          <w:sz w:val="24"/>
          <w:szCs w:val="24"/>
        </w:rPr>
        <w:t xml:space="preserve"> default service in a competitive market.  </w:t>
      </w:r>
      <w:r w:rsidR="00BF7ACC">
        <w:rPr>
          <w:rFonts w:ascii="Arial" w:hAnsi="Arial" w:cs="Arial"/>
          <w:bCs/>
          <w:sz w:val="24"/>
          <w:szCs w:val="24"/>
        </w:rPr>
        <w:t>Absent eliminating default service, and requiring all customers to choose a competitive supplier, there is no one silver bullet approach to correct market aberrations caused by default service</w:t>
      </w:r>
      <w:r>
        <w:rPr>
          <w:rFonts w:ascii="Arial" w:hAnsi="Arial" w:cs="Arial"/>
          <w:bCs/>
          <w:sz w:val="24"/>
          <w:szCs w:val="24"/>
        </w:rPr>
        <w:t>, and therefore multiple tracts should be taken</w:t>
      </w:r>
      <w:r w:rsidR="00BF7ACC">
        <w:rPr>
          <w:rFonts w:ascii="Arial" w:hAnsi="Arial" w:cs="Arial"/>
          <w:bCs/>
          <w:sz w:val="24"/>
          <w:szCs w:val="24"/>
        </w:rPr>
        <w:t xml:space="preserve">.  </w:t>
      </w:r>
    </w:p>
    <w:p w:rsidR="00967B7F" w:rsidRDefault="00967B7F" w:rsidP="00671677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its initial comments Dominion Retail proposed a number of positive changes that could enhance the competitive markets and allow CRES suppliers to offer more vibrant product offerings to customers.  Those include 1) making default service an opt-in service; 2) eliminating all mandatory stay provisions and utility switching fees; and 3</w:t>
      </w:r>
      <w:r w:rsidR="00033982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granting </w:t>
      </w:r>
      <w:r w:rsidR="00033982">
        <w:rPr>
          <w:rFonts w:ascii="Arial" w:hAnsi="Arial" w:cs="Arial"/>
          <w:bCs/>
          <w:sz w:val="24"/>
          <w:szCs w:val="24"/>
        </w:rPr>
        <w:t xml:space="preserve">CRES suppliers </w:t>
      </w:r>
      <w:r>
        <w:rPr>
          <w:rFonts w:ascii="Arial" w:hAnsi="Arial" w:cs="Arial"/>
          <w:bCs/>
          <w:sz w:val="24"/>
          <w:szCs w:val="24"/>
        </w:rPr>
        <w:t>access to customer account numbers.</w:t>
      </w:r>
      <w:r>
        <w:rPr>
          <w:rStyle w:val="FootnoteReference"/>
          <w:rFonts w:ascii="Arial" w:hAnsi="Arial" w:cs="Arial"/>
          <w:bCs/>
          <w:sz w:val="24"/>
          <w:szCs w:val="24"/>
        </w:rPr>
        <w:footnoteReference w:id="4"/>
      </w:r>
      <w:r>
        <w:rPr>
          <w:rFonts w:ascii="Arial" w:hAnsi="Arial" w:cs="Arial"/>
          <w:bCs/>
          <w:sz w:val="24"/>
          <w:szCs w:val="24"/>
        </w:rPr>
        <w:t xml:space="preserve">  All of these change</w:t>
      </w:r>
      <w:r w:rsidR="00033982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proposed by Dominion Retail would </w:t>
      </w:r>
      <w:r w:rsidR="004E21EA">
        <w:rPr>
          <w:rFonts w:ascii="Arial" w:hAnsi="Arial" w:cs="Arial"/>
          <w:bCs/>
          <w:sz w:val="24"/>
          <w:szCs w:val="24"/>
        </w:rPr>
        <w:t xml:space="preserve">enhance competitive dynamics in the marketplace and ultimately </w:t>
      </w:r>
      <w:r>
        <w:rPr>
          <w:rFonts w:ascii="Arial" w:hAnsi="Arial" w:cs="Arial"/>
          <w:bCs/>
          <w:sz w:val="24"/>
          <w:szCs w:val="24"/>
        </w:rPr>
        <w:t xml:space="preserve">benefit </w:t>
      </w:r>
      <w:r w:rsidR="004E21EA">
        <w:rPr>
          <w:rFonts w:ascii="Arial" w:hAnsi="Arial" w:cs="Arial"/>
          <w:bCs/>
          <w:sz w:val="24"/>
          <w:szCs w:val="24"/>
        </w:rPr>
        <w:t xml:space="preserve">Ohio </w:t>
      </w:r>
      <w:r>
        <w:rPr>
          <w:rFonts w:ascii="Arial" w:hAnsi="Arial" w:cs="Arial"/>
          <w:bCs/>
          <w:sz w:val="24"/>
          <w:szCs w:val="24"/>
        </w:rPr>
        <w:t>customers</w:t>
      </w:r>
      <w:r w:rsidR="004E21EA">
        <w:rPr>
          <w:rFonts w:ascii="Arial" w:hAnsi="Arial" w:cs="Arial"/>
          <w:bCs/>
          <w:sz w:val="24"/>
          <w:szCs w:val="24"/>
        </w:rPr>
        <w:t>.</w:t>
      </w:r>
    </w:p>
    <w:p w:rsidR="00082769" w:rsidRDefault="00967B7F" w:rsidP="0067167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33982">
        <w:rPr>
          <w:rFonts w:ascii="Arial" w:hAnsi="Arial" w:cs="Arial"/>
          <w:bCs/>
          <w:sz w:val="24"/>
          <w:szCs w:val="24"/>
        </w:rPr>
        <w:t>Some</w:t>
      </w:r>
      <w:r>
        <w:rPr>
          <w:rFonts w:ascii="Arial" w:hAnsi="Arial" w:cs="Arial"/>
          <w:bCs/>
          <w:sz w:val="24"/>
          <w:szCs w:val="24"/>
        </w:rPr>
        <w:t xml:space="preserve"> parties</w:t>
      </w:r>
      <w:r w:rsidR="00033982">
        <w:rPr>
          <w:rFonts w:ascii="Arial" w:hAnsi="Arial" w:cs="Arial"/>
          <w:bCs/>
          <w:sz w:val="24"/>
          <w:szCs w:val="24"/>
        </w:rPr>
        <w:t>, including IGS</w:t>
      </w:r>
      <w:r>
        <w:rPr>
          <w:rFonts w:ascii="Arial" w:hAnsi="Arial" w:cs="Arial"/>
          <w:bCs/>
          <w:sz w:val="24"/>
          <w:szCs w:val="24"/>
        </w:rPr>
        <w:t xml:space="preserve"> have also proposed</w:t>
      </w:r>
      <w:r w:rsidR="00E15CDE" w:rsidRPr="00FB5198">
        <w:rPr>
          <w:rFonts w:ascii="Arial" w:hAnsi="Arial" w:cs="Arial"/>
          <w:bCs/>
          <w:sz w:val="24"/>
          <w:szCs w:val="24"/>
        </w:rPr>
        <w:t xml:space="preserve"> requiring</w:t>
      </w:r>
      <w:r w:rsidR="00FB5198" w:rsidRPr="00FB5198">
        <w:rPr>
          <w:rFonts w:ascii="Arial" w:hAnsi="Arial" w:cs="Arial"/>
          <w:bCs/>
          <w:sz w:val="24"/>
          <w:szCs w:val="24"/>
        </w:rPr>
        <w:t xml:space="preserve"> electric</w:t>
      </w:r>
      <w:r w:rsidR="00E15CDE" w:rsidRPr="00FB5198">
        <w:rPr>
          <w:rFonts w:ascii="Arial" w:hAnsi="Arial" w:cs="Arial"/>
          <w:bCs/>
          <w:sz w:val="24"/>
          <w:szCs w:val="24"/>
        </w:rPr>
        <w:t xml:space="preserve"> utilities to offer a purchase of receivables program (“POR”) to competitive suppliers.</w:t>
      </w:r>
      <w:r w:rsidR="00963AC8" w:rsidRPr="00963AC8">
        <w:rPr>
          <w:rStyle w:val="FootnoteReference"/>
          <w:rFonts w:ascii="Arial" w:hAnsi="Arial" w:cs="Arial"/>
          <w:bCs/>
          <w:sz w:val="24"/>
          <w:szCs w:val="24"/>
        </w:rPr>
        <w:t xml:space="preserve"> </w:t>
      </w:r>
      <w:r w:rsidR="00963AC8" w:rsidRPr="00FB5198">
        <w:rPr>
          <w:rStyle w:val="FootnoteReference"/>
          <w:rFonts w:ascii="Arial" w:hAnsi="Arial" w:cs="Arial"/>
          <w:bCs/>
          <w:sz w:val="24"/>
          <w:szCs w:val="24"/>
        </w:rPr>
        <w:footnoteReference w:id="5"/>
      </w:r>
      <w:r w:rsidR="00963AC8" w:rsidRPr="00FB5198">
        <w:rPr>
          <w:rFonts w:ascii="Arial" w:hAnsi="Arial" w:cs="Arial"/>
          <w:bCs/>
          <w:sz w:val="24"/>
          <w:szCs w:val="24"/>
        </w:rPr>
        <w:t xml:space="preserve"> </w:t>
      </w:r>
      <w:r w:rsidR="00E15CDE" w:rsidRPr="00FB5198">
        <w:rPr>
          <w:rFonts w:ascii="Arial" w:hAnsi="Arial" w:cs="Arial"/>
          <w:bCs/>
          <w:sz w:val="24"/>
          <w:szCs w:val="24"/>
        </w:rPr>
        <w:t xml:space="preserve">  </w:t>
      </w:r>
      <w:r w:rsidR="00962BD7">
        <w:rPr>
          <w:rFonts w:ascii="Arial" w:hAnsi="Arial" w:cs="Arial"/>
          <w:bCs/>
          <w:sz w:val="24"/>
          <w:szCs w:val="24"/>
        </w:rPr>
        <w:t>O</w:t>
      </w:r>
      <w:r w:rsidR="004E21EA">
        <w:rPr>
          <w:rFonts w:ascii="Arial" w:hAnsi="Arial" w:cs="Arial"/>
          <w:bCs/>
          <w:sz w:val="24"/>
          <w:szCs w:val="24"/>
        </w:rPr>
        <w:t>ther jurisdictions and commodity markets</w:t>
      </w:r>
      <w:r w:rsidR="00962BD7">
        <w:rPr>
          <w:rFonts w:ascii="Arial" w:hAnsi="Arial" w:cs="Arial"/>
          <w:bCs/>
          <w:sz w:val="24"/>
          <w:szCs w:val="24"/>
        </w:rPr>
        <w:t xml:space="preserve"> with POR programs have</w:t>
      </w:r>
      <w:r w:rsidR="004E21EA">
        <w:rPr>
          <w:rFonts w:ascii="Arial" w:hAnsi="Arial" w:cs="Arial"/>
          <w:bCs/>
          <w:sz w:val="24"/>
          <w:szCs w:val="24"/>
        </w:rPr>
        <w:t xml:space="preserve"> clearly </w:t>
      </w:r>
      <w:r w:rsidR="00962BD7">
        <w:rPr>
          <w:rFonts w:ascii="Arial" w:hAnsi="Arial" w:cs="Arial"/>
          <w:bCs/>
          <w:sz w:val="24"/>
          <w:szCs w:val="24"/>
        </w:rPr>
        <w:t>seen</w:t>
      </w:r>
      <w:r w:rsidR="004E21EA">
        <w:rPr>
          <w:rFonts w:ascii="Arial" w:hAnsi="Arial" w:cs="Arial"/>
          <w:bCs/>
          <w:sz w:val="24"/>
          <w:szCs w:val="24"/>
        </w:rPr>
        <w:t xml:space="preserve"> </w:t>
      </w:r>
      <w:r w:rsidR="008924F3">
        <w:rPr>
          <w:rFonts w:ascii="Arial" w:hAnsi="Arial" w:cs="Arial"/>
          <w:bCs/>
          <w:sz w:val="24"/>
          <w:szCs w:val="24"/>
        </w:rPr>
        <w:t>that</w:t>
      </w:r>
      <w:r w:rsidR="004E21EA">
        <w:rPr>
          <w:rFonts w:ascii="Arial" w:hAnsi="Arial" w:cs="Arial"/>
          <w:bCs/>
          <w:sz w:val="24"/>
          <w:szCs w:val="24"/>
        </w:rPr>
        <w:t xml:space="preserve"> these programs </w:t>
      </w:r>
      <w:r w:rsidR="00646938">
        <w:rPr>
          <w:rFonts w:ascii="Arial" w:hAnsi="Arial" w:cs="Arial"/>
          <w:bCs/>
          <w:sz w:val="24"/>
          <w:szCs w:val="24"/>
        </w:rPr>
        <w:t xml:space="preserve">encourage competition </w:t>
      </w:r>
      <w:r w:rsidR="00962BD7">
        <w:rPr>
          <w:rFonts w:ascii="Arial" w:hAnsi="Arial" w:cs="Arial"/>
          <w:bCs/>
          <w:sz w:val="24"/>
          <w:szCs w:val="24"/>
        </w:rPr>
        <w:t xml:space="preserve">and </w:t>
      </w:r>
      <w:r w:rsidR="008924F3">
        <w:rPr>
          <w:rFonts w:ascii="Arial" w:hAnsi="Arial" w:cs="Arial"/>
          <w:bCs/>
          <w:sz w:val="24"/>
          <w:szCs w:val="24"/>
        </w:rPr>
        <w:t>offer</w:t>
      </w:r>
      <w:r>
        <w:rPr>
          <w:rFonts w:ascii="Arial" w:hAnsi="Arial" w:cs="Arial"/>
          <w:bCs/>
          <w:sz w:val="24"/>
          <w:szCs w:val="24"/>
        </w:rPr>
        <w:t xml:space="preserve"> benefits to the market and customers</w:t>
      </w:r>
      <w:r w:rsidR="00646938">
        <w:rPr>
          <w:rFonts w:ascii="Arial" w:hAnsi="Arial" w:cs="Arial"/>
          <w:bCs/>
          <w:sz w:val="24"/>
          <w:szCs w:val="24"/>
        </w:rPr>
        <w:t xml:space="preserve"> alike</w:t>
      </w:r>
      <w:r w:rsidR="00576DA7">
        <w:rPr>
          <w:rFonts w:ascii="Arial" w:hAnsi="Arial" w:cs="Arial"/>
          <w:bCs/>
          <w:sz w:val="24"/>
          <w:szCs w:val="24"/>
        </w:rPr>
        <w:t>.</w:t>
      </w:r>
      <w:r w:rsidR="00FB5198" w:rsidRPr="00FB5198">
        <w:rPr>
          <w:rFonts w:ascii="Arial" w:hAnsi="Arial" w:cs="Arial"/>
          <w:bCs/>
          <w:sz w:val="24"/>
          <w:szCs w:val="24"/>
        </w:rPr>
        <w:t xml:space="preserve"> </w:t>
      </w:r>
      <w:r w:rsidR="009B7418">
        <w:rPr>
          <w:rFonts w:ascii="Arial" w:hAnsi="Arial" w:cs="Arial"/>
          <w:sz w:val="24"/>
          <w:szCs w:val="24"/>
        </w:rPr>
        <w:lastRenderedPageBreak/>
        <w:t>IGS also supports</w:t>
      </w:r>
      <w:r w:rsidR="00621AF7">
        <w:rPr>
          <w:rFonts w:ascii="Arial" w:hAnsi="Arial" w:cs="Arial"/>
          <w:bCs/>
          <w:sz w:val="24"/>
          <w:szCs w:val="24"/>
        </w:rPr>
        <w:t xml:space="preserve"> the Ohio Power Company</w:t>
      </w:r>
      <w:r w:rsidR="004D5359">
        <w:rPr>
          <w:rFonts w:ascii="Arial" w:hAnsi="Arial" w:cs="Arial"/>
          <w:bCs/>
          <w:sz w:val="24"/>
          <w:szCs w:val="24"/>
        </w:rPr>
        <w:t xml:space="preserve"> </w:t>
      </w:r>
      <w:r w:rsidR="00621AF7">
        <w:rPr>
          <w:rFonts w:ascii="Arial" w:hAnsi="Arial" w:cs="Arial"/>
          <w:bCs/>
          <w:sz w:val="24"/>
          <w:szCs w:val="24"/>
        </w:rPr>
        <w:t>(“</w:t>
      </w:r>
      <w:r w:rsidR="00FB5198" w:rsidRPr="00FB5198">
        <w:rPr>
          <w:rFonts w:ascii="Arial" w:hAnsi="Arial" w:cs="Arial"/>
          <w:bCs/>
          <w:sz w:val="24"/>
          <w:szCs w:val="24"/>
        </w:rPr>
        <w:t>AEP Ohio</w:t>
      </w:r>
      <w:r w:rsidR="00621AF7">
        <w:rPr>
          <w:rFonts w:ascii="Arial" w:hAnsi="Arial" w:cs="Arial"/>
          <w:bCs/>
          <w:sz w:val="24"/>
          <w:szCs w:val="24"/>
        </w:rPr>
        <w:t>”)</w:t>
      </w:r>
      <w:r w:rsidR="00FB5198" w:rsidRPr="00FB5198">
        <w:rPr>
          <w:rFonts w:ascii="Arial" w:hAnsi="Arial" w:cs="Arial"/>
          <w:bCs/>
          <w:sz w:val="24"/>
          <w:szCs w:val="24"/>
        </w:rPr>
        <w:t xml:space="preserve"> </w:t>
      </w:r>
      <w:r w:rsidR="00801317">
        <w:rPr>
          <w:rFonts w:ascii="Arial" w:hAnsi="Arial" w:cs="Arial"/>
          <w:bCs/>
          <w:sz w:val="24"/>
          <w:szCs w:val="24"/>
        </w:rPr>
        <w:t>recommendation</w:t>
      </w:r>
      <w:r w:rsidR="00FB5198" w:rsidRPr="00FB5198">
        <w:rPr>
          <w:rFonts w:ascii="Arial" w:hAnsi="Arial" w:cs="Arial"/>
          <w:bCs/>
          <w:sz w:val="24"/>
          <w:szCs w:val="24"/>
        </w:rPr>
        <w:t xml:space="preserve"> that the Commission </w:t>
      </w:r>
      <w:r w:rsidR="00FB5198" w:rsidRPr="00FB5198">
        <w:rPr>
          <w:rFonts w:ascii="Arial" w:hAnsi="Arial" w:cs="Arial"/>
          <w:sz w:val="24"/>
          <w:szCs w:val="24"/>
        </w:rPr>
        <w:t>implement a non-</w:t>
      </w:r>
      <w:proofErr w:type="spellStart"/>
      <w:r w:rsidR="00FB5198" w:rsidRPr="00FB5198">
        <w:rPr>
          <w:rFonts w:ascii="Arial" w:hAnsi="Arial" w:cs="Arial"/>
          <w:sz w:val="24"/>
          <w:szCs w:val="24"/>
        </w:rPr>
        <w:t>bypassable</w:t>
      </w:r>
      <w:proofErr w:type="spellEnd"/>
      <w:r w:rsidR="00FB5198" w:rsidRPr="00FB5198">
        <w:rPr>
          <w:rFonts w:ascii="Arial" w:hAnsi="Arial" w:cs="Arial"/>
          <w:sz w:val="24"/>
          <w:szCs w:val="24"/>
        </w:rPr>
        <w:t xml:space="preserve"> bad debt rider to cover the uncollectible revenue for both shopping and non-shopping customers</w:t>
      </w:r>
      <w:r w:rsidR="00FB5198">
        <w:rPr>
          <w:rFonts w:ascii="Arial" w:hAnsi="Arial" w:cs="Arial"/>
          <w:sz w:val="24"/>
          <w:szCs w:val="24"/>
        </w:rPr>
        <w:t>.</w:t>
      </w:r>
      <w:r w:rsidR="00FB5198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FB5198">
        <w:rPr>
          <w:rFonts w:ascii="Arial" w:hAnsi="Arial" w:cs="Arial"/>
          <w:sz w:val="24"/>
          <w:szCs w:val="24"/>
        </w:rPr>
        <w:t xml:space="preserve">  </w:t>
      </w:r>
      <w:r w:rsidR="00576DA7">
        <w:rPr>
          <w:rFonts w:ascii="Arial" w:hAnsi="Arial" w:cs="Arial"/>
          <w:sz w:val="24"/>
          <w:szCs w:val="24"/>
        </w:rPr>
        <w:t xml:space="preserve"> Implicit in AEP’s request for</w:t>
      </w:r>
      <w:r w:rsidR="00963AC8">
        <w:rPr>
          <w:rFonts w:ascii="Arial" w:hAnsi="Arial" w:cs="Arial"/>
          <w:sz w:val="24"/>
          <w:szCs w:val="24"/>
        </w:rPr>
        <w:t xml:space="preserve"> </w:t>
      </w:r>
      <w:r w:rsidR="00576DA7">
        <w:rPr>
          <w:rFonts w:ascii="Arial" w:hAnsi="Arial" w:cs="Arial"/>
          <w:sz w:val="24"/>
          <w:szCs w:val="24"/>
        </w:rPr>
        <w:t>a</w:t>
      </w:r>
      <w:r w:rsidR="00801317" w:rsidRPr="00FB5198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="00801317" w:rsidRPr="00FB5198">
        <w:rPr>
          <w:rFonts w:ascii="Arial" w:hAnsi="Arial" w:cs="Arial"/>
          <w:sz w:val="24"/>
          <w:szCs w:val="24"/>
        </w:rPr>
        <w:t>bypassable</w:t>
      </w:r>
      <w:proofErr w:type="spellEnd"/>
      <w:r w:rsidR="00801317" w:rsidRPr="00FB5198">
        <w:rPr>
          <w:rFonts w:ascii="Arial" w:hAnsi="Arial" w:cs="Arial"/>
          <w:sz w:val="24"/>
          <w:szCs w:val="24"/>
        </w:rPr>
        <w:t xml:space="preserve"> bad debt rider</w:t>
      </w:r>
      <w:r w:rsidR="00801317">
        <w:rPr>
          <w:rFonts w:ascii="Arial" w:hAnsi="Arial" w:cs="Arial"/>
          <w:sz w:val="24"/>
          <w:szCs w:val="24"/>
        </w:rPr>
        <w:t xml:space="preserve"> for all </w:t>
      </w:r>
      <w:r w:rsidR="008924F3">
        <w:rPr>
          <w:rFonts w:ascii="Arial" w:hAnsi="Arial" w:cs="Arial"/>
          <w:sz w:val="24"/>
          <w:szCs w:val="24"/>
        </w:rPr>
        <w:t>customers is</w:t>
      </w:r>
      <w:r w:rsidR="004D5359">
        <w:rPr>
          <w:rFonts w:ascii="Arial" w:hAnsi="Arial" w:cs="Arial"/>
          <w:sz w:val="24"/>
          <w:szCs w:val="24"/>
        </w:rPr>
        <w:t xml:space="preserve"> </w:t>
      </w:r>
      <w:r w:rsidR="00576DA7">
        <w:rPr>
          <w:rFonts w:ascii="Arial" w:hAnsi="Arial" w:cs="Arial"/>
          <w:sz w:val="24"/>
          <w:szCs w:val="24"/>
        </w:rPr>
        <w:t>that a POR program should be available for CRES suppliers</w:t>
      </w:r>
      <w:r w:rsidR="004D5359">
        <w:rPr>
          <w:rFonts w:ascii="Arial" w:hAnsi="Arial" w:cs="Arial"/>
          <w:sz w:val="24"/>
          <w:szCs w:val="24"/>
        </w:rPr>
        <w:t>.</w:t>
      </w:r>
      <w:r w:rsidR="00576DA7">
        <w:rPr>
          <w:rFonts w:ascii="Arial" w:hAnsi="Arial" w:cs="Arial"/>
          <w:sz w:val="24"/>
          <w:szCs w:val="24"/>
        </w:rPr>
        <w:t xml:space="preserve">  Consequently, the Commission should adopt AEP’s proposal and </w:t>
      </w:r>
      <w:r w:rsidR="00576DA7">
        <w:rPr>
          <w:rFonts w:ascii="Arial" w:hAnsi="Arial" w:cs="Arial"/>
          <w:bCs/>
          <w:sz w:val="24"/>
          <w:szCs w:val="24"/>
        </w:rPr>
        <w:t>order a POR program, with a generation bad-debt tracker, for all Ohio electric utilities in the electric utility rules review proceeding Case No. 12-2050-EL-ORD.</w:t>
      </w:r>
    </w:p>
    <w:p w:rsidR="004D5359" w:rsidRPr="004D5359" w:rsidRDefault="004D5359" w:rsidP="00671677">
      <w:pPr>
        <w:spacing w:line="48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D5359">
        <w:rPr>
          <w:rFonts w:ascii="Arial" w:hAnsi="Arial" w:cs="Arial"/>
          <w:sz w:val="24"/>
          <w:szCs w:val="24"/>
        </w:rPr>
        <w:t>In their comments</w:t>
      </w:r>
      <w:r>
        <w:rPr>
          <w:rFonts w:ascii="Arial" w:hAnsi="Arial" w:cs="Arial"/>
          <w:sz w:val="24"/>
          <w:szCs w:val="24"/>
        </w:rPr>
        <w:t>,</w:t>
      </w:r>
      <w:r w:rsidRPr="004D5359">
        <w:rPr>
          <w:rStyle w:val="apple-converted-space"/>
          <w:rFonts w:ascii="Arial" w:hAnsi="Arial" w:cs="Arial"/>
          <w:color w:val="232323"/>
          <w:sz w:val="24"/>
          <w:szCs w:val="24"/>
        </w:rPr>
        <w:t> </w:t>
      </w:r>
      <w:r w:rsidRPr="004D5359">
        <w:rPr>
          <w:rFonts w:ascii="Arial" w:hAnsi="Arial" w:cs="Arial"/>
          <w:color w:val="232323"/>
          <w:sz w:val="24"/>
          <w:szCs w:val="24"/>
        </w:rPr>
        <w:t>Ohio Edison Company, The Cleveland Electric Illuminating Company and The Toledo Edison Company</w:t>
      </w:r>
      <w:r>
        <w:rPr>
          <w:rFonts w:ascii="Arial" w:hAnsi="Arial" w:cs="Arial"/>
          <w:color w:val="232323"/>
          <w:sz w:val="24"/>
          <w:szCs w:val="24"/>
        </w:rPr>
        <w:t xml:space="preserve"> (collectively FirstEnergy”)</w:t>
      </w:r>
      <w:r w:rsidR="00FA0A28" w:rsidRPr="004D5359">
        <w:rPr>
          <w:rStyle w:val="apple-converted-space"/>
          <w:rFonts w:ascii="Arial" w:hAnsi="Arial" w:cs="Arial"/>
          <w:color w:val="232323"/>
          <w:sz w:val="24"/>
          <w:szCs w:val="24"/>
        </w:rPr>
        <w:t> </w:t>
      </w:r>
      <w:r w:rsidR="00FA0A28" w:rsidRPr="004D5359"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z w:val="24"/>
          <w:szCs w:val="24"/>
        </w:rPr>
        <w:t xml:space="preserve"> that the Commission should consider implementing a return component on the default service SSO pricing.</w:t>
      </w:r>
      <w:r>
        <w:rPr>
          <w:rStyle w:val="FootnoteReference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 </w:t>
      </w:r>
      <w:r w:rsidR="00801317">
        <w:rPr>
          <w:rFonts w:ascii="Arial" w:hAnsi="Arial" w:cs="Arial"/>
          <w:sz w:val="24"/>
          <w:szCs w:val="24"/>
        </w:rPr>
        <w:t>IGS support’s</w:t>
      </w:r>
      <w:r>
        <w:rPr>
          <w:rFonts w:ascii="Arial" w:hAnsi="Arial" w:cs="Arial"/>
          <w:sz w:val="24"/>
          <w:szCs w:val="24"/>
        </w:rPr>
        <w:t xml:space="preserve"> </w:t>
      </w:r>
      <w:r w:rsidR="00FA0A28">
        <w:rPr>
          <w:rFonts w:ascii="Arial" w:hAnsi="Arial" w:cs="Arial"/>
          <w:sz w:val="24"/>
          <w:szCs w:val="24"/>
        </w:rPr>
        <w:t>FirstEnergy</w:t>
      </w:r>
      <w:r w:rsidR="00801317">
        <w:rPr>
          <w:rFonts w:ascii="Arial" w:hAnsi="Arial" w:cs="Arial"/>
          <w:sz w:val="24"/>
          <w:szCs w:val="24"/>
        </w:rPr>
        <w:t>’s proposal as it</w:t>
      </w:r>
      <w:r w:rsidR="00FA0A28">
        <w:rPr>
          <w:rFonts w:ascii="Arial" w:hAnsi="Arial" w:cs="Arial"/>
          <w:sz w:val="24"/>
          <w:szCs w:val="24"/>
        </w:rPr>
        <w:t xml:space="preserve"> recognizes that there </w:t>
      </w:r>
      <w:r w:rsidR="00801317">
        <w:rPr>
          <w:rFonts w:ascii="Arial" w:hAnsi="Arial" w:cs="Arial"/>
          <w:sz w:val="24"/>
          <w:szCs w:val="24"/>
        </w:rPr>
        <w:t>are</w:t>
      </w:r>
      <w:r w:rsidR="00FA0A28">
        <w:rPr>
          <w:rFonts w:ascii="Arial" w:hAnsi="Arial" w:cs="Arial"/>
          <w:sz w:val="24"/>
          <w:szCs w:val="24"/>
        </w:rPr>
        <w:t xml:space="preserve"> cost</w:t>
      </w:r>
      <w:r w:rsidR="00801317">
        <w:rPr>
          <w:rFonts w:ascii="Arial" w:hAnsi="Arial" w:cs="Arial"/>
          <w:sz w:val="24"/>
          <w:szCs w:val="24"/>
        </w:rPr>
        <w:t>s</w:t>
      </w:r>
      <w:r w:rsidR="00FA0A28">
        <w:rPr>
          <w:rFonts w:ascii="Arial" w:hAnsi="Arial" w:cs="Arial"/>
          <w:sz w:val="24"/>
          <w:szCs w:val="24"/>
        </w:rPr>
        <w:t xml:space="preserve"> being caused by the SSO </w:t>
      </w:r>
      <w:r w:rsidR="000454FA">
        <w:rPr>
          <w:rFonts w:ascii="Arial" w:hAnsi="Arial" w:cs="Arial"/>
          <w:sz w:val="24"/>
          <w:szCs w:val="24"/>
        </w:rPr>
        <w:t>rate that</w:t>
      </w:r>
      <w:r w:rsidR="00FA0A28">
        <w:rPr>
          <w:rFonts w:ascii="Arial" w:hAnsi="Arial" w:cs="Arial"/>
          <w:sz w:val="24"/>
          <w:szCs w:val="24"/>
        </w:rPr>
        <w:t xml:space="preserve"> </w:t>
      </w:r>
      <w:r w:rsidR="00801317">
        <w:rPr>
          <w:rFonts w:ascii="Arial" w:hAnsi="Arial" w:cs="Arial"/>
          <w:sz w:val="24"/>
          <w:szCs w:val="24"/>
        </w:rPr>
        <w:t xml:space="preserve">are </w:t>
      </w:r>
      <w:r w:rsidR="00FA0A28">
        <w:rPr>
          <w:rFonts w:ascii="Arial" w:hAnsi="Arial" w:cs="Arial"/>
          <w:sz w:val="24"/>
          <w:szCs w:val="24"/>
        </w:rPr>
        <w:t>not bo</w:t>
      </w:r>
      <w:r w:rsidR="004909FE">
        <w:rPr>
          <w:rFonts w:ascii="Arial" w:hAnsi="Arial" w:cs="Arial"/>
          <w:sz w:val="24"/>
          <w:szCs w:val="24"/>
        </w:rPr>
        <w:t>rne in the SSO price.  Adding a charge</w:t>
      </w:r>
      <w:r w:rsidR="00FA0A28">
        <w:rPr>
          <w:rFonts w:ascii="Arial" w:hAnsi="Arial" w:cs="Arial"/>
          <w:sz w:val="24"/>
          <w:szCs w:val="24"/>
        </w:rPr>
        <w:t xml:space="preserve"> </w:t>
      </w:r>
      <w:r w:rsidR="004909FE">
        <w:rPr>
          <w:rFonts w:ascii="Arial" w:hAnsi="Arial" w:cs="Arial"/>
          <w:sz w:val="24"/>
          <w:szCs w:val="24"/>
        </w:rPr>
        <w:t>to the SSO rate to</w:t>
      </w:r>
      <w:r w:rsidR="00FA0A28">
        <w:rPr>
          <w:rFonts w:ascii="Arial" w:hAnsi="Arial" w:cs="Arial"/>
          <w:sz w:val="24"/>
          <w:szCs w:val="24"/>
        </w:rPr>
        <w:t xml:space="preserve"> reflect the true cost of service for the default rate</w:t>
      </w:r>
      <w:r w:rsidR="004909FE">
        <w:rPr>
          <w:rFonts w:ascii="Arial" w:hAnsi="Arial" w:cs="Arial"/>
          <w:sz w:val="24"/>
          <w:szCs w:val="24"/>
        </w:rPr>
        <w:t xml:space="preserve"> would be a step in the right direction to cure the discrepancies in the competitive market caused by default service.  </w:t>
      </w:r>
      <w:r w:rsidR="00801317">
        <w:rPr>
          <w:rFonts w:ascii="Arial" w:hAnsi="Arial" w:cs="Arial"/>
          <w:sz w:val="24"/>
          <w:szCs w:val="24"/>
        </w:rPr>
        <w:t xml:space="preserve">Such a charge would also raise additional revenue that could be used to compensate the electric utility, returned to all rate payers, used to support clean energy initiatives or any combination thereof.  </w:t>
      </w:r>
    </w:p>
    <w:p w:rsidR="00A20C43" w:rsidRPr="00A20C43" w:rsidRDefault="00A20C43" w:rsidP="00A20C4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0C4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ONCLUSION</w:t>
      </w:r>
    </w:p>
    <w:p w:rsidR="00A20C43" w:rsidRPr="00A20C43" w:rsidRDefault="00036114" w:rsidP="00CA725D">
      <w:pPr>
        <w:spacing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IGS would like to commend the Commission and the Ohio legislature for recognizing that competitive</w:t>
      </w:r>
      <w:r w:rsidR="00CA725D">
        <w:rPr>
          <w:rFonts w:ascii="Arial" w:hAnsi="Arial" w:cs="Arial"/>
          <w:bCs/>
          <w:sz w:val="24"/>
          <w:szCs w:val="24"/>
        </w:rPr>
        <w:t xml:space="preserve"> electric</w:t>
      </w:r>
      <w:r>
        <w:rPr>
          <w:rFonts w:ascii="Arial" w:hAnsi="Arial" w:cs="Arial"/>
          <w:bCs/>
          <w:sz w:val="24"/>
          <w:szCs w:val="24"/>
        </w:rPr>
        <w:t xml:space="preserve"> markets are in the best interest of</w:t>
      </w:r>
      <w:r w:rsidR="00CA725D">
        <w:rPr>
          <w:rFonts w:ascii="Arial" w:hAnsi="Arial" w:cs="Arial"/>
          <w:bCs/>
          <w:sz w:val="24"/>
          <w:szCs w:val="24"/>
        </w:rPr>
        <w:t xml:space="preserve"> customers and</w:t>
      </w:r>
      <w:r>
        <w:rPr>
          <w:rFonts w:ascii="Arial" w:hAnsi="Arial" w:cs="Arial"/>
          <w:bCs/>
          <w:sz w:val="24"/>
          <w:szCs w:val="24"/>
        </w:rPr>
        <w:t xml:space="preserve"> Ohio in the long run.  It is clear that </w:t>
      </w:r>
      <w:r w:rsidR="00CA725D">
        <w:rPr>
          <w:rFonts w:ascii="Arial" w:hAnsi="Arial" w:cs="Arial"/>
          <w:bCs/>
          <w:sz w:val="24"/>
          <w:szCs w:val="24"/>
        </w:rPr>
        <w:t xml:space="preserve">Ohio’s now over decade long transition to competitive markets </w:t>
      </w:r>
      <w:r w:rsidR="00CA725D">
        <w:rPr>
          <w:rFonts w:ascii="Arial" w:hAnsi="Arial" w:cs="Arial"/>
          <w:bCs/>
          <w:sz w:val="24"/>
          <w:szCs w:val="24"/>
        </w:rPr>
        <w:lastRenderedPageBreak/>
        <w:t xml:space="preserve">has not resulted in </w:t>
      </w:r>
      <w:r>
        <w:rPr>
          <w:rFonts w:ascii="Arial" w:hAnsi="Arial" w:cs="Arial"/>
          <w:bCs/>
          <w:sz w:val="24"/>
          <w:szCs w:val="24"/>
        </w:rPr>
        <w:t xml:space="preserve">the predicted harm to customers </w:t>
      </w:r>
      <w:r w:rsidR="00BF52DA">
        <w:rPr>
          <w:rFonts w:ascii="Arial" w:hAnsi="Arial" w:cs="Arial"/>
          <w:bCs/>
          <w:sz w:val="24"/>
          <w:szCs w:val="24"/>
        </w:rPr>
        <w:t xml:space="preserve">envisioned </w:t>
      </w:r>
      <w:r>
        <w:rPr>
          <w:rFonts w:ascii="Arial" w:hAnsi="Arial" w:cs="Arial"/>
          <w:bCs/>
          <w:sz w:val="24"/>
          <w:szCs w:val="24"/>
        </w:rPr>
        <w:t xml:space="preserve">by </w:t>
      </w:r>
      <w:r w:rsidR="00CA725D">
        <w:rPr>
          <w:rFonts w:ascii="Arial" w:hAnsi="Arial" w:cs="Arial"/>
          <w:bCs/>
          <w:sz w:val="24"/>
          <w:szCs w:val="24"/>
        </w:rPr>
        <w:t>opponents of competition.  These same opponents are now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725D">
        <w:rPr>
          <w:rFonts w:ascii="Arial" w:hAnsi="Arial" w:cs="Arial"/>
          <w:bCs/>
          <w:sz w:val="24"/>
          <w:szCs w:val="24"/>
        </w:rPr>
        <w:t xml:space="preserve">arguing that a subsidized and protected default rate structure is necessary in order to protect customers. </w:t>
      </w:r>
      <w:r w:rsidR="00A20C43">
        <w:rPr>
          <w:rFonts w:ascii="Arial" w:hAnsi="Arial" w:cs="Arial"/>
          <w:bCs/>
          <w:sz w:val="24"/>
          <w:szCs w:val="24"/>
        </w:rPr>
        <w:t xml:space="preserve"> </w:t>
      </w:r>
      <w:r w:rsidR="00F9674F">
        <w:rPr>
          <w:rFonts w:ascii="Arial" w:hAnsi="Arial" w:cs="Arial"/>
          <w:bCs/>
          <w:sz w:val="24"/>
          <w:szCs w:val="24"/>
        </w:rPr>
        <w:t xml:space="preserve">However, </w:t>
      </w:r>
      <w:r w:rsidR="00E67152">
        <w:rPr>
          <w:rFonts w:ascii="Arial" w:hAnsi="Arial" w:cs="Arial"/>
          <w:bCs/>
          <w:sz w:val="24"/>
          <w:szCs w:val="24"/>
        </w:rPr>
        <w:t>u</w:t>
      </w:r>
      <w:r w:rsidR="00CA725D">
        <w:rPr>
          <w:rFonts w:ascii="Arial" w:hAnsi="Arial" w:cs="Arial"/>
          <w:bCs/>
          <w:sz w:val="24"/>
          <w:szCs w:val="24"/>
        </w:rPr>
        <w:t>ntil the subsidies and inefficiencies that are inherent in default rates have been addressed,</w:t>
      </w:r>
      <w:r w:rsidR="009417FA">
        <w:rPr>
          <w:rFonts w:ascii="Arial" w:hAnsi="Arial" w:cs="Arial"/>
          <w:bCs/>
          <w:sz w:val="24"/>
          <w:szCs w:val="24"/>
        </w:rPr>
        <w:t xml:space="preserve"> customers will not receive the full benefits of competition and</w:t>
      </w:r>
      <w:r w:rsidR="00CA725D">
        <w:rPr>
          <w:rFonts w:ascii="Arial" w:hAnsi="Arial" w:cs="Arial"/>
          <w:bCs/>
          <w:sz w:val="24"/>
          <w:szCs w:val="24"/>
        </w:rPr>
        <w:t xml:space="preserve"> Ohio electric markets will not be fully competitive as pr</w:t>
      </w:r>
      <w:r w:rsidR="00BF52DA">
        <w:rPr>
          <w:rFonts w:ascii="Arial" w:hAnsi="Arial" w:cs="Arial"/>
          <w:bCs/>
          <w:sz w:val="24"/>
          <w:szCs w:val="24"/>
        </w:rPr>
        <w:t>e</w:t>
      </w:r>
      <w:r w:rsidR="00CA725D">
        <w:rPr>
          <w:rFonts w:ascii="Arial" w:hAnsi="Arial" w:cs="Arial"/>
          <w:bCs/>
          <w:sz w:val="24"/>
          <w:szCs w:val="24"/>
        </w:rPr>
        <w:t>scribed by Ohio law</w:t>
      </w:r>
      <w:r w:rsidR="00F9674F">
        <w:rPr>
          <w:rFonts w:ascii="Arial" w:hAnsi="Arial" w:cs="Arial"/>
          <w:bCs/>
          <w:sz w:val="24"/>
          <w:szCs w:val="24"/>
        </w:rPr>
        <w:t>.</w:t>
      </w:r>
      <w:r w:rsidR="00E67152">
        <w:rPr>
          <w:rFonts w:ascii="Arial" w:hAnsi="Arial" w:cs="Arial"/>
          <w:bCs/>
          <w:sz w:val="24"/>
          <w:szCs w:val="24"/>
        </w:rPr>
        <w:t xml:space="preserve">  </w:t>
      </w:r>
    </w:p>
    <w:p w:rsidR="00C05273" w:rsidRPr="0095057A" w:rsidRDefault="00C05273" w:rsidP="00994DA1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:rsidR="00963AC8" w:rsidRDefault="00963AC8" w:rsidP="00963A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:rsidR="00963AC8" w:rsidRDefault="00963AC8" w:rsidP="00963A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:rsidR="00963AC8" w:rsidRDefault="00963AC8" w:rsidP="00963A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:rsidR="00963AC8" w:rsidRDefault="00963AC8" w:rsidP="00963A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:rsidR="00963AC8" w:rsidRPr="00094915" w:rsidRDefault="00963AC8" w:rsidP="00963AC8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sz w:val="24"/>
          <w:szCs w:val="24"/>
          <w:u w:val="single"/>
        </w:rPr>
        <w:t>Matthew White</w:t>
      </w:r>
      <w:r w:rsidRPr="00094915">
        <w:rPr>
          <w:rFonts w:ascii="Arial" w:eastAsia="Arial" w:hAnsi="Arial" w:cs="Arial"/>
          <w:sz w:val="24"/>
          <w:szCs w:val="24"/>
          <w:u w:val="single"/>
        </w:rPr>
        <w:tab/>
      </w:r>
      <w:r w:rsidRPr="00094915">
        <w:rPr>
          <w:rFonts w:ascii="Arial" w:eastAsia="Arial" w:hAnsi="Arial" w:cs="Arial"/>
          <w:sz w:val="24"/>
          <w:szCs w:val="24"/>
          <w:u w:val="single"/>
        </w:rPr>
        <w:tab/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Vincent Parisi (073283)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vparisi@igsenergy.com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White (0082859)</w:t>
      </w:r>
    </w:p>
    <w:p w:rsidR="00963AC8" w:rsidRPr="006715D8" w:rsidRDefault="00963AC8" w:rsidP="00963AC8">
      <w:pPr>
        <w:spacing w:after="0" w:line="240" w:lineRule="auto"/>
        <w:ind w:left="5040"/>
        <w:rPr>
          <w:rFonts w:ascii="Arial" w:hAnsi="Arial" w:cs="Arial"/>
          <w:b/>
          <w:sz w:val="24"/>
          <w:szCs w:val="24"/>
        </w:rPr>
      </w:pPr>
      <w:r w:rsidRPr="006715D8">
        <w:rPr>
          <w:rFonts w:ascii="Arial" w:hAnsi="Arial" w:cs="Arial"/>
          <w:b/>
          <w:sz w:val="24"/>
          <w:szCs w:val="24"/>
        </w:rPr>
        <w:t>Counsel of Record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mswhite@igsenergy.com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Interstate Gas Supply, Inc.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Attorneys for </w:t>
      </w:r>
    </w:p>
    <w:p w:rsidR="00963AC8" w:rsidRDefault="00963AC8" w:rsidP="00963AC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Interstate Gas Supply, Inc.</w:t>
      </w:r>
    </w:p>
    <w:p w:rsidR="0095057A" w:rsidRPr="007B56AB" w:rsidRDefault="0095057A" w:rsidP="00E7661E">
      <w:pPr>
        <w:spacing w:line="600" w:lineRule="auto"/>
        <w:rPr>
          <w:rFonts w:ascii="Arial" w:hAnsi="Arial" w:cs="Arial"/>
          <w:sz w:val="24"/>
          <w:szCs w:val="24"/>
        </w:rPr>
      </w:pPr>
    </w:p>
    <w:sectPr w:rsidR="0095057A" w:rsidRPr="007B56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53" w:rsidRDefault="00457853" w:rsidP="00457853">
      <w:pPr>
        <w:spacing w:after="0" w:line="240" w:lineRule="auto"/>
      </w:pPr>
      <w:r>
        <w:separator/>
      </w:r>
    </w:p>
  </w:endnote>
  <w:endnote w:type="continuationSeparator" w:id="0">
    <w:p w:rsidR="00457853" w:rsidRDefault="00457853" w:rsidP="0045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562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CDE" w:rsidRDefault="00E15C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B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15CDE" w:rsidRDefault="00E15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53" w:rsidRDefault="00457853" w:rsidP="00457853">
      <w:pPr>
        <w:spacing w:after="0" w:line="240" w:lineRule="auto"/>
      </w:pPr>
      <w:r>
        <w:separator/>
      </w:r>
    </w:p>
  </w:footnote>
  <w:footnote w:type="continuationSeparator" w:id="0">
    <w:p w:rsidR="00457853" w:rsidRDefault="00457853" w:rsidP="00457853">
      <w:pPr>
        <w:spacing w:after="0" w:line="240" w:lineRule="auto"/>
      </w:pPr>
      <w:r>
        <w:continuationSeparator/>
      </w:r>
    </w:p>
  </w:footnote>
  <w:footnote w:id="1">
    <w:p w:rsidR="009156BC" w:rsidRDefault="009156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OCC </w:t>
      </w:r>
      <w:r w:rsidR="00036114">
        <w:t xml:space="preserve">Initial </w:t>
      </w:r>
      <w:r>
        <w:t xml:space="preserve">Comments at </w:t>
      </w:r>
      <w:r w:rsidR="00B77A7A">
        <w:t>11</w:t>
      </w:r>
      <w:r>
        <w:t>.</w:t>
      </w:r>
      <w:proofErr w:type="gramEnd"/>
      <w:r>
        <w:t xml:space="preserve">  </w:t>
      </w:r>
    </w:p>
  </w:footnote>
  <w:footnote w:id="2">
    <w:p w:rsidR="00D82E32" w:rsidRDefault="00D82E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FirstEnergy </w:t>
      </w:r>
      <w:r w:rsidR="008A2D85">
        <w:t xml:space="preserve"> Initial</w:t>
      </w:r>
      <w:proofErr w:type="gramEnd"/>
      <w:r w:rsidR="008A2D85">
        <w:t xml:space="preserve"> </w:t>
      </w:r>
      <w:r>
        <w:t>Comments at 9-10</w:t>
      </w:r>
      <w:r w:rsidR="00621AF7">
        <w:t>.</w:t>
      </w:r>
      <w:r>
        <w:t xml:space="preserve"> </w:t>
      </w:r>
    </w:p>
  </w:footnote>
  <w:footnote w:id="3">
    <w:p w:rsidR="009B2FA8" w:rsidRDefault="009B2FA8" w:rsidP="009B2FA8">
      <w:pPr>
        <w:pStyle w:val="FootnoteText"/>
      </w:pPr>
      <w:r>
        <w:rPr>
          <w:rStyle w:val="FootnoteReference"/>
        </w:rPr>
        <w:footnoteRef/>
      </w:r>
      <w:r w:rsidR="00082769">
        <w:t xml:space="preserve"> See </w:t>
      </w:r>
      <w:r>
        <w:t>IGS</w:t>
      </w:r>
      <w:r w:rsidR="00082769">
        <w:t xml:space="preserve"> Initial</w:t>
      </w:r>
      <w:r>
        <w:t xml:space="preserve"> Comments at 4</w:t>
      </w:r>
      <w:r w:rsidR="00082769">
        <w:t xml:space="preserve"> for more detail on these proposal</w:t>
      </w:r>
      <w:r w:rsidR="008A2D85">
        <w:t>s</w:t>
      </w:r>
      <w:r>
        <w:t>.</w:t>
      </w:r>
    </w:p>
  </w:footnote>
  <w:footnote w:id="4">
    <w:p w:rsidR="00967B7F" w:rsidRDefault="00967B7F">
      <w:pPr>
        <w:pStyle w:val="FootnoteText"/>
      </w:pPr>
      <w:r>
        <w:rPr>
          <w:rStyle w:val="FootnoteReference"/>
        </w:rPr>
        <w:footnoteRef/>
      </w:r>
      <w:r>
        <w:t xml:space="preserve"> Dominion Retail </w:t>
      </w:r>
      <w:r w:rsidR="008A2D85">
        <w:t xml:space="preserve">Initial </w:t>
      </w:r>
      <w:r>
        <w:t>Comments at 8-11.</w:t>
      </w:r>
    </w:p>
  </w:footnote>
  <w:footnote w:id="5">
    <w:p w:rsidR="00963AC8" w:rsidRDefault="00963AC8" w:rsidP="00963AC8">
      <w:pPr>
        <w:pStyle w:val="FootnoteText"/>
      </w:pPr>
      <w:r>
        <w:rPr>
          <w:rStyle w:val="FootnoteReference"/>
        </w:rPr>
        <w:footnoteRef/>
      </w:r>
      <w:r>
        <w:t xml:space="preserve"> RESA Initial Comments at 23</w:t>
      </w:r>
      <w:proofErr w:type="gramStart"/>
      <w:r>
        <w:t>;  IGS</w:t>
      </w:r>
      <w:proofErr w:type="gramEnd"/>
      <w:r>
        <w:t xml:space="preserve"> Initial Comments at 2</w:t>
      </w:r>
      <w:r w:rsidRPr="00621AF7">
        <w:t>; Dominion Retail Initial Comments at 11;  Duke Retail Initial Comments at 3</w:t>
      </w:r>
      <w:r>
        <w:t>.</w:t>
      </w:r>
    </w:p>
  </w:footnote>
  <w:footnote w:id="6">
    <w:p w:rsidR="00FB5198" w:rsidRDefault="00FB5198">
      <w:pPr>
        <w:pStyle w:val="FootnoteText"/>
      </w:pPr>
      <w:r>
        <w:rPr>
          <w:rStyle w:val="FootnoteReference"/>
        </w:rPr>
        <w:footnoteRef/>
      </w:r>
      <w:r>
        <w:t xml:space="preserve"> AEP </w:t>
      </w:r>
      <w:r w:rsidR="00621AF7">
        <w:t xml:space="preserve">Ohio </w:t>
      </w:r>
      <w:r>
        <w:t xml:space="preserve">Initial Comments at </w:t>
      </w:r>
      <w:r w:rsidR="00621AF7">
        <w:t>18</w:t>
      </w:r>
      <w:r>
        <w:t>.</w:t>
      </w:r>
    </w:p>
  </w:footnote>
  <w:footnote w:id="7">
    <w:p w:rsidR="004D5359" w:rsidRDefault="004D53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7CEF">
        <w:t xml:space="preserve">FirstEnergy </w:t>
      </w:r>
      <w:r w:rsidR="008A2D85">
        <w:t xml:space="preserve">Initial </w:t>
      </w:r>
      <w:bookmarkStart w:id="2" w:name="_GoBack"/>
      <w:bookmarkEnd w:id="2"/>
      <w:r w:rsidR="00A77CEF">
        <w:t>Comments</w:t>
      </w:r>
      <w:r>
        <w:t xml:space="preserve"> at 14-15.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B8B"/>
    <w:multiLevelType w:val="hybridMultilevel"/>
    <w:tmpl w:val="FC7E288E"/>
    <w:lvl w:ilvl="0" w:tplc="67908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6478"/>
    <w:multiLevelType w:val="hybridMultilevel"/>
    <w:tmpl w:val="98B602EE"/>
    <w:lvl w:ilvl="0" w:tplc="1488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A"/>
    <w:rsid w:val="00004BF3"/>
    <w:rsid w:val="00007FFD"/>
    <w:rsid w:val="00033982"/>
    <w:rsid w:val="00036114"/>
    <w:rsid w:val="000454FA"/>
    <w:rsid w:val="00061276"/>
    <w:rsid w:val="00074038"/>
    <w:rsid w:val="00082769"/>
    <w:rsid w:val="00137DAE"/>
    <w:rsid w:val="00141F66"/>
    <w:rsid w:val="001775EC"/>
    <w:rsid w:val="002A03CC"/>
    <w:rsid w:val="00382F5B"/>
    <w:rsid w:val="003C7E35"/>
    <w:rsid w:val="003E551D"/>
    <w:rsid w:val="00457853"/>
    <w:rsid w:val="004779A0"/>
    <w:rsid w:val="004909FE"/>
    <w:rsid w:val="004D5359"/>
    <w:rsid w:val="004D54D8"/>
    <w:rsid w:val="004E21EA"/>
    <w:rsid w:val="005042E8"/>
    <w:rsid w:val="00535347"/>
    <w:rsid w:val="00540EBE"/>
    <w:rsid w:val="005562E9"/>
    <w:rsid w:val="00576DA7"/>
    <w:rsid w:val="00621AF7"/>
    <w:rsid w:val="00646938"/>
    <w:rsid w:val="00663ACA"/>
    <w:rsid w:val="00666707"/>
    <w:rsid w:val="00671677"/>
    <w:rsid w:val="00697287"/>
    <w:rsid w:val="00715B6E"/>
    <w:rsid w:val="00760142"/>
    <w:rsid w:val="007A4D51"/>
    <w:rsid w:val="007B56AB"/>
    <w:rsid w:val="007C1ED7"/>
    <w:rsid w:val="007D1BA0"/>
    <w:rsid w:val="007F231C"/>
    <w:rsid w:val="008007B8"/>
    <w:rsid w:val="00801317"/>
    <w:rsid w:val="008924F3"/>
    <w:rsid w:val="008A2D85"/>
    <w:rsid w:val="008D2517"/>
    <w:rsid w:val="008E71E4"/>
    <w:rsid w:val="009156BC"/>
    <w:rsid w:val="00920C78"/>
    <w:rsid w:val="009417FA"/>
    <w:rsid w:val="0095057A"/>
    <w:rsid w:val="00962BD7"/>
    <w:rsid w:val="00963AC8"/>
    <w:rsid w:val="00967B7F"/>
    <w:rsid w:val="00994DA1"/>
    <w:rsid w:val="009B2FA8"/>
    <w:rsid w:val="009B7418"/>
    <w:rsid w:val="00A20C43"/>
    <w:rsid w:val="00A33DB8"/>
    <w:rsid w:val="00A56151"/>
    <w:rsid w:val="00A6726F"/>
    <w:rsid w:val="00A77CEF"/>
    <w:rsid w:val="00AA07EF"/>
    <w:rsid w:val="00B2085A"/>
    <w:rsid w:val="00B77A7A"/>
    <w:rsid w:val="00BD0ADC"/>
    <w:rsid w:val="00BF2B1C"/>
    <w:rsid w:val="00BF52DA"/>
    <w:rsid w:val="00BF7ACC"/>
    <w:rsid w:val="00C05273"/>
    <w:rsid w:val="00C134DF"/>
    <w:rsid w:val="00C81522"/>
    <w:rsid w:val="00CA725D"/>
    <w:rsid w:val="00CC4A97"/>
    <w:rsid w:val="00D36DE5"/>
    <w:rsid w:val="00D73F61"/>
    <w:rsid w:val="00D82E32"/>
    <w:rsid w:val="00DD62DA"/>
    <w:rsid w:val="00E15CDE"/>
    <w:rsid w:val="00E3187D"/>
    <w:rsid w:val="00E42860"/>
    <w:rsid w:val="00E67152"/>
    <w:rsid w:val="00E7661E"/>
    <w:rsid w:val="00E95C51"/>
    <w:rsid w:val="00F9674F"/>
    <w:rsid w:val="00FA0A28"/>
    <w:rsid w:val="00FB287C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57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5057A"/>
    <w:rPr>
      <w:rFonts w:eastAsiaTheme="minorEastAsia"/>
    </w:rPr>
  </w:style>
  <w:style w:type="paragraph" w:styleId="Title">
    <w:name w:val="Title"/>
    <w:basedOn w:val="Normal"/>
    <w:link w:val="TitleChar"/>
    <w:qFormat/>
    <w:rsid w:val="009505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057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505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8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8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DE"/>
  </w:style>
  <w:style w:type="character" w:customStyle="1" w:styleId="apple-converted-space">
    <w:name w:val="apple-converted-space"/>
    <w:basedOn w:val="DefaultParagraphFont"/>
    <w:rsid w:val="004D5359"/>
  </w:style>
  <w:style w:type="paragraph" w:styleId="BalloonText">
    <w:name w:val="Balloon Text"/>
    <w:basedOn w:val="Normal"/>
    <w:link w:val="BalloonTextChar"/>
    <w:uiPriority w:val="99"/>
    <w:semiHidden/>
    <w:unhideWhenUsed/>
    <w:rsid w:val="00A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57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5057A"/>
    <w:rPr>
      <w:rFonts w:eastAsiaTheme="minorEastAsia"/>
    </w:rPr>
  </w:style>
  <w:style w:type="paragraph" w:styleId="Title">
    <w:name w:val="Title"/>
    <w:basedOn w:val="Normal"/>
    <w:link w:val="TitleChar"/>
    <w:qFormat/>
    <w:rsid w:val="009505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057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505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8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8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DE"/>
  </w:style>
  <w:style w:type="character" w:customStyle="1" w:styleId="apple-converted-space">
    <w:name w:val="apple-converted-space"/>
    <w:basedOn w:val="DefaultParagraphFont"/>
    <w:rsid w:val="004D5359"/>
  </w:style>
  <w:style w:type="paragraph" w:styleId="BalloonText">
    <w:name w:val="Balloon Text"/>
    <w:basedOn w:val="Normal"/>
    <w:link w:val="BalloonTextChar"/>
    <w:uiPriority w:val="99"/>
    <w:semiHidden/>
    <w:unhideWhenUsed/>
    <w:rsid w:val="00A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986C-27E8-40C1-98FA-A1095B6F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IGS Energy, Inc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 Energy, Inc</dc:creator>
  <cp:lastModifiedBy>IGS Energy, Inc</cp:lastModifiedBy>
  <cp:revision>2</cp:revision>
  <cp:lastPrinted>2013-04-05T19:09:00Z</cp:lastPrinted>
  <dcterms:created xsi:type="dcterms:W3CDTF">2013-04-05T19:15:00Z</dcterms:created>
  <dcterms:modified xsi:type="dcterms:W3CDTF">2013-04-05T19:15:00Z</dcterms:modified>
</cp:coreProperties>
</file>