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BE740" w14:textId="20E7E0D6" w:rsidR="00663D6A" w:rsidRPr="002D54AC" w:rsidRDefault="00663D6A" w:rsidP="00663D6A">
      <w:pPr>
        <w:jc w:val="center"/>
        <w:rPr>
          <w:b/>
          <w:sz w:val="26"/>
          <w:szCs w:val="26"/>
        </w:rPr>
      </w:pPr>
      <w:bookmarkStart w:id="0" w:name="_GoBack"/>
      <w:bookmarkEnd w:id="0"/>
      <w:r w:rsidRPr="002D54AC">
        <w:rPr>
          <w:b/>
          <w:sz w:val="26"/>
          <w:szCs w:val="26"/>
        </w:rPr>
        <w:t>BEFORE</w:t>
      </w:r>
    </w:p>
    <w:p w14:paraId="76C33B91" w14:textId="77777777"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14:paraId="3AD12828" w14:textId="77777777" w:rsidR="00663D6A" w:rsidRDefault="00663D6A" w:rsidP="00663D6A">
      <w:pPr>
        <w:pStyle w:val="Title"/>
        <w:tabs>
          <w:tab w:val="left" w:pos="5130"/>
          <w:tab w:val="left" w:pos="5670"/>
        </w:tabs>
        <w:rPr>
          <w:rFonts w:ascii="Times New Roman" w:hAnsi="Times New Roman"/>
          <w:sz w:val="26"/>
          <w:szCs w:val="26"/>
        </w:rPr>
      </w:pPr>
    </w:p>
    <w:p w14:paraId="04FE5163" w14:textId="77777777" w:rsidR="003B12DD" w:rsidRDefault="003B12DD" w:rsidP="00663D6A">
      <w:pPr>
        <w:pStyle w:val="Title"/>
        <w:tabs>
          <w:tab w:val="left" w:pos="5130"/>
          <w:tab w:val="left" w:pos="5670"/>
        </w:tabs>
        <w:rPr>
          <w:rFonts w:ascii="Times New Roman" w:hAnsi="Times New Roman"/>
          <w:sz w:val="26"/>
          <w:szCs w:val="26"/>
        </w:rPr>
      </w:pPr>
    </w:p>
    <w:p w14:paraId="2B85080D" w14:textId="77777777"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25"/>
        <w:gridCol w:w="289"/>
        <w:gridCol w:w="4546"/>
      </w:tblGrid>
      <w:tr w:rsidR="00663D6A" w14:paraId="7312CE78" w14:textId="77777777" w:rsidTr="00221496">
        <w:tc>
          <w:tcPr>
            <w:tcW w:w="4698" w:type="dxa"/>
          </w:tcPr>
          <w:p w14:paraId="2992A055" w14:textId="1C24FC4D"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B94356">
              <w:rPr>
                <w:rFonts w:ascii="Times New Roman" w:hAnsi="Times New Roman"/>
                <w:sz w:val="26"/>
                <w:szCs w:val="26"/>
              </w:rPr>
              <w:t xml:space="preserve"> Thomas Overturf, Notice of Apparent Violation and Intent to Assess Forfeiture.</w:t>
            </w:r>
          </w:p>
        </w:tc>
        <w:tc>
          <w:tcPr>
            <w:tcW w:w="270" w:type="dxa"/>
          </w:tcPr>
          <w:p w14:paraId="791DACE6" w14:textId="77777777"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027EF376" w14:textId="77777777"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5B4EABBD" w14:textId="77777777" w:rsidR="001A5C2F"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14:paraId="741F6280" w14:textId="77777777"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B94356">
              <w:rPr>
                <w:rFonts w:ascii="Times New Roman" w:hAnsi="Times New Roman"/>
                <w:sz w:val="26"/>
                <w:szCs w:val="26"/>
              </w:rPr>
              <w:t>15-359-TR-CVF</w:t>
            </w:r>
            <w:r w:rsidR="00B94356">
              <w:rPr>
                <w:rFonts w:ascii="Times New Roman" w:hAnsi="Times New Roman"/>
                <w:sz w:val="26"/>
                <w:szCs w:val="26"/>
              </w:rPr>
              <w:br/>
            </w:r>
            <w:r w:rsidR="00B94356">
              <w:rPr>
                <w:rFonts w:ascii="Times New Roman" w:hAnsi="Times New Roman"/>
                <w:sz w:val="26"/>
                <w:szCs w:val="26"/>
              </w:rPr>
              <w:tab/>
              <w:t>(OH0616002692D)</w:t>
            </w:r>
          </w:p>
        </w:tc>
      </w:tr>
    </w:tbl>
    <w:p w14:paraId="3387C91B" w14:textId="77777777" w:rsidR="00663D6A" w:rsidRPr="002D54AC" w:rsidRDefault="00663D6A" w:rsidP="00663D6A">
      <w:pPr>
        <w:pStyle w:val="Title"/>
        <w:tabs>
          <w:tab w:val="left" w:pos="5130"/>
          <w:tab w:val="left" w:pos="5670"/>
        </w:tabs>
        <w:rPr>
          <w:rFonts w:ascii="Times New Roman" w:hAnsi="Times New Roman"/>
          <w:sz w:val="26"/>
          <w:szCs w:val="26"/>
        </w:rPr>
      </w:pPr>
    </w:p>
    <w:p w14:paraId="7B3ADFDB" w14:textId="77777777" w:rsidR="00663D6A" w:rsidRDefault="00663D6A" w:rsidP="00663D6A">
      <w:pPr>
        <w:pStyle w:val="Title"/>
        <w:tabs>
          <w:tab w:val="left" w:pos="5130"/>
          <w:tab w:val="left" w:pos="5670"/>
        </w:tabs>
        <w:jc w:val="left"/>
        <w:rPr>
          <w:rFonts w:ascii="Times New Roman" w:hAnsi="Times New Roman"/>
          <w:sz w:val="26"/>
          <w:szCs w:val="26"/>
        </w:rPr>
      </w:pPr>
    </w:p>
    <w:p w14:paraId="1CAAC69A" w14:textId="77777777" w:rsidR="003B12DD" w:rsidRDefault="003B12DD" w:rsidP="00663D6A">
      <w:pPr>
        <w:pStyle w:val="Title"/>
        <w:tabs>
          <w:tab w:val="left" w:pos="5130"/>
          <w:tab w:val="left" w:pos="5670"/>
        </w:tabs>
        <w:jc w:val="left"/>
        <w:rPr>
          <w:rFonts w:ascii="Times New Roman" w:hAnsi="Times New Roman"/>
          <w:sz w:val="26"/>
          <w:szCs w:val="26"/>
        </w:rPr>
      </w:pPr>
    </w:p>
    <w:p w14:paraId="5E91C71A" w14:textId="77777777" w:rsidR="00E10679" w:rsidRDefault="00E10679" w:rsidP="00663D6A">
      <w:pPr>
        <w:pStyle w:val="Title"/>
        <w:tabs>
          <w:tab w:val="left" w:pos="5130"/>
          <w:tab w:val="left" w:pos="5670"/>
        </w:tabs>
        <w:jc w:val="left"/>
        <w:rPr>
          <w:rFonts w:ascii="Times New Roman" w:hAnsi="Times New Roman"/>
          <w:sz w:val="26"/>
          <w:szCs w:val="26"/>
        </w:rPr>
      </w:pPr>
    </w:p>
    <w:p w14:paraId="19902363" w14:textId="77777777" w:rsidR="00E10679" w:rsidRDefault="00E10679" w:rsidP="00663D6A">
      <w:pPr>
        <w:pStyle w:val="Title"/>
        <w:tabs>
          <w:tab w:val="left" w:pos="5130"/>
          <w:tab w:val="left" w:pos="5670"/>
        </w:tabs>
        <w:jc w:val="left"/>
        <w:rPr>
          <w:rFonts w:ascii="Times New Roman" w:hAnsi="Times New Roman"/>
          <w:sz w:val="26"/>
          <w:szCs w:val="26"/>
        </w:rPr>
      </w:pPr>
    </w:p>
    <w:p w14:paraId="49AA58DE" w14:textId="77777777" w:rsidR="003B12DD" w:rsidRDefault="003B12DD" w:rsidP="00663D6A">
      <w:pPr>
        <w:pStyle w:val="Title"/>
        <w:tabs>
          <w:tab w:val="left" w:pos="5130"/>
          <w:tab w:val="left" w:pos="5670"/>
        </w:tabs>
        <w:jc w:val="left"/>
        <w:rPr>
          <w:rFonts w:ascii="Times New Roman" w:hAnsi="Times New Roman"/>
          <w:sz w:val="26"/>
          <w:szCs w:val="26"/>
        </w:rPr>
      </w:pPr>
    </w:p>
    <w:p w14:paraId="27201690" w14:textId="77777777"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150E6AF5" w14:textId="77777777" w:rsidR="00E10679" w:rsidRPr="00E10679" w:rsidRDefault="00E10679" w:rsidP="00E10679">
      <w:pPr>
        <w:pStyle w:val="Title"/>
        <w:tabs>
          <w:tab w:val="left" w:pos="9360"/>
        </w:tabs>
        <w:rPr>
          <w:rFonts w:ascii="Times New Roman" w:hAnsi="Times New Roman"/>
          <w:b/>
          <w:sz w:val="32"/>
          <w:szCs w:val="32"/>
        </w:rPr>
      </w:pPr>
      <w:r>
        <w:rPr>
          <w:rFonts w:ascii="Times New Roman" w:hAnsi="Times New Roman"/>
          <w:b/>
          <w:sz w:val="32"/>
          <w:szCs w:val="32"/>
        </w:rPr>
        <w:t>POST-HEARING BRIEF</w:t>
      </w:r>
    </w:p>
    <w:p w14:paraId="6529E7E8" w14:textId="77777777" w:rsidR="00663D6A" w:rsidRPr="00AC6EB1" w:rsidRDefault="00663D6A" w:rsidP="00AC6EB1">
      <w:pPr>
        <w:jc w:val="center"/>
        <w:rPr>
          <w:b/>
          <w:sz w:val="28"/>
          <w:szCs w:val="28"/>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sidRPr="00AC6EB1">
        <w:rPr>
          <w:b/>
          <w:sz w:val="28"/>
          <w:szCs w:val="28"/>
        </w:rPr>
        <w:t>SUBMITTED ON BEHALF OF THE STAFF OF</w:t>
      </w:r>
      <w:bookmarkEnd w:id="1"/>
      <w:bookmarkEnd w:id="2"/>
      <w:bookmarkEnd w:id="3"/>
      <w:bookmarkEnd w:id="4"/>
      <w:bookmarkEnd w:id="5"/>
      <w:bookmarkEnd w:id="6"/>
      <w:bookmarkEnd w:id="7"/>
    </w:p>
    <w:p w14:paraId="13B2A43F" w14:textId="77777777" w:rsidR="00663D6A" w:rsidRPr="00AC6EB1" w:rsidRDefault="00663D6A" w:rsidP="00AC6EB1">
      <w:pPr>
        <w:jc w:val="center"/>
        <w:rPr>
          <w:b/>
          <w:sz w:val="28"/>
          <w:szCs w:val="28"/>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AC6EB1">
        <w:rPr>
          <w:b/>
          <w:sz w:val="28"/>
          <w:szCs w:val="28"/>
        </w:rPr>
        <w:t>THE PUBLIC UTILITIES COMMISSION OF OHIO</w:t>
      </w:r>
      <w:bookmarkEnd w:id="8"/>
      <w:bookmarkEnd w:id="9"/>
      <w:bookmarkEnd w:id="10"/>
      <w:bookmarkEnd w:id="11"/>
      <w:bookmarkEnd w:id="12"/>
      <w:bookmarkEnd w:id="13"/>
      <w:bookmarkEnd w:id="14"/>
    </w:p>
    <w:p w14:paraId="4753CD1E" w14:textId="77777777"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74F0D5A1" w14:textId="77777777" w:rsidR="00E10679" w:rsidRPr="002D54AC" w:rsidRDefault="00E10679" w:rsidP="00663D6A">
      <w:pPr>
        <w:pStyle w:val="PlainText"/>
        <w:jc w:val="center"/>
        <w:outlineLvl w:val="0"/>
        <w:rPr>
          <w:rFonts w:ascii="Times New Roman" w:hAnsi="Times New Roman"/>
          <w:sz w:val="26"/>
          <w:szCs w:val="26"/>
        </w:rPr>
      </w:pPr>
    </w:p>
    <w:p w14:paraId="56408A9B" w14:textId="77777777"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14:paraId="051245BD"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14:paraId="290A0694" w14:textId="77777777" w:rsidR="00E10679" w:rsidRDefault="00E10679" w:rsidP="00E10679">
      <w:pPr>
        <w:pStyle w:val="Title"/>
        <w:tabs>
          <w:tab w:val="left" w:pos="4320"/>
        </w:tabs>
        <w:jc w:val="left"/>
        <w:rPr>
          <w:rFonts w:ascii="Times New Roman" w:hAnsi="Times New Roman"/>
          <w:sz w:val="26"/>
          <w:szCs w:val="26"/>
        </w:rPr>
      </w:pPr>
    </w:p>
    <w:p w14:paraId="00AB27F9"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14:paraId="41292485"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14:paraId="35E66630" w14:textId="12741483" w:rsidR="00E10679" w:rsidRPr="00B94356" w:rsidRDefault="00E10679" w:rsidP="00E10679">
      <w:pPr>
        <w:pStyle w:val="Title"/>
        <w:tabs>
          <w:tab w:val="left" w:pos="4320"/>
        </w:tabs>
        <w:jc w:val="left"/>
        <w:rPr>
          <w:rFonts w:ascii="Times New Roman" w:hAnsi="Times New Roman"/>
          <w:b/>
          <w:sz w:val="26"/>
          <w:szCs w:val="26"/>
        </w:rPr>
      </w:pPr>
    </w:p>
    <w:p w14:paraId="62EB1E4B" w14:textId="086E55EA" w:rsidR="00B94356" w:rsidRDefault="00124351" w:rsidP="00E10679">
      <w:pPr>
        <w:pStyle w:val="Title"/>
        <w:tabs>
          <w:tab w:val="left" w:pos="4320"/>
        </w:tabs>
        <w:jc w:val="left"/>
        <w:rPr>
          <w:rFonts w:ascii="Times New Roman" w:hAnsi="Times New Roman"/>
          <w:b/>
          <w:sz w:val="26"/>
          <w:szCs w:val="26"/>
        </w:rPr>
      </w:pPr>
      <w:r>
        <w:rPr>
          <w:rFonts w:ascii="Times New Roman" w:hAnsi="Times New Roman"/>
          <w:b/>
          <w:sz w:val="26"/>
          <w:szCs w:val="26"/>
        </w:rPr>
        <w:tab/>
        <w:t xml:space="preserve">Natalia </w:t>
      </w:r>
      <w:r w:rsidR="00B94356" w:rsidRPr="00B94356">
        <w:rPr>
          <w:rFonts w:ascii="Times New Roman" w:hAnsi="Times New Roman"/>
          <w:b/>
          <w:sz w:val="26"/>
          <w:szCs w:val="26"/>
        </w:rPr>
        <w:t>Messenger</w:t>
      </w:r>
    </w:p>
    <w:p w14:paraId="0A439672" w14:textId="41F7CE0C" w:rsidR="0099695A" w:rsidRPr="00B94356" w:rsidRDefault="0099695A" w:rsidP="00E10679">
      <w:pPr>
        <w:pStyle w:val="Title"/>
        <w:tabs>
          <w:tab w:val="left" w:pos="4320"/>
        </w:tabs>
        <w:jc w:val="left"/>
        <w:rPr>
          <w:rFonts w:ascii="Times New Roman" w:hAnsi="Times New Roman"/>
          <w:b/>
          <w:sz w:val="26"/>
          <w:szCs w:val="26"/>
        </w:rPr>
      </w:pPr>
      <w:r>
        <w:rPr>
          <w:rFonts w:ascii="Times New Roman" w:hAnsi="Times New Roman"/>
          <w:b/>
          <w:sz w:val="26"/>
          <w:szCs w:val="26"/>
        </w:rPr>
        <w:tab/>
      </w:r>
      <w:r w:rsidRPr="00B94356">
        <w:rPr>
          <w:rFonts w:ascii="Times New Roman" w:hAnsi="Times New Roman"/>
          <w:b/>
          <w:sz w:val="26"/>
          <w:szCs w:val="26"/>
        </w:rPr>
        <w:t>John H. Jones</w:t>
      </w:r>
    </w:p>
    <w:p w14:paraId="70F621CC"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Pr>
          <w:rFonts w:ascii="Times New Roman" w:hAnsi="Times New Roman"/>
          <w:sz w:val="26"/>
          <w:szCs w:val="26"/>
        </w:rPr>
        <w:t xml:space="preserve"> Attorneys General</w:t>
      </w:r>
    </w:p>
    <w:p w14:paraId="2D7B874C"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14:paraId="77022F92"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14:paraId="29E7E063"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14:paraId="3F98029E"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14:paraId="45A93A45"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14:paraId="082D3EDD" w14:textId="77777777" w:rsidR="00E10679" w:rsidRPr="00B94356" w:rsidRDefault="00E10679" w:rsidP="00B94356">
      <w:pPr>
        <w:pStyle w:val="Title"/>
        <w:tabs>
          <w:tab w:val="left" w:pos="4320"/>
        </w:tabs>
        <w:jc w:val="left"/>
        <w:rPr>
          <w:rFonts w:ascii="Times New Roman" w:hAnsi="Times New Roman"/>
          <w:sz w:val="26"/>
          <w:szCs w:val="26"/>
        </w:rPr>
      </w:pPr>
      <w:r w:rsidRPr="00B94356">
        <w:rPr>
          <w:rFonts w:ascii="Times New Roman" w:hAnsi="Times New Roman"/>
          <w:sz w:val="26"/>
          <w:szCs w:val="26"/>
        </w:rPr>
        <w:tab/>
      </w:r>
      <w:hyperlink r:id="rId8" w:history="1">
        <w:r w:rsidR="00B94356" w:rsidRPr="00233C66">
          <w:rPr>
            <w:rStyle w:val="Hyperlink"/>
            <w:rFonts w:ascii="Times New Roman" w:hAnsi="Times New Roman"/>
            <w:sz w:val="26"/>
            <w:szCs w:val="26"/>
          </w:rPr>
          <w:t>john.jones@puc.state.oh.us</w:t>
        </w:r>
      </w:hyperlink>
    </w:p>
    <w:p w14:paraId="4AD156F0" w14:textId="77777777" w:rsidR="00B94356" w:rsidRPr="00B94356" w:rsidRDefault="00B94356" w:rsidP="00B94356">
      <w:pPr>
        <w:pStyle w:val="Title"/>
        <w:tabs>
          <w:tab w:val="left" w:pos="4320"/>
        </w:tabs>
        <w:jc w:val="left"/>
        <w:rPr>
          <w:rFonts w:ascii="Times New Roman" w:hAnsi="Times New Roman"/>
          <w:sz w:val="26"/>
          <w:szCs w:val="26"/>
        </w:rPr>
      </w:pPr>
      <w:r w:rsidRPr="00B94356">
        <w:rPr>
          <w:rFonts w:ascii="Times New Roman" w:hAnsi="Times New Roman"/>
          <w:sz w:val="26"/>
          <w:szCs w:val="26"/>
        </w:rPr>
        <w:tab/>
      </w:r>
      <w:hyperlink r:id="rId9" w:history="1">
        <w:r w:rsidR="00AC6EB1" w:rsidRPr="00233C66">
          <w:rPr>
            <w:rStyle w:val="Hyperlink"/>
            <w:rFonts w:ascii="Times New Roman" w:hAnsi="Times New Roman"/>
            <w:sz w:val="26"/>
            <w:szCs w:val="26"/>
          </w:rPr>
          <w:t>natalia.messenger@puc.state.oh.us</w:t>
        </w:r>
      </w:hyperlink>
    </w:p>
    <w:p w14:paraId="5C0106EF" w14:textId="77777777" w:rsidR="00B94356" w:rsidRDefault="00B94356" w:rsidP="00B94356">
      <w:pPr>
        <w:pStyle w:val="Title"/>
        <w:tabs>
          <w:tab w:val="left" w:pos="4320"/>
        </w:tabs>
        <w:jc w:val="left"/>
        <w:rPr>
          <w:rFonts w:ascii="Times New Roman" w:hAnsi="Times New Roman"/>
          <w:sz w:val="26"/>
          <w:szCs w:val="26"/>
        </w:rPr>
      </w:pPr>
    </w:p>
    <w:p w14:paraId="2E73DF2F" w14:textId="77777777" w:rsidR="00BF185A" w:rsidRDefault="00BF185A" w:rsidP="00B94356">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On behalf of the Staff of</w:t>
      </w:r>
    </w:p>
    <w:p w14:paraId="2E45D82E" w14:textId="77777777" w:rsidR="00BF185A" w:rsidRPr="00BF185A" w:rsidRDefault="00BF185A" w:rsidP="00B94356">
      <w:pPr>
        <w:pStyle w:val="Title"/>
        <w:tabs>
          <w:tab w:val="left" w:pos="4320"/>
        </w:tabs>
        <w:jc w:val="left"/>
        <w:rPr>
          <w:rFonts w:ascii="Times New Roman" w:hAnsi="Times New Roman"/>
          <w:b/>
          <w:sz w:val="26"/>
          <w:szCs w:val="26"/>
        </w:rPr>
      </w:pPr>
      <w:r>
        <w:rPr>
          <w:rFonts w:ascii="Times New Roman" w:hAnsi="Times New Roman"/>
          <w:b/>
          <w:sz w:val="26"/>
          <w:szCs w:val="26"/>
        </w:rPr>
        <w:tab/>
        <w:t>The Public Utilities Commission of Ohio</w:t>
      </w:r>
    </w:p>
    <w:p w14:paraId="488328D6" w14:textId="77777777" w:rsidR="00E10679" w:rsidRPr="00E10679" w:rsidRDefault="00E10679" w:rsidP="00E10679">
      <w:pPr>
        <w:pStyle w:val="Title"/>
        <w:tabs>
          <w:tab w:val="left" w:pos="4320"/>
        </w:tabs>
        <w:jc w:val="left"/>
        <w:rPr>
          <w:rFonts w:ascii="Times New Roman" w:hAnsi="Times New Roman"/>
          <w:sz w:val="26"/>
          <w:szCs w:val="26"/>
        </w:rPr>
      </w:pPr>
    </w:p>
    <w:p w14:paraId="6AC2888F" w14:textId="77777777" w:rsidR="003B12DD" w:rsidRPr="0019171B" w:rsidRDefault="00B94356" w:rsidP="0019171B">
      <w:pPr>
        <w:pStyle w:val="PlainText"/>
        <w:rPr>
          <w:rFonts w:ascii="Times New Roman" w:hAnsi="Times New Roman"/>
          <w:sz w:val="26"/>
          <w:szCs w:val="26"/>
        </w:rPr>
        <w:sectPr w:rsidR="003B12DD" w:rsidRPr="0019171B" w:rsidSect="003B12DD">
          <w:headerReference w:type="default" r:id="rId10"/>
          <w:footerReference w:type="default" r:id="rId11"/>
          <w:pgSz w:w="12240" w:h="15840" w:code="1"/>
          <w:pgMar w:top="1440" w:right="1440" w:bottom="1440" w:left="1440" w:header="720" w:footer="720" w:gutter="0"/>
          <w:pgNumType w:fmt="lowerRoman" w:start="1"/>
          <w:cols w:space="720"/>
          <w:titlePg/>
          <w:docGrid w:linePitch="360"/>
        </w:sectPr>
      </w:pPr>
      <w:r>
        <w:rPr>
          <w:rFonts w:ascii="Times New Roman" w:hAnsi="Times New Roman"/>
          <w:sz w:val="26"/>
          <w:szCs w:val="26"/>
        </w:rPr>
        <w:t>June 26, 2015</w:t>
      </w:r>
    </w:p>
    <w:p w14:paraId="5BD8519B" w14:textId="77777777" w:rsidR="00105C77" w:rsidRDefault="00BF0931">
      <w:pPr>
        <w:pStyle w:val="TOC1"/>
        <w:rPr>
          <w:rFonts w:asciiTheme="minorHAnsi" w:eastAsiaTheme="minorEastAsia" w:hAnsiTheme="minorHAnsi" w:cstheme="minorBidi"/>
          <w:noProof/>
          <w:sz w:val="22"/>
          <w:szCs w:val="22"/>
        </w:rPr>
      </w:pPr>
      <w:r>
        <w:rPr>
          <w:b/>
          <w:i/>
          <w:sz w:val="28"/>
          <w:szCs w:val="28"/>
          <w:u w:val="single"/>
        </w:rPr>
        <w:lastRenderedPageBreak/>
        <w:fldChar w:fldCharType="begin"/>
      </w:r>
      <w:r w:rsidR="00C95499" w:rsidRPr="00944CBC">
        <w:rPr>
          <w:b/>
          <w:i/>
          <w:sz w:val="28"/>
          <w:szCs w:val="28"/>
          <w:u w:val="single"/>
        </w:rPr>
        <w:instrText xml:space="preserve"> TOC \o "1-3" \u </w:instrText>
      </w:r>
      <w:r>
        <w:rPr>
          <w:b/>
          <w:i/>
          <w:sz w:val="28"/>
          <w:szCs w:val="28"/>
          <w:u w:val="single"/>
        </w:rPr>
        <w:fldChar w:fldCharType="separate"/>
      </w:r>
      <w:r w:rsidR="00105C77">
        <w:rPr>
          <w:noProof/>
        </w:rPr>
        <w:t>INTRODUCTION</w:t>
      </w:r>
      <w:r w:rsidR="00105C77">
        <w:rPr>
          <w:noProof/>
        </w:rPr>
        <w:tab/>
      </w:r>
      <w:r w:rsidR="00105C77">
        <w:rPr>
          <w:noProof/>
        </w:rPr>
        <w:fldChar w:fldCharType="begin"/>
      </w:r>
      <w:r w:rsidR="00105C77">
        <w:rPr>
          <w:noProof/>
        </w:rPr>
        <w:instrText xml:space="preserve"> PAGEREF _Toc423094199 \h </w:instrText>
      </w:r>
      <w:r w:rsidR="00105C77">
        <w:rPr>
          <w:noProof/>
        </w:rPr>
      </w:r>
      <w:r w:rsidR="00105C77">
        <w:rPr>
          <w:noProof/>
        </w:rPr>
        <w:fldChar w:fldCharType="separate"/>
      </w:r>
      <w:r w:rsidR="00F16727">
        <w:rPr>
          <w:noProof/>
        </w:rPr>
        <w:t>1</w:t>
      </w:r>
      <w:r w:rsidR="00105C77">
        <w:rPr>
          <w:noProof/>
        </w:rPr>
        <w:fldChar w:fldCharType="end"/>
      </w:r>
    </w:p>
    <w:p w14:paraId="14BF7BAE" w14:textId="77777777" w:rsidR="00105C77" w:rsidRDefault="00105C77">
      <w:pPr>
        <w:pStyle w:val="TOC1"/>
        <w:rPr>
          <w:rFonts w:asciiTheme="minorHAnsi" w:eastAsiaTheme="minorEastAsia" w:hAnsiTheme="minorHAnsi" w:cstheme="minorBidi"/>
          <w:noProof/>
          <w:sz w:val="22"/>
          <w:szCs w:val="22"/>
        </w:rPr>
      </w:pPr>
      <w:r>
        <w:rPr>
          <w:noProof/>
        </w:rPr>
        <w:t>STATEMENT OF THE FACTS</w:t>
      </w:r>
      <w:r>
        <w:rPr>
          <w:noProof/>
        </w:rPr>
        <w:tab/>
      </w:r>
      <w:r>
        <w:rPr>
          <w:noProof/>
        </w:rPr>
        <w:fldChar w:fldCharType="begin"/>
      </w:r>
      <w:r>
        <w:rPr>
          <w:noProof/>
        </w:rPr>
        <w:instrText xml:space="preserve"> PAGEREF _Toc423094200 \h </w:instrText>
      </w:r>
      <w:r>
        <w:rPr>
          <w:noProof/>
        </w:rPr>
      </w:r>
      <w:r>
        <w:rPr>
          <w:noProof/>
        </w:rPr>
        <w:fldChar w:fldCharType="separate"/>
      </w:r>
      <w:r w:rsidR="00F16727">
        <w:rPr>
          <w:noProof/>
        </w:rPr>
        <w:t>3</w:t>
      </w:r>
      <w:r>
        <w:rPr>
          <w:noProof/>
        </w:rPr>
        <w:fldChar w:fldCharType="end"/>
      </w:r>
    </w:p>
    <w:p w14:paraId="10F889EC" w14:textId="77777777" w:rsidR="00105C77" w:rsidRDefault="00105C77">
      <w:pPr>
        <w:pStyle w:val="TOC2"/>
        <w:tabs>
          <w:tab w:val="left" w:pos="144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Procedural History</w:t>
      </w:r>
      <w:r>
        <w:rPr>
          <w:noProof/>
        </w:rPr>
        <w:tab/>
      </w:r>
      <w:r>
        <w:rPr>
          <w:noProof/>
        </w:rPr>
        <w:fldChar w:fldCharType="begin"/>
      </w:r>
      <w:r>
        <w:rPr>
          <w:noProof/>
        </w:rPr>
        <w:instrText xml:space="preserve"> PAGEREF _Toc423094201 \h </w:instrText>
      </w:r>
      <w:r>
        <w:rPr>
          <w:noProof/>
        </w:rPr>
      </w:r>
      <w:r>
        <w:rPr>
          <w:noProof/>
        </w:rPr>
        <w:fldChar w:fldCharType="separate"/>
      </w:r>
      <w:r w:rsidR="00F16727">
        <w:rPr>
          <w:noProof/>
        </w:rPr>
        <w:t>3</w:t>
      </w:r>
      <w:r>
        <w:rPr>
          <w:noProof/>
        </w:rPr>
        <w:fldChar w:fldCharType="end"/>
      </w:r>
    </w:p>
    <w:p w14:paraId="29CFCFB1" w14:textId="77777777" w:rsidR="00105C77" w:rsidRDefault="00105C77">
      <w:pPr>
        <w:pStyle w:val="TOC2"/>
        <w:tabs>
          <w:tab w:val="left" w:pos="144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Factual Background</w:t>
      </w:r>
      <w:r>
        <w:rPr>
          <w:noProof/>
        </w:rPr>
        <w:tab/>
      </w:r>
      <w:r>
        <w:rPr>
          <w:noProof/>
        </w:rPr>
        <w:fldChar w:fldCharType="begin"/>
      </w:r>
      <w:r>
        <w:rPr>
          <w:noProof/>
        </w:rPr>
        <w:instrText xml:space="preserve"> PAGEREF _Toc423094202 \h </w:instrText>
      </w:r>
      <w:r>
        <w:rPr>
          <w:noProof/>
        </w:rPr>
      </w:r>
      <w:r>
        <w:rPr>
          <w:noProof/>
        </w:rPr>
        <w:fldChar w:fldCharType="separate"/>
      </w:r>
      <w:r w:rsidR="00F16727">
        <w:rPr>
          <w:noProof/>
        </w:rPr>
        <w:t>3</w:t>
      </w:r>
      <w:r>
        <w:rPr>
          <w:noProof/>
        </w:rPr>
        <w:fldChar w:fldCharType="end"/>
      </w:r>
    </w:p>
    <w:p w14:paraId="245F928B" w14:textId="77777777" w:rsidR="00105C77" w:rsidRDefault="00105C77">
      <w:pPr>
        <w:pStyle w:val="TOC1"/>
        <w:rPr>
          <w:rFonts w:asciiTheme="minorHAnsi" w:eastAsiaTheme="minorEastAsia" w:hAnsiTheme="minorHAnsi" w:cstheme="minorBidi"/>
          <w:noProof/>
          <w:sz w:val="22"/>
          <w:szCs w:val="22"/>
        </w:rPr>
      </w:pPr>
      <w:r>
        <w:rPr>
          <w:noProof/>
        </w:rPr>
        <w:t>LAW AND DISCUSSION</w:t>
      </w:r>
      <w:r>
        <w:rPr>
          <w:noProof/>
        </w:rPr>
        <w:tab/>
      </w:r>
      <w:r>
        <w:rPr>
          <w:noProof/>
        </w:rPr>
        <w:fldChar w:fldCharType="begin"/>
      </w:r>
      <w:r>
        <w:rPr>
          <w:noProof/>
        </w:rPr>
        <w:instrText xml:space="preserve"> PAGEREF _Toc423094203 \h </w:instrText>
      </w:r>
      <w:r>
        <w:rPr>
          <w:noProof/>
        </w:rPr>
      </w:r>
      <w:r>
        <w:rPr>
          <w:noProof/>
        </w:rPr>
        <w:fldChar w:fldCharType="separate"/>
      </w:r>
      <w:r w:rsidR="00F16727">
        <w:rPr>
          <w:noProof/>
        </w:rPr>
        <w:t>5</w:t>
      </w:r>
      <w:r>
        <w:rPr>
          <w:noProof/>
        </w:rPr>
        <w:fldChar w:fldCharType="end"/>
      </w:r>
    </w:p>
    <w:p w14:paraId="01859ECA" w14:textId="77777777" w:rsidR="00105C77" w:rsidRDefault="00105C77">
      <w:pPr>
        <w:pStyle w:val="TOC2"/>
        <w:tabs>
          <w:tab w:val="left" w:pos="144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Respondent violated 49 C.F.R. 395.8 because he did not have a record of duty status for October 29, 2014 while traveling from Middlefield, Ohio to Columbus, Ohio.</w:t>
      </w:r>
      <w:r>
        <w:rPr>
          <w:noProof/>
        </w:rPr>
        <w:tab/>
      </w:r>
      <w:r>
        <w:rPr>
          <w:noProof/>
        </w:rPr>
        <w:fldChar w:fldCharType="begin"/>
      </w:r>
      <w:r>
        <w:rPr>
          <w:noProof/>
        </w:rPr>
        <w:instrText xml:space="preserve"> PAGEREF _Toc423094204 \h </w:instrText>
      </w:r>
      <w:r>
        <w:rPr>
          <w:noProof/>
        </w:rPr>
      </w:r>
      <w:r>
        <w:rPr>
          <w:noProof/>
        </w:rPr>
        <w:fldChar w:fldCharType="separate"/>
      </w:r>
      <w:r w:rsidR="00F16727">
        <w:rPr>
          <w:noProof/>
        </w:rPr>
        <w:t>6</w:t>
      </w:r>
      <w:r>
        <w:rPr>
          <w:noProof/>
        </w:rPr>
        <w:fldChar w:fldCharType="end"/>
      </w:r>
    </w:p>
    <w:p w14:paraId="7E295903" w14:textId="77777777" w:rsidR="00105C77" w:rsidRDefault="00105C77">
      <w:pPr>
        <w:pStyle w:val="TOC2"/>
        <w:tabs>
          <w:tab w:val="left" w:pos="144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Respondent’s trip to Columbus on October 29, 2014 does not qualify for the 100 air-mile radius exemption under 49 C.F.R. 395.1(e)(1)(i) because the distance between his origin and destination exceeds 100 air miles.</w:t>
      </w:r>
      <w:r>
        <w:rPr>
          <w:noProof/>
        </w:rPr>
        <w:tab/>
      </w:r>
      <w:r>
        <w:rPr>
          <w:noProof/>
        </w:rPr>
        <w:fldChar w:fldCharType="begin"/>
      </w:r>
      <w:r>
        <w:rPr>
          <w:noProof/>
        </w:rPr>
        <w:instrText xml:space="preserve"> PAGEREF _Toc423094205 \h </w:instrText>
      </w:r>
      <w:r>
        <w:rPr>
          <w:noProof/>
        </w:rPr>
      </w:r>
      <w:r>
        <w:rPr>
          <w:noProof/>
        </w:rPr>
        <w:fldChar w:fldCharType="separate"/>
      </w:r>
      <w:r w:rsidR="00F16727">
        <w:rPr>
          <w:noProof/>
        </w:rPr>
        <w:t>6</w:t>
      </w:r>
      <w:r>
        <w:rPr>
          <w:noProof/>
        </w:rPr>
        <w:fldChar w:fldCharType="end"/>
      </w:r>
    </w:p>
    <w:p w14:paraId="1348B9AF" w14:textId="77777777" w:rsidR="00105C77" w:rsidRDefault="00105C77">
      <w:pPr>
        <w:pStyle w:val="TOC2"/>
        <w:tabs>
          <w:tab w:val="left" w:pos="144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Respondent violated 395.8 because he did not have a record of duty status for October 28, 2014 when he traveled from Middlefield, Ohio to Columbus, Ohio.</w:t>
      </w:r>
      <w:r>
        <w:rPr>
          <w:noProof/>
        </w:rPr>
        <w:tab/>
      </w:r>
      <w:r>
        <w:rPr>
          <w:noProof/>
        </w:rPr>
        <w:fldChar w:fldCharType="begin"/>
      </w:r>
      <w:r>
        <w:rPr>
          <w:noProof/>
        </w:rPr>
        <w:instrText xml:space="preserve"> PAGEREF _Toc423094206 \h </w:instrText>
      </w:r>
      <w:r>
        <w:rPr>
          <w:noProof/>
        </w:rPr>
      </w:r>
      <w:r>
        <w:rPr>
          <w:noProof/>
        </w:rPr>
        <w:fldChar w:fldCharType="separate"/>
      </w:r>
      <w:r w:rsidR="00F16727">
        <w:rPr>
          <w:noProof/>
        </w:rPr>
        <w:t>9</w:t>
      </w:r>
      <w:r>
        <w:rPr>
          <w:noProof/>
        </w:rPr>
        <w:fldChar w:fldCharType="end"/>
      </w:r>
    </w:p>
    <w:p w14:paraId="68083BAC" w14:textId="77777777" w:rsidR="00105C77" w:rsidRDefault="00105C77">
      <w:pPr>
        <w:pStyle w:val="TOC2"/>
        <w:tabs>
          <w:tab w:val="left" w:pos="144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The Commission has authority to assess civil forfeitures.</w:t>
      </w:r>
      <w:r>
        <w:rPr>
          <w:noProof/>
        </w:rPr>
        <w:tab/>
      </w:r>
      <w:r>
        <w:rPr>
          <w:noProof/>
        </w:rPr>
        <w:fldChar w:fldCharType="begin"/>
      </w:r>
      <w:r>
        <w:rPr>
          <w:noProof/>
        </w:rPr>
        <w:instrText xml:space="preserve"> PAGEREF _Toc423094207 \h </w:instrText>
      </w:r>
      <w:r>
        <w:rPr>
          <w:noProof/>
        </w:rPr>
      </w:r>
      <w:r>
        <w:rPr>
          <w:noProof/>
        </w:rPr>
        <w:fldChar w:fldCharType="separate"/>
      </w:r>
      <w:r w:rsidR="00F16727">
        <w:rPr>
          <w:noProof/>
        </w:rPr>
        <w:t>10</w:t>
      </w:r>
      <w:r>
        <w:rPr>
          <w:noProof/>
        </w:rPr>
        <w:fldChar w:fldCharType="end"/>
      </w:r>
    </w:p>
    <w:p w14:paraId="1EE6322B" w14:textId="77777777" w:rsidR="00105C77" w:rsidRDefault="00105C77">
      <w:pPr>
        <w:pStyle w:val="TOC1"/>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_Toc423094208 \h </w:instrText>
      </w:r>
      <w:r>
        <w:rPr>
          <w:noProof/>
        </w:rPr>
      </w:r>
      <w:r>
        <w:rPr>
          <w:noProof/>
        </w:rPr>
        <w:fldChar w:fldCharType="separate"/>
      </w:r>
      <w:r w:rsidR="00F16727">
        <w:rPr>
          <w:noProof/>
        </w:rPr>
        <w:t>11</w:t>
      </w:r>
      <w:r>
        <w:rPr>
          <w:noProof/>
        </w:rPr>
        <w:fldChar w:fldCharType="end"/>
      </w:r>
    </w:p>
    <w:p w14:paraId="001F58B1" w14:textId="77777777" w:rsidR="00105C77" w:rsidRDefault="00105C77">
      <w:pPr>
        <w:pStyle w:val="TOC1"/>
        <w:rPr>
          <w:rFonts w:asciiTheme="minorHAnsi" w:eastAsiaTheme="minorEastAsia" w:hAnsiTheme="minorHAnsi" w:cstheme="minorBidi"/>
          <w:noProof/>
          <w:sz w:val="22"/>
          <w:szCs w:val="22"/>
        </w:rPr>
      </w:pPr>
      <w:r w:rsidRPr="00AC02CC">
        <w:rPr>
          <w:noProof/>
        </w:rPr>
        <w:t>PROOF OF SERVICE</w:t>
      </w:r>
      <w:r>
        <w:rPr>
          <w:noProof/>
        </w:rPr>
        <w:tab/>
      </w:r>
      <w:r>
        <w:rPr>
          <w:noProof/>
        </w:rPr>
        <w:fldChar w:fldCharType="begin"/>
      </w:r>
      <w:r>
        <w:rPr>
          <w:noProof/>
        </w:rPr>
        <w:instrText xml:space="preserve"> PAGEREF _Toc423094209 \h </w:instrText>
      </w:r>
      <w:r>
        <w:rPr>
          <w:noProof/>
        </w:rPr>
      </w:r>
      <w:r>
        <w:rPr>
          <w:noProof/>
        </w:rPr>
        <w:fldChar w:fldCharType="separate"/>
      </w:r>
      <w:r w:rsidR="00F16727">
        <w:rPr>
          <w:noProof/>
        </w:rPr>
        <w:t>12</w:t>
      </w:r>
      <w:r>
        <w:rPr>
          <w:noProof/>
        </w:rPr>
        <w:fldChar w:fldCharType="end"/>
      </w:r>
    </w:p>
    <w:p w14:paraId="3480B025" w14:textId="77777777" w:rsidR="0064436A" w:rsidRDefault="00BF0931" w:rsidP="00CB5644">
      <w:pPr>
        <w:jc w:val="center"/>
        <w:rPr>
          <w:b/>
          <w:sz w:val="26"/>
          <w:szCs w:val="26"/>
        </w:rPr>
        <w:sectPr w:rsidR="0064436A" w:rsidSect="00C95499">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14:paraId="47F23C41" w14:textId="77777777" w:rsidR="00AC6EB1" w:rsidRPr="002D54AC" w:rsidRDefault="00AC6EB1" w:rsidP="00AC6EB1">
      <w:pPr>
        <w:jc w:val="center"/>
        <w:rPr>
          <w:b/>
          <w:sz w:val="26"/>
          <w:szCs w:val="26"/>
        </w:rPr>
      </w:pPr>
      <w:r w:rsidRPr="002D54AC">
        <w:rPr>
          <w:b/>
          <w:sz w:val="26"/>
          <w:szCs w:val="26"/>
        </w:rPr>
        <w:lastRenderedPageBreak/>
        <w:t>BEFORE</w:t>
      </w:r>
    </w:p>
    <w:p w14:paraId="32FE6806" w14:textId="77777777" w:rsidR="00AC6EB1" w:rsidRPr="002D54AC" w:rsidRDefault="00AC6EB1" w:rsidP="00AC6EB1">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14:paraId="64E982EC" w14:textId="77777777" w:rsidR="00AC6EB1" w:rsidRDefault="00AC6EB1" w:rsidP="00AC6EB1">
      <w:pPr>
        <w:pStyle w:val="Title"/>
        <w:tabs>
          <w:tab w:val="left" w:pos="5130"/>
          <w:tab w:val="left" w:pos="5670"/>
        </w:tabs>
        <w:rPr>
          <w:rFonts w:ascii="Times New Roman" w:hAnsi="Times New Roman"/>
          <w:sz w:val="26"/>
          <w:szCs w:val="26"/>
        </w:rPr>
      </w:pPr>
    </w:p>
    <w:p w14:paraId="6D508248" w14:textId="77777777" w:rsidR="00AC6EB1" w:rsidRDefault="00AC6EB1" w:rsidP="00AC6EB1">
      <w:pPr>
        <w:pStyle w:val="Title"/>
        <w:tabs>
          <w:tab w:val="left" w:pos="5130"/>
          <w:tab w:val="left" w:pos="5670"/>
        </w:tabs>
        <w:rPr>
          <w:rFonts w:ascii="Times New Roman" w:hAnsi="Times New Roman"/>
          <w:sz w:val="26"/>
          <w:szCs w:val="26"/>
        </w:rPr>
      </w:pPr>
    </w:p>
    <w:p w14:paraId="44A2E93C" w14:textId="77777777" w:rsidR="00AC6EB1" w:rsidRDefault="00AC6EB1" w:rsidP="00AC6EB1">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25"/>
        <w:gridCol w:w="289"/>
        <w:gridCol w:w="4546"/>
      </w:tblGrid>
      <w:tr w:rsidR="00AC6EB1" w14:paraId="2423C03A" w14:textId="77777777" w:rsidTr="00BF185A">
        <w:tc>
          <w:tcPr>
            <w:tcW w:w="4698" w:type="dxa"/>
          </w:tcPr>
          <w:p w14:paraId="38DA7DFC" w14:textId="7AB3688B" w:rsidR="00AC6EB1" w:rsidRPr="00221496" w:rsidRDefault="00AC6EB1" w:rsidP="00BF185A">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Thomas Overturf, Notice of Apparent Violation and Intent to Assess Forfeiture.</w:t>
            </w:r>
          </w:p>
        </w:tc>
        <w:tc>
          <w:tcPr>
            <w:tcW w:w="270" w:type="dxa"/>
          </w:tcPr>
          <w:p w14:paraId="3120088F" w14:textId="77777777" w:rsidR="00AC6EB1" w:rsidRPr="00221496" w:rsidRDefault="00AC6EB1" w:rsidP="00BF185A">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34F531E3" w14:textId="77777777" w:rsidR="00AC6EB1" w:rsidRPr="00221496" w:rsidRDefault="00AC6EB1" w:rsidP="00BF185A">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3D87A66F" w14:textId="77777777" w:rsidR="00AC6EB1" w:rsidRPr="00221496" w:rsidRDefault="00AC6EB1" w:rsidP="00BF185A">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14:paraId="1808C96B" w14:textId="77777777" w:rsidR="00AC6EB1" w:rsidRPr="00221496" w:rsidRDefault="00AC6EB1" w:rsidP="00BF185A">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15-359-TR-CVF</w:t>
            </w:r>
            <w:r>
              <w:rPr>
                <w:rFonts w:ascii="Times New Roman" w:hAnsi="Times New Roman"/>
                <w:sz w:val="26"/>
                <w:szCs w:val="26"/>
              </w:rPr>
              <w:br/>
            </w:r>
            <w:r>
              <w:rPr>
                <w:rFonts w:ascii="Times New Roman" w:hAnsi="Times New Roman"/>
                <w:sz w:val="26"/>
                <w:szCs w:val="26"/>
              </w:rPr>
              <w:tab/>
              <w:t>(OH0616002692D)</w:t>
            </w:r>
          </w:p>
        </w:tc>
      </w:tr>
    </w:tbl>
    <w:p w14:paraId="0A9226F3" w14:textId="77777777" w:rsidR="00AC6EB1" w:rsidRPr="002D54AC" w:rsidRDefault="00AC6EB1" w:rsidP="00AC6EB1">
      <w:pPr>
        <w:pStyle w:val="Title"/>
        <w:tabs>
          <w:tab w:val="left" w:pos="5130"/>
          <w:tab w:val="left" w:pos="5670"/>
        </w:tabs>
        <w:rPr>
          <w:rFonts w:ascii="Times New Roman" w:hAnsi="Times New Roman"/>
          <w:sz w:val="26"/>
          <w:szCs w:val="26"/>
        </w:rPr>
      </w:pPr>
    </w:p>
    <w:p w14:paraId="23ECDC65" w14:textId="77777777" w:rsidR="00AC6EB1" w:rsidRDefault="00AC6EB1" w:rsidP="00AC6EB1">
      <w:pPr>
        <w:pStyle w:val="Title"/>
        <w:tabs>
          <w:tab w:val="left" w:pos="5130"/>
          <w:tab w:val="left" w:pos="5670"/>
        </w:tabs>
        <w:jc w:val="left"/>
        <w:rPr>
          <w:rFonts w:ascii="Times New Roman" w:hAnsi="Times New Roman"/>
          <w:sz w:val="26"/>
          <w:szCs w:val="26"/>
        </w:rPr>
      </w:pPr>
    </w:p>
    <w:p w14:paraId="50CFD74C" w14:textId="77777777" w:rsidR="00AC6EB1" w:rsidRDefault="00AC6EB1" w:rsidP="00AC6EB1">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508358D3" w14:textId="77777777" w:rsidR="00AC6EB1" w:rsidRPr="00E10679" w:rsidRDefault="00AC6EB1" w:rsidP="00AC6EB1">
      <w:pPr>
        <w:pStyle w:val="Title"/>
        <w:tabs>
          <w:tab w:val="left" w:pos="9360"/>
        </w:tabs>
        <w:rPr>
          <w:rFonts w:ascii="Times New Roman" w:hAnsi="Times New Roman"/>
          <w:b/>
          <w:sz w:val="32"/>
          <w:szCs w:val="32"/>
        </w:rPr>
      </w:pPr>
      <w:r>
        <w:rPr>
          <w:rFonts w:ascii="Times New Roman" w:hAnsi="Times New Roman"/>
          <w:b/>
          <w:sz w:val="32"/>
          <w:szCs w:val="32"/>
        </w:rPr>
        <w:t>POST-HEARING BRIEF</w:t>
      </w:r>
    </w:p>
    <w:p w14:paraId="59F364CD" w14:textId="77777777" w:rsidR="00AC6EB1" w:rsidRPr="00AC6EB1" w:rsidRDefault="00AC6EB1" w:rsidP="00AC6EB1">
      <w:pPr>
        <w:jc w:val="center"/>
        <w:rPr>
          <w:b/>
          <w:sz w:val="28"/>
          <w:szCs w:val="28"/>
        </w:rPr>
      </w:pPr>
      <w:r w:rsidRPr="00AC6EB1">
        <w:rPr>
          <w:b/>
          <w:sz w:val="28"/>
          <w:szCs w:val="28"/>
        </w:rPr>
        <w:t>SUBMITTED ON BEHALF OF THE STAFF OF</w:t>
      </w:r>
    </w:p>
    <w:p w14:paraId="696EF79E" w14:textId="77777777" w:rsidR="00AC6EB1" w:rsidRPr="00AC6EB1" w:rsidRDefault="00AC6EB1" w:rsidP="00AC6EB1">
      <w:pPr>
        <w:jc w:val="center"/>
        <w:rPr>
          <w:b/>
          <w:sz w:val="28"/>
          <w:szCs w:val="28"/>
        </w:rPr>
      </w:pPr>
      <w:r w:rsidRPr="00AC6EB1">
        <w:rPr>
          <w:b/>
          <w:sz w:val="28"/>
          <w:szCs w:val="28"/>
        </w:rPr>
        <w:t>THE PUBLIC UTILITIES COMMISSION OF OHIO</w:t>
      </w:r>
    </w:p>
    <w:p w14:paraId="611E5EDC" w14:textId="77777777" w:rsidR="00AC6EB1" w:rsidRDefault="00AC6EB1" w:rsidP="00AC6EB1">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6529FE6D" w14:textId="77777777" w:rsidR="00CB5644" w:rsidRPr="00613023" w:rsidRDefault="00CB5644" w:rsidP="0064436A">
      <w:pPr>
        <w:pStyle w:val="Heading1"/>
      </w:pPr>
      <w:bookmarkStart w:id="15" w:name="_Toc423094199"/>
      <w:r w:rsidRPr="00613023">
        <w:t>INTRODUCTION</w:t>
      </w:r>
      <w:bookmarkEnd w:id="15"/>
    </w:p>
    <w:p w14:paraId="17129A01" w14:textId="1F64EC98" w:rsidR="00AC6EB1" w:rsidRDefault="0064436A" w:rsidP="00AC6EB1">
      <w:pPr>
        <w:pStyle w:val="textstyle0"/>
      </w:pPr>
      <w:r>
        <w:tab/>
      </w:r>
      <w:r w:rsidR="00AC6EB1">
        <w:t>While driving from Middlefield, Ohio to Columbus, Ohio on October 29, 2014, Thomas Overturf (“Respondent”) violated the Federal Motor Carrier Safety Administra</w:t>
      </w:r>
      <w:r w:rsidR="00EC2A37">
        <w:softHyphen/>
      </w:r>
      <w:r w:rsidR="00AC6EB1">
        <w:t>tion (FMCSA) regulations.</w:t>
      </w:r>
      <w:r w:rsidR="00AC6EB1" w:rsidRPr="00FA2AC4">
        <w:t xml:space="preserve"> </w:t>
      </w:r>
      <w:r w:rsidR="00AC6EB1">
        <w:t xml:space="preserve"> </w:t>
      </w:r>
      <w:r w:rsidR="008B2594">
        <w:t xml:space="preserve">At the time </w:t>
      </w:r>
      <w:r w:rsidR="00AC6EB1">
        <w:t>Inspector</w:t>
      </w:r>
      <w:r w:rsidR="008B2594">
        <w:t xml:space="preserve"> Joel</w:t>
      </w:r>
      <w:r w:rsidR="00AC6EB1">
        <w:t xml:space="preserve"> Hughes </w:t>
      </w:r>
      <w:r w:rsidR="008B2594">
        <w:t>conducted his inspection</w:t>
      </w:r>
      <w:r w:rsidR="00AC6EB1">
        <w:t>, Respondent could not produce any records of duty status. Inspector Hughes of the Ohio State Highway Patrol cited Respondent under 49 C.F.R. 395.8(k)(2) for “failing to retain previ</w:t>
      </w:r>
      <w:r w:rsidR="00EC2A37">
        <w:softHyphen/>
      </w:r>
      <w:r w:rsidR="00AC6EB1">
        <w:t>ous seven days records of duty status.”</w:t>
      </w:r>
      <w:r w:rsidR="00AC6EB1">
        <w:rPr>
          <w:rStyle w:val="FootnoteReference"/>
        </w:rPr>
        <w:footnoteReference w:id="1"/>
      </w:r>
      <w:r w:rsidR="00AC6EB1">
        <w:t xml:space="preserve">  As a result of that inspection, the Staff of the Public Utilities Commission of Ohio (“Staff”) assessed a civil forfeiture of $100 for vio</w:t>
      </w:r>
      <w:r w:rsidR="00EC2A37">
        <w:softHyphen/>
      </w:r>
      <w:r w:rsidR="00AC6EB1">
        <w:t>lation of 49 C.F.R. 395.8(k)(2).</w:t>
      </w:r>
    </w:p>
    <w:p w14:paraId="3FAADC40" w14:textId="5F9C849E" w:rsidR="00AC6EB1" w:rsidRDefault="00AC6EB1" w:rsidP="00AC6EB1">
      <w:pPr>
        <w:pStyle w:val="textstyle0"/>
      </w:pPr>
      <w:r>
        <w:tab/>
        <w:t xml:space="preserve">At the evidentiary hearing in this case, Staff offered the testimony of a highly qualified and credible safety inspector to support the violation at issue.  The hearing </w:t>
      </w:r>
      <w:r>
        <w:lastRenderedPageBreak/>
        <w:t xml:space="preserve">focused on two </w:t>
      </w:r>
      <w:r w:rsidR="008B2594">
        <w:t>questions</w:t>
      </w:r>
      <w:r>
        <w:t xml:space="preserve">: </w:t>
      </w:r>
      <w:r w:rsidR="008B2594">
        <w:t>(1)</w:t>
      </w:r>
      <w:r>
        <w:t xml:space="preserve"> whether Respondent’s destination was indeed Columbus; </w:t>
      </w:r>
      <w:r w:rsidR="008B2594">
        <w:t xml:space="preserve">and (2) </w:t>
      </w:r>
      <w:r>
        <w:t xml:space="preserve">whether Respondent’s trip qualified for the 100 air-mile radius exemption found in 49 C.F.R. 395.1(e)(1)(i), which </w:t>
      </w:r>
      <w:r w:rsidR="008B2594">
        <w:t xml:space="preserve">would </w:t>
      </w:r>
      <w:r>
        <w:t>exempt him from maintaining a record of duty status for local trips.</w:t>
      </w:r>
    </w:p>
    <w:p w14:paraId="18D04C75" w14:textId="5BCB56E4" w:rsidR="00AC6EB1" w:rsidRDefault="00AC6EB1" w:rsidP="00AC6EB1">
      <w:pPr>
        <w:pStyle w:val="textstyle0"/>
      </w:pPr>
      <w:r>
        <w:tab/>
      </w:r>
      <w:r w:rsidR="008B2594">
        <w:t xml:space="preserve">As to the first question, </w:t>
      </w:r>
      <w:r>
        <w:t>Respondent’s destination was Columbus.  Respondent himself communi</w:t>
      </w:r>
      <w:r w:rsidR="00EC2A37">
        <w:softHyphen/>
      </w:r>
      <w:r>
        <w:t>cated his origin and destination to Inspector Hughes, who detailed it on the inspection report.</w:t>
      </w:r>
      <w:r>
        <w:rPr>
          <w:rStyle w:val="FootnoteReference"/>
        </w:rPr>
        <w:footnoteReference w:id="2"/>
      </w:r>
      <w:r>
        <w:t xml:space="preserve"> </w:t>
      </w:r>
      <w:r w:rsidR="00AF6587">
        <w:t xml:space="preserve"> </w:t>
      </w:r>
      <w:r w:rsidR="008B2594">
        <w:t xml:space="preserve">As to the second question, Respondent’s trip does not qualify for the 100 air-mile radius exemption. </w:t>
      </w:r>
      <w:r w:rsidR="00AF6587">
        <w:t xml:space="preserve"> </w:t>
      </w:r>
      <w:r w:rsidR="008B2594">
        <w:t xml:space="preserve">The distance between Middlefield and Columbus is 168 air miles, which exceeds 100 air miles.  </w:t>
      </w:r>
      <w:r>
        <w:t xml:space="preserve">Because Respondent’s destination </w:t>
      </w:r>
      <w:r w:rsidR="00F877F4">
        <w:t xml:space="preserve">was in excess of 100 miles from his origin, Respondent did not qualify for the exemption and was therefore </w:t>
      </w:r>
      <w:r>
        <w:t xml:space="preserve">required to maintain a record of duty status.  </w:t>
      </w:r>
      <w:r w:rsidR="00F877F4">
        <w:t xml:space="preserve">Respondent’s failure to </w:t>
      </w:r>
      <w:r>
        <w:t>main</w:t>
      </w:r>
      <w:r w:rsidR="0083493E">
        <w:softHyphen/>
      </w:r>
      <w:r>
        <w:t>tain and present that record to Inspector Hughes</w:t>
      </w:r>
      <w:r w:rsidR="00F877F4">
        <w:t xml:space="preserve"> placed</w:t>
      </w:r>
      <w:r w:rsidR="00CE3BF3">
        <w:t xml:space="preserve"> </w:t>
      </w:r>
      <w:r>
        <w:t xml:space="preserve">Respondent </w:t>
      </w:r>
      <w:r w:rsidR="00F877F4">
        <w:t xml:space="preserve">in violation of </w:t>
      </w:r>
      <w:r>
        <w:t>49 C.F.R. 395.8(k)(2).</w:t>
      </w:r>
    </w:p>
    <w:p w14:paraId="6C40CB34" w14:textId="6CEA81F0" w:rsidR="00AC6EB1" w:rsidRDefault="00AF6587" w:rsidP="00AC6EB1">
      <w:pPr>
        <w:pStyle w:val="textstyle0"/>
      </w:pPr>
      <w:r>
        <w:tab/>
      </w:r>
      <w:r w:rsidR="00AC6EB1">
        <w:t xml:space="preserve">Even if the Commission finds that Respondent’s trip on October 29 did not exceed 100 air miles, his trip to Columbus the previous day did. </w:t>
      </w:r>
      <w:r>
        <w:t xml:space="preserve"> </w:t>
      </w:r>
      <w:r w:rsidR="00AC6EB1">
        <w:t xml:space="preserve">Because Respondent </w:t>
      </w:r>
      <w:r w:rsidR="00F877F4">
        <w:t xml:space="preserve">did </w:t>
      </w:r>
      <w:r w:rsidR="00AC6EB1">
        <w:t>not produce a record of duty status for his trip to Columbus on October 28, he violated 49</w:t>
      </w:r>
      <w:r>
        <w:t> </w:t>
      </w:r>
      <w:r w:rsidR="00AC6EB1">
        <w:t>C.F.R. 395.8(k)(2).</w:t>
      </w:r>
    </w:p>
    <w:p w14:paraId="0CC0780A" w14:textId="7F966311" w:rsidR="00AC6EB1" w:rsidRPr="008B2CE8" w:rsidRDefault="00AC6EB1" w:rsidP="00AC6EB1">
      <w:pPr>
        <w:pStyle w:val="textstyle0"/>
      </w:pPr>
      <w:r>
        <w:tab/>
        <w:t>Therefore, based on the evidence of record, the Commission must find Respondent violated 49 C.F.R. 395.8(k)(2) and must hold Respondent liable for the civil forfeiture of one hundred dollars.</w:t>
      </w:r>
    </w:p>
    <w:p w14:paraId="4EC9CBB5" w14:textId="77777777" w:rsidR="00AC6EB1" w:rsidRDefault="00AC6EB1" w:rsidP="00E10679">
      <w:pPr>
        <w:pStyle w:val="Heading1"/>
      </w:pPr>
      <w:bookmarkStart w:id="16" w:name="_Toc423094200"/>
      <w:r>
        <w:lastRenderedPageBreak/>
        <w:t>STATEMENT OF THE FACTS</w:t>
      </w:r>
      <w:bookmarkEnd w:id="16"/>
    </w:p>
    <w:p w14:paraId="2E98C1CF" w14:textId="77777777" w:rsidR="00AC6EB1" w:rsidRDefault="00AC6EB1" w:rsidP="00AC6EB1">
      <w:pPr>
        <w:pStyle w:val="Heading2"/>
      </w:pPr>
      <w:bookmarkStart w:id="17" w:name="_Toc423094201"/>
      <w:r>
        <w:t>1.</w:t>
      </w:r>
      <w:r>
        <w:tab/>
        <w:t>Procedural History</w:t>
      </w:r>
      <w:bookmarkEnd w:id="17"/>
    </w:p>
    <w:p w14:paraId="355000FC" w14:textId="2573929A" w:rsidR="00AC6EB1" w:rsidRDefault="00AC6EB1" w:rsidP="00AC6EB1">
      <w:pPr>
        <w:pStyle w:val="textstyle0"/>
      </w:pPr>
      <w:r>
        <w:tab/>
        <w:t xml:space="preserve">Staff </w:t>
      </w:r>
      <w:r w:rsidR="00F877F4">
        <w:t>served</w:t>
      </w:r>
      <w:r w:rsidR="00CE3BF3">
        <w:t xml:space="preserve"> </w:t>
      </w:r>
      <w:r>
        <w:t>a Notice of Preliminary Determination to Respondent on January 22, 2015, as required by Ohio Adm. Code 4901:2-7-12.  The Notice cited violations of 49 C.F.R. 395.8(k)(2), failing to retain previous seven days records of duty status; and 49 C.F.R. 391.41(a)-(f), operating a vehicle without possessing a valid medical certificate.</w:t>
      </w:r>
      <w:r>
        <w:rPr>
          <w:rStyle w:val="FootnoteReference"/>
        </w:rPr>
        <w:footnoteReference w:id="3"/>
      </w:r>
      <w:r>
        <w:t xml:space="preserve">  Staff moved to dismiss the violation under 49 C.F.R. 391.41(a)-(f), which is still pending. Respondent filed a request for an administrative hearing.  The hearing was conducted on May 7, 2015.</w:t>
      </w:r>
    </w:p>
    <w:p w14:paraId="594294C5" w14:textId="77777777" w:rsidR="00AC6EB1" w:rsidRDefault="00AC6EB1" w:rsidP="00AC6EB1">
      <w:pPr>
        <w:pStyle w:val="Heading2"/>
      </w:pPr>
      <w:bookmarkStart w:id="18" w:name="_Toc423094202"/>
      <w:r>
        <w:t>2.</w:t>
      </w:r>
      <w:r>
        <w:tab/>
        <w:t>Factual Background</w:t>
      </w:r>
      <w:bookmarkEnd w:id="18"/>
    </w:p>
    <w:p w14:paraId="6A521F82" w14:textId="387FC94E" w:rsidR="00AC6EB1" w:rsidRDefault="00AC6EB1" w:rsidP="00AC6EB1">
      <w:pPr>
        <w:pStyle w:val="textstyle0"/>
      </w:pPr>
      <w:r>
        <w:tab/>
        <w:t>On October 29, 2014, Inspector Hughes pulled Respondent over for speeding in a commercial motor vehicle.  Inspector Hughes conducted an inspection of the driver and the vehicle.</w:t>
      </w:r>
      <w:r>
        <w:rPr>
          <w:rStyle w:val="FootnoteReference"/>
        </w:rPr>
        <w:footnoteReference w:id="4"/>
      </w:r>
      <w:r>
        <w:t xml:space="preserve">  The inspection took place about 15 miles from Respondent’s reporting loca</w:t>
      </w:r>
      <w:r w:rsidR="00EC2A37">
        <w:softHyphen/>
      </w:r>
      <w:r>
        <w:t>tion.</w:t>
      </w:r>
      <w:r>
        <w:rPr>
          <w:rStyle w:val="FootnoteReference"/>
        </w:rPr>
        <w:footnoteReference w:id="5"/>
      </w:r>
      <w:r>
        <w:t xml:space="preserve">  In response to Inspector Hughes’ questioning, Respondent stated that he was driv</w:t>
      </w:r>
      <w:r w:rsidR="00EC2A37">
        <w:softHyphen/>
      </w:r>
      <w:r>
        <w:t>ing from Middlefield, Ohio to Columbus, Ohio.</w:t>
      </w:r>
      <w:r w:rsidR="0056079B">
        <w:rPr>
          <w:rStyle w:val="FootnoteReference"/>
        </w:rPr>
        <w:footnoteReference w:id="6"/>
      </w:r>
      <w:r>
        <w:t xml:space="preserve"> </w:t>
      </w:r>
      <w:r w:rsidR="0056079B">
        <w:t xml:space="preserve"> </w:t>
      </w:r>
      <w:r>
        <w:t>Respondent explained that he was speeding because he was in a hurry to pick up a load from Columbus.</w:t>
      </w:r>
      <w:r w:rsidR="0056079B">
        <w:rPr>
          <w:rStyle w:val="FootnoteReference"/>
        </w:rPr>
        <w:footnoteReference w:id="7"/>
      </w:r>
      <w:r>
        <w:t xml:space="preserve"> </w:t>
      </w:r>
      <w:r w:rsidR="0056079B">
        <w:t xml:space="preserve"> </w:t>
      </w:r>
      <w:r>
        <w:t xml:space="preserve">Inspector Hughes </w:t>
      </w:r>
      <w:r>
        <w:lastRenderedPageBreak/>
        <w:t xml:space="preserve">asked for Respondent’s log book </w:t>
      </w:r>
      <w:r w:rsidR="00F877F4">
        <w:t>(</w:t>
      </w:r>
      <w:r>
        <w:t>record of duty status</w:t>
      </w:r>
      <w:r w:rsidR="00F877F4">
        <w:t>)</w:t>
      </w:r>
      <w:r>
        <w:t>, which Respondent failed to pre</w:t>
      </w:r>
      <w:r w:rsidR="0083493E">
        <w:softHyphen/>
      </w:r>
      <w:r>
        <w:t>sent.</w:t>
      </w:r>
      <w:r w:rsidR="0056079B">
        <w:rPr>
          <w:rStyle w:val="FootnoteReference"/>
        </w:rPr>
        <w:footnoteReference w:id="8"/>
      </w:r>
      <w:r w:rsidR="0056079B">
        <w:t xml:space="preserve"> </w:t>
      </w:r>
      <w:r>
        <w:t xml:space="preserve"> </w:t>
      </w:r>
    </w:p>
    <w:p w14:paraId="6B8FA52D" w14:textId="6FBA4FB3" w:rsidR="00AC6EB1" w:rsidRDefault="0056079B" w:rsidP="0056079B">
      <w:pPr>
        <w:pStyle w:val="textstyle0"/>
      </w:pPr>
      <w:r>
        <w:tab/>
      </w:r>
      <w:r w:rsidR="00AC6EB1">
        <w:t xml:space="preserve">Inspector Hughes calculated the air mileage between Middlefield and Columbus on PC </w:t>
      </w:r>
      <w:r w:rsidR="00F877F4">
        <w:t>M</w:t>
      </w:r>
      <w:r w:rsidR="00AC6EB1">
        <w:t>iler, a system used by inspectors to determine the distance between a driver’s origin and destination.</w:t>
      </w:r>
      <w:r>
        <w:rPr>
          <w:rStyle w:val="FootnoteReference"/>
        </w:rPr>
        <w:footnoteReference w:id="9"/>
      </w:r>
      <w:r w:rsidR="00AC6EB1">
        <w:t xml:space="preserve"> </w:t>
      </w:r>
      <w:r>
        <w:t xml:space="preserve"> </w:t>
      </w:r>
      <w:r w:rsidR="00AC6EB1">
        <w:t>The distance between Middlefield and Columbus is 168 air miles.</w:t>
      </w:r>
      <w:r>
        <w:rPr>
          <w:rStyle w:val="FootnoteReference"/>
        </w:rPr>
        <w:footnoteReference w:id="10"/>
      </w:r>
      <w:r w:rsidR="00AC6EB1">
        <w:t xml:space="preserve"> </w:t>
      </w:r>
      <w:r>
        <w:t xml:space="preserve"> </w:t>
      </w:r>
      <w:r w:rsidR="00AC6EB1">
        <w:t xml:space="preserve">Inspector Hughes showed the PC </w:t>
      </w:r>
      <w:r w:rsidR="00F877F4">
        <w:t>M</w:t>
      </w:r>
      <w:r w:rsidR="00AC6EB1">
        <w:t>iler calculation to Respondent at the time of the inspection so that Respondent could see the mileage himself.</w:t>
      </w:r>
      <w:r>
        <w:rPr>
          <w:rStyle w:val="FootnoteReference"/>
        </w:rPr>
        <w:footnoteReference w:id="11"/>
      </w:r>
    </w:p>
    <w:p w14:paraId="00C09F38" w14:textId="3F0BC75C" w:rsidR="00AC6EB1" w:rsidRPr="002A1688" w:rsidRDefault="0056079B" w:rsidP="0056079B">
      <w:pPr>
        <w:pStyle w:val="textstyle0"/>
      </w:pPr>
      <w:r>
        <w:tab/>
      </w:r>
      <w:r w:rsidR="00AC6EB1">
        <w:t>Inspector Hughes cited Respondent for, among other things, “failing to retain pre</w:t>
      </w:r>
      <w:r w:rsidR="00EC2A37">
        <w:softHyphen/>
      </w:r>
      <w:r w:rsidR="00AC6EB1">
        <w:t>vious seven days records of duty status.”</w:t>
      </w:r>
      <w:r>
        <w:rPr>
          <w:rStyle w:val="FootnoteReference"/>
        </w:rPr>
        <w:footnoteReference w:id="12"/>
      </w:r>
      <w:r>
        <w:t xml:space="preserve"> </w:t>
      </w:r>
      <w:r w:rsidR="00AC6EB1">
        <w:t xml:space="preserve"> At the hearing, Respondent testified that he did not have a destination at the time he was pulled over by Inspector Hughes.</w:t>
      </w:r>
      <w:r>
        <w:rPr>
          <w:rStyle w:val="FootnoteReference"/>
        </w:rPr>
        <w:footnoteReference w:id="13"/>
      </w:r>
      <w:r w:rsidR="00AC6EB1">
        <w:t xml:space="preserve"> </w:t>
      </w:r>
      <w:r>
        <w:t xml:space="preserve"> </w:t>
      </w:r>
      <w:r w:rsidR="00AC6EB1">
        <w:t>How</w:t>
      </w:r>
      <w:r w:rsidR="00EC2A37">
        <w:softHyphen/>
      </w:r>
      <w:r w:rsidR="00AC6EB1">
        <w:t>ever, Inspector Hughes testified that it was clear to him that Respondent was traveling to Columbus.</w:t>
      </w:r>
      <w:r>
        <w:rPr>
          <w:rStyle w:val="FootnoteReference"/>
        </w:rPr>
        <w:footnoteReference w:id="14"/>
      </w:r>
      <w:r>
        <w:t xml:space="preserve"> </w:t>
      </w:r>
      <w:r w:rsidR="00AC6EB1" w:rsidRPr="004C5383">
        <w:t xml:space="preserve"> </w:t>
      </w:r>
      <w:r w:rsidR="00AC6EB1">
        <w:t>Respondent also admitted during the trial that he picked up a load in Columbus on October 28, the day before the inspection.</w:t>
      </w:r>
      <w:r>
        <w:rPr>
          <w:rStyle w:val="FootnoteReference"/>
        </w:rPr>
        <w:footnoteReference w:id="15"/>
      </w:r>
    </w:p>
    <w:p w14:paraId="78A8E229" w14:textId="77777777" w:rsidR="00E10679" w:rsidRDefault="0056079B" w:rsidP="00E10679">
      <w:pPr>
        <w:pStyle w:val="Heading1"/>
      </w:pPr>
      <w:bookmarkStart w:id="19" w:name="_Toc423094203"/>
      <w:r>
        <w:lastRenderedPageBreak/>
        <w:t xml:space="preserve">LAW AND </w:t>
      </w:r>
      <w:r w:rsidR="00E10679">
        <w:t>DISCUSSION</w:t>
      </w:r>
      <w:bookmarkEnd w:id="19"/>
    </w:p>
    <w:p w14:paraId="01F92F4B" w14:textId="14202681" w:rsidR="0056079B" w:rsidRDefault="00E10679" w:rsidP="0056079B">
      <w:pPr>
        <w:pStyle w:val="textstyle0"/>
      </w:pPr>
      <w:r>
        <w:tab/>
      </w:r>
      <w:r w:rsidR="0056079B">
        <w:t>49 C.F.R. 395.8 requires that every driver maintain a record of duty status.  Sec</w:t>
      </w:r>
      <w:r w:rsidR="00EC2A37">
        <w:softHyphen/>
      </w:r>
      <w:r w:rsidR="0056079B">
        <w:t>tion (a) specifies two methods that may be used to maintain the required records.  First, the driver may record his duty status for each 24-hour period in duplicate using a log book with a specified grid, as provided by the rules.</w:t>
      </w:r>
      <w:r w:rsidR="0056079B">
        <w:rPr>
          <w:rStyle w:val="FootnoteReference"/>
        </w:rPr>
        <w:footnoteReference w:id="16"/>
      </w:r>
      <w:r w:rsidR="0056079B">
        <w:t xml:space="preserve">  Second, the driver may use an automatic on-board recording device.</w:t>
      </w:r>
      <w:r w:rsidR="0056079B">
        <w:rPr>
          <w:rStyle w:val="FootnoteReference"/>
        </w:rPr>
        <w:footnoteReference w:id="17"/>
      </w:r>
      <w:r w:rsidR="0056079B">
        <w:t xml:space="preserve">  The driver must record his duty status as “off duty” or “OFF,” “sleeper berth” or “SB,” “Driving” or “D,” or “on-duty not driving” or “ON.”</w:t>
      </w:r>
      <w:r w:rsidR="0056079B">
        <w:rPr>
          <w:rStyle w:val="FootnoteReference"/>
        </w:rPr>
        <w:footnoteReference w:id="18"/>
      </w:r>
      <w:r w:rsidR="0056079B">
        <w:t xml:space="preserve">  The driver must also record “the name of the city, town, or village, with State abbreviation” for each change of duty status.</w:t>
      </w:r>
      <w:r w:rsidR="0056079B">
        <w:rPr>
          <w:rStyle w:val="FootnoteReference"/>
        </w:rPr>
        <w:footnoteReference w:id="19"/>
      </w:r>
      <w:r w:rsidR="0056079B">
        <w:t xml:space="preserve">  “The driver shall retain a copy of each record of duty status for the previous seven consecutive days which shall be in his/her possession and available for inspection while on duty.”</w:t>
      </w:r>
      <w:r w:rsidR="0056079B">
        <w:rPr>
          <w:rStyle w:val="FootnoteReference"/>
        </w:rPr>
        <w:footnoteReference w:id="20"/>
      </w:r>
      <w:r w:rsidR="0056079B" w:rsidRPr="00951ACB">
        <w:t xml:space="preserve"> </w:t>
      </w:r>
    </w:p>
    <w:p w14:paraId="4F97FA94" w14:textId="77777777" w:rsidR="0056079B" w:rsidRDefault="0056079B" w:rsidP="0056079B">
      <w:pPr>
        <w:pStyle w:val="textstyle0"/>
      </w:pPr>
      <w:r>
        <w:tab/>
        <w:t>49 C.F.R. 395.1 provides several exceptions to the record of duty status require</w:t>
      </w:r>
      <w:r w:rsidR="00EC2A37">
        <w:softHyphen/>
      </w:r>
      <w:r>
        <w:t xml:space="preserve">ment contained in 49 C.F.R. 395.8.  Under 49 C.F.R. 395.1(e)(1)(i), “[a] driver is exempt from the requirements of § 395.8 if … [t]he driver operates within a 100 air-mile radius of the normal work reporting location.” </w:t>
      </w:r>
    </w:p>
    <w:p w14:paraId="1474F1A9" w14:textId="77777777" w:rsidR="0056079B" w:rsidRPr="001406EB" w:rsidRDefault="00BF185A" w:rsidP="00BF185A">
      <w:pPr>
        <w:pStyle w:val="Heading2"/>
      </w:pPr>
      <w:bookmarkStart w:id="20" w:name="_Toc423094204"/>
      <w:r>
        <w:lastRenderedPageBreak/>
        <w:t>1.</w:t>
      </w:r>
      <w:r>
        <w:tab/>
      </w:r>
      <w:r w:rsidR="0056079B" w:rsidRPr="001406EB">
        <w:t xml:space="preserve">Respondent violated </w:t>
      </w:r>
      <w:r w:rsidR="0056079B">
        <w:t xml:space="preserve">49 C.F.R. </w:t>
      </w:r>
      <w:r w:rsidR="0056079B" w:rsidRPr="001406EB">
        <w:t>395.8 because he did not have a record of duty status for October 29, 2014 while traveling from Middlefield, Ohio to Columbus, Ohio</w:t>
      </w:r>
      <w:r w:rsidR="0056079B">
        <w:t>.</w:t>
      </w:r>
      <w:bookmarkEnd w:id="20"/>
    </w:p>
    <w:p w14:paraId="6567AE78" w14:textId="77777777" w:rsidR="0056079B" w:rsidRDefault="00BF185A" w:rsidP="00BF185A">
      <w:pPr>
        <w:pStyle w:val="textstyle0"/>
      </w:pPr>
      <w:r>
        <w:tab/>
      </w:r>
      <w:r w:rsidR="0056079B">
        <w:t>On October 29, Respondent violated 49 C.F.R. 395.8 because he did not have a log book in his possession detailing his duty status for that day.</w:t>
      </w:r>
      <w:r>
        <w:rPr>
          <w:rStyle w:val="FootnoteReference"/>
        </w:rPr>
        <w:footnoteReference w:id="21"/>
      </w:r>
      <w:r w:rsidR="0056079B">
        <w:t xml:space="preserve"> </w:t>
      </w:r>
      <w:r>
        <w:t xml:space="preserve"> </w:t>
      </w:r>
      <w:r w:rsidR="0056079B">
        <w:t xml:space="preserve">As stated above, the driver must maintain a record of duty status by either using a log book with a specified grid, or by using an automatic on-board recording device. </w:t>
      </w:r>
      <w:r>
        <w:t xml:space="preserve"> </w:t>
      </w:r>
      <w:r w:rsidR="0056079B">
        <w:t>On the day of the inspection, Respondent was traveling from Middlefield, Ohio to Columbus, Ohio.</w:t>
      </w:r>
      <w:r>
        <w:rPr>
          <w:rStyle w:val="FootnoteReference"/>
        </w:rPr>
        <w:footnoteReference w:id="22"/>
      </w:r>
      <w:r w:rsidR="0056079B">
        <w:t xml:space="preserve"> </w:t>
      </w:r>
      <w:r>
        <w:t xml:space="preserve"> </w:t>
      </w:r>
      <w:r w:rsidR="0056079B">
        <w:t>When asked by the Inspector for his record of duty status, Respondent had neither a log book to present nor an on-board recording device.</w:t>
      </w:r>
      <w:r>
        <w:rPr>
          <w:rStyle w:val="FootnoteReference"/>
        </w:rPr>
        <w:footnoteReference w:id="23"/>
      </w:r>
      <w:r w:rsidR="0056079B">
        <w:t xml:space="preserve"> </w:t>
      </w:r>
      <w:r>
        <w:t xml:space="preserve"> </w:t>
      </w:r>
      <w:r w:rsidR="0056079B">
        <w:t>Because Respondent failed to maintain a record of duty status for October 29, he violated 49 C.F.R. 395.8.</w:t>
      </w:r>
    </w:p>
    <w:p w14:paraId="559D15C6" w14:textId="77777777" w:rsidR="0056079B" w:rsidRPr="008C6ABB" w:rsidRDefault="00BF185A" w:rsidP="00BF185A">
      <w:pPr>
        <w:pStyle w:val="Heading2"/>
      </w:pPr>
      <w:bookmarkStart w:id="21" w:name="_Toc423094205"/>
      <w:r>
        <w:t>2.</w:t>
      </w:r>
      <w:r>
        <w:tab/>
      </w:r>
      <w:r w:rsidR="0056079B" w:rsidRPr="008C6ABB">
        <w:t xml:space="preserve">Respondent’s trip to Columbus on October 29, 2014 does not qualify for the 100 air-mile radius exemption under </w:t>
      </w:r>
      <w:r w:rsidR="0056079B">
        <w:t xml:space="preserve">49 C.F.R. </w:t>
      </w:r>
      <w:r w:rsidR="0056079B" w:rsidRPr="008C6ABB">
        <w:t>395.1(e)(1)(i) because the distance between his origin and destina</w:t>
      </w:r>
      <w:r w:rsidR="00EC2A37">
        <w:softHyphen/>
      </w:r>
      <w:r w:rsidR="0056079B" w:rsidRPr="008C6ABB">
        <w:t>tion exceeds 100 air miles.</w:t>
      </w:r>
      <w:bookmarkEnd w:id="21"/>
    </w:p>
    <w:p w14:paraId="06592127" w14:textId="1CAE1CF5" w:rsidR="0056079B" w:rsidRDefault="00BF185A" w:rsidP="00BF185A">
      <w:pPr>
        <w:pStyle w:val="textstyle0"/>
      </w:pPr>
      <w:r>
        <w:tab/>
      </w:r>
      <w:r w:rsidR="0056079B">
        <w:t>Respondent cannot claim the 100 air-mile radius exemption for his failure to main</w:t>
      </w:r>
      <w:r w:rsidR="00EC2A37">
        <w:softHyphen/>
      </w:r>
      <w:r w:rsidR="0056079B">
        <w:t xml:space="preserve">tain a record of duty status for October 29 because his trip from Middlefield, Ohio to Columbus, Ohio exceeds 100 air miles. </w:t>
      </w:r>
      <w:r>
        <w:t xml:space="preserve"> </w:t>
      </w:r>
      <w:r w:rsidR="0056079B">
        <w:t xml:space="preserve">The 100 air-mile radius exemption, under 49 C.F.R. 395.1(e)(1)(i), excuses the driver from the requirement to maintain a record of duty status under 49 C.F.R. 395.8. </w:t>
      </w:r>
      <w:r>
        <w:t xml:space="preserve"> </w:t>
      </w:r>
      <w:r w:rsidR="0056079B">
        <w:t xml:space="preserve">In order to qualify for the exemption, the driver must </w:t>
      </w:r>
      <w:r w:rsidR="0056079B">
        <w:lastRenderedPageBreak/>
        <w:t>operate within 100 air miles from his normal work reporting location.</w:t>
      </w:r>
      <w:r>
        <w:rPr>
          <w:rStyle w:val="FootnoteReference"/>
        </w:rPr>
        <w:footnoteReference w:id="24"/>
      </w:r>
      <w:r w:rsidR="0056079B">
        <w:t xml:space="preserve"> </w:t>
      </w:r>
      <w:r>
        <w:t xml:space="preserve"> </w:t>
      </w:r>
      <w:r w:rsidR="0056079B">
        <w:t>Here, Respond</w:t>
      </w:r>
      <w:r w:rsidR="00EC2A37">
        <w:softHyphen/>
      </w:r>
      <w:r w:rsidR="0056079B">
        <w:t>ent’s trip from Middlefield to Columbus on October 29 was 168 air miles.</w:t>
      </w:r>
      <w:r>
        <w:rPr>
          <w:rStyle w:val="FootnoteReference"/>
        </w:rPr>
        <w:footnoteReference w:id="25"/>
      </w:r>
      <w:r w:rsidR="0056079B">
        <w:t xml:space="preserve"> </w:t>
      </w:r>
      <w:r>
        <w:t xml:space="preserve"> </w:t>
      </w:r>
      <w:r w:rsidR="0056079B">
        <w:t xml:space="preserve">Because the distance between his origin and destination exceeds 100 air miles, Respondent’s trip that day does not qualify for the exemption. </w:t>
      </w:r>
    </w:p>
    <w:p w14:paraId="24598EF1" w14:textId="77777777" w:rsidR="0056079B" w:rsidRDefault="00BF185A" w:rsidP="00BF185A">
      <w:pPr>
        <w:pStyle w:val="textstyle0"/>
      </w:pPr>
      <w:r>
        <w:tab/>
      </w:r>
      <w:r w:rsidR="0056079B" w:rsidRPr="0015234E">
        <w:t>Although Inspector Hughes pulled Respondent over wit</w:t>
      </w:r>
      <w:r>
        <w:t>hin 100 air miles of his origin</w:t>
      </w:r>
      <w:r w:rsidR="0056079B">
        <w:t>,</w:t>
      </w:r>
      <w:r>
        <w:rPr>
          <w:rStyle w:val="FootnoteReference"/>
        </w:rPr>
        <w:footnoteReference w:id="26"/>
      </w:r>
      <w:r w:rsidR="0056079B" w:rsidRPr="0015234E">
        <w:t xml:space="preserve"> the rule requires a record of duty status if the distance between the origin and destination exceeds 100 air miles, regardless of where the driver is pulled over.</w:t>
      </w:r>
      <w:r w:rsidR="0056079B">
        <w:t xml:space="preserve"> </w:t>
      </w:r>
      <w:r>
        <w:t xml:space="preserve"> </w:t>
      </w:r>
      <w:r w:rsidR="0056079B">
        <w:t xml:space="preserve">The United States Department of Transportation Guidance for 49 CFR 395.1 clarifies that “[a] driver must begin to prepare the record of duty status for the day immediately after he/she becomes aware that the terms of the exemption cannot be met.” </w:t>
      </w:r>
      <w:r>
        <w:t xml:space="preserve"> </w:t>
      </w:r>
      <w:r w:rsidR="0056079B">
        <w:t xml:space="preserve">A driver, then, within 100 air miles of his origin must have a record of duty status prepared if he knows that his destination is more than 100 air miles from his reporting location. </w:t>
      </w:r>
    </w:p>
    <w:p w14:paraId="1ACD68C1" w14:textId="455489B4" w:rsidR="0056079B" w:rsidRDefault="00BF185A" w:rsidP="00BF185A">
      <w:pPr>
        <w:pStyle w:val="textstyle0"/>
      </w:pPr>
      <w:r>
        <w:tab/>
      </w:r>
      <w:r w:rsidR="0056079B">
        <w:t>Here, the Driver/Vehicle Examination Report indicates that Respondent’s destina</w:t>
      </w:r>
      <w:r w:rsidR="00EC2A37">
        <w:softHyphen/>
      </w:r>
      <w:r w:rsidR="0056079B">
        <w:t>tion that day was Columbus.</w:t>
      </w:r>
      <w:r>
        <w:rPr>
          <w:rStyle w:val="FootnoteReference"/>
        </w:rPr>
        <w:footnoteReference w:id="27"/>
      </w:r>
      <w:r w:rsidR="0056079B">
        <w:t xml:space="preserve"> </w:t>
      </w:r>
      <w:r>
        <w:t xml:space="preserve"> </w:t>
      </w:r>
      <w:r w:rsidR="0056079B">
        <w:t>Although not noted in the report, Inspector Hughes testi</w:t>
      </w:r>
      <w:r w:rsidR="00EC2A37">
        <w:softHyphen/>
      </w:r>
      <w:r w:rsidR="0056079B">
        <w:t>fied that Respondent gave him an exact location in Columbus to which he was travel</w:t>
      </w:r>
      <w:r w:rsidR="00EC2A37">
        <w:softHyphen/>
      </w:r>
      <w:r w:rsidR="0056079B">
        <w:t>ing.</w:t>
      </w:r>
      <w:r>
        <w:rPr>
          <w:rStyle w:val="FootnoteReference"/>
        </w:rPr>
        <w:footnoteReference w:id="28"/>
      </w:r>
      <w:r w:rsidR="0056079B">
        <w:t xml:space="preserve"> </w:t>
      </w:r>
      <w:r>
        <w:t xml:space="preserve"> </w:t>
      </w:r>
      <w:r w:rsidR="0056079B">
        <w:t xml:space="preserve">Inspector Hughes would have no other source for Respondent’s destination if it </w:t>
      </w:r>
      <w:r w:rsidR="0056079B">
        <w:lastRenderedPageBreak/>
        <w:t xml:space="preserve">had not been given by Respondent himself. </w:t>
      </w:r>
      <w:r>
        <w:t xml:space="preserve"> </w:t>
      </w:r>
      <w:r w:rsidR="0056079B">
        <w:t>In fact, when Inspector Hughes asked Respondent the reason for his speeding, Respondent stated that he was in a hurry to pick up a load in Columbus.</w:t>
      </w:r>
      <w:r>
        <w:rPr>
          <w:rStyle w:val="FootnoteReference"/>
        </w:rPr>
        <w:footnoteReference w:id="29"/>
      </w:r>
      <w:r>
        <w:t xml:space="preserve"> </w:t>
      </w:r>
      <w:r w:rsidR="0056079B">
        <w:t xml:space="preserve"> However, today, Respondent would have the Commission believe that he was not traveling to Columbus but was simply speeding down the high</w:t>
      </w:r>
      <w:r w:rsidR="00EC2A37">
        <w:softHyphen/>
      </w:r>
      <w:r w:rsidR="0056079B">
        <w:t>way without a destination in mind.</w:t>
      </w:r>
      <w:r>
        <w:rPr>
          <w:rStyle w:val="FootnoteReference"/>
        </w:rPr>
        <w:footnoteReference w:id="30"/>
      </w:r>
      <w:r w:rsidR="0056079B">
        <w:t xml:space="preserve"> </w:t>
      </w:r>
      <w:r>
        <w:t xml:space="preserve"> </w:t>
      </w:r>
      <w:r w:rsidR="0056079B">
        <w:t>Because Respondent knew his destination was Columbus, and was aware that it was more than 100 air miles from his origin,</w:t>
      </w:r>
      <w:r>
        <w:rPr>
          <w:rStyle w:val="FootnoteReference"/>
        </w:rPr>
        <w:footnoteReference w:id="31"/>
      </w:r>
      <w:r w:rsidR="0056079B">
        <w:t xml:space="preserve"> the rules required him to have a record of duty status for that day, regardless of the fact that he was pulled over within the 100 air-mile radius.</w:t>
      </w:r>
    </w:p>
    <w:p w14:paraId="5538663D" w14:textId="797B2367" w:rsidR="0056079B" w:rsidRDefault="00BF185A" w:rsidP="00BF185A">
      <w:pPr>
        <w:pStyle w:val="textstyle0"/>
      </w:pPr>
      <w:r>
        <w:tab/>
      </w:r>
      <w:r w:rsidR="0056079B">
        <w:t xml:space="preserve">Furthermore, Inspector Hughes showed Respondent the PC </w:t>
      </w:r>
      <w:r w:rsidR="00E14AB6">
        <w:t>M</w:t>
      </w:r>
      <w:r w:rsidR="0056079B">
        <w:t>iler report that indi</w:t>
      </w:r>
      <w:r w:rsidR="00EC2A37">
        <w:softHyphen/>
      </w:r>
      <w:r w:rsidR="0056079B">
        <w:t>cated that the distance between Midd</w:t>
      </w:r>
      <w:r w:rsidR="00092109">
        <w:t>l</w:t>
      </w:r>
      <w:r w:rsidR="0056079B">
        <w:t>efield and Columbus exceeded 100 air miles.</w:t>
      </w:r>
      <w:r>
        <w:rPr>
          <w:rStyle w:val="FootnoteReference"/>
        </w:rPr>
        <w:footnoteReference w:id="32"/>
      </w:r>
      <w:r w:rsidR="0056079B">
        <w:t xml:space="preserve"> </w:t>
      </w:r>
      <w:r>
        <w:t xml:space="preserve"> </w:t>
      </w:r>
      <w:r w:rsidR="0056079B">
        <w:t xml:space="preserve">There is no evidence here that Respondent disputed the violation at the time, or that he corrected Inspector Hughes as to his destination when shown the report. </w:t>
      </w:r>
      <w:r>
        <w:t xml:space="preserve"> </w:t>
      </w:r>
      <w:r w:rsidR="00CE3BF3">
        <w:t>In fact, Inspector Hughes testified that it was clear to him</w:t>
      </w:r>
      <w:r w:rsidR="0056079B">
        <w:t xml:space="preserve"> that Respondent was traveling to Columbus that day.</w:t>
      </w:r>
      <w:r>
        <w:rPr>
          <w:rStyle w:val="FootnoteReference"/>
        </w:rPr>
        <w:footnoteReference w:id="33"/>
      </w:r>
      <w:r w:rsidR="0056079B">
        <w:t xml:space="preserve"> </w:t>
      </w:r>
    </w:p>
    <w:p w14:paraId="6FB71FDA" w14:textId="15168C79" w:rsidR="0056079B" w:rsidRPr="008317AD" w:rsidRDefault="00BF185A" w:rsidP="00BF185A">
      <w:pPr>
        <w:pStyle w:val="Heading2"/>
      </w:pPr>
      <w:bookmarkStart w:id="22" w:name="_Toc423094206"/>
      <w:r>
        <w:lastRenderedPageBreak/>
        <w:t>3.</w:t>
      </w:r>
      <w:r>
        <w:tab/>
      </w:r>
      <w:r w:rsidR="0056079B" w:rsidRPr="008317AD">
        <w:t>Respondent violated 395.8 because he did not have a record of duty status for October 28, 2014 when he traveled from Middlefield, Ohio to Columbus, Ohio.</w:t>
      </w:r>
      <w:bookmarkEnd w:id="22"/>
    </w:p>
    <w:p w14:paraId="5F4DEB66" w14:textId="00AEB536" w:rsidR="0056079B" w:rsidRDefault="00BF185A" w:rsidP="00BF185A">
      <w:pPr>
        <w:pStyle w:val="textstyle0"/>
      </w:pPr>
      <w:r>
        <w:tab/>
      </w:r>
      <w:r w:rsidR="0056079B">
        <w:t>Even if the Commission finds that Respondent’s trip on October 29 qualifies for the exemption, Respondent still violated 49 C.F.R. 395.8 when he failed to present a rec</w:t>
      </w:r>
      <w:r w:rsidR="0083493E">
        <w:softHyphen/>
      </w:r>
      <w:r w:rsidR="0056079B">
        <w:t xml:space="preserve">ord of duty status for his trip to Columbus on the previous day. </w:t>
      </w:r>
      <w:r>
        <w:t xml:space="preserve"> </w:t>
      </w:r>
      <w:r w:rsidR="0056079B">
        <w:t xml:space="preserve">Under 49 C.F.R. 395.8(k)(2), a “driver shall retain a copy of each record of duty status for the previous seven consecutive days which shall be in his/her possession and available for inspection while on duty.” </w:t>
      </w:r>
      <w:r>
        <w:t xml:space="preserve"> </w:t>
      </w:r>
      <w:r w:rsidR="0056079B">
        <w:t xml:space="preserve">Even if the 100 air-mile radius exemption applied for the day the driver is pulled over, the </w:t>
      </w:r>
      <w:r w:rsidR="00E14AB6">
        <w:t>g</w:t>
      </w:r>
      <w:r w:rsidR="0056079B">
        <w:t xml:space="preserve">uidance provided by the FMCSA for that exemption clarifies that “[t]he driver must only have in his/her possession a record of duty status for the day he/she does not qualify for the exemption.” </w:t>
      </w:r>
    </w:p>
    <w:p w14:paraId="4B4C95F9" w14:textId="2DB81BFE" w:rsidR="0056079B" w:rsidRDefault="00BF185A" w:rsidP="00BF185A">
      <w:pPr>
        <w:pStyle w:val="textstyle0"/>
      </w:pPr>
      <w:r>
        <w:tab/>
      </w:r>
      <w:r w:rsidR="0056079B">
        <w:t>Here, Respondent traveled to Columbus on October 28, the day before Inspector Hughes’ inspection in this case.</w:t>
      </w:r>
      <w:r>
        <w:rPr>
          <w:rStyle w:val="FootnoteReference"/>
        </w:rPr>
        <w:footnoteReference w:id="34"/>
      </w:r>
      <w:r w:rsidR="0056079B">
        <w:t xml:space="preserve"> </w:t>
      </w:r>
      <w:r>
        <w:t xml:space="preserve"> </w:t>
      </w:r>
      <w:r w:rsidR="0056079B">
        <w:t xml:space="preserve">As stated previously, the distance between Middlefield and Columbus is 168 air miles, which exceeds the allowable distance for the 100 air-mile radius exemption. </w:t>
      </w:r>
      <w:r>
        <w:t xml:space="preserve"> </w:t>
      </w:r>
      <w:r w:rsidR="0056079B">
        <w:t>Therefore, Respondent’s trip to Columbus on the 28th does not qual</w:t>
      </w:r>
      <w:r w:rsidR="00EC2A37">
        <w:softHyphen/>
      </w:r>
      <w:r w:rsidR="0056079B">
        <w:t xml:space="preserve">ify for the exemption. </w:t>
      </w:r>
      <w:r>
        <w:t xml:space="preserve"> </w:t>
      </w:r>
      <w:r w:rsidR="0056079B">
        <w:t>As drivers are required to keep a copy of their record of duty sta</w:t>
      </w:r>
      <w:r w:rsidR="0083493E">
        <w:softHyphen/>
      </w:r>
      <w:r w:rsidR="0056079B">
        <w:t>tus for “the previous seven consecutive days,” Respondent was required to have, in his possession, a record of duty status for his trip to Columbus that day.</w:t>
      </w:r>
      <w:r>
        <w:t xml:space="preserve"> </w:t>
      </w:r>
      <w:r w:rsidR="0056079B">
        <w:t xml:space="preserve"> This requirement applies even if Respondent’s trip on October 29 qualified for the exemption.</w:t>
      </w:r>
    </w:p>
    <w:p w14:paraId="54225D34" w14:textId="33DDD987" w:rsidR="0056079B" w:rsidRDefault="00BF185A" w:rsidP="00BF185A">
      <w:pPr>
        <w:pStyle w:val="textstyle0"/>
      </w:pPr>
      <w:r>
        <w:lastRenderedPageBreak/>
        <w:tab/>
      </w:r>
      <w:r w:rsidR="0056079B">
        <w:t>The policy behind requiring drivers to maintain a record of duty status is to pro</w:t>
      </w:r>
      <w:r w:rsidR="00EC2A37">
        <w:softHyphen/>
      </w:r>
      <w:r w:rsidR="0056079B">
        <w:t xml:space="preserve">mote public safety by ensuring compliance with the hours of service rules. </w:t>
      </w:r>
      <w:r>
        <w:t xml:space="preserve"> </w:t>
      </w:r>
      <w:r w:rsidR="0056079B">
        <w:t xml:space="preserve">The hours of service rules prescribe the </w:t>
      </w:r>
      <w:r w:rsidR="00E14AB6">
        <w:t xml:space="preserve">number of </w:t>
      </w:r>
      <w:r w:rsidR="0056079B">
        <w:t>hours a driver can be on the road and the</w:t>
      </w:r>
      <w:r w:rsidR="00E14AB6">
        <w:t xml:space="preserve"> number of</w:t>
      </w:r>
      <w:r w:rsidR="0056079B">
        <w:t xml:space="preserve"> hours he must spend off duty resting. </w:t>
      </w:r>
      <w:r>
        <w:t xml:space="preserve"> </w:t>
      </w:r>
      <w:r w:rsidR="0056079B">
        <w:t xml:space="preserve">It follows logically, then, that a driver who falls under the 100 air-mile radius exemption on the day he is pulled over must still prove that he complied with the hours of service rules for any of the previous seven days where he did drive outside of 100 air miles. </w:t>
      </w:r>
      <w:r>
        <w:t xml:space="preserve"> </w:t>
      </w:r>
      <w:r w:rsidR="0056079B">
        <w:t xml:space="preserve">Interpreting the rules otherwise would endanger public safety because a driver could </w:t>
      </w:r>
      <w:r w:rsidR="00E14AB6">
        <w:t>violate the hours of service rules on one day</w:t>
      </w:r>
      <w:r w:rsidR="0056079B">
        <w:t xml:space="preserve">, but can avoid </w:t>
      </w:r>
      <w:r w:rsidR="00E14AB6">
        <w:t>detection</w:t>
      </w:r>
      <w:r w:rsidR="0056079B">
        <w:t xml:space="preserve"> if he </w:t>
      </w:r>
      <w:r w:rsidR="00E14AB6">
        <w:t xml:space="preserve">happens to be driving </w:t>
      </w:r>
      <w:r w:rsidR="0056079B">
        <w:t xml:space="preserve">locally </w:t>
      </w:r>
      <w:r w:rsidR="00E14AB6">
        <w:t xml:space="preserve">on </w:t>
      </w:r>
      <w:r w:rsidR="0056079B">
        <w:t>the day of an inspection</w:t>
      </w:r>
      <w:r w:rsidR="00E14AB6">
        <w:t xml:space="preserve"> conducted within the next seven days</w:t>
      </w:r>
      <w:r w:rsidR="0056079B">
        <w:t>.</w:t>
      </w:r>
      <w:r>
        <w:t xml:space="preserve"> </w:t>
      </w:r>
      <w:r w:rsidR="0056079B">
        <w:t xml:space="preserve"> Such an interpretation undermines the policy underlying the hours of service rules and the safety of the public traveling on Ohio’s highways. </w:t>
      </w:r>
    </w:p>
    <w:p w14:paraId="455E755F" w14:textId="77777777" w:rsidR="0056079B" w:rsidRPr="003816D2" w:rsidRDefault="00BF185A" w:rsidP="00BF185A">
      <w:pPr>
        <w:pStyle w:val="Heading2"/>
      </w:pPr>
      <w:bookmarkStart w:id="23" w:name="_Toc423094207"/>
      <w:r>
        <w:t>4.</w:t>
      </w:r>
      <w:r>
        <w:tab/>
      </w:r>
      <w:r w:rsidR="0056079B" w:rsidRPr="003816D2">
        <w:t>The Commission has authority to assess civil forfeitures.</w:t>
      </w:r>
      <w:bookmarkEnd w:id="23"/>
      <w:r w:rsidR="0056079B" w:rsidRPr="003816D2">
        <w:t xml:space="preserve"> </w:t>
      </w:r>
    </w:p>
    <w:p w14:paraId="53C9A36A" w14:textId="6B39B65C" w:rsidR="0056079B" w:rsidRDefault="00BF185A" w:rsidP="00BF185A">
      <w:pPr>
        <w:pStyle w:val="textstyle0"/>
      </w:pPr>
      <w:r>
        <w:tab/>
      </w:r>
      <w:r w:rsidR="0056079B">
        <w:t xml:space="preserve">Under R.C. 4923.99, the Commission has statutory </w:t>
      </w:r>
      <w:r w:rsidR="00E14AB6">
        <w:t xml:space="preserve">authority </w:t>
      </w:r>
      <w:r w:rsidR="0056079B">
        <w:t>to assess monetary forfeitures against drivers for non-compliance with the FMCSA regu</w:t>
      </w:r>
      <w:r w:rsidR="00EC2A37">
        <w:softHyphen/>
      </w:r>
      <w:r w:rsidR="0056079B">
        <w:t xml:space="preserve">lations. </w:t>
      </w:r>
      <w:r>
        <w:t xml:space="preserve"> </w:t>
      </w:r>
      <w:r w:rsidR="0056079B">
        <w:t>The Com</w:t>
      </w:r>
      <w:r w:rsidR="0083493E">
        <w:softHyphen/>
      </w:r>
      <w:r w:rsidR="0056079B">
        <w:t>mission has adopted rules governing the assessment of civil forfei</w:t>
      </w:r>
      <w:r w:rsidR="00EC2A37">
        <w:softHyphen/>
      </w:r>
      <w:r w:rsidR="0056079B">
        <w:t>tures.</w:t>
      </w:r>
      <w:r>
        <w:rPr>
          <w:rStyle w:val="FootnoteReference"/>
        </w:rPr>
        <w:footnoteReference w:id="35"/>
      </w:r>
      <w:r w:rsidR="0056079B">
        <w:t xml:space="preserve"> </w:t>
      </w:r>
      <w:r>
        <w:t xml:space="preserve"> </w:t>
      </w:r>
    </w:p>
    <w:p w14:paraId="798EF48B" w14:textId="6A74D6DD" w:rsidR="0056079B" w:rsidRPr="003A0D33" w:rsidRDefault="00BF185A" w:rsidP="00BF185A">
      <w:pPr>
        <w:pStyle w:val="textstyle0"/>
      </w:pPr>
      <w:r>
        <w:tab/>
      </w:r>
      <w:r w:rsidR="0056079B">
        <w:t>The parties stipulated that the forfeiture amount of one hundred dollars is proper in this case.</w:t>
      </w:r>
      <w:r>
        <w:rPr>
          <w:rStyle w:val="FootnoteReference"/>
        </w:rPr>
        <w:footnoteReference w:id="36"/>
      </w:r>
      <w:r w:rsidR="0056079B">
        <w:t xml:space="preserve"> </w:t>
      </w:r>
      <w:r>
        <w:t xml:space="preserve"> </w:t>
      </w:r>
      <w:r w:rsidR="0056079B">
        <w:t>As such, if Respondent is found to have violated 49 C.F.R. 395.8(k)(2), he should be assessed the full one hundred dollars as stipulated.</w:t>
      </w:r>
    </w:p>
    <w:p w14:paraId="7C486CEE" w14:textId="77777777" w:rsidR="001A5C2F" w:rsidRDefault="001A5C2F" w:rsidP="001A5C2F">
      <w:pPr>
        <w:pStyle w:val="Heading1"/>
      </w:pPr>
      <w:bookmarkStart w:id="24" w:name="_Toc423094208"/>
      <w:r>
        <w:lastRenderedPageBreak/>
        <w:t>CONCLUSION</w:t>
      </w:r>
      <w:bookmarkEnd w:id="24"/>
    </w:p>
    <w:p w14:paraId="0187F128" w14:textId="1F63D4FF" w:rsidR="00E10679" w:rsidRDefault="001A5C2F" w:rsidP="00BF185A">
      <w:pPr>
        <w:pStyle w:val="textstyle0"/>
      </w:pPr>
      <w:r>
        <w:tab/>
      </w:r>
      <w:r w:rsidR="00BF185A">
        <w:t>Based on the record produced at the hearing and for the reasons stated above, Staff respectfully requests that the Commission find that Respondent violated 49 C.F.R. 395.8(k)(2) and require him to pay the forfeiture amount of one hundred dollars.</w:t>
      </w:r>
    </w:p>
    <w:p w14:paraId="573B4766"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t>Respectfully submitted,</w:t>
      </w:r>
    </w:p>
    <w:p w14:paraId="182EF2EB" w14:textId="77777777" w:rsidR="00BF185A" w:rsidRPr="00BF185A" w:rsidRDefault="00BF185A" w:rsidP="00BF185A">
      <w:pPr>
        <w:pStyle w:val="Title"/>
        <w:tabs>
          <w:tab w:val="left" w:pos="4320"/>
        </w:tabs>
        <w:jc w:val="left"/>
        <w:rPr>
          <w:rFonts w:ascii="Times New Roman" w:hAnsi="Times New Roman"/>
          <w:sz w:val="26"/>
          <w:szCs w:val="26"/>
        </w:rPr>
      </w:pPr>
    </w:p>
    <w:p w14:paraId="5C29DEA9" w14:textId="77777777" w:rsidR="00BF185A" w:rsidRDefault="00BF185A" w:rsidP="00BF185A">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Michael DeWine</w:t>
      </w:r>
    </w:p>
    <w:p w14:paraId="4D4FE990"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t>Ohio Attorney General</w:t>
      </w:r>
    </w:p>
    <w:p w14:paraId="0DC00FEF" w14:textId="77777777" w:rsidR="00BF185A" w:rsidRDefault="00BF185A" w:rsidP="00BF185A">
      <w:pPr>
        <w:pStyle w:val="Title"/>
        <w:tabs>
          <w:tab w:val="left" w:pos="4320"/>
        </w:tabs>
        <w:jc w:val="left"/>
        <w:rPr>
          <w:rFonts w:ascii="Times New Roman" w:hAnsi="Times New Roman"/>
          <w:sz w:val="26"/>
          <w:szCs w:val="26"/>
        </w:rPr>
      </w:pPr>
    </w:p>
    <w:p w14:paraId="1C2FF667"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William L. Wright</w:t>
      </w:r>
    </w:p>
    <w:p w14:paraId="770C9832"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14:paraId="39379AA5" w14:textId="77777777" w:rsidR="00BF185A" w:rsidRDefault="00BF185A" w:rsidP="00BF185A">
      <w:pPr>
        <w:pStyle w:val="Title"/>
        <w:tabs>
          <w:tab w:val="left" w:pos="4320"/>
        </w:tabs>
        <w:jc w:val="left"/>
        <w:rPr>
          <w:rFonts w:ascii="Times New Roman" w:hAnsi="Times New Roman"/>
          <w:sz w:val="26"/>
          <w:szCs w:val="26"/>
        </w:rPr>
      </w:pPr>
    </w:p>
    <w:p w14:paraId="253475BF" w14:textId="77777777" w:rsidR="00BF185A" w:rsidRDefault="00BF185A" w:rsidP="00BF185A">
      <w:pPr>
        <w:pStyle w:val="Title"/>
        <w:tabs>
          <w:tab w:val="left" w:pos="4320"/>
        </w:tabs>
        <w:jc w:val="left"/>
        <w:rPr>
          <w:rFonts w:ascii="Times New Roman" w:hAnsi="Times New Roman"/>
          <w:sz w:val="26"/>
          <w:szCs w:val="26"/>
        </w:rPr>
      </w:pPr>
    </w:p>
    <w:p w14:paraId="5C31BA4D" w14:textId="46E657F4" w:rsidR="00BF185A" w:rsidRPr="00AF6587" w:rsidRDefault="00BF185A" w:rsidP="0099695A">
      <w:pPr>
        <w:pStyle w:val="Title"/>
        <w:tabs>
          <w:tab w:val="left" w:pos="4320"/>
          <w:tab w:val="left" w:pos="9360"/>
        </w:tabs>
        <w:jc w:val="left"/>
        <w:rPr>
          <w:rFonts w:ascii="AR BERKLEY" w:hAnsi="AR BERKLEY"/>
          <w:sz w:val="32"/>
          <w:szCs w:val="32"/>
          <w:u w:val="single"/>
        </w:rPr>
      </w:pPr>
      <w:r>
        <w:rPr>
          <w:rFonts w:ascii="Times New Roman" w:hAnsi="Times New Roman"/>
          <w:sz w:val="26"/>
          <w:szCs w:val="26"/>
        </w:rPr>
        <w:tab/>
      </w:r>
      <w:r w:rsidR="0079563C" w:rsidRPr="00AF6587">
        <w:rPr>
          <w:rFonts w:ascii="AR BERKLEY" w:hAnsi="AR BERKLEY"/>
          <w:i/>
          <w:sz w:val="32"/>
          <w:szCs w:val="32"/>
          <w:u w:val="single"/>
        </w:rPr>
        <w:t>/s/ Natalia Messenger</w:t>
      </w:r>
      <w:r w:rsidRPr="00AF6587">
        <w:rPr>
          <w:rFonts w:ascii="AR BERKLEY" w:hAnsi="AR BERKLEY"/>
          <w:sz w:val="32"/>
          <w:szCs w:val="32"/>
          <w:u w:val="single"/>
        </w:rPr>
        <w:tab/>
      </w:r>
    </w:p>
    <w:p w14:paraId="7AC50D1C" w14:textId="14D25BEF" w:rsidR="00BF185A" w:rsidRDefault="00124351" w:rsidP="00BF185A">
      <w:pPr>
        <w:pStyle w:val="Title"/>
        <w:tabs>
          <w:tab w:val="left" w:pos="4320"/>
        </w:tabs>
        <w:jc w:val="left"/>
        <w:rPr>
          <w:rFonts w:ascii="Times New Roman" w:hAnsi="Times New Roman"/>
          <w:b/>
          <w:sz w:val="26"/>
          <w:szCs w:val="26"/>
        </w:rPr>
      </w:pPr>
      <w:r>
        <w:rPr>
          <w:rFonts w:ascii="Times New Roman" w:hAnsi="Times New Roman"/>
          <w:b/>
          <w:sz w:val="26"/>
          <w:szCs w:val="26"/>
        </w:rPr>
        <w:tab/>
        <w:t>Natalia</w:t>
      </w:r>
      <w:r w:rsidR="00BF185A" w:rsidRPr="00B94356">
        <w:rPr>
          <w:rFonts w:ascii="Times New Roman" w:hAnsi="Times New Roman"/>
          <w:b/>
          <w:sz w:val="26"/>
          <w:szCs w:val="26"/>
        </w:rPr>
        <w:t xml:space="preserve"> Messenger</w:t>
      </w:r>
    </w:p>
    <w:p w14:paraId="5CEFB4EE" w14:textId="7053AAFF" w:rsidR="0099695A" w:rsidRPr="00B94356" w:rsidRDefault="0099695A" w:rsidP="00BF185A">
      <w:pPr>
        <w:pStyle w:val="Title"/>
        <w:tabs>
          <w:tab w:val="left" w:pos="4320"/>
        </w:tabs>
        <w:jc w:val="left"/>
        <w:rPr>
          <w:rFonts w:ascii="Times New Roman" w:hAnsi="Times New Roman"/>
          <w:b/>
          <w:sz w:val="26"/>
          <w:szCs w:val="26"/>
        </w:rPr>
      </w:pPr>
      <w:r>
        <w:rPr>
          <w:rFonts w:ascii="Times New Roman" w:hAnsi="Times New Roman"/>
          <w:b/>
          <w:sz w:val="26"/>
          <w:szCs w:val="26"/>
        </w:rPr>
        <w:tab/>
      </w:r>
      <w:r w:rsidRPr="00B94356">
        <w:rPr>
          <w:rFonts w:ascii="Times New Roman" w:hAnsi="Times New Roman"/>
          <w:b/>
          <w:sz w:val="26"/>
          <w:szCs w:val="26"/>
        </w:rPr>
        <w:t>John H. Jones</w:t>
      </w:r>
    </w:p>
    <w:p w14:paraId="7494F603"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t>Assistant Attorneys General</w:t>
      </w:r>
    </w:p>
    <w:p w14:paraId="11AEC143"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t>Public Utilities Section</w:t>
      </w:r>
    </w:p>
    <w:p w14:paraId="7838D7AA"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14:paraId="37B69B08"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14:paraId="73664890"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14:paraId="35FAA12B" w14:textId="77777777" w:rsidR="00BF185A" w:rsidRDefault="00BF185A" w:rsidP="00BF185A">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14:paraId="6B05B4FA" w14:textId="77777777" w:rsidR="00BF185A" w:rsidRPr="00B94356" w:rsidRDefault="00BF185A" w:rsidP="00BF185A">
      <w:pPr>
        <w:pStyle w:val="Title"/>
        <w:tabs>
          <w:tab w:val="left" w:pos="4320"/>
        </w:tabs>
        <w:jc w:val="left"/>
        <w:rPr>
          <w:rFonts w:ascii="Times New Roman" w:hAnsi="Times New Roman"/>
          <w:sz w:val="26"/>
          <w:szCs w:val="26"/>
        </w:rPr>
      </w:pPr>
      <w:r w:rsidRPr="00B94356">
        <w:rPr>
          <w:rFonts w:ascii="Times New Roman" w:hAnsi="Times New Roman"/>
          <w:sz w:val="26"/>
          <w:szCs w:val="26"/>
        </w:rPr>
        <w:tab/>
      </w:r>
      <w:hyperlink r:id="rId16" w:history="1">
        <w:r w:rsidRPr="00233C66">
          <w:rPr>
            <w:rStyle w:val="Hyperlink"/>
            <w:rFonts w:ascii="Times New Roman" w:hAnsi="Times New Roman"/>
            <w:sz w:val="26"/>
            <w:szCs w:val="26"/>
          </w:rPr>
          <w:t>john.jones@puc.state.oh.us</w:t>
        </w:r>
      </w:hyperlink>
    </w:p>
    <w:p w14:paraId="54FCCA2A" w14:textId="77777777" w:rsidR="00BF185A" w:rsidRPr="00B94356" w:rsidRDefault="00BF185A" w:rsidP="00BF185A">
      <w:pPr>
        <w:pStyle w:val="Title"/>
        <w:tabs>
          <w:tab w:val="left" w:pos="4320"/>
        </w:tabs>
        <w:jc w:val="left"/>
        <w:rPr>
          <w:rFonts w:ascii="Times New Roman" w:hAnsi="Times New Roman"/>
          <w:sz w:val="26"/>
          <w:szCs w:val="26"/>
        </w:rPr>
      </w:pPr>
      <w:r w:rsidRPr="00B94356">
        <w:rPr>
          <w:rFonts w:ascii="Times New Roman" w:hAnsi="Times New Roman"/>
          <w:sz w:val="26"/>
          <w:szCs w:val="26"/>
        </w:rPr>
        <w:tab/>
      </w:r>
      <w:hyperlink r:id="rId17" w:history="1">
        <w:r w:rsidRPr="00233C66">
          <w:rPr>
            <w:rStyle w:val="Hyperlink"/>
            <w:rFonts w:ascii="Times New Roman" w:hAnsi="Times New Roman"/>
            <w:sz w:val="26"/>
            <w:szCs w:val="26"/>
          </w:rPr>
          <w:t>natalia.messenger@puc.state.oh.us</w:t>
        </w:r>
      </w:hyperlink>
    </w:p>
    <w:p w14:paraId="00E4841B" w14:textId="77777777" w:rsidR="00BF185A" w:rsidRDefault="00BF185A" w:rsidP="00BF185A">
      <w:pPr>
        <w:pStyle w:val="Title"/>
        <w:tabs>
          <w:tab w:val="left" w:pos="4320"/>
        </w:tabs>
        <w:jc w:val="left"/>
        <w:rPr>
          <w:rFonts w:ascii="Times New Roman" w:hAnsi="Times New Roman"/>
          <w:sz w:val="26"/>
          <w:szCs w:val="26"/>
        </w:rPr>
      </w:pPr>
    </w:p>
    <w:p w14:paraId="59ACA0ED" w14:textId="77777777" w:rsidR="00BF185A" w:rsidRDefault="00BF185A" w:rsidP="00BF185A">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On behalf of the Staff of</w:t>
      </w:r>
    </w:p>
    <w:p w14:paraId="4EA688E0" w14:textId="77777777" w:rsidR="00BF185A" w:rsidRPr="00BF185A" w:rsidRDefault="00BF185A" w:rsidP="00BF185A">
      <w:pPr>
        <w:pStyle w:val="Title"/>
        <w:tabs>
          <w:tab w:val="left" w:pos="4320"/>
        </w:tabs>
        <w:jc w:val="left"/>
        <w:rPr>
          <w:rFonts w:ascii="Times New Roman" w:hAnsi="Times New Roman"/>
          <w:b/>
          <w:sz w:val="26"/>
          <w:szCs w:val="26"/>
        </w:rPr>
      </w:pPr>
      <w:r>
        <w:rPr>
          <w:rFonts w:ascii="Times New Roman" w:hAnsi="Times New Roman"/>
          <w:b/>
          <w:sz w:val="26"/>
          <w:szCs w:val="26"/>
        </w:rPr>
        <w:tab/>
        <w:t>The Public Utilities Commission of Ohio</w:t>
      </w:r>
    </w:p>
    <w:p w14:paraId="65DDEA71" w14:textId="77777777" w:rsidR="00200A0A" w:rsidRPr="00934B92" w:rsidRDefault="00200A0A" w:rsidP="0064436A">
      <w:pPr>
        <w:pStyle w:val="Heading1"/>
      </w:pPr>
      <w:r w:rsidRPr="00955E20">
        <w:br w:type="page"/>
      </w:r>
      <w:bookmarkStart w:id="25" w:name="_Toc205862526"/>
      <w:bookmarkStart w:id="26" w:name="_Toc423094209"/>
      <w:r w:rsidR="00C95499" w:rsidRPr="00934B92">
        <w:rPr>
          <w:caps w:val="0"/>
        </w:rPr>
        <w:lastRenderedPageBreak/>
        <w:t>PROOF OF SERVICE</w:t>
      </w:r>
      <w:bookmarkEnd w:id="25"/>
      <w:bookmarkEnd w:id="26"/>
    </w:p>
    <w:p w14:paraId="0D77CE91" w14:textId="03556E87" w:rsidR="00200A0A" w:rsidRPr="00934B92" w:rsidRDefault="0064436A" w:rsidP="006A3730">
      <w:pPr>
        <w:pStyle w:val="textstyle0"/>
      </w:pPr>
      <w:r>
        <w:tab/>
      </w:r>
      <w:r w:rsidR="00200A0A" w:rsidRPr="00934B92">
        <w:t xml:space="preserve">I hereby certify that a true copy of the foregoing </w:t>
      </w:r>
      <w:r w:rsidR="00721F2D">
        <w:rPr>
          <w:b/>
        </w:rPr>
        <w:t>Post-Hearing 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 xml:space="preserve">was served </w:t>
      </w:r>
      <w:r w:rsidR="006F1F69">
        <w:t>upon Respondent, Thomas Overturf, 5162 East 112</w:t>
      </w:r>
      <w:r w:rsidR="006F1F69" w:rsidRPr="006F1F69">
        <w:rPr>
          <w:vertAlign w:val="superscript"/>
        </w:rPr>
        <w:t>th</w:t>
      </w:r>
      <w:r w:rsidR="006F1F69">
        <w:t xml:space="preserve"> Street, Garfield Heights, Ohio, 44125,</w:t>
      </w:r>
      <w:r w:rsidR="00721F2D">
        <w:t xml:space="preserve"> </w:t>
      </w:r>
      <w:r w:rsidR="006F1F69">
        <w:t>this</w:t>
      </w:r>
      <w:r w:rsidR="00BF185A">
        <w:t xml:space="preserve"> 26</w:t>
      </w:r>
      <w:r w:rsidR="001A5C2F" w:rsidRPr="001A5C2F">
        <w:rPr>
          <w:vertAlign w:val="superscript"/>
        </w:rPr>
        <w:t>th</w:t>
      </w:r>
      <w:r w:rsidR="001A5C2F">
        <w:t xml:space="preserve"> </w:t>
      </w:r>
      <w:r w:rsidR="004B6358">
        <w:t>d</w:t>
      </w:r>
      <w:r w:rsidR="00200A0A" w:rsidRPr="00934B92">
        <w:t xml:space="preserve">ay of </w:t>
      </w:r>
      <w:r w:rsidR="00721F2D">
        <w:t>June</w:t>
      </w:r>
      <w:r w:rsidR="00200A0A" w:rsidRPr="00934B92">
        <w:t xml:space="preserve">, </w:t>
      </w:r>
      <w:r w:rsidR="00BF185A">
        <w:t>2015</w:t>
      </w:r>
      <w:r w:rsidR="00200A0A" w:rsidRPr="00934B92">
        <w:t>.</w:t>
      </w:r>
    </w:p>
    <w:p w14:paraId="483C382A" w14:textId="77777777" w:rsidR="00200A0A" w:rsidRPr="00DF3D54" w:rsidRDefault="00200A0A" w:rsidP="00200A0A">
      <w:pPr>
        <w:spacing w:line="480" w:lineRule="auto"/>
        <w:jc w:val="both"/>
      </w:pPr>
    </w:p>
    <w:p w14:paraId="49437288" w14:textId="1FA088CE" w:rsidR="00200A0A" w:rsidRPr="0079563C" w:rsidRDefault="00AF6587" w:rsidP="00200A0A">
      <w:pPr>
        <w:tabs>
          <w:tab w:val="right" w:pos="9360"/>
        </w:tabs>
        <w:ind w:left="4320"/>
        <w:jc w:val="both"/>
        <w:rPr>
          <w:sz w:val="26"/>
          <w:szCs w:val="26"/>
          <w:u w:val="single"/>
        </w:rPr>
      </w:pPr>
      <w:r w:rsidRPr="00AF6587">
        <w:rPr>
          <w:rFonts w:ascii="AR BERKLEY" w:hAnsi="AR BERKLEY"/>
          <w:i/>
          <w:sz w:val="32"/>
          <w:szCs w:val="32"/>
          <w:u w:val="single"/>
        </w:rPr>
        <w:t>/s/ Natalia Messenger</w:t>
      </w:r>
      <w:r w:rsidR="00200A0A" w:rsidRPr="0079563C">
        <w:rPr>
          <w:sz w:val="26"/>
          <w:szCs w:val="26"/>
          <w:u w:val="single"/>
        </w:rPr>
        <w:tab/>
      </w:r>
    </w:p>
    <w:p w14:paraId="3B8DABFD" w14:textId="39DF8BB3" w:rsidR="00200A0A" w:rsidRPr="00DF3D54" w:rsidRDefault="00124351" w:rsidP="00200A0A">
      <w:pPr>
        <w:ind w:left="4332"/>
        <w:jc w:val="both"/>
        <w:rPr>
          <w:b/>
          <w:sz w:val="26"/>
          <w:szCs w:val="26"/>
        </w:rPr>
      </w:pPr>
      <w:r>
        <w:rPr>
          <w:b/>
          <w:sz w:val="26"/>
          <w:szCs w:val="26"/>
        </w:rPr>
        <w:t xml:space="preserve">Natalia </w:t>
      </w:r>
      <w:r w:rsidR="00BF185A">
        <w:rPr>
          <w:b/>
          <w:sz w:val="26"/>
          <w:szCs w:val="26"/>
        </w:rPr>
        <w:t>Messenger</w:t>
      </w:r>
    </w:p>
    <w:p w14:paraId="450BE7EB" w14:textId="77777777" w:rsidR="00200A0A" w:rsidRDefault="00200A0A" w:rsidP="00200A0A">
      <w:pPr>
        <w:ind w:left="4332"/>
        <w:jc w:val="both"/>
        <w:rPr>
          <w:sz w:val="26"/>
          <w:szCs w:val="26"/>
        </w:rPr>
      </w:pPr>
      <w:r w:rsidRPr="00DF3D54">
        <w:rPr>
          <w:sz w:val="26"/>
          <w:szCs w:val="26"/>
        </w:rPr>
        <w:t>Assistant Attorney General</w:t>
      </w:r>
    </w:p>
    <w:p w14:paraId="74CD087F" w14:textId="77777777" w:rsidR="00977F01" w:rsidRDefault="00977F01" w:rsidP="00200A0A">
      <w:pPr>
        <w:ind w:left="4332"/>
        <w:jc w:val="both"/>
        <w:rPr>
          <w:sz w:val="26"/>
          <w:szCs w:val="26"/>
        </w:rPr>
      </w:pPr>
    </w:p>
    <w:p w14:paraId="78CBE014" w14:textId="77777777" w:rsidR="00977F01" w:rsidRPr="00DF3D54" w:rsidRDefault="00977F01" w:rsidP="00200A0A">
      <w:pPr>
        <w:ind w:left="4332"/>
        <w:jc w:val="both"/>
        <w:rPr>
          <w:sz w:val="26"/>
          <w:szCs w:val="26"/>
        </w:rPr>
      </w:pPr>
    </w:p>
    <w:sectPr w:rsidR="00977F01" w:rsidRPr="00DF3D54" w:rsidSect="003B12DD">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8E573" w14:textId="77777777" w:rsidR="0032561B" w:rsidRDefault="0032561B" w:rsidP="008866FC">
      <w:pPr>
        <w:pStyle w:val="Title"/>
      </w:pPr>
      <w:r>
        <w:separator/>
      </w:r>
    </w:p>
  </w:endnote>
  <w:endnote w:type="continuationSeparator" w:id="0">
    <w:p w14:paraId="35E26C7F" w14:textId="77777777" w:rsidR="0032561B" w:rsidRDefault="0032561B"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E6BA" w14:textId="77777777" w:rsidR="00BF185A" w:rsidRDefault="00BF185A"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26BBC" w14:textId="77777777" w:rsidR="00BF185A" w:rsidRPr="007F5520" w:rsidRDefault="00BF185A"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970AA" w14:textId="77777777" w:rsidR="00BF185A" w:rsidRPr="00C95499" w:rsidRDefault="00BF185A"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F16727">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729A" w14:textId="77777777" w:rsidR="00BF185A" w:rsidRPr="007F5520" w:rsidRDefault="00BF185A"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F16727">
      <w:rPr>
        <w:rStyle w:val="PageNumber"/>
        <w:noProof/>
        <w:sz w:val="24"/>
        <w:szCs w:val="24"/>
      </w:rPr>
      <w:t>12</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253A1" w14:textId="77777777" w:rsidR="00BF185A" w:rsidRPr="00C95499" w:rsidRDefault="00BF185A"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48C35" w14:textId="77777777" w:rsidR="0032561B" w:rsidRDefault="0032561B" w:rsidP="00663D6A">
      <w:pPr>
        <w:pStyle w:val="Title"/>
        <w:jc w:val="left"/>
      </w:pPr>
      <w:r>
        <w:separator/>
      </w:r>
    </w:p>
  </w:footnote>
  <w:footnote w:type="continuationSeparator" w:id="0">
    <w:p w14:paraId="6E50CFE6" w14:textId="77777777" w:rsidR="0032561B" w:rsidRDefault="0032561B" w:rsidP="008866FC">
      <w:pPr>
        <w:pStyle w:val="Title"/>
      </w:pPr>
      <w:r>
        <w:continuationSeparator/>
      </w:r>
    </w:p>
  </w:footnote>
  <w:footnote w:id="1">
    <w:p w14:paraId="0AF81947" w14:textId="77777777" w:rsidR="00BF185A" w:rsidRDefault="00BF185A">
      <w:pPr>
        <w:pStyle w:val="FootnoteText"/>
      </w:pPr>
      <w:r>
        <w:rPr>
          <w:rStyle w:val="FootnoteReference"/>
        </w:rPr>
        <w:footnoteRef/>
      </w:r>
      <w:r>
        <w:t xml:space="preserve"> </w:t>
      </w:r>
      <w:r>
        <w:tab/>
      </w:r>
      <w:r>
        <w:tab/>
        <w:t>Driver/Vehicle Examination Report (Staff Ex. 1).</w:t>
      </w:r>
    </w:p>
  </w:footnote>
  <w:footnote w:id="2">
    <w:p w14:paraId="6AEE7ACD" w14:textId="77777777" w:rsidR="00BF185A" w:rsidRDefault="00BF185A">
      <w:pPr>
        <w:pStyle w:val="FootnoteText"/>
      </w:pPr>
      <w:r>
        <w:rPr>
          <w:rStyle w:val="FootnoteReference"/>
        </w:rPr>
        <w:footnoteRef/>
      </w:r>
      <w:r>
        <w:t xml:space="preserve"> </w:t>
      </w:r>
      <w:r>
        <w:tab/>
      </w:r>
      <w:r>
        <w:tab/>
      </w:r>
      <w:r>
        <w:rPr>
          <w:i/>
        </w:rPr>
        <w:t xml:space="preserve">See </w:t>
      </w:r>
      <w:r>
        <w:t>Staff Ex. 1.</w:t>
      </w:r>
    </w:p>
  </w:footnote>
  <w:footnote w:id="3">
    <w:p w14:paraId="59EA0BA6" w14:textId="77777777" w:rsidR="00BF185A" w:rsidRDefault="00BF185A">
      <w:pPr>
        <w:pStyle w:val="FootnoteText"/>
      </w:pPr>
      <w:r>
        <w:rPr>
          <w:rStyle w:val="FootnoteReference"/>
        </w:rPr>
        <w:footnoteRef/>
      </w:r>
      <w:r>
        <w:t xml:space="preserve"> </w:t>
      </w:r>
      <w:r>
        <w:tab/>
      </w:r>
      <w:r>
        <w:tab/>
        <w:t xml:space="preserve">Notice of Preliminary Determination (Staff Ex. 2).  </w:t>
      </w:r>
    </w:p>
  </w:footnote>
  <w:footnote w:id="4">
    <w:p w14:paraId="02CDBED8" w14:textId="77777777" w:rsidR="00BF185A" w:rsidRDefault="00BF185A">
      <w:pPr>
        <w:pStyle w:val="FootnoteText"/>
      </w:pPr>
      <w:r>
        <w:rPr>
          <w:rStyle w:val="FootnoteReference"/>
        </w:rPr>
        <w:footnoteRef/>
      </w:r>
      <w:r>
        <w:t xml:space="preserve"> </w:t>
      </w:r>
      <w:r>
        <w:tab/>
      </w:r>
      <w:r>
        <w:tab/>
      </w:r>
      <w:r>
        <w:rPr>
          <w:i/>
        </w:rPr>
        <w:t>See</w:t>
      </w:r>
      <w:r>
        <w:t xml:space="preserve"> Staff Ex. 1.</w:t>
      </w:r>
    </w:p>
  </w:footnote>
  <w:footnote w:id="5">
    <w:p w14:paraId="2A1F0849" w14:textId="77777777" w:rsidR="00BF185A" w:rsidRDefault="00BF185A">
      <w:pPr>
        <w:pStyle w:val="FootnoteText"/>
      </w:pPr>
      <w:r>
        <w:rPr>
          <w:rStyle w:val="FootnoteReference"/>
        </w:rPr>
        <w:footnoteRef/>
      </w:r>
      <w:r>
        <w:t xml:space="preserve"> </w:t>
      </w:r>
      <w:r>
        <w:tab/>
      </w:r>
      <w:r>
        <w:tab/>
        <w:t>Tr. at 48, 49.</w:t>
      </w:r>
    </w:p>
  </w:footnote>
  <w:footnote w:id="6">
    <w:p w14:paraId="038DAB9F" w14:textId="77777777" w:rsidR="00BF185A" w:rsidRDefault="00BF185A">
      <w:pPr>
        <w:pStyle w:val="FootnoteText"/>
      </w:pPr>
      <w:r>
        <w:rPr>
          <w:rStyle w:val="FootnoteReference"/>
        </w:rPr>
        <w:footnoteRef/>
      </w:r>
      <w:r>
        <w:t xml:space="preserve"> </w:t>
      </w:r>
      <w:r>
        <w:tab/>
      </w:r>
      <w:r>
        <w:tab/>
        <w:t>Staff Ex. 1.</w:t>
      </w:r>
    </w:p>
  </w:footnote>
  <w:footnote w:id="7">
    <w:p w14:paraId="6CFDA7BC" w14:textId="77777777" w:rsidR="00BF185A" w:rsidRDefault="00BF185A">
      <w:pPr>
        <w:pStyle w:val="FootnoteText"/>
      </w:pPr>
      <w:r>
        <w:rPr>
          <w:rStyle w:val="FootnoteReference"/>
        </w:rPr>
        <w:footnoteRef/>
      </w:r>
      <w:r>
        <w:t xml:space="preserve"> </w:t>
      </w:r>
      <w:r>
        <w:tab/>
      </w:r>
      <w:r>
        <w:tab/>
        <w:t>Tr. at 18.</w:t>
      </w:r>
    </w:p>
  </w:footnote>
  <w:footnote w:id="8">
    <w:p w14:paraId="5A18C13F" w14:textId="77777777" w:rsidR="00BF185A" w:rsidRDefault="00BF185A">
      <w:pPr>
        <w:pStyle w:val="FootnoteText"/>
      </w:pPr>
      <w:r>
        <w:rPr>
          <w:rStyle w:val="FootnoteReference"/>
        </w:rPr>
        <w:footnoteRef/>
      </w:r>
      <w:r>
        <w:t xml:space="preserve"> </w:t>
      </w:r>
      <w:r>
        <w:tab/>
      </w:r>
      <w:r>
        <w:tab/>
        <w:t>Tr. at 22, 54.</w:t>
      </w:r>
    </w:p>
  </w:footnote>
  <w:footnote w:id="9">
    <w:p w14:paraId="02BA61BC" w14:textId="77777777" w:rsidR="00BF185A" w:rsidRDefault="00BF185A">
      <w:pPr>
        <w:pStyle w:val="FootnoteText"/>
      </w:pPr>
      <w:r>
        <w:rPr>
          <w:rStyle w:val="FootnoteReference"/>
        </w:rPr>
        <w:footnoteRef/>
      </w:r>
      <w:r>
        <w:t xml:space="preserve"> </w:t>
      </w:r>
      <w:r>
        <w:tab/>
      </w:r>
      <w:r>
        <w:tab/>
      </w:r>
      <w:r>
        <w:rPr>
          <w:i/>
        </w:rPr>
        <w:t>Id</w:t>
      </w:r>
      <w:r>
        <w:t>. at 23.</w:t>
      </w:r>
    </w:p>
  </w:footnote>
  <w:footnote w:id="10">
    <w:p w14:paraId="43442697" w14:textId="77777777" w:rsidR="00BF185A" w:rsidRDefault="00BF185A">
      <w:pPr>
        <w:pStyle w:val="FootnoteText"/>
      </w:pPr>
      <w:r>
        <w:rPr>
          <w:rStyle w:val="FootnoteReference"/>
        </w:rPr>
        <w:footnoteRef/>
      </w:r>
      <w:r>
        <w:t xml:space="preserve"> </w:t>
      </w:r>
      <w:r>
        <w:tab/>
      </w:r>
      <w:r>
        <w:tab/>
      </w:r>
      <w:r>
        <w:rPr>
          <w:i/>
        </w:rPr>
        <w:t>Id</w:t>
      </w:r>
      <w:r>
        <w:t>. at 22.</w:t>
      </w:r>
    </w:p>
  </w:footnote>
  <w:footnote w:id="11">
    <w:p w14:paraId="288938AA" w14:textId="77777777" w:rsidR="00BF185A" w:rsidRDefault="00BF185A">
      <w:pPr>
        <w:pStyle w:val="FootnoteText"/>
      </w:pPr>
      <w:r>
        <w:rPr>
          <w:rStyle w:val="FootnoteReference"/>
        </w:rPr>
        <w:footnoteRef/>
      </w:r>
      <w:r>
        <w:t xml:space="preserve"> </w:t>
      </w:r>
      <w:r>
        <w:tab/>
      </w:r>
      <w:r>
        <w:tab/>
      </w:r>
      <w:r>
        <w:rPr>
          <w:i/>
        </w:rPr>
        <w:t>Id</w:t>
      </w:r>
      <w:r>
        <w:t xml:space="preserve">. </w:t>
      </w:r>
    </w:p>
  </w:footnote>
  <w:footnote w:id="12">
    <w:p w14:paraId="334F9904" w14:textId="77777777" w:rsidR="00BF185A" w:rsidRDefault="00BF185A">
      <w:pPr>
        <w:pStyle w:val="FootnoteText"/>
      </w:pPr>
      <w:r>
        <w:rPr>
          <w:rStyle w:val="FootnoteReference"/>
        </w:rPr>
        <w:footnoteRef/>
      </w:r>
      <w:r>
        <w:t xml:space="preserve"> </w:t>
      </w:r>
      <w:r>
        <w:tab/>
      </w:r>
      <w:r>
        <w:tab/>
        <w:t>Staff Ex. 1.</w:t>
      </w:r>
    </w:p>
  </w:footnote>
  <w:footnote w:id="13">
    <w:p w14:paraId="0FADFE54" w14:textId="77777777" w:rsidR="00BF185A" w:rsidRDefault="00BF185A">
      <w:pPr>
        <w:pStyle w:val="FootnoteText"/>
      </w:pPr>
      <w:r>
        <w:rPr>
          <w:rStyle w:val="FootnoteReference"/>
        </w:rPr>
        <w:footnoteRef/>
      </w:r>
      <w:r>
        <w:t xml:space="preserve"> </w:t>
      </w:r>
      <w:r>
        <w:tab/>
      </w:r>
      <w:r>
        <w:tab/>
        <w:t xml:space="preserve">Tr. at 50.  </w:t>
      </w:r>
    </w:p>
  </w:footnote>
  <w:footnote w:id="14">
    <w:p w14:paraId="2102A81F" w14:textId="77777777" w:rsidR="00BF185A" w:rsidRDefault="00BF185A">
      <w:pPr>
        <w:pStyle w:val="FootnoteText"/>
      </w:pPr>
      <w:r>
        <w:rPr>
          <w:rStyle w:val="FootnoteReference"/>
        </w:rPr>
        <w:footnoteRef/>
      </w:r>
      <w:r>
        <w:t xml:space="preserve"> </w:t>
      </w:r>
      <w:r>
        <w:tab/>
      </w:r>
      <w:r>
        <w:tab/>
      </w:r>
      <w:r>
        <w:rPr>
          <w:i/>
        </w:rPr>
        <w:t>Id</w:t>
      </w:r>
      <w:r>
        <w:t>. at 46.</w:t>
      </w:r>
    </w:p>
  </w:footnote>
  <w:footnote w:id="15">
    <w:p w14:paraId="7DF86B4D" w14:textId="77777777" w:rsidR="00BF185A" w:rsidRDefault="00BF185A">
      <w:pPr>
        <w:pStyle w:val="FootnoteText"/>
      </w:pPr>
      <w:r>
        <w:rPr>
          <w:rStyle w:val="FootnoteReference"/>
        </w:rPr>
        <w:footnoteRef/>
      </w:r>
      <w:r>
        <w:t xml:space="preserve"> </w:t>
      </w:r>
      <w:r>
        <w:tab/>
      </w:r>
      <w:r>
        <w:tab/>
      </w:r>
      <w:r>
        <w:rPr>
          <w:i/>
        </w:rPr>
        <w:t>Id</w:t>
      </w:r>
      <w:r>
        <w:t>. at 51.</w:t>
      </w:r>
    </w:p>
  </w:footnote>
  <w:footnote w:id="16">
    <w:p w14:paraId="3E395219" w14:textId="77777777" w:rsidR="00BF185A" w:rsidRDefault="00BF185A">
      <w:pPr>
        <w:pStyle w:val="FootnoteText"/>
      </w:pPr>
      <w:r>
        <w:rPr>
          <w:rStyle w:val="FootnoteReference"/>
        </w:rPr>
        <w:footnoteRef/>
      </w:r>
      <w:r>
        <w:t xml:space="preserve"> </w:t>
      </w:r>
      <w:r>
        <w:tab/>
      </w:r>
      <w:r>
        <w:tab/>
        <w:t>49 C.F.R. 395.8(a)(1).</w:t>
      </w:r>
    </w:p>
  </w:footnote>
  <w:footnote w:id="17">
    <w:p w14:paraId="380F5CED" w14:textId="77777777" w:rsidR="00BF185A" w:rsidRDefault="00BF185A">
      <w:pPr>
        <w:pStyle w:val="FootnoteText"/>
      </w:pPr>
      <w:r>
        <w:rPr>
          <w:rStyle w:val="FootnoteReference"/>
        </w:rPr>
        <w:footnoteRef/>
      </w:r>
      <w:r>
        <w:t xml:space="preserve"> </w:t>
      </w:r>
      <w:r>
        <w:tab/>
      </w:r>
      <w:r>
        <w:tab/>
        <w:t>49 C.F.R. 395.8(a)(2).</w:t>
      </w:r>
    </w:p>
  </w:footnote>
  <w:footnote w:id="18">
    <w:p w14:paraId="406CD3C1" w14:textId="77777777" w:rsidR="00BF185A" w:rsidRDefault="00BF185A">
      <w:pPr>
        <w:pStyle w:val="FootnoteText"/>
      </w:pPr>
      <w:r>
        <w:rPr>
          <w:rStyle w:val="FootnoteReference"/>
        </w:rPr>
        <w:footnoteRef/>
      </w:r>
      <w:r>
        <w:t xml:space="preserve"> </w:t>
      </w:r>
      <w:r>
        <w:tab/>
      </w:r>
      <w:r>
        <w:tab/>
        <w:t>49 C.F.R. 395.8(b)(1)-(4).</w:t>
      </w:r>
    </w:p>
  </w:footnote>
  <w:footnote w:id="19">
    <w:p w14:paraId="2A045CEB" w14:textId="77777777" w:rsidR="00BF185A" w:rsidRDefault="00BF185A">
      <w:pPr>
        <w:pStyle w:val="FootnoteText"/>
      </w:pPr>
      <w:r>
        <w:rPr>
          <w:rStyle w:val="FootnoteReference"/>
        </w:rPr>
        <w:footnoteRef/>
      </w:r>
      <w:r>
        <w:t xml:space="preserve"> </w:t>
      </w:r>
      <w:r>
        <w:tab/>
      </w:r>
      <w:r>
        <w:tab/>
        <w:t xml:space="preserve">49 C.F.R. 395.8(c).  </w:t>
      </w:r>
    </w:p>
  </w:footnote>
  <w:footnote w:id="20">
    <w:p w14:paraId="046D79FE" w14:textId="77777777" w:rsidR="00BF185A" w:rsidRDefault="00BF185A">
      <w:pPr>
        <w:pStyle w:val="FootnoteText"/>
      </w:pPr>
      <w:r>
        <w:rPr>
          <w:rStyle w:val="FootnoteReference"/>
        </w:rPr>
        <w:footnoteRef/>
      </w:r>
      <w:r>
        <w:t xml:space="preserve"> </w:t>
      </w:r>
      <w:r>
        <w:tab/>
      </w:r>
      <w:r>
        <w:tab/>
        <w:t>49 C.F.R. 395.8(k)(2).</w:t>
      </w:r>
    </w:p>
  </w:footnote>
  <w:footnote w:id="21">
    <w:p w14:paraId="76EDB7D9" w14:textId="77777777" w:rsidR="00BF185A" w:rsidRDefault="00BF185A">
      <w:pPr>
        <w:pStyle w:val="FootnoteText"/>
      </w:pPr>
      <w:r>
        <w:rPr>
          <w:rStyle w:val="FootnoteReference"/>
        </w:rPr>
        <w:footnoteRef/>
      </w:r>
      <w:r>
        <w:t xml:space="preserve"> </w:t>
      </w:r>
      <w:r>
        <w:tab/>
      </w:r>
      <w:r>
        <w:tab/>
        <w:t>Tr. at 22.</w:t>
      </w:r>
    </w:p>
  </w:footnote>
  <w:footnote w:id="22">
    <w:p w14:paraId="18B2F0FA" w14:textId="77777777" w:rsidR="00BF185A" w:rsidRDefault="00BF185A">
      <w:pPr>
        <w:pStyle w:val="FootnoteText"/>
      </w:pPr>
      <w:r>
        <w:rPr>
          <w:rStyle w:val="FootnoteReference"/>
        </w:rPr>
        <w:footnoteRef/>
      </w:r>
      <w:r>
        <w:t xml:space="preserve"> </w:t>
      </w:r>
      <w:r>
        <w:tab/>
      </w:r>
      <w:r>
        <w:tab/>
        <w:t>Staff Ex. 1.</w:t>
      </w:r>
    </w:p>
  </w:footnote>
  <w:footnote w:id="23">
    <w:p w14:paraId="23D36516" w14:textId="77777777" w:rsidR="00BF185A" w:rsidRDefault="00BF185A">
      <w:pPr>
        <w:pStyle w:val="FootnoteText"/>
      </w:pPr>
      <w:r>
        <w:rPr>
          <w:rStyle w:val="FootnoteReference"/>
        </w:rPr>
        <w:footnoteRef/>
      </w:r>
      <w:r>
        <w:t xml:space="preserve"> </w:t>
      </w:r>
      <w:r>
        <w:tab/>
      </w:r>
      <w:r>
        <w:tab/>
        <w:t>Tr. at 22, 54.</w:t>
      </w:r>
    </w:p>
  </w:footnote>
  <w:footnote w:id="24">
    <w:p w14:paraId="7FD9D4A8" w14:textId="77777777" w:rsidR="00BF185A" w:rsidRDefault="00BF185A">
      <w:pPr>
        <w:pStyle w:val="FootnoteText"/>
      </w:pPr>
      <w:r>
        <w:rPr>
          <w:rStyle w:val="FootnoteReference"/>
        </w:rPr>
        <w:footnoteRef/>
      </w:r>
      <w:r>
        <w:t xml:space="preserve"> </w:t>
      </w:r>
      <w:r>
        <w:tab/>
      </w:r>
      <w:r>
        <w:tab/>
        <w:t>49 C.F.R. 395.1(e)(1)(i).</w:t>
      </w:r>
    </w:p>
  </w:footnote>
  <w:footnote w:id="25">
    <w:p w14:paraId="62C01ECD" w14:textId="77777777" w:rsidR="00BF185A" w:rsidRDefault="00BF185A">
      <w:pPr>
        <w:pStyle w:val="FootnoteText"/>
      </w:pPr>
      <w:r>
        <w:rPr>
          <w:rStyle w:val="FootnoteReference"/>
        </w:rPr>
        <w:footnoteRef/>
      </w:r>
      <w:r>
        <w:t xml:space="preserve"> </w:t>
      </w:r>
      <w:r>
        <w:tab/>
      </w:r>
      <w:r>
        <w:tab/>
        <w:t>Tr. at 22.</w:t>
      </w:r>
    </w:p>
  </w:footnote>
  <w:footnote w:id="26">
    <w:p w14:paraId="7F6A7C5B" w14:textId="77777777" w:rsidR="00BF185A" w:rsidRDefault="00BF185A">
      <w:pPr>
        <w:pStyle w:val="FootnoteText"/>
      </w:pPr>
      <w:r>
        <w:rPr>
          <w:rStyle w:val="FootnoteReference"/>
        </w:rPr>
        <w:footnoteRef/>
      </w:r>
      <w:r>
        <w:t xml:space="preserve"> </w:t>
      </w:r>
      <w:r>
        <w:tab/>
      </w:r>
      <w:r>
        <w:tab/>
      </w:r>
      <w:r>
        <w:rPr>
          <w:i/>
        </w:rPr>
        <w:t>Id</w:t>
      </w:r>
      <w:r>
        <w:t>. at 48-49.</w:t>
      </w:r>
    </w:p>
  </w:footnote>
  <w:footnote w:id="27">
    <w:p w14:paraId="33319FC0" w14:textId="77777777" w:rsidR="00BF185A" w:rsidRDefault="00BF185A">
      <w:pPr>
        <w:pStyle w:val="FootnoteText"/>
      </w:pPr>
      <w:r>
        <w:rPr>
          <w:rStyle w:val="FootnoteReference"/>
        </w:rPr>
        <w:footnoteRef/>
      </w:r>
      <w:r>
        <w:t xml:space="preserve"> </w:t>
      </w:r>
      <w:r>
        <w:tab/>
      </w:r>
      <w:r>
        <w:tab/>
        <w:t>Staff Ex. 1.</w:t>
      </w:r>
    </w:p>
  </w:footnote>
  <w:footnote w:id="28">
    <w:p w14:paraId="11CA69C9" w14:textId="77777777" w:rsidR="00BF185A" w:rsidRDefault="00BF185A">
      <w:pPr>
        <w:pStyle w:val="FootnoteText"/>
      </w:pPr>
      <w:r>
        <w:rPr>
          <w:rStyle w:val="FootnoteReference"/>
        </w:rPr>
        <w:footnoteRef/>
      </w:r>
      <w:r>
        <w:t xml:space="preserve"> </w:t>
      </w:r>
      <w:r>
        <w:tab/>
      </w:r>
      <w:r>
        <w:tab/>
        <w:t>Tr. at 17-18.</w:t>
      </w:r>
    </w:p>
  </w:footnote>
  <w:footnote w:id="29">
    <w:p w14:paraId="1D49001D" w14:textId="77777777" w:rsidR="00BF185A" w:rsidRDefault="00BF185A">
      <w:pPr>
        <w:pStyle w:val="FootnoteText"/>
      </w:pPr>
      <w:r>
        <w:rPr>
          <w:rStyle w:val="FootnoteReference"/>
        </w:rPr>
        <w:footnoteRef/>
      </w:r>
      <w:r>
        <w:t xml:space="preserve"> </w:t>
      </w:r>
      <w:r>
        <w:tab/>
      </w:r>
      <w:r>
        <w:tab/>
        <w:t>Tr. at 18.</w:t>
      </w:r>
    </w:p>
  </w:footnote>
  <w:footnote w:id="30">
    <w:p w14:paraId="149625F0" w14:textId="77777777" w:rsidR="00BF185A" w:rsidRDefault="00BF185A">
      <w:pPr>
        <w:pStyle w:val="FootnoteText"/>
      </w:pPr>
      <w:r>
        <w:rPr>
          <w:rStyle w:val="FootnoteReference"/>
        </w:rPr>
        <w:footnoteRef/>
      </w:r>
      <w:r>
        <w:t xml:space="preserve"> </w:t>
      </w:r>
      <w:r>
        <w:tab/>
      </w:r>
      <w:r>
        <w:tab/>
      </w:r>
      <w:r>
        <w:rPr>
          <w:i/>
        </w:rPr>
        <w:t>Id</w:t>
      </w:r>
      <w:r>
        <w:t>. at 50.</w:t>
      </w:r>
    </w:p>
  </w:footnote>
  <w:footnote w:id="31">
    <w:p w14:paraId="5F3A3403" w14:textId="77777777" w:rsidR="00BF185A" w:rsidRPr="00BF185A" w:rsidRDefault="00BF185A">
      <w:pPr>
        <w:pStyle w:val="FootnoteText"/>
      </w:pPr>
      <w:r>
        <w:rPr>
          <w:rStyle w:val="FootnoteReference"/>
        </w:rPr>
        <w:footnoteRef/>
      </w:r>
      <w:r>
        <w:t xml:space="preserve"> </w:t>
      </w:r>
      <w:r>
        <w:tab/>
      </w:r>
      <w:r>
        <w:tab/>
      </w:r>
      <w:r>
        <w:rPr>
          <w:i/>
        </w:rPr>
        <w:t>Id</w:t>
      </w:r>
      <w:r>
        <w:t>. at 55.</w:t>
      </w:r>
    </w:p>
  </w:footnote>
  <w:footnote w:id="32">
    <w:p w14:paraId="56EA5066" w14:textId="77777777" w:rsidR="00BF185A" w:rsidRDefault="00BF185A">
      <w:pPr>
        <w:pStyle w:val="FootnoteText"/>
      </w:pPr>
      <w:r>
        <w:rPr>
          <w:rStyle w:val="FootnoteReference"/>
        </w:rPr>
        <w:footnoteRef/>
      </w:r>
      <w:r>
        <w:t xml:space="preserve"> </w:t>
      </w:r>
      <w:r>
        <w:tab/>
      </w:r>
      <w:r>
        <w:tab/>
      </w:r>
      <w:r>
        <w:rPr>
          <w:i/>
        </w:rPr>
        <w:t xml:space="preserve">Id. </w:t>
      </w:r>
      <w:r>
        <w:t>at 22.</w:t>
      </w:r>
    </w:p>
  </w:footnote>
  <w:footnote w:id="33">
    <w:p w14:paraId="761B35D0" w14:textId="77777777" w:rsidR="00BF185A" w:rsidRDefault="00BF185A">
      <w:pPr>
        <w:pStyle w:val="FootnoteText"/>
      </w:pPr>
      <w:r>
        <w:rPr>
          <w:rStyle w:val="FootnoteReference"/>
        </w:rPr>
        <w:footnoteRef/>
      </w:r>
      <w:r>
        <w:t xml:space="preserve"> </w:t>
      </w:r>
      <w:r>
        <w:tab/>
      </w:r>
      <w:r>
        <w:tab/>
      </w:r>
      <w:r>
        <w:rPr>
          <w:i/>
        </w:rPr>
        <w:t>Id</w:t>
      </w:r>
      <w:r>
        <w:t>. at 46.</w:t>
      </w:r>
    </w:p>
  </w:footnote>
  <w:footnote w:id="34">
    <w:p w14:paraId="0CEC67D3" w14:textId="77777777" w:rsidR="00BF185A" w:rsidRDefault="00BF185A">
      <w:pPr>
        <w:pStyle w:val="FootnoteText"/>
      </w:pPr>
      <w:r>
        <w:rPr>
          <w:rStyle w:val="FootnoteReference"/>
        </w:rPr>
        <w:footnoteRef/>
      </w:r>
      <w:r>
        <w:t xml:space="preserve"> </w:t>
      </w:r>
      <w:r>
        <w:tab/>
      </w:r>
      <w:r>
        <w:tab/>
        <w:t>Tr. at 51.</w:t>
      </w:r>
    </w:p>
  </w:footnote>
  <w:footnote w:id="35">
    <w:p w14:paraId="6457B57C" w14:textId="77777777" w:rsidR="00BF185A" w:rsidRDefault="00BF185A">
      <w:pPr>
        <w:pStyle w:val="FootnoteText"/>
      </w:pPr>
      <w:r>
        <w:rPr>
          <w:rStyle w:val="FootnoteReference"/>
        </w:rPr>
        <w:footnoteRef/>
      </w:r>
      <w:r>
        <w:t xml:space="preserve"> </w:t>
      </w:r>
      <w:r>
        <w:tab/>
      </w:r>
      <w:r>
        <w:tab/>
      </w:r>
      <w:r>
        <w:rPr>
          <w:i/>
        </w:rPr>
        <w:t>See</w:t>
      </w:r>
      <w:r>
        <w:t xml:space="preserve"> Ohio Adm. Code 4901:2-7-01 through 22.</w:t>
      </w:r>
    </w:p>
  </w:footnote>
  <w:footnote w:id="36">
    <w:p w14:paraId="13DA39DB" w14:textId="77777777" w:rsidR="00BF185A" w:rsidRDefault="00BF185A">
      <w:pPr>
        <w:pStyle w:val="FootnoteText"/>
      </w:pPr>
      <w:r>
        <w:rPr>
          <w:rStyle w:val="FootnoteReference"/>
        </w:rPr>
        <w:footnoteRef/>
      </w:r>
      <w:r>
        <w:t xml:space="preserve"> </w:t>
      </w:r>
      <w:r>
        <w:tab/>
      </w:r>
      <w:r>
        <w:tab/>
        <w:t>Tr. at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1B4B" w14:textId="77777777" w:rsidR="00BF185A" w:rsidRDefault="00BF185A"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F16727">
      <w:rPr>
        <w:b/>
        <w:noProof/>
        <w:color w:val="FF0000"/>
      </w:rPr>
      <w:t>6/26/2015</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F16727">
      <w:rPr>
        <w:b/>
        <w:noProof/>
        <w:color w:val="FF0000"/>
      </w:rPr>
      <w:t>3:13:25 PM</w:t>
    </w:r>
    <w:r>
      <w:rPr>
        <w:b/>
        <w:color w:val="FF0000"/>
      </w:rPr>
      <w:fldChar w:fldCharType="end"/>
    </w:r>
  </w:p>
  <w:p w14:paraId="7CE5D29A" w14:textId="77777777" w:rsidR="00BF185A" w:rsidRPr="003B12DD" w:rsidRDefault="00BF185A"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F16727">
      <w:rPr>
        <w:b/>
        <w:noProof/>
        <w:color w:val="FF0000"/>
      </w:rPr>
      <w:t>\\puc\shares\Departments\Attorney General\Attorneys\Jones\Commission Cases\TRANSPORTATION\Thomas Overturf\Brief 062615.docx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E6F9" w14:textId="77777777" w:rsidR="00BF185A" w:rsidRDefault="00BF185A"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F16727">
      <w:rPr>
        <w:b/>
        <w:noProof/>
        <w:color w:val="FF0000"/>
      </w:rPr>
      <w:t>6/26/2015</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F16727">
      <w:rPr>
        <w:b/>
        <w:noProof/>
        <w:color w:val="FF0000"/>
      </w:rPr>
      <w:t>3:13:25 PM</w:t>
    </w:r>
    <w:r>
      <w:rPr>
        <w:b/>
        <w:color w:val="FF0000"/>
      </w:rPr>
      <w:fldChar w:fldCharType="end"/>
    </w:r>
  </w:p>
  <w:p w14:paraId="70ADBD04" w14:textId="77777777" w:rsidR="00BF185A" w:rsidRPr="003B12DD" w:rsidRDefault="00BF185A"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F16727">
      <w:rPr>
        <w:b/>
        <w:noProof/>
        <w:color w:val="FF0000"/>
      </w:rPr>
      <w:t>\\puc\shares\Departments\Attorney General\Attorneys\Jones\Commission Cases\TRANSPORTATION\Thomas Overturf\Brief 062615.docx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2AAD" w14:textId="77777777" w:rsidR="00BF185A" w:rsidRDefault="00BF185A" w:rsidP="003B12DD">
    <w:pPr>
      <w:pStyle w:val="Header"/>
      <w:jc w:val="center"/>
      <w:rPr>
        <w:b/>
        <w:sz w:val="28"/>
        <w:szCs w:val="28"/>
      </w:rPr>
    </w:pPr>
    <w:r>
      <w:rPr>
        <w:b/>
        <w:sz w:val="28"/>
        <w:szCs w:val="28"/>
      </w:rPr>
      <w:t>TABLE OF CONTENTS</w:t>
    </w:r>
  </w:p>
  <w:p w14:paraId="72BFE8C4" w14:textId="77777777" w:rsidR="00BF185A" w:rsidRDefault="00BF185A" w:rsidP="00C95499">
    <w:pPr>
      <w:pStyle w:val="Header"/>
      <w:jc w:val="right"/>
      <w:rPr>
        <w:b/>
        <w:sz w:val="28"/>
        <w:szCs w:val="28"/>
      </w:rPr>
    </w:pPr>
    <w:r>
      <w:rPr>
        <w:b/>
        <w:sz w:val="28"/>
        <w:szCs w:val="28"/>
      </w:rPr>
      <w:t>Page</w:t>
    </w:r>
  </w:p>
  <w:p w14:paraId="475190B4" w14:textId="77777777" w:rsidR="00BF185A" w:rsidRPr="00C95499" w:rsidRDefault="00BF185A"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9E9CD" w14:textId="2E5BD09F" w:rsidR="00BF185A" w:rsidRPr="006921E2" w:rsidRDefault="00BF185A" w:rsidP="006921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8D017" w14:textId="11ACD45E" w:rsidR="00BF185A" w:rsidRPr="006921E2" w:rsidRDefault="00BF185A" w:rsidP="00692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67594"/>
    <w:multiLevelType w:val="hybridMultilevel"/>
    <w:tmpl w:val="457299E2"/>
    <w:lvl w:ilvl="0" w:tplc="9DEE5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56"/>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109"/>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5C77"/>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351"/>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4972"/>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1A6"/>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71B"/>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61B"/>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1D7B"/>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3ECF"/>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79B"/>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063"/>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5EF"/>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1E2"/>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1F69"/>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63C"/>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3E"/>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594"/>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24A"/>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4AA9"/>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95A"/>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6EB1"/>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587"/>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356"/>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85A"/>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4CEE"/>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BF3"/>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198B"/>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400"/>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B6"/>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013E"/>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A37"/>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727"/>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877F4"/>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5AB3"/>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1982E01"/>
  <w15:docId w15:val="{65B3847D-FDE7-47B5-AFA8-BC0C125A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AF6587"/>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BF185A"/>
    <w:pPr>
      <w:spacing w:line="480" w:lineRule="auto"/>
    </w:pPr>
    <w:rPr>
      <w:sz w:val="26"/>
      <w:szCs w:val="24"/>
    </w:rPr>
  </w:style>
  <w:style w:type="character" w:customStyle="1" w:styleId="textstyleChar">
    <w:name w:val="text style Char"/>
    <w:link w:val="textstyle0"/>
    <w:rsid w:val="00BF185A"/>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AF6587"/>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ListParagraph">
    <w:name w:val="List Paragraph"/>
    <w:basedOn w:val="Normal"/>
    <w:uiPriority w:val="34"/>
    <w:qFormat/>
    <w:rsid w:val="0056079B"/>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E14AB6"/>
    <w:rPr>
      <w:sz w:val="16"/>
      <w:szCs w:val="16"/>
    </w:rPr>
  </w:style>
  <w:style w:type="paragraph" w:styleId="CommentText">
    <w:name w:val="annotation text"/>
    <w:basedOn w:val="Normal"/>
    <w:link w:val="CommentTextChar"/>
    <w:semiHidden/>
    <w:unhideWhenUsed/>
    <w:rsid w:val="00E14AB6"/>
  </w:style>
  <w:style w:type="character" w:customStyle="1" w:styleId="CommentTextChar">
    <w:name w:val="Comment Text Char"/>
    <w:basedOn w:val="DefaultParagraphFont"/>
    <w:link w:val="CommentText"/>
    <w:semiHidden/>
    <w:rsid w:val="00E14AB6"/>
  </w:style>
  <w:style w:type="paragraph" w:styleId="CommentSubject">
    <w:name w:val="annotation subject"/>
    <w:basedOn w:val="CommentText"/>
    <w:next w:val="CommentText"/>
    <w:link w:val="CommentSubjectChar"/>
    <w:semiHidden/>
    <w:unhideWhenUsed/>
    <w:rsid w:val="00E14AB6"/>
    <w:rPr>
      <w:b/>
      <w:bCs/>
    </w:rPr>
  </w:style>
  <w:style w:type="character" w:customStyle="1" w:styleId="CommentSubjectChar">
    <w:name w:val="Comment Subject Char"/>
    <w:basedOn w:val="CommentTextChar"/>
    <w:link w:val="CommentSubject"/>
    <w:semiHidden/>
    <w:rsid w:val="00E14AB6"/>
    <w:rPr>
      <w:b/>
      <w:bCs/>
    </w:rPr>
  </w:style>
  <w:style w:type="paragraph" w:styleId="Revision">
    <w:name w:val="Revision"/>
    <w:hidden/>
    <w:uiPriority w:val="99"/>
    <w:semiHidden/>
    <w:rsid w:val="00DB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jones@puc.state.oh.us"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natalia.messenger@puc.state.oh.us" TargetMode="External"/><Relationship Id="rId2" Type="http://schemas.openxmlformats.org/officeDocument/2006/relationships/numbering" Target="numbering.xml"/><Relationship Id="rId16" Type="http://schemas.openxmlformats.org/officeDocument/2006/relationships/hyperlink" Target="mailto:john.jones@puc.state.oh.u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natalia.messenger@puc.state.oh.us"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49C87-5A0F-46A5-AF85-B8588A7A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Pleading.dotx</Template>
  <TotalTime>9</TotalTime>
  <Pages>14</Pages>
  <Words>2421</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15902</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10</cp:revision>
  <cp:lastPrinted>2015-06-26T19:13:00Z</cp:lastPrinted>
  <dcterms:created xsi:type="dcterms:W3CDTF">2015-06-23T14:11:00Z</dcterms:created>
  <dcterms:modified xsi:type="dcterms:W3CDTF">2015-06-26T19:13:00Z</dcterms:modified>
</cp:coreProperties>
</file>