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404" w:rsidRDefault="002C0404" w:rsidP="002C0404">
      <w:pPr>
        <w:autoSpaceDE w:val="0"/>
        <w:autoSpaceDN w:val="0"/>
        <w:adjustRightInd w:val="0"/>
        <w:jc w:val="center"/>
        <w:rPr>
          <w:rFonts w:ascii="Arial Bold" w:hAnsi="Arial Bold" w:cs="Arial"/>
          <w:b/>
          <w:smallCaps/>
          <w:sz w:val="32"/>
          <w:szCs w:val="32"/>
        </w:rPr>
      </w:pPr>
      <w:bookmarkStart w:id="0" w:name="_GoBack"/>
      <w:bookmarkEnd w:id="0"/>
      <w:r>
        <w:rPr>
          <w:rFonts w:ascii="Arial Bold" w:hAnsi="Arial Bold" w:cs="Arial"/>
          <w:b/>
          <w:smallCaps/>
          <w:sz w:val="32"/>
          <w:szCs w:val="32"/>
        </w:rPr>
        <w:t>Before</w:t>
      </w:r>
    </w:p>
    <w:p w:rsidR="002C0404" w:rsidRDefault="002C0404" w:rsidP="002C0404">
      <w:pPr>
        <w:autoSpaceDE w:val="0"/>
        <w:autoSpaceDN w:val="0"/>
        <w:adjustRightInd w:val="0"/>
        <w:jc w:val="center"/>
        <w:rPr>
          <w:rFonts w:ascii="Arial Bold" w:hAnsi="Arial Bold" w:cs="Arial"/>
          <w:b/>
          <w:smallCaps/>
          <w:sz w:val="32"/>
          <w:szCs w:val="32"/>
        </w:rPr>
      </w:pPr>
      <w:r>
        <w:rPr>
          <w:rFonts w:ascii="Arial Bold" w:hAnsi="Arial Bold" w:cs="Arial"/>
          <w:b/>
          <w:smallCaps/>
          <w:sz w:val="32"/>
          <w:szCs w:val="32"/>
        </w:rPr>
        <w:t>the Public Utilities Commission of Ohio</w:t>
      </w:r>
    </w:p>
    <w:p w:rsidR="002C0404" w:rsidRDefault="002C0404" w:rsidP="002C0404">
      <w:pPr>
        <w:autoSpaceDE w:val="0"/>
        <w:autoSpaceDN w:val="0"/>
        <w:adjustRightInd w:val="0"/>
        <w:jc w:val="center"/>
        <w:rPr>
          <w:rFonts w:ascii="Arial Bold" w:hAnsi="Arial Bold" w:cs="Arial"/>
          <w:smallCaps/>
        </w:rPr>
      </w:pPr>
    </w:p>
    <w:p w:rsidR="002C0404" w:rsidRDefault="002C0404" w:rsidP="002C0404">
      <w:pPr>
        <w:tabs>
          <w:tab w:val="left" w:pos="4680"/>
          <w:tab w:val="left" w:pos="5220"/>
        </w:tabs>
        <w:autoSpaceDE w:val="0"/>
        <w:autoSpaceDN w:val="0"/>
        <w:adjustRightInd w:val="0"/>
        <w:rPr>
          <w:rFonts w:cs="Arial"/>
        </w:rPr>
      </w:pPr>
      <w:r>
        <w:rPr>
          <w:rFonts w:cs="Arial"/>
        </w:rPr>
        <w:t>In the Matter of the Application of</w:t>
      </w:r>
      <w:r>
        <w:rPr>
          <w:rFonts w:cs="Arial"/>
        </w:rPr>
        <w:tab/>
        <w:t>)</w:t>
      </w:r>
    </w:p>
    <w:p w:rsidR="002C0404" w:rsidRDefault="002C0404" w:rsidP="002C0404">
      <w:pPr>
        <w:tabs>
          <w:tab w:val="left" w:pos="4680"/>
          <w:tab w:val="left" w:pos="5220"/>
        </w:tabs>
        <w:autoSpaceDE w:val="0"/>
        <w:autoSpaceDN w:val="0"/>
        <w:adjustRightInd w:val="0"/>
        <w:rPr>
          <w:rFonts w:cs="Arial"/>
        </w:rPr>
      </w:pPr>
      <w:r>
        <w:rPr>
          <w:rFonts w:cs="Arial"/>
        </w:rPr>
        <w:t>The Dayton Power and Light Company for</w:t>
      </w:r>
      <w:r>
        <w:rPr>
          <w:rFonts w:cs="Arial"/>
        </w:rPr>
        <w:tab/>
        <w:t>)</w:t>
      </w:r>
      <w:r>
        <w:rPr>
          <w:rFonts w:cs="Arial"/>
        </w:rPr>
        <w:tab/>
        <w:t>Case No. 16-395-EL-SSO</w:t>
      </w:r>
    </w:p>
    <w:p w:rsidR="002C0404" w:rsidRDefault="002C0404" w:rsidP="002C0404">
      <w:pPr>
        <w:tabs>
          <w:tab w:val="left" w:pos="4680"/>
          <w:tab w:val="left" w:pos="5220"/>
        </w:tabs>
        <w:autoSpaceDE w:val="0"/>
        <w:autoSpaceDN w:val="0"/>
        <w:adjustRightInd w:val="0"/>
        <w:rPr>
          <w:rFonts w:cs="Arial"/>
        </w:rPr>
      </w:pPr>
      <w:r>
        <w:rPr>
          <w:rFonts w:cs="Arial"/>
        </w:rPr>
        <w:t>Approval of Its Electric Security Plan</w:t>
      </w:r>
      <w:r>
        <w:rPr>
          <w:rFonts w:cs="Arial"/>
        </w:rPr>
        <w:tab/>
        <w:t>)</w:t>
      </w:r>
    </w:p>
    <w:p w:rsidR="002C0404" w:rsidRDefault="002C0404" w:rsidP="002C0404">
      <w:pPr>
        <w:tabs>
          <w:tab w:val="left" w:pos="4680"/>
          <w:tab w:val="left" w:pos="5220"/>
        </w:tabs>
        <w:autoSpaceDE w:val="0"/>
        <w:autoSpaceDN w:val="0"/>
        <w:adjustRightInd w:val="0"/>
        <w:rPr>
          <w:rFonts w:cs="Arial"/>
        </w:rPr>
      </w:pPr>
    </w:p>
    <w:p w:rsidR="002C0404" w:rsidRDefault="002C0404" w:rsidP="002C0404">
      <w:pPr>
        <w:tabs>
          <w:tab w:val="left" w:pos="4680"/>
          <w:tab w:val="left" w:pos="5220"/>
        </w:tabs>
        <w:autoSpaceDE w:val="0"/>
        <w:autoSpaceDN w:val="0"/>
        <w:adjustRightInd w:val="0"/>
        <w:rPr>
          <w:rFonts w:cs="Arial"/>
        </w:rPr>
      </w:pPr>
      <w:r>
        <w:rPr>
          <w:rFonts w:cs="Arial"/>
        </w:rPr>
        <w:t>In the Matter of the Application of</w:t>
      </w:r>
      <w:r>
        <w:rPr>
          <w:rFonts w:cs="Arial"/>
        </w:rPr>
        <w:tab/>
        <w:t>)</w:t>
      </w:r>
    </w:p>
    <w:p w:rsidR="002C0404" w:rsidRDefault="002C0404" w:rsidP="002C0404">
      <w:pPr>
        <w:tabs>
          <w:tab w:val="left" w:pos="4680"/>
          <w:tab w:val="left" w:pos="5220"/>
        </w:tabs>
        <w:autoSpaceDE w:val="0"/>
        <w:autoSpaceDN w:val="0"/>
        <w:adjustRightInd w:val="0"/>
        <w:rPr>
          <w:rFonts w:cs="Arial"/>
        </w:rPr>
      </w:pPr>
      <w:r>
        <w:rPr>
          <w:rFonts w:cs="Arial"/>
        </w:rPr>
        <w:t>The Dayton Power and Light Company for</w:t>
      </w:r>
      <w:r>
        <w:rPr>
          <w:rFonts w:cs="Arial"/>
        </w:rPr>
        <w:tab/>
        <w:t>)</w:t>
      </w:r>
      <w:r>
        <w:rPr>
          <w:rFonts w:cs="Arial"/>
        </w:rPr>
        <w:tab/>
        <w:t>Case No. 16-396-EL-ATA</w:t>
      </w:r>
    </w:p>
    <w:p w:rsidR="002C0404" w:rsidRDefault="002C0404" w:rsidP="002C0404">
      <w:pPr>
        <w:tabs>
          <w:tab w:val="left" w:pos="4680"/>
          <w:tab w:val="left" w:pos="5220"/>
        </w:tabs>
        <w:autoSpaceDE w:val="0"/>
        <w:autoSpaceDN w:val="0"/>
        <w:adjustRightInd w:val="0"/>
        <w:rPr>
          <w:rFonts w:cs="Arial"/>
        </w:rPr>
      </w:pPr>
      <w:r>
        <w:rPr>
          <w:rFonts w:cs="Arial"/>
        </w:rPr>
        <w:t>Approval of Revised Tariffs</w:t>
      </w:r>
      <w:r>
        <w:rPr>
          <w:rFonts w:cs="Arial"/>
        </w:rPr>
        <w:tab/>
        <w:t>)</w:t>
      </w:r>
    </w:p>
    <w:p w:rsidR="002C0404" w:rsidRDefault="002C0404" w:rsidP="002C0404">
      <w:pPr>
        <w:tabs>
          <w:tab w:val="left" w:pos="4680"/>
          <w:tab w:val="left" w:pos="5220"/>
        </w:tabs>
        <w:autoSpaceDE w:val="0"/>
        <w:autoSpaceDN w:val="0"/>
        <w:adjustRightInd w:val="0"/>
        <w:rPr>
          <w:rFonts w:cs="Arial"/>
        </w:rPr>
      </w:pPr>
    </w:p>
    <w:p w:rsidR="002C0404" w:rsidRDefault="002C0404" w:rsidP="002C0404">
      <w:pPr>
        <w:tabs>
          <w:tab w:val="left" w:pos="4680"/>
          <w:tab w:val="left" w:pos="5220"/>
        </w:tabs>
        <w:autoSpaceDE w:val="0"/>
        <w:autoSpaceDN w:val="0"/>
        <w:adjustRightInd w:val="0"/>
        <w:rPr>
          <w:rFonts w:cs="Arial"/>
        </w:rPr>
      </w:pPr>
      <w:r>
        <w:rPr>
          <w:rFonts w:cs="Arial"/>
        </w:rPr>
        <w:t>In the Matter of the Application of</w:t>
      </w:r>
      <w:r>
        <w:rPr>
          <w:rFonts w:cs="Arial"/>
        </w:rPr>
        <w:tab/>
        <w:t>)</w:t>
      </w:r>
    </w:p>
    <w:p w:rsidR="002C0404" w:rsidRDefault="002C0404" w:rsidP="002C0404">
      <w:pPr>
        <w:tabs>
          <w:tab w:val="left" w:pos="4680"/>
          <w:tab w:val="left" w:pos="5220"/>
        </w:tabs>
        <w:autoSpaceDE w:val="0"/>
        <w:autoSpaceDN w:val="0"/>
        <w:adjustRightInd w:val="0"/>
        <w:rPr>
          <w:rFonts w:cs="Arial"/>
        </w:rPr>
      </w:pPr>
      <w:r>
        <w:rPr>
          <w:rFonts w:cs="Arial"/>
        </w:rPr>
        <w:t>The Dayton Power and Light Company for</w:t>
      </w:r>
      <w:r>
        <w:rPr>
          <w:rFonts w:cs="Arial"/>
        </w:rPr>
        <w:tab/>
        <w:t>)</w:t>
      </w:r>
      <w:r>
        <w:rPr>
          <w:rFonts w:cs="Arial"/>
        </w:rPr>
        <w:tab/>
        <w:t>Case No. 16-397-EL-AAM</w:t>
      </w:r>
    </w:p>
    <w:p w:rsidR="002C0404" w:rsidRDefault="002C0404" w:rsidP="002C0404">
      <w:pPr>
        <w:tabs>
          <w:tab w:val="left" w:pos="4680"/>
          <w:tab w:val="left" w:pos="5220"/>
        </w:tabs>
        <w:autoSpaceDE w:val="0"/>
        <w:autoSpaceDN w:val="0"/>
        <w:adjustRightInd w:val="0"/>
        <w:rPr>
          <w:rFonts w:cs="Arial"/>
        </w:rPr>
      </w:pPr>
      <w:r>
        <w:rPr>
          <w:rFonts w:cs="Arial"/>
        </w:rPr>
        <w:t>Approval of Certain Accounting Authority</w:t>
      </w:r>
      <w:r>
        <w:rPr>
          <w:rFonts w:cs="Arial"/>
        </w:rPr>
        <w:tab/>
        <w:t>)</w:t>
      </w:r>
    </w:p>
    <w:p w:rsidR="002C0404" w:rsidRDefault="002C0404" w:rsidP="002C0404">
      <w:pPr>
        <w:tabs>
          <w:tab w:val="left" w:pos="4680"/>
          <w:tab w:val="left" w:pos="5220"/>
        </w:tabs>
        <w:autoSpaceDE w:val="0"/>
        <w:autoSpaceDN w:val="0"/>
        <w:adjustRightInd w:val="0"/>
        <w:rPr>
          <w:rFonts w:cs="Arial"/>
        </w:rPr>
      </w:pPr>
      <w:r>
        <w:rPr>
          <w:rFonts w:cs="Arial"/>
        </w:rPr>
        <w:t>Pursuant to Ohio Rev. Code § 4905.13</w:t>
      </w:r>
      <w:r>
        <w:rPr>
          <w:rFonts w:cs="Arial"/>
        </w:rPr>
        <w:tab/>
        <w:t>)</w:t>
      </w:r>
    </w:p>
    <w:p w:rsidR="002C0404" w:rsidRDefault="002C0404" w:rsidP="002C0404">
      <w:pPr>
        <w:pStyle w:val="Title"/>
        <w:pBdr>
          <w:bottom w:val="single" w:sz="12" w:space="1" w:color="auto"/>
        </w:pBdr>
        <w:rPr>
          <w:sz w:val="28"/>
          <w:u w:val="single"/>
        </w:rPr>
      </w:pPr>
    </w:p>
    <w:p w:rsidR="002C0404" w:rsidRDefault="002C0404" w:rsidP="002C0404"/>
    <w:p w:rsidR="002C0404" w:rsidRPr="002C0404" w:rsidRDefault="002C0404" w:rsidP="002C0404">
      <w:pPr>
        <w:jc w:val="center"/>
        <w:rPr>
          <w:rFonts w:ascii="Arial Bold" w:hAnsi="Arial Bold"/>
          <w:b/>
          <w:smallCaps/>
          <w:sz w:val="34"/>
          <w:szCs w:val="32"/>
        </w:rPr>
      </w:pPr>
      <w:r w:rsidRPr="002C0404">
        <w:rPr>
          <w:rFonts w:ascii="Arial Bold" w:hAnsi="Arial Bold"/>
          <w:b/>
          <w:smallCaps/>
          <w:sz w:val="28"/>
        </w:rPr>
        <w:t xml:space="preserve">Memorandum of Industrial Energy Users-Ohio </w:t>
      </w:r>
      <w:r>
        <w:rPr>
          <w:rFonts w:ascii="Arial Bold" w:hAnsi="Arial Bold"/>
          <w:b/>
          <w:smallCaps/>
          <w:sz w:val="28"/>
        </w:rPr>
        <w:br/>
      </w:r>
      <w:r w:rsidRPr="002C0404">
        <w:rPr>
          <w:rFonts w:ascii="Arial Bold" w:hAnsi="Arial Bold"/>
          <w:b/>
          <w:smallCaps/>
          <w:sz w:val="28"/>
        </w:rPr>
        <w:t>Opposing the Third Assignment of Error of the Application for Rehearing of the Office of the Ohio Consumers’ Counsel</w:t>
      </w:r>
    </w:p>
    <w:p w:rsidR="002C0404" w:rsidRDefault="002C0404" w:rsidP="002C0404">
      <w:pPr>
        <w:pStyle w:val="Title"/>
        <w:pBdr>
          <w:bottom w:val="single" w:sz="12" w:space="1" w:color="auto"/>
        </w:pBdr>
        <w:rPr>
          <w:sz w:val="28"/>
          <w:u w:val="single"/>
        </w:rPr>
      </w:pPr>
    </w:p>
    <w:p w:rsidR="002C0404" w:rsidRDefault="002C0404" w:rsidP="002C0404">
      <w:pPr>
        <w:pStyle w:val="Title"/>
        <w:rPr>
          <w:sz w:val="28"/>
          <w:u w:val="single"/>
        </w:rPr>
      </w:pPr>
    </w:p>
    <w:p w:rsidR="002C0404" w:rsidRDefault="002C0404" w:rsidP="002C0404">
      <w:pPr>
        <w:pStyle w:val="Title"/>
        <w:rPr>
          <w:sz w:val="28"/>
          <w:u w:val="single"/>
        </w:rPr>
      </w:pPr>
    </w:p>
    <w:p w:rsidR="002C0404" w:rsidRDefault="002C0404" w:rsidP="002C0404">
      <w:pPr>
        <w:pStyle w:val="Title"/>
        <w:rPr>
          <w:sz w:val="28"/>
          <w:u w:val="single"/>
        </w:rPr>
      </w:pPr>
    </w:p>
    <w:p w:rsidR="002C0404" w:rsidRDefault="002C0404" w:rsidP="002C0404">
      <w:pPr>
        <w:pStyle w:val="Title"/>
        <w:rPr>
          <w:sz w:val="28"/>
          <w:u w:val="single"/>
        </w:rPr>
      </w:pPr>
    </w:p>
    <w:p w:rsidR="002C0404" w:rsidRDefault="002C0404" w:rsidP="002C0404">
      <w:pPr>
        <w:pStyle w:val="Title"/>
        <w:rPr>
          <w:sz w:val="28"/>
          <w:u w:val="single"/>
        </w:rPr>
      </w:pPr>
    </w:p>
    <w:p w:rsidR="002C0404" w:rsidRDefault="002C0404" w:rsidP="002C0404">
      <w:pPr>
        <w:pStyle w:val="Title"/>
        <w:rPr>
          <w:sz w:val="28"/>
          <w:u w:val="single"/>
        </w:rPr>
      </w:pPr>
    </w:p>
    <w:p w:rsidR="002C0404" w:rsidRDefault="002C0404" w:rsidP="002C0404">
      <w:pPr>
        <w:tabs>
          <w:tab w:val="left" w:pos="4320"/>
          <w:tab w:val="left" w:pos="5040"/>
        </w:tabs>
        <w:rPr>
          <w:rFonts w:cs="Arial"/>
        </w:rPr>
      </w:pPr>
    </w:p>
    <w:p w:rsidR="002C0404" w:rsidRDefault="002C0404" w:rsidP="002C0404">
      <w:pPr>
        <w:tabs>
          <w:tab w:val="left" w:pos="4320"/>
          <w:tab w:val="left" w:pos="5040"/>
        </w:tabs>
        <w:rPr>
          <w:rFonts w:cs="Arial"/>
        </w:rPr>
      </w:pPr>
    </w:p>
    <w:p w:rsidR="002C0404" w:rsidRDefault="002C0404" w:rsidP="002C0404">
      <w:pPr>
        <w:tabs>
          <w:tab w:val="left" w:pos="4320"/>
          <w:tab w:val="left" w:pos="5040"/>
        </w:tabs>
        <w:rPr>
          <w:rFonts w:cs="Arial"/>
        </w:rPr>
      </w:pPr>
    </w:p>
    <w:p w:rsidR="00147C40" w:rsidRDefault="00147C40" w:rsidP="002C0404">
      <w:pPr>
        <w:tabs>
          <w:tab w:val="left" w:pos="4320"/>
          <w:tab w:val="left" w:pos="5040"/>
        </w:tabs>
        <w:rPr>
          <w:rFonts w:cs="Arial"/>
        </w:rPr>
      </w:pPr>
    </w:p>
    <w:p w:rsidR="002C0404" w:rsidRDefault="002C0404" w:rsidP="002C0404">
      <w:pPr>
        <w:tabs>
          <w:tab w:val="left" w:pos="4320"/>
          <w:tab w:val="left" w:pos="5040"/>
        </w:tabs>
        <w:rPr>
          <w:rFonts w:cs="Arial"/>
        </w:rPr>
      </w:pPr>
    </w:p>
    <w:p w:rsidR="002C0404" w:rsidRDefault="002C0404" w:rsidP="002C0404">
      <w:pPr>
        <w:pStyle w:val="BodyText3"/>
        <w:widowControl w:val="0"/>
        <w:ind w:left="4140"/>
        <w:jc w:val="both"/>
        <w:rPr>
          <w:rFonts w:ascii="Arial" w:hAnsi="Arial" w:cs="Arial"/>
          <w:b w:val="0"/>
          <w:bCs/>
        </w:rPr>
      </w:pPr>
      <w:r>
        <w:rPr>
          <w:rFonts w:ascii="Arial" w:hAnsi="Arial" w:cs="Arial"/>
          <w:b w:val="0"/>
          <w:bCs/>
        </w:rPr>
        <w:t>Frank P. Darr (Reg. No. 0025469)</w:t>
      </w:r>
    </w:p>
    <w:p w:rsidR="002C0404" w:rsidRDefault="002C0404" w:rsidP="002C0404">
      <w:pPr>
        <w:tabs>
          <w:tab w:val="right" w:pos="8640"/>
        </w:tabs>
        <w:ind w:left="4140"/>
        <w:jc w:val="both"/>
        <w:rPr>
          <w:rFonts w:cs="Arial"/>
        </w:rPr>
      </w:pPr>
      <w:r>
        <w:rPr>
          <w:rFonts w:cs="Arial"/>
          <w:b/>
          <w:bCs/>
        </w:rPr>
        <w:t xml:space="preserve">  </w:t>
      </w:r>
      <w:r>
        <w:rPr>
          <w:rFonts w:cs="Arial"/>
        </w:rPr>
        <w:t>(Counsel of Record)</w:t>
      </w:r>
    </w:p>
    <w:p w:rsidR="002C0404" w:rsidRDefault="002C0404" w:rsidP="002C0404">
      <w:pPr>
        <w:pStyle w:val="BodyText3"/>
        <w:widowControl w:val="0"/>
        <w:ind w:left="4140"/>
        <w:jc w:val="both"/>
        <w:rPr>
          <w:rFonts w:ascii="Arial" w:hAnsi="Arial" w:cs="Arial"/>
          <w:b w:val="0"/>
          <w:bCs/>
        </w:rPr>
      </w:pPr>
      <w:r>
        <w:rPr>
          <w:rFonts w:ascii="Arial" w:hAnsi="Arial" w:cs="Arial"/>
          <w:b w:val="0"/>
          <w:bCs/>
        </w:rPr>
        <w:t>Matthew R. Pritchard (Reg. No. 0088070)</w:t>
      </w:r>
    </w:p>
    <w:p w:rsidR="002C0404" w:rsidRDefault="002C0404" w:rsidP="002C0404">
      <w:pPr>
        <w:pStyle w:val="BodyText3"/>
        <w:widowControl w:val="0"/>
        <w:ind w:left="414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2C0404" w:rsidRDefault="002C0404" w:rsidP="002C0404">
      <w:pPr>
        <w:pStyle w:val="BodyText3"/>
        <w:widowControl w:val="0"/>
        <w:ind w:left="414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2C0404" w:rsidRDefault="002C0404" w:rsidP="002C0404">
      <w:pPr>
        <w:pStyle w:val="BodyText"/>
        <w:ind w:left="4140"/>
      </w:pPr>
      <w:r>
        <w:t>Columbus, OH  43215</w:t>
      </w:r>
    </w:p>
    <w:p w:rsidR="002C0404" w:rsidRDefault="002C0404" w:rsidP="002C0404">
      <w:pPr>
        <w:pStyle w:val="BodyText"/>
        <w:ind w:left="4140"/>
      </w:pPr>
      <w:r>
        <w:t>Telephone</w:t>
      </w:r>
      <w:proofErr w:type="gramStart"/>
      <w:r>
        <w:t>:  (</w:t>
      </w:r>
      <w:proofErr w:type="gramEnd"/>
      <w:r>
        <w:t>614) 469-8000</w:t>
      </w:r>
    </w:p>
    <w:p w:rsidR="002C0404" w:rsidRDefault="002C0404" w:rsidP="002C0404">
      <w:pPr>
        <w:pStyle w:val="BodyText"/>
        <w:ind w:left="4140"/>
      </w:pPr>
      <w:r>
        <w:t>Telecopier</w:t>
      </w:r>
      <w:proofErr w:type="gramStart"/>
      <w:r>
        <w:t>:  (</w:t>
      </w:r>
      <w:proofErr w:type="gramEnd"/>
      <w:r>
        <w:t>614) 469-4653</w:t>
      </w:r>
    </w:p>
    <w:p w:rsidR="002C0404" w:rsidRDefault="002C0404" w:rsidP="002C0404">
      <w:pPr>
        <w:pStyle w:val="BodyText"/>
        <w:ind w:left="4140"/>
      </w:pPr>
      <w:r>
        <w:t>fdarr@mwncmh.com</w:t>
      </w:r>
    </w:p>
    <w:p w:rsidR="002C0404" w:rsidRDefault="002C0404" w:rsidP="002C0404">
      <w:pPr>
        <w:pStyle w:val="BodyText"/>
        <w:ind w:left="4140"/>
      </w:pPr>
      <w:r>
        <w:t>mpritchard@mwncmh.com</w:t>
      </w:r>
    </w:p>
    <w:p w:rsidR="002C0404" w:rsidRDefault="002C0404" w:rsidP="002C0404">
      <w:pPr>
        <w:tabs>
          <w:tab w:val="left" w:pos="4320"/>
          <w:tab w:val="right" w:pos="8640"/>
        </w:tabs>
        <w:ind w:left="4140"/>
        <w:jc w:val="both"/>
      </w:pPr>
    </w:p>
    <w:p w:rsidR="00DE0E8B" w:rsidRDefault="002C0404" w:rsidP="00147C40">
      <w:pPr>
        <w:tabs>
          <w:tab w:val="left" w:pos="4140"/>
        </w:tabs>
        <w:rPr>
          <w:rFonts w:ascii="Arial Bold" w:hAnsi="Arial Bold"/>
        </w:rPr>
        <w:sectPr w:rsidR="00DE0E8B" w:rsidSect="00DE0E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r>
        <w:rPr>
          <w:rFonts w:ascii="Arial Bold" w:hAnsi="Arial Bold"/>
        </w:rPr>
        <w:t>December 4, 2017</w:t>
      </w:r>
      <w:r>
        <w:tab/>
      </w:r>
      <w:r>
        <w:rPr>
          <w:rFonts w:ascii="Arial Bold" w:hAnsi="Arial Bold"/>
        </w:rPr>
        <w:t>Attorneys for Industrial Energy Users-Ohio</w:t>
      </w:r>
    </w:p>
    <w:p w:rsidR="00147C40" w:rsidRDefault="00147C40" w:rsidP="00147C40">
      <w:pPr>
        <w:autoSpaceDE w:val="0"/>
        <w:autoSpaceDN w:val="0"/>
        <w:adjustRightInd w:val="0"/>
        <w:jc w:val="center"/>
        <w:rPr>
          <w:rFonts w:ascii="Arial Bold" w:hAnsi="Arial Bold" w:cs="Arial"/>
          <w:b/>
          <w:smallCaps/>
          <w:sz w:val="32"/>
          <w:szCs w:val="32"/>
        </w:rPr>
      </w:pPr>
      <w:r>
        <w:rPr>
          <w:rFonts w:ascii="Arial Bold" w:hAnsi="Arial Bold" w:cs="Arial"/>
          <w:b/>
          <w:smallCaps/>
          <w:sz w:val="32"/>
          <w:szCs w:val="32"/>
        </w:rPr>
        <w:lastRenderedPageBreak/>
        <w:t>Before</w:t>
      </w:r>
    </w:p>
    <w:p w:rsidR="00147C40" w:rsidRDefault="00147C40" w:rsidP="00147C40">
      <w:pPr>
        <w:autoSpaceDE w:val="0"/>
        <w:autoSpaceDN w:val="0"/>
        <w:adjustRightInd w:val="0"/>
        <w:jc w:val="center"/>
        <w:rPr>
          <w:rFonts w:ascii="Arial Bold" w:hAnsi="Arial Bold" w:cs="Arial"/>
          <w:b/>
          <w:smallCaps/>
          <w:sz w:val="32"/>
          <w:szCs w:val="32"/>
        </w:rPr>
      </w:pPr>
      <w:r>
        <w:rPr>
          <w:rFonts w:ascii="Arial Bold" w:hAnsi="Arial Bold" w:cs="Arial"/>
          <w:b/>
          <w:smallCaps/>
          <w:sz w:val="32"/>
          <w:szCs w:val="32"/>
        </w:rPr>
        <w:t>the Public Utilities Commission of Ohio</w:t>
      </w:r>
    </w:p>
    <w:p w:rsidR="00147C40" w:rsidRDefault="00147C40" w:rsidP="00147C40">
      <w:pPr>
        <w:autoSpaceDE w:val="0"/>
        <w:autoSpaceDN w:val="0"/>
        <w:adjustRightInd w:val="0"/>
        <w:jc w:val="center"/>
        <w:rPr>
          <w:rFonts w:ascii="Arial Bold" w:hAnsi="Arial Bold" w:cs="Arial"/>
          <w:smallCaps/>
        </w:rPr>
      </w:pPr>
    </w:p>
    <w:p w:rsidR="00147C40" w:rsidRDefault="00147C40" w:rsidP="00147C40">
      <w:pPr>
        <w:tabs>
          <w:tab w:val="left" w:pos="4680"/>
          <w:tab w:val="left" w:pos="5220"/>
        </w:tabs>
        <w:autoSpaceDE w:val="0"/>
        <w:autoSpaceDN w:val="0"/>
        <w:adjustRightInd w:val="0"/>
        <w:rPr>
          <w:rFonts w:cs="Arial"/>
        </w:rPr>
      </w:pPr>
      <w:r>
        <w:rPr>
          <w:rFonts w:cs="Arial"/>
        </w:rPr>
        <w:t>In the Matter of the Application of</w:t>
      </w:r>
      <w:r>
        <w:rPr>
          <w:rFonts w:cs="Arial"/>
        </w:rPr>
        <w:tab/>
        <w:t>)</w:t>
      </w:r>
    </w:p>
    <w:p w:rsidR="00147C40" w:rsidRDefault="00147C40" w:rsidP="00147C40">
      <w:pPr>
        <w:tabs>
          <w:tab w:val="left" w:pos="4680"/>
          <w:tab w:val="left" w:pos="5220"/>
        </w:tabs>
        <w:autoSpaceDE w:val="0"/>
        <w:autoSpaceDN w:val="0"/>
        <w:adjustRightInd w:val="0"/>
        <w:rPr>
          <w:rFonts w:cs="Arial"/>
        </w:rPr>
      </w:pPr>
      <w:r>
        <w:rPr>
          <w:rFonts w:cs="Arial"/>
        </w:rPr>
        <w:t>The Dayton Power and Light Company for</w:t>
      </w:r>
      <w:r>
        <w:rPr>
          <w:rFonts w:cs="Arial"/>
        </w:rPr>
        <w:tab/>
        <w:t>)</w:t>
      </w:r>
      <w:r>
        <w:rPr>
          <w:rFonts w:cs="Arial"/>
        </w:rPr>
        <w:tab/>
        <w:t>Case No. 16-395-EL-SSO</w:t>
      </w:r>
    </w:p>
    <w:p w:rsidR="00147C40" w:rsidRDefault="00147C40" w:rsidP="00147C40">
      <w:pPr>
        <w:tabs>
          <w:tab w:val="left" w:pos="4680"/>
          <w:tab w:val="left" w:pos="5220"/>
        </w:tabs>
        <w:autoSpaceDE w:val="0"/>
        <w:autoSpaceDN w:val="0"/>
        <w:adjustRightInd w:val="0"/>
        <w:rPr>
          <w:rFonts w:cs="Arial"/>
        </w:rPr>
      </w:pPr>
      <w:r>
        <w:rPr>
          <w:rFonts w:cs="Arial"/>
        </w:rPr>
        <w:t>Approval of Its Electric Security Plan</w:t>
      </w:r>
      <w:r>
        <w:rPr>
          <w:rFonts w:cs="Arial"/>
        </w:rPr>
        <w:tab/>
        <w:t>)</w:t>
      </w:r>
    </w:p>
    <w:p w:rsidR="00147C40" w:rsidRDefault="00147C40" w:rsidP="00147C40">
      <w:pPr>
        <w:tabs>
          <w:tab w:val="left" w:pos="4680"/>
          <w:tab w:val="left" w:pos="5220"/>
        </w:tabs>
        <w:autoSpaceDE w:val="0"/>
        <w:autoSpaceDN w:val="0"/>
        <w:adjustRightInd w:val="0"/>
        <w:rPr>
          <w:rFonts w:cs="Arial"/>
        </w:rPr>
      </w:pPr>
    </w:p>
    <w:p w:rsidR="00147C40" w:rsidRDefault="00147C40" w:rsidP="00147C40">
      <w:pPr>
        <w:tabs>
          <w:tab w:val="left" w:pos="4680"/>
          <w:tab w:val="left" w:pos="5220"/>
        </w:tabs>
        <w:autoSpaceDE w:val="0"/>
        <w:autoSpaceDN w:val="0"/>
        <w:adjustRightInd w:val="0"/>
        <w:rPr>
          <w:rFonts w:cs="Arial"/>
        </w:rPr>
      </w:pPr>
      <w:r>
        <w:rPr>
          <w:rFonts w:cs="Arial"/>
        </w:rPr>
        <w:t>In the Matter of the Application of</w:t>
      </w:r>
      <w:r>
        <w:rPr>
          <w:rFonts w:cs="Arial"/>
        </w:rPr>
        <w:tab/>
        <w:t>)</w:t>
      </w:r>
    </w:p>
    <w:p w:rsidR="00147C40" w:rsidRDefault="00147C40" w:rsidP="00147C40">
      <w:pPr>
        <w:tabs>
          <w:tab w:val="left" w:pos="4680"/>
          <w:tab w:val="left" w:pos="5220"/>
        </w:tabs>
        <w:autoSpaceDE w:val="0"/>
        <w:autoSpaceDN w:val="0"/>
        <w:adjustRightInd w:val="0"/>
        <w:rPr>
          <w:rFonts w:cs="Arial"/>
        </w:rPr>
      </w:pPr>
      <w:r>
        <w:rPr>
          <w:rFonts w:cs="Arial"/>
        </w:rPr>
        <w:t>The Dayton Power and Light Company for</w:t>
      </w:r>
      <w:r>
        <w:rPr>
          <w:rFonts w:cs="Arial"/>
        </w:rPr>
        <w:tab/>
        <w:t>)</w:t>
      </w:r>
      <w:r>
        <w:rPr>
          <w:rFonts w:cs="Arial"/>
        </w:rPr>
        <w:tab/>
        <w:t>Case No. 16-396-EL-ATA</w:t>
      </w:r>
    </w:p>
    <w:p w:rsidR="00147C40" w:rsidRDefault="00147C40" w:rsidP="00147C40">
      <w:pPr>
        <w:tabs>
          <w:tab w:val="left" w:pos="4680"/>
          <w:tab w:val="left" w:pos="5220"/>
        </w:tabs>
        <w:autoSpaceDE w:val="0"/>
        <w:autoSpaceDN w:val="0"/>
        <w:adjustRightInd w:val="0"/>
        <w:rPr>
          <w:rFonts w:cs="Arial"/>
        </w:rPr>
      </w:pPr>
      <w:r>
        <w:rPr>
          <w:rFonts w:cs="Arial"/>
        </w:rPr>
        <w:t>Approval of Revised Tariffs</w:t>
      </w:r>
      <w:r>
        <w:rPr>
          <w:rFonts w:cs="Arial"/>
        </w:rPr>
        <w:tab/>
        <w:t>)</w:t>
      </w:r>
    </w:p>
    <w:p w:rsidR="00147C40" w:rsidRDefault="00147C40" w:rsidP="00147C40">
      <w:pPr>
        <w:tabs>
          <w:tab w:val="left" w:pos="4680"/>
          <w:tab w:val="left" w:pos="5220"/>
        </w:tabs>
        <w:autoSpaceDE w:val="0"/>
        <w:autoSpaceDN w:val="0"/>
        <w:adjustRightInd w:val="0"/>
        <w:rPr>
          <w:rFonts w:cs="Arial"/>
        </w:rPr>
      </w:pPr>
    </w:p>
    <w:p w:rsidR="00147C40" w:rsidRDefault="00147C40" w:rsidP="00147C40">
      <w:pPr>
        <w:tabs>
          <w:tab w:val="left" w:pos="4680"/>
          <w:tab w:val="left" w:pos="5220"/>
        </w:tabs>
        <w:autoSpaceDE w:val="0"/>
        <w:autoSpaceDN w:val="0"/>
        <w:adjustRightInd w:val="0"/>
        <w:rPr>
          <w:rFonts w:cs="Arial"/>
        </w:rPr>
      </w:pPr>
      <w:r>
        <w:rPr>
          <w:rFonts w:cs="Arial"/>
        </w:rPr>
        <w:t>In the Matter of the Application of</w:t>
      </w:r>
      <w:r>
        <w:rPr>
          <w:rFonts w:cs="Arial"/>
        </w:rPr>
        <w:tab/>
        <w:t>)</w:t>
      </w:r>
    </w:p>
    <w:p w:rsidR="00147C40" w:rsidRDefault="00147C40" w:rsidP="00147C40">
      <w:pPr>
        <w:tabs>
          <w:tab w:val="left" w:pos="4680"/>
          <w:tab w:val="left" w:pos="5220"/>
        </w:tabs>
        <w:autoSpaceDE w:val="0"/>
        <w:autoSpaceDN w:val="0"/>
        <w:adjustRightInd w:val="0"/>
        <w:rPr>
          <w:rFonts w:cs="Arial"/>
        </w:rPr>
      </w:pPr>
      <w:r>
        <w:rPr>
          <w:rFonts w:cs="Arial"/>
        </w:rPr>
        <w:t>The Dayton Power and Light Company for</w:t>
      </w:r>
      <w:r>
        <w:rPr>
          <w:rFonts w:cs="Arial"/>
        </w:rPr>
        <w:tab/>
        <w:t>)</w:t>
      </w:r>
      <w:r>
        <w:rPr>
          <w:rFonts w:cs="Arial"/>
        </w:rPr>
        <w:tab/>
        <w:t>Case No. 16-397-EL-AAM</w:t>
      </w:r>
    </w:p>
    <w:p w:rsidR="00147C40" w:rsidRDefault="00147C40" w:rsidP="00147C40">
      <w:pPr>
        <w:tabs>
          <w:tab w:val="left" w:pos="4680"/>
          <w:tab w:val="left" w:pos="5220"/>
        </w:tabs>
        <w:autoSpaceDE w:val="0"/>
        <w:autoSpaceDN w:val="0"/>
        <w:adjustRightInd w:val="0"/>
        <w:rPr>
          <w:rFonts w:cs="Arial"/>
        </w:rPr>
      </w:pPr>
      <w:r>
        <w:rPr>
          <w:rFonts w:cs="Arial"/>
        </w:rPr>
        <w:t>Approval of Certain Accounting Authority</w:t>
      </w:r>
      <w:r>
        <w:rPr>
          <w:rFonts w:cs="Arial"/>
        </w:rPr>
        <w:tab/>
        <w:t>)</w:t>
      </w:r>
    </w:p>
    <w:p w:rsidR="00147C40" w:rsidRDefault="00147C40" w:rsidP="00147C40">
      <w:pPr>
        <w:tabs>
          <w:tab w:val="left" w:pos="4680"/>
          <w:tab w:val="left" w:pos="5220"/>
        </w:tabs>
        <w:autoSpaceDE w:val="0"/>
        <w:autoSpaceDN w:val="0"/>
        <w:adjustRightInd w:val="0"/>
        <w:rPr>
          <w:rFonts w:cs="Arial"/>
        </w:rPr>
      </w:pPr>
      <w:r>
        <w:rPr>
          <w:rFonts w:cs="Arial"/>
        </w:rPr>
        <w:t>Pursuant to Ohio Rev. Code § 4905.13</w:t>
      </w:r>
      <w:r>
        <w:rPr>
          <w:rFonts w:cs="Arial"/>
        </w:rPr>
        <w:tab/>
        <w:t>)</w:t>
      </w:r>
    </w:p>
    <w:p w:rsidR="00147C40" w:rsidRDefault="00147C40" w:rsidP="00147C40">
      <w:pPr>
        <w:pStyle w:val="Title"/>
        <w:pBdr>
          <w:bottom w:val="single" w:sz="12" w:space="1" w:color="auto"/>
        </w:pBdr>
        <w:rPr>
          <w:sz w:val="28"/>
          <w:u w:val="single"/>
        </w:rPr>
      </w:pPr>
    </w:p>
    <w:p w:rsidR="00147C40" w:rsidRDefault="00147C40" w:rsidP="00147C40"/>
    <w:p w:rsidR="00147C40" w:rsidRPr="002C0404" w:rsidRDefault="00147C40" w:rsidP="00147C40">
      <w:pPr>
        <w:jc w:val="center"/>
        <w:rPr>
          <w:rFonts w:ascii="Arial Bold" w:hAnsi="Arial Bold"/>
          <w:b/>
          <w:smallCaps/>
          <w:sz w:val="34"/>
          <w:szCs w:val="32"/>
        </w:rPr>
      </w:pPr>
      <w:r w:rsidRPr="002C0404">
        <w:rPr>
          <w:rFonts w:ascii="Arial Bold" w:hAnsi="Arial Bold"/>
          <w:b/>
          <w:smallCaps/>
          <w:sz w:val="28"/>
        </w:rPr>
        <w:t xml:space="preserve">Memorandum of Industrial Energy Users-Ohio </w:t>
      </w:r>
      <w:r>
        <w:rPr>
          <w:rFonts w:ascii="Arial Bold" w:hAnsi="Arial Bold"/>
          <w:b/>
          <w:smallCaps/>
          <w:sz w:val="28"/>
        </w:rPr>
        <w:br/>
      </w:r>
      <w:r w:rsidRPr="002C0404">
        <w:rPr>
          <w:rFonts w:ascii="Arial Bold" w:hAnsi="Arial Bold"/>
          <w:b/>
          <w:smallCaps/>
          <w:sz w:val="28"/>
        </w:rPr>
        <w:t>Opposing the Third Assignment of Error of the Application for Rehearing of the Office of the Ohio Consumers’ Counsel</w:t>
      </w:r>
    </w:p>
    <w:p w:rsidR="00147C40" w:rsidRDefault="00147C40" w:rsidP="00147C40">
      <w:pPr>
        <w:pStyle w:val="Title"/>
        <w:pBdr>
          <w:bottom w:val="single" w:sz="12" w:space="1" w:color="auto"/>
        </w:pBdr>
        <w:rPr>
          <w:sz w:val="28"/>
          <w:u w:val="single"/>
        </w:rPr>
      </w:pPr>
    </w:p>
    <w:p w:rsidR="00147C40" w:rsidRDefault="00147C40" w:rsidP="00147C40">
      <w:pPr>
        <w:pStyle w:val="Title"/>
        <w:rPr>
          <w:sz w:val="28"/>
          <w:u w:val="single"/>
        </w:rPr>
      </w:pPr>
    </w:p>
    <w:p w:rsidR="001B3ED3" w:rsidRPr="00F668F5" w:rsidRDefault="00147C40" w:rsidP="00147C40">
      <w:pPr>
        <w:pStyle w:val="ListParagraph"/>
        <w:numPr>
          <w:ilvl w:val="0"/>
          <w:numId w:val="2"/>
        </w:numPr>
        <w:ind w:hanging="720"/>
        <w:rPr>
          <w:rFonts w:ascii="Arial Bold" w:hAnsi="Arial Bold"/>
          <w:b/>
          <w:caps/>
        </w:rPr>
      </w:pPr>
      <w:r w:rsidRPr="00F668F5">
        <w:rPr>
          <w:rFonts w:ascii="Arial Bold" w:hAnsi="Arial Bold"/>
          <w:b/>
          <w:caps/>
        </w:rPr>
        <w:t>I</w:t>
      </w:r>
      <w:r w:rsidR="001B3ED3" w:rsidRPr="00F668F5">
        <w:rPr>
          <w:rFonts w:ascii="Arial Bold" w:hAnsi="Arial Bold"/>
          <w:b/>
          <w:caps/>
        </w:rPr>
        <w:t>ntroduction</w:t>
      </w:r>
    </w:p>
    <w:p w:rsidR="00147C40" w:rsidRPr="00147C40" w:rsidRDefault="00147C40" w:rsidP="00147C40">
      <w:pPr>
        <w:pStyle w:val="ListParagraph"/>
        <w:rPr>
          <w:rFonts w:ascii="Arial Bold" w:hAnsi="Arial Bold"/>
          <w:b/>
          <w:caps/>
        </w:rPr>
      </w:pPr>
    </w:p>
    <w:p w:rsidR="00C02770" w:rsidRDefault="00FD2381" w:rsidP="00F02762">
      <w:pPr>
        <w:spacing w:line="480" w:lineRule="auto"/>
        <w:ind w:firstLine="720"/>
        <w:jc w:val="both"/>
      </w:pPr>
      <w:r>
        <w:t xml:space="preserve">The Public </w:t>
      </w:r>
      <w:r w:rsidR="00344509">
        <w:t>Utilities</w:t>
      </w:r>
      <w:r>
        <w:t xml:space="preserve"> Commission of Ohio (“Commission”) issued an Opinion and Order </w:t>
      </w:r>
      <w:r w:rsidR="00403D64">
        <w:t xml:space="preserve">(“Order”) </w:t>
      </w:r>
      <w:r>
        <w:t xml:space="preserve">approving an electric security plan for The Dayton Power and Light Company (“DP&amp;L”) on October 20, 2017.  </w:t>
      </w:r>
      <w:r w:rsidR="00C02770">
        <w:t xml:space="preserve">Included in the approved provisions of the plan are EDR credits, the cost of which is recovered from customers through a </w:t>
      </w:r>
      <w:proofErr w:type="spellStart"/>
      <w:r w:rsidR="00225F53">
        <w:t>nonbypassable</w:t>
      </w:r>
      <w:proofErr w:type="spellEnd"/>
      <w:r w:rsidR="00225F53">
        <w:t xml:space="preserve"> </w:t>
      </w:r>
      <w:r w:rsidR="00C02770">
        <w:t xml:space="preserve">rider, and other </w:t>
      </w:r>
      <w:r w:rsidR="00C83C26">
        <w:t xml:space="preserve">economic </w:t>
      </w:r>
      <w:r w:rsidR="00C02770">
        <w:t xml:space="preserve">incentives </w:t>
      </w:r>
      <w:r w:rsidR="00CE1C79">
        <w:t xml:space="preserve">that are shareholder funded.  Order at 8-11 (summarizing the incentives).  As part of a broader discussion concerning whether the Amended Stipulation and Recommendation </w:t>
      </w:r>
      <w:r w:rsidR="008C4823">
        <w:t>benefit</w:t>
      </w:r>
      <w:r w:rsidR="007D7649">
        <w:t>s</w:t>
      </w:r>
      <w:r w:rsidR="00CE1C79">
        <w:t xml:space="preserve"> customer</w:t>
      </w:r>
      <w:r w:rsidR="008C4823">
        <w:t>s and the public interest</w:t>
      </w:r>
      <w:r w:rsidR="00CE1C79">
        <w:t>, the Commission found that the</w:t>
      </w:r>
      <w:r w:rsidR="008C4823">
        <w:t xml:space="preserve"> economic development </w:t>
      </w:r>
      <w:r w:rsidR="00CE1C79">
        <w:t xml:space="preserve">provisions </w:t>
      </w:r>
      <w:r w:rsidR="008C4823">
        <w:t>support state policy</w:t>
      </w:r>
      <w:r w:rsidR="00CE1C79">
        <w:t xml:space="preserve">.  Order at </w:t>
      </w:r>
      <w:r w:rsidR="008C4823">
        <w:t>41.</w:t>
      </w:r>
    </w:p>
    <w:p w:rsidR="00C83C26" w:rsidRDefault="00FD2381" w:rsidP="008C4823">
      <w:pPr>
        <w:spacing w:line="480" w:lineRule="auto"/>
        <w:ind w:firstLine="720"/>
        <w:jc w:val="both"/>
      </w:pPr>
      <w:r>
        <w:lastRenderedPageBreak/>
        <w:t xml:space="preserve">Parties sought </w:t>
      </w:r>
      <w:r w:rsidR="00477031">
        <w:t>review</w:t>
      </w:r>
      <w:r>
        <w:t xml:space="preserve"> of the </w:t>
      </w:r>
      <w:r w:rsidR="00403D64">
        <w:t>O</w:t>
      </w:r>
      <w:r>
        <w:t>rder by filing applications for rehearing on November</w:t>
      </w:r>
      <w:r w:rsidR="00CB3543">
        <w:t> </w:t>
      </w:r>
      <w:r>
        <w:t xml:space="preserve">20, 2017.  </w:t>
      </w:r>
      <w:r w:rsidR="00225F53">
        <w:t xml:space="preserve">In the third assignment of </w:t>
      </w:r>
      <w:r w:rsidR="00FB52A4">
        <w:t>error in</w:t>
      </w:r>
      <w:r w:rsidR="00225F53">
        <w:t xml:space="preserve"> its</w:t>
      </w:r>
      <w:r>
        <w:t xml:space="preserve"> application for rehearing, the Office of the Ohio Consumers’ Counsel (“OCC”) alleged</w:t>
      </w:r>
      <w:r w:rsidR="00344509">
        <w:t xml:space="preserve"> </w:t>
      </w:r>
      <w:r>
        <w:t xml:space="preserve">that the Order was unreasonable and unlawful </w:t>
      </w:r>
      <w:r w:rsidR="00344509">
        <w:t>because</w:t>
      </w:r>
      <w:r>
        <w:t xml:space="preserve"> it requires customers to subsidize economic incentives</w:t>
      </w:r>
      <w:r w:rsidR="00C02770">
        <w:t xml:space="preserve">, apparently </w:t>
      </w:r>
      <w:r w:rsidR="00CE1C79">
        <w:t xml:space="preserve">a reference to </w:t>
      </w:r>
      <w:r w:rsidR="00C02770">
        <w:t>the EDR credits</w:t>
      </w:r>
      <w:r w:rsidR="00E31442">
        <w:t>.</w:t>
      </w:r>
      <w:r w:rsidR="00E31442">
        <w:rPr>
          <w:rStyle w:val="FootnoteReference"/>
        </w:rPr>
        <w:footnoteReference w:id="1"/>
      </w:r>
      <w:r>
        <w:t xml:space="preserve">  </w:t>
      </w:r>
      <w:r w:rsidR="00344509">
        <w:t xml:space="preserve">Application for Rehearing by the </w:t>
      </w:r>
      <w:r w:rsidR="00725D11">
        <w:t>Office</w:t>
      </w:r>
      <w:r w:rsidR="00344509">
        <w:t xml:space="preserve"> of the Ohio Consumers’ Counsel at 2 (Nov. 20, 2017)</w:t>
      </w:r>
      <w:r w:rsidR="00403D64">
        <w:t xml:space="preserve"> (“OCC Application for Rehearing”)</w:t>
      </w:r>
      <w:r w:rsidR="00344509">
        <w:t xml:space="preserve">.  </w:t>
      </w:r>
    </w:p>
    <w:p w:rsidR="00344509" w:rsidRDefault="002E126A" w:rsidP="008C4823">
      <w:pPr>
        <w:spacing w:line="480" w:lineRule="auto"/>
        <w:ind w:firstLine="720"/>
        <w:jc w:val="both"/>
      </w:pPr>
      <w:r>
        <w:t xml:space="preserve">OCC’s rationale </w:t>
      </w:r>
      <w:r w:rsidR="00C83C26">
        <w:t xml:space="preserve">supporting its third assignment of error </w:t>
      </w:r>
      <w:r>
        <w:t xml:space="preserve">narrows as it progresses from the assignment </w:t>
      </w:r>
      <w:r w:rsidR="00477031">
        <w:t xml:space="preserve">of error </w:t>
      </w:r>
      <w:r>
        <w:t xml:space="preserve">to the supporting memorandum.  </w:t>
      </w:r>
      <w:r w:rsidR="00FD2381">
        <w:t xml:space="preserve">In the assignment of error, OCC </w:t>
      </w:r>
      <w:r w:rsidR="00477031">
        <w:t xml:space="preserve">broadly </w:t>
      </w:r>
      <w:r w:rsidR="00FD2381">
        <w:t>allege</w:t>
      </w:r>
      <w:r w:rsidR="00725D11">
        <w:t>s</w:t>
      </w:r>
      <w:r w:rsidR="00FD2381">
        <w:t xml:space="preserve"> that the Order lac</w:t>
      </w:r>
      <w:r w:rsidR="00725D11">
        <w:t>k</w:t>
      </w:r>
      <w:r w:rsidR="00FD2381">
        <w:t xml:space="preserve">ed </w:t>
      </w:r>
      <w:r w:rsidR="00344509">
        <w:t>evidentiary</w:t>
      </w:r>
      <w:r w:rsidR="00FD2381">
        <w:t xml:space="preserve"> support as required by R.C.</w:t>
      </w:r>
      <w:r w:rsidR="00CB3543">
        <w:t> </w:t>
      </w:r>
      <w:r w:rsidR="00FD2381">
        <w:t>4903.09, R.C</w:t>
      </w:r>
      <w:r w:rsidR="00202ABD">
        <w:t>. </w:t>
      </w:r>
      <w:r w:rsidR="00FD2381">
        <w:t>4928.143(B)(2)(</w:t>
      </w:r>
      <w:proofErr w:type="spellStart"/>
      <w:r w:rsidR="00FD2381">
        <w:t>i</w:t>
      </w:r>
      <w:proofErr w:type="spellEnd"/>
      <w:r w:rsidR="00FD2381">
        <w:t>), and case law.</w:t>
      </w:r>
      <w:r w:rsidR="00344509">
        <w:t xml:space="preserve">  </w:t>
      </w:r>
      <w:r w:rsidR="00344509" w:rsidRPr="00147C40">
        <w:rPr>
          <w:i/>
        </w:rPr>
        <w:t>Id.</w:t>
      </w:r>
      <w:r w:rsidR="00344509">
        <w:t xml:space="preserve">  </w:t>
      </w:r>
      <w:r w:rsidR="00403D64">
        <w:t xml:space="preserve">In its supporting memorandum, OCC </w:t>
      </w:r>
      <w:r w:rsidR="00477031">
        <w:t xml:space="preserve">narrows its argument and </w:t>
      </w:r>
      <w:r w:rsidR="00A41E20">
        <w:t>alleges that the PUCO should not approve the economic development incentives without a demonstration of need or specific commitment</w:t>
      </w:r>
      <w:r w:rsidR="00E55E5E">
        <w:t>s</w:t>
      </w:r>
      <w:r w:rsidR="00A41E20">
        <w:t xml:space="preserve"> by those receiving the incentives</w:t>
      </w:r>
      <w:r>
        <w:t xml:space="preserve"> and then </w:t>
      </w:r>
      <w:r w:rsidR="00E31442">
        <w:t>claims</w:t>
      </w:r>
      <w:r>
        <w:t xml:space="preserve"> that that </w:t>
      </w:r>
      <w:r w:rsidR="00A41E20">
        <w:t>demonstration</w:t>
      </w:r>
      <w:r>
        <w:t xml:space="preserve"> has not been made</w:t>
      </w:r>
      <w:r w:rsidR="00403D64">
        <w:t xml:space="preserve">.  </w:t>
      </w:r>
      <w:r w:rsidR="00403D64" w:rsidRPr="00147C40">
        <w:rPr>
          <w:i/>
        </w:rPr>
        <w:t>Id.</w:t>
      </w:r>
      <w:r w:rsidR="00403D64">
        <w:t xml:space="preserve"> at 6.  </w:t>
      </w:r>
    </w:p>
    <w:p w:rsidR="00DD7EEA" w:rsidRDefault="00A33655" w:rsidP="00F02762">
      <w:pPr>
        <w:spacing w:line="480" w:lineRule="auto"/>
        <w:ind w:firstLine="720"/>
        <w:jc w:val="both"/>
      </w:pPr>
      <w:r>
        <w:t xml:space="preserve">OCC is required to demonstrate </w:t>
      </w:r>
      <w:r w:rsidR="00C83C26">
        <w:t>in its assignment of error that the Order</w:t>
      </w:r>
      <w:r>
        <w:rPr>
          <w:rFonts w:ascii="Arial Bold" w:hAnsi="Arial Bold"/>
          <w:b/>
        </w:rPr>
        <w:t xml:space="preserve"> </w:t>
      </w:r>
      <w:r>
        <w:t xml:space="preserve">was unreasonable or unlawful.  R.C. 4903.10.  </w:t>
      </w:r>
      <w:r w:rsidR="00C02770">
        <w:t>Because OCC’s argument in support of the third assignment of error is based on unsupported factual and legal claims, OCC has not done so.</w:t>
      </w:r>
      <w:r>
        <w:t xml:space="preserve">  </w:t>
      </w:r>
      <w:r w:rsidR="009F3DF6">
        <w:t>Accordingly</w:t>
      </w:r>
      <w:r w:rsidR="00B870F9">
        <w:t>, the Commission should not grant rehearing based on OCC’s third assignment of error.</w:t>
      </w:r>
      <w:r w:rsidR="00B870F9">
        <w:rPr>
          <w:rStyle w:val="FootnoteReference"/>
        </w:rPr>
        <w:footnoteReference w:id="2"/>
      </w:r>
    </w:p>
    <w:p w:rsidR="00D06A1E" w:rsidRPr="00F668F5" w:rsidRDefault="00D06A1E" w:rsidP="005A3865">
      <w:pPr>
        <w:pStyle w:val="ListParagraph"/>
        <w:numPr>
          <w:ilvl w:val="0"/>
          <w:numId w:val="2"/>
        </w:numPr>
        <w:ind w:hanging="720"/>
        <w:jc w:val="both"/>
        <w:rPr>
          <w:rFonts w:ascii="Arial Bold" w:hAnsi="Arial Bold"/>
          <w:b/>
          <w:caps/>
        </w:rPr>
      </w:pPr>
      <w:r w:rsidRPr="00F668F5">
        <w:rPr>
          <w:rFonts w:ascii="Arial Bold" w:hAnsi="Arial Bold"/>
          <w:b/>
          <w:caps/>
        </w:rPr>
        <w:lastRenderedPageBreak/>
        <w:t xml:space="preserve">OCC’s </w:t>
      </w:r>
      <w:r w:rsidR="006E0176" w:rsidRPr="00F668F5">
        <w:rPr>
          <w:rFonts w:ascii="Arial Bold" w:hAnsi="Arial Bold"/>
          <w:b/>
          <w:caps/>
        </w:rPr>
        <w:t>t</w:t>
      </w:r>
      <w:r w:rsidRPr="00F668F5">
        <w:rPr>
          <w:rFonts w:ascii="Arial Bold" w:hAnsi="Arial Bold"/>
          <w:b/>
          <w:caps/>
        </w:rPr>
        <w:t xml:space="preserve">hird </w:t>
      </w:r>
      <w:r w:rsidR="006E0176" w:rsidRPr="00F668F5">
        <w:rPr>
          <w:rFonts w:ascii="Arial Bold" w:hAnsi="Arial Bold"/>
          <w:b/>
          <w:caps/>
        </w:rPr>
        <w:t>a</w:t>
      </w:r>
      <w:r w:rsidRPr="00F668F5">
        <w:rPr>
          <w:rFonts w:ascii="Arial Bold" w:hAnsi="Arial Bold"/>
          <w:b/>
          <w:caps/>
        </w:rPr>
        <w:t xml:space="preserve">ssignment of </w:t>
      </w:r>
      <w:r w:rsidR="006E0176" w:rsidRPr="00F668F5">
        <w:rPr>
          <w:rFonts w:ascii="Arial Bold" w:hAnsi="Arial Bold"/>
          <w:b/>
          <w:caps/>
        </w:rPr>
        <w:t>e</w:t>
      </w:r>
      <w:r w:rsidRPr="00F668F5">
        <w:rPr>
          <w:rFonts w:ascii="Arial Bold" w:hAnsi="Arial Bold"/>
          <w:b/>
          <w:caps/>
        </w:rPr>
        <w:t>rror</w:t>
      </w:r>
      <w:r w:rsidR="006A7F38" w:rsidRPr="00F668F5">
        <w:rPr>
          <w:rFonts w:ascii="Arial Bold" w:hAnsi="Arial Bold"/>
          <w:b/>
          <w:caps/>
        </w:rPr>
        <w:t xml:space="preserve"> fails to </w:t>
      </w:r>
      <w:r w:rsidR="00A33655" w:rsidRPr="00F668F5">
        <w:rPr>
          <w:rFonts w:ascii="Arial Bold" w:hAnsi="Arial Bold"/>
          <w:b/>
          <w:caps/>
        </w:rPr>
        <w:t xml:space="preserve">demonstrate that </w:t>
      </w:r>
      <w:r w:rsidR="000B1812" w:rsidRPr="00F668F5">
        <w:rPr>
          <w:rFonts w:ascii="Arial Bold" w:hAnsi="Arial Bold"/>
          <w:b/>
          <w:caps/>
        </w:rPr>
        <w:t xml:space="preserve">the Order as it relates to the </w:t>
      </w:r>
      <w:r w:rsidR="00A33655" w:rsidRPr="00F668F5">
        <w:rPr>
          <w:rFonts w:ascii="Arial Bold" w:hAnsi="Arial Bold"/>
          <w:b/>
          <w:caps/>
        </w:rPr>
        <w:t>EDR credits is unreasonable or unlawful</w:t>
      </w:r>
    </w:p>
    <w:p w:rsidR="00F02762" w:rsidRPr="00F02762" w:rsidRDefault="00F02762" w:rsidP="00F02762">
      <w:pPr>
        <w:pStyle w:val="ListParagraph"/>
        <w:ind w:left="1440"/>
        <w:rPr>
          <w:b/>
        </w:rPr>
      </w:pPr>
    </w:p>
    <w:p w:rsidR="00505445" w:rsidRPr="005A3865" w:rsidRDefault="00322F02" w:rsidP="00B569CA">
      <w:pPr>
        <w:pStyle w:val="ListParagraph"/>
        <w:keepNext/>
        <w:numPr>
          <w:ilvl w:val="0"/>
          <w:numId w:val="4"/>
        </w:numPr>
        <w:jc w:val="both"/>
        <w:rPr>
          <w:b/>
        </w:rPr>
      </w:pPr>
      <w:r w:rsidRPr="005A3865">
        <w:rPr>
          <w:b/>
        </w:rPr>
        <w:t>T</w:t>
      </w:r>
      <w:r w:rsidR="00505445" w:rsidRPr="005A3865">
        <w:rPr>
          <w:b/>
        </w:rPr>
        <w:t xml:space="preserve">he Commission’s finding that the </w:t>
      </w:r>
      <w:r w:rsidR="000B1812">
        <w:rPr>
          <w:b/>
        </w:rPr>
        <w:t>EDR credits support state policy</w:t>
      </w:r>
      <w:r w:rsidR="00505445" w:rsidRPr="005A3865">
        <w:rPr>
          <w:b/>
        </w:rPr>
        <w:t xml:space="preserve"> is supported by the record</w:t>
      </w:r>
    </w:p>
    <w:p w:rsidR="00E767D5" w:rsidRDefault="00E767D5" w:rsidP="00B569CA">
      <w:pPr>
        <w:pStyle w:val="ListParagraph"/>
        <w:keepNext/>
        <w:ind w:left="2160"/>
      </w:pPr>
    </w:p>
    <w:p w:rsidR="003414BA" w:rsidRDefault="007C7AA0" w:rsidP="00B569CA">
      <w:pPr>
        <w:keepNext/>
        <w:spacing w:line="480" w:lineRule="auto"/>
        <w:ind w:firstLine="720"/>
        <w:jc w:val="both"/>
      </w:pPr>
      <w:r>
        <w:t xml:space="preserve">The Commission reviews stipulations under a </w:t>
      </w:r>
      <w:r w:rsidR="00322F02">
        <w:t>three-part</w:t>
      </w:r>
      <w:r>
        <w:t xml:space="preserve"> test.  </w:t>
      </w:r>
      <w:r w:rsidR="00E767D5" w:rsidRPr="00E767D5">
        <w:rPr>
          <w:i/>
        </w:rPr>
        <w:t>Consumers’</w:t>
      </w:r>
      <w:r w:rsidRPr="00E767D5">
        <w:rPr>
          <w:i/>
        </w:rPr>
        <w:t xml:space="preserve"> Counsel v. Pub. </w:t>
      </w:r>
      <w:proofErr w:type="spellStart"/>
      <w:r w:rsidRPr="00E767D5">
        <w:rPr>
          <w:i/>
        </w:rPr>
        <w:t>Utils</w:t>
      </w:r>
      <w:proofErr w:type="spellEnd"/>
      <w:r w:rsidRPr="00E767D5">
        <w:rPr>
          <w:i/>
        </w:rPr>
        <w:t>. Comm’n of Ohio</w:t>
      </w:r>
      <w:r>
        <w:t>, 64 Ohio St. 3d 123, 126 (1992).  Under the second part of the test, the Commission is to determine if the settlement, as a package, benefits ratepayers and the public interest.  Order at 16.</w:t>
      </w:r>
      <w:r w:rsidR="003414BA">
        <w:t xml:space="preserve">  </w:t>
      </w:r>
      <w:r w:rsidR="00322F02">
        <w:t>In this instance</w:t>
      </w:r>
      <w:r w:rsidR="003414BA">
        <w:t>, the record supports the Commission’s finding that the economic development provisions benefit customers and the public interest.</w:t>
      </w:r>
    </w:p>
    <w:p w:rsidR="003414BA" w:rsidRDefault="000B1812" w:rsidP="00DE0E8B">
      <w:pPr>
        <w:spacing w:line="480" w:lineRule="auto"/>
        <w:ind w:firstLine="720"/>
        <w:jc w:val="both"/>
      </w:pPr>
      <w:r>
        <w:t xml:space="preserve">As part of its discussion under the second </w:t>
      </w:r>
      <w:r w:rsidR="007A239F">
        <w:t>part</w:t>
      </w:r>
      <w:r>
        <w:t xml:space="preserve"> of the three</w:t>
      </w:r>
      <w:r w:rsidR="003647C4">
        <w:t>-</w:t>
      </w:r>
      <w:r w:rsidR="007A239F">
        <w:t>part</w:t>
      </w:r>
      <w:r>
        <w:t xml:space="preserve"> test, the Commission </w:t>
      </w:r>
      <w:r w:rsidR="00CE0E0C">
        <w:t>reviewed</w:t>
      </w:r>
      <w:r>
        <w:t xml:space="preserve"> </w:t>
      </w:r>
      <w:r w:rsidR="00CE0E0C">
        <w:t>the provisions of the</w:t>
      </w:r>
      <w:r>
        <w:t xml:space="preserve"> Stipulation benefit</w:t>
      </w:r>
      <w:r w:rsidR="00CE0E0C">
        <w:t>ing</w:t>
      </w:r>
      <w:r>
        <w:t xml:space="preserve"> customers and the public interest including the EDR credits</w:t>
      </w:r>
      <w:r w:rsidR="0035131C">
        <w:t xml:space="preserve">.  It found that these </w:t>
      </w:r>
      <w:r w:rsidR="00FB52A4">
        <w:t>economic development incentives</w:t>
      </w:r>
      <w:r>
        <w:t xml:space="preserve"> support state policy by facilitating the State’s effectiveness in the global economy.  </w:t>
      </w:r>
      <w:r w:rsidR="00CE0E0C">
        <w:t>Order at 41.</w:t>
      </w:r>
      <w:r w:rsidR="0035131C">
        <w:rPr>
          <w:rStyle w:val="FootnoteReference"/>
        </w:rPr>
        <w:footnoteReference w:id="3"/>
      </w:r>
      <w:r w:rsidR="00CE0E0C">
        <w:t xml:space="preserve">  </w:t>
      </w:r>
      <w:r w:rsidR="0035131C">
        <w:t>In support of that finding</w:t>
      </w:r>
      <w:r w:rsidR="00CE0E0C">
        <w:t xml:space="preserve">, the Commission provided specific citations to the Stipulation and Exhibits concerning the incentives including the EDR credits.  </w:t>
      </w:r>
      <w:r w:rsidR="00CE0E0C" w:rsidRPr="005A3865">
        <w:rPr>
          <w:i/>
        </w:rPr>
        <w:t>Id</w:t>
      </w:r>
      <w:r w:rsidR="00CE0E0C">
        <w:t>.</w:t>
      </w:r>
      <w:r w:rsidR="00C73563">
        <w:t>, citing DP&amp;L Ex. 3 at 12-13 and Joint Ex. 1 at 9-12 &amp; 33.</w:t>
      </w:r>
      <w:r w:rsidR="00CE0E0C">
        <w:t xml:space="preserve"> </w:t>
      </w:r>
      <w:r w:rsidR="003414BA">
        <w:t xml:space="preserve"> </w:t>
      </w:r>
      <w:r w:rsidR="00CE0E0C">
        <w:t xml:space="preserve">The Commission might also </w:t>
      </w:r>
      <w:r w:rsidR="00C73563">
        <w:t xml:space="preserve">have </w:t>
      </w:r>
      <w:r w:rsidR="00CE0E0C">
        <w:t>point</w:t>
      </w:r>
      <w:r w:rsidR="00C73563">
        <w:t>ed</w:t>
      </w:r>
      <w:r w:rsidR="00CE0E0C">
        <w:t xml:space="preserve"> to testimony</w:t>
      </w:r>
      <w:r w:rsidR="0035131C">
        <w:t xml:space="preserve"> in response to cross examination</w:t>
      </w:r>
      <w:r w:rsidR="00CE0E0C">
        <w:t xml:space="preserve"> of </w:t>
      </w:r>
      <w:r w:rsidR="003414BA">
        <w:t>Ms. Schroder</w:t>
      </w:r>
      <w:r w:rsidR="005E40DF">
        <w:t>, a witness for DP&amp;L and a proponent of the Stipulation,</w:t>
      </w:r>
      <w:r w:rsidR="003414BA">
        <w:t xml:space="preserve"> </w:t>
      </w:r>
      <w:r w:rsidR="00CE0E0C">
        <w:t xml:space="preserve">who </w:t>
      </w:r>
      <w:r w:rsidR="003414BA">
        <w:t xml:space="preserve">explained that the EDR credits were designed to assist businesses to retain existing business and hire new </w:t>
      </w:r>
      <w:r w:rsidR="00CD73A5">
        <w:t>employees</w:t>
      </w:r>
      <w:r w:rsidR="003414BA">
        <w:t xml:space="preserve">.  Tr. Vol. II at 256.  She also testified that there would be a multiplier effect.  </w:t>
      </w:r>
      <w:r w:rsidR="003647C4" w:rsidRPr="005A3865">
        <w:rPr>
          <w:i/>
        </w:rPr>
        <w:t>Id</w:t>
      </w:r>
      <w:r w:rsidR="003414BA">
        <w:t xml:space="preserve">.  </w:t>
      </w:r>
      <w:r w:rsidR="00C701D2">
        <w:t xml:space="preserve">Contrary to OCC’s broad claim that the EDR credits are not supported by the record in violation of </w:t>
      </w:r>
      <w:r w:rsidR="00C701D2">
        <w:lastRenderedPageBreak/>
        <w:t>R.C. 4903.09</w:t>
      </w:r>
      <w:r w:rsidR="0035131C">
        <w:t>, the Commission</w:t>
      </w:r>
      <w:r w:rsidR="007E2BEE">
        <w:t>’s finding that economic development incentives, including the EDR credits, is supported by the hearing record.</w:t>
      </w:r>
      <w:r w:rsidR="0035131C">
        <w:t xml:space="preserve"> </w:t>
      </w:r>
    </w:p>
    <w:p w:rsidR="006A7F38" w:rsidRDefault="00D43204" w:rsidP="005A3865">
      <w:pPr>
        <w:pStyle w:val="ListParagraph"/>
        <w:keepNext/>
        <w:numPr>
          <w:ilvl w:val="0"/>
          <w:numId w:val="4"/>
        </w:numPr>
        <w:jc w:val="both"/>
        <w:rPr>
          <w:b/>
        </w:rPr>
      </w:pPr>
      <w:r w:rsidRPr="0000321D">
        <w:rPr>
          <w:b/>
        </w:rPr>
        <w:t>R.C.</w:t>
      </w:r>
      <w:r w:rsidR="00B84F09">
        <w:rPr>
          <w:b/>
        </w:rPr>
        <w:t> </w:t>
      </w:r>
      <w:r w:rsidRPr="0000321D">
        <w:rPr>
          <w:b/>
        </w:rPr>
        <w:t>4928.143(B)(2)(</w:t>
      </w:r>
      <w:proofErr w:type="spellStart"/>
      <w:r w:rsidRPr="0000321D">
        <w:rPr>
          <w:b/>
        </w:rPr>
        <w:t>i</w:t>
      </w:r>
      <w:proofErr w:type="spellEnd"/>
      <w:r w:rsidRPr="0000321D">
        <w:rPr>
          <w:b/>
        </w:rPr>
        <w:t xml:space="preserve">) </w:t>
      </w:r>
      <w:r w:rsidR="00BF3AD6" w:rsidRPr="0000321D">
        <w:rPr>
          <w:b/>
        </w:rPr>
        <w:t xml:space="preserve">provides for </w:t>
      </w:r>
      <w:r w:rsidR="002E6A7C">
        <w:rPr>
          <w:b/>
        </w:rPr>
        <w:t>provisions</w:t>
      </w:r>
      <w:r w:rsidR="001E7D5C">
        <w:rPr>
          <w:b/>
        </w:rPr>
        <w:t xml:space="preserve"> </w:t>
      </w:r>
      <w:r w:rsidR="00BF3AD6" w:rsidRPr="0000321D">
        <w:rPr>
          <w:b/>
        </w:rPr>
        <w:t>permitting economic incentives</w:t>
      </w:r>
      <w:r w:rsidRPr="0000321D">
        <w:rPr>
          <w:b/>
        </w:rPr>
        <w:t xml:space="preserve"> </w:t>
      </w:r>
      <w:r w:rsidR="002E6A7C">
        <w:rPr>
          <w:b/>
        </w:rPr>
        <w:t xml:space="preserve">in </w:t>
      </w:r>
      <w:r w:rsidRPr="0000321D">
        <w:rPr>
          <w:b/>
        </w:rPr>
        <w:t>an electric security plan, but it does not require a demonstration of customer “need” or “commitments”</w:t>
      </w:r>
      <w:r w:rsidR="002E6A7C">
        <w:rPr>
          <w:b/>
        </w:rPr>
        <w:t xml:space="preserve"> to support such a provision</w:t>
      </w:r>
    </w:p>
    <w:p w:rsidR="000F6B3A" w:rsidRPr="0000321D" w:rsidRDefault="000F6B3A" w:rsidP="005A3865">
      <w:pPr>
        <w:pStyle w:val="ListParagraph"/>
        <w:keepNext/>
        <w:ind w:left="2160"/>
        <w:jc w:val="both"/>
        <w:rPr>
          <w:b/>
        </w:rPr>
      </w:pPr>
    </w:p>
    <w:p w:rsidR="003414BA" w:rsidRDefault="003414BA" w:rsidP="005A3865">
      <w:pPr>
        <w:keepNext/>
        <w:spacing w:line="480" w:lineRule="auto"/>
        <w:ind w:firstLine="720"/>
        <w:jc w:val="both"/>
      </w:pPr>
      <w:r>
        <w:t>In its supporting memorandum</w:t>
      </w:r>
      <w:r w:rsidR="00BE78B1">
        <w:t xml:space="preserve"> urging rehearing of the EDR credits</w:t>
      </w:r>
      <w:r>
        <w:t xml:space="preserve">, </w:t>
      </w:r>
      <w:r w:rsidR="00C701D2">
        <w:t xml:space="preserve">OCC narrows its argument and alleges </w:t>
      </w:r>
      <w:r w:rsidR="00B26604">
        <w:t>that approval of the credits was “improper” because</w:t>
      </w:r>
      <w:r>
        <w:t xml:space="preserve"> </w:t>
      </w:r>
      <w:r w:rsidR="00B26604">
        <w:t>the Commission approved the credits</w:t>
      </w:r>
      <w:r>
        <w:t xml:space="preserve"> “</w:t>
      </w:r>
      <w:r w:rsidR="00876921">
        <w:t xml:space="preserve">without </w:t>
      </w:r>
      <w:r>
        <w:t>any demonstration of need or specific commitments</w:t>
      </w:r>
      <w:r w:rsidR="00876921">
        <w:t>.</w:t>
      </w:r>
      <w:r>
        <w:t>”</w:t>
      </w:r>
      <w:r w:rsidR="007D55B2">
        <w:t xml:space="preserve"> </w:t>
      </w:r>
      <w:r w:rsidR="00876921">
        <w:t xml:space="preserve"> </w:t>
      </w:r>
      <w:r w:rsidRPr="000F6B3A">
        <w:rPr>
          <w:i/>
        </w:rPr>
        <w:t>Id.</w:t>
      </w:r>
      <w:r>
        <w:t xml:space="preserve"> at 6.  </w:t>
      </w:r>
      <w:r w:rsidR="007E2BEE">
        <w:t>Ohio law</w:t>
      </w:r>
      <w:r>
        <w:t xml:space="preserve">, </w:t>
      </w:r>
      <w:r w:rsidR="00876921">
        <w:t>however,</w:t>
      </w:r>
      <w:r w:rsidR="00B26604">
        <w:t xml:space="preserve"> do</w:t>
      </w:r>
      <w:r w:rsidR="007E2BEE">
        <w:t>es</w:t>
      </w:r>
      <w:r w:rsidR="00B26604">
        <w:t xml:space="preserve"> not require proponents of the EDR credits to make such a showing</w:t>
      </w:r>
      <w:r>
        <w:t xml:space="preserve">.  </w:t>
      </w:r>
      <w:r w:rsidR="00876921">
        <w:t xml:space="preserve">Thus, </w:t>
      </w:r>
      <w:r w:rsidR="002A0724">
        <w:t xml:space="preserve">the </w:t>
      </w:r>
      <w:r w:rsidR="00876921">
        <w:t xml:space="preserve">failure to find that the proponents needed </w:t>
      </w:r>
      <w:r w:rsidR="002A0724">
        <w:t xml:space="preserve">the EDR credits </w:t>
      </w:r>
      <w:r w:rsidR="00876921">
        <w:t xml:space="preserve">or had made commitments for </w:t>
      </w:r>
      <w:r w:rsidR="002A0724">
        <w:t xml:space="preserve">them </w:t>
      </w:r>
      <w:r w:rsidR="00876921">
        <w:t xml:space="preserve">is not a </w:t>
      </w:r>
      <w:r w:rsidR="002A0724">
        <w:t>basis</w:t>
      </w:r>
      <w:r w:rsidR="00876921">
        <w:t xml:space="preserve"> for </w:t>
      </w:r>
      <w:r w:rsidR="002A0724">
        <w:t>granting rehearing</w:t>
      </w:r>
      <w:r w:rsidR="00876921">
        <w:t>.</w:t>
      </w:r>
    </w:p>
    <w:p w:rsidR="00BE78B1" w:rsidRDefault="00C701D2" w:rsidP="000F6B3A">
      <w:pPr>
        <w:spacing w:line="480" w:lineRule="auto"/>
        <w:ind w:firstLine="720"/>
        <w:jc w:val="both"/>
      </w:pPr>
      <w:r>
        <w:t>Because the Commission is a creature of statute, t</w:t>
      </w:r>
      <w:r w:rsidR="0000292E">
        <w:t xml:space="preserve">he Commission </w:t>
      </w:r>
      <w:r w:rsidR="003F1C06">
        <w:t xml:space="preserve">may not add to or subtract from the applicable legal requirements regarding the provisions of an electric security plan.  </w:t>
      </w:r>
      <w:r w:rsidR="004E0D40" w:rsidRPr="000F6B3A">
        <w:rPr>
          <w:i/>
        </w:rPr>
        <w:t>In re Application of Columbus Southern Power Co.</w:t>
      </w:r>
      <w:r w:rsidR="004E0D40">
        <w:t>, 128 Ohio St. 3d 512, 519-20 (2011)</w:t>
      </w:r>
      <w:r>
        <w:t>;</w:t>
      </w:r>
      <w:r w:rsidRPr="00C701D2">
        <w:rPr>
          <w:i/>
        </w:rPr>
        <w:t xml:space="preserve"> </w:t>
      </w:r>
      <w:r w:rsidR="00BE78B1">
        <w:rPr>
          <w:i/>
        </w:rPr>
        <w:t xml:space="preserve">see, also, </w:t>
      </w:r>
      <w:r w:rsidRPr="000F6B3A">
        <w:rPr>
          <w:i/>
        </w:rPr>
        <w:t xml:space="preserve">Time Warner </w:t>
      </w:r>
      <w:proofErr w:type="spellStart"/>
      <w:r w:rsidRPr="000F6B3A">
        <w:rPr>
          <w:i/>
        </w:rPr>
        <w:t>Axs</w:t>
      </w:r>
      <w:proofErr w:type="spellEnd"/>
      <w:r w:rsidRPr="000F6B3A">
        <w:rPr>
          <w:i/>
        </w:rPr>
        <w:t xml:space="preserve"> v. Pub. </w:t>
      </w:r>
      <w:proofErr w:type="spellStart"/>
      <w:r w:rsidRPr="000F6B3A">
        <w:rPr>
          <w:i/>
        </w:rPr>
        <w:t>Utils</w:t>
      </w:r>
      <w:proofErr w:type="spellEnd"/>
      <w:r w:rsidRPr="000F6B3A">
        <w:rPr>
          <w:i/>
        </w:rPr>
        <w:t>. Comm’n of Ohio</w:t>
      </w:r>
      <w:r>
        <w:t>, 75 Ohio St. 3d 229, 234 (1996)</w:t>
      </w:r>
      <w:r w:rsidR="00BE78B1">
        <w:t xml:space="preserve"> (Commission is a creature of statute)</w:t>
      </w:r>
      <w:r>
        <w:t xml:space="preserve">.  </w:t>
      </w:r>
      <w:r w:rsidR="00BE78B1">
        <w:t xml:space="preserve">Thus, the terms of the statute govern the “demonstration” a proponent must make to support adoption of a provision of an electric security plan.  </w:t>
      </w:r>
      <w:r w:rsidR="00A234E2" w:rsidRPr="00B503ED">
        <w:rPr>
          <w:i/>
        </w:rPr>
        <w:t>In re Application of Columbus Southern Power Co.</w:t>
      </w:r>
      <w:r w:rsidR="00A234E2">
        <w:t>, 138 Ohio St. 3d 448, 453-54 (2014) (rejecting the claim that utility had the burden of proving that costs were “necessary” under R.C. 4928.143(B)(2)(d) because the division did not require such a showing).</w:t>
      </w:r>
    </w:p>
    <w:p w:rsidR="00C701D2" w:rsidRDefault="004E0D40" w:rsidP="000F6B3A">
      <w:pPr>
        <w:spacing w:line="480" w:lineRule="auto"/>
        <w:ind w:firstLine="720"/>
        <w:jc w:val="both"/>
      </w:pPr>
      <w:r>
        <w:t>R.C. 4928.143(B)(2)(</w:t>
      </w:r>
      <w:proofErr w:type="spellStart"/>
      <w:r>
        <w:t>i</w:t>
      </w:r>
      <w:proofErr w:type="spellEnd"/>
      <w:r>
        <w:t>)</w:t>
      </w:r>
      <w:r w:rsidR="00A234E2">
        <w:t xml:space="preserve"> provides the governing language for a term of an electric security plan addressing economic development.  Under that subdivision</w:t>
      </w:r>
      <w:r>
        <w:t xml:space="preserve">, the Commission may authorize as a term of an electric security plan provisions </w:t>
      </w:r>
      <w:r w:rsidR="00B265DC">
        <w:t xml:space="preserve">“under which </w:t>
      </w:r>
      <w:r w:rsidR="00B265DC">
        <w:lastRenderedPageBreak/>
        <w:t xml:space="preserve">the electric distribution utility may implement economic development [and] job retention.”  Further, the “provisions may allocate program costs across all classes of customers of the utility.”  </w:t>
      </w:r>
      <w:r w:rsidR="0089159A">
        <w:t xml:space="preserve">Contrary to OCC’s claim, </w:t>
      </w:r>
      <w:r w:rsidR="00C701D2">
        <w:t>R.C. 4928.143(B)(2)(</w:t>
      </w:r>
      <w:proofErr w:type="spellStart"/>
      <w:r w:rsidR="00C701D2">
        <w:t>i</w:t>
      </w:r>
      <w:proofErr w:type="spellEnd"/>
      <w:r w:rsidR="00C701D2">
        <w:t xml:space="preserve">) </w:t>
      </w:r>
      <w:r w:rsidR="002A0724">
        <w:t xml:space="preserve">does not contain any requirement </w:t>
      </w:r>
      <w:r w:rsidR="00C701D2">
        <w:t xml:space="preserve">for the proponent of </w:t>
      </w:r>
      <w:r w:rsidR="0089159A">
        <w:t>a provision authorized by that subdivision to demonstrate either “need” or “commitments.”</w:t>
      </w:r>
    </w:p>
    <w:p w:rsidR="004C0ED3" w:rsidRDefault="0089159A" w:rsidP="000F6B3A">
      <w:pPr>
        <w:spacing w:line="480" w:lineRule="auto"/>
        <w:ind w:firstLine="720"/>
        <w:jc w:val="both"/>
      </w:pPr>
      <w:r>
        <w:t>The Commission’s rule concerning the filing requirements applicable to R.C.</w:t>
      </w:r>
      <w:r w:rsidR="00EC4C43">
        <w:t> </w:t>
      </w:r>
      <w:r>
        <w:t>4928.143(B)(2)(</w:t>
      </w:r>
      <w:proofErr w:type="spellStart"/>
      <w:r>
        <w:t>i</w:t>
      </w:r>
      <w:proofErr w:type="spellEnd"/>
      <w:r>
        <w:t xml:space="preserve">) also does not provide OCC any support for its claim.  </w:t>
      </w:r>
      <w:r w:rsidR="004C0ED3">
        <w:t xml:space="preserve">The Commission’s rule </w:t>
      </w:r>
      <w:r>
        <w:t>addressing</w:t>
      </w:r>
      <w:r w:rsidR="004C0ED3">
        <w:t xml:space="preserve"> what the electric distribution utility must provide in support of a provision of the plan under R.C.</w:t>
      </w:r>
      <w:r w:rsidR="000F6B3A">
        <w:t> </w:t>
      </w:r>
      <w:r w:rsidR="004C0ED3">
        <w:t>4928.143(B)(2)(</w:t>
      </w:r>
      <w:proofErr w:type="spellStart"/>
      <w:r w:rsidR="004C0ED3">
        <w:t>i</w:t>
      </w:r>
      <w:proofErr w:type="spellEnd"/>
      <w:r w:rsidR="004C0ED3">
        <w:t>)</w:t>
      </w:r>
      <w:r>
        <w:t xml:space="preserve"> states</w:t>
      </w:r>
      <w:r w:rsidR="004C0ED3">
        <w:t xml:space="preserve">:  </w:t>
      </w:r>
    </w:p>
    <w:p w:rsidR="004C0ED3" w:rsidRDefault="004C0ED3" w:rsidP="000F6B3A">
      <w:pPr>
        <w:ind w:left="720" w:right="720"/>
        <w:jc w:val="both"/>
      </w:pPr>
      <w:r w:rsidRPr="004C0ED3">
        <w:t>Division (B)(2)(</w:t>
      </w:r>
      <w:proofErr w:type="spellStart"/>
      <w:r w:rsidRPr="004C0ED3">
        <w:t>i</w:t>
      </w:r>
      <w:proofErr w:type="spellEnd"/>
      <w:r w:rsidRPr="004C0ED3">
        <w:t xml:space="preserve">) of section </w:t>
      </w:r>
      <w:r w:rsidRPr="00225F53">
        <w:t>4928.143</w:t>
      </w:r>
      <w:r w:rsidRPr="004C0ED3">
        <w:t xml:space="preserve"> of the Revised Code authorizes an electric utility to include provisions for economic development, job retention, and energy efficiency programs. </w:t>
      </w:r>
      <w:r w:rsidRPr="005A3865">
        <w:rPr>
          <w:i/>
        </w:rPr>
        <w:t>Pursuant to this section, the electric utility shall provide a complete description of the proposal, together with cost-benefit analysis or other quantitative justification, and quantification of the program</w:t>
      </w:r>
      <w:r w:rsidR="006317EE">
        <w:rPr>
          <w:i/>
        </w:rPr>
        <w:t>’</w:t>
      </w:r>
      <w:r w:rsidRPr="005A3865">
        <w:rPr>
          <w:i/>
        </w:rPr>
        <w:t>s projected impact on rates.</w:t>
      </w:r>
    </w:p>
    <w:p w:rsidR="000F6B3A" w:rsidRDefault="000F6B3A" w:rsidP="00CD73A5">
      <w:pPr>
        <w:ind w:left="720" w:right="720"/>
      </w:pPr>
    </w:p>
    <w:p w:rsidR="0089159A" w:rsidRDefault="004C0ED3" w:rsidP="0089159A">
      <w:pPr>
        <w:spacing w:line="480" w:lineRule="auto"/>
      </w:pPr>
      <w:r>
        <w:t>Rule 4901:1-35-03((C)(9)(h), OAC</w:t>
      </w:r>
      <w:r w:rsidR="0000292E">
        <w:t xml:space="preserve"> (emphasis added)</w:t>
      </w:r>
      <w:r>
        <w:t xml:space="preserve">. </w:t>
      </w:r>
      <w:r w:rsidR="00B265DC">
        <w:t xml:space="preserve">Completely absent from the </w:t>
      </w:r>
      <w:r>
        <w:t>rule</w:t>
      </w:r>
      <w:r w:rsidR="00B265DC">
        <w:t xml:space="preserve"> is any reference to a requirement that there be a demonstration of customer “need” or “commitments.”</w:t>
      </w:r>
      <w:r>
        <w:rPr>
          <w:rStyle w:val="FootnoteReference"/>
        </w:rPr>
        <w:footnoteReference w:id="4"/>
      </w:r>
      <w:r w:rsidR="00F34AFA">
        <w:t xml:space="preserve">  </w:t>
      </w:r>
    </w:p>
    <w:p w:rsidR="00AF3763" w:rsidRDefault="004E677D" w:rsidP="00B725A6">
      <w:pPr>
        <w:spacing w:line="480" w:lineRule="auto"/>
        <w:ind w:firstLine="720"/>
        <w:jc w:val="both"/>
      </w:pPr>
      <w:r>
        <w:t xml:space="preserve">Moreover, </w:t>
      </w:r>
      <w:r w:rsidR="00F34AFA">
        <w:t xml:space="preserve">OCC </w:t>
      </w:r>
      <w:r w:rsidR="00D103FD">
        <w:t xml:space="preserve">itself </w:t>
      </w:r>
      <w:r w:rsidR="00F34AFA">
        <w:t xml:space="preserve">does not explain in either its assignment of error or the supporting memorandum </w:t>
      </w:r>
      <w:r w:rsidR="0000292E">
        <w:t xml:space="preserve">what supports </w:t>
      </w:r>
      <w:r w:rsidR="00D103FD">
        <w:t>its</w:t>
      </w:r>
      <w:r w:rsidR="00F34AFA">
        <w:t xml:space="preserve"> legal </w:t>
      </w:r>
      <w:r w:rsidR="00D103FD">
        <w:t>claim</w:t>
      </w:r>
      <w:r>
        <w:t xml:space="preserve"> that proponents must demonstrate “need” or “commitments</w:t>
      </w:r>
      <w:r w:rsidR="00354137">
        <w:t>.</w:t>
      </w:r>
      <w:r>
        <w:t>”</w:t>
      </w:r>
      <w:r w:rsidR="00AF3763">
        <w:t xml:space="preserve">  </w:t>
      </w:r>
      <w:r w:rsidR="007D55B2">
        <w:t>OCC Application for Rehearing at 6</w:t>
      </w:r>
      <w:r w:rsidR="00354137">
        <w:t xml:space="preserve">.  </w:t>
      </w:r>
      <w:r w:rsidR="00AF3763">
        <w:t xml:space="preserve">In substance, </w:t>
      </w:r>
      <w:r w:rsidR="003D66CB">
        <w:t xml:space="preserve">then, </w:t>
      </w:r>
      <w:r w:rsidR="00AF3763">
        <w:t xml:space="preserve">OCC is asking the Commission to superimpose an additional requirement </w:t>
      </w:r>
      <w:r w:rsidR="007D55B2">
        <w:t xml:space="preserve">for approval of economic development provisions </w:t>
      </w:r>
      <w:r w:rsidR="0089159A">
        <w:t xml:space="preserve">of an </w:t>
      </w:r>
      <w:r w:rsidR="00A234E2">
        <w:t>electric security plan</w:t>
      </w:r>
      <w:r w:rsidR="00AF3763">
        <w:t xml:space="preserve">.  The Commission must reject this </w:t>
      </w:r>
      <w:r w:rsidR="00C95C46">
        <w:t xml:space="preserve">request </w:t>
      </w:r>
      <w:r w:rsidR="00AF3763">
        <w:t xml:space="preserve">because the Commission is without authority to expand the “plain </w:t>
      </w:r>
      <w:r w:rsidR="00AF3763">
        <w:lastRenderedPageBreak/>
        <w:t xml:space="preserve">language of the statute.”  </w:t>
      </w:r>
      <w:r w:rsidR="00AF3763" w:rsidRPr="00B725A6">
        <w:rPr>
          <w:i/>
        </w:rPr>
        <w:t>In re Application of Columbus Southern Power Co.</w:t>
      </w:r>
      <w:r w:rsidR="00AF3763">
        <w:t>, 128 Ohio St. 3d</w:t>
      </w:r>
      <w:r w:rsidR="0008223D">
        <w:t xml:space="preserve"> </w:t>
      </w:r>
      <w:r w:rsidR="005E40DF">
        <w:t xml:space="preserve">at </w:t>
      </w:r>
      <w:r w:rsidR="00AF3763">
        <w:t>520.</w:t>
      </w:r>
    </w:p>
    <w:p w:rsidR="00AB3DDD" w:rsidRDefault="003414BA" w:rsidP="00B725A6">
      <w:pPr>
        <w:spacing w:line="480" w:lineRule="auto"/>
        <w:ind w:firstLine="720"/>
        <w:jc w:val="both"/>
      </w:pPr>
      <w:r>
        <w:t>Based on its attempt to have the Commission</w:t>
      </w:r>
      <w:r w:rsidR="007C0A21">
        <w:t xml:space="preserve"> unlawfully</w:t>
      </w:r>
      <w:r>
        <w:t xml:space="preserve"> rewrite R.C.</w:t>
      </w:r>
      <w:r w:rsidR="00B725A6">
        <w:t> </w:t>
      </w:r>
      <w:r>
        <w:t>4928.143(B)(2)(</w:t>
      </w:r>
      <w:proofErr w:type="spellStart"/>
      <w:r>
        <w:t>i</w:t>
      </w:r>
      <w:proofErr w:type="spellEnd"/>
      <w:r>
        <w:t>)</w:t>
      </w:r>
      <w:r w:rsidR="00AF3763">
        <w:t xml:space="preserve">, OCC </w:t>
      </w:r>
      <w:r w:rsidR="00686E75">
        <w:t>further</w:t>
      </w:r>
      <w:r w:rsidR="007C0A21">
        <w:t xml:space="preserve"> compounds its legal error by claiming</w:t>
      </w:r>
      <w:r w:rsidR="00AF3763">
        <w:t xml:space="preserve"> that </w:t>
      </w:r>
      <w:r w:rsidR="00505445">
        <w:t>there is no “record support” of “need” or “commitments” that would justify approval of the economic development programs.  OCC Application for Rehearing at 6.</w:t>
      </w:r>
      <w:r w:rsidR="00AB3DDD">
        <w:t xml:space="preserve">  The Commission, however, was not required by R.C. 4928.143(B)(2)(</w:t>
      </w:r>
      <w:proofErr w:type="spellStart"/>
      <w:r w:rsidR="00AB3DDD">
        <w:t>i</w:t>
      </w:r>
      <w:proofErr w:type="spellEnd"/>
      <w:r w:rsidR="00AB3DDD">
        <w:t xml:space="preserve">) to make a finding regarding “need” or </w:t>
      </w:r>
      <w:r w:rsidR="00284798">
        <w:t>“</w:t>
      </w:r>
      <w:r w:rsidR="00AB3DDD">
        <w:t>commitments” of the proponents of the EDR credits since they were irrelevant to the decision.</w:t>
      </w:r>
      <w:r w:rsidR="001B3ED3">
        <w:rPr>
          <w:rStyle w:val="FootnoteReference"/>
        </w:rPr>
        <w:footnoteReference w:id="5"/>
      </w:r>
      <w:r w:rsidR="00505445">
        <w:t xml:space="preserve">  </w:t>
      </w:r>
      <w:r w:rsidR="007A7A2D" w:rsidRPr="00B503ED">
        <w:rPr>
          <w:i/>
        </w:rPr>
        <w:t>In re Application of Columbus Southern Power Co.</w:t>
      </w:r>
      <w:r w:rsidR="007A7A2D">
        <w:t>, 138 Ohio St.</w:t>
      </w:r>
      <w:r w:rsidR="00B503ED">
        <w:t xml:space="preserve"> </w:t>
      </w:r>
      <w:r w:rsidR="007A7A2D">
        <w:t xml:space="preserve">3d </w:t>
      </w:r>
      <w:r w:rsidR="00A234E2">
        <w:t>at</w:t>
      </w:r>
      <w:r w:rsidR="007A7A2D">
        <w:t xml:space="preserve"> 453-54</w:t>
      </w:r>
      <w:r w:rsidR="00A234E2">
        <w:t>.</w:t>
      </w:r>
      <w:r w:rsidR="007A7A2D">
        <w:t xml:space="preserve"> </w:t>
      </w:r>
    </w:p>
    <w:p w:rsidR="00AF3763" w:rsidRDefault="00AB3DDD" w:rsidP="00B725A6">
      <w:pPr>
        <w:spacing w:line="480" w:lineRule="auto"/>
        <w:ind w:firstLine="720"/>
        <w:jc w:val="both"/>
      </w:pPr>
      <w:r>
        <w:t>OCC’s narrower claim that the Order is unlawful and unre</w:t>
      </w:r>
      <w:r w:rsidR="008472F2">
        <w:t xml:space="preserve">asonable because the Commission approved the credits “without any demonstration of need or specific commitments” is based on a </w:t>
      </w:r>
      <w:r>
        <w:t xml:space="preserve">flawed legal </w:t>
      </w:r>
      <w:r w:rsidR="00132CD8">
        <w:t>claim</w:t>
      </w:r>
      <w:r w:rsidR="008472F2">
        <w:t xml:space="preserve"> and</w:t>
      </w:r>
      <w:r>
        <w:t xml:space="preserve"> flawed logic</w:t>
      </w:r>
      <w:r w:rsidR="00132CD8">
        <w:t xml:space="preserve"> based on that claim</w:t>
      </w:r>
      <w:r w:rsidR="008472F2">
        <w:t xml:space="preserve">.  </w:t>
      </w:r>
      <w:r w:rsidR="00132CD8">
        <w:t xml:space="preserve">Accordingly, the Commission should reject OCC’s narrower claim </w:t>
      </w:r>
      <w:r w:rsidR="00D7590A">
        <w:t>that the record does not support the Order’s findings</w:t>
      </w:r>
      <w:r w:rsidR="00132CD8">
        <w:t>.</w:t>
      </w:r>
    </w:p>
    <w:p w:rsidR="00961234" w:rsidRDefault="00961234" w:rsidP="005E40DF">
      <w:pPr>
        <w:pStyle w:val="ListParagraph"/>
        <w:numPr>
          <w:ilvl w:val="0"/>
          <w:numId w:val="2"/>
        </w:numPr>
        <w:ind w:hanging="720"/>
        <w:rPr>
          <w:rFonts w:ascii="Arial Bold" w:hAnsi="Arial Bold"/>
          <w:b/>
          <w:caps/>
        </w:rPr>
      </w:pPr>
      <w:r w:rsidRPr="00B725A6">
        <w:rPr>
          <w:rFonts w:ascii="Arial Bold" w:hAnsi="Arial Bold"/>
          <w:b/>
          <w:caps/>
        </w:rPr>
        <w:t>Conclusion</w:t>
      </w:r>
    </w:p>
    <w:p w:rsidR="00B725A6" w:rsidRPr="00B725A6" w:rsidRDefault="00B725A6" w:rsidP="00B725A6">
      <w:pPr>
        <w:pStyle w:val="ListParagraph"/>
        <w:rPr>
          <w:rFonts w:ascii="Arial Bold" w:hAnsi="Arial Bold"/>
          <w:b/>
          <w:caps/>
        </w:rPr>
      </w:pPr>
    </w:p>
    <w:p w:rsidR="00961234" w:rsidRDefault="005F35CF" w:rsidP="00B725A6">
      <w:pPr>
        <w:spacing w:line="480" w:lineRule="auto"/>
        <w:ind w:firstLine="720"/>
        <w:jc w:val="both"/>
      </w:pPr>
      <w:r>
        <w:t xml:space="preserve">Because </w:t>
      </w:r>
      <w:r w:rsidR="003414BA">
        <w:t xml:space="preserve">OCC’s </w:t>
      </w:r>
      <w:r>
        <w:t xml:space="preserve">third assignment of error is </w:t>
      </w:r>
      <w:r w:rsidR="003414BA">
        <w:t xml:space="preserve">based on misstatements of law </w:t>
      </w:r>
      <w:r w:rsidR="001B3ED3">
        <w:t>and fact</w:t>
      </w:r>
      <w:r>
        <w:t>, it does not state</w:t>
      </w:r>
      <w:r w:rsidR="003414BA">
        <w:t xml:space="preserve"> </w:t>
      </w:r>
      <w:r>
        <w:t>lawful</w:t>
      </w:r>
      <w:r w:rsidR="003414BA">
        <w:t xml:space="preserve"> </w:t>
      </w:r>
      <w:r w:rsidR="00C67F22">
        <w:t>grounds</w:t>
      </w:r>
      <w:r w:rsidR="003414BA">
        <w:t xml:space="preserve"> </w:t>
      </w:r>
      <w:r>
        <w:t>for</w:t>
      </w:r>
      <w:r w:rsidR="003414BA">
        <w:t xml:space="preserve"> rehearing</w:t>
      </w:r>
      <w:r>
        <w:t xml:space="preserve"> and should be denied</w:t>
      </w:r>
      <w:r w:rsidR="00961234">
        <w:t>.</w:t>
      </w:r>
    </w:p>
    <w:p w:rsidR="00961234" w:rsidRDefault="00961234"/>
    <w:p w:rsidR="00734019" w:rsidRDefault="00734019"/>
    <w:p w:rsidR="00734019" w:rsidRDefault="00734019"/>
    <w:p w:rsidR="00734019" w:rsidRDefault="00734019"/>
    <w:p w:rsidR="00612740" w:rsidRDefault="00612740" w:rsidP="00612740">
      <w:pPr>
        <w:tabs>
          <w:tab w:val="right" w:pos="8640"/>
        </w:tabs>
        <w:ind w:left="3960"/>
        <w:jc w:val="both"/>
        <w:rPr>
          <w:rFonts w:cs="Arial"/>
        </w:rPr>
      </w:pPr>
      <w:r>
        <w:rPr>
          <w:rFonts w:cs="Arial"/>
        </w:rPr>
        <w:lastRenderedPageBreak/>
        <w:t>Respectfully submitted,</w:t>
      </w:r>
    </w:p>
    <w:p w:rsidR="00612740" w:rsidRDefault="00612740" w:rsidP="00612740">
      <w:pPr>
        <w:tabs>
          <w:tab w:val="right" w:pos="8640"/>
        </w:tabs>
        <w:ind w:left="3960"/>
        <w:jc w:val="both"/>
        <w:rPr>
          <w:rFonts w:cs="Arial"/>
        </w:rPr>
      </w:pPr>
    </w:p>
    <w:p w:rsidR="00612740" w:rsidRDefault="00612740" w:rsidP="00612740">
      <w:pPr>
        <w:tabs>
          <w:tab w:val="left" w:pos="3960"/>
          <w:tab w:val="right" w:pos="8640"/>
        </w:tabs>
        <w:jc w:val="both"/>
        <w:rPr>
          <w:rFonts w:cs="Arial"/>
          <w:i/>
          <w:u w:val="single"/>
        </w:rPr>
      </w:pPr>
      <w:r>
        <w:rPr>
          <w:rFonts w:cs="Arial"/>
          <w:i/>
        </w:rPr>
        <w:tab/>
      </w:r>
      <w:r>
        <w:rPr>
          <w:rFonts w:cs="Arial"/>
          <w:i/>
          <w:u w:val="single"/>
        </w:rPr>
        <w:t xml:space="preserve">/s/ </w:t>
      </w:r>
      <w:r w:rsidR="00AB1146">
        <w:rPr>
          <w:rFonts w:cs="Arial"/>
          <w:i/>
          <w:u w:val="single"/>
        </w:rPr>
        <w:t>Frank P. Darr</w:t>
      </w:r>
      <w:r>
        <w:rPr>
          <w:rFonts w:cs="Arial"/>
          <w:i/>
          <w:u w:val="single"/>
        </w:rPr>
        <w:tab/>
      </w:r>
    </w:p>
    <w:p w:rsidR="00612740" w:rsidRDefault="00612740" w:rsidP="00612740">
      <w:pPr>
        <w:pStyle w:val="BodyText3"/>
        <w:widowControl w:val="0"/>
        <w:ind w:left="3960"/>
        <w:jc w:val="both"/>
        <w:rPr>
          <w:rFonts w:ascii="Arial" w:hAnsi="Arial" w:cs="Arial"/>
          <w:b w:val="0"/>
          <w:bCs/>
        </w:rPr>
      </w:pPr>
      <w:r>
        <w:rPr>
          <w:rFonts w:ascii="Arial" w:hAnsi="Arial" w:cs="Arial"/>
          <w:b w:val="0"/>
          <w:bCs/>
        </w:rPr>
        <w:t>Frank P. Darr (Reg. No. 0025469)</w:t>
      </w:r>
    </w:p>
    <w:p w:rsidR="00AB1146" w:rsidRDefault="00AB1146" w:rsidP="00AB1146">
      <w:pPr>
        <w:tabs>
          <w:tab w:val="right" w:pos="8640"/>
        </w:tabs>
        <w:ind w:left="3960"/>
        <w:jc w:val="both"/>
        <w:rPr>
          <w:rFonts w:cs="Arial"/>
        </w:rPr>
      </w:pPr>
      <w:r>
        <w:rPr>
          <w:rFonts w:cs="Arial"/>
        </w:rPr>
        <w:t xml:space="preserve">  (Counsel of Record)</w:t>
      </w:r>
    </w:p>
    <w:p w:rsidR="00612740" w:rsidRDefault="00612740" w:rsidP="00612740">
      <w:pPr>
        <w:pStyle w:val="BodyText3"/>
        <w:widowControl w:val="0"/>
        <w:ind w:left="3960"/>
        <w:jc w:val="both"/>
        <w:rPr>
          <w:rFonts w:ascii="Arial" w:hAnsi="Arial" w:cs="Arial"/>
          <w:b w:val="0"/>
          <w:bCs/>
        </w:rPr>
      </w:pPr>
      <w:r>
        <w:rPr>
          <w:rFonts w:ascii="Arial" w:hAnsi="Arial" w:cs="Arial"/>
          <w:b w:val="0"/>
          <w:bCs/>
        </w:rPr>
        <w:t>Matthew R. Pritchard (Reg. No. 0088070)</w:t>
      </w:r>
    </w:p>
    <w:p w:rsidR="00612740" w:rsidRDefault="00612740" w:rsidP="00612740">
      <w:pPr>
        <w:pStyle w:val="BodyText3"/>
        <w:widowControl w:val="0"/>
        <w:ind w:left="396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612740" w:rsidRDefault="00612740" w:rsidP="00612740">
      <w:pPr>
        <w:pStyle w:val="BodyText3"/>
        <w:widowControl w:val="0"/>
        <w:ind w:left="396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612740" w:rsidRDefault="00612740" w:rsidP="00612740">
      <w:pPr>
        <w:pStyle w:val="BodyText"/>
        <w:ind w:left="3960"/>
      </w:pPr>
      <w:r>
        <w:t>Columbus, OH  43215</w:t>
      </w:r>
    </w:p>
    <w:p w:rsidR="00612740" w:rsidRDefault="00612740" w:rsidP="00612740">
      <w:pPr>
        <w:pStyle w:val="BodyText"/>
        <w:ind w:left="3960"/>
      </w:pPr>
      <w:r>
        <w:t>Telephone</w:t>
      </w:r>
      <w:proofErr w:type="gramStart"/>
      <w:r>
        <w:t>:  (</w:t>
      </w:r>
      <w:proofErr w:type="gramEnd"/>
      <w:r>
        <w:t>614) 469-8000</w:t>
      </w:r>
    </w:p>
    <w:p w:rsidR="00612740" w:rsidRDefault="00612740" w:rsidP="00612740">
      <w:pPr>
        <w:pStyle w:val="BodyText"/>
        <w:ind w:left="3960"/>
      </w:pPr>
      <w:r>
        <w:t>Telecopier</w:t>
      </w:r>
      <w:proofErr w:type="gramStart"/>
      <w:r>
        <w:t>:  (</w:t>
      </w:r>
      <w:proofErr w:type="gramEnd"/>
      <w:r>
        <w:t>614) 469-4653</w:t>
      </w:r>
    </w:p>
    <w:p w:rsidR="00612740" w:rsidRDefault="00612740" w:rsidP="00612740">
      <w:pPr>
        <w:pStyle w:val="BodyText"/>
        <w:ind w:left="3960"/>
      </w:pPr>
      <w:r>
        <w:t>fdarr@mwncmh.com</w:t>
      </w:r>
    </w:p>
    <w:p w:rsidR="00612740" w:rsidRDefault="00612740" w:rsidP="00612740">
      <w:pPr>
        <w:pStyle w:val="BodyText"/>
        <w:ind w:left="3960"/>
      </w:pPr>
      <w:r>
        <w:t>mpritchard@mwncmh.com</w:t>
      </w:r>
    </w:p>
    <w:p w:rsidR="00961234" w:rsidRDefault="00961234"/>
    <w:p w:rsidR="00AB1146" w:rsidRDefault="00AB1146">
      <w:pPr>
        <w:sectPr w:rsidR="00AB1146" w:rsidSect="00624D3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p>
    <w:p w:rsidR="00AB1146" w:rsidRDefault="00AB1146" w:rsidP="00AB1146">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rsidR="00AB1146" w:rsidRDefault="00AB1146" w:rsidP="00AB1146">
      <w:pPr>
        <w:rPr>
          <w:rFonts w:cs="Arial"/>
        </w:rPr>
      </w:pPr>
    </w:p>
    <w:p w:rsidR="00AB1146" w:rsidRPr="009B2341" w:rsidRDefault="00AB1146" w:rsidP="009B2341">
      <w:pPr>
        <w:pStyle w:val="BodyText"/>
        <w:spacing w:line="480" w:lineRule="auto"/>
        <w:ind w:firstLine="720"/>
        <w:rPr>
          <w:rFonts w:ascii="Arial Bold" w:hAnsi="Arial Bold"/>
          <w:b/>
          <w:smallCaps/>
          <w:sz w:val="28"/>
        </w:rPr>
      </w:pPr>
      <w:r w:rsidRPr="00E66B49">
        <w:t>In accordance with Rule 4901-1-05, Ohio Ad</w:t>
      </w:r>
      <w:r>
        <w:t>ministrative Code, the PUCO’s e-</w:t>
      </w:r>
      <w:r w:rsidRPr="00E66B49">
        <w:t xml:space="preserve">filing system will electronically serve notice of the filing of this document upon the following parties.  In addition, I hereby certify that a service copy of the foregoing </w:t>
      </w:r>
      <w:r w:rsidR="00286F24" w:rsidRPr="009B2341">
        <w:rPr>
          <w:i/>
        </w:rPr>
        <w:t>Memorandum of Industrial Energy Users-Ohio Opposing the Third Assignment of Error of the Application for Rehearing of the Office of the Ohio Consumers’ Counsel</w:t>
      </w:r>
      <w:r w:rsidR="009B2341">
        <w:rPr>
          <w:rFonts w:ascii="Arial Bold" w:hAnsi="Arial Bold"/>
          <w:b/>
          <w:smallCaps/>
          <w:sz w:val="28"/>
        </w:rPr>
        <w:t xml:space="preserve"> </w:t>
      </w:r>
      <w:r w:rsidRPr="00E66B49">
        <w:t xml:space="preserve">was sent by, or on behalf of, the undersigned counsel for IEU-Ohio to the following parties of record this </w:t>
      </w:r>
      <w:r w:rsidR="009B2341">
        <w:t>4th</w:t>
      </w:r>
      <w:r>
        <w:t xml:space="preserve"> </w:t>
      </w:r>
      <w:r w:rsidRPr="00E66B49">
        <w:t xml:space="preserve">day of </w:t>
      </w:r>
      <w:r w:rsidR="009B2341">
        <w:t>December</w:t>
      </w:r>
      <w:r>
        <w:t xml:space="preserve"> 2017, </w:t>
      </w:r>
      <w:r w:rsidRPr="00E66B49">
        <w:rPr>
          <w:i/>
        </w:rPr>
        <w:t>via</w:t>
      </w:r>
      <w:r w:rsidRPr="00E66B49">
        <w:t xml:space="preserve"> electronic transmission. </w:t>
      </w:r>
    </w:p>
    <w:p w:rsidR="00AB1146" w:rsidRPr="00320E03" w:rsidRDefault="00AB1146" w:rsidP="00AB1146">
      <w:pPr>
        <w:tabs>
          <w:tab w:val="center" w:pos="7200"/>
          <w:tab w:val="right" w:pos="9360"/>
        </w:tabs>
        <w:ind w:left="5040"/>
        <w:rPr>
          <w:rFonts w:cs="Arial"/>
          <w:i/>
          <w:u w:val="single"/>
        </w:rPr>
      </w:pPr>
      <w:r w:rsidRPr="00320E03">
        <w:rPr>
          <w:rFonts w:cs="Arial"/>
          <w:i/>
          <w:u w:val="single"/>
        </w:rPr>
        <w:t xml:space="preserve">/s/ </w:t>
      </w:r>
      <w:r>
        <w:rPr>
          <w:rFonts w:cs="Arial"/>
          <w:i/>
          <w:u w:val="single"/>
        </w:rPr>
        <w:t>Frank P. Darr</w:t>
      </w:r>
      <w:r>
        <w:rPr>
          <w:rFonts w:cs="Arial"/>
          <w:i/>
          <w:u w:val="single"/>
        </w:rPr>
        <w:tab/>
      </w:r>
      <w:r w:rsidRPr="00320E03">
        <w:rPr>
          <w:rFonts w:cs="Arial"/>
          <w:i/>
          <w:u w:val="single"/>
        </w:rPr>
        <w:tab/>
      </w:r>
    </w:p>
    <w:p w:rsidR="00AB1146" w:rsidRDefault="00AB1146" w:rsidP="00AB1146">
      <w:pPr>
        <w:tabs>
          <w:tab w:val="center" w:pos="7200"/>
          <w:tab w:val="right" w:pos="9360"/>
        </w:tabs>
        <w:ind w:left="5760"/>
        <w:rPr>
          <w:rFonts w:cs="Arial"/>
        </w:rPr>
      </w:pPr>
      <w:r>
        <w:rPr>
          <w:rFonts w:cs="Arial"/>
        </w:rPr>
        <w:t>Frank P. Darr</w:t>
      </w:r>
    </w:p>
    <w:p w:rsidR="00AB1146" w:rsidRDefault="00AB1146" w:rsidP="00AB1146">
      <w:pPr>
        <w:tabs>
          <w:tab w:val="center" w:pos="7200"/>
          <w:tab w:val="right" w:pos="9360"/>
        </w:tabs>
        <w:ind w:left="5760"/>
        <w:rPr>
          <w:rFonts w:cs="Arial"/>
        </w:rPr>
        <w:sectPr w:rsidR="00AB1146" w:rsidSect="00DE0E8B">
          <w:footerReference w:type="default" r:id="rId19"/>
          <w:pgSz w:w="12240" w:h="15840" w:code="1"/>
          <w:pgMar w:top="1440" w:right="1440" w:bottom="1440" w:left="1440" w:header="720" w:footer="720" w:gutter="0"/>
          <w:pgNumType w:start="1"/>
          <w:cols w:space="720"/>
          <w:titlePg/>
          <w:docGrid w:linePitch="360"/>
        </w:sectPr>
      </w:pPr>
    </w:p>
    <w:p w:rsidR="00AB1146" w:rsidRDefault="00AB1146" w:rsidP="00AB1146">
      <w:pPr>
        <w:tabs>
          <w:tab w:val="center" w:pos="7200"/>
          <w:tab w:val="right" w:pos="9360"/>
        </w:tabs>
        <w:ind w:left="5760"/>
        <w:rPr>
          <w:rFonts w:cs="Arial"/>
        </w:rPr>
      </w:pPr>
    </w:p>
    <w:p w:rsidR="00106E98"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Jeffrey S. Sharkey</w:t>
      </w:r>
    </w:p>
    <w:p w:rsidR="00106E98" w:rsidRDefault="00106E98" w:rsidP="00106E98">
      <w:pPr>
        <w:autoSpaceDE w:val="0"/>
        <w:autoSpaceDN w:val="0"/>
        <w:adjustRightInd w:val="0"/>
        <w:rPr>
          <w:rFonts w:cs="Arial"/>
          <w:color w:val="000000" w:themeColor="text1"/>
          <w:sz w:val="20"/>
          <w:szCs w:val="20"/>
        </w:rPr>
      </w:pPr>
      <w:r>
        <w:rPr>
          <w:rFonts w:cs="Arial"/>
          <w:color w:val="000000" w:themeColor="text1"/>
          <w:sz w:val="20"/>
          <w:szCs w:val="20"/>
        </w:rPr>
        <w:t xml:space="preserve">  (Counsel of Record)</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D. Jeffrey Ireland</w:t>
      </w:r>
    </w:p>
    <w:p w:rsidR="00106E98" w:rsidRDefault="00106E98" w:rsidP="00106E98">
      <w:pPr>
        <w:autoSpaceDE w:val="0"/>
        <w:autoSpaceDN w:val="0"/>
        <w:adjustRightInd w:val="0"/>
        <w:rPr>
          <w:rFonts w:cs="Arial"/>
          <w:smallCaps/>
          <w:color w:val="000000"/>
        </w:rPr>
      </w:pPr>
      <w:proofErr w:type="spellStart"/>
      <w:r>
        <w:rPr>
          <w:rFonts w:cs="Arial"/>
          <w:smallCaps/>
          <w:color w:val="000000"/>
        </w:rPr>
        <w:t>Faruki</w:t>
      </w:r>
      <w:proofErr w:type="spellEnd"/>
      <w:r>
        <w:rPr>
          <w:rFonts w:cs="Arial"/>
          <w:smallCaps/>
          <w:color w:val="000000"/>
        </w:rPr>
        <w:t xml:space="preserve"> Ireland Cox Rhinehart </w:t>
      </w:r>
      <w:r>
        <w:rPr>
          <w:rFonts w:cs="Arial"/>
          <w:smallCaps/>
          <w:color w:val="000000"/>
        </w:rPr>
        <w:br/>
        <w:t xml:space="preserve">&amp; </w:t>
      </w:r>
      <w:proofErr w:type="spellStart"/>
      <w:r>
        <w:rPr>
          <w:rFonts w:cs="Arial"/>
          <w:smallCaps/>
          <w:color w:val="000000"/>
        </w:rPr>
        <w:t>Dusing</w:t>
      </w:r>
      <w:proofErr w:type="spellEnd"/>
      <w:r>
        <w:rPr>
          <w:rFonts w:cs="Arial"/>
          <w:smallCaps/>
          <w:color w:val="000000"/>
        </w:rPr>
        <w:t xml:space="preserve"> PLL</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110 North Main Street, Suite 1600</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Dayton, OH 45402</w:t>
      </w:r>
    </w:p>
    <w:p w:rsidR="00106E98" w:rsidRDefault="00106E98" w:rsidP="00106E98">
      <w:pPr>
        <w:autoSpaceDE w:val="0"/>
        <w:autoSpaceDN w:val="0"/>
        <w:adjustRightInd w:val="0"/>
        <w:rPr>
          <w:rFonts w:cs="Arial"/>
          <w:color w:val="000000" w:themeColor="text1"/>
          <w:sz w:val="20"/>
          <w:szCs w:val="20"/>
        </w:rPr>
      </w:pPr>
      <w:r w:rsidRPr="00DE1EC1">
        <w:rPr>
          <w:rFonts w:cs="Arial"/>
          <w:color w:val="000000" w:themeColor="text1"/>
          <w:sz w:val="20"/>
          <w:szCs w:val="20"/>
        </w:rPr>
        <w:t>jsharkey@ficlaw.com</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djireland@ficlaw.com</w:t>
      </w:r>
    </w:p>
    <w:p w:rsidR="00106E98" w:rsidRPr="00924431" w:rsidRDefault="00106E98" w:rsidP="00106E98">
      <w:pPr>
        <w:autoSpaceDE w:val="0"/>
        <w:autoSpaceDN w:val="0"/>
        <w:adjustRightInd w:val="0"/>
        <w:rPr>
          <w:rFonts w:cs="Arial"/>
          <w:color w:val="000000" w:themeColor="text1"/>
          <w:sz w:val="20"/>
          <w:szCs w:val="20"/>
        </w:rPr>
      </w:pPr>
    </w:p>
    <w:p w:rsidR="00106E98" w:rsidRPr="00924431" w:rsidRDefault="00106E98" w:rsidP="00106E98">
      <w:pPr>
        <w:autoSpaceDE w:val="0"/>
        <w:autoSpaceDN w:val="0"/>
        <w:adjustRightInd w:val="0"/>
        <w:rPr>
          <w:rFonts w:cs="Arial"/>
          <w:b/>
          <w:smallCaps/>
          <w:color w:val="000000" w:themeColor="text1"/>
          <w:sz w:val="20"/>
          <w:szCs w:val="20"/>
        </w:rPr>
      </w:pPr>
      <w:r w:rsidRPr="00924431">
        <w:rPr>
          <w:rFonts w:cs="Arial"/>
          <w:b/>
          <w:smallCaps/>
          <w:color w:val="000000" w:themeColor="text1"/>
          <w:sz w:val="20"/>
          <w:szCs w:val="20"/>
        </w:rPr>
        <w:t>Counsel for The Dayton Power and</w:t>
      </w:r>
    </w:p>
    <w:p w:rsidR="00106E98" w:rsidRPr="00924431" w:rsidRDefault="00106E98" w:rsidP="00106E98">
      <w:pPr>
        <w:rPr>
          <w:rFonts w:cs="Arial"/>
          <w:b/>
          <w:smallCaps/>
          <w:color w:val="000000" w:themeColor="text1"/>
          <w:sz w:val="20"/>
          <w:szCs w:val="20"/>
        </w:rPr>
      </w:pPr>
      <w:r w:rsidRPr="00924431">
        <w:rPr>
          <w:rFonts w:cs="Arial"/>
          <w:b/>
          <w:smallCaps/>
          <w:color w:val="000000" w:themeColor="text1"/>
          <w:sz w:val="20"/>
          <w:szCs w:val="20"/>
        </w:rPr>
        <w:t>Light Company</w:t>
      </w:r>
    </w:p>
    <w:p w:rsidR="00106E98" w:rsidRPr="00924431" w:rsidRDefault="00106E98" w:rsidP="00106E98">
      <w:pPr>
        <w:rPr>
          <w:rFonts w:cs="Arial"/>
          <w:color w:val="000000" w:themeColor="text1"/>
          <w:sz w:val="20"/>
          <w:szCs w:val="20"/>
        </w:rPr>
      </w:pP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Madeline Fleisher</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Kristin Field</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Environmental Law &amp; Policy Center</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21 West Broad St., Suite 500</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Columbus, OH 43215</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mfleisher@elpc.org</w:t>
      </w:r>
    </w:p>
    <w:p w:rsidR="00106E98" w:rsidRPr="00924431" w:rsidRDefault="00106E98" w:rsidP="00106E98">
      <w:pPr>
        <w:autoSpaceDE w:val="0"/>
        <w:autoSpaceDN w:val="0"/>
        <w:adjustRightInd w:val="0"/>
        <w:rPr>
          <w:rFonts w:cs="Arial"/>
          <w:iCs/>
          <w:color w:val="000000" w:themeColor="text1"/>
          <w:sz w:val="20"/>
          <w:szCs w:val="20"/>
        </w:rPr>
      </w:pPr>
    </w:p>
    <w:p w:rsidR="00106E98" w:rsidRPr="00924431" w:rsidRDefault="00106E98" w:rsidP="00106E98">
      <w:pPr>
        <w:autoSpaceDE w:val="0"/>
        <w:autoSpaceDN w:val="0"/>
        <w:adjustRightInd w:val="0"/>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Counsel for the Environmental Law &amp;</w:t>
      </w:r>
    </w:p>
    <w:p w:rsidR="00106E98" w:rsidRPr="00924431" w:rsidRDefault="00106E98" w:rsidP="00106E98">
      <w:pPr>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Policy Center</w:t>
      </w:r>
    </w:p>
    <w:p w:rsidR="00106E98" w:rsidRDefault="00106E98"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9B2341" w:rsidRDefault="009B2341" w:rsidP="00106E98">
      <w:pPr>
        <w:rPr>
          <w:rFonts w:cs="Arial"/>
          <w:color w:val="000000" w:themeColor="text1"/>
          <w:sz w:val="20"/>
          <w:szCs w:val="20"/>
        </w:rPr>
      </w:pPr>
    </w:p>
    <w:p w:rsidR="009B2341" w:rsidRDefault="009B2341"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Pr="00924431" w:rsidRDefault="00286F24" w:rsidP="00106E98">
      <w:pPr>
        <w:rPr>
          <w:rFonts w:cs="Arial"/>
          <w:color w:val="000000" w:themeColor="text1"/>
          <w:sz w:val="20"/>
          <w:szCs w:val="20"/>
        </w:rPr>
      </w:pP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Jeffrey W. Mayes</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General Counsel</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Monitoring Analytics, LLC</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2621 Van Buren Avenue, Suite 160</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Valley Forge Corporate Center</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Eagleville, PA  19403</w:t>
      </w:r>
    </w:p>
    <w:p w:rsidR="00106E98" w:rsidRPr="00924431" w:rsidRDefault="00106E98" w:rsidP="00106E98">
      <w:pPr>
        <w:rPr>
          <w:rFonts w:cs="Arial"/>
          <w:iCs/>
          <w:color w:val="000000" w:themeColor="text1"/>
          <w:sz w:val="20"/>
          <w:szCs w:val="20"/>
        </w:rPr>
      </w:pPr>
      <w:r w:rsidRPr="00286F24">
        <w:rPr>
          <w:rFonts w:cs="Arial"/>
          <w:iCs/>
          <w:sz w:val="20"/>
          <w:szCs w:val="20"/>
        </w:rPr>
        <w:t>jeffrey.mayes@monitoringanalytics.com</w:t>
      </w:r>
    </w:p>
    <w:p w:rsidR="00106E98" w:rsidRPr="00924431" w:rsidRDefault="00106E98" w:rsidP="00106E98">
      <w:pPr>
        <w:rPr>
          <w:rFonts w:cs="Arial"/>
          <w:iCs/>
          <w:color w:val="000000" w:themeColor="text1"/>
          <w:sz w:val="20"/>
          <w:szCs w:val="20"/>
        </w:rPr>
      </w:pPr>
    </w:p>
    <w:p w:rsidR="00106E98" w:rsidRPr="00924431" w:rsidRDefault="00106E98" w:rsidP="00106E98">
      <w:pPr>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Counsel for Monitoring Analytics, LLC</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Evelyn R. Robinson</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PJM Interconnection, L.L.C.</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2750 Monroe Boulevard</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Audubon, PA 19403</w:t>
      </w:r>
    </w:p>
    <w:p w:rsidR="00106E98" w:rsidRPr="00924431" w:rsidRDefault="00106E98" w:rsidP="00106E98">
      <w:pPr>
        <w:rPr>
          <w:rFonts w:cs="Arial"/>
          <w:iCs/>
          <w:color w:val="000000" w:themeColor="text1"/>
          <w:sz w:val="20"/>
          <w:szCs w:val="20"/>
        </w:rPr>
      </w:pPr>
      <w:r w:rsidRPr="00286F24">
        <w:rPr>
          <w:rFonts w:cs="Arial"/>
          <w:iCs/>
          <w:sz w:val="20"/>
          <w:szCs w:val="20"/>
        </w:rPr>
        <w:t>evelyn.robinson@pjm.com</w:t>
      </w:r>
    </w:p>
    <w:p w:rsidR="00106E98" w:rsidRPr="00924431" w:rsidRDefault="00106E98" w:rsidP="00106E98">
      <w:pPr>
        <w:rPr>
          <w:rFonts w:cs="Arial"/>
          <w:iCs/>
          <w:color w:val="000000" w:themeColor="text1"/>
          <w:sz w:val="20"/>
          <w:szCs w:val="20"/>
        </w:rPr>
      </w:pPr>
    </w:p>
    <w:p w:rsidR="00106E98" w:rsidRPr="00924431" w:rsidRDefault="00106E98" w:rsidP="00106E98">
      <w:pPr>
        <w:autoSpaceDE w:val="0"/>
        <w:autoSpaceDN w:val="0"/>
        <w:adjustRightInd w:val="0"/>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Counsel for PJM Interconnection, L.L.C.</w:t>
      </w:r>
    </w:p>
    <w:p w:rsidR="00106E98" w:rsidRPr="00924431" w:rsidRDefault="00106E98" w:rsidP="00106E98">
      <w:pPr>
        <w:rPr>
          <w:rFonts w:cs="Arial"/>
          <w:iCs/>
          <w:color w:val="000000" w:themeColor="text1"/>
          <w:sz w:val="20"/>
          <w:szCs w:val="20"/>
        </w:rPr>
      </w:pP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David F. Boehm, Esq.</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Michael L. Kurtz, Esq.</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Kurt J. Boehm, Esq.</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Jody Kyler Cohn, Esq.</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Boehm, Kurtz &amp; Lowry</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36 East Seventh Street, Suite 1510</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Cincinnati, OH  45202</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dboehm@BKLlawfirm.com mkurtzt@BKLlawfirm.com</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kboehm@BKLlawfirm.com</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jkylercohn@BKLlawfirm.com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Ohio Energy Group</w:t>
      </w:r>
    </w:p>
    <w:p w:rsidR="00106E98" w:rsidRDefault="00106E98" w:rsidP="00106E98">
      <w:pPr>
        <w:rPr>
          <w:rFonts w:cs="Arial"/>
          <w:color w:val="000000" w:themeColor="text1"/>
          <w:sz w:val="20"/>
          <w:szCs w:val="20"/>
        </w:rPr>
      </w:pPr>
    </w:p>
    <w:p w:rsidR="009B2341" w:rsidRDefault="009B2341" w:rsidP="00106E98">
      <w:pPr>
        <w:rPr>
          <w:rFonts w:cs="Arial"/>
          <w:color w:val="000000" w:themeColor="text1"/>
          <w:sz w:val="20"/>
          <w:szCs w:val="20"/>
        </w:rPr>
      </w:pPr>
    </w:p>
    <w:p w:rsidR="009B2341" w:rsidRPr="00924431" w:rsidRDefault="009B2341" w:rsidP="00106E98">
      <w:pPr>
        <w:rPr>
          <w:rFonts w:cs="Arial"/>
          <w:color w:val="000000" w:themeColor="text1"/>
          <w:sz w:val="20"/>
          <w:szCs w:val="20"/>
        </w:rPr>
      </w:pP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lastRenderedPageBreak/>
        <w:t>Kevin R. Schmidt (Reg. No. 0086722)</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Strategic Public Partners</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88 East Broad Street, Suite 1770</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Columbus, OH  43215</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schmidt@sppgrp.com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Energy Professionals of Ohio</w:t>
      </w:r>
    </w:p>
    <w:p w:rsidR="00106E98" w:rsidRPr="00924431" w:rsidRDefault="00106E98" w:rsidP="00106E98">
      <w:pPr>
        <w:rPr>
          <w:rFonts w:cs="Arial"/>
          <w:color w:val="000000" w:themeColor="text1"/>
          <w:sz w:val="20"/>
          <w:szCs w:val="20"/>
        </w:rPr>
      </w:pPr>
    </w:p>
    <w:p w:rsidR="00106E98" w:rsidRDefault="00106E98" w:rsidP="00106E98">
      <w:pPr>
        <w:rPr>
          <w:rFonts w:cs="Arial"/>
          <w:color w:val="000000" w:themeColor="text1"/>
          <w:sz w:val="20"/>
          <w:szCs w:val="20"/>
        </w:rPr>
      </w:pPr>
      <w:r>
        <w:rPr>
          <w:rFonts w:cs="Arial"/>
          <w:color w:val="000000" w:themeColor="text1"/>
          <w:sz w:val="20"/>
          <w:szCs w:val="20"/>
        </w:rPr>
        <w:t>BRUCE J. WESTON (0016973)</w:t>
      </w:r>
    </w:p>
    <w:p w:rsidR="00106E98" w:rsidRDefault="00106E98" w:rsidP="00106E98">
      <w:pPr>
        <w:rPr>
          <w:rFonts w:cs="Arial"/>
          <w:color w:val="000000" w:themeColor="text1"/>
          <w:sz w:val="20"/>
          <w:szCs w:val="20"/>
        </w:rPr>
      </w:pPr>
      <w:r>
        <w:rPr>
          <w:rFonts w:cs="Arial"/>
          <w:color w:val="000000" w:themeColor="text1"/>
          <w:sz w:val="20"/>
          <w:szCs w:val="20"/>
        </w:rPr>
        <w:t>OHIO CONSUMERS’ COUNSEL</w:t>
      </w:r>
    </w:p>
    <w:p w:rsidR="00106E98"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William J. Michael</w:t>
      </w:r>
      <w:r>
        <w:rPr>
          <w:rFonts w:cs="Arial"/>
          <w:color w:val="000000" w:themeColor="text1"/>
          <w:sz w:val="20"/>
          <w:szCs w:val="20"/>
        </w:rPr>
        <w:t xml:space="preserve"> (0016973)</w:t>
      </w:r>
    </w:p>
    <w:p w:rsidR="00106E98" w:rsidRPr="00924431" w:rsidRDefault="00106E98" w:rsidP="00106E98">
      <w:pPr>
        <w:rPr>
          <w:rFonts w:cs="Arial"/>
          <w:color w:val="000000" w:themeColor="text1"/>
          <w:sz w:val="20"/>
          <w:szCs w:val="20"/>
        </w:rPr>
      </w:pPr>
      <w:r>
        <w:rPr>
          <w:rFonts w:cs="Arial"/>
          <w:color w:val="000000" w:themeColor="text1"/>
          <w:sz w:val="20"/>
          <w:szCs w:val="20"/>
        </w:rPr>
        <w:t xml:space="preserve">  </w:t>
      </w:r>
      <w:r w:rsidRPr="00924431">
        <w:rPr>
          <w:rFonts w:cs="Arial"/>
          <w:color w:val="000000" w:themeColor="text1"/>
          <w:sz w:val="20"/>
          <w:szCs w:val="20"/>
        </w:rPr>
        <w:t>Counsel of Record</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Kevin F. Moore</w:t>
      </w:r>
      <w:r>
        <w:rPr>
          <w:rFonts w:cs="Arial"/>
          <w:color w:val="000000" w:themeColor="text1"/>
          <w:sz w:val="20"/>
          <w:szCs w:val="20"/>
        </w:rPr>
        <w:t xml:space="preserve"> (0089228)</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10 West Broad Street, Suite 1800</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Columbus, OH  43215-3485</w:t>
      </w:r>
    </w:p>
    <w:p w:rsidR="00106E98" w:rsidRPr="00924431" w:rsidRDefault="00106E98" w:rsidP="00106E98">
      <w:pPr>
        <w:rPr>
          <w:rFonts w:cs="Arial"/>
          <w:color w:val="000000" w:themeColor="text1"/>
          <w:sz w:val="20"/>
          <w:szCs w:val="20"/>
        </w:rPr>
      </w:pPr>
      <w:r w:rsidRPr="00286F24">
        <w:rPr>
          <w:rFonts w:cs="Arial"/>
          <w:sz w:val="20"/>
          <w:szCs w:val="20"/>
        </w:rPr>
        <w:t>William.Michael@occ.ohio.gov</w:t>
      </w:r>
    </w:p>
    <w:p w:rsidR="00106E98" w:rsidRPr="00924431" w:rsidRDefault="00106E98" w:rsidP="00106E98">
      <w:pPr>
        <w:rPr>
          <w:rStyle w:val="Hyperlink"/>
          <w:rFonts w:cs="Arial"/>
          <w:color w:val="000000" w:themeColor="text1"/>
          <w:sz w:val="20"/>
          <w:szCs w:val="20"/>
        </w:rPr>
      </w:pPr>
      <w:r w:rsidRPr="00286F24">
        <w:rPr>
          <w:rFonts w:cs="Arial"/>
          <w:sz w:val="20"/>
          <w:szCs w:val="20"/>
        </w:rPr>
        <w:t>Kevin.Moore@occ.ohio.gov</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Office of the Ohio Consumers’ Counsel</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Angela Paul Whitfield</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Carpenter Lipps &amp; Leland LLP</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280 Plaza, Suite 1300</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280 North High Street</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Columbus, OH  43215</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paul@carpenterlipps.com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Kroger Co.</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 xml:space="preserve">Kimberly W. </w:t>
      </w:r>
      <w:proofErr w:type="spellStart"/>
      <w:r w:rsidRPr="00924431">
        <w:rPr>
          <w:rFonts w:cs="Arial"/>
          <w:color w:val="000000" w:themeColor="text1"/>
          <w:sz w:val="20"/>
          <w:szCs w:val="20"/>
        </w:rPr>
        <w:t>Bojko</w:t>
      </w:r>
      <w:proofErr w:type="spellEnd"/>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 xml:space="preserve">James D. </w:t>
      </w:r>
      <w:proofErr w:type="spellStart"/>
      <w:r w:rsidRPr="00924431">
        <w:rPr>
          <w:rFonts w:cs="Arial"/>
          <w:color w:val="000000" w:themeColor="text1"/>
          <w:sz w:val="20"/>
          <w:szCs w:val="20"/>
        </w:rPr>
        <w:t>Perko</w:t>
      </w:r>
      <w:proofErr w:type="spellEnd"/>
      <w:r w:rsidRPr="00924431">
        <w:rPr>
          <w:rFonts w:cs="Arial"/>
          <w:color w:val="000000" w:themeColor="text1"/>
          <w:sz w:val="20"/>
          <w:szCs w:val="20"/>
        </w:rPr>
        <w:t>, Jr.</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Carpenter Lipps &amp; Leland LLP</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280 North High Street, Suite 1300</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Columbus, OH  43215</w:t>
      </w:r>
    </w:p>
    <w:p w:rsidR="00106E98" w:rsidRPr="00924431" w:rsidRDefault="00106E98" w:rsidP="00106E98">
      <w:pPr>
        <w:rPr>
          <w:rFonts w:cs="Arial"/>
          <w:color w:val="000000" w:themeColor="text1"/>
          <w:sz w:val="20"/>
          <w:szCs w:val="20"/>
        </w:rPr>
      </w:pPr>
      <w:r w:rsidRPr="00286F24">
        <w:rPr>
          <w:rFonts w:cs="Arial"/>
          <w:sz w:val="20"/>
          <w:szCs w:val="20"/>
        </w:rPr>
        <w:t>Bojko@carpenterlipps.com</w:t>
      </w:r>
    </w:p>
    <w:p w:rsidR="00106E98" w:rsidRPr="00924431" w:rsidRDefault="00106E98" w:rsidP="00106E98">
      <w:pPr>
        <w:rPr>
          <w:rFonts w:cs="Arial"/>
          <w:color w:val="000000" w:themeColor="text1"/>
          <w:sz w:val="20"/>
          <w:szCs w:val="20"/>
        </w:rPr>
      </w:pPr>
      <w:r w:rsidRPr="00286F24">
        <w:rPr>
          <w:rFonts w:cs="Arial"/>
          <w:sz w:val="20"/>
          <w:szCs w:val="20"/>
        </w:rPr>
        <w:t>perko@carpenterlipps.com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Ohio Manufacturers’ Association Energy Group</w:t>
      </w:r>
    </w:p>
    <w:p w:rsidR="00106E98" w:rsidRDefault="00106E98"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Pr="00924431" w:rsidRDefault="00286F24"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 xml:space="preserve">Michael J. </w:t>
      </w:r>
      <w:proofErr w:type="spellStart"/>
      <w:r w:rsidRPr="00924431">
        <w:rPr>
          <w:rFonts w:cs="Arial"/>
          <w:color w:val="000000" w:themeColor="text1"/>
          <w:sz w:val="20"/>
          <w:szCs w:val="20"/>
        </w:rPr>
        <w:t>Settineri</w:t>
      </w:r>
      <w:proofErr w:type="spellEnd"/>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Stephen M. Howard</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Gretchen L. Petrucci</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 xml:space="preserve">Ilya </w:t>
      </w:r>
      <w:proofErr w:type="spellStart"/>
      <w:r w:rsidRPr="00924431">
        <w:rPr>
          <w:rFonts w:cs="Arial"/>
          <w:color w:val="000000" w:themeColor="text1"/>
          <w:sz w:val="20"/>
          <w:szCs w:val="20"/>
        </w:rPr>
        <w:t>Batikov</w:t>
      </w:r>
      <w:proofErr w:type="spellEnd"/>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 xml:space="preserve">Vorys, </w:t>
      </w:r>
      <w:proofErr w:type="spellStart"/>
      <w:r w:rsidRPr="00924431">
        <w:rPr>
          <w:rFonts w:cs="Arial"/>
          <w:color w:val="000000" w:themeColor="text1"/>
          <w:sz w:val="20"/>
          <w:szCs w:val="20"/>
        </w:rPr>
        <w:t>Sater</w:t>
      </w:r>
      <w:proofErr w:type="spellEnd"/>
      <w:r w:rsidRPr="00924431">
        <w:rPr>
          <w:rFonts w:cs="Arial"/>
          <w:color w:val="000000" w:themeColor="text1"/>
          <w:sz w:val="20"/>
          <w:szCs w:val="20"/>
        </w:rPr>
        <w:t>, Seymour and Pease LLP</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52 E. Gay Street</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Columbus, OH  43215</w:t>
      </w:r>
    </w:p>
    <w:p w:rsidR="00106E98" w:rsidRPr="00924431" w:rsidRDefault="00106E98" w:rsidP="00106E98">
      <w:pPr>
        <w:rPr>
          <w:rFonts w:cs="Arial"/>
          <w:color w:val="000000" w:themeColor="text1"/>
          <w:sz w:val="20"/>
          <w:szCs w:val="20"/>
        </w:rPr>
      </w:pPr>
      <w:r w:rsidRPr="00286F24">
        <w:rPr>
          <w:rFonts w:cs="Arial"/>
          <w:sz w:val="20"/>
          <w:szCs w:val="20"/>
        </w:rPr>
        <w:t>mjsettineri@vorys.com</w:t>
      </w:r>
    </w:p>
    <w:p w:rsidR="00106E98" w:rsidRPr="00924431" w:rsidRDefault="00106E98" w:rsidP="00106E98">
      <w:pPr>
        <w:rPr>
          <w:rFonts w:cs="Arial"/>
          <w:color w:val="000000" w:themeColor="text1"/>
          <w:sz w:val="20"/>
          <w:szCs w:val="20"/>
        </w:rPr>
      </w:pPr>
      <w:r w:rsidRPr="00286F24">
        <w:rPr>
          <w:rFonts w:cs="Arial"/>
          <w:sz w:val="20"/>
          <w:szCs w:val="20"/>
        </w:rPr>
        <w:t>smhoward@vorys.co</w:t>
      </w:r>
      <w:r w:rsidRPr="00924431">
        <w:rPr>
          <w:rFonts w:cs="Arial"/>
          <w:color w:val="000000" w:themeColor="text1"/>
          <w:sz w:val="20"/>
          <w:szCs w:val="20"/>
        </w:rPr>
        <w:t>m</w:t>
      </w:r>
    </w:p>
    <w:p w:rsidR="00106E98" w:rsidRPr="00924431" w:rsidRDefault="00106E98" w:rsidP="00106E98">
      <w:pPr>
        <w:rPr>
          <w:rFonts w:cs="Arial"/>
          <w:color w:val="000000" w:themeColor="text1"/>
          <w:sz w:val="20"/>
          <w:szCs w:val="20"/>
        </w:rPr>
      </w:pPr>
      <w:r w:rsidRPr="00286F24">
        <w:rPr>
          <w:rFonts w:cs="Arial"/>
          <w:sz w:val="20"/>
          <w:szCs w:val="20"/>
        </w:rPr>
        <w:t>glpetrucci@vorys.com</w:t>
      </w:r>
    </w:p>
    <w:p w:rsidR="00106E98" w:rsidRPr="00924431" w:rsidRDefault="00106E98" w:rsidP="00106E98">
      <w:pPr>
        <w:rPr>
          <w:rFonts w:cs="Arial"/>
          <w:color w:val="000000" w:themeColor="text1"/>
          <w:sz w:val="20"/>
          <w:szCs w:val="20"/>
        </w:rPr>
      </w:pPr>
      <w:r w:rsidRPr="00286F24">
        <w:rPr>
          <w:rFonts w:cs="Arial"/>
          <w:sz w:val="20"/>
          <w:szCs w:val="20"/>
        </w:rPr>
        <w:t>ibatikov@vorys.com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Dynegy Inc., PJM Power Providers Group and the Electric Power Supply Association and the Retail Energy Supply Association</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 xml:space="preserve">Joseph </w:t>
      </w:r>
      <w:proofErr w:type="spellStart"/>
      <w:r w:rsidRPr="00924431">
        <w:rPr>
          <w:rFonts w:cs="Arial"/>
          <w:color w:val="000000" w:themeColor="text1"/>
          <w:sz w:val="20"/>
          <w:szCs w:val="20"/>
        </w:rPr>
        <w:t>Oliker</w:t>
      </w:r>
      <w:proofErr w:type="spellEnd"/>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IGS Energy</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6100 Emerald Parkway</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Dublin, OH  43016</w:t>
      </w:r>
    </w:p>
    <w:p w:rsidR="00106E98" w:rsidRPr="00924431" w:rsidRDefault="00106E98" w:rsidP="00106E98">
      <w:pPr>
        <w:rPr>
          <w:rFonts w:cs="Arial"/>
          <w:color w:val="000000" w:themeColor="text1"/>
          <w:sz w:val="20"/>
          <w:szCs w:val="20"/>
        </w:rPr>
      </w:pPr>
      <w:r w:rsidRPr="00286F24">
        <w:rPr>
          <w:rFonts w:cs="Arial"/>
          <w:sz w:val="20"/>
          <w:szCs w:val="20"/>
        </w:rPr>
        <w:t>joliker@igsenergy.com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IGS Energy</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Michael D. Dortch</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Richard R. Parsons</w:t>
      </w:r>
    </w:p>
    <w:p w:rsidR="00106E98" w:rsidRPr="00924431" w:rsidRDefault="00106E98" w:rsidP="00106E98">
      <w:pPr>
        <w:rPr>
          <w:rFonts w:cs="Arial"/>
          <w:color w:val="000000" w:themeColor="text1"/>
          <w:sz w:val="20"/>
          <w:szCs w:val="20"/>
        </w:rPr>
      </w:pPr>
      <w:proofErr w:type="spellStart"/>
      <w:r w:rsidRPr="00924431">
        <w:rPr>
          <w:rFonts w:cs="Arial"/>
          <w:color w:val="000000" w:themeColor="text1"/>
          <w:sz w:val="20"/>
          <w:szCs w:val="20"/>
        </w:rPr>
        <w:t>Kravitz</w:t>
      </w:r>
      <w:proofErr w:type="spellEnd"/>
      <w:r w:rsidRPr="00924431">
        <w:rPr>
          <w:rFonts w:cs="Arial"/>
          <w:color w:val="000000" w:themeColor="text1"/>
          <w:sz w:val="20"/>
          <w:szCs w:val="20"/>
        </w:rPr>
        <w:t>, Brown &amp; Dortch, LLC</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65 East State Street, Suite 200</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Columbus, OH  43215</w:t>
      </w:r>
    </w:p>
    <w:p w:rsidR="00106E98" w:rsidRPr="00924431" w:rsidRDefault="00106E98" w:rsidP="00106E98">
      <w:pPr>
        <w:rPr>
          <w:rFonts w:cs="Arial"/>
          <w:color w:val="000000" w:themeColor="text1"/>
          <w:sz w:val="20"/>
          <w:szCs w:val="20"/>
        </w:rPr>
      </w:pPr>
      <w:r w:rsidRPr="00286F24">
        <w:rPr>
          <w:rFonts w:cs="Arial"/>
          <w:sz w:val="20"/>
          <w:szCs w:val="20"/>
        </w:rPr>
        <w:t>mdortch@kravitzllc.com</w:t>
      </w:r>
    </w:p>
    <w:p w:rsidR="00106E98" w:rsidRPr="00924431" w:rsidRDefault="00106E98" w:rsidP="00106E98">
      <w:pPr>
        <w:rPr>
          <w:rFonts w:cs="Arial"/>
          <w:color w:val="000000" w:themeColor="text1"/>
          <w:sz w:val="20"/>
          <w:szCs w:val="20"/>
        </w:rPr>
      </w:pPr>
      <w:r w:rsidRPr="00286F24">
        <w:rPr>
          <w:rFonts w:cs="Arial"/>
          <w:sz w:val="20"/>
          <w:szCs w:val="20"/>
        </w:rPr>
        <w:t>rparsons@kravitzllc.com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Noble Americas Energy Solutions LLC</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Colleen L. Mooney</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231 West Lima Street</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PO Box 1793</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Findlay, OH  45839-1793</w:t>
      </w:r>
    </w:p>
    <w:p w:rsidR="00106E98" w:rsidRPr="00924431" w:rsidRDefault="00106E98" w:rsidP="00106E98">
      <w:pPr>
        <w:rPr>
          <w:rFonts w:cs="Arial"/>
          <w:color w:val="000000" w:themeColor="text1"/>
          <w:sz w:val="20"/>
          <w:szCs w:val="20"/>
        </w:rPr>
      </w:pPr>
      <w:r w:rsidRPr="00286F24">
        <w:rPr>
          <w:rFonts w:cs="Arial"/>
          <w:sz w:val="20"/>
          <w:szCs w:val="20"/>
        </w:rPr>
        <w:t>cmooney@ohiopartners.org</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Ohio Partners for Affordable Energy</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Pr>
          <w:rFonts w:cs="Arial"/>
          <w:color w:val="000000" w:themeColor="text1"/>
          <w:sz w:val="20"/>
          <w:szCs w:val="20"/>
        </w:rPr>
        <w:t>Miranda Leppla (0086351)</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1145 Chesapeake Ave., Suite I</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Columbus, OH  43212-3449</w:t>
      </w:r>
    </w:p>
    <w:p w:rsidR="00106E98" w:rsidRPr="00286F24" w:rsidRDefault="00106E98" w:rsidP="00106E98">
      <w:pPr>
        <w:rPr>
          <w:rFonts w:cs="Arial"/>
          <w:color w:val="000000" w:themeColor="text1"/>
          <w:sz w:val="20"/>
          <w:szCs w:val="20"/>
        </w:rPr>
      </w:pPr>
      <w:r w:rsidRPr="00286F24">
        <w:rPr>
          <w:rStyle w:val="Hyperlink"/>
          <w:rFonts w:cs="Arial"/>
          <w:color w:val="000000" w:themeColor="text1"/>
          <w:sz w:val="20"/>
          <w:szCs w:val="20"/>
          <w:u w:val="none"/>
        </w:rPr>
        <w:t>mleppla@theoec.org</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Environmental Defense Fund</w:t>
      </w:r>
    </w:p>
    <w:p w:rsidR="00106E98" w:rsidRDefault="00106E98"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Pr="00924431" w:rsidRDefault="00286F24" w:rsidP="00106E98">
      <w:pPr>
        <w:rPr>
          <w:rFonts w:cs="Arial"/>
          <w:color w:val="000000" w:themeColor="text1"/>
          <w:sz w:val="20"/>
          <w:szCs w:val="20"/>
        </w:rPr>
      </w:pPr>
    </w:p>
    <w:p w:rsidR="00106E98" w:rsidRDefault="00106E98" w:rsidP="00106E98">
      <w:pPr>
        <w:rPr>
          <w:rFonts w:cs="Arial"/>
          <w:color w:val="000000" w:themeColor="text1"/>
          <w:sz w:val="20"/>
          <w:szCs w:val="20"/>
        </w:rPr>
      </w:pPr>
      <w:r>
        <w:rPr>
          <w:rFonts w:cs="Arial"/>
          <w:color w:val="000000" w:themeColor="text1"/>
          <w:sz w:val="20"/>
          <w:szCs w:val="20"/>
        </w:rPr>
        <w:lastRenderedPageBreak/>
        <w:t>Trent Dougherty (0079817)</w:t>
      </w:r>
    </w:p>
    <w:p w:rsidR="00106E98" w:rsidRDefault="00106E98" w:rsidP="00106E98">
      <w:pPr>
        <w:rPr>
          <w:rFonts w:cs="Arial"/>
          <w:color w:val="000000" w:themeColor="text1"/>
          <w:sz w:val="20"/>
          <w:szCs w:val="20"/>
        </w:rPr>
      </w:pPr>
      <w:r>
        <w:rPr>
          <w:rFonts w:cs="Arial"/>
          <w:color w:val="000000" w:themeColor="text1"/>
          <w:sz w:val="20"/>
          <w:szCs w:val="20"/>
        </w:rPr>
        <w:t>1145 Chesapeake Ave., Suite I</w:t>
      </w:r>
    </w:p>
    <w:p w:rsidR="00106E98" w:rsidRDefault="00106E98" w:rsidP="00106E98">
      <w:pPr>
        <w:rPr>
          <w:rFonts w:cs="Arial"/>
          <w:color w:val="000000" w:themeColor="text1"/>
          <w:sz w:val="20"/>
          <w:szCs w:val="20"/>
        </w:rPr>
      </w:pPr>
      <w:r>
        <w:rPr>
          <w:rFonts w:cs="Arial"/>
          <w:color w:val="000000" w:themeColor="text1"/>
          <w:sz w:val="20"/>
          <w:szCs w:val="20"/>
        </w:rPr>
        <w:t>Columbus, OH  43212-3449</w:t>
      </w:r>
    </w:p>
    <w:p w:rsidR="00106E98" w:rsidRDefault="00106E98" w:rsidP="00106E98">
      <w:pPr>
        <w:rPr>
          <w:rFonts w:cs="Arial"/>
          <w:color w:val="000000" w:themeColor="text1"/>
          <w:sz w:val="20"/>
          <w:szCs w:val="20"/>
        </w:rPr>
      </w:pPr>
      <w:r w:rsidRPr="00751E94">
        <w:rPr>
          <w:rFonts w:cs="Arial"/>
          <w:sz w:val="20"/>
          <w:szCs w:val="20"/>
        </w:rPr>
        <w:t>tdougherty@theOEC.org</w:t>
      </w:r>
    </w:p>
    <w:p w:rsidR="00106E98" w:rsidRDefault="00106E98" w:rsidP="00106E98">
      <w:pPr>
        <w:rPr>
          <w:rFonts w:cs="Arial"/>
          <w:color w:val="000000" w:themeColor="text1"/>
          <w:sz w:val="20"/>
          <w:szCs w:val="20"/>
        </w:rPr>
      </w:pPr>
    </w:p>
    <w:p w:rsidR="00106E98" w:rsidRPr="00161AF9" w:rsidRDefault="00106E98" w:rsidP="00106E98">
      <w:pPr>
        <w:rPr>
          <w:rFonts w:ascii="Arial Bold" w:hAnsi="Arial Bold" w:cs="Arial"/>
          <w:b/>
          <w:smallCaps/>
          <w:color w:val="000000" w:themeColor="text1"/>
          <w:sz w:val="20"/>
          <w:szCs w:val="20"/>
        </w:rPr>
      </w:pPr>
      <w:r w:rsidRPr="00161AF9">
        <w:rPr>
          <w:rFonts w:ascii="Arial Bold" w:hAnsi="Arial Bold" w:cs="Arial"/>
          <w:b/>
          <w:smallCaps/>
          <w:color w:val="000000" w:themeColor="text1"/>
          <w:sz w:val="20"/>
          <w:szCs w:val="20"/>
        </w:rPr>
        <w:t>Counsel for the Ohio Environmental Council</w:t>
      </w:r>
    </w:p>
    <w:p w:rsidR="00106E98"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 xml:space="preserve">Joel E. </w:t>
      </w:r>
      <w:proofErr w:type="spellStart"/>
      <w:r w:rsidRPr="00924431">
        <w:rPr>
          <w:rFonts w:cs="Arial"/>
          <w:color w:val="000000" w:themeColor="text1"/>
          <w:sz w:val="20"/>
          <w:szCs w:val="20"/>
        </w:rPr>
        <w:t>Sechler</w:t>
      </w:r>
      <w:proofErr w:type="spellEnd"/>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Carpenter Lipps &amp; Leland LLP</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280 North High Street, Suite 1300</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Columbus, OH  43215</w:t>
      </w:r>
    </w:p>
    <w:p w:rsidR="00106E98" w:rsidRPr="00924431" w:rsidRDefault="00106E98" w:rsidP="00106E98">
      <w:pPr>
        <w:rPr>
          <w:rFonts w:cs="Arial"/>
          <w:color w:val="000000" w:themeColor="text1"/>
          <w:sz w:val="20"/>
          <w:szCs w:val="20"/>
        </w:rPr>
      </w:pPr>
      <w:r w:rsidRPr="00286F24">
        <w:rPr>
          <w:rFonts w:cs="Arial"/>
          <w:sz w:val="20"/>
          <w:szCs w:val="20"/>
        </w:rPr>
        <w:t>Sechler@carpenterlipps.com</w:t>
      </w:r>
    </w:p>
    <w:p w:rsidR="00106E98" w:rsidRPr="00924431" w:rsidRDefault="00106E98" w:rsidP="00106E98">
      <w:pPr>
        <w:rPr>
          <w:rFonts w:cs="Arial"/>
          <w:color w:val="000000" w:themeColor="text1"/>
          <w:sz w:val="20"/>
          <w:szCs w:val="20"/>
        </w:rPr>
      </w:pPr>
    </w:p>
    <w:p w:rsidR="00106E98"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 xml:space="preserve">Counsel for </w:t>
      </w:r>
      <w:proofErr w:type="spellStart"/>
      <w:r w:rsidRPr="00924431">
        <w:rPr>
          <w:rFonts w:ascii="Arial Bold" w:hAnsi="Arial Bold" w:cs="Arial"/>
          <w:b/>
          <w:smallCaps/>
          <w:color w:val="000000" w:themeColor="text1"/>
          <w:sz w:val="20"/>
          <w:szCs w:val="20"/>
        </w:rPr>
        <w:t>EnerNOC</w:t>
      </w:r>
      <w:proofErr w:type="spellEnd"/>
      <w:r w:rsidRPr="00924431">
        <w:rPr>
          <w:rFonts w:ascii="Arial Bold" w:hAnsi="Arial Bold" w:cs="Arial"/>
          <w:b/>
          <w:smallCaps/>
          <w:color w:val="000000" w:themeColor="text1"/>
          <w:sz w:val="20"/>
          <w:szCs w:val="20"/>
        </w:rPr>
        <w:t>, Inc.</w:t>
      </w:r>
    </w:p>
    <w:p w:rsidR="00106E98" w:rsidRDefault="00106E98" w:rsidP="00106E98">
      <w:pPr>
        <w:rPr>
          <w:rFonts w:eastAsia="Calibri" w:cs="Arial"/>
          <w:color w:val="000000" w:themeColor="text1"/>
          <w:sz w:val="20"/>
          <w:szCs w:val="20"/>
        </w:rPr>
      </w:pP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Richard L. Sites</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Regulatory Counsel</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Ohio Hospital Association</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155 East Broad Street, 3</w:t>
      </w:r>
      <w:r w:rsidRPr="00924431">
        <w:rPr>
          <w:rFonts w:eastAsia="Calibri" w:cs="Arial"/>
          <w:color w:val="000000" w:themeColor="text1"/>
          <w:sz w:val="20"/>
          <w:szCs w:val="20"/>
          <w:vertAlign w:val="superscript"/>
        </w:rPr>
        <w:t>rd</w:t>
      </w:r>
      <w:r w:rsidRPr="00924431">
        <w:rPr>
          <w:rFonts w:eastAsia="Calibri" w:cs="Arial"/>
          <w:color w:val="000000" w:themeColor="text1"/>
          <w:sz w:val="20"/>
          <w:szCs w:val="20"/>
        </w:rPr>
        <w:t xml:space="preserve"> Floor</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Columbus, OH  43215-3620</w:t>
      </w:r>
    </w:p>
    <w:p w:rsidR="00106E98" w:rsidRPr="00924431" w:rsidRDefault="00106E98" w:rsidP="00106E98">
      <w:pPr>
        <w:rPr>
          <w:rFonts w:eastAsia="Calibri" w:cs="Arial"/>
          <w:color w:val="000000" w:themeColor="text1"/>
          <w:sz w:val="20"/>
          <w:szCs w:val="20"/>
        </w:rPr>
      </w:pPr>
      <w:r w:rsidRPr="00EC4070">
        <w:rPr>
          <w:rFonts w:eastAsia="Calibri" w:cs="Arial"/>
          <w:sz w:val="20"/>
          <w:szCs w:val="20"/>
        </w:rPr>
        <w:t>rick.sites@ohiohospitals.org</w:t>
      </w:r>
    </w:p>
    <w:p w:rsidR="00106E98" w:rsidRPr="00924431" w:rsidRDefault="00106E98" w:rsidP="00106E98">
      <w:pPr>
        <w:rPr>
          <w:rFonts w:eastAsia="Calibri" w:cs="Arial"/>
          <w:color w:val="000000" w:themeColor="text1"/>
          <w:sz w:val="20"/>
          <w:szCs w:val="20"/>
        </w:rPr>
      </w:pP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Matthew Warnock</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Dylan Borchers</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 xml:space="preserve">Bricker &amp; </w:t>
      </w:r>
      <w:proofErr w:type="spellStart"/>
      <w:r w:rsidRPr="00924431">
        <w:rPr>
          <w:rFonts w:eastAsia="Calibri" w:cs="Arial"/>
          <w:color w:val="000000" w:themeColor="text1"/>
          <w:sz w:val="20"/>
          <w:szCs w:val="20"/>
        </w:rPr>
        <w:t>Eckler</w:t>
      </w:r>
      <w:proofErr w:type="spellEnd"/>
      <w:r w:rsidRPr="00924431">
        <w:rPr>
          <w:rFonts w:eastAsia="Calibri" w:cs="Arial"/>
          <w:color w:val="000000" w:themeColor="text1"/>
          <w:sz w:val="20"/>
          <w:szCs w:val="20"/>
        </w:rPr>
        <w:t xml:space="preserve"> LLP</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100 South Third Street</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Columbus, OH  43215-4291</w:t>
      </w:r>
    </w:p>
    <w:p w:rsidR="00106E98" w:rsidRPr="00924431" w:rsidRDefault="00106E98" w:rsidP="00106E98">
      <w:pPr>
        <w:rPr>
          <w:rFonts w:eastAsia="Calibri" w:cs="Arial"/>
          <w:color w:val="000000" w:themeColor="text1"/>
          <w:sz w:val="20"/>
          <w:szCs w:val="20"/>
        </w:rPr>
      </w:pPr>
      <w:r w:rsidRPr="00286F24">
        <w:rPr>
          <w:rFonts w:eastAsia="Calibri" w:cs="Arial"/>
          <w:sz w:val="20"/>
          <w:szCs w:val="20"/>
        </w:rPr>
        <w:t>mwarnock@bricker.com</w:t>
      </w:r>
    </w:p>
    <w:p w:rsidR="00106E98" w:rsidRPr="00924431" w:rsidRDefault="00106E98" w:rsidP="00106E98">
      <w:pPr>
        <w:rPr>
          <w:rFonts w:eastAsia="Calibri" w:cs="Arial"/>
          <w:color w:val="000000" w:themeColor="text1"/>
          <w:sz w:val="20"/>
          <w:szCs w:val="20"/>
        </w:rPr>
      </w:pPr>
      <w:r w:rsidRPr="00286F24">
        <w:rPr>
          <w:rFonts w:eastAsia="Calibri" w:cs="Arial"/>
          <w:sz w:val="20"/>
          <w:szCs w:val="20"/>
        </w:rPr>
        <w:t>dborchers@bricker.com</w:t>
      </w:r>
    </w:p>
    <w:p w:rsidR="00106E98" w:rsidRPr="00924431" w:rsidRDefault="00106E98" w:rsidP="00106E98">
      <w:pPr>
        <w:rPr>
          <w:rFonts w:eastAsia="Calibri" w:cs="Arial"/>
          <w:color w:val="000000" w:themeColor="text1"/>
          <w:sz w:val="20"/>
          <w:szCs w:val="20"/>
        </w:rPr>
      </w:pPr>
    </w:p>
    <w:p w:rsidR="00106E98" w:rsidRPr="00924431" w:rsidRDefault="00106E98" w:rsidP="00106E98">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The Ohio Hospital Association</w:t>
      </w:r>
    </w:p>
    <w:p w:rsidR="00106E98" w:rsidRPr="00924431" w:rsidRDefault="00106E98" w:rsidP="00106E98">
      <w:pPr>
        <w:rPr>
          <w:rFonts w:ascii="Arial Bold" w:eastAsia="Calibri" w:hAnsi="Arial Bold" w:cs="Arial"/>
          <w:b/>
          <w:smallCaps/>
          <w:color w:val="000000" w:themeColor="text1"/>
          <w:sz w:val="20"/>
          <w:szCs w:val="20"/>
        </w:rPr>
      </w:pP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 xml:space="preserve">Richard C. </w:t>
      </w:r>
      <w:proofErr w:type="spellStart"/>
      <w:r w:rsidRPr="00924431">
        <w:rPr>
          <w:rFonts w:eastAsia="Calibri" w:cs="Arial"/>
          <w:color w:val="000000" w:themeColor="text1"/>
          <w:sz w:val="20"/>
          <w:szCs w:val="20"/>
        </w:rPr>
        <w:t>Sahli</w:t>
      </w:r>
      <w:proofErr w:type="spellEnd"/>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 xml:space="preserve">Richard </w:t>
      </w:r>
      <w:proofErr w:type="spellStart"/>
      <w:r w:rsidRPr="00924431">
        <w:rPr>
          <w:rFonts w:eastAsia="Calibri" w:cs="Arial"/>
          <w:color w:val="000000" w:themeColor="text1"/>
          <w:sz w:val="20"/>
          <w:szCs w:val="20"/>
        </w:rPr>
        <w:t>Sahli</w:t>
      </w:r>
      <w:proofErr w:type="spellEnd"/>
      <w:r w:rsidRPr="00924431">
        <w:rPr>
          <w:rFonts w:eastAsia="Calibri" w:cs="Arial"/>
          <w:color w:val="000000" w:themeColor="text1"/>
          <w:sz w:val="20"/>
          <w:szCs w:val="20"/>
        </w:rPr>
        <w:t xml:space="preserve"> Law Office, LLC</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981 Pinewood Lane</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Columbus, OH  43230-3662</w:t>
      </w:r>
    </w:p>
    <w:p w:rsidR="00106E98" w:rsidRPr="00924431" w:rsidRDefault="00106E98" w:rsidP="00106E98">
      <w:pPr>
        <w:rPr>
          <w:rFonts w:eastAsia="Calibri" w:cs="Arial"/>
          <w:color w:val="000000" w:themeColor="text1"/>
          <w:sz w:val="20"/>
          <w:szCs w:val="20"/>
        </w:rPr>
      </w:pPr>
      <w:r w:rsidRPr="00286F24">
        <w:rPr>
          <w:rFonts w:eastAsia="Calibri" w:cs="Arial"/>
          <w:sz w:val="20"/>
          <w:szCs w:val="20"/>
        </w:rPr>
        <w:t>rsahli@columbus.rr.com</w:t>
      </w:r>
    </w:p>
    <w:p w:rsidR="00106E98" w:rsidRPr="00924431" w:rsidRDefault="00106E98" w:rsidP="00106E98">
      <w:pPr>
        <w:rPr>
          <w:rFonts w:eastAsia="Calibri" w:cs="Arial"/>
          <w:color w:val="000000" w:themeColor="text1"/>
          <w:sz w:val="20"/>
          <w:szCs w:val="20"/>
        </w:rPr>
      </w:pP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Tony Mendoza</w:t>
      </w:r>
    </w:p>
    <w:p w:rsidR="00106E98" w:rsidRDefault="00106E98" w:rsidP="00106E98">
      <w:pPr>
        <w:rPr>
          <w:rFonts w:eastAsia="Calibri" w:cs="Arial"/>
          <w:color w:val="000000" w:themeColor="text1"/>
          <w:sz w:val="20"/>
          <w:szCs w:val="20"/>
        </w:rPr>
      </w:pPr>
      <w:r w:rsidRPr="00924431">
        <w:rPr>
          <w:rFonts w:eastAsia="Calibri" w:cs="Arial"/>
          <w:color w:val="000000" w:themeColor="text1"/>
          <w:sz w:val="20"/>
          <w:szCs w:val="20"/>
        </w:rPr>
        <w:t>Kristin Henry</w:t>
      </w:r>
    </w:p>
    <w:p w:rsidR="00106E98" w:rsidRPr="00286F24" w:rsidRDefault="00106E98" w:rsidP="00106E98">
      <w:pPr>
        <w:rPr>
          <w:rStyle w:val="Hyperlink"/>
          <w:rFonts w:eastAsia="Calibri" w:cs="Arial"/>
          <w:color w:val="000000" w:themeColor="text1"/>
          <w:sz w:val="20"/>
          <w:szCs w:val="20"/>
          <w:u w:val="none"/>
        </w:rPr>
      </w:pPr>
      <w:r w:rsidRPr="00286F24">
        <w:rPr>
          <w:rStyle w:val="Hyperlink"/>
          <w:rFonts w:eastAsia="Calibri" w:cs="Arial"/>
          <w:color w:val="000000" w:themeColor="text1"/>
          <w:sz w:val="20"/>
          <w:szCs w:val="20"/>
          <w:u w:val="none"/>
        </w:rPr>
        <w:t xml:space="preserve">Gregory E. </w:t>
      </w:r>
      <w:proofErr w:type="spellStart"/>
      <w:r w:rsidRPr="00286F24">
        <w:rPr>
          <w:rStyle w:val="Hyperlink"/>
          <w:rFonts w:eastAsia="Calibri" w:cs="Arial"/>
          <w:color w:val="000000" w:themeColor="text1"/>
          <w:sz w:val="20"/>
          <w:szCs w:val="20"/>
          <w:u w:val="none"/>
        </w:rPr>
        <w:t>Wannier</w:t>
      </w:r>
      <w:proofErr w:type="spellEnd"/>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Sierra Club Environmental Law Program</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2101 Webster St., 13</w:t>
      </w:r>
      <w:r w:rsidRPr="00924431">
        <w:rPr>
          <w:rFonts w:eastAsia="Calibri" w:cs="Arial"/>
          <w:color w:val="000000" w:themeColor="text1"/>
          <w:sz w:val="20"/>
          <w:szCs w:val="20"/>
          <w:vertAlign w:val="superscript"/>
        </w:rPr>
        <w:t>th</w:t>
      </w:r>
      <w:r w:rsidRPr="00924431">
        <w:rPr>
          <w:rFonts w:eastAsia="Calibri" w:cs="Arial"/>
          <w:color w:val="000000" w:themeColor="text1"/>
          <w:sz w:val="20"/>
          <w:szCs w:val="20"/>
        </w:rPr>
        <w:t xml:space="preserve"> Floor</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Oakland, CA  94612</w:t>
      </w:r>
    </w:p>
    <w:p w:rsidR="00106E98" w:rsidRPr="00924431" w:rsidRDefault="00106E98" w:rsidP="00106E98">
      <w:pPr>
        <w:rPr>
          <w:rFonts w:eastAsia="Calibri" w:cs="Arial"/>
          <w:color w:val="000000" w:themeColor="text1"/>
          <w:sz w:val="20"/>
          <w:szCs w:val="20"/>
        </w:rPr>
      </w:pPr>
      <w:r w:rsidRPr="00286F24">
        <w:rPr>
          <w:rFonts w:eastAsia="Calibri" w:cs="Arial"/>
          <w:sz w:val="20"/>
          <w:szCs w:val="20"/>
        </w:rPr>
        <w:t>Tony.mendoza@sierraclub.org</w:t>
      </w:r>
    </w:p>
    <w:p w:rsidR="00106E98" w:rsidRDefault="00106E98" w:rsidP="00106E98">
      <w:pPr>
        <w:rPr>
          <w:rFonts w:eastAsia="Calibri" w:cs="Arial"/>
          <w:color w:val="000000" w:themeColor="text1"/>
          <w:sz w:val="20"/>
          <w:szCs w:val="20"/>
        </w:rPr>
      </w:pPr>
      <w:r w:rsidRPr="007C35B2">
        <w:rPr>
          <w:rFonts w:eastAsia="Calibri" w:cs="Arial"/>
          <w:color w:val="000000" w:themeColor="text1"/>
          <w:sz w:val="20"/>
          <w:szCs w:val="20"/>
        </w:rPr>
        <w:t>Kristin.henry@sierraclub.org</w:t>
      </w:r>
    </w:p>
    <w:p w:rsidR="00106E98" w:rsidRPr="00286F24" w:rsidRDefault="00106E98" w:rsidP="00106E98">
      <w:pPr>
        <w:rPr>
          <w:rFonts w:eastAsia="Calibri" w:cs="Arial"/>
          <w:color w:val="000000" w:themeColor="text1"/>
          <w:sz w:val="20"/>
          <w:szCs w:val="20"/>
        </w:rPr>
      </w:pPr>
      <w:r w:rsidRPr="00286F24">
        <w:rPr>
          <w:rStyle w:val="Hyperlink"/>
          <w:rFonts w:eastAsia="Calibri" w:cs="Arial"/>
          <w:color w:val="000000" w:themeColor="text1"/>
          <w:sz w:val="20"/>
          <w:szCs w:val="20"/>
          <w:u w:val="none"/>
        </w:rPr>
        <w:t>greg.wannier@sierraclub.org</w:t>
      </w:r>
    </w:p>
    <w:p w:rsidR="00106E98" w:rsidRPr="00924431" w:rsidRDefault="00106E98" w:rsidP="00106E98">
      <w:pPr>
        <w:rPr>
          <w:rFonts w:eastAsia="Calibri" w:cs="Arial"/>
          <w:color w:val="000000" w:themeColor="text1"/>
          <w:sz w:val="20"/>
          <w:szCs w:val="20"/>
        </w:rPr>
      </w:pP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 xml:space="preserve">Christopher M. </w:t>
      </w:r>
      <w:proofErr w:type="spellStart"/>
      <w:r w:rsidRPr="00924431">
        <w:rPr>
          <w:rFonts w:eastAsia="Calibri" w:cs="Arial"/>
          <w:color w:val="000000" w:themeColor="text1"/>
          <w:sz w:val="20"/>
          <w:szCs w:val="20"/>
        </w:rPr>
        <w:t>Bzdok</w:t>
      </w:r>
      <w:proofErr w:type="spellEnd"/>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 xml:space="preserve">Olson </w:t>
      </w:r>
      <w:proofErr w:type="spellStart"/>
      <w:r w:rsidRPr="00924431">
        <w:rPr>
          <w:rFonts w:eastAsia="Calibri" w:cs="Arial"/>
          <w:color w:val="000000" w:themeColor="text1"/>
          <w:sz w:val="20"/>
          <w:szCs w:val="20"/>
        </w:rPr>
        <w:t>Bzdok</w:t>
      </w:r>
      <w:proofErr w:type="spellEnd"/>
      <w:r w:rsidRPr="00924431">
        <w:rPr>
          <w:rFonts w:eastAsia="Calibri" w:cs="Arial"/>
          <w:color w:val="000000" w:themeColor="text1"/>
          <w:sz w:val="20"/>
          <w:szCs w:val="20"/>
        </w:rPr>
        <w:t xml:space="preserve"> &amp; Howard, P.C.</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420 E. Front Street</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Traverse City, MI  49686</w:t>
      </w:r>
    </w:p>
    <w:p w:rsidR="00106E98" w:rsidRDefault="00106E98" w:rsidP="00106E98">
      <w:pPr>
        <w:rPr>
          <w:rStyle w:val="Hyperlink"/>
          <w:rFonts w:eastAsia="Calibri" w:cs="Arial"/>
          <w:color w:val="000000" w:themeColor="text1"/>
          <w:sz w:val="20"/>
          <w:szCs w:val="20"/>
        </w:rPr>
      </w:pPr>
      <w:r w:rsidRPr="00286F24">
        <w:rPr>
          <w:rFonts w:eastAsia="Calibri" w:cs="Arial"/>
          <w:sz w:val="20"/>
          <w:szCs w:val="20"/>
        </w:rPr>
        <w:t>chris@envlaw.com</w:t>
      </w:r>
    </w:p>
    <w:p w:rsidR="00106E98" w:rsidRDefault="00106E98" w:rsidP="00106E98">
      <w:pPr>
        <w:rPr>
          <w:rStyle w:val="Hyperlink"/>
          <w:rFonts w:eastAsia="Calibri" w:cs="Arial"/>
          <w:color w:val="000000" w:themeColor="text1"/>
          <w:sz w:val="20"/>
          <w:szCs w:val="20"/>
        </w:rPr>
      </w:pPr>
    </w:p>
    <w:p w:rsidR="00106E98" w:rsidRPr="00924431" w:rsidRDefault="00106E98" w:rsidP="00106E98">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Sierra Club</w:t>
      </w:r>
    </w:p>
    <w:p w:rsidR="00106E98" w:rsidRDefault="00106E98" w:rsidP="00106E98">
      <w:pPr>
        <w:rPr>
          <w:rFonts w:ascii="Arial Bold" w:eastAsia="Calibri" w:hAnsi="Arial Bold" w:cs="Arial"/>
          <w:b/>
          <w:smallCaps/>
          <w:color w:val="000000" w:themeColor="text1"/>
          <w:sz w:val="20"/>
          <w:szCs w:val="20"/>
        </w:rPr>
      </w:pP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Steven D. Lesser</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James F. Lang</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N. Trevor Alexander</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 xml:space="preserve">Mark T. </w:t>
      </w:r>
      <w:proofErr w:type="spellStart"/>
      <w:r w:rsidRPr="00924431">
        <w:rPr>
          <w:rFonts w:eastAsia="Calibri" w:cs="Arial"/>
          <w:color w:val="000000" w:themeColor="text1"/>
          <w:sz w:val="20"/>
          <w:szCs w:val="20"/>
        </w:rPr>
        <w:t>Keaney</w:t>
      </w:r>
      <w:proofErr w:type="spellEnd"/>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Calfee, Halter &amp; Griswold LLP</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41 S. High St.</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1200 Huntington Center</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Columbus, OH  43215</w:t>
      </w:r>
    </w:p>
    <w:p w:rsidR="00106E98" w:rsidRPr="00924431" w:rsidRDefault="00106E98" w:rsidP="00106E98">
      <w:pPr>
        <w:rPr>
          <w:rFonts w:eastAsia="Calibri" w:cs="Arial"/>
          <w:color w:val="000000" w:themeColor="text1"/>
          <w:sz w:val="20"/>
          <w:szCs w:val="20"/>
        </w:rPr>
      </w:pPr>
      <w:r w:rsidRPr="00286F24">
        <w:rPr>
          <w:rFonts w:eastAsia="Calibri" w:cs="Arial"/>
          <w:sz w:val="20"/>
          <w:szCs w:val="20"/>
        </w:rPr>
        <w:t>slesser@calfee.com</w:t>
      </w:r>
    </w:p>
    <w:p w:rsidR="00106E98" w:rsidRPr="00924431" w:rsidRDefault="00106E98" w:rsidP="00106E98">
      <w:pPr>
        <w:rPr>
          <w:rFonts w:eastAsia="Calibri" w:cs="Arial"/>
          <w:color w:val="000000" w:themeColor="text1"/>
          <w:sz w:val="20"/>
          <w:szCs w:val="20"/>
        </w:rPr>
      </w:pPr>
      <w:r w:rsidRPr="00286F24">
        <w:rPr>
          <w:rFonts w:eastAsia="Calibri" w:cs="Arial"/>
          <w:sz w:val="20"/>
          <w:szCs w:val="20"/>
        </w:rPr>
        <w:t>jlang@calfee.com</w:t>
      </w:r>
    </w:p>
    <w:p w:rsidR="00106E98" w:rsidRPr="00924431" w:rsidRDefault="00106E98" w:rsidP="00106E98">
      <w:pPr>
        <w:rPr>
          <w:rFonts w:eastAsia="Calibri" w:cs="Arial"/>
          <w:color w:val="000000" w:themeColor="text1"/>
          <w:sz w:val="20"/>
          <w:szCs w:val="20"/>
        </w:rPr>
      </w:pPr>
      <w:r w:rsidRPr="00286F24">
        <w:rPr>
          <w:rFonts w:eastAsia="Calibri" w:cs="Arial"/>
          <w:sz w:val="20"/>
          <w:szCs w:val="20"/>
        </w:rPr>
        <w:t>talexander@calfee.com</w:t>
      </w:r>
    </w:p>
    <w:p w:rsidR="00106E98" w:rsidRPr="00924431" w:rsidRDefault="00106E98" w:rsidP="00106E98">
      <w:pPr>
        <w:rPr>
          <w:rFonts w:eastAsia="Calibri" w:cs="Arial"/>
          <w:color w:val="000000" w:themeColor="text1"/>
          <w:sz w:val="20"/>
          <w:szCs w:val="20"/>
        </w:rPr>
      </w:pPr>
      <w:r w:rsidRPr="00286F24">
        <w:rPr>
          <w:rFonts w:eastAsia="Calibri" w:cs="Arial"/>
          <w:sz w:val="20"/>
          <w:szCs w:val="20"/>
        </w:rPr>
        <w:t>mkeaney@calfee.com</w:t>
      </w:r>
    </w:p>
    <w:p w:rsidR="00106E98" w:rsidRPr="00924431" w:rsidRDefault="00106E98" w:rsidP="00106E98">
      <w:pPr>
        <w:rPr>
          <w:rFonts w:eastAsia="Calibri" w:cs="Arial"/>
          <w:color w:val="000000" w:themeColor="text1"/>
          <w:sz w:val="20"/>
          <w:szCs w:val="20"/>
        </w:rPr>
      </w:pPr>
    </w:p>
    <w:p w:rsidR="00106E98" w:rsidRPr="00924431" w:rsidRDefault="00106E98" w:rsidP="00106E98">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the City of Dayton and Honda of America Mfg., Inc.</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Amy B. Spiller</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Elizabeth H. Watts</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Jeanne W. Kingery</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139 East Fourth Street</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1303-Main</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Cincinnati, OH  45202</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Amy.Spiller@Duke-Energy.com</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elizabeth.watts@duke-energy.com</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Jeanne.kingery@duke-energy.com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Duke energy Ohio, Inc.</w:t>
      </w:r>
    </w:p>
    <w:p w:rsidR="00106E98" w:rsidRPr="00924431" w:rsidRDefault="00106E98" w:rsidP="00106E98">
      <w:pPr>
        <w:rPr>
          <w:rFonts w:cs="Arial"/>
          <w:color w:val="000000" w:themeColor="text1"/>
          <w:sz w:val="20"/>
          <w:szCs w:val="20"/>
        </w:rPr>
      </w:pP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 xml:space="preserve">Lisa </w:t>
      </w:r>
      <w:proofErr w:type="spellStart"/>
      <w:r w:rsidRPr="00924431">
        <w:rPr>
          <w:rFonts w:eastAsia="Calibri" w:cs="Arial"/>
          <w:color w:val="000000" w:themeColor="text1"/>
          <w:sz w:val="20"/>
          <w:szCs w:val="20"/>
        </w:rPr>
        <w:t>Hawrot</w:t>
      </w:r>
      <w:proofErr w:type="spellEnd"/>
    </w:p>
    <w:p w:rsidR="00106E98" w:rsidRPr="00924431" w:rsidRDefault="00106E98" w:rsidP="00106E98">
      <w:pPr>
        <w:rPr>
          <w:rFonts w:eastAsia="Calibri" w:cs="Arial"/>
          <w:color w:val="000000" w:themeColor="text1"/>
          <w:sz w:val="20"/>
          <w:szCs w:val="20"/>
        </w:rPr>
      </w:pPr>
      <w:proofErr w:type="spellStart"/>
      <w:r w:rsidRPr="00924431">
        <w:rPr>
          <w:rFonts w:eastAsia="Calibri" w:cs="Arial"/>
          <w:color w:val="000000" w:themeColor="text1"/>
          <w:sz w:val="20"/>
          <w:szCs w:val="20"/>
        </w:rPr>
        <w:t>Spilman</w:t>
      </w:r>
      <w:proofErr w:type="spellEnd"/>
      <w:r w:rsidRPr="00924431">
        <w:rPr>
          <w:rFonts w:eastAsia="Calibri" w:cs="Arial"/>
          <w:color w:val="000000" w:themeColor="text1"/>
          <w:sz w:val="20"/>
          <w:szCs w:val="20"/>
        </w:rPr>
        <w:t xml:space="preserve"> Thomas &amp; Battle, PLLC</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Century Centre Building</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1233 Main Street, Suite 4000</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Wheeling, WV 26003</w:t>
      </w:r>
    </w:p>
    <w:p w:rsidR="00106E98" w:rsidRPr="00924431" w:rsidRDefault="00106E98" w:rsidP="00106E98">
      <w:pPr>
        <w:rPr>
          <w:rFonts w:eastAsia="Calibri" w:cs="Arial"/>
          <w:color w:val="000000" w:themeColor="text1"/>
          <w:sz w:val="20"/>
          <w:szCs w:val="20"/>
        </w:rPr>
      </w:pPr>
      <w:r w:rsidRPr="00286F24">
        <w:rPr>
          <w:rFonts w:eastAsia="Calibri" w:cs="Arial"/>
          <w:sz w:val="20"/>
          <w:szCs w:val="20"/>
        </w:rPr>
        <w:t>lhawrot@spilmanlaw.com</w:t>
      </w:r>
    </w:p>
    <w:p w:rsidR="00106E98" w:rsidRPr="00924431" w:rsidRDefault="00106E98" w:rsidP="00106E98">
      <w:pPr>
        <w:rPr>
          <w:rFonts w:ascii="Arial Bold" w:eastAsia="Calibri" w:hAnsi="Arial Bold" w:cs="Arial"/>
          <w:b/>
          <w:smallCaps/>
          <w:color w:val="000000" w:themeColor="text1"/>
          <w:sz w:val="20"/>
          <w:szCs w:val="20"/>
        </w:rPr>
      </w:pP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Derrick Price Williamson</w:t>
      </w:r>
    </w:p>
    <w:p w:rsidR="00106E98" w:rsidRPr="00924431" w:rsidRDefault="00106E98" w:rsidP="00106E98">
      <w:pPr>
        <w:rPr>
          <w:rFonts w:eastAsia="Calibri" w:cs="Arial"/>
          <w:color w:val="000000" w:themeColor="text1"/>
          <w:sz w:val="20"/>
          <w:szCs w:val="20"/>
        </w:rPr>
      </w:pPr>
      <w:proofErr w:type="spellStart"/>
      <w:r w:rsidRPr="00924431">
        <w:rPr>
          <w:rFonts w:eastAsia="Calibri" w:cs="Arial"/>
          <w:color w:val="000000" w:themeColor="text1"/>
          <w:sz w:val="20"/>
          <w:szCs w:val="20"/>
        </w:rPr>
        <w:t>Spilman</w:t>
      </w:r>
      <w:proofErr w:type="spellEnd"/>
      <w:r w:rsidRPr="00924431">
        <w:rPr>
          <w:rFonts w:eastAsia="Calibri" w:cs="Arial"/>
          <w:color w:val="000000" w:themeColor="text1"/>
          <w:sz w:val="20"/>
          <w:szCs w:val="20"/>
        </w:rPr>
        <w:t xml:space="preserve"> Thomas &amp; Battle, PLLC</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1100 Bent Creek Blvd., Suite 101</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Mechanicsburg, PA  17050</w:t>
      </w:r>
    </w:p>
    <w:p w:rsidR="00106E98" w:rsidRPr="00924431" w:rsidRDefault="00106E98" w:rsidP="00106E98">
      <w:pPr>
        <w:rPr>
          <w:rFonts w:cs="Arial"/>
          <w:color w:val="000000" w:themeColor="text1"/>
          <w:sz w:val="20"/>
          <w:szCs w:val="20"/>
        </w:rPr>
      </w:pPr>
      <w:r w:rsidRPr="00286F24">
        <w:rPr>
          <w:rFonts w:cs="Arial"/>
          <w:sz w:val="20"/>
          <w:szCs w:val="20"/>
        </w:rPr>
        <w:t>dwilliamson@spilmanlaw.com</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Carrie M. Harris</w:t>
      </w:r>
    </w:p>
    <w:p w:rsidR="00106E98" w:rsidRPr="00924431" w:rsidRDefault="00106E98" w:rsidP="00106E98">
      <w:pPr>
        <w:rPr>
          <w:rFonts w:cs="Arial"/>
          <w:color w:val="000000" w:themeColor="text1"/>
          <w:sz w:val="20"/>
          <w:szCs w:val="20"/>
        </w:rPr>
      </w:pPr>
      <w:proofErr w:type="spellStart"/>
      <w:r w:rsidRPr="00924431">
        <w:rPr>
          <w:rFonts w:cs="Arial"/>
          <w:color w:val="000000" w:themeColor="text1"/>
          <w:sz w:val="20"/>
          <w:szCs w:val="20"/>
        </w:rPr>
        <w:t>Spilman</w:t>
      </w:r>
      <w:proofErr w:type="spellEnd"/>
      <w:r w:rsidRPr="00924431">
        <w:rPr>
          <w:rFonts w:cs="Arial"/>
          <w:color w:val="000000" w:themeColor="text1"/>
          <w:sz w:val="20"/>
          <w:szCs w:val="20"/>
        </w:rPr>
        <w:t xml:space="preserve"> Thomas &amp; Battle, PLLC</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310 First Street, Suite 1100</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P</w:t>
      </w:r>
      <w:r>
        <w:rPr>
          <w:rFonts w:cs="Arial"/>
          <w:color w:val="000000" w:themeColor="text1"/>
          <w:sz w:val="20"/>
          <w:szCs w:val="20"/>
        </w:rPr>
        <w:t>.</w:t>
      </w:r>
      <w:r w:rsidRPr="00924431">
        <w:rPr>
          <w:rFonts w:cs="Arial"/>
          <w:color w:val="000000" w:themeColor="text1"/>
          <w:sz w:val="20"/>
          <w:szCs w:val="20"/>
        </w:rPr>
        <w:t>O</w:t>
      </w:r>
      <w:r>
        <w:rPr>
          <w:rFonts w:cs="Arial"/>
          <w:color w:val="000000" w:themeColor="text1"/>
          <w:sz w:val="20"/>
          <w:szCs w:val="20"/>
        </w:rPr>
        <w:t>.</w:t>
      </w:r>
      <w:r w:rsidRPr="00924431">
        <w:rPr>
          <w:rFonts w:cs="Arial"/>
          <w:color w:val="000000" w:themeColor="text1"/>
          <w:sz w:val="20"/>
          <w:szCs w:val="20"/>
        </w:rPr>
        <w:t xml:space="preserve"> Box 90</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Roanoke, VA  24002-0090</w:t>
      </w:r>
    </w:p>
    <w:p w:rsidR="00106E98" w:rsidRPr="00924431" w:rsidRDefault="00106E98" w:rsidP="00106E98">
      <w:pPr>
        <w:rPr>
          <w:rFonts w:cs="Arial"/>
          <w:color w:val="000000" w:themeColor="text1"/>
          <w:sz w:val="20"/>
          <w:szCs w:val="20"/>
        </w:rPr>
      </w:pPr>
      <w:r w:rsidRPr="00286F24">
        <w:rPr>
          <w:rFonts w:cs="Arial"/>
          <w:sz w:val="20"/>
          <w:szCs w:val="20"/>
        </w:rPr>
        <w:t>charis@spilmanlaw.com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to Wal-Mart Stores East, LP and Sam’s East, Inc.</w:t>
      </w:r>
    </w:p>
    <w:p w:rsidR="00106E98" w:rsidRDefault="00106E98"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lastRenderedPageBreak/>
        <w:t>Terrence O’Donnell</w:t>
      </w:r>
    </w:p>
    <w:p w:rsidR="00106E98" w:rsidRDefault="00106E98" w:rsidP="00106E98">
      <w:pPr>
        <w:rPr>
          <w:rFonts w:cs="Arial"/>
          <w:color w:val="000000" w:themeColor="text1"/>
          <w:sz w:val="20"/>
          <w:szCs w:val="20"/>
        </w:rPr>
      </w:pPr>
      <w:r w:rsidRPr="00924431">
        <w:rPr>
          <w:rFonts w:cs="Arial"/>
          <w:color w:val="000000" w:themeColor="text1"/>
          <w:sz w:val="20"/>
          <w:szCs w:val="20"/>
        </w:rPr>
        <w:t>Raymond Seiler</w:t>
      </w:r>
    </w:p>
    <w:p w:rsidR="00106E98" w:rsidRDefault="00106E98" w:rsidP="00106E98">
      <w:pPr>
        <w:rPr>
          <w:rFonts w:cs="Arial"/>
          <w:color w:val="000000" w:themeColor="text1"/>
          <w:sz w:val="20"/>
          <w:szCs w:val="20"/>
        </w:rPr>
      </w:pPr>
      <w:r>
        <w:rPr>
          <w:rFonts w:cs="Arial"/>
          <w:color w:val="000000" w:themeColor="text1"/>
          <w:sz w:val="20"/>
          <w:szCs w:val="20"/>
        </w:rPr>
        <w:t>Christine M.T. Pirik</w:t>
      </w:r>
    </w:p>
    <w:p w:rsidR="00106E98" w:rsidRPr="00924431" w:rsidRDefault="00106E98" w:rsidP="00106E98">
      <w:pPr>
        <w:rPr>
          <w:rFonts w:cs="Arial"/>
          <w:color w:val="000000" w:themeColor="text1"/>
          <w:sz w:val="20"/>
          <w:szCs w:val="20"/>
        </w:rPr>
      </w:pPr>
      <w:r>
        <w:rPr>
          <w:rFonts w:cs="Arial"/>
          <w:color w:val="000000" w:themeColor="text1"/>
          <w:sz w:val="20"/>
          <w:szCs w:val="20"/>
        </w:rPr>
        <w:t>William V. Vorys</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Dickinson Wright PLLC</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150 E. Gay Street, Suite 2400</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Columbus, OH  43215</w:t>
      </w:r>
    </w:p>
    <w:p w:rsidR="00106E98" w:rsidRPr="00924431" w:rsidRDefault="00106E98" w:rsidP="00106E98">
      <w:pPr>
        <w:rPr>
          <w:rFonts w:cs="Arial"/>
          <w:color w:val="000000" w:themeColor="text1"/>
          <w:sz w:val="20"/>
          <w:szCs w:val="20"/>
        </w:rPr>
      </w:pPr>
      <w:r w:rsidRPr="00286F24">
        <w:rPr>
          <w:rFonts w:cs="Arial"/>
          <w:sz w:val="20"/>
          <w:szCs w:val="20"/>
        </w:rPr>
        <w:t>todonnell@dickinsonwright.com</w:t>
      </w:r>
    </w:p>
    <w:p w:rsidR="00106E98" w:rsidRDefault="00106E98" w:rsidP="00106E98">
      <w:pPr>
        <w:rPr>
          <w:rStyle w:val="Hyperlink"/>
          <w:rFonts w:cs="Arial"/>
          <w:color w:val="000000" w:themeColor="text1"/>
          <w:sz w:val="20"/>
          <w:szCs w:val="20"/>
        </w:rPr>
      </w:pPr>
      <w:r w:rsidRPr="00286F24">
        <w:rPr>
          <w:rFonts w:cs="Arial"/>
          <w:sz w:val="20"/>
          <w:szCs w:val="20"/>
        </w:rPr>
        <w:t>rseiler@dickinsonwright.com</w:t>
      </w:r>
    </w:p>
    <w:p w:rsidR="00106E98" w:rsidRPr="00286F24" w:rsidRDefault="00106E98" w:rsidP="00106E98">
      <w:pPr>
        <w:rPr>
          <w:rStyle w:val="Hyperlink"/>
          <w:rFonts w:cs="Arial"/>
          <w:color w:val="000000" w:themeColor="text1"/>
          <w:sz w:val="20"/>
          <w:szCs w:val="20"/>
          <w:u w:val="none"/>
        </w:rPr>
      </w:pPr>
      <w:r w:rsidRPr="00286F24">
        <w:rPr>
          <w:rStyle w:val="Hyperlink"/>
          <w:rFonts w:cs="Arial"/>
          <w:color w:val="000000" w:themeColor="text1"/>
          <w:sz w:val="20"/>
          <w:szCs w:val="20"/>
          <w:u w:val="none"/>
        </w:rPr>
        <w:t>cpirik@dickinsonwright.com</w:t>
      </w:r>
    </w:p>
    <w:p w:rsidR="00106E98" w:rsidRPr="00924431" w:rsidRDefault="00106E98" w:rsidP="00106E98">
      <w:pPr>
        <w:rPr>
          <w:rFonts w:cs="Arial"/>
          <w:color w:val="000000" w:themeColor="text1"/>
          <w:sz w:val="20"/>
          <w:szCs w:val="20"/>
        </w:rPr>
      </w:pPr>
      <w:r>
        <w:rPr>
          <w:rFonts w:cs="Arial"/>
          <w:color w:val="000000" w:themeColor="text1"/>
          <w:sz w:val="20"/>
          <w:szCs w:val="20"/>
        </w:rPr>
        <w:t>wvorys@dickinsonwright.com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to Mid-Atlantic Renewable Energy Coalition</w:t>
      </w:r>
    </w:p>
    <w:p w:rsidR="00106E98"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Ellis Jacobs</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130 West Second Street, Suite 700 East</w:t>
      </w:r>
    </w:p>
    <w:p w:rsidR="00106E98" w:rsidRPr="00924431" w:rsidRDefault="00106E98" w:rsidP="00106E98">
      <w:pPr>
        <w:rPr>
          <w:rFonts w:cs="Arial"/>
          <w:color w:val="000000" w:themeColor="text1"/>
          <w:sz w:val="20"/>
          <w:szCs w:val="20"/>
        </w:rPr>
      </w:pPr>
      <w:r>
        <w:rPr>
          <w:rFonts w:cs="Arial"/>
          <w:color w:val="000000" w:themeColor="text1"/>
          <w:sz w:val="20"/>
          <w:szCs w:val="20"/>
        </w:rPr>
        <w:t xml:space="preserve">Dayton, OH </w:t>
      </w:r>
      <w:r w:rsidRPr="00924431">
        <w:rPr>
          <w:rFonts w:cs="Arial"/>
          <w:color w:val="000000" w:themeColor="text1"/>
          <w:sz w:val="20"/>
          <w:szCs w:val="20"/>
        </w:rPr>
        <w:t>45402</w:t>
      </w:r>
    </w:p>
    <w:p w:rsidR="00106E98" w:rsidRPr="00924431" w:rsidRDefault="00106E98" w:rsidP="00106E98">
      <w:pPr>
        <w:rPr>
          <w:rFonts w:cs="Arial"/>
          <w:color w:val="000000" w:themeColor="text1"/>
          <w:sz w:val="20"/>
          <w:szCs w:val="20"/>
        </w:rPr>
      </w:pPr>
      <w:r w:rsidRPr="00286F24">
        <w:rPr>
          <w:rFonts w:cs="Arial"/>
          <w:sz w:val="20"/>
          <w:szCs w:val="20"/>
        </w:rPr>
        <w:t>ejacobs@ablelaw.org</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to Edgemont Neighborhood Coalition and Advocates for Basic Legal Equality</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John R. Doll</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Matthew T. Crawford</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111 W. First Street, Suite 1100</w:t>
      </w:r>
    </w:p>
    <w:p w:rsidR="00106E98" w:rsidRPr="00924431" w:rsidRDefault="00106E98" w:rsidP="00106E98">
      <w:pPr>
        <w:rPr>
          <w:rFonts w:cs="Arial"/>
          <w:color w:val="000000" w:themeColor="text1"/>
          <w:sz w:val="20"/>
          <w:szCs w:val="20"/>
        </w:rPr>
      </w:pPr>
      <w:r>
        <w:rPr>
          <w:rFonts w:cs="Arial"/>
          <w:color w:val="000000" w:themeColor="text1"/>
          <w:sz w:val="20"/>
          <w:szCs w:val="20"/>
        </w:rPr>
        <w:t xml:space="preserve">Dayton, OH </w:t>
      </w:r>
      <w:r w:rsidRPr="00924431">
        <w:rPr>
          <w:rFonts w:cs="Arial"/>
          <w:color w:val="000000" w:themeColor="text1"/>
          <w:sz w:val="20"/>
          <w:szCs w:val="20"/>
        </w:rPr>
        <w:t>45402-1156</w:t>
      </w:r>
    </w:p>
    <w:p w:rsidR="00106E98" w:rsidRPr="00924431" w:rsidRDefault="00106E98" w:rsidP="00106E98">
      <w:pPr>
        <w:rPr>
          <w:rFonts w:cs="Arial"/>
          <w:color w:val="000000" w:themeColor="text1"/>
          <w:sz w:val="20"/>
          <w:szCs w:val="20"/>
        </w:rPr>
      </w:pPr>
      <w:r w:rsidRPr="00286F24">
        <w:rPr>
          <w:rFonts w:cs="Arial"/>
          <w:sz w:val="20"/>
          <w:szCs w:val="20"/>
        </w:rPr>
        <w:t>jdoll@djflawfirm.com</w:t>
      </w:r>
    </w:p>
    <w:p w:rsidR="00106E98" w:rsidRPr="00924431" w:rsidRDefault="00106E98" w:rsidP="00106E98">
      <w:pPr>
        <w:rPr>
          <w:rFonts w:cs="Arial"/>
          <w:color w:val="000000" w:themeColor="text1"/>
          <w:sz w:val="20"/>
          <w:szCs w:val="20"/>
        </w:rPr>
      </w:pPr>
      <w:r w:rsidRPr="00286F24">
        <w:rPr>
          <w:rFonts w:cs="Arial"/>
          <w:sz w:val="20"/>
          <w:szCs w:val="20"/>
        </w:rPr>
        <w:t>mcrawcord@djflawfirm.com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Utility Workers of America, Local 175</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 xml:space="preserve">Devin </w:t>
      </w:r>
      <w:proofErr w:type="spellStart"/>
      <w:r w:rsidRPr="00924431">
        <w:rPr>
          <w:rFonts w:cs="Arial"/>
          <w:color w:val="000000" w:themeColor="text1"/>
          <w:sz w:val="20"/>
          <w:szCs w:val="20"/>
        </w:rPr>
        <w:t>Parram</w:t>
      </w:r>
      <w:proofErr w:type="spellEnd"/>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 xml:space="preserve">Bricker and </w:t>
      </w:r>
      <w:proofErr w:type="spellStart"/>
      <w:r w:rsidRPr="00924431">
        <w:rPr>
          <w:rFonts w:cs="Arial"/>
          <w:color w:val="000000" w:themeColor="text1"/>
          <w:sz w:val="20"/>
          <w:szCs w:val="20"/>
        </w:rPr>
        <w:t>Eckler</w:t>
      </w:r>
      <w:proofErr w:type="spellEnd"/>
      <w:r w:rsidRPr="00924431">
        <w:rPr>
          <w:rFonts w:cs="Arial"/>
          <w:color w:val="000000" w:themeColor="text1"/>
          <w:sz w:val="20"/>
          <w:szCs w:val="20"/>
        </w:rPr>
        <w:t xml:space="preserve"> LLP</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100 South Third Street</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Columbus, OH  43215</w:t>
      </w:r>
    </w:p>
    <w:p w:rsidR="00106E98" w:rsidRPr="00924431" w:rsidRDefault="00106E98" w:rsidP="00106E98">
      <w:pPr>
        <w:rPr>
          <w:rFonts w:cs="Arial"/>
          <w:color w:val="000000" w:themeColor="text1"/>
          <w:sz w:val="20"/>
          <w:szCs w:val="20"/>
        </w:rPr>
      </w:pPr>
      <w:r w:rsidRPr="00286F24">
        <w:rPr>
          <w:rFonts w:cs="Arial"/>
          <w:sz w:val="20"/>
          <w:szCs w:val="20"/>
        </w:rPr>
        <w:t>dparram@bricker.com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 xml:space="preserve">Counsel for People Working </w:t>
      </w:r>
      <w:r>
        <w:rPr>
          <w:rFonts w:ascii="Arial Bold" w:hAnsi="Arial Bold" w:cs="Arial"/>
          <w:b/>
          <w:smallCaps/>
          <w:color w:val="000000" w:themeColor="text1"/>
          <w:sz w:val="20"/>
          <w:szCs w:val="20"/>
        </w:rPr>
        <w:br/>
      </w:r>
      <w:r w:rsidRPr="00924431">
        <w:rPr>
          <w:rFonts w:ascii="Arial Bold" w:hAnsi="Arial Bold" w:cs="Arial"/>
          <w:b/>
          <w:smallCaps/>
          <w:color w:val="000000" w:themeColor="text1"/>
          <w:sz w:val="20"/>
          <w:szCs w:val="20"/>
        </w:rPr>
        <w:t>Cooperatively, Inc.</w:t>
      </w:r>
    </w:p>
    <w:p w:rsidR="00106E98" w:rsidRPr="00924431" w:rsidRDefault="00106E98" w:rsidP="00106E98">
      <w:pPr>
        <w:rPr>
          <w:rFonts w:cs="Arial"/>
          <w:color w:val="000000" w:themeColor="text1"/>
          <w:sz w:val="20"/>
          <w:szCs w:val="20"/>
        </w:rPr>
      </w:pP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Carl Tamm</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Classic Connectors, Inc.</w:t>
      </w:r>
    </w:p>
    <w:p w:rsidR="00106E98" w:rsidRPr="00924431" w:rsidRDefault="00106E98" w:rsidP="00106E98">
      <w:pPr>
        <w:rPr>
          <w:rFonts w:cs="Arial"/>
          <w:color w:val="000000" w:themeColor="text1"/>
          <w:sz w:val="20"/>
          <w:szCs w:val="20"/>
        </w:rPr>
      </w:pPr>
      <w:r w:rsidRPr="00924431">
        <w:rPr>
          <w:rFonts w:cs="Arial"/>
          <w:color w:val="000000" w:themeColor="text1"/>
          <w:sz w:val="20"/>
          <w:szCs w:val="20"/>
        </w:rPr>
        <w:t>382 Park Avenue East</w:t>
      </w:r>
    </w:p>
    <w:p w:rsidR="00106E98" w:rsidRDefault="00106E98" w:rsidP="00106E98">
      <w:pPr>
        <w:rPr>
          <w:rFonts w:cs="Arial"/>
          <w:color w:val="000000" w:themeColor="text1"/>
          <w:sz w:val="20"/>
          <w:szCs w:val="20"/>
        </w:rPr>
      </w:pPr>
      <w:r w:rsidRPr="00924431">
        <w:rPr>
          <w:rFonts w:cs="Arial"/>
          <w:color w:val="000000" w:themeColor="text1"/>
          <w:sz w:val="20"/>
          <w:szCs w:val="20"/>
        </w:rPr>
        <w:t>Mansfield, OH  44905</w:t>
      </w:r>
    </w:p>
    <w:p w:rsidR="00106E98" w:rsidRPr="00924431" w:rsidRDefault="00106E98" w:rsidP="00106E98">
      <w:pPr>
        <w:rPr>
          <w:rFonts w:cs="Arial"/>
          <w:color w:val="000000" w:themeColor="text1"/>
          <w:sz w:val="20"/>
          <w:szCs w:val="20"/>
        </w:rPr>
      </w:pPr>
      <w:r>
        <w:rPr>
          <w:rFonts w:cs="Arial"/>
          <w:color w:val="000000" w:themeColor="text1"/>
          <w:sz w:val="20"/>
          <w:szCs w:val="20"/>
        </w:rPr>
        <w:t>crtamm@classicconnectors.com</w:t>
      </w:r>
    </w:p>
    <w:p w:rsidR="00106E98" w:rsidRPr="00924431" w:rsidRDefault="00106E98" w:rsidP="00106E98">
      <w:pPr>
        <w:rPr>
          <w:rFonts w:cs="Arial"/>
          <w:color w:val="000000" w:themeColor="text1"/>
          <w:sz w:val="20"/>
          <w:szCs w:val="20"/>
        </w:rPr>
      </w:pPr>
    </w:p>
    <w:p w:rsidR="00106E98" w:rsidRPr="00924431" w:rsidRDefault="00106E98" w:rsidP="00106E98">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On Behalf of Classic Connectors, Inc.</w:t>
      </w:r>
    </w:p>
    <w:p w:rsidR="00106E98" w:rsidRDefault="00106E98"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286F24" w:rsidRDefault="00286F24" w:rsidP="00106E98">
      <w:pPr>
        <w:rPr>
          <w:rFonts w:cs="Arial"/>
          <w:color w:val="000000" w:themeColor="text1"/>
          <w:sz w:val="20"/>
          <w:szCs w:val="20"/>
        </w:rPr>
      </w:pPr>
    </w:p>
    <w:p w:rsidR="00106E98" w:rsidRDefault="00106E98" w:rsidP="00106E98">
      <w:pPr>
        <w:rPr>
          <w:rFonts w:cs="Arial"/>
          <w:color w:val="000000" w:themeColor="text1"/>
          <w:sz w:val="20"/>
          <w:szCs w:val="20"/>
        </w:rPr>
      </w:pPr>
      <w:r>
        <w:rPr>
          <w:rFonts w:cs="Arial"/>
          <w:color w:val="000000" w:themeColor="text1"/>
          <w:sz w:val="20"/>
          <w:szCs w:val="20"/>
        </w:rPr>
        <w:t>C. David Kelley</w:t>
      </w:r>
    </w:p>
    <w:p w:rsidR="00106E98" w:rsidRDefault="00106E98" w:rsidP="00106E98">
      <w:pPr>
        <w:rPr>
          <w:rFonts w:cs="Arial"/>
          <w:color w:val="000000" w:themeColor="text1"/>
          <w:sz w:val="20"/>
          <w:szCs w:val="20"/>
        </w:rPr>
      </w:pPr>
      <w:r>
        <w:rPr>
          <w:rFonts w:cs="Arial"/>
          <w:color w:val="000000" w:themeColor="text1"/>
          <w:sz w:val="20"/>
          <w:szCs w:val="20"/>
        </w:rPr>
        <w:t>Dana N. Whalen</w:t>
      </w:r>
    </w:p>
    <w:p w:rsidR="00106E98" w:rsidRDefault="00106E98" w:rsidP="00106E98">
      <w:pPr>
        <w:rPr>
          <w:rFonts w:cs="Arial"/>
          <w:color w:val="000000" w:themeColor="text1"/>
          <w:sz w:val="20"/>
          <w:szCs w:val="20"/>
        </w:rPr>
      </w:pPr>
      <w:r>
        <w:rPr>
          <w:rFonts w:cs="Arial"/>
          <w:color w:val="000000" w:themeColor="text1"/>
          <w:sz w:val="20"/>
          <w:szCs w:val="20"/>
        </w:rPr>
        <w:t>Adams County Prosecutor’s Office</w:t>
      </w:r>
    </w:p>
    <w:p w:rsidR="00106E98" w:rsidRDefault="00106E98" w:rsidP="00106E98">
      <w:pPr>
        <w:rPr>
          <w:rFonts w:cs="Arial"/>
          <w:color w:val="000000" w:themeColor="text1"/>
          <w:sz w:val="20"/>
          <w:szCs w:val="20"/>
        </w:rPr>
      </w:pPr>
      <w:r>
        <w:rPr>
          <w:rFonts w:cs="Arial"/>
          <w:color w:val="000000" w:themeColor="text1"/>
          <w:sz w:val="20"/>
          <w:szCs w:val="20"/>
        </w:rPr>
        <w:t>110 W. Main Street</w:t>
      </w:r>
    </w:p>
    <w:p w:rsidR="00106E98" w:rsidRDefault="00106E98" w:rsidP="00106E98">
      <w:pPr>
        <w:rPr>
          <w:rFonts w:cs="Arial"/>
          <w:color w:val="000000" w:themeColor="text1"/>
          <w:sz w:val="20"/>
          <w:szCs w:val="20"/>
        </w:rPr>
      </w:pPr>
      <w:r>
        <w:rPr>
          <w:rFonts w:cs="Arial"/>
          <w:color w:val="000000" w:themeColor="text1"/>
          <w:sz w:val="20"/>
          <w:szCs w:val="20"/>
        </w:rPr>
        <w:t>West Union, OH  45693</w:t>
      </w:r>
    </w:p>
    <w:p w:rsidR="00106E98" w:rsidRDefault="00106E98" w:rsidP="00106E98">
      <w:pPr>
        <w:rPr>
          <w:rFonts w:cs="Arial"/>
          <w:color w:val="000000" w:themeColor="text1"/>
          <w:sz w:val="20"/>
          <w:szCs w:val="20"/>
        </w:rPr>
      </w:pPr>
      <w:r w:rsidRPr="0084310B">
        <w:rPr>
          <w:rFonts w:cs="Arial"/>
          <w:color w:val="000000" w:themeColor="text1"/>
          <w:sz w:val="20"/>
          <w:szCs w:val="20"/>
        </w:rPr>
        <w:t>prosecutorkelley@usa.com</w:t>
      </w:r>
    </w:p>
    <w:p w:rsidR="00106E98" w:rsidRDefault="00106E98" w:rsidP="00106E98">
      <w:pPr>
        <w:rPr>
          <w:rFonts w:cs="Arial"/>
          <w:color w:val="000000" w:themeColor="text1"/>
          <w:sz w:val="20"/>
          <w:szCs w:val="20"/>
        </w:rPr>
      </w:pPr>
      <w:r>
        <w:rPr>
          <w:rFonts w:cs="Arial"/>
          <w:color w:val="000000" w:themeColor="text1"/>
          <w:sz w:val="20"/>
          <w:szCs w:val="20"/>
        </w:rPr>
        <w:t>dana.whalen@adamscountyoh.gov</w:t>
      </w:r>
    </w:p>
    <w:p w:rsidR="00106E98" w:rsidRDefault="00106E98" w:rsidP="00106E98">
      <w:pPr>
        <w:rPr>
          <w:rFonts w:cs="Arial"/>
          <w:color w:val="000000" w:themeColor="text1"/>
          <w:sz w:val="20"/>
          <w:szCs w:val="20"/>
        </w:rPr>
      </w:pPr>
    </w:p>
    <w:p w:rsidR="00106E98" w:rsidRPr="00EF0AC6" w:rsidRDefault="00106E98" w:rsidP="00106E98">
      <w:pPr>
        <w:rPr>
          <w:rFonts w:ascii="Arial Bold" w:hAnsi="Arial Bold" w:cs="Arial"/>
          <w:b/>
          <w:smallCaps/>
          <w:color w:val="000000" w:themeColor="text1"/>
          <w:sz w:val="20"/>
          <w:szCs w:val="20"/>
        </w:rPr>
      </w:pPr>
      <w:r w:rsidRPr="00EF0AC6">
        <w:rPr>
          <w:rFonts w:ascii="Arial Bold" w:hAnsi="Arial Bold" w:cs="Arial"/>
          <w:b/>
          <w:smallCaps/>
          <w:color w:val="000000" w:themeColor="text1"/>
          <w:sz w:val="20"/>
          <w:szCs w:val="20"/>
        </w:rPr>
        <w:t xml:space="preserve">On Behalf of </w:t>
      </w:r>
      <w:r>
        <w:rPr>
          <w:rFonts w:ascii="Arial Bold" w:hAnsi="Arial Bold" w:cs="Arial"/>
          <w:b/>
          <w:smallCaps/>
          <w:color w:val="000000" w:themeColor="text1"/>
          <w:sz w:val="20"/>
          <w:szCs w:val="20"/>
        </w:rPr>
        <w:t xml:space="preserve">Monroe Township, Manchester Local School District, </w:t>
      </w:r>
      <w:r w:rsidRPr="00EF0AC6">
        <w:rPr>
          <w:rFonts w:ascii="Arial Bold" w:hAnsi="Arial Bold" w:cs="Arial"/>
          <w:b/>
          <w:smallCaps/>
          <w:color w:val="000000" w:themeColor="text1"/>
          <w:sz w:val="20"/>
          <w:szCs w:val="20"/>
        </w:rPr>
        <w:t>Adams County Ohio Valley School District</w:t>
      </w:r>
      <w:r>
        <w:rPr>
          <w:rFonts w:ascii="Arial Bold" w:hAnsi="Arial Bold" w:cs="Arial"/>
          <w:b/>
          <w:smallCaps/>
          <w:color w:val="000000" w:themeColor="text1"/>
          <w:sz w:val="20"/>
          <w:szCs w:val="20"/>
        </w:rPr>
        <w:t>,</w:t>
      </w:r>
      <w:r w:rsidRPr="00EF0AC6">
        <w:rPr>
          <w:rFonts w:ascii="Arial Bold" w:hAnsi="Arial Bold" w:cs="Arial"/>
          <w:b/>
          <w:smallCaps/>
          <w:color w:val="000000" w:themeColor="text1"/>
          <w:sz w:val="20"/>
          <w:szCs w:val="20"/>
        </w:rPr>
        <w:t xml:space="preserve"> and </w:t>
      </w:r>
      <w:proofErr w:type="spellStart"/>
      <w:r w:rsidRPr="00EF0AC6">
        <w:rPr>
          <w:rFonts w:ascii="Arial Bold" w:hAnsi="Arial Bold" w:cs="Arial"/>
          <w:b/>
          <w:smallCaps/>
          <w:color w:val="000000" w:themeColor="text1"/>
          <w:sz w:val="20"/>
          <w:szCs w:val="20"/>
        </w:rPr>
        <w:t>Sprigg</w:t>
      </w:r>
      <w:proofErr w:type="spellEnd"/>
      <w:r w:rsidRPr="00EF0AC6">
        <w:rPr>
          <w:rFonts w:ascii="Arial Bold" w:hAnsi="Arial Bold" w:cs="Arial"/>
          <w:b/>
          <w:smallCaps/>
          <w:color w:val="000000" w:themeColor="text1"/>
          <w:sz w:val="20"/>
          <w:szCs w:val="20"/>
        </w:rPr>
        <w:t xml:space="preserve"> Township</w:t>
      </w:r>
    </w:p>
    <w:p w:rsidR="00286F24" w:rsidRDefault="00286F24" w:rsidP="00106E98">
      <w:pPr>
        <w:rPr>
          <w:rFonts w:eastAsia="Calibri" w:cs="Arial"/>
          <w:color w:val="000000" w:themeColor="text1"/>
          <w:sz w:val="20"/>
          <w:szCs w:val="20"/>
        </w:rPr>
      </w:pPr>
    </w:p>
    <w:p w:rsidR="00106E98" w:rsidRDefault="00106E98" w:rsidP="00106E98">
      <w:pPr>
        <w:rPr>
          <w:rFonts w:eastAsia="Calibri" w:cs="Arial"/>
          <w:color w:val="000000" w:themeColor="text1"/>
          <w:sz w:val="20"/>
          <w:szCs w:val="20"/>
        </w:rPr>
      </w:pPr>
      <w:r>
        <w:rPr>
          <w:rFonts w:eastAsia="Calibri" w:cs="Arial"/>
          <w:color w:val="000000" w:themeColor="text1"/>
          <w:sz w:val="20"/>
          <w:szCs w:val="20"/>
        </w:rPr>
        <w:t>John F. Stock</w:t>
      </w:r>
    </w:p>
    <w:p w:rsidR="00106E98" w:rsidRDefault="00106E98" w:rsidP="00106E98">
      <w:pPr>
        <w:rPr>
          <w:rFonts w:eastAsia="Calibri" w:cs="Arial"/>
          <w:color w:val="000000" w:themeColor="text1"/>
          <w:sz w:val="20"/>
          <w:szCs w:val="20"/>
        </w:rPr>
      </w:pPr>
      <w:r>
        <w:rPr>
          <w:rFonts w:eastAsia="Calibri" w:cs="Arial"/>
          <w:color w:val="000000" w:themeColor="text1"/>
          <w:sz w:val="20"/>
          <w:szCs w:val="20"/>
        </w:rPr>
        <w:t>Orla Collier</w:t>
      </w:r>
    </w:p>
    <w:p w:rsidR="00106E98" w:rsidRDefault="00106E98" w:rsidP="00106E98">
      <w:pPr>
        <w:rPr>
          <w:rFonts w:eastAsia="Calibri" w:cs="Arial"/>
          <w:color w:val="000000" w:themeColor="text1"/>
          <w:sz w:val="20"/>
          <w:szCs w:val="20"/>
        </w:rPr>
      </w:pPr>
      <w:r>
        <w:rPr>
          <w:rFonts w:eastAsia="Calibri" w:cs="Arial"/>
          <w:color w:val="000000" w:themeColor="text1"/>
          <w:sz w:val="20"/>
          <w:szCs w:val="20"/>
        </w:rPr>
        <w:t xml:space="preserve">Benesch Friedlander </w:t>
      </w:r>
      <w:proofErr w:type="spellStart"/>
      <w:r>
        <w:rPr>
          <w:rFonts w:eastAsia="Calibri" w:cs="Arial"/>
          <w:color w:val="000000" w:themeColor="text1"/>
          <w:sz w:val="20"/>
          <w:szCs w:val="20"/>
        </w:rPr>
        <w:t>Coplan</w:t>
      </w:r>
      <w:proofErr w:type="spellEnd"/>
      <w:r>
        <w:rPr>
          <w:rFonts w:eastAsia="Calibri" w:cs="Arial"/>
          <w:color w:val="000000" w:themeColor="text1"/>
          <w:sz w:val="20"/>
          <w:szCs w:val="20"/>
        </w:rPr>
        <w:t xml:space="preserve"> &amp; </w:t>
      </w:r>
      <w:proofErr w:type="spellStart"/>
      <w:r>
        <w:rPr>
          <w:rFonts w:eastAsia="Calibri" w:cs="Arial"/>
          <w:color w:val="000000" w:themeColor="text1"/>
          <w:sz w:val="20"/>
          <w:szCs w:val="20"/>
        </w:rPr>
        <w:t>Aronoff</w:t>
      </w:r>
      <w:proofErr w:type="spellEnd"/>
      <w:r>
        <w:rPr>
          <w:rFonts w:eastAsia="Calibri" w:cs="Arial"/>
          <w:color w:val="000000" w:themeColor="text1"/>
          <w:sz w:val="20"/>
          <w:szCs w:val="20"/>
        </w:rPr>
        <w:t xml:space="preserve"> LLP</w:t>
      </w:r>
    </w:p>
    <w:p w:rsidR="00106E98" w:rsidRDefault="00106E98" w:rsidP="00106E98">
      <w:pPr>
        <w:rPr>
          <w:rFonts w:eastAsia="Calibri" w:cs="Arial"/>
          <w:color w:val="000000" w:themeColor="text1"/>
          <w:sz w:val="20"/>
          <w:szCs w:val="20"/>
        </w:rPr>
      </w:pPr>
      <w:r>
        <w:rPr>
          <w:rFonts w:eastAsia="Calibri" w:cs="Arial"/>
          <w:color w:val="000000" w:themeColor="text1"/>
          <w:sz w:val="20"/>
          <w:szCs w:val="20"/>
        </w:rPr>
        <w:t>41 S. High Street, 26</w:t>
      </w:r>
      <w:r w:rsidRPr="0086222C">
        <w:rPr>
          <w:rFonts w:eastAsia="Calibri" w:cs="Arial"/>
          <w:color w:val="000000" w:themeColor="text1"/>
          <w:sz w:val="20"/>
          <w:szCs w:val="20"/>
          <w:vertAlign w:val="superscript"/>
        </w:rPr>
        <w:t>th</w:t>
      </w:r>
      <w:r>
        <w:rPr>
          <w:rFonts w:eastAsia="Calibri" w:cs="Arial"/>
          <w:color w:val="000000" w:themeColor="text1"/>
          <w:sz w:val="20"/>
          <w:szCs w:val="20"/>
        </w:rPr>
        <w:t xml:space="preserve"> Floor</w:t>
      </w:r>
    </w:p>
    <w:p w:rsidR="00106E98" w:rsidRDefault="00106E98" w:rsidP="00106E98">
      <w:pPr>
        <w:rPr>
          <w:rFonts w:eastAsia="Calibri" w:cs="Arial"/>
          <w:color w:val="000000" w:themeColor="text1"/>
          <w:sz w:val="20"/>
          <w:szCs w:val="20"/>
        </w:rPr>
      </w:pPr>
      <w:r>
        <w:rPr>
          <w:rFonts w:eastAsia="Calibri" w:cs="Arial"/>
          <w:color w:val="000000" w:themeColor="text1"/>
          <w:sz w:val="20"/>
          <w:szCs w:val="20"/>
        </w:rPr>
        <w:t>Columbus, OH 43215</w:t>
      </w:r>
    </w:p>
    <w:p w:rsidR="00106E98" w:rsidRDefault="00106E98" w:rsidP="00106E98">
      <w:pPr>
        <w:rPr>
          <w:rFonts w:eastAsia="Calibri" w:cs="Arial"/>
          <w:color w:val="000000" w:themeColor="text1"/>
          <w:sz w:val="20"/>
          <w:szCs w:val="20"/>
        </w:rPr>
      </w:pPr>
      <w:r>
        <w:rPr>
          <w:rFonts w:eastAsia="Calibri" w:cs="Arial"/>
          <w:color w:val="000000" w:themeColor="text1"/>
          <w:sz w:val="20"/>
          <w:szCs w:val="20"/>
        </w:rPr>
        <w:t>jstock@beneschlaw.com</w:t>
      </w:r>
    </w:p>
    <w:p w:rsidR="00106E98" w:rsidRDefault="00106E98" w:rsidP="00106E98">
      <w:pPr>
        <w:rPr>
          <w:rFonts w:eastAsia="Calibri" w:cs="Arial"/>
          <w:color w:val="000000" w:themeColor="text1"/>
          <w:sz w:val="20"/>
          <w:szCs w:val="20"/>
        </w:rPr>
      </w:pPr>
      <w:r>
        <w:rPr>
          <w:rFonts w:eastAsia="Calibri" w:cs="Arial"/>
          <w:color w:val="000000" w:themeColor="text1"/>
          <w:sz w:val="20"/>
          <w:szCs w:val="20"/>
        </w:rPr>
        <w:t>ocollier@beneschlaw.com</w:t>
      </w:r>
    </w:p>
    <w:p w:rsidR="00106E98" w:rsidRDefault="00106E98" w:rsidP="00106E98">
      <w:pPr>
        <w:rPr>
          <w:rFonts w:eastAsia="Calibri" w:cs="Arial"/>
          <w:color w:val="000000" w:themeColor="text1"/>
          <w:sz w:val="20"/>
          <w:szCs w:val="20"/>
        </w:rPr>
      </w:pPr>
    </w:p>
    <w:p w:rsidR="00106E98" w:rsidRDefault="00106E98" w:rsidP="00106E98">
      <w:pPr>
        <w:rPr>
          <w:rFonts w:ascii="Arial Bold" w:eastAsia="Calibri" w:hAnsi="Arial Bold" w:cs="Arial"/>
          <w:b/>
          <w:smallCaps/>
          <w:color w:val="000000" w:themeColor="text1"/>
          <w:sz w:val="20"/>
          <w:szCs w:val="20"/>
        </w:rPr>
      </w:pPr>
      <w:r w:rsidRPr="00AA3B99">
        <w:rPr>
          <w:rFonts w:ascii="Arial Bold" w:eastAsia="Calibri" w:hAnsi="Arial Bold" w:cs="Arial"/>
          <w:b/>
          <w:smallCaps/>
          <w:color w:val="000000" w:themeColor="text1"/>
          <w:sz w:val="20"/>
          <w:szCs w:val="20"/>
        </w:rPr>
        <w:t>On Behalf of Murray Energy Corporation</w:t>
      </w:r>
      <w:r>
        <w:rPr>
          <w:rFonts w:ascii="Arial Bold" w:eastAsia="Calibri" w:hAnsi="Arial Bold" w:cs="Arial"/>
          <w:b/>
          <w:smallCaps/>
          <w:color w:val="000000" w:themeColor="text1"/>
          <w:sz w:val="20"/>
          <w:szCs w:val="20"/>
        </w:rPr>
        <w:t xml:space="preserve"> and Citizens to Protect DP&amp;L Jobs, Rick Adamson, Don Bowles, Steve </w:t>
      </w:r>
      <w:proofErr w:type="spellStart"/>
      <w:r>
        <w:rPr>
          <w:rFonts w:ascii="Arial Bold" w:eastAsia="Calibri" w:hAnsi="Arial Bold" w:cs="Arial"/>
          <w:b/>
          <w:smallCaps/>
          <w:color w:val="000000" w:themeColor="text1"/>
          <w:sz w:val="20"/>
          <w:szCs w:val="20"/>
        </w:rPr>
        <w:t>Cacaro</w:t>
      </w:r>
      <w:proofErr w:type="spellEnd"/>
      <w:r>
        <w:rPr>
          <w:rFonts w:ascii="Arial Bold" w:eastAsia="Calibri" w:hAnsi="Arial Bold" w:cs="Arial"/>
          <w:b/>
          <w:smallCaps/>
          <w:color w:val="000000" w:themeColor="text1"/>
          <w:sz w:val="20"/>
          <w:szCs w:val="20"/>
        </w:rPr>
        <w:t>, John Condon, Alan Foster, Richard Foster, Kent Gulley, Marty Huntley, John Lawler, Brad McFarland, David McFarland, Mike Pell, Kim Rogers, Tony Staggs and Liz Lafferty</w:t>
      </w:r>
    </w:p>
    <w:p w:rsidR="00106E98" w:rsidRDefault="00106E98" w:rsidP="00106E98">
      <w:pPr>
        <w:rPr>
          <w:rFonts w:ascii="Arial Bold" w:eastAsia="Calibri" w:hAnsi="Arial Bold" w:cs="Arial"/>
          <w:b/>
          <w:smallCaps/>
          <w:color w:val="000000" w:themeColor="text1"/>
          <w:sz w:val="20"/>
          <w:szCs w:val="20"/>
        </w:rPr>
      </w:pPr>
    </w:p>
    <w:p w:rsidR="00106E98" w:rsidRPr="00B821F5" w:rsidRDefault="00106E98" w:rsidP="00106E98">
      <w:pPr>
        <w:rPr>
          <w:rFonts w:eastAsia="Calibri" w:cs="Arial"/>
          <w:color w:val="000000" w:themeColor="text1"/>
          <w:sz w:val="20"/>
          <w:szCs w:val="20"/>
        </w:rPr>
      </w:pPr>
      <w:r w:rsidRPr="00B821F5">
        <w:rPr>
          <w:rFonts w:eastAsia="Calibri" w:cs="Arial"/>
          <w:color w:val="000000" w:themeColor="text1"/>
          <w:sz w:val="20"/>
          <w:szCs w:val="20"/>
        </w:rPr>
        <w:t xml:space="preserve">Mark </w:t>
      </w:r>
      <w:proofErr w:type="spellStart"/>
      <w:r w:rsidRPr="00B821F5">
        <w:rPr>
          <w:rFonts w:eastAsia="Calibri" w:cs="Arial"/>
          <w:color w:val="000000" w:themeColor="text1"/>
          <w:sz w:val="20"/>
          <w:szCs w:val="20"/>
        </w:rPr>
        <w:t>Landes</w:t>
      </w:r>
      <w:proofErr w:type="spellEnd"/>
      <w:r w:rsidRPr="00B821F5">
        <w:rPr>
          <w:rFonts w:eastAsia="Calibri" w:cs="Arial"/>
          <w:color w:val="000000" w:themeColor="text1"/>
          <w:sz w:val="20"/>
          <w:szCs w:val="20"/>
        </w:rPr>
        <w:t xml:space="preserve"> (0027227)</w:t>
      </w:r>
    </w:p>
    <w:p w:rsidR="00106E98" w:rsidRPr="00B821F5" w:rsidRDefault="00106E98" w:rsidP="00106E98">
      <w:pPr>
        <w:rPr>
          <w:rFonts w:eastAsia="Calibri" w:cs="Arial"/>
          <w:color w:val="000000" w:themeColor="text1"/>
          <w:sz w:val="20"/>
          <w:szCs w:val="20"/>
        </w:rPr>
      </w:pPr>
      <w:r w:rsidRPr="00B821F5">
        <w:rPr>
          <w:rFonts w:eastAsia="Calibri" w:cs="Arial"/>
          <w:color w:val="000000" w:themeColor="text1"/>
          <w:sz w:val="20"/>
          <w:szCs w:val="20"/>
        </w:rPr>
        <w:t xml:space="preserve">Briand M. </w:t>
      </w:r>
      <w:proofErr w:type="spellStart"/>
      <w:r w:rsidRPr="00B821F5">
        <w:rPr>
          <w:rFonts w:eastAsia="Calibri" w:cs="Arial"/>
          <w:color w:val="000000" w:themeColor="text1"/>
          <w:sz w:val="20"/>
          <w:szCs w:val="20"/>
        </w:rPr>
        <w:t>Zets</w:t>
      </w:r>
      <w:proofErr w:type="spellEnd"/>
      <w:r w:rsidRPr="00B821F5">
        <w:rPr>
          <w:rFonts w:eastAsia="Calibri" w:cs="Arial"/>
          <w:color w:val="000000" w:themeColor="text1"/>
          <w:sz w:val="20"/>
          <w:szCs w:val="20"/>
        </w:rPr>
        <w:t xml:space="preserve"> (0066544)</w:t>
      </w:r>
    </w:p>
    <w:p w:rsidR="00106E98" w:rsidRPr="00B821F5" w:rsidRDefault="00106E98" w:rsidP="00106E98">
      <w:pPr>
        <w:rPr>
          <w:rFonts w:eastAsia="Calibri" w:cs="Arial"/>
          <w:color w:val="000000" w:themeColor="text1"/>
          <w:sz w:val="20"/>
          <w:szCs w:val="20"/>
        </w:rPr>
      </w:pPr>
      <w:r w:rsidRPr="00B821F5">
        <w:rPr>
          <w:rFonts w:eastAsia="Calibri" w:cs="Arial"/>
          <w:color w:val="000000" w:themeColor="text1"/>
          <w:sz w:val="20"/>
          <w:szCs w:val="20"/>
        </w:rPr>
        <w:t xml:space="preserve">Isaac Wiles Burkholder &amp; </w:t>
      </w:r>
      <w:proofErr w:type="spellStart"/>
      <w:r w:rsidRPr="00B821F5">
        <w:rPr>
          <w:rFonts w:eastAsia="Calibri" w:cs="Arial"/>
          <w:color w:val="000000" w:themeColor="text1"/>
          <w:sz w:val="20"/>
          <w:szCs w:val="20"/>
        </w:rPr>
        <w:t>Teetor</w:t>
      </w:r>
      <w:proofErr w:type="spellEnd"/>
      <w:r w:rsidRPr="00B821F5">
        <w:rPr>
          <w:rFonts w:eastAsia="Calibri" w:cs="Arial"/>
          <w:color w:val="000000" w:themeColor="text1"/>
          <w:sz w:val="20"/>
          <w:szCs w:val="20"/>
        </w:rPr>
        <w:t>, LLC</w:t>
      </w:r>
    </w:p>
    <w:p w:rsidR="00106E98" w:rsidRPr="00B821F5" w:rsidRDefault="00106E98" w:rsidP="00106E98">
      <w:pPr>
        <w:rPr>
          <w:rFonts w:eastAsia="Calibri" w:cs="Arial"/>
          <w:color w:val="000000" w:themeColor="text1"/>
          <w:sz w:val="20"/>
          <w:szCs w:val="20"/>
        </w:rPr>
      </w:pPr>
      <w:r w:rsidRPr="00B821F5">
        <w:rPr>
          <w:rFonts w:eastAsia="Calibri" w:cs="Arial"/>
          <w:color w:val="000000" w:themeColor="text1"/>
          <w:sz w:val="20"/>
          <w:szCs w:val="20"/>
        </w:rPr>
        <w:t xml:space="preserve">Two </w:t>
      </w:r>
      <w:proofErr w:type="spellStart"/>
      <w:r w:rsidRPr="00B821F5">
        <w:rPr>
          <w:rFonts w:eastAsia="Calibri" w:cs="Arial"/>
          <w:color w:val="000000" w:themeColor="text1"/>
          <w:sz w:val="20"/>
          <w:szCs w:val="20"/>
        </w:rPr>
        <w:t>Miranova</w:t>
      </w:r>
      <w:proofErr w:type="spellEnd"/>
      <w:r w:rsidRPr="00B821F5">
        <w:rPr>
          <w:rFonts w:eastAsia="Calibri" w:cs="Arial"/>
          <w:color w:val="000000" w:themeColor="text1"/>
          <w:sz w:val="20"/>
          <w:szCs w:val="20"/>
        </w:rPr>
        <w:t xml:space="preserve"> Place, Suite 700</w:t>
      </w:r>
    </w:p>
    <w:p w:rsidR="00106E98" w:rsidRPr="00B821F5" w:rsidRDefault="00106E98" w:rsidP="00106E98">
      <w:pPr>
        <w:rPr>
          <w:rFonts w:eastAsia="Calibri" w:cs="Arial"/>
          <w:color w:val="000000" w:themeColor="text1"/>
          <w:sz w:val="20"/>
          <w:szCs w:val="20"/>
        </w:rPr>
      </w:pPr>
      <w:r w:rsidRPr="00B821F5">
        <w:rPr>
          <w:rFonts w:eastAsia="Calibri" w:cs="Arial"/>
          <w:color w:val="000000" w:themeColor="text1"/>
          <w:sz w:val="20"/>
          <w:szCs w:val="20"/>
        </w:rPr>
        <w:t>Columbus, OH 43215</w:t>
      </w:r>
    </w:p>
    <w:p w:rsidR="00106E98" w:rsidRPr="00B821F5" w:rsidRDefault="00106E98" w:rsidP="00106E98">
      <w:pPr>
        <w:rPr>
          <w:rFonts w:eastAsia="Calibri" w:cs="Arial"/>
          <w:smallCaps/>
          <w:color w:val="000000" w:themeColor="text1"/>
          <w:sz w:val="20"/>
          <w:szCs w:val="20"/>
        </w:rPr>
      </w:pPr>
      <w:r>
        <w:rPr>
          <w:rFonts w:eastAsia="Calibri" w:cs="Arial"/>
          <w:color w:val="000000" w:themeColor="text1"/>
          <w:sz w:val="20"/>
          <w:szCs w:val="20"/>
        </w:rPr>
        <w:t>m</w:t>
      </w:r>
      <w:r w:rsidRPr="00B821F5">
        <w:rPr>
          <w:rFonts w:eastAsia="Calibri" w:cs="Arial"/>
          <w:color w:val="000000" w:themeColor="text1"/>
          <w:sz w:val="20"/>
          <w:szCs w:val="20"/>
        </w:rPr>
        <w:t>landes@isaacwiles.com</w:t>
      </w:r>
    </w:p>
    <w:p w:rsidR="00106E98" w:rsidRPr="00B821F5" w:rsidRDefault="00106E98" w:rsidP="00106E98">
      <w:pPr>
        <w:rPr>
          <w:rFonts w:eastAsia="Calibri" w:cs="Arial"/>
          <w:smallCaps/>
          <w:color w:val="000000" w:themeColor="text1"/>
          <w:sz w:val="20"/>
          <w:szCs w:val="20"/>
        </w:rPr>
      </w:pPr>
      <w:r w:rsidRPr="00B821F5">
        <w:rPr>
          <w:rFonts w:eastAsia="Calibri" w:cs="Arial"/>
          <w:color w:val="000000" w:themeColor="text1"/>
          <w:sz w:val="20"/>
          <w:szCs w:val="20"/>
        </w:rPr>
        <w:t>bzets@isaacwiles.com</w:t>
      </w:r>
    </w:p>
    <w:p w:rsidR="00106E98" w:rsidRDefault="00106E98" w:rsidP="00106E98">
      <w:pPr>
        <w:rPr>
          <w:rFonts w:ascii="Arial Bold" w:eastAsia="Calibri" w:hAnsi="Arial Bold" w:cs="Arial"/>
          <w:b/>
          <w:smallCaps/>
          <w:color w:val="000000" w:themeColor="text1"/>
          <w:sz w:val="20"/>
          <w:szCs w:val="20"/>
        </w:rPr>
      </w:pPr>
    </w:p>
    <w:p w:rsidR="00106E98" w:rsidRPr="00AA3B99" w:rsidRDefault="00106E98" w:rsidP="00106E98">
      <w:pPr>
        <w:rPr>
          <w:rFonts w:ascii="Arial Bold" w:eastAsia="Calibri" w:hAnsi="Arial Bold" w:cs="Arial"/>
          <w:b/>
          <w:smallCaps/>
          <w:color w:val="000000" w:themeColor="text1"/>
          <w:sz w:val="20"/>
          <w:szCs w:val="20"/>
        </w:rPr>
      </w:pPr>
      <w:r>
        <w:rPr>
          <w:rFonts w:ascii="Arial Bold" w:eastAsia="Calibri" w:hAnsi="Arial Bold" w:cs="Arial"/>
          <w:b/>
          <w:smallCaps/>
          <w:color w:val="000000" w:themeColor="text1"/>
          <w:sz w:val="20"/>
          <w:szCs w:val="20"/>
        </w:rPr>
        <w:t>Counsel for Adams County Commissioners</w:t>
      </w:r>
    </w:p>
    <w:p w:rsidR="00106E98" w:rsidRDefault="00106E98" w:rsidP="00106E98">
      <w:pPr>
        <w:autoSpaceDE w:val="0"/>
        <w:autoSpaceDN w:val="0"/>
        <w:adjustRightInd w:val="0"/>
        <w:rPr>
          <w:rFonts w:cs="Arial"/>
          <w:color w:val="000000" w:themeColor="text1"/>
          <w:sz w:val="20"/>
          <w:szCs w:val="20"/>
        </w:rPr>
      </w:pP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Thomas McNamee</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 xml:space="preserve">Assistant Attorneys General </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Public Utilities Section</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Office of the Attorney General</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30 E. Broad St, 16th Floor</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Columbus, O</w:t>
      </w:r>
      <w:r>
        <w:rPr>
          <w:rFonts w:cs="Arial"/>
          <w:color w:val="000000" w:themeColor="text1"/>
          <w:sz w:val="20"/>
          <w:szCs w:val="20"/>
        </w:rPr>
        <w:t>H</w:t>
      </w:r>
      <w:r w:rsidRPr="00924431">
        <w:rPr>
          <w:rFonts w:cs="Arial"/>
          <w:color w:val="000000" w:themeColor="text1"/>
          <w:sz w:val="20"/>
          <w:szCs w:val="20"/>
        </w:rPr>
        <w:t xml:space="preserve"> 43215</w:t>
      </w:r>
    </w:p>
    <w:p w:rsidR="00106E98" w:rsidRPr="00924431" w:rsidRDefault="00106E98" w:rsidP="00106E98">
      <w:pPr>
        <w:autoSpaceDE w:val="0"/>
        <w:autoSpaceDN w:val="0"/>
        <w:adjustRightInd w:val="0"/>
        <w:rPr>
          <w:rFonts w:cs="Arial"/>
          <w:color w:val="000000" w:themeColor="text1"/>
          <w:sz w:val="20"/>
          <w:szCs w:val="20"/>
        </w:rPr>
      </w:pPr>
      <w:r w:rsidRPr="00924431">
        <w:rPr>
          <w:rFonts w:cs="Arial"/>
          <w:color w:val="000000" w:themeColor="text1"/>
          <w:sz w:val="20"/>
          <w:szCs w:val="20"/>
        </w:rPr>
        <w:t>Thomas.mcnamee@ohioattorneygeneral.gov</w:t>
      </w:r>
    </w:p>
    <w:p w:rsidR="00106E98" w:rsidRPr="00924431" w:rsidRDefault="00106E98" w:rsidP="00106E98">
      <w:pPr>
        <w:autoSpaceDE w:val="0"/>
        <w:autoSpaceDN w:val="0"/>
        <w:adjustRightInd w:val="0"/>
        <w:rPr>
          <w:rFonts w:cs="Arial"/>
          <w:color w:val="000000" w:themeColor="text1"/>
          <w:sz w:val="20"/>
          <w:szCs w:val="20"/>
        </w:rPr>
      </w:pPr>
    </w:p>
    <w:p w:rsidR="00106E98" w:rsidRPr="00924431" w:rsidRDefault="00106E98" w:rsidP="00106E98">
      <w:pPr>
        <w:autoSpaceDE w:val="0"/>
        <w:autoSpaceDN w:val="0"/>
        <w:adjustRightInd w:val="0"/>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Staff of the Public Utilities Commission of Ohio (PUCO)</w:t>
      </w:r>
    </w:p>
    <w:p w:rsidR="00106E98" w:rsidRDefault="00106E98" w:rsidP="00106E98">
      <w:pPr>
        <w:autoSpaceDE w:val="0"/>
        <w:autoSpaceDN w:val="0"/>
        <w:adjustRightInd w:val="0"/>
        <w:rPr>
          <w:rFonts w:ascii="Arial Bold" w:hAnsi="Arial Bold" w:cs="Arial"/>
          <w:b/>
          <w:smallCaps/>
          <w:color w:val="000000" w:themeColor="text1"/>
          <w:sz w:val="20"/>
          <w:szCs w:val="20"/>
        </w:rPr>
      </w:pPr>
    </w:p>
    <w:p w:rsidR="00286F24" w:rsidRDefault="00286F24" w:rsidP="00106E98">
      <w:pPr>
        <w:autoSpaceDE w:val="0"/>
        <w:autoSpaceDN w:val="0"/>
        <w:adjustRightInd w:val="0"/>
        <w:rPr>
          <w:rFonts w:ascii="Arial Bold" w:hAnsi="Arial Bold" w:cs="Arial"/>
          <w:b/>
          <w:smallCaps/>
          <w:color w:val="000000" w:themeColor="text1"/>
          <w:sz w:val="20"/>
          <w:szCs w:val="20"/>
        </w:rPr>
      </w:pPr>
    </w:p>
    <w:p w:rsidR="00286F24" w:rsidRDefault="00286F24" w:rsidP="00106E98">
      <w:pPr>
        <w:autoSpaceDE w:val="0"/>
        <w:autoSpaceDN w:val="0"/>
        <w:adjustRightInd w:val="0"/>
        <w:rPr>
          <w:rFonts w:ascii="Arial Bold" w:hAnsi="Arial Bold" w:cs="Arial"/>
          <w:b/>
          <w:smallCaps/>
          <w:color w:val="000000" w:themeColor="text1"/>
          <w:sz w:val="20"/>
          <w:szCs w:val="20"/>
        </w:rPr>
      </w:pPr>
    </w:p>
    <w:p w:rsidR="00286F24" w:rsidRDefault="00286F24" w:rsidP="00106E98">
      <w:pPr>
        <w:autoSpaceDE w:val="0"/>
        <w:autoSpaceDN w:val="0"/>
        <w:adjustRightInd w:val="0"/>
        <w:rPr>
          <w:rFonts w:ascii="Arial Bold" w:hAnsi="Arial Bold" w:cs="Arial"/>
          <w:b/>
          <w:smallCaps/>
          <w:color w:val="000000" w:themeColor="text1"/>
          <w:sz w:val="20"/>
          <w:szCs w:val="20"/>
        </w:rPr>
      </w:pPr>
    </w:p>
    <w:p w:rsidR="00286F24" w:rsidRDefault="00286F24" w:rsidP="00106E98">
      <w:pPr>
        <w:autoSpaceDE w:val="0"/>
        <w:autoSpaceDN w:val="0"/>
        <w:adjustRightInd w:val="0"/>
        <w:rPr>
          <w:rFonts w:ascii="Arial Bold" w:hAnsi="Arial Bold" w:cs="Arial"/>
          <w:b/>
          <w:smallCaps/>
          <w:color w:val="000000" w:themeColor="text1"/>
          <w:sz w:val="20"/>
          <w:szCs w:val="20"/>
        </w:rPr>
      </w:pPr>
    </w:p>
    <w:p w:rsidR="00286F24" w:rsidRDefault="00286F24" w:rsidP="00106E98">
      <w:pPr>
        <w:autoSpaceDE w:val="0"/>
        <w:autoSpaceDN w:val="0"/>
        <w:adjustRightInd w:val="0"/>
        <w:rPr>
          <w:rFonts w:ascii="Arial Bold" w:hAnsi="Arial Bold" w:cs="Arial"/>
          <w:b/>
          <w:smallCaps/>
          <w:color w:val="000000" w:themeColor="text1"/>
          <w:sz w:val="20"/>
          <w:szCs w:val="20"/>
        </w:rPr>
      </w:pPr>
    </w:p>
    <w:p w:rsidR="00286F24" w:rsidRDefault="00286F24" w:rsidP="00106E98">
      <w:pPr>
        <w:autoSpaceDE w:val="0"/>
        <w:autoSpaceDN w:val="0"/>
        <w:adjustRightInd w:val="0"/>
        <w:rPr>
          <w:rFonts w:ascii="Arial Bold" w:hAnsi="Arial Bold" w:cs="Arial"/>
          <w:b/>
          <w:smallCaps/>
          <w:color w:val="000000" w:themeColor="text1"/>
          <w:sz w:val="20"/>
          <w:szCs w:val="20"/>
        </w:rPr>
      </w:pPr>
    </w:p>
    <w:p w:rsidR="00286F24" w:rsidRDefault="00286F24" w:rsidP="00106E98">
      <w:pPr>
        <w:autoSpaceDE w:val="0"/>
        <w:autoSpaceDN w:val="0"/>
        <w:adjustRightInd w:val="0"/>
        <w:rPr>
          <w:rFonts w:ascii="Arial Bold" w:hAnsi="Arial Bold" w:cs="Arial"/>
          <w:b/>
          <w:smallCaps/>
          <w:color w:val="000000" w:themeColor="text1"/>
          <w:sz w:val="20"/>
          <w:szCs w:val="20"/>
        </w:rPr>
      </w:pPr>
    </w:p>
    <w:p w:rsidR="00106E98" w:rsidRPr="00924431" w:rsidRDefault="00106E98" w:rsidP="00106E98">
      <w:pPr>
        <w:rPr>
          <w:rFonts w:eastAsia="Calibri" w:cs="Arial"/>
          <w:color w:val="000000" w:themeColor="text1"/>
          <w:sz w:val="20"/>
          <w:szCs w:val="20"/>
        </w:rPr>
      </w:pPr>
      <w:r>
        <w:rPr>
          <w:rFonts w:eastAsia="Calibri" w:cs="Arial"/>
          <w:color w:val="000000" w:themeColor="text1"/>
          <w:sz w:val="20"/>
          <w:szCs w:val="20"/>
        </w:rPr>
        <w:lastRenderedPageBreak/>
        <w:t xml:space="preserve">Nicholas </w:t>
      </w:r>
      <w:proofErr w:type="spellStart"/>
      <w:r>
        <w:rPr>
          <w:rFonts w:eastAsia="Calibri" w:cs="Arial"/>
          <w:color w:val="000000" w:themeColor="text1"/>
          <w:sz w:val="20"/>
          <w:szCs w:val="20"/>
        </w:rPr>
        <w:t>Walstra</w:t>
      </w:r>
      <w:proofErr w:type="spellEnd"/>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Gregory Price</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Attorney Examiners</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Legal Department</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Public Utilities Commission of Ohio</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180 East Broad Street, 12</w:t>
      </w:r>
      <w:r w:rsidRPr="00924431">
        <w:rPr>
          <w:rFonts w:eastAsia="Calibri" w:cs="Arial"/>
          <w:color w:val="000000" w:themeColor="text1"/>
          <w:sz w:val="20"/>
          <w:szCs w:val="20"/>
          <w:vertAlign w:val="superscript"/>
        </w:rPr>
        <w:t>th</w:t>
      </w:r>
      <w:r w:rsidRPr="00924431">
        <w:rPr>
          <w:rFonts w:eastAsia="Calibri" w:cs="Arial"/>
          <w:color w:val="000000" w:themeColor="text1"/>
          <w:sz w:val="20"/>
          <w:szCs w:val="20"/>
        </w:rPr>
        <w:t xml:space="preserve"> Floor</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Columbus</w:t>
      </w:r>
      <w:r>
        <w:rPr>
          <w:rFonts w:eastAsia="Calibri" w:cs="Arial"/>
          <w:color w:val="000000" w:themeColor="text1"/>
          <w:sz w:val="20"/>
          <w:szCs w:val="20"/>
        </w:rPr>
        <w:t>,</w:t>
      </w:r>
      <w:r w:rsidRPr="00924431">
        <w:rPr>
          <w:rFonts w:eastAsia="Calibri" w:cs="Arial"/>
          <w:color w:val="000000" w:themeColor="text1"/>
          <w:sz w:val="20"/>
          <w:szCs w:val="20"/>
        </w:rPr>
        <w:t xml:space="preserve"> OH  43215</w:t>
      </w:r>
    </w:p>
    <w:p w:rsidR="00106E98" w:rsidRPr="00924431" w:rsidRDefault="00106E98" w:rsidP="00106E98">
      <w:pPr>
        <w:rPr>
          <w:rFonts w:eastAsia="Calibri" w:cs="Arial"/>
          <w:color w:val="000000" w:themeColor="text1"/>
          <w:sz w:val="20"/>
          <w:szCs w:val="20"/>
        </w:rPr>
      </w:pPr>
      <w:r>
        <w:rPr>
          <w:rFonts w:eastAsia="Calibri" w:cs="Arial"/>
          <w:color w:val="000000" w:themeColor="text1"/>
          <w:sz w:val="20"/>
          <w:szCs w:val="20"/>
        </w:rPr>
        <w:t>Nicholas.walstra</w:t>
      </w:r>
      <w:r w:rsidRPr="00924431">
        <w:rPr>
          <w:rFonts w:eastAsia="Calibri" w:cs="Arial"/>
          <w:color w:val="000000" w:themeColor="text1"/>
          <w:sz w:val="20"/>
          <w:szCs w:val="20"/>
        </w:rPr>
        <w:t>@puc.state.oh.us</w:t>
      </w:r>
    </w:p>
    <w:p w:rsidR="00106E98" w:rsidRPr="00924431" w:rsidRDefault="00106E98" w:rsidP="00106E98">
      <w:pPr>
        <w:rPr>
          <w:rFonts w:eastAsia="Calibri" w:cs="Arial"/>
          <w:color w:val="000000" w:themeColor="text1"/>
          <w:sz w:val="20"/>
          <w:szCs w:val="20"/>
        </w:rPr>
      </w:pPr>
      <w:r w:rsidRPr="00924431">
        <w:rPr>
          <w:rFonts w:eastAsia="Calibri" w:cs="Arial"/>
          <w:color w:val="000000" w:themeColor="text1"/>
          <w:sz w:val="20"/>
          <w:szCs w:val="20"/>
        </w:rPr>
        <w:t>gregory.price@puc.state.oh.us</w:t>
      </w:r>
    </w:p>
    <w:p w:rsidR="00106E98" w:rsidRPr="00924431" w:rsidRDefault="00106E98" w:rsidP="00106E98">
      <w:pPr>
        <w:rPr>
          <w:rFonts w:eastAsia="Calibri" w:cs="Arial"/>
          <w:color w:val="000000" w:themeColor="text1"/>
          <w:sz w:val="20"/>
          <w:szCs w:val="20"/>
        </w:rPr>
      </w:pPr>
    </w:p>
    <w:p w:rsidR="00106E98" w:rsidRDefault="00106E98" w:rsidP="00106E98">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Attorney Examiners</w:t>
      </w:r>
    </w:p>
    <w:p w:rsidR="00AB1146" w:rsidRDefault="00AB1146"/>
    <w:sectPr w:rsidR="00AB1146" w:rsidSect="00AB1146">
      <w:type w:val="continuous"/>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63E" w:rsidRDefault="00B4763E" w:rsidP="005456D0">
      <w:r>
        <w:separator/>
      </w:r>
    </w:p>
  </w:endnote>
  <w:endnote w:type="continuationSeparator" w:id="0">
    <w:p w:rsidR="00B4763E" w:rsidRDefault="00B4763E" w:rsidP="0054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70" w:rsidRDefault="00EC4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B1" w:rsidRPr="00DE0E8B" w:rsidRDefault="00A53F27" w:rsidP="00DE0E8B">
    <w:pPr>
      <w:pStyle w:val="Footer"/>
    </w:pPr>
    <w:r w:rsidRPr="00A53F27">
      <w:rPr>
        <w:noProof/>
        <w:sz w:val="16"/>
      </w:rPr>
      <w:t>C0106659:2</w:t>
    </w:r>
    <w:r w:rsidR="00BE78B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B1" w:rsidRPr="005456D0" w:rsidRDefault="00BE78B1" w:rsidP="005456D0">
    <w:pPr>
      <w:pStyle w:val="Footer"/>
    </w:pPr>
    <w:r w:rsidRPr="00E767D5">
      <w:rPr>
        <w:noProof/>
        <w:sz w:val="16"/>
      </w:rPr>
      <w:t>C0106659:1</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B1" w:rsidRDefault="00BE78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B1" w:rsidRPr="00624D3A" w:rsidRDefault="00A53F27" w:rsidP="00624D3A">
    <w:pPr>
      <w:pStyle w:val="Footer"/>
    </w:pPr>
    <w:r w:rsidRPr="00A53F27">
      <w:rPr>
        <w:noProof/>
        <w:sz w:val="16"/>
      </w:rPr>
      <w:t>C0106659:2</w:t>
    </w:r>
    <w:r w:rsidR="00BE78B1">
      <w:tab/>
    </w:r>
    <w:sdt>
      <w:sdtPr>
        <w:id w:val="680481465"/>
        <w:docPartObj>
          <w:docPartGallery w:val="Page Numbers (Bottom of Page)"/>
          <w:docPartUnique/>
        </w:docPartObj>
      </w:sdtPr>
      <w:sdtEndPr>
        <w:rPr>
          <w:noProof/>
        </w:rPr>
      </w:sdtEndPr>
      <w:sdtContent>
        <w:r w:rsidR="00BE78B1" w:rsidRPr="00624D3A">
          <w:fldChar w:fldCharType="begin"/>
        </w:r>
        <w:r w:rsidR="00BE78B1" w:rsidRPr="00624D3A">
          <w:instrText xml:space="preserve"> PAGE   \* MERGEFORMAT </w:instrText>
        </w:r>
        <w:r w:rsidR="00BE78B1" w:rsidRPr="00624D3A">
          <w:fldChar w:fldCharType="separate"/>
        </w:r>
        <w:r w:rsidR="00EC4070">
          <w:rPr>
            <w:noProof/>
          </w:rPr>
          <w:t>3</w:t>
        </w:r>
        <w:r w:rsidR="00BE78B1" w:rsidRPr="00624D3A">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B1" w:rsidRPr="000C3B01" w:rsidRDefault="00A53F27">
    <w:pPr>
      <w:pStyle w:val="Footer"/>
    </w:pPr>
    <w:r w:rsidRPr="00A53F27">
      <w:rPr>
        <w:noProof/>
        <w:sz w:val="16"/>
      </w:rPr>
      <w:t>C0106659:2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B1" w:rsidRPr="00DE0E8B" w:rsidRDefault="00A53F27" w:rsidP="00DE0E8B">
    <w:pPr>
      <w:pStyle w:val="Footer"/>
    </w:pPr>
    <w:r w:rsidRPr="00A53F27">
      <w:rPr>
        <w:noProof/>
        <w:sz w:val="16"/>
      </w:rPr>
      <w:t>C0106659:2</w:t>
    </w:r>
    <w:r w:rsidR="00BE78B1">
      <w:tab/>
    </w:r>
    <w:sdt>
      <w:sdtPr>
        <w:id w:val="960689563"/>
        <w:docPartObj>
          <w:docPartGallery w:val="Page Numbers (Bottom of Page)"/>
          <w:docPartUnique/>
        </w:docPartObj>
      </w:sdtPr>
      <w:sdtEndPr>
        <w:rPr>
          <w:noProof/>
        </w:rPr>
      </w:sdtEndPr>
      <w:sdtContent>
        <w:r w:rsidR="00BE78B1" w:rsidRPr="00DE0E8B">
          <w:fldChar w:fldCharType="begin"/>
        </w:r>
        <w:r w:rsidR="00BE78B1" w:rsidRPr="00DE0E8B">
          <w:instrText xml:space="preserve"> PAGE   \* MERGEFORMAT </w:instrText>
        </w:r>
        <w:r w:rsidR="00BE78B1" w:rsidRPr="00DE0E8B">
          <w:fldChar w:fldCharType="separate"/>
        </w:r>
        <w:r w:rsidR="00EC4070">
          <w:rPr>
            <w:noProof/>
          </w:rPr>
          <w:t>5</w:t>
        </w:r>
        <w:r w:rsidR="00BE78B1" w:rsidRPr="00DE0E8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63E" w:rsidRDefault="00B4763E" w:rsidP="005456D0">
      <w:pPr>
        <w:rPr>
          <w:noProof/>
        </w:rPr>
      </w:pPr>
      <w:r>
        <w:rPr>
          <w:noProof/>
        </w:rPr>
        <w:separator/>
      </w:r>
    </w:p>
  </w:footnote>
  <w:footnote w:type="continuationSeparator" w:id="0">
    <w:p w:rsidR="00B4763E" w:rsidRDefault="00B4763E" w:rsidP="005456D0">
      <w:r>
        <w:continuationSeparator/>
      </w:r>
    </w:p>
  </w:footnote>
  <w:footnote w:id="1">
    <w:p w:rsidR="00BE78B1" w:rsidRDefault="00BE78B1" w:rsidP="00A7488D">
      <w:pPr>
        <w:pStyle w:val="FootnoteText"/>
        <w:spacing w:after="120"/>
        <w:jc w:val="both"/>
      </w:pPr>
      <w:r>
        <w:rPr>
          <w:rStyle w:val="FootnoteReference"/>
        </w:rPr>
        <w:footnoteRef/>
      </w:r>
      <w:r>
        <w:t xml:space="preserve"> OCC’s complaint regarding the economic development provisions addresses whether customers should be required to “subsidize” the incentives.  Based on its focus on “subsidies,” OCC apparently does not oppose the shareholder supported Economic Development Grant Fund also recommended by the supporting parties.  Stipulation at 10-12.</w:t>
      </w:r>
    </w:p>
  </w:footnote>
  <w:footnote w:id="2">
    <w:p w:rsidR="00BE78B1" w:rsidRDefault="00BE78B1" w:rsidP="00A7488D">
      <w:pPr>
        <w:pStyle w:val="FootnoteText"/>
        <w:jc w:val="both"/>
      </w:pPr>
      <w:r>
        <w:rPr>
          <w:rStyle w:val="FootnoteReference"/>
        </w:rPr>
        <w:footnoteRef/>
      </w:r>
      <w:r>
        <w:t xml:space="preserve"> Although this memorandum addresses only OCC’s third assignment of error, the failure to respond to OCC’s other assignments of error does not indicate support of them.</w:t>
      </w:r>
    </w:p>
  </w:footnote>
  <w:footnote w:id="3">
    <w:p w:rsidR="00BE78B1" w:rsidRDefault="00BE78B1" w:rsidP="00A7488D">
      <w:pPr>
        <w:pStyle w:val="FootnoteText"/>
        <w:spacing w:before="120"/>
        <w:jc w:val="both"/>
      </w:pPr>
      <w:r>
        <w:rPr>
          <w:rStyle w:val="FootnoteReference"/>
        </w:rPr>
        <w:footnoteRef/>
      </w:r>
      <w:r>
        <w:t xml:space="preserve"> Additionally, the Commission noted that the programs would address the joblessness affecting the Dayton area.  </w:t>
      </w:r>
      <w:r w:rsidRPr="000F6B3A">
        <w:rPr>
          <w:i/>
        </w:rPr>
        <w:t>Id.</w:t>
      </w:r>
      <w:r>
        <w:t xml:space="preserve"> at 57.  </w:t>
      </w:r>
    </w:p>
  </w:footnote>
  <w:footnote w:id="4">
    <w:p w:rsidR="00BE78B1" w:rsidRDefault="00BE78B1" w:rsidP="00B725A6">
      <w:pPr>
        <w:pStyle w:val="FootnoteText"/>
        <w:spacing w:after="120"/>
        <w:jc w:val="both"/>
      </w:pPr>
      <w:r>
        <w:rPr>
          <w:rStyle w:val="FootnoteReference"/>
        </w:rPr>
        <w:footnoteRef/>
      </w:r>
      <w:r>
        <w:t xml:space="preserve"> OCC’s position apparently confuses the requirements regarding reasonable arrangements under Commission rules with the requirements for economic development provisions under an electric security plan.  Compare, </w:t>
      </w:r>
      <w:r w:rsidRPr="005A3865">
        <w:rPr>
          <w:i/>
        </w:rPr>
        <w:t>e.g.</w:t>
      </w:r>
      <w:r>
        <w:t>, Rule 4901:1-38-03, OAC, with Rule 4901:1-35-03(C)(9)(h), OAC.</w:t>
      </w:r>
    </w:p>
  </w:footnote>
  <w:footnote w:id="5">
    <w:p w:rsidR="00BE78B1" w:rsidRDefault="00BE78B1" w:rsidP="00847211">
      <w:pPr>
        <w:pStyle w:val="FootnoteText"/>
        <w:jc w:val="both"/>
      </w:pPr>
      <w:r>
        <w:rPr>
          <w:rStyle w:val="FootnoteReference"/>
        </w:rPr>
        <w:footnoteRef/>
      </w:r>
      <w:r>
        <w:t xml:space="preserve"> OCC’s argument is an example of the strawman fallacy.  Having set up as a strawman a faulty legal standard that the Commission must make a finding of “need” or “commitments,” OCC then proceeds to knock down the strawman it created.  For a discussion of the strawman fallacy, see </w:t>
      </w:r>
      <w:r w:rsidRPr="00EC4070">
        <w:t>http://www.fallacyfiles.org/strawman.html</w:t>
      </w:r>
      <w:r>
        <w:t xml:space="preserve"> (“As the ‘straw man’ metaphor suggests, the counterfeit position attacked in a Straw Man argument is typically weaker than the opponent’s actual position, just as a straw man is easier to defeat than a flesh-and-blood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70" w:rsidRDefault="00EC4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70" w:rsidRDefault="00EC4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70" w:rsidRDefault="00EC40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B1" w:rsidRDefault="00BE78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B1" w:rsidRDefault="00BE78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B1" w:rsidRDefault="00BE7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00AF5"/>
    <w:multiLevelType w:val="hybridMultilevel"/>
    <w:tmpl w:val="F49EF8A6"/>
    <w:lvl w:ilvl="0" w:tplc="57D64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56BFC"/>
    <w:multiLevelType w:val="hybridMultilevel"/>
    <w:tmpl w:val="3FEA6F44"/>
    <w:lvl w:ilvl="0" w:tplc="50B0D4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C1C00"/>
    <w:multiLevelType w:val="hybridMultilevel"/>
    <w:tmpl w:val="CA628B92"/>
    <w:lvl w:ilvl="0" w:tplc="04090015">
      <w:start w:val="1"/>
      <w:numFmt w:val="upp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15:restartNumberingAfterBreak="0">
    <w:nsid w:val="6D5C35E3"/>
    <w:multiLevelType w:val="hybridMultilevel"/>
    <w:tmpl w:val="AEEC1E56"/>
    <w:lvl w:ilvl="0" w:tplc="4D8442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81"/>
    <w:rsid w:val="0000292E"/>
    <w:rsid w:val="0000321D"/>
    <w:rsid w:val="00051F79"/>
    <w:rsid w:val="0008223D"/>
    <w:rsid w:val="00094C4C"/>
    <w:rsid w:val="000B1812"/>
    <w:rsid w:val="000D4597"/>
    <w:rsid w:val="000F6B3A"/>
    <w:rsid w:val="001000F2"/>
    <w:rsid w:val="00106E98"/>
    <w:rsid w:val="00120808"/>
    <w:rsid w:val="00132CD8"/>
    <w:rsid w:val="00147C40"/>
    <w:rsid w:val="0019449A"/>
    <w:rsid w:val="001B3ED3"/>
    <w:rsid w:val="001E7D5C"/>
    <w:rsid w:val="00202ABD"/>
    <w:rsid w:val="00205F9B"/>
    <w:rsid w:val="00217E3F"/>
    <w:rsid w:val="00225F53"/>
    <w:rsid w:val="002506F9"/>
    <w:rsid w:val="0026490F"/>
    <w:rsid w:val="002763C4"/>
    <w:rsid w:val="00284798"/>
    <w:rsid w:val="00286F24"/>
    <w:rsid w:val="0029685F"/>
    <w:rsid w:val="002A0724"/>
    <w:rsid w:val="002C0404"/>
    <w:rsid w:val="002C64F5"/>
    <w:rsid w:val="002E126A"/>
    <w:rsid w:val="002E6A7C"/>
    <w:rsid w:val="002E7EC8"/>
    <w:rsid w:val="00314A50"/>
    <w:rsid w:val="00322F02"/>
    <w:rsid w:val="00332F56"/>
    <w:rsid w:val="003414BA"/>
    <w:rsid w:val="00344509"/>
    <w:rsid w:val="0035131C"/>
    <w:rsid w:val="00354137"/>
    <w:rsid w:val="00361ED5"/>
    <w:rsid w:val="003647C4"/>
    <w:rsid w:val="003D66CB"/>
    <w:rsid w:val="003F1C06"/>
    <w:rsid w:val="00403D64"/>
    <w:rsid w:val="0041542D"/>
    <w:rsid w:val="00420238"/>
    <w:rsid w:val="004506D0"/>
    <w:rsid w:val="00477031"/>
    <w:rsid w:val="004C0ED3"/>
    <w:rsid w:val="004E0D40"/>
    <w:rsid w:val="004E677D"/>
    <w:rsid w:val="00505445"/>
    <w:rsid w:val="005456D0"/>
    <w:rsid w:val="00565035"/>
    <w:rsid w:val="00565AD6"/>
    <w:rsid w:val="005729CD"/>
    <w:rsid w:val="005A3865"/>
    <w:rsid w:val="005D1183"/>
    <w:rsid w:val="005E40DF"/>
    <w:rsid w:val="005F35CF"/>
    <w:rsid w:val="006015D8"/>
    <w:rsid w:val="006111DA"/>
    <w:rsid w:val="00612740"/>
    <w:rsid w:val="00617915"/>
    <w:rsid w:val="00624D3A"/>
    <w:rsid w:val="006317EE"/>
    <w:rsid w:val="0065775D"/>
    <w:rsid w:val="00684859"/>
    <w:rsid w:val="00686E75"/>
    <w:rsid w:val="006A7F38"/>
    <w:rsid w:val="006E0176"/>
    <w:rsid w:val="00725D11"/>
    <w:rsid w:val="00734019"/>
    <w:rsid w:val="007379F9"/>
    <w:rsid w:val="00764E1A"/>
    <w:rsid w:val="007A239F"/>
    <w:rsid w:val="007A7A2D"/>
    <w:rsid w:val="007C0A21"/>
    <w:rsid w:val="007C5428"/>
    <w:rsid w:val="007C7AA0"/>
    <w:rsid w:val="007D55B2"/>
    <w:rsid w:val="007D7649"/>
    <w:rsid w:val="007E2BEE"/>
    <w:rsid w:val="00811C3B"/>
    <w:rsid w:val="00847211"/>
    <w:rsid w:val="008472F2"/>
    <w:rsid w:val="00876921"/>
    <w:rsid w:val="0088503B"/>
    <w:rsid w:val="0089159A"/>
    <w:rsid w:val="008C4823"/>
    <w:rsid w:val="008E3BF4"/>
    <w:rsid w:val="008F61D1"/>
    <w:rsid w:val="00961234"/>
    <w:rsid w:val="009844EE"/>
    <w:rsid w:val="009B2341"/>
    <w:rsid w:val="009B74E0"/>
    <w:rsid w:val="009F0680"/>
    <w:rsid w:val="009F3DF6"/>
    <w:rsid w:val="00A234E2"/>
    <w:rsid w:val="00A33655"/>
    <w:rsid w:val="00A41E20"/>
    <w:rsid w:val="00A53F27"/>
    <w:rsid w:val="00A71076"/>
    <w:rsid w:val="00A7488D"/>
    <w:rsid w:val="00AB1146"/>
    <w:rsid w:val="00AB3DDD"/>
    <w:rsid w:val="00AE1A07"/>
    <w:rsid w:val="00AE61D4"/>
    <w:rsid w:val="00AF3763"/>
    <w:rsid w:val="00B265DC"/>
    <w:rsid w:val="00B26604"/>
    <w:rsid w:val="00B360A2"/>
    <w:rsid w:val="00B4763E"/>
    <w:rsid w:val="00B503ED"/>
    <w:rsid w:val="00B569CA"/>
    <w:rsid w:val="00B60BAF"/>
    <w:rsid w:val="00B725A6"/>
    <w:rsid w:val="00B84F09"/>
    <w:rsid w:val="00B870F9"/>
    <w:rsid w:val="00B878B9"/>
    <w:rsid w:val="00BE78B1"/>
    <w:rsid w:val="00BF3AD6"/>
    <w:rsid w:val="00C02770"/>
    <w:rsid w:val="00C0405A"/>
    <w:rsid w:val="00C67F22"/>
    <w:rsid w:val="00C701D2"/>
    <w:rsid w:val="00C73563"/>
    <w:rsid w:val="00C83C26"/>
    <w:rsid w:val="00C87A16"/>
    <w:rsid w:val="00C95C46"/>
    <w:rsid w:val="00CB3543"/>
    <w:rsid w:val="00CD73A5"/>
    <w:rsid w:val="00CE0E0C"/>
    <w:rsid w:val="00CE1C79"/>
    <w:rsid w:val="00D06A1E"/>
    <w:rsid w:val="00D103FD"/>
    <w:rsid w:val="00D43204"/>
    <w:rsid w:val="00D52E06"/>
    <w:rsid w:val="00D530C6"/>
    <w:rsid w:val="00D7590A"/>
    <w:rsid w:val="00DD7EEA"/>
    <w:rsid w:val="00DE0E8B"/>
    <w:rsid w:val="00E10931"/>
    <w:rsid w:val="00E17F2B"/>
    <w:rsid w:val="00E31442"/>
    <w:rsid w:val="00E325FC"/>
    <w:rsid w:val="00E55E5E"/>
    <w:rsid w:val="00E767D5"/>
    <w:rsid w:val="00EC4070"/>
    <w:rsid w:val="00EC4C43"/>
    <w:rsid w:val="00EE230B"/>
    <w:rsid w:val="00EF1678"/>
    <w:rsid w:val="00F02762"/>
    <w:rsid w:val="00F22CC1"/>
    <w:rsid w:val="00F32F15"/>
    <w:rsid w:val="00F34AFA"/>
    <w:rsid w:val="00F668F5"/>
    <w:rsid w:val="00F81EF0"/>
    <w:rsid w:val="00F96569"/>
    <w:rsid w:val="00FB52A4"/>
    <w:rsid w:val="00FD2381"/>
    <w:rsid w:val="00FD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39EEF5-65E7-48DD-BE35-7347204F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A0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56D0"/>
    <w:pPr>
      <w:tabs>
        <w:tab w:val="center" w:pos="4680"/>
        <w:tab w:val="right" w:pos="9360"/>
      </w:tabs>
    </w:pPr>
  </w:style>
  <w:style w:type="character" w:customStyle="1" w:styleId="HeaderChar">
    <w:name w:val="Header Char"/>
    <w:basedOn w:val="DefaultParagraphFont"/>
    <w:link w:val="Header"/>
    <w:rsid w:val="005456D0"/>
  </w:style>
  <w:style w:type="paragraph" w:styleId="Footer">
    <w:name w:val="footer"/>
    <w:basedOn w:val="Normal"/>
    <w:link w:val="FooterChar"/>
    <w:uiPriority w:val="99"/>
    <w:unhideWhenUsed/>
    <w:rsid w:val="005456D0"/>
    <w:pPr>
      <w:tabs>
        <w:tab w:val="center" w:pos="4680"/>
        <w:tab w:val="right" w:pos="9360"/>
      </w:tabs>
    </w:pPr>
  </w:style>
  <w:style w:type="character" w:customStyle="1" w:styleId="FooterChar">
    <w:name w:val="Footer Char"/>
    <w:basedOn w:val="DefaultParagraphFont"/>
    <w:link w:val="Footer"/>
    <w:uiPriority w:val="99"/>
    <w:rsid w:val="005456D0"/>
  </w:style>
  <w:style w:type="paragraph" w:styleId="ListParagraph">
    <w:name w:val="List Paragraph"/>
    <w:basedOn w:val="Normal"/>
    <w:uiPriority w:val="34"/>
    <w:qFormat/>
    <w:rsid w:val="006A7F38"/>
    <w:pPr>
      <w:ind w:left="720"/>
      <w:contextualSpacing/>
    </w:pPr>
  </w:style>
  <w:style w:type="paragraph" w:styleId="FootnoteText">
    <w:name w:val="footnote text"/>
    <w:basedOn w:val="Normal"/>
    <w:link w:val="FootnoteTextChar"/>
    <w:uiPriority w:val="99"/>
    <w:semiHidden/>
    <w:unhideWhenUsed/>
    <w:rsid w:val="00565035"/>
    <w:rPr>
      <w:sz w:val="20"/>
      <w:szCs w:val="20"/>
    </w:rPr>
  </w:style>
  <w:style w:type="character" w:customStyle="1" w:styleId="FootnoteTextChar">
    <w:name w:val="Footnote Text Char"/>
    <w:basedOn w:val="DefaultParagraphFont"/>
    <w:link w:val="FootnoteText"/>
    <w:uiPriority w:val="99"/>
    <w:semiHidden/>
    <w:rsid w:val="00565035"/>
    <w:rPr>
      <w:sz w:val="20"/>
      <w:szCs w:val="20"/>
    </w:rPr>
  </w:style>
  <w:style w:type="character" w:styleId="FootnoteReference">
    <w:name w:val="footnote reference"/>
    <w:basedOn w:val="DefaultParagraphFont"/>
    <w:uiPriority w:val="99"/>
    <w:semiHidden/>
    <w:unhideWhenUsed/>
    <w:rsid w:val="00565035"/>
    <w:rPr>
      <w:vertAlign w:val="superscript"/>
    </w:rPr>
  </w:style>
  <w:style w:type="character" w:customStyle="1" w:styleId="Heading1Char">
    <w:name w:val="Heading 1 Char"/>
    <w:basedOn w:val="DefaultParagraphFont"/>
    <w:link w:val="Heading1"/>
    <w:uiPriority w:val="9"/>
    <w:rsid w:val="00AE1A07"/>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9844EE"/>
    <w:rPr>
      <w:i/>
      <w:iCs/>
    </w:rPr>
  </w:style>
  <w:style w:type="character" w:styleId="Hyperlink">
    <w:name w:val="Hyperlink"/>
    <w:basedOn w:val="DefaultParagraphFont"/>
    <w:uiPriority w:val="99"/>
    <w:unhideWhenUsed/>
    <w:rsid w:val="009844EE"/>
    <w:rPr>
      <w:color w:val="0000FF" w:themeColor="hyperlink"/>
      <w:u w:val="single"/>
    </w:rPr>
  </w:style>
  <w:style w:type="character" w:styleId="UnresolvedMention">
    <w:name w:val="Unresolved Mention"/>
    <w:basedOn w:val="DefaultParagraphFont"/>
    <w:uiPriority w:val="99"/>
    <w:semiHidden/>
    <w:unhideWhenUsed/>
    <w:rsid w:val="009844EE"/>
    <w:rPr>
      <w:color w:val="808080"/>
      <w:shd w:val="clear" w:color="auto" w:fill="E6E6E6"/>
    </w:rPr>
  </w:style>
  <w:style w:type="paragraph" w:styleId="Title">
    <w:name w:val="Title"/>
    <w:basedOn w:val="Normal"/>
    <w:link w:val="TitleChar"/>
    <w:qFormat/>
    <w:rsid w:val="002C0404"/>
    <w:pPr>
      <w:jc w:val="center"/>
    </w:pPr>
    <w:rPr>
      <w:rFonts w:eastAsia="Times New Roman" w:cs="Arial"/>
      <w:b/>
      <w:smallCaps/>
      <w:sz w:val="32"/>
    </w:rPr>
  </w:style>
  <w:style w:type="character" w:customStyle="1" w:styleId="TitleChar">
    <w:name w:val="Title Char"/>
    <w:basedOn w:val="DefaultParagraphFont"/>
    <w:link w:val="Title"/>
    <w:rsid w:val="002C0404"/>
    <w:rPr>
      <w:rFonts w:eastAsia="Times New Roman" w:cs="Arial"/>
      <w:b/>
      <w:smallCaps/>
      <w:sz w:val="32"/>
    </w:rPr>
  </w:style>
  <w:style w:type="paragraph" w:styleId="BodyText">
    <w:name w:val="Body Text"/>
    <w:basedOn w:val="Normal"/>
    <w:link w:val="BodyTextChar"/>
    <w:semiHidden/>
    <w:unhideWhenUsed/>
    <w:rsid w:val="002C0404"/>
    <w:pPr>
      <w:jc w:val="both"/>
    </w:pPr>
    <w:rPr>
      <w:rFonts w:eastAsia="Times New Roman" w:cs="Arial"/>
    </w:rPr>
  </w:style>
  <w:style w:type="character" w:customStyle="1" w:styleId="BodyTextChar">
    <w:name w:val="Body Text Char"/>
    <w:basedOn w:val="DefaultParagraphFont"/>
    <w:link w:val="BodyText"/>
    <w:semiHidden/>
    <w:rsid w:val="002C0404"/>
    <w:rPr>
      <w:rFonts w:eastAsia="Times New Roman" w:cs="Arial"/>
    </w:rPr>
  </w:style>
  <w:style w:type="paragraph" w:styleId="BodyText3">
    <w:name w:val="Body Text 3"/>
    <w:basedOn w:val="Normal"/>
    <w:link w:val="BodyText3Char"/>
    <w:semiHidden/>
    <w:unhideWhenUsed/>
    <w:rsid w:val="002C0404"/>
    <w:rPr>
      <w:rFonts w:ascii="Times New Roman" w:eastAsia="Times New Roman" w:hAnsi="Times New Roman" w:cs="Times New Roman"/>
      <w:b/>
      <w:szCs w:val="20"/>
    </w:rPr>
  </w:style>
  <w:style w:type="character" w:customStyle="1" w:styleId="BodyText3Char">
    <w:name w:val="Body Text 3 Char"/>
    <w:basedOn w:val="DefaultParagraphFont"/>
    <w:link w:val="BodyText3"/>
    <w:semiHidden/>
    <w:rsid w:val="002C0404"/>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08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271223">
      <w:bodyDiv w:val="1"/>
      <w:marLeft w:val="0"/>
      <w:marRight w:val="0"/>
      <w:marTop w:val="0"/>
      <w:marBottom w:val="0"/>
      <w:divBdr>
        <w:top w:val="none" w:sz="0" w:space="0" w:color="auto"/>
        <w:left w:val="none" w:sz="0" w:space="0" w:color="auto"/>
        <w:bottom w:val="none" w:sz="0" w:space="0" w:color="auto"/>
        <w:right w:val="none" w:sz="0" w:space="0" w:color="auto"/>
      </w:divBdr>
    </w:div>
    <w:div w:id="20751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2785</Words>
  <Characters>16159</Characters>
  <Application>Microsoft Office Word</Application>
  <DocSecurity>0</DocSecurity>
  <PresentationFormat/>
  <Lines>646</Lines>
  <Paragraphs>411</Paragraphs>
  <ScaleCrop>false</ScaleCrop>
  <HeadingPairs>
    <vt:vector size="2" baseType="variant">
      <vt:variant>
        <vt:lpstr>Title</vt:lpstr>
      </vt:variant>
      <vt:variant>
        <vt:i4>1</vt:i4>
      </vt:variant>
    </vt:vector>
  </HeadingPairs>
  <TitlesOfParts>
    <vt:vector size="1" baseType="lpstr">
      <vt:lpstr>DPL ESP, Case No 16-395; memo contra OCC application for rehearing (C0106659-2).DOCX</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McDaniel, Jessica</cp:lastModifiedBy>
  <cp:revision>4</cp:revision>
  <cp:lastPrinted>2017-12-01T17:24:00Z</cp:lastPrinted>
  <dcterms:created xsi:type="dcterms:W3CDTF">2017-12-04T19:19:00Z</dcterms:created>
  <dcterms:modified xsi:type="dcterms:W3CDTF">2017-12-04T19:20:00Z</dcterms:modified>
</cp:coreProperties>
</file>