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26EEA" w14:textId="77777777" w:rsidR="00D45FC3" w:rsidRPr="00AF71E9" w:rsidRDefault="00D329B2" w:rsidP="00D45FC3">
      <w:pPr>
        <w:pStyle w:val="HTMLPreformatted"/>
        <w:jc w:val="center"/>
        <w:rPr>
          <w:rFonts w:ascii="Times New Roman" w:hAnsi="Times New Roman" w:cs="Times New Roman"/>
          <w:b/>
          <w:bCs/>
          <w:sz w:val="24"/>
          <w:szCs w:val="24"/>
        </w:rPr>
      </w:pPr>
      <w:r w:rsidRPr="00AF71E9">
        <w:rPr>
          <w:rFonts w:ascii="Times New Roman" w:hAnsi="Times New Roman" w:cs="Times New Roman"/>
          <w:b/>
          <w:bCs/>
          <w:sz w:val="24"/>
          <w:szCs w:val="24"/>
        </w:rPr>
        <w:t>BEFORE</w:t>
      </w:r>
    </w:p>
    <w:p w14:paraId="0635DCBB" w14:textId="77777777" w:rsidR="00D45FC3" w:rsidRPr="00AF71E9" w:rsidRDefault="00D329B2" w:rsidP="00D45FC3">
      <w:pPr>
        <w:pStyle w:val="HTMLPreformatted"/>
        <w:jc w:val="center"/>
        <w:rPr>
          <w:rFonts w:ascii="Times New Roman" w:hAnsi="Times New Roman" w:cs="Times New Roman"/>
          <w:sz w:val="24"/>
          <w:szCs w:val="24"/>
        </w:rPr>
      </w:pPr>
      <w:r w:rsidRPr="00AF71E9">
        <w:rPr>
          <w:rFonts w:ascii="Times New Roman" w:hAnsi="Times New Roman" w:cs="Times New Roman"/>
          <w:b/>
          <w:bCs/>
          <w:sz w:val="24"/>
          <w:szCs w:val="24"/>
        </w:rPr>
        <w:t>THE PUBLIC UTILITIES COMMISSION OF OHIO</w:t>
      </w:r>
    </w:p>
    <w:p w14:paraId="5B61A914" w14:textId="77777777" w:rsidR="00D45FC3" w:rsidRPr="00AF71E9" w:rsidRDefault="00D45FC3" w:rsidP="00D45FC3">
      <w:pPr>
        <w:pStyle w:val="HTMLPreformatted"/>
        <w:rPr>
          <w:rFonts w:ascii="Times New Roman" w:hAnsi="Times New Roman" w:cs="Times New Roman"/>
          <w:sz w:val="24"/>
          <w:szCs w:val="24"/>
        </w:rPr>
      </w:pPr>
    </w:p>
    <w:tbl>
      <w:tblPr>
        <w:tblW w:w="9092" w:type="dxa"/>
        <w:tblLook w:val="01E0" w:firstRow="1" w:lastRow="1" w:firstColumn="1" w:lastColumn="1" w:noHBand="0" w:noVBand="0"/>
      </w:tblPr>
      <w:tblGrid>
        <w:gridCol w:w="4332"/>
        <w:gridCol w:w="360"/>
        <w:gridCol w:w="4400"/>
      </w:tblGrid>
      <w:tr w:rsidR="00875EB6" w14:paraId="2FBFD7DA" w14:textId="77777777" w:rsidTr="00D03FEC">
        <w:trPr>
          <w:trHeight w:val="807"/>
        </w:trPr>
        <w:tc>
          <w:tcPr>
            <w:tcW w:w="4332" w:type="dxa"/>
            <w:shd w:val="clear" w:color="auto" w:fill="auto"/>
          </w:tcPr>
          <w:p w14:paraId="4CA0587B" w14:textId="77777777" w:rsidR="00D45FC3" w:rsidRPr="00AF71E9" w:rsidRDefault="00D329B2" w:rsidP="00D03FEC">
            <w:pPr>
              <w:pStyle w:val="HTMLPreformatted"/>
              <w:rPr>
                <w:rFonts w:ascii="Times New Roman" w:hAnsi="Times New Roman" w:cs="Times New Roman"/>
                <w:sz w:val="24"/>
                <w:szCs w:val="24"/>
              </w:rPr>
            </w:pPr>
            <w:r w:rsidRPr="00AF71E9">
              <w:rPr>
                <w:rFonts w:ascii="Times New Roman" w:hAnsi="Times New Roman" w:cs="Times New Roman"/>
                <w:sz w:val="24"/>
                <w:szCs w:val="24"/>
              </w:rPr>
              <w:t xml:space="preserve">In the Matter of the Application of Columbia Gas of Ohio, Inc. for Approval to Change Accounting Methods. </w:t>
            </w:r>
          </w:p>
        </w:tc>
        <w:tc>
          <w:tcPr>
            <w:tcW w:w="360" w:type="dxa"/>
            <w:shd w:val="clear" w:color="auto" w:fill="auto"/>
          </w:tcPr>
          <w:p w14:paraId="3E6F35F5" w14:textId="77777777" w:rsidR="00D45FC3" w:rsidRPr="00AF71E9" w:rsidRDefault="00D329B2" w:rsidP="00D03FEC">
            <w:pPr>
              <w:pStyle w:val="HTMLPreformatted"/>
              <w:rPr>
                <w:rFonts w:ascii="Times New Roman" w:hAnsi="Times New Roman" w:cs="Times New Roman"/>
                <w:sz w:val="24"/>
                <w:szCs w:val="24"/>
              </w:rPr>
            </w:pPr>
            <w:r w:rsidRPr="00AF71E9">
              <w:rPr>
                <w:rFonts w:ascii="Times New Roman" w:hAnsi="Times New Roman" w:cs="Times New Roman"/>
                <w:sz w:val="24"/>
                <w:szCs w:val="24"/>
              </w:rPr>
              <w:t>)</w:t>
            </w:r>
          </w:p>
          <w:p w14:paraId="4B75D896" w14:textId="77777777" w:rsidR="00D45FC3" w:rsidRPr="00AF71E9" w:rsidRDefault="00D329B2" w:rsidP="00D03FEC">
            <w:pPr>
              <w:pStyle w:val="HTMLPreformatted"/>
              <w:rPr>
                <w:rFonts w:ascii="Times New Roman" w:hAnsi="Times New Roman" w:cs="Times New Roman"/>
                <w:sz w:val="24"/>
                <w:szCs w:val="24"/>
              </w:rPr>
            </w:pPr>
            <w:r w:rsidRPr="00AF71E9">
              <w:rPr>
                <w:rFonts w:ascii="Times New Roman" w:hAnsi="Times New Roman" w:cs="Times New Roman"/>
                <w:sz w:val="24"/>
                <w:szCs w:val="24"/>
              </w:rPr>
              <w:t>)</w:t>
            </w:r>
          </w:p>
          <w:p w14:paraId="0302D181" w14:textId="77777777" w:rsidR="00D45FC3" w:rsidRPr="00AF71E9" w:rsidRDefault="00D329B2" w:rsidP="00D03FEC">
            <w:pPr>
              <w:pStyle w:val="HTMLPreformatted"/>
              <w:rPr>
                <w:rFonts w:ascii="Times New Roman" w:hAnsi="Times New Roman" w:cs="Times New Roman"/>
                <w:sz w:val="24"/>
                <w:szCs w:val="24"/>
              </w:rPr>
            </w:pPr>
            <w:r w:rsidRPr="00AF71E9">
              <w:rPr>
                <w:rFonts w:ascii="Times New Roman" w:hAnsi="Times New Roman" w:cs="Times New Roman"/>
                <w:sz w:val="24"/>
                <w:szCs w:val="24"/>
              </w:rPr>
              <w:t>)</w:t>
            </w:r>
          </w:p>
        </w:tc>
        <w:tc>
          <w:tcPr>
            <w:tcW w:w="4400" w:type="dxa"/>
            <w:shd w:val="clear" w:color="auto" w:fill="auto"/>
          </w:tcPr>
          <w:p w14:paraId="1E2C01A1" w14:textId="77777777" w:rsidR="00D45FC3" w:rsidRPr="00AF71E9" w:rsidRDefault="00D45FC3" w:rsidP="00D03FEC">
            <w:pPr>
              <w:pStyle w:val="HTMLPreformatted"/>
              <w:rPr>
                <w:rFonts w:ascii="Times New Roman" w:hAnsi="Times New Roman" w:cs="Times New Roman"/>
                <w:sz w:val="24"/>
                <w:szCs w:val="24"/>
              </w:rPr>
            </w:pPr>
          </w:p>
          <w:p w14:paraId="19474713" w14:textId="77777777" w:rsidR="00D45FC3" w:rsidRPr="00AF71E9" w:rsidRDefault="00D329B2" w:rsidP="00D03FEC">
            <w:pPr>
              <w:pStyle w:val="HTMLPreformatted"/>
              <w:rPr>
                <w:rFonts w:ascii="Times New Roman" w:hAnsi="Times New Roman" w:cs="Times New Roman"/>
                <w:sz w:val="24"/>
                <w:szCs w:val="24"/>
              </w:rPr>
            </w:pPr>
            <w:r w:rsidRPr="00AF71E9">
              <w:rPr>
                <w:rFonts w:ascii="Times New Roman" w:hAnsi="Times New Roman" w:cs="Times New Roman"/>
                <w:sz w:val="24"/>
                <w:szCs w:val="24"/>
              </w:rPr>
              <w:t>Case No. 14-1615-GA-AAM</w:t>
            </w:r>
          </w:p>
          <w:p w14:paraId="5E7E5641" w14:textId="77777777" w:rsidR="00D45FC3" w:rsidRPr="00AF71E9" w:rsidRDefault="00D45FC3" w:rsidP="00D03FEC">
            <w:pPr>
              <w:pStyle w:val="HTMLPreformatted"/>
              <w:rPr>
                <w:rFonts w:ascii="Times New Roman" w:hAnsi="Times New Roman" w:cs="Times New Roman"/>
                <w:sz w:val="24"/>
                <w:szCs w:val="24"/>
              </w:rPr>
            </w:pPr>
          </w:p>
        </w:tc>
      </w:tr>
    </w:tbl>
    <w:p w14:paraId="6DC890AC" w14:textId="77777777" w:rsidR="00D45FC3" w:rsidRPr="00AF71E9" w:rsidRDefault="00D45FC3" w:rsidP="00D45FC3">
      <w:pPr>
        <w:pBdr>
          <w:bottom w:val="single" w:sz="12" w:space="1" w:color="auto"/>
        </w:pBdr>
        <w:jc w:val="center"/>
        <w:rPr>
          <w:b/>
          <w:szCs w:val="24"/>
        </w:rPr>
      </w:pPr>
    </w:p>
    <w:p w14:paraId="42630574" w14:textId="77777777" w:rsidR="00D45FC3" w:rsidRPr="00AF71E9" w:rsidRDefault="00D45FC3" w:rsidP="00D45FC3">
      <w:pPr>
        <w:jc w:val="center"/>
        <w:rPr>
          <w:b/>
          <w:szCs w:val="24"/>
        </w:rPr>
      </w:pPr>
    </w:p>
    <w:p w14:paraId="0673015A" w14:textId="123E95BE" w:rsidR="000D0302" w:rsidRDefault="00D329B2" w:rsidP="00D45FC3">
      <w:pPr>
        <w:jc w:val="center"/>
        <w:rPr>
          <w:b/>
          <w:szCs w:val="24"/>
        </w:rPr>
      </w:pPr>
      <w:r>
        <w:rPr>
          <w:b/>
          <w:szCs w:val="24"/>
        </w:rPr>
        <w:t>CONSUMER PROTECTION</w:t>
      </w:r>
      <w:r w:rsidR="00D45FC3" w:rsidRPr="00AF71E9">
        <w:rPr>
          <w:b/>
          <w:szCs w:val="24"/>
        </w:rPr>
        <w:t xml:space="preserve"> COMMENTS</w:t>
      </w:r>
      <w:r w:rsidR="00EF5130">
        <w:rPr>
          <w:b/>
          <w:szCs w:val="24"/>
        </w:rPr>
        <w:t xml:space="preserve"> </w:t>
      </w:r>
      <w:r w:rsidR="00E00D0C">
        <w:rPr>
          <w:b/>
          <w:szCs w:val="24"/>
        </w:rPr>
        <w:t xml:space="preserve">REGARDING </w:t>
      </w:r>
      <w:r>
        <w:rPr>
          <w:b/>
          <w:szCs w:val="24"/>
        </w:rPr>
        <w:t>COLUMBIA</w:t>
      </w:r>
      <w:r w:rsidR="00E00D0C">
        <w:rPr>
          <w:b/>
          <w:szCs w:val="24"/>
        </w:rPr>
        <w:t>’S PIPELINE SAFETY PROGRAM EXPENSES</w:t>
      </w:r>
      <w:r>
        <w:rPr>
          <w:b/>
          <w:szCs w:val="24"/>
        </w:rPr>
        <w:t xml:space="preserve"> </w:t>
      </w:r>
    </w:p>
    <w:p w14:paraId="67710A14" w14:textId="77777777" w:rsidR="00D45FC3" w:rsidRPr="00AF71E9" w:rsidRDefault="00D329B2" w:rsidP="00D45FC3">
      <w:pPr>
        <w:jc w:val="center"/>
        <w:rPr>
          <w:b/>
          <w:szCs w:val="24"/>
        </w:rPr>
      </w:pPr>
      <w:r w:rsidRPr="00AF71E9">
        <w:rPr>
          <w:b/>
          <w:szCs w:val="24"/>
        </w:rPr>
        <w:t>BY</w:t>
      </w:r>
    </w:p>
    <w:p w14:paraId="769C884A" w14:textId="77777777" w:rsidR="00D45FC3" w:rsidRPr="00AF71E9" w:rsidRDefault="00D329B2" w:rsidP="00D45FC3">
      <w:pPr>
        <w:jc w:val="center"/>
        <w:rPr>
          <w:b/>
          <w:szCs w:val="24"/>
        </w:rPr>
      </w:pPr>
      <w:r w:rsidRPr="00AF71E9">
        <w:rPr>
          <w:b/>
          <w:szCs w:val="24"/>
        </w:rPr>
        <w:t>THE OFFICE OF THE OHIO CONSUMERS’ COUNSEL</w:t>
      </w:r>
    </w:p>
    <w:p w14:paraId="6E2575B7" w14:textId="77777777" w:rsidR="00D45FC3" w:rsidRPr="00AF71E9" w:rsidRDefault="00D45FC3" w:rsidP="00D45FC3">
      <w:pPr>
        <w:pBdr>
          <w:bottom w:val="single" w:sz="12" w:space="1" w:color="auto"/>
        </w:pBdr>
        <w:jc w:val="center"/>
        <w:rPr>
          <w:b/>
          <w:szCs w:val="24"/>
        </w:rPr>
      </w:pPr>
    </w:p>
    <w:p w14:paraId="2E21F0FB" w14:textId="77777777" w:rsidR="00D45FC3" w:rsidRPr="00AF71E9" w:rsidRDefault="00D45FC3" w:rsidP="00D45FC3">
      <w:pPr>
        <w:pStyle w:val="BodyTextIndent3"/>
        <w:widowControl w:val="0"/>
        <w:spacing w:line="480" w:lineRule="auto"/>
        <w:ind w:right="-672" w:firstLine="0"/>
        <w:rPr>
          <w:szCs w:val="24"/>
        </w:rPr>
      </w:pPr>
    </w:p>
    <w:p w14:paraId="67269EA1" w14:textId="77777777" w:rsidR="00D45FC3" w:rsidRPr="00AF71E9" w:rsidRDefault="00D329B2" w:rsidP="00D45FC3">
      <w:pPr>
        <w:pStyle w:val="Heading1"/>
      </w:pPr>
      <w:bookmarkStart w:id="0" w:name="_Toc403985584"/>
      <w:r w:rsidRPr="00AF71E9">
        <w:t>I.</w:t>
      </w:r>
      <w:r w:rsidRPr="00AF71E9">
        <w:tab/>
        <w:t>INTRODUCTION</w:t>
      </w:r>
      <w:bookmarkEnd w:id="0"/>
    </w:p>
    <w:p w14:paraId="76258534" w14:textId="7CD1448C" w:rsidR="00855775" w:rsidRDefault="00D329B2" w:rsidP="00E00D0C">
      <w:pPr>
        <w:pStyle w:val="BodyTextIndent3"/>
        <w:widowControl w:val="0"/>
        <w:spacing w:line="480" w:lineRule="auto"/>
        <w:rPr>
          <w:szCs w:val="24"/>
        </w:rPr>
      </w:pPr>
      <w:r>
        <w:rPr>
          <w:szCs w:val="24"/>
        </w:rPr>
        <w:t xml:space="preserve">OCC’s consumer protection comments concern </w:t>
      </w:r>
      <w:r w:rsidR="007A35DB">
        <w:rPr>
          <w:szCs w:val="24"/>
        </w:rPr>
        <w:t>Columbia Gas of Ohio</w:t>
      </w:r>
      <w:r>
        <w:rPr>
          <w:szCs w:val="24"/>
        </w:rPr>
        <w:t>’s (“Columbia”) Annual Report regarding its Pipeline Safety Program (“PSP”). Columbia</w:t>
      </w:r>
      <w:r w:rsidR="007A35DB">
        <w:rPr>
          <w:szCs w:val="24"/>
        </w:rPr>
        <w:t xml:space="preserve"> seeks to </w:t>
      </w:r>
      <w:r w:rsidR="004D5FC8">
        <w:rPr>
          <w:szCs w:val="24"/>
        </w:rPr>
        <w:t xml:space="preserve">defer </w:t>
      </w:r>
      <w:r w:rsidR="00047C74">
        <w:rPr>
          <w:szCs w:val="24"/>
        </w:rPr>
        <w:t xml:space="preserve">a higher amount of </w:t>
      </w:r>
      <w:r w:rsidR="004D5FC8">
        <w:rPr>
          <w:szCs w:val="24"/>
        </w:rPr>
        <w:t>expenses</w:t>
      </w:r>
      <w:r>
        <w:rPr>
          <w:szCs w:val="24"/>
        </w:rPr>
        <w:t xml:space="preserve"> for the PSP</w:t>
      </w:r>
      <w:r w:rsidR="006140C3">
        <w:rPr>
          <w:szCs w:val="24"/>
        </w:rPr>
        <w:t xml:space="preserve"> than it is entitled to</w:t>
      </w:r>
      <w:r w:rsidR="00047C74">
        <w:rPr>
          <w:szCs w:val="24"/>
        </w:rPr>
        <w:t xml:space="preserve"> – nearly $4 million</w:t>
      </w:r>
      <w:r>
        <w:rPr>
          <w:szCs w:val="24"/>
        </w:rPr>
        <w:t xml:space="preserve"> </w:t>
      </w:r>
      <w:r w:rsidR="00E561BA">
        <w:rPr>
          <w:szCs w:val="24"/>
        </w:rPr>
        <w:t xml:space="preserve">– </w:t>
      </w:r>
      <w:r w:rsidR="00212842">
        <w:rPr>
          <w:szCs w:val="24"/>
        </w:rPr>
        <w:t>potentially chargeable</w:t>
      </w:r>
      <w:r w:rsidR="006140C3">
        <w:rPr>
          <w:szCs w:val="24"/>
        </w:rPr>
        <w:t xml:space="preserve"> to consumers</w:t>
      </w:r>
      <w:r>
        <w:rPr>
          <w:szCs w:val="24"/>
        </w:rPr>
        <w:t>.</w:t>
      </w:r>
      <w:r>
        <w:rPr>
          <w:rStyle w:val="FootnoteReference"/>
          <w:szCs w:val="24"/>
        </w:rPr>
        <w:footnoteReference w:id="1"/>
      </w:r>
      <w:r w:rsidR="008664DB">
        <w:rPr>
          <w:szCs w:val="24"/>
        </w:rPr>
        <w:t xml:space="preserve"> </w:t>
      </w:r>
      <w:r>
        <w:rPr>
          <w:szCs w:val="24"/>
        </w:rPr>
        <w:t>Deferrals mean that the utility is booking an expense but seeking to collect it later – from consumers. T</w:t>
      </w:r>
      <w:r w:rsidR="007A35DB">
        <w:rPr>
          <w:szCs w:val="24"/>
        </w:rPr>
        <w:t xml:space="preserve">he PUCO Staff </w:t>
      </w:r>
      <w:r>
        <w:rPr>
          <w:szCs w:val="24"/>
        </w:rPr>
        <w:t xml:space="preserve">wisely </w:t>
      </w:r>
      <w:r w:rsidR="007A35DB">
        <w:rPr>
          <w:szCs w:val="24"/>
        </w:rPr>
        <w:t xml:space="preserve">recommended </w:t>
      </w:r>
      <w:r>
        <w:rPr>
          <w:szCs w:val="24"/>
        </w:rPr>
        <w:t>against allowing Columbia to defer these additional expenses.</w:t>
      </w:r>
      <w:r w:rsidR="008664DB">
        <w:rPr>
          <w:szCs w:val="24"/>
        </w:rPr>
        <w:t xml:space="preserve"> </w:t>
      </w:r>
      <w:r>
        <w:rPr>
          <w:szCs w:val="24"/>
        </w:rPr>
        <w:t>OCC agrees.</w:t>
      </w:r>
      <w:r w:rsidR="008664DB">
        <w:rPr>
          <w:szCs w:val="24"/>
        </w:rPr>
        <w:t xml:space="preserve"> </w:t>
      </w:r>
      <w:r>
        <w:rPr>
          <w:szCs w:val="24"/>
        </w:rPr>
        <w:t>C</w:t>
      </w:r>
      <w:r w:rsidR="002C2320">
        <w:rPr>
          <w:szCs w:val="24"/>
        </w:rPr>
        <w:t xml:space="preserve">onsumers should be protected from such </w:t>
      </w:r>
      <w:r w:rsidR="00212842">
        <w:rPr>
          <w:szCs w:val="24"/>
        </w:rPr>
        <w:t xml:space="preserve">potential </w:t>
      </w:r>
      <w:r w:rsidR="00047C74">
        <w:rPr>
          <w:szCs w:val="24"/>
        </w:rPr>
        <w:t xml:space="preserve">future </w:t>
      </w:r>
      <w:r w:rsidR="002C2320">
        <w:rPr>
          <w:szCs w:val="24"/>
        </w:rPr>
        <w:t>overcharges.</w:t>
      </w:r>
      <w:r>
        <w:rPr>
          <w:rStyle w:val="FootnoteReference"/>
          <w:szCs w:val="24"/>
        </w:rPr>
        <w:footnoteReference w:id="2"/>
      </w:r>
      <w:r w:rsidR="002C2320">
        <w:rPr>
          <w:szCs w:val="24"/>
        </w:rPr>
        <w:t xml:space="preserve"> </w:t>
      </w:r>
    </w:p>
    <w:p w14:paraId="5890C1C9" w14:textId="7FEBF597" w:rsidR="002C2320" w:rsidRDefault="00D329B2" w:rsidP="00E00D0C">
      <w:pPr>
        <w:pStyle w:val="BodyTextIndent3"/>
        <w:widowControl w:val="0"/>
        <w:spacing w:line="480" w:lineRule="auto"/>
        <w:rPr>
          <w:szCs w:val="24"/>
        </w:rPr>
      </w:pPr>
      <w:r>
        <w:rPr>
          <w:szCs w:val="24"/>
        </w:rPr>
        <w:t>Allowing the deferrals sends the wrong signal to Columbia.</w:t>
      </w:r>
      <w:r w:rsidR="008664DB">
        <w:rPr>
          <w:szCs w:val="24"/>
        </w:rPr>
        <w:t xml:space="preserve"> </w:t>
      </w:r>
      <w:r>
        <w:rPr>
          <w:szCs w:val="24"/>
        </w:rPr>
        <w:t>Deferrals are, as the Court has recognized, a “prelude” to recovery.</w:t>
      </w:r>
      <w:r>
        <w:rPr>
          <w:rStyle w:val="FootnoteReference"/>
          <w:szCs w:val="24"/>
        </w:rPr>
        <w:footnoteReference w:id="3"/>
      </w:r>
      <w:r>
        <w:rPr>
          <w:szCs w:val="24"/>
        </w:rPr>
        <w:t xml:space="preserve"> There should be no recovery of these expenses from consumers.</w:t>
      </w:r>
      <w:r w:rsidR="008664DB">
        <w:rPr>
          <w:szCs w:val="24"/>
        </w:rPr>
        <w:t xml:space="preserve"> </w:t>
      </w:r>
    </w:p>
    <w:p w14:paraId="351A4508" w14:textId="77777777" w:rsidR="008664DB" w:rsidRDefault="00D329B2">
      <w:pPr>
        <w:spacing w:after="200" w:line="276" w:lineRule="auto"/>
        <w:rPr>
          <w:b/>
          <w:bCs/>
          <w:szCs w:val="24"/>
        </w:rPr>
      </w:pPr>
      <w:r>
        <w:rPr>
          <w:b/>
          <w:bCs/>
          <w:szCs w:val="24"/>
        </w:rPr>
        <w:br w:type="page"/>
      </w:r>
    </w:p>
    <w:p w14:paraId="194DE7B3" w14:textId="706D887E" w:rsidR="00DA1ED5" w:rsidRDefault="00D329B2" w:rsidP="002C2320">
      <w:pPr>
        <w:pStyle w:val="BodyTextIndent3"/>
        <w:widowControl w:val="0"/>
        <w:spacing w:line="480" w:lineRule="auto"/>
        <w:ind w:firstLine="0"/>
        <w:rPr>
          <w:b/>
          <w:bCs/>
          <w:szCs w:val="24"/>
        </w:rPr>
      </w:pPr>
      <w:r>
        <w:rPr>
          <w:b/>
          <w:bCs/>
          <w:szCs w:val="24"/>
        </w:rPr>
        <w:lastRenderedPageBreak/>
        <w:t>II.</w:t>
      </w:r>
      <w:r>
        <w:rPr>
          <w:b/>
          <w:bCs/>
          <w:szCs w:val="24"/>
        </w:rPr>
        <w:tab/>
        <w:t>BACKGROUND</w:t>
      </w:r>
    </w:p>
    <w:p w14:paraId="5928CAD4" w14:textId="5D0E7491" w:rsidR="00D45FC3" w:rsidRPr="00DA1ED5" w:rsidRDefault="00D329B2" w:rsidP="00DA1ED5">
      <w:pPr>
        <w:pStyle w:val="BodyTextIndent3"/>
        <w:widowControl w:val="0"/>
        <w:spacing w:line="480" w:lineRule="auto"/>
        <w:rPr>
          <w:b/>
          <w:bCs/>
          <w:szCs w:val="24"/>
        </w:rPr>
      </w:pPr>
      <w:r>
        <w:rPr>
          <w:szCs w:val="24"/>
        </w:rPr>
        <w:t>In 2014, t</w:t>
      </w:r>
      <w:r w:rsidR="00DA1ED5">
        <w:rPr>
          <w:szCs w:val="24"/>
        </w:rPr>
        <w:t>he PUCO</w:t>
      </w:r>
      <w:r w:rsidR="00DA1ED5" w:rsidRPr="0044196D">
        <w:rPr>
          <w:szCs w:val="24"/>
        </w:rPr>
        <w:t xml:space="preserve"> </w:t>
      </w:r>
      <w:r w:rsidR="00DA1ED5">
        <w:rPr>
          <w:szCs w:val="24"/>
        </w:rPr>
        <w:t>authorized Columbia to</w:t>
      </w:r>
      <w:r w:rsidR="00DA1ED5" w:rsidRPr="0044196D">
        <w:rPr>
          <w:szCs w:val="24"/>
        </w:rPr>
        <w:t xml:space="preserve"> establish a regulatory asset to defer up to $15 million annually </w:t>
      </w:r>
      <w:r w:rsidR="00DA1ED5">
        <w:rPr>
          <w:szCs w:val="24"/>
        </w:rPr>
        <w:t xml:space="preserve">for PSP </w:t>
      </w:r>
      <w:r w:rsidR="004D5FC8">
        <w:rPr>
          <w:szCs w:val="24"/>
        </w:rPr>
        <w:t>expenses</w:t>
      </w:r>
      <w:r w:rsidR="00DA1ED5" w:rsidRPr="0044196D">
        <w:rPr>
          <w:szCs w:val="24"/>
        </w:rPr>
        <w:t>.</w:t>
      </w:r>
      <w:r>
        <w:rPr>
          <w:rStyle w:val="FootnoteReference"/>
          <w:szCs w:val="24"/>
        </w:rPr>
        <w:footnoteReference w:id="4"/>
      </w:r>
      <w:r w:rsidR="0044196D">
        <w:rPr>
          <w:szCs w:val="24"/>
        </w:rPr>
        <w:t xml:space="preserve"> </w:t>
      </w:r>
      <w:r w:rsidR="00DA1ED5">
        <w:rPr>
          <w:szCs w:val="24"/>
        </w:rPr>
        <w:t>Thereafter</w:t>
      </w:r>
      <w:r w:rsidR="00DC25BD">
        <w:rPr>
          <w:szCs w:val="24"/>
        </w:rPr>
        <w:t>, the PUCO</w:t>
      </w:r>
      <w:r w:rsidR="0044196D" w:rsidRPr="0044196D">
        <w:rPr>
          <w:szCs w:val="24"/>
        </w:rPr>
        <w:t xml:space="preserve"> approved</w:t>
      </w:r>
      <w:r w:rsidR="00DA1ED5">
        <w:rPr>
          <w:szCs w:val="24"/>
        </w:rPr>
        <w:t xml:space="preserve"> additional</w:t>
      </w:r>
      <w:r w:rsidR="0044196D" w:rsidRPr="0044196D">
        <w:rPr>
          <w:szCs w:val="24"/>
        </w:rPr>
        <w:t xml:space="preserve"> PSP</w:t>
      </w:r>
      <w:r w:rsidR="00DC25BD">
        <w:rPr>
          <w:szCs w:val="24"/>
        </w:rPr>
        <w:t xml:space="preserve"> deferral</w:t>
      </w:r>
      <w:r w:rsidR="0044196D" w:rsidRPr="0044196D">
        <w:rPr>
          <w:szCs w:val="24"/>
        </w:rPr>
        <w:t xml:space="preserve"> </w:t>
      </w:r>
      <w:r w:rsidR="00DA1ED5">
        <w:rPr>
          <w:szCs w:val="24"/>
        </w:rPr>
        <w:t>authority for</w:t>
      </w:r>
      <w:r w:rsidR="0044196D" w:rsidRPr="0044196D">
        <w:rPr>
          <w:szCs w:val="24"/>
        </w:rPr>
        <w:t xml:space="preserve"> $10 million</w:t>
      </w:r>
      <w:r w:rsidR="00DC25BD">
        <w:rPr>
          <w:szCs w:val="24"/>
        </w:rPr>
        <w:t xml:space="preserve"> (</w:t>
      </w:r>
      <w:r w:rsidR="0044196D" w:rsidRPr="0044196D">
        <w:rPr>
          <w:szCs w:val="24"/>
        </w:rPr>
        <w:t>$25 million annually</w:t>
      </w:r>
      <w:r w:rsidR="00DC25BD">
        <w:rPr>
          <w:szCs w:val="24"/>
        </w:rPr>
        <w:t>)</w:t>
      </w:r>
      <w:r w:rsidR="0044196D" w:rsidRPr="0044196D">
        <w:rPr>
          <w:szCs w:val="24"/>
        </w:rPr>
        <w:t>.</w:t>
      </w:r>
      <w:r>
        <w:rPr>
          <w:rStyle w:val="FootnoteReference"/>
          <w:szCs w:val="24"/>
        </w:rPr>
        <w:footnoteReference w:id="5"/>
      </w:r>
      <w:r>
        <w:rPr>
          <w:szCs w:val="24"/>
        </w:rPr>
        <w:t xml:space="preserve"> </w:t>
      </w:r>
      <w:r w:rsidR="00EB7C6E" w:rsidRPr="0044196D">
        <w:rPr>
          <w:szCs w:val="24"/>
        </w:rPr>
        <w:t>On May 30, 2024, Columbia filed its annual PSP report detailing expenses deferred from January 1, 2023 through December 31, 2023.</w:t>
      </w:r>
      <w:r>
        <w:rPr>
          <w:rStyle w:val="FootnoteReference"/>
          <w:szCs w:val="24"/>
        </w:rPr>
        <w:footnoteReference w:id="6"/>
      </w:r>
      <w:r w:rsidR="00EB7C6E" w:rsidRPr="0044196D">
        <w:rPr>
          <w:szCs w:val="24"/>
        </w:rPr>
        <w:t xml:space="preserve"> </w:t>
      </w:r>
    </w:p>
    <w:p w14:paraId="3495E63B" w14:textId="2996D8D1" w:rsidR="0044196D" w:rsidRDefault="00D329B2" w:rsidP="00D45FC3">
      <w:pPr>
        <w:pStyle w:val="BodyTextIndent3"/>
        <w:widowControl w:val="0"/>
        <w:spacing w:line="480" w:lineRule="auto"/>
        <w:rPr>
          <w:szCs w:val="24"/>
        </w:rPr>
      </w:pPr>
      <w:r w:rsidRPr="0044196D">
        <w:rPr>
          <w:szCs w:val="24"/>
        </w:rPr>
        <w:t xml:space="preserve">On June 30, 2021, Columbia filed a rate case </w:t>
      </w:r>
      <w:r w:rsidR="00614EB6">
        <w:rPr>
          <w:szCs w:val="24"/>
        </w:rPr>
        <w:t>application seeking</w:t>
      </w:r>
      <w:r w:rsidR="002E3203">
        <w:rPr>
          <w:szCs w:val="24"/>
        </w:rPr>
        <w:t>, among other things,</w:t>
      </w:r>
      <w:r w:rsidR="00614EB6">
        <w:rPr>
          <w:szCs w:val="24"/>
        </w:rPr>
        <w:t xml:space="preserve"> to</w:t>
      </w:r>
      <w:r w:rsidRPr="0044196D">
        <w:rPr>
          <w:szCs w:val="24"/>
        </w:rPr>
        <w:t xml:space="preserve"> recover the deferred PSP amounts from January 1, 2015 through March 31, 2021.</w:t>
      </w:r>
      <w:r>
        <w:rPr>
          <w:rStyle w:val="FootnoteReference"/>
          <w:szCs w:val="24"/>
        </w:rPr>
        <w:footnoteReference w:id="7"/>
      </w:r>
      <w:r w:rsidRPr="0044196D">
        <w:rPr>
          <w:szCs w:val="24"/>
        </w:rPr>
        <w:t xml:space="preserve"> </w:t>
      </w:r>
      <w:r w:rsidR="00E561BA">
        <w:rPr>
          <w:szCs w:val="24"/>
        </w:rPr>
        <w:t>Columbia’s 2021 rate case was resolved by a multi-party settlement that OCC signed</w:t>
      </w:r>
      <w:r w:rsidR="00DA1ED5">
        <w:rPr>
          <w:szCs w:val="24"/>
        </w:rPr>
        <w:t>.</w:t>
      </w:r>
      <w:r>
        <w:rPr>
          <w:rStyle w:val="FootnoteReference"/>
          <w:szCs w:val="24"/>
        </w:rPr>
        <w:footnoteReference w:id="8"/>
      </w:r>
      <w:r w:rsidRPr="0044196D">
        <w:rPr>
          <w:szCs w:val="24"/>
        </w:rPr>
        <w:t xml:space="preserve"> </w:t>
      </w:r>
      <w:r w:rsidR="00E561BA">
        <w:rPr>
          <w:szCs w:val="24"/>
        </w:rPr>
        <w:t xml:space="preserve">The rate case settlement </w:t>
      </w:r>
      <w:r w:rsidRPr="0044196D">
        <w:rPr>
          <w:szCs w:val="24"/>
        </w:rPr>
        <w:t>allow</w:t>
      </w:r>
      <w:r w:rsidR="0048427B">
        <w:rPr>
          <w:szCs w:val="24"/>
        </w:rPr>
        <w:t>ed</w:t>
      </w:r>
      <w:r w:rsidRPr="0044196D">
        <w:rPr>
          <w:szCs w:val="24"/>
        </w:rPr>
        <w:t xml:space="preserve"> Columbia to continue the PSP through December 31, 2030.</w:t>
      </w:r>
      <w:r>
        <w:rPr>
          <w:rStyle w:val="FootnoteReference"/>
          <w:szCs w:val="24"/>
        </w:rPr>
        <w:footnoteReference w:id="9"/>
      </w:r>
      <w:r w:rsidRPr="0044196D">
        <w:rPr>
          <w:szCs w:val="24"/>
        </w:rPr>
        <w:t xml:space="preserve"> </w:t>
      </w:r>
      <w:r w:rsidR="00DA1ED5">
        <w:rPr>
          <w:szCs w:val="24"/>
        </w:rPr>
        <w:t>But the PUCO</w:t>
      </w:r>
      <w:r w:rsidR="0048427B">
        <w:rPr>
          <w:szCs w:val="24"/>
        </w:rPr>
        <w:t xml:space="preserve"> reduced Columbia’s deferral authority for PSP</w:t>
      </w:r>
      <w:r w:rsidR="00DA1ED5">
        <w:rPr>
          <w:szCs w:val="24"/>
        </w:rPr>
        <w:t xml:space="preserve"> </w:t>
      </w:r>
      <w:r w:rsidR="004D5FC8">
        <w:rPr>
          <w:szCs w:val="24"/>
        </w:rPr>
        <w:t>expenses</w:t>
      </w:r>
      <w:r w:rsidR="0048427B">
        <w:rPr>
          <w:szCs w:val="24"/>
        </w:rPr>
        <w:t xml:space="preserve"> to $10 million annually</w:t>
      </w:r>
      <w:r w:rsidR="00DA1ED5">
        <w:rPr>
          <w:szCs w:val="24"/>
        </w:rPr>
        <w:t xml:space="preserve"> because </w:t>
      </w:r>
      <w:r w:rsidRPr="0044196D">
        <w:rPr>
          <w:szCs w:val="24"/>
        </w:rPr>
        <w:t xml:space="preserve">$15 million </w:t>
      </w:r>
      <w:r w:rsidR="00DA1ED5">
        <w:rPr>
          <w:szCs w:val="24"/>
        </w:rPr>
        <w:t>was</w:t>
      </w:r>
      <w:r w:rsidRPr="0044196D">
        <w:rPr>
          <w:szCs w:val="24"/>
        </w:rPr>
        <w:t xml:space="preserve"> embedded in distribution base rates </w:t>
      </w:r>
      <w:r w:rsidR="0048427B">
        <w:rPr>
          <w:szCs w:val="24"/>
        </w:rPr>
        <w:t>as of</w:t>
      </w:r>
      <w:r w:rsidR="008664DB">
        <w:rPr>
          <w:szCs w:val="24"/>
        </w:rPr>
        <w:t xml:space="preserve"> </w:t>
      </w:r>
      <w:r w:rsidRPr="0044196D">
        <w:rPr>
          <w:szCs w:val="24"/>
        </w:rPr>
        <w:t>March 1, 2023</w:t>
      </w:r>
      <w:r w:rsidR="0048427B">
        <w:rPr>
          <w:szCs w:val="24"/>
        </w:rPr>
        <w:t>.</w:t>
      </w:r>
      <w:r>
        <w:rPr>
          <w:rStyle w:val="FootnoteReference"/>
          <w:szCs w:val="24"/>
        </w:rPr>
        <w:footnoteReference w:id="10"/>
      </w:r>
      <w:r w:rsidR="008664DB">
        <w:rPr>
          <w:szCs w:val="24"/>
        </w:rPr>
        <w:t xml:space="preserve"> </w:t>
      </w:r>
    </w:p>
    <w:p w14:paraId="1577C741" w14:textId="77777777" w:rsidR="008664DB" w:rsidRDefault="00D329B2">
      <w:pPr>
        <w:spacing w:after="200" w:line="276" w:lineRule="auto"/>
        <w:rPr>
          <w:szCs w:val="24"/>
        </w:rPr>
      </w:pPr>
      <w:r>
        <w:rPr>
          <w:szCs w:val="24"/>
        </w:rPr>
        <w:br w:type="page"/>
      </w:r>
    </w:p>
    <w:p w14:paraId="1AFF047C" w14:textId="4BD7161A" w:rsidR="0044196D" w:rsidRDefault="00D329B2" w:rsidP="00D45FC3">
      <w:pPr>
        <w:pStyle w:val="BodyTextIndent3"/>
        <w:widowControl w:val="0"/>
        <w:spacing w:line="480" w:lineRule="auto"/>
        <w:rPr>
          <w:szCs w:val="24"/>
        </w:rPr>
      </w:pPr>
      <w:r>
        <w:rPr>
          <w:szCs w:val="24"/>
        </w:rPr>
        <w:lastRenderedPageBreak/>
        <w:t xml:space="preserve">The PUCO </w:t>
      </w:r>
      <w:r w:rsidRPr="0044196D">
        <w:rPr>
          <w:szCs w:val="24"/>
        </w:rPr>
        <w:t xml:space="preserve">Staff reviewed </w:t>
      </w:r>
      <w:r>
        <w:rPr>
          <w:szCs w:val="24"/>
        </w:rPr>
        <w:t>Columbia’s</w:t>
      </w:r>
      <w:r w:rsidRPr="0044196D">
        <w:rPr>
          <w:szCs w:val="24"/>
        </w:rPr>
        <w:t xml:space="preserve"> </w:t>
      </w:r>
      <w:r>
        <w:rPr>
          <w:szCs w:val="24"/>
        </w:rPr>
        <w:t>annual PSP report</w:t>
      </w:r>
      <w:r w:rsidRPr="0044196D">
        <w:rPr>
          <w:szCs w:val="24"/>
        </w:rPr>
        <w:t xml:space="preserve">, conducted interviews with Columbia, and analyzed the calculations contained within the </w:t>
      </w:r>
      <w:r w:rsidR="00317D5E">
        <w:rPr>
          <w:szCs w:val="24"/>
        </w:rPr>
        <w:t xml:space="preserve">annual PSP </w:t>
      </w:r>
      <w:r>
        <w:rPr>
          <w:szCs w:val="24"/>
        </w:rPr>
        <w:t>report.</w:t>
      </w:r>
      <w:r>
        <w:rPr>
          <w:rStyle w:val="FootnoteReference"/>
          <w:szCs w:val="24"/>
        </w:rPr>
        <w:footnoteReference w:id="11"/>
      </w:r>
      <w:r w:rsidR="00317D5E">
        <w:rPr>
          <w:szCs w:val="24"/>
        </w:rPr>
        <w:t xml:space="preserve"> </w:t>
      </w:r>
      <w:r>
        <w:rPr>
          <w:szCs w:val="24"/>
        </w:rPr>
        <w:t xml:space="preserve">The PUCO </w:t>
      </w:r>
      <w:r w:rsidR="00317D5E">
        <w:rPr>
          <w:szCs w:val="24"/>
        </w:rPr>
        <w:t>Staff</w:t>
      </w:r>
      <w:r w:rsidR="00EB7C6E">
        <w:rPr>
          <w:szCs w:val="24"/>
        </w:rPr>
        <w:t xml:space="preserve"> Report</w:t>
      </w:r>
      <w:r w:rsidR="004D5FC8">
        <w:t xml:space="preserve"> concluded that Columbia’s claimed deferral balance exceeds </w:t>
      </w:r>
      <w:r w:rsidR="00212842">
        <w:t>its</w:t>
      </w:r>
      <w:r w:rsidR="004D5FC8">
        <w:t xml:space="preserve"> authority by </w:t>
      </w:r>
      <w:r w:rsidR="004D5FC8" w:rsidRPr="00444B28">
        <w:t>$3,794,438</w:t>
      </w:r>
      <w:r w:rsidR="004D5FC8">
        <w:t xml:space="preserve"> (</w:t>
      </w:r>
      <w:r w:rsidR="004D5FC8" w:rsidRPr="00444B28">
        <w:t>$2,363,678</w:t>
      </w:r>
      <w:r w:rsidR="004D5FC8">
        <w:t xml:space="preserve"> for January and February of 2023 and </w:t>
      </w:r>
      <w:r w:rsidR="004D5FC8" w:rsidRPr="00444B28">
        <w:t>$1,430,760</w:t>
      </w:r>
      <w:r w:rsidR="004D5FC8">
        <w:t xml:space="preserve"> for March through December of 2023).</w:t>
      </w:r>
      <w:r>
        <w:rPr>
          <w:rStyle w:val="FootnoteReference"/>
        </w:rPr>
        <w:footnoteReference w:id="12"/>
      </w:r>
      <w:r w:rsidR="004D5FC8">
        <w:t xml:space="preserve"> The PUCO Staff recommended reducing the deferral balance, and associated carrying costs</w:t>
      </w:r>
      <w:r w:rsidR="00821C21">
        <w:t xml:space="preserve"> (approximately $174,000)</w:t>
      </w:r>
      <w:r w:rsidR="004D5FC8">
        <w:t>, accordingly.</w:t>
      </w:r>
      <w:r>
        <w:rPr>
          <w:rStyle w:val="FootnoteReference"/>
        </w:rPr>
        <w:footnoteReference w:id="13"/>
      </w:r>
    </w:p>
    <w:p w14:paraId="0CFA1803" w14:textId="07756E0F" w:rsidR="000C19F3" w:rsidRPr="00AF71E9" w:rsidRDefault="00D329B2" w:rsidP="00047C74">
      <w:pPr>
        <w:pStyle w:val="BodyTextIndent3"/>
        <w:widowControl w:val="0"/>
        <w:spacing w:line="480" w:lineRule="auto"/>
        <w:rPr>
          <w:szCs w:val="24"/>
        </w:rPr>
      </w:pPr>
      <w:r>
        <w:rPr>
          <w:szCs w:val="24"/>
        </w:rPr>
        <w:t xml:space="preserve">For consumer protection, </w:t>
      </w:r>
      <w:r w:rsidR="00F7662E">
        <w:rPr>
          <w:szCs w:val="24"/>
        </w:rPr>
        <w:t xml:space="preserve">OCC </w:t>
      </w:r>
      <w:r>
        <w:rPr>
          <w:szCs w:val="24"/>
        </w:rPr>
        <w:t>supports</w:t>
      </w:r>
      <w:r w:rsidR="00F7662E">
        <w:rPr>
          <w:szCs w:val="24"/>
        </w:rPr>
        <w:t xml:space="preserve"> the </w:t>
      </w:r>
      <w:r w:rsidR="00047C74">
        <w:rPr>
          <w:szCs w:val="24"/>
        </w:rPr>
        <w:t xml:space="preserve">PUCO Staff’s </w:t>
      </w:r>
      <w:r w:rsidR="00F7662E">
        <w:rPr>
          <w:szCs w:val="24"/>
        </w:rPr>
        <w:t>findings and rec</w:t>
      </w:r>
      <w:r w:rsidR="00605AB8">
        <w:rPr>
          <w:szCs w:val="24"/>
        </w:rPr>
        <w:t>ommendations</w:t>
      </w:r>
      <w:r w:rsidR="00E72415">
        <w:rPr>
          <w:szCs w:val="24"/>
        </w:rPr>
        <w:t>.</w:t>
      </w:r>
    </w:p>
    <w:p w14:paraId="08A313A7" w14:textId="77777777" w:rsidR="008664DB" w:rsidRDefault="008664DB" w:rsidP="00D45FC3">
      <w:pPr>
        <w:pStyle w:val="Heading1"/>
      </w:pPr>
      <w:bookmarkStart w:id="1" w:name="_Toc403985585"/>
    </w:p>
    <w:p w14:paraId="7177DB44" w14:textId="2F23B9FE" w:rsidR="00D45FC3" w:rsidRPr="00AF71E9" w:rsidRDefault="00D329B2" w:rsidP="00D45FC3">
      <w:pPr>
        <w:pStyle w:val="Heading1"/>
      </w:pPr>
      <w:r w:rsidRPr="00AF71E9">
        <w:t>ii.</w:t>
      </w:r>
      <w:r w:rsidRPr="00AF71E9">
        <w:tab/>
      </w:r>
      <w:bookmarkEnd w:id="1"/>
      <w:r w:rsidR="007A35DB">
        <w:t>Consumer protection comments</w:t>
      </w:r>
      <w:r w:rsidR="005E1220">
        <w:t xml:space="preserve"> </w:t>
      </w:r>
    </w:p>
    <w:p w14:paraId="7FD35451" w14:textId="48923B43" w:rsidR="00855775" w:rsidRDefault="00D329B2" w:rsidP="00EB7C6E">
      <w:pPr>
        <w:spacing w:line="480" w:lineRule="auto"/>
        <w:ind w:firstLine="720"/>
        <w:rPr>
          <w:szCs w:val="24"/>
        </w:rPr>
      </w:pPr>
      <w:bookmarkStart w:id="2" w:name="_Toc403985587"/>
      <w:r w:rsidRPr="00EB7C6E">
        <w:rPr>
          <w:szCs w:val="24"/>
        </w:rPr>
        <w:t xml:space="preserve">The </w:t>
      </w:r>
      <w:r w:rsidR="00EB7C6E">
        <w:rPr>
          <w:szCs w:val="24"/>
        </w:rPr>
        <w:t>PUCO should adopt its Staff’s recommendations and adjust Columbia’s PSP deferral by</w:t>
      </w:r>
      <w:r w:rsidR="00821C21">
        <w:rPr>
          <w:szCs w:val="24"/>
        </w:rPr>
        <w:t xml:space="preserve"> </w:t>
      </w:r>
      <w:r w:rsidR="00821C21" w:rsidRPr="00444B28">
        <w:t>$</w:t>
      </w:r>
      <w:r w:rsidR="00621568">
        <w:t>3,968,858 ($</w:t>
      </w:r>
      <w:r w:rsidR="00821C21" w:rsidRPr="00444B28">
        <w:t>3,794,438</w:t>
      </w:r>
      <w:r w:rsidR="00821C21">
        <w:t xml:space="preserve"> plus $174,420 of carry</w:t>
      </w:r>
      <w:r w:rsidR="00621568">
        <w:t xml:space="preserve"> charges)</w:t>
      </w:r>
      <w:r w:rsidR="00EB7C6E">
        <w:rPr>
          <w:szCs w:val="24"/>
        </w:rPr>
        <w:t xml:space="preserve">. </w:t>
      </w:r>
      <w:r w:rsidRPr="00EB7C6E">
        <w:t>PUCO</w:t>
      </w:r>
      <w:r w:rsidRPr="00EB7C6E">
        <w:rPr>
          <w:szCs w:val="24"/>
        </w:rPr>
        <w:t xml:space="preserve"> Staff accurately calculated Columbia’s deferral authority, excess deferral claims, and excess carrying charges</w:t>
      </w:r>
      <w:r w:rsidR="00D45FC3" w:rsidRPr="00EB7C6E">
        <w:rPr>
          <w:szCs w:val="24"/>
        </w:rPr>
        <w:t>.</w:t>
      </w:r>
      <w:bookmarkEnd w:id="2"/>
    </w:p>
    <w:p w14:paraId="576EE6D4" w14:textId="351ACC67" w:rsidR="00CC7E85" w:rsidRDefault="00D329B2" w:rsidP="00EB7C6E">
      <w:pPr>
        <w:spacing w:line="480" w:lineRule="auto"/>
        <w:ind w:firstLine="720"/>
      </w:pPr>
      <w:r w:rsidRPr="00EB7C6E">
        <w:t xml:space="preserve"> </w:t>
      </w:r>
      <w:r w:rsidR="00B87287">
        <w:t>In Columbia’s 2021 Rate Case</w:t>
      </w:r>
      <w:r w:rsidR="00B15667">
        <w:t xml:space="preserve">, </w:t>
      </w:r>
      <w:r w:rsidR="008C1D85">
        <w:t>the PUCO</w:t>
      </w:r>
      <w:r w:rsidR="005749BE">
        <w:t xml:space="preserve"> </w:t>
      </w:r>
      <w:r w:rsidR="007A35DB">
        <w:t>found that</w:t>
      </w:r>
      <w:r w:rsidR="008C1D85">
        <w:t xml:space="preserve"> “the $15 million associated with Columbia’s other PSP programs (Cross Bore Remediation Program, Enhanced Public Awareness Program, and the Training Program) has been embedded in base rates and the deferral for those expenses will cease with the effective date of base rates going into effect in this proceeding.”</w:t>
      </w:r>
      <w:r>
        <w:rPr>
          <w:rStyle w:val="FootnoteReference"/>
        </w:rPr>
        <w:footnoteReference w:id="14"/>
      </w:r>
      <w:r w:rsidR="008C1D85">
        <w:t xml:space="preserve"> The PUCO also found </w:t>
      </w:r>
      <w:r w:rsidR="0046223A">
        <w:t>that</w:t>
      </w:r>
      <w:r w:rsidR="008C1D85">
        <w:t xml:space="preserve"> Columbia may continue to </w:t>
      </w:r>
      <w:r w:rsidR="008C1D85">
        <w:lastRenderedPageBreak/>
        <w:t xml:space="preserve">defer “up to $10 million per year in Columbia’s Commission-approved Pipeline Safety Program (PSP) Deferral, </w:t>
      </w:r>
      <w:r w:rsidR="0046223A">
        <w:t xml:space="preserve">as </w:t>
      </w:r>
      <w:r w:rsidR="008C1D85">
        <w:t>approved in Case No. 14-1615</w:t>
      </w:r>
      <w:r w:rsidR="004715DE">
        <w:t>-GA-AAM, through December 31, 2030.”</w:t>
      </w:r>
      <w:r>
        <w:rPr>
          <w:rStyle w:val="FootnoteReference"/>
        </w:rPr>
        <w:footnoteReference w:id="15"/>
      </w:r>
      <w:r w:rsidR="00A45444">
        <w:t xml:space="preserve"> </w:t>
      </w:r>
      <w:r w:rsidR="0048381C">
        <w:t>The new base rates from the 2021 Rate Case went into effect on March 1, 2023.</w:t>
      </w:r>
      <w:r>
        <w:rPr>
          <w:rStyle w:val="FootnoteReference"/>
        </w:rPr>
        <w:footnoteReference w:id="16"/>
      </w:r>
      <w:r w:rsidR="008664DB">
        <w:t xml:space="preserve"> </w:t>
      </w:r>
      <w:r w:rsidR="0048381C">
        <w:t>Therefore, Columbia’s deferral authority for the PSP decreased to $10 million dollars annually, as of March 1, 2023.</w:t>
      </w:r>
    </w:p>
    <w:p w14:paraId="4FC42AA8" w14:textId="0E01A6ED" w:rsidR="0048381C" w:rsidRDefault="00D329B2" w:rsidP="0048381C">
      <w:pPr>
        <w:spacing w:line="480" w:lineRule="auto"/>
        <w:ind w:firstLine="720"/>
      </w:pPr>
      <w:r>
        <w:t>The</w:t>
      </w:r>
      <w:r w:rsidR="007A35DB">
        <w:t xml:space="preserve"> PUCO </w:t>
      </w:r>
      <w:r>
        <w:t xml:space="preserve">Staff here cites the </w:t>
      </w:r>
      <w:r w:rsidR="007A35DB">
        <w:t>PUCO’s</w:t>
      </w:r>
      <w:r>
        <w:t xml:space="preserve"> Opinion and Order in the 2021 Rate Case regarding reducing Columbia’s deferral authority relating to the PSP, effective March 1, 2023, from $25 million annually to $10 million annually.</w:t>
      </w:r>
      <w:r>
        <w:rPr>
          <w:rStyle w:val="FootnoteReference"/>
        </w:rPr>
        <w:footnoteReference w:id="17"/>
      </w:r>
      <w:r w:rsidR="008664DB">
        <w:t xml:space="preserve"> </w:t>
      </w:r>
      <w:r>
        <w:t>T</w:t>
      </w:r>
      <w:r w:rsidR="007A35DB">
        <w:t xml:space="preserve">he PUCO </w:t>
      </w:r>
      <w:r w:rsidR="005749BE">
        <w:t xml:space="preserve">Staff </w:t>
      </w:r>
      <w:r w:rsidR="00944F6E">
        <w:t>determined</w:t>
      </w:r>
      <w:r>
        <w:t>, therefore,</w:t>
      </w:r>
      <w:r w:rsidR="005749BE">
        <w:t xml:space="preserve"> </w:t>
      </w:r>
      <w:r w:rsidR="007A35DB">
        <w:t xml:space="preserve">that </w:t>
      </w:r>
      <w:r w:rsidR="00944F6E">
        <w:t xml:space="preserve">to </w:t>
      </w:r>
      <w:r w:rsidR="00855775">
        <w:t xml:space="preserve">accurately calculate </w:t>
      </w:r>
      <w:r w:rsidR="005749BE">
        <w:t>Columbia’s 2023 deferral authority</w:t>
      </w:r>
      <w:r w:rsidR="00944F6E">
        <w:t xml:space="preserve"> “it is necessary to pro-rate the $25 million and $10 million caps over the period during which they were applicable.”</w:t>
      </w:r>
      <w:r>
        <w:rPr>
          <w:rStyle w:val="FootnoteReference"/>
        </w:rPr>
        <w:footnoteReference w:id="18"/>
      </w:r>
      <w:r w:rsidR="008664DB">
        <w:t xml:space="preserve"> </w:t>
      </w:r>
    </w:p>
    <w:p w14:paraId="44C7201E" w14:textId="3F0D540C" w:rsidR="00492A1F" w:rsidRDefault="00D329B2" w:rsidP="004D5FC8">
      <w:pPr>
        <w:spacing w:line="480" w:lineRule="auto"/>
      </w:pPr>
      <w:r>
        <w:tab/>
      </w:r>
      <w:r w:rsidR="00944F6E" w:rsidRPr="00944F6E">
        <w:t xml:space="preserve">For the period January 1, 2023 through February 28, 2023, </w:t>
      </w:r>
      <w:r w:rsidR="007A35DB">
        <w:t xml:space="preserve">the PUCO </w:t>
      </w:r>
      <w:r w:rsidR="00944F6E" w:rsidRPr="00944F6E">
        <w:t xml:space="preserve">Staff recommends that the deferral should be a prorated amount based upon the $25 million for </w:t>
      </w:r>
      <w:r>
        <w:t>certain aspects of the PSP,</w:t>
      </w:r>
      <w:r w:rsidR="00444B28" w:rsidRPr="00444B28">
        <w:t xml:space="preserve"> or $4,166,667 ($25 million divided by 12 months equals $2,083,333 per month times 2 months)</w:t>
      </w:r>
      <w:r w:rsidR="00944F6E">
        <w:t>.</w:t>
      </w:r>
      <w:r>
        <w:rPr>
          <w:rStyle w:val="FootnoteReference"/>
        </w:rPr>
        <w:footnoteReference w:id="19"/>
      </w:r>
      <w:r w:rsidR="00944F6E" w:rsidRPr="00944F6E">
        <w:t xml:space="preserve"> For the period of March 1, 2023 through</w:t>
      </w:r>
      <w:r w:rsidR="00944F6E">
        <w:t xml:space="preserve"> </w:t>
      </w:r>
      <w:r w:rsidR="00944F6E" w:rsidRPr="00944F6E">
        <w:t xml:space="preserve">December 31, 2023, </w:t>
      </w:r>
      <w:r w:rsidR="007A35DB">
        <w:t xml:space="preserve">the PUCO </w:t>
      </w:r>
      <w:r w:rsidR="00944F6E" w:rsidRPr="00944F6E">
        <w:t xml:space="preserve">Staff recommends that the deferral should be a prorated amount based upon the $10 million for </w:t>
      </w:r>
      <w:r>
        <w:t>other aspects of the PSP,</w:t>
      </w:r>
      <w:r w:rsidR="00444B28" w:rsidRPr="00444B28">
        <w:t xml:space="preserve"> or $8,333,333 ($10 million divided by 12 months equals $833,333 per month times 10 months)</w:t>
      </w:r>
      <w:r w:rsidR="003E26B7">
        <w:t>.</w:t>
      </w:r>
      <w:r>
        <w:rPr>
          <w:rStyle w:val="FootnoteReference"/>
        </w:rPr>
        <w:footnoteReference w:id="20"/>
      </w:r>
      <w:r w:rsidR="008664DB">
        <w:t xml:space="preserve"> </w:t>
      </w:r>
      <w:r w:rsidR="00444B28">
        <w:t xml:space="preserve">Based on these calculations, as </w:t>
      </w:r>
      <w:r w:rsidR="007A35DB">
        <w:t xml:space="preserve">the PUCO </w:t>
      </w:r>
      <w:r w:rsidR="00444B28">
        <w:t xml:space="preserve">Staff </w:t>
      </w:r>
      <w:r w:rsidR="007A35DB">
        <w:t>describes</w:t>
      </w:r>
      <w:r w:rsidR="00444B28">
        <w:t xml:space="preserve">, Columbia’s claimed deferral balance </w:t>
      </w:r>
      <w:r w:rsidR="00444B28">
        <w:lastRenderedPageBreak/>
        <w:t xml:space="preserve">exceeds their authority by </w:t>
      </w:r>
      <w:r w:rsidR="00444B28" w:rsidRPr="00444B28">
        <w:t>$3,794,438</w:t>
      </w:r>
      <w:r w:rsidR="00444B28">
        <w:t xml:space="preserve"> (</w:t>
      </w:r>
      <w:r w:rsidR="00444B28" w:rsidRPr="00444B28">
        <w:t>$2,363,678</w:t>
      </w:r>
      <w:r w:rsidR="00444B28">
        <w:t xml:space="preserve"> for January and February of 2023 and </w:t>
      </w:r>
      <w:r w:rsidR="00444B28" w:rsidRPr="00444B28">
        <w:t>$1,430,760</w:t>
      </w:r>
      <w:r w:rsidR="00444B28">
        <w:t xml:space="preserve"> for March through December of 2023). </w:t>
      </w:r>
      <w:r>
        <w:t>The PUCO Staff recommended reducing the deferral balance accordingly, plus $174,420 in carrying costs associated with the excess deferral balance.</w:t>
      </w:r>
      <w:r>
        <w:rPr>
          <w:rStyle w:val="FootnoteReference"/>
        </w:rPr>
        <w:footnoteReference w:id="21"/>
      </w:r>
    </w:p>
    <w:p w14:paraId="7F68C561" w14:textId="09345F6F" w:rsidR="008237F3" w:rsidRPr="00492A1F" w:rsidRDefault="00D329B2" w:rsidP="00492A1F">
      <w:pPr>
        <w:spacing w:line="480" w:lineRule="auto"/>
        <w:ind w:firstLine="720"/>
      </w:pPr>
      <w:r>
        <w:t>Adopting th</w:t>
      </w:r>
      <w:r w:rsidR="007A35DB">
        <w:t xml:space="preserve">e PUCO </w:t>
      </w:r>
      <w:r w:rsidR="003E26B7">
        <w:t xml:space="preserve">Staff’s recommendations </w:t>
      </w:r>
      <w:r>
        <w:t>is</w:t>
      </w:r>
      <w:r w:rsidR="003E26B7">
        <w:t xml:space="preserve"> </w:t>
      </w:r>
      <w:r w:rsidR="00855775">
        <w:t>consistent and required by</w:t>
      </w:r>
      <w:r w:rsidR="008664DB">
        <w:t xml:space="preserve"> </w:t>
      </w:r>
      <w:r w:rsidR="003E26B7">
        <w:t xml:space="preserve">the </w:t>
      </w:r>
      <w:r w:rsidR="007A35DB">
        <w:t>PUCO’s</w:t>
      </w:r>
      <w:r w:rsidR="003E26B7">
        <w:t xml:space="preserve"> </w:t>
      </w:r>
      <w:r>
        <w:t xml:space="preserve">decision </w:t>
      </w:r>
      <w:r w:rsidR="00423BF7">
        <w:t xml:space="preserve">approving the </w:t>
      </w:r>
      <w:r w:rsidR="003E26B7">
        <w:t>2021 Rate Case</w:t>
      </w:r>
      <w:r w:rsidR="00423BF7">
        <w:t xml:space="preserve"> Settlement</w:t>
      </w:r>
      <w:r w:rsidR="003E26B7">
        <w:t>.</w:t>
      </w:r>
      <w:r w:rsidR="008664DB">
        <w:t xml:space="preserve"> </w:t>
      </w:r>
      <w:r w:rsidR="00423BF7">
        <w:rPr>
          <w:bCs/>
          <w:szCs w:val="24"/>
        </w:rPr>
        <w:t xml:space="preserve">The Rate Case Settlement as approved by the PUCO provides </w:t>
      </w:r>
      <w:r w:rsidR="00BD1BFE">
        <w:rPr>
          <w:bCs/>
          <w:szCs w:val="24"/>
        </w:rPr>
        <w:t xml:space="preserve">that Columbia’s deferral authority will be reduced by $15 million annually, at the time the new base rates go into effect, based upon </w:t>
      </w:r>
      <w:r w:rsidR="00C95EF0">
        <w:rPr>
          <w:bCs/>
          <w:szCs w:val="24"/>
        </w:rPr>
        <w:t>most of</w:t>
      </w:r>
      <w:r w:rsidR="00BD1BFE">
        <w:rPr>
          <w:bCs/>
          <w:szCs w:val="24"/>
        </w:rPr>
        <w:t xml:space="preserve"> the PSP program </w:t>
      </w:r>
      <w:r w:rsidR="004D5FC8">
        <w:rPr>
          <w:bCs/>
          <w:szCs w:val="24"/>
        </w:rPr>
        <w:t>expenses</w:t>
      </w:r>
      <w:r w:rsidR="00BD1BFE">
        <w:rPr>
          <w:bCs/>
          <w:szCs w:val="24"/>
        </w:rPr>
        <w:t xml:space="preserve"> being embedded in </w:t>
      </w:r>
      <w:r w:rsidR="007A35DB">
        <w:rPr>
          <w:bCs/>
          <w:szCs w:val="24"/>
        </w:rPr>
        <w:t>the</w:t>
      </w:r>
      <w:r w:rsidR="00BD1BFE">
        <w:rPr>
          <w:bCs/>
          <w:szCs w:val="24"/>
        </w:rPr>
        <w:t xml:space="preserve"> new rates.</w:t>
      </w:r>
      <w:r>
        <w:rPr>
          <w:rStyle w:val="FootnoteReference"/>
          <w:bCs/>
          <w:szCs w:val="24"/>
        </w:rPr>
        <w:footnoteReference w:id="22"/>
      </w:r>
      <w:r w:rsidR="008664DB">
        <w:rPr>
          <w:bCs/>
          <w:szCs w:val="24"/>
        </w:rPr>
        <w:t xml:space="preserve"> </w:t>
      </w:r>
      <w:r w:rsidR="005503FD">
        <w:rPr>
          <w:bCs/>
          <w:szCs w:val="24"/>
        </w:rPr>
        <w:t xml:space="preserve">Both OCC and </w:t>
      </w:r>
      <w:r w:rsidR="007A35DB">
        <w:rPr>
          <w:bCs/>
          <w:szCs w:val="24"/>
        </w:rPr>
        <w:t xml:space="preserve">the PUCO </w:t>
      </w:r>
      <w:r w:rsidR="005503FD">
        <w:rPr>
          <w:bCs/>
          <w:szCs w:val="24"/>
        </w:rPr>
        <w:t>Staff were signatory parties to the Joint Stipulation and Recommendation in Columbia’s 2021 Rate Case.</w:t>
      </w:r>
      <w:r>
        <w:rPr>
          <w:rStyle w:val="FootnoteReference"/>
          <w:bCs/>
          <w:szCs w:val="24"/>
        </w:rPr>
        <w:footnoteReference w:id="23"/>
      </w:r>
      <w:r>
        <w:rPr>
          <w:bCs/>
          <w:szCs w:val="24"/>
        </w:rPr>
        <w:t xml:space="preserve"> The specific language the parties </w:t>
      </w:r>
      <w:r w:rsidR="00423BF7">
        <w:rPr>
          <w:bCs/>
          <w:szCs w:val="24"/>
        </w:rPr>
        <w:t>agreed</w:t>
      </w:r>
      <w:r w:rsidR="008664DB">
        <w:rPr>
          <w:bCs/>
          <w:szCs w:val="24"/>
        </w:rPr>
        <w:t xml:space="preserve"> </w:t>
      </w:r>
      <w:r>
        <w:rPr>
          <w:bCs/>
          <w:szCs w:val="24"/>
        </w:rPr>
        <w:t>to is:</w:t>
      </w:r>
    </w:p>
    <w:p w14:paraId="3FC9C144" w14:textId="54885070" w:rsidR="008237F3" w:rsidRDefault="00D329B2" w:rsidP="008237F3">
      <w:pPr>
        <w:spacing w:after="240"/>
        <w:ind w:left="720" w:right="1008"/>
        <w:rPr>
          <w:bCs/>
          <w:szCs w:val="24"/>
        </w:rPr>
      </w:pPr>
      <w:r w:rsidRPr="008237F3">
        <w:rPr>
          <w:bCs/>
          <w:szCs w:val="24"/>
        </w:rPr>
        <w:t xml:space="preserve">The Signatory Parties agree that Columbia may continue to defer, after the Opinion and Order in this proceeding, up to </w:t>
      </w:r>
      <w:r w:rsidRPr="008237F3">
        <w:rPr>
          <w:bCs/>
          <w:szCs w:val="24"/>
        </w:rPr>
        <w:t>$10 million per year in Columbia’s Commission-approved Pipeline Safety Program Deferral, approved</w:t>
      </w:r>
      <w:r>
        <w:rPr>
          <w:bCs/>
          <w:szCs w:val="24"/>
        </w:rPr>
        <w:t xml:space="preserve"> </w:t>
      </w:r>
      <w:r w:rsidRPr="008237F3">
        <w:rPr>
          <w:bCs/>
          <w:szCs w:val="24"/>
        </w:rPr>
        <w:t>in Case No. 14-1615-GA-AAM, through December 31, 2030, to complete the remediation of Columbia’s GPS data currently being gathered in its service area. The deferral would accrue carrying charges at three percent through December 31, 2023, as ordered in Case No. 16-552-GA-AAM. Effective January 1, 2024, through December 31, 2030, the carrying charges shall accrue at the Company’s then-current overall long-term d</w:t>
      </w:r>
      <w:r w:rsidRPr="008237F3">
        <w:rPr>
          <w:bCs/>
          <w:szCs w:val="24"/>
        </w:rPr>
        <w:t>ebt rate. The Signatory Parties agree that the $15 million associated with Columbia’s other PSP Programs (Cross Bore Remediation Program, Enhanced Public Awareness Program, and the Training Program) has been embedded in base rates and the deferral for these expenses will cease with the effective date of base rates going into effect in this proceeding.</w:t>
      </w:r>
    </w:p>
    <w:p w14:paraId="4B2902D2" w14:textId="15FD9346" w:rsidR="00D45FC3" w:rsidRDefault="00D329B2" w:rsidP="006140C3">
      <w:pPr>
        <w:spacing w:line="480" w:lineRule="auto"/>
        <w:ind w:right="720" w:firstLine="720"/>
        <w:rPr>
          <w:bCs/>
          <w:szCs w:val="24"/>
        </w:rPr>
      </w:pPr>
      <w:r>
        <w:rPr>
          <w:bCs/>
          <w:szCs w:val="24"/>
        </w:rPr>
        <w:lastRenderedPageBreak/>
        <w:t xml:space="preserve">Columbia </w:t>
      </w:r>
      <w:r w:rsidR="00423BF7">
        <w:rPr>
          <w:bCs/>
          <w:szCs w:val="24"/>
        </w:rPr>
        <w:t>agreed as part of the settlement</w:t>
      </w:r>
      <w:r>
        <w:rPr>
          <w:bCs/>
          <w:szCs w:val="24"/>
        </w:rPr>
        <w:t xml:space="preserve"> to immediate</w:t>
      </w:r>
      <w:r w:rsidR="00CF5F03">
        <w:rPr>
          <w:bCs/>
          <w:szCs w:val="24"/>
        </w:rPr>
        <w:t>ly</w:t>
      </w:r>
      <w:r>
        <w:rPr>
          <w:bCs/>
          <w:szCs w:val="24"/>
        </w:rPr>
        <w:t xml:space="preserve"> </w:t>
      </w:r>
      <w:r w:rsidR="00CF5F03">
        <w:rPr>
          <w:bCs/>
          <w:szCs w:val="24"/>
        </w:rPr>
        <w:t>cease</w:t>
      </w:r>
      <w:r>
        <w:rPr>
          <w:bCs/>
          <w:szCs w:val="24"/>
        </w:rPr>
        <w:t xml:space="preserve"> deferral </w:t>
      </w:r>
      <w:r w:rsidR="00CF5F03">
        <w:rPr>
          <w:bCs/>
          <w:szCs w:val="24"/>
        </w:rPr>
        <w:t xml:space="preserve">of all program </w:t>
      </w:r>
      <w:r w:rsidR="004D5FC8">
        <w:rPr>
          <w:bCs/>
          <w:szCs w:val="24"/>
        </w:rPr>
        <w:t>expenses</w:t>
      </w:r>
      <w:r w:rsidR="00CF5F03">
        <w:rPr>
          <w:bCs/>
          <w:szCs w:val="24"/>
        </w:rPr>
        <w:t xml:space="preserve"> relating to </w:t>
      </w:r>
      <w:r w:rsidR="00492A1F">
        <w:rPr>
          <w:bCs/>
          <w:szCs w:val="24"/>
        </w:rPr>
        <w:t>certain parts of the PSP</w:t>
      </w:r>
      <w:r>
        <w:rPr>
          <w:bCs/>
          <w:szCs w:val="24"/>
        </w:rPr>
        <w:t xml:space="preserve"> </w:t>
      </w:r>
      <w:r w:rsidR="00CF5F03">
        <w:rPr>
          <w:bCs/>
          <w:szCs w:val="24"/>
        </w:rPr>
        <w:t>on</w:t>
      </w:r>
      <w:r>
        <w:rPr>
          <w:bCs/>
          <w:szCs w:val="24"/>
        </w:rPr>
        <w:t xml:space="preserve"> March 1, 2023 (the effective date of the new base rate</w:t>
      </w:r>
      <w:r w:rsidR="007A35DB">
        <w:rPr>
          <w:bCs/>
          <w:szCs w:val="24"/>
        </w:rPr>
        <w:t>s</w:t>
      </w:r>
      <w:r>
        <w:rPr>
          <w:bCs/>
          <w:szCs w:val="24"/>
        </w:rPr>
        <w:t>)</w:t>
      </w:r>
      <w:r w:rsidR="00CF5F03">
        <w:rPr>
          <w:bCs/>
          <w:szCs w:val="24"/>
        </w:rPr>
        <w:t>.</w:t>
      </w:r>
      <w:r>
        <w:rPr>
          <w:bCs/>
          <w:szCs w:val="24"/>
        </w:rPr>
        <w:t xml:space="preserve"> </w:t>
      </w:r>
      <w:r w:rsidR="00CF5F03">
        <w:rPr>
          <w:bCs/>
          <w:szCs w:val="24"/>
        </w:rPr>
        <w:t xml:space="preserve">Likewise, Columbia </w:t>
      </w:r>
      <w:r w:rsidR="00423BF7">
        <w:rPr>
          <w:bCs/>
          <w:szCs w:val="24"/>
        </w:rPr>
        <w:t xml:space="preserve">agreed </w:t>
      </w:r>
      <w:r w:rsidR="00CF5F03">
        <w:rPr>
          <w:bCs/>
          <w:szCs w:val="24"/>
        </w:rPr>
        <w:t xml:space="preserve">to reduce its remaining deferral authority to $10 million as of the issuance of the </w:t>
      </w:r>
      <w:r w:rsidR="006140C3">
        <w:rPr>
          <w:bCs/>
          <w:szCs w:val="24"/>
        </w:rPr>
        <w:t>PUCO’s decision</w:t>
      </w:r>
      <w:r w:rsidR="00CF5F03">
        <w:rPr>
          <w:bCs/>
          <w:szCs w:val="24"/>
        </w:rPr>
        <w:t xml:space="preserve"> in the 2021 Rate Case (January 23, 2023).</w:t>
      </w:r>
      <w:r w:rsidR="006140C3">
        <w:rPr>
          <w:bCs/>
          <w:szCs w:val="24"/>
        </w:rPr>
        <w:t xml:space="preserve"> The PUCO Staff’s calculations are accurate and </w:t>
      </w:r>
      <w:r w:rsidR="00423BF7">
        <w:rPr>
          <w:bCs/>
          <w:szCs w:val="24"/>
        </w:rPr>
        <w:t>reflect the Rate Case Settlement.</w:t>
      </w:r>
      <w:r w:rsidR="00D3542A" w:rsidRPr="00D3542A">
        <w:t xml:space="preserve"> </w:t>
      </w:r>
      <w:r w:rsidR="00D3542A">
        <w:rPr>
          <w:bCs/>
          <w:szCs w:val="24"/>
        </w:rPr>
        <w:t>Departing from</w:t>
      </w:r>
      <w:r w:rsidR="00D3542A" w:rsidRPr="00D3542A">
        <w:rPr>
          <w:bCs/>
          <w:szCs w:val="24"/>
        </w:rPr>
        <w:t xml:space="preserve"> the PUCO Staff’s position would undermine the settlement process</w:t>
      </w:r>
      <w:r w:rsidR="00D3542A">
        <w:rPr>
          <w:bCs/>
          <w:szCs w:val="24"/>
        </w:rPr>
        <w:t xml:space="preserve"> and the PUCO orders adopting them</w:t>
      </w:r>
      <w:r w:rsidR="00D3542A" w:rsidRPr="00D3542A">
        <w:rPr>
          <w:bCs/>
          <w:szCs w:val="24"/>
        </w:rPr>
        <w:t>, calling into question the finality and reliability of settlements. This could lead to parties simply being unwilling to settle.</w:t>
      </w:r>
      <w:r w:rsidR="008664DB">
        <w:rPr>
          <w:bCs/>
          <w:szCs w:val="24"/>
        </w:rPr>
        <w:t xml:space="preserve"> </w:t>
      </w:r>
    </w:p>
    <w:p w14:paraId="26B8F75E" w14:textId="77777777" w:rsidR="00406B6F" w:rsidRPr="00AF71E9" w:rsidRDefault="00406B6F" w:rsidP="006140C3">
      <w:pPr>
        <w:spacing w:line="480" w:lineRule="auto"/>
        <w:ind w:right="720" w:firstLine="720"/>
        <w:rPr>
          <w:szCs w:val="24"/>
        </w:rPr>
      </w:pPr>
    </w:p>
    <w:p w14:paraId="7F5DFDED" w14:textId="77777777" w:rsidR="00D45FC3" w:rsidRPr="00AF71E9" w:rsidRDefault="00D329B2" w:rsidP="00D45FC3">
      <w:pPr>
        <w:pStyle w:val="Heading1"/>
        <w:ind w:left="0"/>
      </w:pPr>
      <w:bookmarkStart w:id="3" w:name="_Toc403985597"/>
      <w:r>
        <w:t>II</w:t>
      </w:r>
      <w:r w:rsidRPr="00AF71E9">
        <w:t>I.</w:t>
      </w:r>
      <w:r w:rsidRPr="00AF71E9">
        <w:tab/>
        <w:t>CONCLUSION</w:t>
      </w:r>
      <w:bookmarkEnd w:id="3"/>
    </w:p>
    <w:p w14:paraId="6F956C9D" w14:textId="57C9D848" w:rsidR="009D1E6C" w:rsidRPr="00AF71E9" w:rsidRDefault="00D329B2" w:rsidP="00D45FC3">
      <w:pPr>
        <w:pStyle w:val="BodyTextIndent3"/>
        <w:widowControl w:val="0"/>
        <w:spacing w:line="480" w:lineRule="auto"/>
        <w:rPr>
          <w:szCs w:val="24"/>
        </w:rPr>
      </w:pPr>
      <w:r>
        <w:rPr>
          <w:szCs w:val="24"/>
        </w:rPr>
        <w:t xml:space="preserve">For consumer protection, </w:t>
      </w:r>
      <w:r w:rsidR="00423BF7">
        <w:rPr>
          <w:szCs w:val="24"/>
        </w:rPr>
        <w:t>t</w:t>
      </w:r>
      <w:r>
        <w:rPr>
          <w:szCs w:val="24"/>
        </w:rPr>
        <w:t>he PUCO should</w:t>
      </w:r>
      <w:r w:rsidR="00EF5130">
        <w:rPr>
          <w:szCs w:val="24"/>
        </w:rPr>
        <w:t xml:space="preserve"> </w:t>
      </w:r>
      <w:r w:rsidR="00423BF7">
        <w:rPr>
          <w:szCs w:val="24"/>
        </w:rPr>
        <w:t xml:space="preserve">adopt its Staff’s recommendations to adjust Columbia’s PSP deferral by </w:t>
      </w:r>
      <w:r w:rsidR="00621568" w:rsidRPr="00444B28">
        <w:t>$</w:t>
      </w:r>
      <w:r w:rsidR="00621568">
        <w:t>3,968,858</w:t>
      </w:r>
      <w:r w:rsidR="00EF5130">
        <w:rPr>
          <w:szCs w:val="24"/>
        </w:rPr>
        <w:t xml:space="preserve">. </w:t>
      </w:r>
    </w:p>
    <w:p w14:paraId="5274BBE5" w14:textId="77777777" w:rsidR="000C19F3" w:rsidRDefault="00D329B2">
      <w:pPr>
        <w:spacing w:after="200" w:line="276" w:lineRule="auto"/>
        <w:rPr>
          <w:szCs w:val="24"/>
        </w:rPr>
      </w:pPr>
      <w:r>
        <w:rPr>
          <w:szCs w:val="24"/>
        </w:rPr>
        <w:br w:type="page"/>
      </w:r>
    </w:p>
    <w:p w14:paraId="645D32BE" w14:textId="77777777" w:rsidR="007E073B" w:rsidRPr="007E073B" w:rsidRDefault="00D329B2" w:rsidP="007E073B">
      <w:pPr>
        <w:ind w:left="4320"/>
        <w:rPr>
          <w:szCs w:val="24"/>
        </w:rPr>
      </w:pPr>
      <w:r w:rsidRPr="007E073B">
        <w:rPr>
          <w:szCs w:val="24"/>
        </w:rPr>
        <w:lastRenderedPageBreak/>
        <w:t>Respectfully submitted,</w:t>
      </w:r>
    </w:p>
    <w:p w14:paraId="66709A15" w14:textId="77777777" w:rsidR="007E073B" w:rsidRPr="007E073B" w:rsidRDefault="007E073B" w:rsidP="007E073B">
      <w:pPr>
        <w:ind w:left="4320"/>
        <w:rPr>
          <w:szCs w:val="24"/>
        </w:rPr>
      </w:pPr>
    </w:p>
    <w:p w14:paraId="08D40986" w14:textId="77777777" w:rsidR="007E073B" w:rsidRPr="007E073B" w:rsidRDefault="00D329B2" w:rsidP="007E073B">
      <w:pPr>
        <w:ind w:left="4320"/>
        <w:rPr>
          <w:szCs w:val="24"/>
        </w:rPr>
      </w:pPr>
      <w:r w:rsidRPr="007E073B">
        <w:rPr>
          <w:szCs w:val="24"/>
        </w:rPr>
        <w:t>Maureen R. Willis (0020847)</w:t>
      </w:r>
    </w:p>
    <w:p w14:paraId="497E10C0" w14:textId="77777777" w:rsidR="007E073B" w:rsidRPr="007E073B" w:rsidRDefault="00D329B2" w:rsidP="007E073B">
      <w:pPr>
        <w:ind w:left="4320"/>
        <w:rPr>
          <w:szCs w:val="24"/>
        </w:rPr>
      </w:pPr>
      <w:r w:rsidRPr="007E073B">
        <w:rPr>
          <w:szCs w:val="24"/>
        </w:rPr>
        <w:t>Ohio Consumers’ Counsel</w:t>
      </w:r>
    </w:p>
    <w:p w14:paraId="04558300" w14:textId="77777777" w:rsidR="007E073B" w:rsidRPr="007E073B" w:rsidRDefault="007E073B" w:rsidP="007E073B">
      <w:pPr>
        <w:ind w:left="4320"/>
        <w:rPr>
          <w:szCs w:val="24"/>
        </w:rPr>
      </w:pPr>
    </w:p>
    <w:p w14:paraId="5F8F4408" w14:textId="77777777" w:rsidR="007E073B" w:rsidRPr="007E073B" w:rsidRDefault="00D329B2" w:rsidP="007E073B">
      <w:pPr>
        <w:ind w:left="4320"/>
        <w:rPr>
          <w:i/>
          <w:iCs/>
          <w:szCs w:val="24"/>
          <w:u w:val="single"/>
        </w:rPr>
      </w:pPr>
      <w:r w:rsidRPr="007E073B">
        <w:rPr>
          <w:i/>
          <w:iCs/>
          <w:szCs w:val="24"/>
          <w:u w:val="single"/>
        </w:rPr>
        <w:t xml:space="preserve">/s/ </w:t>
      </w:r>
      <w:r w:rsidRPr="007E073B">
        <w:rPr>
          <w:i/>
          <w:iCs/>
          <w:szCs w:val="24"/>
          <w:u w:val="single"/>
        </w:rPr>
        <w:t>William J. Michael</w:t>
      </w:r>
    </w:p>
    <w:p w14:paraId="1631C71E" w14:textId="77777777" w:rsidR="007E073B" w:rsidRPr="007E073B" w:rsidRDefault="00D329B2" w:rsidP="007E073B">
      <w:pPr>
        <w:ind w:left="4320"/>
        <w:rPr>
          <w:szCs w:val="24"/>
        </w:rPr>
      </w:pPr>
      <w:r w:rsidRPr="007E073B">
        <w:rPr>
          <w:szCs w:val="24"/>
        </w:rPr>
        <w:t>William J. Michael (0070921)</w:t>
      </w:r>
    </w:p>
    <w:p w14:paraId="0EB08612" w14:textId="77777777" w:rsidR="007E073B" w:rsidRPr="007E073B" w:rsidRDefault="00D329B2" w:rsidP="007E073B">
      <w:pPr>
        <w:ind w:left="4320"/>
        <w:rPr>
          <w:szCs w:val="24"/>
        </w:rPr>
      </w:pPr>
      <w:r w:rsidRPr="007E073B">
        <w:rPr>
          <w:szCs w:val="24"/>
        </w:rPr>
        <w:t>Counsel of Record</w:t>
      </w:r>
    </w:p>
    <w:p w14:paraId="25140E8C" w14:textId="77777777" w:rsidR="007E073B" w:rsidRPr="007E073B" w:rsidRDefault="00D329B2" w:rsidP="007E073B">
      <w:pPr>
        <w:ind w:left="4320"/>
        <w:rPr>
          <w:szCs w:val="24"/>
        </w:rPr>
      </w:pPr>
      <w:r w:rsidRPr="007E073B">
        <w:rPr>
          <w:szCs w:val="24"/>
        </w:rPr>
        <w:t>John B. Steinhart (0099554)</w:t>
      </w:r>
    </w:p>
    <w:p w14:paraId="0D7ED892" w14:textId="77777777" w:rsidR="007E073B" w:rsidRPr="007E073B" w:rsidRDefault="00D329B2" w:rsidP="007E073B">
      <w:pPr>
        <w:ind w:left="4320"/>
        <w:rPr>
          <w:szCs w:val="24"/>
        </w:rPr>
      </w:pPr>
      <w:r w:rsidRPr="007E073B">
        <w:rPr>
          <w:szCs w:val="24"/>
        </w:rPr>
        <w:t>Assistant Consumers’ Counsel</w:t>
      </w:r>
    </w:p>
    <w:p w14:paraId="564705FF" w14:textId="77777777" w:rsidR="007E073B" w:rsidRPr="007E073B" w:rsidRDefault="00D329B2" w:rsidP="007E073B">
      <w:pPr>
        <w:ind w:left="4320"/>
        <w:rPr>
          <w:szCs w:val="24"/>
        </w:rPr>
      </w:pPr>
      <w:r w:rsidRPr="007E073B">
        <w:rPr>
          <w:szCs w:val="24"/>
        </w:rPr>
        <w:t>John Varanese (0044176)</w:t>
      </w:r>
    </w:p>
    <w:p w14:paraId="7DBDE0DF" w14:textId="77777777" w:rsidR="007E073B" w:rsidRPr="007E073B" w:rsidRDefault="00D329B2" w:rsidP="007E073B">
      <w:pPr>
        <w:ind w:left="4320"/>
        <w:rPr>
          <w:szCs w:val="24"/>
        </w:rPr>
      </w:pPr>
      <w:r w:rsidRPr="007E073B">
        <w:rPr>
          <w:szCs w:val="24"/>
        </w:rPr>
        <w:t>Assistant Consumers’ Counsel</w:t>
      </w:r>
    </w:p>
    <w:p w14:paraId="7868D806" w14:textId="77777777" w:rsidR="007E073B" w:rsidRPr="007E073B" w:rsidRDefault="007E073B" w:rsidP="007E073B">
      <w:pPr>
        <w:ind w:left="4320"/>
        <w:rPr>
          <w:szCs w:val="24"/>
        </w:rPr>
      </w:pPr>
    </w:p>
    <w:p w14:paraId="693458AF" w14:textId="77777777" w:rsidR="007E073B" w:rsidRPr="007E073B" w:rsidRDefault="00D329B2" w:rsidP="007E073B">
      <w:pPr>
        <w:ind w:left="4320"/>
        <w:rPr>
          <w:b/>
          <w:szCs w:val="24"/>
        </w:rPr>
      </w:pPr>
      <w:r w:rsidRPr="007E073B">
        <w:rPr>
          <w:b/>
          <w:szCs w:val="24"/>
        </w:rPr>
        <w:t>Office of the Ohio Consumers’ Counsel</w:t>
      </w:r>
    </w:p>
    <w:p w14:paraId="183B312E" w14:textId="77777777" w:rsidR="007E073B" w:rsidRPr="007E073B" w:rsidRDefault="00D329B2" w:rsidP="007E073B">
      <w:pPr>
        <w:ind w:left="4320"/>
        <w:rPr>
          <w:szCs w:val="24"/>
        </w:rPr>
      </w:pPr>
      <w:r w:rsidRPr="007E073B">
        <w:rPr>
          <w:szCs w:val="24"/>
        </w:rPr>
        <w:t>65 East State Street, Suite 700</w:t>
      </w:r>
    </w:p>
    <w:p w14:paraId="31DA7200" w14:textId="77777777" w:rsidR="007E073B" w:rsidRPr="007E073B" w:rsidRDefault="00D329B2" w:rsidP="007E073B">
      <w:pPr>
        <w:ind w:left="4320"/>
        <w:rPr>
          <w:szCs w:val="24"/>
        </w:rPr>
      </w:pPr>
      <w:r w:rsidRPr="007E073B">
        <w:rPr>
          <w:szCs w:val="24"/>
        </w:rPr>
        <w:t>Columbus, Ohio 43215</w:t>
      </w:r>
    </w:p>
    <w:p w14:paraId="24543DFF" w14:textId="77777777" w:rsidR="007E073B" w:rsidRPr="007E073B" w:rsidRDefault="00D329B2" w:rsidP="007E073B">
      <w:pPr>
        <w:ind w:left="4320"/>
        <w:rPr>
          <w:szCs w:val="24"/>
        </w:rPr>
      </w:pPr>
      <w:r w:rsidRPr="007E073B">
        <w:rPr>
          <w:szCs w:val="24"/>
        </w:rPr>
        <w:t>Telephone [Michael]: (614) 466-1291</w:t>
      </w:r>
    </w:p>
    <w:p w14:paraId="4EDB2ADD" w14:textId="77777777" w:rsidR="007E073B" w:rsidRPr="007E073B" w:rsidRDefault="00D329B2" w:rsidP="007E073B">
      <w:pPr>
        <w:ind w:left="4320"/>
        <w:rPr>
          <w:szCs w:val="24"/>
        </w:rPr>
      </w:pPr>
      <w:r w:rsidRPr="007E073B">
        <w:rPr>
          <w:szCs w:val="24"/>
        </w:rPr>
        <w:t>Telephone [Steinhart]: (317) 397-5310</w:t>
      </w:r>
    </w:p>
    <w:p w14:paraId="49084836" w14:textId="77777777" w:rsidR="007E073B" w:rsidRPr="007E073B" w:rsidRDefault="00D329B2" w:rsidP="007E073B">
      <w:pPr>
        <w:ind w:left="4320"/>
        <w:rPr>
          <w:szCs w:val="24"/>
        </w:rPr>
      </w:pPr>
      <w:r w:rsidRPr="007E073B">
        <w:rPr>
          <w:szCs w:val="24"/>
        </w:rPr>
        <w:t>Telephone [Varanese]: (614) 387-2965</w:t>
      </w:r>
    </w:p>
    <w:p w14:paraId="5DC716FB" w14:textId="77777777" w:rsidR="007E073B" w:rsidRPr="007E073B" w:rsidRDefault="00D329B2" w:rsidP="007E073B">
      <w:pPr>
        <w:ind w:left="4320"/>
        <w:rPr>
          <w:szCs w:val="24"/>
          <w:u w:val="single"/>
        </w:rPr>
      </w:pPr>
      <w:hyperlink r:id="rId8" w:history="1">
        <w:r w:rsidRPr="007E073B">
          <w:rPr>
            <w:rStyle w:val="Hyperlink"/>
            <w:szCs w:val="24"/>
          </w:rPr>
          <w:t>william.michael@occ.ohio.gov</w:t>
        </w:r>
      </w:hyperlink>
    </w:p>
    <w:p w14:paraId="39C99372" w14:textId="77777777" w:rsidR="007E073B" w:rsidRPr="007E073B" w:rsidRDefault="00D329B2" w:rsidP="007E073B">
      <w:pPr>
        <w:ind w:left="4320"/>
        <w:rPr>
          <w:szCs w:val="24"/>
          <w:u w:val="single"/>
        </w:rPr>
      </w:pPr>
      <w:hyperlink r:id="rId9" w:history="1">
        <w:r w:rsidRPr="007E073B">
          <w:rPr>
            <w:rStyle w:val="Hyperlink"/>
            <w:szCs w:val="24"/>
          </w:rPr>
          <w:t>john.steinhart@occ.ohio.gov</w:t>
        </w:r>
      </w:hyperlink>
    </w:p>
    <w:p w14:paraId="052A4459" w14:textId="77777777" w:rsidR="007E073B" w:rsidRPr="007E073B" w:rsidRDefault="00D329B2" w:rsidP="007E073B">
      <w:pPr>
        <w:ind w:left="4320"/>
        <w:rPr>
          <w:szCs w:val="24"/>
          <w:u w:val="single"/>
        </w:rPr>
      </w:pPr>
      <w:r w:rsidRPr="007E073B">
        <w:rPr>
          <w:szCs w:val="24"/>
          <w:u w:val="single"/>
        </w:rPr>
        <w:t>john.varanese@occ.ohio.gov</w:t>
      </w:r>
    </w:p>
    <w:p w14:paraId="13E8BC8A" w14:textId="418CCC32" w:rsidR="000C19F3" w:rsidRPr="00AF71E9" w:rsidRDefault="00D329B2" w:rsidP="007E073B">
      <w:pPr>
        <w:ind w:left="4320"/>
        <w:rPr>
          <w:szCs w:val="24"/>
        </w:rPr>
      </w:pPr>
      <w:r w:rsidRPr="007E073B">
        <w:rPr>
          <w:szCs w:val="24"/>
        </w:rPr>
        <w:t>(willing to accept service by e-mail)</w:t>
      </w:r>
    </w:p>
    <w:p w14:paraId="6295BB3E" w14:textId="77777777" w:rsidR="00D45FC3" w:rsidRPr="00AF71E9" w:rsidRDefault="00D45FC3" w:rsidP="00D45FC3">
      <w:pPr>
        <w:rPr>
          <w:szCs w:val="24"/>
        </w:rPr>
      </w:pPr>
    </w:p>
    <w:p w14:paraId="253D33CF" w14:textId="77777777" w:rsidR="00D45FC3" w:rsidRPr="00AF71E9" w:rsidRDefault="00D45FC3" w:rsidP="00D45FC3">
      <w:pPr>
        <w:jc w:val="right"/>
        <w:rPr>
          <w:szCs w:val="24"/>
        </w:rPr>
      </w:pPr>
    </w:p>
    <w:p w14:paraId="37F95076" w14:textId="77777777" w:rsidR="00E959CA" w:rsidRDefault="00D329B2">
      <w:pPr>
        <w:spacing w:after="200" w:line="276" w:lineRule="auto"/>
        <w:rPr>
          <w:b/>
          <w:bCs/>
          <w:szCs w:val="24"/>
          <w:u w:val="single"/>
        </w:rPr>
      </w:pPr>
      <w:r>
        <w:rPr>
          <w:b/>
          <w:bCs/>
          <w:szCs w:val="24"/>
          <w:u w:val="single"/>
        </w:rPr>
        <w:br w:type="page"/>
      </w:r>
    </w:p>
    <w:p w14:paraId="7290848C" w14:textId="77777777" w:rsidR="00D45FC3" w:rsidRPr="00AF71E9" w:rsidRDefault="00D329B2" w:rsidP="00D45FC3">
      <w:pPr>
        <w:ind w:left="2160" w:firstLine="720"/>
        <w:rPr>
          <w:b/>
          <w:bCs/>
          <w:szCs w:val="24"/>
          <w:u w:val="single"/>
        </w:rPr>
      </w:pPr>
      <w:r w:rsidRPr="00AF71E9">
        <w:rPr>
          <w:b/>
          <w:bCs/>
          <w:szCs w:val="24"/>
          <w:u w:val="single"/>
        </w:rPr>
        <w:lastRenderedPageBreak/>
        <w:t>CERTIFICATE OF SERVICE</w:t>
      </w:r>
    </w:p>
    <w:p w14:paraId="2D39EC37" w14:textId="5FE23E91" w:rsidR="00D45FC3" w:rsidRPr="00AF71E9" w:rsidRDefault="00D329B2" w:rsidP="00D45FC3">
      <w:pPr>
        <w:spacing w:line="480" w:lineRule="atLeast"/>
        <w:rPr>
          <w:szCs w:val="24"/>
        </w:rPr>
      </w:pPr>
      <w:r w:rsidRPr="00AF71E9">
        <w:rPr>
          <w:szCs w:val="24"/>
        </w:rPr>
        <w:tab/>
      </w:r>
      <w:r w:rsidRPr="00AF71E9">
        <w:rPr>
          <w:szCs w:val="24"/>
        </w:rPr>
        <w:t xml:space="preserve">I hereby certify that a copy of these </w:t>
      </w:r>
      <w:r w:rsidRPr="008664DB">
        <w:rPr>
          <w:iCs/>
          <w:szCs w:val="24"/>
        </w:rPr>
        <w:t xml:space="preserve">Comments </w:t>
      </w:r>
      <w:r w:rsidR="009E5BAA" w:rsidRPr="009E5BAA">
        <w:rPr>
          <w:szCs w:val="24"/>
        </w:rPr>
        <w:t xml:space="preserve">has been served electronically upon those persons listed below this </w:t>
      </w:r>
      <w:r w:rsidR="0027171B">
        <w:rPr>
          <w:szCs w:val="24"/>
        </w:rPr>
        <w:t>30</w:t>
      </w:r>
      <w:r w:rsidR="0027171B" w:rsidRPr="0027171B">
        <w:rPr>
          <w:szCs w:val="24"/>
          <w:vertAlign w:val="superscript"/>
        </w:rPr>
        <w:t>th</w:t>
      </w:r>
      <w:r w:rsidR="0027171B">
        <w:rPr>
          <w:szCs w:val="24"/>
        </w:rPr>
        <w:t xml:space="preserve"> </w:t>
      </w:r>
      <w:r w:rsidR="009E5BAA" w:rsidRPr="009E5BAA">
        <w:rPr>
          <w:szCs w:val="24"/>
        </w:rPr>
        <w:t>day of September 2024.</w:t>
      </w:r>
    </w:p>
    <w:p w14:paraId="2227CF7A" w14:textId="77777777" w:rsidR="00D45FC3" w:rsidRPr="00AF71E9" w:rsidRDefault="00D45FC3" w:rsidP="00D45FC3">
      <w:pPr>
        <w:spacing w:line="480" w:lineRule="atLeast"/>
        <w:rPr>
          <w:szCs w:val="24"/>
        </w:rPr>
      </w:pPr>
    </w:p>
    <w:p w14:paraId="3086D4A9" w14:textId="72396585" w:rsidR="009E5BAA" w:rsidRPr="007E073B" w:rsidRDefault="00D329B2" w:rsidP="009E5BAA">
      <w:pPr>
        <w:ind w:left="4320"/>
        <w:rPr>
          <w:i/>
          <w:iCs/>
          <w:szCs w:val="24"/>
          <w:u w:val="single"/>
        </w:rPr>
      </w:pPr>
      <w:r w:rsidRPr="007E073B">
        <w:rPr>
          <w:i/>
          <w:iCs/>
          <w:szCs w:val="24"/>
          <w:u w:val="single"/>
        </w:rPr>
        <w:t>s/ William J. Michael</w:t>
      </w:r>
    </w:p>
    <w:p w14:paraId="3635E919" w14:textId="3E4C965B" w:rsidR="00D45FC3" w:rsidRPr="00AF71E9" w:rsidRDefault="00D329B2" w:rsidP="00D45FC3">
      <w:pPr>
        <w:tabs>
          <w:tab w:val="left" w:pos="4320"/>
        </w:tabs>
        <w:rPr>
          <w:szCs w:val="24"/>
        </w:rPr>
      </w:pPr>
      <w:r w:rsidRPr="00AF71E9">
        <w:rPr>
          <w:szCs w:val="24"/>
        </w:rPr>
        <w:tab/>
      </w:r>
      <w:r w:rsidR="009E5BAA">
        <w:rPr>
          <w:szCs w:val="24"/>
        </w:rPr>
        <w:t>William J. Michael</w:t>
      </w:r>
    </w:p>
    <w:p w14:paraId="4D3C4304" w14:textId="77777777" w:rsidR="00D45FC3" w:rsidRPr="00AF71E9" w:rsidRDefault="00D329B2" w:rsidP="00D45FC3">
      <w:pPr>
        <w:tabs>
          <w:tab w:val="left" w:pos="4320"/>
        </w:tabs>
        <w:rPr>
          <w:szCs w:val="24"/>
        </w:rPr>
      </w:pPr>
      <w:r w:rsidRPr="00AF71E9">
        <w:rPr>
          <w:szCs w:val="24"/>
        </w:rPr>
        <w:tab/>
        <w:t>Assistant Consumers’ Counsel</w:t>
      </w:r>
    </w:p>
    <w:p w14:paraId="1BE3CF9D" w14:textId="77777777" w:rsidR="00D45FC3" w:rsidRPr="00AF71E9" w:rsidRDefault="00D45FC3" w:rsidP="00D45FC3">
      <w:pPr>
        <w:pStyle w:val="CommentSubject"/>
        <w:rPr>
          <w:szCs w:val="24"/>
        </w:rPr>
      </w:pPr>
    </w:p>
    <w:p w14:paraId="0DA087BD" w14:textId="77777777" w:rsidR="00D45FC3" w:rsidRPr="00AF71E9" w:rsidRDefault="00D45FC3" w:rsidP="00D45FC3">
      <w:pPr>
        <w:pStyle w:val="CommentText"/>
      </w:pPr>
    </w:p>
    <w:p w14:paraId="01B9907A" w14:textId="77777777" w:rsidR="003F21B4" w:rsidRDefault="00D329B2" w:rsidP="003F21B4">
      <w:pPr>
        <w:tabs>
          <w:tab w:val="left" w:pos="-720"/>
        </w:tabs>
        <w:suppressAutoHyphens/>
        <w:spacing w:line="240" w:lineRule="atLeast"/>
        <w:jc w:val="center"/>
        <w:rPr>
          <w:b/>
          <w:color w:val="000000"/>
          <w:szCs w:val="24"/>
          <w:u w:val="single"/>
        </w:rPr>
      </w:pPr>
      <w:r>
        <w:rPr>
          <w:b/>
          <w:color w:val="000000"/>
          <w:szCs w:val="24"/>
          <w:u w:val="single"/>
        </w:rPr>
        <w:t>SERVICE LIST</w:t>
      </w:r>
    </w:p>
    <w:p w14:paraId="46E84E58" w14:textId="77777777" w:rsidR="003F21B4" w:rsidRDefault="003F21B4" w:rsidP="003F21B4">
      <w:pPr>
        <w:tabs>
          <w:tab w:val="left" w:pos="4320"/>
        </w:tabs>
        <w:jc w:val="center"/>
        <w:rPr>
          <w:b/>
          <w:szCs w:val="24"/>
          <w:u w:val="single"/>
        </w:rPr>
      </w:pPr>
    </w:p>
    <w:tbl>
      <w:tblPr>
        <w:tblW w:w="0" w:type="auto"/>
        <w:tblLook w:val="01E0" w:firstRow="1" w:lastRow="1" w:firstColumn="1" w:lastColumn="1" w:noHBand="0" w:noVBand="0"/>
      </w:tblPr>
      <w:tblGrid>
        <w:gridCol w:w="8421"/>
        <w:gridCol w:w="219"/>
      </w:tblGrid>
      <w:tr w:rsidR="00875EB6" w14:paraId="30A735C7" w14:textId="77777777" w:rsidTr="00D21279">
        <w:tc>
          <w:tcPr>
            <w:tcW w:w="4514" w:type="dxa"/>
            <w:shd w:val="clear" w:color="auto" w:fill="auto"/>
          </w:tcPr>
          <w:p w14:paraId="59125E63" w14:textId="77777777" w:rsidR="003F21B4" w:rsidRPr="00022D15" w:rsidRDefault="003F21B4" w:rsidP="00D21279">
            <w:pPr>
              <w:widowControl w:val="0"/>
              <w:autoSpaceDE w:val="0"/>
              <w:autoSpaceDN w:val="0"/>
              <w:adjustRightInd w:val="0"/>
              <w:rPr>
                <w:szCs w:val="24"/>
              </w:rPr>
            </w:pPr>
          </w:p>
        </w:tc>
        <w:tc>
          <w:tcPr>
            <w:tcW w:w="4342" w:type="dxa"/>
            <w:shd w:val="clear" w:color="auto" w:fill="auto"/>
          </w:tcPr>
          <w:p w14:paraId="30BBD355" w14:textId="77777777" w:rsidR="003F21B4" w:rsidRPr="00022D15" w:rsidRDefault="003F21B4" w:rsidP="00D21279">
            <w:pPr>
              <w:widowControl w:val="0"/>
              <w:autoSpaceDE w:val="0"/>
              <w:autoSpaceDN w:val="0"/>
              <w:adjustRightInd w:val="0"/>
              <w:rPr>
                <w:szCs w:val="24"/>
              </w:rPr>
            </w:pPr>
          </w:p>
        </w:tc>
      </w:tr>
      <w:tr w:rsidR="00875EB6" w14:paraId="3E75E4BE" w14:textId="77777777" w:rsidTr="00D212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14" w:type="dxa"/>
            <w:tcBorders>
              <w:top w:val="nil"/>
              <w:left w:val="nil"/>
              <w:bottom w:val="nil"/>
              <w:right w:val="nil"/>
            </w:tcBorders>
            <w:shd w:val="clear" w:color="auto" w:fill="auto"/>
          </w:tcPr>
          <w:p w14:paraId="19C6DB3A" w14:textId="77777777" w:rsidR="003F21B4" w:rsidRPr="000023DB" w:rsidRDefault="003F21B4" w:rsidP="00D21279">
            <w:pPr>
              <w:ind w:right="720"/>
              <w:jc w:val="center"/>
              <w:rPr>
                <w:b/>
                <w:u w:val="single"/>
              </w:rPr>
            </w:pPr>
          </w:p>
          <w:tbl>
            <w:tblPr>
              <w:tblW w:w="18360" w:type="dxa"/>
              <w:tblLook w:val="04A0" w:firstRow="1" w:lastRow="0" w:firstColumn="1" w:lastColumn="0" w:noHBand="0" w:noVBand="1"/>
            </w:tblPr>
            <w:tblGrid>
              <w:gridCol w:w="4500"/>
              <w:gridCol w:w="4500"/>
              <w:gridCol w:w="4500"/>
              <w:gridCol w:w="4860"/>
            </w:tblGrid>
            <w:tr w:rsidR="00875EB6" w14:paraId="1FBF3AD4" w14:textId="77777777" w:rsidTr="00D21279">
              <w:tc>
                <w:tcPr>
                  <w:tcW w:w="4500" w:type="dxa"/>
                  <w:shd w:val="clear" w:color="auto" w:fill="auto"/>
                </w:tcPr>
                <w:p w14:paraId="7CD501EE" w14:textId="77777777" w:rsidR="003F21B4" w:rsidRDefault="00D329B2" w:rsidP="00D21279">
                  <w:pPr>
                    <w:pStyle w:val="BodyText"/>
                    <w:widowControl w:val="0"/>
                    <w:autoSpaceDE w:val="0"/>
                    <w:autoSpaceDN w:val="0"/>
                    <w:adjustRightInd w:val="0"/>
                    <w:rPr>
                      <w:szCs w:val="24"/>
                    </w:rPr>
                  </w:pPr>
                  <w:hyperlink r:id="rId10" w:history="1">
                    <w:r w:rsidRPr="00F51654">
                      <w:rPr>
                        <w:rStyle w:val="Hyperlink"/>
                        <w:szCs w:val="24"/>
                      </w:rPr>
                      <w:t>Thomas.lindren@ohioAGO.gov</w:t>
                    </w:r>
                  </w:hyperlink>
                </w:p>
                <w:p w14:paraId="12B7FAB4" w14:textId="77777777" w:rsidR="003F21B4" w:rsidRDefault="003F21B4" w:rsidP="00D21279">
                  <w:pPr>
                    <w:pStyle w:val="BodyText"/>
                    <w:widowControl w:val="0"/>
                    <w:autoSpaceDE w:val="0"/>
                    <w:autoSpaceDN w:val="0"/>
                    <w:adjustRightInd w:val="0"/>
                    <w:rPr>
                      <w:szCs w:val="24"/>
                    </w:rPr>
                  </w:pPr>
                </w:p>
                <w:p w14:paraId="37198CF4" w14:textId="77777777" w:rsidR="003F21B4" w:rsidRPr="00F33ACC" w:rsidRDefault="00D329B2" w:rsidP="00D21279">
                  <w:pPr>
                    <w:pStyle w:val="BodyText"/>
                    <w:widowControl w:val="0"/>
                    <w:autoSpaceDE w:val="0"/>
                    <w:autoSpaceDN w:val="0"/>
                    <w:adjustRightInd w:val="0"/>
                    <w:rPr>
                      <w:szCs w:val="24"/>
                    </w:rPr>
                  </w:pPr>
                  <w:r w:rsidRPr="00F33ACC">
                    <w:rPr>
                      <w:szCs w:val="24"/>
                    </w:rPr>
                    <w:t>Attorney Examines:</w:t>
                  </w:r>
                </w:p>
                <w:p w14:paraId="6A414401" w14:textId="77777777" w:rsidR="003F21B4" w:rsidRDefault="00D329B2" w:rsidP="00D21279">
                  <w:pPr>
                    <w:pStyle w:val="BodyText"/>
                    <w:widowControl w:val="0"/>
                    <w:autoSpaceDE w:val="0"/>
                    <w:autoSpaceDN w:val="0"/>
                    <w:adjustRightInd w:val="0"/>
                    <w:rPr>
                      <w:szCs w:val="24"/>
                    </w:rPr>
                  </w:pPr>
                  <w:hyperlink r:id="rId11" w:history="1">
                    <w:r w:rsidRPr="00F51654">
                      <w:rPr>
                        <w:rStyle w:val="Hyperlink"/>
                        <w:szCs w:val="24"/>
                      </w:rPr>
                      <w:t>Mandy.willey@puco.ohio.gov</w:t>
                    </w:r>
                  </w:hyperlink>
                </w:p>
                <w:p w14:paraId="64DAD29F" w14:textId="77777777" w:rsidR="003F21B4" w:rsidRPr="00F33ACC" w:rsidRDefault="003F21B4" w:rsidP="00D21279">
                  <w:pPr>
                    <w:pStyle w:val="BodyText"/>
                    <w:widowControl w:val="0"/>
                    <w:autoSpaceDE w:val="0"/>
                    <w:autoSpaceDN w:val="0"/>
                    <w:adjustRightInd w:val="0"/>
                    <w:rPr>
                      <w:szCs w:val="24"/>
                    </w:rPr>
                  </w:pPr>
                </w:p>
                <w:p w14:paraId="39CF0C0F" w14:textId="77777777" w:rsidR="003F21B4" w:rsidRPr="00F33ACC" w:rsidRDefault="003F21B4" w:rsidP="00D21279">
                  <w:pPr>
                    <w:pStyle w:val="BodyText"/>
                    <w:widowControl w:val="0"/>
                    <w:autoSpaceDE w:val="0"/>
                    <w:autoSpaceDN w:val="0"/>
                    <w:adjustRightInd w:val="0"/>
                    <w:rPr>
                      <w:szCs w:val="24"/>
                    </w:rPr>
                  </w:pPr>
                </w:p>
                <w:p w14:paraId="570E5D4F" w14:textId="77777777" w:rsidR="003F21B4" w:rsidRPr="000023DB" w:rsidRDefault="003F21B4" w:rsidP="00D21279">
                  <w:pPr>
                    <w:widowControl w:val="0"/>
                    <w:autoSpaceDE w:val="0"/>
                    <w:autoSpaceDN w:val="0"/>
                    <w:adjustRightInd w:val="0"/>
                    <w:spacing w:after="120"/>
                    <w:ind w:right="720"/>
                  </w:pPr>
                </w:p>
              </w:tc>
              <w:tc>
                <w:tcPr>
                  <w:tcW w:w="4500" w:type="dxa"/>
                  <w:shd w:val="clear" w:color="auto" w:fill="auto"/>
                </w:tcPr>
                <w:p w14:paraId="5D1E92F0" w14:textId="77777777" w:rsidR="003F21B4" w:rsidRDefault="00D329B2" w:rsidP="00D21279">
                  <w:pPr>
                    <w:widowControl w:val="0"/>
                    <w:autoSpaceDE w:val="0"/>
                    <w:autoSpaceDN w:val="0"/>
                    <w:adjustRightInd w:val="0"/>
                    <w:ind w:left="-110"/>
                    <w:rPr>
                      <w:color w:val="0000FF"/>
                      <w:u w:val="single"/>
                    </w:rPr>
                  </w:pPr>
                  <w:hyperlink r:id="rId12" w:history="1">
                    <w:r w:rsidRPr="00F51654">
                      <w:rPr>
                        <w:rStyle w:val="Hyperlink"/>
                      </w:rPr>
                      <w:t>mlthompson@nisource.com</w:t>
                    </w:r>
                  </w:hyperlink>
                </w:p>
                <w:p w14:paraId="78F7E8F6" w14:textId="77777777" w:rsidR="003F21B4" w:rsidRDefault="00D329B2" w:rsidP="00D21279">
                  <w:pPr>
                    <w:widowControl w:val="0"/>
                    <w:autoSpaceDE w:val="0"/>
                    <w:autoSpaceDN w:val="0"/>
                    <w:adjustRightInd w:val="0"/>
                    <w:ind w:left="-110"/>
                    <w:rPr>
                      <w:color w:val="0000FF"/>
                      <w:u w:val="single"/>
                    </w:rPr>
                  </w:pPr>
                  <w:hyperlink r:id="rId13" w:history="1">
                    <w:r w:rsidRPr="00F51654">
                      <w:rPr>
                        <w:rStyle w:val="Hyperlink"/>
                      </w:rPr>
                      <w:t>johnryan@nisource.com</w:t>
                    </w:r>
                  </w:hyperlink>
                </w:p>
                <w:p w14:paraId="59B11529" w14:textId="77777777" w:rsidR="003F21B4" w:rsidRPr="00F33ACC" w:rsidRDefault="00D329B2" w:rsidP="00D21279">
                  <w:pPr>
                    <w:widowControl w:val="0"/>
                    <w:autoSpaceDE w:val="0"/>
                    <w:autoSpaceDN w:val="0"/>
                    <w:adjustRightInd w:val="0"/>
                    <w:ind w:left="-110"/>
                    <w:rPr>
                      <w:color w:val="0000FF"/>
                      <w:u w:val="single"/>
                    </w:rPr>
                  </w:pPr>
                  <w:r>
                    <w:rPr>
                      <w:color w:val="0000FF"/>
                      <w:u w:val="single"/>
                    </w:rPr>
                    <w:t>rdove@keglerbrown.com</w:t>
                  </w:r>
                </w:p>
                <w:p w14:paraId="7985A008" w14:textId="77777777" w:rsidR="003F21B4" w:rsidRPr="000023DB" w:rsidRDefault="003F21B4" w:rsidP="00D21279">
                  <w:pPr>
                    <w:widowControl w:val="0"/>
                    <w:autoSpaceDE w:val="0"/>
                    <w:autoSpaceDN w:val="0"/>
                    <w:adjustRightInd w:val="0"/>
                    <w:spacing w:after="120"/>
                    <w:ind w:right="720"/>
                  </w:pPr>
                </w:p>
              </w:tc>
              <w:tc>
                <w:tcPr>
                  <w:tcW w:w="4500" w:type="dxa"/>
                  <w:shd w:val="clear" w:color="auto" w:fill="auto"/>
                </w:tcPr>
                <w:p w14:paraId="16594074" w14:textId="77777777" w:rsidR="003F21B4" w:rsidRPr="000023DB" w:rsidRDefault="003F21B4" w:rsidP="00D21279">
                  <w:pPr>
                    <w:widowControl w:val="0"/>
                    <w:autoSpaceDE w:val="0"/>
                    <w:autoSpaceDN w:val="0"/>
                    <w:adjustRightInd w:val="0"/>
                    <w:spacing w:after="120"/>
                    <w:ind w:right="720"/>
                  </w:pPr>
                </w:p>
              </w:tc>
              <w:tc>
                <w:tcPr>
                  <w:tcW w:w="4860" w:type="dxa"/>
                  <w:shd w:val="clear" w:color="auto" w:fill="auto"/>
                </w:tcPr>
                <w:p w14:paraId="790A6B31" w14:textId="77777777" w:rsidR="003F21B4" w:rsidRPr="000023DB" w:rsidRDefault="003F21B4" w:rsidP="00D21279">
                  <w:pPr>
                    <w:widowControl w:val="0"/>
                    <w:autoSpaceDE w:val="0"/>
                    <w:autoSpaceDN w:val="0"/>
                    <w:adjustRightInd w:val="0"/>
                    <w:spacing w:after="120"/>
                    <w:ind w:left="553" w:right="720"/>
                  </w:pPr>
                </w:p>
              </w:tc>
            </w:tr>
          </w:tbl>
          <w:p w14:paraId="06408C98" w14:textId="77777777" w:rsidR="003F21B4" w:rsidRPr="00022D15" w:rsidRDefault="003F21B4" w:rsidP="00D21279">
            <w:pPr>
              <w:widowControl w:val="0"/>
              <w:autoSpaceDE w:val="0"/>
              <w:autoSpaceDN w:val="0"/>
              <w:adjustRightInd w:val="0"/>
              <w:rPr>
                <w:b/>
                <w:szCs w:val="24"/>
              </w:rPr>
            </w:pPr>
          </w:p>
        </w:tc>
        <w:tc>
          <w:tcPr>
            <w:tcW w:w="4342" w:type="dxa"/>
            <w:tcBorders>
              <w:top w:val="nil"/>
              <w:left w:val="nil"/>
              <w:bottom w:val="nil"/>
              <w:right w:val="nil"/>
            </w:tcBorders>
            <w:shd w:val="clear" w:color="auto" w:fill="auto"/>
          </w:tcPr>
          <w:p w14:paraId="755E51D2" w14:textId="77777777" w:rsidR="003F21B4" w:rsidRPr="00022D15" w:rsidRDefault="003F21B4" w:rsidP="00D21279">
            <w:pPr>
              <w:widowControl w:val="0"/>
              <w:autoSpaceDE w:val="0"/>
              <w:autoSpaceDN w:val="0"/>
              <w:adjustRightInd w:val="0"/>
              <w:rPr>
                <w:b/>
                <w:szCs w:val="24"/>
              </w:rPr>
            </w:pPr>
          </w:p>
        </w:tc>
      </w:tr>
    </w:tbl>
    <w:p w14:paraId="42BD3619" w14:textId="77777777" w:rsidR="00895F87" w:rsidRPr="00AF71E9" w:rsidRDefault="00895F87" w:rsidP="003F21B4">
      <w:pPr>
        <w:pStyle w:val="CommentText"/>
        <w:jc w:val="center"/>
      </w:pPr>
    </w:p>
    <w:sectPr w:rsidR="00895F87" w:rsidRPr="00AF71E9" w:rsidSect="000C19F3">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pgNumType w:start="1"/>
      <w:cols w:space="720"/>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BC24D" w14:textId="77777777" w:rsidR="00D329B2" w:rsidRDefault="00D329B2">
      <w:r>
        <w:separator/>
      </w:r>
    </w:p>
  </w:endnote>
  <w:endnote w:type="continuationSeparator" w:id="0">
    <w:p w14:paraId="10C84E4F" w14:textId="77777777" w:rsidR="00D329B2" w:rsidRDefault="00D3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E7A61" w14:textId="77777777" w:rsidR="00795EDD" w:rsidRDefault="00795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EAEC6" w14:textId="77777777" w:rsidR="007D4D86" w:rsidRDefault="00D329B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B0D8A">
      <w:rPr>
        <w:rStyle w:val="PageNumber"/>
        <w:noProof/>
      </w:rPr>
      <w:t>2</w:t>
    </w:r>
    <w:r>
      <w:rPr>
        <w:rStyle w:val="PageNumber"/>
      </w:rPr>
      <w:fldChar w:fldCharType="end"/>
    </w:r>
  </w:p>
  <w:p w14:paraId="1483B3FB" w14:textId="77777777" w:rsidR="007D4D86" w:rsidRDefault="007D4D86">
    <w:pPr>
      <w:pStyle w:val="Footer"/>
      <w:framePr w:wrap="around" w:vAnchor="text" w:hAnchor="margin" w:xAlign="center" w:y="1"/>
      <w:rPr>
        <w:rStyle w:val="PageNumber"/>
      </w:rPr>
    </w:pPr>
  </w:p>
  <w:p w14:paraId="1B9C53B1" w14:textId="77777777" w:rsidR="007D4D86" w:rsidRDefault="007D4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3FD41" w14:textId="77777777" w:rsidR="00795EDD" w:rsidRDefault="00795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63B59" w14:textId="77777777" w:rsidR="00E74A08" w:rsidRDefault="00D329B2" w:rsidP="00D45FC3">
      <w:r>
        <w:separator/>
      </w:r>
    </w:p>
  </w:footnote>
  <w:footnote w:type="continuationSeparator" w:id="0">
    <w:p w14:paraId="20C12579" w14:textId="77777777" w:rsidR="00E74A08" w:rsidRDefault="00D329B2" w:rsidP="00D45FC3">
      <w:r>
        <w:continuationSeparator/>
      </w:r>
    </w:p>
  </w:footnote>
  <w:footnote w:id="1">
    <w:p w14:paraId="4BC1F178" w14:textId="7BA52289" w:rsidR="00821C21" w:rsidRDefault="00D329B2" w:rsidP="0027171B">
      <w:pPr>
        <w:pStyle w:val="FootnoteText"/>
        <w:spacing w:after="120"/>
      </w:pPr>
      <w:r>
        <w:rPr>
          <w:rStyle w:val="FootnoteReference"/>
        </w:rPr>
        <w:footnoteRef/>
      </w:r>
      <w:r>
        <w:t xml:space="preserve"> Staff’s Review and Recommendation (Aug. 29, 2024) at 2-3</w:t>
      </w:r>
    </w:p>
  </w:footnote>
  <w:footnote w:id="2">
    <w:p w14:paraId="4BA4F0CB" w14:textId="55C6AFF9" w:rsidR="00821C21" w:rsidRPr="00821C21" w:rsidRDefault="00D329B2" w:rsidP="0027171B">
      <w:pPr>
        <w:pStyle w:val="FootnoteText"/>
        <w:spacing w:after="120"/>
        <w:rPr>
          <w:i/>
          <w:iCs/>
        </w:rPr>
      </w:pPr>
      <w:r>
        <w:rPr>
          <w:rStyle w:val="FootnoteReference"/>
        </w:rPr>
        <w:footnoteRef/>
      </w:r>
      <w:r>
        <w:t xml:space="preserve"> </w:t>
      </w:r>
      <w:r>
        <w:rPr>
          <w:i/>
          <w:iCs/>
        </w:rPr>
        <w:t>See id.</w:t>
      </w:r>
    </w:p>
  </w:footnote>
  <w:footnote w:id="3">
    <w:p w14:paraId="7D85DAB8" w14:textId="74C7422A" w:rsidR="00855775" w:rsidRPr="00821C21" w:rsidRDefault="00D329B2" w:rsidP="0027171B">
      <w:pPr>
        <w:pStyle w:val="FootnoteText"/>
        <w:spacing w:after="120"/>
      </w:pPr>
      <w:r>
        <w:rPr>
          <w:rStyle w:val="FootnoteReference"/>
        </w:rPr>
        <w:footnoteRef/>
      </w:r>
      <w:r>
        <w:t xml:space="preserve"> </w:t>
      </w:r>
      <w:r w:rsidR="00821C21">
        <w:rPr>
          <w:i/>
          <w:iCs/>
        </w:rPr>
        <w:t>Ohio Consumers’ Counsel v. PUC</w:t>
      </w:r>
      <w:r w:rsidR="00821C21">
        <w:t>, 111 Ohio St. 3d 384, 392 (2006).</w:t>
      </w:r>
    </w:p>
  </w:footnote>
  <w:footnote w:id="4">
    <w:p w14:paraId="10C1D74A" w14:textId="77777777" w:rsidR="00DA1ED5" w:rsidRPr="006A5E42" w:rsidRDefault="00D329B2" w:rsidP="0027171B">
      <w:pPr>
        <w:pStyle w:val="FootnoteText"/>
        <w:spacing w:after="120"/>
      </w:pPr>
      <w:r>
        <w:rPr>
          <w:rStyle w:val="FootnoteReference"/>
        </w:rPr>
        <w:footnoteRef/>
      </w:r>
      <w:r>
        <w:t xml:space="preserve"> </w:t>
      </w:r>
      <w:r w:rsidRPr="00047C74">
        <w:rPr>
          <w:i/>
          <w:iCs/>
        </w:rPr>
        <w:t>See</w:t>
      </w:r>
      <w:r>
        <w:t xml:space="preserve"> </w:t>
      </w:r>
      <w:r>
        <w:rPr>
          <w:i/>
          <w:iCs/>
        </w:rPr>
        <w:t xml:space="preserve">In </w:t>
      </w:r>
      <w:r>
        <w:rPr>
          <w:i/>
          <w:iCs/>
        </w:rPr>
        <w:t>the Matter of the Application of Columbia Gas of Ohio, Inc. for Approval to Change Accounting Methods</w:t>
      </w:r>
      <w:r>
        <w:t>, Case No. 14-1615-GA-AAM, Finding and Order (Dec. 17, 2014) (“Order”).</w:t>
      </w:r>
    </w:p>
  </w:footnote>
  <w:footnote w:id="5">
    <w:p w14:paraId="4A9712EF" w14:textId="0C2D3E99" w:rsidR="006A5E42" w:rsidRDefault="00D329B2" w:rsidP="0027171B">
      <w:pPr>
        <w:pStyle w:val="FootnoteText"/>
        <w:spacing w:after="120"/>
      </w:pPr>
      <w:r>
        <w:rPr>
          <w:rStyle w:val="FootnoteReference"/>
        </w:rPr>
        <w:footnoteRef/>
      </w:r>
      <w:r>
        <w:t xml:space="preserve"> </w:t>
      </w:r>
      <w:r w:rsidRPr="00047C74">
        <w:rPr>
          <w:i/>
          <w:iCs/>
        </w:rPr>
        <w:t>See</w:t>
      </w:r>
      <w:r>
        <w:t xml:space="preserve"> </w:t>
      </w:r>
      <w:r>
        <w:rPr>
          <w:i/>
          <w:iCs/>
        </w:rPr>
        <w:t xml:space="preserve">In the Matter of the Application of Columbia Gas of Ohio, Inc. for Approval to Change Accounting Methods Associated with its Pipeline </w:t>
      </w:r>
      <w:r w:rsidR="0038633D">
        <w:rPr>
          <w:i/>
          <w:iCs/>
        </w:rPr>
        <w:t>Safety Program</w:t>
      </w:r>
      <w:r>
        <w:t>, Case No. 1</w:t>
      </w:r>
      <w:r w:rsidR="0038633D">
        <w:t>6</w:t>
      </w:r>
      <w:r>
        <w:t>-</w:t>
      </w:r>
      <w:r w:rsidR="0038633D">
        <w:t>552</w:t>
      </w:r>
      <w:r>
        <w:t xml:space="preserve">-GA-AAM, </w:t>
      </w:r>
      <w:r w:rsidR="0038633D">
        <w:t>Opinion</w:t>
      </w:r>
      <w:r>
        <w:t xml:space="preserve"> and Order (</w:t>
      </w:r>
      <w:r w:rsidR="0038633D">
        <w:t>Aug. 26, 2016</w:t>
      </w:r>
      <w:r>
        <w:t>).</w:t>
      </w:r>
    </w:p>
  </w:footnote>
  <w:footnote w:id="6">
    <w:p w14:paraId="3B271F7F" w14:textId="77777777" w:rsidR="00EB7C6E" w:rsidRPr="0046223A" w:rsidRDefault="00D329B2" w:rsidP="0027171B">
      <w:pPr>
        <w:pStyle w:val="FootnoteText"/>
        <w:spacing w:after="120"/>
      </w:pPr>
      <w:r>
        <w:rPr>
          <w:rStyle w:val="FootnoteReference"/>
        </w:rPr>
        <w:footnoteRef/>
      </w:r>
      <w:r>
        <w:t xml:space="preserve"> </w:t>
      </w:r>
      <w:r>
        <w:rPr>
          <w:i/>
          <w:iCs/>
        </w:rPr>
        <w:t>See</w:t>
      </w:r>
      <w:r>
        <w:t xml:space="preserve"> Annual Report of Columbia Gas of Ohio, Inc. (May 30, 2024).</w:t>
      </w:r>
    </w:p>
  </w:footnote>
  <w:footnote w:id="7">
    <w:p w14:paraId="1CF63A0D" w14:textId="27ACAEB1" w:rsidR="00614EB6" w:rsidRDefault="00D329B2" w:rsidP="0027171B">
      <w:pPr>
        <w:pStyle w:val="FootnoteText"/>
        <w:spacing w:after="120"/>
      </w:pPr>
      <w:r>
        <w:rPr>
          <w:rStyle w:val="FootnoteReference"/>
        </w:rPr>
        <w:footnoteRef/>
      </w:r>
      <w:r>
        <w:t xml:space="preserve"> </w:t>
      </w:r>
      <w:r w:rsidRPr="0070551E">
        <w:rPr>
          <w:i/>
          <w:iCs/>
        </w:rPr>
        <w:t>In the Matter of the Application of Columbia Gas of Ohio, Inc. for Authority to Amend its Filed Tariffs to Increase the Rates and Charges for Gas Services and Related Matters</w:t>
      </w:r>
      <w:r>
        <w:t>, Case No 21-673-GA-AIR</w:t>
      </w:r>
      <w:r w:rsidR="005A0019">
        <w:t xml:space="preserve"> (the 2021 Rate Case)</w:t>
      </w:r>
      <w:r>
        <w:t xml:space="preserve">, Application for Authority to Increase Rates for Approval of an Alternative Rate Plan, for </w:t>
      </w:r>
      <w:r w:rsidR="00DB00E4">
        <w:t>Approval of a Demand Side Management Program, and for Approval to Change Accounting Methods (June 30, 3021).</w:t>
      </w:r>
    </w:p>
  </w:footnote>
  <w:footnote w:id="8">
    <w:p w14:paraId="615013EA" w14:textId="50A7A81B" w:rsidR="00BB2960" w:rsidRPr="00BB2960" w:rsidRDefault="00D329B2" w:rsidP="0027171B">
      <w:pPr>
        <w:pStyle w:val="FootnoteText"/>
        <w:spacing w:after="120"/>
      </w:pPr>
      <w:r>
        <w:rPr>
          <w:rStyle w:val="FootnoteReference"/>
        </w:rPr>
        <w:footnoteRef/>
      </w:r>
      <w:r>
        <w:t xml:space="preserve"> </w:t>
      </w:r>
      <w:r>
        <w:rPr>
          <w:i/>
          <w:iCs/>
        </w:rPr>
        <w:t>See</w:t>
      </w:r>
      <w:r>
        <w:t xml:space="preserve"> Case No 21-673-GA-AIR, </w:t>
      </w:r>
      <w:r w:rsidR="0048427B">
        <w:t>Joint Stipulation and Recommendation (Oct. 31, 2022).</w:t>
      </w:r>
    </w:p>
  </w:footnote>
  <w:footnote w:id="9">
    <w:p w14:paraId="6DE8A9A2" w14:textId="1D2C69A2" w:rsidR="005A0019" w:rsidRPr="005A0019" w:rsidRDefault="00D329B2" w:rsidP="0027171B">
      <w:pPr>
        <w:pStyle w:val="FootnoteText"/>
        <w:spacing w:after="120"/>
        <w:rPr>
          <w:b/>
          <w:bCs/>
        </w:rPr>
      </w:pPr>
      <w:r>
        <w:rPr>
          <w:rStyle w:val="FootnoteReference"/>
        </w:rPr>
        <w:footnoteRef/>
      </w:r>
      <w:r>
        <w:t xml:space="preserve"> </w:t>
      </w:r>
      <w:r>
        <w:rPr>
          <w:i/>
          <w:iCs/>
        </w:rPr>
        <w:t xml:space="preserve">See </w:t>
      </w:r>
      <w:r>
        <w:t>Case No 21-673-GA-AIR, Opinion and Order (Jan</w:t>
      </w:r>
      <w:r w:rsidR="0027171B">
        <w:t>.</w:t>
      </w:r>
      <w:r>
        <w:t xml:space="preserve"> 26, 2023).</w:t>
      </w:r>
    </w:p>
  </w:footnote>
  <w:footnote w:id="10">
    <w:p w14:paraId="44353FB2" w14:textId="46D965A2" w:rsidR="00D55BB7" w:rsidRPr="00D55BB7" w:rsidRDefault="00D329B2" w:rsidP="0027171B">
      <w:pPr>
        <w:pStyle w:val="FootnoteText"/>
        <w:spacing w:after="120"/>
      </w:pPr>
      <w:r>
        <w:rPr>
          <w:rStyle w:val="FootnoteReference"/>
        </w:rPr>
        <w:footnoteRef/>
      </w:r>
      <w:r>
        <w:t xml:space="preserve"> </w:t>
      </w:r>
      <w:r>
        <w:rPr>
          <w:i/>
          <w:iCs/>
        </w:rPr>
        <w:t>Id</w:t>
      </w:r>
      <w:r>
        <w:t>. at ¶ 90.</w:t>
      </w:r>
    </w:p>
  </w:footnote>
  <w:footnote w:id="11">
    <w:p w14:paraId="7A92E456" w14:textId="43D8A1EA" w:rsidR="00317D5E" w:rsidRDefault="00D329B2" w:rsidP="0027171B">
      <w:pPr>
        <w:pStyle w:val="FootnoteText"/>
        <w:spacing w:after="120"/>
      </w:pPr>
      <w:r>
        <w:rPr>
          <w:rStyle w:val="FootnoteReference"/>
        </w:rPr>
        <w:footnoteRef/>
      </w:r>
      <w:r>
        <w:t xml:space="preserve"> </w:t>
      </w:r>
      <w:r w:rsidR="00701E72">
        <w:t xml:space="preserve">Staff’s </w:t>
      </w:r>
      <w:r>
        <w:t>Review and Recommendation</w:t>
      </w:r>
      <w:r w:rsidR="00701E72">
        <w:t xml:space="preserve"> (Aug. 29, 2024)</w:t>
      </w:r>
      <w:r>
        <w:t xml:space="preserve"> at p. 2.</w:t>
      </w:r>
      <w:r w:rsidR="005A0019">
        <w:t xml:space="preserve"> </w:t>
      </w:r>
    </w:p>
  </w:footnote>
  <w:footnote w:id="12">
    <w:p w14:paraId="3CFE74D8" w14:textId="5AB16416" w:rsidR="004D5FC8" w:rsidRPr="004D5FC8" w:rsidRDefault="00D329B2" w:rsidP="0027171B">
      <w:pPr>
        <w:pStyle w:val="FootnoteText"/>
        <w:spacing w:after="120"/>
      </w:pPr>
      <w:r>
        <w:rPr>
          <w:rStyle w:val="FootnoteReference"/>
        </w:rPr>
        <w:footnoteRef/>
      </w:r>
      <w:r>
        <w:t xml:space="preserve"> </w:t>
      </w:r>
      <w:r>
        <w:rPr>
          <w:i/>
          <w:iCs/>
        </w:rPr>
        <w:t xml:space="preserve">See id. </w:t>
      </w:r>
      <w:r>
        <w:t>at 2-3.</w:t>
      </w:r>
    </w:p>
  </w:footnote>
  <w:footnote w:id="13">
    <w:p w14:paraId="200516A3" w14:textId="6E651ECA" w:rsidR="004D5FC8" w:rsidRPr="004D5FC8" w:rsidRDefault="00D329B2" w:rsidP="0027171B">
      <w:pPr>
        <w:pStyle w:val="FootnoteText"/>
        <w:spacing w:after="120"/>
        <w:rPr>
          <w:i/>
          <w:iCs/>
        </w:rPr>
      </w:pPr>
      <w:r>
        <w:rPr>
          <w:rStyle w:val="FootnoteReference"/>
        </w:rPr>
        <w:footnoteRef/>
      </w:r>
      <w:r>
        <w:t xml:space="preserve"> </w:t>
      </w:r>
      <w:r>
        <w:rPr>
          <w:i/>
          <w:iCs/>
        </w:rPr>
        <w:t>Id.</w:t>
      </w:r>
    </w:p>
  </w:footnote>
  <w:footnote w:id="14">
    <w:p w14:paraId="5C7F4FAC" w14:textId="3D3180D7" w:rsidR="008C1D85" w:rsidRPr="00047C74" w:rsidRDefault="00D329B2" w:rsidP="0027171B">
      <w:pPr>
        <w:pStyle w:val="FootnoteText"/>
        <w:spacing w:after="120"/>
      </w:pPr>
      <w:r w:rsidRPr="00047C74">
        <w:rPr>
          <w:rStyle w:val="FootnoteReference"/>
        </w:rPr>
        <w:footnoteRef/>
      </w:r>
      <w:r w:rsidRPr="00047C74">
        <w:t xml:space="preserve"> </w:t>
      </w:r>
      <w:r w:rsidRPr="00047C74">
        <w:rPr>
          <w:rFonts w:eastAsia="Calibri"/>
          <w:i/>
          <w:iCs/>
          <w:kern w:val="2"/>
          <w14:ligatures w14:val="standardContextual"/>
        </w:rPr>
        <w:t xml:space="preserve">In the Matter of the Application of Columbia Gas of Ohio, Inc. for Authority to Amend its Filed Tariffs to Increase the Rates and </w:t>
      </w:r>
      <w:r w:rsidRPr="00047C74">
        <w:rPr>
          <w:rFonts w:eastAsia="Calibri"/>
          <w:i/>
          <w:iCs/>
          <w:kern w:val="2"/>
          <w14:ligatures w14:val="standardContextual"/>
        </w:rPr>
        <w:t>Charges for Gas Services and Related Matters</w:t>
      </w:r>
      <w:r w:rsidRPr="00047C74">
        <w:rPr>
          <w:rFonts w:eastAsia="Calibri"/>
          <w:kern w:val="2"/>
          <w14:ligatures w14:val="standardContextual"/>
        </w:rPr>
        <w:t>, Case No 21-673-GA-AIR, Opinion and Order (Jan. 26, 2023)</w:t>
      </w:r>
      <w:r w:rsidR="004715DE" w:rsidRPr="00047C74">
        <w:rPr>
          <w:rFonts w:eastAsia="Calibri"/>
          <w:kern w:val="2"/>
          <w14:ligatures w14:val="standardContextual"/>
        </w:rPr>
        <w:t xml:space="preserve"> (“2021 Rate Case Order”)</w:t>
      </w:r>
      <w:r w:rsidRPr="00047C74">
        <w:rPr>
          <w:rFonts w:eastAsia="Calibri"/>
          <w:kern w:val="2"/>
          <w14:ligatures w14:val="standardContextual"/>
        </w:rPr>
        <w:t xml:space="preserve"> at ¶ 90.</w:t>
      </w:r>
    </w:p>
  </w:footnote>
  <w:footnote w:id="15">
    <w:p w14:paraId="46D15C6A" w14:textId="49A362DE" w:rsidR="004715DE" w:rsidRPr="004715DE" w:rsidRDefault="00D329B2" w:rsidP="0027171B">
      <w:pPr>
        <w:pStyle w:val="FootnoteText"/>
        <w:spacing w:after="120"/>
      </w:pPr>
      <w:r>
        <w:rPr>
          <w:rStyle w:val="FootnoteReference"/>
        </w:rPr>
        <w:footnoteRef/>
      </w:r>
      <w:r>
        <w:t xml:space="preserve"> </w:t>
      </w:r>
      <w:r>
        <w:rPr>
          <w:i/>
          <w:iCs/>
        </w:rPr>
        <w:t>Id</w:t>
      </w:r>
      <w:r>
        <w:t>.</w:t>
      </w:r>
    </w:p>
  </w:footnote>
  <w:footnote w:id="16">
    <w:p w14:paraId="68A6F0A3" w14:textId="253B19BD" w:rsidR="0048381C" w:rsidRDefault="00D329B2" w:rsidP="0027171B">
      <w:pPr>
        <w:pStyle w:val="FootnoteText"/>
        <w:spacing w:after="120"/>
      </w:pPr>
      <w:r>
        <w:rPr>
          <w:rStyle w:val="FootnoteReference"/>
        </w:rPr>
        <w:footnoteRef/>
      </w:r>
      <w:r>
        <w:t xml:space="preserve"> Annual Report of Columbia Gas of Ohio, Inc. (May 30, 2024) at ¶ 5.</w:t>
      </w:r>
    </w:p>
  </w:footnote>
  <w:footnote w:id="17">
    <w:p w14:paraId="46B33F14" w14:textId="27DE63BC" w:rsidR="005749BE" w:rsidRDefault="00D329B2" w:rsidP="0027171B">
      <w:pPr>
        <w:pStyle w:val="FootnoteText"/>
        <w:spacing w:after="120"/>
      </w:pPr>
      <w:r>
        <w:rPr>
          <w:rStyle w:val="FootnoteReference"/>
        </w:rPr>
        <w:footnoteRef/>
      </w:r>
      <w:r>
        <w:t xml:space="preserve"> Staff’s Review and Recommendation (Aug. 29, 2024) at p.</w:t>
      </w:r>
      <w:r w:rsidR="00944F6E">
        <w:t xml:space="preserve"> 1.</w:t>
      </w:r>
    </w:p>
  </w:footnote>
  <w:footnote w:id="18">
    <w:p w14:paraId="645A3564" w14:textId="72CC3FCB" w:rsidR="00944F6E" w:rsidRPr="00944F6E" w:rsidRDefault="00D329B2" w:rsidP="0027171B">
      <w:pPr>
        <w:pStyle w:val="FootnoteText"/>
        <w:spacing w:after="120"/>
      </w:pPr>
      <w:r>
        <w:rPr>
          <w:rStyle w:val="FootnoteReference"/>
        </w:rPr>
        <w:footnoteRef/>
      </w:r>
      <w:r>
        <w:t xml:space="preserve"> </w:t>
      </w:r>
      <w:r>
        <w:rPr>
          <w:i/>
          <w:iCs/>
        </w:rPr>
        <w:t>Id</w:t>
      </w:r>
      <w:r>
        <w:t>. at p. 2.</w:t>
      </w:r>
    </w:p>
  </w:footnote>
  <w:footnote w:id="19">
    <w:p w14:paraId="5B26EC58" w14:textId="37D6C56B" w:rsidR="00944F6E" w:rsidRPr="00944F6E" w:rsidRDefault="00D329B2" w:rsidP="0027171B">
      <w:pPr>
        <w:pStyle w:val="FootnoteText"/>
        <w:spacing w:after="120"/>
      </w:pPr>
      <w:r>
        <w:rPr>
          <w:rStyle w:val="FootnoteReference"/>
        </w:rPr>
        <w:footnoteRef/>
      </w:r>
      <w:r>
        <w:t xml:space="preserve"> </w:t>
      </w:r>
      <w:r>
        <w:rPr>
          <w:i/>
          <w:iCs/>
        </w:rPr>
        <w:t>Id</w:t>
      </w:r>
      <w:r>
        <w:t>.</w:t>
      </w:r>
    </w:p>
  </w:footnote>
  <w:footnote w:id="20">
    <w:p w14:paraId="315114D5" w14:textId="0DE8D51E" w:rsidR="003E26B7" w:rsidRDefault="00D329B2" w:rsidP="0027171B">
      <w:pPr>
        <w:pStyle w:val="FootnoteText"/>
        <w:spacing w:after="120"/>
      </w:pPr>
      <w:r>
        <w:rPr>
          <w:rStyle w:val="FootnoteReference"/>
        </w:rPr>
        <w:footnoteRef/>
      </w:r>
      <w:r>
        <w:t xml:space="preserve"> </w:t>
      </w:r>
      <w:r>
        <w:rPr>
          <w:i/>
          <w:iCs/>
        </w:rPr>
        <w:t>Id</w:t>
      </w:r>
      <w:r>
        <w:t>.</w:t>
      </w:r>
    </w:p>
  </w:footnote>
  <w:footnote w:id="21">
    <w:p w14:paraId="5456675D" w14:textId="6F0DA86C" w:rsidR="00492A1F" w:rsidRPr="00492A1F" w:rsidRDefault="00D329B2" w:rsidP="0027171B">
      <w:pPr>
        <w:pStyle w:val="FootnoteText"/>
        <w:spacing w:after="120"/>
      </w:pPr>
      <w:r>
        <w:rPr>
          <w:rStyle w:val="FootnoteReference"/>
        </w:rPr>
        <w:footnoteRef/>
      </w:r>
      <w:r>
        <w:t xml:space="preserve"> </w:t>
      </w:r>
      <w:r>
        <w:rPr>
          <w:i/>
          <w:iCs/>
        </w:rPr>
        <w:t xml:space="preserve">Id. </w:t>
      </w:r>
      <w:r>
        <w:t>at 2-3.</w:t>
      </w:r>
    </w:p>
  </w:footnote>
  <w:footnote w:id="22">
    <w:p w14:paraId="1984CD00" w14:textId="071AF9A5" w:rsidR="00BD1BFE" w:rsidRDefault="00D329B2" w:rsidP="0027171B">
      <w:pPr>
        <w:pStyle w:val="FootnoteText"/>
        <w:spacing w:after="120"/>
      </w:pPr>
      <w:r>
        <w:rPr>
          <w:rStyle w:val="FootnoteReference"/>
        </w:rPr>
        <w:footnoteRef/>
      </w:r>
      <w:r>
        <w:t xml:space="preserve"> Case No 21-673-GA-AIR, Joint Stipulation and Recommendation (Oct. 31, 2022) at pp.10-11 and </w:t>
      </w:r>
      <w:r w:rsidR="00216C0C">
        <w:t>Opinion and Order (Jan</w:t>
      </w:r>
      <w:r w:rsidR="0027171B">
        <w:t>.</w:t>
      </w:r>
      <w:r w:rsidR="00216C0C">
        <w:t xml:space="preserve"> 26, 2023) at ¶ 90</w:t>
      </w:r>
      <w:r>
        <w:t>.</w:t>
      </w:r>
    </w:p>
  </w:footnote>
  <w:footnote w:id="23">
    <w:p w14:paraId="6C550A54" w14:textId="2549885D" w:rsidR="005503FD" w:rsidRDefault="00D329B2" w:rsidP="0027171B">
      <w:pPr>
        <w:pStyle w:val="FootnoteText"/>
        <w:spacing w:after="120"/>
      </w:pPr>
      <w:r>
        <w:rPr>
          <w:rStyle w:val="FootnoteReference"/>
        </w:rPr>
        <w:footnoteRef/>
      </w:r>
      <w:r>
        <w:t xml:space="preserve"> Case No 21-673-GA-AIR, Joint Stipulation and Recommendation (Oct. 31, 2022) at p.24.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8D80F" w14:textId="77777777" w:rsidR="00795EDD" w:rsidRDefault="00795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C8609" w14:textId="77777777" w:rsidR="00795EDD" w:rsidRDefault="00795E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12B49" w14:textId="77777777" w:rsidR="00795EDD" w:rsidRDefault="00795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0E17B3"/>
    <w:multiLevelType w:val="hybridMultilevel"/>
    <w:tmpl w:val="C0BA2C10"/>
    <w:lvl w:ilvl="0" w:tplc="E4202E8E">
      <w:start w:val="1"/>
      <w:numFmt w:val="upperLetter"/>
      <w:lvlText w:val="%1."/>
      <w:lvlJc w:val="left"/>
      <w:pPr>
        <w:ind w:left="1080" w:hanging="360"/>
      </w:pPr>
      <w:rPr>
        <w:rFonts w:ascii="Times New Roman" w:eastAsia="Times New Roman" w:hAnsi="Times New Roman" w:cs="Times New Roman"/>
      </w:rPr>
    </w:lvl>
    <w:lvl w:ilvl="1" w:tplc="523E6D0A" w:tentative="1">
      <w:start w:val="1"/>
      <w:numFmt w:val="lowerLetter"/>
      <w:lvlText w:val="%2."/>
      <w:lvlJc w:val="left"/>
      <w:pPr>
        <w:ind w:left="1800" w:hanging="360"/>
      </w:pPr>
    </w:lvl>
    <w:lvl w:ilvl="2" w:tplc="860AC26C" w:tentative="1">
      <w:start w:val="1"/>
      <w:numFmt w:val="lowerRoman"/>
      <w:lvlText w:val="%3."/>
      <w:lvlJc w:val="right"/>
      <w:pPr>
        <w:ind w:left="2520" w:hanging="180"/>
      </w:pPr>
    </w:lvl>
    <w:lvl w:ilvl="3" w:tplc="3878E368" w:tentative="1">
      <w:start w:val="1"/>
      <w:numFmt w:val="decimal"/>
      <w:lvlText w:val="%4."/>
      <w:lvlJc w:val="left"/>
      <w:pPr>
        <w:ind w:left="3240" w:hanging="360"/>
      </w:pPr>
    </w:lvl>
    <w:lvl w:ilvl="4" w:tplc="B33449BA" w:tentative="1">
      <w:start w:val="1"/>
      <w:numFmt w:val="lowerLetter"/>
      <w:lvlText w:val="%5."/>
      <w:lvlJc w:val="left"/>
      <w:pPr>
        <w:ind w:left="3960" w:hanging="360"/>
      </w:pPr>
    </w:lvl>
    <w:lvl w:ilvl="5" w:tplc="E75C5318" w:tentative="1">
      <w:start w:val="1"/>
      <w:numFmt w:val="lowerRoman"/>
      <w:lvlText w:val="%6."/>
      <w:lvlJc w:val="right"/>
      <w:pPr>
        <w:ind w:left="4680" w:hanging="180"/>
      </w:pPr>
    </w:lvl>
    <w:lvl w:ilvl="6" w:tplc="1D5CD740" w:tentative="1">
      <w:start w:val="1"/>
      <w:numFmt w:val="decimal"/>
      <w:lvlText w:val="%7."/>
      <w:lvlJc w:val="left"/>
      <w:pPr>
        <w:ind w:left="5400" w:hanging="360"/>
      </w:pPr>
    </w:lvl>
    <w:lvl w:ilvl="7" w:tplc="74B477FC" w:tentative="1">
      <w:start w:val="1"/>
      <w:numFmt w:val="lowerLetter"/>
      <w:lvlText w:val="%8."/>
      <w:lvlJc w:val="left"/>
      <w:pPr>
        <w:ind w:left="6120" w:hanging="360"/>
      </w:pPr>
    </w:lvl>
    <w:lvl w:ilvl="8" w:tplc="9754E298" w:tentative="1">
      <w:start w:val="1"/>
      <w:numFmt w:val="lowerRoman"/>
      <w:lvlText w:val="%9."/>
      <w:lvlJc w:val="right"/>
      <w:pPr>
        <w:ind w:left="6840" w:hanging="180"/>
      </w:pPr>
    </w:lvl>
  </w:abstractNum>
  <w:num w:numId="1" w16cid:durableId="77031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C3"/>
    <w:rsid w:val="0000186E"/>
    <w:rsid w:val="000023DB"/>
    <w:rsid w:val="00015466"/>
    <w:rsid w:val="00022D15"/>
    <w:rsid w:val="00047C74"/>
    <w:rsid w:val="000703C5"/>
    <w:rsid w:val="000C19F3"/>
    <w:rsid w:val="000D0302"/>
    <w:rsid w:val="001163C8"/>
    <w:rsid w:val="001451AE"/>
    <w:rsid w:val="00145457"/>
    <w:rsid w:val="001A12C5"/>
    <w:rsid w:val="001A4C62"/>
    <w:rsid w:val="001C5729"/>
    <w:rsid w:val="001C592C"/>
    <w:rsid w:val="001D1B6F"/>
    <w:rsid w:val="0020769A"/>
    <w:rsid w:val="00212842"/>
    <w:rsid w:val="00216C0C"/>
    <w:rsid w:val="00223949"/>
    <w:rsid w:val="00233836"/>
    <w:rsid w:val="00254422"/>
    <w:rsid w:val="0026717F"/>
    <w:rsid w:val="0027171B"/>
    <w:rsid w:val="002C2320"/>
    <w:rsid w:val="002E3203"/>
    <w:rsid w:val="00317D5E"/>
    <w:rsid w:val="00334A57"/>
    <w:rsid w:val="00337131"/>
    <w:rsid w:val="00355345"/>
    <w:rsid w:val="00364FB2"/>
    <w:rsid w:val="0038633D"/>
    <w:rsid w:val="0038669A"/>
    <w:rsid w:val="003B2BE1"/>
    <w:rsid w:val="003E26B7"/>
    <w:rsid w:val="003F0191"/>
    <w:rsid w:val="003F21B4"/>
    <w:rsid w:val="0040171A"/>
    <w:rsid w:val="00406B6F"/>
    <w:rsid w:val="00423BF7"/>
    <w:rsid w:val="0044196D"/>
    <w:rsid w:val="00444B28"/>
    <w:rsid w:val="0046223A"/>
    <w:rsid w:val="004715DE"/>
    <w:rsid w:val="0048381C"/>
    <w:rsid w:val="0048427B"/>
    <w:rsid w:val="00492A1F"/>
    <w:rsid w:val="004C15A7"/>
    <w:rsid w:val="004D5FC8"/>
    <w:rsid w:val="004E5986"/>
    <w:rsid w:val="00535B29"/>
    <w:rsid w:val="005503FD"/>
    <w:rsid w:val="00557C53"/>
    <w:rsid w:val="005749BE"/>
    <w:rsid w:val="00584949"/>
    <w:rsid w:val="005A0019"/>
    <w:rsid w:val="005A3995"/>
    <w:rsid w:val="005E1220"/>
    <w:rsid w:val="00605AB8"/>
    <w:rsid w:val="006140C3"/>
    <w:rsid w:val="00614EB6"/>
    <w:rsid w:val="00621568"/>
    <w:rsid w:val="00647F78"/>
    <w:rsid w:val="0066734D"/>
    <w:rsid w:val="006A5E42"/>
    <w:rsid w:val="006C28ED"/>
    <w:rsid w:val="006E6D56"/>
    <w:rsid w:val="00701E72"/>
    <w:rsid w:val="0070551E"/>
    <w:rsid w:val="007366D0"/>
    <w:rsid w:val="00786096"/>
    <w:rsid w:val="00795EDD"/>
    <w:rsid w:val="007A35DB"/>
    <w:rsid w:val="007A5F6E"/>
    <w:rsid w:val="007B0D8A"/>
    <w:rsid w:val="007C4C3F"/>
    <w:rsid w:val="007D4D86"/>
    <w:rsid w:val="007E073B"/>
    <w:rsid w:val="0080339B"/>
    <w:rsid w:val="00813A64"/>
    <w:rsid w:val="00821C21"/>
    <w:rsid w:val="008237F3"/>
    <w:rsid w:val="00855775"/>
    <w:rsid w:val="008664DB"/>
    <w:rsid w:val="00870194"/>
    <w:rsid w:val="00875EB6"/>
    <w:rsid w:val="00895F87"/>
    <w:rsid w:val="008C1D85"/>
    <w:rsid w:val="008C4F6E"/>
    <w:rsid w:val="008F0371"/>
    <w:rsid w:val="009202D7"/>
    <w:rsid w:val="00944F6E"/>
    <w:rsid w:val="009B03C9"/>
    <w:rsid w:val="009D1E6C"/>
    <w:rsid w:val="009E32E1"/>
    <w:rsid w:val="009E5BAA"/>
    <w:rsid w:val="009F01D5"/>
    <w:rsid w:val="00A45444"/>
    <w:rsid w:val="00A50003"/>
    <w:rsid w:val="00A82CB3"/>
    <w:rsid w:val="00A90EF1"/>
    <w:rsid w:val="00AA4FA0"/>
    <w:rsid w:val="00AB464F"/>
    <w:rsid w:val="00AC3761"/>
    <w:rsid w:val="00AC68DC"/>
    <w:rsid w:val="00AF71E9"/>
    <w:rsid w:val="00B15667"/>
    <w:rsid w:val="00B35C6F"/>
    <w:rsid w:val="00B74300"/>
    <w:rsid w:val="00B845BF"/>
    <w:rsid w:val="00B87287"/>
    <w:rsid w:val="00BB1207"/>
    <w:rsid w:val="00BB2960"/>
    <w:rsid w:val="00BD1BFE"/>
    <w:rsid w:val="00C24C08"/>
    <w:rsid w:val="00C5105E"/>
    <w:rsid w:val="00C51968"/>
    <w:rsid w:val="00C67C95"/>
    <w:rsid w:val="00C95EF0"/>
    <w:rsid w:val="00C96083"/>
    <w:rsid w:val="00CC7E85"/>
    <w:rsid w:val="00CF5F03"/>
    <w:rsid w:val="00D02ECC"/>
    <w:rsid w:val="00D03FEC"/>
    <w:rsid w:val="00D21279"/>
    <w:rsid w:val="00D329B2"/>
    <w:rsid w:val="00D32EB0"/>
    <w:rsid w:val="00D3542A"/>
    <w:rsid w:val="00D45FC3"/>
    <w:rsid w:val="00D55BB7"/>
    <w:rsid w:val="00D83304"/>
    <w:rsid w:val="00D97576"/>
    <w:rsid w:val="00DA1ED5"/>
    <w:rsid w:val="00DB00E4"/>
    <w:rsid w:val="00DC25BD"/>
    <w:rsid w:val="00DC592D"/>
    <w:rsid w:val="00DD521C"/>
    <w:rsid w:val="00DF0325"/>
    <w:rsid w:val="00E00D0C"/>
    <w:rsid w:val="00E0754A"/>
    <w:rsid w:val="00E161E6"/>
    <w:rsid w:val="00E3240E"/>
    <w:rsid w:val="00E5527C"/>
    <w:rsid w:val="00E561BA"/>
    <w:rsid w:val="00E72415"/>
    <w:rsid w:val="00E74A08"/>
    <w:rsid w:val="00E959CA"/>
    <w:rsid w:val="00EB620A"/>
    <w:rsid w:val="00EB7C6E"/>
    <w:rsid w:val="00EF5130"/>
    <w:rsid w:val="00F23FAB"/>
    <w:rsid w:val="00F2775F"/>
    <w:rsid w:val="00F33ACC"/>
    <w:rsid w:val="00F3432A"/>
    <w:rsid w:val="00F51654"/>
    <w:rsid w:val="00F52F38"/>
    <w:rsid w:val="00F7662E"/>
    <w:rsid w:val="00F86F82"/>
    <w:rsid w:val="00FB3E06"/>
    <w:rsid w:val="00FF4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D47E0-DFAC-4187-A454-6E6E08FA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FC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D45FC3"/>
    <w:pPr>
      <w:keepNext/>
      <w:spacing w:after="240"/>
      <w:ind w:left="90"/>
      <w:outlineLvl w:val="0"/>
    </w:pPr>
    <w:rPr>
      <w:b/>
      <w:caps/>
      <w:szCs w:val="24"/>
    </w:rPr>
  </w:style>
  <w:style w:type="paragraph" w:styleId="Heading2">
    <w:name w:val="heading 2"/>
    <w:basedOn w:val="Normal"/>
    <w:next w:val="Normal"/>
    <w:link w:val="Heading2Char"/>
    <w:qFormat/>
    <w:rsid w:val="00D45FC3"/>
    <w:pPr>
      <w:keepNext/>
      <w:tabs>
        <w:tab w:val="left" w:pos="4320"/>
      </w:tabs>
      <w:spacing w:after="240"/>
      <w:ind w:left="1440" w:hanging="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5FC3"/>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D45FC3"/>
    <w:rPr>
      <w:rFonts w:ascii="Times New Roman" w:eastAsia="Times New Roman" w:hAnsi="Times New Roman" w:cs="Times New Roman"/>
      <w:b/>
      <w:sz w:val="24"/>
      <w:szCs w:val="20"/>
    </w:rPr>
  </w:style>
  <w:style w:type="paragraph" w:styleId="HTMLPreformatted">
    <w:name w:val="HTML Preformatted"/>
    <w:basedOn w:val="Normal"/>
    <w:link w:val="HTMLPreformattedChar"/>
    <w:rsid w:val="00D45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D45FC3"/>
    <w:rPr>
      <w:rFonts w:ascii="Courier New" w:eastAsia="Courier New" w:hAnsi="Courier New" w:cs="Courier New"/>
      <w:sz w:val="20"/>
      <w:szCs w:val="20"/>
    </w:rPr>
  </w:style>
  <w:style w:type="paragraph" w:styleId="Footer">
    <w:name w:val="footer"/>
    <w:basedOn w:val="Normal"/>
    <w:link w:val="FooterChar"/>
    <w:uiPriority w:val="99"/>
    <w:rsid w:val="00D45FC3"/>
    <w:pPr>
      <w:tabs>
        <w:tab w:val="center" w:pos="4320"/>
        <w:tab w:val="right" w:pos="8640"/>
      </w:tabs>
    </w:pPr>
    <w:rPr>
      <w:sz w:val="20"/>
    </w:rPr>
  </w:style>
  <w:style w:type="character" w:customStyle="1" w:styleId="FooterChar">
    <w:name w:val="Footer Char"/>
    <w:basedOn w:val="DefaultParagraphFont"/>
    <w:link w:val="Footer"/>
    <w:uiPriority w:val="99"/>
    <w:rsid w:val="00D45FC3"/>
    <w:rPr>
      <w:rFonts w:ascii="Times New Roman" w:eastAsia="Times New Roman" w:hAnsi="Times New Roman" w:cs="Times New Roman"/>
      <w:sz w:val="20"/>
      <w:szCs w:val="20"/>
    </w:rPr>
  </w:style>
  <w:style w:type="paragraph" w:styleId="FootnoteText">
    <w:name w:val="footnote text"/>
    <w:aliases w:val="ALTS FOOTNOTE,Footnote Text Char Char,Footnote Text Char Char Char Char,Footnote Text Char1,Footnote Text Char1 Char Char1,Footnote Text Char1 Char Char1 Char Char Char,Footnote Text Char2 Char Char Char Char1,fn,fn C,ft"/>
    <w:basedOn w:val="Normal"/>
    <w:link w:val="FootnoteTextChar"/>
    <w:uiPriority w:val="99"/>
    <w:rsid w:val="00D45FC3"/>
    <w:rPr>
      <w:sz w:val="20"/>
    </w:rPr>
  </w:style>
  <w:style w:type="character" w:customStyle="1" w:styleId="FootnoteTextChar">
    <w:name w:val="Footnote Text Char"/>
    <w:aliases w:val="ALTS FOOTNOTE Char,Footnote Text Char Char Char,Footnote Text Char Char Char Char Char,Footnote Text Char1 Char,Footnote Text Char1 Char Char1 Char,Footnote Text Char1 Char Char1 Char Char Char Char,fn Char,fn C Char,ft Char"/>
    <w:basedOn w:val="DefaultParagraphFont"/>
    <w:link w:val="FootnoteText"/>
    <w:uiPriority w:val="99"/>
    <w:rsid w:val="00D45FC3"/>
    <w:rPr>
      <w:rFonts w:ascii="Times New Roman" w:eastAsia="Times New Roman" w:hAnsi="Times New Roman" w:cs="Times New Roman"/>
      <w:sz w:val="20"/>
      <w:szCs w:val="20"/>
    </w:rPr>
  </w:style>
  <w:style w:type="character" w:styleId="FootnoteReference">
    <w:name w:val="footnote reference"/>
    <w:aliases w:val="(NECG) Footnote Reference,Appel note de bas de p,Style 12,Style 124,Style 13,Style 15,Style 17,Style 18,Style 19,Style 20,Style 28,Style 3,Style 42,Style 7,Style 8,Style 9,fr,fr1,fr2,fr3,o,o1,o2,o3"/>
    <w:uiPriority w:val="99"/>
    <w:rsid w:val="00D45FC3"/>
    <w:rPr>
      <w:vertAlign w:val="superscript"/>
    </w:rPr>
  </w:style>
  <w:style w:type="paragraph" w:styleId="BodyTextIndent3">
    <w:name w:val="Body Text Indent 3"/>
    <w:basedOn w:val="Normal"/>
    <w:link w:val="BodyTextIndent3Char"/>
    <w:rsid w:val="00D45FC3"/>
    <w:pPr>
      <w:spacing w:line="480" w:lineRule="atLeast"/>
      <w:ind w:firstLine="720"/>
    </w:pPr>
  </w:style>
  <w:style w:type="character" w:customStyle="1" w:styleId="BodyTextIndent3Char">
    <w:name w:val="Body Text Indent 3 Char"/>
    <w:basedOn w:val="DefaultParagraphFont"/>
    <w:link w:val="BodyTextIndent3"/>
    <w:rsid w:val="00D45FC3"/>
    <w:rPr>
      <w:rFonts w:ascii="Times New Roman" w:eastAsia="Times New Roman" w:hAnsi="Times New Roman" w:cs="Times New Roman"/>
      <w:sz w:val="24"/>
      <w:szCs w:val="20"/>
    </w:rPr>
  </w:style>
  <w:style w:type="character" w:styleId="PageNumber">
    <w:name w:val="page number"/>
    <w:basedOn w:val="DefaultParagraphFont"/>
    <w:rsid w:val="00D45FC3"/>
  </w:style>
  <w:style w:type="paragraph" w:styleId="BodyText">
    <w:name w:val="Body Text"/>
    <w:basedOn w:val="Normal"/>
    <w:link w:val="BodyTextChar"/>
    <w:rsid w:val="00D45FC3"/>
    <w:pPr>
      <w:jc w:val="both"/>
    </w:pPr>
  </w:style>
  <w:style w:type="character" w:customStyle="1" w:styleId="BodyTextChar">
    <w:name w:val="Body Text Char"/>
    <w:basedOn w:val="DefaultParagraphFont"/>
    <w:link w:val="BodyText"/>
    <w:rsid w:val="00D45FC3"/>
    <w:rPr>
      <w:rFonts w:ascii="Times New Roman" w:eastAsia="Times New Roman" w:hAnsi="Times New Roman" w:cs="Times New Roman"/>
      <w:sz w:val="24"/>
      <w:szCs w:val="20"/>
    </w:rPr>
  </w:style>
  <w:style w:type="paragraph" w:styleId="Header">
    <w:name w:val="header"/>
    <w:basedOn w:val="Normal"/>
    <w:link w:val="HeaderChar"/>
    <w:rsid w:val="00D45FC3"/>
    <w:pPr>
      <w:tabs>
        <w:tab w:val="center" w:pos="4320"/>
        <w:tab w:val="right" w:pos="8640"/>
      </w:tabs>
    </w:pPr>
  </w:style>
  <w:style w:type="character" w:customStyle="1" w:styleId="HeaderChar">
    <w:name w:val="Header Char"/>
    <w:basedOn w:val="DefaultParagraphFont"/>
    <w:link w:val="Header"/>
    <w:rsid w:val="00D45FC3"/>
    <w:rPr>
      <w:rFonts w:ascii="Times New Roman" w:eastAsia="Times New Roman" w:hAnsi="Times New Roman" w:cs="Times New Roman"/>
      <w:sz w:val="24"/>
      <w:szCs w:val="20"/>
    </w:rPr>
  </w:style>
  <w:style w:type="paragraph" w:styleId="CommentText">
    <w:name w:val="annotation text"/>
    <w:basedOn w:val="Normal"/>
    <w:link w:val="CommentTextChar"/>
    <w:semiHidden/>
    <w:rsid w:val="00D45FC3"/>
    <w:rPr>
      <w:szCs w:val="24"/>
    </w:rPr>
  </w:style>
  <w:style w:type="character" w:customStyle="1" w:styleId="CommentTextChar">
    <w:name w:val="Comment Text Char"/>
    <w:basedOn w:val="DefaultParagraphFont"/>
    <w:link w:val="CommentText"/>
    <w:semiHidden/>
    <w:rsid w:val="00D45FC3"/>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D45FC3"/>
    <w:rPr>
      <w:szCs w:val="20"/>
    </w:rPr>
  </w:style>
  <w:style w:type="character" w:customStyle="1" w:styleId="CommentSubjectChar">
    <w:name w:val="Comment Subject Char"/>
    <w:basedOn w:val="CommentTextChar"/>
    <w:link w:val="CommentSubject"/>
    <w:semiHidden/>
    <w:rsid w:val="00D45FC3"/>
    <w:rPr>
      <w:rFonts w:ascii="Times New Roman" w:eastAsia="Times New Roman" w:hAnsi="Times New Roman" w:cs="Times New Roman"/>
      <w:sz w:val="24"/>
      <w:szCs w:val="20"/>
    </w:rPr>
  </w:style>
  <w:style w:type="paragraph" w:styleId="ListParagraph">
    <w:name w:val="List Paragraph"/>
    <w:basedOn w:val="Normal"/>
    <w:uiPriority w:val="34"/>
    <w:qFormat/>
    <w:rsid w:val="00D45FC3"/>
    <w:pPr>
      <w:ind w:left="720"/>
    </w:pPr>
  </w:style>
  <w:style w:type="character" w:styleId="Hyperlink">
    <w:name w:val="Hyperlink"/>
    <w:basedOn w:val="DefaultParagraphFont"/>
    <w:uiPriority w:val="99"/>
    <w:unhideWhenUsed/>
    <w:rsid w:val="000C19F3"/>
    <w:rPr>
      <w:color w:val="0000FF" w:themeColor="hyperlink"/>
      <w:u w:val="single"/>
    </w:rPr>
  </w:style>
  <w:style w:type="table" w:styleId="TableGrid">
    <w:name w:val="Table Grid"/>
    <w:basedOn w:val="TableNormal"/>
    <w:uiPriority w:val="59"/>
    <w:rsid w:val="000C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E073B"/>
    <w:rPr>
      <w:color w:val="605E5C"/>
      <w:shd w:val="clear" w:color="auto" w:fill="E1DFDD"/>
    </w:rPr>
  </w:style>
  <w:style w:type="paragraph" w:styleId="Revision">
    <w:name w:val="Revision"/>
    <w:hidden/>
    <w:uiPriority w:val="99"/>
    <w:semiHidden/>
    <w:rsid w:val="00E00D0C"/>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561B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m.michael@occ.ohio.gov" TargetMode="External"/><Relationship Id="rId13" Type="http://schemas.openxmlformats.org/officeDocument/2006/relationships/hyperlink" Target="mailto:johnryan@nisource.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lthompson@nisourc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dy.willey@puco.ohio.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homas.lindren@ohioAGO.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ohn.steinhart@occ.ohio.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2285C-C53F-49B8-94A3-455229D4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Walters, Denise</cp:lastModifiedBy>
  <cp:revision>2</cp:revision>
  <dcterms:created xsi:type="dcterms:W3CDTF">2024-09-30T13:16:00Z</dcterms:created>
  <dcterms:modified xsi:type="dcterms:W3CDTF">2024-09-30T13:19:00Z</dcterms:modified>
</cp:coreProperties>
</file>