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85AA2" w14:textId="12B4F74B" w:rsidR="00FB4929" w:rsidRDefault="00FB4929" w:rsidP="009228A1">
      <w:pPr>
        <w:jc w:val="center"/>
        <w:rPr>
          <w:rFonts w:eastAsia="Times New Roman" w:cs="Arial"/>
          <w:b/>
          <w:smallCaps/>
          <w:sz w:val="32"/>
          <w:szCs w:val="32"/>
        </w:rPr>
      </w:pPr>
      <w:bookmarkStart w:id="0" w:name="OLE_LINK1"/>
      <w:bookmarkStart w:id="1" w:name="OLE_LINK2"/>
      <w:r>
        <w:rPr>
          <w:rFonts w:eastAsia="Times New Roman" w:cs="Arial"/>
          <w:b/>
          <w:smallCaps/>
          <w:sz w:val="32"/>
          <w:szCs w:val="32"/>
        </w:rPr>
        <w:t>Before</w:t>
      </w:r>
    </w:p>
    <w:p w14:paraId="6D99B05F" w14:textId="77777777" w:rsidR="009228A1" w:rsidRPr="009228A1" w:rsidRDefault="009228A1" w:rsidP="009228A1">
      <w:pPr>
        <w:jc w:val="center"/>
        <w:rPr>
          <w:rFonts w:eastAsia="Times New Roman" w:cs="Arial"/>
          <w:b/>
          <w:smallCaps/>
          <w:sz w:val="32"/>
          <w:szCs w:val="32"/>
        </w:rPr>
      </w:pPr>
      <w:r w:rsidRPr="009228A1">
        <w:rPr>
          <w:rFonts w:eastAsia="Times New Roman" w:cs="Arial"/>
          <w:b/>
          <w:smallCaps/>
          <w:sz w:val="32"/>
          <w:szCs w:val="32"/>
        </w:rPr>
        <w:t>The Public Utilities Commission of Ohio</w:t>
      </w:r>
    </w:p>
    <w:p w14:paraId="3C101D34" w14:textId="77777777" w:rsidR="009228A1" w:rsidRPr="009228A1" w:rsidRDefault="009228A1" w:rsidP="009228A1">
      <w:pPr>
        <w:autoSpaceDE w:val="0"/>
        <w:autoSpaceDN w:val="0"/>
        <w:adjustRightInd w:val="0"/>
        <w:rPr>
          <w:rFonts w:eastAsia="Calibri" w:cs="Arial"/>
        </w:rPr>
      </w:pPr>
    </w:p>
    <w:p w14:paraId="513D34EC" w14:textId="77777777" w:rsidR="009228A1" w:rsidRPr="009228A1" w:rsidRDefault="009228A1" w:rsidP="009228A1">
      <w:pPr>
        <w:tabs>
          <w:tab w:val="left" w:pos="4860"/>
          <w:tab w:val="left" w:pos="5400"/>
        </w:tabs>
        <w:autoSpaceDE w:val="0"/>
        <w:autoSpaceDN w:val="0"/>
        <w:adjustRightInd w:val="0"/>
        <w:jc w:val="both"/>
        <w:rPr>
          <w:rFonts w:eastAsia="Calibri" w:cs="Arial"/>
        </w:rPr>
      </w:pPr>
      <w:r w:rsidRPr="009228A1">
        <w:rPr>
          <w:rFonts w:eastAsia="Calibri" w:cs="Arial"/>
        </w:rPr>
        <w:t xml:space="preserve">In the Matter of the Application of the </w:t>
      </w:r>
      <w:r w:rsidRPr="009228A1">
        <w:rPr>
          <w:rFonts w:eastAsia="Calibri" w:cs="Arial"/>
        </w:rPr>
        <w:tab/>
        <w:t>)</w:t>
      </w:r>
    </w:p>
    <w:p w14:paraId="34242431" w14:textId="77777777" w:rsidR="009228A1" w:rsidRPr="009228A1" w:rsidRDefault="009228A1" w:rsidP="009228A1">
      <w:pPr>
        <w:tabs>
          <w:tab w:val="left" w:pos="4860"/>
          <w:tab w:val="left" w:pos="5400"/>
        </w:tabs>
        <w:autoSpaceDE w:val="0"/>
        <w:autoSpaceDN w:val="0"/>
        <w:adjustRightInd w:val="0"/>
        <w:jc w:val="both"/>
        <w:rPr>
          <w:rFonts w:eastAsia="Calibri" w:cs="Arial"/>
        </w:rPr>
      </w:pPr>
      <w:r w:rsidRPr="009228A1">
        <w:rPr>
          <w:rFonts w:eastAsia="Calibri" w:cs="Arial"/>
        </w:rPr>
        <w:t>Ohio Development Services Agency</w:t>
      </w:r>
      <w:r w:rsidRPr="009228A1">
        <w:rPr>
          <w:rFonts w:eastAsia="Calibri" w:cs="Arial"/>
        </w:rPr>
        <w:tab/>
        <w:t>)</w:t>
      </w:r>
    </w:p>
    <w:p w14:paraId="698D3933" w14:textId="77777777" w:rsidR="009228A1" w:rsidRPr="009228A1" w:rsidRDefault="009228A1" w:rsidP="009228A1">
      <w:pPr>
        <w:tabs>
          <w:tab w:val="left" w:pos="4860"/>
          <w:tab w:val="left" w:pos="5400"/>
        </w:tabs>
        <w:autoSpaceDE w:val="0"/>
        <w:autoSpaceDN w:val="0"/>
        <w:adjustRightInd w:val="0"/>
        <w:jc w:val="both"/>
        <w:rPr>
          <w:rFonts w:eastAsia="Calibri" w:cs="Arial"/>
        </w:rPr>
      </w:pPr>
      <w:r w:rsidRPr="009228A1">
        <w:rPr>
          <w:rFonts w:eastAsia="Calibri" w:cs="Arial"/>
        </w:rPr>
        <w:t>for an Order Approving Adjustments</w:t>
      </w:r>
      <w:r w:rsidRPr="009228A1">
        <w:rPr>
          <w:rFonts w:eastAsia="Calibri" w:cs="Arial"/>
        </w:rPr>
        <w:tab/>
        <w:t>)</w:t>
      </w:r>
      <w:r w:rsidRPr="009228A1">
        <w:rPr>
          <w:rFonts w:eastAsia="Calibri" w:cs="Arial"/>
        </w:rPr>
        <w:tab/>
        <w:t>Case No. 17-1377-EL-USF</w:t>
      </w:r>
    </w:p>
    <w:p w14:paraId="69D84BB7" w14:textId="77777777" w:rsidR="009228A1" w:rsidRPr="009228A1" w:rsidRDefault="009228A1" w:rsidP="009228A1">
      <w:pPr>
        <w:tabs>
          <w:tab w:val="left" w:pos="4860"/>
          <w:tab w:val="left" w:pos="5400"/>
        </w:tabs>
        <w:autoSpaceDE w:val="0"/>
        <w:autoSpaceDN w:val="0"/>
        <w:adjustRightInd w:val="0"/>
        <w:jc w:val="both"/>
        <w:rPr>
          <w:rFonts w:eastAsia="Calibri" w:cs="Arial"/>
        </w:rPr>
      </w:pPr>
      <w:r w:rsidRPr="009228A1">
        <w:rPr>
          <w:rFonts w:eastAsia="Calibri" w:cs="Arial"/>
        </w:rPr>
        <w:t xml:space="preserve">to the Universal Service Fund Riders of </w:t>
      </w:r>
      <w:r w:rsidRPr="009228A1">
        <w:rPr>
          <w:rFonts w:eastAsia="Calibri" w:cs="Arial"/>
        </w:rPr>
        <w:tab/>
        <w:t>)</w:t>
      </w:r>
    </w:p>
    <w:p w14:paraId="29DDA4CB" w14:textId="77777777" w:rsidR="009228A1" w:rsidRPr="009228A1" w:rsidRDefault="009228A1" w:rsidP="009228A1">
      <w:pPr>
        <w:tabs>
          <w:tab w:val="left" w:pos="4860"/>
          <w:tab w:val="left" w:pos="5400"/>
        </w:tabs>
        <w:autoSpaceDE w:val="0"/>
        <w:autoSpaceDN w:val="0"/>
        <w:adjustRightInd w:val="0"/>
        <w:jc w:val="both"/>
        <w:rPr>
          <w:rFonts w:eastAsia="Calibri" w:cs="Arial"/>
        </w:rPr>
      </w:pPr>
      <w:r w:rsidRPr="009228A1">
        <w:rPr>
          <w:rFonts w:eastAsia="Calibri" w:cs="Arial"/>
        </w:rPr>
        <w:t xml:space="preserve">Jurisdictional Ohio Electric Distribution </w:t>
      </w:r>
      <w:r w:rsidRPr="009228A1">
        <w:rPr>
          <w:rFonts w:eastAsia="Calibri" w:cs="Arial"/>
        </w:rPr>
        <w:tab/>
        <w:t>)</w:t>
      </w:r>
    </w:p>
    <w:p w14:paraId="3707B625" w14:textId="77777777" w:rsidR="009228A1" w:rsidRPr="009228A1" w:rsidRDefault="009228A1" w:rsidP="009228A1">
      <w:pPr>
        <w:tabs>
          <w:tab w:val="left" w:pos="4860"/>
          <w:tab w:val="left" w:pos="5400"/>
        </w:tabs>
        <w:autoSpaceDE w:val="0"/>
        <w:autoSpaceDN w:val="0"/>
        <w:adjustRightInd w:val="0"/>
        <w:jc w:val="both"/>
        <w:rPr>
          <w:rFonts w:eastAsia="Calibri" w:cs="Arial"/>
        </w:rPr>
      </w:pPr>
      <w:r w:rsidRPr="009228A1">
        <w:rPr>
          <w:rFonts w:eastAsia="Calibri" w:cs="Arial"/>
        </w:rPr>
        <w:t>Utilities.</w:t>
      </w:r>
      <w:r w:rsidRPr="009228A1">
        <w:rPr>
          <w:rFonts w:eastAsia="Calibri" w:cs="Arial"/>
        </w:rPr>
        <w:tab/>
        <w:t>)</w:t>
      </w:r>
    </w:p>
    <w:p w14:paraId="3DE37E56" w14:textId="77777777" w:rsidR="009228A1" w:rsidRPr="009228A1" w:rsidRDefault="009228A1" w:rsidP="009228A1">
      <w:pPr>
        <w:tabs>
          <w:tab w:val="left" w:pos="5040"/>
        </w:tabs>
        <w:jc w:val="both"/>
        <w:rPr>
          <w:rFonts w:eastAsia="Times New Roman" w:cs="Arial"/>
        </w:rPr>
      </w:pPr>
    </w:p>
    <w:p w14:paraId="5B727B5D" w14:textId="77777777" w:rsidR="009228A1" w:rsidRPr="009228A1" w:rsidRDefault="009228A1" w:rsidP="009228A1">
      <w:pPr>
        <w:tabs>
          <w:tab w:val="left" w:pos="5040"/>
        </w:tabs>
        <w:jc w:val="both"/>
        <w:rPr>
          <w:rFonts w:eastAsia="Times New Roman" w:cs="Arial"/>
          <w:sz w:val="28"/>
        </w:rPr>
      </w:pPr>
    </w:p>
    <w:p w14:paraId="51F37B9F" w14:textId="77777777" w:rsidR="009228A1" w:rsidRPr="009228A1" w:rsidRDefault="009228A1" w:rsidP="009228A1">
      <w:pPr>
        <w:keepNext/>
        <w:pBdr>
          <w:top w:val="single" w:sz="12" w:space="1" w:color="auto"/>
        </w:pBdr>
        <w:tabs>
          <w:tab w:val="left" w:pos="7320"/>
        </w:tabs>
        <w:jc w:val="center"/>
        <w:outlineLvl w:val="0"/>
        <w:rPr>
          <w:rFonts w:ascii="Arial Bold" w:eastAsia="Times New Roman" w:hAnsi="Arial Bold" w:cs="Arial"/>
          <w:b/>
          <w:smallCaps/>
          <w:sz w:val="28"/>
        </w:rPr>
      </w:pPr>
    </w:p>
    <w:bookmarkEnd w:id="0"/>
    <w:bookmarkEnd w:id="1"/>
    <w:p w14:paraId="5D5B63A9" w14:textId="77777777" w:rsidR="00D008F9" w:rsidRPr="00D008F9" w:rsidRDefault="00D008F9" w:rsidP="00D008F9">
      <w:pPr>
        <w:jc w:val="center"/>
        <w:rPr>
          <w:rFonts w:ascii="Arial Bold" w:hAnsi="Arial Bold"/>
          <w:b/>
          <w:smallCaps/>
          <w:sz w:val="32"/>
          <w:szCs w:val="32"/>
          <w:highlight w:val="yellow"/>
        </w:rPr>
      </w:pPr>
      <w:r w:rsidRPr="00D008F9">
        <w:rPr>
          <w:rFonts w:ascii="Arial Bold" w:hAnsi="Arial Bold"/>
          <w:b/>
          <w:smallCaps/>
          <w:sz w:val="32"/>
          <w:szCs w:val="32"/>
        </w:rPr>
        <w:t>Industrial Energy Users-Ohio’s</w:t>
      </w:r>
    </w:p>
    <w:p w14:paraId="160B39E4" w14:textId="77777777" w:rsidR="00D008F9" w:rsidRPr="00D008F9" w:rsidRDefault="00D008F9" w:rsidP="00D008F9">
      <w:pPr>
        <w:jc w:val="center"/>
        <w:rPr>
          <w:rFonts w:ascii="Arial Bold" w:hAnsi="Arial Bold"/>
          <w:b/>
          <w:smallCaps/>
          <w:sz w:val="32"/>
          <w:szCs w:val="32"/>
        </w:rPr>
      </w:pPr>
      <w:r w:rsidRPr="00D008F9">
        <w:rPr>
          <w:rFonts w:ascii="Arial Bold" w:hAnsi="Arial Bold"/>
          <w:b/>
          <w:smallCaps/>
          <w:sz w:val="32"/>
          <w:szCs w:val="32"/>
        </w:rPr>
        <w:t>Memo Contra Ohio Partners for Affordable Energy’s</w:t>
      </w:r>
    </w:p>
    <w:p w14:paraId="47B89E18" w14:textId="77777777" w:rsidR="00D008F9" w:rsidRPr="00D008F9" w:rsidRDefault="00D008F9" w:rsidP="00D008F9">
      <w:pPr>
        <w:jc w:val="center"/>
        <w:rPr>
          <w:rFonts w:ascii="Arial Bold" w:hAnsi="Arial Bold"/>
          <w:b/>
          <w:smallCaps/>
          <w:sz w:val="32"/>
          <w:szCs w:val="32"/>
        </w:rPr>
      </w:pPr>
      <w:r w:rsidRPr="00D008F9">
        <w:rPr>
          <w:rFonts w:ascii="Arial Bold" w:hAnsi="Arial Bold"/>
          <w:b/>
          <w:smallCaps/>
          <w:sz w:val="32"/>
          <w:szCs w:val="32"/>
        </w:rPr>
        <w:t>Application for Rehearing</w:t>
      </w:r>
    </w:p>
    <w:p w14:paraId="15F81ED7" w14:textId="77777777" w:rsidR="009228A1" w:rsidRPr="009228A1" w:rsidRDefault="009228A1" w:rsidP="009228A1">
      <w:pPr>
        <w:pBdr>
          <w:bottom w:val="single" w:sz="12" w:space="1" w:color="auto"/>
        </w:pBdr>
        <w:jc w:val="center"/>
        <w:rPr>
          <w:rFonts w:eastAsia="Times New Roman" w:cs="Arial"/>
          <w:b/>
          <w:smallCaps/>
          <w:sz w:val="28"/>
          <w:u w:val="single"/>
        </w:rPr>
      </w:pPr>
    </w:p>
    <w:p w14:paraId="6AC3D015" w14:textId="77777777" w:rsidR="009228A1" w:rsidRPr="009228A1" w:rsidRDefault="009228A1" w:rsidP="009228A1">
      <w:pPr>
        <w:jc w:val="center"/>
        <w:rPr>
          <w:rFonts w:eastAsia="Times New Roman" w:cs="Arial"/>
          <w:b/>
          <w:smallCaps/>
          <w:sz w:val="28"/>
          <w:u w:val="single"/>
        </w:rPr>
      </w:pPr>
    </w:p>
    <w:p w14:paraId="75129562" w14:textId="77777777" w:rsidR="009228A1" w:rsidRPr="009228A1" w:rsidRDefault="009228A1" w:rsidP="009228A1">
      <w:pPr>
        <w:jc w:val="center"/>
        <w:rPr>
          <w:rFonts w:eastAsia="Times New Roman" w:cs="Arial"/>
          <w:b/>
          <w:smallCaps/>
          <w:sz w:val="28"/>
          <w:u w:val="single"/>
        </w:rPr>
      </w:pPr>
    </w:p>
    <w:p w14:paraId="64F9D60C" w14:textId="4B9E4640" w:rsidR="009228A1" w:rsidRDefault="009228A1" w:rsidP="009228A1">
      <w:pPr>
        <w:jc w:val="center"/>
        <w:rPr>
          <w:rFonts w:eastAsia="Times New Roman" w:cs="Arial"/>
          <w:b/>
          <w:smallCaps/>
          <w:sz w:val="28"/>
          <w:u w:val="single"/>
        </w:rPr>
      </w:pPr>
    </w:p>
    <w:p w14:paraId="11F9F13A" w14:textId="77777777" w:rsidR="00B6509C" w:rsidRPr="009228A1" w:rsidRDefault="00B6509C" w:rsidP="009228A1">
      <w:pPr>
        <w:jc w:val="center"/>
        <w:rPr>
          <w:rFonts w:eastAsia="Times New Roman" w:cs="Arial"/>
          <w:b/>
          <w:smallCaps/>
          <w:sz w:val="28"/>
          <w:u w:val="single"/>
        </w:rPr>
      </w:pPr>
    </w:p>
    <w:p w14:paraId="5F957787" w14:textId="77777777" w:rsidR="009228A1" w:rsidRPr="009228A1" w:rsidRDefault="009228A1" w:rsidP="009228A1">
      <w:pPr>
        <w:jc w:val="center"/>
        <w:rPr>
          <w:rFonts w:eastAsia="Times New Roman" w:cs="Arial"/>
          <w:b/>
          <w:smallCaps/>
          <w:sz w:val="28"/>
          <w:u w:val="single"/>
        </w:rPr>
      </w:pPr>
    </w:p>
    <w:p w14:paraId="041768D6" w14:textId="77777777" w:rsidR="009228A1" w:rsidRPr="009228A1" w:rsidRDefault="009228A1" w:rsidP="009228A1">
      <w:pPr>
        <w:jc w:val="center"/>
        <w:rPr>
          <w:rFonts w:eastAsia="Times New Roman" w:cs="Arial"/>
          <w:b/>
          <w:smallCaps/>
          <w:sz w:val="28"/>
          <w:u w:val="single"/>
        </w:rPr>
      </w:pPr>
    </w:p>
    <w:p w14:paraId="111D97B6" w14:textId="77777777" w:rsidR="009228A1" w:rsidRPr="009228A1" w:rsidRDefault="009228A1" w:rsidP="009228A1">
      <w:pPr>
        <w:jc w:val="center"/>
        <w:rPr>
          <w:rFonts w:eastAsia="Times New Roman" w:cs="Arial"/>
          <w:b/>
          <w:smallCaps/>
          <w:sz w:val="28"/>
          <w:u w:val="single"/>
        </w:rPr>
      </w:pPr>
    </w:p>
    <w:p w14:paraId="3751DCE9" w14:textId="63BC2298" w:rsidR="009228A1" w:rsidRDefault="009228A1" w:rsidP="009228A1">
      <w:pPr>
        <w:jc w:val="center"/>
        <w:rPr>
          <w:rFonts w:eastAsia="Times New Roman" w:cs="Arial"/>
          <w:b/>
          <w:smallCaps/>
          <w:sz w:val="28"/>
          <w:u w:val="single"/>
        </w:rPr>
      </w:pPr>
    </w:p>
    <w:p w14:paraId="4387FAAF" w14:textId="77777777" w:rsidR="009B586C" w:rsidRPr="009228A1" w:rsidRDefault="009B586C" w:rsidP="009228A1">
      <w:pPr>
        <w:jc w:val="center"/>
        <w:rPr>
          <w:rFonts w:eastAsia="Times New Roman" w:cs="Arial"/>
          <w:b/>
          <w:smallCaps/>
          <w:sz w:val="28"/>
          <w:u w:val="single"/>
        </w:rPr>
      </w:pPr>
    </w:p>
    <w:p w14:paraId="5A94AE89" w14:textId="77777777" w:rsidR="009228A1" w:rsidRPr="009228A1" w:rsidRDefault="009228A1" w:rsidP="009228A1">
      <w:pPr>
        <w:jc w:val="center"/>
        <w:rPr>
          <w:rFonts w:eastAsia="Times New Roman" w:cs="Arial"/>
          <w:b/>
          <w:smallCaps/>
          <w:sz w:val="28"/>
          <w:u w:val="single"/>
        </w:rPr>
      </w:pPr>
    </w:p>
    <w:p w14:paraId="14F89A16" w14:textId="77777777" w:rsidR="009228A1" w:rsidRPr="009228A1" w:rsidRDefault="009228A1" w:rsidP="009228A1">
      <w:pPr>
        <w:jc w:val="center"/>
        <w:rPr>
          <w:rFonts w:eastAsia="Times New Roman" w:cs="Arial"/>
          <w:b/>
          <w:smallCaps/>
          <w:sz w:val="28"/>
          <w:u w:val="single"/>
        </w:rPr>
      </w:pPr>
    </w:p>
    <w:p w14:paraId="203BE914" w14:textId="77777777" w:rsidR="009228A1" w:rsidRPr="009228A1" w:rsidRDefault="009228A1" w:rsidP="009228A1">
      <w:pPr>
        <w:jc w:val="center"/>
        <w:rPr>
          <w:rFonts w:eastAsia="Times New Roman" w:cs="Arial"/>
          <w:b/>
          <w:smallCaps/>
          <w:sz w:val="28"/>
          <w:u w:val="single"/>
        </w:rPr>
      </w:pPr>
    </w:p>
    <w:p w14:paraId="356968C0" w14:textId="77777777" w:rsidR="009228A1" w:rsidRPr="009228A1" w:rsidRDefault="009228A1" w:rsidP="009228A1">
      <w:pPr>
        <w:widowControl w:val="0"/>
        <w:ind w:left="4320"/>
        <w:jc w:val="both"/>
        <w:rPr>
          <w:rFonts w:eastAsia="Times New Roman" w:cs="Arial"/>
          <w:bCs/>
          <w:color w:val="000000"/>
          <w:szCs w:val="20"/>
        </w:rPr>
      </w:pPr>
      <w:r w:rsidRPr="009228A1">
        <w:rPr>
          <w:rFonts w:eastAsia="Times New Roman" w:cs="Arial"/>
          <w:bCs/>
          <w:color w:val="000000"/>
          <w:szCs w:val="20"/>
        </w:rPr>
        <w:t>Frank P. Darr (Reg. No. 0025469)</w:t>
      </w:r>
    </w:p>
    <w:p w14:paraId="27E46857" w14:textId="77777777" w:rsidR="009228A1" w:rsidRPr="009228A1" w:rsidRDefault="009228A1" w:rsidP="009228A1">
      <w:pPr>
        <w:tabs>
          <w:tab w:val="right" w:pos="8640"/>
        </w:tabs>
        <w:ind w:left="4320"/>
        <w:jc w:val="both"/>
        <w:rPr>
          <w:rFonts w:eastAsia="Times New Roman" w:cs="Arial"/>
          <w:color w:val="000000"/>
        </w:rPr>
      </w:pPr>
      <w:r w:rsidRPr="009228A1">
        <w:rPr>
          <w:rFonts w:eastAsia="Times New Roman" w:cs="Arial"/>
          <w:color w:val="000000"/>
        </w:rPr>
        <w:t>(Counsel of Record)</w:t>
      </w:r>
    </w:p>
    <w:p w14:paraId="00839C3D" w14:textId="77777777" w:rsidR="009228A1" w:rsidRPr="009228A1" w:rsidRDefault="009228A1" w:rsidP="009228A1">
      <w:pPr>
        <w:widowControl w:val="0"/>
        <w:ind w:left="4320"/>
        <w:jc w:val="both"/>
        <w:rPr>
          <w:rFonts w:eastAsia="Times New Roman" w:cs="Arial"/>
          <w:bCs/>
          <w:color w:val="000000"/>
          <w:szCs w:val="20"/>
        </w:rPr>
      </w:pPr>
      <w:r w:rsidRPr="009228A1">
        <w:rPr>
          <w:rFonts w:eastAsia="Times New Roman" w:cs="Arial"/>
          <w:bCs/>
          <w:color w:val="000000"/>
          <w:szCs w:val="20"/>
        </w:rPr>
        <w:t>Matthew R. Pritchard (Reg. No. 0088070)</w:t>
      </w:r>
    </w:p>
    <w:p w14:paraId="540D8057" w14:textId="77777777" w:rsidR="009228A1" w:rsidRPr="009228A1" w:rsidRDefault="009228A1" w:rsidP="009228A1">
      <w:pPr>
        <w:widowControl w:val="0"/>
        <w:ind w:left="4320"/>
        <w:jc w:val="both"/>
        <w:rPr>
          <w:rFonts w:eastAsia="Times New Roman" w:cs="Arial"/>
          <w:bCs/>
          <w:smallCaps/>
          <w:color w:val="000000"/>
        </w:rPr>
      </w:pPr>
      <w:r w:rsidRPr="009228A1">
        <w:rPr>
          <w:rFonts w:eastAsia="Times New Roman" w:cs="Arial"/>
          <w:bCs/>
          <w:smallCaps/>
          <w:color w:val="000000"/>
        </w:rPr>
        <w:t>McNees Wallace &amp; Nurick LLC</w:t>
      </w:r>
    </w:p>
    <w:p w14:paraId="25015B95" w14:textId="77777777" w:rsidR="009228A1" w:rsidRPr="009228A1" w:rsidRDefault="009228A1" w:rsidP="009228A1">
      <w:pPr>
        <w:widowControl w:val="0"/>
        <w:ind w:left="4320"/>
        <w:jc w:val="both"/>
        <w:rPr>
          <w:rFonts w:eastAsia="Times New Roman" w:cs="Arial"/>
          <w:bCs/>
          <w:color w:val="000000"/>
          <w:szCs w:val="20"/>
        </w:rPr>
      </w:pPr>
      <w:r w:rsidRPr="009228A1">
        <w:rPr>
          <w:rFonts w:eastAsia="Times New Roman" w:cs="Arial"/>
          <w:bCs/>
          <w:color w:val="000000"/>
          <w:szCs w:val="20"/>
        </w:rPr>
        <w:t>21 East State Street, 17</w:t>
      </w:r>
      <w:r w:rsidRPr="009228A1">
        <w:rPr>
          <w:rFonts w:eastAsia="Times New Roman" w:cs="Arial"/>
          <w:bCs/>
          <w:color w:val="000000"/>
          <w:szCs w:val="20"/>
          <w:vertAlign w:val="superscript"/>
        </w:rPr>
        <w:t>TH</w:t>
      </w:r>
      <w:r w:rsidRPr="009228A1">
        <w:rPr>
          <w:rFonts w:eastAsia="Times New Roman" w:cs="Arial"/>
          <w:bCs/>
          <w:color w:val="000000"/>
          <w:szCs w:val="20"/>
        </w:rPr>
        <w:t xml:space="preserve"> Floor</w:t>
      </w:r>
    </w:p>
    <w:p w14:paraId="40231721" w14:textId="77777777" w:rsidR="009228A1" w:rsidRPr="009228A1" w:rsidRDefault="009228A1" w:rsidP="009228A1">
      <w:pPr>
        <w:ind w:left="4320"/>
        <w:jc w:val="both"/>
        <w:rPr>
          <w:rFonts w:eastAsia="Times New Roman" w:cs="Arial"/>
          <w:color w:val="000000"/>
        </w:rPr>
      </w:pPr>
      <w:r w:rsidRPr="009228A1">
        <w:rPr>
          <w:rFonts w:eastAsia="Times New Roman" w:cs="Arial"/>
          <w:color w:val="000000"/>
        </w:rPr>
        <w:t>Columbus, OH  43215</w:t>
      </w:r>
    </w:p>
    <w:p w14:paraId="1D3B2914" w14:textId="77777777" w:rsidR="009228A1" w:rsidRPr="009228A1" w:rsidRDefault="009228A1" w:rsidP="009228A1">
      <w:pPr>
        <w:ind w:left="4320"/>
        <w:jc w:val="both"/>
        <w:rPr>
          <w:rFonts w:eastAsia="Times New Roman" w:cs="Arial"/>
          <w:color w:val="000000"/>
        </w:rPr>
      </w:pPr>
      <w:r w:rsidRPr="009228A1">
        <w:rPr>
          <w:rFonts w:eastAsia="Times New Roman" w:cs="Arial"/>
          <w:color w:val="000000"/>
        </w:rPr>
        <w:t>Telephone:  (614) 469-8000</w:t>
      </w:r>
    </w:p>
    <w:p w14:paraId="01A3A0D0" w14:textId="77777777" w:rsidR="009228A1" w:rsidRPr="009228A1" w:rsidRDefault="009228A1" w:rsidP="009228A1">
      <w:pPr>
        <w:ind w:left="4320"/>
        <w:jc w:val="both"/>
        <w:rPr>
          <w:rFonts w:eastAsia="Times New Roman" w:cs="Arial"/>
          <w:color w:val="000000"/>
        </w:rPr>
      </w:pPr>
      <w:r w:rsidRPr="009228A1">
        <w:rPr>
          <w:rFonts w:eastAsia="Times New Roman" w:cs="Arial"/>
          <w:color w:val="000000"/>
        </w:rPr>
        <w:t>Telecopier:  (614) 469-4653</w:t>
      </w:r>
    </w:p>
    <w:p w14:paraId="7D5CF60B" w14:textId="3A6AA0E1" w:rsidR="009228A1" w:rsidRPr="009228A1" w:rsidRDefault="009228A1" w:rsidP="009228A1">
      <w:pPr>
        <w:ind w:left="4320"/>
        <w:jc w:val="both"/>
        <w:rPr>
          <w:rFonts w:eastAsia="Times New Roman" w:cs="Arial"/>
          <w:color w:val="000000"/>
        </w:rPr>
      </w:pPr>
      <w:r w:rsidRPr="009228A1">
        <w:rPr>
          <w:rFonts w:eastAsia="Times New Roman" w:cs="Arial"/>
          <w:color w:val="000000"/>
        </w:rPr>
        <w:t>fdarr@mwncmh.com</w:t>
      </w:r>
    </w:p>
    <w:p w14:paraId="725803D2" w14:textId="77777777" w:rsidR="009228A1" w:rsidRPr="009228A1" w:rsidRDefault="009228A1" w:rsidP="009228A1">
      <w:pPr>
        <w:ind w:left="4320"/>
        <w:jc w:val="both"/>
        <w:rPr>
          <w:rFonts w:eastAsia="Times New Roman" w:cs="Arial"/>
          <w:color w:val="000000"/>
        </w:rPr>
      </w:pPr>
      <w:r w:rsidRPr="009228A1">
        <w:rPr>
          <w:rFonts w:eastAsia="Times New Roman" w:cs="Arial"/>
          <w:color w:val="000000"/>
        </w:rPr>
        <w:t>(willing to accept service via e-mail)</w:t>
      </w:r>
    </w:p>
    <w:p w14:paraId="35979663" w14:textId="58A800BE" w:rsidR="009228A1" w:rsidRPr="009228A1" w:rsidRDefault="009228A1" w:rsidP="009228A1">
      <w:pPr>
        <w:ind w:left="4320"/>
        <w:jc w:val="both"/>
        <w:rPr>
          <w:rFonts w:eastAsia="Times New Roman" w:cs="Arial"/>
          <w:color w:val="000000"/>
        </w:rPr>
      </w:pPr>
      <w:r w:rsidRPr="009228A1">
        <w:rPr>
          <w:rFonts w:eastAsia="Times New Roman" w:cs="Arial"/>
          <w:color w:val="000000"/>
        </w:rPr>
        <w:t>mpritchard@mwncmh.com</w:t>
      </w:r>
    </w:p>
    <w:p w14:paraId="13711AA0" w14:textId="77777777" w:rsidR="009228A1" w:rsidRPr="009228A1" w:rsidRDefault="009228A1" w:rsidP="009228A1">
      <w:pPr>
        <w:ind w:left="4320"/>
        <w:jc w:val="both"/>
        <w:rPr>
          <w:rFonts w:eastAsia="Times New Roman" w:cs="Arial"/>
          <w:color w:val="000000"/>
        </w:rPr>
      </w:pPr>
      <w:r w:rsidRPr="009228A1">
        <w:rPr>
          <w:rFonts w:eastAsia="Times New Roman" w:cs="Arial"/>
          <w:color w:val="000000"/>
        </w:rPr>
        <w:t>(willing to accept service via e-mail)</w:t>
      </w:r>
    </w:p>
    <w:p w14:paraId="75172A9D" w14:textId="77777777" w:rsidR="009228A1" w:rsidRPr="009228A1" w:rsidRDefault="009228A1" w:rsidP="009228A1">
      <w:pPr>
        <w:ind w:left="4320"/>
        <w:jc w:val="both"/>
        <w:rPr>
          <w:rFonts w:eastAsia="Times New Roman" w:cs="Arial"/>
        </w:rPr>
      </w:pPr>
    </w:p>
    <w:p w14:paraId="14CAB59C" w14:textId="77777777" w:rsidR="009228A1" w:rsidRPr="009228A1" w:rsidRDefault="009228A1" w:rsidP="009228A1">
      <w:pPr>
        <w:tabs>
          <w:tab w:val="left" w:pos="4320"/>
          <w:tab w:val="right" w:pos="8640"/>
        </w:tabs>
        <w:jc w:val="both"/>
        <w:rPr>
          <w:rFonts w:ascii="Times New Roman" w:eastAsia="Times New Roman" w:hAnsi="Times New Roman" w:cs="Times New Roman"/>
        </w:rPr>
      </w:pPr>
    </w:p>
    <w:p w14:paraId="1C6A58F9" w14:textId="77777777" w:rsidR="002E6E53" w:rsidRDefault="009228A1" w:rsidP="009228A1">
      <w:pPr>
        <w:tabs>
          <w:tab w:val="left" w:pos="4320"/>
        </w:tabs>
        <w:ind w:left="4320" w:hanging="4320"/>
        <w:rPr>
          <w:rFonts w:eastAsia="Times New Roman" w:cs="Arial"/>
          <w:b/>
        </w:rPr>
        <w:sectPr w:rsidR="002E6E53" w:rsidSect="00B6509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80" w:left="1440" w:header="720" w:footer="720" w:gutter="0"/>
          <w:pgNumType w:start="1"/>
          <w:cols w:space="720"/>
          <w:titlePg/>
          <w:docGrid w:linePitch="326"/>
        </w:sectPr>
      </w:pPr>
      <w:r>
        <w:rPr>
          <w:rFonts w:eastAsia="Times New Roman" w:cs="Arial"/>
          <w:b/>
        </w:rPr>
        <w:t xml:space="preserve">November 20, </w:t>
      </w:r>
      <w:r w:rsidRPr="009228A1">
        <w:rPr>
          <w:rFonts w:eastAsia="Times New Roman" w:cs="Arial"/>
          <w:b/>
        </w:rPr>
        <w:t>2017</w:t>
      </w:r>
      <w:r w:rsidRPr="009228A1">
        <w:rPr>
          <w:rFonts w:eastAsia="Times New Roman" w:cs="Arial"/>
          <w:b/>
        </w:rPr>
        <w:tab/>
        <w:t>Attorneys for Industrial Energy Users-Ohio</w:t>
      </w:r>
    </w:p>
    <w:p w14:paraId="59141749" w14:textId="77777777" w:rsidR="009228A1" w:rsidRPr="009228A1" w:rsidRDefault="009228A1" w:rsidP="009228A1">
      <w:pPr>
        <w:jc w:val="center"/>
        <w:rPr>
          <w:rFonts w:eastAsia="Times New Roman" w:cs="Arial"/>
          <w:b/>
          <w:smallCaps/>
          <w:sz w:val="28"/>
          <w:szCs w:val="28"/>
        </w:rPr>
      </w:pPr>
      <w:r w:rsidRPr="009228A1">
        <w:rPr>
          <w:rFonts w:eastAsia="Times New Roman" w:cs="Arial"/>
          <w:b/>
          <w:smallCaps/>
          <w:sz w:val="28"/>
          <w:szCs w:val="28"/>
        </w:rPr>
        <w:lastRenderedPageBreak/>
        <w:t>Before</w:t>
      </w:r>
    </w:p>
    <w:p w14:paraId="72CE268E" w14:textId="77777777" w:rsidR="009228A1" w:rsidRPr="009228A1" w:rsidRDefault="009228A1" w:rsidP="009228A1">
      <w:pPr>
        <w:jc w:val="center"/>
        <w:rPr>
          <w:rFonts w:eastAsia="Times New Roman" w:cs="Arial"/>
          <w:b/>
          <w:smallCaps/>
          <w:sz w:val="28"/>
          <w:szCs w:val="28"/>
        </w:rPr>
      </w:pPr>
      <w:r w:rsidRPr="009228A1">
        <w:rPr>
          <w:rFonts w:eastAsia="Times New Roman" w:cs="Arial"/>
          <w:b/>
          <w:smallCaps/>
          <w:sz w:val="28"/>
          <w:szCs w:val="28"/>
        </w:rPr>
        <w:t>The Public Utilities Commission of Ohio</w:t>
      </w:r>
    </w:p>
    <w:p w14:paraId="69AA0A06" w14:textId="76936687" w:rsidR="009228A1" w:rsidRDefault="009228A1" w:rsidP="009228A1">
      <w:pPr>
        <w:autoSpaceDE w:val="0"/>
        <w:autoSpaceDN w:val="0"/>
        <w:adjustRightInd w:val="0"/>
        <w:rPr>
          <w:rFonts w:eastAsia="Calibri" w:cs="Arial"/>
          <w:sz w:val="28"/>
          <w:szCs w:val="28"/>
        </w:rPr>
      </w:pPr>
    </w:p>
    <w:p w14:paraId="0FD138B0" w14:textId="77777777" w:rsidR="002E6E53" w:rsidRPr="009228A1" w:rsidRDefault="002E6E53" w:rsidP="009228A1">
      <w:pPr>
        <w:autoSpaceDE w:val="0"/>
        <w:autoSpaceDN w:val="0"/>
        <w:adjustRightInd w:val="0"/>
        <w:rPr>
          <w:rFonts w:eastAsia="Calibri" w:cs="Arial"/>
          <w:sz w:val="28"/>
          <w:szCs w:val="28"/>
        </w:rPr>
      </w:pPr>
    </w:p>
    <w:p w14:paraId="3B4F6C82" w14:textId="77777777" w:rsidR="009228A1" w:rsidRPr="009228A1" w:rsidRDefault="009228A1" w:rsidP="009228A1">
      <w:pPr>
        <w:tabs>
          <w:tab w:val="left" w:pos="4860"/>
          <w:tab w:val="left" w:pos="5400"/>
        </w:tabs>
        <w:autoSpaceDE w:val="0"/>
        <w:autoSpaceDN w:val="0"/>
        <w:adjustRightInd w:val="0"/>
        <w:jc w:val="both"/>
        <w:rPr>
          <w:rFonts w:eastAsia="Calibri" w:cs="Arial"/>
        </w:rPr>
      </w:pPr>
      <w:r w:rsidRPr="009228A1">
        <w:rPr>
          <w:rFonts w:eastAsia="Calibri" w:cs="Arial"/>
        </w:rPr>
        <w:t xml:space="preserve">In the Matter of the Application of the </w:t>
      </w:r>
      <w:r w:rsidRPr="009228A1">
        <w:rPr>
          <w:rFonts w:eastAsia="Calibri" w:cs="Arial"/>
        </w:rPr>
        <w:tab/>
        <w:t>)</w:t>
      </w:r>
    </w:p>
    <w:p w14:paraId="71029961" w14:textId="77777777" w:rsidR="009228A1" w:rsidRPr="009228A1" w:rsidRDefault="009228A1" w:rsidP="009228A1">
      <w:pPr>
        <w:tabs>
          <w:tab w:val="left" w:pos="4860"/>
          <w:tab w:val="left" w:pos="5400"/>
        </w:tabs>
        <w:autoSpaceDE w:val="0"/>
        <w:autoSpaceDN w:val="0"/>
        <w:adjustRightInd w:val="0"/>
        <w:jc w:val="both"/>
        <w:rPr>
          <w:rFonts w:eastAsia="Calibri" w:cs="Arial"/>
        </w:rPr>
      </w:pPr>
      <w:r w:rsidRPr="009228A1">
        <w:rPr>
          <w:rFonts w:eastAsia="Calibri" w:cs="Arial"/>
        </w:rPr>
        <w:t>Ohio Development Services Agency</w:t>
      </w:r>
      <w:r w:rsidRPr="009228A1">
        <w:rPr>
          <w:rFonts w:eastAsia="Calibri" w:cs="Arial"/>
        </w:rPr>
        <w:tab/>
        <w:t>)</w:t>
      </w:r>
    </w:p>
    <w:p w14:paraId="0BC31C7F" w14:textId="77777777" w:rsidR="009228A1" w:rsidRPr="009228A1" w:rsidRDefault="009228A1" w:rsidP="009228A1">
      <w:pPr>
        <w:tabs>
          <w:tab w:val="left" w:pos="4860"/>
          <w:tab w:val="left" w:pos="5400"/>
        </w:tabs>
        <w:autoSpaceDE w:val="0"/>
        <w:autoSpaceDN w:val="0"/>
        <w:adjustRightInd w:val="0"/>
        <w:jc w:val="both"/>
        <w:rPr>
          <w:rFonts w:eastAsia="Calibri" w:cs="Arial"/>
        </w:rPr>
      </w:pPr>
      <w:r w:rsidRPr="009228A1">
        <w:rPr>
          <w:rFonts w:eastAsia="Calibri" w:cs="Arial"/>
        </w:rPr>
        <w:t>for an Order Approving Adjustments</w:t>
      </w:r>
      <w:r w:rsidRPr="009228A1">
        <w:rPr>
          <w:rFonts w:eastAsia="Calibri" w:cs="Arial"/>
        </w:rPr>
        <w:tab/>
        <w:t>)</w:t>
      </w:r>
      <w:r w:rsidRPr="009228A1">
        <w:rPr>
          <w:rFonts w:eastAsia="Calibri" w:cs="Arial"/>
        </w:rPr>
        <w:tab/>
        <w:t>Case No. 17-1377-EL-USF</w:t>
      </w:r>
    </w:p>
    <w:p w14:paraId="5728EA29" w14:textId="77777777" w:rsidR="009228A1" w:rsidRPr="009228A1" w:rsidRDefault="009228A1" w:rsidP="009228A1">
      <w:pPr>
        <w:tabs>
          <w:tab w:val="left" w:pos="4860"/>
          <w:tab w:val="left" w:pos="5400"/>
        </w:tabs>
        <w:autoSpaceDE w:val="0"/>
        <w:autoSpaceDN w:val="0"/>
        <w:adjustRightInd w:val="0"/>
        <w:jc w:val="both"/>
        <w:rPr>
          <w:rFonts w:eastAsia="Calibri" w:cs="Arial"/>
        </w:rPr>
      </w:pPr>
      <w:r w:rsidRPr="009228A1">
        <w:rPr>
          <w:rFonts w:eastAsia="Calibri" w:cs="Arial"/>
        </w:rPr>
        <w:t xml:space="preserve">to the Universal Service Fund Riders of </w:t>
      </w:r>
      <w:r w:rsidRPr="009228A1">
        <w:rPr>
          <w:rFonts w:eastAsia="Calibri" w:cs="Arial"/>
        </w:rPr>
        <w:tab/>
        <w:t>)</w:t>
      </w:r>
    </w:p>
    <w:p w14:paraId="57ABFF4F" w14:textId="77777777" w:rsidR="009228A1" w:rsidRPr="009228A1" w:rsidRDefault="009228A1" w:rsidP="009228A1">
      <w:pPr>
        <w:tabs>
          <w:tab w:val="left" w:pos="4860"/>
          <w:tab w:val="left" w:pos="5400"/>
        </w:tabs>
        <w:autoSpaceDE w:val="0"/>
        <w:autoSpaceDN w:val="0"/>
        <w:adjustRightInd w:val="0"/>
        <w:jc w:val="both"/>
        <w:rPr>
          <w:rFonts w:eastAsia="Calibri" w:cs="Arial"/>
        </w:rPr>
      </w:pPr>
      <w:r w:rsidRPr="009228A1">
        <w:rPr>
          <w:rFonts w:eastAsia="Calibri" w:cs="Arial"/>
        </w:rPr>
        <w:t xml:space="preserve">Jurisdictional Ohio Electric Distribution </w:t>
      </w:r>
      <w:r w:rsidRPr="009228A1">
        <w:rPr>
          <w:rFonts w:eastAsia="Calibri" w:cs="Arial"/>
        </w:rPr>
        <w:tab/>
        <w:t>)</w:t>
      </w:r>
    </w:p>
    <w:p w14:paraId="7C6E606C" w14:textId="77777777" w:rsidR="009228A1" w:rsidRPr="009228A1" w:rsidRDefault="009228A1" w:rsidP="009228A1">
      <w:pPr>
        <w:tabs>
          <w:tab w:val="left" w:pos="4860"/>
          <w:tab w:val="left" w:pos="5400"/>
        </w:tabs>
        <w:autoSpaceDE w:val="0"/>
        <w:autoSpaceDN w:val="0"/>
        <w:adjustRightInd w:val="0"/>
        <w:jc w:val="both"/>
        <w:rPr>
          <w:rFonts w:eastAsia="Calibri" w:cs="Arial"/>
        </w:rPr>
      </w:pPr>
      <w:r w:rsidRPr="009228A1">
        <w:rPr>
          <w:rFonts w:eastAsia="Calibri" w:cs="Arial"/>
        </w:rPr>
        <w:t>Utilities.</w:t>
      </w:r>
      <w:r w:rsidRPr="009228A1">
        <w:rPr>
          <w:rFonts w:eastAsia="Calibri" w:cs="Arial"/>
        </w:rPr>
        <w:tab/>
        <w:t>)</w:t>
      </w:r>
    </w:p>
    <w:p w14:paraId="31761090" w14:textId="77777777" w:rsidR="009228A1" w:rsidRPr="009228A1" w:rsidRDefault="009228A1" w:rsidP="009228A1">
      <w:pPr>
        <w:tabs>
          <w:tab w:val="left" w:pos="5040"/>
        </w:tabs>
        <w:jc w:val="both"/>
        <w:rPr>
          <w:rFonts w:eastAsia="Times New Roman" w:cs="Arial"/>
        </w:rPr>
      </w:pPr>
    </w:p>
    <w:p w14:paraId="19662B92" w14:textId="77777777" w:rsidR="009228A1" w:rsidRPr="009228A1" w:rsidRDefault="009228A1" w:rsidP="009228A1">
      <w:pPr>
        <w:tabs>
          <w:tab w:val="left" w:pos="5040"/>
        </w:tabs>
        <w:jc w:val="both"/>
        <w:rPr>
          <w:rFonts w:eastAsia="Times New Roman" w:cs="Arial"/>
          <w:sz w:val="28"/>
        </w:rPr>
      </w:pPr>
    </w:p>
    <w:p w14:paraId="7FA24FE9" w14:textId="77777777" w:rsidR="009228A1" w:rsidRPr="009228A1" w:rsidRDefault="009228A1" w:rsidP="009228A1">
      <w:pPr>
        <w:keepNext/>
        <w:pBdr>
          <w:top w:val="single" w:sz="12" w:space="1" w:color="auto"/>
        </w:pBdr>
        <w:tabs>
          <w:tab w:val="left" w:pos="7320"/>
        </w:tabs>
        <w:jc w:val="center"/>
        <w:outlineLvl w:val="0"/>
        <w:rPr>
          <w:rFonts w:ascii="Arial Bold" w:eastAsia="Times New Roman" w:hAnsi="Arial Bold" w:cs="Arial"/>
          <w:b/>
          <w:smallCaps/>
          <w:sz w:val="28"/>
        </w:rPr>
      </w:pPr>
    </w:p>
    <w:p w14:paraId="10E08F9D" w14:textId="77777777" w:rsidR="009228A1" w:rsidRPr="00D008F9" w:rsidRDefault="009228A1" w:rsidP="00D008F9">
      <w:pPr>
        <w:jc w:val="center"/>
        <w:rPr>
          <w:rFonts w:ascii="Arial Bold" w:hAnsi="Arial Bold"/>
          <w:b/>
          <w:smallCaps/>
          <w:sz w:val="28"/>
          <w:highlight w:val="yellow"/>
        </w:rPr>
      </w:pPr>
      <w:r w:rsidRPr="00D008F9">
        <w:rPr>
          <w:rFonts w:ascii="Arial Bold" w:hAnsi="Arial Bold"/>
          <w:b/>
          <w:smallCaps/>
          <w:sz w:val="28"/>
        </w:rPr>
        <w:t>Industrial Energy Users-Ohio’s</w:t>
      </w:r>
    </w:p>
    <w:p w14:paraId="11F23827" w14:textId="77777777" w:rsidR="00325348" w:rsidRPr="00D008F9" w:rsidRDefault="009228A1" w:rsidP="00D008F9">
      <w:pPr>
        <w:jc w:val="center"/>
        <w:rPr>
          <w:rFonts w:ascii="Arial Bold" w:hAnsi="Arial Bold"/>
          <w:b/>
          <w:smallCaps/>
          <w:sz w:val="28"/>
        </w:rPr>
      </w:pPr>
      <w:r w:rsidRPr="00D008F9">
        <w:rPr>
          <w:rFonts w:ascii="Arial Bold" w:hAnsi="Arial Bold"/>
          <w:b/>
          <w:smallCaps/>
          <w:sz w:val="28"/>
        </w:rPr>
        <w:t>Memo Contra Ohio Partners for Affordable Energy’s</w:t>
      </w:r>
    </w:p>
    <w:p w14:paraId="1460F9E7" w14:textId="77777777" w:rsidR="009228A1" w:rsidRPr="00D008F9" w:rsidRDefault="009228A1" w:rsidP="00D008F9">
      <w:pPr>
        <w:jc w:val="center"/>
        <w:rPr>
          <w:rFonts w:ascii="Arial Bold" w:hAnsi="Arial Bold"/>
          <w:b/>
          <w:smallCaps/>
          <w:sz w:val="28"/>
        </w:rPr>
      </w:pPr>
      <w:r w:rsidRPr="00D008F9">
        <w:rPr>
          <w:rFonts w:ascii="Arial Bold" w:hAnsi="Arial Bold"/>
          <w:b/>
          <w:smallCaps/>
          <w:sz w:val="28"/>
        </w:rPr>
        <w:t>Application for Rehearing</w:t>
      </w:r>
    </w:p>
    <w:p w14:paraId="675FBC34" w14:textId="77777777" w:rsidR="009228A1" w:rsidRPr="009228A1" w:rsidRDefault="009228A1" w:rsidP="009228A1">
      <w:pPr>
        <w:pBdr>
          <w:bottom w:val="single" w:sz="12" w:space="1" w:color="auto"/>
        </w:pBdr>
        <w:jc w:val="center"/>
        <w:rPr>
          <w:rFonts w:eastAsia="Times New Roman" w:cs="Arial"/>
          <w:b/>
          <w:smallCaps/>
          <w:sz w:val="28"/>
          <w:u w:val="single"/>
        </w:rPr>
      </w:pPr>
    </w:p>
    <w:p w14:paraId="5EC3F3F3" w14:textId="77777777" w:rsidR="008F6854" w:rsidRPr="00B40917" w:rsidRDefault="008F6854" w:rsidP="00C44283">
      <w:pPr>
        <w:spacing w:line="480" w:lineRule="auto"/>
        <w:jc w:val="center"/>
        <w:rPr>
          <w:b/>
        </w:rPr>
      </w:pPr>
    </w:p>
    <w:p w14:paraId="1E72A20C" w14:textId="77777777" w:rsidR="008F6854" w:rsidRPr="00B40917" w:rsidRDefault="00B40917" w:rsidP="009C7175">
      <w:pPr>
        <w:pStyle w:val="Heading1"/>
      </w:pPr>
      <w:bookmarkStart w:id="2" w:name="_Toc498932025"/>
      <w:r w:rsidRPr="00B40917">
        <w:t>Introduction</w:t>
      </w:r>
      <w:bookmarkEnd w:id="2"/>
    </w:p>
    <w:p w14:paraId="2EBF67FF" w14:textId="24528CC8" w:rsidR="003B4910" w:rsidRDefault="00283595" w:rsidP="00C44283">
      <w:pPr>
        <w:spacing w:line="480" w:lineRule="auto"/>
        <w:jc w:val="both"/>
      </w:pPr>
      <w:r>
        <w:tab/>
      </w:r>
      <w:r w:rsidR="003B4910">
        <w:t>This is the 17</w:t>
      </w:r>
      <w:r w:rsidR="003B4910" w:rsidRPr="003B4910">
        <w:rPr>
          <w:vertAlign w:val="superscript"/>
        </w:rPr>
        <w:t>th</w:t>
      </w:r>
      <w:r w:rsidR="003B4910">
        <w:t xml:space="preserve"> Universal Service Fund (“USF”) proceeding before the Public Utilities Commission of Ohio (“Commission”)</w:t>
      </w:r>
      <w:r w:rsidR="007B626B">
        <w:t>, and in</w:t>
      </w:r>
      <w:r w:rsidR="00787713">
        <w:t xml:space="preserve"> every USF proceeding</w:t>
      </w:r>
      <w:r w:rsidR="003B4910">
        <w:t xml:space="preserve"> the Commission has authorized a two-step declining block rate design for the USF riders.  </w:t>
      </w:r>
      <w:r w:rsidR="007B329B">
        <w:t xml:space="preserve">In each case, </w:t>
      </w:r>
      <w:r w:rsidR="003B4910">
        <w:t>the Commission</w:t>
      </w:r>
      <w:r w:rsidR="007B329B">
        <w:t>,</w:t>
      </w:r>
      <w:r w:rsidR="003B4910">
        <w:t xml:space="preserve"> </w:t>
      </w:r>
      <w:r w:rsidR="007B329B">
        <w:t xml:space="preserve">either explicitly or implicitly, </w:t>
      </w:r>
      <w:r w:rsidR="003B4910">
        <w:t xml:space="preserve">has </w:t>
      </w:r>
      <w:r w:rsidR="007B626B">
        <w:t xml:space="preserve">found </w:t>
      </w:r>
      <w:r w:rsidR="007B329B">
        <w:t>that the</w:t>
      </w:r>
      <w:r w:rsidR="007B626B">
        <w:t xml:space="preserve"> rate </w:t>
      </w:r>
      <w:r w:rsidR="003B4910">
        <w:t>design</w:t>
      </w:r>
      <w:r w:rsidR="007B626B">
        <w:t xml:space="preserve"> </w:t>
      </w:r>
      <w:r w:rsidR="003B4910">
        <w:t>does not result in a cost-shift among the customer classes</w:t>
      </w:r>
      <w:r w:rsidR="007B626B">
        <w:t xml:space="preserve"> in violation of R.C. 4928.52(C)</w:t>
      </w:r>
      <w:r w:rsidR="003B4910">
        <w:t xml:space="preserve">.  In this proceeding, </w:t>
      </w:r>
      <w:r w:rsidR="009B586C">
        <w:t>the Ohio Development Services Agency (“</w:t>
      </w:r>
      <w:r w:rsidR="007B626B">
        <w:t>ODSA</w:t>
      </w:r>
      <w:r w:rsidR="009B586C">
        <w:t>”)</w:t>
      </w:r>
      <w:r w:rsidR="007B626B">
        <w:t xml:space="preserve"> presented evidence again</w:t>
      </w:r>
      <w:r w:rsidR="003B4910">
        <w:t xml:space="preserve"> demonstrating that the continuation of the existing rate design methodology would not result in a cost</w:t>
      </w:r>
      <w:r w:rsidR="009B586C">
        <w:t>-</w:t>
      </w:r>
      <w:r w:rsidR="003B4910">
        <w:t xml:space="preserve">shift among the customer classes.  </w:t>
      </w:r>
    </w:p>
    <w:p w14:paraId="00057FFA" w14:textId="3C4003AF" w:rsidR="00C73F95" w:rsidRDefault="00787713" w:rsidP="00C44283">
      <w:pPr>
        <w:spacing w:line="480" w:lineRule="auto"/>
        <w:jc w:val="both"/>
      </w:pPr>
      <w:r>
        <w:tab/>
        <w:t xml:space="preserve">The intervening parties in this case were provided an opportunity to present testimony addressing the </w:t>
      </w:r>
      <w:r w:rsidR="0036319A">
        <w:t>revenue requirement and rate design methodologies contained in ODSA</w:t>
      </w:r>
      <w:r w:rsidR="009B586C">
        <w:t>’s</w:t>
      </w:r>
      <w:r w:rsidR="0036319A">
        <w:t xml:space="preserve"> proposal.  </w:t>
      </w:r>
      <w:r w:rsidR="003B4910">
        <w:t>Ohio Partners for Affordable Energy (“OPAE”)</w:t>
      </w:r>
      <w:r w:rsidR="0036319A">
        <w:t xml:space="preserve">, an intervenor in this USF proceeding </w:t>
      </w:r>
      <w:r w:rsidR="00A71B36">
        <w:t>and all but one of the</w:t>
      </w:r>
      <w:r w:rsidR="0036319A">
        <w:t xml:space="preserve"> prior USF case</w:t>
      </w:r>
      <w:r w:rsidR="00A71B36">
        <w:t>s</w:t>
      </w:r>
      <w:r w:rsidR="0036319A">
        <w:t xml:space="preserve">, elected to forgo </w:t>
      </w:r>
      <w:r w:rsidR="008E7C53">
        <w:t>cross</w:t>
      </w:r>
      <w:r w:rsidR="009B586C">
        <w:t>-</w:t>
      </w:r>
      <w:r w:rsidR="008E7C53">
        <w:lastRenderedPageBreak/>
        <w:t xml:space="preserve">examination of the ODSA witness who testified concerning the rate design or to </w:t>
      </w:r>
      <w:r w:rsidR="0036319A">
        <w:t xml:space="preserve">present a witness.  </w:t>
      </w:r>
      <w:r w:rsidR="00FD5A0A">
        <w:t xml:space="preserve">Simply put, </w:t>
      </w:r>
      <w:r w:rsidR="00A71B36">
        <w:t>OPAE was provided an opportunity to rebut the prima facie case established by the testimony of ODSA</w:t>
      </w:r>
      <w:r w:rsidR="008E7C53">
        <w:t>, but sat silently</w:t>
      </w:r>
      <w:r w:rsidR="00A71B36">
        <w:t>.  OPAE nonetheless challenged on brief the continuation of the two-step declining block rate design</w:t>
      </w:r>
      <w:r w:rsidR="008E7C53">
        <w:t>, relying heavily o</w:t>
      </w:r>
      <w:r w:rsidR="009B586C">
        <w:t>n</w:t>
      </w:r>
      <w:r w:rsidR="008E7C53">
        <w:t xml:space="preserve"> testimony offered by The Kroger Co</w:t>
      </w:r>
      <w:r w:rsidR="009B586C">
        <w:t xml:space="preserve">. (“Kroger”) </w:t>
      </w:r>
      <w:r w:rsidR="008E7C53">
        <w:t xml:space="preserve">concerning aggregation of customer load by mercantile customers </w:t>
      </w:r>
      <w:r w:rsidR="00A95D30">
        <w:t>to</w:t>
      </w:r>
      <w:r w:rsidR="008E7C53">
        <w:t xml:space="preserve"> qualify for rates based on the second block</w:t>
      </w:r>
      <w:r w:rsidR="00A71B36">
        <w:t xml:space="preserve">.  </w:t>
      </w:r>
    </w:p>
    <w:p w14:paraId="6E0B413B" w14:textId="31E3316F" w:rsidR="00FD5A0A" w:rsidRDefault="00C73F95" w:rsidP="00C44283">
      <w:pPr>
        <w:spacing w:line="480" w:lineRule="auto"/>
        <w:jc w:val="both"/>
      </w:pPr>
      <w:r>
        <w:tab/>
      </w:r>
      <w:r w:rsidR="000B29A0">
        <w:t>In response to OPAE</w:t>
      </w:r>
      <w:r w:rsidR="008E7C53">
        <w:t>’s challenge</w:t>
      </w:r>
      <w:r w:rsidR="000B29A0">
        <w:t>, t</w:t>
      </w:r>
      <w:r w:rsidR="00FD5A0A">
        <w:t xml:space="preserve">he Commission </w:t>
      </w:r>
      <w:r w:rsidR="008E7C53">
        <w:t xml:space="preserve">approved the </w:t>
      </w:r>
      <w:r w:rsidR="00D7399A">
        <w:t xml:space="preserve">continued </w:t>
      </w:r>
      <w:r w:rsidR="008E7C53">
        <w:t xml:space="preserve">use of the </w:t>
      </w:r>
      <w:r w:rsidR="00A95D30">
        <w:t xml:space="preserve">two-step </w:t>
      </w:r>
      <w:r w:rsidR="008E7C53">
        <w:t>declining block rate design</w:t>
      </w:r>
      <w:r w:rsidR="00A71B36">
        <w:t>.</w:t>
      </w:r>
      <w:r w:rsidR="00C12D99">
        <w:t xml:space="preserve">  The Commission</w:t>
      </w:r>
      <w:r w:rsidR="008E7C53">
        <w:t xml:space="preserve"> correctly</w:t>
      </w:r>
      <w:r w:rsidR="00C12D99">
        <w:t xml:space="preserve"> noted that OPAE’s reliance on the record evidence regarding</w:t>
      </w:r>
      <w:r w:rsidR="00FB4929">
        <w:t xml:space="preserve"> </w:t>
      </w:r>
      <w:r w:rsidR="00C12D99">
        <w:t xml:space="preserve">Kroger’s proposed aggregation under the existing rate design was misplaced; </w:t>
      </w:r>
      <w:r w:rsidR="00A95D30">
        <w:t xml:space="preserve">that </w:t>
      </w:r>
      <w:r w:rsidR="00C12D99">
        <w:t>OPAE’s challenge to the Commission’s findings in prior non-appealable orders was improper; and that a theoretical challenge to the existing rate design did not demonstrate a violation of R.C. 4928.52(C).</w:t>
      </w:r>
      <w:r w:rsidR="00C12D99">
        <w:rPr>
          <w:rStyle w:val="FootnoteReference"/>
        </w:rPr>
        <w:footnoteReference w:id="1"/>
      </w:r>
      <w:r w:rsidR="00C12D99">
        <w:t xml:space="preserve">  </w:t>
      </w:r>
    </w:p>
    <w:p w14:paraId="40D2631B" w14:textId="50C5C693" w:rsidR="00C73F95" w:rsidRDefault="00C73F95" w:rsidP="00C44283">
      <w:pPr>
        <w:spacing w:line="480" w:lineRule="auto"/>
        <w:jc w:val="both"/>
      </w:pPr>
      <w:r>
        <w:tab/>
        <w:t xml:space="preserve">On rehearing, OPAE again presents the same flawed </w:t>
      </w:r>
      <w:r w:rsidR="00A95D30">
        <w:t xml:space="preserve">claims and </w:t>
      </w:r>
      <w:r w:rsidR="002F01E8">
        <w:t>arguments</w:t>
      </w:r>
      <w:r>
        <w:t xml:space="preserve"> that the Commission rejected in its O</w:t>
      </w:r>
      <w:bookmarkStart w:id="3" w:name="_GoBack"/>
      <w:bookmarkEnd w:id="3"/>
      <w:r>
        <w:t xml:space="preserve">pinion and Order in this </w:t>
      </w:r>
      <w:r w:rsidR="00A95D30">
        <w:t xml:space="preserve">case </w:t>
      </w:r>
      <w:r>
        <w:t xml:space="preserve">and the 2015 USF case. </w:t>
      </w:r>
      <w:r w:rsidR="002F01E8">
        <w:t>Due to OPAE’s failure to present any new or meritorious argument</w:t>
      </w:r>
      <w:r w:rsidR="00F76109">
        <w:t>,</w:t>
      </w:r>
      <w:r w:rsidR="002F01E8">
        <w:t xml:space="preserve"> the Commission should deny OPAE’s </w:t>
      </w:r>
      <w:r w:rsidR="00F76109">
        <w:t>A</w:t>
      </w:r>
      <w:r w:rsidR="002F01E8">
        <w:t xml:space="preserve">pplication for </w:t>
      </w:r>
      <w:r w:rsidR="00F76109">
        <w:t>R</w:t>
      </w:r>
      <w:r w:rsidR="002F01E8">
        <w:t>ehearing.</w:t>
      </w:r>
    </w:p>
    <w:p w14:paraId="78188340" w14:textId="77777777" w:rsidR="002E6E53" w:rsidRDefault="002E6E53">
      <w:pPr>
        <w:rPr>
          <w:rFonts w:eastAsiaTheme="majorEastAsia" w:cs="Arial"/>
          <w:b/>
          <w:caps/>
          <w:szCs w:val="32"/>
          <w:u w:val="single"/>
        </w:rPr>
      </w:pPr>
      <w:r>
        <w:br w:type="page"/>
      </w:r>
    </w:p>
    <w:p w14:paraId="6230CF02" w14:textId="4165C3E2" w:rsidR="00C73F95" w:rsidRPr="00B40917" w:rsidRDefault="00B40917" w:rsidP="009C7175">
      <w:pPr>
        <w:pStyle w:val="Heading1"/>
      </w:pPr>
      <w:bookmarkStart w:id="4" w:name="_Toc498932026"/>
      <w:r w:rsidRPr="00B40917">
        <w:lastRenderedPageBreak/>
        <w:t>ARGUMENT</w:t>
      </w:r>
      <w:bookmarkEnd w:id="4"/>
      <w:r w:rsidRPr="00B40917">
        <w:t xml:space="preserve"> </w:t>
      </w:r>
    </w:p>
    <w:p w14:paraId="05827585" w14:textId="77777777" w:rsidR="00C73F95" w:rsidRDefault="00E93617" w:rsidP="002E6E53">
      <w:pPr>
        <w:pStyle w:val="Heading2"/>
      </w:pPr>
      <w:bookmarkStart w:id="5" w:name="_Toc498932027"/>
      <w:r>
        <w:t xml:space="preserve">OPAE’s </w:t>
      </w:r>
      <w:r w:rsidR="00F76109">
        <w:t>A</w:t>
      </w:r>
      <w:r>
        <w:t xml:space="preserve">pplication for </w:t>
      </w:r>
      <w:r w:rsidR="00F76109">
        <w:t>R</w:t>
      </w:r>
      <w:r>
        <w:t>ehearing is based on extra-record claims and ignores t</w:t>
      </w:r>
      <w:r w:rsidR="00C73F95">
        <w:t xml:space="preserve">he </w:t>
      </w:r>
      <w:r w:rsidR="006553EE" w:rsidRPr="002E6E53">
        <w:t>uncontested</w:t>
      </w:r>
      <w:r w:rsidR="006553EE">
        <w:t xml:space="preserve"> </w:t>
      </w:r>
      <w:r w:rsidR="00C73F95">
        <w:t xml:space="preserve">evidence </w:t>
      </w:r>
      <w:r>
        <w:t xml:space="preserve">that </w:t>
      </w:r>
      <w:r w:rsidR="006553EE">
        <w:t>demonstrates that the two</w:t>
      </w:r>
      <w:r w:rsidR="00F76109">
        <w:t>-step</w:t>
      </w:r>
      <w:r w:rsidR="00AC519D">
        <w:t xml:space="preserve"> </w:t>
      </w:r>
      <w:r w:rsidR="00F76109">
        <w:t xml:space="preserve">declining </w:t>
      </w:r>
      <w:r w:rsidR="006553EE">
        <w:t>block rate design is lawful</w:t>
      </w:r>
      <w:bookmarkEnd w:id="5"/>
      <w:r w:rsidR="006553EE">
        <w:t xml:space="preserve"> </w:t>
      </w:r>
    </w:p>
    <w:p w14:paraId="78E3111B" w14:textId="7D190750" w:rsidR="00252AC2" w:rsidRDefault="0055366A" w:rsidP="00070718">
      <w:pPr>
        <w:spacing w:line="480" w:lineRule="auto"/>
        <w:jc w:val="both"/>
      </w:pPr>
      <w:r>
        <w:tab/>
        <w:t xml:space="preserve">In its Application for Rehearing, OPAE </w:t>
      </w:r>
      <w:r w:rsidR="00814788">
        <w:t xml:space="preserve">presents what the Commission </w:t>
      </w:r>
      <w:r w:rsidR="00A95D30">
        <w:t xml:space="preserve">previously </w:t>
      </w:r>
      <w:r w:rsidR="00814788">
        <w:t>characterized as a theoretical</w:t>
      </w:r>
      <w:r w:rsidR="00252AC2">
        <w:t xml:space="preserve"> </w:t>
      </w:r>
      <w:r w:rsidR="00AE0236">
        <w:t xml:space="preserve">attack </w:t>
      </w:r>
      <w:r w:rsidR="00252AC2">
        <w:t>(</w:t>
      </w:r>
      <w:r w:rsidR="00252AC2">
        <w:rPr>
          <w:i/>
        </w:rPr>
        <w:t>i.e.</w:t>
      </w:r>
      <w:r w:rsidR="00252AC2">
        <w:t xml:space="preserve"> </w:t>
      </w:r>
      <w:r w:rsidR="00A95D30">
        <w:t xml:space="preserve">one </w:t>
      </w:r>
      <w:r w:rsidR="00252AC2">
        <w:t>not based on any record support)</w:t>
      </w:r>
      <w:r w:rsidR="00814788">
        <w:t xml:space="preserve"> on</w:t>
      </w:r>
      <w:r w:rsidR="00AE0236">
        <w:t xml:space="preserve"> the</w:t>
      </w:r>
      <w:r w:rsidR="00814788">
        <w:t xml:space="preserve"> two-step declining block rate design.  </w:t>
      </w:r>
      <w:r w:rsidR="00676808">
        <w:t xml:space="preserve">OPAE’s theoretical challenge to the two-step declining block rate design rests on </w:t>
      </w:r>
      <w:r w:rsidR="00625CB9">
        <w:t xml:space="preserve">an unsupported claim </w:t>
      </w:r>
      <w:r w:rsidR="00A95D30">
        <w:t>that the purpose of the rate design is to shift costs among customer classes</w:t>
      </w:r>
      <w:r w:rsidR="00676808">
        <w:t xml:space="preserve">.  </w:t>
      </w:r>
      <w:r w:rsidR="00625CB9">
        <w:t>This claim then drives an</w:t>
      </w:r>
      <w:r w:rsidR="00070718">
        <w:t xml:space="preserve"> analysis </w:t>
      </w:r>
      <w:r w:rsidR="00A95D30">
        <w:t>based on imaginary customers</w:t>
      </w:r>
      <w:r w:rsidR="00070718">
        <w:t xml:space="preserve">.  These two flaws are fatal to OPAE’s argument and require the Commission to deny OPAE’s </w:t>
      </w:r>
      <w:r w:rsidR="00F14056">
        <w:t>A</w:t>
      </w:r>
      <w:r w:rsidR="00070718">
        <w:t xml:space="preserve">pplication for </w:t>
      </w:r>
      <w:r w:rsidR="00F14056">
        <w:t>R</w:t>
      </w:r>
      <w:r w:rsidR="00070718">
        <w:t>ehearing.</w:t>
      </w:r>
    </w:p>
    <w:p w14:paraId="3A1435F1" w14:textId="77777777" w:rsidR="00625CB9" w:rsidRDefault="00625CB9" w:rsidP="002E6E53">
      <w:pPr>
        <w:pStyle w:val="Heading3"/>
      </w:pPr>
      <w:bookmarkStart w:id="6" w:name="_Toc498932028"/>
      <w:r>
        <w:t xml:space="preserve">OPAE’s </w:t>
      </w:r>
      <w:r w:rsidR="00B10D53">
        <w:t>claim</w:t>
      </w:r>
      <w:r>
        <w:t xml:space="preserve"> </w:t>
      </w:r>
      <w:bookmarkStart w:id="7" w:name="_Hlk498606603"/>
      <w:r>
        <w:t>that the purpose of the two-step declining block rate design methodology to shift costs among the customer classes</w:t>
      </w:r>
      <w:bookmarkEnd w:id="7"/>
      <w:r>
        <w:t xml:space="preserve"> </w:t>
      </w:r>
      <w:r w:rsidR="005332A5">
        <w:t>is contradicted by the only evidence in the record regarding the lawfulness of the rate design</w:t>
      </w:r>
      <w:bookmarkEnd w:id="6"/>
    </w:p>
    <w:p w14:paraId="4CC85174" w14:textId="3CCD49D8" w:rsidR="00B10D53" w:rsidRDefault="00252AC2" w:rsidP="00DB1482">
      <w:pPr>
        <w:spacing w:line="480" w:lineRule="auto"/>
        <w:jc w:val="both"/>
      </w:pPr>
      <w:r>
        <w:tab/>
      </w:r>
      <w:r w:rsidR="00DB1482">
        <w:t xml:space="preserve">ODSA introduced the direct testimony of Ms. Meadows in support of the revenue requirement and rate design methodologies ODSA proposed in its Notice of Intent (“NOI”). </w:t>
      </w:r>
      <w:r w:rsidR="00B10D53">
        <w:t xml:space="preserve"> On the rate design, s</w:t>
      </w:r>
      <w:r w:rsidR="00DB1482">
        <w:t>he testified that this rate design would “ensure adequate funding for the low-income customer assistance programs and the consumer education programs administered by ODSA, and provide a reasonable contribution by all customer classes to the USF revenue requirement.”</w:t>
      </w:r>
      <w:r w:rsidR="00DB1482">
        <w:rPr>
          <w:rStyle w:val="FootnoteReference"/>
        </w:rPr>
        <w:footnoteReference w:id="2"/>
      </w:r>
      <w:r w:rsidR="00DB1482">
        <w:t xml:space="preserve">  Ms. Meadows further testified that ODSA’s proposed rate design for the 2018 USF riders was the same rate design the Commission has approved in every prior USF proceeding.</w:t>
      </w:r>
      <w:r w:rsidR="00DB1482">
        <w:rPr>
          <w:rStyle w:val="FootnoteReference"/>
        </w:rPr>
        <w:footnoteReference w:id="3"/>
      </w:r>
      <w:r w:rsidR="00DB1482">
        <w:t xml:space="preserve">  Finally, Ms. Meadows testified that the </w:t>
      </w:r>
      <w:r w:rsidR="00DB1482">
        <w:lastRenderedPageBreak/>
        <w:t>Commission has found in each USF proceeding that the two-step declining block rate design does not violate R.C. 4928.52(C).</w:t>
      </w:r>
      <w:r w:rsidR="00DB1482">
        <w:rPr>
          <w:rStyle w:val="FootnoteReference"/>
        </w:rPr>
        <w:footnoteReference w:id="4"/>
      </w:r>
      <w:r w:rsidR="00DB1482">
        <w:t xml:space="preserve">  </w:t>
      </w:r>
      <w:r w:rsidR="00335B6E">
        <w:t>This evidence demonstrates that the two-step declining block rate design represents a reasonable contribution by all customer classes and therefore does not violate the</w:t>
      </w:r>
      <w:r w:rsidR="005332A5">
        <w:t xml:space="preserve"> prohibition of </w:t>
      </w:r>
      <w:r w:rsidR="00335B6E">
        <w:t>inter-class cost</w:t>
      </w:r>
      <w:r w:rsidR="009B586C">
        <w:t>-</w:t>
      </w:r>
      <w:r w:rsidR="00335B6E">
        <w:t>shift</w:t>
      </w:r>
      <w:r w:rsidR="005332A5">
        <w:t>s</w:t>
      </w:r>
      <w:r w:rsidR="00335B6E">
        <w:t xml:space="preserve"> in R.C. 4928.52(C).  </w:t>
      </w:r>
    </w:p>
    <w:p w14:paraId="3BE9AC21" w14:textId="050380E3" w:rsidR="003F2762" w:rsidRDefault="00B10D53" w:rsidP="009B586C">
      <w:pPr>
        <w:spacing w:line="480" w:lineRule="auto"/>
        <w:ind w:firstLine="720"/>
        <w:jc w:val="both"/>
      </w:pPr>
      <w:r>
        <w:t>In response</w:t>
      </w:r>
      <w:r w:rsidR="007B654E">
        <w:t xml:space="preserve">, </w:t>
      </w:r>
      <w:r>
        <w:t>OPAE did not</w:t>
      </w:r>
      <w:r w:rsidR="00DB1482">
        <w:t xml:space="preserve"> cross-</w:t>
      </w:r>
      <w:r>
        <w:t>examine</w:t>
      </w:r>
      <w:r w:rsidR="00DB1482">
        <w:t xml:space="preserve"> </w:t>
      </w:r>
      <w:r>
        <w:t>Ms. Meadows</w:t>
      </w:r>
      <w:r w:rsidR="007B654E">
        <w:t xml:space="preserve"> on this testimony</w:t>
      </w:r>
      <w:r w:rsidR="00DB1482">
        <w:t xml:space="preserve"> </w:t>
      </w:r>
      <w:r>
        <w:t>or</w:t>
      </w:r>
      <w:r w:rsidR="00DB1482">
        <w:t xml:space="preserve"> offer </w:t>
      </w:r>
      <w:r>
        <w:t>any exhibits or testimony</w:t>
      </w:r>
      <w:r w:rsidR="00DB1482">
        <w:t xml:space="preserve"> </w:t>
      </w:r>
      <w:r>
        <w:t xml:space="preserve">in support of </w:t>
      </w:r>
      <w:r w:rsidR="005332A5">
        <w:t>its</w:t>
      </w:r>
      <w:r>
        <w:t xml:space="preserve"> claim that</w:t>
      </w:r>
      <w:r w:rsidR="00335B6E" w:rsidRPr="00335B6E">
        <w:t xml:space="preserve"> </w:t>
      </w:r>
      <w:r w:rsidR="00335B6E">
        <w:t>the purpose of the two-step declining block rate design methodology is to shift costs among the customer classes.</w:t>
      </w:r>
      <w:r w:rsidR="007B654E">
        <w:rPr>
          <w:rStyle w:val="FootnoteReference"/>
        </w:rPr>
        <w:footnoteReference w:id="5"/>
      </w:r>
      <w:r>
        <w:t xml:space="preserve"> </w:t>
      </w:r>
      <w:r w:rsidR="00335B6E">
        <w:t xml:space="preserve"> </w:t>
      </w:r>
    </w:p>
    <w:p w14:paraId="0E7D316D" w14:textId="0E374237" w:rsidR="00DB1482" w:rsidRDefault="003F2762" w:rsidP="009B586C">
      <w:pPr>
        <w:spacing w:line="480" w:lineRule="auto"/>
        <w:ind w:firstLine="720"/>
        <w:jc w:val="both"/>
      </w:pPr>
      <w:r>
        <w:t>On brief, OPAE sought to support its attack of the rate design by relying on Kroger</w:t>
      </w:r>
      <w:r w:rsidR="009B586C">
        <w:t>’s</w:t>
      </w:r>
      <w:r>
        <w:t xml:space="preserve"> testimony,</w:t>
      </w:r>
      <w:r w:rsidR="00C15708">
        <w:rPr>
          <w:rStyle w:val="FootnoteReference"/>
        </w:rPr>
        <w:footnoteReference w:id="6"/>
      </w:r>
      <w:r>
        <w:t xml:space="preserve"> but that </w:t>
      </w:r>
      <w:r w:rsidR="00C15708">
        <w:t>reliance was misplaced</w:t>
      </w:r>
      <w:r>
        <w:t>, and the Commission rejected OPAE’s misuse of that evidence.</w:t>
      </w:r>
      <w:r w:rsidR="00C15708">
        <w:rPr>
          <w:rStyle w:val="FootnoteReference"/>
        </w:rPr>
        <w:footnoteReference w:id="7"/>
      </w:r>
    </w:p>
    <w:p w14:paraId="73DDE85A" w14:textId="64F1EF2F" w:rsidR="00F7322F" w:rsidRDefault="006E4B4B" w:rsidP="009B586C">
      <w:pPr>
        <w:spacing w:line="480" w:lineRule="auto"/>
        <w:ind w:firstLine="720"/>
        <w:jc w:val="both"/>
      </w:pPr>
      <w:r>
        <w:t>Absent some credible evidence, the Commission has nothing on which to act.</w:t>
      </w:r>
      <w:r>
        <w:rPr>
          <w:rStyle w:val="FootnoteReference"/>
        </w:rPr>
        <w:footnoteReference w:id="8"/>
      </w:r>
      <w:r>
        <w:t xml:space="preserve">  </w:t>
      </w:r>
      <w:r w:rsidR="00402246">
        <w:t>A party’s “failure to offer relevant citations to the record to support” their arguments is a fatal flaw to the preservation of the argument.</w:t>
      </w:r>
      <w:r w:rsidR="00402246">
        <w:rPr>
          <w:rStyle w:val="FootnoteReference"/>
        </w:rPr>
        <w:footnoteReference w:id="9"/>
      </w:r>
      <w:r w:rsidR="00402246">
        <w:t xml:space="preserve">  </w:t>
      </w:r>
      <w:r w:rsidR="008305D7">
        <w:t xml:space="preserve">Because OPAE cannot point to any part of the </w:t>
      </w:r>
      <w:r w:rsidR="008305D7">
        <w:lastRenderedPageBreak/>
        <w:t xml:space="preserve">record to support its claim that the purpose of the two-step declining block rate design methodology is to shift costs among the customer classes, the Commission must reject that claim. </w:t>
      </w:r>
    </w:p>
    <w:p w14:paraId="2327C905" w14:textId="77777777" w:rsidR="00335B6E" w:rsidRDefault="00335B6E" w:rsidP="002E6E53">
      <w:pPr>
        <w:pStyle w:val="Heading3"/>
      </w:pPr>
      <w:bookmarkStart w:id="8" w:name="_Toc498932029"/>
      <w:r>
        <w:t xml:space="preserve">OPAE’s </w:t>
      </w:r>
      <w:r w:rsidRPr="002E6E53">
        <w:t>claims</w:t>
      </w:r>
      <w:r>
        <w:t xml:space="preserve"> regarding hypothetical customer impact fails to demonstrate that the Commission should reverse course and find that the existing rate design is unlawful</w:t>
      </w:r>
      <w:bookmarkEnd w:id="8"/>
    </w:p>
    <w:p w14:paraId="632C7330" w14:textId="2DD23FAC" w:rsidR="00DF64DF" w:rsidRDefault="00A115EE" w:rsidP="00C44283">
      <w:pPr>
        <w:spacing w:line="480" w:lineRule="auto"/>
        <w:jc w:val="both"/>
      </w:pPr>
      <w:r>
        <w:tab/>
      </w:r>
      <w:r w:rsidR="008305D7">
        <w:t>To support its request for rehearing, OPAE then moves to a theoretical attack of the rate design.  Its attack</w:t>
      </w:r>
      <w:r w:rsidR="00335B6E">
        <w:t xml:space="preserve"> rests on an </w:t>
      </w:r>
      <w:r w:rsidR="00DF64DF">
        <w:t>analysis identif</w:t>
      </w:r>
      <w:r w:rsidR="00335B6E">
        <w:t>ying</w:t>
      </w:r>
      <w:r w:rsidR="00DF64DF">
        <w:t xml:space="preserve"> three </w:t>
      </w:r>
      <w:r w:rsidR="008305D7">
        <w:t xml:space="preserve">imaginary </w:t>
      </w:r>
      <w:r w:rsidR="00DF64DF">
        <w:t>customers:  a single residential customer using 1,000 kWh/month, a commercial/industrial customer using 833,333 kWh/month, and a commercial/industrial customer using 1,250,000 kWh/month.</w:t>
      </w:r>
      <w:r w:rsidR="00070718">
        <w:rPr>
          <w:rStyle w:val="FootnoteReference"/>
        </w:rPr>
        <w:footnoteReference w:id="10"/>
      </w:r>
      <w:r w:rsidR="00DF64DF">
        <w:t xml:space="preserve">  OPAE then identifies hypothetical rates under the existing rate design and OPAE’s preferred uniform kWh rate design.</w:t>
      </w:r>
      <w:r w:rsidR="00077F15">
        <w:rPr>
          <w:rStyle w:val="FootnoteReference"/>
        </w:rPr>
        <w:footnoteReference w:id="11"/>
      </w:r>
      <w:r w:rsidR="00DF64DF">
        <w:t xml:space="preserve">  Based on the hypothetical consumption of these customers, OPAE asserts that the residential customer pays an additional $2.45 under the existing rate design</w:t>
      </w:r>
      <w:r w:rsidR="00335B6E">
        <w:t xml:space="preserve"> tha</w:t>
      </w:r>
      <w:r w:rsidR="003D0AC1">
        <w:t>n</w:t>
      </w:r>
      <w:r w:rsidR="00335B6E">
        <w:t xml:space="preserve"> under OPAE’s preferred rate design</w:t>
      </w:r>
      <w:r w:rsidR="00DF64DF">
        <w:t xml:space="preserve"> and that an industrial or commercial customer would benefit from a single uniform kWh rate until it reaches a consumption level of 1,250,000 kWh/month.</w:t>
      </w:r>
      <w:r w:rsidR="00077F15">
        <w:rPr>
          <w:rStyle w:val="FootnoteReference"/>
        </w:rPr>
        <w:footnoteReference w:id="12"/>
      </w:r>
      <w:r w:rsidR="00DF64DF">
        <w:t xml:space="preserve">  This analysis is flawed for multiple reasons.   </w:t>
      </w:r>
    </w:p>
    <w:p w14:paraId="3B4BD307" w14:textId="35327E33" w:rsidR="00AB38C5" w:rsidRDefault="00DF64DF" w:rsidP="00C44283">
      <w:pPr>
        <w:spacing w:line="480" w:lineRule="auto"/>
        <w:jc w:val="both"/>
      </w:pPr>
      <w:r>
        <w:tab/>
        <w:t xml:space="preserve">Although OPAE provides no citation in its </w:t>
      </w:r>
      <w:r w:rsidR="00F14056">
        <w:t>A</w:t>
      </w:r>
      <w:r>
        <w:t xml:space="preserve">pplication for </w:t>
      </w:r>
      <w:r w:rsidR="00F14056">
        <w:t>R</w:t>
      </w:r>
      <w:r>
        <w:t>ehearing,</w:t>
      </w:r>
      <w:r w:rsidR="00077F15">
        <w:rPr>
          <w:rStyle w:val="FootnoteReference"/>
        </w:rPr>
        <w:footnoteReference w:id="13"/>
      </w:r>
      <w:r>
        <w:t xml:space="preserve"> it is apparent that </w:t>
      </w:r>
      <w:r w:rsidR="00094855">
        <w:t xml:space="preserve">OPAE draws its hypothetical analysis on the revenue requirement and consumption information for Ohio Power Company’s USF rider contained in the Application filed by </w:t>
      </w:r>
      <w:r w:rsidR="00094855">
        <w:lastRenderedPageBreak/>
        <w:t xml:space="preserve">ODSA on </w:t>
      </w:r>
      <w:r w:rsidR="00BB7BED">
        <w:t>October</w:t>
      </w:r>
      <w:r w:rsidR="00F14056">
        <w:t> </w:t>
      </w:r>
      <w:r w:rsidR="00BB7BED">
        <w:t>31, 2017.</w:t>
      </w:r>
      <w:r w:rsidR="00BB7BED">
        <w:rPr>
          <w:rStyle w:val="FootnoteReference"/>
        </w:rPr>
        <w:footnoteReference w:id="14"/>
      </w:r>
      <w:r w:rsidR="00BB7BED">
        <w:t xml:space="preserve">  </w:t>
      </w:r>
      <w:r w:rsidR="006E4B4B">
        <w:t>Thus, the hypothetical</w:t>
      </w:r>
      <w:r w:rsidR="001859E0">
        <w:t xml:space="preserve"> rate differences</w:t>
      </w:r>
      <w:r w:rsidR="006E4B4B">
        <w:t xml:space="preserve"> for OPAE’s imaginary customers are based on nothing that is contained in the record </w:t>
      </w:r>
      <w:r w:rsidR="001859E0">
        <w:t>in</w:t>
      </w:r>
      <w:r w:rsidR="006E4B4B">
        <w:t xml:space="preserve"> this phase of the proceeding.</w:t>
      </w:r>
    </w:p>
    <w:p w14:paraId="66EB7E2B" w14:textId="2F8BB884" w:rsidR="0065034A" w:rsidRDefault="00BB7BED" w:rsidP="009B586C">
      <w:pPr>
        <w:spacing w:line="480" w:lineRule="auto"/>
        <w:ind w:firstLine="720"/>
        <w:jc w:val="both"/>
      </w:pPr>
      <w:r>
        <w:t xml:space="preserve">Consistent with the Commission’s prior ruling </w:t>
      </w:r>
      <w:r w:rsidR="00077F15">
        <w:t>in the 2015 USF Case</w:t>
      </w:r>
      <w:r>
        <w:t>,</w:t>
      </w:r>
      <w:r w:rsidR="00F14056">
        <w:rPr>
          <w:rStyle w:val="FootnoteReference"/>
        </w:rPr>
        <w:footnoteReference w:id="15"/>
      </w:r>
      <w:r>
        <w:t xml:space="preserve"> OPAE could have presented an analysis challenging the lawfulness of the existing rate design based on current rates at the evidentiary hearing.</w:t>
      </w:r>
      <w:r>
        <w:rPr>
          <w:rStyle w:val="FootnoteReference"/>
        </w:rPr>
        <w:footnoteReference w:id="16"/>
      </w:r>
      <w:r>
        <w:t xml:space="preserve">  </w:t>
      </w:r>
      <w:r w:rsidR="00AB38C5">
        <w:t xml:space="preserve">Having failed to take advantage of the leeway the Commission had provided it in the 2015 </w:t>
      </w:r>
      <w:r w:rsidR="001859E0">
        <w:t xml:space="preserve">USF </w:t>
      </w:r>
      <w:r w:rsidR="00AB38C5">
        <w:t>Case, OPAE should not be rewarded for ignoring the prior Commission decision regarding the evidence that the Comm</w:t>
      </w:r>
      <w:r w:rsidR="001859E0">
        <w:t>ission would consider</w:t>
      </w:r>
      <w:r w:rsidR="0065034A">
        <w:t>.</w:t>
      </w:r>
      <w:r w:rsidR="00077F15">
        <w:rPr>
          <w:rStyle w:val="FootnoteReference"/>
        </w:rPr>
        <w:footnoteReference w:id="17"/>
      </w:r>
    </w:p>
    <w:p w14:paraId="73543486" w14:textId="2A96C9D3" w:rsidR="00077F15" w:rsidRDefault="0065034A" w:rsidP="00C44283">
      <w:pPr>
        <w:spacing w:line="480" w:lineRule="auto"/>
        <w:jc w:val="both"/>
      </w:pPr>
      <w:r>
        <w:tab/>
        <w:t xml:space="preserve">Furthermore, even if OPAE’s hypothetical analysis </w:t>
      </w:r>
      <w:r w:rsidR="004269AC">
        <w:t>were considered</w:t>
      </w:r>
      <w:r w:rsidR="00937974">
        <w:t>,</w:t>
      </w:r>
      <w:r w:rsidR="004269AC">
        <w:t xml:space="preserve"> </w:t>
      </w:r>
      <w:r>
        <w:t>i</w:t>
      </w:r>
      <w:r w:rsidR="00CE3EC4">
        <w:t>t</w:t>
      </w:r>
      <w:r>
        <w:t xml:space="preserve"> does not demonstrate </w:t>
      </w:r>
      <w:r w:rsidR="00CE3EC4">
        <w:t>that the existing rate design results in an unlawful</w:t>
      </w:r>
      <w:r>
        <w:t xml:space="preserve"> cost-shift among the customer classes.  </w:t>
      </w:r>
      <w:r w:rsidR="00C55DB1">
        <w:t>R.C. 4928.52(C)</w:t>
      </w:r>
      <w:r w:rsidR="00E23F40">
        <w:t xml:space="preserve"> prohibits cost-shifts among the customer classes</w:t>
      </w:r>
      <w:r w:rsidR="00C55DB1">
        <w:t xml:space="preserve">.  To support a finding of a violation of the statute, a party must show how a customer class is adversely affected.  As in the 2015 USF </w:t>
      </w:r>
      <w:r w:rsidR="00024498">
        <w:t>C</w:t>
      </w:r>
      <w:r w:rsidR="00C55DB1">
        <w:t xml:space="preserve">ase, OPAE has failed to provide any testimony </w:t>
      </w:r>
      <w:r w:rsidR="003D0AC1">
        <w:t xml:space="preserve">or evidence </w:t>
      </w:r>
      <w:r w:rsidR="00C55DB1">
        <w:t>to support its claims</w:t>
      </w:r>
      <w:r w:rsidR="003D0AC1">
        <w:t xml:space="preserve"> that the continuation of the existing rate design unlawfully shifts costs </w:t>
      </w:r>
      <w:r w:rsidR="003D0AC1">
        <w:rPr>
          <w:i/>
          <w:u w:val="single"/>
        </w:rPr>
        <w:t>among customer classes</w:t>
      </w:r>
      <w:r w:rsidR="00C55DB1">
        <w:t>.</w:t>
      </w:r>
      <w:r w:rsidR="00077F15">
        <w:rPr>
          <w:rStyle w:val="FootnoteReference"/>
        </w:rPr>
        <w:footnoteReference w:id="18"/>
      </w:r>
      <w:r w:rsidR="00077F15">
        <w:t xml:space="preserve">  </w:t>
      </w:r>
      <w:r w:rsidR="00C55DB1">
        <w:t>Due to its failure to support its claims, the Commission should agai</w:t>
      </w:r>
      <w:r w:rsidR="001859E0">
        <w:t>n reject this theoretical attack</w:t>
      </w:r>
      <w:r w:rsidR="00C55DB1">
        <w:t xml:space="preserve"> on the rate design.</w:t>
      </w:r>
    </w:p>
    <w:p w14:paraId="006FF105" w14:textId="77777777" w:rsidR="00856E06" w:rsidRDefault="00077F15" w:rsidP="00C44283">
      <w:pPr>
        <w:spacing w:line="480" w:lineRule="auto"/>
        <w:jc w:val="both"/>
      </w:pPr>
      <w:r>
        <w:lastRenderedPageBreak/>
        <w:tab/>
      </w:r>
      <w:r w:rsidR="00A41062">
        <w:t xml:space="preserve">Moreover, OPAE’s analysis presumes that a uniform kWh methodology is an appropriate metric to measure whether a cost-shift has occurred.  OPAE offers no support for that conclusion.  </w:t>
      </w:r>
      <w:r w:rsidR="008E282D">
        <w:t xml:space="preserve">Maintaining the existing rate design is the best </w:t>
      </w:r>
      <w:r w:rsidR="00BC1B6A">
        <w:t>course</w:t>
      </w:r>
      <w:r w:rsidR="008E282D">
        <w:t xml:space="preserve"> for ensuring </w:t>
      </w:r>
      <w:r w:rsidR="00BC1B6A">
        <w:t>that the annual update to the USF revenue requirement does not create a cost</w:t>
      </w:r>
      <w:r w:rsidR="00937974">
        <w:t>-</w:t>
      </w:r>
      <w:r w:rsidR="00BC1B6A">
        <w:t>shift among the customer classes.</w:t>
      </w:r>
      <w:r w:rsidR="00BC1B6A">
        <w:rPr>
          <w:rStyle w:val="FootnoteReference"/>
        </w:rPr>
        <w:footnoteReference w:id="19"/>
      </w:r>
      <w:r w:rsidR="00BC1B6A">
        <w:t xml:space="preserve">  </w:t>
      </w:r>
    </w:p>
    <w:p w14:paraId="617DF580" w14:textId="17DC23D2" w:rsidR="00B026C1" w:rsidRDefault="00856E06" w:rsidP="00C44283">
      <w:pPr>
        <w:spacing w:line="480" w:lineRule="auto"/>
        <w:jc w:val="both"/>
      </w:pPr>
      <w:r>
        <w:tab/>
      </w:r>
      <w:r w:rsidR="001859E0">
        <w:t xml:space="preserve">The Commission correctly rejected OPAE’s arguments in the Opinion and Order.  </w:t>
      </w:r>
      <w:r>
        <w:t xml:space="preserve">OPAE’s </w:t>
      </w:r>
      <w:r w:rsidR="001859E0">
        <w:t>repetition of its unsupported claims does not</w:t>
      </w:r>
      <w:r>
        <w:t xml:space="preserve"> serve as a basis for the Commission to grant OPAE’s </w:t>
      </w:r>
      <w:r w:rsidR="00024498">
        <w:t>A</w:t>
      </w:r>
      <w:r>
        <w:t xml:space="preserve">pplication for </w:t>
      </w:r>
      <w:r w:rsidR="00024498">
        <w:t>R</w:t>
      </w:r>
      <w:r>
        <w:t xml:space="preserve">ehearing.  </w:t>
      </w:r>
      <w:r w:rsidR="001859E0">
        <w:t>Accordingly</w:t>
      </w:r>
      <w:r>
        <w:t xml:space="preserve">, the Commission should deny OPAE’s </w:t>
      </w:r>
      <w:r w:rsidR="00024498">
        <w:t>A</w:t>
      </w:r>
      <w:r>
        <w:t xml:space="preserve">pplication for </w:t>
      </w:r>
      <w:r w:rsidR="00024498">
        <w:t>R</w:t>
      </w:r>
      <w:r>
        <w:t xml:space="preserve">ehearing.  </w:t>
      </w:r>
    </w:p>
    <w:p w14:paraId="3840218B" w14:textId="77777777" w:rsidR="00C20006" w:rsidRDefault="00C20006" w:rsidP="002E6E53">
      <w:pPr>
        <w:pStyle w:val="Heading2"/>
      </w:pPr>
      <w:bookmarkStart w:id="9" w:name="_Toc498932030"/>
      <w:r>
        <w:t>OPAE</w:t>
      </w:r>
      <w:r w:rsidR="00AE2E80">
        <w:t xml:space="preserve"> fails to justify a deviation from Commission precedent or offer a lawful or reasonable alternative path for the Commission to take</w:t>
      </w:r>
      <w:bookmarkEnd w:id="9"/>
    </w:p>
    <w:p w14:paraId="0F53A1F9" w14:textId="77777777" w:rsidR="00AE2E80" w:rsidRDefault="00AE2E80" w:rsidP="00C44283">
      <w:pPr>
        <w:spacing w:line="480" w:lineRule="auto"/>
        <w:jc w:val="both"/>
      </w:pPr>
      <w:r>
        <w:tab/>
        <w:t xml:space="preserve">OPAE also </w:t>
      </w:r>
      <w:r w:rsidR="00DA709D">
        <w:t>argues that the Commission should have adopted OPAE’s preferred rate design methodology.  OPAE</w:t>
      </w:r>
      <w:r w:rsidR="00856E06">
        <w:t xml:space="preserve"> again</w:t>
      </w:r>
      <w:r w:rsidR="00795966">
        <w:t xml:space="preserve"> fails to provide any basis for the Commission to approve its proposal.</w:t>
      </w:r>
      <w:r w:rsidR="00856E06">
        <w:t xml:space="preserve">  </w:t>
      </w:r>
    </w:p>
    <w:p w14:paraId="16798415" w14:textId="53F303B4" w:rsidR="00795966" w:rsidRDefault="00B27BFF" w:rsidP="00C44283">
      <w:pPr>
        <w:spacing w:line="480" w:lineRule="auto"/>
        <w:jc w:val="both"/>
      </w:pPr>
      <w:r>
        <w:tab/>
      </w:r>
      <w:r w:rsidR="00795966">
        <w:t>The Supreme Court has routinely held that the Commission should respect its precedent, but may deviate from its precedent if it provides a reasoned basis for the deviation.</w:t>
      </w:r>
      <w:r w:rsidR="00795966">
        <w:rPr>
          <w:rStyle w:val="FootnoteReference"/>
        </w:rPr>
        <w:footnoteReference w:id="20"/>
      </w:r>
      <w:r w:rsidR="00795966">
        <w:t xml:space="preserve">  Furthermore, to deviate from its precedent, the new regulatory course charted by the Commission must be lawful and reasonable.</w:t>
      </w:r>
    </w:p>
    <w:p w14:paraId="4ECCDD10" w14:textId="7969D74D" w:rsidR="007930DD" w:rsidRDefault="007930DD" w:rsidP="00C44283">
      <w:pPr>
        <w:spacing w:line="480" w:lineRule="auto"/>
        <w:jc w:val="both"/>
      </w:pPr>
      <w:r>
        <w:tab/>
        <w:t xml:space="preserve">As the Commission noted in its </w:t>
      </w:r>
      <w:r w:rsidR="005B6474">
        <w:t>Opinion and O</w:t>
      </w:r>
      <w:r>
        <w:t xml:space="preserve">rder, it has explicitly or implicitly found in each of the past </w:t>
      </w:r>
      <w:r w:rsidR="005B6474">
        <w:t xml:space="preserve">sixteen </w:t>
      </w:r>
      <w:r>
        <w:t>USF case</w:t>
      </w:r>
      <w:r w:rsidR="00937974">
        <w:t>s</w:t>
      </w:r>
      <w:r>
        <w:t xml:space="preserve"> that the existing two-step declining block </w:t>
      </w:r>
      <w:r>
        <w:lastRenderedPageBreak/>
        <w:t xml:space="preserve">rate design satisfies the statutory requirement in R.C. 4928.52(C) that the USF rider not shift the costs of funding the USF program among the customer classes.  In its order in this case, the Commission again found, based on the uncontested evidence, that the existing rate design was lawful.  </w:t>
      </w:r>
    </w:p>
    <w:p w14:paraId="24499AF0" w14:textId="7356E084" w:rsidR="007930DD" w:rsidRDefault="007930DD" w:rsidP="00C44283">
      <w:pPr>
        <w:spacing w:line="480" w:lineRule="auto"/>
        <w:jc w:val="both"/>
      </w:pPr>
      <w:r>
        <w:tab/>
        <w:t xml:space="preserve">OPAE fails to provide a reasoned </w:t>
      </w:r>
      <w:r w:rsidR="005B6474">
        <w:t xml:space="preserve">basis </w:t>
      </w:r>
      <w:r>
        <w:t xml:space="preserve">for the Commission to deviate from its precedent.  </w:t>
      </w:r>
      <w:r w:rsidR="00BA295E">
        <w:t>Because</w:t>
      </w:r>
      <w:r>
        <w:t xml:space="preserve"> OPAE’s entire </w:t>
      </w:r>
      <w:r w:rsidR="00937974">
        <w:t>A</w:t>
      </w:r>
      <w:r>
        <w:t xml:space="preserve">pplication for </w:t>
      </w:r>
      <w:r w:rsidR="00937974">
        <w:t>R</w:t>
      </w:r>
      <w:r>
        <w:t>ehearing relies on extra-record assumptions</w:t>
      </w:r>
      <w:r w:rsidR="00BA295E">
        <w:t>,</w:t>
      </w:r>
      <w:r>
        <w:t xml:space="preserve"> </w:t>
      </w:r>
      <w:r w:rsidR="00B026C1">
        <w:t>the</w:t>
      </w:r>
      <w:r w:rsidR="00024498">
        <w:t>r</w:t>
      </w:r>
      <w:r w:rsidR="00B026C1">
        <w:t>e is no basis for the Commission to conclude that a deviation from its precedent is warranted or that the new course is substantively lawful and reasonable.</w:t>
      </w:r>
      <w:r w:rsidR="00B026C1">
        <w:rPr>
          <w:rStyle w:val="FootnoteReference"/>
        </w:rPr>
        <w:footnoteReference w:id="21"/>
      </w:r>
      <w:r>
        <w:t xml:space="preserve">  </w:t>
      </w:r>
    </w:p>
    <w:p w14:paraId="38055613" w14:textId="77777777" w:rsidR="007B626B" w:rsidRDefault="007923E7" w:rsidP="009C7175">
      <w:pPr>
        <w:pStyle w:val="Heading1"/>
      </w:pPr>
      <w:bookmarkStart w:id="10" w:name="_Toc498932031"/>
      <w:r w:rsidRPr="007923E7">
        <w:t>Conclusion</w:t>
      </w:r>
      <w:bookmarkEnd w:id="10"/>
    </w:p>
    <w:p w14:paraId="3FC3E0C8" w14:textId="66F00EC1" w:rsidR="007923E7" w:rsidRPr="007923E7" w:rsidRDefault="005B6474" w:rsidP="00A5637F">
      <w:pPr>
        <w:spacing w:line="480" w:lineRule="auto"/>
        <w:jc w:val="both"/>
      </w:pPr>
      <w:r>
        <w:rPr>
          <w:b/>
        </w:rPr>
        <w:tab/>
      </w:r>
      <w:r w:rsidR="00A5637F">
        <w:t xml:space="preserve">The uncontested record evidence demonstrates that the continuation of the existing two-step declining block rate design, a rate design that has been authorized in every single USF case, will comply with the statutory requirements in R.C. 4928.52(C).  </w:t>
      </w:r>
      <w:r>
        <w:t xml:space="preserve">At the hearing, </w:t>
      </w:r>
      <w:r w:rsidR="00A5637F">
        <w:t>OPAE did not challenge the record evidence</w:t>
      </w:r>
      <w:r>
        <w:t xml:space="preserve"> supporting the rate design through either cross</w:t>
      </w:r>
      <w:r w:rsidR="00024498">
        <w:t>-</w:t>
      </w:r>
      <w:r>
        <w:t xml:space="preserve">examination or the presentation of any evidence to support its challenge of the rate design.  </w:t>
      </w:r>
      <w:r w:rsidR="00A5637F">
        <w:t xml:space="preserve">Moreover, OPAE has failed to offer any legitimate basis for the Commission to deviate from the existing rate design.  Accordingly, OPAE’s </w:t>
      </w:r>
      <w:r w:rsidR="00937974">
        <w:t>A</w:t>
      </w:r>
      <w:r w:rsidR="00A5637F">
        <w:t xml:space="preserve">pplication for </w:t>
      </w:r>
      <w:r w:rsidR="00937974">
        <w:t>R</w:t>
      </w:r>
      <w:r w:rsidR="00A5637F">
        <w:t xml:space="preserve">ehearing challenging the lawfulness of the existing rate design and proposing an unsupported alternative rate design should be rejected. </w:t>
      </w:r>
    </w:p>
    <w:p w14:paraId="5EBF3F85" w14:textId="77777777" w:rsidR="002E6E53" w:rsidRDefault="002E6E53">
      <w:pPr>
        <w:rPr>
          <w:rFonts w:eastAsia="Times New Roman" w:cs="Arial"/>
        </w:rPr>
      </w:pPr>
      <w:r>
        <w:rPr>
          <w:rFonts w:eastAsia="Times New Roman" w:cs="Arial"/>
        </w:rPr>
        <w:br w:type="page"/>
      </w:r>
    </w:p>
    <w:p w14:paraId="5893363E" w14:textId="10747528" w:rsidR="00325348" w:rsidRPr="00325348" w:rsidRDefault="00325348" w:rsidP="00325348">
      <w:pPr>
        <w:tabs>
          <w:tab w:val="left" w:pos="4320"/>
          <w:tab w:val="right" w:pos="8640"/>
        </w:tabs>
        <w:jc w:val="both"/>
        <w:rPr>
          <w:rFonts w:eastAsia="Times New Roman" w:cs="Arial"/>
        </w:rPr>
      </w:pPr>
      <w:r w:rsidRPr="00325348">
        <w:rPr>
          <w:rFonts w:eastAsia="Times New Roman" w:cs="Arial"/>
        </w:rPr>
        <w:lastRenderedPageBreak/>
        <w:tab/>
        <w:t>Respectfully submitted,</w:t>
      </w:r>
    </w:p>
    <w:p w14:paraId="2294BD58" w14:textId="77777777" w:rsidR="00325348" w:rsidRPr="00325348" w:rsidRDefault="00325348" w:rsidP="00325348">
      <w:pPr>
        <w:tabs>
          <w:tab w:val="left" w:pos="4320"/>
          <w:tab w:val="right" w:pos="8640"/>
        </w:tabs>
        <w:jc w:val="both"/>
        <w:rPr>
          <w:rFonts w:eastAsia="Times New Roman" w:cs="Arial"/>
        </w:rPr>
      </w:pPr>
    </w:p>
    <w:p w14:paraId="3F30A41F" w14:textId="77777777" w:rsidR="00325348" w:rsidRPr="00325348" w:rsidRDefault="00325348" w:rsidP="00325348">
      <w:pPr>
        <w:tabs>
          <w:tab w:val="left" w:pos="4320"/>
          <w:tab w:val="right" w:pos="8640"/>
        </w:tabs>
        <w:jc w:val="both"/>
        <w:rPr>
          <w:rFonts w:eastAsia="Times New Roman" w:cs="Arial"/>
          <w:i/>
          <w:u w:val="single"/>
        </w:rPr>
      </w:pPr>
      <w:r w:rsidRPr="00325348">
        <w:rPr>
          <w:rFonts w:eastAsia="Times New Roman" w:cs="Arial"/>
          <w:i/>
        </w:rPr>
        <w:tab/>
      </w:r>
      <w:r w:rsidRPr="00325348">
        <w:rPr>
          <w:rFonts w:eastAsia="Times New Roman" w:cs="Arial"/>
          <w:i/>
          <w:u w:val="single"/>
        </w:rPr>
        <w:t>/s/ Matthew R. Pritchard</w:t>
      </w:r>
      <w:r w:rsidRPr="00325348">
        <w:rPr>
          <w:rFonts w:eastAsia="Times New Roman" w:cs="Arial"/>
          <w:i/>
          <w:u w:val="single"/>
        </w:rPr>
        <w:tab/>
      </w:r>
    </w:p>
    <w:p w14:paraId="48151A38" w14:textId="77777777" w:rsidR="00325348" w:rsidRPr="00325348" w:rsidRDefault="00325348" w:rsidP="00325348">
      <w:pPr>
        <w:widowControl w:val="0"/>
        <w:tabs>
          <w:tab w:val="left" w:pos="4320"/>
        </w:tabs>
        <w:ind w:left="4320"/>
        <w:jc w:val="both"/>
        <w:rPr>
          <w:rFonts w:eastAsia="Times New Roman" w:cs="Arial"/>
          <w:bCs/>
          <w:szCs w:val="20"/>
        </w:rPr>
      </w:pPr>
      <w:r w:rsidRPr="00325348">
        <w:rPr>
          <w:rFonts w:eastAsia="Times New Roman" w:cs="Arial"/>
          <w:bCs/>
          <w:szCs w:val="20"/>
        </w:rPr>
        <w:t>Frank P. Darr (Reg. No. 0025469)</w:t>
      </w:r>
    </w:p>
    <w:p w14:paraId="6C9BB1D4" w14:textId="77777777" w:rsidR="00325348" w:rsidRPr="00325348" w:rsidRDefault="00325348" w:rsidP="00325348">
      <w:pPr>
        <w:tabs>
          <w:tab w:val="left" w:pos="4320"/>
          <w:tab w:val="right" w:pos="8640"/>
        </w:tabs>
        <w:ind w:left="4320"/>
        <w:jc w:val="both"/>
        <w:rPr>
          <w:rFonts w:eastAsia="Times New Roman" w:cs="Arial"/>
        </w:rPr>
      </w:pPr>
      <w:r w:rsidRPr="00325348">
        <w:rPr>
          <w:rFonts w:eastAsia="Times New Roman" w:cs="Arial"/>
        </w:rPr>
        <w:t>(Counsel of Record)</w:t>
      </w:r>
    </w:p>
    <w:p w14:paraId="2C0209E7" w14:textId="77777777" w:rsidR="00325348" w:rsidRPr="00325348" w:rsidRDefault="00325348" w:rsidP="00325348">
      <w:pPr>
        <w:widowControl w:val="0"/>
        <w:tabs>
          <w:tab w:val="left" w:pos="4320"/>
        </w:tabs>
        <w:ind w:left="4320"/>
        <w:jc w:val="both"/>
        <w:rPr>
          <w:rFonts w:eastAsia="Times New Roman" w:cs="Arial"/>
          <w:bCs/>
          <w:szCs w:val="20"/>
        </w:rPr>
      </w:pPr>
      <w:r w:rsidRPr="00325348">
        <w:rPr>
          <w:rFonts w:eastAsia="Times New Roman" w:cs="Arial"/>
          <w:bCs/>
          <w:szCs w:val="20"/>
        </w:rPr>
        <w:t>Matthew R. Pritchard (Reg. No. 0088070)</w:t>
      </w:r>
    </w:p>
    <w:p w14:paraId="6542AE5E" w14:textId="77777777" w:rsidR="00325348" w:rsidRPr="00325348" w:rsidRDefault="00325348" w:rsidP="00325348">
      <w:pPr>
        <w:widowControl w:val="0"/>
        <w:tabs>
          <w:tab w:val="left" w:pos="4320"/>
        </w:tabs>
        <w:ind w:left="4320"/>
        <w:jc w:val="both"/>
        <w:rPr>
          <w:rFonts w:eastAsia="Times New Roman" w:cs="Arial"/>
          <w:bCs/>
          <w:smallCaps/>
        </w:rPr>
      </w:pPr>
      <w:r w:rsidRPr="00325348">
        <w:rPr>
          <w:rFonts w:eastAsia="Times New Roman" w:cs="Arial"/>
          <w:bCs/>
          <w:smallCaps/>
        </w:rPr>
        <w:t>McNees Wallace &amp; Nurick LLC</w:t>
      </w:r>
    </w:p>
    <w:p w14:paraId="4A2848FB" w14:textId="77777777" w:rsidR="00325348" w:rsidRPr="00325348" w:rsidRDefault="00325348" w:rsidP="00325348">
      <w:pPr>
        <w:widowControl w:val="0"/>
        <w:tabs>
          <w:tab w:val="left" w:pos="4320"/>
        </w:tabs>
        <w:ind w:left="4320"/>
        <w:jc w:val="both"/>
        <w:rPr>
          <w:rFonts w:eastAsia="Times New Roman" w:cs="Arial"/>
          <w:bCs/>
          <w:szCs w:val="20"/>
        </w:rPr>
      </w:pPr>
      <w:r w:rsidRPr="00325348">
        <w:rPr>
          <w:rFonts w:eastAsia="Times New Roman" w:cs="Arial"/>
          <w:bCs/>
          <w:szCs w:val="20"/>
        </w:rPr>
        <w:t>21 East State Street, 17</w:t>
      </w:r>
      <w:r w:rsidRPr="00325348">
        <w:rPr>
          <w:rFonts w:eastAsia="Times New Roman" w:cs="Arial"/>
          <w:bCs/>
          <w:szCs w:val="20"/>
          <w:vertAlign w:val="superscript"/>
        </w:rPr>
        <w:t>TH</w:t>
      </w:r>
      <w:r w:rsidRPr="00325348">
        <w:rPr>
          <w:rFonts w:eastAsia="Times New Roman" w:cs="Arial"/>
          <w:bCs/>
          <w:szCs w:val="20"/>
        </w:rPr>
        <w:t xml:space="preserve"> Floor</w:t>
      </w:r>
    </w:p>
    <w:p w14:paraId="06849031" w14:textId="77777777" w:rsidR="00325348" w:rsidRPr="00325348" w:rsidRDefault="00325348" w:rsidP="00325348">
      <w:pPr>
        <w:tabs>
          <w:tab w:val="left" w:pos="4320"/>
        </w:tabs>
        <w:ind w:left="4320"/>
        <w:jc w:val="both"/>
        <w:rPr>
          <w:rFonts w:eastAsia="Times New Roman" w:cs="Arial"/>
        </w:rPr>
      </w:pPr>
      <w:r w:rsidRPr="00325348">
        <w:rPr>
          <w:rFonts w:eastAsia="Times New Roman" w:cs="Arial"/>
        </w:rPr>
        <w:t>Columbus, OH  43215</w:t>
      </w:r>
    </w:p>
    <w:p w14:paraId="269C5476" w14:textId="77777777" w:rsidR="00325348" w:rsidRPr="00325348" w:rsidRDefault="00325348" w:rsidP="00325348">
      <w:pPr>
        <w:tabs>
          <w:tab w:val="left" w:pos="4320"/>
        </w:tabs>
        <w:ind w:left="4320"/>
        <w:jc w:val="both"/>
        <w:rPr>
          <w:rFonts w:eastAsia="Times New Roman" w:cs="Arial"/>
        </w:rPr>
      </w:pPr>
      <w:r w:rsidRPr="00325348">
        <w:rPr>
          <w:rFonts w:eastAsia="Times New Roman" w:cs="Arial"/>
        </w:rPr>
        <w:t>Telephone:  (614) 469-8000</w:t>
      </w:r>
    </w:p>
    <w:p w14:paraId="5660F03B" w14:textId="77777777" w:rsidR="00325348" w:rsidRPr="00325348" w:rsidRDefault="00325348" w:rsidP="00325348">
      <w:pPr>
        <w:tabs>
          <w:tab w:val="left" w:pos="4320"/>
        </w:tabs>
        <w:ind w:left="4320"/>
        <w:jc w:val="both"/>
        <w:rPr>
          <w:rFonts w:eastAsia="Times New Roman" w:cs="Arial"/>
        </w:rPr>
      </w:pPr>
      <w:r w:rsidRPr="00325348">
        <w:rPr>
          <w:rFonts w:eastAsia="Times New Roman" w:cs="Arial"/>
        </w:rPr>
        <w:t>Telecopier:  (614) 469-4653</w:t>
      </w:r>
    </w:p>
    <w:p w14:paraId="5FECFE91" w14:textId="77777777" w:rsidR="00325348" w:rsidRPr="00325348" w:rsidRDefault="00325348" w:rsidP="00325348">
      <w:pPr>
        <w:tabs>
          <w:tab w:val="left" w:pos="4320"/>
        </w:tabs>
        <w:ind w:left="4320"/>
        <w:jc w:val="both"/>
        <w:rPr>
          <w:rFonts w:eastAsia="Times New Roman" w:cs="Arial"/>
        </w:rPr>
      </w:pPr>
      <w:r w:rsidRPr="00325348">
        <w:rPr>
          <w:rFonts w:eastAsia="Times New Roman" w:cs="Arial"/>
        </w:rPr>
        <w:t>fdarr@mwncmh.com</w:t>
      </w:r>
    </w:p>
    <w:p w14:paraId="21EEF98A" w14:textId="77777777" w:rsidR="00325348" w:rsidRPr="00325348" w:rsidRDefault="00325348" w:rsidP="00325348">
      <w:pPr>
        <w:tabs>
          <w:tab w:val="left" w:pos="4320"/>
        </w:tabs>
        <w:ind w:left="4320"/>
        <w:jc w:val="both"/>
        <w:rPr>
          <w:rFonts w:eastAsia="Times New Roman" w:cs="Arial"/>
        </w:rPr>
      </w:pPr>
      <w:r w:rsidRPr="00325348">
        <w:rPr>
          <w:rFonts w:eastAsia="Times New Roman" w:cs="Arial"/>
        </w:rPr>
        <w:t>mpritchard@mwncmh.com</w:t>
      </w:r>
    </w:p>
    <w:p w14:paraId="67E7D615" w14:textId="77777777" w:rsidR="00325348" w:rsidRPr="00325348" w:rsidRDefault="00325348" w:rsidP="00325348">
      <w:pPr>
        <w:tabs>
          <w:tab w:val="left" w:pos="4320"/>
        </w:tabs>
        <w:jc w:val="both"/>
        <w:rPr>
          <w:rFonts w:eastAsia="Times New Roman" w:cs="Arial"/>
        </w:rPr>
      </w:pPr>
    </w:p>
    <w:p w14:paraId="440CD140" w14:textId="77777777" w:rsidR="00325348" w:rsidRPr="00325348" w:rsidRDefault="00325348" w:rsidP="00325348">
      <w:pPr>
        <w:tabs>
          <w:tab w:val="left" w:pos="4320"/>
        </w:tabs>
        <w:rPr>
          <w:rFonts w:eastAsia="Times New Roman" w:cs="Arial"/>
          <w:b/>
        </w:rPr>
      </w:pPr>
      <w:r w:rsidRPr="00325348">
        <w:rPr>
          <w:rFonts w:eastAsia="Times New Roman" w:cs="Arial"/>
          <w:b/>
        </w:rPr>
        <w:tab/>
        <w:t>Attorneys for Industrial Energy Users-Ohio</w:t>
      </w:r>
    </w:p>
    <w:p w14:paraId="3AC45420" w14:textId="77777777" w:rsidR="00325348" w:rsidRPr="00325348" w:rsidRDefault="00325348" w:rsidP="00325348">
      <w:pPr>
        <w:tabs>
          <w:tab w:val="left" w:pos="2160"/>
          <w:tab w:val="left" w:pos="2280"/>
        </w:tabs>
        <w:jc w:val="center"/>
        <w:rPr>
          <w:rFonts w:eastAsia="Times New Roman" w:cs="Arial"/>
          <w:b/>
        </w:rPr>
        <w:sectPr w:rsidR="00325348" w:rsidRPr="00325348" w:rsidSect="00F14056">
          <w:headerReference w:type="default"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26"/>
        </w:sectPr>
      </w:pPr>
    </w:p>
    <w:p w14:paraId="18DC1B3B" w14:textId="77777777" w:rsidR="00325348" w:rsidRPr="00325348" w:rsidRDefault="00325348" w:rsidP="00325348">
      <w:pPr>
        <w:tabs>
          <w:tab w:val="left" w:pos="2160"/>
          <w:tab w:val="left" w:pos="2280"/>
        </w:tabs>
        <w:jc w:val="center"/>
        <w:rPr>
          <w:rFonts w:ascii="Arial Bold" w:eastAsia="Times New Roman" w:hAnsi="Arial Bold" w:cs="Arial"/>
          <w:b/>
          <w:smallCaps/>
          <w:sz w:val="28"/>
          <w:u w:val="single"/>
        </w:rPr>
      </w:pPr>
      <w:r w:rsidRPr="00325348">
        <w:rPr>
          <w:rFonts w:ascii="Arial Bold" w:eastAsia="Times New Roman" w:hAnsi="Arial Bold" w:cs="Arial"/>
          <w:b/>
          <w:smallCaps/>
          <w:sz w:val="28"/>
          <w:u w:val="single"/>
        </w:rPr>
        <w:lastRenderedPageBreak/>
        <w:t>Certificate of Service</w:t>
      </w:r>
    </w:p>
    <w:p w14:paraId="4F0D6479" w14:textId="77777777" w:rsidR="00325348" w:rsidRPr="00325348" w:rsidRDefault="00325348" w:rsidP="00325348">
      <w:pPr>
        <w:rPr>
          <w:rFonts w:eastAsia="Times New Roman" w:cs="Arial"/>
        </w:rPr>
      </w:pPr>
    </w:p>
    <w:p w14:paraId="4FD45F15" w14:textId="3CF17E2C" w:rsidR="00325348" w:rsidRPr="00325348" w:rsidRDefault="00325348" w:rsidP="00325348">
      <w:pPr>
        <w:spacing w:line="480" w:lineRule="auto"/>
        <w:ind w:firstLine="720"/>
        <w:jc w:val="both"/>
        <w:rPr>
          <w:rFonts w:eastAsia="Times New Roman" w:cs="Arial"/>
        </w:rPr>
      </w:pPr>
      <w:r w:rsidRPr="00325348">
        <w:rPr>
          <w:rFonts w:eastAsia="Times New Roman" w:cs="Arial"/>
        </w:rPr>
        <w:t>In accordance with Rule 4901-1-05, Ohio Administrative Code, the PUCO's e</w:t>
      </w:r>
      <w:r w:rsidRPr="00325348">
        <w:rPr>
          <w:rFonts w:eastAsia="Times New Roman" w:cs="Arial"/>
        </w:rPr>
        <w:noBreakHyphen/>
        <w:t xml:space="preserve">filing system will electronically serve notice of the filing of this document upon the following parties.  In addition, I hereby certify that a service copy of the foregoing </w:t>
      </w:r>
      <w:r w:rsidR="00937974">
        <w:rPr>
          <w:rFonts w:eastAsia="Times New Roman" w:cs="Arial"/>
          <w:i/>
        </w:rPr>
        <w:t>Industrial Energy Users-Ohio’s Memo</w:t>
      </w:r>
      <w:r w:rsidR="002E6E53">
        <w:rPr>
          <w:rFonts w:eastAsia="Times New Roman" w:cs="Arial"/>
          <w:i/>
        </w:rPr>
        <w:t xml:space="preserve"> </w:t>
      </w:r>
      <w:r w:rsidR="00937974">
        <w:rPr>
          <w:rFonts w:eastAsia="Times New Roman" w:cs="Arial"/>
          <w:i/>
        </w:rPr>
        <w:t xml:space="preserve">Contra Ohio Partners for Affordable Energy’s Application for Rehearing </w:t>
      </w:r>
      <w:r w:rsidRPr="00325348">
        <w:rPr>
          <w:rFonts w:eastAsia="Times New Roman" w:cs="Arial"/>
        </w:rPr>
        <w:t xml:space="preserve">was sent by, or on behalf of, the undersigned counsel for IEU-Ohio to the following parties of record this </w:t>
      </w:r>
      <w:r w:rsidR="00937974">
        <w:rPr>
          <w:rFonts w:eastAsia="Times New Roman" w:cs="Arial"/>
        </w:rPr>
        <w:t>20</w:t>
      </w:r>
      <w:r w:rsidR="00937974" w:rsidRPr="009C7175">
        <w:rPr>
          <w:rFonts w:eastAsia="Times New Roman" w:cs="Arial"/>
          <w:vertAlign w:val="superscript"/>
        </w:rPr>
        <w:t>th</w:t>
      </w:r>
      <w:r w:rsidR="00937974">
        <w:rPr>
          <w:rFonts w:eastAsia="Times New Roman" w:cs="Arial"/>
        </w:rPr>
        <w:t xml:space="preserve"> </w:t>
      </w:r>
      <w:r w:rsidRPr="00325348">
        <w:rPr>
          <w:rFonts w:eastAsia="Times New Roman" w:cs="Arial"/>
        </w:rPr>
        <w:t xml:space="preserve">day of </w:t>
      </w:r>
      <w:r w:rsidR="00937974">
        <w:rPr>
          <w:rFonts w:eastAsia="Times New Roman" w:cs="Arial"/>
        </w:rPr>
        <w:t xml:space="preserve">November </w:t>
      </w:r>
      <w:r w:rsidRPr="00325348">
        <w:rPr>
          <w:rFonts w:eastAsia="Times New Roman" w:cs="Arial"/>
        </w:rPr>
        <w:t xml:space="preserve">2017, </w:t>
      </w:r>
      <w:r w:rsidRPr="00325348">
        <w:rPr>
          <w:rFonts w:eastAsia="Times New Roman" w:cs="Arial"/>
          <w:i/>
        </w:rPr>
        <w:t>via</w:t>
      </w:r>
      <w:r w:rsidRPr="00325348">
        <w:rPr>
          <w:rFonts w:eastAsia="Times New Roman" w:cs="Arial"/>
        </w:rPr>
        <w:t xml:space="preserve"> electronic transmission. </w:t>
      </w:r>
    </w:p>
    <w:p w14:paraId="21507C67" w14:textId="77777777" w:rsidR="00325348" w:rsidRPr="00325348" w:rsidRDefault="00325348" w:rsidP="00325348">
      <w:pPr>
        <w:tabs>
          <w:tab w:val="center" w:pos="7200"/>
          <w:tab w:val="right" w:pos="9360"/>
        </w:tabs>
        <w:ind w:left="5040"/>
        <w:rPr>
          <w:rFonts w:eastAsia="Times New Roman" w:cs="Arial"/>
          <w:i/>
          <w:u w:val="single"/>
        </w:rPr>
      </w:pPr>
      <w:r w:rsidRPr="00325348">
        <w:rPr>
          <w:rFonts w:eastAsia="Times New Roman" w:cs="Arial"/>
          <w:i/>
          <w:u w:val="single"/>
        </w:rPr>
        <w:t>/s/ Matthew R. Pritchard</w:t>
      </w:r>
      <w:r w:rsidRPr="00325348">
        <w:rPr>
          <w:rFonts w:eastAsia="Times New Roman" w:cs="Arial"/>
          <w:i/>
          <w:u w:val="single"/>
        </w:rPr>
        <w:tab/>
      </w:r>
    </w:p>
    <w:p w14:paraId="27C131BE" w14:textId="77777777" w:rsidR="00325348" w:rsidRPr="00325348" w:rsidRDefault="00325348" w:rsidP="00325348">
      <w:pPr>
        <w:tabs>
          <w:tab w:val="center" w:pos="7200"/>
          <w:tab w:val="right" w:pos="9360"/>
        </w:tabs>
        <w:ind w:left="5760"/>
        <w:rPr>
          <w:rFonts w:eastAsia="Times New Roman" w:cs="Arial"/>
          <w:u w:val="single"/>
        </w:rPr>
      </w:pPr>
      <w:r w:rsidRPr="00325348">
        <w:rPr>
          <w:rFonts w:eastAsia="Times New Roman" w:cs="Arial"/>
        </w:rPr>
        <w:t>Matthew R. Pritchard</w:t>
      </w:r>
    </w:p>
    <w:p w14:paraId="399E13F3" w14:textId="77777777" w:rsidR="00325348" w:rsidRDefault="00325348" w:rsidP="00325348">
      <w:pPr>
        <w:autoSpaceDE w:val="0"/>
        <w:autoSpaceDN w:val="0"/>
        <w:adjustRightInd w:val="0"/>
        <w:rPr>
          <w:rFonts w:eastAsia="Calibri" w:cs="Arial"/>
          <w:b/>
          <w:sz w:val="20"/>
          <w:szCs w:val="20"/>
        </w:rPr>
      </w:pPr>
    </w:p>
    <w:p w14:paraId="00702786" w14:textId="77777777" w:rsidR="00325348" w:rsidRDefault="00325348" w:rsidP="00325348">
      <w:pPr>
        <w:autoSpaceDE w:val="0"/>
        <w:autoSpaceDN w:val="0"/>
        <w:adjustRightInd w:val="0"/>
        <w:rPr>
          <w:rFonts w:eastAsia="Calibri" w:cs="Arial"/>
          <w:b/>
          <w:sz w:val="20"/>
          <w:szCs w:val="20"/>
        </w:rPr>
        <w:sectPr w:rsidR="00325348" w:rsidSect="00C0405A">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titlePg/>
          <w:docGrid w:linePitch="360"/>
        </w:sectPr>
      </w:pPr>
    </w:p>
    <w:p w14:paraId="69A8F5C7" w14:textId="77777777" w:rsidR="00325348" w:rsidRPr="00325348" w:rsidRDefault="00325348" w:rsidP="00325348">
      <w:pPr>
        <w:autoSpaceDE w:val="0"/>
        <w:autoSpaceDN w:val="0"/>
        <w:adjustRightInd w:val="0"/>
        <w:rPr>
          <w:rFonts w:eastAsia="Calibri" w:cs="Arial"/>
          <w:b/>
          <w:sz w:val="20"/>
          <w:szCs w:val="20"/>
        </w:rPr>
      </w:pPr>
      <w:r w:rsidRPr="00325348">
        <w:rPr>
          <w:rFonts w:eastAsia="Calibri" w:cs="Arial"/>
          <w:b/>
          <w:sz w:val="20"/>
          <w:szCs w:val="20"/>
        </w:rPr>
        <w:t>Dane Stinson</w:t>
      </w:r>
    </w:p>
    <w:p w14:paraId="11E9B2AE" w14:textId="77777777" w:rsidR="00325348" w:rsidRPr="00325348" w:rsidRDefault="00325348" w:rsidP="00325348">
      <w:pPr>
        <w:autoSpaceDE w:val="0"/>
        <w:autoSpaceDN w:val="0"/>
        <w:adjustRightInd w:val="0"/>
        <w:rPr>
          <w:rFonts w:eastAsia="Calibri" w:cs="Arial"/>
          <w:sz w:val="20"/>
          <w:szCs w:val="20"/>
        </w:rPr>
      </w:pPr>
      <w:r w:rsidRPr="00325348">
        <w:rPr>
          <w:rFonts w:eastAsia="Calibri" w:cs="Arial"/>
          <w:sz w:val="20"/>
          <w:szCs w:val="20"/>
        </w:rPr>
        <w:t>BRICKER &amp; ECKLER LLP</w:t>
      </w:r>
    </w:p>
    <w:p w14:paraId="4D7884EB" w14:textId="77777777" w:rsidR="00325348" w:rsidRPr="00325348" w:rsidRDefault="00325348" w:rsidP="00325348">
      <w:pPr>
        <w:autoSpaceDE w:val="0"/>
        <w:autoSpaceDN w:val="0"/>
        <w:adjustRightInd w:val="0"/>
        <w:rPr>
          <w:rFonts w:eastAsia="Calibri" w:cs="Arial"/>
          <w:sz w:val="20"/>
          <w:szCs w:val="20"/>
        </w:rPr>
      </w:pPr>
      <w:r w:rsidRPr="00325348">
        <w:rPr>
          <w:rFonts w:eastAsia="Calibri" w:cs="Arial"/>
          <w:sz w:val="20"/>
          <w:szCs w:val="20"/>
        </w:rPr>
        <w:t>100 South Third Street</w:t>
      </w:r>
    </w:p>
    <w:p w14:paraId="238FFEB2" w14:textId="77777777" w:rsidR="00325348" w:rsidRPr="00325348" w:rsidRDefault="00325348" w:rsidP="00325348">
      <w:pPr>
        <w:autoSpaceDE w:val="0"/>
        <w:autoSpaceDN w:val="0"/>
        <w:adjustRightInd w:val="0"/>
        <w:rPr>
          <w:rFonts w:eastAsia="Calibri" w:cs="Arial"/>
          <w:sz w:val="20"/>
          <w:szCs w:val="20"/>
        </w:rPr>
      </w:pPr>
      <w:r w:rsidRPr="00325348">
        <w:rPr>
          <w:rFonts w:eastAsia="Calibri" w:cs="Arial"/>
          <w:sz w:val="20"/>
          <w:szCs w:val="20"/>
        </w:rPr>
        <w:t>Columbus, OH 43215-4291</w:t>
      </w:r>
    </w:p>
    <w:p w14:paraId="662AA58A" w14:textId="77777777" w:rsidR="00325348" w:rsidRPr="00325348" w:rsidRDefault="00325348" w:rsidP="00325348">
      <w:pPr>
        <w:autoSpaceDE w:val="0"/>
        <w:autoSpaceDN w:val="0"/>
        <w:adjustRightInd w:val="0"/>
        <w:rPr>
          <w:rFonts w:eastAsia="Calibri" w:cs="Arial"/>
          <w:sz w:val="20"/>
          <w:szCs w:val="20"/>
        </w:rPr>
      </w:pPr>
      <w:r w:rsidRPr="00325348">
        <w:rPr>
          <w:rFonts w:eastAsia="Calibri" w:cs="Arial"/>
          <w:sz w:val="20"/>
          <w:szCs w:val="20"/>
        </w:rPr>
        <w:t>dstinson@bricker.com</w:t>
      </w:r>
    </w:p>
    <w:p w14:paraId="0D1D85CA" w14:textId="77777777" w:rsidR="00325348" w:rsidRPr="00325348" w:rsidRDefault="00325348" w:rsidP="00325348">
      <w:pPr>
        <w:tabs>
          <w:tab w:val="left" w:pos="2160"/>
          <w:tab w:val="left" w:pos="2280"/>
        </w:tabs>
        <w:rPr>
          <w:rFonts w:eastAsia="Calibri" w:cs="Arial"/>
          <w:sz w:val="20"/>
          <w:szCs w:val="20"/>
        </w:rPr>
      </w:pPr>
    </w:p>
    <w:p w14:paraId="40A24404" w14:textId="77777777" w:rsidR="00325348" w:rsidRPr="00325348" w:rsidRDefault="00325348" w:rsidP="00325348">
      <w:pPr>
        <w:tabs>
          <w:tab w:val="left" w:pos="2160"/>
          <w:tab w:val="left" w:pos="2280"/>
        </w:tabs>
        <w:rPr>
          <w:rFonts w:ascii="Arial Bold" w:eastAsia="Times New Roman" w:hAnsi="Arial Bold" w:cs="Arial"/>
          <w:b/>
          <w:smallCaps/>
          <w:sz w:val="20"/>
          <w:szCs w:val="20"/>
        </w:rPr>
      </w:pPr>
      <w:r w:rsidRPr="00325348">
        <w:rPr>
          <w:rFonts w:ascii="Arial Bold" w:eastAsia="Calibri" w:hAnsi="Arial Bold" w:cs="Arial"/>
          <w:b/>
          <w:smallCaps/>
          <w:sz w:val="20"/>
          <w:szCs w:val="20"/>
        </w:rPr>
        <w:t>Counsel for the Ohio Development Services Agency (ODSA)</w:t>
      </w:r>
    </w:p>
    <w:p w14:paraId="2C1818AF" w14:textId="77777777" w:rsidR="00325348" w:rsidRPr="00325348" w:rsidRDefault="00325348" w:rsidP="00325348">
      <w:pPr>
        <w:autoSpaceDE w:val="0"/>
        <w:autoSpaceDN w:val="0"/>
        <w:adjustRightInd w:val="0"/>
        <w:rPr>
          <w:rFonts w:eastAsia="Times New Roman" w:cs="Arial"/>
          <w:sz w:val="20"/>
          <w:szCs w:val="20"/>
        </w:rPr>
      </w:pPr>
    </w:p>
    <w:p w14:paraId="3377B323" w14:textId="77777777" w:rsidR="00325348" w:rsidRPr="00325348" w:rsidRDefault="00325348" w:rsidP="00325348">
      <w:pPr>
        <w:autoSpaceDE w:val="0"/>
        <w:autoSpaceDN w:val="0"/>
        <w:adjustRightInd w:val="0"/>
        <w:rPr>
          <w:rFonts w:eastAsia="Calibri" w:cs="Arial"/>
          <w:sz w:val="20"/>
          <w:szCs w:val="20"/>
        </w:rPr>
      </w:pPr>
      <w:r w:rsidRPr="00325348">
        <w:rPr>
          <w:rFonts w:eastAsia="Calibri" w:cs="Arial"/>
          <w:b/>
          <w:sz w:val="20"/>
          <w:szCs w:val="20"/>
        </w:rPr>
        <w:t xml:space="preserve">Amy B. Spiller </w:t>
      </w:r>
      <w:r w:rsidRPr="00325348">
        <w:rPr>
          <w:rFonts w:eastAsia="Calibri" w:cs="Arial"/>
          <w:sz w:val="20"/>
          <w:szCs w:val="20"/>
        </w:rPr>
        <w:t>(Reg. No. 0047277)</w:t>
      </w:r>
    </w:p>
    <w:p w14:paraId="12201D16" w14:textId="77777777" w:rsidR="00325348" w:rsidRPr="00325348" w:rsidRDefault="00325348" w:rsidP="00325348">
      <w:pPr>
        <w:autoSpaceDE w:val="0"/>
        <w:autoSpaceDN w:val="0"/>
        <w:adjustRightInd w:val="0"/>
        <w:rPr>
          <w:rFonts w:eastAsia="Calibri" w:cs="Arial"/>
          <w:sz w:val="20"/>
          <w:szCs w:val="20"/>
        </w:rPr>
      </w:pPr>
      <w:r w:rsidRPr="00325348">
        <w:rPr>
          <w:rFonts w:eastAsia="Calibri" w:cs="Arial"/>
          <w:sz w:val="20"/>
          <w:szCs w:val="20"/>
        </w:rPr>
        <w:t>Deputy General Counsel</w:t>
      </w:r>
    </w:p>
    <w:p w14:paraId="75088086" w14:textId="77777777" w:rsidR="00325348" w:rsidRPr="00325348" w:rsidRDefault="00325348" w:rsidP="00325348">
      <w:pPr>
        <w:autoSpaceDE w:val="0"/>
        <w:autoSpaceDN w:val="0"/>
        <w:adjustRightInd w:val="0"/>
        <w:rPr>
          <w:rFonts w:eastAsia="Calibri" w:cs="Arial"/>
          <w:sz w:val="20"/>
          <w:szCs w:val="20"/>
        </w:rPr>
      </w:pPr>
      <w:r w:rsidRPr="00325348">
        <w:rPr>
          <w:rFonts w:eastAsia="Calibri" w:cs="Arial"/>
          <w:b/>
          <w:sz w:val="20"/>
          <w:szCs w:val="20"/>
        </w:rPr>
        <w:t xml:space="preserve">Elizabeth H. Watts </w:t>
      </w:r>
      <w:r w:rsidRPr="00325348">
        <w:rPr>
          <w:rFonts w:eastAsia="Calibri" w:cs="Arial"/>
          <w:sz w:val="20"/>
          <w:szCs w:val="20"/>
        </w:rPr>
        <w:t>(Reg. No. 0031092)</w:t>
      </w:r>
    </w:p>
    <w:p w14:paraId="623782F9" w14:textId="77777777" w:rsidR="00325348" w:rsidRPr="00325348" w:rsidRDefault="00325348" w:rsidP="00325348">
      <w:pPr>
        <w:autoSpaceDE w:val="0"/>
        <w:autoSpaceDN w:val="0"/>
        <w:adjustRightInd w:val="0"/>
        <w:rPr>
          <w:rFonts w:eastAsia="Calibri" w:cs="Arial"/>
          <w:sz w:val="20"/>
          <w:szCs w:val="20"/>
        </w:rPr>
      </w:pPr>
      <w:r w:rsidRPr="00325348">
        <w:rPr>
          <w:rFonts w:eastAsia="Calibri" w:cs="Arial"/>
          <w:sz w:val="20"/>
          <w:szCs w:val="20"/>
        </w:rPr>
        <w:t>Associate General Counsel</w:t>
      </w:r>
    </w:p>
    <w:p w14:paraId="06A872B0" w14:textId="77777777" w:rsidR="00325348" w:rsidRPr="00325348" w:rsidRDefault="00325348" w:rsidP="00325348">
      <w:pPr>
        <w:autoSpaceDE w:val="0"/>
        <w:autoSpaceDN w:val="0"/>
        <w:adjustRightInd w:val="0"/>
        <w:rPr>
          <w:rFonts w:eastAsia="Calibri" w:cs="Arial"/>
          <w:sz w:val="20"/>
          <w:szCs w:val="20"/>
        </w:rPr>
      </w:pPr>
      <w:r w:rsidRPr="00325348">
        <w:rPr>
          <w:rFonts w:eastAsia="Calibri" w:cs="Arial"/>
          <w:sz w:val="20"/>
          <w:szCs w:val="20"/>
        </w:rPr>
        <w:t>Duke Energy Business Services LLC</w:t>
      </w:r>
    </w:p>
    <w:p w14:paraId="07447074" w14:textId="77777777" w:rsidR="00325348" w:rsidRPr="00325348" w:rsidRDefault="00325348" w:rsidP="00325348">
      <w:pPr>
        <w:autoSpaceDE w:val="0"/>
        <w:autoSpaceDN w:val="0"/>
        <w:adjustRightInd w:val="0"/>
        <w:rPr>
          <w:rFonts w:eastAsia="Calibri" w:cs="Arial"/>
          <w:sz w:val="20"/>
          <w:szCs w:val="20"/>
        </w:rPr>
      </w:pPr>
      <w:r w:rsidRPr="00325348">
        <w:rPr>
          <w:rFonts w:eastAsia="Calibri" w:cs="Arial"/>
          <w:sz w:val="20"/>
          <w:szCs w:val="20"/>
        </w:rPr>
        <w:t>139 E. Fourth Street, 1303-Main</w:t>
      </w:r>
    </w:p>
    <w:p w14:paraId="679AD38D" w14:textId="77777777" w:rsidR="00325348" w:rsidRPr="00325348" w:rsidRDefault="00325348" w:rsidP="00325348">
      <w:pPr>
        <w:autoSpaceDE w:val="0"/>
        <w:autoSpaceDN w:val="0"/>
        <w:adjustRightInd w:val="0"/>
        <w:rPr>
          <w:rFonts w:eastAsia="Calibri" w:cs="Arial"/>
          <w:sz w:val="20"/>
          <w:szCs w:val="20"/>
        </w:rPr>
      </w:pPr>
      <w:r w:rsidRPr="00325348">
        <w:rPr>
          <w:rFonts w:eastAsia="Calibri" w:cs="Arial"/>
          <w:sz w:val="20"/>
          <w:szCs w:val="20"/>
        </w:rPr>
        <w:t>PO Box 960</w:t>
      </w:r>
    </w:p>
    <w:p w14:paraId="39B2B804" w14:textId="77777777" w:rsidR="00325348" w:rsidRPr="00325348" w:rsidRDefault="00325348" w:rsidP="00325348">
      <w:pPr>
        <w:autoSpaceDE w:val="0"/>
        <w:autoSpaceDN w:val="0"/>
        <w:adjustRightInd w:val="0"/>
        <w:rPr>
          <w:rFonts w:eastAsia="Calibri" w:cs="Arial"/>
          <w:sz w:val="20"/>
          <w:szCs w:val="20"/>
        </w:rPr>
      </w:pPr>
      <w:r w:rsidRPr="00325348">
        <w:rPr>
          <w:rFonts w:eastAsia="Calibri" w:cs="Arial"/>
          <w:sz w:val="20"/>
          <w:szCs w:val="20"/>
        </w:rPr>
        <w:t>Cincinnati, OH  45201-0960</w:t>
      </w:r>
    </w:p>
    <w:p w14:paraId="184A4B98" w14:textId="77777777" w:rsidR="00325348" w:rsidRPr="00325348" w:rsidRDefault="00325348" w:rsidP="00325348">
      <w:pPr>
        <w:autoSpaceDE w:val="0"/>
        <w:autoSpaceDN w:val="0"/>
        <w:adjustRightInd w:val="0"/>
        <w:rPr>
          <w:rFonts w:eastAsia="Calibri" w:cs="Arial"/>
          <w:color w:val="000000"/>
          <w:sz w:val="20"/>
          <w:szCs w:val="20"/>
        </w:rPr>
      </w:pPr>
      <w:r w:rsidRPr="00325348">
        <w:rPr>
          <w:rFonts w:eastAsia="Calibri" w:cs="Arial"/>
          <w:color w:val="000000"/>
          <w:sz w:val="20"/>
          <w:szCs w:val="20"/>
        </w:rPr>
        <w:t>Amy.Spiller@duke-energy.com</w:t>
      </w:r>
    </w:p>
    <w:p w14:paraId="7542CD66" w14:textId="3E6D23A8" w:rsidR="00325348" w:rsidRPr="00325348" w:rsidRDefault="00325348" w:rsidP="00325348">
      <w:pPr>
        <w:autoSpaceDE w:val="0"/>
        <w:autoSpaceDN w:val="0"/>
        <w:adjustRightInd w:val="0"/>
        <w:rPr>
          <w:rFonts w:eastAsia="Calibri" w:cs="Arial"/>
          <w:color w:val="000000"/>
          <w:sz w:val="20"/>
          <w:szCs w:val="20"/>
        </w:rPr>
      </w:pPr>
      <w:r w:rsidRPr="00325348">
        <w:rPr>
          <w:rFonts w:eastAsia="Calibri" w:cs="Arial"/>
          <w:color w:val="000000"/>
          <w:sz w:val="20"/>
          <w:szCs w:val="20"/>
        </w:rPr>
        <w:t>Elizabeth.Watts@duke-energy.com</w:t>
      </w:r>
    </w:p>
    <w:p w14:paraId="1ECEB153" w14:textId="77777777" w:rsidR="00325348" w:rsidRPr="00325348" w:rsidRDefault="00325348" w:rsidP="00325348">
      <w:pPr>
        <w:autoSpaceDE w:val="0"/>
        <w:autoSpaceDN w:val="0"/>
        <w:adjustRightInd w:val="0"/>
        <w:rPr>
          <w:rFonts w:eastAsia="Calibri" w:cs="Arial"/>
          <w:color w:val="000000"/>
          <w:sz w:val="20"/>
          <w:szCs w:val="20"/>
        </w:rPr>
      </w:pPr>
    </w:p>
    <w:p w14:paraId="7A758CF3" w14:textId="77777777" w:rsidR="00325348" w:rsidRPr="00325348" w:rsidRDefault="00325348" w:rsidP="00325348">
      <w:pPr>
        <w:tabs>
          <w:tab w:val="left" w:pos="2160"/>
          <w:tab w:val="left" w:pos="2280"/>
        </w:tabs>
        <w:rPr>
          <w:rFonts w:eastAsia="Calibri" w:cs="Arial"/>
          <w:b/>
          <w:iCs/>
          <w:smallCaps/>
          <w:sz w:val="20"/>
          <w:szCs w:val="20"/>
        </w:rPr>
      </w:pPr>
      <w:r w:rsidRPr="00325348">
        <w:rPr>
          <w:rFonts w:eastAsia="Calibri" w:cs="Arial"/>
          <w:b/>
          <w:iCs/>
          <w:smallCaps/>
          <w:sz w:val="20"/>
          <w:szCs w:val="20"/>
        </w:rPr>
        <w:t>Counsel for Duke Energy Ohio, Inc. (Duke)</w:t>
      </w:r>
    </w:p>
    <w:p w14:paraId="0AAD3147" w14:textId="77777777" w:rsidR="00325348" w:rsidRPr="00325348" w:rsidRDefault="00325348" w:rsidP="00325348">
      <w:pPr>
        <w:autoSpaceDE w:val="0"/>
        <w:autoSpaceDN w:val="0"/>
        <w:adjustRightInd w:val="0"/>
        <w:rPr>
          <w:rFonts w:eastAsia="Calibri" w:cs="Arial"/>
          <w:color w:val="000000"/>
          <w:sz w:val="20"/>
          <w:szCs w:val="20"/>
        </w:rPr>
      </w:pPr>
    </w:p>
    <w:p w14:paraId="314832F5" w14:textId="77777777" w:rsidR="00325348" w:rsidRPr="00325348" w:rsidRDefault="00325348" w:rsidP="00325348">
      <w:pPr>
        <w:rPr>
          <w:rFonts w:eastAsia="Times New Roman" w:cs="Arial"/>
          <w:color w:val="000000"/>
          <w:sz w:val="20"/>
          <w:szCs w:val="20"/>
        </w:rPr>
      </w:pPr>
      <w:r w:rsidRPr="00325348">
        <w:rPr>
          <w:rFonts w:eastAsia="Times New Roman" w:cs="Arial"/>
          <w:color w:val="000000"/>
          <w:sz w:val="20"/>
          <w:szCs w:val="20"/>
        </w:rPr>
        <w:t>BRUCE WESTON (Reg. No. 0016973)</w:t>
      </w:r>
    </w:p>
    <w:p w14:paraId="39D7A364" w14:textId="77777777" w:rsidR="00325348" w:rsidRPr="00325348" w:rsidRDefault="00325348" w:rsidP="00325348">
      <w:pPr>
        <w:rPr>
          <w:rFonts w:eastAsia="Times New Roman" w:cs="Arial"/>
          <w:color w:val="000000"/>
          <w:sz w:val="20"/>
          <w:szCs w:val="20"/>
        </w:rPr>
      </w:pPr>
      <w:r w:rsidRPr="00325348">
        <w:rPr>
          <w:rFonts w:eastAsia="Times New Roman" w:cs="Arial"/>
          <w:color w:val="000000"/>
          <w:sz w:val="20"/>
          <w:szCs w:val="20"/>
        </w:rPr>
        <w:t>OHIO CONSUMERS’ COUNSEL</w:t>
      </w:r>
    </w:p>
    <w:p w14:paraId="20A40A9F" w14:textId="77777777" w:rsidR="00325348" w:rsidRPr="00325348" w:rsidRDefault="00325348" w:rsidP="00325348">
      <w:pPr>
        <w:rPr>
          <w:rFonts w:eastAsia="Times New Roman" w:cs="Arial"/>
          <w:color w:val="000000"/>
          <w:sz w:val="20"/>
          <w:szCs w:val="20"/>
        </w:rPr>
      </w:pPr>
    </w:p>
    <w:p w14:paraId="503840B0" w14:textId="77777777" w:rsidR="00325348" w:rsidRPr="00325348" w:rsidRDefault="00325348" w:rsidP="00325348">
      <w:pPr>
        <w:rPr>
          <w:rFonts w:eastAsia="Times New Roman" w:cs="Arial"/>
          <w:color w:val="000000"/>
          <w:sz w:val="20"/>
          <w:szCs w:val="20"/>
        </w:rPr>
      </w:pPr>
      <w:r w:rsidRPr="00325348">
        <w:rPr>
          <w:rFonts w:eastAsia="Times New Roman" w:cs="Arial"/>
          <w:b/>
          <w:color w:val="000000"/>
          <w:sz w:val="20"/>
          <w:szCs w:val="20"/>
        </w:rPr>
        <w:t>Christopher Healey</w:t>
      </w:r>
      <w:r w:rsidRPr="00325348">
        <w:rPr>
          <w:rFonts w:eastAsia="Times New Roman" w:cs="Arial"/>
          <w:color w:val="000000"/>
          <w:sz w:val="20"/>
          <w:szCs w:val="20"/>
        </w:rPr>
        <w:t xml:space="preserve"> (Reg. No. 0086027)</w:t>
      </w:r>
    </w:p>
    <w:p w14:paraId="1916925B" w14:textId="77777777" w:rsidR="00325348" w:rsidRPr="00325348" w:rsidRDefault="00325348" w:rsidP="00325348">
      <w:pPr>
        <w:rPr>
          <w:rFonts w:eastAsia="Times New Roman" w:cs="Arial"/>
          <w:color w:val="000000"/>
          <w:sz w:val="20"/>
          <w:szCs w:val="20"/>
        </w:rPr>
      </w:pPr>
      <w:r w:rsidRPr="00325348">
        <w:rPr>
          <w:rFonts w:eastAsia="Times New Roman" w:cs="Arial"/>
          <w:color w:val="000000"/>
          <w:sz w:val="20"/>
          <w:szCs w:val="20"/>
        </w:rPr>
        <w:t>(Counsel of Record)</w:t>
      </w:r>
    </w:p>
    <w:p w14:paraId="11F96E8D" w14:textId="77777777" w:rsidR="00325348" w:rsidRPr="00325348" w:rsidRDefault="00325348" w:rsidP="00325348">
      <w:pPr>
        <w:rPr>
          <w:rFonts w:eastAsia="Times New Roman" w:cs="Arial"/>
          <w:color w:val="000000"/>
          <w:sz w:val="20"/>
          <w:szCs w:val="20"/>
        </w:rPr>
      </w:pPr>
      <w:r w:rsidRPr="00325348">
        <w:rPr>
          <w:rFonts w:eastAsia="Times New Roman" w:cs="Arial"/>
          <w:color w:val="000000"/>
          <w:sz w:val="20"/>
          <w:szCs w:val="20"/>
        </w:rPr>
        <w:t>Assistant Consumers’ Counsel</w:t>
      </w:r>
    </w:p>
    <w:p w14:paraId="2912C142" w14:textId="77777777" w:rsidR="00325348" w:rsidRPr="00325348" w:rsidRDefault="00325348" w:rsidP="00325348">
      <w:pPr>
        <w:rPr>
          <w:rFonts w:eastAsia="Times New Roman" w:cs="Arial"/>
          <w:color w:val="000000"/>
          <w:sz w:val="20"/>
          <w:szCs w:val="20"/>
        </w:rPr>
      </w:pPr>
      <w:r w:rsidRPr="00325348">
        <w:rPr>
          <w:rFonts w:eastAsia="Times New Roman" w:cs="Arial"/>
          <w:color w:val="000000"/>
          <w:sz w:val="20"/>
          <w:szCs w:val="20"/>
        </w:rPr>
        <w:t>Office of the Ohio Consumers’ Counsel</w:t>
      </w:r>
    </w:p>
    <w:p w14:paraId="4F8CD6FE" w14:textId="77777777" w:rsidR="00325348" w:rsidRPr="00325348" w:rsidRDefault="00325348" w:rsidP="00325348">
      <w:pPr>
        <w:rPr>
          <w:rFonts w:eastAsia="Times New Roman" w:cs="Arial"/>
          <w:color w:val="000000"/>
          <w:sz w:val="20"/>
          <w:szCs w:val="20"/>
        </w:rPr>
      </w:pPr>
      <w:r w:rsidRPr="00325348">
        <w:rPr>
          <w:rFonts w:eastAsia="Times New Roman" w:cs="Arial"/>
          <w:color w:val="000000"/>
          <w:sz w:val="20"/>
          <w:szCs w:val="20"/>
        </w:rPr>
        <w:t>10 West Broad Street, Suite 1800</w:t>
      </w:r>
    </w:p>
    <w:p w14:paraId="6920BC31" w14:textId="77777777" w:rsidR="00325348" w:rsidRPr="00325348" w:rsidRDefault="00325348" w:rsidP="00325348">
      <w:pPr>
        <w:rPr>
          <w:rFonts w:eastAsia="Times New Roman" w:cs="Arial"/>
          <w:color w:val="000000"/>
          <w:sz w:val="20"/>
          <w:szCs w:val="20"/>
        </w:rPr>
      </w:pPr>
      <w:r w:rsidRPr="00325348">
        <w:rPr>
          <w:rFonts w:eastAsia="Times New Roman" w:cs="Arial"/>
          <w:color w:val="000000"/>
          <w:sz w:val="20"/>
          <w:szCs w:val="20"/>
        </w:rPr>
        <w:t>Columbus, OH  43215-3485</w:t>
      </w:r>
    </w:p>
    <w:p w14:paraId="27E08F8D" w14:textId="77777777" w:rsidR="00325348" w:rsidRPr="00325348" w:rsidRDefault="00325348" w:rsidP="00325348">
      <w:pPr>
        <w:rPr>
          <w:rFonts w:eastAsia="Times New Roman" w:cs="Arial"/>
          <w:color w:val="000000"/>
          <w:sz w:val="20"/>
          <w:szCs w:val="20"/>
        </w:rPr>
      </w:pPr>
      <w:r w:rsidRPr="00325348">
        <w:rPr>
          <w:rFonts w:eastAsia="Times New Roman" w:cs="Arial"/>
          <w:color w:val="000000"/>
          <w:sz w:val="20"/>
          <w:szCs w:val="20"/>
        </w:rPr>
        <w:t>Christopher.healey@occ.ohio.gov</w:t>
      </w:r>
    </w:p>
    <w:p w14:paraId="6CEFCF57" w14:textId="77777777" w:rsidR="00325348" w:rsidRPr="00325348" w:rsidRDefault="00325348" w:rsidP="00325348">
      <w:pPr>
        <w:rPr>
          <w:rFonts w:eastAsia="Times New Roman" w:cs="Arial"/>
          <w:color w:val="000000"/>
          <w:sz w:val="20"/>
          <w:szCs w:val="20"/>
        </w:rPr>
      </w:pPr>
    </w:p>
    <w:p w14:paraId="46F22282" w14:textId="77777777" w:rsidR="00325348" w:rsidRPr="00325348" w:rsidRDefault="00325348" w:rsidP="00325348">
      <w:pPr>
        <w:rPr>
          <w:rFonts w:eastAsia="Times New Roman" w:cs="Arial"/>
          <w:b/>
          <w:smallCaps/>
          <w:color w:val="000000"/>
          <w:sz w:val="20"/>
          <w:szCs w:val="20"/>
        </w:rPr>
      </w:pPr>
      <w:r w:rsidRPr="00325348">
        <w:rPr>
          <w:rFonts w:eastAsia="Times New Roman" w:cs="Arial"/>
          <w:b/>
          <w:smallCaps/>
          <w:color w:val="000000"/>
          <w:sz w:val="20"/>
          <w:szCs w:val="20"/>
        </w:rPr>
        <w:t>Counsel for the Office of the Ohio Consumers’ Counsel</w:t>
      </w:r>
    </w:p>
    <w:p w14:paraId="5222B043" w14:textId="77777777" w:rsidR="00325348" w:rsidRPr="00325348" w:rsidRDefault="00325348" w:rsidP="00325348">
      <w:pPr>
        <w:autoSpaceDE w:val="0"/>
        <w:autoSpaceDN w:val="0"/>
        <w:adjustRightInd w:val="0"/>
        <w:rPr>
          <w:rFonts w:eastAsia="Calibri" w:cs="Arial"/>
          <w:sz w:val="20"/>
          <w:szCs w:val="20"/>
        </w:rPr>
      </w:pPr>
      <w:r w:rsidRPr="00325348">
        <w:rPr>
          <w:rFonts w:eastAsia="Calibri" w:cs="Arial"/>
          <w:b/>
          <w:sz w:val="20"/>
          <w:szCs w:val="20"/>
        </w:rPr>
        <w:br w:type="column"/>
      </w:r>
      <w:r w:rsidRPr="00325348">
        <w:rPr>
          <w:rFonts w:eastAsia="Calibri" w:cs="Arial"/>
          <w:b/>
          <w:sz w:val="20"/>
          <w:szCs w:val="20"/>
        </w:rPr>
        <w:t>Carrie M. Dunn</w:t>
      </w:r>
      <w:r w:rsidRPr="00325348">
        <w:rPr>
          <w:rFonts w:eastAsia="Calibri" w:cs="Arial"/>
          <w:sz w:val="20"/>
          <w:szCs w:val="20"/>
        </w:rPr>
        <w:t xml:space="preserve"> (Reg. No. 0076952)</w:t>
      </w:r>
    </w:p>
    <w:p w14:paraId="17D0EEC8" w14:textId="77777777" w:rsidR="00325348" w:rsidRPr="00325348" w:rsidRDefault="00325348" w:rsidP="00325348">
      <w:pPr>
        <w:autoSpaceDE w:val="0"/>
        <w:autoSpaceDN w:val="0"/>
        <w:adjustRightInd w:val="0"/>
        <w:rPr>
          <w:rFonts w:eastAsia="Calibri" w:cs="Arial"/>
          <w:sz w:val="20"/>
          <w:szCs w:val="20"/>
        </w:rPr>
      </w:pPr>
      <w:r w:rsidRPr="00325348">
        <w:rPr>
          <w:rFonts w:eastAsia="Calibri" w:cs="Arial"/>
          <w:b/>
          <w:sz w:val="20"/>
          <w:szCs w:val="20"/>
        </w:rPr>
        <w:t>Joshua R. Eckert</w:t>
      </w:r>
      <w:r w:rsidRPr="00325348">
        <w:rPr>
          <w:rFonts w:eastAsia="Calibri" w:cs="Arial"/>
          <w:sz w:val="20"/>
          <w:szCs w:val="20"/>
        </w:rPr>
        <w:t xml:space="preserve"> (Reg. No. 0095715)</w:t>
      </w:r>
    </w:p>
    <w:p w14:paraId="45652C79" w14:textId="77777777" w:rsidR="00325348" w:rsidRPr="00325348" w:rsidRDefault="00325348" w:rsidP="00325348">
      <w:pPr>
        <w:autoSpaceDE w:val="0"/>
        <w:autoSpaceDN w:val="0"/>
        <w:adjustRightInd w:val="0"/>
        <w:rPr>
          <w:rFonts w:eastAsia="Calibri" w:cs="Arial"/>
          <w:sz w:val="20"/>
          <w:szCs w:val="20"/>
        </w:rPr>
      </w:pPr>
      <w:r w:rsidRPr="00325348">
        <w:rPr>
          <w:rFonts w:eastAsia="Calibri" w:cs="Arial"/>
          <w:sz w:val="20"/>
          <w:szCs w:val="20"/>
        </w:rPr>
        <w:t>FirstEnergy Service Company</w:t>
      </w:r>
    </w:p>
    <w:p w14:paraId="5567F22D" w14:textId="77777777" w:rsidR="00325348" w:rsidRPr="00325348" w:rsidRDefault="00325348" w:rsidP="00325348">
      <w:pPr>
        <w:autoSpaceDE w:val="0"/>
        <w:autoSpaceDN w:val="0"/>
        <w:adjustRightInd w:val="0"/>
        <w:rPr>
          <w:rFonts w:eastAsia="Calibri" w:cs="Arial"/>
          <w:sz w:val="20"/>
          <w:szCs w:val="20"/>
        </w:rPr>
      </w:pPr>
      <w:r w:rsidRPr="00325348">
        <w:rPr>
          <w:rFonts w:eastAsia="Calibri" w:cs="Arial"/>
          <w:sz w:val="20"/>
          <w:szCs w:val="20"/>
        </w:rPr>
        <w:t>76 South Main Street</w:t>
      </w:r>
    </w:p>
    <w:p w14:paraId="0FC2887C" w14:textId="77777777" w:rsidR="00325348" w:rsidRPr="00325348" w:rsidRDefault="00325348" w:rsidP="00325348">
      <w:pPr>
        <w:autoSpaceDE w:val="0"/>
        <w:autoSpaceDN w:val="0"/>
        <w:adjustRightInd w:val="0"/>
        <w:rPr>
          <w:rFonts w:eastAsia="Calibri" w:cs="Arial"/>
          <w:sz w:val="20"/>
          <w:szCs w:val="20"/>
        </w:rPr>
      </w:pPr>
      <w:r w:rsidRPr="00325348">
        <w:rPr>
          <w:rFonts w:eastAsia="Calibri" w:cs="Arial"/>
          <w:sz w:val="20"/>
          <w:szCs w:val="20"/>
        </w:rPr>
        <w:t>Akron, OH  44308</w:t>
      </w:r>
    </w:p>
    <w:p w14:paraId="34FAB23F" w14:textId="77777777" w:rsidR="00325348" w:rsidRPr="00325348" w:rsidRDefault="00325348" w:rsidP="00325348">
      <w:pPr>
        <w:autoSpaceDE w:val="0"/>
        <w:autoSpaceDN w:val="0"/>
        <w:adjustRightInd w:val="0"/>
        <w:rPr>
          <w:rFonts w:eastAsia="Calibri" w:cs="Arial"/>
          <w:sz w:val="20"/>
          <w:szCs w:val="20"/>
        </w:rPr>
      </w:pPr>
      <w:r w:rsidRPr="00325348">
        <w:rPr>
          <w:rFonts w:eastAsia="Calibri" w:cs="Arial"/>
          <w:sz w:val="20"/>
          <w:szCs w:val="20"/>
        </w:rPr>
        <w:t>cdunn@firstenergycorp.com</w:t>
      </w:r>
    </w:p>
    <w:p w14:paraId="1094F361" w14:textId="77777777" w:rsidR="00325348" w:rsidRPr="00325348" w:rsidRDefault="00325348" w:rsidP="00325348">
      <w:pPr>
        <w:autoSpaceDE w:val="0"/>
        <w:autoSpaceDN w:val="0"/>
        <w:adjustRightInd w:val="0"/>
        <w:rPr>
          <w:rFonts w:eastAsia="Calibri" w:cs="Arial"/>
          <w:sz w:val="20"/>
          <w:szCs w:val="20"/>
        </w:rPr>
      </w:pPr>
      <w:r w:rsidRPr="00325348">
        <w:rPr>
          <w:rFonts w:eastAsia="Calibri" w:cs="Arial"/>
          <w:sz w:val="20"/>
          <w:szCs w:val="20"/>
        </w:rPr>
        <w:t>jeckert@firstenergycorp.com</w:t>
      </w:r>
    </w:p>
    <w:p w14:paraId="3D499792" w14:textId="77777777" w:rsidR="00325348" w:rsidRPr="00325348" w:rsidRDefault="00325348" w:rsidP="00325348">
      <w:pPr>
        <w:autoSpaceDE w:val="0"/>
        <w:autoSpaceDN w:val="0"/>
        <w:adjustRightInd w:val="0"/>
        <w:rPr>
          <w:rFonts w:eastAsia="Calibri" w:cs="Arial"/>
          <w:sz w:val="20"/>
          <w:szCs w:val="20"/>
        </w:rPr>
      </w:pPr>
    </w:p>
    <w:p w14:paraId="4B4892E1" w14:textId="77777777" w:rsidR="00325348" w:rsidRPr="00325348" w:rsidRDefault="00325348" w:rsidP="00325348">
      <w:pPr>
        <w:tabs>
          <w:tab w:val="left" w:pos="2160"/>
          <w:tab w:val="left" w:pos="2280"/>
        </w:tabs>
        <w:rPr>
          <w:rFonts w:ascii="Arial Bold" w:eastAsia="Calibri" w:hAnsi="Arial Bold" w:cs="Arial"/>
          <w:b/>
          <w:iCs/>
          <w:smallCaps/>
          <w:sz w:val="20"/>
          <w:szCs w:val="20"/>
        </w:rPr>
      </w:pPr>
      <w:r w:rsidRPr="00325348">
        <w:rPr>
          <w:rFonts w:ascii="Arial Bold" w:eastAsia="Calibri" w:hAnsi="Arial Bold" w:cs="Arial"/>
          <w:b/>
          <w:iCs/>
          <w:smallCaps/>
          <w:sz w:val="20"/>
          <w:szCs w:val="20"/>
        </w:rPr>
        <w:t>Counsel for The Cleveland Electric Illuminating Company, Ohio Edison Company and The Toledo Edison Company (FirstEnergy)</w:t>
      </w:r>
    </w:p>
    <w:p w14:paraId="3A37AF95" w14:textId="77777777" w:rsidR="00325348" w:rsidRPr="00325348" w:rsidRDefault="00325348" w:rsidP="00325348">
      <w:pPr>
        <w:autoSpaceDE w:val="0"/>
        <w:autoSpaceDN w:val="0"/>
        <w:adjustRightInd w:val="0"/>
        <w:rPr>
          <w:rFonts w:eastAsia="Calibri" w:cs="Arial"/>
          <w:sz w:val="20"/>
          <w:szCs w:val="20"/>
        </w:rPr>
      </w:pPr>
    </w:p>
    <w:p w14:paraId="0557CBE9" w14:textId="77777777" w:rsidR="00325348" w:rsidRPr="00325348" w:rsidRDefault="00325348" w:rsidP="00325348">
      <w:pPr>
        <w:tabs>
          <w:tab w:val="left" w:pos="2160"/>
          <w:tab w:val="left" w:pos="2280"/>
        </w:tabs>
        <w:rPr>
          <w:rFonts w:eastAsia="Calibri" w:cs="Arial"/>
          <w:iCs/>
          <w:sz w:val="20"/>
          <w:szCs w:val="20"/>
        </w:rPr>
      </w:pPr>
      <w:r w:rsidRPr="00325348">
        <w:rPr>
          <w:rFonts w:eastAsia="Calibri" w:cs="Arial"/>
          <w:b/>
          <w:iCs/>
          <w:sz w:val="20"/>
          <w:szCs w:val="20"/>
        </w:rPr>
        <w:t xml:space="preserve">Steven T. Nourse </w:t>
      </w:r>
      <w:r w:rsidRPr="00325348">
        <w:rPr>
          <w:rFonts w:eastAsia="Calibri" w:cs="Arial"/>
          <w:iCs/>
          <w:sz w:val="20"/>
          <w:szCs w:val="20"/>
        </w:rPr>
        <w:t>(Reg. No. 0046705)</w:t>
      </w:r>
    </w:p>
    <w:p w14:paraId="143668E3" w14:textId="77777777" w:rsidR="00325348" w:rsidRPr="00325348" w:rsidRDefault="00325348" w:rsidP="00325348">
      <w:pPr>
        <w:tabs>
          <w:tab w:val="left" w:pos="2160"/>
          <w:tab w:val="left" w:pos="2280"/>
        </w:tabs>
        <w:rPr>
          <w:rFonts w:eastAsia="Calibri" w:cs="Arial"/>
          <w:iCs/>
          <w:sz w:val="20"/>
          <w:szCs w:val="20"/>
        </w:rPr>
      </w:pPr>
      <w:r w:rsidRPr="00325348">
        <w:rPr>
          <w:rFonts w:eastAsia="Calibri" w:cs="Arial"/>
          <w:iCs/>
          <w:sz w:val="20"/>
          <w:szCs w:val="20"/>
        </w:rPr>
        <w:t>Senior Counsel</w:t>
      </w:r>
    </w:p>
    <w:p w14:paraId="06628BA2" w14:textId="77777777" w:rsidR="00325348" w:rsidRPr="00325348" w:rsidRDefault="00325348" w:rsidP="00325348">
      <w:pPr>
        <w:tabs>
          <w:tab w:val="left" w:pos="2160"/>
          <w:tab w:val="left" w:pos="2280"/>
        </w:tabs>
        <w:rPr>
          <w:rFonts w:eastAsia="Calibri" w:cs="Arial"/>
          <w:b/>
          <w:iCs/>
          <w:sz w:val="20"/>
          <w:szCs w:val="20"/>
        </w:rPr>
      </w:pPr>
      <w:r w:rsidRPr="00325348">
        <w:rPr>
          <w:rFonts w:eastAsia="Calibri" w:cs="Arial"/>
          <w:b/>
          <w:iCs/>
          <w:sz w:val="20"/>
          <w:szCs w:val="20"/>
        </w:rPr>
        <w:t xml:space="preserve">Christen M. Blend </w:t>
      </w:r>
      <w:r w:rsidRPr="00325348">
        <w:rPr>
          <w:rFonts w:eastAsia="Calibri" w:cs="Arial"/>
          <w:iCs/>
          <w:sz w:val="20"/>
          <w:szCs w:val="20"/>
        </w:rPr>
        <w:t>(Reg. No. 0086881)</w:t>
      </w:r>
    </w:p>
    <w:p w14:paraId="0D937E0D" w14:textId="77777777" w:rsidR="00325348" w:rsidRPr="00325348" w:rsidRDefault="00325348" w:rsidP="00325348">
      <w:pPr>
        <w:tabs>
          <w:tab w:val="left" w:pos="2160"/>
          <w:tab w:val="left" w:pos="2280"/>
        </w:tabs>
        <w:rPr>
          <w:rFonts w:eastAsia="Calibri" w:cs="Arial"/>
          <w:iCs/>
          <w:sz w:val="20"/>
          <w:szCs w:val="20"/>
        </w:rPr>
      </w:pPr>
      <w:r w:rsidRPr="00325348">
        <w:rPr>
          <w:rFonts w:eastAsia="Calibri" w:cs="Arial"/>
          <w:iCs/>
          <w:sz w:val="20"/>
          <w:szCs w:val="20"/>
        </w:rPr>
        <w:t>American Electric Power Service Corporation</w:t>
      </w:r>
    </w:p>
    <w:p w14:paraId="6E57750A" w14:textId="77777777" w:rsidR="00325348" w:rsidRPr="00325348" w:rsidRDefault="00325348" w:rsidP="00325348">
      <w:pPr>
        <w:tabs>
          <w:tab w:val="left" w:pos="2160"/>
          <w:tab w:val="left" w:pos="2280"/>
        </w:tabs>
        <w:rPr>
          <w:rFonts w:eastAsia="Calibri" w:cs="Arial"/>
          <w:iCs/>
          <w:sz w:val="20"/>
          <w:szCs w:val="20"/>
        </w:rPr>
      </w:pPr>
      <w:r w:rsidRPr="00325348">
        <w:rPr>
          <w:rFonts w:eastAsia="Calibri" w:cs="Arial"/>
          <w:iCs/>
          <w:sz w:val="20"/>
          <w:szCs w:val="20"/>
        </w:rPr>
        <w:t>1 Riverside Plaza, 29</w:t>
      </w:r>
      <w:r w:rsidRPr="00325348">
        <w:rPr>
          <w:rFonts w:eastAsia="Calibri" w:cs="Arial"/>
          <w:iCs/>
          <w:sz w:val="20"/>
          <w:szCs w:val="20"/>
          <w:vertAlign w:val="superscript"/>
        </w:rPr>
        <w:t>th</w:t>
      </w:r>
      <w:r w:rsidRPr="00325348">
        <w:rPr>
          <w:rFonts w:eastAsia="Calibri" w:cs="Arial"/>
          <w:iCs/>
          <w:sz w:val="20"/>
          <w:szCs w:val="20"/>
        </w:rPr>
        <w:t xml:space="preserve"> Floor</w:t>
      </w:r>
    </w:p>
    <w:p w14:paraId="2C31E2F1" w14:textId="77777777" w:rsidR="00325348" w:rsidRPr="00325348" w:rsidRDefault="00325348" w:rsidP="00325348">
      <w:pPr>
        <w:tabs>
          <w:tab w:val="left" w:pos="2160"/>
          <w:tab w:val="left" w:pos="2280"/>
        </w:tabs>
        <w:rPr>
          <w:rFonts w:eastAsia="Calibri" w:cs="Arial"/>
          <w:iCs/>
          <w:sz w:val="20"/>
          <w:szCs w:val="20"/>
        </w:rPr>
      </w:pPr>
      <w:r w:rsidRPr="00325348">
        <w:rPr>
          <w:rFonts w:eastAsia="Calibri" w:cs="Arial"/>
          <w:iCs/>
          <w:sz w:val="20"/>
          <w:szCs w:val="20"/>
        </w:rPr>
        <w:t>Columbus, OH  43215-2373</w:t>
      </w:r>
    </w:p>
    <w:p w14:paraId="10DBF705" w14:textId="77777777" w:rsidR="00325348" w:rsidRPr="00325348" w:rsidRDefault="00325348" w:rsidP="00325348">
      <w:pPr>
        <w:tabs>
          <w:tab w:val="left" w:pos="2160"/>
          <w:tab w:val="left" w:pos="2280"/>
        </w:tabs>
        <w:rPr>
          <w:rFonts w:eastAsia="Calibri" w:cs="Arial"/>
          <w:iCs/>
          <w:sz w:val="20"/>
          <w:szCs w:val="20"/>
        </w:rPr>
      </w:pPr>
      <w:r w:rsidRPr="00325348">
        <w:rPr>
          <w:rFonts w:eastAsia="Calibri" w:cs="Arial"/>
          <w:iCs/>
          <w:sz w:val="20"/>
          <w:szCs w:val="20"/>
        </w:rPr>
        <w:t>Snourse@aep.com</w:t>
      </w:r>
    </w:p>
    <w:p w14:paraId="61A02885" w14:textId="77777777" w:rsidR="00325348" w:rsidRPr="00325348" w:rsidRDefault="00325348" w:rsidP="00325348">
      <w:pPr>
        <w:tabs>
          <w:tab w:val="left" w:pos="2160"/>
          <w:tab w:val="left" w:pos="2280"/>
        </w:tabs>
        <w:rPr>
          <w:rFonts w:eastAsia="Calibri" w:cs="Arial"/>
          <w:iCs/>
          <w:sz w:val="20"/>
          <w:szCs w:val="20"/>
        </w:rPr>
      </w:pPr>
      <w:r w:rsidRPr="00325348">
        <w:rPr>
          <w:rFonts w:eastAsia="Calibri" w:cs="Arial"/>
          <w:iCs/>
          <w:sz w:val="20"/>
          <w:szCs w:val="20"/>
        </w:rPr>
        <w:t>cmblend@aep.com</w:t>
      </w:r>
    </w:p>
    <w:p w14:paraId="583F6EE0" w14:textId="77777777" w:rsidR="00325348" w:rsidRPr="00325348" w:rsidRDefault="00325348" w:rsidP="00325348">
      <w:pPr>
        <w:tabs>
          <w:tab w:val="left" w:pos="2160"/>
          <w:tab w:val="left" w:pos="2280"/>
        </w:tabs>
        <w:rPr>
          <w:rFonts w:eastAsia="Calibri" w:cs="Arial"/>
          <w:iCs/>
          <w:sz w:val="20"/>
          <w:szCs w:val="20"/>
        </w:rPr>
      </w:pPr>
    </w:p>
    <w:p w14:paraId="148D6B2F" w14:textId="77777777" w:rsidR="00325348" w:rsidRPr="00325348" w:rsidRDefault="00325348" w:rsidP="00325348">
      <w:pPr>
        <w:tabs>
          <w:tab w:val="left" w:pos="2160"/>
          <w:tab w:val="left" w:pos="2280"/>
        </w:tabs>
        <w:rPr>
          <w:rFonts w:eastAsia="Calibri" w:cs="Arial"/>
          <w:iCs/>
          <w:sz w:val="20"/>
          <w:szCs w:val="20"/>
        </w:rPr>
      </w:pPr>
      <w:r w:rsidRPr="00325348">
        <w:rPr>
          <w:rFonts w:eastAsia="Calibri" w:cs="Arial"/>
          <w:b/>
          <w:iCs/>
          <w:sz w:val="20"/>
          <w:szCs w:val="20"/>
        </w:rPr>
        <w:t>L. Bradfield Hughes</w:t>
      </w:r>
      <w:r w:rsidRPr="00325348">
        <w:rPr>
          <w:rFonts w:eastAsia="Calibri" w:cs="Arial"/>
          <w:iCs/>
          <w:sz w:val="20"/>
          <w:szCs w:val="20"/>
        </w:rPr>
        <w:t xml:space="preserve"> (Reg. No. 0070997)</w:t>
      </w:r>
    </w:p>
    <w:p w14:paraId="10559B75" w14:textId="77777777" w:rsidR="00325348" w:rsidRPr="00325348" w:rsidRDefault="00325348" w:rsidP="00325348">
      <w:pPr>
        <w:tabs>
          <w:tab w:val="left" w:pos="2160"/>
          <w:tab w:val="left" w:pos="2280"/>
        </w:tabs>
        <w:rPr>
          <w:rFonts w:eastAsia="Calibri" w:cs="Arial"/>
          <w:iCs/>
          <w:sz w:val="20"/>
          <w:szCs w:val="20"/>
        </w:rPr>
      </w:pPr>
      <w:r w:rsidRPr="00325348">
        <w:rPr>
          <w:rFonts w:eastAsia="Calibri" w:cs="Arial"/>
          <w:iCs/>
          <w:sz w:val="20"/>
          <w:szCs w:val="20"/>
        </w:rPr>
        <w:t>Porter Wright Morris &amp; Arthur, LLP</w:t>
      </w:r>
    </w:p>
    <w:p w14:paraId="3F397F84" w14:textId="77777777" w:rsidR="00325348" w:rsidRPr="00325348" w:rsidRDefault="00325348" w:rsidP="00325348">
      <w:pPr>
        <w:tabs>
          <w:tab w:val="left" w:pos="2160"/>
          <w:tab w:val="left" w:pos="2280"/>
        </w:tabs>
        <w:rPr>
          <w:rFonts w:eastAsia="Calibri" w:cs="Arial"/>
          <w:iCs/>
          <w:sz w:val="20"/>
          <w:szCs w:val="20"/>
        </w:rPr>
      </w:pPr>
      <w:r w:rsidRPr="00325348">
        <w:rPr>
          <w:rFonts w:eastAsia="Calibri" w:cs="Arial"/>
          <w:iCs/>
          <w:sz w:val="20"/>
          <w:szCs w:val="20"/>
        </w:rPr>
        <w:t>Huntington Center</w:t>
      </w:r>
    </w:p>
    <w:p w14:paraId="1BDDC4A5" w14:textId="77777777" w:rsidR="00325348" w:rsidRPr="00325348" w:rsidRDefault="00325348" w:rsidP="00325348">
      <w:pPr>
        <w:tabs>
          <w:tab w:val="left" w:pos="2160"/>
          <w:tab w:val="left" w:pos="2280"/>
        </w:tabs>
        <w:rPr>
          <w:rFonts w:eastAsia="Calibri" w:cs="Arial"/>
          <w:iCs/>
          <w:sz w:val="20"/>
          <w:szCs w:val="20"/>
        </w:rPr>
      </w:pPr>
      <w:r w:rsidRPr="00325348">
        <w:rPr>
          <w:rFonts w:eastAsia="Calibri" w:cs="Arial"/>
          <w:iCs/>
          <w:sz w:val="20"/>
          <w:szCs w:val="20"/>
        </w:rPr>
        <w:t>41 South High Street, Suite 2900</w:t>
      </w:r>
    </w:p>
    <w:p w14:paraId="25CDB1AE" w14:textId="77777777" w:rsidR="00325348" w:rsidRPr="00325348" w:rsidRDefault="00325348" w:rsidP="00325348">
      <w:pPr>
        <w:tabs>
          <w:tab w:val="left" w:pos="2160"/>
          <w:tab w:val="left" w:pos="2280"/>
        </w:tabs>
        <w:rPr>
          <w:rFonts w:eastAsia="Calibri" w:cs="Arial"/>
          <w:iCs/>
          <w:sz w:val="20"/>
          <w:szCs w:val="20"/>
        </w:rPr>
      </w:pPr>
      <w:r w:rsidRPr="00325348">
        <w:rPr>
          <w:rFonts w:eastAsia="Calibri" w:cs="Arial"/>
          <w:iCs/>
          <w:sz w:val="20"/>
          <w:szCs w:val="20"/>
        </w:rPr>
        <w:t>Columbus, OH  43215</w:t>
      </w:r>
    </w:p>
    <w:p w14:paraId="5F261B7A" w14:textId="77777777" w:rsidR="00325348" w:rsidRPr="00325348" w:rsidRDefault="00325348" w:rsidP="00325348">
      <w:pPr>
        <w:tabs>
          <w:tab w:val="left" w:pos="2160"/>
          <w:tab w:val="left" w:pos="2280"/>
        </w:tabs>
        <w:rPr>
          <w:rFonts w:eastAsia="Calibri" w:cs="Arial"/>
          <w:iCs/>
          <w:sz w:val="20"/>
          <w:szCs w:val="20"/>
        </w:rPr>
      </w:pPr>
      <w:r w:rsidRPr="00325348">
        <w:rPr>
          <w:rFonts w:eastAsia="Calibri" w:cs="Arial"/>
          <w:iCs/>
          <w:sz w:val="20"/>
          <w:szCs w:val="20"/>
        </w:rPr>
        <w:t>bhughes@porterwright.com</w:t>
      </w:r>
    </w:p>
    <w:p w14:paraId="53F90B29" w14:textId="77777777" w:rsidR="00325348" w:rsidRPr="00325348" w:rsidRDefault="00325348" w:rsidP="00325348">
      <w:pPr>
        <w:tabs>
          <w:tab w:val="left" w:pos="2160"/>
          <w:tab w:val="left" w:pos="2280"/>
        </w:tabs>
        <w:rPr>
          <w:rFonts w:eastAsia="Calibri" w:cs="Arial"/>
          <w:iCs/>
          <w:sz w:val="20"/>
          <w:szCs w:val="20"/>
        </w:rPr>
      </w:pPr>
    </w:p>
    <w:p w14:paraId="142DF6B1" w14:textId="77777777" w:rsidR="00325348" w:rsidRPr="00325348" w:rsidRDefault="00325348" w:rsidP="00325348">
      <w:pPr>
        <w:tabs>
          <w:tab w:val="left" w:pos="2160"/>
          <w:tab w:val="left" w:pos="2280"/>
        </w:tabs>
        <w:rPr>
          <w:rFonts w:ascii="Arial Bold" w:eastAsia="Calibri" w:hAnsi="Arial Bold" w:cs="Arial"/>
          <w:b/>
          <w:iCs/>
          <w:smallCaps/>
          <w:sz w:val="20"/>
          <w:szCs w:val="20"/>
        </w:rPr>
      </w:pPr>
      <w:r w:rsidRPr="00325348">
        <w:rPr>
          <w:rFonts w:ascii="Arial Bold" w:eastAsia="Calibri" w:hAnsi="Arial Bold" w:cs="Arial"/>
          <w:b/>
          <w:iCs/>
          <w:smallCaps/>
          <w:sz w:val="20"/>
          <w:szCs w:val="20"/>
        </w:rPr>
        <w:t>Counsel for Ohio Power Company (AEP Ohio)</w:t>
      </w:r>
    </w:p>
    <w:p w14:paraId="425DB320" w14:textId="77777777" w:rsidR="00325348" w:rsidRPr="00325348" w:rsidRDefault="00325348" w:rsidP="00325348">
      <w:pPr>
        <w:tabs>
          <w:tab w:val="left" w:pos="2160"/>
          <w:tab w:val="left" w:pos="2280"/>
        </w:tabs>
        <w:rPr>
          <w:rFonts w:eastAsia="Calibri" w:cs="Arial"/>
          <w:iCs/>
          <w:sz w:val="20"/>
          <w:szCs w:val="20"/>
        </w:rPr>
      </w:pPr>
    </w:p>
    <w:p w14:paraId="1FADAFC3" w14:textId="77777777" w:rsidR="00325348" w:rsidRPr="00325348" w:rsidRDefault="00325348" w:rsidP="00325348">
      <w:pPr>
        <w:tabs>
          <w:tab w:val="left" w:pos="2160"/>
          <w:tab w:val="left" w:pos="2280"/>
        </w:tabs>
        <w:rPr>
          <w:rFonts w:eastAsia="Calibri" w:cs="Arial"/>
          <w:b/>
          <w:iCs/>
          <w:sz w:val="20"/>
          <w:szCs w:val="20"/>
        </w:rPr>
      </w:pPr>
      <w:r w:rsidRPr="00325348">
        <w:rPr>
          <w:rFonts w:eastAsia="Calibri" w:cs="Arial"/>
          <w:b/>
          <w:iCs/>
          <w:sz w:val="20"/>
          <w:szCs w:val="20"/>
        </w:rPr>
        <w:br w:type="page"/>
      </w:r>
    </w:p>
    <w:p w14:paraId="653C9D36" w14:textId="77777777" w:rsidR="00325348" w:rsidRPr="00325348" w:rsidRDefault="00325348" w:rsidP="00325348">
      <w:pPr>
        <w:tabs>
          <w:tab w:val="left" w:pos="2160"/>
          <w:tab w:val="left" w:pos="2280"/>
        </w:tabs>
        <w:rPr>
          <w:rFonts w:eastAsia="Calibri" w:cs="Arial"/>
          <w:iCs/>
          <w:sz w:val="20"/>
          <w:szCs w:val="20"/>
        </w:rPr>
      </w:pPr>
      <w:r w:rsidRPr="00325348">
        <w:rPr>
          <w:rFonts w:eastAsia="Calibri" w:cs="Arial"/>
          <w:b/>
          <w:iCs/>
          <w:sz w:val="20"/>
          <w:szCs w:val="20"/>
        </w:rPr>
        <w:lastRenderedPageBreak/>
        <w:t>Michael J. Schuler</w:t>
      </w:r>
      <w:r w:rsidRPr="00325348">
        <w:rPr>
          <w:rFonts w:eastAsia="Calibri" w:cs="Arial"/>
          <w:iCs/>
          <w:sz w:val="20"/>
          <w:szCs w:val="20"/>
        </w:rPr>
        <w:t xml:space="preserve"> (Reg. No. 0082390)</w:t>
      </w:r>
    </w:p>
    <w:p w14:paraId="6168047F" w14:textId="77777777" w:rsidR="00325348" w:rsidRPr="00325348" w:rsidRDefault="00325348" w:rsidP="00325348">
      <w:pPr>
        <w:tabs>
          <w:tab w:val="left" w:pos="2160"/>
          <w:tab w:val="left" w:pos="2280"/>
        </w:tabs>
        <w:rPr>
          <w:rFonts w:eastAsia="Calibri" w:cs="Arial"/>
          <w:b/>
          <w:iCs/>
          <w:sz w:val="20"/>
          <w:szCs w:val="20"/>
        </w:rPr>
      </w:pPr>
      <w:r w:rsidRPr="00325348">
        <w:rPr>
          <w:rFonts w:eastAsia="Calibri" w:cs="Arial"/>
          <w:b/>
          <w:iCs/>
          <w:sz w:val="20"/>
          <w:szCs w:val="20"/>
        </w:rPr>
        <w:t>Randall V. Griffin</w:t>
      </w:r>
    </w:p>
    <w:p w14:paraId="6E815AD8" w14:textId="77777777" w:rsidR="00325348" w:rsidRPr="00325348" w:rsidRDefault="00325348" w:rsidP="00325348">
      <w:pPr>
        <w:tabs>
          <w:tab w:val="left" w:pos="2160"/>
          <w:tab w:val="left" w:pos="2280"/>
        </w:tabs>
        <w:rPr>
          <w:rFonts w:eastAsia="Calibri" w:cs="Arial"/>
          <w:b/>
          <w:iCs/>
          <w:sz w:val="20"/>
          <w:szCs w:val="20"/>
        </w:rPr>
      </w:pPr>
      <w:r w:rsidRPr="00325348">
        <w:rPr>
          <w:rFonts w:eastAsia="Calibri" w:cs="Arial"/>
          <w:b/>
          <w:iCs/>
          <w:sz w:val="20"/>
          <w:szCs w:val="20"/>
        </w:rPr>
        <w:t>Judi L. Sobecki</w:t>
      </w:r>
    </w:p>
    <w:p w14:paraId="73870115" w14:textId="77777777" w:rsidR="00325348" w:rsidRPr="00325348" w:rsidRDefault="00325348" w:rsidP="00325348">
      <w:pPr>
        <w:tabs>
          <w:tab w:val="left" w:pos="2160"/>
          <w:tab w:val="left" w:pos="2280"/>
        </w:tabs>
        <w:rPr>
          <w:rFonts w:eastAsia="Calibri" w:cs="Arial"/>
          <w:iCs/>
          <w:sz w:val="20"/>
          <w:szCs w:val="20"/>
        </w:rPr>
      </w:pPr>
      <w:r w:rsidRPr="00325348">
        <w:rPr>
          <w:rFonts w:eastAsia="Calibri" w:cs="Arial"/>
          <w:iCs/>
          <w:sz w:val="20"/>
          <w:szCs w:val="20"/>
        </w:rPr>
        <w:t>The Dayton Power and Light Company</w:t>
      </w:r>
    </w:p>
    <w:p w14:paraId="1D418322" w14:textId="77777777" w:rsidR="00325348" w:rsidRPr="00325348" w:rsidRDefault="00325348" w:rsidP="00325348">
      <w:pPr>
        <w:tabs>
          <w:tab w:val="left" w:pos="2160"/>
          <w:tab w:val="left" w:pos="2280"/>
        </w:tabs>
        <w:rPr>
          <w:rFonts w:eastAsia="Calibri" w:cs="Arial"/>
          <w:iCs/>
          <w:sz w:val="20"/>
          <w:szCs w:val="20"/>
        </w:rPr>
      </w:pPr>
      <w:r w:rsidRPr="00325348">
        <w:rPr>
          <w:rFonts w:eastAsia="Calibri" w:cs="Arial"/>
          <w:iCs/>
          <w:sz w:val="20"/>
          <w:szCs w:val="20"/>
        </w:rPr>
        <w:t>1065 Woodman Drive</w:t>
      </w:r>
    </w:p>
    <w:p w14:paraId="7550769B" w14:textId="77777777" w:rsidR="00325348" w:rsidRPr="00325348" w:rsidRDefault="00325348" w:rsidP="00325348">
      <w:pPr>
        <w:tabs>
          <w:tab w:val="left" w:pos="2160"/>
          <w:tab w:val="left" w:pos="2280"/>
        </w:tabs>
        <w:rPr>
          <w:rFonts w:eastAsia="Calibri" w:cs="Arial"/>
          <w:iCs/>
          <w:sz w:val="20"/>
          <w:szCs w:val="20"/>
        </w:rPr>
      </w:pPr>
      <w:r w:rsidRPr="00325348">
        <w:rPr>
          <w:rFonts w:eastAsia="Calibri" w:cs="Arial"/>
          <w:iCs/>
          <w:sz w:val="20"/>
          <w:szCs w:val="20"/>
        </w:rPr>
        <w:t>Dayton, OH  45432</w:t>
      </w:r>
    </w:p>
    <w:p w14:paraId="2AE30E8C" w14:textId="77777777" w:rsidR="00325348" w:rsidRPr="00325348" w:rsidRDefault="00325348" w:rsidP="00325348">
      <w:pPr>
        <w:tabs>
          <w:tab w:val="left" w:pos="2160"/>
          <w:tab w:val="left" w:pos="2280"/>
        </w:tabs>
        <w:rPr>
          <w:rFonts w:eastAsia="Calibri" w:cs="Arial"/>
          <w:iCs/>
          <w:sz w:val="20"/>
          <w:szCs w:val="20"/>
        </w:rPr>
      </w:pPr>
      <w:r w:rsidRPr="00325348">
        <w:rPr>
          <w:rFonts w:eastAsia="Calibri" w:cs="Arial"/>
          <w:iCs/>
          <w:sz w:val="20"/>
          <w:szCs w:val="20"/>
        </w:rPr>
        <w:t>Telephone:  (937) 259-7358</w:t>
      </w:r>
    </w:p>
    <w:p w14:paraId="63B1DC9C" w14:textId="77777777" w:rsidR="00325348" w:rsidRPr="00325348" w:rsidRDefault="00325348" w:rsidP="00325348">
      <w:pPr>
        <w:tabs>
          <w:tab w:val="left" w:pos="2160"/>
          <w:tab w:val="left" w:pos="2280"/>
        </w:tabs>
        <w:rPr>
          <w:rFonts w:eastAsia="Calibri" w:cs="Arial"/>
          <w:iCs/>
          <w:sz w:val="20"/>
          <w:szCs w:val="20"/>
        </w:rPr>
      </w:pPr>
      <w:r w:rsidRPr="00325348">
        <w:rPr>
          <w:rFonts w:eastAsia="Calibri" w:cs="Arial"/>
          <w:iCs/>
          <w:sz w:val="20"/>
          <w:szCs w:val="20"/>
        </w:rPr>
        <w:t>Michael.schuler@aes.com</w:t>
      </w:r>
    </w:p>
    <w:p w14:paraId="39693F03" w14:textId="77777777" w:rsidR="00325348" w:rsidRPr="00325348" w:rsidRDefault="00325348" w:rsidP="00325348">
      <w:pPr>
        <w:tabs>
          <w:tab w:val="left" w:pos="2160"/>
          <w:tab w:val="left" w:pos="2280"/>
        </w:tabs>
        <w:rPr>
          <w:rFonts w:eastAsia="Calibri" w:cs="Arial"/>
          <w:iCs/>
          <w:sz w:val="20"/>
          <w:szCs w:val="20"/>
        </w:rPr>
      </w:pPr>
      <w:r w:rsidRPr="00325348">
        <w:rPr>
          <w:rFonts w:eastAsia="Calibri" w:cs="Arial"/>
          <w:iCs/>
          <w:sz w:val="20"/>
          <w:szCs w:val="20"/>
        </w:rPr>
        <w:t>Randall.griffin@dplinc.com</w:t>
      </w:r>
    </w:p>
    <w:p w14:paraId="15A336FA" w14:textId="77777777" w:rsidR="00325348" w:rsidRPr="00325348" w:rsidRDefault="00325348" w:rsidP="00325348">
      <w:pPr>
        <w:tabs>
          <w:tab w:val="left" w:pos="2160"/>
          <w:tab w:val="left" w:pos="2280"/>
        </w:tabs>
        <w:rPr>
          <w:rFonts w:eastAsia="Calibri" w:cs="Arial"/>
          <w:iCs/>
          <w:sz w:val="20"/>
          <w:szCs w:val="20"/>
        </w:rPr>
      </w:pPr>
      <w:r w:rsidRPr="00325348">
        <w:rPr>
          <w:rFonts w:eastAsia="Calibri" w:cs="Arial"/>
          <w:iCs/>
          <w:sz w:val="20"/>
          <w:szCs w:val="20"/>
        </w:rPr>
        <w:t>Judi.sobecki@dplinc.com</w:t>
      </w:r>
    </w:p>
    <w:p w14:paraId="3180C2FA" w14:textId="77777777" w:rsidR="00325348" w:rsidRPr="00325348" w:rsidRDefault="00325348" w:rsidP="00325348">
      <w:pPr>
        <w:tabs>
          <w:tab w:val="left" w:pos="2160"/>
          <w:tab w:val="left" w:pos="2280"/>
        </w:tabs>
        <w:rPr>
          <w:rFonts w:eastAsia="Calibri" w:cs="Arial"/>
          <w:iCs/>
          <w:sz w:val="20"/>
          <w:szCs w:val="20"/>
        </w:rPr>
      </w:pPr>
    </w:p>
    <w:p w14:paraId="33C4C677" w14:textId="77777777" w:rsidR="00325348" w:rsidRPr="00325348" w:rsidRDefault="00325348" w:rsidP="00325348">
      <w:pPr>
        <w:tabs>
          <w:tab w:val="left" w:pos="2160"/>
          <w:tab w:val="left" w:pos="2280"/>
        </w:tabs>
        <w:rPr>
          <w:rFonts w:ascii="Arial Bold" w:eastAsia="Calibri" w:hAnsi="Arial Bold" w:cs="Arial"/>
          <w:b/>
          <w:iCs/>
          <w:smallCaps/>
          <w:sz w:val="20"/>
          <w:szCs w:val="20"/>
        </w:rPr>
      </w:pPr>
      <w:r w:rsidRPr="00325348">
        <w:rPr>
          <w:rFonts w:ascii="Arial Bold" w:eastAsia="Calibri" w:hAnsi="Arial Bold" w:cs="Arial"/>
          <w:b/>
          <w:iCs/>
          <w:smallCaps/>
          <w:sz w:val="20"/>
          <w:szCs w:val="20"/>
        </w:rPr>
        <w:t>Counsel for The Dayton Power &amp; Light Company (DP&amp;L)</w:t>
      </w:r>
    </w:p>
    <w:p w14:paraId="1EFE8E50" w14:textId="77777777" w:rsidR="00325348" w:rsidRPr="00325348" w:rsidRDefault="00325348" w:rsidP="00325348">
      <w:pPr>
        <w:tabs>
          <w:tab w:val="left" w:pos="2160"/>
          <w:tab w:val="left" w:pos="2280"/>
        </w:tabs>
        <w:rPr>
          <w:rFonts w:ascii="Arial Bold" w:eastAsia="Calibri" w:hAnsi="Arial Bold" w:cs="Arial"/>
          <w:iCs/>
          <w:smallCaps/>
          <w:sz w:val="20"/>
          <w:szCs w:val="20"/>
        </w:rPr>
      </w:pPr>
    </w:p>
    <w:p w14:paraId="26A646B1" w14:textId="77777777" w:rsidR="00325348" w:rsidRPr="00325348" w:rsidRDefault="00325348" w:rsidP="00325348">
      <w:pPr>
        <w:tabs>
          <w:tab w:val="left" w:pos="2160"/>
          <w:tab w:val="left" w:pos="2280"/>
        </w:tabs>
        <w:rPr>
          <w:rFonts w:eastAsia="Times New Roman" w:cs="Arial"/>
          <w:sz w:val="20"/>
          <w:szCs w:val="20"/>
        </w:rPr>
      </w:pPr>
      <w:r w:rsidRPr="00325348">
        <w:rPr>
          <w:rFonts w:eastAsia="Times New Roman" w:cs="Arial"/>
          <w:b/>
          <w:sz w:val="20"/>
          <w:szCs w:val="20"/>
        </w:rPr>
        <w:t xml:space="preserve">Angela Paul Whitfield </w:t>
      </w:r>
      <w:r w:rsidRPr="00325348">
        <w:rPr>
          <w:rFonts w:eastAsia="Times New Roman" w:cs="Arial"/>
          <w:sz w:val="20"/>
          <w:szCs w:val="20"/>
        </w:rPr>
        <w:t>(Reg. No. 0068774)</w:t>
      </w:r>
    </w:p>
    <w:p w14:paraId="53F2AD8C" w14:textId="77777777" w:rsidR="00325348" w:rsidRPr="00325348" w:rsidRDefault="00325348" w:rsidP="00325348">
      <w:pPr>
        <w:tabs>
          <w:tab w:val="left" w:pos="2160"/>
          <w:tab w:val="left" w:pos="2280"/>
        </w:tabs>
        <w:rPr>
          <w:rFonts w:eastAsia="Times New Roman" w:cs="Arial"/>
          <w:sz w:val="20"/>
          <w:szCs w:val="20"/>
        </w:rPr>
      </w:pPr>
      <w:r w:rsidRPr="00325348">
        <w:rPr>
          <w:rFonts w:eastAsia="Times New Roman" w:cs="Arial"/>
          <w:b/>
          <w:sz w:val="20"/>
          <w:szCs w:val="20"/>
        </w:rPr>
        <w:t>Kimberly J. Bojko</w:t>
      </w:r>
      <w:r w:rsidRPr="00325348">
        <w:rPr>
          <w:rFonts w:eastAsia="Times New Roman" w:cs="Arial"/>
          <w:sz w:val="20"/>
          <w:szCs w:val="20"/>
        </w:rPr>
        <w:t xml:space="preserve"> (Reg. No. 0069402)</w:t>
      </w:r>
    </w:p>
    <w:p w14:paraId="1FF8A502" w14:textId="77777777" w:rsidR="00325348" w:rsidRPr="00325348" w:rsidRDefault="00325348" w:rsidP="00325348">
      <w:pPr>
        <w:tabs>
          <w:tab w:val="left" w:pos="2160"/>
          <w:tab w:val="left" w:pos="2280"/>
        </w:tabs>
        <w:rPr>
          <w:rFonts w:eastAsia="Times New Roman" w:cs="Arial"/>
          <w:sz w:val="20"/>
          <w:szCs w:val="20"/>
        </w:rPr>
      </w:pPr>
      <w:r w:rsidRPr="00325348">
        <w:rPr>
          <w:rFonts w:eastAsia="Times New Roman" w:cs="Arial"/>
          <w:sz w:val="20"/>
          <w:szCs w:val="20"/>
        </w:rPr>
        <w:t>Carpenter Lipps &amp; Leland LLP</w:t>
      </w:r>
    </w:p>
    <w:p w14:paraId="20DF0CB4" w14:textId="77777777" w:rsidR="00325348" w:rsidRPr="00325348" w:rsidRDefault="00325348" w:rsidP="00325348">
      <w:pPr>
        <w:tabs>
          <w:tab w:val="left" w:pos="2160"/>
          <w:tab w:val="left" w:pos="2280"/>
        </w:tabs>
        <w:rPr>
          <w:rFonts w:eastAsia="Times New Roman" w:cs="Arial"/>
          <w:sz w:val="20"/>
          <w:szCs w:val="20"/>
        </w:rPr>
      </w:pPr>
      <w:r w:rsidRPr="00325348">
        <w:rPr>
          <w:rFonts w:eastAsia="Times New Roman" w:cs="Arial"/>
          <w:sz w:val="20"/>
          <w:szCs w:val="20"/>
        </w:rPr>
        <w:t>280 North High Street, Suite 1300</w:t>
      </w:r>
    </w:p>
    <w:p w14:paraId="27F71A1A" w14:textId="77777777" w:rsidR="00325348" w:rsidRPr="00325348" w:rsidRDefault="00325348" w:rsidP="00325348">
      <w:pPr>
        <w:tabs>
          <w:tab w:val="left" w:pos="2160"/>
          <w:tab w:val="left" w:pos="2280"/>
        </w:tabs>
        <w:rPr>
          <w:rFonts w:eastAsia="Times New Roman" w:cs="Arial"/>
          <w:sz w:val="20"/>
          <w:szCs w:val="20"/>
        </w:rPr>
      </w:pPr>
      <w:r w:rsidRPr="00325348">
        <w:rPr>
          <w:rFonts w:eastAsia="Times New Roman" w:cs="Arial"/>
          <w:sz w:val="20"/>
          <w:szCs w:val="20"/>
        </w:rPr>
        <w:t>Columbus, OH  43215</w:t>
      </w:r>
    </w:p>
    <w:p w14:paraId="4DB12093" w14:textId="77777777" w:rsidR="00325348" w:rsidRPr="00325348" w:rsidRDefault="00325348" w:rsidP="00325348">
      <w:pPr>
        <w:autoSpaceDE w:val="0"/>
        <w:autoSpaceDN w:val="0"/>
        <w:adjustRightInd w:val="0"/>
        <w:rPr>
          <w:rFonts w:ascii="Arial Bold" w:eastAsia="Times New Roman" w:hAnsi="Arial Bold" w:cs="Arial"/>
          <w:sz w:val="20"/>
          <w:szCs w:val="20"/>
        </w:rPr>
      </w:pPr>
      <w:r w:rsidRPr="00325348">
        <w:rPr>
          <w:rFonts w:eastAsia="Times New Roman" w:cs="Arial"/>
          <w:sz w:val="20"/>
          <w:szCs w:val="20"/>
        </w:rPr>
        <w:t>paul@carpenterlipps.com</w:t>
      </w:r>
    </w:p>
    <w:p w14:paraId="1F3B8C09" w14:textId="77777777" w:rsidR="00325348" w:rsidRPr="00325348" w:rsidRDefault="00325348" w:rsidP="00325348">
      <w:pPr>
        <w:autoSpaceDE w:val="0"/>
        <w:autoSpaceDN w:val="0"/>
        <w:adjustRightInd w:val="0"/>
        <w:rPr>
          <w:rFonts w:eastAsia="Times New Roman" w:cs="Arial"/>
          <w:sz w:val="20"/>
          <w:szCs w:val="20"/>
        </w:rPr>
      </w:pPr>
      <w:r w:rsidRPr="00325348">
        <w:rPr>
          <w:rFonts w:eastAsia="Times New Roman" w:cs="Arial"/>
          <w:sz w:val="20"/>
          <w:szCs w:val="20"/>
        </w:rPr>
        <w:t>Bojko@carpenterlipps.com</w:t>
      </w:r>
    </w:p>
    <w:p w14:paraId="4A77E692" w14:textId="77777777" w:rsidR="00325348" w:rsidRPr="00325348" w:rsidRDefault="00325348" w:rsidP="00325348">
      <w:pPr>
        <w:autoSpaceDE w:val="0"/>
        <w:autoSpaceDN w:val="0"/>
        <w:adjustRightInd w:val="0"/>
        <w:rPr>
          <w:rFonts w:ascii="Arial Bold" w:eastAsia="Times New Roman" w:hAnsi="Arial Bold" w:cs="Arial"/>
          <w:b/>
          <w:smallCaps/>
          <w:sz w:val="20"/>
          <w:szCs w:val="20"/>
        </w:rPr>
      </w:pPr>
    </w:p>
    <w:p w14:paraId="74D55CCE" w14:textId="77777777" w:rsidR="00325348" w:rsidRPr="00325348" w:rsidRDefault="00325348" w:rsidP="00325348">
      <w:pPr>
        <w:autoSpaceDE w:val="0"/>
        <w:autoSpaceDN w:val="0"/>
        <w:adjustRightInd w:val="0"/>
        <w:rPr>
          <w:rFonts w:ascii="Arial Bold" w:eastAsia="Times New Roman" w:hAnsi="Arial Bold" w:cs="Arial"/>
          <w:b/>
          <w:smallCaps/>
          <w:sz w:val="20"/>
          <w:szCs w:val="20"/>
        </w:rPr>
      </w:pPr>
      <w:r w:rsidRPr="00325348">
        <w:rPr>
          <w:rFonts w:ascii="Arial Bold" w:eastAsia="Times New Roman" w:hAnsi="Arial Bold" w:cs="Arial"/>
          <w:b/>
          <w:smallCaps/>
          <w:sz w:val="20"/>
          <w:szCs w:val="20"/>
        </w:rPr>
        <w:t>Counsel for The Kroger Co.</w:t>
      </w:r>
    </w:p>
    <w:p w14:paraId="38564F03" w14:textId="77777777" w:rsidR="00325348" w:rsidRPr="00325348" w:rsidRDefault="00325348" w:rsidP="00325348">
      <w:pPr>
        <w:autoSpaceDE w:val="0"/>
        <w:autoSpaceDN w:val="0"/>
        <w:adjustRightInd w:val="0"/>
        <w:rPr>
          <w:rFonts w:ascii="Arial Bold" w:eastAsia="Times New Roman" w:hAnsi="Arial Bold" w:cs="Arial"/>
          <w:b/>
          <w:smallCaps/>
          <w:sz w:val="20"/>
          <w:szCs w:val="20"/>
        </w:rPr>
      </w:pPr>
    </w:p>
    <w:p w14:paraId="6221E973" w14:textId="77777777" w:rsidR="00325348" w:rsidRPr="00325348" w:rsidRDefault="00325348" w:rsidP="00325348">
      <w:pPr>
        <w:tabs>
          <w:tab w:val="left" w:pos="2160"/>
          <w:tab w:val="left" w:pos="2280"/>
        </w:tabs>
        <w:rPr>
          <w:rFonts w:eastAsia="Times New Roman" w:cs="Arial"/>
          <w:sz w:val="20"/>
          <w:szCs w:val="20"/>
        </w:rPr>
      </w:pPr>
      <w:r w:rsidRPr="00325348">
        <w:rPr>
          <w:rFonts w:eastAsia="Times New Roman" w:cs="Arial"/>
          <w:b/>
          <w:sz w:val="20"/>
          <w:szCs w:val="20"/>
        </w:rPr>
        <w:t>Colleen L. Mooney</w:t>
      </w:r>
    </w:p>
    <w:p w14:paraId="4A05C5EE" w14:textId="77777777" w:rsidR="00325348" w:rsidRPr="00325348" w:rsidRDefault="00325348" w:rsidP="00325348">
      <w:pPr>
        <w:tabs>
          <w:tab w:val="left" w:pos="2160"/>
          <w:tab w:val="left" w:pos="2280"/>
        </w:tabs>
        <w:rPr>
          <w:rFonts w:eastAsia="Times New Roman" w:cs="Arial"/>
          <w:sz w:val="20"/>
          <w:szCs w:val="20"/>
        </w:rPr>
      </w:pPr>
      <w:r w:rsidRPr="00325348">
        <w:rPr>
          <w:rFonts w:eastAsia="Times New Roman" w:cs="Arial"/>
          <w:sz w:val="20"/>
          <w:szCs w:val="20"/>
        </w:rPr>
        <w:t>Ohio Partners for Affordable Energy</w:t>
      </w:r>
    </w:p>
    <w:p w14:paraId="5A871D8A" w14:textId="77777777" w:rsidR="00325348" w:rsidRPr="00325348" w:rsidRDefault="00325348" w:rsidP="00325348">
      <w:pPr>
        <w:tabs>
          <w:tab w:val="left" w:pos="2160"/>
          <w:tab w:val="left" w:pos="2280"/>
        </w:tabs>
        <w:rPr>
          <w:rFonts w:eastAsia="Times New Roman" w:cs="Arial"/>
          <w:sz w:val="20"/>
          <w:szCs w:val="20"/>
        </w:rPr>
      </w:pPr>
      <w:r w:rsidRPr="00325348">
        <w:rPr>
          <w:rFonts w:eastAsia="Times New Roman" w:cs="Arial"/>
          <w:sz w:val="20"/>
          <w:szCs w:val="20"/>
        </w:rPr>
        <w:t>P.O. Box 12451</w:t>
      </w:r>
    </w:p>
    <w:p w14:paraId="0C852E6C" w14:textId="77777777" w:rsidR="00325348" w:rsidRPr="00325348" w:rsidRDefault="00325348" w:rsidP="00325348">
      <w:pPr>
        <w:tabs>
          <w:tab w:val="left" w:pos="2160"/>
          <w:tab w:val="left" w:pos="2280"/>
        </w:tabs>
        <w:rPr>
          <w:rFonts w:eastAsia="Times New Roman" w:cs="Arial"/>
          <w:sz w:val="20"/>
          <w:szCs w:val="20"/>
        </w:rPr>
      </w:pPr>
      <w:r w:rsidRPr="00325348">
        <w:rPr>
          <w:rFonts w:eastAsia="Times New Roman" w:cs="Arial"/>
          <w:sz w:val="20"/>
          <w:szCs w:val="20"/>
        </w:rPr>
        <w:t>Columbus, OH  43212-5739</w:t>
      </w:r>
    </w:p>
    <w:p w14:paraId="6C529F4D" w14:textId="77777777" w:rsidR="00325348" w:rsidRPr="00325348" w:rsidRDefault="00325348" w:rsidP="00325348">
      <w:pPr>
        <w:autoSpaceDE w:val="0"/>
        <w:autoSpaceDN w:val="0"/>
        <w:adjustRightInd w:val="0"/>
        <w:rPr>
          <w:rFonts w:ascii="Arial Bold" w:eastAsia="Times New Roman" w:hAnsi="Arial Bold" w:cs="Arial"/>
          <w:sz w:val="20"/>
          <w:szCs w:val="20"/>
        </w:rPr>
      </w:pPr>
      <w:r w:rsidRPr="00325348">
        <w:rPr>
          <w:rFonts w:eastAsia="Times New Roman" w:cs="Arial"/>
          <w:sz w:val="20"/>
          <w:szCs w:val="20"/>
        </w:rPr>
        <w:t>Cmooney@ohiopartners.org</w:t>
      </w:r>
    </w:p>
    <w:p w14:paraId="38B64469" w14:textId="77777777" w:rsidR="00325348" w:rsidRPr="00325348" w:rsidRDefault="00325348" w:rsidP="00325348">
      <w:pPr>
        <w:autoSpaceDE w:val="0"/>
        <w:autoSpaceDN w:val="0"/>
        <w:adjustRightInd w:val="0"/>
        <w:rPr>
          <w:rFonts w:ascii="Arial Bold" w:eastAsia="Times New Roman" w:hAnsi="Arial Bold" w:cs="Arial"/>
          <w:b/>
          <w:smallCaps/>
          <w:sz w:val="20"/>
          <w:szCs w:val="20"/>
        </w:rPr>
      </w:pPr>
    </w:p>
    <w:p w14:paraId="436B384D" w14:textId="77777777" w:rsidR="00325348" w:rsidRPr="00325348" w:rsidRDefault="00325348" w:rsidP="00325348">
      <w:pPr>
        <w:autoSpaceDE w:val="0"/>
        <w:autoSpaceDN w:val="0"/>
        <w:adjustRightInd w:val="0"/>
        <w:rPr>
          <w:rFonts w:ascii="Arial Bold" w:eastAsia="Times New Roman" w:hAnsi="Arial Bold" w:cs="Arial"/>
          <w:b/>
          <w:smallCaps/>
          <w:sz w:val="20"/>
          <w:szCs w:val="20"/>
        </w:rPr>
      </w:pPr>
      <w:r w:rsidRPr="00325348">
        <w:rPr>
          <w:rFonts w:ascii="Arial Bold" w:eastAsia="Times New Roman" w:hAnsi="Arial Bold" w:cs="Arial"/>
          <w:b/>
          <w:smallCaps/>
          <w:sz w:val="20"/>
          <w:szCs w:val="20"/>
        </w:rPr>
        <w:t>Counsel for Ohio Partners for Affordable Energy</w:t>
      </w:r>
    </w:p>
    <w:p w14:paraId="035BB8BE" w14:textId="77777777" w:rsidR="00325348" w:rsidRPr="00325348" w:rsidRDefault="00325348" w:rsidP="00325348">
      <w:pPr>
        <w:tabs>
          <w:tab w:val="left" w:pos="2160"/>
          <w:tab w:val="left" w:pos="2280"/>
        </w:tabs>
        <w:rPr>
          <w:rFonts w:eastAsia="Times New Roman" w:cs="Arial"/>
          <w:b/>
          <w:sz w:val="20"/>
          <w:szCs w:val="20"/>
        </w:rPr>
      </w:pPr>
    </w:p>
    <w:p w14:paraId="70CB1189" w14:textId="77777777" w:rsidR="00325348" w:rsidRDefault="00325348" w:rsidP="00325348">
      <w:pPr>
        <w:tabs>
          <w:tab w:val="left" w:pos="2160"/>
          <w:tab w:val="left" w:pos="2280"/>
        </w:tabs>
        <w:rPr>
          <w:rFonts w:cs="Arial"/>
          <w:b/>
          <w:sz w:val="20"/>
          <w:szCs w:val="20"/>
        </w:rPr>
      </w:pPr>
      <w:r>
        <w:rPr>
          <w:rFonts w:cs="Arial"/>
          <w:b/>
          <w:sz w:val="20"/>
          <w:szCs w:val="20"/>
        </w:rPr>
        <w:t>Thomas McNamee</w:t>
      </w:r>
    </w:p>
    <w:p w14:paraId="396C9DAB" w14:textId="77777777" w:rsidR="00325348" w:rsidRDefault="00325348" w:rsidP="00325348">
      <w:pPr>
        <w:tabs>
          <w:tab w:val="left" w:pos="2160"/>
          <w:tab w:val="left" w:pos="2280"/>
        </w:tabs>
        <w:rPr>
          <w:rFonts w:cs="Arial"/>
          <w:sz w:val="20"/>
          <w:szCs w:val="20"/>
        </w:rPr>
      </w:pPr>
      <w:r>
        <w:rPr>
          <w:rFonts w:cs="Arial"/>
          <w:sz w:val="20"/>
          <w:szCs w:val="20"/>
        </w:rPr>
        <w:t xml:space="preserve">Assistant Attorney General </w:t>
      </w:r>
    </w:p>
    <w:p w14:paraId="16E98E5A" w14:textId="77777777" w:rsidR="00325348" w:rsidRDefault="00325348" w:rsidP="00325348">
      <w:pPr>
        <w:tabs>
          <w:tab w:val="left" w:pos="2160"/>
          <w:tab w:val="left" w:pos="2280"/>
        </w:tabs>
        <w:rPr>
          <w:rFonts w:cs="Arial"/>
          <w:sz w:val="20"/>
          <w:szCs w:val="20"/>
        </w:rPr>
      </w:pPr>
      <w:r>
        <w:rPr>
          <w:rFonts w:cs="Arial"/>
          <w:sz w:val="20"/>
          <w:szCs w:val="20"/>
        </w:rPr>
        <w:t>Public Utilities Section</w:t>
      </w:r>
    </w:p>
    <w:p w14:paraId="1906D562" w14:textId="77777777" w:rsidR="00325348" w:rsidRDefault="00325348" w:rsidP="00325348">
      <w:pPr>
        <w:tabs>
          <w:tab w:val="left" w:pos="2160"/>
          <w:tab w:val="left" w:pos="2280"/>
        </w:tabs>
        <w:rPr>
          <w:rFonts w:cs="Arial"/>
          <w:sz w:val="20"/>
          <w:szCs w:val="20"/>
        </w:rPr>
      </w:pPr>
      <w:r>
        <w:rPr>
          <w:rFonts w:cs="Arial"/>
          <w:sz w:val="20"/>
          <w:szCs w:val="20"/>
        </w:rPr>
        <w:t xml:space="preserve">Office of the Ohio Attorney General </w:t>
      </w:r>
    </w:p>
    <w:p w14:paraId="3634DD67" w14:textId="77777777" w:rsidR="00325348" w:rsidRDefault="00325348" w:rsidP="00325348">
      <w:pPr>
        <w:tabs>
          <w:tab w:val="left" w:pos="2160"/>
          <w:tab w:val="left" w:pos="2280"/>
        </w:tabs>
        <w:rPr>
          <w:rFonts w:cs="Arial"/>
          <w:sz w:val="20"/>
          <w:szCs w:val="20"/>
        </w:rPr>
      </w:pPr>
      <w:r>
        <w:rPr>
          <w:rFonts w:cs="Arial"/>
          <w:sz w:val="20"/>
          <w:szCs w:val="20"/>
        </w:rPr>
        <w:t>30 East Broad Street, 16th Floor</w:t>
      </w:r>
    </w:p>
    <w:p w14:paraId="251E993A" w14:textId="77777777" w:rsidR="00325348" w:rsidRDefault="00325348" w:rsidP="00325348">
      <w:pPr>
        <w:tabs>
          <w:tab w:val="left" w:pos="2160"/>
          <w:tab w:val="left" w:pos="2280"/>
        </w:tabs>
        <w:rPr>
          <w:rFonts w:cs="Arial"/>
          <w:sz w:val="20"/>
          <w:szCs w:val="20"/>
        </w:rPr>
      </w:pPr>
      <w:r>
        <w:rPr>
          <w:rFonts w:cs="Arial"/>
          <w:sz w:val="20"/>
          <w:szCs w:val="20"/>
        </w:rPr>
        <w:t>Columbus, OH 43215-3793</w:t>
      </w:r>
    </w:p>
    <w:p w14:paraId="21E913A0" w14:textId="77777777" w:rsidR="00325348" w:rsidRDefault="00325348" w:rsidP="00325348">
      <w:pPr>
        <w:autoSpaceDE w:val="0"/>
        <w:autoSpaceDN w:val="0"/>
        <w:adjustRightInd w:val="0"/>
        <w:rPr>
          <w:rFonts w:ascii="Arial Bold" w:hAnsi="Arial Bold" w:cs="Arial"/>
          <w:b/>
          <w:smallCaps/>
          <w:sz w:val="20"/>
          <w:szCs w:val="20"/>
        </w:rPr>
      </w:pPr>
      <w:r>
        <w:rPr>
          <w:rFonts w:cs="Arial"/>
          <w:sz w:val="20"/>
          <w:szCs w:val="20"/>
        </w:rPr>
        <w:t>thomas.mcnamee@ohioattorneygeneral.gov</w:t>
      </w:r>
    </w:p>
    <w:p w14:paraId="05A29488" w14:textId="77777777" w:rsidR="00325348" w:rsidRDefault="00325348" w:rsidP="00325348">
      <w:pPr>
        <w:autoSpaceDE w:val="0"/>
        <w:autoSpaceDN w:val="0"/>
        <w:adjustRightInd w:val="0"/>
        <w:rPr>
          <w:rFonts w:ascii="Arial Bold" w:hAnsi="Arial Bold" w:cs="Arial"/>
          <w:b/>
          <w:smallCaps/>
          <w:sz w:val="20"/>
          <w:szCs w:val="20"/>
        </w:rPr>
      </w:pPr>
    </w:p>
    <w:p w14:paraId="4928C9BF" w14:textId="77777777" w:rsidR="00325348" w:rsidRDefault="00325348" w:rsidP="00325348">
      <w:pPr>
        <w:autoSpaceDE w:val="0"/>
        <w:autoSpaceDN w:val="0"/>
        <w:adjustRightInd w:val="0"/>
        <w:rPr>
          <w:rFonts w:ascii="Arial Bold" w:hAnsi="Arial Bold" w:cs="Arial"/>
          <w:b/>
          <w:smallCaps/>
          <w:sz w:val="20"/>
          <w:szCs w:val="20"/>
        </w:rPr>
      </w:pPr>
      <w:r>
        <w:rPr>
          <w:rFonts w:ascii="Arial Bold" w:hAnsi="Arial Bold" w:cs="Arial"/>
          <w:b/>
          <w:smallCaps/>
          <w:sz w:val="20"/>
          <w:szCs w:val="20"/>
        </w:rPr>
        <w:t>Counsel for the Staff of the Public Utilities Commission of Ohio</w:t>
      </w:r>
    </w:p>
    <w:p w14:paraId="3CD081E6" w14:textId="77777777" w:rsidR="00325348" w:rsidRDefault="00325348" w:rsidP="00325348">
      <w:pPr>
        <w:autoSpaceDE w:val="0"/>
        <w:autoSpaceDN w:val="0"/>
        <w:adjustRightInd w:val="0"/>
        <w:rPr>
          <w:rFonts w:ascii="Arial Bold" w:hAnsi="Arial Bold" w:cs="Arial"/>
          <w:b/>
          <w:smallCaps/>
          <w:sz w:val="20"/>
          <w:szCs w:val="20"/>
        </w:rPr>
      </w:pPr>
    </w:p>
    <w:p w14:paraId="26142268" w14:textId="77777777" w:rsidR="00325348" w:rsidRDefault="00325348" w:rsidP="00325348">
      <w:pPr>
        <w:autoSpaceDE w:val="0"/>
        <w:autoSpaceDN w:val="0"/>
        <w:adjustRightInd w:val="0"/>
        <w:rPr>
          <w:rFonts w:cs="Arial"/>
          <w:b/>
          <w:sz w:val="20"/>
          <w:szCs w:val="20"/>
        </w:rPr>
      </w:pPr>
      <w:r>
        <w:rPr>
          <w:rFonts w:cs="Arial"/>
          <w:b/>
          <w:sz w:val="20"/>
          <w:szCs w:val="20"/>
        </w:rPr>
        <w:t>Greta See</w:t>
      </w:r>
    </w:p>
    <w:p w14:paraId="6D78BF0E" w14:textId="77777777" w:rsidR="00325348" w:rsidRDefault="00325348" w:rsidP="00325348">
      <w:pPr>
        <w:autoSpaceDE w:val="0"/>
        <w:autoSpaceDN w:val="0"/>
        <w:adjustRightInd w:val="0"/>
        <w:rPr>
          <w:rFonts w:cs="Arial"/>
          <w:sz w:val="20"/>
          <w:szCs w:val="20"/>
        </w:rPr>
      </w:pPr>
      <w:r>
        <w:rPr>
          <w:rFonts w:cs="Arial"/>
          <w:sz w:val="20"/>
          <w:szCs w:val="20"/>
        </w:rPr>
        <w:t>Attorney Examiner</w:t>
      </w:r>
    </w:p>
    <w:p w14:paraId="4C465CAB" w14:textId="77777777" w:rsidR="00325348" w:rsidRDefault="00325348" w:rsidP="00325348">
      <w:pPr>
        <w:autoSpaceDE w:val="0"/>
        <w:autoSpaceDN w:val="0"/>
        <w:adjustRightInd w:val="0"/>
        <w:rPr>
          <w:rFonts w:cs="Arial"/>
          <w:sz w:val="20"/>
          <w:szCs w:val="20"/>
        </w:rPr>
      </w:pPr>
      <w:r>
        <w:rPr>
          <w:rFonts w:cs="Arial"/>
          <w:sz w:val="20"/>
          <w:szCs w:val="20"/>
        </w:rPr>
        <w:t>Public Utilities Commission of Ohio</w:t>
      </w:r>
    </w:p>
    <w:p w14:paraId="425DEB35" w14:textId="77777777" w:rsidR="00325348" w:rsidRDefault="00325348" w:rsidP="00325348">
      <w:pPr>
        <w:autoSpaceDE w:val="0"/>
        <w:autoSpaceDN w:val="0"/>
        <w:adjustRightInd w:val="0"/>
        <w:rPr>
          <w:rFonts w:cs="Arial"/>
          <w:sz w:val="20"/>
          <w:szCs w:val="20"/>
        </w:rPr>
      </w:pPr>
      <w:r>
        <w:rPr>
          <w:rFonts w:cs="Arial"/>
          <w:sz w:val="20"/>
          <w:szCs w:val="20"/>
        </w:rPr>
        <w:t>Legal Department</w:t>
      </w:r>
    </w:p>
    <w:p w14:paraId="281516FD" w14:textId="77777777" w:rsidR="00325348" w:rsidRDefault="00325348" w:rsidP="00325348">
      <w:pPr>
        <w:autoSpaceDE w:val="0"/>
        <w:autoSpaceDN w:val="0"/>
        <w:adjustRightInd w:val="0"/>
        <w:rPr>
          <w:rFonts w:cs="Arial"/>
          <w:sz w:val="20"/>
          <w:szCs w:val="20"/>
        </w:rPr>
      </w:pPr>
      <w:r>
        <w:rPr>
          <w:rFonts w:cs="Arial"/>
          <w:sz w:val="20"/>
          <w:szCs w:val="20"/>
        </w:rPr>
        <w:t>180 East Broad Street,12</w:t>
      </w:r>
      <w:r>
        <w:rPr>
          <w:rFonts w:cs="Arial"/>
          <w:sz w:val="20"/>
          <w:szCs w:val="20"/>
          <w:vertAlign w:val="superscript"/>
        </w:rPr>
        <w:t>th</w:t>
      </w:r>
      <w:r>
        <w:rPr>
          <w:rFonts w:cs="Arial"/>
          <w:sz w:val="20"/>
          <w:szCs w:val="20"/>
        </w:rPr>
        <w:t xml:space="preserve"> Floor</w:t>
      </w:r>
    </w:p>
    <w:p w14:paraId="4C1FAD5E" w14:textId="77777777" w:rsidR="00325348" w:rsidRDefault="00325348" w:rsidP="00325348">
      <w:pPr>
        <w:autoSpaceDE w:val="0"/>
        <w:autoSpaceDN w:val="0"/>
        <w:adjustRightInd w:val="0"/>
        <w:rPr>
          <w:rFonts w:cs="Arial"/>
          <w:sz w:val="20"/>
          <w:szCs w:val="20"/>
        </w:rPr>
      </w:pPr>
      <w:r>
        <w:rPr>
          <w:rFonts w:cs="Arial"/>
          <w:sz w:val="20"/>
          <w:szCs w:val="20"/>
        </w:rPr>
        <w:t>Columbus, OH  43215</w:t>
      </w:r>
    </w:p>
    <w:p w14:paraId="764AD798" w14:textId="77777777" w:rsidR="00325348" w:rsidRDefault="00325348" w:rsidP="00325348">
      <w:pPr>
        <w:autoSpaceDE w:val="0"/>
        <w:autoSpaceDN w:val="0"/>
        <w:adjustRightInd w:val="0"/>
        <w:rPr>
          <w:rFonts w:cs="Arial"/>
          <w:sz w:val="20"/>
          <w:szCs w:val="20"/>
        </w:rPr>
      </w:pPr>
      <w:r>
        <w:rPr>
          <w:rFonts w:cs="Arial"/>
          <w:sz w:val="20"/>
          <w:szCs w:val="20"/>
        </w:rPr>
        <w:t>Greta.See@puc.state.oh.us</w:t>
      </w:r>
    </w:p>
    <w:p w14:paraId="303DEA5D" w14:textId="77777777" w:rsidR="00325348" w:rsidRDefault="00325348" w:rsidP="00325348">
      <w:pPr>
        <w:autoSpaceDE w:val="0"/>
        <w:autoSpaceDN w:val="0"/>
        <w:adjustRightInd w:val="0"/>
        <w:rPr>
          <w:rFonts w:cs="Arial"/>
          <w:sz w:val="20"/>
          <w:szCs w:val="20"/>
        </w:rPr>
      </w:pPr>
    </w:p>
    <w:p w14:paraId="5254CD46" w14:textId="77777777" w:rsidR="00325348" w:rsidRDefault="00325348" w:rsidP="00325348">
      <w:pPr>
        <w:autoSpaceDE w:val="0"/>
        <w:autoSpaceDN w:val="0"/>
        <w:adjustRightInd w:val="0"/>
        <w:rPr>
          <w:rFonts w:ascii="Arial Bold" w:hAnsi="Arial Bold" w:cs="Arial"/>
          <w:b/>
          <w:smallCaps/>
          <w:sz w:val="20"/>
          <w:szCs w:val="20"/>
        </w:rPr>
      </w:pPr>
      <w:r>
        <w:rPr>
          <w:rFonts w:ascii="Arial Bold" w:hAnsi="Arial Bold" w:cs="Arial"/>
          <w:b/>
          <w:smallCaps/>
          <w:sz w:val="20"/>
          <w:szCs w:val="20"/>
        </w:rPr>
        <w:t>Attorney Examiner</w:t>
      </w:r>
    </w:p>
    <w:p w14:paraId="1A53C7F4" w14:textId="77777777" w:rsidR="005E778D" w:rsidRPr="006F2748" w:rsidRDefault="005E778D" w:rsidP="00325348">
      <w:pPr>
        <w:tabs>
          <w:tab w:val="left" w:pos="2160"/>
          <w:tab w:val="left" w:pos="2280"/>
        </w:tabs>
      </w:pPr>
    </w:p>
    <w:sectPr w:rsidR="005E778D" w:rsidRPr="006F2748" w:rsidSect="00325348">
      <w:headerReference w:type="default" r:id="rId24"/>
      <w:footerReference w:type="default" r:id="rId25"/>
      <w:headerReference w:type="first" r:id="rId26"/>
      <w:footerReference w:type="first" r:id="rId27"/>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4D0EC" w14:textId="77777777" w:rsidR="00BA295E" w:rsidRDefault="00BA295E" w:rsidP="00E913AB">
      <w:r>
        <w:separator/>
      </w:r>
    </w:p>
  </w:endnote>
  <w:endnote w:type="continuationSeparator" w:id="0">
    <w:p w14:paraId="47624520" w14:textId="77777777" w:rsidR="00BA295E" w:rsidRDefault="00BA295E" w:rsidP="00E9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52524" w14:textId="2A352B99" w:rsidR="00BA295E" w:rsidRDefault="00BA295E">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3A631C">
      <w:rPr>
        <w:rStyle w:val="PageNumber"/>
        <w:noProof/>
      </w:rPr>
      <w:t>1</w:t>
    </w:r>
    <w:r>
      <w:rPr>
        <w:rStyle w:val="PageNumber"/>
      </w:rPr>
      <w:fldChar w:fldCharType="end"/>
    </w:r>
  </w:p>
  <w:p w14:paraId="6A0ECB90" w14:textId="77777777" w:rsidR="00BA295E" w:rsidRDefault="00BA295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E29D" w14:textId="199B8E79" w:rsidR="00BA295E" w:rsidRPr="003A631C" w:rsidRDefault="00537310" w:rsidP="003A631C">
    <w:pPr>
      <w:pStyle w:val="Footer"/>
    </w:pPr>
    <w:r w:rsidRPr="00537310">
      <w:rPr>
        <w:noProof/>
        <w:vanish/>
        <w:sz w:val="16"/>
      </w:rPr>
      <w:t>{</w:t>
    </w:r>
    <w:r w:rsidRPr="00537310">
      <w:rPr>
        <w:noProof/>
        <w:sz w:val="16"/>
      </w:rPr>
      <w:t>C0106409:3</w:t>
    </w:r>
    <w:r w:rsidRPr="00537310">
      <w:rPr>
        <w:noProof/>
        <w:vanish/>
        <w:sz w:val="16"/>
      </w:rPr>
      <w:t>}</w:t>
    </w:r>
    <w:r w:rsidR="003A631C">
      <w:rPr>
        <w:noProof/>
        <w:sz w:val="16"/>
      </w:rPr>
      <w:tab/>
    </w:r>
    <w:r w:rsidR="00D008F9" w:rsidRPr="003A631C">
      <w:rPr>
        <w:noProof/>
        <w:sz w:val="16"/>
      </w:rPr>
      <w:t>C0106409:3</w:t>
    </w:r>
    <w:r w:rsidR="00BA295E" w:rsidRPr="003A631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0CD0A" w14:textId="50068A41" w:rsidR="00BA295E" w:rsidRPr="003A631C" w:rsidRDefault="00537310" w:rsidP="003A631C">
    <w:pPr>
      <w:pStyle w:val="Footer"/>
      <w:framePr w:wrap="around" w:vAnchor="text" w:hAnchor="margin" w:xAlign="center" w:y="1"/>
      <w:rPr>
        <w:rStyle w:val="PageNumber"/>
        <w:noProof/>
      </w:rPr>
    </w:pPr>
    <w:r w:rsidRPr="00537310">
      <w:rPr>
        <w:rStyle w:val="PageNumber"/>
        <w:noProof/>
        <w:vanish/>
        <w:sz w:val="16"/>
      </w:rPr>
      <w:t>{</w:t>
    </w:r>
    <w:r w:rsidRPr="00537310">
      <w:rPr>
        <w:rStyle w:val="PageNumber"/>
        <w:noProof/>
        <w:sz w:val="16"/>
      </w:rPr>
      <w:t>C0106409:3</w:t>
    </w:r>
    <w:r w:rsidRPr="00537310">
      <w:rPr>
        <w:rStyle w:val="PageNumber"/>
        <w:noProof/>
        <w:vanish/>
        <w:sz w:val="16"/>
      </w:rPr>
      <w:t>}</w:t>
    </w:r>
    <w:r w:rsidR="003A631C">
      <w:rPr>
        <w:rStyle w:val="PageNumber"/>
        <w:noProof/>
      </w:rPr>
      <w:tab/>
    </w:r>
    <w:r w:rsidR="00BA295E" w:rsidRPr="003A631C">
      <w:rPr>
        <w:rStyle w:val="PageNumber"/>
        <w:noProof/>
      </w:rPr>
      <w:fldChar w:fldCharType="begin"/>
    </w:r>
    <w:r w:rsidR="00BA295E" w:rsidRPr="003A631C">
      <w:rPr>
        <w:rStyle w:val="PageNumber"/>
        <w:noProof/>
      </w:rPr>
      <w:instrText xml:space="preserve">PAGE  </w:instrText>
    </w:r>
    <w:r w:rsidR="00BA295E" w:rsidRPr="003A631C">
      <w:rPr>
        <w:rStyle w:val="PageNumber"/>
        <w:noProof/>
      </w:rPr>
      <w:fldChar w:fldCharType="separate"/>
    </w:r>
    <w:r w:rsidR="00B6509C">
      <w:rPr>
        <w:rStyle w:val="PageNumber"/>
        <w:noProof/>
      </w:rPr>
      <w:t>2</w:t>
    </w:r>
    <w:r w:rsidR="00BA295E" w:rsidRPr="003A631C">
      <w:rPr>
        <w:rStyle w:val="PageNumber"/>
        <w:noProof/>
      </w:rPr>
      <w:fldChar w:fldCharType="end"/>
    </w:r>
  </w:p>
  <w:p w14:paraId="2596DE03" w14:textId="71F0C785" w:rsidR="00BA295E" w:rsidRPr="003A631C" w:rsidRDefault="00D008F9">
    <w:pPr>
      <w:pStyle w:val="Footer"/>
      <w:rPr>
        <w:rFonts w:cs="Arial"/>
      </w:rPr>
    </w:pPr>
    <w:r w:rsidRPr="003A631C">
      <w:rPr>
        <w:rFonts w:cs="Arial"/>
        <w:sz w:val="16"/>
      </w:rPr>
      <w:t>C0106409:3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66175" w14:textId="03E1B50D" w:rsidR="00BA295E" w:rsidRPr="003A631C" w:rsidRDefault="00537310" w:rsidP="003A631C">
    <w:pPr>
      <w:pStyle w:val="Footer"/>
      <w:rPr>
        <w:rFonts w:cs="Arial"/>
      </w:rPr>
    </w:pPr>
    <w:r w:rsidRPr="00537310">
      <w:rPr>
        <w:rFonts w:cs="Arial"/>
        <w:noProof/>
        <w:vanish/>
        <w:sz w:val="16"/>
      </w:rPr>
      <w:t>{</w:t>
    </w:r>
    <w:r w:rsidRPr="00537310">
      <w:rPr>
        <w:rFonts w:cs="Arial"/>
        <w:noProof/>
        <w:sz w:val="16"/>
      </w:rPr>
      <w:t>C0106409:3</w:t>
    </w:r>
    <w:r w:rsidRPr="00537310">
      <w:rPr>
        <w:rFonts w:cs="Arial"/>
        <w:noProof/>
        <w:vanish/>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378CA" w14:textId="6BB9AF01" w:rsidR="00BA295E" w:rsidRPr="00FC4B6C" w:rsidRDefault="00537310" w:rsidP="00FC4B6C">
    <w:pPr>
      <w:pStyle w:val="Footer"/>
      <w:rPr>
        <w:rFonts w:cs="Arial"/>
      </w:rPr>
    </w:pPr>
    <w:r w:rsidRPr="00537310">
      <w:rPr>
        <w:rFonts w:cs="Arial"/>
        <w:noProof/>
        <w:vanish/>
        <w:sz w:val="16"/>
      </w:rPr>
      <w:t>{</w:t>
    </w:r>
    <w:r w:rsidRPr="00537310">
      <w:rPr>
        <w:rFonts w:cs="Arial"/>
        <w:noProof/>
        <w:sz w:val="16"/>
      </w:rPr>
      <w:t>C0106409:3</w:t>
    </w:r>
    <w:r w:rsidRPr="00537310">
      <w:rPr>
        <w:rFonts w:cs="Arial"/>
        <w:noProof/>
        <w:vanish/>
        <w:sz w:val="16"/>
      </w:rPr>
      <w:t>}</w:t>
    </w:r>
    <w:r w:rsidR="00FC4B6C" w:rsidRPr="00FC4B6C">
      <w:rPr>
        <w:rFonts w:cs="Arial"/>
        <w:sz w:val="16"/>
      </w:rPr>
      <w:tab/>
    </w:r>
    <w:r w:rsidR="00FC4B6C" w:rsidRPr="00FC4B6C">
      <w:rPr>
        <w:rFonts w:cs="Arial"/>
        <w:sz w:val="22"/>
        <w:szCs w:val="22"/>
      </w:rPr>
      <w:fldChar w:fldCharType="begin"/>
    </w:r>
    <w:r w:rsidR="00FC4B6C" w:rsidRPr="00FC4B6C">
      <w:rPr>
        <w:rFonts w:cs="Arial"/>
        <w:sz w:val="22"/>
        <w:szCs w:val="22"/>
      </w:rPr>
      <w:instrText xml:space="preserve"> PAGE   \* MERGEFORMAT </w:instrText>
    </w:r>
    <w:r w:rsidR="00FC4B6C" w:rsidRPr="00FC4B6C">
      <w:rPr>
        <w:rFonts w:cs="Arial"/>
        <w:sz w:val="22"/>
        <w:szCs w:val="22"/>
      </w:rPr>
      <w:fldChar w:fldCharType="separate"/>
    </w:r>
    <w:r w:rsidR="004A0C32">
      <w:rPr>
        <w:rFonts w:cs="Arial"/>
        <w:noProof/>
        <w:sz w:val="22"/>
        <w:szCs w:val="22"/>
      </w:rPr>
      <w:t>3</w:t>
    </w:r>
    <w:r w:rsidR="00FC4B6C" w:rsidRPr="00FC4B6C">
      <w:rPr>
        <w:rFonts w:cs="Arial"/>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62F0C" w14:textId="26CE1FCC" w:rsidR="00BA295E" w:rsidRPr="003A631C" w:rsidRDefault="00537310" w:rsidP="003A631C">
    <w:pPr>
      <w:pStyle w:val="Footer"/>
      <w:rPr>
        <w:rFonts w:cs="Arial"/>
      </w:rPr>
    </w:pPr>
    <w:r w:rsidRPr="00537310">
      <w:rPr>
        <w:rFonts w:cs="Arial"/>
        <w:noProof/>
        <w:vanish/>
        <w:sz w:val="16"/>
      </w:rPr>
      <w:t>{</w:t>
    </w:r>
    <w:r w:rsidRPr="00537310">
      <w:rPr>
        <w:rFonts w:cs="Arial"/>
        <w:noProof/>
        <w:sz w:val="16"/>
      </w:rPr>
      <w:t>C0106409:3</w:t>
    </w:r>
    <w:r w:rsidRPr="00537310">
      <w:rPr>
        <w:rFonts w:cs="Arial"/>
        <w:noProof/>
        <w:vanish/>
        <w:sz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03692" w14:textId="77777777" w:rsidR="00BA295E" w:rsidRDefault="00BA295E">
    <w:pPr>
      <w:pStyle w:val="Footer"/>
    </w:pPr>
  </w:p>
  <w:p w14:paraId="030A658C" w14:textId="77777777" w:rsidR="00BA295E" w:rsidRDefault="00BA295E"/>
  <w:p w14:paraId="40E64B8E" w14:textId="77777777" w:rsidR="00BA295E" w:rsidRDefault="00BA295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4C943" w14:textId="02B3C959" w:rsidR="00BA295E" w:rsidRPr="003A631C" w:rsidRDefault="00537310" w:rsidP="003A631C">
    <w:pPr>
      <w:pStyle w:val="Footer"/>
    </w:pPr>
    <w:r w:rsidRPr="00537310">
      <w:rPr>
        <w:noProof/>
        <w:vanish/>
        <w:sz w:val="16"/>
      </w:rPr>
      <w:t>{</w:t>
    </w:r>
    <w:r w:rsidRPr="00537310">
      <w:rPr>
        <w:noProof/>
        <w:sz w:val="16"/>
      </w:rPr>
      <w:t>C0106409:3</w:t>
    </w:r>
    <w:r w:rsidRPr="00537310">
      <w:rPr>
        <w:noProof/>
        <w:vanish/>
        <w:sz w:val="16"/>
      </w:rPr>
      <w:t>}</w:t>
    </w:r>
    <w:r w:rsidR="003A631C">
      <w:rPr>
        <w:noProof/>
        <w:sz w:val="16"/>
      </w:rPr>
      <w:tab/>
    </w:r>
    <w:r w:rsidR="00D008F9" w:rsidRPr="003A631C">
      <w:rPr>
        <w:noProof/>
        <w:sz w:val="16"/>
      </w:rPr>
      <w:t>C0106409:3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8BF0A" w14:textId="774B7EE6" w:rsidR="00BA295E" w:rsidRPr="003A631C" w:rsidRDefault="00537310" w:rsidP="003A631C">
    <w:pPr>
      <w:pStyle w:val="Footer"/>
    </w:pPr>
    <w:r w:rsidRPr="00537310">
      <w:rPr>
        <w:noProof/>
        <w:vanish/>
        <w:sz w:val="16"/>
      </w:rPr>
      <w:t>{</w:t>
    </w:r>
    <w:r w:rsidRPr="00537310">
      <w:rPr>
        <w:noProof/>
        <w:sz w:val="16"/>
      </w:rPr>
      <w:t>C0106409:3</w:t>
    </w:r>
    <w:r w:rsidRPr="00537310">
      <w:rPr>
        <w:noProof/>
        <w:vanish/>
        <w:sz w:val="16"/>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46CD3" w14:textId="0A789E9A" w:rsidR="00BA295E" w:rsidRPr="003A631C" w:rsidRDefault="00537310" w:rsidP="003A631C">
    <w:pPr>
      <w:pStyle w:val="Footer"/>
    </w:pPr>
    <w:r w:rsidRPr="00537310">
      <w:rPr>
        <w:noProof/>
        <w:vanish/>
        <w:sz w:val="16"/>
      </w:rPr>
      <w:t>{</w:t>
    </w:r>
    <w:r w:rsidRPr="00537310">
      <w:rPr>
        <w:noProof/>
        <w:sz w:val="16"/>
      </w:rPr>
      <w:t>C0106409:3</w:t>
    </w:r>
    <w:r w:rsidRPr="00537310">
      <w:rPr>
        <w:noProof/>
        <w:vanish/>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6E67B" w14:textId="77777777" w:rsidR="00BA295E" w:rsidRDefault="00BA295E" w:rsidP="00E913AB">
      <w:pPr>
        <w:rPr>
          <w:noProof/>
        </w:rPr>
      </w:pPr>
      <w:r>
        <w:rPr>
          <w:noProof/>
        </w:rPr>
        <w:separator/>
      </w:r>
    </w:p>
  </w:footnote>
  <w:footnote w:type="continuationSeparator" w:id="0">
    <w:p w14:paraId="474EECF2" w14:textId="77777777" w:rsidR="00BA295E" w:rsidRDefault="00BA295E" w:rsidP="00E913AB">
      <w:r>
        <w:continuationSeparator/>
      </w:r>
    </w:p>
  </w:footnote>
  <w:footnote w:id="1">
    <w:p w14:paraId="66906468" w14:textId="2EC26E19" w:rsidR="00BA295E" w:rsidRDefault="00BA295E" w:rsidP="002E6E53">
      <w:pPr>
        <w:pStyle w:val="FootnoteText"/>
        <w:spacing w:after="120"/>
        <w:jc w:val="both"/>
      </w:pPr>
      <w:r>
        <w:rPr>
          <w:rStyle w:val="FootnoteReference"/>
        </w:rPr>
        <w:footnoteRef/>
      </w:r>
      <w:r>
        <w:t xml:space="preserve"> Opinion and Order at 26 (Oct. 11, 2017).</w:t>
      </w:r>
      <w:r w:rsidRPr="000B29A0">
        <w:t xml:space="preserve"> </w:t>
      </w:r>
      <w:r>
        <w:t xml:space="preserve">The third ground for rejecting OPAE’s challenge of the rate design also formed a part of the Commission’s previous denial of OPAE’s challenge to the two-step declining block rate design in the 2015 USF case.  </w:t>
      </w:r>
      <w:r w:rsidRPr="009B586C">
        <w:rPr>
          <w:i/>
        </w:rPr>
        <w:t>Id</w:t>
      </w:r>
      <w:r>
        <w:t>.,</w:t>
      </w:r>
      <w:r w:rsidRPr="000B29A0">
        <w:t xml:space="preserve"> </w:t>
      </w:r>
      <w:r>
        <w:rPr>
          <w:i/>
        </w:rPr>
        <w:t>citing In re ODSA</w:t>
      </w:r>
      <w:r>
        <w:t>, Case No. 15-1046-EL-USF, Opinion and Order at 21 (Oct. 28, 2015).</w:t>
      </w:r>
    </w:p>
  </w:footnote>
  <w:footnote w:id="2">
    <w:p w14:paraId="6BA98AF9" w14:textId="77777777" w:rsidR="00BA295E" w:rsidRDefault="00BA295E" w:rsidP="00DB1482">
      <w:pPr>
        <w:pStyle w:val="FootnoteText"/>
        <w:spacing w:after="120"/>
      </w:pPr>
      <w:r>
        <w:rPr>
          <w:rStyle w:val="FootnoteReference"/>
        </w:rPr>
        <w:footnoteRef/>
      </w:r>
      <w:r>
        <w:t xml:space="preserve"> ODSA Ex. 2 at 4. </w:t>
      </w:r>
    </w:p>
  </w:footnote>
  <w:footnote w:id="3">
    <w:p w14:paraId="62455EF4" w14:textId="5B585946" w:rsidR="00BA295E" w:rsidRDefault="00BA295E" w:rsidP="00DB1482">
      <w:pPr>
        <w:pStyle w:val="FootnoteText"/>
        <w:spacing w:after="120"/>
        <w:jc w:val="both"/>
      </w:pPr>
      <w:r>
        <w:rPr>
          <w:rStyle w:val="FootnoteReference"/>
        </w:rPr>
        <w:footnoteRef/>
      </w:r>
      <w:r>
        <w:t xml:space="preserve"> ODSA Ex. 2 at 4.  The statement Ms. Meadows testified to, that the two-step declining block rate design methodology provides a reasonable contribution by all customer classes to the USF revenue requirement, is the same recommended finding presented to the Commission in prior USF proceedings in which the Commission previously determined that the two-step declining block rate design methodology satisfied R.C. 4928.52(C). </w:t>
      </w:r>
      <w:r w:rsidR="009B586C">
        <w:t xml:space="preserve"> </w:t>
      </w:r>
      <w:r>
        <w:rPr>
          <w:i/>
        </w:rPr>
        <w:t>See, e.g.</w:t>
      </w:r>
      <w:r>
        <w:t xml:space="preserve">, </w:t>
      </w:r>
      <w:r>
        <w:rPr>
          <w:i/>
        </w:rPr>
        <w:t>In the Matter of the Application of the Ohio Department of Development for an Order Approving Adjustments to the Universal Service Fund Riders of Jurisdictional Ohio Electric Distribution Utilities</w:t>
      </w:r>
      <w:r>
        <w:t>, Case No. 11-3223-EL-USF, Opinion and Order at 8-9 (Oct. 3, 2011) (“2011 USF Order”).</w:t>
      </w:r>
    </w:p>
  </w:footnote>
  <w:footnote w:id="4">
    <w:p w14:paraId="1A589115" w14:textId="77777777" w:rsidR="00BA295E" w:rsidRDefault="00BA295E" w:rsidP="00DB1482">
      <w:pPr>
        <w:pStyle w:val="FootnoteText"/>
        <w:spacing w:after="120"/>
      </w:pPr>
      <w:r>
        <w:rPr>
          <w:rStyle w:val="FootnoteReference"/>
        </w:rPr>
        <w:footnoteRef/>
      </w:r>
      <w:r>
        <w:t xml:space="preserve"> ODSA Ex. 2 at 5.</w:t>
      </w:r>
    </w:p>
  </w:footnote>
  <w:footnote w:id="5">
    <w:p w14:paraId="07469999" w14:textId="3F019BA7" w:rsidR="007B654E" w:rsidRPr="009B586C" w:rsidRDefault="007B654E" w:rsidP="009B586C">
      <w:pPr>
        <w:pStyle w:val="FootnoteText"/>
        <w:spacing w:after="120"/>
        <w:jc w:val="both"/>
        <w:rPr>
          <w:caps/>
        </w:rPr>
      </w:pPr>
      <w:r>
        <w:rPr>
          <w:rStyle w:val="FootnoteReference"/>
        </w:rPr>
        <w:footnoteRef/>
      </w:r>
      <w:r>
        <w:t xml:space="preserve"> OPAE’s only cross-examination was whether Ms. Meadows had correctly paraphrased OPAE’s objections (which is itself not part of the record). After Ms. Meadows read a portion of OPAE’s objection, OPAE concluded all cross-examination.  Tr. at 22-28.</w:t>
      </w:r>
    </w:p>
  </w:footnote>
  <w:footnote w:id="6">
    <w:p w14:paraId="52C28F52" w14:textId="2272E40C" w:rsidR="00BA295E" w:rsidRDefault="00BA295E" w:rsidP="009B586C">
      <w:pPr>
        <w:pStyle w:val="FootnoteText"/>
        <w:spacing w:after="120"/>
      </w:pPr>
      <w:r>
        <w:rPr>
          <w:rStyle w:val="FootnoteReference"/>
        </w:rPr>
        <w:footnoteRef/>
      </w:r>
      <w:r>
        <w:t xml:space="preserve"> </w:t>
      </w:r>
      <w:r w:rsidR="009B586C">
        <w:t xml:space="preserve">OPAE’s </w:t>
      </w:r>
      <w:r>
        <w:t>Initial Brief at 7 (Aug. 28, 2017).</w:t>
      </w:r>
    </w:p>
  </w:footnote>
  <w:footnote w:id="7">
    <w:p w14:paraId="0D011B94" w14:textId="525271A7" w:rsidR="00BA295E" w:rsidRDefault="00BA295E" w:rsidP="009B586C">
      <w:pPr>
        <w:pStyle w:val="FootnoteText"/>
        <w:spacing w:after="120"/>
      </w:pPr>
      <w:r>
        <w:rPr>
          <w:rStyle w:val="FootnoteReference"/>
        </w:rPr>
        <w:footnoteRef/>
      </w:r>
      <w:r>
        <w:t xml:space="preserve"> Opinion and Order at 26</w:t>
      </w:r>
      <w:r w:rsidR="009B586C">
        <w:t xml:space="preserve"> (Oct. 11, 2017)</w:t>
      </w:r>
      <w:r>
        <w:t>.</w:t>
      </w:r>
    </w:p>
  </w:footnote>
  <w:footnote w:id="8">
    <w:p w14:paraId="7E8BA79F" w14:textId="77777777" w:rsidR="00BA295E" w:rsidRDefault="00BA295E" w:rsidP="009B586C">
      <w:pPr>
        <w:pStyle w:val="FootnoteText"/>
        <w:spacing w:after="120"/>
      </w:pPr>
      <w:r>
        <w:rPr>
          <w:rStyle w:val="FootnoteReference"/>
        </w:rPr>
        <w:footnoteRef/>
      </w:r>
      <w:r>
        <w:t xml:space="preserve"> R.C. 4903.09.</w:t>
      </w:r>
    </w:p>
  </w:footnote>
  <w:footnote w:id="9">
    <w:p w14:paraId="4EAA7B11" w14:textId="77777777" w:rsidR="00BA295E" w:rsidRPr="00402246" w:rsidRDefault="00BA295E" w:rsidP="00C44283">
      <w:pPr>
        <w:pStyle w:val="FootnoteText"/>
        <w:spacing w:after="120"/>
        <w:jc w:val="both"/>
        <w:rPr>
          <w:rFonts w:cs="Arial"/>
        </w:rPr>
      </w:pPr>
      <w:r w:rsidRPr="00402246">
        <w:rPr>
          <w:rStyle w:val="FootnoteReference"/>
          <w:rFonts w:cs="Arial"/>
        </w:rPr>
        <w:footnoteRef/>
      </w:r>
      <w:r w:rsidRPr="00402246">
        <w:rPr>
          <w:rFonts w:cs="Arial"/>
        </w:rPr>
        <w:t xml:space="preserve"> </w:t>
      </w:r>
      <w:r w:rsidRPr="00402246">
        <w:rPr>
          <w:rFonts w:cs="Arial"/>
          <w:i/>
        </w:rPr>
        <w:t>In re Fuel Adjustment Clauses for Columbus so. Power Co.</w:t>
      </w:r>
      <w:r w:rsidRPr="00402246">
        <w:rPr>
          <w:rFonts w:cs="Arial"/>
        </w:rPr>
        <w:t xml:space="preserve"> 140 Ohio St.3d 352, 2014-Ohio-3764, ¶ 36 (</w:t>
      </w:r>
      <w:r w:rsidRPr="00402246">
        <w:rPr>
          <w:rFonts w:cs="Arial"/>
          <w:i/>
        </w:rPr>
        <w:t>citing Allnet Communications Servs., Inc. v. Pub. Utils. Comm</w:t>
      </w:r>
      <w:r w:rsidRPr="00402246">
        <w:rPr>
          <w:rFonts w:cs="Arial"/>
        </w:rPr>
        <w:t>., 70 Ohio St. 3d 202, 206, 1994</w:t>
      </w:r>
      <w:r>
        <w:rPr>
          <w:rFonts w:cs="Arial"/>
        </w:rPr>
        <w:t>-</w:t>
      </w:r>
      <w:r w:rsidRPr="00402246">
        <w:rPr>
          <w:rFonts w:cs="Arial"/>
        </w:rPr>
        <w:t>Ohio</w:t>
      </w:r>
      <w:r>
        <w:rPr>
          <w:rFonts w:cs="Arial"/>
        </w:rPr>
        <w:t>-</w:t>
      </w:r>
      <w:r w:rsidRPr="00402246">
        <w:rPr>
          <w:rFonts w:cs="Arial"/>
        </w:rPr>
        <w:t>460, 638 N.E.2d 516 (rejecting argument where appellant provided no "record citations to support" it);</w:t>
      </w:r>
      <w:r w:rsidRPr="00402246">
        <w:rPr>
          <w:rFonts w:cs="Arial"/>
          <w:i/>
        </w:rPr>
        <w:t xml:space="preserve"> State ex rel. Davis v. Pub. Emps. Retirement Bd</w:t>
      </w:r>
      <w:r w:rsidRPr="00402246">
        <w:rPr>
          <w:rFonts w:cs="Arial"/>
        </w:rPr>
        <w:t>., 120 Ohio St.3d 386, 2008-Ohio-6254, 899 N.E.2d 975, ¶ 40;</w:t>
      </w:r>
      <w:r w:rsidRPr="00402246">
        <w:rPr>
          <w:rFonts w:cs="Arial"/>
          <w:i/>
        </w:rPr>
        <w:t xml:space="preserve"> State ex rel. Physicians Comm. for Responsible Medicine v. Ohio State Univ. Bd. of Trustees</w:t>
      </w:r>
      <w:r w:rsidRPr="00402246">
        <w:rPr>
          <w:rFonts w:cs="Arial"/>
        </w:rPr>
        <w:t xml:space="preserve">, 108 Ohio St.3d 288, 2006-Ohio-903, 843 N.E.2d 174, ¶ 13, </w:t>
      </w:r>
      <w:r w:rsidRPr="00402246">
        <w:rPr>
          <w:rFonts w:cs="Arial"/>
          <w:i/>
        </w:rPr>
        <w:t>quoting Day v. N. Indiana Pub. Serv. Corp</w:t>
      </w:r>
      <w:r w:rsidRPr="00402246">
        <w:rPr>
          <w:rFonts w:cs="Arial"/>
        </w:rPr>
        <w:t>, 164 F.3d 382, 384 (7th Cir.1999) ("Appellate attorneys should not expect the court to 'peruse the record without the help of pinpoint citations' to the record")).</w:t>
      </w:r>
    </w:p>
  </w:footnote>
  <w:footnote w:id="10">
    <w:p w14:paraId="1FA1A81C" w14:textId="27989355" w:rsidR="00BA295E" w:rsidRDefault="00BA295E" w:rsidP="002E6E53">
      <w:pPr>
        <w:pStyle w:val="FootnoteText"/>
        <w:spacing w:after="120"/>
        <w:jc w:val="both"/>
      </w:pPr>
      <w:r>
        <w:rPr>
          <w:rStyle w:val="FootnoteReference"/>
        </w:rPr>
        <w:footnoteRef/>
      </w:r>
      <w:r>
        <w:t xml:space="preserve"> OPAE</w:t>
      </w:r>
      <w:r w:rsidR="00024498">
        <w:t>’s</w:t>
      </w:r>
      <w:r>
        <w:t xml:space="preserve"> Application for Rehearing at 4-5</w:t>
      </w:r>
      <w:r w:rsidR="00024498">
        <w:t xml:space="preserve"> (Nov. 9, 2017)</w:t>
      </w:r>
      <w:r>
        <w:t>.</w:t>
      </w:r>
    </w:p>
  </w:footnote>
  <w:footnote w:id="11">
    <w:p w14:paraId="17BAF7B1" w14:textId="77777777" w:rsidR="00BA295E" w:rsidRPr="00077F15" w:rsidRDefault="00BA295E" w:rsidP="002E6E53">
      <w:pPr>
        <w:pStyle w:val="FootnoteText"/>
        <w:spacing w:after="120"/>
        <w:jc w:val="both"/>
        <w:rPr>
          <w:i/>
        </w:rPr>
      </w:pPr>
      <w:r>
        <w:rPr>
          <w:rStyle w:val="FootnoteReference"/>
        </w:rPr>
        <w:footnoteRef/>
      </w:r>
      <w:r>
        <w:t xml:space="preserve"> </w:t>
      </w:r>
      <w:r>
        <w:rPr>
          <w:i/>
        </w:rPr>
        <w:t>Id.</w:t>
      </w:r>
    </w:p>
  </w:footnote>
  <w:footnote w:id="12">
    <w:p w14:paraId="7ABCF9A5" w14:textId="77777777" w:rsidR="00BA295E" w:rsidRPr="00077F15" w:rsidRDefault="00BA295E" w:rsidP="002E6E53">
      <w:pPr>
        <w:pStyle w:val="FootnoteText"/>
        <w:spacing w:after="120"/>
        <w:jc w:val="both"/>
        <w:rPr>
          <w:i/>
        </w:rPr>
      </w:pPr>
      <w:r>
        <w:rPr>
          <w:rStyle w:val="FootnoteReference"/>
        </w:rPr>
        <w:footnoteRef/>
      </w:r>
      <w:r>
        <w:t xml:space="preserve"> </w:t>
      </w:r>
      <w:r>
        <w:rPr>
          <w:i/>
        </w:rPr>
        <w:t>Id.</w:t>
      </w:r>
    </w:p>
  </w:footnote>
  <w:footnote w:id="13">
    <w:p w14:paraId="3EC21F8F" w14:textId="13270FA6" w:rsidR="00BA295E" w:rsidRPr="00077F15" w:rsidRDefault="00BA295E" w:rsidP="002E6E53">
      <w:pPr>
        <w:pStyle w:val="FootnoteText"/>
        <w:spacing w:after="120"/>
        <w:jc w:val="both"/>
      </w:pPr>
      <w:r>
        <w:rPr>
          <w:rStyle w:val="FootnoteReference"/>
        </w:rPr>
        <w:footnoteRef/>
      </w:r>
      <w:r>
        <w:t xml:space="preserve"> Again, a failure to provide record citations is sufficient basis alone to deny OPAE’s </w:t>
      </w:r>
      <w:r w:rsidR="00024498">
        <w:t>A</w:t>
      </w:r>
      <w:r>
        <w:t xml:space="preserve">pplication for </w:t>
      </w:r>
      <w:r w:rsidR="00024498">
        <w:t>R</w:t>
      </w:r>
      <w:r>
        <w:t xml:space="preserve">ehearing.  </w:t>
      </w:r>
      <w:r>
        <w:rPr>
          <w:i/>
        </w:rPr>
        <w:t>Supra</w:t>
      </w:r>
      <w:r>
        <w:t>, at 3, n. 3.</w:t>
      </w:r>
    </w:p>
  </w:footnote>
  <w:footnote w:id="14">
    <w:p w14:paraId="38418B17" w14:textId="77777777" w:rsidR="00BA295E" w:rsidRPr="00BB7BED" w:rsidRDefault="00BA295E" w:rsidP="002E6E53">
      <w:pPr>
        <w:pStyle w:val="FootnoteText"/>
        <w:spacing w:after="120"/>
        <w:jc w:val="both"/>
      </w:pPr>
      <w:r>
        <w:rPr>
          <w:rStyle w:val="FootnoteReference"/>
        </w:rPr>
        <w:footnoteRef/>
      </w:r>
      <w:r>
        <w:t xml:space="preserve"> Application at 11, Exhibit J.</w:t>
      </w:r>
    </w:p>
  </w:footnote>
  <w:footnote w:id="15">
    <w:p w14:paraId="4581B88A" w14:textId="77777777" w:rsidR="00BA295E" w:rsidRPr="00F14056" w:rsidRDefault="00BA295E" w:rsidP="009C7175">
      <w:pPr>
        <w:pStyle w:val="FootnoteText"/>
        <w:spacing w:after="120"/>
        <w:jc w:val="both"/>
      </w:pPr>
      <w:r>
        <w:rPr>
          <w:rStyle w:val="FootnoteReference"/>
        </w:rPr>
        <w:footnoteRef/>
      </w:r>
      <w:r>
        <w:t xml:space="preserve"> </w:t>
      </w:r>
      <w:r>
        <w:rPr>
          <w:i/>
        </w:rPr>
        <w:t>In the Matter of the Application of the Ohio Development Services Agency for an order Approving Adjustments to the Universal Service Fund Riders of Jurisdictional Ohio Electric Distribution Utilities</w:t>
      </w:r>
      <w:r>
        <w:t>, Case No. 15-1046-EL-USF (“</w:t>
      </w:r>
      <w:r w:rsidRPr="002E6E53">
        <w:rPr>
          <w:i/>
        </w:rPr>
        <w:t>2015 USF Case</w:t>
      </w:r>
      <w:r>
        <w:t>”).</w:t>
      </w:r>
    </w:p>
  </w:footnote>
  <w:footnote w:id="16">
    <w:p w14:paraId="1C914F0A" w14:textId="77777777" w:rsidR="00BA295E" w:rsidRDefault="00BA295E" w:rsidP="009C7175">
      <w:pPr>
        <w:pStyle w:val="FootnoteText"/>
        <w:spacing w:after="120"/>
        <w:jc w:val="both"/>
      </w:pPr>
      <w:r>
        <w:rPr>
          <w:rStyle w:val="FootnoteReference"/>
        </w:rPr>
        <w:footnoteRef/>
      </w:r>
      <w:r>
        <w:t xml:space="preserve"> </w:t>
      </w:r>
      <w:r w:rsidRPr="009C7175">
        <w:rPr>
          <w:i/>
        </w:rPr>
        <w:t>2015 USF Case</w:t>
      </w:r>
      <w:r>
        <w:t>, Opinion and Order at 14 (Oct. 28, 2015).</w:t>
      </w:r>
    </w:p>
  </w:footnote>
  <w:footnote w:id="17">
    <w:p w14:paraId="0D92025C" w14:textId="1AF3E8C1" w:rsidR="00BA295E" w:rsidRPr="00077F15" w:rsidRDefault="00BA295E" w:rsidP="009C7175">
      <w:pPr>
        <w:pStyle w:val="FootnoteText"/>
        <w:spacing w:after="120"/>
        <w:jc w:val="both"/>
      </w:pPr>
      <w:r w:rsidRPr="00F84089">
        <w:rPr>
          <w:rStyle w:val="FootnoteReference"/>
        </w:rPr>
        <w:footnoteRef/>
      </w:r>
      <w:r w:rsidRPr="00F84089">
        <w:t xml:space="preserve"> </w:t>
      </w:r>
      <w:r w:rsidR="00F84089" w:rsidRPr="00642D93">
        <w:rPr>
          <w:i/>
        </w:rPr>
        <w:t>Id.</w:t>
      </w:r>
    </w:p>
  </w:footnote>
  <w:footnote w:id="18">
    <w:p w14:paraId="35714117" w14:textId="77777777" w:rsidR="00BA295E" w:rsidRDefault="00BA295E" w:rsidP="009C7175">
      <w:pPr>
        <w:pStyle w:val="FootnoteText"/>
        <w:spacing w:after="120"/>
        <w:jc w:val="both"/>
      </w:pPr>
      <w:r>
        <w:rPr>
          <w:rStyle w:val="FootnoteReference"/>
        </w:rPr>
        <w:footnoteRef/>
      </w:r>
      <w:r>
        <w:t xml:space="preserve"> </w:t>
      </w:r>
      <w:r w:rsidRPr="009C7175">
        <w:rPr>
          <w:i/>
        </w:rPr>
        <w:t>2015 USF Case</w:t>
      </w:r>
      <w:r>
        <w:t>, Opinion and Order at 21 (Oct. 28, 2015).</w:t>
      </w:r>
    </w:p>
  </w:footnote>
  <w:footnote w:id="19">
    <w:p w14:paraId="54DAD5A3" w14:textId="7E45D3C0" w:rsidR="00BA295E" w:rsidRPr="00BC1B6A" w:rsidRDefault="00BA295E" w:rsidP="009C7175">
      <w:pPr>
        <w:pStyle w:val="FootnoteText"/>
        <w:spacing w:after="120"/>
        <w:jc w:val="both"/>
      </w:pPr>
      <w:r>
        <w:rPr>
          <w:rStyle w:val="FootnoteReference"/>
        </w:rPr>
        <w:footnoteRef/>
      </w:r>
      <w:r>
        <w:t xml:space="preserve"> </w:t>
      </w:r>
      <w:r>
        <w:rPr>
          <w:i/>
        </w:rPr>
        <w:t>See</w:t>
      </w:r>
      <w:r>
        <w:t xml:space="preserve"> </w:t>
      </w:r>
      <w:r w:rsidRPr="002E6E53">
        <w:rPr>
          <w:i/>
        </w:rPr>
        <w:t>2015 USF Case</w:t>
      </w:r>
      <w:r>
        <w:t>, ODSA’s Reply Brief at 8 (</w:t>
      </w:r>
      <w:r>
        <w:rPr>
          <w:i/>
        </w:rPr>
        <w:t xml:space="preserve">citing </w:t>
      </w:r>
      <w:r w:rsidR="00024498">
        <w:t>t</w:t>
      </w:r>
      <w:r>
        <w:t xml:space="preserve">estimony of ODSA </w:t>
      </w:r>
      <w:r w:rsidR="00024498">
        <w:t>w</w:t>
      </w:r>
      <w:r>
        <w:t xml:space="preserve">itness Moser) (OPAE’s analysis demonstrates that adopting OPAE’s uniform kWh rate would cause very large and abrupt USF charge increases to some customers, which would be inconsistent with the regulatory principle of gradualism) (Sep. 9, 2015).  </w:t>
      </w:r>
    </w:p>
  </w:footnote>
  <w:footnote w:id="20">
    <w:p w14:paraId="6A42B696" w14:textId="77777777" w:rsidR="00BA295E" w:rsidRPr="000C14DA" w:rsidRDefault="00BA295E" w:rsidP="009C7175">
      <w:pPr>
        <w:pStyle w:val="FootnoteText"/>
        <w:spacing w:after="120"/>
        <w:jc w:val="both"/>
      </w:pPr>
      <w:r>
        <w:rPr>
          <w:rStyle w:val="FootnoteReference"/>
        </w:rPr>
        <w:footnoteRef/>
      </w:r>
      <w:r>
        <w:t xml:space="preserve"> </w:t>
      </w:r>
      <w:r>
        <w:rPr>
          <w:i/>
        </w:rPr>
        <w:t>In re Application of Ohio Power Co.</w:t>
      </w:r>
      <w:r>
        <w:t>, 144 Ohio St.3d 1, 2015-Ohio-2056, at ¶ 16-17.</w:t>
      </w:r>
    </w:p>
  </w:footnote>
  <w:footnote w:id="21">
    <w:p w14:paraId="340B14A8" w14:textId="77777777" w:rsidR="00BA295E" w:rsidRPr="00B026C1" w:rsidRDefault="00BA295E" w:rsidP="009C7175">
      <w:pPr>
        <w:pStyle w:val="FootnoteText"/>
        <w:spacing w:after="120"/>
        <w:jc w:val="both"/>
      </w:pPr>
      <w:r>
        <w:rPr>
          <w:rStyle w:val="FootnoteReference"/>
        </w:rPr>
        <w:footnoteRef/>
      </w:r>
      <w:r>
        <w:t xml:space="preserve"> </w:t>
      </w:r>
      <w:r>
        <w:rPr>
          <w:i/>
        </w:rPr>
        <w:t>Id.</w:t>
      </w:r>
      <w:r>
        <w:t xml:space="preserve">; </w:t>
      </w:r>
      <w:r>
        <w:rPr>
          <w:i/>
        </w:rPr>
        <w:t>see also In re Columbus S. Power Co</w:t>
      </w:r>
      <w:r>
        <w:t xml:space="preserve">., 129 Ohio St. 3d 271, 2011-Ohio-2638, </w:t>
      </w:r>
      <w:r>
        <w:rPr>
          <w:rFonts w:cs="Arial"/>
        </w:rPr>
        <w:t>¶</w:t>
      </w:r>
      <w:r>
        <w:t xml:space="preserve"> 19 (it is generally the party’s responsibility to develop its own arguments); </w:t>
      </w:r>
      <w:r>
        <w:rPr>
          <w:i/>
        </w:rPr>
        <w:t>In re Columbus S. Power Co.</w:t>
      </w:r>
      <w:r>
        <w:t xml:space="preserve">, 128 Ohio St.3d 512, 2011-Ohio-1788, </w:t>
      </w:r>
      <w:r>
        <w:rPr>
          <w:rFonts w:cs="Arial"/>
        </w:rPr>
        <w:t>¶</w:t>
      </w:r>
      <w:r>
        <w:t xml:space="preserve"> 29 (</w:t>
      </w:r>
      <w:r>
        <w:rPr>
          <w:i/>
        </w:rPr>
        <w:t xml:space="preserve">citing </w:t>
      </w:r>
      <w:r w:rsidRPr="00BC1CB0">
        <w:rPr>
          <w:i/>
        </w:rPr>
        <w:t>Indus. Energy Users-Ohio v. Pub. Util. Comm.</w:t>
      </w:r>
      <w:r w:rsidRPr="00BC1CB0">
        <w:t>, 117</w:t>
      </w:r>
      <w:r>
        <w:t xml:space="preserve"> Ohio St.3d 486, 2008-Ohio-990</w:t>
      </w:r>
      <w:r w:rsidRPr="00BC1CB0">
        <w:t>, ¶ 30</w:t>
      </w:r>
      <w:r>
        <w:t xml:space="preserve"> (“Ruling on issues without record support is an abuse of discretion and reversible error.”).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82318" w14:textId="77777777" w:rsidR="004A358B" w:rsidRDefault="004A358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75B5" w14:textId="77777777" w:rsidR="00BA295E" w:rsidRDefault="00BA2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C3F85" w14:textId="77777777" w:rsidR="004A358B" w:rsidRDefault="004A3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49938" w14:textId="77777777" w:rsidR="004A358B" w:rsidRDefault="004A35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551A2" w14:textId="77777777" w:rsidR="00BA295E" w:rsidRDefault="00BA29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96E8C" w14:textId="77777777" w:rsidR="00BA295E" w:rsidRDefault="00BA29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5837" w14:textId="77777777" w:rsidR="00BA295E" w:rsidRDefault="00BA295E">
    <w:pPr>
      <w:pStyle w:val="Header"/>
    </w:pPr>
  </w:p>
  <w:p w14:paraId="224B3BE1" w14:textId="77777777" w:rsidR="00BA295E" w:rsidRDefault="00BA295E"/>
  <w:p w14:paraId="3B44F0FE" w14:textId="77777777" w:rsidR="00BA295E" w:rsidRDefault="00BA295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3BD3" w14:textId="77777777" w:rsidR="00BA295E" w:rsidRDefault="00BA295E">
    <w:pPr>
      <w:pStyle w:val="Header"/>
    </w:pPr>
  </w:p>
  <w:p w14:paraId="22F4B451" w14:textId="77777777" w:rsidR="00BA295E" w:rsidRDefault="00BA295E"/>
  <w:p w14:paraId="20B656C7" w14:textId="77777777" w:rsidR="00BA295E" w:rsidRDefault="00BA295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6A100" w14:textId="77777777" w:rsidR="00BA295E" w:rsidRDefault="00BA29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995AC" w14:textId="77777777" w:rsidR="00BA295E" w:rsidRDefault="00BA295E">
    <w:pPr>
      <w:pStyle w:val="Header"/>
    </w:pPr>
  </w:p>
  <w:p w14:paraId="37EFB676" w14:textId="77777777" w:rsidR="00BA295E" w:rsidRDefault="00BA295E"/>
  <w:p w14:paraId="02379195" w14:textId="77777777" w:rsidR="00BA295E" w:rsidRDefault="00BA29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F17B9"/>
    <w:multiLevelType w:val="multilevel"/>
    <w:tmpl w:val="E1BA2B12"/>
    <w:name w:val="IEU BASIC PLEADING"/>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1" w15:restartNumberingAfterBreak="0">
    <w:nsid w:val="349D3231"/>
    <w:multiLevelType w:val="hybridMultilevel"/>
    <w:tmpl w:val="B29453F0"/>
    <w:lvl w:ilvl="0" w:tplc="78EED51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E6D9C"/>
    <w:multiLevelType w:val="multilevel"/>
    <w:tmpl w:val="195E8E4A"/>
    <w:name w:val="IEU BASIC PLEADING-Scheme 1"/>
    <w:lvl w:ilvl="0">
      <w:start w:val="1"/>
      <w:numFmt w:val="upperRoman"/>
      <w:lvlText w:val="%1."/>
      <w:lvlJc w:val="left"/>
      <w:pPr>
        <w:tabs>
          <w:tab w:val="num" w:pos="720"/>
        </w:tabs>
        <w:ind w:left="720" w:hanging="720"/>
      </w:pPr>
      <w:rPr>
        <w:b/>
        <w:caps w:val="0"/>
        <w:strike w:val="0"/>
        <w:dstrike w:val="0"/>
        <w:vanish w:val="0"/>
        <w:webHidden w:val="0"/>
        <w:color w:val="010000"/>
        <w:u w:val="none"/>
        <w:effect w:val="none"/>
        <w:specVanish w:val="0"/>
      </w:rPr>
    </w:lvl>
    <w:lvl w:ilvl="1">
      <w:start w:val="1"/>
      <w:numFmt w:val="upperLetter"/>
      <w:lvlText w:val="%2."/>
      <w:lvlJc w:val="left"/>
      <w:pPr>
        <w:tabs>
          <w:tab w:val="num" w:pos="1440"/>
        </w:tabs>
        <w:ind w:left="1440" w:hanging="720"/>
      </w:pPr>
      <w:rPr>
        <w:b/>
        <w:caps w:val="0"/>
        <w:strike w:val="0"/>
        <w:dstrike w:val="0"/>
        <w:vanish w:val="0"/>
        <w:webHidden w:val="0"/>
        <w:color w:val="010000"/>
        <w:u w:val="none"/>
        <w:effect w:val="none"/>
        <w:specVanish w:val="0"/>
      </w:rPr>
    </w:lvl>
    <w:lvl w:ilvl="2">
      <w:start w:val="1"/>
      <w:numFmt w:val="decimal"/>
      <w:lvlText w:val="%3."/>
      <w:lvlJc w:val="left"/>
      <w:pPr>
        <w:tabs>
          <w:tab w:val="num" w:pos="2160"/>
        </w:tabs>
        <w:ind w:left="2160" w:hanging="720"/>
      </w:pPr>
      <w:rPr>
        <w:b/>
        <w:i w:val="0"/>
        <w:caps w:val="0"/>
        <w:strike w:val="0"/>
        <w:dstrike w:val="0"/>
        <w:vanish w:val="0"/>
        <w:webHidden w:val="0"/>
        <w:color w:val="010000"/>
        <w:u w:val="none"/>
        <w:effect w:val="none"/>
        <w:specVanish w:val="0"/>
      </w:rPr>
    </w:lvl>
    <w:lvl w:ilvl="3">
      <w:start w:val="1"/>
      <w:numFmt w:val="lowerLetter"/>
      <w:lvlText w:val="%4."/>
      <w:lvlJc w:val="left"/>
      <w:pPr>
        <w:tabs>
          <w:tab w:val="num" w:pos="2880"/>
        </w:tabs>
        <w:ind w:left="2880" w:hanging="720"/>
      </w:pPr>
      <w:rPr>
        <w:b/>
        <w:i/>
        <w:caps w:val="0"/>
        <w:strike w:val="0"/>
        <w:dstrike w:val="0"/>
        <w:vanish w:val="0"/>
        <w:webHidden w:val="0"/>
        <w:color w:val="010000"/>
        <w:u w:val="none"/>
        <w:effect w:val="none"/>
        <w:specVanish w:val="0"/>
      </w:rPr>
    </w:lvl>
    <w:lvl w:ilvl="4">
      <w:start w:val="1"/>
      <w:numFmt w:val="lowerRoman"/>
      <w:lvlText w:val="%5."/>
      <w:lvlJc w:val="left"/>
      <w:pPr>
        <w:tabs>
          <w:tab w:val="num" w:pos="3600"/>
        </w:tabs>
        <w:ind w:left="3600" w:hanging="720"/>
      </w:pPr>
      <w:rPr>
        <w:caps w:val="0"/>
        <w:strike w:val="0"/>
        <w:dstrike w:val="0"/>
        <w:vanish w:val="0"/>
        <w:webHidden w:val="0"/>
        <w:color w:val="010000"/>
        <w:u w:val="none"/>
        <w:effect w:val="none"/>
        <w:specVanish w:val="0"/>
      </w:rPr>
    </w:lvl>
    <w:lvl w:ilvl="5">
      <w:start w:val="1"/>
      <w:numFmt w:val="lowerLetter"/>
      <w:lvlText w:val="(%6)"/>
      <w:lvlJc w:val="left"/>
      <w:pPr>
        <w:tabs>
          <w:tab w:val="num" w:pos="4320"/>
        </w:tabs>
        <w:ind w:left="4320" w:hanging="720"/>
      </w:pPr>
      <w:rPr>
        <w:caps w:val="0"/>
        <w:strike w:val="0"/>
        <w:dstrike w:val="0"/>
        <w:vanish w:val="0"/>
        <w:webHidden w:val="0"/>
        <w:color w:val="010000"/>
        <w:u w:val="none"/>
        <w:effect w:val="none"/>
        <w:specVanish w:val="0"/>
      </w:rPr>
    </w:lvl>
    <w:lvl w:ilvl="6">
      <w:start w:val="1"/>
      <w:numFmt w:val="decimal"/>
      <w:lvlText w:val="(%7)"/>
      <w:lvlJc w:val="left"/>
      <w:pPr>
        <w:tabs>
          <w:tab w:val="num" w:pos="5040"/>
        </w:tabs>
        <w:ind w:left="5040" w:hanging="720"/>
      </w:pPr>
      <w:rPr>
        <w:caps w:val="0"/>
        <w:strike w:val="0"/>
        <w:dstrike w:val="0"/>
        <w:vanish w:val="0"/>
        <w:webHidden w:val="0"/>
        <w:color w:val="010000"/>
        <w:u w:val="none"/>
        <w:effect w:val="none"/>
        <w:specVanish w:val="0"/>
      </w:rPr>
    </w:lvl>
    <w:lvl w:ilvl="7">
      <w:start w:val="1"/>
      <w:numFmt w:val="lowerRoman"/>
      <w:lvlText w:val="%8)"/>
      <w:lvlJc w:val="left"/>
      <w:pPr>
        <w:tabs>
          <w:tab w:val="num" w:pos="5760"/>
        </w:tabs>
        <w:ind w:left="5760" w:hanging="720"/>
      </w:pPr>
      <w:rPr>
        <w:caps w:val="0"/>
        <w:strike w:val="0"/>
        <w:dstrike w:val="0"/>
        <w:vanish w:val="0"/>
        <w:webHidden w:val="0"/>
        <w:color w:val="010000"/>
        <w:u w:val="none"/>
        <w:effect w:val="none"/>
        <w:specVanish w:val="0"/>
      </w:rPr>
    </w:lvl>
    <w:lvl w:ilvl="8">
      <w:start w:val="1"/>
      <w:numFmt w:val="lowerLetter"/>
      <w:lvlText w:val="%9)"/>
      <w:lvlJc w:val="left"/>
      <w:pPr>
        <w:tabs>
          <w:tab w:val="num" w:pos="6480"/>
        </w:tabs>
        <w:ind w:left="6480" w:hanging="720"/>
      </w:pPr>
      <w:rPr>
        <w:caps w:val="0"/>
        <w:strike w:val="0"/>
        <w:dstrike w:val="0"/>
        <w:vanish w:val="0"/>
        <w:webHidden w:val="0"/>
        <w:color w:val="010000"/>
        <w:u w:val="none"/>
        <w:effect w:val="none"/>
        <w:specVanish w:val="0"/>
      </w:rPr>
    </w:lvl>
  </w:abstractNum>
  <w:abstractNum w:abstractNumId="3" w15:restartNumberingAfterBreak="0">
    <w:nsid w:val="553E6AE9"/>
    <w:multiLevelType w:val="multilevel"/>
    <w:tmpl w:val="195E8E4A"/>
    <w:lvl w:ilvl="0">
      <w:start w:val="1"/>
      <w:numFmt w:val="upperRoman"/>
      <w:lvlText w:val="%1."/>
      <w:lvlJc w:val="left"/>
      <w:pPr>
        <w:tabs>
          <w:tab w:val="num" w:pos="720"/>
        </w:tabs>
        <w:ind w:left="720" w:hanging="720"/>
      </w:pPr>
      <w:rPr>
        <w:b/>
        <w:caps w:val="0"/>
        <w:strike w:val="0"/>
        <w:dstrike w:val="0"/>
        <w:vanish w:val="0"/>
        <w:webHidden w:val="0"/>
        <w:color w:val="010000"/>
        <w:u w:val="none"/>
        <w:effect w:val="none"/>
        <w:specVanish w:val="0"/>
      </w:rPr>
    </w:lvl>
    <w:lvl w:ilvl="1">
      <w:start w:val="1"/>
      <w:numFmt w:val="upperLetter"/>
      <w:lvlText w:val="%2."/>
      <w:lvlJc w:val="left"/>
      <w:pPr>
        <w:tabs>
          <w:tab w:val="num" w:pos="1440"/>
        </w:tabs>
        <w:ind w:left="1440" w:hanging="720"/>
      </w:pPr>
      <w:rPr>
        <w:b/>
        <w:caps w:val="0"/>
        <w:strike w:val="0"/>
        <w:dstrike w:val="0"/>
        <w:vanish w:val="0"/>
        <w:webHidden w:val="0"/>
        <w:color w:val="010000"/>
        <w:u w:val="none"/>
        <w:effect w:val="none"/>
        <w:specVanish w:val="0"/>
      </w:rPr>
    </w:lvl>
    <w:lvl w:ilvl="2">
      <w:start w:val="1"/>
      <w:numFmt w:val="decimal"/>
      <w:lvlText w:val="%3."/>
      <w:lvlJc w:val="left"/>
      <w:pPr>
        <w:tabs>
          <w:tab w:val="num" w:pos="2160"/>
        </w:tabs>
        <w:ind w:left="2160" w:hanging="720"/>
      </w:pPr>
      <w:rPr>
        <w:b/>
        <w:i w:val="0"/>
        <w:caps w:val="0"/>
        <w:strike w:val="0"/>
        <w:dstrike w:val="0"/>
        <w:vanish w:val="0"/>
        <w:webHidden w:val="0"/>
        <w:color w:val="010000"/>
        <w:u w:val="none"/>
        <w:effect w:val="none"/>
        <w:specVanish w:val="0"/>
      </w:rPr>
    </w:lvl>
    <w:lvl w:ilvl="3">
      <w:start w:val="1"/>
      <w:numFmt w:val="lowerLetter"/>
      <w:lvlText w:val="%4."/>
      <w:lvlJc w:val="left"/>
      <w:pPr>
        <w:tabs>
          <w:tab w:val="num" w:pos="2880"/>
        </w:tabs>
        <w:ind w:left="2880" w:hanging="720"/>
      </w:pPr>
      <w:rPr>
        <w:b/>
        <w:i/>
        <w:caps w:val="0"/>
        <w:strike w:val="0"/>
        <w:dstrike w:val="0"/>
        <w:vanish w:val="0"/>
        <w:webHidden w:val="0"/>
        <w:color w:val="010000"/>
        <w:u w:val="none"/>
        <w:effect w:val="none"/>
        <w:specVanish w:val="0"/>
      </w:rPr>
    </w:lvl>
    <w:lvl w:ilvl="4">
      <w:start w:val="1"/>
      <w:numFmt w:val="lowerRoman"/>
      <w:lvlText w:val="%5."/>
      <w:lvlJc w:val="left"/>
      <w:pPr>
        <w:tabs>
          <w:tab w:val="num" w:pos="3600"/>
        </w:tabs>
        <w:ind w:left="3600" w:hanging="720"/>
      </w:pPr>
      <w:rPr>
        <w:caps w:val="0"/>
        <w:strike w:val="0"/>
        <w:dstrike w:val="0"/>
        <w:vanish w:val="0"/>
        <w:webHidden w:val="0"/>
        <w:color w:val="010000"/>
        <w:u w:val="none"/>
        <w:effect w:val="none"/>
        <w:specVanish w:val="0"/>
      </w:rPr>
    </w:lvl>
    <w:lvl w:ilvl="5">
      <w:start w:val="1"/>
      <w:numFmt w:val="lowerLetter"/>
      <w:lvlText w:val="(%6)"/>
      <w:lvlJc w:val="left"/>
      <w:pPr>
        <w:tabs>
          <w:tab w:val="num" w:pos="4320"/>
        </w:tabs>
        <w:ind w:left="4320" w:hanging="720"/>
      </w:pPr>
      <w:rPr>
        <w:caps w:val="0"/>
        <w:strike w:val="0"/>
        <w:dstrike w:val="0"/>
        <w:vanish w:val="0"/>
        <w:webHidden w:val="0"/>
        <w:color w:val="010000"/>
        <w:u w:val="none"/>
        <w:effect w:val="none"/>
        <w:specVanish w:val="0"/>
      </w:rPr>
    </w:lvl>
    <w:lvl w:ilvl="6">
      <w:start w:val="1"/>
      <w:numFmt w:val="decimal"/>
      <w:lvlText w:val="(%7)"/>
      <w:lvlJc w:val="left"/>
      <w:pPr>
        <w:tabs>
          <w:tab w:val="num" w:pos="5040"/>
        </w:tabs>
        <w:ind w:left="5040" w:hanging="720"/>
      </w:pPr>
      <w:rPr>
        <w:caps w:val="0"/>
        <w:strike w:val="0"/>
        <w:dstrike w:val="0"/>
        <w:vanish w:val="0"/>
        <w:webHidden w:val="0"/>
        <w:color w:val="010000"/>
        <w:u w:val="none"/>
        <w:effect w:val="none"/>
        <w:specVanish w:val="0"/>
      </w:rPr>
    </w:lvl>
    <w:lvl w:ilvl="7">
      <w:start w:val="1"/>
      <w:numFmt w:val="lowerRoman"/>
      <w:lvlText w:val="%8)"/>
      <w:lvlJc w:val="left"/>
      <w:pPr>
        <w:tabs>
          <w:tab w:val="num" w:pos="5760"/>
        </w:tabs>
        <w:ind w:left="5760" w:hanging="720"/>
      </w:pPr>
      <w:rPr>
        <w:caps w:val="0"/>
        <w:strike w:val="0"/>
        <w:dstrike w:val="0"/>
        <w:vanish w:val="0"/>
        <w:webHidden w:val="0"/>
        <w:color w:val="010000"/>
        <w:u w:val="none"/>
        <w:effect w:val="none"/>
        <w:specVanish w:val="0"/>
      </w:rPr>
    </w:lvl>
    <w:lvl w:ilvl="8">
      <w:start w:val="1"/>
      <w:numFmt w:val="lowerLetter"/>
      <w:lvlText w:val="%9)"/>
      <w:lvlJc w:val="left"/>
      <w:pPr>
        <w:tabs>
          <w:tab w:val="num" w:pos="6480"/>
        </w:tabs>
        <w:ind w:left="6480" w:hanging="720"/>
      </w:pPr>
      <w:rPr>
        <w:caps w:val="0"/>
        <w:strike w:val="0"/>
        <w:dstrike w:val="0"/>
        <w:vanish w:val="0"/>
        <w:webHidden w:val="0"/>
        <w:color w:val="010000"/>
        <w:u w:val="none"/>
        <w:effect w:val="none"/>
        <w:specVanish w:val="0"/>
      </w:rPr>
    </w:lvl>
  </w:abstractNum>
  <w:abstractNum w:abstractNumId="4" w15:restartNumberingAfterBreak="0">
    <w:nsid w:val="66800627"/>
    <w:multiLevelType w:val="hybridMultilevel"/>
    <w:tmpl w:val="80941510"/>
    <w:lvl w:ilvl="0" w:tplc="A83A6C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BF5DEF"/>
    <w:multiLevelType w:val="hybridMultilevel"/>
    <w:tmpl w:val="477E1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C52F3D"/>
    <w:multiLevelType w:val="hybridMultilevel"/>
    <w:tmpl w:val="F7E483C8"/>
    <w:lvl w:ilvl="0" w:tplc="3828DE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3F"/>
    <w:rsid w:val="000133EC"/>
    <w:rsid w:val="00023826"/>
    <w:rsid w:val="00024498"/>
    <w:rsid w:val="00060013"/>
    <w:rsid w:val="00070718"/>
    <w:rsid w:val="00077F15"/>
    <w:rsid w:val="00081675"/>
    <w:rsid w:val="00094855"/>
    <w:rsid w:val="000A090C"/>
    <w:rsid w:val="000B29A0"/>
    <w:rsid w:val="000C14DA"/>
    <w:rsid w:val="000E7C6E"/>
    <w:rsid w:val="00180486"/>
    <w:rsid w:val="001859E0"/>
    <w:rsid w:val="00217E3F"/>
    <w:rsid w:val="00226D06"/>
    <w:rsid w:val="00233999"/>
    <w:rsid w:val="00252AC2"/>
    <w:rsid w:val="00260B2E"/>
    <w:rsid w:val="00283595"/>
    <w:rsid w:val="002E6E53"/>
    <w:rsid w:val="002F01E8"/>
    <w:rsid w:val="00325348"/>
    <w:rsid w:val="00330D13"/>
    <w:rsid w:val="00335B6E"/>
    <w:rsid w:val="003575A9"/>
    <w:rsid w:val="0036319A"/>
    <w:rsid w:val="00383AAD"/>
    <w:rsid w:val="003907BF"/>
    <w:rsid w:val="003A631C"/>
    <w:rsid w:val="003B4910"/>
    <w:rsid w:val="003D0AC1"/>
    <w:rsid w:val="003F2762"/>
    <w:rsid w:val="00402246"/>
    <w:rsid w:val="00403F4A"/>
    <w:rsid w:val="004269AC"/>
    <w:rsid w:val="00445F1D"/>
    <w:rsid w:val="00477C08"/>
    <w:rsid w:val="004A0C32"/>
    <w:rsid w:val="004A358B"/>
    <w:rsid w:val="0052263D"/>
    <w:rsid w:val="005332A5"/>
    <w:rsid w:val="00537310"/>
    <w:rsid w:val="0055366A"/>
    <w:rsid w:val="00577F24"/>
    <w:rsid w:val="005B6474"/>
    <w:rsid w:val="005E0EE2"/>
    <w:rsid w:val="005E778D"/>
    <w:rsid w:val="00624F7E"/>
    <w:rsid w:val="00625CB9"/>
    <w:rsid w:val="00642D93"/>
    <w:rsid w:val="0065034A"/>
    <w:rsid w:val="006553EE"/>
    <w:rsid w:val="00676808"/>
    <w:rsid w:val="006B0EDC"/>
    <w:rsid w:val="006E4B4B"/>
    <w:rsid w:val="006F2748"/>
    <w:rsid w:val="00722C3F"/>
    <w:rsid w:val="0073294C"/>
    <w:rsid w:val="007761C8"/>
    <w:rsid w:val="00787713"/>
    <w:rsid w:val="007923E7"/>
    <w:rsid w:val="007930DD"/>
    <w:rsid w:val="00795966"/>
    <w:rsid w:val="007B329B"/>
    <w:rsid w:val="007B626B"/>
    <w:rsid w:val="007B654E"/>
    <w:rsid w:val="007C1E60"/>
    <w:rsid w:val="00814788"/>
    <w:rsid w:val="008305D7"/>
    <w:rsid w:val="00856E06"/>
    <w:rsid w:val="008A33D1"/>
    <w:rsid w:val="008B59D4"/>
    <w:rsid w:val="008C61DC"/>
    <w:rsid w:val="008E282D"/>
    <w:rsid w:val="008E3BF4"/>
    <w:rsid w:val="008E7C53"/>
    <w:rsid w:val="008F6854"/>
    <w:rsid w:val="009228A1"/>
    <w:rsid w:val="00937974"/>
    <w:rsid w:val="00965689"/>
    <w:rsid w:val="009B586C"/>
    <w:rsid w:val="009B671A"/>
    <w:rsid w:val="009C22CF"/>
    <w:rsid w:val="009C7175"/>
    <w:rsid w:val="009D6513"/>
    <w:rsid w:val="00A115EE"/>
    <w:rsid w:val="00A41062"/>
    <w:rsid w:val="00A5637F"/>
    <w:rsid w:val="00A71B36"/>
    <w:rsid w:val="00A95D30"/>
    <w:rsid w:val="00A96B5A"/>
    <w:rsid w:val="00AB38C5"/>
    <w:rsid w:val="00AC519D"/>
    <w:rsid w:val="00AE0236"/>
    <w:rsid w:val="00AE2E80"/>
    <w:rsid w:val="00B026C1"/>
    <w:rsid w:val="00B10D53"/>
    <w:rsid w:val="00B27BFF"/>
    <w:rsid w:val="00B40917"/>
    <w:rsid w:val="00B5386E"/>
    <w:rsid w:val="00B6509C"/>
    <w:rsid w:val="00B70F65"/>
    <w:rsid w:val="00BA295E"/>
    <w:rsid w:val="00BB7BED"/>
    <w:rsid w:val="00BC1B6A"/>
    <w:rsid w:val="00BC1CB0"/>
    <w:rsid w:val="00C0405A"/>
    <w:rsid w:val="00C12D99"/>
    <w:rsid w:val="00C15708"/>
    <w:rsid w:val="00C20006"/>
    <w:rsid w:val="00C44283"/>
    <w:rsid w:val="00C55DB1"/>
    <w:rsid w:val="00C73F95"/>
    <w:rsid w:val="00C80835"/>
    <w:rsid w:val="00CE3EC4"/>
    <w:rsid w:val="00D008F9"/>
    <w:rsid w:val="00D7399A"/>
    <w:rsid w:val="00DA1FAE"/>
    <w:rsid w:val="00DA709D"/>
    <w:rsid w:val="00DB1482"/>
    <w:rsid w:val="00DB725C"/>
    <w:rsid w:val="00DD7263"/>
    <w:rsid w:val="00DF64DF"/>
    <w:rsid w:val="00E20E0F"/>
    <w:rsid w:val="00E23F40"/>
    <w:rsid w:val="00E41736"/>
    <w:rsid w:val="00E913AB"/>
    <w:rsid w:val="00E93617"/>
    <w:rsid w:val="00EC1C9A"/>
    <w:rsid w:val="00F14056"/>
    <w:rsid w:val="00F7322F"/>
    <w:rsid w:val="00F76109"/>
    <w:rsid w:val="00F84089"/>
    <w:rsid w:val="00FB4929"/>
    <w:rsid w:val="00FC4B6C"/>
    <w:rsid w:val="00FD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5ABFEF"/>
  <w15:chartTrackingRefBased/>
  <w15:docId w15:val="{80471BEE-E965-4560-9F3B-85B3D260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4929"/>
    <w:pPr>
      <w:numPr>
        <w:numId w:val="8"/>
      </w:numPr>
      <w:spacing w:before="180" w:after="240"/>
      <w:jc w:val="both"/>
      <w:outlineLvl w:val="0"/>
    </w:pPr>
    <w:rPr>
      <w:rFonts w:eastAsiaTheme="majorEastAsia" w:cs="Arial"/>
      <w:b/>
      <w:caps/>
      <w:szCs w:val="32"/>
      <w:u w:val="single"/>
    </w:rPr>
  </w:style>
  <w:style w:type="paragraph" w:styleId="Heading2">
    <w:name w:val="heading 2"/>
    <w:basedOn w:val="Normal"/>
    <w:next w:val="Normal"/>
    <w:link w:val="Heading2Char"/>
    <w:uiPriority w:val="9"/>
    <w:unhideWhenUsed/>
    <w:qFormat/>
    <w:rsid w:val="002E6E53"/>
    <w:pPr>
      <w:numPr>
        <w:ilvl w:val="1"/>
        <w:numId w:val="8"/>
      </w:numPr>
      <w:tabs>
        <w:tab w:val="left" w:pos="1440"/>
      </w:tabs>
      <w:spacing w:before="120" w:after="240"/>
      <w:jc w:val="both"/>
      <w:outlineLvl w:val="1"/>
    </w:pPr>
    <w:rPr>
      <w:rFonts w:eastAsiaTheme="majorEastAsia" w:cs="Arial"/>
      <w:b/>
      <w:szCs w:val="26"/>
    </w:rPr>
  </w:style>
  <w:style w:type="paragraph" w:styleId="Heading3">
    <w:name w:val="heading 3"/>
    <w:basedOn w:val="Normal"/>
    <w:next w:val="Normal"/>
    <w:link w:val="Heading3Char"/>
    <w:uiPriority w:val="9"/>
    <w:unhideWhenUsed/>
    <w:qFormat/>
    <w:rsid w:val="002E6E53"/>
    <w:pPr>
      <w:numPr>
        <w:ilvl w:val="2"/>
        <w:numId w:val="8"/>
      </w:numPr>
      <w:tabs>
        <w:tab w:val="left" w:pos="2160"/>
      </w:tabs>
      <w:spacing w:after="240"/>
      <w:jc w:val="both"/>
      <w:outlineLvl w:val="2"/>
    </w:pPr>
    <w:rPr>
      <w:rFonts w:eastAsiaTheme="majorEastAsia" w:cs="Arial"/>
      <w:b/>
    </w:rPr>
  </w:style>
  <w:style w:type="paragraph" w:styleId="Heading4">
    <w:name w:val="heading 4"/>
    <w:basedOn w:val="Normal"/>
    <w:next w:val="Normal"/>
    <w:link w:val="Heading4Char"/>
    <w:uiPriority w:val="9"/>
    <w:semiHidden/>
    <w:unhideWhenUsed/>
    <w:qFormat/>
    <w:rsid w:val="00FB4929"/>
    <w:pPr>
      <w:numPr>
        <w:ilvl w:val="3"/>
        <w:numId w:val="8"/>
      </w:numPr>
      <w:tabs>
        <w:tab w:val="left" w:pos="2880"/>
      </w:tabs>
      <w:spacing w:after="240"/>
      <w:jc w:val="both"/>
      <w:outlineLvl w:val="3"/>
    </w:pPr>
    <w:rPr>
      <w:rFonts w:eastAsiaTheme="majorEastAsia" w:cs="Arial"/>
      <w:b/>
      <w:i/>
      <w:iCs/>
      <w:szCs w:val="22"/>
    </w:rPr>
  </w:style>
  <w:style w:type="paragraph" w:styleId="Heading5">
    <w:name w:val="heading 5"/>
    <w:basedOn w:val="Normal"/>
    <w:next w:val="Normal"/>
    <w:link w:val="Heading5Char"/>
    <w:uiPriority w:val="9"/>
    <w:semiHidden/>
    <w:unhideWhenUsed/>
    <w:qFormat/>
    <w:rsid w:val="00FB4929"/>
    <w:pPr>
      <w:numPr>
        <w:ilvl w:val="4"/>
        <w:numId w:val="8"/>
      </w:numPr>
      <w:tabs>
        <w:tab w:val="left" w:pos="3600"/>
      </w:tabs>
      <w:spacing w:after="240"/>
      <w:jc w:val="both"/>
      <w:outlineLvl w:val="4"/>
    </w:pPr>
    <w:rPr>
      <w:rFonts w:eastAsiaTheme="majorEastAsia" w:cs="Arial"/>
      <w:color w:val="243F60" w:themeColor="accent1" w:themeShade="7F"/>
      <w:szCs w:val="22"/>
    </w:rPr>
  </w:style>
  <w:style w:type="paragraph" w:styleId="Heading6">
    <w:name w:val="heading 6"/>
    <w:basedOn w:val="Normal"/>
    <w:next w:val="Normal"/>
    <w:link w:val="Heading6Char"/>
    <w:uiPriority w:val="9"/>
    <w:semiHidden/>
    <w:unhideWhenUsed/>
    <w:qFormat/>
    <w:rsid w:val="00FB4929"/>
    <w:pPr>
      <w:numPr>
        <w:ilvl w:val="5"/>
        <w:numId w:val="8"/>
      </w:numPr>
      <w:tabs>
        <w:tab w:val="left" w:pos="4320"/>
      </w:tabs>
      <w:spacing w:after="240"/>
      <w:jc w:val="both"/>
      <w:outlineLvl w:val="5"/>
    </w:pPr>
    <w:rPr>
      <w:rFonts w:eastAsiaTheme="majorEastAsia" w:cs="Arial"/>
      <w:color w:val="243F60" w:themeColor="accent1" w:themeShade="7F"/>
      <w:szCs w:val="22"/>
    </w:rPr>
  </w:style>
  <w:style w:type="paragraph" w:styleId="Heading7">
    <w:name w:val="heading 7"/>
    <w:basedOn w:val="Normal"/>
    <w:next w:val="Normal"/>
    <w:link w:val="Heading7Char"/>
    <w:uiPriority w:val="9"/>
    <w:semiHidden/>
    <w:unhideWhenUsed/>
    <w:qFormat/>
    <w:rsid w:val="00FB4929"/>
    <w:pPr>
      <w:numPr>
        <w:ilvl w:val="6"/>
        <w:numId w:val="8"/>
      </w:numPr>
      <w:tabs>
        <w:tab w:val="left" w:pos="5040"/>
      </w:tabs>
      <w:spacing w:after="240"/>
      <w:jc w:val="both"/>
      <w:outlineLvl w:val="6"/>
    </w:pPr>
    <w:rPr>
      <w:rFonts w:eastAsiaTheme="majorEastAsia" w:cs="Arial"/>
      <w:iCs/>
      <w:color w:val="404040" w:themeColor="text1" w:themeTint="BF"/>
      <w:szCs w:val="22"/>
    </w:rPr>
  </w:style>
  <w:style w:type="paragraph" w:styleId="Heading8">
    <w:name w:val="heading 8"/>
    <w:basedOn w:val="Normal"/>
    <w:next w:val="Normal"/>
    <w:link w:val="Heading8Char"/>
    <w:uiPriority w:val="9"/>
    <w:semiHidden/>
    <w:unhideWhenUsed/>
    <w:qFormat/>
    <w:rsid w:val="00FB4929"/>
    <w:pPr>
      <w:numPr>
        <w:ilvl w:val="7"/>
        <w:numId w:val="8"/>
      </w:numPr>
      <w:tabs>
        <w:tab w:val="left" w:pos="5760"/>
      </w:tabs>
      <w:spacing w:after="240"/>
      <w:jc w:val="both"/>
      <w:outlineLvl w:val="7"/>
    </w:pPr>
    <w:rPr>
      <w:rFonts w:eastAsiaTheme="majorEastAsia" w:cs="Arial"/>
      <w:color w:val="404040" w:themeColor="text1" w:themeTint="BF"/>
      <w:szCs w:val="21"/>
    </w:rPr>
  </w:style>
  <w:style w:type="paragraph" w:styleId="Heading9">
    <w:name w:val="heading 9"/>
    <w:basedOn w:val="Normal"/>
    <w:next w:val="Normal"/>
    <w:link w:val="Heading9Char"/>
    <w:uiPriority w:val="9"/>
    <w:semiHidden/>
    <w:unhideWhenUsed/>
    <w:qFormat/>
    <w:rsid w:val="00FB4929"/>
    <w:pPr>
      <w:numPr>
        <w:ilvl w:val="8"/>
        <w:numId w:val="8"/>
      </w:numPr>
      <w:tabs>
        <w:tab w:val="left" w:pos="6480"/>
      </w:tabs>
      <w:spacing w:after="240"/>
      <w:jc w:val="both"/>
      <w:outlineLvl w:val="8"/>
    </w:pPr>
    <w:rPr>
      <w:rFonts w:eastAsiaTheme="majorEastAsia" w:cs="Arial"/>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3AB"/>
    <w:pPr>
      <w:tabs>
        <w:tab w:val="center" w:pos="4680"/>
        <w:tab w:val="right" w:pos="9360"/>
      </w:tabs>
    </w:pPr>
  </w:style>
  <w:style w:type="character" w:customStyle="1" w:styleId="HeaderChar">
    <w:name w:val="Header Char"/>
    <w:basedOn w:val="DefaultParagraphFont"/>
    <w:link w:val="Header"/>
    <w:uiPriority w:val="99"/>
    <w:rsid w:val="00E913AB"/>
  </w:style>
  <w:style w:type="paragraph" w:styleId="Footer">
    <w:name w:val="footer"/>
    <w:basedOn w:val="Normal"/>
    <w:link w:val="FooterChar"/>
    <w:uiPriority w:val="99"/>
    <w:unhideWhenUsed/>
    <w:rsid w:val="00E913AB"/>
    <w:pPr>
      <w:tabs>
        <w:tab w:val="center" w:pos="4680"/>
        <w:tab w:val="right" w:pos="9360"/>
      </w:tabs>
    </w:pPr>
  </w:style>
  <w:style w:type="character" w:customStyle="1" w:styleId="FooterChar">
    <w:name w:val="Footer Char"/>
    <w:basedOn w:val="DefaultParagraphFont"/>
    <w:link w:val="Footer"/>
    <w:uiPriority w:val="99"/>
    <w:rsid w:val="00E913AB"/>
  </w:style>
  <w:style w:type="character" w:customStyle="1" w:styleId="Heading1Char">
    <w:name w:val="Heading 1 Char"/>
    <w:basedOn w:val="DefaultParagraphFont"/>
    <w:link w:val="Heading1"/>
    <w:uiPriority w:val="9"/>
    <w:rsid w:val="00060013"/>
    <w:rPr>
      <w:rFonts w:eastAsiaTheme="majorEastAsia" w:cs="Arial"/>
      <w:b/>
      <w:caps/>
      <w:szCs w:val="32"/>
      <w:u w:val="single"/>
    </w:rPr>
  </w:style>
  <w:style w:type="paragraph" w:styleId="ListParagraph">
    <w:name w:val="List Paragraph"/>
    <w:basedOn w:val="Normal"/>
    <w:uiPriority w:val="34"/>
    <w:qFormat/>
    <w:rsid w:val="006F2748"/>
    <w:pPr>
      <w:ind w:left="720"/>
      <w:contextualSpacing/>
    </w:pPr>
  </w:style>
  <w:style w:type="paragraph" w:styleId="FootnoteText">
    <w:name w:val="footnote text"/>
    <w:basedOn w:val="Normal"/>
    <w:link w:val="FootnoteTextChar"/>
    <w:uiPriority w:val="99"/>
    <w:semiHidden/>
    <w:unhideWhenUsed/>
    <w:rsid w:val="00C12D99"/>
    <w:rPr>
      <w:sz w:val="20"/>
      <w:szCs w:val="20"/>
    </w:rPr>
  </w:style>
  <w:style w:type="character" w:customStyle="1" w:styleId="FootnoteTextChar">
    <w:name w:val="Footnote Text Char"/>
    <w:basedOn w:val="DefaultParagraphFont"/>
    <w:link w:val="FootnoteText"/>
    <w:uiPriority w:val="99"/>
    <w:semiHidden/>
    <w:rsid w:val="00C12D99"/>
    <w:rPr>
      <w:sz w:val="20"/>
      <w:szCs w:val="20"/>
    </w:rPr>
  </w:style>
  <w:style w:type="character" w:styleId="FootnoteReference">
    <w:name w:val="footnote reference"/>
    <w:basedOn w:val="DefaultParagraphFont"/>
    <w:uiPriority w:val="99"/>
    <w:semiHidden/>
    <w:unhideWhenUsed/>
    <w:rsid w:val="00C12D99"/>
    <w:rPr>
      <w:vertAlign w:val="superscript"/>
    </w:rPr>
  </w:style>
  <w:style w:type="character" w:customStyle="1" w:styleId="Heading2Char">
    <w:name w:val="Heading 2 Char"/>
    <w:basedOn w:val="DefaultParagraphFont"/>
    <w:link w:val="Heading2"/>
    <w:uiPriority w:val="9"/>
    <w:rsid w:val="002E6E53"/>
    <w:rPr>
      <w:rFonts w:eastAsiaTheme="majorEastAsia" w:cs="Arial"/>
      <w:b/>
      <w:szCs w:val="26"/>
    </w:rPr>
  </w:style>
  <w:style w:type="character" w:customStyle="1" w:styleId="Heading3Char">
    <w:name w:val="Heading 3 Char"/>
    <w:basedOn w:val="DefaultParagraphFont"/>
    <w:link w:val="Heading3"/>
    <w:uiPriority w:val="9"/>
    <w:rsid w:val="002E6E53"/>
    <w:rPr>
      <w:rFonts w:eastAsiaTheme="majorEastAsia" w:cs="Arial"/>
      <w:b/>
    </w:rPr>
  </w:style>
  <w:style w:type="character" w:customStyle="1" w:styleId="Heading4Char">
    <w:name w:val="Heading 4 Char"/>
    <w:basedOn w:val="DefaultParagraphFont"/>
    <w:link w:val="Heading4"/>
    <w:uiPriority w:val="9"/>
    <w:semiHidden/>
    <w:rsid w:val="00C73F95"/>
    <w:rPr>
      <w:rFonts w:eastAsiaTheme="majorEastAsia" w:cs="Arial"/>
      <w:b/>
      <w:i/>
      <w:iCs/>
      <w:szCs w:val="22"/>
    </w:rPr>
  </w:style>
  <w:style w:type="character" w:customStyle="1" w:styleId="Heading5Char">
    <w:name w:val="Heading 5 Char"/>
    <w:basedOn w:val="DefaultParagraphFont"/>
    <w:link w:val="Heading5"/>
    <w:uiPriority w:val="9"/>
    <w:semiHidden/>
    <w:rsid w:val="00C73F95"/>
    <w:rPr>
      <w:rFonts w:eastAsiaTheme="majorEastAsia" w:cs="Arial"/>
      <w:color w:val="243F60" w:themeColor="accent1" w:themeShade="7F"/>
      <w:szCs w:val="22"/>
    </w:rPr>
  </w:style>
  <w:style w:type="character" w:customStyle="1" w:styleId="Heading6Char">
    <w:name w:val="Heading 6 Char"/>
    <w:basedOn w:val="DefaultParagraphFont"/>
    <w:link w:val="Heading6"/>
    <w:uiPriority w:val="9"/>
    <w:semiHidden/>
    <w:rsid w:val="00C73F95"/>
    <w:rPr>
      <w:rFonts w:eastAsiaTheme="majorEastAsia" w:cs="Arial"/>
      <w:color w:val="243F60" w:themeColor="accent1" w:themeShade="7F"/>
      <w:szCs w:val="22"/>
    </w:rPr>
  </w:style>
  <w:style w:type="character" w:customStyle="1" w:styleId="Heading7Char">
    <w:name w:val="Heading 7 Char"/>
    <w:basedOn w:val="DefaultParagraphFont"/>
    <w:link w:val="Heading7"/>
    <w:uiPriority w:val="9"/>
    <w:semiHidden/>
    <w:rsid w:val="00C73F95"/>
    <w:rPr>
      <w:rFonts w:eastAsiaTheme="majorEastAsia" w:cs="Arial"/>
      <w:iCs/>
      <w:color w:val="404040" w:themeColor="text1" w:themeTint="BF"/>
      <w:szCs w:val="22"/>
    </w:rPr>
  </w:style>
  <w:style w:type="character" w:customStyle="1" w:styleId="Heading8Char">
    <w:name w:val="Heading 8 Char"/>
    <w:basedOn w:val="DefaultParagraphFont"/>
    <w:link w:val="Heading8"/>
    <w:uiPriority w:val="9"/>
    <w:semiHidden/>
    <w:rsid w:val="00C73F95"/>
    <w:rPr>
      <w:rFonts w:eastAsiaTheme="majorEastAsia" w:cs="Arial"/>
      <w:color w:val="404040" w:themeColor="text1" w:themeTint="BF"/>
      <w:szCs w:val="21"/>
    </w:rPr>
  </w:style>
  <w:style w:type="character" w:customStyle="1" w:styleId="Heading9Char">
    <w:name w:val="Heading 9 Char"/>
    <w:basedOn w:val="DefaultParagraphFont"/>
    <w:link w:val="Heading9"/>
    <w:uiPriority w:val="9"/>
    <w:semiHidden/>
    <w:rsid w:val="00C73F95"/>
    <w:rPr>
      <w:rFonts w:eastAsiaTheme="majorEastAsia" w:cs="Arial"/>
      <w:iCs/>
      <w:color w:val="404040" w:themeColor="text1" w:themeTint="BF"/>
      <w:szCs w:val="21"/>
    </w:rPr>
  </w:style>
  <w:style w:type="paragraph" w:styleId="BalloonText">
    <w:name w:val="Balloon Text"/>
    <w:basedOn w:val="Normal"/>
    <w:link w:val="BalloonTextChar"/>
    <w:uiPriority w:val="99"/>
    <w:semiHidden/>
    <w:unhideWhenUsed/>
    <w:rsid w:val="00C442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283"/>
    <w:rPr>
      <w:rFonts w:ascii="Segoe UI" w:hAnsi="Segoe UI" w:cs="Segoe UI"/>
      <w:sz w:val="18"/>
      <w:szCs w:val="18"/>
    </w:rPr>
  </w:style>
  <w:style w:type="character" w:styleId="PageNumber">
    <w:name w:val="page number"/>
    <w:basedOn w:val="DefaultParagraphFont"/>
    <w:rsid w:val="009228A1"/>
  </w:style>
  <w:style w:type="character" w:styleId="CommentReference">
    <w:name w:val="annotation reference"/>
    <w:basedOn w:val="DefaultParagraphFont"/>
    <w:uiPriority w:val="99"/>
    <w:semiHidden/>
    <w:unhideWhenUsed/>
    <w:rsid w:val="00BA295E"/>
    <w:rPr>
      <w:sz w:val="16"/>
      <w:szCs w:val="16"/>
    </w:rPr>
  </w:style>
  <w:style w:type="paragraph" w:styleId="CommentText">
    <w:name w:val="annotation text"/>
    <w:basedOn w:val="Normal"/>
    <w:link w:val="CommentTextChar"/>
    <w:uiPriority w:val="99"/>
    <w:semiHidden/>
    <w:unhideWhenUsed/>
    <w:rsid w:val="00BA295E"/>
    <w:rPr>
      <w:sz w:val="20"/>
      <w:szCs w:val="20"/>
    </w:rPr>
  </w:style>
  <w:style w:type="character" w:customStyle="1" w:styleId="CommentTextChar">
    <w:name w:val="Comment Text Char"/>
    <w:basedOn w:val="DefaultParagraphFont"/>
    <w:link w:val="CommentText"/>
    <w:uiPriority w:val="99"/>
    <w:semiHidden/>
    <w:rsid w:val="00BA295E"/>
    <w:rPr>
      <w:sz w:val="20"/>
      <w:szCs w:val="20"/>
    </w:rPr>
  </w:style>
  <w:style w:type="paragraph" w:styleId="CommentSubject">
    <w:name w:val="annotation subject"/>
    <w:basedOn w:val="CommentText"/>
    <w:next w:val="CommentText"/>
    <w:link w:val="CommentSubjectChar"/>
    <w:uiPriority w:val="99"/>
    <w:semiHidden/>
    <w:unhideWhenUsed/>
    <w:rsid w:val="00BA295E"/>
    <w:rPr>
      <w:b/>
      <w:bCs/>
    </w:rPr>
  </w:style>
  <w:style w:type="character" w:customStyle="1" w:styleId="CommentSubjectChar">
    <w:name w:val="Comment Subject Char"/>
    <w:basedOn w:val="CommentTextChar"/>
    <w:link w:val="CommentSubject"/>
    <w:uiPriority w:val="99"/>
    <w:semiHidden/>
    <w:rsid w:val="00BA295E"/>
    <w:rPr>
      <w:b/>
      <w:bCs/>
      <w:sz w:val="20"/>
      <w:szCs w:val="20"/>
    </w:rPr>
  </w:style>
  <w:style w:type="paragraph" w:styleId="TOC1">
    <w:name w:val="toc 1"/>
    <w:basedOn w:val="Normal"/>
    <w:next w:val="Normal"/>
    <w:autoRedefine/>
    <w:uiPriority w:val="39"/>
    <w:unhideWhenUsed/>
    <w:rsid w:val="00D008F9"/>
    <w:pPr>
      <w:tabs>
        <w:tab w:val="right" w:leader="dot" w:pos="9350"/>
      </w:tabs>
      <w:spacing w:after="100"/>
      <w:ind w:left="720" w:hanging="720"/>
    </w:pPr>
  </w:style>
  <w:style w:type="paragraph" w:styleId="TOC2">
    <w:name w:val="toc 2"/>
    <w:basedOn w:val="Normal"/>
    <w:next w:val="Normal"/>
    <w:autoRedefine/>
    <w:uiPriority w:val="39"/>
    <w:unhideWhenUsed/>
    <w:rsid w:val="00D008F9"/>
    <w:pPr>
      <w:spacing w:after="100"/>
      <w:ind w:left="1440" w:right="720" w:hanging="720"/>
    </w:pPr>
  </w:style>
  <w:style w:type="paragraph" w:styleId="TOC3">
    <w:name w:val="toc 3"/>
    <w:basedOn w:val="Normal"/>
    <w:next w:val="Normal"/>
    <w:autoRedefine/>
    <w:uiPriority w:val="39"/>
    <w:unhideWhenUsed/>
    <w:rsid w:val="00D008F9"/>
    <w:pPr>
      <w:spacing w:after="100"/>
      <w:ind w:left="2160" w:right="720" w:hanging="720"/>
    </w:pPr>
  </w:style>
  <w:style w:type="character" w:styleId="Hyperlink">
    <w:name w:val="Hyperlink"/>
    <w:basedOn w:val="DefaultParagraphFont"/>
    <w:uiPriority w:val="99"/>
    <w:unhideWhenUsed/>
    <w:rsid w:val="00D008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11919">
      <w:bodyDiv w:val="1"/>
      <w:marLeft w:val="0"/>
      <w:marRight w:val="0"/>
      <w:marTop w:val="0"/>
      <w:marBottom w:val="0"/>
      <w:divBdr>
        <w:top w:val="none" w:sz="0" w:space="0" w:color="auto"/>
        <w:left w:val="none" w:sz="0" w:space="0" w:color="auto"/>
        <w:bottom w:val="none" w:sz="0" w:space="0" w:color="auto"/>
        <w:right w:val="none" w:sz="0" w:space="0" w:color="auto"/>
      </w:divBdr>
    </w:div>
    <w:div w:id="466972380">
      <w:bodyDiv w:val="1"/>
      <w:marLeft w:val="0"/>
      <w:marRight w:val="0"/>
      <w:marTop w:val="0"/>
      <w:marBottom w:val="0"/>
      <w:divBdr>
        <w:top w:val="none" w:sz="0" w:space="0" w:color="auto"/>
        <w:left w:val="none" w:sz="0" w:space="0" w:color="auto"/>
        <w:bottom w:val="none" w:sz="0" w:space="0" w:color="auto"/>
        <w:right w:val="none" w:sz="0" w:space="0" w:color="auto"/>
      </w:divBdr>
    </w:div>
    <w:div w:id="7148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42697-BF85-4664-B7CE-7E802BF8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2298</Words>
  <Characters>13110</Characters>
  <Application>Microsoft Office Word</Application>
  <DocSecurity>0</DocSecurity>
  <PresentationFormat>15|.DOCX</PresentationFormat>
  <Lines>354</Lines>
  <Paragraphs>170</Paragraphs>
  <ScaleCrop>false</ScaleCrop>
  <HeadingPairs>
    <vt:vector size="2" baseType="variant">
      <vt:variant>
        <vt:lpstr>Title</vt:lpstr>
      </vt:variant>
      <vt:variant>
        <vt:i4>1</vt:i4>
      </vt:variant>
    </vt:vector>
  </HeadingPairs>
  <TitlesOfParts>
    <vt:vector size="1" baseType="lpstr">
      <vt:lpstr>17-1377-EL-USF IEU-Ohio Memo Contra OPAE USF Rehearing (C0106409-3).DOCX</vt:lpstr>
    </vt:vector>
  </TitlesOfParts>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17-1377-EL-USF IEU-Ohio Memo Contra OPAE USF Rehearing (C0106409-3).DOCX</dc:title>
  <dc:subject>C0106409:3</dc:subject>
  <dc:creator>Ryan, Debbie</dc:creator>
  <cp:keywords/>
  <dc:description/>
  <cp:lastModifiedBy>Ryan, Debbie</cp:lastModifiedBy>
  <cp:revision>4</cp:revision>
  <cp:lastPrinted>2017-11-14T22:17:00Z</cp:lastPrinted>
  <dcterms:created xsi:type="dcterms:W3CDTF">2017-11-20T19:00:00Z</dcterms:created>
  <dcterms:modified xsi:type="dcterms:W3CDTF">2017-11-20T19:06:00Z</dcterms:modified>
</cp:coreProperties>
</file>