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71" w:rsidRPr="009D71F6" w:rsidRDefault="000D2976" w:rsidP="002F7871">
      <w:pPr>
        <w:pStyle w:val="Title"/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F7871" w:rsidRPr="009D71F6">
        <w:rPr>
          <w:rFonts w:ascii="Arial" w:hAnsi="Arial" w:cs="Arial"/>
          <w:szCs w:val="24"/>
        </w:rPr>
        <w:t>BEFORE</w:t>
      </w:r>
    </w:p>
    <w:p w:rsidR="002F7871" w:rsidRPr="009D71F6" w:rsidRDefault="002F7871" w:rsidP="002F787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F7871" w:rsidRPr="009D71F6" w:rsidTr="00792F02">
        <w:trPr>
          <w:trHeight w:val="873"/>
          <w:jc w:val="center"/>
        </w:trPr>
        <w:tc>
          <w:tcPr>
            <w:tcW w:w="4739" w:type="dxa"/>
          </w:tcPr>
          <w:p w:rsidR="002F7871" w:rsidRPr="009D71F6" w:rsidRDefault="002F7871" w:rsidP="00792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327BC6">
              <w:rPr>
                <w:rFonts w:ascii="Arial" w:hAnsi="Arial" w:cs="Arial"/>
                <w:sz w:val="24"/>
                <w:szCs w:val="24"/>
              </w:rPr>
              <w:t>Ohio Power Company to Update Its Alternative Energy Rider and Auction Cost Reconciliation Rider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2F7871" w:rsidRPr="00561663" w:rsidRDefault="002F7871" w:rsidP="00792F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F7871" w:rsidRPr="00561663" w:rsidRDefault="002F7871" w:rsidP="00792F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F7871" w:rsidRDefault="002F7871" w:rsidP="00792F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F7871" w:rsidRPr="009D71F6" w:rsidRDefault="002F7871" w:rsidP="00792F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:rsidR="002F7871" w:rsidRPr="00561663" w:rsidRDefault="002F7871" w:rsidP="00792F0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7871" w:rsidRPr="00561663" w:rsidRDefault="002F7871" w:rsidP="00792F0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327BC6">
              <w:rPr>
                <w:rFonts w:ascii="Arial" w:hAnsi="Arial" w:cs="Arial"/>
                <w:sz w:val="24"/>
                <w:szCs w:val="24"/>
              </w:rPr>
              <w:t>15-1052-EL-RDR</w:t>
            </w:r>
          </w:p>
          <w:p w:rsidR="002F7871" w:rsidRDefault="002F7871" w:rsidP="00792F0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7871" w:rsidRPr="009D71F6" w:rsidRDefault="002F7871" w:rsidP="00792F0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0875" w:rsidRDefault="001D0875" w:rsidP="00DD40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CONTRA</w:t>
      </w:r>
      <w:r w:rsidR="00DD4055">
        <w:rPr>
          <w:rFonts w:ascii="Arial" w:hAnsi="Arial" w:cs="Arial"/>
          <w:b/>
          <w:bCs/>
          <w:sz w:val="24"/>
          <w:szCs w:val="24"/>
        </w:rPr>
        <w:t xml:space="preserve"> OF INTERSTATE GAS SUP</w:t>
      </w:r>
      <w:r w:rsidR="009C154A">
        <w:rPr>
          <w:rFonts w:ascii="Arial" w:hAnsi="Arial" w:cs="Arial"/>
          <w:b/>
          <w:bCs/>
          <w:sz w:val="24"/>
          <w:szCs w:val="24"/>
        </w:rPr>
        <w:t>P</w:t>
      </w:r>
      <w:r w:rsidR="00DD4055">
        <w:rPr>
          <w:rFonts w:ascii="Arial" w:hAnsi="Arial" w:cs="Arial"/>
          <w:b/>
          <w:bCs/>
          <w:sz w:val="24"/>
          <w:szCs w:val="24"/>
        </w:rPr>
        <w:t>LY</w:t>
      </w:r>
      <w:r w:rsidR="001D6FD0">
        <w:rPr>
          <w:rFonts w:ascii="Arial" w:hAnsi="Arial" w:cs="Arial"/>
          <w:b/>
          <w:bCs/>
          <w:sz w:val="24"/>
          <w:szCs w:val="24"/>
        </w:rPr>
        <w:t>,</w:t>
      </w:r>
      <w:r w:rsidR="009C154A">
        <w:rPr>
          <w:rFonts w:ascii="Arial" w:hAnsi="Arial" w:cs="Arial"/>
          <w:b/>
          <w:bCs/>
          <w:sz w:val="24"/>
          <w:szCs w:val="24"/>
        </w:rPr>
        <w:t xml:space="preserve"> INC.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22AA2">
        <w:rPr>
          <w:rFonts w:ascii="Arial" w:hAnsi="Arial" w:cs="Arial"/>
          <w:b/>
          <w:bCs/>
          <w:sz w:val="24"/>
          <w:szCs w:val="24"/>
        </w:rPr>
        <w:t>THE OFFICE OF THE OHIO CONSUMERS’ COUNSEL</w:t>
      </w:r>
      <w:r>
        <w:rPr>
          <w:rFonts w:ascii="Arial" w:hAnsi="Arial" w:cs="Arial"/>
          <w:b/>
          <w:bCs/>
          <w:sz w:val="24"/>
          <w:szCs w:val="24"/>
        </w:rPr>
        <w:t xml:space="preserve">’S MOTION TO STRIKE </w:t>
      </w:r>
    </w:p>
    <w:p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2F7871" w:rsidRDefault="002F7871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:rsidR="002F7871" w:rsidRDefault="002F7871" w:rsidP="002F78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7871" w:rsidRDefault="002F7871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C67915" w:rsidRDefault="00C67915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C67915" w:rsidRDefault="00C67915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C67915" w:rsidRDefault="00C67915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C67915" w:rsidRDefault="00C67915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C67915" w:rsidRDefault="00C67915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C67915" w:rsidRDefault="00C67915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Joseph Oliker (0086088)</w:t>
      </w:r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Counsel of Record</w:t>
      </w:r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A53F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Michael Nugent (0090408)</w:t>
      </w:r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Email: mnugent@igsenergy.com</w:t>
      </w:r>
    </w:p>
    <w:p w:rsidR="00927C41" w:rsidRPr="000A53F2" w:rsidRDefault="00927C41" w:rsidP="00927C4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IGS Energy</w:t>
      </w:r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6100 Emerald Parkway</w:t>
      </w:r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Dublin, Ohio 43016</w:t>
      </w:r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Telephone:</w:t>
      </w:r>
      <w:r w:rsidRPr="000A53F2">
        <w:rPr>
          <w:rFonts w:ascii="Arial" w:hAnsi="Arial" w:cs="Arial"/>
          <w:sz w:val="24"/>
          <w:szCs w:val="24"/>
        </w:rPr>
        <w:tab/>
        <w:t>(614) 659-5000</w:t>
      </w:r>
    </w:p>
    <w:p w:rsidR="00927C41" w:rsidRPr="000A53F2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0A53F2">
        <w:rPr>
          <w:rFonts w:ascii="Arial" w:hAnsi="Arial" w:cs="Arial"/>
          <w:sz w:val="24"/>
          <w:szCs w:val="24"/>
        </w:rPr>
        <w:t>Facsimile:</w:t>
      </w:r>
      <w:r w:rsidRPr="000A53F2">
        <w:rPr>
          <w:rFonts w:ascii="Arial" w:hAnsi="Arial" w:cs="Arial"/>
          <w:sz w:val="24"/>
          <w:szCs w:val="24"/>
        </w:rPr>
        <w:tab/>
        <w:t>(614) 659-5073</w:t>
      </w:r>
    </w:p>
    <w:p w:rsidR="00927C41" w:rsidRPr="00AE1373" w:rsidRDefault="00927C41" w:rsidP="00927C4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:rsidR="002F7871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C5148C" w:rsidRDefault="00C5148C" w:rsidP="00D1328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4BD1" w:rsidRDefault="00C84BD1" w:rsidP="00C6791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:rsidR="002F7871" w:rsidRPr="009D71F6" w:rsidRDefault="002F7871" w:rsidP="002F7871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:rsidR="002F7871" w:rsidRPr="009D71F6" w:rsidRDefault="002F7871" w:rsidP="002F787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F7871" w:rsidRPr="009D71F6" w:rsidTr="001C35EC">
        <w:trPr>
          <w:trHeight w:val="1188"/>
          <w:jc w:val="center"/>
        </w:trPr>
        <w:tc>
          <w:tcPr>
            <w:tcW w:w="4739" w:type="dxa"/>
          </w:tcPr>
          <w:p w:rsidR="002F7871" w:rsidRPr="009D71F6" w:rsidRDefault="001C35EC" w:rsidP="00792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</w:t>
            </w:r>
            <w:r>
              <w:rPr>
                <w:rFonts w:ascii="Arial" w:hAnsi="Arial" w:cs="Arial"/>
                <w:sz w:val="24"/>
                <w:szCs w:val="24"/>
              </w:rPr>
              <w:t>of Ohio Power Company to Update Its Alternative Energy Rider and Auction Cost Reconciliation Rider</w:t>
            </w:r>
            <w:r w:rsidR="002F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2F7871" w:rsidRPr="00561663" w:rsidRDefault="002F7871" w:rsidP="00792F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F7871" w:rsidRPr="00561663" w:rsidRDefault="002F7871" w:rsidP="00792F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F7871" w:rsidRDefault="002F7871" w:rsidP="00792F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F7871" w:rsidRPr="009D71F6" w:rsidRDefault="002F7871" w:rsidP="00792F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:rsidR="002F7871" w:rsidRPr="00561663" w:rsidRDefault="002F7871" w:rsidP="00792F0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7871" w:rsidRPr="00561663" w:rsidRDefault="002F7871" w:rsidP="00792F0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1C35EC">
              <w:rPr>
                <w:rFonts w:ascii="Arial" w:hAnsi="Arial" w:cs="Arial"/>
                <w:sz w:val="24"/>
                <w:szCs w:val="24"/>
              </w:rPr>
              <w:t>15-1052-EL-RDR</w:t>
            </w:r>
          </w:p>
          <w:p w:rsidR="002F7871" w:rsidRDefault="002F7871" w:rsidP="00792F0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7871" w:rsidRPr="009D71F6" w:rsidRDefault="002F7871" w:rsidP="00792F0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F9F" w:rsidRPr="009D71F6" w:rsidRDefault="00732F9F" w:rsidP="00732F9F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2AA2" w:rsidRDefault="00222AA2" w:rsidP="007F01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MEMORANDUM CONTRA </w:t>
      </w:r>
      <w:r w:rsidRPr="00222AA2">
        <w:rPr>
          <w:rFonts w:ascii="Arial" w:hAnsi="Arial" w:cs="Arial"/>
          <w:b/>
          <w:bCs/>
          <w:sz w:val="24"/>
          <w:szCs w:val="24"/>
        </w:rPr>
        <w:t>THE OFFICE OF THE OHIO CONSUMERS’ COUNSEL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="00D9407D">
        <w:rPr>
          <w:rFonts w:ascii="Arial" w:hAnsi="Arial" w:cs="Arial"/>
          <w:b/>
          <w:bCs/>
          <w:sz w:val="24"/>
          <w:szCs w:val="24"/>
        </w:rPr>
        <w:t>S MOTION TO STRIKE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2AA2" w:rsidRDefault="00222AA2" w:rsidP="007F01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</w:t>
      </w:r>
    </w:p>
    <w:p w:rsidR="007F0120" w:rsidRDefault="007F0120" w:rsidP="007F01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INTERSTATE GAS SUPPLY, INC. </w:t>
      </w:r>
    </w:p>
    <w:p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16164" w:rsidRPr="00316164" w:rsidRDefault="00316164" w:rsidP="00316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D834F3" w:rsidRDefault="0025770D" w:rsidP="001B59F6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May 25, 2018, Interstate Gas Supply, Inc. (“IGS”)</w:t>
      </w:r>
      <w:r w:rsidR="001D0875">
        <w:rPr>
          <w:rFonts w:ascii="Arial" w:hAnsi="Arial" w:cs="Arial"/>
          <w:sz w:val="24"/>
          <w:szCs w:val="24"/>
        </w:rPr>
        <w:t xml:space="preserve"> filed </w:t>
      </w:r>
      <w:r w:rsidR="00C2304E">
        <w:rPr>
          <w:rFonts w:ascii="Arial" w:hAnsi="Arial" w:cs="Arial"/>
          <w:sz w:val="24"/>
          <w:szCs w:val="24"/>
        </w:rPr>
        <w:t>initial c</w:t>
      </w:r>
      <w:r w:rsidR="00D834F3">
        <w:rPr>
          <w:rFonts w:ascii="Arial" w:hAnsi="Arial" w:cs="Arial"/>
          <w:sz w:val="24"/>
          <w:szCs w:val="24"/>
        </w:rPr>
        <w:t xml:space="preserve">omments as set forth in the procedural schedule </w:t>
      </w:r>
      <w:r w:rsidR="00D9407D">
        <w:rPr>
          <w:rFonts w:ascii="Arial" w:hAnsi="Arial" w:cs="Arial"/>
          <w:sz w:val="24"/>
          <w:szCs w:val="24"/>
        </w:rPr>
        <w:t>approved</w:t>
      </w:r>
      <w:r w:rsidR="00D834F3">
        <w:rPr>
          <w:rFonts w:ascii="Arial" w:hAnsi="Arial" w:cs="Arial"/>
          <w:sz w:val="24"/>
          <w:szCs w:val="24"/>
        </w:rPr>
        <w:t xml:space="preserve"> on April 30, 2018. IGS’ comments</w:t>
      </w:r>
      <w:r w:rsidR="001D0875">
        <w:rPr>
          <w:rFonts w:ascii="Arial" w:hAnsi="Arial" w:cs="Arial"/>
          <w:sz w:val="24"/>
          <w:szCs w:val="24"/>
        </w:rPr>
        <w:t xml:space="preserve"> set forth a position not reflected in the comments provided by any other party.  </w:t>
      </w:r>
      <w:r w:rsidR="00C2304E">
        <w:rPr>
          <w:rFonts w:ascii="Arial" w:hAnsi="Arial" w:cs="Arial"/>
          <w:sz w:val="24"/>
          <w:szCs w:val="24"/>
        </w:rPr>
        <w:t>Due to a clerical error</w:t>
      </w:r>
      <w:r w:rsidR="00BB4412">
        <w:rPr>
          <w:rFonts w:ascii="Arial" w:hAnsi="Arial" w:cs="Arial"/>
          <w:sz w:val="24"/>
          <w:szCs w:val="24"/>
        </w:rPr>
        <w:t xml:space="preserve"> IGS was unaware that its motion to intervene was due seven days prior; therefore, IGS</w:t>
      </w:r>
      <w:r w:rsidR="00C2304E">
        <w:rPr>
          <w:rFonts w:ascii="Arial" w:hAnsi="Arial" w:cs="Arial"/>
          <w:sz w:val="24"/>
          <w:szCs w:val="24"/>
        </w:rPr>
        <w:t xml:space="preserve"> filed its </w:t>
      </w:r>
      <w:r w:rsidR="00BB4412">
        <w:rPr>
          <w:rFonts w:ascii="Arial" w:hAnsi="Arial" w:cs="Arial"/>
          <w:sz w:val="24"/>
          <w:szCs w:val="24"/>
        </w:rPr>
        <w:t>motion to intervene simultaneously with its comments</w:t>
      </w:r>
      <w:r w:rsidR="00C2304E">
        <w:rPr>
          <w:rFonts w:ascii="Arial" w:hAnsi="Arial" w:cs="Arial"/>
          <w:sz w:val="24"/>
          <w:szCs w:val="24"/>
        </w:rPr>
        <w:t>.</w:t>
      </w:r>
      <w:r w:rsidR="00C2304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C2304E">
        <w:rPr>
          <w:rFonts w:ascii="Arial" w:hAnsi="Arial" w:cs="Arial"/>
          <w:sz w:val="24"/>
          <w:szCs w:val="24"/>
        </w:rPr>
        <w:t xml:space="preserve"> </w:t>
      </w:r>
    </w:p>
    <w:p w:rsidR="00C2304E" w:rsidRDefault="00C2304E" w:rsidP="00AC08B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June 8, 2018, the Office of the Ohio Consumer’s Counsel (“OCC”) </w:t>
      </w:r>
      <w:r w:rsidR="00316164">
        <w:rPr>
          <w:rFonts w:ascii="Arial" w:hAnsi="Arial" w:cs="Arial"/>
          <w:sz w:val="24"/>
          <w:szCs w:val="24"/>
        </w:rPr>
        <w:t xml:space="preserve">filed a </w:t>
      </w:r>
      <w:r>
        <w:rPr>
          <w:rFonts w:ascii="Arial" w:hAnsi="Arial" w:cs="Arial"/>
          <w:sz w:val="24"/>
          <w:szCs w:val="24"/>
        </w:rPr>
        <w:t>motion to strike (“Motion to Strike”) IGS’ comments in t</w:t>
      </w:r>
      <w:r w:rsidR="00D16FEF">
        <w:rPr>
          <w:rFonts w:ascii="Arial" w:hAnsi="Arial" w:cs="Arial"/>
          <w:sz w:val="24"/>
          <w:szCs w:val="24"/>
        </w:rPr>
        <w:t>heir entir</w:t>
      </w:r>
      <w:r w:rsidR="00D56920">
        <w:rPr>
          <w:rFonts w:ascii="Arial" w:hAnsi="Arial" w:cs="Arial"/>
          <w:sz w:val="24"/>
          <w:szCs w:val="24"/>
        </w:rPr>
        <w:t>ety</w:t>
      </w:r>
      <w:r w:rsidR="00D16FEF">
        <w:rPr>
          <w:rFonts w:ascii="Arial" w:hAnsi="Arial" w:cs="Arial"/>
          <w:sz w:val="24"/>
          <w:szCs w:val="24"/>
        </w:rPr>
        <w:t>.</w:t>
      </w:r>
      <w:r w:rsidR="00D16FEF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316164">
        <w:rPr>
          <w:rFonts w:ascii="Arial" w:hAnsi="Arial" w:cs="Arial"/>
          <w:sz w:val="24"/>
          <w:szCs w:val="24"/>
        </w:rPr>
        <w:t xml:space="preserve"> OCC’</w:t>
      </w:r>
      <w:r w:rsidR="00D56920">
        <w:rPr>
          <w:rFonts w:ascii="Arial" w:hAnsi="Arial" w:cs="Arial"/>
          <w:sz w:val="24"/>
          <w:szCs w:val="24"/>
        </w:rPr>
        <w:t>s</w:t>
      </w:r>
      <w:r w:rsidR="00316164">
        <w:rPr>
          <w:rFonts w:ascii="Arial" w:hAnsi="Arial" w:cs="Arial"/>
          <w:sz w:val="24"/>
          <w:szCs w:val="24"/>
        </w:rPr>
        <w:t xml:space="preserve"> argument is</w:t>
      </w:r>
      <w:r w:rsidR="00D56920">
        <w:rPr>
          <w:rFonts w:ascii="Arial" w:hAnsi="Arial" w:cs="Arial"/>
          <w:sz w:val="24"/>
          <w:szCs w:val="24"/>
        </w:rPr>
        <w:t xml:space="preserve"> based solely on IGS’ late intervention.  OCC argues that IGS’ should not be permitted to intervene, and, as a non-party to the proceeding</w:t>
      </w:r>
      <w:r w:rsidR="00BB4412">
        <w:rPr>
          <w:rFonts w:ascii="Arial" w:hAnsi="Arial" w:cs="Arial"/>
          <w:sz w:val="24"/>
          <w:szCs w:val="24"/>
        </w:rPr>
        <w:t>,</w:t>
      </w:r>
      <w:r w:rsidR="00D56920">
        <w:rPr>
          <w:rFonts w:ascii="Arial" w:hAnsi="Arial" w:cs="Arial"/>
          <w:sz w:val="24"/>
          <w:szCs w:val="24"/>
        </w:rPr>
        <w:t xml:space="preserve"> IGS is </w:t>
      </w:r>
      <w:r w:rsidR="008E1D06">
        <w:rPr>
          <w:rFonts w:ascii="Arial" w:hAnsi="Arial" w:cs="Arial"/>
          <w:sz w:val="24"/>
          <w:szCs w:val="24"/>
        </w:rPr>
        <w:t>ineligible to</w:t>
      </w:r>
      <w:r w:rsidR="00534E9D">
        <w:rPr>
          <w:rFonts w:ascii="Arial" w:hAnsi="Arial" w:cs="Arial"/>
          <w:sz w:val="24"/>
          <w:szCs w:val="24"/>
        </w:rPr>
        <w:t xml:space="preserve"> fil</w:t>
      </w:r>
      <w:r w:rsidR="008E1D06">
        <w:rPr>
          <w:rFonts w:ascii="Arial" w:hAnsi="Arial" w:cs="Arial"/>
          <w:sz w:val="24"/>
          <w:szCs w:val="24"/>
        </w:rPr>
        <w:t>e of</w:t>
      </w:r>
      <w:r w:rsidR="00534E9D">
        <w:rPr>
          <w:rFonts w:ascii="Arial" w:hAnsi="Arial" w:cs="Arial"/>
          <w:sz w:val="24"/>
          <w:szCs w:val="24"/>
        </w:rPr>
        <w:t xml:space="preserve"> comments</w:t>
      </w:r>
      <w:r w:rsidR="008E1D06">
        <w:rPr>
          <w:rFonts w:ascii="Arial" w:hAnsi="Arial" w:cs="Arial"/>
          <w:sz w:val="24"/>
          <w:szCs w:val="24"/>
        </w:rPr>
        <w:t>.</w:t>
      </w:r>
      <w:r w:rsidR="008E1D06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534E9D">
        <w:rPr>
          <w:rFonts w:ascii="Arial" w:hAnsi="Arial" w:cs="Arial"/>
          <w:sz w:val="24"/>
          <w:szCs w:val="24"/>
        </w:rPr>
        <w:t xml:space="preserve"> </w:t>
      </w:r>
      <w:r w:rsidR="00D56920">
        <w:rPr>
          <w:rFonts w:ascii="Arial" w:hAnsi="Arial" w:cs="Arial"/>
          <w:sz w:val="24"/>
          <w:szCs w:val="24"/>
        </w:rPr>
        <w:lastRenderedPageBreak/>
        <w:t xml:space="preserve">Because </w:t>
      </w:r>
      <w:r w:rsidR="001B3795">
        <w:rPr>
          <w:rFonts w:ascii="Arial" w:hAnsi="Arial" w:cs="Arial"/>
          <w:sz w:val="24"/>
          <w:szCs w:val="24"/>
        </w:rPr>
        <w:t>IGS</w:t>
      </w:r>
      <w:r w:rsidR="00AC646E">
        <w:rPr>
          <w:rFonts w:ascii="Arial" w:hAnsi="Arial" w:cs="Arial"/>
          <w:sz w:val="24"/>
          <w:szCs w:val="24"/>
        </w:rPr>
        <w:t xml:space="preserve"> has met the standard for intervention and OCC had an opportunity to review and respond to IGS’ timely comments, OCC’s motion should be denied.</w:t>
      </w:r>
      <w:r w:rsidR="001B3795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:rsidR="001B3795" w:rsidRPr="001B3795" w:rsidRDefault="001B3795" w:rsidP="001B37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ARGUMENT</w:t>
      </w:r>
    </w:p>
    <w:p w:rsidR="00185C65" w:rsidRDefault="001B3795" w:rsidP="000E037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 states that “IGS is not a party” and</w:t>
      </w:r>
      <w:r w:rsidR="0013053B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“the PUCO has previously struck filings</w:t>
      </w:r>
      <w:r w:rsidR="00795C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when a motion to intervene was denied</w:t>
      </w:r>
      <w:r w:rsidR="004F68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r w:rsidR="004F6803"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</w:t>
      </w:r>
      <w:r w:rsidR="000E037F">
        <w:rPr>
          <w:rFonts w:ascii="Arial" w:hAnsi="Arial" w:cs="Arial"/>
          <w:sz w:val="24"/>
          <w:szCs w:val="24"/>
        </w:rPr>
        <w:t>While the Commission has at times struck pleadings filed by parties seeking to intervene and participate in cases after hearings have commenced, OCC is incorrect that it is</w:t>
      </w:r>
      <w:r w:rsidR="0075019B">
        <w:rPr>
          <w:rFonts w:ascii="Arial" w:hAnsi="Arial" w:cs="Arial"/>
          <w:sz w:val="24"/>
          <w:szCs w:val="24"/>
        </w:rPr>
        <w:t xml:space="preserve"> the</w:t>
      </w:r>
      <w:r w:rsidR="000E037F">
        <w:rPr>
          <w:rFonts w:ascii="Arial" w:hAnsi="Arial" w:cs="Arial"/>
          <w:sz w:val="24"/>
          <w:szCs w:val="24"/>
        </w:rPr>
        <w:t xml:space="preserve"> Commission’s practice to strike pleadings whenever a pa</w:t>
      </w:r>
      <w:r w:rsidR="0075019B">
        <w:rPr>
          <w:rFonts w:ascii="Arial" w:hAnsi="Arial" w:cs="Arial"/>
          <w:sz w:val="24"/>
          <w:szCs w:val="24"/>
        </w:rPr>
        <w:t>rty does not achieve party status in a case</w:t>
      </w:r>
      <w:r w:rsidR="000E037F">
        <w:rPr>
          <w:rFonts w:ascii="Arial" w:hAnsi="Arial" w:cs="Arial"/>
          <w:sz w:val="24"/>
          <w:szCs w:val="24"/>
        </w:rPr>
        <w:t>.  Indeed, there have been several cases in which parties have filed comments without intervening at all</w:t>
      </w:r>
      <w:r w:rsidR="004F6803">
        <w:rPr>
          <w:rFonts w:ascii="Arial" w:hAnsi="Arial" w:cs="Arial"/>
          <w:sz w:val="24"/>
          <w:szCs w:val="24"/>
        </w:rPr>
        <w:t>.</w:t>
      </w:r>
      <w:r w:rsidR="00795CA4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75019B">
        <w:rPr>
          <w:rFonts w:ascii="Arial" w:hAnsi="Arial" w:cs="Arial"/>
          <w:sz w:val="24"/>
          <w:szCs w:val="24"/>
        </w:rPr>
        <w:t xml:space="preserve">    </w:t>
      </w:r>
    </w:p>
    <w:p w:rsidR="00C369E8" w:rsidRDefault="00C369E8" w:rsidP="000E037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Moreover, as demonstrated in IGS’ reply in support of its motion to intervene, intervention is warranted.  </w:t>
      </w:r>
      <w:r w:rsidR="00BB4412">
        <w:rPr>
          <w:rFonts w:ascii="Arial" w:hAnsi="Arial" w:cs="Arial"/>
          <w:sz w:val="24"/>
          <w:szCs w:val="24"/>
        </w:rPr>
        <w:t>Thus, there is no basis to grant OCC’s motion.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019B" w:rsidRDefault="009B1157" w:rsidP="00C369E8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case cited</w:t>
      </w:r>
      <w:r w:rsidR="0075019B">
        <w:rPr>
          <w:rFonts w:ascii="Arial" w:hAnsi="Arial" w:cs="Arial"/>
          <w:sz w:val="24"/>
          <w:szCs w:val="24"/>
        </w:rPr>
        <w:t xml:space="preserve"> by OCC (the FirstEnergy ESP case</w:t>
      </w:r>
      <w:r>
        <w:rPr>
          <w:rFonts w:ascii="Arial" w:hAnsi="Arial" w:cs="Arial"/>
          <w:sz w:val="24"/>
          <w:szCs w:val="24"/>
        </w:rPr>
        <w:t>) bears no resembl</w:t>
      </w:r>
      <w:r w:rsidR="0075019B">
        <w:rPr>
          <w:rFonts w:ascii="Arial" w:hAnsi="Arial" w:cs="Arial"/>
          <w:sz w:val="24"/>
          <w:szCs w:val="24"/>
        </w:rPr>
        <w:t>ance to the facts in this</w:t>
      </w:r>
      <w:r>
        <w:rPr>
          <w:rFonts w:ascii="Arial" w:hAnsi="Arial" w:cs="Arial"/>
          <w:sz w:val="24"/>
          <w:szCs w:val="24"/>
        </w:rPr>
        <w:t xml:space="preserve"> case.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75019B">
        <w:rPr>
          <w:rFonts w:ascii="Arial" w:hAnsi="Arial" w:cs="Arial"/>
          <w:sz w:val="24"/>
          <w:szCs w:val="24"/>
        </w:rPr>
        <w:t xml:space="preserve"> </w:t>
      </w:r>
      <w:r w:rsidR="00DD4055">
        <w:rPr>
          <w:rFonts w:ascii="Arial" w:hAnsi="Arial" w:cs="Arial"/>
          <w:sz w:val="24"/>
          <w:szCs w:val="24"/>
        </w:rPr>
        <w:t xml:space="preserve">In that case, </w:t>
      </w:r>
      <w:r w:rsidR="0075019B">
        <w:rPr>
          <w:rFonts w:ascii="Arial" w:hAnsi="Arial" w:cs="Arial"/>
          <w:sz w:val="24"/>
          <w:szCs w:val="24"/>
        </w:rPr>
        <w:t xml:space="preserve">Noble Americas Energy Solutions LLC’s (“Noble”) intervention was </w:t>
      </w:r>
      <w:r w:rsidR="0075019B" w:rsidRPr="0075019B">
        <w:rPr>
          <w:rFonts w:ascii="Arial" w:hAnsi="Arial" w:cs="Arial"/>
          <w:sz w:val="24"/>
          <w:szCs w:val="24"/>
        </w:rPr>
        <w:t>over a year late</w:t>
      </w:r>
      <w:r w:rsidR="00DD4055">
        <w:rPr>
          <w:rFonts w:ascii="Arial" w:hAnsi="Arial" w:cs="Arial"/>
          <w:sz w:val="24"/>
          <w:szCs w:val="24"/>
        </w:rPr>
        <w:t>,</w:t>
      </w:r>
      <w:r w:rsidR="0075019B">
        <w:rPr>
          <w:rFonts w:ascii="Arial" w:hAnsi="Arial" w:cs="Arial"/>
          <w:sz w:val="24"/>
          <w:szCs w:val="24"/>
        </w:rPr>
        <w:t xml:space="preserve"> after</w:t>
      </w:r>
      <w:r w:rsidR="0075019B" w:rsidRPr="0075019B">
        <w:rPr>
          <w:rFonts w:ascii="Arial" w:hAnsi="Arial" w:cs="Arial"/>
          <w:sz w:val="24"/>
          <w:szCs w:val="24"/>
        </w:rPr>
        <w:t xml:space="preserve"> the deadline for discovery had passed</w:t>
      </w:r>
      <w:r w:rsidR="00DD4055">
        <w:rPr>
          <w:rFonts w:ascii="Arial" w:hAnsi="Arial" w:cs="Arial"/>
          <w:sz w:val="24"/>
          <w:szCs w:val="24"/>
        </w:rPr>
        <w:t>,</w:t>
      </w:r>
      <w:r w:rsidR="0075019B" w:rsidRPr="0075019B">
        <w:rPr>
          <w:rFonts w:ascii="Arial" w:hAnsi="Arial" w:cs="Arial"/>
          <w:sz w:val="24"/>
          <w:szCs w:val="24"/>
        </w:rPr>
        <w:t xml:space="preserve"> and</w:t>
      </w:r>
      <w:r w:rsidR="00DD4055">
        <w:rPr>
          <w:rFonts w:ascii="Arial" w:hAnsi="Arial" w:cs="Arial"/>
          <w:sz w:val="24"/>
          <w:szCs w:val="24"/>
        </w:rPr>
        <w:t xml:space="preserve"> after</w:t>
      </w:r>
      <w:r w:rsidR="0075019B" w:rsidRPr="0075019B">
        <w:rPr>
          <w:rFonts w:ascii="Arial" w:hAnsi="Arial" w:cs="Arial"/>
          <w:sz w:val="24"/>
          <w:szCs w:val="24"/>
        </w:rPr>
        <w:t xml:space="preserve"> the hearing had commence</w:t>
      </w:r>
      <w:bookmarkStart w:id="0" w:name="_GoBack"/>
      <w:r w:rsidR="00A542DA">
        <w:rPr>
          <w:rFonts w:ascii="Arial" w:hAnsi="Arial" w:cs="Arial"/>
          <w:sz w:val="24"/>
          <w:szCs w:val="24"/>
        </w:rPr>
        <w:t>d</w:t>
      </w:r>
      <w:bookmarkEnd w:id="0"/>
      <w:r w:rsidR="00DD4055">
        <w:rPr>
          <w:rFonts w:ascii="Arial" w:hAnsi="Arial" w:cs="Arial"/>
          <w:sz w:val="24"/>
          <w:szCs w:val="24"/>
        </w:rPr>
        <w:t>; t</w:t>
      </w:r>
      <w:r w:rsidR="0075019B">
        <w:rPr>
          <w:rFonts w:ascii="Arial" w:hAnsi="Arial" w:cs="Arial"/>
          <w:sz w:val="24"/>
          <w:szCs w:val="24"/>
        </w:rPr>
        <w:t>hus</w:t>
      </w:r>
      <w:r w:rsidR="00DD4055">
        <w:rPr>
          <w:rFonts w:ascii="Arial" w:hAnsi="Arial" w:cs="Arial"/>
          <w:sz w:val="24"/>
          <w:szCs w:val="24"/>
        </w:rPr>
        <w:t>,</w:t>
      </w:r>
      <w:r w:rsidR="0075019B">
        <w:rPr>
          <w:rFonts w:ascii="Arial" w:hAnsi="Arial" w:cs="Arial"/>
          <w:sz w:val="24"/>
          <w:szCs w:val="24"/>
        </w:rPr>
        <w:t xml:space="preserve"> other parties would be prejudiced as they “had no </w:t>
      </w:r>
      <w:r w:rsidR="0075019B" w:rsidRPr="00AC08BC">
        <w:rPr>
          <w:rFonts w:ascii="Arial" w:hAnsi="Arial" w:cs="Arial"/>
          <w:sz w:val="24"/>
          <w:szCs w:val="24"/>
        </w:rPr>
        <w:t>opportunity to conduct discovery or otherwise prepare to respond to the arguments raised</w:t>
      </w:r>
      <w:r w:rsidR="0075019B">
        <w:rPr>
          <w:rFonts w:ascii="Arial" w:hAnsi="Arial" w:cs="Arial"/>
          <w:sz w:val="24"/>
          <w:szCs w:val="24"/>
        </w:rPr>
        <w:t xml:space="preserve"> </w:t>
      </w:r>
      <w:r w:rsidR="0075019B" w:rsidRPr="00AC08BC">
        <w:rPr>
          <w:rFonts w:ascii="Arial" w:hAnsi="Arial" w:cs="Arial"/>
          <w:sz w:val="24"/>
          <w:szCs w:val="24"/>
        </w:rPr>
        <w:lastRenderedPageBreak/>
        <w:t>by Noble Solutions.</w:t>
      </w:r>
      <w:r w:rsidR="0075019B">
        <w:rPr>
          <w:rFonts w:ascii="Arial" w:hAnsi="Arial" w:cs="Arial"/>
          <w:sz w:val="24"/>
          <w:szCs w:val="24"/>
        </w:rPr>
        <w:t>”</w:t>
      </w:r>
      <w:r w:rsidR="0075019B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75019B">
        <w:rPr>
          <w:rFonts w:ascii="Arial" w:hAnsi="Arial" w:cs="Arial"/>
          <w:sz w:val="24"/>
          <w:szCs w:val="24"/>
        </w:rPr>
        <w:t xml:space="preserve">  Here, IGS filed timely comments and OCC had a chance to respond in its reply comments.</w:t>
      </w:r>
      <w:r w:rsidR="00DD4055"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75019B">
        <w:rPr>
          <w:rFonts w:ascii="Arial" w:hAnsi="Arial" w:cs="Arial"/>
          <w:sz w:val="24"/>
          <w:szCs w:val="24"/>
        </w:rPr>
        <w:t xml:space="preserve">  There has been no hearing and OCC has an opportunity to file discovery against IGS to the extent that it so desires if a hearing moves forward.  Therefore, OCC cannot claim that it has been prejudiced in any fashion by the comments it seeks to strike.</w:t>
      </w:r>
    </w:p>
    <w:p w:rsidR="009B1157" w:rsidRPr="00185C65" w:rsidRDefault="00185C65" w:rsidP="00185C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  <w:r w:rsidRPr="00185C65">
        <w:rPr>
          <w:rFonts w:ascii="Arial" w:hAnsi="Arial" w:cs="Arial"/>
          <w:sz w:val="24"/>
          <w:szCs w:val="24"/>
        </w:rPr>
        <w:t xml:space="preserve"> </w:t>
      </w:r>
    </w:p>
    <w:p w:rsidR="005571B0" w:rsidRDefault="00984B76" w:rsidP="00DD4055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precedent</w:t>
      </w:r>
      <w:r w:rsidR="009B1157">
        <w:rPr>
          <w:rFonts w:ascii="Arial" w:hAnsi="Arial" w:cs="Arial"/>
          <w:sz w:val="24"/>
          <w:szCs w:val="24"/>
        </w:rPr>
        <w:t>,</w:t>
      </w:r>
      <w:r w:rsidR="00DD4055">
        <w:rPr>
          <w:rFonts w:ascii="Arial" w:hAnsi="Arial" w:cs="Arial"/>
          <w:sz w:val="24"/>
          <w:szCs w:val="24"/>
        </w:rPr>
        <w:t xml:space="preserve"> IGS should be granted intervention and the Commission should permit IGS’ comments to stand.  </w:t>
      </w:r>
      <w:r>
        <w:rPr>
          <w:rFonts w:ascii="Arial" w:hAnsi="Arial" w:cs="Arial"/>
          <w:sz w:val="24"/>
          <w:szCs w:val="24"/>
        </w:rPr>
        <w:t>Should IGS’ motion to intervene be granted</w:t>
      </w:r>
      <w:r w:rsidR="00C369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OCC’s argument would</w:t>
      </w:r>
      <w:r w:rsidR="00185C65">
        <w:rPr>
          <w:rFonts w:ascii="Arial" w:hAnsi="Arial" w:cs="Arial"/>
          <w:sz w:val="24"/>
          <w:szCs w:val="24"/>
        </w:rPr>
        <w:t xml:space="preserve"> completely</w:t>
      </w:r>
      <w:r>
        <w:rPr>
          <w:rFonts w:ascii="Arial" w:hAnsi="Arial" w:cs="Arial"/>
          <w:sz w:val="24"/>
          <w:szCs w:val="24"/>
        </w:rPr>
        <w:t xml:space="preserve"> dissipate</w:t>
      </w:r>
      <w:r w:rsidR="009B1157">
        <w:rPr>
          <w:rFonts w:ascii="Arial" w:hAnsi="Arial" w:cs="Arial"/>
          <w:sz w:val="24"/>
          <w:szCs w:val="24"/>
        </w:rPr>
        <w:t xml:space="preserve"> without</w:t>
      </w:r>
      <w:r w:rsidR="00185C65">
        <w:rPr>
          <w:rFonts w:ascii="Arial" w:hAnsi="Arial" w:cs="Arial"/>
          <w:sz w:val="24"/>
          <w:szCs w:val="24"/>
        </w:rPr>
        <w:t xml:space="preserve"> the</w:t>
      </w:r>
      <w:r w:rsidR="009B1157">
        <w:rPr>
          <w:rFonts w:ascii="Arial" w:hAnsi="Arial" w:cs="Arial"/>
          <w:sz w:val="24"/>
          <w:szCs w:val="24"/>
        </w:rPr>
        <w:t xml:space="preserve"> need for further action as IGS would be a party to the proceeding with timely filed comments </w:t>
      </w:r>
      <w:r w:rsidR="00DD4055">
        <w:rPr>
          <w:rFonts w:ascii="Arial" w:hAnsi="Arial" w:cs="Arial"/>
          <w:sz w:val="24"/>
          <w:szCs w:val="24"/>
        </w:rPr>
        <w:t>in accordance with</w:t>
      </w:r>
      <w:r w:rsidR="009B1157">
        <w:rPr>
          <w:rFonts w:ascii="Arial" w:hAnsi="Arial" w:cs="Arial"/>
          <w:sz w:val="24"/>
          <w:szCs w:val="24"/>
        </w:rPr>
        <w:t xml:space="preserve"> the procedural schedule filed in the present case.</w:t>
      </w:r>
      <w:r w:rsidR="00DD4055">
        <w:rPr>
          <w:rFonts w:ascii="Arial" w:hAnsi="Arial" w:cs="Arial"/>
          <w:sz w:val="24"/>
          <w:szCs w:val="24"/>
        </w:rPr>
        <w:t xml:space="preserve"> </w:t>
      </w:r>
      <w:r w:rsidR="009B1157">
        <w:rPr>
          <w:rFonts w:ascii="Arial" w:hAnsi="Arial" w:cs="Arial"/>
          <w:sz w:val="24"/>
          <w:szCs w:val="24"/>
        </w:rPr>
        <w:t xml:space="preserve"> </w:t>
      </w:r>
      <w:r w:rsidR="00185C65">
        <w:rPr>
          <w:rFonts w:ascii="Arial" w:hAnsi="Arial" w:cs="Arial"/>
          <w:sz w:val="24"/>
          <w:szCs w:val="24"/>
        </w:rPr>
        <w:t>OCC’s argument lacks sub</w:t>
      </w:r>
      <w:r w:rsidR="00DD4055">
        <w:rPr>
          <w:rFonts w:ascii="Arial" w:hAnsi="Arial" w:cs="Arial"/>
          <w:sz w:val="24"/>
          <w:szCs w:val="24"/>
        </w:rPr>
        <w:t>stance and does not support striking</w:t>
      </w:r>
      <w:r w:rsidR="00185C65">
        <w:rPr>
          <w:rFonts w:ascii="Arial" w:hAnsi="Arial" w:cs="Arial"/>
          <w:sz w:val="24"/>
          <w:szCs w:val="24"/>
        </w:rPr>
        <w:t xml:space="preserve"> IGS’ comments</w:t>
      </w:r>
      <w:r w:rsidR="00DD4055">
        <w:rPr>
          <w:rFonts w:ascii="Arial" w:hAnsi="Arial" w:cs="Arial"/>
          <w:sz w:val="24"/>
          <w:szCs w:val="24"/>
        </w:rPr>
        <w:t>,</w:t>
      </w:r>
      <w:r w:rsidR="00185C65">
        <w:rPr>
          <w:rFonts w:ascii="Arial" w:hAnsi="Arial" w:cs="Arial"/>
          <w:sz w:val="24"/>
          <w:szCs w:val="24"/>
        </w:rPr>
        <w:t xml:space="preserve"> given that IGS has met the stand</w:t>
      </w:r>
      <w:r w:rsidR="00DD4055">
        <w:rPr>
          <w:rFonts w:ascii="Arial" w:hAnsi="Arial" w:cs="Arial"/>
          <w:sz w:val="24"/>
          <w:szCs w:val="24"/>
        </w:rPr>
        <w:t>ard for non-timely intervention.</w:t>
      </w:r>
    </w:p>
    <w:p w:rsidR="002B26CB" w:rsidRDefault="002B26CB" w:rsidP="002B26C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:rsidR="002B26CB" w:rsidRDefault="002B26CB" w:rsidP="002B26CB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2B26CB" w:rsidRDefault="002B26CB" w:rsidP="002B26C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927C41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>
        <w:rPr>
          <w:rFonts w:ascii="Arial" w:eastAsia="Arial" w:hAnsi="Arial" w:cs="Arial"/>
          <w:i/>
          <w:sz w:val="24"/>
          <w:szCs w:val="24"/>
          <w:u w:val="single"/>
        </w:rPr>
        <w:tab/>
      </w:r>
      <w:r>
        <w:rPr>
          <w:rFonts w:ascii="Arial" w:eastAsia="Arial" w:hAnsi="Arial" w:cs="Arial"/>
          <w:i/>
          <w:sz w:val="24"/>
          <w:szCs w:val="24"/>
          <w:u w:val="single"/>
        </w:rPr>
        <w:tab/>
      </w:r>
    </w:p>
    <w:p w:rsidR="00927C41" w:rsidRDefault="00927C41" w:rsidP="00927C4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:rsidR="002B26CB" w:rsidRPr="00DD4055" w:rsidRDefault="002B26CB" w:rsidP="002B26C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:rsidR="002B26CB" w:rsidRPr="00DD4055" w:rsidRDefault="002B26CB" w:rsidP="002B26C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D4055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="00927C41" w:rsidRPr="00DD405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:rsidR="002B26CB" w:rsidRPr="00DD4055" w:rsidRDefault="00927C41" w:rsidP="002B26C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D4055">
        <w:rPr>
          <w:rFonts w:ascii="Arial" w:hAnsi="Arial" w:cs="Arial"/>
          <w:sz w:val="24"/>
          <w:szCs w:val="24"/>
        </w:rPr>
        <w:t>Michael Nugent (0090408)</w:t>
      </w:r>
    </w:p>
    <w:p w:rsidR="002B26CB" w:rsidRDefault="002B26CB" w:rsidP="002B26C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D4055">
        <w:rPr>
          <w:rFonts w:ascii="Arial" w:hAnsi="Arial" w:cs="Arial"/>
          <w:sz w:val="24"/>
          <w:szCs w:val="24"/>
        </w:rPr>
        <w:t xml:space="preserve">Email: </w:t>
      </w:r>
      <w:r w:rsidR="00927C41" w:rsidRPr="00DD4055">
        <w:rPr>
          <w:rFonts w:ascii="Arial" w:hAnsi="Arial" w:cs="Arial"/>
          <w:sz w:val="24"/>
          <w:szCs w:val="24"/>
        </w:rPr>
        <w:t>mnugent@igsenergy</w:t>
      </w:r>
      <w:r w:rsidR="00927C41">
        <w:rPr>
          <w:rFonts w:ascii="Arial" w:hAnsi="Arial" w:cs="Arial"/>
          <w:sz w:val="24"/>
          <w:szCs w:val="24"/>
        </w:rPr>
        <w:t>.com</w:t>
      </w:r>
    </w:p>
    <w:p w:rsidR="002B26CB" w:rsidRDefault="002B26CB" w:rsidP="002B26CB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:rsidR="002B26CB" w:rsidRDefault="002B26CB" w:rsidP="002B26C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:rsidR="002B26CB" w:rsidRDefault="002B26CB" w:rsidP="002B26C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:rsidR="002B26CB" w:rsidRDefault="002B26CB" w:rsidP="002B26C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:rsidR="002B26CB" w:rsidRDefault="002B26CB" w:rsidP="002B26C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:rsidR="002B26CB" w:rsidRPr="00AE1373" w:rsidRDefault="002B26CB" w:rsidP="002B26CB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:rsidR="00732F9F" w:rsidRDefault="00732F9F" w:rsidP="00DD4055">
      <w:pPr>
        <w:rPr>
          <w:rFonts w:ascii="Arial" w:hAnsi="Arial" w:cs="Arial"/>
          <w:b/>
          <w:szCs w:val="24"/>
        </w:rPr>
      </w:pPr>
    </w:p>
    <w:p w:rsidR="009A2A3E" w:rsidRPr="00185C65" w:rsidRDefault="009A2A3E" w:rsidP="00185C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:rsidR="009A2A3E" w:rsidRDefault="009A2A3E" w:rsidP="009A2A3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9A2A3E" w:rsidRDefault="009A2A3E" w:rsidP="00FA1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D4055">
        <w:rPr>
          <w:rFonts w:ascii="Arial" w:eastAsia="Calibri" w:hAnsi="Arial" w:cs="Arial"/>
          <w:sz w:val="24"/>
          <w:szCs w:val="24"/>
        </w:rPr>
        <w:t>I certify that this</w:t>
      </w:r>
      <w:r w:rsidR="00DD4055">
        <w:rPr>
          <w:rFonts w:ascii="Arial" w:eastAsia="Calibri" w:hAnsi="Arial" w:cs="Arial"/>
          <w:i/>
          <w:sz w:val="24"/>
          <w:szCs w:val="24"/>
        </w:rPr>
        <w:t xml:space="preserve"> Memorandum Contra of Interstate Gas Supply t</w:t>
      </w:r>
      <w:r w:rsidR="00FA14F3">
        <w:rPr>
          <w:rFonts w:ascii="Arial" w:eastAsia="Calibri" w:hAnsi="Arial" w:cs="Arial"/>
          <w:i/>
          <w:sz w:val="24"/>
          <w:szCs w:val="24"/>
        </w:rPr>
        <w:t>he Office of the Ohio Consumers’ Counsel</w:t>
      </w:r>
      <w:r w:rsidR="00DD4055">
        <w:rPr>
          <w:rFonts w:ascii="Arial" w:eastAsia="Calibri" w:hAnsi="Arial" w:cs="Arial"/>
          <w:i/>
          <w:sz w:val="24"/>
          <w:szCs w:val="24"/>
        </w:rPr>
        <w:t xml:space="preserve">’s Motion to Strike </w:t>
      </w:r>
      <w:r>
        <w:rPr>
          <w:rFonts w:ascii="Arial" w:eastAsia="Calibri" w:hAnsi="Arial" w:cs="Arial"/>
          <w:sz w:val="24"/>
          <w:szCs w:val="24"/>
        </w:rPr>
        <w:t xml:space="preserve">was filed electronically with the Docketing Division of the Public Utilities Commission of Ohio on this </w:t>
      </w:r>
      <w:r w:rsidR="00185C65">
        <w:rPr>
          <w:rFonts w:ascii="Arial" w:eastAsia="Calibri" w:hAnsi="Arial" w:cs="Arial"/>
          <w:sz w:val="24"/>
          <w:szCs w:val="24"/>
        </w:rPr>
        <w:t>2</w:t>
      </w:r>
      <w:r w:rsidR="0017472B">
        <w:rPr>
          <w:rFonts w:ascii="Arial" w:eastAsia="Calibri" w:hAnsi="Arial" w:cs="Arial"/>
          <w:sz w:val="24"/>
          <w:szCs w:val="24"/>
        </w:rPr>
        <w:t>5</w:t>
      </w:r>
      <w:r w:rsidR="00CC3BA3" w:rsidRPr="00CC3BA3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17472B">
        <w:rPr>
          <w:rFonts w:ascii="Arial" w:eastAsia="Calibri" w:hAnsi="Arial" w:cs="Arial"/>
          <w:sz w:val="24"/>
          <w:szCs w:val="24"/>
        </w:rPr>
        <w:t xml:space="preserve"> day of June</w:t>
      </w:r>
      <w:r>
        <w:rPr>
          <w:rFonts w:ascii="Arial" w:eastAsia="Calibri" w:hAnsi="Arial" w:cs="Arial"/>
          <w:sz w:val="24"/>
          <w:szCs w:val="24"/>
        </w:rPr>
        <w:t xml:space="preserve"> 2018. </w:t>
      </w:r>
    </w:p>
    <w:p w:rsidR="009A2A3E" w:rsidRDefault="009A2A3E" w:rsidP="009A2A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A2A3E" w:rsidRDefault="009A2A3E" w:rsidP="009A2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A3E" w:rsidRDefault="009A2A3E" w:rsidP="009A2A3E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</w:rPr>
      </w:pPr>
    </w:p>
    <w:p w:rsidR="009A2A3E" w:rsidRDefault="009A2A3E" w:rsidP="009A2A3E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CC3BA3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="00CC3BA3">
        <w:rPr>
          <w:rFonts w:ascii="Arial" w:eastAsia="Arial" w:hAnsi="Arial" w:cs="Arial"/>
          <w:i/>
          <w:sz w:val="24"/>
          <w:szCs w:val="24"/>
          <w:u w:val="single"/>
        </w:rPr>
        <w:tab/>
      </w:r>
    </w:p>
    <w:p w:rsidR="009A2A3E" w:rsidRDefault="00CC3BA3" w:rsidP="009A2A3E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:rsidR="009A2A3E" w:rsidRPr="00FA14F3" w:rsidRDefault="009A2A3E" w:rsidP="009A2A3E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9A2A3E" w:rsidRPr="00FA14F3" w:rsidRDefault="009A2A3E" w:rsidP="009A2A3E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9A2A3E" w:rsidRPr="00FA14F3" w:rsidRDefault="009A2A3E" w:rsidP="009A2A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14F3">
        <w:rPr>
          <w:rFonts w:ascii="Arial" w:hAnsi="Arial" w:cs="Arial"/>
          <w:b/>
          <w:sz w:val="24"/>
          <w:szCs w:val="24"/>
          <w:u w:val="single"/>
        </w:rPr>
        <w:t>SERVICE LIST</w:t>
      </w:r>
    </w:p>
    <w:p w:rsidR="009A2A3E" w:rsidRPr="00FA14F3" w:rsidRDefault="009A2A3E" w:rsidP="009A2A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A3E" w:rsidRPr="00FA14F3" w:rsidRDefault="001255A9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6D307A" w:rsidRPr="00FA14F3">
          <w:rPr>
            <w:rStyle w:val="Hyperlink"/>
            <w:rFonts w:ascii="Arial" w:hAnsi="Arial" w:cs="Arial"/>
            <w:sz w:val="24"/>
            <w:szCs w:val="24"/>
          </w:rPr>
          <w:t>stnourse@aep.com</w:t>
        </w:r>
      </w:hyperlink>
    </w:p>
    <w:p w:rsidR="006D3F25" w:rsidRPr="00FA14F3" w:rsidRDefault="006D3F25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6D3F25" w:rsidRPr="00FA14F3" w:rsidRDefault="001255A9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6D3F25" w:rsidRPr="00FA14F3">
          <w:rPr>
            <w:rStyle w:val="Hyperlink"/>
            <w:rFonts w:ascii="Arial" w:hAnsi="Arial" w:cs="Arial"/>
            <w:sz w:val="24"/>
            <w:szCs w:val="24"/>
          </w:rPr>
          <w:t>christopher.healey@occ.ohio.gov</w:t>
        </w:r>
      </w:hyperlink>
    </w:p>
    <w:p w:rsidR="006D3F25" w:rsidRPr="00FA14F3" w:rsidRDefault="006D3F25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6D3F25" w:rsidRPr="00FA14F3" w:rsidRDefault="001255A9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461885" w:rsidRPr="00FA14F3">
          <w:rPr>
            <w:rStyle w:val="Hyperlink"/>
            <w:rFonts w:ascii="Arial" w:hAnsi="Arial" w:cs="Arial"/>
            <w:sz w:val="24"/>
            <w:szCs w:val="24"/>
          </w:rPr>
          <w:t>Zachary.woltz@occ.ohio.gov</w:t>
        </w:r>
      </w:hyperlink>
    </w:p>
    <w:p w:rsidR="00461885" w:rsidRPr="00FA14F3" w:rsidRDefault="00461885" w:rsidP="009A2A3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461885" w:rsidRPr="00FA14F3" w:rsidRDefault="00461885" w:rsidP="009A2A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4F3">
        <w:rPr>
          <w:rStyle w:val="Hyperlink"/>
          <w:rFonts w:ascii="Arial" w:hAnsi="Arial" w:cs="Arial"/>
          <w:sz w:val="24"/>
          <w:szCs w:val="24"/>
        </w:rPr>
        <w:t>Werner.margard@ohioattorneygeneral.gov</w:t>
      </w:r>
    </w:p>
    <w:p w:rsidR="0003001D" w:rsidRDefault="0003001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3001D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A9" w:rsidRDefault="001255A9">
      <w:pPr>
        <w:spacing w:after="0" w:line="240" w:lineRule="auto"/>
      </w:pPr>
      <w:r>
        <w:separator/>
      </w:r>
    </w:p>
  </w:endnote>
  <w:endnote w:type="continuationSeparator" w:id="0">
    <w:p w:rsidR="001255A9" w:rsidRDefault="0012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860"/>
      <w:docPartObj>
        <w:docPartGallery w:val="Page Numbers (Bottom of Page)"/>
        <w:docPartUnique/>
      </w:docPartObj>
    </w:sdtPr>
    <w:sdtEndPr/>
    <w:sdtContent>
      <w:p w:rsidR="00AE6232" w:rsidRDefault="00AE6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6232" w:rsidRDefault="00AE6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A9" w:rsidRDefault="001255A9">
      <w:pPr>
        <w:spacing w:after="0" w:line="240" w:lineRule="auto"/>
      </w:pPr>
      <w:r>
        <w:separator/>
      </w:r>
    </w:p>
  </w:footnote>
  <w:footnote w:type="continuationSeparator" w:id="0">
    <w:p w:rsidR="001255A9" w:rsidRDefault="001255A9">
      <w:pPr>
        <w:spacing w:after="0" w:line="240" w:lineRule="auto"/>
      </w:pPr>
      <w:r>
        <w:continuationSeparator/>
      </w:r>
    </w:p>
  </w:footnote>
  <w:footnote w:id="1">
    <w:p w:rsidR="00C2304E" w:rsidRPr="00BB4412" w:rsidRDefault="00C2304E" w:rsidP="00BB4412">
      <w:pPr>
        <w:pStyle w:val="FootnoteText"/>
        <w:jc w:val="both"/>
        <w:rPr>
          <w:rFonts w:ascii="Arial" w:hAnsi="Arial" w:cs="Arial"/>
        </w:rPr>
      </w:pPr>
      <w:r w:rsidRPr="00BB4412">
        <w:rPr>
          <w:rStyle w:val="FootnoteReference"/>
          <w:rFonts w:ascii="Arial" w:hAnsi="Arial" w:cs="Arial"/>
        </w:rPr>
        <w:footnoteRef/>
      </w:r>
      <w:r w:rsidRPr="00BB4412">
        <w:rPr>
          <w:rFonts w:ascii="Arial" w:hAnsi="Arial" w:cs="Arial"/>
        </w:rPr>
        <w:t xml:space="preserve"> </w:t>
      </w:r>
      <w:r w:rsidRPr="00BB4412">
        <w:rPr>
          <w:rFonts w:ascii="Arial" w:hAnsi="Arial" w:cs="Arial"/>
          <w:i/>
        </w:rPr>
        <w:t xml:space="preserve">See </w:t>
      </w:r>
      <w:r w:rsidR="00D16FEF" w:rsidRPr="00BB4412">
        <w:rPr>
          <w:rFonts w:ascii="Arial" w:hAnsi="Arial" w:cs="Arial"/>
        </w:rPr>
        <w:t>Reply of Interstate Gas Supply, Inc. to Memorandum Contra of the Office of the Ohio Consumer’</w:t>
      </w:r>
      <w:r w:rsidR="00534E9D" w:rsidRPr="00BB4412">
        <w:rPr>
          <w:rFonts w:ascii="Arial" w:hAnsi="Arial" w:cs="Arial"/>
        </w:rPr>
        <w:t>s Counsel</w:t>
      </w:r>
      <w:r w:rsidR="008E1D06" w:rsidRPr="00BB4412">
        <w:rPr>
          <w:rFonts w:ascii="Arial" w:hAnsi="Arial" w:cs="Arial"/>
        </w:rPr>
        <w:t xml:space="preserve"> at 2</w:t>
      </w:r>
      <w:r w:rsidR="00534E9D" w:rsidRPr="00BB4412">
        <w:rPr>
          <w:rFonts w:ascii="Arial" w:hAnsi="Arial" w:cs="Arial"/>
        </w:rPr>
        <w:t xml:space="preserve"> </w:t>
      </w:r>
      <w:r w:rsidR="00D16FEF" w:rsidRPr="00BB4412">
        <w:rPr>
          <w:rFonts w:ascii="Arial" w:hAnsi="Arial" w:cs="Arial"/>
        </w:rPr>
        <w:t>(June 15, 2018).</w:t>
      </w:r>
      <w:r w:rsidRPr="00BB4412">
        <w:rPr>
          <w:rFonts w:ascii="Arial" w:hAnsi="Arial" w:cs="Arial"/>
        </w:rPr>
        <w:t xml:space="preserve"> </w:t>
      </w:r>
    </w:p>
    <w:p w:rsidR="00BB4412" w:rsidRPr="00BB4412" w:rsidRDefault="00BB4412" w:rsidP="00BB4412">
      <w:pPr>
        <w:pStyle w:val="FootnoteText"/>
        <w:jc w:val="both"/>
        <w:rPr>
          <w:rFonts w:ascii="Arial" w:hAnsi="Arial" w:cs="Arial"/>
        </w:rPr>
      </w:pPr>
    </w:p>
  </w:footnote>
  <w:footnote w:id="2">
    <w:p w:rsidR="00D16FEF" w:rsidRPr="00BB4412" w:rsidRDefault="00D16FEF" w:rsidP="00BB4412">
      <w:pPr>
        <w:pStyle w:val="FootnoteText"/>
        <w:jc w:val="both"/>
        <w:rPr>
          <w:rFonts w:ascii="Arial" w:hAnsi="Arial" w:cs="Arial"/>
        </w:rPr>
      </w:pPr>
      <w:r w:rsidRPr="00BB4412">
        <w:rPr>
          <w:rStyle w:val="FootnoteReference"/>
          <w:rFonts w:ascii="Arial" w:hAnsi="Arial" w:cs="Arial"/>
        </w:rPr>
        <w:footnoteRef/>
      </w:r>
      <w:r w:rsidRPr="00BB4412">
        <w:rPr>
          <w:rFonts w:ascii="Arial" w:hAnsi="Arial" w:cs="Arial"/>
        </w:rPr>
        <w:t xml:space="preserve"> </w:t>
      </w:r>
      <w:r w:rsidRPr="00BB4412">
        <w:rPr>
          <w:rFonts w:ascii="Arial" w:hAnsi="Arial" w:cs="Arial"/>
          <w:i/>
        </w:rPr>
        <w:t>See</w:t>
      </w:r>
      <w:r w:rsidRPr="00BB4412">
        <w:rPr>
          <w:rFonts w:ascii="Arial" w:hAnsi="Arial" w:cs="Arial"/>
        </w:rPr>
        <w:t xml:space="preserve"> </w:t>
      </w:r>
      <w:r w:rsidR="00316164" w:rsidRPr="00BB4412">
        <w:rPr>
          <w:rFonts w:ascii="Arial" w:hAnsi="Arial" w:cs="Arial"/>
        </w:rPr>
        <w:t>Motion to Strike Comments filed by Interstate Gas Supply,</w:t>
      </w:r>
      <w:r w:rsidRPr="00BB4412">
        <w:rPr>
          <w:rFonts w:ascii="Arial" w:hAnsi="Arial" w:cs="Arial"/>
        </w:rPr>
        <w:t xml:space="preserve"> </w:t>
      </w:r>
      <w:r w:rsidR="00316164" w:rsidRPr="00BB4412">
        <w:rPr>
          <w:rFonts w:ascii="Arial" w:hAnsi="Arial" w:cs="Arial"/>
        </w:rPr>
        <w:t>Inc.</w:t>
      </w:r>
      <w:r w:rsidRPr="00BB4412">
        <w:rPr>
          <w:rFonts w:ascii="Arial" w:hAnsi="Arial" w:cs="Arial"/>
        </w:rPr>
        <w:t xml:space="preserve"> </w:t>
      </w:r>
      <w:r w:rsidR="00316164" w:rsidRPr="00BB4412">
        <w:rPr>
          <w:rFonts w:ascii="Arial" w:hAnsi="Arial" w:cs="Arial"/>
        </w:rPr>
        <w:t>And</w:t>
      </w:r>
      <w:r w:rsidRPr="00BB4412">
        <w:rPr>
          <w:rFonts w:ascii="Arial" w:hAnsi="Arial" w:cs="Arial"/>
        </w:rPr>
        <w:t xml:space="preserve"> </w:t>
      </w:r>
      <w:r w:rsidR="00316164" w:rsidRPr="00BB4412">
        <w:rPr>
          <w:rFonts w:ascii="Arial" w:hAnsi="Arial" w:cs="Arial"/>
        </w:rPr>
        <w:t>Memorandum Contra Interstate Gas Supply, Inc.’s</w:t>
      </w:r>
      <w:r w:rsidRPr="00BB4412">
        <w:rPr>
          <w:rFonts w:ascii="Arial" w:hAnsi="Arial" w:cs="Arial"/>
        </w:rPr>
        <w:t xml:space="preserve"> </w:t>
      </w:r>
      <w:r w:rsidR="00316164" w:rsidRPr="00BB4412">
        <w:rPr>
          <w:rFonts w:ascii="Arial" w:hAnsi="Arial" w:cs="Arial"/>
        </w:rPr>
        <w:t>Motion to Intervene</w:t>
      </w:r>
      <w:r w:rsidRPr="00BB4412">
        <w:rPr>
          <w:rFonts w:ascii="Arial" w:hAnsi="Arial" w:cs="Arial"/>
        </w:rPr>
        <w:t xml:space="preserve"> </w:t>
      </w:r>
      <w:r w:rsidR="00316164" w:rsidRPr="00BB4412">
        <w:rPr>
          <w:rFonts w:ascii="Arial" w:hAnsi="Arial" w:cs="Arial"/>
        </w:rPr>
        <w:t>by</w:t>
      </w:r>
      <w:r w:rsidRPr="00BB4412">
        <w:rPr>
          <w:rFonts w:ascii="Arial" w:hAnsi="Arial" w:cs="Arial"/>
        </w:rPr>
        <w:t xml:space="preserve"> </w:t>
      </w:r>
      <w:r w:rsidR="00316164" w:rsidRPr="00BB4412">
        <w:rPr>
          <w:rFonts w:ascii="Arial" w:hAnsi="Arial" w:cs="Arial"/>
        </w:rPr>
        <w:t xml:space="preserve">the Office of the Ohio Consumers’ Counsel at </w:t>
      </w:r>
      <w:r w:rsidR="00534E9D" w:rsidRPr="00BB4412">
        <w:rPr>
          <w:rFonts w:ascii="Arial" w:hAnsi="Arial" w:cs="Arial"/>
        </w:rPr>
        <w:t xml:space="preserve">2 </w:t>
      </w:r>
      <w:r w:rsidR="00316164" w:rsidRPr="00BB4412">
        <w:rPr>
          <w:rFonts w:ascii="Arial" w:hAnsi="Arial" w:cs="Arial"/>
        </w:rPr>
        <w:t>(June 8, 2018).</w:t>
      </w:r>
    </w:p>
    <w:p w:rsidR="00BB4412" w:rsidRPr="00BB4412" w:rsidRDefault="00BB4412" w:rsidP="00BB4412">
      <w:pPr>
        <w:pStyle w:val="FootnoteText"/>
        <w:jc w:val="both"/>
        <w:rPr>
          <w:rFonts w:ascii="Arial" w:hAnsi="Arial" w:cs="Arial"/>
        </w:rPr>
      </w:pPr>
    </w:p>
  </w:footnote>
  <w:footnote w:id="3">
    <w:p w:rsidR="008E1D06" w:rsidRPr="008E1D06" w:rsidRDefault="008E1D06" w:rsidP="00BB4412">
      <w:pPr>
        <w:pStyle w:val="FootnoteText"/>
        <w:jc w:val="both"/>
      </w:pPr>
      <w:r w:rsidRPr="00BB4412">
        <w:rPr>
          <w:rStyle w:val="FootnoteReference"/>
          <w:rFonts w:ascii="Arial" w:hAnsi="Arial" w:cs="Arial"/>
        </w:rPr>
        <w:footnoteRef/>
      </w:r>
      <w:r w:rsidRPr="00BB4412">
        <w:rPr>
          <w:rFonts w:ascii="Arial" w:hAnsi="Arial" w:cs="Arial"/>
        </w:rPr>
        <w:t xml:space="preserve"> </w:t>
      </w:r>
      <w:r w:rsidRPr="00BB4412">
        <w:rPr>
          <w:rFonts w:ascii="Arial" w:hAnsi="Arial" w:cs="Arial"/>
          <w:i/>
        </w:rPr>
        <w:t>Id</w:t>
      </w:r>
      <w:r w:rsidRPr="00BB4412">
        <w:rPr>
          <w:rFonts w:ascii="Arial" w:hAnsi="Arial" w:cs="Arial"/>
        </w:rPr>
        <w:t>.</w:t>
      </w:r>
    </w:p>
  </w:footnote>
  <w:footnote w:id="4">
    <w:p w:rsidR="001B3795" w:rsidRDefault="001B3795">
      <w:pPr>
        <w:pStyle w:val="FootnoteText"/>
        <w:rPr>
          <w:rFonts w:ascii="Arial" w:hAnsi="Arial" w:cs="Arial"/>
        </w:rPr>
      </w:pPr>
      <w:r w:rsidRPr="001D0875">
        <w:rPr>
          <w:rStyle w:val="FootnoteReference"/>
          <w:rFonts w:ascii="Arial" w:hAnsi="Arial" w:cs="Arial"/>
        </w:rPr>
        <w:footnoteRef/>
      </w:r>
      <w:r w:rsidRPr="001D0875">
        <w:rPr>
          <w:rFonts w:ascii="Arial" w:hAnsi="Arial" w:cs="Arial"/>
        </w:rPr>
        <w:t xml:space="preserve"> Reply of Interstate Gas Supply, Inc. at 7.</w:t>
      </w:r>
    </w:p>
    <w:p w:rsidR="001D0875" w:rsidRPr="001D0875" w:rsidRDefault="001D0875">
      <w:pPr>
        <w:pStyle w:val="FootnoteText"/>
        <w:rPr>
          <w:rFonts w:ascii="Arial" w:hAnsi="Arial" w:cs="Arial"/>
        </w:rPr>
      </w:pPr>
    </w:p>
  </w:footnote>
  <w:footnote w:id="5">
    <w:p w:rsidR="004F6803" w:rsidRDefault="004F6803">
      <w:pPr>
        <w:pStyle w:val="FootnoteText"/>
        <w:rPr>
          <w:rFonts w:ascii="Arial" w:hAnsi="Arial" w:cs="Arial"/>
        </w:rPr>
      </w:pPr>
      <w:r w:rsidRPr="001D0875">
        <w:rPr>
          <w:rStyle w:val="FootnoteReference"/>
          <w:rFonts w:ascii="Arial" w:hAnsi="Arial" w:cs="Arial"/>
        </w:rPr>
        <w:footnoteRef/>
      </w:r>
      <w:r w:rsidRPr="001D0875">
        <w:rPr>
          <w:rFonts w:ascii="Arial" w:hAnsi="Arial" w:cs="Arial"/>
        </w:rPr>
        <w:t xml:space="preserve"> OCC Motion to Strike at 2.</w:t>
      </w:r>
    </w:p>
    <w:p w:rsidR="001D0875" w:rsidRPr="001D0875" w:rsidRDefault="001D0875">
      <w:pPr>
        <w:pStyle w:val="FootnoteText"/>
        <w:rPr>
          <w:rFonts w:ascii="Arial" w:hAnsi="Arial" w:cs="Arial"/>
        </w:rPr>
      </w:pPr>
    </w:p>
  </w:footnote>
  <w:footnote w:id="6">
    <w:p w:rsidR="00795CA4" w:rsidRPr="000E037F" w:rsidRDefault="00795CA4" w:rsidP="001D2C68">
      <w:pPr>
        <w:pStyle w:val="FootnoteText"/>
        <w:jc w:val="both"/>
        <w:rPr>
          <w:rFonts w:ascii="Arial" w:hAnsi="Arial" w:cs="Arial"/>
        </w:rPr>
      </w:pPr>
      <w:r w:rsidRPr="001D0875">
        <w:rPr>
          <w:rStyle w:val="FootnoteReference"/>
          <w:rFonts w:ascii="Arial" w:hAnsi="Arial" w:cs="Arial"/>
        </w:rPr>
        <w:footnoteRef/>
      </w:r>
      <w:r w:rsidRPr="001D0875">
        <w:rPr>
          <w:rFonts w:ascii="Arial" w:hAnsi="Arial" w:cs="Arial"/>
        </w:rPr>
        <w:t xml:space="preserve"> </w:t>
      </w:r>
      <w:r w:rsidRPr="001D0875">
        <w:rPr>
          <w:rFonts w:ascii="Arial" w:hAnsi="Arial" w:cs="Arial"/>
          <w:i/>
        </w:rPr>
        <w:t>In the Matter of the Application of Ohio Power Company to Adjust Its Economic Development Rider Rate</w:t>
      </w:r>
      <w:r w:rsidR="001D0875">
        <w:rPr>
          <w:rFonts w:ascii="Arial" w:hAnsi="Arial" w:cs="Arial"/>
        </w:rPr>
        <w:t>,</w:t>
      </w:r>
      <w:r w:rsidRPr="001D0875">
        <w:rPr>
          <w:rFonts w:ascii="Arial" w:hAnsi="Arial" w:cs="Arial"/>
        </w:rPr>
        <w:t xml:space="preserve"> Case No 14-193-EL-RDR, Comments and Obj</w:t>
      </w:r>
      <w:r w:rsidR="00AC646E">
        <w:rPr>
          <w:rFonts w:ascii="Arial" w:hAnsi="Arial" w:cs="Arial"/>
        </w:rPr>
        <w:t xml:space="preserve">ections by OCC (Feb. 24, 2014); </w:t>
      </w:r>
      <w:r w:rsidR="000E037F" w:rsidRPr="000E037F">
        <w:rPr>
          <w:rFonts w:ascii="Arial" w:hAnsi="Arial" w:cs="Arial"/>
        </w:rPr>
        <w:t>In the Matt</w:t>
      </w:r>
      <w:r w:rsidR="000E037F">
        <w:rPr>
          <w:rFonts w:ascii="Arial" w:hAnsi="Arial" w:cs="Arial"/>
        </w:rPr>
        <w:t xml:space="preserve">er of the Commission's </w:t>
      </w:r>
      <w:r w:rsidR="000E037F" w:rsidRPr="000E037F">
        <w:rPr>
          <w:rFonts w:ascii="Arial" w:hAnsi="Arial" w:cs="Arial"/>
        </w:rPr>
        <w:t>Investiga</w:t>
      </w:r>
      <w:r w:rsidR="000E037F">
        <w:rPr>
          <w:rFonts w:ascii="Arial" w:hAnsi="Arial" w:cs="Arial"/>
        </w:rPr>
        <w:t xml:space="preserve">tion of the Financial Impact of </w:t>
      </w:r>
      <w:r w:rsidR="000E037F" w:rsidRPr="000E037F">
        <w:rPr>
          <w:rFonts w:ascii="Arial" w:hAnsi="Arial" w:cs="Arial"/>
        </w:rPr>
        <w:t>the T</w:t>
      </w:r>
      <w:r w:rsidR="000E037F">
        <w:rPr>
          <w:rFonts w:ascii="Arial" w:hAnsi="Arial" w:cs="Arial"/>
        </w:rPr>
        <w:t xml:space="preserve">ax Cuts and Jobs Act of 2017 on </w:t>
      </w:r>
      <w:r w:rsidR="000E037F" w:rsidRPr="000E037F">
        <w:rPr>
          <w:rFonts w:ascii="Arial" w:hAnsi="Arial" w:cs="Arial"/>
        </w:rPr>
        <w:t>Regulated Ohio Utility Companie</w:t>
      </w:r>
      <w:r w:rsidR="000E037F">
        <w:rPr>
          <w:rFonts w:ascii="Arial" w:hAnsi="Arial" w:cs="Arial"/>
        </w:rPr>
        <w:t>s, Case No. 18-47-AU-COI (see comments of several parties that did not intervene).</w:t>
      </w:r>
    </w:p>
    <w:p w:rsidR="001D0875" w:rsidRPr="001D0875" w:rsidRDefault="001D0875" w:rsidP="001D2C68">
      <w:pPr>
        <w:pStyle w:val="FootnoteText"/>
        <w:jc w:val="both"/>
        <w:rPr>
          <w:rFonts w:ascii="Arial" w:hAnsi="Arial" w:cs="Arial"/>
        </w:rPr>
      </w:pPr>
    </w:p>
  </w:footnote>
  <w:footnote w:id="7">
    <w:p w:rsidR="009B1157" w:rsidRPr="001D0875" w:rsidRDefault="009B1157" w:rsidP="001D2C68">
      <w:pPr>
        <w:pStyle w:val="FootnoteText"/>
        <w:jc w:val="both"/>
        <w:rPr>
          <w:rFonts w:ascii="Arial" w:hAnsi="Arial" w:cs="Arial"/>
        </w:rPr>
      </w:pPr>
      <w:r w:rsidRPr="001D0875">
        <w:rPr>
          <w:rStyle w:val="FootnoteReference"/>
          <w:rFonts w:ascii="Arial" w:hAnsi="Arial" w:cs="Arial"/>
        </w:rPr>
        <w:footnoteRef/>
      </w:r>
      <w:r w:rsidRPr="001D0875">
        <w:rPr>
          <w:rFonts w:ascii="Arial" w:hAnsi="Arial" w:cs="Arial"/>
        </w:rPr>
        <w:t xml:space="preserve"> </w:t>
      </w:r>
      <w:r w:rsidRPr="001D2C68">
        <w:rPr>
          <w:rFonts w:ascii="Arial" w:hAnsi="Arial" w:cs="Arial"/>
          <w:i/>
        </w:rPr>
        <w:t>See In the Matter of the Application of Ohio Edison Company, the Cleveland Electric Illuminating Company, and the Toledo Edison Company for Authority to Provide for a Standard Service Offer Pursuant to R.C. 4928.143 in the Form of an Electric Security Plan</w:t>
      </w:r>
      <w:r w:rsidRPr="001D0875">
        <w:rPr>
          <w:rFonts w:ascii="Arial" w:hAnsi="Arial" w:cs="Arial"/>
        </w:rPr>
        <w:t>, Case No. 14-1297-EL-SSO, Opinion and Order at 30-31 (March 31, 2016) (granting motion to strike Noble’s reply brief due to being 470 days tardy and being prejudicial to all other parties in the proceeding).</w:t>
      </w:r>
    </w:p>
  </w:footnote>
  <w:footnote w:id="8">
    <w:p w:rsidR="0075019B" w:rsidRPr="00BA11E5" w:rsidRDefault="0075019B" w:rsidP="0075019B">
      <w:pPr>
        <w:pStyle w:val="FootnoteText"/>
        <w:jc w:val="both"/>
        <w:rPr>
          <w:rFonts w:ascii="Arial" w:hAnsi="Arial" w:cs="Arial"/>
          <w:i/>
        </w:rPr>
      </w:pPr>
      <w:r w:rsidRPr="00BA11E5">
        <w:rPr>
          <w:rStyle w:val="FootnoteReference"/>
          <w:rFonts w:ascii="Arial" w:hAnsi="Arial" w:cs="Arial"/>
        </w:rPr>
        <w:footnoteRef/>
      </w:r>
      <w:r w:rsidRPr="00BA11E5">
        <w:rPr>
          <w:rFonts w:ascii="Arial" w:hAnsi="Arial" w:cs="Arial"/>
        </w:rPr>
        <w:t xml:space="preserve"> </w:t>
      </w:r>
      <w:r w:rsidRPr="00BA11E5">
        <w:rPr>
          <w:rFonts w:ascii="Arial" w:hAnsi="Arial" w:cs="Arial"/>
          <w:i/>
        </w:rPr>
        <w:t xml:space="preserve">Id. </w:t>
      </w:r>
    </w:p>
    <w:p w:rsidR="0075019B" w:rsidRPr="00BA11E5" w:rsidRDefault="0075019B" w:rsidP="0075019B">
      <w:pPr>
        <w:pStyle w:val="FootnoteText"/>
        <w:jc w:val="both"/>
        <w:rPr>
          <w:rFonts w:ascii="Arial" w:hAnsi="Arial" w:cs="Arial"/>
          <w:i/>
        </w:rPr>
      </w:pPr>
    </w:p>
  </w:footnote>
  <w:footnote w:id="9">
    <w:p w:rsidR="00DD4055" w:rsidRDefault="00DD4055">
      <w:pPr>
        <w:pStyle w:val="FootnoteText"/>
      </w:pPr>
      <w:r>
        <w:rPr>
          <w:rStyle w:val="FootnoteReference"/>
        </w:rPr>
        <w:footnoteRef/>
      </w:r>
      <w:r>
        <w:t xml:space="preserve"> Reply Comment by OCC at 3-4.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32" w:rsidRDefault="00AE6232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5FBF"/>
    <w:multiLevelType w:val="hybridMultilevel"/>
    <w:tmpl w:val="9BFA5900"/>
    <w:lvl w:ilvl="0" w:tplc="97A8A42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B9CC38BC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u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3001D"/>
    <w:rsid w:val="00052C92"/>
    <w:rsid w:val="00066EFF"/>
    <w:rsid w:val="00083A02"/>
    <w:rsid w:val="000A4AE4"/>
    <w:rsid w:val="000A53F2"/>
    <w:rsid w:val="000B13CC"/>
    <w:rsid w:val="000B223F"/>
    <w:rsid w:val="000C3F6C"/>
    <w:rsid w:val="000D2976"/>
    <w:rsid w:val="000E037F"/>
    <w:rsid w:val="000F6B67"/>
    <w:rsid w:val="0010222A"/>
    <w:rsid w:val="00121836"/>
    <w:rsid w:val="00124D9F"/>
    <w:rsid w:val="001255A9"/>
    <w:rsid w:val="0013053B"/>
    <w:rsid w:val="00145622"/>
    <w:rsid w:val="001542F0"/>
    <w:rsid w:val="00174304"/>
    <w:rsid w:val="0017472B"/>
    <w:rsid w:val="00184217"/>
    <w:rsid w:val="00185C65"/>
    <w:rsid w:val="001A5D11"/>
    <w:rsid w:val="001A788E"/>
    <w:rsid w:val="001B0CF3"/>
    <w:rsid w:val="001B3795"/>
    <w:rsid w:val="001B59F6"/>
    <w:rsid w:val="001C35EC"/>
    <w:rsid w:val="001D0875"/>
    <w:rsid w:val="001D2C68"/>
    <w:rsid w:val="001D6FD0"/>
    <w:rsid w:val="001E1DA9"/>
    <w:rsid w:val="002104AF"/>
    <w:rsid w:val="00222AA2"/>
    <w:rsid w:val="00231B62"/>
    <w:rsid w:val="00237730"/>
    <w:rsid w:val="00237ED4"/>
    <w:rsid w:val="00240FFB"/>
    <w:rsid w:val="0024588F"/>
    <w:rsid w:val="00246B1D"/>
    <w:rsid w:val="0025770D"/>
    <w:rsid w:val="0026046D"/>
    <w:rsid w:val="002679A2"/>
    <w:rsid w:val="002709C0"/>
    <w:rsid w:val="00292C7B"/>
    <w:rsid w:val="002936F4"/>
    <w:rsid w:val="002B26CB"/>
    <w:rsid w:val="002D678D"/>
    <w:rsid w:val="002F05DC"/>
    <w:rsid w:val="002F7871"/>
    <w:rsid w:val="00316164"/>
    <w:rsid w:val="00323ABF"/>
    <w:rsid w:val="00327BC6"/>
    <w:rsid w:val="00345B03"/>
    <w:rsid w:val="00355B90"/>
    <w:rsid w:val="00376232"/>
    <w:rsid w:val="003A2047"/>
    <w:rsid w:val="003C11D0"/>
    <w:rsid w:val="003D2E3B"/>
    <w:rsid w:val="003F5CC8"/>
    <w:rsid w:val="0040270C"/>
    <w:rsid w:val="00445E81"/>
    <w:rsid w:val="00451CF7"/>
    <w:rsid w:val="0045281C"/>
    <w:rsid w:val="00461885"/>
    <w:rsid w:val="004652DC"/>
    <w:rsid w:val="00466C76"/>
    <w:rsid w:val="00482347"/>
    <w:rsid w:val="00482FD7"/>
    <w:rsid w:val="00492AD6"/>
    <w:rsid w:val="004F4DCC"/>
    <w:rsid w:val="004F6803"/>
    <w:rsid w:val="00516163"/>
    <w:rsid w:val="005342B5"/>
    <w:rsid w:val="00534E9D"/>
    <w:rsid w:val="00545F29"/>
    <w:rsid w:val="005571B0"/>
    <w:rsid w:val="0056270F"/>
    <w:rsid w:val="005A0124"/>
    <w:rsid w:val="005A076B"/>
    <w:rsid w:val="005D034A"/>
    <w:rsid w:val="00606FAA"/>
    <w:rsid w:val="00613140"/>
    <w:rsid w:val="00645BF6"/>
    <w:rsid w:val="00646EF3"/>
    <w:rsid w:val="00663E44"/>
    <w:rsid w:val="0069421D"/>
    <w:rsid w:val="00694FDA"/>
    <w:rsid w:val="006A031E"/>
    <w:rsid w:val="006B06F0"/>
    <w:rsid w:val="006D307A"/>
    <w:rsid w:val="006D3F25"/>
    <w:rsid w:val="006E5C4B"/>
    <w:rsid w:val="006F2C49"/>
    <w:rsid w:val="006F373F"/>
    <w:rsid w:val="00705B81"/>
    <w:rsid w:val="00714C29"/>
    <w:rsid w:val="00732F9F"/>
    <w:rsid w:val="00734E39"/>
    <w:rsid w:val="00741166"/>
    <w:rsid w:val="007422CC"/>
    <w:rsid w:val="0075019B"/>
    <w:rsid w:val="0075585A"/>
    <w:rsid w:val="00770974"/>
    <w:rsid w:val="00792F02"/>
    <w:rsid w:val="00795CA4"/>
    <w:rsid w:val="007B3399"/>
    <w:rsid w:val="007C6138"/>
    <w:rsid w:val="007D2210"/>
    <w:rsid w:val="007F0120"/>
    <w:rsid w:val="007F55A3"/>
    <w:rsid w:val="00802054"/>
    <w:rsid w:val="00813BFB"/>
    <w:rsid w:val="00814F49"/>
    <w:rsid w:val="008205EC"/>
    <w:rsid w:val="0082422E"/>
    <w:rsid w:val="00846419"/>
    <w:rsid w:val="0085034A"/>
    <w:rsid w:val="00857943"/>
    <w:rsid w:val="00895218"/>
    <w:rsid w:val="008A1F78"/>
    <w:rsid w:val="008C7AC1"/>
    <w:rsid w:val="008E1D06"/>
    <w:rsid w:val="009121B4"/>
    <w:rsid w:val="00922030"/>
    <w:rsid w:val="00927C41"/>
    <w:rsid w:val="0093571E"/>
    <w:rsid w:val="00955F86"/>
    <w:rsid w:val="0095713C"/>
    <w:rsid w:val="0098338B"/>
    <w:rsid w:val="009848C2"/>
    <w:rsid w:val="00984B76"/>
    <w:rsid w:val="0098755F"/>
    <w:rsid w:val="00993E15"/>
    <w:rsid w:val="009A2A3E"/>
    <w:rsid w:val="009B1157"/>
    <w:rsid w:val="009B4C01"/>
    <w:rsid w:val="009C154A"/>
    <w:rsid w:val="009C74A3"/>
    <w:rsid w:val="009D71F6"/>
    <w:rsid w:val="009F4632"/>
    <w:rsid w:val="009F6674"/>
    <w:rsid w:val="00A115D4"/>
    <w:rsid w:val="00A542DA"/>
    <w:rsid w:val="00A66C5B"/>
    <w:rsid w:val="00A71E20"/>
    <w:rsid w:val="00A72BB9"/>
    <w:rsid w:val="00A76364"/>
    <w:rsid w:val="00A76F96"/>
    <w:rsid w:val="00A85062"/>
    <w:rsid w:val="00A865C8"/>
    <w:rsid w:val="00A920AC"/>
    <w:rsid w:val="00A940AD"/>
    <w:rsid w:val="00AA1959"/>
    <w:rsid w:val="00AA75B4"/>
    <w:rsid w:val="00AC08BC"/>
    <w:rsid w:val="00AC646E"/>
    <w:rsid w:val="00AC7A39"/>
    <w:rsid w:val="00AD09FB"/>
    <w:rsid w:val="00AD5E1E"/>
    <w:rsid w:val="00AE363C"/>
    <w:rsid w:val="00AE6232"/>
    <w:rsid w:val="00AF4E36"/>
    <w:rsid w:val="00B50E60"/>
    <w:rsid w:val="00B6701E"/>
    <w:rsid w:val="00B717E1"/>
    <w:rsid w:val="00B7723A"/>
    <w:rsid w:val="00B828B0"/>
    <w:rsid w:val="00B92A76"/>
    <w:rsid w:val="00B94178"/>
    <w:rsid w:val="00BA11E5"/>
    <w:rsid w:val="00BB38CA"/>
    <w:rsid w:val="00BB4412"/>
    <w:rsid w:val="00BD7E0C"/>
    <w:rsid w:val="00BF0546"/>
    <w:rsid w:val="00C20F96"/>
    <w:rsid w:val="00C2304E"/>
    <w:rsid w:val="00C27481"/>
    <w:rsid w:val="00C369E8"/>
    <w:rsid w:val="00C5148C"/>
    <w:rsid w:val="00C64120"/>
    <w:rsid w:val="00C67915"/>
    <w:rsid w:val="00C84BD1"/>
    <w:rsid w:val="00CA5B68"/>
    <w:rsid w:val="00CB1421"/>
    <w:rsid w:val="00CB4ECE"/>
    <w:rsid w:val="00CB6916"/>
    <w:rsid w:val="00CC30B7"/>
    <w:rsid w:val="00CC3BA3"/>
    <w:rsid w:val="00CF1B03"/>
    <w:rsid w:val="00D13280"/>
    <w:rsid w:val="00D16FEF"/>
    <w:rsid w:val="00D23187"/>
    <w:rsid w:val="00D37457"/>
    <w:rsid w:val="00D525B2"/>
    <w:rsid w:val="00D56920"/>
    <w:rsid w:val="00D57E21"/>
    <w:rsid w:val="00D76C4C"/>
    <w:rsid w:val="00D834F3"/>
    <w:rsid w:val="00D9407D"/>
    <w:rsid w:val="00DB5579"/>
    <w:rsid w:val="00DC01BC"/>
    <w:rsid w:val="00DC2089"/>
    <w:rsid w:val="00DD4055"/>
    <w:rsid w:val="00DE4973"/>
    <w:rsid w:val="00E26A20"/>
    <w:rsid w:val="00E73C1B"/>
    <w:rsid w:val="00E840E0"/>
    <w:rsid w:val="00E924D1"/>
    <w:rsid w:val="00EC6D6E"/>
    <w:rsid w:val="00ED4A18"/>
    <w:rsid w:val="00F10F9B"/>
    <w:rsid w:val="00F111C7"/>
    <w:rsid w:val="00F4331E"/>
    <w:rsid w:val="00F46B7B"/>
    <w:rsid w:val="00F5720A"/>
    <w:rsid w:val="00FA14F3"/>
    <w:rsid w:val="00FB6A4C"/>
    <w:rsid w:val="00FD4EF3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C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chary.woltz@occ.ohi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opher.healey@occ.ohio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ry.etter@occ.ohi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9A98-E680-40BB-BABC-629B513A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2018-06-25T19:28:00Z</dcterms:created>
  <dcterms:modified xsi:type="dcterms:W3CDTF">2018-06-25T19:28:00Z</dcterms:modified>
</cp:coreProperties>
</file>