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53D8C" w:rsidRPr="005720D7" w:rsidP="00753D8C" w14:paraId="7863D5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rPr>
      </w:pPr>
      <w:r w:rsidRPr="005720D7">
        <w:rPr>
          <w:rFonts w:ascii="Times New Roman" w:eastAsia="Courier New" w:hAnsi="Times New Roman" w:cs="Times New Roman"/>
          <w:b/>
          <w:bCs/>
          <w:sz w:val="24"/>
          <w:szCs w:val="24"/>
        </w:rPr>
        <w:t>BEFORE</w:t>
      </w:r>
    </w:p>
    <w:p w:rsidR="00753D8C" w:rsidRPr="005720D7" w:rsidP="00753D8C" w14:paraId="28EFC3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rPr>
      </w:pPr>
      <w:r w:rsidRPr="005720D7">
        <w:rPr>
          <w:rFonts w:ascii="Times New Roman" w:eastAsia="Courier New" w:hAnsi="Times New Roman" w:cs="Times New Roman"/>
          <w:b/>
          <w:bCs/>
          <w:sz w:val="24"/>
          <w:szCs w:val="24"/>
        </w:rPr>
        <w:t>THE PUBLIC UTILITIES COMMISSION OF OHIO</w:t>
      </w:r>
    </w:p>
    <w:p w:rsidR="00753D8C" w:rsidRPr="005720D7" w:rsidP="00753D8C" w14:paraId="113A8F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8838" w:type="dxa"/>
        <w:tblInd w:w="-90" w:type="dxa"/>
        <w:tblCellMar>
          <w:top w:w="0" w:type="dxa"/>
          <w:left w:w="108" w:type="dxa"/>
          <w:bottom w:w="0" w:type="dxa"/>
          <w:right w:w="108" w:type="dxa"/>
        </w:tblCellMar>
        <w:tblLook w:val="01E0"/>
      </w:tblPr>
      <w:tblGrid>
        <w:gridCol w:w="4230"/>
        <w:gridCol w:w="540"/>
        <w:gridCol w:w="4068"/>
      </w:tblGrid>
      <w:tr w14:paraId="246A5ED8" w14:textId="77777777" w:rsidTr="009E2247">
        <w:tblPrEx>
          <w:tblW w:w="8838" w:type="dxa"/>
          <w:tblInd w:w="-90" w:type="dxa"/>
          <w:tblCellMar>
            <w:top w:w="0" w:type="dxa"/>
            <w:left w:w="108" w:type="dxa"/>
            <w:bottom w:w="0" w:type="dxa"/>
            <w:right w:w="108" w:type="dxa"/>
          </w:tblCellMar>
          <w:tblLook w:val="01E0"/>
        </w:tblPrEx>
        <w:trPr>
          <w:trHeight w:val="807"/>
        </w:trPr>
        <w:tc>
          <w:tcPr>
            <w:tcW w:w="4230" w:type="dxa"/>
            <w:shd w:val="clear" w:color="auto" w:fill="auto"/>
          </w:tcPr>
          <w:p w:rsidR="00753D8C" w:rsidRPr="005720D7" w:rsidP="00753D8C" w14:paraId="0E9604B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6"/>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In the Matter of the Application of Duke Energy Ohio, Inc., to Adjust and Set Rider DSR.</w:t>
            </w:r>
          </w:p>
          <w:p w:rsidR="00753D8C" w:rsidRPr="005720D7" w:rsidP="00753D8C" w14:paraId="2C3F5C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6"/>
              <w:rPr>
                <w:rFonts w:ascii="Times New Roman" w:eastAsia="Courier New" w:hAnsi="Times New Roman" w:cs="Times New Roman"/>
                <w:sz w:val="24"/>
                <w:szCs w:val="24"/>
                <w:lang w:val="en-US" w:eastAsia="en-US" w:bidi="ar-SA"/>
              </w:rPr>
            </w:pPr>
          </w:p>
          <w:p w:rsidR="00753D8C" w:rsidRPr="005720D7" w:rsidP="00753D8C" w14:paraId="15D28F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6"/>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In the Matter of the Application of Duke Energy Ohio, Inc., for Approval of Tariff Amendments.</w:t>
            </w:r>
          </w:p>
        </w:tc>
        <w:tc>
          <w:tcPr>
            <w:tcW w:w="540" w:type="dxa"/>
            <w:shd w:val="clear" w:color="auto" w:fill="auto"/>
          </w:tcPr>
          <w:p w:rsidR="00753D8C" w:rsidRPr="005720D7" w:rsidP="00753D8C" w14:paraId="49C955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w:t>
            </w:r>
          </w:p>
          <w:p w:rsidR="00753D8C" w:rsidRPr="005720D7" w:rsidP="00753D8C" w14:paraId="4BF251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w:t>
            </w:r>
          </w:p>
          <w:p w:rsidR="00753D8C" w:rsidRPr="005720D7" w:rsidP="00753D8C" w14:paraId="2A36CE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w:t>
            </w:r>
          </w:p>
          <w:p w:rsidR="00753D8C" w:rsidRPr="005720D7" w:rsidP="00753D8C" w14:paraId="1398F9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753D8C" w:rsidRPr="005720D7" w:rsidP="00753D8C" w14:paraId="6EB699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w:t>
            </w:r>
          </w:p>
          <w:p w:rsidR="00753D8C" w:rsidRPr="005720D7" w:rsidP="00753D8C" w14:paraId="6E1F6A4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w:t>
            </w:r>
          </w:p>
          <w:p w:rsidR="00753D8C" w:rsidRPr="005720D7" w:rsidP="00753D8C" w14:paraId="463C12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w:t>
            </w:r>
          </w:p>
        </w:tc>
        <w:tc>
          <w:tcPr>
            <w:tcW w:w="4068" w:type="dxa"/>
            <w:shd w:val="clear" w:color="auto" w:fill="auto"/>
          </w:tcPr>
          <w:p w:rsidR="00753D8C" w:rsidRPr="005720D7" w:rsidP="00753D8C" w14:paraId="09AC54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753D8C" w:rsidRPr="005720D7" w:rsidP="00753D8C" w14:paraId="3329A6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Case No. 23-126-EL-RDR</w:t>
            </w:r>
          </w:p>
          <w:p w:rsidR="00753D8C" w:rsidRPr="005720D7" w:rsidP="00753D8C" w14:paraId="5FE332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753D8C" w:rsidRPr="005720D7" w:rsidP="00753D8C" w14:paraId="2A250A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753D8C" w:rsidRPr="005720D7" w:rsidP="00753D8C" w14:paraId="6A028CF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753D8C" w:rsidRPr="005720D7" w:rsidP="00753D8C" w14:paraId="7EE7F9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720D7">
              <w:rPr>
                <w:rFonts w:ascii="Times New Roman" w:eastAsia="Courier New" w:hAnsi="Times New Roman" w:cs="Times New Roman"/>
                <w:sz w:val="24"/>
                <w:szCs w:val="24"/>
                <w:lang w:val="en-US" w:eastAsia="en-US" w:bidi="ar-SA"/>
              </w:rPr>
              <w:t>Case No. 23-281-EL-ATA</w:t>
            </w:r>
          </w:p>
        </w:tc>
      </w:tr>
    </w:tbl>
    <w:p w:rsidR="00753D8C" w:rsidRPr="005720D7" w:rsidP="00753D8C" w14:paraId="1FC555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720D7">
        <w:rPr>
          <w:rFonts w:ascii="Times New Roman" w:eastAsia="Courier New" w:hAnsi="Times New Roman" w:cs="Times New Roman"/>
          <w:sz w:val="24"/>
          <w:szCs w:val="24"/>
        </w:rPr>
        <w:tab/>
      </w:r>
    </w:p>
    <w:p w:rsidR="00753D8C" w:rsidRPr="005720D7" w:rsidP="00753D8C" w14:paraId="70611E25"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753D8C" w:rsidRPr="005720D7" w:rsidP="00753D8C" w14:paraId="58CE753D" w14:textId="25036F1C">
      <w:pPr>
        <w:spacing w:after="0" w:line="240" w:lineRule="auto"/>
        <w:jc w:val="center"/>
        <w:rPr>
          <w:rFonts w:ascii="Times New Roman" w:eastAsia="Times New Roman" w:hAnsi="Times New Roman" w:cs="Times New Roman"/>
          <w:b/>
          <w:bCs/>
          <w:sz w:val="24"/>
          <w:szCs w:val="24"/>
        </w:rPr>
      </w:pPr>
      <w:r w:rsidRPr="005720D7">
        <w:rPr>
          <w:rFonts w:ascii="Times New Roman" w:eastAsia="Times New Roman" w:hAnsi="Times New Roman" w:cs="Times New Roman"/>
          <w:b/>
          <w:bCs/>
          <w:sz w:val="24"/>
          <w:szCs w:val="24"/>
        </w:rPr>
        <w:t>REPLY COMMENTS FOR CONSUMER PROTECTION</w:t>
      </w:r>
    </w:p>
    <w:p w:rsidR="00753D8C" w:rsidRPr="005720D7" w:rsidP="00753D8C" w14:paraId="0374927C" w14:textId="77777777">
      <w:pPr>
        <w:spacing w:after="0" w:line="240" w:lineRule="auto"/>
        <w:jc w:val="center"/>
        <w:rPr>
          <w:rFonts w:ascii="Times New Roman" w:eastAsia="Times New Roman" w:hAnsi="Times New Roman" w:cs="Times New Roman"/>
          <w:b/>
          <w:bCs/>
          <w:sz w:val="24"/>
          <w:szCs w:val="24"/>
        </w:rPr>
      </w:pPr>
      <w:r w:rsidRPr="005720D7">
        <w:rPr>
          <w:rFonts w:ascii="Times New Roman" w:eastAsia="Times New Roman" w:hAnsi="Times New Roman" w:cs="Times New Roman"/>
          <w:b/>
          <w:bCs/>
          <w:sz w:val="24"/>
          <w:szCs w:val="24"/>
        </w:rPr>
        <w:t>BY</w:t>
      </w:r>
    </w:p>
    <w:p w:rsidR="00753D8C" w:rsidRPr="005720D7" w:rsidP="00753D8C" w14:paraId="2A24530C" w14:textId="77777777">
      <w:pPr>
        <w:spacing w:after="0" w:line="240" w:lineRule="auto"/>
        <w:jc w:val="center"/>
        <w:rPr>
          <w:rFonts w:ascii="Times New Roman" w:eastAsia="Times New Roman" w:hAnsi="Times New Roman" w:cs="Times New Roman"/>
          <w:b/>
          <w:bCs/>
          <w:sz w:val="24"/>
          <w:szCs w:val="24"/>
        </w:rPr>
      </w:pPr>
      <w:r w:rsidRPr="005720D7">
        <w:rPr>
          <w:rFonts w:ascii="Times New Roman" w:eastAsia="Times New Roman" w:hAnsi="Times New Roman" w:cs="Times New Roman"/>
          <w:b/>
          <w:bCs/>
          <w:sz w:val="24"/>
          <w:szCs w:val="24"/>
        </w:rPr>
        <w:t>OFFICE OF THE OHIO CONSUMERS’ COUNSEL</w:t>
      </w:r>
    </w:p>
    <w:p w:rsidR="00753D8C" w:rsidRPr="005720D7" w:rsidP="00753D8C" w14:paraId="4E92CF72" w14:textId="77777777">
      <w:pPr>
        <w:pBdr>
          <w:bottom w:val="single" w:sz="12" w:space="1" w:color="auto"/>
        </w:pBdr>
        <w:tabs>
          <w:tab w:val="left" w:pos="4320"/>
        </w:tabs>
        <w:spacing w:after="0" w:line="240" w:lineRule="auto"/>
        <w:rPr>
          <w:rFonts w:ascii="Times New Roman" w:eastAsia="Times New Roman" w:hAnsi="Times New Roman" w:cs="Times New Roman"/>
          <w:sz w:val="24"/>
          <w:szCs w:val="24"/>
        </w:rPr>
      </w:pPr>
    </w:p>
    <w:p w:rsidR="00753D8C" w:rsidRPr="005720D7" w:rsidP="00C24794" w14:paraId="3320E835" w14:textId="77777777">
      <w:pPr>
        <w:spacing w:after="0" w:line="240" w:lineRule="auto"/>
        <w:ind w:firstLine="720"/>
        <w:rPr>
          <w:rFonts w:ascii="Times New Roman" w:hAnsi="Times New Roman" w:cs="Times New Roman"/>
          <w:sz w:val="24"/>
          <w:szCs w:val="24"/>
        </w:rPr>
      </w:pPr>
    </w:p>
    <w:p w:rsidR="00B77E4B" w:rsidRPr="005720D7" w:rsidP="00B77E4B" w14:paraId="69B08D8B" w14:textId="2674D091">
      <w:pPr>
        <w:pStyle w:val="Heading1"/>
      </w:pPr>
      <w:r w:rsidRPr="005720D7">
        <w:t>I.</w:t>
      </w:r>
      <w:r w:rsidRPr="005720D7">
        <w:tab/>
        <w:t>INTRODUCTION</w:t>
      </w:r>
    </w:p>
    <w:p w:rsidR="008C1CC0" w:rsidRPr="005720D7" w:rsidP="004D1B21" w14:paraId="6F94C631" w14:textId="13D63273">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On September 7, 2023, the PUCO Staff filed the</w:t>
      </w:r>
      <w:r w:rsidRPr="005720D7" w:rsidR="004D2CEE">
        <w:rPr>
          <w:rFonts w:ascii="Times New Roman" w:hAnsi="Times New Roman" w:cs="Times New Roman"/>
          <w:sz w:val="24"/>
          <w:szCs w:val="24"/>
        </w:rPr>
        <w:t>ir</w:t>
      </w:r>
      <w:r w:rsidRPr="005720D7">
        <w:rPr>
          <w:rFonts w:ascii="Times New Roman" w:hAnsi="Times New Roman" w:cs="Times New Roman"/>
          <w:sz w:val="24"/>
          <w:szCs w:val="24"/>
        </w:rPr>
        <w:t xml:space="preserve"> Review and Recommendations </w:t>
      </w:r>
      <w:r w:rsidRPr="005720D7">
        <w:rPr>
          <w:rFonts w:ascii="Times New Roman" w:hAnsi="Times New Roman" w:cs="Times New Roman"/>
          <w:sz w:val="24"/>
          <w:szCs w:val="24"/>
        </w:rPr>
        <w:t>on</w:t>
      </w:r>
      <w:r w:rsidR="005720D7">
        <w:rPr>
          <w:rFonts w:ascii="Times New Roman" w:hAnsi="Times New Roman" w:cs="Times New Roman"/>
          <w:sz w:val="24"/>
          <w:szCs w:val="24"/>
        </w:rPr>
        <w:t xml:space="preserve"> </w:t>
      </w:r>
      <w:r w:rsidRPr="005720D7">
        <w:rPr>
          <w:rFonts w:ascii="Times New Roman" w:hAnsi="Times New Roman" w:cs="Times New Roman"/>
          <w:sz w:val="24"/>
          <w:szCs w:val="24"/>
        </w:rPr>
        <w:t>Duke Energy Ohio</w:t>
      </w:r>
      <w:r w:rsidRPr="005720D7" w:rsidR="00AF27D9">
        <w:rPr>
          <w:rFonts w:ascii="Times New Roman" w:hAnsi="Times New Roman" w:cs="Times New Roman"/>
          <w:sz w:val="24"/>
          <w:szCs w:val="24"/>
        </w:rPr>
        <w:t xml:space="preserve"> (“Duke”)</w:t>
      </w:r>
      <w:r w:rsidRPr="005720D7">
        <w:rPr>
          <w:rFonts w:ascii="Times New Roman" w:hAnsi="Times New Roman" w:cs="Times New Roman"/>
          <w:sz w:val="24"/>
          <w:szCs w:val="24"/>
        </w:rPr>
        <w:t xml:space="preserve"> application</w:t>
      </w:r>
      <w:r w:rsidRPr="005720D7">
        <w:rPr>
          <w:rFonts w:ascii="Times New Roman" w:hAnsi="Times New Roman" w:cs="Times New Roman"/>
          <w:sz w:val="24"/>
          <w:szCs w:val="24"/>
        </w:rPr>
        <w:t xml:space="preserve"> to adjust and </w:t>
      </w:r>
      <w:r w:rsidRPr="005720D7" w:rsidR="00393A37">
        <w:rPr>
          <w:rFonts w:ascii="Times New Roman" w:hAnsi="Times New Roman" w:cs="Times New Roman"/>
          <w:sz w:val="24"/>
          <w:szCs w:val="24"/>
        </w:rPr>
        <w:t>s</w:t>
      </w:r>
      <w:r w:rsidRPr="005720D7">
        <w:rPr>
          <w:rFonts w:ascii="Times New Roman" w:hAnsi="Times New Roman" w:cs="Times New Roman"/>
          <w:sz w:val="24"/>
          <w:szCs w:val="24"/>
        </w:rPr>
        <w:t xml:space="preserve">et </w:t>
      </w:r>
      <w:r w:rsidRPr="005720D7">
        <w:rPr>
          <w:rFonts w:ascii="Times New Roman" w:hAnsi="Times New Roman" w:cs="Times New Roman"/>
          <w:sz w:val="24"/>
          <w:szCs w:val="24"/>
        </w:rPr>
        <w:t xml:space="preserve">distribution storm rider charges to consumers </w:t>
      </w:r>
      <w:r w:rsidRPr="005720D7">
        <w:rPr>
          <w:rFonts w:ascii="Times New Roman" w:hAnsi="Times New Roman" w:cs="Times New Roman"/>
          <w:sz w:val="24"/>
          <w:szCs w:val="24"/>
        </w:rPr>
        <w:t xml:space="preserve">in Case No. 23-126-EL-RDR. </w:t>
      </w:r>
      <w:r w:rsidRPr="005720D7" w:rsidR="00E73D29">
        <w:rPr>
          <w:rFonts w:ascii="Times New Roman" w:hAnsi="Times New Roman" w:cs="Times New Roman"/>
          <w:sz w:val="24"/>
          <w:szCs w:val="24"/>
        </w:rPr>
        <w:t>The Distribution Storm Rider (“Rider DSR”) provides Duke with the opportunity to collect</w:t>
      </w:r>
      <w:r w:rsidRPr="005720D7">
        <w:rPr>
          <w:rFonts w:ascii="Times New Roman" w:hAnsi="Times New Roman" w:cs="Times New Roman"/>
          <w:sz w:val="24"/>
          <w:szCs w:val="24"/>
        </w:rPr>
        <w:t xml:space="preserve"> from consumers</w:t>
      </w:r>
      <w:r w:rsidRPr="005720D7" w:rsidR="00E73D29">
        <w:rPr>
          <w:rFonts w:ascii="Times New Roman" w:hAnsi="Times New Roman" w:cs="Times New Roman"/>
          <w:sz w:val="24"/>
          <w:szCs w:val="24"/>
        </w:rPr>
        <w:t xml:space="preserve"> incremental major storm expenses that exceed the $4.3 million that it </w:t>
      </w:r>
      <w:r w:rsidRPr="005720D7">
        <w:rPr>
          <w:rFonts w:ascii="Times New Roman" w:hAnsi="Times New Roman" w:cs="Times New Roman"/>
          <w:sz w:val="24"/>
          <w:szCs w:val="24"/>
        </w:rPr>
        <w:t xml:space="preserve">already </w:t>
      </w:r>
      <w:r w:rsidRPr="005720D7" w:rsidR="00E73D29">
        <w:rPr>
          <w:rFonts w:ascii="Times New Roman" w:hAnsi="Times New Roman" w:cs="Times New Roman"/>
          <w:sz w:val="24"/>
          <w:szCs w:val="24"/>
        </w:rPr>
        <w:t>collects from consumers in distribution base rates.</w:t>
      </w:r>
      <w:r>
        <w:rPr>
          <w:rStyle w:val="FootnoteReference"/>
          <w:rFonts w:ascii="Times New Roman" w:hAnsi="Times New Roman" w:cs="Times New Roman"/>
          <w:sz w:val="24"/>
          <w:szCs w:val="24"/>
        </w:rPr>
        <w:footnoteReference w:id="2"/>
      </w:r>
      <w:r w:rsidRPr="005720D7" w:rsidR="00E73D29">
        <w:rPr>
          <w:rFonts w:ascii="Times New Roman" w:hAnsi="Times New Roman" w:cs="Times New Roman"/>
          <w:sz w:val="24"/>
          <w:szCs w:val="24"/>
        </w:rPr>
        <w:t xml:space="preserve"> </w:t>
      </w:r>
    </w:p>
    <w:p w:rsidR="00FE47BE" w:rsidRPr="005720D7" w:rsidP="004D1B21" w14:paraId="29C0EBD6" w14:textId="40C27739">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 xml:space="preserve">The </w:t>
      </w:r>
      <w:r w:rsidRPr="005720D7" w:rsidR="00393A37">
        <w:rPr>
          <w:rFonts w:ascii="Times New Roman" w:hAnsi="Times New Roman" w:cs="Times New Roman"/>
          <w:sz w:val="24"/>
          <w:szCs w:val="24"/>
        </w:rPr>
        <w:t xml:space="preserve">PUCO </w:t>
      </w:r>
      <w:r w:rsidRPr="005720D7">
        <w:rPr>
          <w:rFonts w:ascii="Times New Roman" w:hAnsi="Times New Roman" w:cs="Times New Roman"/>
          <w:sz w:val="24"/>
          <w:szCs w:val="24"/>
        </w:rPr>
        <w:t xml:space="preserve">Staff’s audit findings included three adjustments to </w:t>
      </w:r>
      <w:r w:rsidRPr="005720D7" w:rsidR="00E73D29">
        <w:rPr>
          <w:rFonts w:ascii="Times New Roman" w:hAnsi="Times New Roman" w:cs="Times New Roman"/>
          <w:sz w:val="24"/>
          <w:szCs w:val="24"/>
        </w:rPr>
        <w:t xml:space="preserve">the </w:t>
      </w:r>
      <w:r w:rsidRPr="005720D7" w:rsidR="00850347">
        <w:rPr>
          <w:rFonts w:ascii="Times New Roman" w:hAnsi="Times New Roman" w:cs="Times New Roman"/>
          <w:sz w:val="24"/>
          <w:szCs w:val="24"/>
        </w:rPr>
        <w:t xml:space="preserve">proposed </w:t>
      </w:r>
      <w:r w:rsidRPr="005720D7">
        <w:rPr>
          <w:rFonts w:ascii="Times New Roman" w:hAnsi="Times New Roman" w:cs="Times New Roman"/>
          <w:sz w:val="24"/>
          <w:szCs w:val="24"/>
        </w:rPr>
        <w:t xml:space="preserve">Rider DSR </w:t>
      </w:r>
      <w:r w:rsidRPr="005720D7" w:rsidR="008C1CC0">
        <w:rPr>
          <w:rFonts w:ascii="Times New Roman" w:hAnsi="Times New Roman" w:cs="Times New Roman"/>
          <w:sz w:val="24"/>
          <w:szCs w:val="24"/>
        </w:rPr>
        <w:t>reducing the charges collected from consumers by</w:t>
      </w:r>
      <w:r w:rsidR="005720D7">
        <w:rPr>
          <w:rFonts w:ascii="Times New Roman" w:hAnsi="Times New Roman" w:cs="Times New Roman"/>
          <w:sz w:val="24"/>
          <w:szCs w:val="24"/>
        </w:rPr>
        <w:t xml:space="preserve"> </w:t>
      </w:r>
      <w:r w:rsidRPr="005720D7">
        <w:rPr>
          <w:rFonts w:ascii="Times New Roman" w:hAnsi="Times New Roman" w:cs="Times New Roman"/>
          <w:sz w:val="24"/>
          <w:szCs w:val="24"/>
        </w:rPr>
        <w:t>$84,066.02</w:t>
      </w:r>
      <w:r w:rsidR="004D490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5720D7" w:rsidR="00850347">
        <w:rPr>
          <w:rFonts w:ascii="Times New Roman" w:hAnsi="Times New Roman" w:cs="Times New Roman"/>
          <w:sz w:val="24"/>
          <w:szCs w:val="24"/>
        </w:rPr>
        <w:t xml:space="preserve"> These adjustments included:</w:t>
      </w:r>
    </w:p>
    <w:p w:rsidR="001D03EF" w:rsidRPr="005720D7" w:rsidP="009D5CCF" w14:paraId="22C1AF48" w14:textId="361C7CE2">
      <w:pPr>
        <w:pStyle w:val="ListParagraph"/>
        <w:numPr>
          <w:ilvl w:val="0"/>
          <w:numId w:val="2"/>
        </w:numPr>
        <w:spacing w:after="0" w:line="480" w:lineRule="auto"/>
        <w:ind w:left="1080"/>
        <w:rPr>
          <w:rFonts w:ascii="Times New Roman" w:hAnsi="Times New Roman" w:cs="Times New Roman"/>
          <w:sz w:val="24"/>
          <w:szCs w:val="24"/>
        </w:rPr>
      </w:pPr>
      <w:r w:rsidRPr="005720D7">
        <w:rPr>
          <w:rFonts w:ascii="Times New Roman" w:hAnsi="Times New Roman" w:cs="Times New Roman"/>
          <w:sz w:val="24"/>
          <w:szCs w:val="24"/>
        </w:rPr>
        <w:t xml:space="preserve">Removal of </w:t>
      </w:r>
      <w:r w:rsidRPr="005720D7">
        <w:rPr>
          <w:rFonts w:ascii="Times New Roman" w:hAnsi="Times New Roman" w:cs="Times New Roman"/>
          <w:sz w:val="24"/>
          <w:szCs w:val="24"/>
        </w:rPr>
        <w:t xml:space="preserve">$4,980.27 </w:t>
      </w:r>
      <w:r w:rsidRPr="005720D7">
        <w:rPr>
          <w:rFonts w:ascii="Times New Roman" w:hAnsi="Times New Roman" w:cs="Times New Roman"/>
          <w:sz w:val="24"/>
          <w:szCs w:val="24"/>
        </w:rPr>
        <w:t xml:space="preserve">that was improperly included in the </w:t>
      </w:r>
      <w:r w:rsidRPr="005720D7">
        <w:rPr>
          <w:rFonts w:ascii="Times New Roman" w:hAnsi="Times New Roman" w:cs="Times New Roman"/>
          <w:sz w:val="24"/>
          <w:szCs w:val="24"/>
        </w:rPr>
        <w:t>Rider DSR revenue re</w:t>
      </w:r>
      <w:r w:rsidRPr="005720D7">
        <w:rPr>
          <w:rFonts w:ascii="Times New Roman" w:hAnsi="Times New Roman" w:cs="Times New Roman"/>
          <w:sz w:val="24"/>
          <w:szCs w:val="24"/>
        </w:rPr>
        <w:t>quirement</w:t>
      </w:r>
      <w:r w:rsidRPr="005720D7" w:rsidR="00C60C7B">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1D03EF" w:rsidRPr="005720D7" w:rsidP="009D5CCF" w14:paraId="68CEA7B1" w14:textId="1B0E38F8">
      <w:pPr>
        <w:pStyle w:val="ListParagraph"/>
        <w:numPr>
          <w:ilvl w:val="0"/>
          <w:numId w:val="2"/>
        </w:numPr>
        <w:spacing w:after="0" w:line="480" w:lineRule="auto"/>
        <w:ind w:left="1080"/>
        <w:rPr>
          <w:rFonts w:ascii="Times New Roman" w:hAnsi="Times New Roman" w:cs="Times New Roman"/>
          <w:sz w:val="24"/>
          <w:szCs w:val="24"/>
        </w:rPr>
      </w:pPr>
      <w:r w:rsidRPr="005720D7">
        <w:rPr>
          <w:rFonts w:ascii="Times New Roman" w:hAnsi="Times New Roman" w:cs="Times New Roman"/>
          <w:sz w:val="24"/>
          <w:szCs w:val="24"/>
        </w:rPr>
        <w:t xml:space="preserve">Adjust the revenue requirement by </w:t>
      </w:r>
      <w:r w:rsidRPr="005720D7">
        <w:rPr>
          <w:rFonts w:ascii="Times New Roman" w:hAnsi="Times New Roman" w:cs="Times New Roman"/>
          <w:sz w:val="24"/>
          <w:szCs w:val="24"/>
        </w:rPr>
        <w:t xml:space="preserve">$236.19 </w:t>
      </w:r>
      <w:r w:rsidRPr="005720D7">
        <w:rPr>
          <w:rFonts w:ascii="Times New Roman" w:hAnsi="Times New Roman" w:cs="Times New Roman"/>
          <w:sz w:val="24"/>
          <w:szCs w:val="24"/>
        </w:rPr>
        <w:t xml:space="preserve">due </w:t>
      </w:r>
      <w:r w:rsidRPr="005720D7">
        <w:rPr>
          <w:rFonts w:ascii="Times New Roman" w:hAnsi="Times New Roman" w:cs="Times New Roman"/>
          <w:sz w:val="24"/>
          <w:szCs w:val="24"/>
        </w:rPr>
        <w:t>to a</w:t>
      </w:r>
      <w:r w:rsidRPr="005720D7">
        <w:rPr>
          <w:rFonts w:ascii="Times New Roman" w:hAnsi="Times New Roman" w:cs="Times New Roman"/>
          <w:sz w:val="24"/>
          <w:szCs w:val="24"/>
        </w:rPr>
        <w:t xml:space="preserve"> calculation </w:t>
      </w:r>
      <w:r w:rsidRPr="005720D7">
        <w:rPr>
          <w:rFonts w:ascii="Times New Roman" w:hAnsi="Times New Roman" w:cs="Times New Roman"/>
          <w:sz w:val="24"/>
          <w:szCs w:val="24"/>
        </w:rPr>
        <w:t>error</w:t>
      </w:r>
      <w:r w:rsidRPr="005720D7" w:rsidR="00C60C7B">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5720D7">
        <w:rPr>
          <w:rFonts w:ascii="Times New Roman" w:hAnsi="Times New Roman" w:cs="Times New Roman"/>
          <w:sz w:val="24"/>
          <w:szCs w:val="24"/>
        </w:rPr>
        <w:t xml:space="preserve"> and</w:t>
      </w:r>
    </w:p>
    <w:p w:rsidR="001D03EF" w:rsidRPr="005720D7" w:rsidP="009D5CCF" w14:paraId="20A36372" w14:textId="4C71018E">
      <w:pPr>
        <w:pStyle w:val="ListParagraph"/>
        <w:numPr>
          <w:ilvl w:val="0"/>
          <w:numId w:val="2"/>
        </w:numPr>
        <w:spacing w:after="0" w:line="480" w:lineRule="auto"/>
        <w:ind w:left="1080"/>
        <w:rPr>
          <w:rFonts w:ascii="Times New Roman" w:hAnsi="Times New Roman" w:cs="Times New Roman"/>
          <w:sz w:val="24"/>
          <w:szCs w:val="24"/>
        </w:rPr>
      </w:pPr>
      <w:r w:rsidRPr="005720D7">
        <w:rPr>
          <w:rFonts w:ascii="Times New Roman" w:hAnsi="Times New Roman" w:cs="Times New Roman"/>
          <w:sz w:val="24"/>
          <w:szCs w:val="24"/>
        </w:rPr>
        <w:t xml:space="preserve">Disallow </w:t>
      </w:r>
      <w:r w:rsidRPr="005720D7">
        <w:rPr>
          <w:rFonts w:ascii="Times New Roman" w:hAnsi="Times New Roman" w:cs="Times New Roman"/>
          <w:sz w:val="24"/>
          <w:szCs w:val="24"/>
        </w:rPr>
        <w:t xml:space="preserve">$79,085.75 </w:t>
      </w:r>
      <w:r w:rsidRPr="005720D7">
        <w:rPr>
          <w:rFonts w:ascii="Times New Roman" w:hAnsi="Times New Roman" w:cs="Times New Roman"/>
          <w:sz w:val="24"/>
          <w:szCs w:val="24"/>
        </w:rPr>
        <w:t xml:space="preserve">associated </w:t>
      </w:r>
      <w:r w:rsidRPr="005720D7">
        <w:rPr>
          <w:rFonts w:ascii="Times New Roman" w:hAnsi="Times New Roman" w:cs="Times New Roman"/>
          <w:sz w:val="24"/>
          <w:szCs w:val="24"/>
        </w:rPr>
        <w:t xml:space="preserve">with </w:t>
      </w:r>
      <w:r w:rsidRPr="005720D7">
        <w:rPr>
          <w:rFonts w:ascii="Times New Roman" w:hAnsi="Times New Roman" w:cs="Times New Roman"/>
          <w:sz w:val="24"/>
          <w:szCs w:val="24"/>
        </w:rPr>
        <w:t xml:space="preserve">a </w:t>
      </w:r>
      <w:r w:rsidRPr="005720D7">
        <w:rPr>
          <w:rFonts w:ascii="Times New Roman" w:hAnsi="Times New Roman" w:cs="Times New Roman"/>
          <w:sz w:val="24"/>
          <w:szCs w:val="24"/>
        </w:rPr>
        <w:t xml:space="preserve">November </w:t>
      </w:r>
      <w:r w:rsidRPr="005720D7">
        <w:rPr>
          <w:rFonts w:ascii="Times New Roman" w:hAnsi="Times New Roman" w:cs="Times New Roman"/>
          <w:sz w:val="24"/>
          <w:szCs w:val="24"/>
        </w:rPr>
        <w:t xml:space="preserve">5, 2022 </w:t>
      </w:r>
      <w:r w:rsidRPr="005720D7">
        <w:rPr>
          <w:rFonts w:ascii="Times New Roman" w:hAnsi="Times New Roman" w:cs="Times New Roman"/>
          <w:sz w:val="24"/>
          <w:szCs w:val="24"/>
        </w:rPr>
        <w:t xml:space="preserve">storm </w:t>
      </w:r>
      <w:r w:rsidRPr="005720D7">
        <w:rPr>
          <w:rFonts w:ascii="Times New Roman" w:hAnsi="Times New Roman" w:cs="Times New Roman"/>
          <w:sz w:val="24"/>
          <w:szCs w:val="24"/>
        </w:rPr>
        <w:t>that based on Duke’s annual reliability report</w:t>
      </w:r>
      <w:r>
        <w:rPr>
          <w:rStyle w:val="FootnoteReference"/>
          <w:rFonts w:ascii="Times New Roman" w:hAnsi="Times New Roman" w:cs="Times New Roman"/>
          <w:sz w:val="24"/>
          <w:szCs w:val="24"/>
        </w:rPr>
        <w:footnoteReference w:id="6"/>
      </w:r>
      <w:r w:rsidRPr="005720D7">
        <w:rPr>
          <w:rFonts w:ascii="Times New Roman" w:hAnsi="Times New Roman" w:cs="Times New Roman"/>
          <w:sz w:val="24"/>
          <w:szCs w:val="24"/>
        </w:rPr>
        <w:t xml:space="preserve"> did not qualify as a major event under the PUCO rules.</w:t>
      </w:r>
      <w:r>
        <w:rPr>
          <w:rStyle w:val="FootnoteReference"/>
          <w:rFonts w:ascii="Times New Roman" w:hAnsi="Times New Roman" w:cs="Times New Roman"/>
          <w:sz w:val="24"/>
          <w:szCs w:val="24"/>
        </w:rPr>
        <w:footnoteReference w:id="7"/>
      </w:r>
    </w:p>
    <w:p w:rsidR="004D1B21" w:rsidRPr="005720D7" w:rsidP="004D1B21" w14:paraId="4862B32A" w14:textId="5DB2FC00">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 xml:space="preserve">In Duke’s Initial Comments, </w:t>
      </w:r>
      <w:r w:rsidRPr="005720D7">
        <w:rPr>
          <w:rFonts w:ascii="Times New Roman" w:hAnsi="Times New Roman" w:cs="Times New Roman"/>
          <w:sz w:val="24"/>
          <w:szCs w:val="24"/>
        </w:rPr>
        <w:t xml:space="preserve">Duke </w:t>
      </w:r>
      <w:r w:rsidRPr="005720D7" w:rsidR="001D03EF">
        <w:rPr>
          <w:rFonts w:ascii="Times New Roman" w:hAnsi="Times New Roman" w:cs="Times New Roman"/>
          <w:sz w:val="24"/>
          <w:szCs w:val="24"/>
        </w:rPr>
        <w:t>does</w:t>
      </w:r>
      <w:r w:rsidRPr="005720D7">
        <w:rPr>
          <w:rFonts w:ascii="Times New Roman" w:hAnsi="Times New Roman" w:cs="Times New Roman"/>
          <w:sz w:val="24"/>
          <w:szCs w:val="24"/>
        </w:rPr>
        <w:t xml:space="preserve"> not contest </w:t>
      </w:r>
      <w:r w:rsidRPr="005720D7" w:rsidR="00393A37">
        <w:rPr>
          <w:rFonts w:ascii="Times New Roman" w:hAnsi="Times New Roman" w:cs="Times New Roman"/>
          <w:sz w:val="24"/>
          <w:szCs w:val="24"/>
        </w:rPr>
        <w:t xml:space="preserve">the PUCO </w:t>
      </w:r>
      <w:r w:rsidRPr="005720D7" w:rsidR="001D03EF">
        <w:rPr>
          <w:rFonts w:ascii="Times New Roman" w:hAnsi="Times New Roman" w:cs="Times New Roman"/>
          <w:sz w:val="24"/>
          <w:szCs w:val="24"/>
        </w:rPr>
        <w:t>Staff’s recommendation to</w:t>
      </w:r>
      <w:r w:rsidRPr="005720D7">
        <w:rPr>
          <w:rFonts w:ascii="Times New Roman" w:hAnsi="Times New Roman" w:cs="Times New Roman"/>
          <w:sz w:val="24"/>
          <w:szCs w:val="24"/>
        </w:rPr>
        <w:t xml:space="preserve"> </w:t>
      </w:r>
      <w:r w:rsidRPr="005720D7" w:rsidR="00E01FF0">
        <w:rPr>
          <w:rFonts w:ascii="Times New Roman" w:hAnsi="Times New Roman" w:cs="Times New Roman"/>
          <w:sz w:val="24"/>
          <w:szCs w:val="24"/>
        </w:rPr>
        <w:t>reduce the charges to consumers by</w:t>
      </w:r>
      <w:r w:rsidRPr="005720D7">
        <w:rPr>
          <w:rFonts w:ascii="Times New Roman" w:hAnsi="Times New Roman" w:cs="Times New Roman"/>
          <w:sz w:val="24"/>
          <w:szCs w:val="24"/>
        </w:rPr>
        <w:t xml:space="preserve"> $4,980.27</w:t>
      </w:r>
      <w:r>
        <w:rPr>
          <w:rFonts w:ascii="Times New Roman" w:hAnsi="Times New Roman" w:cs="Times New Roman"/>
          <w:sz w:val="24"/>
          <w:szCs w:val="24"/>
          <w:vertAlign w:val="superscript"/>
        </w:rPr>
        <w:footnoteReference w:id="8"/>
      </w:r>
      <w:r w:rsidRPr="005720D7">
        <w:rPr>
          <w:rFonts w:ascii="Times New Roman" w:hAnsi="Times New Roman" w:cs="Times New Roman"/>
          <w:sz w:val="24"/>
          <w:szCs w:val="24"/>
        </w:rPr>
        <w:t xml:space="preserve"> due to improper </w:t>
      </w:r>
      <w:r w:rsidRPr="005720D7" w:rsidR="00850347">
        <w:rPr>
          <w:rFonts w:ascii="Times New Roman" w:hAnsi="Times New Roman" w:cs="Times New Roman"/>
          <w:sz w:val="24"/>
          <w:szCs w:val="24"/>
        </w:rPr>
        <w:t>inclusion of unrelated expenses.</w:t>
      </w:r>
      <w:r w:rsidRPr="005720D7" w:rsidR="00F5727C">
        <w:rPr>
          <w:rFonts w:ascii="Times New Roman" w:hAnsi="Times New Roman" w:cs="Times New Roman"/>
          <w:sz w:val="24"/>
          <w:szCs w:val="24"/>
        </w:rPr>
        <w:t xml:space="preserve"> </w:t>
      </w:r>
      <w:r w:rsidRPr="005720D7" w:rsidR="00393A37">
        <w:rPr>
          <w:rFonts w:ascii="Times New Roman" w:hAnsi="Times New Roman" w:cs="Times New Roman"/>
          <w:sz w:val="24"/>
          <w:szCs w:val="24"/>
        </w:rPr>
        <w:t>But</w:t>
      </w:r>
      <w:r w:rsidRPr="005720D7">
        <w:rPr>
          <w:rFonts w:ascii="Times New Roman" w:hAnsi="Times New Roman" w:cs="Times New Roman"/>
          <w:sz w:val="24"/>
          <w:szCs w:val="24"/>
        </w:rPr>
        <w:t xml:space="preserve"> Duke </w:t>
      </w:r>
      <w:r w:rsidRPr="005720D7" w:rsidR="001D03EF">
        <w:rPr>
          <w:rFonts w:ascii="Times New Roman" w:hAnsi="Times New Roman" w:cs="Times New Roman"/>
          <w:sz w:val="24"/>
          <w:szCs w:val="24"/>
        </w:rPr>
        <w:t>contests the PUCO Staff’s recommendation to disallow $79,085.75 in costs associated with the November 5, 2022 storm.</w:t>
      </w:r>
      <w:r>
        <w:rPr>
          <w:rStyle w:val="FootnoteReference"/>
          <w:rFonts w:ascii="Times New Roman" w:hAnsi="Times New Roman" w:cs="Times New Roman"/>
          <w:sz w:val="24"/>
          <w:szCs w:val="24"/>
        </w:rPr>
        <w:footnoteReference w:id="9"/>
      </w:r>
      <w:r w:rsidRPr="005720D7" w:rsidR="001D03EF">
        <w:rPr>
          <w:rFonts w:ascii="Times New Roman" w:hAnsi="Times New Roman" w:cs="Times New Roman"/>
          <w:sz w:val="24"/>
          <w:szCs w:val="24"/>
        </w:rPr>
        <w:t xml:space="preserve"> </w:t>
      </w:r>
    </w:p>
    <w:p w:rsidR="00AC4781" w:rsidP="00FD4FE7" w14:paraId="2303844F" w14:textId="72BC0301">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To protect consumers, t</w:t>
      </w:r>
      <w:r w:rsidRPr="005720D7" w:rsidR="00AC111F">
        <w:rPr>
          <w:rFonts w:ascii="Times New Roman" w:hAnsi="Times New Roman" w:cs="Times New Roman"/>
          <w:sz w:val="24"/>
          <w:szCs w:val="24"/>
        </w:rPr>
        <w:t xml:space="preserve">he PUCO should adopt all of the recommendations made by </w:t>
      </w:r>
      <w:r w:rsidRPr="005720D7" w:rsidR="00393A37">
        <w:rPr>
          <w:rFonts w:ascii="Times New Roman" w:hAnsi="Times New Roman" w:cs="Times New Roman"/>
          <w:sz w:val="24"/>
          <w:szCs w:val="24"/>
        </w:rPr>
        <w:t xml:space="preserve">the PUCO </w:t>
      </w:r>
      <w:r w:rsidRPr="005720D7" w:rsidR="00F5727C">
        <w:rPr>
          <w:rFonts w:ascii="Times New Roman" w:hAnsi="Times New Roman" w:cs="Times New Roman"/>
          <w:sz w:val="24"/>
          <w:szCs w:val="24"/>
        </w:rPr>
        <w:t>Staff</w:t>
      </w:r>
      <w:r w:rsidRPr="005720D7" w:rsidR="00AC111F">
        <w:rPr>
          <w:rFonts w:ascii="Times New Roman" w:hAnsi="Times New Roman" w:cs="Times New Roman"/>
          <w:sz w:val="24"/>
          <w:szCs w:val="24"/>
        </w:rPr>
        <w:t xml:space="preserve"> and red</w:t>
      </w:r>
      <w:r w:rsidRPr="005720D7" w:rsidR="00F5727C">
        <w:rPr>
          <w:rFonts w:ascii="Times New Roman" w:hAnsi="Times New Roman" w:cs="Times New Roman"/>
          <w:sz w:val="24"/>
          <w:szCs w:val="24"/>
        </w:rPr>
        <w:t>uce the</w:t>
      </w:r>
      <w:r w:rsidRPr="005720D7" w:rsidR="00E01FF0">
        <w:rPr>
          <w:rFonts w:ascii="Times New Roman" w:hAnsi="Times New Roman" w:cs="Times New Roman"/>
          <w:sz w:val="24"/>
          <w:szCs w:val="24"/>
        </w:rPr>
        <w:t xml:space="preserve"> charges to consumers under</w:t>
      </w:r>
      <w:r w:rsidR="005720D7">
        <w:rPr>
          <w:rFonts w:ascii="Times New Roman" w:hAnsi="Times New Roman" w:cs="Times New Roman"/>
          <w:sz w:val="24"/>
          <w:szCs w:val="24"/>
        </w:rPr>
        <w:t xml:space="preserve"> </w:t>
      </w:r>
      <w:r w:rsidRPr="005720D7" w:rsidR="00AC111F">
        <w:rPr>
          <w:rFonts w:ascii="Times New Roman" w:hAnsi="Times New Roman" w:cs="Times New Roman"/>
          <w:sz w:val="24"/>
          <w:szCs w:val="24"/>
        </w:rPr>
        <w:t xml:space="preserve">Rider DSR </w:t>
      </w:r>
      <w:r w:rsidRPr="005720D7" w:rsidR="00F5727C">
        <w:rPr>
          <w:rFonts w:ascii="Times New Roman" w:hAnsi="Times New Roman" w:cs="Times New Roman"/>
          <w:sz w:val="24"/>
          <w:szCs w:val="24"/>
        </w:rPr>
        <w:t xml:space="preserve">t </w:t>
      </w:r>
      <w:r w:rsidRPr="005720D7" w:rsidR="00D93270">
        <w:rPr>
          <w:rFonts w:ascii="Times New Roman" w:hAnsi="Times New Roman" w:cs="Times New Roman"/>
          <w:sz w:val="24"/>
          <w:szCs w:val="24"/>
        </w:rPr>
        <w:t xml:space="preserve">by </w:t>
      </w:r>
      <w:r w:rsidRPr="005720D7" w:rsidR="00F5727C">
        <w:rPr>
          <w:rFonts w:ascii="Times New Roman" w:hAnsi="Times New Roman" w:cs="Times New Roman"/>
          <w:sz w:val="24"/>
          <w:szCs w:val="24"/>
        </w:rPr>
        <w:t>$84,066.02.</w:t>
      </w:r>
      <w:r w:rsidRPr="005720D7" w:rsidR="00FD4FE7">
        <w:rPr>
          <w:rFonts w:ascii="Times New Roman" w:hAnsi="Times New Roman" w:cs="Times New Roman"/>
          <w:sz w:val="24"/>
          <w:szCs w:val="24"/>
        </w:rPr>
        <w:t xml:space="preserve"> </w:t>
      </w:r>
    </w:p>
    <w:p w:rsidR="00AC4781" w14:paraId="31CC2A03" w14:textId="77777777">
      <w:pPr>
        <w:rPr>
          <w:rFonts w:ascii="Times New Roman" w:hAnsi="Times New Roman" w:cs="Times New Roman"/>
          <w:sz w:val="24"/>
          <w:szCs w:val="24"/>
        </w:rPr>
      </w:pPr>
      <w:r>
        <w:rPr>
          <w:rFonts w:ascii="Times New Roman" w:hAnsi="Times New Roman" w:cs="Times New Roman"/>
          <w:sz w:val="24"/>
          <w:szCs w:val="24"/>
        </w:rPr>
        <w:br w:type="page"/>
      </w:r>
    </w:p>
    <w:p w:rsidR="00FD4FE7" w:rsidRPr="005720D7" w:rsidP="00481291" w14:paraId="79CAE541" w14:textId="3CC2FB72">
      <w:pPr>
        <w:pStyle w:val="Heading1"/>
      </w:pPr>
      <w:r w:rsidRPr="005720D7">
        <w:t xml:space="preserve">II. </w:t>
      </w:r>
      <w:r w:rsidRPr="005720D7">
        <w:tab/>
        <w:t>CONSUMER PROTECTION RECOMME</w:t>
      </w:r>
      <w:r w:rsidRPr="005720D7" w:rsidR="00B37B9E">
        <w:t>ND</w:t>
      </w:r>
      <w:r w:rsidRPr="005720D7">
        <w:t>ATIONS</w:t>
      </w:r>
    </w:p>
    <w:p w:rsidR="00530049" w:rsidRPr="005720D7" w:rsidP="00481291" w14:paraId="3D88CDDD" w14:textId="04C222A6">
      <w:pPr>
        <w:pStyle w:val="Heading2"/>
      </w:pPr>
      <w:bookmarkStart w:id="0" w:name="_Hlk146016189"/>
      <w:r w:rsidRPr="005720D7">
        <w:t xml:space="preserve">To protect Duke consumers, the </w:t>
      </w:r>
      <w:r w:rsidRPr="005720D7" w:rsidR="00393A37">
        <w:t xml:space="preserve">PUCO </w:t>
      </w:r>
      <w:r w:rsidRPr="005720D7">
        <w:t xml:space="preserve">should </w:t>
      </w:r>
      <w:r w:rsidRPr="005720D7" w:rsidR="00AC111F">
        <w:t xml:space="preserve">accept </w:t>
      </w:r>
      <w:r w:rsidRPr="005720D7">
        <w:t xml:space="preserve">the PUCO Staff’s recommendation to remove $79,085.75 </w:t>
      </w:r>
      <w:r w:rsidRPr="005720D7">
        <w:t>from Rider DSR</w:t>
      </w:r>
      <w:r w:rsidRPr="005720D7" w:rsidR="00E01FF0">
        <w:t xml:space="preserve"> charges to consumers</w:t>
      </w:r>
      <w:r w:rsidRPr="005720D7" w:rsidR="00573BBB">
        <w:t xml:space="preserve"> </w:t>
      </w:r>
      <w:r w:rsidRPr="005720D7" w:rsidR="00393A37">
        <w:t xml:space="preserve">for expenses </w:t>
      </w:r>
      <w:r w:rsidRPr="005720D7">
        <w:t xml:space="preserve">that </w:t>
      </w:r>
      <w:r w:rsidRPr="005720D7" w:rsidR="00AC111F">
        <w:t xml:space="preserve">allegedly </w:t>
      </w:r>
      <w:r w:rsidRPr="005720D7">
        <w:t>occurred during a November 5, 2022 storm</w:t>
      </w:r>
      <w:r w:rsidRPr="005720D7" w:rsidR="00E01FF0">
        <w:t xml:space="preserve"> that did not qualify as a major event under PUCO rules</w:t>
      </w:r>
      <w:r w:rsidRPr="005720D7">
        <w:t xml:space="preserve">. </w:t>
      </w:r>
    </w:p>
    <w:bookmarkEnd w:id="0"/>
    <w:p w:rsidR="00393A37" w:rsidRPr="005720D7" w:rsidP="00A54072" w14:paraId="3BF67B30" w14:textId="36FB8730">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 xml:space="preserve">Through a financial audit of the 2022 storm costs, the </w:t>
      </w:r>
      <w:r w:rsidRPr="005720D7">
        <w:rPr>
          <w:rFonts w:ascii="Times New Roman" w:hAnsi="Times New Roman" w:cs="Times New Roman"/>
          <w:sz w:val="24"/>
          <w:szCs w:val="24"/>
        </w:rPr>
        <w:t xml:space="preserve">PUCO </w:t>
      </w:r>
      <w:r w:rsidRPr="005720D7">
        <w:rPr>
          <w:rFonts w:ascii="Times New Roman" w:hAnsi="Times New Roman" w:cs="Times New Roman"/>
          <w:sz w:val="24"/>
          <w:szCs w:val="24"/>
        </w:rPr>
        <w:t xml:space="preserve">Staff determined </w:t>
      </w:r>
      <w:bookmarkStart w:id="1" w:name="_Hlk146005854"/>
      <w:r w:rsidRPr="005720D7" w:rsidR="00AC111F">
        <w:rPr>
          <w:rFonts w:ascii="Times New Roman" w:hAnsi="Times New Roman" w:cs="Times New Roman"/>
          <w:sz w:val="24"/>
          <w:szCs w:val="24"/>
        </w:rPr>
        <w:t xml:space="preserve">that Duke has included </w:t>
      </w:r>
      <w:r w:rsidRPr="005720D7">
        <w:rPr>
          <w:rFonts w:ascii="Times New Roman" w:hAnsi="Times New Roman" w:cs="Times New Roman"/>
          <w:sz w:val="24"/>
          <w:szCs w:val="24"/>
        </w:rPr>
        <w:t xml:space="preserve">$79,085.75 </w:t>
      </w:r>
      <w:bookmarkEnd w:id="1"/>
      <w:r w:rsidRPr="005720D7" w:rsidR="00AC111F">
        <w:rPr>
          <w:rFonts w:ascii="Times New Roman" w:hAnsi="Times New Roman" w:cs="Times New Roman"/>
          <w:sz w:val="24"/>
          <w:szCs w:val="24"/>
        </w:rPr>
        <w:t xml:space="preserve">in the </w:t>
      </w:r>
      <w:r w:rsidRPr="005720D7">
        <w:rPr>
          <w:rFonts w:ascii="Times New Roman" w:hAnsi="Times New Roman" w:cs="Times New Roman"/>
          <w:sz w:val="24"/>
          <w:szCs w:val="24"/>
        </w:rPr>
        <w:t>Rider DSR revenue requirement</w:t>
      </w:r>
      <w:r w:rsidRPr="005720D7" w:rsidR="00AC111F">
        <w:rPr>
          <w:rFonts w:ascii="Times New Roman" w:hAnsi="Times New Roman" w:cs="Times New Roman"/>
          <w:sz w:val="24"/>
          <w:szCs w:val="24"/>
        </w:rPr>
        <w:t xml:space="preserve"> for expenses related to November 5, 2022</w:t>
      </w:r>
      <w:r w:rsidRPr="005720D7" w:rsidR="00380482">
        <w:rPr>
          <w:rFonts w:ascii="Times New Roman" w:hAnsi="Times New Roman" w:cs="Times New Roman"/>
          <w:sz w:val="24"/>
          <w:szCs w:val="24"/>
        </w:rPr>
        <w:t>.</w:t>
      </w:r>
      <w:r w:rsidR="005720D7">
        <w:rPr>
          <w:rFonts w:ascii="Times New Roman" w:hAnsi="Times New Roman" w:cs="Times New Roman"/>
          <w:sz w:val="24"/>
          <w:szCs w:val="24"/>
        </w:rPr>
        <w:t xml:space="preserve"> </w:t>
      </w:r>
      <w:r w:rsidRPr="005720D7" w:rsidR="00380482">
        <w:rPr>
          <w:rFonts w:ascii="Times New Roman" w:hAnsi="Times New Roman" w:cs="Times New Roman"/>
          <w:sz w:val="24"/>
          <w:szCs w:val="24"/>
        </w:rPr>
        <w:t>The Staff found the</w:t>
      </w:r>
      <w:r w:rsidR="005720D7">
        <w:rPr>
          <w:rFonts w:ascii="Times New Roman" w:hAnsi="Times New Roman" w:cs="Times New Roman"/>
          <w:sz w:val="24"/>
          <w:szCs w:val="24"/>
        </w:rPr>
        <w:t xml:space="preserve"> </w:t>
      </w:r>
      <w:r w:rsidRPr="005720D7" w:rsidR="00AC111F">
        <w:rPr>
          <w:rFonts w:ascii="Times New Roman" w:hAnsi="Times New Roman" w:cs="Times New Roman"/>
          <w:sz w:val="24"/>
          <w:szCs w:val="24"/>
        </w:rPr>
        <w:t xml:space="preserve">storm that did not qualify for collection from consumers as a </w:t>
      </w:r>
      <w:r w:rsidRPr="005720D7" w:rsidR="00380482">
        <w:rPr>
          <w:rFonts w:ascii="Times New Roman" w:hAnsi="Times New Roman" w:cs="Times New Roman"/>
          <w:sz w:val="24"/>
          <w:szCs w:val="24"/>
        </w:rPr>
        <w:t>“</w:t>
      </w:r>
      <w:r w:rsidRPr="005720D7" w:rsidR="00AC111F">
        <w:rPr>
          <w:rFonts w:ascii="Times New Roman" w:hAnsi="Times New Roman" w:cs="Times New Roman"/>
          <w:sz w:val="24"/>
          <w:szCs w:val="24"/>
        </w:rPr>
        <w:t>major event.</w:t>
      </w:r>
      <w:r w:rsidRPr="005720D7" w:rsidR="00380482">
        <w:rPr>
          <w:rFonts w:ascii="Times New Roman" w:hAnsi="Times New Roman" w:cs="Times New Roman"/>
          <w:sz w:val="24"/>
          <w:szCs w:val="24"/>
        </w:rPr>
        <w:t>”</w:t>
      </w:r>
      <w:r w:rsidRPr="005720D7" w:rsidR="00573BBB">
        <w:rPr>
          <w:rFonts w:ascii="Times New Roman" w:hAnsi="Times New Roman" w:cs="Times New Roman"/>
          <w:sz w:val="24"/>
          <w:szCs w:val="24"/>
        </w:rPr>
        <w:t xml:space="preserve"> </w:t>
      </w:r>
      <w:r w:rsidRPr="005720D7" w:rsidR="00380482">
        <w:rPr>
          <w:rFonts w:ascii="Times New Roman" w:hAnsi="Times New Roman" w:cs="Times New Roman"/>
          <w:sz w:val="24"/>
          <w:szCs w:val="24"/>
        </w:rPr>
        <w:t>Only distribution outages, not transmission outages,</w:t>
      </w:r>
      <w:r w:rsidR="005720D7">
        <w:rPr>
          <w:rFonts w:ascii="Times New Roman" w:hAnsi="Times New Roman" w:cs="Times New Roman"/>
          <w:sz w:val="24"/>
          <w:szCs w:val="24"/>
        </w:rPr>
        <w:t xml:space="preserve"> </w:t>
      </w:r>
      <w:r w:rsidRPr="005720D7" w:rsidR="00380482">
        <w:rPr>
          <w:rFonts w:ascii="Times New Roman" w:hAnsi="Times New Roman" w:cs="Times New Roman"/>
          <w:sz w:val="24"/>
          <w:szCs w:val="24"/>
        </w:rPr>
        <w:t xml:space="preserve">associated with major events are eligible for collection from consumers under the Rider DSR. </w:t>
      </w:r>
    </w:p>
    <w:p w:rsidR="00380482" w:rsidRPr="005720D7" w:rsidP="00380482" w14:paraId="4D443D30" w14:textId="573FDC8C">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The PUCO rules require electric distribution utilities to file annual reliability reports that include reliability performance and supporting data for each of the required reliability indices. The annual reliability report (“Rule 10 Report”) also requires reporting on the performance of each of the reliability indices (including and excluding outages) associated with major events and transmission outages.</w:t>
      </w:r>
      <w:r>
        <w:rPr>
          <w:rStyle w:val="FootnoteReference"/>
          <w:rFonts w:ascii="Times New Roman" w:hAnsi="Times New Roman" w:cs="Times New Roman"/>
          <w:sz w:val="24"/>
          <w:szCs w:val="24"/>
        </w:rPr>
        <w:footnoteReference w:id="10"/>
      </w:r>
      <w:r w:rsidRPr="005720D7">
        <w:rPr>
          <w:rFonts w:ascii="Times New Roman" w:hAnsi="Times New Roman" w:cs="Times New Roman"/>
          <w:sz w:val="24"/>
          <w:szCs w:val="24"/>
        </w:rPr>
        <w:t xml:space="preserve"> </w:t>
      </w:r>
      <w:r w:rsidRPr="005720D7" w:rsidR="00530049">
        <w:rPr>
          <w:rFonts w:ascii="Times New Roman" w:hAnsi="Times New Roman" w:cs="Times New Roman"/>
          <w:sz w:val="24"/>
          <w:szCs w:val="24"/>
        </w:rPr>
        <w:t xml:space="preserve">According to </w:t>
      </w:r>
      <w:r w:rsidRPr="005720D7" w:rsidR="00393A37">
        <w:rPr>
          <w:rFonts w:ascii="Times New Roman" w:hAnsi="Times New Roman" w:cs="Times New Roman"/>
          <w:sz w:val="24"/>
          <w:szCs w:val="24"/>
        </w:rPr>
        <w:t xml:space="preserve">the PUCO </w:t>
      </w:r>
      <w:r w:rsidRPr="005720D7" w:rsidR="00530049">
        <w:rPr>
          <w:rFonts w:ascii="Times New Roman" w:hAnsi="Times New Roman" w:cs="Times New Roman"/>
          <w:sz w:val="24"/>
          <w:szCs w:val="24"/>
        </w:rPr>
        <w:t xml:space="preserve">Staff, Duke did not </w:t>
      </w:r>
      <w:r w:rsidRPr="005720D7" w:rsidR="00C73FA8">
        <w:rPr>
          <w:rFonts w:ascii="Times New Roman" w:hAnsi="Times New Roman" w:cs="Times New Roman"/>
          <w:sz w:val="24"/>
          <w:szCs w:val="24"/>
        </w:rPr>
        <w:t xml:space="preserve">identify a </w:t>
      </w:r>
      <w:r w:rsidRPr="005720D7" w:rsidR="00530049">
        <w:rPr>
          <w:rFonts w:ascii="Times New Roman" w:hAnsi="Times New Roman" w:cs="Times New Roman"/>
          <w:sz w:val="24"/>
          <w:szCs w:val="24"/>
        </w:rPr>
        <w:t xml:space="preserve">November 5, 2022 storm </w:t>
      </w:r>
      <w:r w:rsidRPr="005720D7" w:rsidR="00C73FA8">
        <w:rPr>
          <w:rFonts w:ascii="Times New Roman" w:hAnsi="Times New Roman" w:cs="Times New Roman"/>
          <w:sz w:val="24"/>
          <w:szCs w:val="24"/>
        </w:rPr>
        <w:t xml:space="preserve">as a </w:t>
      </w:r>
      <w:r w:rsidRPr="005720D7" w:rsidR="00E01FF0">
        <w:rPr>
          <w:rFonts w:ascii="Times New Roman" w:hAnsi="Times New Roman" w:cs="Times New Roman"/>
          <w:sz w:val="24"/>
          <w:szCs w:val="24"/>
        </w:rPr>
        <w:t>“</w:t>
      </w:r>
      <w:r w:rsidRPr="005720D7" w:rsidR="00C73FA8">
        <w:rPr>
          <w:rFonts w:ascii="Times New Roman" w:hAnsi="Times New Roman" w:cs="Times New Roman"/>
          <w:sz w:val="24"/>
          <w:szCs w:val="24"/>
        </w:rPr>
        <w:t>major event</w:t>
      </w:r>
      <w:r w:rsidRPr="005720D7" w:rsidR="00E01FF0">
        <w:rPr>
          <w:rFonts w:ascii="Times New Roman" w:hAnsi="Times New Roman" w:cs="Times New Roman"/>
          <w:sz w:val="24"/>
          <w:szCs w:val="24"/>
        </w:rPr>
        <w:t>”</w:t>
      </w:r>
      <w:r w:rsidRPr="005720D7" w:rsidR="00C73FA8">
        <w:rPr>
          <w:rFonts w:ascii="Times New Roman" w:hAnsi="Times New Roman" w:cs="Times New Roman"/>
          <w:sz w:val="24"/>
          <w:szCs w:val="24"/>
        </w:rPr>
        <w:t xml:space="preserve"> </w:t>
      </w:r>
      <w:r w:rsidRPr="005720D7" w:rsidR="00530049">
        <w:rPr>
          <w:rFonts w:ascii="Times New Roman" w:hAnsi="Times New Roman" w:cs="Times New Roman"/>
          <w:sz w:val="24"/>
          <w:szCs w:val="24"/>
        </w:rPr>
        <w:t xml:space="preserve">in </w:t>
      </w:r>
      <w:r w:rsidRPr="005720D7" w:rsidR="00573BBB">
        <w:rPr>
          <w:rFonts w:ascii="Times New Roman" w:hAnsi="Times New Roman" w:cs="Times New Roman"/>
          <w:sz w:val="24"/>
          <w:szCs w:val="24"/>
        </w:rPr>
        <w:t>its Rule</w:t>
      </w:r>
      <w:r w:rsidRPr="005720D7" w:rsidR="00530049">
        <w:rPr>
          <w:rFonts w:ascii="Times New Roman" w:hAnsi="Times New Roman" w:cs="Times New Roman"/>
          <w:sz w:val="24"/>
          <w:szCs w:val="24"/>
        </w:rPr>
        <w:t xml:space="preserve"> 10 report</w:t>
      </w:r>
      <w:r w:rsidRPr="005720D7" w:rsidR="00393A37">
        <w:rPr>
          <w:rFonts w:ascii="Times New Roman" w:hAnsi="Times New Roman" w:cs="Times New Roman"/>
          <w:sz w:val="24"/>
          <w:szCs w:val="24"/>
        </w:rPr>
        <w:t>.</w:t>
      </w:r>
      <w:r w:rsidRPr="005720D7" w:rsidR="00600324">
        <w:rPr>
          <w:rFonts w:ascii="Times New Roman" w:hAnsi="Times New Roman" w:cs="Times New Roman"/>
          <w:sz w:val="24"/>
          <w:szCs w:val="24"/>
        </w:rPr>
        <w:t xml:space="preserve"> </w:t>
      </w:r>
      <w:r w:rsidRPr="005720D7" w:rsidR="00393A37">
        <w:rPr>
          <w:rFonts w:ascii="Times New Roman" w:hAnsi="Times New Roman" w:cs="Times New Roman"/>
          <w:sz w:val="24"/>
          <w:szCs w:val="24"/>
        </w:rPr>
        <w:t>B</w:t>
      </w:r>
      <w:r w:rsidRPr="005720D7" w:rsidR="00C73FA8">
        <w:rPr>
          <w:rFonts w:ascii="Times New Roman" w:hAnsi="Times New Roman" w:cs="Times New Roman"/>
          <w:sz w:val="24"/>
          <w:szCs w:val="24"/>
        </w:rPr>
        <w:t xml:space="preserve">ut </w:t>
      </w:r>
      <w:r w:rsidRPr="005720D7" w:rsidR="00393A37">
        <w:rPr>
          <w:rFonts w:ascii="Times New Roman" w:hAnsi="Times New Roman" w:cs="Times New Roman"/>
          <w:sz w:val="24"/>
          <w:szCs w:val="24"/>
        </w:rPr>
        <w:t>Duke is nonetheless</w:t>
      </w:r>
      <w:r w:rsidRPr="005720D7" w:rsidR="00C73FA8">
        <w:rPr>
          <w:rFonts w:ascii="Times New Roman" w:hAnsi="Times New Roman" w:cs="Times New Roman"/>
          <w:sz w:val="24"/>
          <w:szCs w:val="24"/>
        </w:rPr>
        <w:t xml:space="preserve"> seeking to collect the </w:t>
      </w:r>
      <w:r w:rsidRPr="005720D7">
        <w:rPr>
          <w:rFonts w:ascii="Times New Roman" w:hAnsi="Times New Roman" w:cs="Times New Roman"/>
          <w:sz w:val="24"/>
          <w:szCs w:val="24"/>
        </w:rPr>
        <w:t xml:space="preserve">transmission </w:t>
      </w:r>
      <w:r w:rsidRPr="005720D7" w:rsidR="00C73FA8">
        <w:rPr>
          <w:rFonts w:ascii="Times New Roman" w:hAnsi="Times New Roman" w:cs="Times New Roman"/>
          <w:sz w:val="24"/>
          <w:szCs w:val="24"/>
        </w:rPr>
        <w:t xml:space="preserve">expenses </w:t>
      </w:r>
      <w:r w:rsidRPr="005720D7" w:rsidR="00393A37">
        <w:rPr>
          <w:rFonts w:ascii="Times New Roman" w:hAnsi="Times New Roman" w:cs="Times New Roman"/>
          <w:sz w:val="24"/>
          <w:szCs w:val="24"/>
        </w:rPr>
        <w:t xml:space="preserve">for the storm </w:t>
      </w:r>
      <w:r w:rsidRPr="005720D7" w:rsidR="00600324">
        <w:rPr>
          <w:rFonts w:ascii="Times New Roman" w:hAnsi="Times New Roman" w:cs="Times New Roman"/>
          <w:sz w:val="24"/>
          <w:szCs w:val="24"/>
        </w:rPr>
        <w:t xml:space="preserve">in </w:t>
      </w:r>
      <w:r w:rsidRPr="005720D7" w:rsidR="00222943">
        <w:rPr>
          <w:rFonts w:ascii="Times New Roman" w:hAnsi="Times New Roman" w:cs="Times New Roman"/>
          <w:sz w:val="24"/>
          <w:szCs w:val="24"/>
        </w:rPr>
        <w:t xml:space="preserve">its </w:t>
      </w:r>
      <w:r w:rsidRPr="005720D7" w:rsidR="00600324">
        <w:rPr>
          <w:rFonts w:ascii="Times New Roman" w:hAnsi="Times New Roman" w:cs="Times New Roman"/>
          <w:sz w:val="24"/>
          <w:szCs w:val="24"/>
        </w:rPr>
        <w:t>Application to adjust Rider DSR</w:t>
      </w:r>
      <w:r w:rsidRPr="005720D7" w:rsidR="00BC783A">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5720D7" w:rsidR="00573BBB">
        <w:rPr>
          <w:rFonts w:ascii="Times New Roman" w:hAnsi="Times New Roman" w:cs="Times New Roman"/>
          <w:sz w:val="24"/>
          <w:szCs w:val="24"/>
        </w:rPr>
        <w:t xml:space="preserve"> </w:t>
      </w:r>
    </w:p>
    <w:p w:rsidR="00380482" w:rsidRPr="005720D7" w:rsidP="00380482" w14:paraId="67C845BD" w14:textId="001F091B">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 xml:space="preserve">To qualify for collections under Rider DSR, an outage must be designated as a major event as defined in </w:t>
      </w:r>
      <w:r w:rsidR="002F57D5">
        <w:rPr>
          <w:rFonts w:ascii="Times New Roman" w:hAnsi="Times New Roman" w:cs="Times New Roman"/>
          <w:sz w:val="24"/>
          <w:szCs w:val="24"/>
        </w:rPr>
        <w:t>O.A.C.</w:t>
      </w:r>
      <w:r w:rsidRPr="005720D7">
        <w:rPr>
          <w:rFonts w:ascii="Times New Roman" w:hAnsi="Times New Roman" w:cs="Times New Roman"/>
          <w:sz w:val="24"/>
          <w:szCs w:val="24"/>
        </w:rPr>
        <w:t xml:space="preserve"> 4901:1-10-01(T). Duke reported eight major events that occurred in 2022 in the Rule 10 Report.</w:t>
      </w:r>
      <w:r>
        <w:rPr>
          <w:rStyle w:val="FootnoteReference"/>
          <w:rFonts w:ascii="Times New Roman" w:hAnsi="Times New Roman" w:cs="Times New Roman"/>
          <w:sz w:val="24"/>
          <w:szCs w:val="24"/>
        </w:rPr>
        <w:footnoteReference w:id="12"/>
      </w:r>
      <w:r w:rsidRPr="005720D7">
        <w:rPr>
          <w:rFonts w:ascii="Times New Roman" w:hAnsi="Times New Roman" w:cs="Times New Roman"/>
          <w:sz w:val="24"/>
          <w:szCs w:val="24"/>
        </w:rPr>
        <w:t xml:space="preserve"> Since Duke did not report the November 5</w:t>
      </w:r>
      <w:r w:rsidRPr="005720D7">
        <w:rPr>
          <w:rFonts w:ascii="Times New Roman" w:hAnsi="Times New Roman" w:cs="Times New Roman"/>
          <w:sz w:val="24"/>
          <w:szCs w:val="24"/>
          <w:vertAlign w:val="superscript"/>
        </w:rPr>
        <w:t>th</w:t>
      </w:r>
      <w:r w:rsidRPr="005720D7">
        <w:rPr>
          <w:rFonts w:ascii="Times New Roman" w:hAnsi="Times New Roman" w:cs="Times New Roman"/>
          <w:sz w:val="24"/>
          <w:szCs w:val="24"/>
        </w:rPr>
        <w:t xml:space="preserve"> storm as a major event, the PUCO Staff correctly excluded the expenses that were allegedly associated with the storm from consideration for collection from consumers under Rider DSR. </w:t>
      </w:r>
    </w:p>
    <w:p w:rsidR="00FD4FE7" w:rsidRPr="005720D7" w:rsidP="00A54072" w14:paraId="49CE4C92" w14:textId="47FCBAC7">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Duk</w:t>
      </w:r>
      <w:r w:rsidRPr="005720D7" w:rsidR="00AF27D9">
        <w:rPr>
          <w:rFonts w:ascii="Times New Roman" w:hAnsi="Times New Roman" w:cs="Times New Roman"/>
          <w:sz w:val="24"/>
          <w:szCs w:val="24"/>
        </w:rPr>
        <w:t>e</w:t>
      </w:r>
      <w:r w:rsidRPr="005720D7">
        <w:rPr>
          <w:rFonts w:ascii="Times New Roman" w:hAnsi="Times New Roman" w:cs="Times New Roman"/>
          <w:sz w:val="24"/>
          <w:szCs w:val="24"/>
        </w:rPr>
        <w:t xml:space="preserve"> </w:t>
      </w:r>
      <w:r w:rsidRPr="005720D7" w:rsidR="005F12DF">
        <w:rPr>
          <w:rFonts w:ascii="Times New Roman" w:hAnsi="Times New Roman" w:cs="Times New Roman"/>
          <w:sz w:val="24"/>
          <w:szCs w:val="24"/>
        </w:rPr>
        <w:t xml:space="preserve">disputes </w:t>
      </w:r>
      <w:r w:rsidRPr="005720D7" w:rsidR="00393A37">
        <w:rPr>
          <w:rFonts w:ascii="Times New Roman" w:hAnsi="Times New Roman" w:cs="Times New Roman"/>
          <w:sz w:val="24"/>
          <w:szCs w:val="24"/>
        </w:rPr>
        <w:t>the PUCO Staff,</w:t>
      </w:r>
      <w:r w:rsidRPr="005720D7" w:rsidR="00573BBB">
        <w:rPr>
          <w:rFonts w:ascii="Times New Roman" w:hAnsi="Times New Roman" w:cs="Times New Roman"/>
          <w:sz w:val="24"/>
          <w:szCs w:val="24"/>
        </w:rPr>
        <w:t xml:space="preserve"> </w:t>
      </w:r>
      <w:r w:rsidRPr="005720D7" w:rsidR="00A54072">
        <w:rPr>
          <w:rFonts w:ascii="Times New Roman" w:hAnsi="Times New Roman" w:cs="Times New Roman"/>
          <w:sz w:val="24"/>
          <w:szCs w:val="24"/>
        </w:rPr>
        <w:t>stating</w:t>
      </w:r>
      <w:r w:rsidRPr="005720D7" w:rsidR="00EE1664">
        <w:rPr>
          <w:rFonts w:ascii="Times New Roman" w:hAnsi="Times New Roman" w:cs="Times New Roman"/>
          <w:sz w:val="24"/>
          <w:szCs w:val="24"/>
        </w:rPr>
        <w:t xml:space="preserve"> </w:t>
      </w:r>
      <w:r w:rsidRPr="005720D7" w:rsidR="00B168C7">
        <w:rPr>
          <w:rFonts w:ascii="Times New Roman" w:hAnsi="Times New Roman" w:cs="Times New Roman"/>
          <w:sz w:val="24"/>
          <w:szCs w:val="24"/>
        </w:rPr>
        <w:t>“</w:t>
      </w:r>
      <w:r w:rsidRPr="005720D7" w:rsidR="00393A37">
        <w:rPr>
          <w:rFonts w:ascii="Times New Roman" w:hAnsi="Times New Roman" w:cs="Times New Roman"/>
          <w:sz w:val="24"/>
          <w:szCs w:val="24"/>
        </w:rPr>
        <w:t>[s]</w:t>
      </w:r>
      <w:r w:rsidRPr="005720D7" w:rsidR="00A54072">
        <w:rPr>
          <w:rFonts w:ascii="Times New Roman" w:hAnsi="Times New Roman" w:cs="Times New Roman"/>
          <w:sz w:val="24"/>
          <w:szCs w:val="24"/>
        </w:rPr>
        <w:t>ince outages on November 5</w:t>
      </w:r>
      <w:r w:rsidRPr="005720D7" w:rsidR="00A54072">
        <w:rPr>
          <w:rFonts w:ascii="Times New Roman" w:hAnsi="Times New Roman" w:cs="Times New Roman"/>
          <w:sz w:val="24"/>
          <w:szCs w:val="24"/>
          <w:vertAlign w:val="superscript"/>
        </w:rPr>
        <w:t>th</w:t>
      </w:r>
      <w:r w:rsidRPr="005720D7" w:rsidR="00A54072">
        <w:rPr>
          <w:rFonts w:ascii="Times New Roman" w:hAnsi="Times New Roman" w:cs="Times New Roman"/>
          <w:sz w:val="24"/>
          <w:szCs w:val="24"/>
        </w:rPr>
        <w:t xml:space="preserve"> began in the transmission system, the event was reported on the Company’s Rule 10 Report, Page 4, Section 5a. 4901:1-10-10(C)(2): Transmission Outages, instead of on </w:t>
      </w:r>
      <w:bookmarkStart w:id="2" w:name="_Hlk146007685"/>
      <w:r w:rsidRPr="005720D7" w:rsidR="00A54072">
        <w:rPr>
          <w:rFonts w:ascii="Times New Roman" w:hAnsi="Times New Roman" w:cs="Times New Roman"/>
          <w:sz w:val="24"/>
          <w:szCs w:val="24"/>
        </w:rPr>
        <w:t>Page 3, Section 4 4901:1-10-10(C)(2): Major Event Outages</w:t>
      </w:r>
      <w:bookmarkEnd w:id="2"/>
      <w:r w:rsidRPr="005720D7" w:rsidR="00A54072">
        <w:rPr>
          <w:rFonts w:ascii="Times New Roman" w:hAnsi="Times New Roman" w:cs="Times New Roman"/>
          <w:sz w:val="24"/>
          <w:szCs w:val="24"/>
        </w:rPr>
        <w:t>, even though this event also qualified as a major storm event for the Company’s Rider DSR</w:t>
      </w:r>
      <w:r w:rsidRPr="005720D7" w:rsidR="00393A37">
        <w:rPr>
          <w:rFonts w:ascii="Times New Roman" w:hAnsi="Times New Roman" w:cs="Times New Roman"/>
          <w:sz w:val="24"/>
          <w:szCs w:val="24"/>
        </w:rPr>
        <w:t>.</w:t>
      </w:r>
      <w:r w:rsidRPr="005720D7" w:rsidR="00A54072">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43316E" w:rsidRPr="005720D7" w:rsidP="00A54072" w14:paraId="3AA6D169" w14:textId="6EA0DBDC">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There are twenty-three distinct 2022 transmission outages reported by Duke in the Rule 10 Report.</w:t>
      </w:r>
      <w:r>
        <w:rPr>
          <w:rStyle w:val="FootnoteReference"/>
          <w:rFonts w:ascii="Times New Roman" w:hAnsi="Times New Roman" w:cs="Times New Roman"/>
          <w:sz w:val="24"/>
          <w:szCs w:val="24"/>
        </w:rPr>
        <w:footnoteReference w:id="14"/>
      </w:r>
      <w:r w:rsidRPr="005720D7">
        <w:rPr>
          <w:rFonts w:ascii="Times New Roman" w:hAnsi="Times New Roman" w:cs="Times New Roman"/>
          <w:sz w:val="24"/>
          <w:szCs w:val="24"/>
        </w:rPr>
        <w:t xml:space="preserve"> The dates of some of the reported transmission outages coincide with the dates of the eight reported major events. </w:t>
      </w:r>
      <w:r w:rsidRPr="005720D7" w:rsidR="002648D5">
        <w:rPr>
          <w:rFonts w:ascii="Times New Roman" w:hAnsi="Times New Roman" w:cs="Times New Roman"/>
          <w:sz w:val="24"/>
          <w:szCs w:val="24"/>
        </w:rPr>
        <w:t>This is not the case for the November 5</w:t>
      </w:r>
      <w:r w:rsidRPr="005720D7" w:rsidR="002648D5">
        <w:rPr>
          <w:rFonts w:ascii="Times New Roman" w:hAnsi="Times New Roman" w:cs="Times New Roman"/>
          <w:sz w:val="24"/>
          <w:szCs w:val="24"/>
          <w:vertAlign w:val="superscript"/>
        </w:rPr>
        <w:t>th</w:t>
      </w:r>
      <w:r w:rsidRPr="005720D7" w:rsidR="002648D5">
        <w:rPr>
          <w:rFonts w:ascii="Times New Roman" w:hAnsi="Times New Roman" w:cs="Times New Roman"/>
          <w:sz w:val="24"/>
          <w:szCs w:val="24"/>
        </w:rPr>
        <w:t xml:space="preserve"> transmission outage. </w:t>
      </w:r>
      <w:r w:rsidRPr="005720D7" w:rsidR="00393A37">
        <w:rPr>
          <w:rFonts w:ascii="Times New Roman" w:hAnsi="Times New Roman" w:cs="Times New Roman"/>
          <w:sz w:val="24"/>
          <w:szCs w:val="24"/>
        </w:rPr>
        <w:t>Transmission expenses are not eligible for collection from consumers under Rider DSR.</w:t>
      </w:r>
    </w:p>
    <w:p w:rsidR="00AD6B23" w:rsidRPr="005720D7" w:rsidP="009944B3" w14:paraId="4420F2E4" w14:textId="116529C2">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 xml:space="preserve">The </w:t>
      </w:r>
      <w:r w:rsidRPr="005720D7" w:rsidR="00E57D87">
        <w:rPr>
          <w:rFonts w:ascii="Times New Roman" w:hAnsi="Times New Roman" w:cs="Times New Roman"/>
          <w:sz w:val="24"/>
          <w:szCs w:val="24"/>
        </w:rPr>
        <w:t>OCC supports the PUCO Staff’s recommendation to disallow</w:t>
      </w:r>
      <w:r w:rsidRPr="005720D7" w:rsidR="00031DBD">
        <w:rPr>
          <w:rFonts w:ascii="Times New Roman" w:hAnsi="Times New Roman" w:cs="Times New Roman"/>
          <w:sz w:val="24"/>
          <w:szCs w:val="24"/>
        </w:rPr>
        <w:t xml:space="preserve"> </w:t>
      </w:r>
      <w:r w:rsidRPr="005720D7">
        <w:rPr>
          <w:rFonts w:ascii="Times New Roman" w:hAnsi="Times New Roman" w:cs="Times New Roman"/>
          <w:sz w:val="24"/>
          <w:szCs w:val="24"/>
        </w:rPr>
        <w:t>$79,085.75 in s</w:t>
      </w:r>
      <w:r w:rsidRPr="005720D7" w:rsidR="00663FF2">
        <w:rPr>
          <w:rFonts w:ascii="Times New Roman" w:hAnsi="Times New Roman" w:cs="Times New Roman"/>
          <w:sz w:val="24"/>
          <w:szCs w:val="24"/>
        </w:rPr>
        <w:t>torm cost</w:t>
      </w:r>
      <w:r w:rsidRPr="005720D7" w:rsidR="00031DBD">
        <w:rPr>
          <w:rFonts w:ascii="Times New Roman" w:hAnsi="Times New Roman" w:cs="Times New Roman"/>
          <w:sz w:val="24"/>
          <w:szCs w:val="24"/>
        </w:rPr>
        <w:t xml:space="preserve">s. </w:t>
      </w:r>
      <w:r w:rsidRPr="005720D7" w:rsidR="00A46D8C">
        <w:rPr>
          <w:rFonts w:ascii="Times New Roman" w:hAnsi="Times New Roman" w:cs="Times New Roman"/>
          <w:sz w:val="24"/>
          <w:szCs w:val="24"/>
        </w:rPr>
        <w:t xml:space="preserve">Duke’s </w:t>
      </w:r>
      <w:r w:rsidRPr="005720D7" w:rsidR="00393A37">
        <w:rPr>
          <w:rFonts w:ascii="Times New Roman" w:hAnsi="Times New Roman" w:cs="Times New Roman"/>
          <w:sz w:val="24"/>
          <w:szCs w:val="24"/>
        </w:rPr>
        <w:t xml:space="preserve">attempt to </w:t>
      </w:r>
      <w:r w:rsidRPr="005720D7" w:rsidR="008C39C2">
        <w:rPr>
          <w:rFonts w:ascii="Times New Roman" w:hAnsi="Times New Roman" w:cs="Times New Roman"/>
          <w:sz w:val="24"/>
          <w:szCs w:val="24"/>
        </w:rPr>
        <w:t xml:space="preserve">charge </w:t>
      </w:r>
      <w:r w:rsidRPr="005720D7" w:rsidR="00A46D8C">
        <w:rPr>
          <w:rFonts w:ascii="Times New Roman" w:hAnsi="Times New Roman" w:cs="Times New Roman"/>
          <w:sz w:val="24"/>
          <w:szCs w:val="24"/>
        </w:rPr>
        <w:t>consumers for the November 5</w:t>
      </w:r>
      <w:r w:rsidRPr="005720D7" w:rsidR="00A46D8C">
        <w:rPr>
          <w:rFonts w:ascii="Times New Roman" w:hAnsi="Times New Roman" w:cs="Times New Roman"/>
          <w:sz w:val="24"/>
          <w:szCs w:val="24"/>
          <w:vertAlign w:val="superscript"/>
        </w:rPr>
        <w:t>th</w:t>
      </w:r>
      <w:r w:rsidRPr="005720D7" w:rsidR="00A46D8C">
        <w:rPr>
          <w:rFonts w:ascii="Times New Roman" w:hAnsi="Times New Roman" w:cs="Times New Roman"/>
          <w:sz w:val="24"/>
          <w:szCs w:val="24"/>
        </w:rPr>
        <w:t xml:space="preserve"> transmission outage violates the PUCO order supporting the </w:t>
      </w:r>
      <w:r w:rsidRPr="005720D7" w:rsidR="00393A37">
        <w:rPr>
          <w:rFonts w:ascii="Times New Roman" w:hAnsi="Times New Roman" w:cs="Times New Roman"/>
          <w:sz w:val="24"/>
          <w:szCs w:val="24"/>
        </w:rPr>
        <w:t xml:space="preserve">Rider </w:t>
      </w:r>
      <w:r w:rsidRPr="005720D7" w:rsidR="00A46D8C">
        <w:rPr>
          <w:rFonts w:ascii="Times New Roman" w:hAnsi="Times New Roman" w:cs="Times New Roman"/>
          <w:sz w:val="24"/>
          <w:szCs w:val="24"/>
        </w:rPr>
        <w:t>DSR</w:t>
      </w:r>
      <w:r w:rsidRPr="005720D7" w:rsidR="00573BBB">
        <w:rPr>
          <w:rFonts w:ascii="Times New Roman" w:hAnsi="Times New Roman" w:cs="Times New Roman"/>
          <w:sz w:val="24"/>
          <w:szCs w:val="24"/>
        </w:rPr>
        <w:t xml:space="preserve"> </w:t>
      </w:r>
      <w:r w:rsidRPr="005720D7" w:rsidR="00A46D8C">
        <w:rPr>
          <w:rFonts w:ascii="Times New Roman" w:hAnsi="Times New Roman" w:cs="Times New Roman"/>
          <w:sz w:val="24"/>
          <w:szCs w:val="24"/>
        </w:rPr>
        <w:t xml:space="preserve">and </w:t>
      </w:r>
      <w:r w:rsidRPr="005720D7">
        <w:rPr>
          <w:rFonts w:ascii="Times New Roman" w:hAnsi="Times New Roman" w:cs="Times New Roman"/>
          <w:sz w:val="24"/>
          <w:szCs w:val="24"/>
        </w:rPr>
        <w:t>is not just and reasonable.</w:t>
      </w:r>
    </w:p>
    <w:p w:rsidR="00306155" w:rsidRPr="005720D7" w:rsidP="00600324" w14:paraId="581111CB" w14:textId="183A6B50">
      <w:pPr>
        <w:pStyle w:val="Heading2"/>
      </w:pPr>
      <w:r w:rsidRPr="005720D7">
        <w:t>To protect</w:t>
      </w:r>
      <w:r w:rsidRPr="005720D7" w:rsidR="00AF27D9">
        <w:t xml:space="preserve"> </w:t>
      </w:r>
      <w:r w:rsidRPr="005720D7">
        <w:t xml:space="preserve">consumers, the </w:t>
      </w:r>
      <w:r w:rsidRPr="005720D7" w:rsidR="00393A37">
        <w:t xml:space="preserve">PUCO </w:t>
      </w:r>
      <w:r w:rsidRPr="005720D7">
        <w:t xml:space="preserve">should </w:t>
      </w:r>
      <w:r w:rsidRPr="005720D7" w:rsidR="00A46D8C">
        <w:t xml:space="preserve">ensure that </w:t>
      </w:r>
      <w:r w:rsidRPr="005720D7" w:rsidR="00AF27D9">
        <w:t xml:space="preserve">Duke </w:t>
      </w:r>
      <w:r w:rsidRPr="005720D7" w:rsidR="00A46D8C">
        <w:t xml:space="preserve">is accurately reporting outage data in its annual Rule 10 Report. </w:t>
      </w:r>
    </w:p>
    <w:p w:rsidR="00026EA8" w:rsidRPr="005720D7" w:rsidP="00FE6F89" w14:paraId="7D72FD36" w14:textId="42644809">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D</w:t>
      </w:r>
      <w:r w:rsidRPr="005720D7" w:rsidR="00844919">
        <w:rPr>
          <w:rFonts w:ascii="Times New Roman" w:hAnsi="Times New Roman" w:cs="Times New Roman"/>
          <w:sz w:val="24"/>
          <w:szCs w:val="24"/>
        </w:rPr>
        <w:t xml:space="preserve">uke commented that the PUCO should not “focus solely on the Rule 10 Report” to determine which expenses should be collected </w:t>
      </w:r>
      <w:r w:rsidRPr="005720D7" w:rsidR="00393A37">
        <w:rPr>
          <w:rFonts w:ascii="Times New Roman" w:hAnsi="Times New Roman" w:cs="Times New Roman"/>
          <w:sz w:val="24"/>
          <w:szCs w:val="24"/>
        </w:rPr>
        <w:t xml:space="preserve">from consumers </w:t>
      </w:r>
      <w:r w:rsidRPr="005720D7" w:rsidR="00844919">
        <w:rPr>
          <w:rFonts w:ascii="Times New Roman" w:hAnsi="Times New Roman" w:cs="Times New Roman"/>
          <w:sz w:val="24"/>
          <w:szCs w:val="24"/>
        </w:rPr>
        <w:t xml:space="preserve">through the </w:t>
      </w:r>
      <w:r w:rsidRPr="005720D7" w:rsidR="00393A37">
        <w:rPr>
          <w:rFonts w:ascii="Times New Roman" w:hAnsi="Times New Roman" w:cs="Times New Roman"/>
          <w:sz w:val="24"/>
          <w:szCs w:val="24"/>
        </w:rPr>
        <w:t xml:space="preserve">Rider </w:t>
      </w:r>
      <w:r w:rsidRPr="005720D7" w:rsidR="00844919">
        <w:rPr>
          <w:rFonts w:ascii="Times New Roman" w:hAnsi="Times New Roman" w:cs="Times New Roman"/>
          <w:sz w:val="24"/>
          <w:szCs w:val="24"/>
        </w:rPr>
        <w:t>DSR.</w:t>
      </w:r>
      <w:r>
        <w:rPr>
          <w:rStyle w:val="FootnoteReference"/>
          <w:rFonts w:ascii="Times New Roman" w:hAnsi="Times New Roman" w:cs="Times New Roman"/>
          <w:sz w:val="24"/>
          <w:szCs w:val="24"/>
        </w:rPr>
        <w:footnoteReference w:id="15"/>
      </w:r>
      <w:r w:rsidRPr="005720D7" w:rsidR="00844919">
        <w:rPr>
          <w:rFonts w:ascii="Times New Roman" w:hAnsi="Times New Roman" w:cs="Times New Roman"/>
          <w:sz w:val="24"/>
          <w:szCs w:val="24"/>
        </w:rPr>
        <w:t xml:space="preserve"> But the annual Rule 10 Report is intended to serve as the single source that can be relied upon </w:t>
      </w:r>
      <w:r w:rsidRPr="005720D7">
        <w:rPr>
          <w:rFonts w:ascii="Times New Roman" w:hAnsi="Times New Roman" w:cs="Times New Roman"/>
          <w:sz w:val="24"/>
          <w:szCs w:val="24"/>
        </w:rPr>
        <w:t xml:space="preserve">by the public </w:t>
      </w:r>
      <w:r w:rsidRPr="005720D7" w:rsidR="00844919">
        <w:rPr>
          <w:rFonts w:ascii="Times New Roman" w:hAnsi="Times New Roman" w:cs="Times New Roman"/>
          <w:sz w:val="24"/>
          <w:szCs w:val="24"/>
        </w:rPr>
        <w:t xml:space="preserve">to determine if reliability performance conforms with the PUCO reliability standards. Inaccurate or incomplete reporting of reliability data in the Rule 10 Report distorts the </w:t>
      </w:r>
      <w:r w:rsidRPr="005720D7">
        <w:rPr>
          <w:rFonts w:ascii="Times New Roman" w:hAnsi="Times New Roman" w:cs="Times New Roman"/>
          <w:sz w:val="24"/>
          <w:szCs w:val="24"/>
        </w:rPr>
        <w:t xml:space="preserve">public view of the reliability consumers are </w:t>
      </w:r>
      <w:r w:rsidRPr="005720D7" w:rsidR="00844919">
        <w:rPr>
          <w:rFonts w:ascii="Times New Roman" w:hAnsi="Times New Roman" w:cs="Times New Roman"/>
          <w:sz w:val="24"/>
          <w:szCs w:val="24"/>
        </w:rPr>
        <w:t>receiving</w:t>
      </w:r>
      <w:r w:rsidRPr="005720D7">
        <w:rPr>
          <w:rFonts w:ascii="Times New Roman" w:hAnsi="Times New Roman" w:cs="Times New Roman"/>
          <w:sz w:val="24"/>
          <w:szCs w:val="24"/>
        </w:rPr>
        <w:t>. And Duke’s inaccurate or incomplete reporting of reliability data contradicts Ohio policy regarding the development of performance standards to measure service quality, and to provide written reports that demonstrate the achievement against those standards in plain English.</w:t>
      </w:r>
      <w:r>
        <w:rPr>
          <w:rStyle w:val="FootnoteReference"/>
          <w:rFonts w:ascii="Times New Roman" w:hAnsi="Times New Roman" w:cs="Times New Roman"/>
          <w:sz w:val="24"/>
          <w:szCs w:val="24"/>
        </w:rPr>
        <w:footnoteReference w:id="16"/>
      </w:r>
      <w:r w:rsidRPr="005720D7" w:rsidR="00573BBB">
        <w:rPr>
          <w:rFonts w:ascii="Times New Roman" w:hAnsi="Times New Roman" w:cs="Times New Roman"/>
          <w:sz w:val="24"/>
          <w:szCs w:val="24"/>
        </w:rPr>
        <w:t xml:space="preserve"> </w:t>
      </w:r>
    </w:p>
    <w:p w:rsidR="00107936" w:rsidRPr="005720D7" w:rsidP="00B46F6D" w14:paraId="3F929E8D" w14:textId="510B0DD2">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 xml:space="preserve">Outages that are not reported as major events are not eligible for collection from consumers through </w:t>
      </w:r>
      <w:r w:rsidRPr="005720D7" w:rsidR="00393A37">
        <w:rPr>
          <w:rFonts w:ascii="Times New Roman" w:hAnsi="Times New Roman" w:cs="Times New Roman"/>
          <w:sz w:val="24"/>
          <w:szCs w:val="24"/>
        </w:rPr>
        <w:t xml:space="preserve">Rider </w:t>
      </w:r>
      <w:r w:rsidRPr="005720D7">
        <w:rPr>
          <w:rFonts w:ascii="Times New Roman" w:hAnsi="Times New Roman" w:cs="Times New Roman"/>
          <w:sz w:val="24"/>
          <w:szCs w:val="24"/>
        </w:rPr>
        <w:t xml:space="preserve">DSR. </w:t>
      </w:r>
      <w:r w:rsidRPr="005720D7" w:rsidR="00050DB6">
        <w:rPr>
          <w:rFonts w:ascii="Times New Roman" w:hAnsi="Times New Roman" w:cs="Times New Roman"/>
          <w:sz w:val="24"/>
          <w:szCs w:val="24"/>
        </w:rPr>
        <w:t xml:space="preserve">If the alleged interruption on November 5, 2022 was also a major event, it should have been reported as such in the annual Rule 10 Report. </w:t>
      </w:r>
      <w:r w:rsidRPr="005720D7" w:rsidR="00393A37">
        <w:rPr>
          <w:rFonts w:ascii="Times New Roman" w:hAnsi="Times New Roman" w:cs="Times New Roman"/>
          <w:sz w:val="24"/>
          <w:szCs w:val="24"/>
        </w:rPr>
        <w:t xml:space="preserve">The PUCO </w:t>
      </w:r>
      <w:r w:rsidRPr="005720D7" w:rsidR="00050DB6">
        <w:rPr>
          <w:rFonts w:ascii="Times New Roman" w:hAnsi="Times New Roman" w:cs="Times New Roman"/>
          <w:sz w:val="24"/>
          <w:szCs w:val="24"/>
        </w:rPr>
        <w:t>Staff and the public at large should be able to rely upon the Duke Rule 10 Report for accurate and complete reporting of reliability performance against the PUCO standards. The PUCO should further examine Duke’s reporting of reliability data to verify that Duke is in full compliance with PUCO reporting standards.</w:t>
      </w:r>
      <w:r>
        <w:rPr>
          <w:rStyle w:val="FootnoteReference"/>
          <w:rFonts w:ascii="Times New Roman" w:hAnsi="Times New Roman" w:cs="Times New Roman"/>
          <w:sz w:val="24"/>
          <w:szCs w:val="24"/>
        </w:rPr>
        <w:footnoteReference w:id="17"/>
      </w:r>
      <w:r w:rsidRPr="005720D7" w:rsidR="00050DB6">
        <w:rPr>
          <w:rFonts w:ascii="Times New Roman" w:hAnsi="Times New Roman" w:cs="Times New Roman"/>
          <w:sz w:val="24"/>
          <w:szCs w:val="24"/>
        </w:rPr>
        <w:t xml:space="preserve"> Only just and reasonable expenses associated with major events should be included in </w:t>
      </w:r>
      <w:r w:rsidRPr="005720D7" w:rsidR="00D46EDB">
        <w:rPr>
          <w:rFonts w:ascii="Times New Roman" w:hAnsi="Times New Roman" w:cs="Times New Roman"/>
          <w:sz w:val="24"/>
          <w:szCs w:val="24"/>
        </w:rPr>
        <w:t xml:space="preserve">Rider </w:t>
      </w:r>
      <w:r w:rsidRPr="005720D7" w:rsidR="00050DB6">
        <w:rPr>
          <w:rFonts w:ascii="Times New Roman" w:hAnsi="Times New Roman" w:cs="Times New Roman"/>
          <w:sz w:val="24"/>
          <w:szCs w:val="24"/>
        </w:rPr>
        <w:t xml:space="preserve">DSR. </w:t>
      </w:r>
    </w:p>
    <w:p w:rsidR="00107936" w:rsidRPr="005720D7" w:rsidP="00796B92" w14:paraId="798DEA00" w14:textId="77777777">
      <w:pPr>
        <w:spacing w:after="0" w:line="240" w:lineRule="auto"/>
        <w:ind w:firstLine="720"/>
        <w:rPr>
          <w:rFonts w:ascii="Times New Roman" w:hAnsi="Times New Roman" w:cs="Times New Roman"/>
          <w:sz w:val="24"/>
          <w:szCs w:val="24"/>
        </w:rPr>
      </w:pPr>
    </w:p>
    <w:p w:rsidR="00107936" w:rsidRPr="005720D7" w:rsidP="006739E0" w14:paraId="2D9460E3" w14:textId="4358B6CD">
      <w:pPr>
        <w:pStyle w:val="Heading1"/>
      </w:pPr>
      <w:r w:rsidRPr="005720D7">
        <w:t xml:space="preserve">III. </w:t>
      </w:r>
      <w:r w:rsidRPr="005720D7" w:rsidR="00796B92">
        <w:tab/>
        <w:t>CONCLUSION</w:t>
      </w:r>
    </w:p>
    <w:p w:rsidR="00107936" w:rsidRPr="005720D7" w:rsidP="00B46F6D" w14:paraId="3CA56555" w14:textId="779B61F4">
      <w:pPr>
        <w:spacing w:after="0" w:line="480" w:lineRule="auto"/>
        <w:ind w:firstLine="720"/>
        <w:rPr>
          <w:rFonts w:ascii="Times New Roman" w:hAnsi="Times New Roman" w:cs="Times New Roman"/>
          <w:sz w:val="24"/>
          <w:szCs w:val="24"/>
        </w:rPr>
      </w:pPr>
      <w:r w:rsidRPr="005720D7">
        <w:rPr>
          <w:rFonts w:ascii="Times New Roman" w:hAnsi="Times New Roman" w:cs="Times New Roman"/>
          <w:sz w:val="24"/>
          <w:szCs w:val="24"/>
        </w:rPr>
        <w:t xml:space="preserve">The </w:t>
      </w:r>
      <w:r w:rsidRPr="005720D7" w:rsidR="00050DB6">
        <w:rPr>
          <w:rFonts w:ascii="Times New Roman" w:hAnsi="Times New Roman" w:cs="Times New Roman"/>
          <w:sz w:val="24"/>
          <w:szCs w:val="24"/>
        </w:rPr>
        <w:t xml:space="preserve">PUCO </w:t>
      </w:r>
      <w:r w:rsidRPr="005720D7">
        <w:rPr>
          <w:rFonts w:ascii="Times New Roman" w:hAnsi="Times New Roman" w:cs="Times New Roman"/>
          <w:sz w:val="24"/>
          <w:szCs w:val="24"/>
        </w:rPr>
        <w:t xml:space="preserve">should </w:t>
      </w:r>
      <w:r w:rsidRPr="005720D7" w:rsidR="00050DB6">
        <w:rPr>
          <w:rFonts w:ascii="Times New Roman" w:hAnsi="Times New Roman" w:cs="Times New Roman"/>
          <w:sz w:val="24"/>
          <w:szCs w:val="24"/>
        </w:rPr>
        <w:t xml:space="preserve">adopt </w:t>
      </w:r>
      <w:r w:rsidRPr="005720D7">
        <w:rPr>
          <w:rFonts w:ascii="Times New Roman" w:hAnsi="Times New Roman" w:cs="Times New Roman"/>
          <w:sz w:val="24"/>
          <w:szCs w:val="24"/>
        </w:rPr>
        <w:t xml:space="preserve">the PUCO Staff’s recommendation </w:t>
      </w:r>
      <w:r w:rsidRPr="005720D7" w:rsidR="00050DB6">
        <w:rPr>
          <w:rFonts w:ascii="Times New Roman" w:hAnsi="Times New Roman" w:cs="Times New Roman"/>
          <w:sz w:val="24"/>
          <w:szCs w:val="24"/>
        </w:rPr>
        <w:t xml:space="preserve">and </w:t>
      </w:r>
      <w:r w:rsidRPr="005720D7">
        <w:rPr>
          <w:rFonts w:ascii="Times New Roman" w:hAnsi="Times New Roman" w:cs="Times New Roman"/>
          <w:sz w:val="24"/>
          <w:szCs w:val="24"/>
        </w:rPr>
        <w:t xml:space="preserve">disallow $79,085.75 </w:t>
      </w:r>
      <w:r w:rsidRPr="005720D7" w:rsidR="00FE78E6">
        <w:rPr>
          <w:rFonts w:ascii="Times New Roman" w:hAnsi="Times New Roman" w:cs="Times New Roman"/>
          <w:sz w:val="24"/>
          <w:szCs w:val="24"/>
        </w:rPr>
        <w:t xml:space="preserve">in unauthorized expenses </w:t>
      </w:r>
      <w:r w:rsidRPr="005720D7">
        <w:rPr>
          <w:rFonts w:ascii="Times New Roman" w:hAnsi="Times New Roman" w:cs="Times New Roman"/>
          <w:sz w:val="24"/>
          <w:szCs w:val="24"/>
        </w:rPr>
        <w:t>through Rider DSR</w:t>
      </w:r>
      <w:r w:rsidRPr="005720D7" w:rsidR="00FE78E6">
        <w:rPr>
          <w:rFonts w:ascii="Times New Roman" w:hAnsi="Times New Roman" w:cs="Times New Roman"/>
          <w:sz w:val="24"/>
          <w:szCs w:val="24"/>
        </w:rPr>
        <w:t xml:space="preserve">. The PUCO should also require </w:t>
      </w:r>
      <w:r w:rsidRPr="005720D7" w:rsidR="00D46EDB">
        <w:rPr>
          <w:rFonts w:ascii="Times New Roman" w:hAnsi="Times New Roman" w:cs="Times New Roman"/>
          <w:sz w:val="24"/>
          <w:szCs w:val="24"/>
        </w:rPr>
        <w:t xml:space="preserve">the PUCO </w:t>
      </w:r>
      <w:r w:rsidRPr="005720D7" w:rsidR="00FE78E6">
        <w:rPr>
          <w:rFonts w:ascii="Times New Roman" w:hAnsi="Times New Roman" w:cs="Times New Roman"/>
          <w:sz w:val="24"/>
          <w:szCs w:val="24"/>
        </w:rPr>
        <w:t>Staff to examine Duke</w:t>
      </w:r>
      <w:r w:rsidRPr="005720D7" w:rsidR="00D46EDB">
        <w:rPr>
          <w:rFonts w:ascii="Times New Roman" w:hAnsi="Times New Roman" w:cs="Times New Roman"/>
          <w:sz w:val="24"/>
          <w:szCs w:val="24"/>
        </w:rPr>
        <w:t>’</w:t>
      </w:r>
      <w:r w:rsidRPr="005720D7" w:rsidR="00FE78E6">
        <w:rPr>
          <w:rFonts w:ascii="Times New Roman" w:hAnsi="Times New Roman" w:cs="Times New Roman"/>
          <w:sz w:val="24"/>
          <w:szCs w:val="24"/>
        </w:rPr>
        <w:t>s practices in calculating reliability data that is included in the Rule 10 Reports to verify compliance with PUCO reporting requirements. Consumers deserve no less.</w:t>
      </w:r>
      <w:r w:rsidRPr="005720D7">
        <w:rPr>
          <w:rFonts w:ascii="Times New Roman" w:hAnsi="Times New Roman" w:cs="Times New Roman"/>
          <w:sz w:val="24"/>
          <w:szCs w:val="24"/>
        </w:rPr>
        <w:t xml:space="preserve"> </w:t>
      </w:r>
    </w:p>
    <w:p w:rsidR="006A0058" w:rsidRPr="005720D7" w:rsidP="006A0058" w14:paraId="71C1D6F6" w14:textId="2524172C">
      <w:pPr>
        <w:widowControl w:val="0"/>
        <w:spacing w:after="0" w:line="240" w:lineRule="auto"/>
        <w:ind w:left="4320" w:right="-672"/>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Respectfully submitted,</w:t>
      </w:r>
    </w:p>
    <w:p w:rsidR="006A0058" w:rsidRPr="005720D7" w:rsidP="006A0058" w14:paraId="3460A0D1" w14:textId="77777777">
      <w:pPr>
        <w:widowControl w:val="0"/>
        <w:spacing w:after="0" w:line="240" w:lineRule="auto"/>
        <w:ind w:left="4320" w:right="-672"/>
        <w:rPr>
          <w:rFonts w:ascii="Times New Roman" w:eastAsia="Times New Roman" w:hAnsi="Times New Roman" w:cs="Times New Roman"/>
          <w:sz w:val="24"/>
          <w:szCs w:val="24"/>
        </w:rPr>
      </w:pPr>
    </w:p>
    <w:p w:rsidR="006A0058" w:rsidRPr="005720D7" w:rsidP="006A0058" w14:paraId="7A0638BB" w14:textId="77777777">
      <w:pPr>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Bruce Weston (0016973)</w:t>
      </w:r>
    </w:p>
    <w:p w:rsidR="006A0058" w:rsidRPr="005720D7" w:rsidP="006A0058" w14:paraId="5BBB50B9" w14:textId="77777777">
      <w:pPr>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Ohio Consumers’ Counsel</w:t>
      </w:r>
    </w:p>
    <w:p w:rsidR="006A0058" w:rsidRPr="005720D7" w:rsidP="006A0058" w14:paraId="3C14AD89" w14:textId="77777777">
      <w:pPr>
        <w:spacing w:after="0" w:line="240" w:lineRule="auto"/>
        <w:ind w:left="4320"/>
        <w:rPr>
          <w:rFonts w:ascii="Times New Roman" w:eastAsia="Times New Roman" w:hAnsi="Times New Roman" w:cs="Times New Roman"/>
          <w:sz w:val="24"/>
          <w:szCs w:val="24"/>
        </w:rPr>
      </w:pPr>
    </w:p>
    <w:p w:rsidR="006A0058" w:rsidRPr="005720D7" w:rsidP="006A0058" w14:paraId="005242EE" w14:textId="77777777">
      <w:pPr>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i/>
          <w:iCs/>
          <w:sz w:val="24"/>
          <w:szCs w:val="24"/>
          <w:u w:val="single"/>
        </w:rPr>
        <w:t>/s/</w:t>
      </w:r>
      <w:r w:rsidRPr="005720D7">
        <w:rPr>
          <w:rFonts w:ascii="Times New Roman" w:eastAsia="Times New Roman" w:hAnsi="Times New Roman" w:cs="Times New Roman"/>
          <w:sz w:val="24"/>
          <w:szCs w:val="24"/>
          <w:u w:val="single"/>
        </w:rPr>
        <w:t xml:space="preserve"> </w:t>
      </w:r>
      <w:r w:rsidRPr="005720D7">
        <w:rPr>
          <w:rFonts w:ascii="Times New Roman" w:eastAsia="Times New Roman" w:hAnsi="Times New Roman" w:cs="Times New Roman"/>
          <w:i/>
          <w:sz w:val="24"/>
          <w:szCs w:val="24"/>
          <w:u w:val="single"/>
        </w:rPr>
        <w:t>William J. Michael</w:t>
      </w:r>
      <w:r w:rsidRPr="005720D7">
        <w:rPr>
          <w:rFonts w:ascii="Times New Roman" w:eastAsia="Times New Roman" w:hAnsi="Times New Roman" w:cs="Times New Roman"/>
          <w:i/>
          <w:sz w:val="24"/>
          <w:szCs w:val="24"/>
          <w:u w:val="single"/>
        </w:rPr>
        <w:tab/>
      </w:r>
    </w:p>
    <w:p w:rsidR="006A0058" w:rsidRPr="005720D7" w:rsidP="006A0058" w14:paraId="6EDE55FC" w14:textId="77777777">
      <w:pPr>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William J. Michael (0070921)</w:t>
      </w:r>
    </w:p>
    <w:p w:rsidR="006A0058" w:rsidRPr="005720D7" w:rsidP="006A0058" w14:paraId="6295A739" w14:textId="77777777">
      <w:pPr>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Counsel of Record</w:t>
      </w:r>
    </w:p>
    <w:p w:rsidR="006A0058" w:rsidP="006A0058" w14:paraId="223D158B" w14:textId="77777777">
      <w:pPr>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Assistant Consumers’ Counsel</w:t>
      </w:r>
    </w:p>
    <w:p w:rsidR="00BD57AE" w:rsidRPr="005720D7" w:rsidP="006A0058" w14:paraId="4C3B03FC" w14:textId="77777777">
      <w:pPr>
        <w:spacing w:after="0" w:line="240" w:lineRule="auto"/>
        <w:ind w:left="4320"/>
        <w:rPr>
          <w:rFonts w:ascii="Times New Roman" w:eastAsia="Times New Roman" w:hAnsi="Times New Roman" w:cs="Times New Roman"/>
          <w:sz w:val="24"/>
          <w:szCs w:val="24"/>
        </w:rPr>
      </w:pPr>
    </w:p>
    <w:p w:rsidR="006A0058" w:rsidRPr="005720D7" w:rsidP="006A0058" w14:paraId="17B5350D" w14:textId="77777777">
      <w:pPr>
        <w:spacing w:after="0" w:line="240" w:lineRule="auto"/>
        <w:ind w:left="4320"/>
        <w:rPr>
          <w:rFonts w:ascii="Times New Roman" w:eastAsia="Times New Roman" w:hAnsi="Times New Roman" w:cs="Times New Roman"/>
          <w:b/>
          <w:bCs/>
          <w:sz w:val="24"/>
          <w:szCs w:val="24"/>
        </w:rPr>
      </w:pPr>
      <w:r w:rsidRPr="005720D7">
        <w:rPr>
          <w:rFonts w:ascii="Times New Roman" w:eastAsia="Times New Roman" w:hAnsi="Times New Roman" w:cs="Times New Roman"/>
          <w:b/>
          <w:bCs/>
          <w:sz w:val="24"/>
          <w:szCs w:val="24"/>
        </w:rPr>
        <w:t>Office of the Ohio Consumers’ Counsel</w:t>
      </w:r>
    </w:p>
    <w:p w:rsidR="006A0058" w:rsidRPr="005720D7" w:rsidP="006A0058" w14:paraId="1DC0F98F" w14:textId="77777777">
      <w:pPr>
        <w:spacing w:after="0" w:line="240" w:lineRule="auto"/>
        <w:ind w:left="4320"/>
        <w:rPr>
          <w:rFonts w:ascii="Times New Roman" w:eastAsia="Times New Roman" w:hAnsi="Times New Roman" w:cs="Times New Roman"/>
          <w:b/>
          <w:sz w:val="24"/>
          <w:szCs w:val="24"/>
        </w:rPr>
      </w:pPr>
      <w:r w:rsidRPr="005720D7">
        <w:rPr>
          <w:rFonts w:ascii="Times New Roman" w:eastAsia="Times New Roman" w:hAnsi="Times New Roman" w:cs="Times New Roman"/>
          <w:sz w:val="24"/>
          <w:szCs w:val="24"/>
        </w:rPr>
        <w:t>65 East State Street, Suite 700</w:t>
      </w:r>
    </w:p>
    <w:p w:rsidR="006A0058" w:rsidRPr="005720D7" w:rsidP="006A0058" w14:paraId="0F32A185" w14:textId="77777777">
      <w:pPr>
        <w:spacing w:after="0" w:line="240" w:lineRule="auto"/>
        <w:ind w:left="4320"/>
        <w:rPr>
          <w:rFonts w:ascii="Times New Roman" w:eastAsia="Times New Roman" w:hAnsi="Times New Roman" w:cs="Times New Roman"/>
          <w:b/>
          <w:sz w:val="24"/>
          <w:szCs w:val="24"/>
        </w:rPr>
      </w:pPr>
      <w:r w:rsidRPr="005720D7">
        <w:rPr>
          <w:rFonts w:ascii="Times New Roman" w:eastAsia="Times New Roman" w:hAnsi="Times New Roman" w:cs="Times New Roman"/>
          <w:sz w:val="24"/>
          <w:szCs w:val="24"/>
        </w:rPr>
        <w:t>Columbus, Ohio 43215</w:t>
      </w:r>
    </w:p>
    <w:p w:rsidR="006A0058" w:rsidRPr="005720D7" w:rsidP="006A0058" w14:paraId="246B1222" w14:textId="77777777">
      <w:pPr>
        <w:autoSpaceDE w:val="0"/>
        <w:autoSpaceDN w:val="0"/>
        <w:adjustRightInd w:val="0"/>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Telephone [Michael]: (614) 466-1291</w:t>
      </w:r>
    </w:p>
    <w:p w:rsidR="006A0058" w:rsidRPr="005720D7" w:rsidP="006A0058" w14:paraId="3AA35946" w14:textId="77777777">
      <w:pPr>
        <w:spacing w:after="0" w:line="240" w:lineRule="auto"/>
        <w:ind w:left="4320"/>
        <w:rPr>
          <w:rFonts w:ascii="Times New Roman" w:eastAsia="Times New Roman" w:hAnsi="Times New Roman" w:cs="Times New Roman"/>
          <w:sz w:val="24"/>
          <w:szCs w:val="24"/>
        </w:rPr>
      </w:pPr>
      <w:hyperlink r:id="rId6" w:history="1">
        <w:r w:rsidRPr="005720D7">
          <w:rPr>
            <w:rFonts w:ascii="Times New Roman" w:eastAsia="Times New Roman" w:hAnsi="Times New Roman" w:cs="Times New Roman"/>
            <w:color w:val="0000FF"/>
            <w:sz w:val="24"/>
            <w:szCs w:val="24"/>
            <w:u w:val="single"/>
          </w:rPr>
          <w:t>william.michael@occ.ohio.gov</w:t>
        </w:r>
      </w:hyperlink>
    </w:p>
    <w:p w:rsidR="003B743B" w:rsidRPr="005720D7" w:rsidP="00796B92" w14:paraId="02AAFC81" w14:textId="14E1909B">
      <w:pPr>
        <w:spacing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(willing to accept service by email)</w:t>
      </w:r>
      <w:r w:rsidRPr="005720D7">
        <w:rPr>
          <w:rFonts w:ascii="Times New Roman" w:eastAsia="Times New Roman" w:hAnsi="Times New Roman" w:cs="Times New Roman"/>
          <w:sz w:val="24"/>
          <w:szCs w:val="24"/>
        </w:rPr>
        <w:br w:type="page"/>
      </w:r>
    </w:p>
    <w:p w:rsidR="003B743B" w:rsidRPr="005720D7" w:rsidP="003B743B" w14:paraId="0AE93922" w14:textId="77777777">
      <w:pPr>
        <w:spacing w:after="0" w:line="240" w:lineRule="auto"/>
        <w:jc w:val="center"/>
        <w:rPr>
          <w:rFonts w:ascii="Times New Roman" w:eastAsia="Times New Roman" w:hAnsi="Times New Roman" w:cs="Times New Roman"/>
          <w:b/>
          <w:bCs/>
          <w:sz w:val="24"/>
          <w:szCs w:val="24"/>
          <w:u w:val="single"/>
        </w:rPr>
      </w:pPr>
      <w:r w:rsidRPr="005720D7">
        <w:rPr>
          <w:rFonts w:ascii="Times New Roman" w:eastAsia="Times New Roman" w:hAnsi="Times New Roman" w:cs="Times New Roman"/>
          <w:b/>
          <w:bCs/>
          <w:sz w:val="24"/>
          <w:szCs w:val="24"/>
          <w:u w:val="single"/>
        </w:rPr>
        <w:t>CERTIFICATE OF SERVICE</w:t>
      </w:r>
    </w:p>
    <w:p w:rsidR="003B743B" w:rsidRPr="005720D7" w:rsidP="003B743B" w14:paraId="3041913D" w14:textId="4957F997">
      <w:pPr>
        <w:spacing w:after="0" w:line="480" w:lineRule="atLeast"/>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ab/>
        <w:t>I hereby certify that a copy of these Reply Comments for Consumer Protection was served on the persons stated below via electronic transmission, this 22</w:t>
      </w:r>
      <w:r w:rsidRPr="005720D7">
        <w:rPr>
          <w:rFonts w:ascii="Times New Roman" w:eastAsia="Times New Roman" w:hAnsi="Times New Roman" w:cs="Times New Roman"/>
          <w:sz w:val="24"/>
          <w:szCs w:val="24"/>
          <w:vertAlign w:val="superscript"/>
        </w:rPr>
        <w:t>nd</w:t>
      </w:r>
      <w:r w:rsidRPr="005720D7">
        <w:rPr>
          <w:rFonts w:ascii="Times New Roman" w:eastAsia="Times New Roman" w:hAnsi="Times New Roman" w:cs="Times New Roman"/>
          <w:sz w:val="24"/>
          <w:szCs w:val="24"/>
        </w:rPr>
        <w:t xml:space="preserve"> day of September 2023.</w:t>
      </w:r>
    </w:p>
    <w:p w:rsidR="003B743B" w:rsidRPr="005720D7" w:rsidP="003B743B" w14:paraId="5E6D9A5D" w14:textId="77777777">
      <w:pPr>
        <w:tabs>
          <w:tab w:val="left" w:pos="4320"/>
        </w:tabs>
        <w:spacing w:before="240" w:after="0" w:line="240" w:lineRule="auto"/>
        <w:ind w:left="4320"/>
        <w:rPr>
          <w:rFonts w:ascii="Times New Roman" w:eastAsia="Times New Roman" w:hAnsi="Times New Roman" w:cs="Times New Roman"/>
          <w:sz w:val="24"/>
          <w:szCs w:val="24"/>
        </w:rPr>
      </w:pPr>
      <w:r w:rsidRPr="005720D7">
        <w:rPr>
          <w:rFonts w:ascii="Times New Roman" w:eastAsia="Times New Roman" w:hAnsi="Times New Roman" w:cs="Times New Roman"/>
          <w:i/>
          <w:sz w:val="24"/>
          <w:szCs w:val="24"/>
          <w:u w:val="single"/>
        </w:rPr>
        <w:t>/s/ William J. Michael</w:t>
      </w:r>
    </w:p>
    <w:p w:rsidR="003B743B" w:rsidRPr="005720D7" w:rsidP="003B743B" w14:paraId="2DC7CD62" w14:textId="77777777">
      <w:pPr>
        <w:tabs>
          <w:tab w:val="left" w:pos="4320"/>
        </w:tabs>
        <w:spacing w:after="0" w:line="240" w:lineRule="auto"/>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ab/>
        <w:t>William J. Michael</w:t>
      </w:r>
    </w:p>
    <w:p w:rsidR="003B743B" w:rsidRPr="005720D7" w:rsidP="003B743B" w14:paraId="651EFC25" w14:textId="77777777">
      <w:pPr>
        <w:tabs>
          <w:tab w:val="left" w:pos="4320"/>
        </w:tabs>
        <w:spacing w:after="0" w:line="240" w:lineRule="auto"/>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ab/>
        <w:t>Assistant Consumers’ Counsel</w:t>
      </w:r>
    </w:p>
    <w:p w:rsidR="003B743B" w:rsidRPr="005720D7" w:rsidP="003B743B" w14:paraId="70BC0595" w14:textId="77777777">
      <w:pPr>
        <w:tabs>
          <w:tab w:val="left" w:pos="4320"/>
        </w:tabs>
        <w:spacing w:after="0" w:line="240" w:lineRule="auto"/>
        <w:rPr>
          <w:rFonts w:ascii="Times New Roman" w:eastAsia="Times New Roman" w:hAnsi="Times New Roman" w:cs="Times New Roman"/>
          <w:sz w:val="24"/>
          <w:szCs w:val="24"/>
        </w:rPr>
      </w:pPr>
    </w:p>
    <w:p w:rsidR="003B743B" w:rsidRPr="005720D7" w:rsidP="003B743B" w14:paraId="782F25C7" w14:textId="77777777">
      <w:pPr>
        <w:spacing w:after="0" w:line="240" w:lineRule="auto"/>
        <w:rPr>
          <w:rFonts w:ascii="Times New Roman" w:eastAsia="Times New Roman" w:hAnsi="Times New Roman" w:cs="Times New Roman"/>
          <w:sz w:val="24"/>
          <w:szCs w:val="24"/>
        </w:rPr>
      </w:pPr>
      <w:r w:rsidRPr="005720D7">
        <w:rPr>
          <w:rFonts w:ascii="Times New Roman" w:eastAsia="Times New Roman" w:hAnsi="Times New Roman" w:cs="Times New Roman"/>
          <w:sz w:val="24"/>
          <w:szCs w:val="24"/>
        </w:rPr>
        <w:t>The PUCO’s e-filing system will electronically serve notice of the filing of this document on the following parties:</w:t>
      </w:r>
    </w:p>
    <w:p w:rsidR="003B743B" w:rsidRPr="005720D7" w:rsidP="003B743B" w14:paraId="43C93EDA" w14:textId="77777777">
      <w:pPr>
        <w:spacing w:after="0" w:line="240" w:lineRule="auto"/>
        <w:rPr>
          <w:rFonts w:ascii="Times New Roman" w:eastAsia="Times New Roman" w:hAnsi="Times New Roman" w:cs="Times New Roman"/>
          <w:sz w:val="24"/>
          <w:szCs w:val="24"/>
        </w:rPr>
      </w:pPr>
    </w:p>
    <w:p w:rsidR="003B743B" w:rsidRPr="005720D7" w:rsidP="003B743B" w14:paraId="1A7CF8E8" w14:textId="77777777">
      <w:pPr>
        <w:spacing w:after="0" w:line="240" w:lineRule="auto"/>
        <w:jc w:val="center"/>
        <w:rPr>
          <w:rFonts w:ascii="Times New Roman" w:eastAsia="Times New Roman" w:hAnsi="Times New Roman" w:cs="Times New Roman"/>
          <w:b/>
          <w:sz w:val="24"/>
          <w:szCs w:val="24"/>
          <w:u w:val="single"/>
        </w:rPr>
      </w:pPr>
      <w:r w:rsidRPr="005720D7">
        <w:rPr>
          <w:rFonts w:ascii="Times New Roman" w:eastAsia="Times New Roman" w:hAnsi="Times New Roman" w:cs="Times New Roman"/>
          <w:b/>
          <w:sz w:val="24"/>
          <w:szCs w:val="24"/>
          <w:u w:val="single"/>
        </w:rPr>
        <w:t>SERVICE LIST</w:t>
      </w:r>
    </w:p>
    <w:p w:rsidR="003B743B" w:rsidRPr="005720D7" w:rsidP="003B743B" w14:paraId="4765893D" w14:textId="77777777">
      <w:pPr>
        <w:spacing w:after="0" w:line="240" w:lineRule="auto"/>
        <w:jc w:val="both"/>
        <w:rPr>
          <w:rFonts w:ascii="Times New Roman" w:eastAsia="Times New Roman" w:hAnsi="Times New Roman" w:cs="Times New Roman"/>
          <w:b/>
          <w:bCs/>
          <w:sz w:val="24"/>
          <w:szCs w:val="24"/>
        </w:rPr>
      </w:pPr>
    </w:p>
    <w:tbl>
      <w:tblPr>
        <w:tblW w:w="0" w:type="auto"/>
        <w:tblInd w:w="0" w:type="dxa"/>
        <w:tblCellMar>
          <w:top w:w="0" w:type="dxa"/>
          <w:left w:w="108" w:type="dxa"/>
          <w:bottom w:w="0" w:type="dxa"/>
          <w:right w:w="108" w:type="dxa"/>
        </w:tblCellMar>
        <w:tblLook w:val="04A0"/>
      </w:tblPr>
      <w:tblGrid>
        <w:gridCol w:w="4352"/>
        <w:gridCol w:w="4288"/>
      </w:tblGrid>
      <w:tr w14:paraId="6F2DFC33" w14:textId="77777777" w:rsidTr="009E2247">
        <w:tblPrEx>
          <w:tblW w:w="0" w:type="auto"/>
          <w:tblInd w:w="0" w:type="dxa"/>
          <w:tblCellMar>
            <w:top w:w="0" w:type="dxa"/>
            <w:left w:w="108" w:type="dxa"/>
            <w:bottom w:w="0" w:type="dxa"/>
            <w:right w:w="108" w:type="dxa"/>
          </w:tblCellMar>
          <w:tblLook w:val="04A0"/>
        </w:tblPrEx>
        <w:tc>
          <w:tcPr>
            <w:tcW w:w="4428" w:type="dxa"/>
            <w:shd w:val="clear" w:color="auto" w:fill="auto"/>
          </w:tcPr>
          <w:p w:rsidR="003B743B" w:rsidRPr="005720D7" w:rsidP="003B743B" w14:paraId="1D4EC267" w14:textId="77777777">
            <w:pPr>
              <w:spacing w:after="0" w:line="240" w:lineRule="auto"/>
              <w:jc w:val="both"/>
              <w:rPr>
                <w:rFonts w:ascii="Times New Roman" w:eastAsia="Times New Roman" w:hAnsi="Times New Roman" w:cs="Times New Roman"/>
                <w:sz w:val="24"/>
                <w:szCs w:val="24"/>
                <w:lang w:val="en-US" w:eastAsia="en-US" w:bidi="ar-SA"/>
              </w:rPr>
            </w:pPr>
            <w:hyperlink r:id="rId7" w:history="1">
              <w:r w:rsidRPr="005720D7">
                <w:rPr>
                  <w:rFonts w:ascii="Times New Roman" w:eastAsia="Times New Roman" w:hAnsi="Times New Roman" w:cs="Times New Roman"/>
                  <w:color w:val="0000FF"/>
                  <w:sz w:val="24"/>
                  <w:szCs w:val="24"/>
                  <w:u w:val="single"/>
                  <w:lang w:val="en-US" w:eastAsia="en-US" w:bidi="ar-SA"/>
                </w:rPr>
                <w:t>john.jones@ohioago.gov</w:t>
              </w:r>
            </w:hyperlink>
          </w:p>
          <w:p w:rsidR="003B743B" w:rsidRPr="005720D7" w:rsidP="003B743B" w14:paraId="7184A9B4" w14:textId="77777777">
            <w:pPr>
              <w:spacing w:after="0" w:line="240" w:lineRule="auto"/>
              <w:jc w:val="both"/>
              <w:rPr>
                <w:rFonts w:ascii="Times New Roman" w:eastAsia="Times New Roman" w:hAnsi="Times New Roman" w:cs="Times New Roman"/>
                <w:sz w:val="24"/>
                <w:szCs w:val="24"/>
                <w:lang w:val="en-US" w:eastAsia="en-US" w:bidi="ar-SA"/>
              </w:rPr>
            </w:pPr>
          </w:p>
          <w:p w:rsidR="003B743B" w:rsidRPr="005720D7" w:rsidP="003B743B" w14:paraId="096F58C1" w14:textId="77777777">
            <w:pPr>
              <w:spacing w:after="0" w:line="240" w:lineRule="auto"/>
              <w:jc w:val="both"/>
              <w:rPr>
                <w:rFonts w:ascii="Times New Roman" w:eastAsia="Times New Roman" w:hAnsi="Times New Roman" w:cs="Times New Roman"/>
                <w:sz w:val="24"/>
                <w:szCs w:val="24"/>
                <w:lang w:val="en-US" w:eastAsia="en-US" w:bidi="ar-SA"/>
              </w:rPr>
            </w:pPr>
            <w:r w:rsidRPr="005720D7">
              <w:rPr>
                <w:rFonts w:ascii="Times New Roman" w:eastAsia="Times New Roman" w:hAnsi="Times New Roman" w:cs="Times New Roman"/>
                <w:sz w:val="24"/>
                <w:szCs w:val="24"/>
                <w:lang w:val="en-US" w:eastAsia="en-US" w:bidi="ar-SA"/>
              </w:rPr>
              <w:t>Attorney Examiners:</w:t>
            </w:r>
          </w:p>
          <w:p w:rsidR="003B743B" w:rsidRPr="005720D7" w:rsidP="003B743B" w14:paraId="0FAC890E" w14:textId="77777777">
            <w:pPr>
              <w:spacing w:after="0" w:line="240" w:lineRule="auto"/>
              <w:jc w:val="both"/>
              <w:rPr>
                <w:rFonts w:ascii="Times New Roman" w:eastAsia="Times New Roman" w:hAnsi="Times New Roman" w:cs="Times New Roman"/>
                <w:sz w:val="24"/>
                <w:szCs w:val="24"/>
                <w:lang w:val="en-US" w:eastAsia="en-US" w:bidi="ar-SA"/>
              </w:rPr>
            </w:pPr>
            <w:hyperlink r:id="rId8" w:history="1">
              <w:r w:rsidRPr="005720D7">
                <w:rPr>
                  <w:rFonts w:ascii="Times New Roman" w:eastAsia="Times New Roman" w:hAnsi="Times New Roman" w:cs="Times New Roman"/>
                  <w:color w:val="0000FF"/>
                  <w:sz w:val="24"/>
                  <w:szCs w:val="24"/>
                  <w:u w:val="single"/>
                  <w:lang w:val="en-US" w:eastAsia="en-US" w:bidi="ar-SA"/>
                </w:rPr>
                <w:t>matthew.sandor@puco.ohio.gov</w:t>
              </w:r>
            </w:hyperlink>
          </w:p>
          <w:p w:rsidR="003B743B" w:rsidRPr="005720D7" w:rsidP="003B743B" w14:paraId="6912A69D" w14:textId="77777777">
            <w:pPr>
              <w:spacing w:after="0" w:line="240" w:lineRule="auto"/>
              <w:jc w:val="both"/>
              <w:rPr>
                <w:rFonts w:ascii="Times New Roman" w:eastAsia="Times New Roman" w:hAnsi="Times New Roman" w:cs="Times New Roman"/>
                <w:sz w:val="24"/>
                <w:szCs w:val="24"/>
                <w:lang w:val="en-US" w:eastAsia="en-US" w:bidi="ar-SA"/>
              </w:rPr>
            </w:pPr>
            <w:hyperlink r:id="rId9" w:history="1">
              <w:r w:rsidRPr="005720D7">
                <w:rPr>
                  <w:rFonts w:ascii="Times New Roman" w:eastAsia="Times New Roman" w:hAnsi="Times New Roman" w:cs="Times New Roman"/>
                  <w:color w:val="0000FF"/>
                  <w:sz w:val="24"/>
                  <w:szCs w:val="24"/>
                  <w:u w:val="single"/>
                  <w:lang w:val="en-US" w:eastAsia="en-US" w:bidi="ar-SA"/>
                </w:rPr>
                <w:t>nicholas.walstra@puco.ohio.gov</w:t>
              </w:r>
            </w:hyperlink>
          </w:p>
          <w:p w:rsidR="003B743B" w:rsidRPr="005720D7" w:rsidP="003B743B" w14:paraId="0B8ECEA6" w14:textId="77777777">
            <w:pPr>
              <w:spacing w:after="0" w:line="240" w:lineRule="auto"/>
              <w:jc w:val="both"/>
              <w:rPr>
                <w:rFonts w:ascii="Times New Roman" w:eastAsia="Times New Roman" w:hAnsi="Times New Roman" w:cs="Times New Roman"/>
                <w:sz w:val="24"/>
                <w:szCs w:val="24"/>
                <w:lang w:val="en-US" w:eastAsia="en-US" w:bidi="ar-SA"/>
              </w:rPr>
            </w:pPr>
          </w:p>
        </w:tc>
        <w:tc>
          <w:tcPr>
            <w:tcW w:w="4428" w:type="dxa"/>
            <w:shd w:val="clear" w:color="auto" w:fill="auto"/>
          </w:tcPr>
          <w:p w:rsidR="003B743B" w:rsidRPr="005720D7" w:rsidP="003B743B" w14:paraId="009A6238" w14:textId="77777777">
            <w:pPr>
              <w:spacing w:after="0" w:line="240" w:lineRule="auto"/>
              <w:jc w:val="both"/>
              <w:rPr>
                <w:rFonts w:ascii="Times New Roman" w:eastAsia="Times New Roman" w:hAnsi="Times New Roman" w:cs="Times New Roman"/>
                <w:sz w:val="24"/>
                <w:szCs w:val="24"/>
                <w:lang w:val="en-US" w:eastAsia="en-US" w:bidi="ar-SA"/>
              </w:rPr>
            </w:pPr>
            <w:hyperlink r:id="rId10" w:history="1">
              <w:r w:rsidRPr="005720D7">
                <w:rPr>
                  <w:rFonts w:ascii="Times New Roman" w:eastAsia="Times New Roman" w:hAnsi="Times New Roman" w:cs="Times New Roman"/>
                  <w:color w:val="0000FF"/>
                  <w:sz w:val="24"/>
                  <w:szCs w:val="24"/>
                  <w:u w:val="single"/>
                  <w:lang w:val="en-US" w:eastAsia="en-US" w:bidi="ar-SA"/>
                </w:rPr>
                <w:t>rocco.dascenzo@duke-energy.com</w:t>
              </w:r>
            </w:hyperlink>
          </w:p>
          <w:p w:rsidR="003B743B" w:rsidRPr="005720D7" w:rsidP="003B743B" w14:paraId="3DB69C64" w14:textId="77777777">
            <w:pPr>
              <w:spacing w:after="0" w:line="240" w:lineRule="auto"/>
              <w:jc w:val="both"/>
              <w:rPr>
                <w:rFonts w:ascii="Times New Roman" w:eastAsia="Times New Roman" w:hAnsi="Times New Roman" w:cs="Times New Roman"/>
                <w:sz w:val="24"/>
                <w:szCs w:val="24"/>
                <w:lang w:val="en-US" w:eastAsia="en-US" w:bidi="ar-SA"/>
              </w:rPr>
            </w:pPr>
            <w:hyperlink r:id="rId11" w:history="1">
              <w:r w:rsidRPr="005720D7">
                <w:rPr>
                  <w:rFonts w:ascii="Times New Roman" w:eastAsia="Times New Roman" w:hAnsi="Times New Roman" w:cs="Times New Roman"/>
                  <w:color w:val="0000FF"/>
                  <w:sz w:val="24"/>
                  <w:szCs w:val="24"/>
                  <w:u w:val="single"/>
                  <w:lang w:val="en-US" w:eastAsia="en-US" w:bidi="ar-SA"/>
                </w:rPr>
                <w:t>jeanne.kingery@duke-energy.com</w:t>
              </w:r>
            </w:hyperlink>
          </w:p>
          <w:p w:rsidR="003B743B" w:rsidRPr="005720D7" w:rsidP="003B743B" w14:paraId="219A7BF4" w14:textId="77777777">
            <w:pPr>
              <w:spacing w:after="0" w:line="240" w:lineRule="auto"/>
              <w:jc w:val="both"/>
              <w:rPr>
                <w:rFonts w:ascii="Times New Roman" w:eastAsia="Times New Roman" w:hAnsi="Times New Roman" w:cs="Times New Roman"/>
                <w:sz w:val="24"/>
                <w:szCs w:val="24"/>
                <w:lang w:val="en-US" w:eastAsia="en-US" w:bidi="ar-SA"/>
              </w:rPr>
            </w:pPr>
            <w:hyperlink r:id="rId12" w:history="1">
              <w:r w:rsidRPr="005720D7">
                <w:rPr>
                  <w:rFonts w:ascii="Times New Roman" w:eastAsia="Times New Roman" w:hAnsi="Times New Roman" w:cs="Times New Roman"/>
                  <w:color w:val="0000FF"/>
                  <w:sz w:val="24"/>
                  <w:szCs w:val="24"/>
                  <w:u w:val="single"/>
                  <w:lang w:val="en-US" w:eastAsia="en-US" w:bidi="ar-SA"/>
                </w:rPr>
                <w:t>larisa.vaysman@duke-energy.com</w:t>
              </w:r>
            </w:hyperlink>
          </w:p>
          <w:p w:rsidR="003B743B" w:rsidRPr="005720D7" w:rsidP="003B743B" w14:paraId="3E91F37E" w14:textId="77777777">
            <w:pPr>
              <w:spacing w:after="0" w:line="240" w:lineRule="auto"/>
              <w:jc w:val="both"/>
              <w:rPr>
                <w:rFonts w:ascii="Times New Roman" w:eastAsia="Times New Roman" w:hAnsi="Times New Roman" w:cs="Times New Roman"/>
                <w:sz w:val="24"/>
                <w:szCs w:val="24"/>
                <w:lang w:val="en-US" w:eastAsia="en-US" w:bidi="ar-SA"/>
              </w:rPr>
            </w:pPr>
            <w:hyperlink r:id="rId13" w:history="1">
              <w:r w:rsidRPr="005720D7">
                <w:rPr>
                  <w:rFonts w:ascii="Times New Roman" w:eastAsia="Times New Roman" w:hAnsi="Times New Roman" w:cs="Times New Roman"/>
                  <w:color w:val="0000FF"/>
                  <w:sz w:val="24"/>
                  <w:szCs w:val="24"/>
                  <w:u w:val="single"/>
                  <w:lang w:val="en-US" w:eastAsia="en-US" w:bidi="ar-SA"/>
                </w:rPr>
                <w:t>elyse.akhbari@duke-energy.com</w:t>
              </w:r>
            </w:hyperlink>
          </w:p>
          <w:p w:rsidR="003B743B" w:rsidRPr="005720D7" w:rsidP="003B743B" w14:paraId="0036F6EE" w14:textId="77777777">
            <w:pPr>
              <w:spacing w:after="0" w:line="240" w:lineRule="auto"/>
              <w:jc w:val="both"/>
              <w:rPr>
                <w:rFonts w:ascii="Times New Roman" w:eastAsia="Times New Roman" w:hAnsi="Times New Roman" w:cs="Times New Roman"/>
                <w:sz w:val="24"/>
                <w:szCs w:val="24"/>
                <w:lang w:val="en-US" w:eastAsia="en-US" w:bidi="ar-SA"/>
              </w:rPr>
            </w:pPr>
          </w:p>
          <w:p w:rsidR="003B743B" w:rsidRPr="005720D7" w:rsidP="003B743B" w14:paraId="57ABA6E1" w14:textId="77777777">
            <w:pPr>
              <w:spacing w:after="0" w:line="240" w:lineRule="auto"/>
              <w:jc w:val="both"/>
              <w:rPr>
                <w:rFonts w:ascii="Times New Roman" w:eastAsia="Times New Roman" w:hAnsi="Times New Roman" w:cs="Times New Roman"/>
                <w:sz w:val="24"/>
                <w:szCs w:val="24"/>
                <w:lang w:val="en-US" w:eastAsia="en-US" w:bidi="ar-SA"/>
              </w:rPr>
            </w:pPr>
            <w:r w:rsidRPr="005720D7">
              <w:rPr>
                <w:rFonts w:ascii="Times New Roman" w:eastAsia="Times New Roman" w:hAnsi="Times New Roman" w:cs="Times New Roman"/>
                <w:sz w:val="24"/>
                <w:szCs w:val="24"/>
                <w:lang w:val="en-US" w:eastAsia="en-US" w:bidi="ar-SA"/>
              </w:rPr>
              <w:t xml:space="preserve"> </w:t>
            </w:r>
          </w:p>
        </w:tc>
      </w:tr>
    </w:tbl>
    <w:p w:rsidR="006A0058" w:rsidRPr="005720D7" w:rsidP="006A0058" w14:paraId="3C81B9C2" w14:textId="77777777">
      <w:pPr>
        <w:spacing w:after="0" w:line="240" w:lineRule="auto"/>
        <w:ind w:left="4320"/>
        <w:rPr>
          <w:rFonts w:ascii="Times New Roman" w:eastAsia="Times New Roman" w:hAnsi="Times New Roman" w:cs="Times New Roman"/>
          <w:sz w:val="24"/>
          <w:szCs w:val="24"/>
        </w:rPr>
      </w:pPr>
    </w:p>
    <w:p w:rsidR="006A0058" w:rsidRPr="005720D7" w:rsidP="00D93270" w14:paraId="492569E0" w14:textId="77777777">
      <w:pPr>
        <w:spacing w:after="0" w:line="480" w:lineRule="auto"/>
        <w:rPr>
          <w:rFonts w:ascii="Times New Roman" w:hAnsi="Times New Roman" w:cs="Times New Roman"/>
          <w:sz w:val="24"/>
          <w:szCs w:val="24"/>
        </w:rPr>
      </w:pPr>
    </w:p>
    <w:p w:rsidR="001A1FD9" w:rsidRPr="005720D7" w:rsidP="00D93270" w14:paraId="26DC58D4" w14:textId="6E4877C2">
      <w:pPr>
        <w:spacing w:after="0" w:line="480" w:lineRule="auto"/>
        <w:rPr>
          <w:rFonts w:ascii="Times New Roman" w:hAnsi="Times New Roman" w:cs="Times New Roman"/>
          <w:sz w:val="24"/>
          <w:szCs w:val="24"/>
        </w:rPr>
      </w:pPr>
      <w:r w:rsidRPr="005720D7">
        <w:rPr>
          <w:rFonts w:ascii="Times New Roman" w:hAnsi="Times New Roman" w:cs="Times New Roman"/>
          <w:sz w:val="24"/>
          <w:szCs w:val="24"/>
        </w:rPr>
        <w:tab/>
      </w:r>
    </w:p>
    <w:p w:rsidR="001A1FD9" w:rsidRPr="005720D7" w:rsidP="00D93270" w14:paraId="572D3508" w14:textId="7C584C3E">
      <w:pPr>
        <w:spacing w:after="0" w:line="480" w:lineRule="auto"/>
        <w:rPr>
          <w:rFonts w:ascii="Times New Roman" w:hAnsi="Times New Roman" w:cs="Times New Roman"/>
          <w:sz w:val="24"/>
          <w:szCs w:val="24"/>
        </w:rPr>
      </w:pPr>
      <w:r w:rsidRPr="005720D7">
        <w:rPr>
          <w:rFonts w:ascii="Times New Roman" w:hAnsi="Times New Roman" w:cs="Times New Roman"/>
          <w:sz w:val="24"/>
          <w:szCs w:val="24"/>
        </w:rPr>
        <w:tab/>
      </w:r>
    </w:p>
    <w:p w:rsidR="00FD4FE7" w:rsidRPr="005720D7" w:rsidP="004D1B21" w14:paraId="15918F7D" w14:textId="77777777">
      <w:pPr>
        <w:spacing w:after="0" w:line="480" w:lineRule="auto"/>
        <w:ind w:firstLine="720"/>
        <w:rPr>
          <w:rFonts w:ascii="Times New Roman" w:hAnsi="Times New Roman" w:cs="Times New Roman"/>
          <w:sz w:val="24"/>
          <w:szCs w:val="24"/>
        </w:rPr>
      </w:pPr>
    </w:p>
    <w:p w:rsidR="00D2649D" w:rsidRPr="005720D7" w14:paraId="7AD4A3AC" w14:textId="77777777">
      <w:pPr>
        <w:rPr>
          <w:rFonts w:ascii="Times New Roman" w:hAnsi="Times New Roman" w:cs="Times New Roman"/>
          <w:sz w:val="24"/>
          <w:szCs w:val="24"/>
        </w:rPr>
      </w:pPr>
    </w:p>
    <w:sectPr w:rsidSect="009D258E">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D67" w14:paraId="39056B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6113309"/>
      <w:docPartObj>
        <w:docPartGallery w:val="Page Numbers (Bottom of Page)"/>
        <w:docPartUnique/>
      </w:docPartObj>
    </w:sdtPr>
    <w:sdtEndPr>
      <w:rPr>
        <w:rFonts w:ascii="Times New Roman" w:hAnsi="Times New Roman" w:cs="Times New Roman"/>
        <w:noProof/>
        <w:sz w:val="24"/>
        <w:szCs w:val="24"/>
      </w:rPr>
    </w:sdtEndPr>
    <w:sdtContent>
      <w:p w:rsidR="009D258E" w:rsidRPr="009D258E" w14:paraId="1100758E" w14:textId="19209766">
        <w:pPr>
          <w:pStyle w:val="Footer"/>
          <w:jc w:val="center"/>
          <w:rPr>
            <w:rFonts w:ascii="Times New Roman" w:hAnsi="Times New Roman" w:cs="Times New Roman"/>
            <w:sz w:val="24"/>
            <w:szCs w:val="24"/>
          </w:rPr>
        </w:pPr>
        <w:r w:rsidRPr="009D258E">
          <w:rPr>
            <w:rFonts w:ascii="Times New Roman" w:hAnsi="Times New Roman" w:cs="Times New Roman"/>
            <w:sz w:val="24"/>
            <w:szCs w:val="24"/>
          </w:rPr>
          <w:fldChar w:fldCharType="begin"/>
        </w:r>
        <w:r w:rsidRPr="009D258E">
          <w:rPr>
            <w:rFonts w:ascii="Times New Roman" w:hAnsi="Times New Roman" w:cs="Times New Roman"/>
            <w:sz w:val="24"/>
            <w:szCs w:val="24"/>
          </w:rPr>
          <w:instrText xml:space="preserve"> PAGE   \* MERGEFORMAT </w:instrText>
        </w:r>
        <w:r w:rsidRPr="009D258E">
          <w:rPr>
            <w:rFonts w:ascii="Times New Roman" w:hAnsi="Times New Roman" w:cs="Times New Roman"/>
            <w:sz w:val="24"/>
            <w:szCs w:val="24"/>
          </w:rPr>
          <w:fldChar w:fldCharType="separate"/>
        </w:r>
        <w:r w:rsidRPr="009D258E">
          <w:rPr>
            <w:rFonts w:ascii="Times New Roman" w:hAnsi="Times New Roman" w:cs="Times New Roman"/>
            <w:noProof/>
            <w:sz w:val="24"/>
            <w:szCs w:val="24"/>
          </w:rPr>
          <w:t>2</w:t>
        </w:r>
        <w:r w:rsidRPr="009D258E">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D67" w14:paraId="706F22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5AE4" w:rsidP="00FE47BE" w14:paraId="192B407B" w14:textId="77777777">
      <w:pPr>
        <w:spacing w:after="0" w:line="240" w:lineRule="auto"/>
      </w:pPr>
      <w:r>
        <w:separator/>
      </w:r>
    </w:p>
  </w:footnote>
  <w:footnote w:type="continuationSeparator" w:id="1">
    <w:p w:rsidR="002E5AE4" w:rsidP="00FE47BE" w14:paraId="09F63EC8" w14:textId="77777777">
      <w:pPr>
        <w:spacing w:after="0" w:line="240" w:lineRule="auto"/>
      </w:pPr>
      <w:r>
        <w:continuationSeparator/>
      </w:r>
    </w:p>
  </w:footnote>
  <w:footnote w:id="2">
    <w:p w:rsidR="00E73D29" w:rsidRPr="00573BBB" w:rsidP="00573BBB" w14:paraId="69A98B48" w14:textId="58F224EB">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Pr="00573BBB">
        <w:rPr>
          <w:rFonts w:ascii="Times New Roman" w:hAnsi="Times New Roman" w:cs="Times New Roman"/>
          <w:i/>
          <w:iCs/>
        </w:rPr>
        <w:t>In the Matter of the Application of Duke Energy Ohio, Inc., for an Increase in Electric Distribution Rates</w:t>
      </w:r>
      <w:r w:rsidR="00331536">
        <w:rPr>
          <w:rFonts w:ascii="Times New Roman" w:hAnsi="Times New Roman" w:cs="Times New Roman"/>
        </w:rPr>
        <w:t>,</w:t>
      </w:r>
      <w:r w:rsidRPr="00573BBB">
        <w:rPr>
          <w:rFonts w:ascii="Times New Roman" w:hAnsi="Times New Roman" w:cs="Times New Roman"/>
        </w:rPr>
        <w:t xml:space="preserve"> Case No. 17-32-EL-AIR, Opinion and Order (September 19, 2018) at 42. </w:t>
      </w:r>
    </w:p>
  </w:footnote>
  <w:footnote w:id="3">
    <w:p w:rsidR="004D1B21" w:rsidRPr="00573BBB" w:rsidP="00573BBB" w14:paraId="679BB0C4" w14:textId="638CBB63">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23-126-EL-RDR, Staff Review and Recommendation Regarding the Application of Duke Energy Ohio, Inc. to </w:t>
      </w:r>
      <w:r w:rsidR="00243D86">
        <w:rPr>
          <w:rFonts w:ascii="Times New Roman" w:hAnsi="Times New Roman" w:cs="Times New Roman"/>
        </w:rPr>
        <w:t>A</w:t>
      </w:r>
      <w:r w:rsidRPr="00573BBB">
        <w:rPr>
          <w:rFonts w:ascii="Times New Roman" w:hAnsi="Times New Roman" w:cs="Times New Roman"/>
        </w:rPr>
        <w:t xml:space="preserve">djust and </w:t>
      </w:r>
      <w:r w:rsidR="00243D86">
        <w:rPr>
          <w:rFonts w:ascii="Times New Roman" w:hAnsi="Times New Roman" w:cs="Times New Roman"/>
        </w:rPr>
        <w:t>S</w:t>
      </w:r>
      <w:r w:rsidRPr="00573BBB">
        <w:rPr>
          <w:rFonts w:ascii="Times New Roman" w:hAnsi="Times New Roman" w:cs="Times New Roman"/>
        </w:rPr>
        <w:t>et Rider DSR (</w:t>
      </w:r>
      <w:r w:rsidRPr="00573BBB" w:rsidR="004E10CD">
        <w:rPr>
          <w:rFonts w:ascii="Times New Roman" w:hAnsi="Times New Roman" w:cs="Times New Roman"/>
        </w:rPr>
        <w:t>September 7, 2023</w:t>
      </w:r>
      <w:r w:rsidRPr="00573BBB">
        <w:rPr>
          <w:rFonts w:ascii="Times New Roman" w:hAnsi="Times New Roman" w:cs="Times New Roman"/>
        </w:rPr>
        <w:t>).</w:t>
      </w:r>
    </w:p>
  </w:footnote>
  <w:footnote w:id="4">
    <w:p w:rsidR="001D03EF" w:rsidRPr="00573BBB" w:rsidP="00573BBB" w14:paraId="661D248E" w14:textId="05441C3F">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Pr="00573BBB">
        <w:rPr>
          <w:rFonts w:ascii="Times New Roman" w:hAnsi="Times New Roman" w:cs="Times New Roman"/>
          <w:i/>
          <w:iCs/>
        </w:rPr>
        <w:t>Id.</w:t>
      </w:r>
    </w:p>
  </w:footnote>
  <w:footnote w:id="5">
    <w:p w:rsidR="001D03EF" w:rsidRPr="00573BBB" w:rsidP="00573BBB" w14:paraId="0C671D28" w14:textId="374FFDF9">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Pr="00573BBB">
        <w:rPr>
          <w:rFonts w:ascii="Times New Roman" w:hAnsi="Times New Roman" w:cs="Times New Roman"/>
          <w:i/>
          <w:iCs/>
        </w:rPr>
        <w:t>Id.</w:t>
      </w:r>
    </w:p>
  </w:footnote>
  <w:footnote w:id="6">
    <w:p w:rsidR="00850347" w:rsidRPr="00573BBB" w:rsidP="00573BBB" w14:paraId="69E6DD55" w14:textId="24601507">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005720D7">
        <w:rPr>
          <w:rFonts w:ascii="Times New Roman" w:hAnsi="Times New Roman" w:cs="Times New Roman"/>
        </w:rPr>
        <w:t>O.A.C.</w:t>
      </w:r>
      <w:r w:rsidRPr="00573BBB">
        <w:rPr>
          <w:rFonts w:ascii="Times New Roman" w:hAnsi="Times New Roman" w:cs="Times New Roman"/>
        </w:rPr>
        <w:t xml:space="preserve"> 4901:1-10-10(C).</w:t>
      </w:r>
    </w:p>
  </w:footnote>
  <w:footnote w:id="7">
    <w:p w:rsidR="001D03EF" w:rsidRPr="00573BBB" w:rsidP="00573BBB" w14:paraId="29A064C3" w14:textId="18D88799">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sidR="00AE73AE">
        <w:rPr>
          <w:rFonts w:ascii="Times New Roman" w:hAnsi="Times New Roman" w:cs="Times New Roman"/>
          <w:i/>
          <w:iCs/>
        </w:rPr>
        <w:t xml:space="preserve"> </w:t>
      </w:r>
      <w:r w:rsidRPr="00573BBB">
        <w:rPr>
          <w:rFonts w:ascii="Times New Roman" w:hAnsi="Times New Roman" w:cs="Times New Roman"/>
          <w:i/>
          <w:iCs/>
        </w:rPr>
        <w:t>Id.</w:t>
      </w:r>
      <w:r w:rsidRPr="00573BBB">
        <w:rPr>
          <w:rFonts w:ascii="Times New Roman" w:hAnsi="Times New Roman" w:cs="Times New Roman"/>
        </w:rPr>
        <w:t xml:space="preserve"> </w:t>
      </w:r>
    </w:p>
  </w:footnote>
  <w:footnote w:id="8">
    <w:p w:rsidR="00242E26" w:rsidRPr="00573BBB" w:rsidP="00573BBB" w14:paraId="7ECFF58A" w14:textId="77777777">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Pr="00573BBB">
        <w:rPr>
          <w:rFonts w:ascii="Times New Roman" w:hAnsi="Times New Roman" w:cs="Times New Roman"/>
          <w:i/>
          <w:iCs/>
        </w:rPr>
        <w:t>Id.</w:t>
      </w:r>
    </w:p>
  </w:footnote>
  <w:footnote w:id="9">
    <w:p w:rsidR="001D03EF" w:rsidRPr="00573BBB" w:rsidP="00573BBB" w14:paraId="396CE39B" w14:textId="3D2B05B9">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23-126-EL-RDR, Initial Comments of Duke Energy Ohio, Inc. Regarding Staff Review and Recommendations</w:t>
      </w:r>
      <w:r w:rsidRPr="00573BBB">
        <w:rPr>
          <w:rFonts w:ascii="Times New Roman" w:hAnsi="Times New Roman" w:cs="Times New Roman"/>
          <w:i/>
          <w:iCs/>
        </w:rPr>
        <w:t xml:space="preserve"> </w:t>
      </w:r>
      <w:r w:rsidRPr="00573BBB">
        <w:rPr>
          <w:rFonts w:ascii="Times New Roman" w:hAnsi="Times New Roman" w:cs="Times New Roman"/>
        </w:rPr>
        <w:t>(</w:t>
      </w:r>
      <w:r w:rsidRPr="00573BBB" w:rsidR="00FA40C9">
        <w:rPr>
          <w:rFonts w:ascii="Times New Roman" w:hAnsi="Times New Roman" w:cs="Times New Roman"/>
        </w:rPr>
        <w:t>September 15, 2023</w:t>
      </w:r>
      <w:r w:rsidRPr="00573BBB">
        <w:rPr>
          <w:rFonts w:ascii="Times New Roman" w:hAnsi="Times New Roman" w:cs="Times New Roman"/>
        </w:rPr>
        <w:t>).</w:t>
      </w:r>
    </w:p>
  </w:footnote>
  <w:footnote w:id="10">
    <w:p w:rsidR="00380482" w:rsidRPr="00573BBB" w:rsidP="00380482" w14:paraId="7BEE6EDD" w14:textId="47911992">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00AB18CE">
        <w:rPr>
          <w:rFonts w:ascii="Times New Roman" w:hAnsi="Times New Roman" w:cs="Times New Roman"/>
        </w:rPr>
        <w:t>O.A.C.</w:t>
      </w:r>
      <w:r w:rsidRPr="00573BBB">
        <w:rPr>
          <w:rFonts w:ascii="Times New Roman" w:hAnsi="Times New Roman" w:cs="Times New Roman"/>
        </w:rPr>
        <w:t xml:space="preserve"> 4901:1-10-10(C)</w:t>
      </w:r>
      <w:r>
        <w:rPr>
          <w:rFonts w:ascii="Times New Roman" w:hAnsi="Times New Roman" w:cs="Times New Roman"/>
        </w:rPr>
        <w:t>.</w:t>
      </w:r>
    </w:p>
  </w:footnote>
  <w:footnote w:id="11">
    <w:p w:rsidR="00530049" w:rsidRPr="00573BBB" w:rsidP="00573BBB" w14:paraId="0F4C4CF7" w14:textId="2DED5359">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Pr="00573BBB">
        <w:rPr>
          <w:rFonts w:ascii="Times New Roman" w:hAnsi="Times New Roman" w:cs="Times New Roman"/>
          <w:i/>
          <w:iCs/>
        </w:rPr>
        <w:t>Id.</w:t>
      </w:r>
    </w:p>
  </w:footnote>
  <w:footnote w:id="12">
    <w:p w:rsidR="00380482" w:rsidRPr="00573BBB" w:rsidP="00380482" w14:paraId="6C3E8458" w14:textId="6F814513">
      <w:pPr>
        <w:pStyle w:val="FootnoteText"/>
        <w:spacing w:after="120"/>
        <w:rPr>
          <w:rFonts w:ascii="Times New Roman" w:hAnsi="Times New Roman" w:cs="Times New Roman"/>
          <w:i/>
          <w:iCs/>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Pr="00573BBB">
        <w:rPr>
          <w:rFonts w:ascii="Times New Roman" w:hAnsi="Times New Roman" w:cs="Times New Roman"/>
          <w:i/>
          <w:iCs/>
        </w:rPr>
        <w:t xml:space="preserve">In the Matter of the Annual Report of Electric Distribution System Reliability Pursuant to Rule 4901:1-10-10(C), </w:t>
      </w:r>
      <w:r w:rsidRPr="00573BBB">
        <w:rPr>
          <w:rFonts w:ascii="Times New Roman" w:hAnsi="Times New Roman" w:cs="Times New Roman"/>
        </w:rPr>
        <w:t>Duke Annual Rule 10 Report (March 9, 2023) at 3</w:t>
      </w:r>
      <w:r w:rsidRPr="00573BBB">
        <w:rPr>
          <w:rFonts w:ascii="Times New Roman" w:hAnsi="Times New Roman" w:cs="Times New Roman"/>
          <w:i/>
          <w:iCs/>
        </w:rPr>
        <w:t>.</w:t>
      </w:r>
    </w:p>
  </w:footnote>
  <w:footnote w:id="13">
    <w:p w:rsidR="005F12DF" w:rsidRPr="00573BBB" w:rsidP="00573BBB" w14:paraId="25F5A225" w14:textId="54A15B85">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bookmarkStart w:id="3" w:name="_Hlk146007761"/>
      <w:r w:rsidRPr="00573BBB">
        <w:rPr>
          <w:rFonts w:ascii="Times New Roman" w:hAnsi="Times New Roman" w:cs="Times New Roman"/>
          <w:i/>
          <w:iCs/>
        </w:rPr>
        <w:t>Id.</w:t>
      </w:r>
      <w:bookmarkEnd w:id="3"/>
    </w:p>
  </w:footnote>
  <w:footnote w:id="14">
    <w:p w:rsidR="00107828" w:rsidRPr="00573BBB" w:rsidP="00573BBB" w14:paraId="599E21C2" w14:textId="27A6DE2B">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Pr="00573BBB">
        <w:rPr>
          <w:rFonts w:ascii="Times New Roman" w:hAnsi="Times New Roman" w:cs="Times New Roman"/>
          <w:i/>
          <w:iCs/>
        </w:rPr>
        <w:t>Id</w:t>
      </w:r>
      <w:r w:rsidRPr="00573BBB">
        <w:rPr>
          <w:rFonts w:ascii="Times New Roman" w:hAnsi="Times New Roman" w:cs="Times New Roman"/>
        </w:rPr>
        <w:t xml:space="preserve"> at 4.</w:t>
      </w:r>
    </w:p>
  </w:footnote>
  <w:footnote w:id="15">
    <w:p w:rsidR="00844919" w:rsidRPr="00573BBB" w:rsidP="00573BBB" w14:paraId="56A927CB" w14:textId="7151B773">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Duke Initial Comments at 5.</w:t>
      </w:r>
    </w:p>
  </w:footnote>
  <w:footnote w:id="16">
    <w:p w:rsidR="00026EA8" w:rsidRPr="00573BBB" w:rsidP="00573BBB" w14:paraId="03B0A66D" w14:textId="474BC7A1">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00AB18CE">
        <w:rPr>
          <w:rFonts w:ascii="Times New Roman" w:hAnsi="Times New Roman" w:cs="Times New Roman"/>
        </w:rPr>
        <w:t>R.C.</w:t>
      </w:r>
      <w:r w:rsidRPr="00573BBB">
        <w:rPr>
          <w:rFonts w:ascii="Times New Roman" w:hAnsi="Times New Roman" w:cs="Times New Roman"/>
        </w:rPr>
        <w:t xml:space="preserve"> 4928.02((E).</w:t>
      </w:r>
    </w:p>
  </w:footnote>
  <w:footnote w:id="17">
    <w:p w:rsidR="00050DB6" w:rsidRPr="00573BBB" w:rsidP="00573BBB" w14:paraId="78C0E2DF" w14:textId="679A37C9">
      <w:pPr>
        <w:pStyle w:val="FootnoteText"/>
        <w:spacing w:after="120"/>
        <w:rPr>
          <w:rFonts w:ascii="Times New Roman" w:hAnsi="Times New Roman" w:cs="Times New Roman"/>
        </w:rPr>
      </w:pPr>
      <w:r w:rsidRPr="00573BBB">
        <w:rPr>
          <w:rStyle w:val="FootnoteReference"/>
          <w:rFonts w:ascii="Times New Roman" w:hAnsi="Times New Roman" w:cs="Times New Roman"/>
        </w:rPr>
        <w:footnoteRef/>
      </w:r>
      <w:r w:rsidRPr="00573BBB">
        <w:rPr>
          <w:rFonts w:ascii="Times New Roman" w:hAnsi="Times New Roman" w:cs="Times New Roman"/>
        </w:rPr>
        <w:t xml:space="preserve"> </w:t>
      </w:r>
      <w:r w:rsidR="00AB18CE">
        <w:rPr>
          <w:rFonts w:ascii="Times New Roman" w:hAnsi="Times New Roman" w:cs="Times New Roman"/>
        </w:rPr>
        <w:t>O.A.C.</w:t>
      </w:r>
      <w:r w:rsidRPr="00573BBB">
        <w:rPr>
          <w:rFonts w:ascii="Times New Roman" w:hAnsi="Times New Roman" w:cs="Times New Roman"/>
        </w:rPr>
        <w:t xml:space="preserve"> 4901:1-10-10(C).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D67" w14:paraId="5D3E6D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D67" w14:paraId="2C8294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7D67" w14:paraId="193ADD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FB292A"/>
    <w:multiLevelType w:val="hybridMultilevel"/>
    <w:tmpl w:val="F948D0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FF276DF"/>
    <w:multiLevelType w:val="hybridMultilevel"/>
    <w:tmpl w:val="1688B9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6FF58F8"/>
    <w:multiLevelType w:val="hybridMultilevel"/>
    <w:tmpl w:val="DD86ECD8"/>
    <w:lvl w:ilvl="0">
      <w:start w:val="1"/>
      <w:numFmt w:val="upperLetter"/>
      <w:pStyle w:val="Heading2"/>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5929507A"/>
    <w:multiLevelType w:val="hybridMultilevel"/>
    <w:tmpl w:val="D054AED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A540A11"/>
    <w:multiLevelType w:val="hybridMultilevel"/>
    <w:tmpl w:val="D054AED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63864D9A"/>
    <w:multiLevelType w:val="hybridMultilevel"/>
    <w:tmpl w:val="A12697D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6CD20CF5"/>
    <w:multiLevelType w:val="hybridMultilevel"/>
    <w:tmpl w:val="86E0D9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72591B7D"/>
    <w:multiLevelType w:val="hybridMultilevel"/>
    <w:tmpl w:val="46D0EA06"/>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9D"/>
    <w:rsid w:val="00004093"/>
    <w:rsid w:val="00026EA8"/>
    <w:rsid w:val="00031DBD"/>
    <w:rsid w:val="0003560C"/>
    <w:rsid w:val="00050DB6"/>
    <w:rsid w:val="00085C08"/>
    <w:rsid w:val="00095D85"/>
    <w:rsid w:val="00107828"/>
    <w:rsid w:val="00107936"/>
    <w:rsid w:val="00166457"/>
    <w:rsid w:val="001754C6"/>
    <w:rsid w:val="001A1FD9"/>
    <w:rsid w:val="001A257B"/>
    <w:rsid w:val="001D03EF"/>
    <w:rsid w:val="00222943"/>
    <w:rsid w:val="00242E26"/>
    <w:rsid w:val="00243D86"/>
    <w:rsid w:val="002648D5"/>
    <w:rsid w:val="00294723"/>
    <w:rsid w:val="002A1810"/>
    <w:rsid w:val="002E5AE4"/>
    <w:rsid w:val="002F57D5"/>
    <w:rsid w:val="00306155"/>
    <w:rsid w:val="00331536"/>
    <w:rsid w:val="003650F4"/>
    <w:rsid w:val="00375DD5"/>
    <w:rsid w:val="00380482"/>
    <w:rsid w:val="00380514"/>
    <w:rsid w:val="0038734E"/>
    <w:rsid w:val="00393A37"/>
    <w:rsid w:val="003B743B"/>
    <w:rsid w:val="0043316E"/>
    <w:rsid w:val="00481291"/>
    <w:rsid w:val="004D1B21"/>
    <w:rsid w:val="004D2CEE"/>
    <w:rsid w:val="004D4906"/>
    <w:rsid w:val="004E10CD"/>
    <w:rsid w:val="00530049"/>
    <w:rsid w:val="00533199"/>
    <w:rsid w:val="005720D7"/>
    <w:rsid w:val="00573BBB"/>
    <w:rsid w:val="00590951"/>
    <w:rsid w:val="005F12DF"/>
    <w:rsid w:val="00600324"/>
    <w:rsid w:val="006033F5"/>
    <w:rsid w:val="00620ED1"/>
    <w:rsid w:val="00632613"/>
    <w:rsid w:val="00663FF2"/>
    <w:rsid w:val="006739E0"/>
    <w:rsid w:val="00676545"/>
    <w:rsid w:val="006A0058"/>
    <w:rsid w:val="006A2457"/>
    <w:rsid w:val="006A3A18"/>
    <w:rsid w:val="006E2ED0"/>
    <w:rsid w:val="00701840"/>
    <w:rsid w:val="00720648"/>
    <w:rsid w:val="00753D8C"/>
    <w:rsid w:val="00796B92"/>
    <w:rsid w:val="007C3D41"/>
    <w:rsid w:val="008231E6"/>
    <w:rsid w:val="00833018"/>
    <w:rsid w:val="00844919"/>
    <w:rsid w:val="00844C14"/>
    <w:rsid w:val="00850347"/>
    <w:rsid w:val="00863776"/>
    <w:rsid w:val="00891F66"/>
    <w:rsid w:val="008C1CC0"/>
    <w:rsid w:val="008C39C2"/>
    <w:rsid w:val="008E4BBC"/>
    <w:rsid w:val="00911724"/>
    <w:rsid w:val="00936BDC"/>
    <w:rsid w:val="009944B3"/>
    <w:rsid w:val="009C4EF1"/>
    <w:rsid w:val="009D258E"/>
    <w:rsid w:val="009D2D4A"/>
    <w:rsid w:val="009D5CCF"/>
    <w:rsid w:val="009D76FD"/>
    <w:rsid w:val="00A46D8C"/>
    <w:rsid w:val="00A54072"/>
    <w:rsid w:val="00A67E10"/>
    <w:rsid w:val="00AB18CE"/>
    <w:rsid w:val="00AC111F"/>
    <w:rsid w:val="00AC4781"/>
    <w:rsid w:val="00AD6B23"/>
    <w:rsid w:val="00AE55FF"/>
    <w:rsid w:val="00AE73AE"/>
    <w:rsid w:val="00AF27D9"/>
    <w:rsid w:val="00B077F9"/>
    <w:rsid w:val="00B1418D"/>
    <w:rsid w:val="00B168C7"/>
    <w:rsid w:val="00B37B9E"/>
    <w:rsid w:val="00B46F6D"/>
    <w:rsid w:val="00B77E4B"/>
    <w:rsid w:val="00B97821"/>
    <w:rsid w:val="00BC783A"/>
    <w:rsid w:val="00BD57AE"/>
    <w:rsid w:val="00BF6176"/>
    <w:rsid w:val="00C00901"/>
    <w:rsid w:val="00C071D6"/>
    <w:rsid w:val="00C24794"/>
    <w:rsid w:val="00C60C7B"/>
    <w:rsid w:val="00C73FA8"/>
    <w:rsid w:val="00C827BC"/>
    <w:rsid w:val="00CD5068"/>
    <w:rsid w:val="00CF03F3"/>
    <w:rsid w:val="00D01548"/>
    <w:rsid w:val="00D01CA4"/>
    <w:rsid w:val="00D03C7B"/>
    <w:rsid w:val="00D2649D"/>
    <w:rsid w:val="00D3395B"/>
    <w:rsid w:val="00D46EDB"/>
    <w:rsid w:val="00D84FF0"/>
    <w:rsid w:val="00D93270"/>
    <w:rsid w:val="00DF7D6D"/>
    <w:rsid w:val="00E01FF0"/>
    <w:rsid w:val="00E57970"/>
    <w:rsid w:val="00E57D87"/>
    <w:rsid w:val="00E57DFF"/>
    <w:rsid w:val="00E73D29"/>
    <w:rsid w:val="00EC4AE7"/>
    <w:rsid w:val="00ED3234"/>
    <w:rsid w:val="00ED4B88"/>
    <w:rsid w:val="00EE1664"/>
    <w:rsid w:val="00EE7D67"/>
    <w:rsid w:val="00F5727C"/>
    <w:rsid w:val="00F61FA4"/>
    <w:rsid w:val="00F72BFC"/>
    <w:rsid w:val="00FA40C9"/>
    <w:rsid w:val="00FD4FE7"/>
    <w:rsid w:val="00FE47BE"/>
    <w:rsid w:val="00FE6F89"/>
    <w:rsid w:val="00FE78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B9C64B"/>
  <w15:chartTrackingRefBased/>
  <w15:docId w15:val="{FB5CDFF8-65E7-4BFB-99C5-3004B97C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7E4B"/>
    <w:pPr>
      <w:spacing w:after="240" w:line="240" w:lineRule="auto"/>
      <w:ind w:left="720" w:hanging="720"/>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481291"/>
    <w:pPr>
      <w:numPr>
        <w:numId w:val="4"/>
      </w:numPr>
      <w:spacing w:after="240" w:line="240" w:lineRule="auto"/>
      <w:ind w:left="1440" w:hanging="72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E4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7BE"/>
    <w:rPr>
      <w:sz w:val="20"/>
      <w:szCs w:val="20"/>
    </w:rPr>
  </w:style>
  <w:style w:type="character" w:styleId="FootnoteReference">
    <w:name w:val="footnote reference"/>
    <w:basedOn w:val="DefaultParagraphFont"/>
    <w:uiPriority w:val="99"/>
    <w:semiHidden/>
    <w:unhideWhenUsed/>
    <w:rsid w:val="00FE47BE"/>
    <w:rPr>
      <w:vertAlign w:val="superscript"/>
    </w:rPr>
  </w:style>
  <w:style w:type="paragraph" w:styleId="ListParagraph">
    <w:name w:val="List Paragraph"/>
    <w:basedOn w:val="Normal"/>
    <w:uiPriority w:val="34"/>
    <w:qFormat/>
    <w:rsid w:val="004D1B21"/>
    <w:pPr>
      <w:ind w:left="720"/>
      <w:contextualSpacing/>
    </w:pPr>
  </w:style>
  <w:style w:type="paragraph" w:styleId="Header">
    <w:name w:val="header"/>
    <w:basedOn w:val="Normal"/>
    <w:link w:val="HeaderChar"/>
    <w:uiPriority w:val="99"/>
    <w:unhideWhenUsed/>
    <w:rsid w:val="009D2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58E"/>
  </w:style>
  <w:style w:type="paragraph" w:styleId="Footer">
    <w:name w:val="footer"/>
    <w:basedOn w:val="Normal"/>
    <w:link w:val="FooterChar"/>
    <w:uiPriority w:val="99"/>
    <w:unhideWhenUsed/>
    <w:rsid w:val="009D2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58E"/>
  </w:style>
  <w:style w:type="character" w:customStyle="1" w:styleId="Heading1Char">
    <w:name w:val="Heading 1 Char"/>
    <w:basedOn w:val="DefaultParagraphFont"/>
    <w:link w:val="Heading1"/>
    <w:uiPriority w:val="9"/>
    <w:rsid w:val="00B77E4B"/>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81291"/>
    <w:rPr>
      <w:rFonts w:ascii="Times New Roman" w:hAnsi="Times New Roman" w:cs="Times New Roman"/>
      <w:b/>
      <w:bCs/>
      <w:sz w:val="24"/>
      <w:szCs w:val="24"/>
    </w:rPr>
  </w:style>
  <w:style w:type="paragraph" w:styleId="Revision">
    <w:name w:val="Revision"/>
    <w:hidden/>
    <w:uiPriority w:val="99"/>
    <w:semiHidden/>
    <w:rsid w:val="00863776"/>
    <w:pPr>
      <w:spacing w:after="0" w:line="240" w:lineRule="auto"/>
    </w:pPr>
  </w:style>
  <w:style w:type="character" w:styleId="CommentReference">
    <w:name w:val="annotation reference"/>
    <w:basedOn w:val="DefaultParagraphFont"/>
    <w:uiPriority w:val="99"/>
    <w:semiHidden/>
    <w:unhideWhenUsed/>
    <w:rsid w:val="00E01FF0"/>
    <w:rPr>
      <w:sz w:val="16"/>
      <w:szCs w:val="16"/>
    </w:rPr>
  </w:style>
  <w:style w:type="paragraph" w:styleId="CommentText">
    <w:name w:val="annotation text"/>
    <w:basedOn w:val="Normal"/>
    <w:link w:val="CommentTextChar"/>
    <w:uiPriority w:val="99"/>
    <w:unhideWhenUsed/>
    <w:rsid w:val="00E01FF0"/>
    <w:pPr>
      <w:spacing w:line="240" w:lineRule="auto"/>
    </w:pPr>
    <w:rPr>
      <w:sz w:val="20"/>
      <w:szCs w:val="20"/>
    </w:rPr>
  </w:style>
  <w:style w:type="character" w:customStyle="1" w:styleId="CommentTextChar">
    <w:name w:val="Comment Text Char"/>
    <w:basedOn w:val="DefaultParagraphFont"/>
    <w:link w:val="CommentText"/>
    <w:uiPriority w:val="99"/>
    <w:rsid w:val="00E01FF0"/>
    <w:rPr>
      <w:sz w:val="20"/>
      <w:szCs w:val="20"/>
    </w:rPr>
  </w:style>
  <w:style w:type="paragraph" w:styleId="CommentSubject">
    <w:name w:val="annotation subject"/>
    <w:basedOn w:val="CommentText"/>
    <w:next w:val="CommentText"/>
    <w:link w:val="CommentSubjectChar"/>
    <w:uiPriority w:val="99"/>
    <w:semiHidden/>
    <w:unhideWhenUsed/>
    <w:rsid w:val="00E01FF0"/>
    <w:rPr>
      <w:b/>
      <w:bCs/>
    </w:rPr>
  </w:style>
  <w:style w:type="character" w:customStyle="1" w:styleId="CommentSubjectChar">
    <w:name w:val="Comment Subject Char"/>
    <w:basedOn w:val="CommentTextChar"/>
    <w:link w:val="CommentSubject"/>
    <w:uiPriority w:val="99"/>
    <w:semiHidden/>
    <w:rsid w:val="00E01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occo.dascenzo@duke-energy.com" TargetMode="External" /><Relationship Id="rId11" Type="http://schemas.openxmlformats.org/officeDocument/2006/relationships/hyperlink" Target="mailto:jeanne.kingery@duke-energy.com" TargetMode="External" /><Relationship Id="rId12" Type="http://schemas.openxmlformats.org/officeDocument/2006/relationships/hyperlink" Target="mailto:larisa.vaysman@duke-energy.com" TargetMode="External" /><Relationship Id="rId13" Type="http://schemas.openxmlformats.org/officeDocument/2006/relationships/hyperlink" Target="mailto:elyse.akhbari@duke-energy.co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john.jones@ohioago.gov" TargetMode="External" /><Relationship Id="rId8" Type="http://schemas.openxmlformats.org/officeDocument/2006/relationships/hyperlink" Target="mailto:matthew.sandor@puco.ohio.gov" TargetMode="External" /><Relationship Id="rId9" Type="http://schemas.openxmlformats.org/officeDocument/2006/relationships/hyperlink" Target="mailto:nicholas.walstra@puco.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80C5-DD1D-40A6-A8F2-B4A10004840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11</ap:TotalTime>
  <ap:Pages>2</ap:Pages>
  <ap:Words>1196</ap:Words>
  <ap:Characters>6819</ap:Characters>
  <ap:Application>Microsoft Office Word</ap:Application>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8000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2023-09-22T15:57:11Z</dcterms:created>
  <dcterms:modified xsi:type="dcterms:W3CDTF">2023-09-22T15:57:11Z</dcterms:modified>
</cp:coreProperties>
</file>