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B618B" w:rsidRPr="008F138D" w:rsidP="000B618B">
      <w:pPr>
        <w:widowControl w:val="0"/>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8F138D">
        <w:rPr>
          <w:rFonts w:ascii="Times New Roman" w:hAnsi="Times New Roman" w:cs="Times New Roman"/>
          <w:b/>
          <w:sz w:val="24"/>
          <w:szCs w:val="24"/>
        </w:rPr>
        <w:t>BEFORE</w:t>
      </w:r>
    </w:p>
    <w:p w:rsidR="000B618B" w:rsidRPr="008F138D" w:rsidP="000B618B">
      <w:pPr>
        <w:widowControl w:val="0"/>
        <w:autoSpaceDE w:val="0"/>
        <w:autoSpaceDN w:val="0"/>
        <w:adjustRightInd w:val="0"/>
        <w:spacing w:after="0" w:line="240" w:lineRule="auto"/>
        <w:jc w:val="center"/>
        <w:rPr>
          <w:rFonts w:ascii="Times New Roman" w:hAnsi="Times New Roman" w:cs="Times New Roman"/>
          <w:b/>
          <w:sz w:val="24"/>
          <w:szCs w:val="24"/>
        </w:rPr>
      </w:pPr>
      <w:r w:rsidRPr="008F138D">
        <w:rPr>
          <w:rFonts w:ascii="Times New Roman" w:hAnsi="Times New Roman" w:cs="Times New Roman"/>
          <w:b/>
          <w:sz w:val="24"/>
          <w:szCs w:val="24"/>
        </w:rPr>
        <w:t>THE PUBLIC UTILITIES COMMISSION OF OHIO</w:t>
      </w:r>
    </w:p>
    <w:p w:rsidR="000B618B" w:rsidP="000B618B">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9"/>
        <w:gridCol w:w="361"/>
        <w:gridCol w:w="4715"/>
      </w:tblGrid>
      <w:tr w:rsidTr="00001EF3">
        <w:tblPrEx>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36"/>
        </w:trPr>
        <w:tc>
          <w:tcPr>
            <w:tcW w:w="4379" w:type="dxa"/>
          </w:tcPr>
          <w:p w:rsidR="000B618B" w:rsidP="00E92B68">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the Matter of the Application to Modify, in Accordance with Section 4928.08, Revised Code, the Exemption Granted to The East Ohio Gas Company d/b/a Dominion Energy Ohio.</w:t>
            </w:r>
          </w:p>
        </w:tc>
        <w:tc>
          <w:tcPr>
            <w:tcW w:w="361" w:type="dxa"/>
          </w:tcPr>
          <w:p w:rsidR="000B618B" w:rsidP="00001EF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p w:rsidR="000B618B" w:rsidP="00001EF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p w:rsidR="000B618B" w:rsidP="00001EF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p w:rsidR="000B618B" w:rsidP="00001EF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p w:rsidR="00E92B68" w:rsidP="00001EF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tc>
        <w:tc>
          <w:tcPr>
            <w:tcW w:w="4715" w:type="dxa"/>
          </w:tcPr>
          <w:p w:rsidR="000B618B" w:rsidP="00001EF3">
            <w:pPr>
              <w:widowControl w:val="0"/>
              <w:autoSpaceDE w:val="0"/>
              <w:autoSpaceDN w:val="0"/>
              <w:adjustRightInd w:val="0"/>
              <w:spacing w:after="0" w:line="240" w:lineRule="auto"/>
              <w:contextualSpacing/>
              <w:rPr>
                <w:rFonts w:ascii="Times New Roman" w:hAnsi="Times New Roman" w:cs="Times New Roman"/>
                <w:sz w:val="24"/>
                <w:szCs w:val="24"/>
              </w:rPr>
            </w:pPr>
          </w:p>
          <w:p w:rsidR="000B618B" w:rsidP="00001EF3">
            <w:pPr>
              <w:widowControl w:val="0"/>
              <w:autoSpaceDE w:val="0"/>
              <w:autoSpaceDN w:val="0"/>
              <w:adjustRightInd w:val="0"/>
              <w:spacing w:after="0" w:line="240" w:lineRule="auto"/>
              <w:contextualSpacing/>
              <w:rPr>
                <w:rFonts w:ascii="Times New Roman" w:hAnsi="Times New Roman" w:cs="Times New Roman"/>
                <w:sz w:val="24"/>
                <w:szCs w:val="24"/>
              </w:rPr>
            </w:pPr>
          </w:p>
          <w:p w:rsidR="000B618B" w:rsidP="00001EF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Case No. 12-1842-GA-EXM</w:t>
            </w:r>
          </w:p>
        </w:tc>
      </w:tr>
    </w:tbl>
    <w:p w:rsidR="000B618B" w:rsidP="000B618B">
      <w:pPr>
        <w:widowControl w:val="0"/>
        <w:pBdr>
          <w:bottom w:val="single" w:sz="12" w:space="1" w:color="auto"/>
        </w:pBdr>
        <w:autoSpaceDE w:val="0"/>
        <w:autoSpaceDN w:val="0"/>
        <w:adjustRightInd w:val="0"/>
        <w:spacing w:after="0" w:line="240" w:lineRule="auto"/>
        <w:rPr>
          <w:rFonts w:ascii="Times New Roman" w:hAnsi="Times New Roman" w:cs="Times New Roman"/>
          <w:b/>
          <w:sz w:val="24"/>
          <w:szCs w:val="24"/>
        </w:rPr>
      </w:pPr>
    </w:p>
    <w:p w:rsidR="000B618B" w:rsidP="000B618B">
      <w:pPr>
        <w:widowControl w:val="0"/>
        <w:autoSpaceDE w:val="0"/>
        <w:autoSpaceDN w:val="0"/>
        <w:adjustRightInd w:val="0"/>
        <w:spacing w:after="0" w:line="240" w:lineRule="auto"/>
        <w:rPr>
          <w:rFonts w:ascii="Times New Roman" w:hAnsi="Times New Roman" w:cs="Times New Roman"/>
          <w:b/>
          <w:sz w:val="24"/>
          <w:szCs w:val="24"/>
        </w:rPr>
      </w:pPr>
    </w:p>
    <w:p w:rsidR="00135C77" w:rsidP="00A65E6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REPLY TO FILINGS THAT WOULD HARM CUSTOMERS BY MAINTAINING THE RANDOM ASSIGNMENT OF CUSTOMERS TO THE MONTHLY VARIABLE RATE </w:t>
      </w:r>
    </w:p>
    <w:p w:rsidR="00E92B68" w:rsidP="00E92B6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BY </w:t>
      </w:r>
    </w:p>
    <w:p w:rsidR="000B618B" w:rsidP="00E92B6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OFFICE OF THE OHIO CONSUMERS’ COUNSEL</w:t>
      </w:r>
    </w:p>
    <w:p w:rsidR="00840B36" w:rsidP="000B618B">
      <w:pPr>
        <w:widowControl w:val="0"/>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RPr="008F138D" w:rsidP="00171240">
      <w:pPr>
        <w:widowControl w:val="0"/>
        <w:numPr>
          <w:ilvl w:val="0"/>
          <w:numId w:val="1"/>
        </w:numPr>
        <w:autoSpaceDE w:val="0"/>
        <w:autoSpaceDN w:val="0"/>
        <w:adjustRightInd w:val="0"/>
        <w:spacing w:after="0" w:line="240" w:lineRule="auto"/>
        <w:ind w:left="720"/>
        <w:rPr>
          <w:rFonts w:ascii="Times New Roman" w:hAnsi="Times New Roman" w:cs="Times New Roman"/>
          <w:b/>
          <w:sz w:val="24"/>
          <w:szCs w:val="24"/>
        </w:rPr>
      </w:pPr>
      <w:r w:rsidRPr="008F138D">
        <w:rPr>
          <w:rFonts w:ascii="Times New Roman" w:hAnsi="Times New Roman" w:cs="Times New Roman"/>
          <w:b/>
          <w:sz w:val="24"/>
          <w:szCs w:val="24"/>
        </w:rPr>
        <w:t>INTRODUCTION</w:t>
      </w:r>
    </w:p>
    <w:p w:rsidR="000B618B" w:rsidP="000B618B">
      <w:pPr>
        <w:widowControl w:val="0"/>
        <w:autoSpaceDE w:val="0"/>
        <w:autoSpaceDN w:val="0"/>
        <w:adjustRightInd w:val="0"/>
        <w:spacing w:after="0" w:line="240" w:lineRule="auto"/>
        <w:ind w:left="1080"/>
        <w:rPr>
          <w:rFonts w:ascii="Times New Roman" w:hAnsi="Times New Roman" w:cs="Times New Roman"/>
          <w:sz w:val="24"/>
          <w:szCs w:val="24"/>
        </w:rPr>
      </w:pPr>
    </w:p>
    <w:p w:rsidR="0014009D" w:rsidP="00A10F5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case was initiated on March 9, 2018, when the Office of the Ohio Consumers’ Counsel (“OCC”) filed a Motion to Protect Residential Consumers (“Motion to Protect Consumers”) </w:t>
      </w:r>
      <w:r w:rsidRPr="00A86E56">
        <w:rPr>
          <w:rFonts w:ascii="Times New Roman" w:hAnsi="Times New Roman" w:cs="Times New Roman"/>
          <w:sz w:val="24"/>
          <w:szCs w:val="24"/>
        </w:rPr>
        <w:t>of Dominion Energy Ohio (</w:t>
      </w:r>
      <w:r>
        <w:rPr>
          <w:rFonts w:ascii="Times New Roman" w:hAnsi="Times New Roman" w:cs="Times New Roman"/>
          <w:sz w:val="24"/>
          <w:szCs w:val="24"/>
        </w:rPr>
        <w:t>“</w:t>
      </w:r>
      <w:r w:rsidRPr="00A86E56">
        <w:rPr>
          <w:rFonts w:ascii="Times New Roman" w:hAnsi="Times New Roman" w:cs="Times New Roman"/>
          <w:sz w:val="24"/>
          <w:szCs w:val="24"/>
        </w:rPr>
        <w:t>Dominion</w:t>
      </w:r>
      <w:r>
        <w:rPr>
          <w:rFonts w:ascii="Times New Roman" w:hAnsi="Times New Roman" w:cs="Times New Roman"/>
          <w:sz w:val="24"/>
          <w:szCs w:val="24"/>
        </w:rPr>
        <w:t>”</w:t>
      </w:r>
      <w:r w:rsidRPr="00A86E56">
        <w:rPr>
          <w:rFonts w:ascii="Times New Roman" w:hAnsi="Times New Roman" w:cs="Times New Roman"/>
          <w:sz w:val="24"/>
          <w:szCs w:val="24"/>
        </w:rPr>
        <w:t xml:space="preserve">) </w:t>
      </w:r>
      <w:r>
        <w:rPr>
          <w:rFonts w:ascii="Times New Roman" w:hAnsi="Times New Roman" w:cs="Times New Roman"/>
          <w:sz w:val="24"/>
          <w:szCs w:val="24"/>
        </w:rPr>
        <w:t>f</w:t>
      </w:r>
      <w:r w:rsidRPr="00A86E56">
        <w:rPr>
          <w:rFonts w:ascii="Times New Roman" w:hAnsi="Times New Roman" w:cs="Times New Roman"/>
          <w:sz w:val="24"/>
          <w:szCs w:val="24"/>
        </w:rPr>
        <w:t>rom</w:t>
      </w:r>
      <w:r>
        <w:rPr>
          <w:rFonts w:ascii="Times New Roman" w:hAnsi="Times New Roman" w:cs="Times New Roman"/>
          <w:sz w:val="24"/>
          <w:szCs w:val="24"/>
        </w:rPr>
        <w:t xml:space="preserve"> </w:t>
      </w:r>
      <w:r w:rsidRPr="00A86E56">
        <w:rPr>
          <w:rFonts w:ascii="Times New Roman" w:hAnsi="Times New Roman" w:cs="Times New Roman"/>
          <w:sz w:val="24"/>
          <w:szCs w:val="24"/>
        </w:rPr>
        <w:t>unreasonably high natural gas prices that some marketers</w:t>
      </w:r>
      <w:r>
        <w:rPr>
          <w:rFonts w:ascii="Times New Roman" w:hAnsi="Times New Roman" w:cs="Times New Roman"/>
          <w:sz w:val="24"/>
          <w:szCs w:val="24"/>
        </w:rPr>
        <w:t xml:space="preserve"> are </w:t>
      </w:r>
      <w:r w:rsidRPr="00A86E56">
        <w:rPr>
          <w:rFonts w:ascii="Times New Roman" w:hAnsi="Times New Roman" w:cs="Times New Roman"/>
          <w:sz w:val="24"/>
          <w:szCs w:val="24"/>
        </w:rPr>
        <w:t>charg</w:t>
      </w:r>
      <w:r>
        <w:rPr>
          <w:rFonts w:ascii="Times New Roman" w:hAnsi="Times New Roman" w:cs="Times New Roman"/>
          <w:sz w:val="24"/>
          <w:szCs w:val="24"/>
        </w:rPr>
        <w:t>ing</w:t>
      </w:r>
      <w:r w:rsidRPr="00A86E56">
        <w:rPr>
          <w:rFonts w:ascii="Times New Roman" w:hAnsi="Times New Roman" w:cs="Times New Roman"/>
          <w:sz w:val="24"/>
          <w:szCs w:val="24"/>
        </w:rPr>
        <w:t xml:space="preserve"> customers</w:t>
      </w:r>
      <w:r>
        <w:rPr>
          <w:rFonts w:ascii="Times New Roman" w:hAnsi="Times New Roman" w:cs="Times New Roman"/>
          <w:sz w:val="24"/>
          <w:szCs w:val="24"/>
        </w:rPr>
        <w:t xml:space="preserve"> randomly assigned to them </w:t>
      </w:r>
      <w:r w:rsidRPr="00A86E56">
        <w:rPr>
          <w:rFonts w:ascii="Times New Roman" w:hAnsi="Times New Roman" w:cs="Times New Roman"/>
          <w:sz w:val="24"/>
          <w:szCs w:val="24"/>
        </w:rPr>
        <w:t>through the Monthly Variable Rate (</w:t>
      </w:r>
      <w:r>
        <w:rPr>
          <w:rFonts w:ascii="Times New Roman" w:hAnsi="Times New Roman" w:cs="Times New Roman"/>
          <w:sz w:val="24"/>
          <w:szCs w:val="24"/>
        </w:rPr>
        <w:t>“</w:t>
      </w:r>
      <w:r w:rsidRPr="00A86E56">
        <w:rPr>
          <w:rFonts w:ascii="Times New Roman" w:hAnsi="Times New Roman" w:cs="Times New Roman"/>
          <w:sz w:val="24"/>
          <w:szCs w:val="24"/>
        </w:rPr>
        <w:t>MVR</w:t>
      </w:r>
      <w:r>
        <w:rPr>
          <w:rFonts w:ascii="Times New Roman" w:hAnsi="Times New Roman" w:cs="Times New Roman"/>
          <w:sz w:val="24"/>
          <w:szCs w:val="24"/>
        </w:rPr>
        <w:t>”</w:t>
      </w:r>
      <w:r w:rsidRPr="00A86E56">
        <w:rPr>
          <w:rFonts w:ascii="Times New Roman" w:hAnsi="Times New Roman" w:cs="Times New Roman"/>
          <w:sz w:val="24"/>
          <w:szCs w:val="24"/>
        </w:rPr>
        <w:t xml:space="preserve">). </w:t>
      </w:r>
      <w:r>
        <w:rPr>
          <w:rFonts w:ascii="Times New Roman" w:hAnsi="Times New Roman" w:cs="Times New Roman"/>
          <w:sz w:val="24"/>
          <w:szCs w:val="24"/>
        </w:rPr>
        <w:t xml:space="preserve"> In its Motion, OCC noted that the number of customers on the MVR may be few, but the harm to those customers assigned to a high-marketer rate could be great.  While OCC is pro-markets, the MVR will not provide consumers a market solution to the inherent price gouging problem. </w:t>
      </w:r>
    </w:p>
    <w:p w:rsidR="00506881" w:rsidP="007249C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OCC requested that the MVR needs to end and should be replaced with the competitively bid standard offer.  Particularly, OCC asked the PUCO to modify the exemption it granted in its January 9, 2013 Order</w:t>
      </w:r>
      <w:r w:rsidRPr="005E2964">
        <w:rPr>
          <w:rFonts w:ascii="Times New Roman" w:hAnsi="Times New Roman" w:cs="Times New Roman"/>
          <w:sz w:val="24"/>
          <w:szCs w:val="24"/>
        </w:rPr>
        <w:t xml:space="preserve"> (</w:t>
      </w:r>
      <w:r>
        <w:rPr>
          <w:rFonts w:ascii="Times New Roman" w:hAnsi="Times New Roman" w:cs="Times New Roman"/>
          <w:sz w:val="24"/>
          <w:szCs w:val="24"/>
        </w:rPr>
        <w:t>“</w:t>
      </w:r>
      <w:r w:rsidRPr="005E2964">
        <w:rPr>
          <w:rFonts w:ascii="Times New Roman" w:hAnsi="Times New Roman" w:cs="Times New Roman"/>
          <w:sz w:val="24"/>
          <w:szCs w:val="24"/>
        </w:rPr>
        <w:t>2013 Order</w:t>
      </w:r>
      <w:r>
        <w:rPr>
          <w:rFonts w:ascii="Times New Roman" w:hAnsi="Times New Roman" w:cs="Times New Roman"/>
          <w:sz w:val="24"/>
          <w:szCs w:val="24"/>
        </w:rPr>
        <w:t>”</w:t>
      </w:r>
      <w:r w:rsidRPr="005E2964">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 </w:t>
      </w:r>
      <w:r w:rsidRPr="002814E6">
        <w:rPr>
          <w:rFonts w:ascii="Times New Roman" w:hAnsi="Times New Roman" w:cs="Times New Roman"/>
          <w:sz w:val="24"/>
          <w:szCs w:val="24"/>
        </w:rPr>
        <w:t>re-establis</w:t>
      </w:r>
      <w:r>
        <w:rPr>
          <w:rFonts w:ascii="Times New Roman" w:hAnsi="Times New Roman" w:cs="Times New Roman"/>
          <w:sz w:val="24"/>
          <w:szCs w:val="24"/>
        </w:rPr>
        <w:t xml:space="preserve">h Dominion’s competitively-bid Standard Choice Offer (“SCO”) as the default service for all choice-eligible residential customers.  OCC asked the PUCO to eliminate the MVR as a program for assigning residential </w:t>
      </w:r>
      <w:r>
        <w:rPr>
          <w:rFonts w:ascii="Times New Roman" w:hAnsi="Times New Roman" w:cs="Times New Roman"/>
          <w:sz w:val="24"/>
          <w:szCs w:val="24"/>
        </w:rPr>
        <w:t>customers to a natural gas marketer when they end service with a marketer.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OCC noted that the use of the MVR as the default program for assigning residential customers could substantially harm consumers, estimating that the difference between the use of the MVR and the use of the SCO could be as much as $51 per month for a single customer.</w:t>
      </w:r>
      <w:r>
        <w:rPr>
          <w:rStyle w:val="FootnoteReference"/>
          <w:rFonts w:ascii="Times New Roman" w:hAnsi="Times New Roman" w:cs="Times New Roman"/>
          <w:sz w:val="24"/>
          <w:szCs w:val="24"/>
        </w:rPr>
        <w:footnoteReference w:id="4"/>
      </w:r>
    </w:p>
    <w:p w:rsidR="00171240" w:rsidRPr="00135C77" w:rsidP="007249C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On March 30, 2018, the Retail Energy Supply Association (“RESA”) and Direct Energy Services, LLC and Direct Energy Business Marketing, LLC (“Direct Energy”) (jointly referred to as “Marketers”) filed a Joint Memorandum Contra to OCC’s Motion to Protect Consumers (“Joint Memo Contra”).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135C77">
        <w:rPr>
          <w:rFonts w:ascii="Times New Roman" w:hAnsi="Times New Roman"/>
          <w:sz w:val="24"/>
          <w:szCs w:val="24"/>
        </w:rPr>
        <w:t>That same day, Dominion filed a Response to the Motions filed by OCC and Ohio Partners for Affordable Energy (</w:t>
      </w:r>
      <w:r>
        <w:rPr>
          <w:rFonts w:ascii="Times New Roman" w:hAnsi="Times New Roman"/>
          <w:sz w:val="24"/>
          <w:szCs w:val="24"/>
        </w:rPr>
        <w:t>“</w:t>
      </w:r>
      <w:r w:rsidRPr="00135C77">
        <w:rPr>
          <w:rFonts w:ascii="Times New Roman" w:hAnsi="Times New Roman"/>
          <w:sz w:val="24"/>
          <w:szCs w:val="24"/>
        </w:rPr>
        <w:t>OPAE</w:t>
      </w:r>
      <w:r>
        <w:rPr>
          <w:rFonts w:ascii="Times New Roman" w:hAnsi="Times New Roman"/>
          <w:sz w:val="24"/>
          <w:szCs w:val="24"/>
        </w:rPr>
        <w:t>”</w:t>
      </w:r>
      <w:r w:rsidRPr="00135C77">
        <w:rPr>
          <w:rFonts w:ascii="Times New Roman" w:hAnsi="Times New Roman"/>
          <w:sz w:val="24"/>
          <w:szCs w:val="24"/>
        </w:rPr>
        <w:t>).</w:t>
      </w:r>
      <w:r>
        <w:rPr>
          <w:rStyle w:val="FootnoteReference"/>
          <w:rFonts w:ascii="Times New Roman" w:hAnsi="Times New Roman"/>
          <w:sz w:val="24"/>
          <w:szCs w:val="24"/>
        </w:rPr>
        <w:footnoteReference w:id="6"/>
      </w:r>
      <w:r w:rsidRPr="00135C77">
        <w:rPr>
          <w:rFonts w:ascii="Times New Roman" w:hAnsi="Times New Roman"/>
          <w:sz w:val="24"/>
          <w:szCs w:val="24"/>
        </w:rPr>
        <w:t xml:space="preserve">  In its response, Dominion stated that while it does not support the PUCO granting the Motions at this time, it appreciates </w:t>
      </w:r>
      <w:r>
        <w:rPr>
          <w:rFonts w:ascii="Times New Roman" w:hAnsi="Times New Roman"/>
          <w:sz w:val="24"/>
          <w:szCs w:val="24"/>
        </w:rPr>
        <w:t>“</w:t>
      </w:r>
      <w:r w:rsidRPr="00135C77">
        <w:rPr>
          <w:rFonts w:ascii="Times New Roman" w:hAnsi="Times New Roman"/>
          <w:sz w:val="24"/>
          <w:szCs w:val="24"/>
        </w:rPr>
        <w:t>the motive and concerns behind them</w:t>
      </w:r>
      <w:r>
        <w:rPr>
          <w:rFonts w:ascii="Times New Roman" w:hAnsi="Times New Roman"/>
          <w:sz w:val="24"/>
          <w:szCs w:val="24"/>
        </w:rPr>
        <w:t>”</w:t>
      </w:r>
      <w:r w:rsidRPr="00135C77">
        <w:rPr>
          <w:rFonts w:ascii="Times New Roman" w:hAnsi="Times New Roman"/>
          <w:sz w:val="24"/>
          <w:szCs w:val="24"/>
        </w:rPr>
        <w:t xml:space="preserve"> and wishes to collaborate with the parties to address these issues.</w:t>
      </w:r>
      <w:r>
        <w:rPr>
          <w:rStyle w:val="FootnoteReference"/>
          <w:rFonts w:ascii="Times New Roman" w:hAnsi="Times New Roman"/>
          <w:sz w:val="24"/>
          <w:szCs w:val="24"/>
        </w:rPr>
        <w:footnoteReference w:id="7"/>
      </w:r>
      <w:r>
        <w:rPr>
          <w:rFonts w:ascii="Times New Roman" w:hAnsi="Times New Roman"/>
          <w:color w:val="FF0000"/>
          <w:sz w:val="24"/>
          <w:szCs w:val="24"/>
        </w:rPr>
        <w:t xml:space="preserve">  </w:t>
      </w:r>
      <w:r>
        <w:rPr>
          <w:rFonts w:ascii="Times New Roman" w:hAnsi="Times New Roman" w:cs="Times New Roman"/>
          <w:sz w:val="24"/>
          <w:szCs w:val="24"/>
        </w:rPr>
        <w:t xml:space="preserve">OCC hereby submits its Reply to the Joint Memo Contra </w:t>
      </w:r>
      <w:r w:rsidRPr="00135C77">
        <w:rPr>
          <w:rFonts w:ascii="Times New Roman" w:hAnsi="Times New Roman"/>
          <w:sz w:val="24"/>
          <w:szCs w:val="24"/>
        </w:rPr>
        <w:t xml:space="preserve">filed by </w:t>
      </w:r>
      <w:r>
        <w:rPr>
          <w:rFonts w:ascii="Times New Roman" w:hAnsi="Times New Roman"/>
          <w:sz w:val="24"/>
          <w:szCs w:val="24"/>
        </w:rPr>
        <w:t>Marketers</w:t>
      </w:r>
      <w:r w:rsidRPr="00135C77">
        <w:rPr>
          <w:rFonts w:ascii="Times New Roman" w:hAnsi="Times New Roman"/>
          <w:sz w:val="24"/>
          <w:szCs w:val="24"/>
        </w:rPr>
        <w:t xml:space="preserve"> and the Response filed by Dominion</w:t>
      </w:r>
      <w:r w:rsidRPr="00135C77">
        <w:rPr>
          <w:rFonts w:ascii="Times New Roman" w:hAnsi="Times New Roman" w:cs="Times New Roman"/>
          <w:sz w:val="24"/>
          <w:szCs w:val="24"/>
        </w:rPr>
        <w:t>.</w:t>
      </w:r>
    </w:p>
    <w:p w:rsidR="000B618B" w:rsidP="00411485">
      <w:pPr>
        <w:numPr>
          <w:ilvl w:val="0"/>
          <w:numId w:val="1"/>
        </w:numPr>
        <w:autoSpaceDE w:val="0"/>
        <w:autoSpaceDN w:val="0"/>
        <w:adjustRightInd w:val="0"/>
        <w:spacing w:before="240" w:after="0" w:line="480" w:lineRule="auto"/>
        <w:ind w:left="720"/>
        <w:rPr>
          <w:rFonts w:ascii="Times New Roman" w:hAnsi="Times New Roman" w:cs="Times New Roman"/>
          <w:b/>
          <w:sz w:val="24"/>
          <w:szCs w:val="24"/>
        </w:rPr>
      </w:pPr>
      <w:r>
        <w:rPr>
          <w:rFonts w:ascii="Times New Roman" w:hAnsi="Times New Roman" w:cs="Times New Roman"/>
          <w:b/>
          <w:sz w:val="24"/>
          <w:szCs w:val="24"/>
        </w:rPr>
        <w:t>RECOMMENDATIONS</w:t>
      </w:r>
    </w:p>
    <w:p w:rsidR="000B618B" w:rsidRPr="000B618B" w:rsidP="00132E66">
      <w:pPr>
        <w:pStyle w:val="ListParagraph"/>
        <w:numPr>
          <w:ilvl w:val="0"/>
          <w:numId w:val="3"/>
        </w:numPr>
        <w:autoSpaceDE w:val="0"/>
        <w:autoSpaceDN w:val="0"/>
        <w:adjustRightInd w:val="0"/>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Marketers do not contest that the use of the Monthly Variable Rate, harms residential customers.</w:t>
      </w:r>
    </w:p>
    <w:p w:rsidR="000B618B" w:rsidP="007249C6">
      <w:pPr>
        <w:autoSpaceDE w:val="0"/>
        <w:autoSpaceDN w:val="0"/>
        <w:adjustRightInd w:val="0"/>
        <w:spacing w:after="0" w:line="240" w:lineRule="auto"/>
        <w:rPr>
          <w:rFonts w:ascii="Times New Roman" w:hAnsi="Times New Roman" w:cs="Times New Roman"/>
          <w:b/>
          <w:sz w:val="24"/>
          <w:szCs w:val="24"/>
        </w:rPr>
      </w:pPr>
    </w:p>
    <w:p w:rsidR="00CA4049" w:rsidP="007249C6">
      <w:pPr>
        <w:autoSpaceDE w:val="0"/>
        <w:autoSpaceDN w:val="0"/>
        <w:adjustRightInd w:val="0"/>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ab/>
      </w:r>
      <w:r w:rsidRPr="008C73EC">
        <w:rPr>
          <w:rFonts w:ascii="Times New Roman" w:hAnsi="Times New Roman" w:cs="Times New Roman"/>
          <w:sz w:val="24"/>
          <w:szCs w:val="24"/>
        </w:rPr>
        <w:t>I</w:t>
      </w:r>
      <w:r>
        <w:rPr>
          <w:rFonts w:ascii="Times New Roman" w:hAnsi="Times New Roman" w:cs="Times New Roman"/>
          <w:sz w:val="24"/>
          <w:szCs w:val="24"/>
        </w:rPr>
        <w:t xml:space="preserve">n the Joint Memo Contra, Marketers only on a cursory level address the merits of OCC’s central contention: that modification of the 2013 Order is necessary to protect customers from </w:t>
      </w:r>
      <w:r>
        <w:rPr>
          <w:rFonts w:ascii="Times New Roman" w:hAnsi="Times New Roman" w:cs="Times New Roman"/>
          <w:sz w:val="24"/>
          <w:szCs w:val="24"/>
        </w:rPr>
        <w:t>unreasonably priced natural gas service under the MVR.</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Rather than discuss the MVR and the effect it has on Ohio’s residential customers, Marketers erroneously contend that OCC’s position does not further state policy.  Specifically, the Joint Memo Contra argues that OCC is charged with following the </w:t>
      </w:r>
      <w:r>
        <w:rPr>
          <w:rFonts w:ascii="Times New Roman" w:hAnsi="Times New Roman" w:cs="Times New Roman"/>
          <w:color w:val="000000"/>
          <w:sz w:val="24"/>
          <w:szCs w:val="24"/>
          <w:shd w:val="clear" w:color="auto" w:fill="FFFFFF"/>
        </w:rPr>
        <w:t>directive in R.C. 4929.02 to promote a transition to effective competition to reduce or eliminate the need for regulation of natural gas services and goods rather than advocate for the return to the SCO as a default service.</w:t>
      </w:r>
      <w:r>
        <w:rPr>
          <w:rStyle w:val="FootnoteReference"/>
          <w:rFonts w:ascii="Times New Roman" w:hAnsi="Times New Roman" w:cs="Times New Roman"/>
          <w:color w:val="000000"/>
          <w:sz w:val="24"/>
          <w:szCs w:val="24"/>
          <w:shd w:val="clear" w:color="auto" w:fill="FFFFFF"/>
        </w:rPr>
        <w:footnoteReference w:id="9"/>
      </w:r>
      <w:r>
        <w:rPr>
          <w:rFonts w:ascii="Times New Roman" w:hAnsi="Times New Roman" w:cs="Times New Roman"/>
          <w:color w:val="000000"/>
          <w:sz w:val="24"/>
          <w:szCs w:val="24"/>
          <w:shd w:val="clear" w:color="auto" w:fill="FFFFFF"/>
        </w:rPr>
        <w:t xml:space="preserve">  </w:t>
      </w:r>
    </w:p>
    <w:p w:rsidR="00826CA6" w:rsidP="007249C6">
      <w:pPr>
        <w:autoSpaceDE w:val="0"/>
        <w:autoSpaceDN w:val="0"/>
        <w:adjustRightInd w:val="0"/>
        <w:spacing w:after="0"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argument is defective for two reasons.  First, this is exactly what OCC is doing. OCC </w:t>
      </w:r>
      <w:r w:rsidRPr="00A10F50">
        <w:rPr>
          <w:rFonts w:ascii="Times New Roman" w:hAnsi="Times New Roman" w:cs="Times New Roman"/>
          <w:i/>
          <w:color w:val="000000"/>
          <w:sz w:val="24"/>
          <w:szCs w:val="24"/>
          <w:shd w:val="clear" w:color="auto" w:fill="FFFFFF"/>
        </w:rPr>
        <w:t>is</w:t>
      </w:r>
      <w:r>
        <w:rPr>
          <w:rFonts w:ascii="Times New Roman" w:hAnsi="Times New Roman" w:cs="Times New Roman"/>
          <w:color w:val="000000"/>
          <w:sz w:val="24"/>
          <w:szCs w:val="24"/>
          <w:shd w:val="clear" w:color="auto" w:fill="FFFFFF"/>
        </w:rPr>
        <w:t xml:space="preserve"> supporting the policy to promote </w:t>
      </w:r>
      <w:r>
        <w:rPr>
          <w:rFonts w:ascii="Times New Roman" w:hAnsi="Times New Roman" w:cs="Times New Roman"/>
          <w:i/>
          <w:color w:val="000000"/>
          <w:sz w:val="24"/>
          <w:szCs w:val="24"/>
          <w:shd w:val="clear" w:color="auto" w:fill="FFFFFF"/>
        </w:rPr>
        <w:t>effective competition.</w:t>
      </w:r>
      <w:r>
        <w:rPr>
          <w:rFonts w:ascii="Times New Roman" w:hAnsi="Times New Roman" w:cs="Times New Roman"/>
          <w:color w:val="000000"/>
          <w:sz w:val="24"/>
          <w:szCs w:val="24"/>
          <w:shd w:val="clear" w:color="auto" w:fill="FFFFFF"/>
        </w:rPr>
        <w:t xml:space="preserve">  Second, the argument fails to acknowledge any of the other state policies set forth in R.C. 4929.02, including the state policy to “[p]romote the availability to consumers of adequate, reliable, </w:t>
      </w:r>
      <w:r>
        <w:rPr>
          <w:rFonts w:ascii="Times New Roman" w:hAnsi="Times New Roman" w:cs="Times New Roman"/>
          <w:i/>
          <w:color w:val="000000"/>
          <w:sz w:val="24"/>
          <w:szCs w:val="24"/>
          <w:shd w:val="clear" w:color="auto" w:fill="FFFFFF"/>
        </w:rPr>
        <w:t>and reasonably priced</w:t>
      </w:r>
      <w:r>
        <w:rPr>
          <w:rFonts w:ascii="Times New Roman" w:hAnsi="Times New Roman" w:cs="Times New Roman"/>
          <w:color w:val="000000"/>
          <w:sz w:val="24"/>
          <w:szCs w:val="24"/>
          <w:shd w:val="clear" w:color="auto" w:fill="FFFFFF"/>
        </w:rPr>
        <w:t xml:space="preserve"> natural gas services and goods.”</w:t>
      </w:r>
      <w:r>
        <w:rPr>
          <w:rStyle w:val="FootnoteReference"/>
          <w:rFonts w:ascii="Times New Roman" w:hAnsi="Times New Roman" w:cs="Times New Roman"/>
          <w:color w:val="000000"/>
          <w:sz w:val="24"/>
          <w:szCs w:val="24"/>
          <w:shd w:val="clear" w:color="auto" w:fill="FFFFFF"/>
        </w:rPr>
        <w:footnoteReference w:id="10"/>
      </w:r>
    </w:p>
    <w:p w:rsidR="00D4666D" w:rsidP="007249C6">
      <w:pPr>
        <w:autoSpaceDE w:val="0"/>
        <w:autoSpaceDN w:val="0"/>
        <w:adjustRightInd w:val="0"/>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The Joint Memo Contra does not provide a shred of evidence for its contention that OCC is failing to promote effective competition.  In making this claim, Marketers completely ignore the portions of OCC’s Motion to Protect Consumers that directly address that very policy.  OCC plainly stated that if the MVR ended and the SCO reinstated, “consumers would be protected </w:t>
      </w:r>
      <w:r>
        <w:rPr>
          <w:rFonts w:ascii="Times New Roman" w:hAnsi="Times New Roman" w:cs="Times New Roman"/>
          <w:i/>
          <w:color w:val="000000"/>
          <w:sz w:val="24"/>
          <w:szCs w:val="24"/>
          <w:shd w:val="clear" w:color="auto" w:fill="FFFFFF"/>
        </w:rPr>
        <w:t>without making the market less competitive</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11"/>
      </w:r>
      <w:r>
        <w:rPr>
          <w:rFonts w:ascii="Times New Roman" w:hAnsi="Times New Roman" w:cs="Times New Roman"/>
          <w:color w:val="000000"/>
          <w:sz w:val="24"/>
          <w:szCs w:val="24"/>
          <w:shd w:val="clear" w:color="auto" w:fill="FFFFFF"/>
        </w:rPr>
        <w:t xml:space="preserve">  OCC also pointed out that the SCO is competitively bid, providing for </w:t>
      </w:r>
      <w:r w:rsidRPr="00997F10">
        <w:rPr>
          <w:rFonts w:ascii="Times New Roman" w:hAnsi="Times New Roman" w:cs="Times New Roman"/>
          <w:i/>
          <w:color w:val="000000"/>
          <w:sz w:val="24"/>
          <w:szCs w:val="24"/>
          <w:shd w:val="clear" w:color="auto" w:fill="FFFFFF"/>
        </w:rPr>
        <w:t>effective competition</w:t>
      </w:r>
      <w:r>
        <w:rPr>
          <w:rFonts w:ascii="Times New Roman" w:hAnsi="Times New Roman" w:cs="Times New Roman"/>
          <w:color w:val="000000"/>
          <w:sz w:val="24"/>
          <w:szCs w:val="24"/>
          <w:shd w:val="clear" w:color="auto" w:fill="FFFFFF"/>
        </w:rPr>
        <w:t xml:space="preserve"> in the market for natural gas services.</w:t>
      </w:r>
      <w:r>
        <w:rPr>
          <w:rStyle w:val="FootnoteReference"/>
          <w:rFonts w:ascii="Times New Roman" w:hAnsi="Times New Roman" w:cs="Times New Roman"/>
          <w:color w:val="000000"/>
          <w:sz w:val="24"/>
          <w:szCs w:val="24"/>
          <w:shd w:val="clear" w:color="auto" w:fill="FFFFFF"/>
        </w:rPr>
        <w:footnoteReference w:id="12"/>
      </w:r>
      <w:r>
        <w:rPr>
          <w:rFonts w:ascii="Times New Roman" w:hAnsi="Times New Roman" w:cs="Times New Roman"/>
          <w:color w:val="000000"/>
          <w:sz w:val="24"/>
          <w:szCs w:val="24"/>
          <w:shd w:val="clear" w:color="auto" w:fill="FFFFFF"/>
        </w:rPr>
        <w:t xml:space="preserve">  OCC further contended that if gas marketers were forced to compete with the competitively-bid SCO rather than the MVR, they would be better incentivized to lower their rates and/or improve their service, thus achieving the objectives intended by the Ohio Legislature – promoting </w:t>
      </w:r>
      <w:r w:rsidRPr="00997F10">
        <w:rPr>
          <w:rFonts w:ascii="Times New Roman" w:hAnsi="Times New Roman" w:cs="Times New Roman"/>
          <w:i/>
          <w:color w:val="000000"/>
          <w:sz w:val="24"/>
          <w:szCs w:val="24"/>
          <w:shd w:val="clear" w:color="auto" w:fill="FFFFFF"/>
        </w:rPr>
        <w:t xml:space="preserve">effective competition </w:t>
      </w:r>
      <w:r>
        <w:rPr>
          <w:rFonts w:ascii="Times New Roman" w:hAnsi="Times New Roman" w:cs="Times New Roman"/>
          <w:color w:val="000000"/>
          <w:sz w:val="24"/>
          <w:szCs w:val="24"/>
          <w:shd w:val="clear" w:color="auto" w:fill="FFFFFF"/>
        </w:rPr>
        <w:t>in natural gas services market.</w:t>
      </w:r>
      <w:r>
        <w:rPr>
          <w:rStyle w:val="FootnoteReference"/>
          <w:rFonts w:ascii="Times New Roman" w:hAnsi="Times New Roman" w:cs="Times New Roman"/>
          <w:color w:val="000000"/>
          <w:sz w:val="24"/>
          <w:szCs w:val="24"/>
          <w:shd w:val="clear" w:color="auto" w:fill="FFFFFF"/>
        </w:rPr>
        <w:footnoteReference w:id="13"/>
      </w:r>
      <w:r>
        <w:rPr>
          <w:rFonts w:ascii="Times New Roman" w:hAnsi="Times New Roman" w:cs="Times New Roman"/>
          <w:color w:val="000000"/>
          <w:sz w:val="24"/>
          <w:szCs w:val="24"/>
          <w:shd w:val="clear" w:color="auto" w:fill="FFFFFF"/>
        </w:rPr>
        <w:t xml:space="preserve">  In fact, as OCC stated in its Motion to Protect Consumers, it is actually the MVR that is hindering competition in Dominion’s service territory by allowing gas marketers to serve customers (by default) at prices that are not competitively bid. </w:t>
      </w:r>
      <w:r>
        <w:rPr>
          <w:rStyle w:val="FootnoteReference"/>
          <w:rFonts w:ascii="Times New Roman" w:hAnsi="Times New Roman" w:cs="Times New Roman"/>
          <w:color w:val="000000"/>
          <w:sz w:val="24"/>
          <w:szCs w:val="24"/>
          <w:shd w:val="clear" w:color="auto" w:fill="FFFFFF"/>
        </w:rPr>
        <w:footnoteReference w:id="14"/>
      </w:r>
    </w:p>
    <w:p w:rsidR="00217EE4" w:rsidP="007249C6">
      <w:pPr>
        <w:autoSpaceDE w:val="0"/>
        <w:autoSpaceDN w:val="0"/>
        <w:adjustRightInd w:val="0"/>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Furthermore, the Joint Memo Contra does not address any of the other state policies set forth in R.C. 4929.02, including the policy to ensure that customers have access to </w:t>
      </w:r>
      <w:r w:rsidRPr="00C65B94">
        <w:rPr>
          <w:rFonts w:ascii="Times New Roman" w:hAnsi="Times New Roman" w:cs="Times New Roman"/>
          <w:i/>
          <w:color w:val="000000"/>
          <w:sz w:val="24"/>
          <w:szCs w:val="24"/>
          <w:shd w:val="clear" w:color="auto" w:fill="FFFFFF"/>
        </w:rPr>
        <w:t>reasonably priced</w:t>
      </w:r>
      <w:r>
        <w:rPr>
          <w:rFonts w:ascii="Times New Roman" w:hAnsi="Times New Roman" w:cs="Times New Roman"/>
          <w:color w:val="000000"/>
          <w:sz w:val="24"/>
          <w:szCs w:val="24"/>
          <w:shd w:val="clear" w:color="auto" w:fill="FFFFFF"/>
        </w:rPr>
        <w:t xml:space="preserve"> natural gas services and goods.</w:t>
      </w:r>
      <w:r>
        <w:rPr>
          <w:rStyle w:val="FootnoteReference"/>
          <w:rFonts w:ascii="Times New Roman" w:hAnsi="Times New Roman" w:cs="Times New Roman"/>
          <w:color w:val="000000"/>
          <w:sz w:val="24"/>
          <w:szCs w:val="24"/>
          <w:shd w:val="clear" w:color="auto" w:fill="FFFFFF"/>
        </w:rPr>
        <w:footnoteReference w:id="15"/>
      </w:r>
      <w:r>
        <w:rPr>
          <w:rFonts w:ascii="Times New Roman" w:hAnsi="Times New Roman" w:cs="Times New Roman"/>
          <w:color w:val="000000"/>
          <w:sz w:val="24"/>
          <w:szCs w:val="24"/>
          <w:shd w:val="clear" w:color="auto" w:fill="FFFFFF"/>
        </w:rPr>
        <w:t xml:space="preserve">  OCC discussed, at great length, the unreasonable prices charged to customers as a result of the use of the MVR rather than the SCO as the default for choice-eligible residential customers.</w:t>
      </w:r>
      <w:r>
        <w:rPr>
          <w:rStyle w:val="FootnoteReference"/>
          <w:rFonts w:ascii="Times New Roman" w:hAnsi="Times New Roman" w:cs="Times New Roman"/>
          <w:color w:val="000000"/>
          <w:sz w:val="24"/>
          <w:szCs w:val="24"/>
          <w:shd w:val="clear" w:color="auto" w:fill="FFFFFF"/>
        </w:rPr>
        <w:footnoteReference w:id="16"/>
      </w:r>
      <w:r>
        <w:rPr>
          <w:rFonts w:ascii="Times New Roman" w:hAnsi="Times New Roman" w:cs="Times New Roman"/>
          <w:color w:val="000000"/>
          <w:sz w:val="24"/>
          <w:szCs w:val="24"/>
          <w:shd w:val="clear" w:color="auto" w:fill="FFFFFF"/>
        </w:rPr>
        <w:t xml:space="preserve">  Residential customers can unwittingly be sent to a random gas marketer’s MVR, with no protection to ensure that their gas marketer has the lowest MVR rate at that time or even a competitive rate.  This essentially ensures that at least some residential customers will be paying unreasonable prices for their natural gas services.</w:t>
      </w:r>
      <w:r>
        <w:rPr>
          <w:rStyle w:val="FootnoteReference"/>
          <w:rFonts w:ascii="Times New Roman" w:hAnsi="Times New Roman" w:cs="Times New Roman"/>
          <w:color w:val="000000"/>
          <w:sz w:val="24"/>
          <w:szCs w:val="24"/>
          <w:shd w:val="clear" w:color="auto" w:fill="FFFFFF"/>
        </w:rPr>
        <w:footnoteReference w:id="17"/>
      </w:r>
      <w:r>
        <w:rPr>
          <w:rFonts w:ascii="Times New Roman" w:hAnsi="Times New Roman" w:cs="Times New Roman"/>
          <w:color w:val="000000"/>
          <w:sz w:val="24"/>
          <w:szCs w:val="24"/>
          <w:shd w:val="clear" w:color="auto" w:fill="FFFFFF"/>
        </w:rPr>
        <w:t xml:space="preserve">  OCC noted that, in some cases, a residential customer could end up paying an additional $51 in a single month under the MVR instead of the SCO.</w:t>
      </w:r>
      <w:r>
        <w:rPr>
          <w:rStyle w:val="FootnoteReference"/>
          <w:rFonts w:ascii="Times New Roman" w:hAnsi="Times New Roman" w:cs="Times New Roman"/>
          <w:color w:val="000000"/>
          <w:sz w:val="24"/>
          <w:szCs w:val="24"/>
          <w:shd w:val="clear" w:color="auto" w:fill="FFFFFF"/>
        </w:rPr>
        <w:footnoteReference w:id="18"/>
      </w:r>
      <w:r>
        <w:rPr>
          <w:rFonts w:ascii="Times New Roman" w:hAnsi="Times New Roman" w:cs="Times New Roman"/>
          <w:color w:val="000000"/>
          <w:sz w:val="24"/>
          <w:szCs w:val="24"/>
          <w:shd w:val="clear" w:color="auto" w:fill="FFFFFF"/>
        </w:rPr>
        <w:t xml:space="preserve">  This unreasonable, uncompetitive rate directly contradicts the state policy articulated in R.C. 4929.02(1). </w:t>
      </w:r>
    </w:p>
    <w:p w:rsidR="00135C77" w:rsidP="007249C6">
      <w:pPr>
        <w:autoSpaceDE w:val="0"/>
        <w:autoSpaceDN w:val="0"/>
        <w:adjustRightInd w:val="0"/>
        <w:spacing w:after="0" w:line="480" w:lineRule="auto"/>
        <w:rPr>
          <w:rFonts w:ascii="Times New Roman" w:hAnsi="Times New Roman" w:cs="Times New Roman"/>
          <w:b/>
          <w:sz w:val="24"/>
          <w:szCs w:val="24"/>
        </w:rPr>
      </w:pPr>
      <w:r w:rsidRPr="0085511E">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 xml:space="preserve">Marketers </w:t>
      </w:r>
      <w:r w:rsidRPr="0085511E">
        <w:rPr>
          <w:rFonts w:ascii="Times New Roman" w:hAnsi="Times New Roman" w:cs="Times New Roman"/>
          <w:color w:val="000000"/>
          <w:sz w:val="24"/>
          <w:szCs w:val="24"/>
          <w:shd w:val="clear" w:color="auto" w:fill="FFFFFF"/>
        </w:rPr>
        <w:t xml:space="preserve">also fail to recognize that R.C. 4929.02(2) promotes the availability of unbundled and </w:t>
      </w:r>
      <w:r w:rsidRPr="0085511E">
        <w:rPr>
          <w:rFonts w:ascii="Times New Roman" w:hAnsi="Times New Roman" w:cs="Times New Roman"/>
          <w:i/>
          <w:color w:val="000000"/>
          <w:sz w:val="24"/>
          <w:szCs w:val="24"/>
          <w:shd w:val="clear" w:color="auto" w:fill="FFFFFF"/>
        </w:rPr>
        <w:t xml:space="preserve">comparable </w:t>
      </w:r>
      <w:r w:rsidRPr="0085511E">
        <w:rPr>
          <w:rFonts w:ascii="Times New Roman" w:hAnsi="Times New Roman" w:cs="Times New Roman"/>
          <w:color w:val="000000"/>
          <w:sz w:val="24"/>
          <w:szCs w:val="24"/>
          <w:shd w:val="clear" w:color="auto" w:fill="FFFFFF"/>
        </w:rPr>
        <w:t>natural gas services and goods that provide wholesale and retail consumers with the supplier, price, terms, conditions</w:t>
      </w:r>
      <w:r>
        <w:rPr>
          <w:rFonts w:ascii="Times New Roman" w:hAnsi="Times New Roman" w:cs="Times New Roman"/>
          <w:color w:val="000000"/>
          <w:sz w:val="24"/>
          <w:szCs w:val="24"/>
          <w:shd w:val="clear" w:color="auto" w:fill="FFFFFF"/>
        </w:rPr>
        <w:t>,</w:t>
      </w:r>
      <w:r w:rsidRPr="0085511E">
        <w:rPr>
          <w:rFonts w:ascii="Times New Roman" w:hAnsi="Times New Roman" w:cs="Times New Roman"/>
          <w:color w:val="000000"/>
          <w:sz w:val="24"/>
          <w:szCs w:val="24"/>
          <w:shd w:val="clear" w:color="auto" w:fill="FFFFFF"/>
        </w:rPr>
        <w:t xml:space="preserve"> and </w:t>
      </w:r>
      <w:r w:rsidRPr="00B03C0F">
        <w:rPr>
          <w:rFonts w:ascii="Times New Roman" w:hAnsi="Times New Roman" w:cs="Times New Roman"/>
          <w:color w:val="000000"/>
          <w:sz w:val="24"/>
          <w:szCs w:val="24"/>
          <w:shd w:val="clear" w:color="auto" w:fill="FFFFFF"/>
        </w:rPr>
        <w:t>quality options</w:t>
      </w:r>
      <w:r w:rsidRPr="0085511E">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they elect </w:t>
      </w:r>
      <w:r w:rsidRPr="0085511E">
        <w:rPr>
          <w:rFonts w:ascii="Times New Roman" w:hAnsi="Times New Roman" w:cs="Times New Roman"/>
          <w:color w:val="000000"/>
          <w:sz w:val="24"/>
          <w:szCs w:val="24"/>
          <w:shd w:val="clear" w:color="auto" w:fill="FFFFFF"/>
        </w:rPr>
        <w:t xml:space="preserve">to meet their respective needs.  R.C. 4929.02(3) also encourages innovation and market access for </w:t>
      </w:r>
      <w:r w:rsidRPr="0085511E">
        <w:rPr>
          <w:rFonts w:ascii="Times New Roman" w:hAnsi="Times New Roman" w:cs="Times New Roman"/>
          <w:i/>
          <w:color w:val="000000"/>
          <w:sz w:val="24"/>
          <w:szCs w:val="24"/>
          <w:shd w:val="clear" w:color="auto" w:fill="FFFFFF"/>
        </w:rPr>
        <w:t>cost-effective</w:t>
      </w:r>
      <w:r w:rsidRPr="0085511E">
        <w:rPr>
          <w:rFonts w:ascii="Times New Roman" w:hAnsi="Times New Roman" w:cs="Times New Roman"/>
          <w:color w:val="000000"/>
          <w:sz w:val="24"/>
          <w:szCs w:val="24"/>
          <w:shd w:val="clear" w:color="auto" w:fill="FFFFFF"/>
        </w:rPr>
        <w:t xml:space="preserve"> supply-</w:t>
      </w:r>
      <w:r>
        <w:rPr>
          <w:rFonts w:ascii="Times New Roman" w:hAnsi="Times New Roman" w:cs="Times New Roman"/>
          <w:color w:val="000000"/>
          <w:sz w:val="24"/>
          <w:szCs w:val="24"/>
          <w:shd w:val="clear" w:color="auto" w:fill="FFFFFF"/>
        </w:rPr>
        <w:t xml:space="preserve"> </w:t>
      </w:r>
      <w:r w:rsidRPr="0085511E">
        <w:rPr>
          <w:rFonts w:ascii="Times New Roman" w:hAnsi="Times New Roman" w:cs="Times New Roman"/>
          <w:color w:val="000000"/>
          <w:sz w:val="24"/>
          <w:szCs w:val="24"/>
          <w:shd w:val="clear" w:color="auto" w:fill="FFFFFF"/>
        </w:rPr>
        <w:t xml:space="preserve">and demand-side gas services and goods.  </w:t>
      </w:r>
      <w:r w:rsidRPr="0085511E">
        <w:rPr>
          <w:rFonts w:ascii="Times New Roman" w:hAnsi="Times New Roman" w:cs="Times New Roman"/>
          <w:sz w:val="24"/>
          <w:szCs w:val="24"/>
        </w:rPr>
        <w:t>R.C. 4929.02(8)</w:t>
      </w:r>
      <w:r>
        <w:rPr>
          <w:rFonts w:ascii="Times New Roman" w:hAnsi="Times New Roman" w:cs="Times New Roman"/>
          <w:sz w:val="24"/>
          <w:szCs w:val="24"/>
        </w:rPr>
        <w:t xml:space="preserve"> promotes </w:t>
      </w:r>
      <w:r w:rsidRPr="0085511E">
        <w:rPr>
          <w:rFonts w:ascii="Times New Roman" w:hAnsi="Times New Roman" w:cs="Times New Roman"/>
          <w:i/>
          <w:sz w:val="24"/>
          <w:szCs w:val="24"/>
        </w:rPr>
        <w:t>effective competition</w:t>
      </w:r>
      <w:r>
        <w:rPr>
          <w:rFonts w:ascii="Times New Roman" w:hAnsi="Times New Roman" w:cs="Times New Roman"/>
          <w:sz w:val="24"/>
          <w:szCs w:val="24"/>
        </w:rPr>
        <w:t xml:space="preserve"> by prohibiting s</w:t>
      </w:r>
      <w:r w:rsidRPr="0085511E">
        <w:rPr>
          <w:rFonts w:ascii="Times New Roman" w:hAnsi="Times New Roman" w:cs="Times New Roman"/>
          <w:sz w:val="24"/>
          <w:szCs w:val="24"/>
        </w:rPr>
        <w:t>ubsid</w:t>
      </w:r>
      <w:r>
        <w:rPr>
          <w:rFonts w:ascii="Times New Roman" w:hAnsi="Times New Roman" w:cs="Times New Roman"/>
          <w:sz w:val="24"/>
          <w:szCs w:val="24"/>
        </w:rPr>
        <w:t>ies.</w:t>
      </w:r>
      <w:r w:rsidRPr="0085511E">
        <w:rPr>
          <w:rFonts w:ascii="Times New Roman" w:hAnsi="Times New Roman" w:cs="Times New Roman"/>
          <w:sz w:val="24"/>
          <w:szCs w:val="24"/>
        </w:rPr>
        <w:t xml:space="preserve"> </w:t>
      </w:r>
      <w:r>
        <w:rPr>
          <w:rFonts w:ascii="Times New Roman" w:hAnsi="Times New Roman" w:cs="Times New Roman"/>
          <w:sz w:val="24"/>
          <w:szCs w:val="24"/>
        </w:rPr>
        <w:t xml:space="preserve"> By forcing customers to take service from a gas marketer at a considerably higher rate, the MVR does not further these state policies.  On the other hand, </w:t>
      </w:r>
      <w:r>
        <w:rPr>
          <w:rFonts w:ascii="Times New Roman" w:hAnsi="Times New Roman" w:cs="Times New Roman"/>
          <w:color w:val="000000"/>
          <w:sz w:val="24"/>
          <w:szCs w:val="24"/>
          <w:shd w:val="clear" w:color="auto" w:fill="FFFFFF"/>
        </w:rPr>
        <w:t xml:space="preserve">OCC directly supports all of these state policies through its Motion to Protect Consumers. </w:t>
      </w:r>
    </w:p>
    <w:p w:rsidR="000B618B" w:rsidP="00132E66">
      <w:pPr>
        <w:numPr>
          <w:ilvl w:val="0"/>
          <w:numId w:val="3"/>
        </w:numPr>
        <w:autoSpaceDE w:val="0"/>
        <w:autoSpaceDN w:val="0"/>
        <w:adjustRightInd w:val="0"/>
        <w:spacing w:after="240" w:line="240" w:lineRule="auto"/>
        <w:ind w:left="1440" w:hanging="720"/>
        <w:rPr>
          <w:rFonts w:ascii="Times New Roman" w:hAnsi="Times New Roman" w:cs="Times New Roman"/>
          <w:b/>
          <w:sz w:val="24"/>
          <w:szCs w:val="24"/>
        </w:rPr>
      </w:pPr>
      <w:r>
        <w:rPr>
          <w:rFonts w:ascii="Times New Roman" w:hAnsi="Times New Roman" w:cs="Times New Roman"/>
          <w:b/>
          <w:sz w:val="24"/>
          <w:szCs w:val="24"/>
        </w:rPr>
        <w:t xml:space="preserve">OCC’s Motion to Protect Residential Consumers is timely under R.C. 4929.08(A). </w:t>
      </w:r>
    </w:p>
    <w:p w:rsidR="00DA6981" w:rsidP="007249C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Joint Memo Contra does not seem to dispute that the modification OCC requested is in the public interest and the underlying findings on which the exemption was created and continued for residential customers are no longer valid.  Instead, the bulk of the Joint Memo Contra is devoted to the procedural argument that OCC’s filing is untimely because it asks the PUCO to modify a 2008 Order.</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Thus, the Joint Memo Contra contends, the Motion to Protect Consumers is not permitted under R.C. 4929.08(A)(2).</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132E66" w:rsidP="007249C6">
      <w:pPr>
        <w:autoSpaceDE w:val="0"/>
        <w:autoSpaceDN w:val="0"/>
        <w:adjustRightInd w:val="0"/>
        <w:spacing w:after="0" w:line="480" w:lineRule="auto"/>
        <w:ind w:firstLine="720"/>
        <w:rPr>
          <w:rFonts w:ascii="Times New Roman" w:hAnsi="Times New Roman" w:cs="Times New Roman"/>
          <w:sz w:val="24"/>
          <w:szCs w:val="24"/>
        </w:rPr>
        <w:sectPr w:rsidSect="00AE0E26">
          <w:footerReference w:type="default" r:id="rId5"/>
          <w:footerReference w:type="first" r:id="rId6"/>
          <w:pgSz w:w="12240" w:h="15840"/>
          <w:pgMar w:top="1440" w:right="1440" w:bottom="1440" w:left="1440" w:header="720" w:footer="720" w:gutter="0"/>
          <w:cols w:space="720"/>
          <w:noEndnote/>
          <w:titlePg/>
          <w:docGrid w:linePitch="299"/>
        </w:sectPr>
      </w:pPr>
      <w:r>
        <w:rPr>
          <w:rFonts w:ascii="Times New Roman" w:hAnsi="Times New Roman" w:cs="Times New Roman"/>
          <w:sz w:val="24"/>
          <w:szCs w:val="24"/>
        </w:rPr>
        <w:t>This argument however, misstates the scope of the 2013 Order, which OCC seeks to timely modify.  Like the 2008 Order, the 2013 Order approved a continuation, albeit modified, of Dominion’s exit from the merchant function.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The June 15, 2012 Stipulation approved by the PUCO in the 2013 Order addressed Dominion’s exit from the merchant function with regard to residential customers.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The 2013 Order specifically notes that the Ohio Gas Marketers’ Group (“OGMG”) and RESA supported the proposed modification to the exemption as the modification would benefit all customers, not just non-residential customers: </w:t>
      </w:r>
    </w:p>
    <w:p w:rsidR="007B6F12" w:rsidP="00132E66">
      <w:pPr>
        <w:autoSpaceDE w:val="0"/>
        <w:autoSpaceDN w:val="0"/>
        <w:adjustRightInd w:val="0"/>
        <w:spacing w:after="0" w:line="240" w:lineRule="auto"/>
        <w:ind w:left="1440" w:right="1440"/>
        <w:rPr>
          <w:rFonts w:ascii="Times New Roman" w:hAnsi="Times New Roman" w:cs="Times New Roman"/>
          <w:sz w:val="24"/>
          <w:szCs w:val="24"/>
        </w:rPr>
      </w:pPr>
      <w:r>
        <w:rPr>
          <w:rFonts w:ascii="Times New Roman" w:hAnsi="Times New Roman" w:cs="Times New Roman"/>
          <w:sz w:val="24"/>
          <w:szCs w:val="24"/>
        </w:rPr>
        <w:t xml:space="preserve">Specifically, Mr. Murphy testified that a core of </w:t>
      </w:r>
      <w:r w:rsidRPr="007B6F12">
        <w:rPr>
          <w:rFonts w:ascii="Times New Roman" w:hAnsi="Times New Roman" w:cs="Times New Roman"/>
          <w:i/>
          <w:sz w:val="24"/>
          <w:szCs w:val="24"/>
        </w:rPr>
        <w:t>nonresidential</w:t>
      </w:r>
      <w:r>
        <w:rPr>
          <w:rFonts w:ascii="Times New Roman" w:hAnsi="Times New Roman" w:cs="Times New Roman"/>
          <w:sz w:val="24"/>
          <w:szCs w:val="24"/>
        </w:rPr>
        <w:t xml:space="preserve"> customers have [sic] continued to rely on the SCO, thereby, hindering both DEO’s ability to fully exit the merchant function, and hindering the development of a more competitive market.  OGMG and RESA argue that this adverse effect not only affects DEO, but </w:t>
      </w:r>
      <w:r w:rsidRPr="007B6F12">
        <w:rPr>
          <w:rFonts w:ascii="Times New Roman" w:hAnsi="Times New Roman" w:cs="Times New Roman"/>
          <w:i/>
          <w:sz w:val="24"/>
          <w:szCs w:val="24"/>
        </w:rPr>
        <w:t>all customers</w:t>
      </w:r>
      <w:r>
        <w:rPr>
          <w:rFonts w:ascii="Times New Roman" w:hAnsi="Times New Roman" w:cs="Times New Roman"/>
          <w:sz w:val="24"/>
          <w:szCs w:val="24"/>
        </w:rPr>
        <w:t xml:space="preserve"> who could potentially be losing out.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7B6F12" w:rsidP="007249C6">
      <w:pPr>
        <w:autoSpaceDE w:val="0"/>
        <w:autoSpaceDN w:val="0"/>
        <w:adjustRightInd w:val="0"/>
        <w:spacing w:after="0" w:line="240" w:lineRule="auto"/>
        <w:ind w:left="720" w:right="720"/>
        <w:rPr>
          <w:rFonts w:ascii="Times New Roman" w:hAnsi="Times New Roman" w:cs="Times New Roman"/>
          <w:sz w:val="24"/>
          <w:szCs w:val="24"/>
        </w:rPr>
      </w:pPr>
    </w:p>
    <w:p w:rsidR="009D125B" w:rsidP="007249C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Additionally, when the PUCO approved the modification of Dominion’s plan for exiting the merchant function with regard to non-residential customers, it reaffirmed the remaining portions of that plan, including the random assignment of choice-eligible residential customers to the MVR, first articulated in the 2008 Order.</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Indeed, in the 2013 Order, the PUCO stated that it was not precluded from reestablishing the SCO if it determined that Dominion’s exit was “unjust or unreasonable </w:t>
      </w:r>
      <w:r>
        <w:rPr>
          <w:rFonts w:ascii="Times New Roman" w:hAnsi="Times New Roman" w:cs="Times New Roman"/>
          <w:i/>
          <w:sz w:val="24"/>
          <w:szCs w:val="24"/>
        </w:rPr>
        <w:t>for any customer class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p>
    <w:p w:rsidR="00135CDB" w:rsidP="007249C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R.C. 4929.08(A) permits the PUCO to modify an exemption granted to a natural gas company within eight years if the findings upon which the order was based are no longer valid and that the modification is in the public interest.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The PUCO’s statement, discussed above, explicitly provides that the 2013 Order was concerned with the effects of Dominion’s exit from the merchant function on all customer classes.  </w:t>
      </w:r>
    </w:p>
    <w:p w:rsidR="007A1C5A" w:rsidRPr="007A1C5A" w:rsidP="007249C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filed its Motion to Protect Consumers on March 9, 2018, five years and two months after the 2013 Order was issued and OCC has demonstrated that the rationale for providing an exemption with regard to residential customers is no longer valid and that the modification is in the public interest.  For these reasons, OCC has complied with R.C. 4929.08(A), and its Motion to Protect Consumers is timely. </w:t>
      </w:r>
    </w:p>
    <w:p w:rsidR="00217EE4" w:rsidRPr="00D0424C" w:rsidP="00132E66">
      <w:pPr>
        <w:numPr>
          <w:ilvl w:val="0"/>
          <w:numId w:val="3"/>
        </w:numPr>
        <w:autoSpaceDE w:val="0"/>
        <w:autoSpaceDN w:val="0"/>
        <w:adjustRightInd w:val="0"/>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 xml:space="preserve">OCC’s Motion to Protect Residential Consumers is also timely under R.C. 4929.08(B). </w:t>
      </w:r>
    </w:p>
    <w:p w:rsidR="00E43686" w:rsidP="007249C6">
      <w:pPr>
        <w:pStyle w:val="ListParagraph"/>
        <w:autoSpaceDE w:val="0"/>
        <w:autoSpaceDN w:val="0"/>
        <w:adjustRightInd w:val="0"/>
        <w:spacing w:after="0" w:line="240" w:lineRule="auto"/>
        <w:ind w:left="1440"/>
        <w:rPr>
          <w:rFonts w:ascii="Times New Roman" w:hAnsi="Times New Roman" w:cs="Times New Roman"/>
          <w:b/>
          <w:sz w:val="24"/>
          <w:szCs w:val="24"/>
        </w:rPr>
      </w:pPr>
    </w:p>
    <w:p w:rsidR="00E43686" w:rsidP="007249C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if the PUCO agrees with the Joint Memo Contra that OCC’s Motion to Protect Consumers is untimely, R.C. 4929.08(B) gives the PUCO authority to reinstate the SCO as the default mechanism for the assignment of choice-eligible residential customers who do not select a gas marketer on their own.  R.C. 4929.08(B) provides:</w:t>
      </w:r>
    </w:p>
    <w:p w:rsidR="00E43686" w:rsidP="00132E66">
      <w:pPr>
        <w:autoSpaceDE w:val="0"/>
        <w:autoSpaceDN w:val="0"/>
        <w:adjustRightInd w:val="0"/>
        <w:spacing w:after="0" w:line="240" w:lineRule="auto"/>
        <w:ind w:left="1440" w:right="1440"/>
        <w:rPr>
          <w:rFonts w:ascii="Times New Roman" w:hAnsi="Times New Roman" w:cs="Times New Roman"/>
          <w:sz w:val="24"/>
          <w:szCs w:val="24"/>
          <w:shd w:val="clear" w:color="auto" w:fill="FFFFFF"/>
        </w:rPr>
      </w:pPr>
      <w:r w:rsidRPr="00E43686">
        <w:rPr>
          <w:rFonts w:ascii="Times New Roman" w:hAnsi="Times New Roman" w:cs="Times New Roman"/>
          <w:sz w:val="24"/>
          <w:szCs w:val="24"/>
        </w:rPr>
        <w:t>A</w:t>
      </w:r>
      <w:r w:rsidRPr="00E43686">
        <w:rPr>
          <w:rFonts w:ascii="Times New Roman" w:hAnsi="Times New Roman" w:cs="Times New Roman"/>
          <w:sz w:val="24"/>
          <w:szCs w:val="24"/>
          <w:shd w:val="clear" w:color="auto" w:fill="FFFFFF"/>
        </w:rPr>
        <w:t xml:space="preserve">fter receiving an exemption or alternative rate regulation under section 4929.04 or 4929.05 of the Revised Code, no natural gas company shall implement the exemption or alternative rate regulation in a manner that violates the policy of this state specified in section 4929.02 of the Revised Code. </w:t>
      </w:r>
      <w:r w:rsidRPr="00135CDB">
        <w:rPr>
          <w:rFonts w:ascii="Times New Roman" w:hAnsi="Times New Roman" w:cs="Times New Roman"/>
          <w:i/>
          <w:sz w:val="24"/>
          <w:szCs w:val="24"/>
          <w:shd w:val="clear" w:color="auto" w:fill="FFFFFF"/>
        </w:rPr>
        <w:t>Notwithstanding division (A) of this section,</w:t>
      </w:r>
      <w:r w:rsidRPr="00E43686">
        <w:rPr>
          <w:rFonts w:ascii="Times New Roman" w:hAnsi="Times New Roman" w:cs="Times New Roman"/>
          <w:sz w:val="24"/>
          <w:szCs w:val="24"/>
          <w:shd w:val="clear" w:color="auto" w:fill="FFFFFF"/>
        </w:rPr>
        <w:t xml:space="preserve"> if the commission determines that a natural gas company granted such an exemption or alternative rate regulation </w:t>
      </w:r>
      <w:r w:rsidRPr="00135CDB">
        <w:rPr>
          <w:rFonts w:ascii="Times New Roman" w:hAnsi="Times New Roman" w:cs="Times New Roman"/>
          <w:i/>
          <w:sz w:val="24"/>
          <w:szCs w:val="24"/>
          <w:shd w:val="clear" w:color="auto" w:fill="FFFFFF"/>
        </w:rPr>
        <w:t>is not in substantial compliance with that policy</w:t>
      </w:r>
      <w:r w:rsidRPr="00E43686">
        <w:rPr>
          <w:rFonts w:ascii="Times New Roman" w:hAnsi="Times New Roman" w:cs="Times New Roman"/>
          <w:sz w:val="24"/>
          <w:szCs w:val="24"/>
          <w:shd w:val="clear" w:color="auto" w:fill="FFFFFF"/>
        </w:rPr>
        <w:t>, that the natural gas company is not in compliance with its alternative rate plan, or that the exemption or alternative rate regulation is affecting detrimentally the integrity or safety of the natural gas company</w:t>
      </w:r>
      <w:r>
        <w:rPr>
          <w:rFonts w:ascii="Times New Roman" w:hAnsi="Times New Roman" w:cs="Times New Roman"/>
          <w:sz w:val="24"/>
          <w:szCs w:val="24"/>
          <w:shd w:val="clear" w:color="auto" w:fill="FFFFFF"/>
        </w:rPr>
        <w:t>’</w:t>
      </w:r>
      <w:r w:rsidRPr="00E43686">
        <w:rPr>
          <w:rFonts w:ascii="Times New Roman" w:hAnsi="Times New Roman" w:cs="Times New Roman"/>
          <w:sz w:val="24"/>
          <w:szCs w:val="24"/>
          <w:shd w:val="clear" w:color="auto" w:fill="FFFFFF"/>
        </w:rPr>
        <w:t>s distribution system or the quality of any of the company</w:t>
      </w:r>
      <w:r>
        <w:rPr>
          <w:rFonts w:ascii="Times New Roman" w:hAnsi="Times New Roman" w:cs="Times New Roman"/>
          <w:sz w:val="24"/>
          <w:szCs w:val="24"/>
          <w:shd w:val="clear" w:color="auto" w:fill="FFFFFF"/>
        </w:rPr>
        <w:t>’</w:t>
      </w:r>
      <w:r w:rsidRPr="00E43686">
        <w:rPr>
          <w:rFonts w:ascii="Times New Roman" w:hAnsi="Times New Roman" w:cs="Times New Roman"/>
          <w:sz w:val="24"/>
          <w:szCs w:val="24"/>
          <w:shd w:val="clear" w:color="auto" w:fill="FFFFFF"/>
        </w:rPr>
        <w:t>s regulated services or goods, the commission, after a hearing, may abrogate the order granting such an exemption or alternative rate regulation.</w:t>
      </w:r>
      <w:r>
        <w:rPr>
          <w:rStyle w:val="FootnoteReference"/>
          <w:rFonts w:ascii="Times New Roman" w:hAnsi="Times New Roman" w:cs="Times New Roman"/>
          <w:sz w:val="24"/>
          <w:szCs w:val="24"/>
          <w:shd w:val="clear" w:color="auto" w:fill="FFFFFF"/>
        </w:rPr>
        <w:footnoteReference w:id="27"/>
      </w:r>
    </w:p>
    <w:p w:rsidR="00B52EDE" w:rsidP="00132E66">
      <w:pPr>
        <w:autoSpaceDE w:val="0"/>
        <w:autoSpaceDN w:val="0"/>
        <w:adjustRightInd w:val="0"/>
        <w:spacing w:after="0" w:line="240" w:lineRule="auto"/>
        <w:ind w:left="1440" w:right="1440"/>
        <w:jc w:val="both"/>
        <w:rPr>
          <w:rFonts w:ascii="Times New Roman" w:hAnsi="Times New Roman" w:cs="Times New Roman"/>
          <w:sz w:val="24"/>
          <w:szCs w:val="24"/>
          <w:shd w:val="clear" w:color="auto" w:fill="FFFFFF"/>
        </w:rPr>
      </w:pPr>
    </w:p>
    <w:p w:rsidR="00B52EDE" w:rsidP="007249C6">
      <w:pPr>
        <w:autoSpaceDE w:val="0"/>
        <w:autoSpaceDN w:val="0"/>
        <w:adjustRightInd w:val="0"/>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As discussed above, the effects of Dominion’s implementation of the exemption that allows it to default choice-eligible residential customers into the MVR, rather than the competitively-bid SCO, violates the state policy specified in R.C. 4929.02.  OCC’s Motion to Protect Consumers covered the myriad of ways that this practice violates state policy under R.C. 4929.02.  To summarize, the continued use of the MVR as the default mechanism for assigning choice-eligible residential customers violates the state policy in the following ways:</w:t>
      </w:r>
    </w:p>
    <w:p w:rsidR="00B52EDE" w:rsidP="00132E66">
      <w:pPr>
        <w:pStyle w:val="ListParagraph"/>
        <w:numPr>
          <w:ilvl w:val="0"/>
          <w:numId w:val="4"/>
        </w:numPr>
        <w:autoSpaceDE w:val="0"/>
        <w:autoSpaceDN w:val="0"/>
        <w:adjustRightInd w:val="0"/>
        <w:spacing w:after="0" w:line="480" w:lineRule="auto"/>
        <w:ind w:left="1440" w:right="1440" w:hanging="720"/>
        <w:rPr>
          <w:rFonts w:ascii="Times New Roman" w:hAnsi="Times New Roman" w:cs="Times New Roman"/>
          <w:sz w:val="24"/>
          <w:szCs w:val="24"/>
        </w:rPr>
      </w:pPr>
      <w:r>
        <w:rPr>
          <w:rFonts w:ascii="Times New Roman" w:hAnsi="Times New Roman" w:cs="Times New Roman"/>
          <w:sz w:val="24"/>
          <w:szCs w:val="24"/>
        </w:rPr>
        <w:t>Defaulting choice-eligible residential customers into the MVR, especially given that those customers may not even receive the benefit of the lowest available MVR, results in unreasonable prices for natural gas service.</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This violates the policy articulated in R.C. 4929.02(1).</w:t>
      </w:r>
    </w:p>
    <w:p w:rsidR="00B52EDE" w:rsidP="00132E66">
      <w:pPr>
        <w:pStyle w:val="ListParagraph"/>
        <w:numPr>
          <w:ilvl w:val="0"/>
          <w:numId w:val="4"/>
        </w:numPr>
        <w:autoSpaceDE w:val="0"/>
        <w:autoSpaceDN w:val="0"/>
        <w:adjustRightInd w:val="0"/>
        <w:spacing w:after="0" w:line="480" w:lineRule="auto"/>
        <w:ind w:left="1440" w:right="1440" w:hanging="720"/>
        <w:rPr>
          <w:rFonts w:ascii="Times New Roman" w:hAnsi="Times New Roman" w:cs="Times New Roman"/>
          <w:sz w:val="24"/>
          <w:szCs w:val="24"/>
        </w:rPr>
      </w:pPr>
      <w:r>
        <w:rPr>
          <w:rFonts w:ascii="Times New Roman" w:hAnsi="Times New Roman" w:cs="Times New Roman"/>
          <w:sz w:val="24"/>
          <w:szCs w:val="24"/>
        </w:rPr>
        <w:t>Natural gas marketers are not forced to innovate because they are “competing” only with the more-expensive MVR and not the competitively-bid SCO, which lessens their incentive to provide better prices and/or service.</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This violates R.C. 4929.02(4). </w:t>
      </w:r>
    </w:p>
    <w:p w:rsidR="00FE3EBC" w:rsidP="00132E66">
      <w:pPr>
        <w:pStyle w:val="ListParagraph"/>
        <w:numPr>
          <w:ilvl w:val="0"/>
          <w:numId w:val="4"/>
        </w:numPr>
        <w:autoSpaceDE w:val="0"/>
        <w:autoSpaceDN w:val="0"/>
        <w:adjustRightInd w:val="0"/>
        <w:spacing w:after="0" w:line="480" w:lineRule="auto"/>
        <w:ind w:left="1440" w:right="1440" w:hanging="720"/>
        <w:rPr>
          <w:rFonts w:ascii="Times New Roman" w:hAnsi="Times New Roman" w:cs="Times New Roman"/>
          <w:sz w:val="24"/>
          <w:szCs w:val="24"/>
        </w:rPr>
      </w:pPr>
      <w:r>
        <w:rPr>
          <w:rFonts w:ascii="Times New Roman" w:hAnsi="Times New Roman" w:cs="Times New Roman"/>
          <w:sz w:val="24"/>
          <w:szCs w:val="24"/>
        </w:rPr>
        <w:t>Because natural gas marketers are “competing” with the more-expensive MVR, they are not encouraged to provide cost-effective information to customers,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thus violating R.C. 4929.02(5). </w:t>
      </w:r>
    </w:p>
    <w:p w:rsidR="00FE3EBC" w:rsidP="00132E66">
      <w:pPr>
        <w:pStyle w:val="ListParagraph"/>
        <w:numPr>
          <w:ilvl w:val="0"/>
          <w:numId w:val="4"/>
        </w:numPr>
        <w:autoSpaceDE w:val="0"/>
        <w:autoSpaceDN w:val="0"/>
        <w:adjustRightInd w:val="0"/>
        <w:spacing w:after="0" w:line="480" w:lineRule="auto"/>
        <w:ind w:left="1440" w:right="1440" w:hanging="720"/>
        <w:rPr>
          <w:rFonts w:ascii="Times New Roman" w:hAnsi="Times New Roman" w:cs="Times New Roman"/>
          <w:sz w:val="24"/>
          <w:szCs w:val="24"/>
        </w:rPr>
      </w:pPr>
      <w:r>
        <w:rPr>
          <w:rFonts w:ascii="Times New Roman" w:hAnsi="Times New Roman" w:cs="Times New Roman"/>
          <w:sz w:val="24"/>
          <w:szCs w:val="24"/>
        </w:rPr>
        <w:t xml:space="preserve">Failure to force natural gas marketers to compete in a truly competitive market hinders effective competition, and random assignment of residential customers to a gas marketer’s MVR does not create a transaction between a willing buyer and a willing seller. This violates R.C. 4929.02(7). </w:t>
      </w:r>
    </w:p>
    <w:p w:rsidR="00FE3EBC" w:rsidP="00132E66">
      <w:pPr>
        <w:pStyle w:val="ListParagraph"/>
        <w:numPr>
          <w:ilvl w:val="0"/>
          <w:numId w:val="4"/>
        </w:numPr>
        <w:autoSpaceDE w:val="0"/>
        <w:autoSpaceDN w:val="0"/>
        <w:adjustRightInd w:val="0"/>
        <w:spacing w:after="0" w:line="480" w:lineRule="auto"/>
        <w:ind w:left="1440" w:right="1440" w:hanging="720"/>
        <w:rPr>
          <w:rFonts w:ascii="Times New Roman" w:hAnsi="Times New Roman" w:cs="Times New Roman"/>
          <w:sz w:val="24"/>
          <w:szCs w:val="24"/>
        </w:rPr>
      </w:pPr>
      <w:r>
        <w:rPr>
          <w:rFonts w:ascii="Times New Roman" w:hAnsi="Times New Roman" w:cs="Times New Roman"/>
          <w:sz w:val="24"/>
          <w:szCs w:val="24"/>
        </w:rPr>
        <w:t xml:space="preserve">Natural gas marketers are guaranteed the opportunity to supply gas to a choice-eligible residential customer at their MVR every time their turn in the random assignment rotation comes up.  This acts as a subsidy to suppliers who would be likely be unsuccessful in offering those same inflated prices in a truly competitive market, thus violating R.C. 4929.02(8). </w:t>
      </w:r>
    </w:p>
    <w:p w:rsidR="00787117" w:rsidRPr="00787117" w:rsidP="007249C6">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Regardless of the time limitations in 4929.08(A), these violations of state policy provide justification for the PUCO, after a hearing, to modify its prior order and reinstate the SCO under R.C. 4929.08(B).  If the PUCO finds that 4929.08(A) is not satisfied, it should still schedule a hearing and, after the taking of evidence, modify its prior order under R.C. 4929.08(B) and reinstate the SCO as OCC recommends. </w:t>
      </w:r>
    </w:p>
    <w:p w:rsidR="003A5ED0" w:rsidRPr="003A5ED0" w:rsidP="00132E66">
      <w:pPr>
        <w:spacing w:after="240" w:line="240" w:lineRule="auto"/>
        <w:ind w:left="1440" w:hanging="720"/>
        <w:rPr>
          <w:rFonts w:ascii="Times New Roman" w:hAnsi="Times New Roman" w:eastAsiaTheme="minorHAnsi"/>
          <w:b/>
          <w:bCs/>
          <w:sz w:val="24"/>
          <w:szCs w:val="24"/>
        </w:rPr>
      </w:pPr>
      <w:r w:rsidRPr="003A5ED0">
        <w:rPr>
          <w:rFonts w:ascii="Times New Roman" w:hAnsi="Times New Roman"/>
          <w:b/>
          <w:bCs/>
          <w:sz w:val="24"/>
          <w:szCs w:val="24"/>
        </w:rPr>
        <w:t xml:space="preserve">D. </w:t>
      </w:r>
      <w:r>
        <w:rPr>
          <w:rFonts w:ascii="Times New Roman" w:hAnsi="Times New Roman"/>
          <w:b/>
          <w:bCs/>
          <w:sz w:val="24"/>
          <w:szCs w:val="24"/>
        </w:rPr>
        <w:tab/>
      </w:r>
      <w:r w:rsidRPr="003A5ED0">
        <w:rPr>
          <w:rFonts w:ascii="Times New Roman" w:hAnsi="Times New Roman"/>
          <w:b/>
          <w:bCs/>
          <w:sz w:val="24"/>
          <w:szCs w:val="24"/>
        </w:rPr>
        <w:t>Dominion</w:t>
      </w:r>
      <w:r>
        <w:rPr>
          <w:rFonts w:ascii="Times New Roman" w:hAnsi="Times New Roman"/>
          <w:b/>
          <w:bCs/>
          <w:sz w:val="24"/>
          <w:szCs w:val="24"/>
        </w:rPr>
        <w:t>’</w:t>
      </w:r>
      <w:r w:rsidRPr="003A5ED0">
        <w:rPr>
          <w:rFonts w:ascii="Times New Roman" w:hAnsi="Times New Roman"/>
          <w:b/>
          <w:bCs/>
          <w:sz w:val="24"/>
          <w:szCs w:val="24"/>
        </w:rPr>
        <w:t xml:space="preserve">s Response </w:t>
      </w:r>
      <w:r>
        <w:rPr>
          <w:rFonts w:ascii="Times New Roman" w:hAnsi="Times New Roman"/>
          <w:b/>
          <w:bCs/>
          <w:sz w:val="24"/>
          <w:szCs w:val="24"/>
        </w:rPr>
        <w:t xml:space="preserve">correctly </w:t>
      </w:r>
      <w:r w:rsidRPr="003A5ED0">
        <w:rPr>
          <w:rFonts w:ascii="Times New Roman" w:hAnsi="Times New Roman"/>
          <w:b/>
          <w:bCs/>
          <w:sz w:val="24"/>
          <w:szCs w:val="24"/>
        </w:rPr>
        <w:t xml:space="preserve">advocates </w:t>
      </w:r>
      <w:r>
        <w:rPr>
          <w:rFonts w:ascii="Times New Roman" w:hAnsi="Times New Roman"/>
          <w:b/>
          <w:bCs/>
          <w:sz w:val="24"/>
          <w:szCs w:val="24"/>
        </w:rPr>
        <w:t xml:space="preserve">for </w:t>
      </w:r>
      <w:r w:rsidRPr="003A5ED0">
        <w:rPr>
          <w:rFonts w:ascii="Times New Roman" w:hAnsi="Times New Roman"/>
          <w:b/>
          <w:bCs/>
          <w:sz w:val="24"/>
          <w:szCs w:val="24"/>
        </w:rPr>
        <w:t xml:space="preserve">addressing </w:t>
      </w:r>
      <w:r>
        <w:rPr>
          <w:rFonts w:ascii="Times New Roman" w:hAnsi="Times New Roman"/>
          <w:b/>
          <w:bCs/>
          <w:sz w:val="24"/>
          <w:szCs w:val="24"/>
        </w:rPr>
        <w:t>consumer protection</w:t>
      </w:r>
      <w:r w:rsidRPr="003A5ED0">
        <w:rPr>
          <w:rFonts w:ascii="Times New Roman" w:hAnsi="Times New Roman"/>
          <w:b/>
          <w:bCs/>
          <w:sz w:val="24"/>
          <w:szCs w:val="24"/>
        </w:rPr>
        <w:t xml:space="preserve"> issues </w:t>
      </w:r>
      <w:r>
        <w:rPr>
          <w:rFonts w:ascii="Times New Roman" w:hAnsi="Times New Roman"/>
          <w:b/>
          <w:bCs/>
          <w:sz w:val="24"/>
          <w:szCs w:val="24"/>
        </w:rPr>
        <w:t>necessitated</w:t>
      </w:r>
      <w:r w:rsidRPr="003A5ED0">
        <w:rPr>
          <w:rFonts w:ascii="Times New Roman" w:hAnsi="Times New Roman"/>
          <w:b/>
          <w:bCs/>
          <w:sz w:val="24"/>
          <w:szCs w:val="24"/>
        </w:rPr>
        <w:t xml:space="preserve"> by the M</w:t>
      </w:r>
      <w:r>
        <w:rPr>
          <w:rFonts w:ascii="Times New Roman" w:hAnsi="Times New Roman"/>
          <w:b/>
          <w:bCs/>
          <w:sz w:val="24"/>
          <w:szCs w:val="24"/>
        </w:rPr>
        <w:t xml:space="preserve">onthly </w:t>
      </w:r>
      <w:r w:rsidRPr="003A5ED0">
        <w:rPr>
          <w:rFonts w:ascii="Times New Roman" w:hAnsi="Times New Roman"/>
          <w:b/>
          <w:bCs/>
          <w:sz w:val="24"/>
          <w:szCs w:val="24"/>
        </w:rPr>
        <w:t>V</w:t>
      </w:r>
      <w:r>
        <w:rPr>
          <w:rFonts w:ascii="Times New Roman" w:hAnsi="Times New Roman"/>
          <w:b/>
          <w:bCs/>
          <w:sz w:val="24"/>
          <w:szCs w:val="24"/>
        </w:rPr>
        <w:t xml:space="preserve">ariable </w:t>
      </w:r>
      <w:r w:rsidRPr="003A5ED0">
        <w:rPr>
          <w:rFonts w:ascii="Times New Roman" w:hAnsi="Times New Roman"/>
          <w:b/>
          <w:bCs/>
          <w:sz w:val="24"/>
          <w:szCs w:val="24"/>
        </w:rPr>
        <w:t>R</w:t>
      </w:r>
      <w:r>
        <w:rPr>
          <w:rFonts w:ascii="Times New Roman" w:hAnsi="Times New Roman"/>
          <w:b/>
          <w:bCs/>
          <w:sz w:val="24"/>
          <w:szCs w:val="24"/>
        </w:rPr>
        <w:t>ate</w:t>
      </w:r>
      <w:r w:rsidRPr="003A5ED0">
        <w:rPr>
          <w:rFonts w:ascii="Times New Roman" w:hAnsi="Times New Roman"/>
          <w:b/>
          <w:bCs/>
          <w:sz w:val="24"/>
          <w:szCs w:val="24"/>
        </w:rPr>
        <w:t>.</w:t>
      </w:r>
    </w:p>
    <w:p w:rsidR="00DC16A5" w:rsidP="007249C6">
      <w:pPr>
        <w:spacing w:after="0" w:line="480" w:lineRule="auto"/>
        <w:rPr>
          <w:rFonts w:ascii="Times New Roman" w:hAnsi="Times New Roman"/>
          <w:sz w:val="24"/>
          <w:szCs w:val="24"/>
        </w:rPr>
      </w:pPr>
      <w:r w:rsidRPr="003A5ED0">
        <w:rPr>
          <w:rFonts w:ascii="Times New Roman" w:hAnsi="Times New Roman"/>
          <w:b/>
          <w:bCs/>
          <w:sz w:val="24"/>
          <w:szCs w:val="24"/>
        </w:rPr>
        <w:t xml:space="preserve">            </w:t>
      </w:r>
      <w:r w:rsidRPr="003A5ED0">
        <w:rPr>
          <w:rFonts w:ascii="Times New Roman" w:hAnsi="Times New Roman"/>
          <w:sz w:val="24"/>
          <w:szCs w:val="24"/>
        </w:rPr>
        <w:t>OCC agrees with Dominion</w:t>
      </w:r>
      <w:r>
        <w:rPr>
          <w:rFonts w:ascii="Times New Roman" w:hAnsi="Times New Roman"/>
          <w:sz w:val="24"/>
          <w:szCs w:val="24"/>
        </w:rPr>
        <w:t>’</w:t>
      </w:r>
      <w:r w:rsidRPr="003A5ED0">
        <w:rPr>
          <w:rFonts w:ascii="Times New Roman" w:hAnsi="Times New Roman"/>
          <w:sz w:val="24"/>
          <w:szCs w:val="24"/>
        </w:rPr>
        <w:t>s contention that the issues at stake in this matter are serious and have a significant impact.</w:t>
      </w:r>
      <w:r>
        <w:rPr>
          <w:rStyle w:val="FootnoteReference"/>
          <w:rFonts w:ascii="Times New Roman" w:hAnsi="Times New Roman"/>
          <w:sz w:val="24"/>
          <w:szCs w:val="24"/>
        </w:rPr>
        <w:footnoteReference w:id="31"/>
      </w:r>
      <w:r w:rsidRPr="003A5ED0">
        <w:rPr>
          <w:rFonts w:ascii="Times New Roman" w:hAnsi="Times New Roman"/>
          <w:sz w:val="24"/>
          <w:szCs w:val="24"/>
        </w:rPr>
        <w:t xml:space="preserve"> </w:t>
      </w:r>
      <w:r>
        <w:rPr>
          <w:rFonts w:ascii="Times New Roman" w:hAnsi="Times New Roman"/>
          <w:sz w:val="24"/>
          <w:szCs w:val="24"/>
        </w:rPr>
        <w:t xml:space="preserve"> </w:t>
      </w:r>
      <w:r w:rsidRPr="003A5ED0">
        <w:rPr>
          <w:rFonts w:ascii="Times New Roman" w:hAnsi="Times New Roman"/>
          <w:sz w:val="24"/>
          <w:szCs w:val="24"/>
        </w:rPr>
        <w:t>As such, OCC does not oppose Dominion</w:t>
      </w:r>
      <w:r>
        <w:rPr>
          <w:rFonts w:ascii="Times New Roman" w:hAnsi="Times New Roman"/>
          <w:sz w:val="24"/>
          <w:szCs w:val="24"/>
        </w:rPr>
        <w:t>’</w:t>
      </w:r>
      <w:r w:rsidRPr="003A5ED0">
        <w:rPr>
          <w:rFonts w:ascii="Times New Roman" w:hAnsi="Times New Roman"/>
          <w:sz w:val="24"/>
          <w:szCs w:val="24"/>
        </w:rPr>
        <w:t>s suggestion that the PUCO should set a procedural schedule to establish a path for resolving this matter.</w:t>
      </w:r>
      <w:r>
        <w:rPr>
          <w:rStyle w:val="FootnoteReference"/>
          <w:rFonts w:ascii="Times New Roman" w:hAnsi="Times New Roman"/>
          <w:sz w:val="24"/>
          <w:szCs w:val="24"/>
        </w:rPr>
        <w:footnoteReference w:id="32"/>
      </w:r>
      <w:r w:rsidRPr="003A5ED0">
        <w:rPr>
          <w:rFonts w:ascii="Times New Roman" w:hAnsi="Times New Roman"/>
          <w:sz w:val="24"/>
          <w:szCs w:val="24"/>
        </w:rPr>
        <w:t xml:space="preserve"> </w:t>
      </w:r>
      <w:r>
        <w:rPr>
          <w:rFonts w:ascii="Times New Roman" w:hAnsi="Times New Roman"/>
          <w:sz w:val="24"/>
          <w:szCs w:val="24"/>
        </w:rPr>
        <w:t xml:space="preserve"> </w:t>
      </w:r>
    </w:p>
    <w:p w:rsidR="00DC16A5" w:rsidP="007249C6">
      <w:pPr>
        <w:spacing w:after="0" w:line="480" w:lineRule="auto"/>
        <w:ind w:firstLine="720"/>
        <w:rPr>
          <w:rFonts w:ascii="Times New Roman" w:hAnsi="Times New Roman"/>
          <w:sz w:val="24"/>
          <w:szCs w:val="24"/>
        </w:rPr>
      </w:pPr>
      <w:r w:rsidRPr="003A5ED0">
        <w:rPr>
          <w:rFonts w:ascii="Times New Roman" w:hAnsi="Times New Roman"/>
          <w:sz w:val="24"/>
          <w:szCs w:val="24"/>
        </w:rPr>
        <w:t>If Dominion</w:t>
      </w:r>
      <w:r>
        <w:rPr>
          <w:rFonts w:ascii="Times New Roman" w:hAnsi="Times New Roman"/>
          <w:sz w:val="24"/>
          <w:szCs w:val="24"/>
        </w:rPr>
        <w:t>’</w:t>
      </w:r>
      <w:r w:rsidRPr="003A5ED0">
        <w:rPr>
          <w:rFonts w:ascii="Times New Roman" w:hAnsi="Times New Roman"/>
          <w:sz w:val="24"/>
          <w:szCs w:val="24"/>
        </w:rPr>
        <w:t>s approach were followed to the letter, however, it would not sufficiently protect residential customers</w:t>
      </w:r>
      <w:r w:rsidRPr="003A5ED0">
        <w:rPr>
          <w:rFonts w:ascii="Times New Roman" w:hAnsi="Times New Roman"/>
          <w:b/>
          <w:bCs/>
          <w:sz w:val="24"/>
          <w:szCs w:val="24"/>
        </w:rPr>
        <w:t xml:space="preserve"> </w:t>
      </w:r>
      <w:r w:rsidRPr="003A5ED0">
        <w:rPr>
          <w:rFonts w:ascii="Times New Roman" w:hAnsi="Times New Roman"/>
          <w:bCs/>
          <w:sz w:val="24"/>
          <w:szCs w:val="24"/>
        </w:rPr>
        <w:t>from unreasonable charges for natural gas service</w:t>
      </w:r>
      <w:r>
        <w:rPr>
          <w:rFonts w:ascii="Times New Roman" w:hAnsi="Times New Roman"/>
          <w:bCs/>
          <w:sz w:val="24"/>
          <w:szCs w:val="24"/>
        </w:rPr>
        <w:t>.</w:t>
      </w:r>
      <w:r w:rsidRPr="003A5ED0">
        <w:rPr>
          <w:rFonts w:ascii="Times New Roman" w:hAnsi="Times New Roman"/>
          <w:sz w:val="24"/>
          <w:szCs w:val="24"/>
        </w:rPr>
        <w:t>  Dominion recommends a collaborative process between the parties</w:t>
      </w:r>
      <w:r>
        <w:rPr>
          <w:rFonts w:ascii="Times New Roman" w:hAnsi="Times New Roman"/>
          <w:sz w:val="24"/>
          <w:szCs w:val="24"/>
        </w:rPr>
        <w:t>, but states</w:t>
      </w:r>
      <w:r w:rsidRPr="003A5ED0">
        <w:rPr>
          <w:rFonts w:ascii="Times New Roman" w:hAnsi="Times New Roman"/>
          <w:sz w:val="24"/>
          <w:szCs w:val="24"/>
        </w:rPr>
        <w:t xml:space="preserve"> that the matter should only proceed to litigation if that process fails.</w:t>
      </w:r>
      <w:r>
        <w:rPr>
          <w:rStyle w:val="FootnoteReference"/>
          <w:rFonts w:ascii="Times New Roman" w:hAnsi="Times New Roman"/>
          <w:sz w:val="24"/>
          <w:szCs w:val="24"/>
        </w:rPr>
        <w:footnoteReference w:id="33"/>
      </w:r>
      <w:r w:rsidRPr="003A5ED0">
        <w:rPr>
          <w:rFonts w:ascii="Times New Roman" w:hAnsi="Times New Roman"/>
          <w:sz w:val="24"/>
          <w:szCs w:val="24"/>
        </w:rPr>
        <w:t xml:space="preserve"> </w:t>
      </w:r>
      <w:r>
        <w:rPr>
          <w:rFonts w:ascii="Times New Roman" w:hAnsi="Times New Roman"/>
          <w:sz w:val="24"/>
          <w:szCs w:val="24"/>
        </w:rPr>
        <w:t xml:space="preserve"> </w:t>
      </w:r>
      <w:r w:rsidRPr="003A5ED0">
        <w:rPr>
          <w:rFonts w:ascii="Times New Roman" w:hAnsi="Times New Roman"/>
          <w:sz w:val="24"/>
          <w:szCs w:val="24"/>
        </w:rPr>
        <w:t xml:space="preserve">Every month, residential </w:t>
      </w:r>
      <w:r>
        <w:rPr>
          <w:rFonts w:ascii="Times New Roman" w:hAnsi="Times New Roman"/>
          <w:sz w:val="24"/>
          <w:szCs w:val="24"/>
        </w:rPr>
        <w:t xml:space="preserve">consumers </w:t>
      </w:r>
      <w:r w:rsidRPr="003A5ED0">
        <w:rPr>
          <w:rFonts w:ascii="Times New Roman" w:hAnsi="Times New Roman"/>
          <w:sz w:val="24"/>
          <w:szCs w:val="24"/>
        </w:rPr>
        <w:t xml:space="preserve">are paying excessive amounts for natural gas service as a result of </w:t>
      </w:r>
      <w:r>
        <w:rPr>
          <w:rFonts w:ascii="Times New Roman" w:hAnsi="Times New Roman"/>
          <w:sz w:val="24"/>
          <w:szCs w:val="24"/>
        </w:rPr>
        <w:t xml:space="preserve">the </w:t>
      </w:r>
      <w:r w:rsidRPr="003A5ED0">
        <w:rPr>
          <w:rFonts w:ascii="Times New Roman" w:hAnsi="Times New Roman"/>
          <w:sz w:val="24"/>
          <w:szCs w:val="24"/>
        </w:rPr>
        <w:t xml:space="preserve">exemption that allows </w:t>
      </w:r>
      <w:r>
        <w:rPr>
          <w:rFonts w:ascii="Times New Roman" w:hAnsi="Times New Roman"/>
          <w:sz w:val="24"/>
          <w:szCs w:val="24"/>
        </w:rPr>
        <w:t xml:space="preserve">Dominion </w:t>
      </w:r>
      <w:r w:rsidRPr="003A5ED0">
        <w:rPr>
          <w:rFonts w:ascii="Times New Roman" w:hAnsi="Times New Roman"/>
          <w:sz w:val="24"/>
          <w:szCs w:val="24"/>
        </w:rPr>
        <w:t xml:space="preserve">to assign choice-eligible residential customers to </w:t>
      </w:r>
      <w:r>
        <w:rPr>
          <w:rFonts w:ascii="Times New Roman" w:hAnsi="Times New Roman"/>
          <w:sz w:val="24"/>
          <w:szCs w:val="24"/>
        </w:rPr>
        <w:t xml:space="preserve">the uncompetitive </w:t>
      </w:r>
      <w:r w:rsidRPr="003A5ED0">
        <w:rPr>
          <w:rFonts w:ascii="Times New Roman" w:hAnsi="Times New Roman"/>
          <w:sz w:val="24"/>
          <w:szCs w:val="24"/>
        </w:rPr>
        <w:t>MVR.  OCC is certainly willing to work with interested stakeholders to address this problem, but does not support the process Dominion advances in its Response</w:t>
      </w:r>
      <w:r>
        <w:rPr>
          <w:rFonts w:ascii="Times New Roman" w:hAnsi="Times New Roman"/>
          <w:sz w:val="24"/>
          <w:szCs w:val="24"/>
        </w:rPr>
        <w:t xml:space="preserve"> because it does not adequately protect customers who could be harmed as this matter lingers.  </w:t>
      </w:r>
      <w:r w:rsidRPr="003A5ED0">
        <w:rPr>
          <w:rFonts w:ascii="Times New Roman" w:hAnsi="Times New Roman"/>
          <w:sz w:val="24"/>
          <w:szCs w:val="24"/>
        </w:rPr>
        <w:t xml:space="preserve">  </w:t>
      </w:r>
    </w:p>
    <w:p w:rsidR="00135C77" w:rsidP="007249C6">
      <w:pPr>
        <w:spacing w:after="0" w:line="480" w:lineRule="auto"/>
        <w:ind w:firstLine="720"/>
        <w:rPr>
          <w:rFonts w:ascii="Times New Roman" w:hAnsi="Times New Roman"/>
          <w:sz w:val="24"/>
          <w:szCs w:val="24"/>
        </w:rPr>
      </w:pPr>
      <w:r w:rsidRPr="003A5ED0">
        <w:rPr>
          <w:rFonts w:ascii="Times New Roman" w:hAnsi="Times New Roman"/>
          <w:sz w:val="24"/>
          <w:szCs w:val="24"/>
        </w:rPr>
        <w:t>Rather than adopting the collaboration-followed-by-litigation approach Dominion suggests, the PUCO should set a</w:t>
      </w:r>
      <w:r>
        <w:rPr>
          <w:rFonts w:ascii="Times New Roman" w:hAnsi="Times New Roman"/>
          <w:sz w:val="24"/>
          <w:szCs w:val="24"/>
        </w:rPr>
        <w:t>n expedited</w:t>
      </w:r>
      <w:r w:rsidRPr="003A5ED0">
        <w:rPr>
          <w:rFonts w:ascii="Times New Roman" w:hAnsi="Times New Roman"/>
          <w:sz w:val="24"/>
          <w:szCs w:val="24"/>
        </w:rPr>
        <w:t xml:space="preserve"> procedural schedule for the litigation of this matter and simultaneously allow the parties to work on a collaborative solution.  This approach would allow for the collaborative approach Dominion suggests while also avoiding the unnecessary delay that would be caused by </w:t>
      </w:r>
      <w:r>
        <w:rPr>
          <w:rFonts w:ascii="Times New Roman" w:hAnsi="Times New Roman"/>
          <w:sz w:val="24"/>
          <w:szCs w:val="24"/>
        </w:rPr>
        <w:t>commencing</w:t>
      </w:r>
      <w:r w:rsidRPr="003A5ED0">
        <w:rPr>
          <w:rFonts w:ascii="Times New Roman" w:hAnsi="Times New Roman"/>
          <w:sz w:val="24"/>
          <w:szCs w:val="24"/>
        </w:rPr>
        <w:t xml:space="preserve"> litigat</w:t>
      </w:r>
      <w:r>
        <w:rPr>
          <w:rFonts w:ascii="Times New Roman" w:hAnsi="Times New Roman"/>
          <w:sz w:val="24"/>
          <w:szCs w:val="24"/>
        </w:rPr>
        <w:t>ion of</w:t>
      </w:r>
      <w:r w:rsidRPr="003A5ED0">
        <w:rPr>
          <w:rFonts w:ascii="Times New Roman" w:hAnsi="Times New Roman"/>
          <w:sz w:val="24"/>
          <w:szCs w:val="24"/>
        </w:rPr>
        <w:t xml:space="preserve"> this issue only after collaboration fails. </w:t>
      </w:r>
      <w:r>
        <w:rPr>
          <w:rFonts w:ascii="Times New Roman" w:hAnsi="Times New Roman"/>
          <w:sz w:val="24"/>
          <w:szCs w:val="24"/>
        </w:rPr>
        <w:t xml:space="preserve"> The PUCO should also consider staying the MVR until this matter is resolved.</w:t>
      </w:r>
    </w:p>
    <w:p w:rsidR="00F1111E" w:rsidRPr="00E75B48" w:rsidP="00132E66">
      <w:pPr>
        <w:pStyle w:val="BodyTextIndent"/>
        <w:numPr>
          <w:ilvl w:val="0"/>
          <w:numId w:val="17"/>
        </w:numPr>
        <w:spacing w:after="200" w:line="240" w:lineRule="auto"/>
        <w:ind w:left="1440" w:right="720" w:hanging="720"/>
        <w:rPr>
          <w:bCs/>
        </w:rPr>
      </w:pPr>
      <w:r>
        <w:rPr>
          <w:b/>
          <w:bCs/>
        </w:rPr>
        <w:t>Direct Energy’s joint motions with RESA are further evidence that its untimely intervention request should be denied should be denied.</w:t>
      </w:r>
    </w:p>
    <w:p w:rsidR="0047752D" w:rsidP="0047752D">
      <w:pPr>
        <w:pStyle w:val="BodyTextIndent"/>
        <w:rPr>
          <w:bCs/>
        </w:rPr>
      </w:pPr>
      <w:r>
        <w:rPr>
          <w:bCs/>
        </w:rPr>
        <w:t>As OCC explained, at length, in its Memorandum Contra, Direct Energy’s untimely Motion to Intervene does not meet the requirements for intervention established by R.C. 4903.221 and Ohio Adm. Code 4901-1-11.</w:t>
      </w:r>
      <w:r>
        <w:rPr>
          <w:rStyle w:val="FootnoteReference"/>
          <w:bCs/>
        </w:rPr>
        <w:footnoteReference w:id="34"/>
      </w:r>
      <w:r>
        <w:rPr>
          <w:bCs/>
        </w:rPr>
        <w:t xml:space="preserve"> In particular, OCC opposes Direct Energy’s intervention because Direct Energy failed to show that its interest is not already being adequately represented by existing parties, i.e., RESA or OGMG.  </w:t>
      </w:r>
    </w:p>
    <w:p w:rsidR="0047752D" w:rsidP="0047752D">
      <w:pPr>
        <w:pStyle w:val="BodyTextIndent"/>
        <w:rPr>
          <w:bCs/>
        </w:rPr>
      </w:pPr>
      <w:r>
        <w:rPr>
          <w:bCs/>
        </w:rPr>
        <w:t>The recent joint filings that Direct Energy has made with RESA</w:t>
      </w:r>
      <w:r>
        <w:rPr>
          <w:rStyle w:val="FootnoteReference"/>
          <w:bCs/>
        </w:rPr>
        <w:footnoteReference w:id="35"/>
      </w:r>
      <w:r>
        <w:rPr>
          <w:bCs/>
        </w:rPr>
        <w:t xml:space="preserve"> help prove OCC’s point.  Despite Direct Energy’s claims that it has “a unique business model and its interests and perspective are unique,”</w:t>
      </w:r>
      <w:r>
        <w:rPr>
          <w:rStyle w:val="FootnoteReference"/>
          <w:bCs/>
        </w:rPr>
        <w:footnoteReference w:id="36"/>
      </w:r>
      <w:r>
        <w:rPr>
          <w:bCs/>
        </w:rPr>
        <w:t xml:space="preserve"> its interests are common enough with RESA’s interests to allow Direct Energy to file numerous (3) joint pleadings with RESA.    </w:t>
      </w:r>
    </w:p>
    <w:p w:rsidR="0047752D" w:rsidP="0047752D">
      <w:pPr>
        <w:pStyle w:val="BodyTextIndent"/>
        <w:rPr>
          <w:b/>
          <w:bCs/>
        </w:rPr>
      </w:pPr>
      <w:r>
        <w:rPr>
          <w:bCs/>
        </w:rPr>
        <w:t xml:space="preserve">Direct Energy has not met the statutory requirements for intervention in this case. Its intervention was not timely.  Nor did Direct Energy show that its interests were not being adequately represented by existing parties.  The PUCO should deny Direct Energy’s request to participate as a full party of record in this proceeding. Direct Energy instead should be ordered to participate through its membership with RESA and OGMG.  Such participation is consistent with the recent approach Direct Energy has pursued, evidenced by the three joint pleadings it filed in this case with RESA.  </w:t>
      </w:r>
    </w:p>
    <w:p w:rsidR="000B618B" w:rsidP="00A10F50">
      <w:pPr>
        <w:numPr>
          <w:ilvl w:val="0"/>
          <w:numId w:val="1"/>
        </w:numPr>
        <w:autoSpaceDE w:val="0"/>
        <w:autoSpaceDN w:val="0"/>
        <w:adjustRightInd w:val="0"/>
        <w:spacing w:before="240" w:after="0" w:line="240" w:lineRule="auto"/>
        <w:ind w:left="720"/>
        <w:rPr>
          <w:rFonts w:ascii="Times New Roman" w:hAnsi="Times New Roman" w:cs="Times New Roman"/>
          <w:b/>
          <w:sz w:val="24"/>
          <w:szCs w:val="24"/>
        </w:rPr>
      </w:pPr>
      <w:r w:rsidRPr="00C75A89">
        <w:rPr>
          <w:rFonts w:ascii="Times New Roman" w:hAnsi="Times New Roman" w:cs="Times New Roman"/>
          <w:b/>
          <w:sz w:val="24"/>
          <w:szCs w:val="24"/>
        </w:rPr>
        <w:t>CONCLUSION</w:t>
      </w:r>
    </w:p>
    <w:p w:rsidR="000B618B" w:rsidRPr="00C75A89" w:rsidP="007249C6">
      <w:pPr>
        <w:autoSpaceDE w:val="0"/>
        <w:autoSpaceDN w:val="0"/>
        <w:adjustRightInd w:val="0"/>
        <w:spacing w:after="0" w:line="240" w:lineRule="auto"/>
        <w:ind w:left="1080"/>
        <w:rPr>
          <w:rFonts w:ascii="Times New Roman" w:hAnsi="Times New Roman" w:cs="Times New Roman"/>
          <w:b/>
          <w:sz w:val="24"/>
          <w:szCs w:val="24"/>
        </w:rPr>
      </w:pPr>
    </w:p>
    <w:p w:rsidR="00AB6682" w:rsidP="007249C6">
      <w:pPr>
        <w:autoSpaceDE w:val="0"/>
        <w:autoSpaceDN w:val="0"/>
        <w:adjustRightInd w:val="0"/>
        <w:spacing w:after="0" w:line="480" w:lineRule="auto"/>
        <w:ind w:firstLine="720"/>
        <w:rPr>
          <w:rFonts w:ascii="Times New Roman" w:hAnsi="Times New Roman" w:cs="Times New Roman"/>
          <w:sz w:val="24"/>
          <w:szCs w:val="24"/>
        </w:rPr>
        <w:sectPr w:rsidSect="00AE0E26">
          <w:pgSz w:w="12240" w:h="15840"/>
          <w:pgMar w:top="1440" w:right="1440" w:bottom="1440" w:left="1440" w:header="720" w:footer="720" w:gutter="0"/>
          <w:cols w:space="720"/>
          <w:noEndnote/>
          <w:titlePg/>
          <w:docGrid w:linePitch="299"/>
        </w:sectPr>
      </w:pPr>
      <w:r>
        <w:rPr>
          <w:rFonts w:ascii="Times New Roman" w:hAnsi="Times New Roman" w:cs="Times New Roman"/>
          <w:sz w:val="24"/>
          <w:szCs w:val="24"/>
        </w:rPr>
        <w:t>The MVR results in Ohioans paying charges for natural gas service that are often inflated far beyond what an effective competitive market would provide.  OCC urges the PUCO to eliminate the MVR to end the gouging of Dominion’s choice-eligible residential customers who are randomly assigned to the MVR.  OCC respectfully requests that the PUCO grant OCC’s Motion to Protect Consumers, and modify the 2013 Order and reestablish the competitively-bid SCO as the default service for residential customers.</w:t>
      </w:r>
    </w:p>
    <w:p w:rsidR="00891550" w:rsidP="007249C6">
      <w:pPr>
        <w:autoSpaceDE w:val="0"/>
        <w:autoSpaceDN w:val="0"/>
        <w:adjustRightInd w:val="0"/>
        <w:spacing w:after="0" w:line="480" w:lineRule="auto"/>
        <w:ind w:firstLine="720"/>
        <w:rPr>
          <w:rFonts w:ascii="Times New Roman" w:hAnsi="Times New Roman" w:cs="Times New Roman"/>
          <w:sz w:val="24"/>
          <w:szCs w:val="24"/>
        </w:rPr>
      </w:pPr>
    </w:p>
    <w:p w:rsidR="00601E44"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1550"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Respectfully submitted, </w:t>
      </w:r>
    </w:p>
    <w:p w:rsidR="00875933" w:rsidP="007F3A09">
      <w:pPr>
        <w:widowControl w:val="0"/>
        <w:autoSpaceDE w:val="0"/>
        <w:autoSpaceDN w:val="0"/>
        <w:adjustRightInd w:val="0"/>
        <w:spacing w:after="0" w:line="240" w:lineRule="auto"/>
        <w:ind w:firstLine="720"/>
        <w:rPr>
          <w:rFonts w:ascii="Times New Roman" w:hAnsi="Times New Roman" w:cs="Times New Roman"/>
          <w:sz w:val="24"/>
          <w:szCs w:val="24"/>
        </w:rPr>
      </w:pPr>
    </w:p>
    <w:p w:rsidR="00891550"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BRUCE WESTON (0016973)</w:t>
      </w:r>
    </w:p>
    <w:p w:rsidR="003C0A9F"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OHIO CONSUMERS’ COUNSEL</w:t>
      </w:r>
    </w:p>
    <w:p w:rsidR="003C0A9F" w:rsidP="007F3A09">
      <w:pPr>
        <w:widowControl w:val="0"/>
        <w:autoSpaceDE w:val="0"/>
        <w:autoSpaceDN w:val="0"/>
        <w:adjustRightInd w:val="0"/>
        <w:spacing w:after="0" w:line="240" w:lineRule="auto"/>
        <w:ind w:firstLine="720"/>
        <w:rPr>
          <w:rFonts w:ascii="Times New Roman" w:hAnsi="Times New Roman" w:cs="Times New Roman"/>
          <w:sz w:val="24"/>
          <w:szCs w:val="24"/>
        </w:rPr>
      </w:pPr>
    </w:p>
    <w:p w:rsidR="003C0A9F" w:rsidRPr="00A903BF" w:rsidP="007F3A09">
      <w:pPr>
        <w:widowControl w:val="0"/>
        <w:autoSpaceDE w:val="0"/>
        <w:autoSpaceDN w:val="0"/>
        <w:adjustRightInd w:val="0"/>
        <w:spacing w:after="0" w:line="240" w:lineRule="auto"/>
        <w:ind w:firstLine="720"/>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u w:val="single"/>
        </w:rPr>
        <w:t>/s/ Larry S. Sauer</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p>
    <w:p w:rsidR="00DC16A5" w:rsidRPr="00DC16A5" w:rsidP="00AD4B92">
      <w:pPr>
        <w:tabs>
          <w:tab w:val="left" w:pos="43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DC16A5">
        <w:rPr>
          <w:rFonts w:ascii="Times New Roman" w:eastAsia="Times New Roman" w:hAnsi="Times New Roman" w:cs="Times New Roman"/>
          <w:sz w:val="24"/>
          <w:szCs w:val="24"/>
        </w:rPr>
        <w:t>Larry S. Sauer (0039223)</w:t>
      </w:r>
      <w:r>
        <w:rPr>
          <w:rFonts w:ascii="Times New Roman" w:eastAsia="Times New Roman" w:hAnsi="Times New Roman" w:cs="Times New Roman"/>
          <w:sz w:val="24"/>
          <w:szCs w:val="24"/>
        </w:rPr>
        <w:t xml:space="preserve">, </w:t>
      </w:r>
      <w:r w:rsidRPr="00DC16A5">
        <w:rPr>
          <w:rFonts w:ascii="Times New Roman" w:eastAsia="Times New Roman" w:hAnsi="Times New Roman" w:cs="Times New Roman"/>
          <w:sz w:val="24"/>
          <w:szCs w:val="24"/>
        </w:rPr>
        <w:t>Counsel of Record</w:t>
      </w:r>
    </w:p>
    <w:p w:rsidR="00DC16A5" w:rsidP="00AD4B92">
      <w:pPr>
        <w:widowControl w:val="0"/>
        <w:autoSpaceDE w:val="0"/>
        <w:autoSpaceDN w:val="0"/>
        <w:adjustRightInd w:val="0"/>
        <w:spacing w:after="0" w:line="240" w:lineRule="auto"/>
        <w:ind w:left="4320"/>
        <w:rPr>
          <w:rFonts w:ascii="Times New Roman" w:hAnsi="Times New Roman" w:cs="Times New Roman"/>
          <w:sz w:val="24"/>
          <w:szCs w:val="24"/>
        </w:rPr>
      </w:pPr>
      <w:r w:rsidRPr="00DC16A5">
        <w:rPr>
          <w:rFonts w:ascii="Times New Roman" w:eastAsia="Times New Roman" w:hAnsi="Times New Roman" w:cs="Times New Roman"/>
          <w:sz w:val="24"/>
          <w:szCs w:val="24"/>
        </w:rPr>
        <w:t>Deputy Consumers</w:t>
      </w:r>
      <w:r>
        <w:rPr>
          <w:rFonts w:ascii="Times New Roman" w:eastAsia="Times New Roman" w:hAnsi="Times New Roman" w:cs="Times New Roman"/>
          <w:sz w:val="24"/>
          <w:szCs w:val="24"/>
        </w:rPr>
        <w:t>’</w:t>
      </w:r>
      <w:r w:rsidRPr="00DC16A5">
        <w:rPr>
          <w:rFonts w:ascii="Times New Roman" w:eastAsia="Times New Roman" w:hAnsi="Times New Roman" w:cs="Times New Roman"/>
          <w:sz w:val="24"/>
          <w:szCs w:val="24"/>
        </w:rPr>
        <w:t xml:space="preserve"> Counsel</w:t>
      </w:r>
    </w:p>
    <w:p w:rsidR="003C0A9F" w:rsidP="00A10F50">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Terry L. Etter (0067445)</w:t>
      </w:r>
    </w:p>
    <w:p w:rsidR="003C0A9F"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Assistant Consumers’ Counsel</w:t>
      </w:r>
    </w:p>
    <w:p w:rsidR="00875933" w:rsidP="007F3A09">
      <w:pPr>
        <w:widowControl w:val="0"/>
        <w:autoSpaceDE w:val="0"/>
        <w:autoSpaceDN w:val="0"/>
        <w:adjustRightInd w:val="0"/>
        <w:spacing w:after="0" w:line="240" w:lineRule="auto"/>
        <w:ind w:firstLine="720"/>
        <w:rPr>
          <w:rFonts w:ascii="Times New Roman" w:hAnsi="Times New Roman" w:cs="Times New Roman"/>
          <w:sz w:val="24"/>
          <w:szCs w:val="24"/>
        </w:rPr>
      </w:pPr>
    </w:p>
    <w:p w:rsidR="003C0A9F" w:rsidP="007F3A09">
      <w:pPr>
        <w:widowControl w:val="0"/>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Office of the Ohio Consumers’ Counsel</w:t>
      </w:r>
    </w:p>
    <w:p w:rsidR="003C0A9F"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65 East State Street, 7</w:t>
      </w:r>
      <w:r w:rsidRPr="00A10F50">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3C0A9F"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Columbus, Ohio 43215-3485</w:t>
      </w:r>
    </w:p>
    <w:p w:rsidR="00AD4B92" w:rsidRPr="00AD4B92" w:rsidP="00AD4B92">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AD4B92">
        <w:rPr>
          <w:rFonts w:ascii="Times New Roman" w:eastAsia="Times New Roman" w:hAnsi="Times New Roman" w:cs="Times New Roman"/>
          <w:sz w:val="24"/>
          <w:szCs w:val="24"/>
        </w:rPr>
        <w:t>Telephone [Sauer]: (614) 466-1312</w:t>
      </w:r>
    </w:p>
    <w:p w:rsidR="003C0A9F" w:rsidP="00AD4B92">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Telephone [Etter]: 614-466-7964 </w:t>
      </w:r>
    </w:p>
    <w:p w:rsidR="00AD4B92" w:rsidRPr="00AD4B92" w:rsidP="00AD4B9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D4B92">
        <w:rPr>
          <w:rFonts w:ascii="Times New Roman" w:eastAsia="Times New Roman" w:hAnsi="Times New Roman" w:cs="Times New Roman"/>
          <w:sz w:val="24"/>
          <w:szCs w:val="24"/>
        </w:rPr>
        <w:tab/>
        <w:t xml:space="preserve">Larry.sauer@occ.ohio.gov </w:t>
      </w:r>
    </w:p>
    <w:p w:rsidR="003C0A9F" w:rsidP="00A10F50">
      <w:pPr>
        <w:widowControl w:val="0"/>
        <w:autoSpaceDE w:val="0"/>
        <w:autoSpaceDN w:val="0"/>
        <w:adjustRightInd w:val="0"/>
        <w:spacing w:after="0" w:line="240" w:lineRule="auto"/>
        <w:ind w:left="4320"/>
        <w:rPr>
          <w:rFonts w:ascii="Times New Roman" w:hAnsi="Times New Roman" w:cs="Times New Roman"/>
          <w:sz w:val="24"/>
          <w:szCs w:val="24"/>
        </w:rPr>
      </w:pPr>
      <w:r w:rsidRPr="00875933">
        <w:rPr>
          <w:rFonts w:ascii="Times New Roman" w:hAnsi="Times New Roman" w:cs="Times New Roman"/>
          <w:sz w:val="24"/>
          <w:szCs w:val="24"/>
        </w:rPr>
        <w:t>Terry.etter@occ.ohio.gov</w:t>
      </w:r>
    </w:p>
    <w:p w:rsidR="003C0A9F"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(willing to accept service by e-mail)</w:t>
      </w:r>
    </w:p>
    <w:p w:rsidR="003C0A9F" w:rsidP="007F3A09">
      <w:pPr>
        <w:widowControl w:val="0"/>
        <w:autoSpaceDE w:val="0"/>
        <w:autoSpaceDN w:val="0"/>
        <w:adjustRightInd w:val="0"/>
        <w:spacing w:after="0" w:line="240" w:lineRule="auto"/>
        <w:ind w:firstLine="720"/>
        <w:rPr>
          <w:rFonts w:ascii="Times New Roman" w:hAnsi="Times New Roman" w:cs="Times New Roman"/>
          <w:sz w:val="24"/>
          <w:szCs w:val="24"/>
        </w:rPr>
      </w:pPr>
    </w:p>
    <w:p w:rsidR="00875933" w:rsidRPr="00875933" w:rsidP="003A5ED0">
      <w:pPr>
        <w:widowControl w:val="0"/>
        <w:autoSpaceDE w:val="0"/>
        <w:autoSpaceDN w:val="0"/>
        <w:adjustRightInd w:val="0"/>
        <w:spacing w:after="0" w:line="240" w:lineRule="auto"/>
        <w:ind w:left="3600" w:firstLine="720"/>
        <w:rPr>
          <w:rFonts w:ascii="Times New Roman" w:hAnsi="Times New Roman" w:cs="Times New Roman"/>
          <w:sz w:val="24"/>
          <w:szCs w:val="24"/>
        </w:rPr>
      </w:pPr>
      <w:r w:rsidRPr="00875933">
        <w:rPr>
          <w:rFonts w:ascii="Times New Roman" w:hAnsi="Times New Roman" w:cs="Times New Roman"/>
          <w:sz w:val="24"/>
          <w:szCs w:val="24"/>
        </w:rPr>
        <w:t>Kimberly W. Bojko (0069402)</w:t>
      </w:r>
    </w:p>
    <w:p w:rsidR="00875933" w:rsidRPr="00875933" w:rsidP="007F3A09">
      <w:pPr>
        <w:widowControl w:val="0"/>
        <w:autoSpaceDE w:val="0"/>
        <w:autoSpaceDN w:val="0"/>
        <w:adjustRightInd w:val="0"/>
        <w:spacing w:after="0" w:line="240" w:lineRule="auto"/>
        <w:ind w:left="3600" w:firstLine="720"/>
        <w:rPr>
          <w:rFonts w:ascii="Times New Roman" w:hAnsi="Times New Roman" w:cs="Times New Roman"/>
          <w:sz w:val="24"/>
          <w:szCs w:val="24"/>
        </w:rPr>
      </w:pPr>
      <w:r w:rsidRPr="00875933">
        <w:rPr>
          <w:rFonts w:ascii="Times New Roman" w:hAnsi="Times New Roman" w:cs="Times New Roman"/>
          <w:sz w:val="24"/>
          <w:szCs w:val="24"/>
        </w:rPr>
        <w:t>Carpenter Lipps &amp; Leland LLP</w:t>
      </w:r>
    </w:p>
    <w:p w:rsidR="00875933" w:rsidRPr="00875933" w:rsidP="007F3A09">
      <w:pPr>
        <w:widowControl w:val="0"/>
        <w:autoSpaceDE w:val="0"/>
        <w:autoSpaceDN w:val="0"/>
        <w:adjustRightInd w:val="0"/>
        <w:spacing w:after="0" w:line="240" w:lineRule="auto"/>
        <w:ind w:left="3600" w:firstLine="720"/>
        <w:rPr>
          <w:rFonts w:ascii="Times New Roman" w:hAnsi="Times New Roman" w:cs="Times New Roman"/>
          <w:sz w:val="24"/>
          <w:szCs w:val="24"/>
        </w:rPr>
      </w:pPr>
      <w:r w:rsidRPr="00875933">
        <w:rPr>
          <w:rFonts w:ascii="Times New Roman" w:hAnsi="Times New Roman" w:cs="Times New Roman"/>
          <w:sz w:val="24"/>
          <w:szCs w:val="24"/>
        </w:rPr>
        <w:t>280 North High Street, Suite 1300</w:t>
      </w:r>
    </w:p>
    <w:p w:rsidR="00875933" w:rsidRPr="00875933" w:rsidP="007F3A09">
      <w:pPr>
        <w:widowControl w:val="0"/>
        <w:autoSpaceDE w:val="0"/>
        <w:autoSpaceDN w:val="0"/>
        <w:adjustRightInd w:val="0"/>
        <w:spacing w:after="0" w:line="240" w:lineRule="auto"/>
        <w:ind w:left="3600" w:firstLine="720"/>
        <w:rPr>
          <w:rFonts w:ascii="Times New Roman" w:hAnsi="Times New Roman" w:cs="Times New Roman"/>
          <w:sz w:val="24"/>
          <w:szCs w:val="24"/>
        </w:rPr>
      </w:pPr>
      <w:r w:rsidRPr="00875933">
        <w:rPr>
          <w:rFonts w:ascii="Times New Roman" w:hAnsi="Times New Roman" w:cs="Times New Roman"/>
          <w:sz w:val="24"/>
          <w:szCs w:val="24"/>
        </w:rPr>
        <w:t>Columbus, Ohio 43215</w:t>
      </w:r>
    </w:p>
    <w:p w:rsidR="00875933" w:rsidRPr="00875933" w:rsidP="007F3A09">
      <w:pPr>
        <w:widowControl w:val="0"/>
        <w:autoSpaceDE w:val="0"/>
        <w:autoSpaceDN w:val="0"/>
        <w:adjustRightInd w:val="0"/>
        <w:spacing w:after="0" w:line="240" w:lineRule="auto"/>
        <w:ind w:left="3600" w:firstLine="720"/>
        <w:rPr>
          <w:rFonts w:ascii="Times New Roman" w:hAnsi="Times New Roman" w:cs="Times New Roman"/>
          <w:sz w:val="24"/>
          <w:szCs w:val="24"/>
        </w:rPr>
      </w:pPr>
      <w:r w:rsidRPr="00875933">
        <w:rPr>
          <w:rFonts w:ascii="Times New Roman" w:hAnsi="Times New Roman" w:cs="Times New Roman"/>
          <w:sz w:val="24"/>
          <w:szCs w:val="24"/>
        </w:rPr>
        <w:t>Telephone: (614) 365-4100</w:t>
      </w:r>
    </w:p>
    <w:p w:rsidR="00875933" w:rsidRPr="00875933" w:rsidP="007F3A09">
      <w:pPr>
        <w:widowControl w:val="0"/>
        <w:autoSpaceDE w:val="0"/>
        <w:autoSpaceDN w:val="0"/>
        <w:adjustRightInd w:val="0"/>
        <w:spacing w:after="0" w:line="240" w:lineRule="auto"/>
        <w:ind w:left="3600" w:firstLine="720"/>
        <w:rPr>
          <w:rFonts w:ascii="Times New Roman" w:hAnsi="Times New Roman" w:cs="Times New Roman"/>
          <w:sz w:val="24"/>
          <w:szCs w:val="24"/>
        </w:rPr>
      </w:pPr>
      <w:r w:rsidRPr="00875933">
        <w:rPr>
          <w:rFonts w:ascii="Times New Roman" w:hAnsi="Times New Roman" w:cs="Times New Roman"/>
          <w:sz w:val="24"/>
          <w:szCs w:val="24"/>
        </w:rPr>
        <w:t>bojko@carpenterlipps.com</w:t>
      </w:r>
    </w:p>
    <w:p w:rsidR="00875933" w:rsidP="007F3A09">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(willing to accept service by e-mail)</w:t>
      </w:r>
    </w:p>
    <w:p w:rsidR="00875933" w:rsidP="007F3A09">
      <w:pPr>
        <w:widowControl w:val="0"/>
        <w:autoSpaceDE w:val="0"/>
        <w:autoSpaceDN w:val="0"/>
        <w:adjustRightInd w:val="0"/>
        <w:spacing w:after="0" w:line="240" w:lineRule="auto"/>
        <w:ind w:firstLine="720"/>
        <w:rPr>
          <w:rFonts w:ascii="Times New Roman" w:hAnsi="Times New Roman" w:cs="Times New Roman"/>
          <w:sz w:val="24"/>
          <w:szCs w:val="24"/>
        </w:rPr>
      </w:pPr>
    </w:p>
    <w:p w:rsidR="00875933" w:rsidP="007F3A09">
      <w:pPr>
        <w:widowControl w:val="0"/>
        <w:autoSpaceDE w:val="0"/>
        <w:autoSpaceDN w:val="0"/>
        <w:adjustRightInd w:val="0"/>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Outside Counsel for the </w:t>
      </w:r>
    </w:p>
    <w:p w:rsidR="00875933" w:rsidRPr="00875933" w:rsidP="007F3A09">
      <w:pPr>
        <w:widowControl w:val="0"/>
        <w:autoSpaceDE w:val="0"/>
        <w:autoSpaceDN w:val="0"/>
        <w:adjustRightInd w:val="0"/>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Office of the Ohio Consumers’ Counsel</w:t>
      </w:r>
    </w:p>
    <w:p w:rsidR="000B618B" w:rsidRPr="001A75A5" w:rsidP="007F3A09">
      <w:pPr>
        <w:widowControl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B618B" w:rsidRPr="00840B36" w:rsidP="00B52EDE">
      <w:pPr>
        <w:widowControl w:val="0"/>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br w:type="page"/>
      </w:r>
      <w:r w:rsidRPr="00840B36">
        <w:rPr>
          <w:rFonts w:ascii="Times New Roman" w:hAnsi="Times New Roman" w:cs="Times New Roman"/>
          <w:b/>
          <w:sz w:val="24"/>
          <w:szCs w:val="24"/>
          <w:u w:val="single"/>
        </w:rPr>
        <w:t>CERTIFICATE OF SERVICE</w:t>
      </w:r>
    </w:p>
    <w:p w:rsidR="000B618B" w:rsidRPr="00C75A89" w:rsidP="007F3A09">
      <w:pPr>
        <w:widowControl w:val="0"/>
        <w:autoSpaceDE w:val="0"/>
        <w:autoSpaceDN w:val="0"/>
        <w:adjustRightInd w:val="0"/>
        <w:spacing w:after="0" w:line="240" w:lineRule="auto"/>
        <w:rPr>
          <w:rFonts w:ascii="Times New Roman" w:hAnsi="Times New Roman" w:cs="Times New Roman"/>
          <w:b/>
          <w:sz w:val="24"/>
          <w:szCs w:val="24"/>
        </w:rPr>
      </w:pPr>
    </w:p>
    <w:p w:rsidR="000B618B" w:rsidP="007F3A09">
      <w:pPr>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hereby certify that a copy of this Reply was served on the persons stated below via electronic transmission this 6</w:t>
      </w:r>
      <w:r w:rsidRPr="00B52EDE">
        <w:rPr>
          <w:rFonts w:ascii="Times New Roman" w:hAnsi="Times New Roman" w:cs="Times New Roman"/>
          <w:sz w:val="24"/>
          <w:szCs w:val="24"/>
          <w:vertAlign w:val="superscript"/>
        </w:rPr>
        <w:t>th</w:t>
      </w:r>
      <w:r w:rsidR="00AB6682">
        <w:rPr>
          <w:rFonts w:ascii="Times New Roman" w:hAnsi="Times New Roman" w:cs="Times New Roman"/>
          <w:sz w:val="24"/>
          <w:szCs w:val="24"/>
        </w:rPr>
        <w:t xml:space="preserve"> day of April</w:t>
      </w:r>
      <w:r>
        <w:rPr>
          <w:rFonts w:ascii="Times New Roman" w:hAnsi="Times New Roman" w:cs="Times New Roman"/>
          <w:sz w:val="24"/>
          <w:szCs w:val="24"/>
        </w:rPr>
        <w:t xml:space="preserve"> 2018. </w:t>
      </w:r>
    </w:p>
    <w:p w:rsidR="000B618B" w:rsidP="007F3A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03BF" w:rsidP="007F3A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03BF">
        <w:rPr>
          <w:rFonts w:ascii="Times New Roman" w:hAnsi="Times New Roman" w:cs="Times New Roman"/>
          <w:i/>
          <w:sz w:val="24"/>
          <w:szCs w:val="24"/>
        </w:rPr>
        <w:tab/>
      </w:r>
      <w:r w:rsidRPr="00A903BF">
        <w:rPr>
          <w:rFonts w:ascii="Times New Roman" w:hAnsi="Times New Roman" w:cs="Times New Roman"/>
          <w:i/>
          <w:sz w:val="24"/>
          <w:szCs w:val="24"/>
        </w:rPr>
        <w:tab/>
      </w:r>
      <w:r w:rsidRPr="00A903BF">
        <w:rPr>
          <w:rFonts w:ascii="Times New Roman" w:hAnsi="Times New Roman" w:cs="Times New Roman"/>
          <w:i/>
          <w:sz w:val="24"/>
          <w:szCs w:val="24"/>
        </w:rPr>
        <w:tab/>
        <w:t xml:space="preserve">  </w:t>
      </w:r>
      <w:r w:rsidRPr="00A903BF">
        <w:rPr>
          <w:rFonts w:ascii="Times New Roman" w:hAnsi="Times New Roman" w:cs="Times New Roman"/>
          <w:i/>
          <w:sz w:val="24"/>
          <w:szCs w:val="24"/>
        </w:rPr>
        <w:tab/>
      </w:r>
      <w:r w:rsidRPr="00A903BF">
        <w:rPr>
          <w:rFonts w:ascii="Times New Roman" w:hAnsi="Times New Roman" w:cs="Times New Roman"/>
          <w:i/>
          <w:sz w:val="24"/>
          <w:szCs w:val="24"/>
        </w:rPr>
        <w:tab/>
      </w:r>
      <w:r w:rsidRPr="00A903BF">
        <w:rPr>
          <w:rFonts w:ascii="Times New Roman" w:hAnsi="Times New Roman" w:cs="Times New Roman"/>
          <w:i/>
          <w:sz w:val="24"/>
          <w:szCs w:val="24"/>
        </w:rPr>
        <w:tab/>
      </w:r>
      <w:r w:rsidRPr="00A903BF">
        <w:rPr>
          <w:rFonts w:ascii="Times New Roman" w:hAnsi="Times New Roman" w:cs="Times New Roman"/>
          <w:i/>
          <w:sz w:val="24"/>
          <w:szCs w:val="24"/>
          <w:u w:val="single"/>
        </w:rPr>
        <w:t>/s/</w:t>
      </w:r>
      <w:r>
        <w:rPr>
          <w:rFonts w:ascii="Times New Roman" w:hAnsi="Times New Roman" w:cs="Times New Roman"/>
          <w:i/>
          <w:sz w:val="24"/>
          <w:szCs w:val="24"/>
          <w:u w:val="single"/>
        </w:rPr>
        <w:t xml:space="preserve"> Terry L. Etter</w:t>
      </w:r>
      <w:r>
        <w:rPr>
          <w:rFonts w:ascii="Times New Roman" w:hAnsi="Times New Roman" w:cs="Times New Roman"/>
          <w:i/>
          <w:sz w:val="24"/>
          <w:szCs w:val="24"/>
          <w:u w:val="single"/>
        </w:rPr>
        <w:tab/>
      </w:r>
      <w:r>
        <w:rPr>
          <w:rFonts w:ascii="Times New Roman" w:hAnsi="Times New Roman" w:cs="Times New Roman"/>
          <w:i/>
          <w:sz w:val="24"/>
          <w:szCs w:val="24"/>
          <w:u w:val="single"/>
        </w:rPr>
        <w:tab/>
      </w:r>
    </w:p>
    <w:p w:rsidR="000B618B" w:rsidRPr="00A903BF" w:rsidP="00A903BF">
      <w:pPr>
        <w:widowControl w:val="0"/>
        <w:autoSpaceDE w:val="0"/>
        <w:autoSpaceDN w:val="0"/>
        <w:adjustRightInd w:val="0"/>
        <w:spacing w:after="0" w:line="240" w:lineRule="auto"/>
        <w:ind w:left="4320"/>
        <w:rPr>
          <w:rFonts w:ascii="Times New Roman" w:hAnsi="Times New Roman" w:cs="Times New Roman"/>
          <w:i/>
          <w:sz w:val="24"/>
          <w:szCs w:val="24"/>
        </w:rPr>
      </w:pPr>
      <w:r>
        <w:rPr>
          <w:rFonts w:ascii="Times New Roman" w:hAnsi="Times New Roman" w:cs="Times New Roman"/>
          <w:sz w:val="24"/>
          <w:szCs w:val="24"/>
        </w:rPr>
        <w:t>Assistant Consumers’ Counsel</w:t>
      </w:r>
      <w:r w:rsidRPr="00A903BF">
        <w:rPr>
          <w:rFonts w:ascii="Times New Roman" w:hAnsi="Times New Roman" w:cs="Times New Roman"/>
          <w:i/>
          <w:sz w:val="24"/>
          <w:szCs w:val="24"/>
          <w:u w:val="single"/>
        </w:rPr>
        <w:t xml:space="preserve"> </w:t>
      </w:r>
    </w:p>
    <w:p w:rsidR="000B618B" w:rsidP="007F3A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32E66" w:rsidP="00132E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bl>
      <w:tblPr>
        <w:tblW w:w="0" w:type="auto"/>
        <w:tblLook w:val="04A0"/>
      </w:tblPr>
      <w:tblGrid>
        <w:gridCol w:w="9121"/>
        <w:gridCol w:w="239"/>
      </w:tblGrid>
      <w:tr w:rsidTr="002727AA">
        <w:tblPrEx>
          <w:tblW w:w="0" w:type="auto"/>
          <w:tblLook w:val="04A0"/>
        </w:tblPrEx>
        <w:tc>
          <w:tcPr>
            <w:tcW w:w="4675" w:type="dxa"/>
            <w:shd w:val="clear" w:color="auto" w:fill="auto"/>
          </w:tcPr>
          <w:tbl>
            <w:tblPr>
              <w:tblStyle w:val="TableGrid"/>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5"/>
              <w:gridCol w:w="4500"/>
            </w:tblGrid>
            <w:tr w:rsidTr="00132E66">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05" w:type="dxa"/>
                </w:tcPr>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thomas.lindgren@ohioattorneygeneral.gov</w:t>
                  </w:r>
                </w:p>
                <w:p w:rsidR="00132E66" w:rsidRPr="00132E66" w:rsidP="00132E66">
                  <w:pPr>
                    <w:spacing w:after="0" w:line="240" w:lineRule="auto"/>
                    <w:rPr>
                      <w:rFonts w:ascii="Times New Roman" w:hAnsi="Times New Roman" w:cs="Times New Roman"/>
                      <w:sz w:val="24"/>
                    </w:rPr>
                  </w:pPr>
                </w:p>
                <w:p w:rsidR="00132E66" w:rsidRPr="00132E66" w:rsidP="00132E66">
                  <w:pPr>
                    <w:spacing w:after="0" w:line="240" w:lineRule="auto"/>
                    <w:rPr>
                      <w:rFonts w:ascii="Times New Roman" w:hAnsi="Times New Roman" w:cs="Times New Roman"/>
                      <w:sz w:val="24"/>
                    </w:rPr>
                  </w:pPr>
                  <w:r w:rsidRPr="00132E66">
                    <w:rPr>
                      <w:rFonts w:ascii="Times New Roman" w:hAnsi="Times New Roman" w:cs="Times New Roman"/>
                      <w:sz w:val="24"/>
                    </w:rPr>
                    <w:t>Attorney Examiner:</w:t>
                  </w:r>
                </w:p>
                <w:p w:rsidR="00132E66" w:rsidRPr="00132E66" w:rsidP="00132E66">
                  <w:pPr>
                    <w:spacing w:after="0" w:line="240" w:lineRule="auto"/>
                    <w:rPr>
                      <w:rFonts w:ascii="Times New Roman" w:hAnsi="Times New Roman" w:cs="Times New Roman"/>
                      <w:sz w:val="24"/>
                    </w:rPr>
                  </w:pPr>
                  <w:r w:rsidRPr="00132E66">
                    <w:rPr>
                      <w:rFonts w:ascii="Times New Roman" w:hAnsi="Times New Roman" w:cs="Times New Roman"/>
                      <w:sz w:val="24"/>
                    </w:rPr>
                    <w:t>Megan.addison@puc.state.oh.us</w:t>
                  </w:r>
                </w:p>
                <w:p w:rsidR="00132E66" w:rsidRPr="00132E66" w:rsidP="00132E66">
                  <w:pPr>
                    <w:spacing w:after="0" w:line="240" w:lineRule="auto"/>
                    <w:rPr>
                      <w:rFonts w:ascii="Times New Roman" w:hAnsi="Times New Roman" w:cs="Times New Roman"/>
                      <w:sz w:val="24"/>
                    </w:rPr>
                  </w:pPr>
                  <w:r w:rsidRPr="00132E66">
                    <w:rPr>
                      <w:rFonts w:ascii="Times New Roman" w:hAnsi="Times New Roman" w:cs="Times New Roman"/>
                      <w:sz w:val="24"/>
                    </w:rPr>
                    <w:t>Douglas.jennings@puc.state.oh.us</w:t>
                  </w:r>
                </w:p>
              </w:tc>
              <w:tc>
                <w:tcPr>
                  <w:tcW w:w="4500" w:type="dxa"/>
                </w:tcPr>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BarthRoyer@aol.com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campbell@whitt-sturtevant.com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cgoodman@energymarketers.com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fdarr@mwncmh.com</w:t>
                  </w:r>
                </w:p>
                <w:p w:rsidR="00132E66" w:rsidRPr="00132E66" w:rsidP="00132E66">
                  <w:pPr>
                    <w:autoSpaceDE w:val="0"/>
                    <w:autoSpaceDN w:val="0"/>
                    <w:adjustRightInd w:val="0"/>
                    <w:spacing w:after="0" w:line="240" w:lineRule="auto"/>
                    <w:rPr>
                      <w:rFonts w:ascii="Times New Roman" w:hAnsi="Times New Roman" w:cs="Times New Roman"/>
                      <w:sz w:val="24"/>
                      <w:szCs w:val="24"/>
                    </w:rPr>
                  </w:pPr>
                  <w:r w:rsidRPr="00132E66">
                    <w:rPr>
                      <w:rFonts w:ascii="Times New Roman" w:hAnsi="Times New Roman" w:cs="Times New Roman"/>
                      <w:sz w:val="24"/>
                      <w:szCs w:val="24"/>
                    </w:rPr>
                    <w:t>whitt@whitt-sturtevant.com</w:t>
                  </w:r>
                </w:p>
                <w:p w:rsidR="00132E66" w:rsidRPr="00132E66" w:rsidP="00132E66">
                  <w:pPr>
                    <w:autoSpaceDE w:val="0"/>
                    <w:autoSpaceDN w:val="0"/>
                    <w:adjustRightInd w:val="0"/>
                    <w:spacing w:after="0" w:line="240" w:lineRule="auto"/>
                    <w:rPr>
                      <w:rFonts w:ascii="Times New Roman" w:hAnsi="Times New Roman" w:cs="Times New Roman"/>
                      <w:sz w:val="24"/>
                      <w:szCs w:val="24"/>
                    </w:rPr>
                  </w:pPr>
                  <w:r w:rsidRPr="00132E66">
                    <w:rPr>
                      <w:rFonts w:ascii="Times New Roman" w:hAnsi="Times New Roman" w:cs="Times New Roman"/>
                      <w:sz w:val="24"/>
                      <w:szCs w:val="24"/>
                    </w:rPr>
                    <w:t>campbell@whitt-sturtevant.com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szCs w:val="24"/>
                    </w:rPr>
                    <w:t>glover@whitt-sturtevant.com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cmooney@ohiopartners.org</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joliker@igsenergy.com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mswhite@igsenergy.com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sdismukes@eckertseamans.com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sstoner@eckertseamans.com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dclearfield@eckertseamans.com</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 xml:space="preserve">kmarsilio@eckertseamans.com </w:t>
                  </w:r>
                </w:p>
                <w:p w:rsidR="00132E66" w:rsidRPr="00132E66" w:rsidP="00132E66">
                  <w:pPr>
                    <w:autoSpaceDE w:val="0"/>
                    <w:autoSpaceDN w:val="0"/>
                    <w:adjustRightInd w:val="0"/>
                    <w:spacing w:after="0" w:line="240" w:lineRule="auto"/>
                    <w:rPr>
                      <w:rFonts w:ascii="Times New Roman" w:hAnsi="Times New Roman" w:cs="Times New Roman"/>
                      <w:sz w:val="24"/>
                    </w:rPr>
                  </w:pPr>
                  <w:r w:rsidRPr="00132E66">
                    <w:rPr>
                      <w:rFonts w:ascii="Times New Roman" w:hAnsi="Times New Roman" w:cs="Times New Roman"/>
                      <w:sz w:val="24"/>
                    </w:rPr>
                    <w:t>natarafeller@fellerenergylaw.com</w:t>
                  </w:r>
                </w:p>
                <w:p w:rsidR="00132E66" w:rsidRPr="00132E66" w:rsidP="00132E66">
                  <w:pPr>
                    <w:spacing w:after="0" w:line="240" w:lineRule="auto"/>
                    <w:rPr>
                      <w:rFonts w:ascii="Times New Roman" w:hAnsi="Times New Roman" w:cs="Times New Roman"/>
                      <w:sz w:val="24"/>
                    </w:rPr>
                  </w:pPr>
                  <w:r w:rsidRPr="00132E66">
                    <w:rPr>
                      <w:rFonts w:ascii="Times New Roman" w:hAnsi="Times New Roman" w:cs="Times New Roman"/>
                      <w:sz w:val="24"/>
                    </w:rPr>
                    <w:t>twilliams@snhslaw.com</w:t>
                  </w:r>
                </w:p>
                <w:p w:rsidR="00132E66" w:rsidRPr="00132E66" w:rsidP="00132E66">
                  <w:pPr>
                    <w:spacing w:after="0" w:line="240" w:lineRule="auto"/>
                    <w:rPr>
                      <w:rFonts w:ascii="Times New Roman" w:hAnsi="Times New Roman" w:cs="Times New Roman"/>
                      <w:sz w:val="24"/>
                    </w:rPr>
                  </w:pPr>
                  <w:r w:rsidRPr="00132E66">
                    <w:rPr>
                      <w:rFonts w:ascii="Times New Roman" w:hAnsi="Times New Roman" w:cs="Times New Roman"/>
                      <w:sz w:val="24"/>
                    </w:rPr>
                    <w:t>mjsettineri@vorys.com</w:t>
                  </w:r>
                </w:p>
              </w:tc>
            </w:tr>
          </w:tbl>
          <w:p w:rsidR="00132E66" w:rsidRPr="00C5283A" w:rsidP="002727AA">
            <w:pPr>
              <w:rPr>
                <w:sz w:val="24"/>
              </w:rPr>
            </w:pPr>
          </w:p>
        </w:tc>
        <w:tc>
          <w:tcPr>
            <w:tcW w:w="4675" w:type="dxa"/>
            <w:shd w:val="clear" w:color="auto" w:fill="auto"/>
          </w:tcPr>
          <w:p w:rsidR="00132E66" w:rsidRPr="00C5283A" w:rsidP="002727AA">
            <w:pPr>
              <w:rPr>
                <w:sz w:val="24"/>
              </w:rPr>
            </w:pPr>
          </w:p>
        </w:tc>
      </w:tr>
    </w:tbl>
    <w:p w:rsidR="000B618B" w:rsidP="00132E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0B618B" w:rsidP="007F3A09">
      <w:pPr>
        <w:widowControl w:val="0"/>
        <w:autoSpaceDE w:val="0"/>
        <w:autoSpaceDN w:val="0"/>
        <w:adjustRightInd w:val="0"/>
        <w:spacing w:after="0" w:line="240" w:lineRule="auto"/>
        <w:rPr>
          <w:rFonts w:ascii="Times New Roman" w:hAnsi="Times New Roman" w:cs="Times New Roman"/>
          <w:sz w:val="24"/>
          <w:szCs w:val="24"/>
        </w:rPr>
      </w:pPr>
    </w:p>
    <w:p w:rsidR="00471E8C" w:rsidP="007F3A09"/>
    <w:sectPr w:rsidSect="00AE0E26">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11662050"/>
      <w:docPartObj>
        <w:docPartGallery w:val="Page Numbers (Bottom of Page)"/>
        <w:docPartUnique/>
      </w:docPartObj>
    </w:sdtPr>
    <w:sdtContent>
      <w:p w:rsidR="000872FA" w:rsidRPr="001A75A5">
        <w:pPr>
          <w:pStyle w:val="Footer"/>
          <w:jc w:val="center"/>
          <w:rPr>
            <w:rFonts w:ascii="Times New Roman" w:hAnsi="Times New Roman" w:cs="Times New Roman"/>
            <w:sz w:val="24"/>
            <w:szCs w:val="24"/>
          </w:rPr>
        </w:pPr>
        <w:r w:rsidRPr="001A75A5">
          <w:rPr>
            <w:rFonts w:ascii="Times New Roman" w:hAnsi="Times New Roman" w:cs="Times New Roman"/>
            <w:sz w:val="24"/>
            <w:szCs w:val="24"/>
          </w:rPr>
          <w:fldChar w:fldCharType="begin"/>
        </w:r>
        <w:r w:rsidRPr="001A75A5">
          <w:rPr>
            <w:rFonts w:ascii="Times New Roman" w:hAnsi="Times New Roman" w:cs="Times New Roman"/>
            <w:sz w:val="24"/>
            <w:szCs w:val="24"/>
          </w:rPr>
          <w:instrText xml:space="preserve"> PAGE   \* MERGEFORMAT </w:instrText>
        </w:r>
        <w:r w:rsidRPr="001A75A5">
          <w:rPr>
            <w:rFonts w:ascii="Times New Roman" w:hAnsi="Times New Roman" w:cs="Times New Roman"/>
            <w:sz w:val="24"/>
            <w:szCs w:val="24"/>
          </w:rPr>
          <w:fldChar w:fldCharType="separate"/>
        </w:r>
        <w:r w:rsidR="009B0D62">
          <w:rPr>
            <w:rFonts w:ascii="Times New Roman" w:hAnsi="Times New Roman" w:cs="Times New Roman"/>
            <w:noProof/>
            <w:sz w:val="24"/>
            <w:szCs w:val="24"/>
          </w:rPr>
          <w:t>2</w:t>
        </w:r>
        <w:r w:rsidRPr="001A75A5">
          <w:rPr>
            <w:rFonts w:ascii="Times New Roman" w:hAnsi="Times New Roman" w:cs="Times New Roman"/>
            <w:sz w:val="24"/>
            <w:szCs w:val="24"/>
          </w:rPr>
          <w:fldChar w:fldCharType="end"/>
        </w:r>
      </w:p>
    </w:sdtContent>
  </w:sdt>
  <w:p w:rsidR="000872FA" w:rsidRPr="001A75A5">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6136401"/>
      <w:docPartObj>
        <w:docPartGallery w:val="Page Numbers (Bottom of Page)"/>
        <w:docPartUnique/>
      </w:docPartObj>
    </w:sdtPr>
    <w:sdtEndPr>
      <w:rPr>
        <w:rFonts w:ascii="Times New Roman" w:hAnsi="Times New Roman" w:cs="Times New Roman"/>
        <w:noProof/>
        <w:sz w:val="24"/>
      </w:rPr>
    </w:sdtEndPr>
    <w:sdtContent>
      <w:p w:rsidR="00AB6682" w:rsidRPr="00AB6682">
        <w:pPr>
          <w:pStyle w:val="Footer"/>
          <w:jc w:val="center"/>
          <w:rPr>
            <w:rFonts w:ascii="Times New Roman" w:hAnsi="Times New Roman" w:cs="Times New Roman"/>
            <w:sz w:val="24"/>
          </w:rPr>
        </w:pPr>
        <w:r w:rsidRPr="00AB6682">
          <w:rPr>
            <w:rFonts w:ascii="Times New Roman" w:hAnsi="Times New Roman" w:cs="Times New Roman"/>
            <w:sz w:val="24"/>
          </w:rPr>
          <w:fldChar w:fldCharType="begin"/>
        </w:r>
        <w:r w:rsidRPr="00AB6682">
          <w:rPr>
            <w:rFonts w:ascii="Times New Roman" w:hAnsi="Times New Roman" w:cs="Times New Roman"/>
            <w:sz w:val="24"/>
          </w:rPr>
          <w:instrText xml:space="preserve"> PAGE   \* MERGEFORMAT </w:instrText>
        </w:r>
        <w:r w:rsidRPr="00AB6682">
          <w:rPr>
            <w:rFonts w:ascii="Times New Roman" w:hAnsi="Times New Roman" w:cs="Times New Roman"/>
            <w:sz w:val="24"/>
          </w:rPr>
          <w:fldChar w:fldCharType="separate"/>
        </w:r>
        <w:r w:rsidR="009B0D62">
          <w:rPr>
            <w:rFonts w:ascii="Times New Roman" w:hAnsi="Times New Roman" w:cs="Times New Roman"/>
            <w:noProof/>
            <w:sz w:val="24"/>
          </w:rPr>
          <w:t>1</w:t>
        </w:r>
        <w:r w:rsidRPr="00AB6682">
          <w:rPr>
            <w:rFonts w:ascii="Times New Roman" w:hAnsi="Times New Roman" w:cs="Times New Roman"/>
            <w:noProof/>
            <w:sz w:val="24"/>
          </w:rPr>
          <w:fldChar w:fldCharType="end"/>
        </w:r>
      </w:p>
    </w:sdtContent>
  </w:sdt>
  <w:p w:rsidR="00AB6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38EB" w:rsidP="000B618B">
      <w:pPr>
        <w:spacing w:after="0" w:line="240" w:lineRule="auto"/>
      </w:pPr>
      <w:r>
        <w:separator/>
      </w:r>
    </w:p>
  </w:footnote>
  <w:footnote w:type="continuationSeparator" w:id="1">
    <w:p w:rsidR="002138EB" w:rsidP="000B618B">
      <w:pPr>
        <w:spacing w:after="0" w:line="240" w:lineRule="auto"/>
      </w:pPr>
      <w:r>
        <w:continuationSeparator/>
      </w:r>
    </w:p>
  </w:footnote>
  <w:footnote w:id="2">
    <w:p w:rsidR="005E2964" w:rsidRPr="00AC37B4" w:rsidP="005E2964">
      <w:pPr>
        <w:pStyle w:val="FootnoteText"/>
        <w:rPr>
          <w:rFonts w:cs="Times New Roman"/>
        </w:rPr>
      </w:pPr>
      <w:r w:rsidRPr="00AC37B4">
        <w:rPr>
          <w:rStyle w:val="FootnoteReference"/>
          <w:rFonts w:cs="Times New Roman"/>
        </w:rPr>
        <w:footnoteRef/>
      </w:r>
      <w:r w:rsidRPr="00AC37B4">
        <w:rPr>
          <w:rFonts w:cs="Times New Roman"/>
        </w:rPr>
        <w:t xml:space="preserve"> Opinion and Order (January 9, 2013). </w:t>
      </w:r>
    </w:p>
  </w:footnote>
  <w:footnote w:id="3">
    <w:p w:rsidR="00506881"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Pr>
          <w:rFonts w:cs="Times New Roman"/>
        </w:rPr>
        <w:t>Motion to Protect Consumers</w:t>
      </w:r>
      <w:r w:rsidRPr="00AC37B4">
        <w:rPr>
          <w:rFonts w:cs="Times New Roman"/>
        </w:rPr>
        <w:t xml:space="preserve"> at 3.</w:t>
      </w:r>
    </w:p>
  </w:footnote>
  <w:footnote w:id="4">
    <w:p w:rsidR="00CA4049"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Pr>
          <w:rFonts w:cs="Times New Roman"/>
          <w:i/>
        </w:rPr>
        <w:t xml:space="preserve">Id. </w:t>
      </w:r>
      <w:r w:rsidRPr="00AC37B4">
        <w:rPr>
          <w:rFonts w:cs="Times New Roman"/>
        </w:rPr>
        <w:t xml:space="preserve">at 7. </w:t>
      </w:r>
    </w:p>
  </w:footnote>
  <w:footnote w:id="5">
    <w:p w:rsidR="00171240" w:rsidRPr="00AC37B4">
      <w:pPr>
        <w:pStyle w:val="FootnoteText"/>
        <w:rPr>
          <w:rFonts w:cs="Times New Roman"/>
        </w:rPr>
      </w:pPr>
      <w:r w:rsidRPr="00AC37B4">
        <w:rPr>
          <w:rStyle w:val="FootnoteReference"/>
          <w:rFonts w:cs="Times New Roman"/>
        </w:rPr>
        <w:footnoteRef/>
      </w:r>
      <w:r w:rsidRPr="00AC37B4">
        <w:rPr>
          <w:rFonts w:cs="Times New Roman"/>
        </w:rPr>
        <w:t xml:space="preserve"> Joint Memorandum Contra to OCC</w:t>
      </w:r>
      <w:r>
        <w:rPr>
          <w:rFonts w:cs="Times New Roman"/>
        </w:rPr>
        <w:t>’</w:t>
      </w:r>
      <w:r w:rsidRPr="00AC37B4">
        <w:rPr>
          <w:rFonts w:cs="Times New Roman"/>
        </w:rPr>
        <w:t xml:space="preserve">s Motion to Modify the 2013 Order (March 30, 2018). </w:t>
      </w:r>
    </w:p>
  </w:footnote>
  <w:footnote w:id="6">
    <w:p w:rsidR="00135C77" w:rsidRPr="00135C77" w:rsidP="00135C77">
      <w:pPr>
        <w:pStyle w:val="FootnoteText"/>
        <w:rPr>
          <w:rFonts w:cs="Times New Roman"/>
        </w:rPr>
      </w:pPr>
      <w:r w:rsidRPr="00135C77">
        <w:rPr>
          <w:rStyle w:val="FootnoteReference"/>
          <w:rFonts w:cs="Times New Roman"/>
        </w:rPr>
        <w:footnoteRef/>
      </w:r>
      <w:r w:rsidRPr="00135C77">
        <w:rPr>
          <w:rFonts w:cs="Times New Roman"/>
        </w:rPr>
        <w:t xml:space="preserve"> </w:t>
      </w:r>
      <w:r w:rsidRPr="00A10F50">
        <w:rPr>
          <w:rFonts w:cs="Times New Roman"/>
          <w:bCs/>
          <w:i/>
        </w:rPr>
        <w:t>See</w:t>
      </w:r>
      <w:r w:rsidRPr="00135C77">
        <w:rPr>
          <w:rFonts w:cs="Times New Roman"/>
          <w:bCs/>
        </w:rPr>
        <w:t xml:space="preserve"> Response to the Motions to Modify of the East Ohio Gas Company d/b/a Dominion Energy Ohio (March 30, 2018.)</w:t>
      </w:r>
    </w:p>
  </w:footnote>
  <w:footnote w:id="7">
    <w:p w:rsidR="00135C77" w:rsidRPr="00135C77">
      <w:pPr>
        <w:pStyle w:val="FootnoteText"/>
        <w:rPr>
          <w:rFonts w:cs="Times New Roman"/>
        </w:rPr>
      </w:pPr>
      <w:r w:rsidRPr="00135C77">
        <w:rPr>
          <w:rStyle w:val="FootnoteReference"/>
          <w:rFonts w:cs="Times New Roman"/>
        </w:rPr>
        <w:footnoteRef/>
      </w:r>
      <w:r w:rsidRPr="00135C77">
        <w:rPr>
          <w:rFonts w:cs="Times New Roman"/>
        </w:rPr>
        <w:t xml:space="preserve"> </w:t>
      </w:r>
      <w:r w:rsidRPr="00A10F50">
        <w:rPr>
          <w:rFonts w:cs="Times New Roman"/>
          <w:i/>
        </w:rPr>
        <w:t>Id</w:t>
      </w:r>
      <w:r w:rsidRPr="00135C77">
        <w:rPr>
          <w:rFonts w:cs="Times New Roman"/>
        </w:rPr>
        <w:t xml:space="preserve">. at 2. </w:t>
      </w:r>
    </w:p>
  </w:footnote>
  <w:footnote w:id="8">
    <w:p w:rsidR="00826CA6" w:rsidRPr="00AC37B4">
      <w:pPr>
        <w:pStyle w:val="FootnoteText"/>
        <w:rPr>
          <w:rFonts w:cs="Times New Roman"/>
        </w:rPr>
      </w:pPr>
      <w:r w:rsidRPr="00135C77">
        <w:rPr>
          <w:rStyle w:val="FootnoteReference"/>
          <w:rFonts w:cs="Times New Roman"/>
        </w:rPr>
        <w:footnoteRef/>
      </w:r>
      <w:r w:rsidRPr="00135C77">
        <w:rPr>
          <w:rFonts w:cs="Times New Roman"/>
        </w:rPr>
        <w:t xml:space="preserve"> </w:t>
      </w:r>
      <w:r w:rsidRPr="00A10F50">
        <w:rPr>
          <w:rFonts w:cs="Times New Roman"/>
          <w:i/>
        </w:rPr>
        <w:t>See</w:t>
      </w:r>
      <w:r w:rsidRPr="00135C77">
        <w:rPr>
          <w:rFonts w:cs="Times New Roman"/>
        </w:rPr>
        <w:t xml:space="preserve"> Joint Memo Contra</w:t>
      </w:r>
      <w:r w:rsidRPr="00AC37B4">
        <w:rPr>
          <w:rFonts w:cs="Times New Roman"/>
        </w:rPr>
        <w:t xml:space="preserve"> at 6. </w:t>
      </w:r>
    </w:p>
  </w:footnote>
  <w:footnote w:id="9">
    <w:p w:rsidR="00826CA6"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Id</w:t>
      </w:r>
      <w:r w:rsidRPr="00AC37B4">
        <w:rPr>
          <w:rFonts w:cs="Times New Roman"/>
        </w:rPr>
        <w:t xml:space="preserve">. </w:t>
      </w:r>
    </w:p>
  </w:footnote>
  <w:footnote w:id="10">
    <w:p w:rsidR="006860AA" w:rsidRPr="00AC37B4">
      <w:pPr>
        <w:pStyle w:val="FootnoteText"/>
        <w:rPr>
          <w:rFonts w:cs="Times New Roman"/>
        </w:rPr>
      </w:pPr>
      <w:r w:rsidRPr="00AC37B4">
        <w:rPr>
          <w:rStyle w:val="FootnoteReference"/>
          <w:rFonts w:cs="Times New Roman"/>
        </w:rPr>
        <w:footnoteRef/>
      </w:r>
      <w:r w:rsidRPr="00AC37B4">
        <w:rPr>
          <w:rFonts w:cs="Times New Roman"/>
        </w:rPr>
        <w:t xml:space="preserve"> R.C. 4929.02(1) (emphasis added). </w:t>
      </w:r>
    </w:p>
  </w:footnote>
  <w:footnote w:id="11">
    <w:p w:rsidR="00D4666D" w:rsidRPr="00AC37B4" w:rsidP="00D4666D">
      <w:pPr>
        <w:pStyle w:val="FootnoteText"/>
        <w:tabs>
          <w:tab w:val="left" w:pos="360"/>
        </w:tabs>
        <w:rPr>
          <w:rFonts w:cs="Times New Roman"/>
        </w:rPr>
      </w:pPr>
      <w:r w:rsidRPr="00AC37B4">
        <w:rPr>
          <w:rStyle w:val="FootnoteReference"/>
          <w:rFonts w:cs="Times New Roman"/>
        </w:rPr>
        <w:footnoteRef/>
      </w:r>
      <w:r w:rsidRPr="00AC37B4">
        <w:rPr>
          <w:rFonts w:cs="Times New Roman"/>
        </w:rPr>
        <w:t xml:space="preserve"> Motion to </w:t>
      </w:r>
      <w:r>
        <w:rPr>
          <w:rFonts w:cs="Times New Roman"/>
        </w:rPr>
        <w:t>Protect Consumers</w:t>
      </w:r>
      <w:r w:rsidRPr="00AC37B4">
        <w:rPr>
          <w:rFonts w:cs="Times New Roman"/>
        </w:rPr>
        <w:t xml:space="preserve"> at 8 (emphasis added). </w:t>
      </w:r>
    </w:p>
  </w:footnote>
  <w:footnote w:id="12">
    <w:p w:rsidR="00D4666D"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Id</w:t>
      </w:r>
      <w:r w:rsidRPr="00AC37B4">
        <w:rPr>
          <w:rFonts w:cs="Times New Roman"/>
        </w:rPr>
        <w:t xml:space="preserve">. </w:t>
      </w:r>
    </w:p>
  </w:footnote>
  <w:footnote w:id="13">
    <w:p w:rsidR="00D4666D"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Id</w:t>
      </w:r>
      <w:r w:rsidRPr="00AC37B4">
        <w:rPr>
          <w:rFonts w:cs="Times New Roman"/>
        </w:rPr>
        <w:t xml:space="preserve">. at 8-9. </w:t>
      </w:r>
    </w:p>
  </w:footnote>
  <w:footnote w:id="14">
    <w:p w:rsidR="00D4666D"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Id</w:t>
      </w:r>
      <w:r w:rsidRPr="00AC37B4">
        <w:rPr>
          <w:rFonts w:cs="Times New Roman"/>
        </w:rPr>
        <w:t xml:space="preserve">. at 9. </w:t>
      </w:r>
    </w:p>
  </w:footnote>
  <w:footnote w:id="15">
    <w:p w:rsidR="00704187" w:rsidRPr="00AC37B4">
      <w:pPr>
        <w:pStyle w:val="FootnoteText"/>
        <w:rPr>
          <w:rFonts w:cs="Times New Roman"/>
        </w:rPr>
      </w:pPr>
      <w:r w:rsidRPr="00AC37B4">
        <w:rPr>
          <w:rStyle w:val="FootnoteReference"/>
          <w:rFonts w:cs="Times New Roman"/>
        </w:rPr>
        <w:footnoteRef/>
      </w:r>
      <w:r w:rsidRPr="00AC37B4">
        <w:rPr>
          <w:rFonts w:cs="Times New Roman"/>
        </w:rPr>
        <w:t xml:space="preserve"> R.C. 4929.02(1). </w:t>
      </w:r>
    </w:p>
  </w:footnote>
  <w:footnote w:id="16">
    <w:p w:rsidR="00704187" w:rsidRPr="00AC37B4">
      <w:pPr>
        <w:pStyle w:val="FootnoteText"/>
        <w:rPr>
          <w:rFonts w:cs="Times New Roman"/>
        </w:rPr>
      </w:pPr>
      <w:r w:rsidRPr="00AC37B4">
        <w:rPr>
          <w:rStyle w:val="FootnoteReference"/>
          <w:rFonts w:cs="Times New Roman"/>
        </w:rPr>
        <w:footnoteRef/>
      </w:r>
      <w:r w:rsidRPr="00AC37B4">
        <w:rPr>
          <w:rFonts w:cs="Times New Roman"/>
        </w:rPr>
        <w:t xml:space="preserve"> Motion to </w:t>
      </w:r>
      <w:r>
        <w:rPr>
          <w:rFonts w:cs="Times New Roman"/>
        </w:rPr>
        <w:t>Protect Consumers</w:t>
      </w:r>
      <w:r w:rsidRPr="00AC37B4">
        <w:rPr>
          <w:rFonts w:cs="Times New Roman"/>
        </w:rPr>
        <w:t xml:space="preserve"> at 8. </w:t>
      </w:r>
    </w:p>
  </w:footnote>
  <w:footnote w:id="17">
    <w:p w:rsidR="00704187"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See id</w:t>
      </w:r>
      <w:r w:rsidRPr="00AC37B4">
        <w:rPr>
          <w:rFonts w:cs="Times New Roman"/>
        </w:rPr>
        <w:t xml:space="preserve">. </w:t>
      </w:r>
    </w:p>
  </w:footnote>
  <w:footnote w:id="18">
    <w:p w:rsidR="000911B1"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Id</w:t>
      </w:r>
      <w:r w:rsidRPr="00AC37B4">
        <w:rPr>
          <w:rFonts w:cs="Times New Roman"/>
        </w:rPr>
        <w:t>. at 7.</w:t>
      </w:r>
    </w:p>
  </w:footnote>
  <w:footnote w:id="19">
    <w:p w:rsidR="00963A9B" w:rsidRPr="00AC37B4" w:rsidP="00963A9B">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See</w:t>
      </w:r>
      <w:r w:rsidRPr="00AC37B4">
        <w:rPr>
          <w:rFonts w:cs="Times New Roman"/>
        </w:rPr>
        <w:t xml:space="preserve"> </w:t>
      </w:r>
      <w:r w:rsidRPr="00AC37B4">
        <w:rPr>
          <w:rFonts w:cs="Times New Roman"/>
          <w:i/>
        </w:rPr>
        <w:t>In the Matter of the Application of the East Ohio Gas Company d/b/a Dominion East Ohio for Approval of a General Exemption of Certain Natural Gas Commodity Sales Services or Ancillary Services</w:t>
      </w:r>
      <w:r w:rsidRPr="00AC37B4">
        <w:rPr>
          <w:rFonts w:cs="Times New Roman"/>
        </w:rPr>
        <w:t>, Case No. 07-1224-GA-EXM, Opinion and Order (June 18, 2008) (</w:t>
      </w:r>
      <w:r>
        <w:rPr>
          <w:rFonts w:cs="Times New Roman"/>
        </w:rPr>
        <w:t>“</w:t>
      </w:r>
      <w:r w:rsidRPr="00AC37B4">
        <w:rPr>
          <w:rFonts w:cs="Times New Roman"/>
        </w:rPr>
        <w:t>2008 Order</w:t>
      </w:r>
      <w:r>
        <w:rPr>
          <w:rFonts w:cs="Times New Roman"/>
        </w:rPr>
        <w:t>”</w:t>
      </w:r>
      <w:r w:rsidRPr="00AC37B4">
        <w:rPr>
          <w:rFonts w:cs="Times New Roman"/>
        </w:rPr>
        <w:t>)</w:t>
      </w:r>
      <w:r>
        <w:rPr>
          <w:rFonts w:cs="Times New Roman"/>
        </w:rPr>
        <w:t xml:space="preserve"> </w:t>
      </w:r>
      <w:r w:rsidRPr="00AC37B4">
        <w:rPr>
          <w:rFonts w:cs="Times New Roman"/>
        </w:rPr>
        <w:t xml:space="preserve">at 2. </w:t>
      </w:r>
    </w:p>
  </w:footnote>
  <w:footnote w:id="20">
    <w:p w:rsidR="00217EE4"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sidRPr="00A10F50">
        <w:rPr>
          <w:rFonts w:cs="Times New Roman"/>
          <w:i/>
        </w:rPr>
        <w:t>See</w:t>
      </w:r>
      <w:r w:rsidRPr="00AC37B4">
        <w:rPr>
          <w:rFonts w:cs="Times New Roman"/>
        </w:rPr>
        <w:t xml:space="preserve"> Joint Memo Contra at 1-5. </w:t>
      </w:r>
    </w:p>
  </w:footnote>
  <w:footnote w:id="21">
    <w:p w:rsidR="00787117" w:rsidRPr="00AC37B4">
      <w:pPr>
        <w:pStyle w:val="FootnoteText"/>
        <w:rPr>
          <w:rFonts w:cs="Times New Roman"/>
        </w:rPr>
      </w:pPr>
      <w:r w:rsidRPr="00AC37B4">
        <w:rPr>
          <w:rStyle w:val="FootnoteReference"/>
          <w:rFonts w:cs="Times New Roman"/>
        </w:rPr>
        <w:footnoteRef/>
      </w:r>
      <w:r w:rsidRPr="00AC37B4">
        <w:rPr>
          <w:rFonts w:cs="Times New Roman"/>
        </w:rPr>
        <w:t xml:space="preserve"> 2013 Order</w:t>
      </w:r>
      <w:r>
        <w:rPr>
          <w:rFonts w:cs="Times New Roman"/>
        </w:rPr>
        <w:t xml:space="preserve"> at 9</w:t>
      </w:r>
      <w:r w:rsidRPr="00AC37B4">
        <w:rPr>
          <w:rFonts w:cs="Times New Roman"/>
        </w:rPr>
        <w:t xml:space="preserve">. </w:t>
      </w:r>
    </w:p>
  </w:footnote>
  <w:footnote w:id="22">
    <w:p w:rsidR="00AB3846" w:rsidRPr="007B6F12">
      <w:pPr>
        <w:pStyle w:val="FootnoteText"/>
        <w:rPr>
          <w:rFonts w:cs="Times New Roman"/>
        </w:rPr>
      </w:pPr>
      <w:r w:rsidRPr="007B6F12">
        <w:rPr>
          <w:rStyle w:val="FootnoteReference"/>
          <w:rFonts w:cs="Times New Roman"/>
        </w:rPr>
        <w:footnoteRef/>
      </w:r>
      <w:r w:rsidRPr="007B6F12">
        <w:rPr>
          <w:rFonts w:cs="Times New Roman"/>
        </w:rPr>
        <w:t xml:space="preserve"> </w:t>
      </w:r>
      <w:r>
        <w:rPr>
          <w:rFonts w:cs="Times New Roman"/>
          <w:i/>
        </w:rPr>
        <w:t>Id.</w:t>
      </w:r>
      <w:r w:rsidRPr="007B6F12">
        <w:rPr>
          <w:rFonts w:cs="Times New Roman"/>
        </w:rPr>
        <w:t xml:space="preserve"> at 9-10.</w:t>
      </w:r>
    </w:p>
  </w:footnote>
  <w:footnote w:id="23">
    <w:p w:rsidR="007B6F12" w:rsidRPr="007B6F12">
      <w:pPr>
        <w:pStyle w:val="FootnoteText"/>
        <w:rPr>
          <w:rFonts w:cs="Times New Roman"/>
        </w:rPr>
      </w:pPr>
      <w:r w:rsidRPr="007B6F12">
        <w:rPr>
          <w:rStyle w:val="FootnoteReference"/>
          <w:rFonts w:cs="Times New Roman"/>
        </w:rPr>
        <w:footnoteRef/>
      </w:r>
      <w:r w:rsidRPr="007B6F12">
        <w:rPr>
          <w:rFonts w:cs="Times New Roman"/>
        </w:rPr>
        <w:t xml:space="preserve"> </w:t>
      </w:r>
      <w:r w:rsidRPr="00A10F50">
        <w:rPr>
          <w:rFonts w:cs="Times New Roman"/>
          <w:i/>
        </w:rPr>
        <w:t>Id</w:t>
      </w:r>
      <w:r w:rsidRPr="007B6F12">
        <w:rPr>
          <w:rFonts w:cs="Times New Roman"/>
        </w:rPr>
        <w:t>. at 7 (emphasis added).</w:t>
      </w:r>
    </w:p>
  </w:footnote>
  <w:footnote w:id="24">
    <w:p w:rsidR="007A1C5A" w:rsidRPr="007B6F12">
      <w:pPr>
        <w:pStyle w:val="FootnoteText"/>
        <w:rPr>
          <w:rFonts w:cs="Times New Roman"/>
        </w:rPr>
      </w:pPr>
      <w:r w:rsidRPr="007B6F12">
        <w:rPr>
          <w:rStyle w:val="FootnoteReference"/>
          <w:rFonts w:cs="Times New Roman"/>
        </w:rPr>
        <w:footnoteRef/>
      </w:r>
      <w:r w:rsidRPr="007B6F12">
        <w:rPr>
          <w:rFonts w:cs="Times New Roman"/>
        </w:rPr>
        <w:t xml:space="preserve"> 2008 Order at 14. </w:t>
      </w:r>
    </w:p>
  </w:footnote>
  <w:footnote w:id="25">
    <w:p w:rsidR="007A1C5A" w:rsidRPr="007B6F12">
      <w:pPr>
        <w:pStyle w:val="FootnoteText"/>
        <w:rPr>
          <w:rFonts w:cs="Times New Roman"/>
        </w:rPr>
      </w:pPr>
      <w:r w:rsidRPr="007B6F12">
        <w:rPr>
          <w:rStyle w:val="FootnoteReference"/>
          <w:rFonts w:cs="Times New Roman"/>
        </w:rPr>
        <w:footnoteRef/>
      </w:r>
      <w:r w:rsidRPr="007B6F12">
        <w:rPr>
          <w:rFonts w:cs="Times New Roman"/>
        </w:rPr>
        <w:t xml:space="preserve"> 2013 Order at 16-17</w:t>
      </w:r>
      <w:r>
        <w:rPr>
          <w:rFonts w:cs="Times New Roman"/>
        </w:rPr>
        <w:t xml:space="preserve"> (emphasis added)</w:t>
      </w:r>
      <w:r w:rsidRPr="007B6F12">
        <w:rPr>
          <w:rFonts w:cs="Times New Roman"/>
        </w:rPr>
        <w:t xml:space="preserve">. </w:t>
      </w:r>
    </w:p>
  </w:footnote>
  <w:footnote w:id="26">
    <w:p w:rsidR="007A1C5A" w:rsidRPr="007B6F12">
      <w:pPr>
        <w:pStyle w:val="FootnoteText"/>
        <w:rPr>
          <w:rFonts w:cs="Times New Roman"/>
        </w:rPr>
      </w:pPr>
      <w:r w:rsidRPr="007B6F12">
        <w:rPr>
          <w:rStyle w:val="FootnoteReference"/>
          <w:rFonts w:cs="Times New Roman"/>
        </w:rPr>
        <w:footnoteRef/>
      </w:r>
      <w:r w:rsidRPr="007B6F12">
        <w:rPr>
          <w:rFonts w:cs="Times New Roman"/>
        </w:rPr>
        <w:t xml:space="preserve"> </w:t>
      </w:r>
      <w:r w:rsidRPr="00A10F50">
        <w:rPr>
          <w:rFonts w:cs="Times New Roman"/>
          <w:i/>
        </w:rPr>
        <w:t>See</w:t>
      </w:r>
      <w:r w:rsidRPr="007B6F12">
        <w:rPr>
          <w:rFonts w:cs="Times New Roman"/>
        </w:rPr>
        <w:t xml:space="preserve"> Joint Memo Contra at 5. </w:t>
      </w:r>
    </w:p>
  </w:footnote>
  <w:footnote w:id="27">
    <w:p w:rsidR="00B52EDE" w:rsidRPr="00AC37B4">
      <w:pPr>
        <w:pStyle w:val="FootnoteText"/>
        <w:rPr>
          <w:rFonts w:cs="Times New Roman"/>
        </w:rPr>
      </w:pPr>
      <w:r w:rsidRPr="00AC37B4">
        <w:rPr>
          <w:rStyle w:val="FootnoteReference"/>
          <w:rFonts w:cs="Times New Roman"/>
        </w:rPr>
        <w:footnoteRef/>
      </w:r>
      <w:r w:rsidRPr="00AC37B4">
        <w:rPr>
          <w:rFonts w:cs="Times New Roman"/>
        </w:rPr>
        <w:t xml:space="preserve"> R.C. 4929.08(B) (emphasis added).  </w:t>
      </w:r>
    </w:p>
  </w:footnote>
  <w:footnote w:id="28">
    <w:p w:rsidR="00B52EDE" w:rsidRPr="00AC37B4">
      <w:pPr>
        <w:pStyle w:val="FootnoteText"/>
        <w:rPr>
          <w:rFonts w:cs="Times New Roman"/>
        </w:rPr>
      </w:pPr>
      <w:r w:rsidRPr="00AC37B4">
        <w:rPr>
          <w:rStyle w:val="FootnoteReference"/>
          <w:rFonts w:cs="Times New Roman"/>
        </w:rPr>
        <w:footnoteRef/>
      </w:r>
      <w:r w:rsidRPr="00AC37B4">
        <w:rPr>
          <w:rFonts w:cs="Times New Roman"/>
        </w:rPr>
        <w:t xml:space="preserve"> OCC Motion to </w:t>
      </w:r>
      <w:r>
        <w:rPr>
          <w:rFonts w:cs="Times New Roman"/>
        </w:rPr>
        <w:t>Protect Consumers</w:t>
      </w:r>
      <w:r w:rsidRPr="00AC37B4">
        <w:rPr>
          <w:rFonts w:cs="Times New Roman"/>
        </w:rPr>
        <w:t xml:space="preserve"> at 7-8.</w:t>
      </w:r>
    </w:p>
  </w:footnote>
  <w:footnote w:id="29">
    <w:p w:rsidR="00B52EDE" w:rsidRPr="00AC37B4">
      <w:pPr>
        <w:pStyle w:val="FootnoteText"/>
        <w:rPr>
          <w:rFonts w:cs="Times New Roman"/>
        </w:rPr>
      </w:pPr>
      <w:r w:rsidRPr="00AC37B4">
        <w:rPr>
          <w:rStyle w:val="FootnoteReference"/>
          <w:rFonts w:cs="Times New Roman"/>
        </w:rPr>
        <w:footnoteRef/>
      </w:r>
      <w:r w:rsidRPr="00AC37B4">
        <w:rPr>
          <w:rFonts w:cs="Times New Roman"/>
        </w:rPr>
        <w:t xml:space="preserve"> </w:t>
      </w:r>
      <w:r>
        <w:rPr>
          <w:rFonts w:cs="Times New Roman"/>
          <w:i/>
        </w:rPr>
        <w:t xml:space="preserve">Id. </w:t>
      </w:r>
      <w:r w:rsidRPr="00AC37B4">
        <w:rPr>
          <w:rFonts w:cs="Times New Roman"/>
        </w:rPr>
        <w:t xml:space="preserve">at 8-9. </w:t>
      </w:r>
    </w:p>
  </w:footnote>
  <w:footnote w:id="30">
    <w:p w:rsidR="00FE3EBC" w:rsidRPr="00D15ACA">
      <w:pPr>
        <w:pStyle w:val="FootnoteText"/>
        <w:rPr>
          <w:rFonts w:cs="Times New Roman"/>
        </w:rPr>
      </w:pPr>
      <w:r w:rsidRPr="00D15ACA">
        <w:rPr>
          <w:rStyle w:val="FootnoteReference"/>
          <w:rFonts w:cs="Times New Roman"/>
        </w:rPr>
        <w:footnoteRef/>
      </w:r>
      <w:r w:rsidRPr="00D15ACA">
        <w:rPr>
          <w:rFonts w:cs="Times New Roman"/>
        </w:rPr>
        <w:t xml:space="preserve"> </w:t>
      </w:r>
      <w:r w:rsidRPr="00A10F50">
        <w:rPr>
          <w:rFonts w:cs="Times New Roman"/>
          <w:i/>
        </w:rPr>
        <w:t>Id</w:t>
      </w:r>
      <w:r w:rsidRPr="00D15ACA">
        <w:rPr>
          <w:rFonts w:cs="Times New Roman"/>
        </w:rPr>
        <w:t xml:space="preserve">. </w:t>
      </w:r>
    </w:p>
  </w:footnote>
  <w:footnote w:id="31">
    <w:p w:rsidR="003A5ED0" w:rsidRPr="00D15ACA">
      <w:pPr>
        <w:pStyle w:val="FootnoteText"/>
        <w:rPr>
          <w:rFonts w:cs="Times New Roman"/>
        </w:rPr>
      </w:pPr>
      <w:r w:rsidRPr="00D15ACA">
        <w:rPr>
          <w:rStyle w:val="FootnoteReference"/>
          <w:rFonts w:cs="Times New Roman"/>
        </w:rPr>
        <w:footnoteRef/>
      </w:r>
      <w:r w:rsidRPr="00D15ACA">
        <w:rPr>
          <w:rFonts w:cs="Times New Roman"/>
        </w:rPr>
        <w:t xml:space="preserve"> Dominion Response at 2.</w:t>
      </w:r>
    </w:p>
  </w:footnote>
  <w:footnote w:id="32">
    <w:p w:rsidR="003A5ED0" w:rsidRPr="00D15ACA">
      <w:pPr>
        <w:pStyle w:val="FootnoteText"/>
        <w:rPr>
          <w:rFonts w:cs="Times New Roman"/>
        </w:rPr>
      </w:pPr>
      <w:r w:rsidRPr="00D15ACA">
        <w:rPr>
          <w:rStyle w:val="FootnoteReference"/>
          <w:rFonts w:cs="Times New Roman"/>
        </w:rPr>
        <w:footnoteRef/>
      </w:r>
      <w:r w:rsidRPr="00D15ACA">
        <w:rPr>
          <w:rFonts w:cs="Times New Roman"/>
        </w:rPr>
        <w:t xml:space="preserve"> </w:t>
      </w:r>
      <w:r w:rsidRPr="00A10F50">
        <w:rPr>
          <w:rFonts w:cs="Times New Roman"/>
          <w:i/>
        </w:rPr>
        <w:t>Id</w:t>
      </w:r>
      <w:r w:rsidRPr="00D15ACA">
        <w:rPr>
          <w:rFonts w:cs="Times New Roman"/>
        </w:rPr>
        <w:t>.</w:t>
      </w:r>
    </w:p>
  </w:footnote>
  <w:footnote w:id="33">
    <w:p w:rsidR="003A5ED0" w:rsidRPr="00D15ACA">
      <w:pPr>
        <w:pStyle w:val="FootnoteText"/>
        <w:rPr>
          <w:rFonts w:cs="Times New Roman"/>
        </w:rPr>
      </w:pPr>
      <w:r w:rsidRPr="00D15ACA">
        <w:rPr>
          <w:rStyle w:val="FootnoteReference"/>
          <w:rFonts w:cs="Times New Roman"/>
        </w:rPr>
        <w:footnoteRef/>
      </w:r>
      <w:r w:rsidRPr="00D15ACA">
        <w:rPr>
          <w:rFonts w:cs="Times New Roman"/>
        </w:rPr>
        <w:t xml:space="preserve"> </w:t>
      </w:r>
      <w:r w:rsidRPr="00A10F50">
        <w:rPr>
          <w:rFonts w:cs="Times New Roman"/>
          <w:i/>
        </w:rPr>
        <w:t>Id</w:t>
      </w:r>
      <w:r w:rsidRPr="00D15ACA">
        <w:rPr>
          <w:rFonts w:cs="Times New Roman"/>
        </w:rPr>
        <w:t>.</w:t>
      </w:r>
    </w:p>
  </w:footnote>
  <w:footnote w:id="34">
    <w:p w:rsidR="00F1111E" w:rsidP="00F1111E">
      <w:pPr>
        <w:pStyle w:val="FootnoteText"/>
      </w:pPr>
      <w:r>
        <w:rPr>
          <w:rStyle w:val="FootnoteReference"/>
        </w:rPr>
        <w:footnoteRef/>
      </w:r>
      <w:r>
        <w:t xml:space="preserve"> Memorandum Contra Direct Energy’s Motion to Intervene (March 30, 2018). </w:t>
      </w:r>
    </w:p>
  </w:footnote>
  <w:footnote w:id="35">
    <w:p w:rsidR="0047752D" w:rsidP="0047752D">
      <w:pPr>
        <w:pStyle w:val="FootnoteText"/>
      </w:pPr>
      <w:r>
        <w:rPr>
          <w:rStyle w:val="FootnoteReference"/>
        </w:rPr>
        <w:footnoteRef/>
      </w:r>
      <w:r>
        <w:t xml:space="preserve"> </w:t>
      </w:r>
      <w:r>
        <w:rPr>
          <w:i/>
        </w:rPr>
        <w:t xml:space="preserve">See </w:t>
      </w:r>
      <w:r>
        <w:t>Joint Motion (March 26, 2018); Joint Memorandum Contra to OPAE’s Motion to Modify the 2013 Order, (March 30, 2018); Joint Memorandum Contra to OCC’s Motion to Modify the 2013 Order, (March 30, 2018).</w:t>
      </w:r>
    </w:p>
  </w:footnote>
  <w:footnote w:id="36">
    <w:p w:rsidR="0047752D">
      <w:pPr>
        <w:pStyle w:val="FootnoteText"/>
      </w:pPr>
      <w:r>
        <w:rPr>
          <w:rStyle w:val="FootnoteReference"/>
        </w:rPr>
        <w:footnoteRef/>
      </w:r>
      <w:r>
        <w:t xml:space="preserve"> Direct Energy’s Motion to Intervene (March 23, 2018) at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6A6B3A0"/>
    <w:lvl w:ilvl="0">
      <w:start w:val="1"/>
      <w:numFmt w:val="decimal"/>
      <w:lvlText w:val="%1."/>
      <w:lvlJc w:val="left"/>
      <w:pPr>
        <w:tabs>
          <w:tab w:val="num" w:pos="1800"/>
        </w:tabs>
        <w:ind w:left="1800" w:hanging="360"/>
      </w:pPr>
    </w:lvl>
  </w:abstractNum>
  <w:abstractNum w:abstractNumId="1">
    <w:nsid w:val="FFFFFF7D"/>
    <w:multiLevelType w:val="singleLevel"/>
    <w:tmpl w:val="88361260"/>
    <w:lvl w:ilvl="0">
      <w:start w:val="1"/>
      <w:numFmt w:val="decimal"/>
      <w:lvlText w:val="%1."/>
      <w:lvlJc w:val="left"/>
      <w:pPr>
        <w:tabs>
          <w:tab w:val="num" w:pos="1440"/>
        </w:tabs>
        <w:ind w:left="1440" w:hanging="360"/>
      </w:pPr>
    </w:lvl>
  </w:abstractNum>
  <w:abstractNum w:abstractNumId="2">
    <w:nsid w:val="FFFFFF7E"/>
    <w:multiLevelType w:val="singleLevel"/>
    <w:tmpl w:val="2AA0B504"/>
    <w:lvl w:ilvl="0">
      <w:start w:val="1"/>
      <w:numFmt w:val="decimal"/>
      <w:lvlText w:val="%1."/>
      <w:lvlJc w:val="left"/>
      <w:pPr>
        <w:tabs>
          <w:tab w:val="num" w:pos="1080"/>
        </w:tabs>
        <w:ind w:left="1080" w:hanging="360"/>
      </w:pPr>
    </w:lvl>
  </w:abstractNum>
  <w:abstractNum w:abstractNumId="3">
    <w:nsid w:val="FFFFFF7F"/>
    <w:multiLevelType w:val="singleLevel"/>
    <w:tmpl w:val="CC8CD2B4"/>
    <w:lvl w:ilvl="0">
      <w:start w:val="1"/>
      <w:numFmt w:val="decimal"/>
      <w:lvlText w:val="%1."/>
      <w:lvlJc w:val="left"/>
      <w:pPr>
        <w:tabs>
          <w:tab w:val="num" w:pos="720"/>
        </w:tabs>
        <w:ind w:left="720" w:hanging="360"/>
      </w:pPr>
    </w:lvl>
  </w:abstractNum>
  <w:abstractNum w:abstractNumId="4">
    <w:nsid w:val="FFFFFF80"/>
    <w:multiLevelType w:val="singleLevel"/>
    <w:tmpl w:val="BB30C9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8202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1BACE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A480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46518C"/>
    <w:lvl w:ilvl="0">
      <w:start w:val="1"/>
      <w:numFmt w:val="decimal"/>
      <w:lvlText w:val="%1."/>
      <w:lvlJc w:val="left"/>
      <w:pPr>
        <w:tabs>
          <w:tab w:val="num" w:pos="360"/>
        </w:tabs>
        <w:ind w:left="360" w:hanging="360"/>
      </w:pPr>
    </w:lvl>
  </w:abstractNum>
  <w:abstractNum w:abstractNumId="9">
    <w:nsid w:val="FFFFFF89"/>
    <w:multiLevelType w:val="singleLevel"/>
    <w:tmpl w:val="984AEA5E"/>
    <w:lvl w:ilvl="0">
      <w:start w:val="1"/>
      <w:numFmt w:val="bullet"/>
      <w:lvlText w:val=""/>
      <w:lvlJc w:val="left"/>
      <w:pPr>
        <w:tabs>
          <w:tab w:val="num" w:pos="360"/>
        </w:tabs>
        <w:ind w:left="360" w:hanging="360"/>
      </w:pPr>
      <w:rPr>
        <w:rFonts w:ascii="Symbol" w:hAnsi="Symbol" w:hint="default"/>
      </w:rPr>
    </w:lvl>
  </w:abstractNum>
  <w:abstractNum w:abstractNumId="10">
    <w:nsid w:val="15E51670"/>
    <w:multiLevelType w:val="hybridMultilevel"/>
    <w:tmpl w:val="4B64A4A4"/>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1EA83A73"/>
    <w:multiLevelType w:val="hybridMultilevel"/>
    <w:tmpl w:val="47CCBC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1353190"/>
    <w:multiLevelType w:val="hybridMultilevel"/>
    <w:tmpl w:val="9962F34A"/>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C978D3"/>
    <w:multiLevelType w:val="hybridMultilevel"/>
    <w:tmpl w:val="1430D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92E4E4D"/>
    <w:multiLevelType w:val="hybridMultilevel"/>
    <w:tmpl w:val="4C28E956"/>
    <w:lvl w:ilvl="0">
      <w:start w:val="5"/>
      <w:numFmt w:val="upp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CA54088"/>
    <w:multiLevelType w:val="hybridMultilevel"/>
    <w:tmpl w:val="152811A8"/>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7D6017DC"/>
    <w:multiLevelType w:val="hybridMultilevel"/>
    <w:tmpl w:val="DC9A80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1"/>
  </w:num>
  <w:num w:numId="3">
    <w:abstractNumId w:val="15"/>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23"/>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18B"/>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nhideWhenUsed/>
    <w:rsid w:val="00E82A23"/>
    <w:pPr>
      <w:spacing w:after="120" w:line="240" w:lineRule="auto"/>
    </w:pPr>
    <w:rPr>
      <w:rFonts w:ascii="Times New Roman" w:hAnsi="Times New Roman"/>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rsid w:val="00E82A23"/>
    <w:rPr>
      <w:rFonts w:ascii="Times New Roman" w:hAnsi="Times New Roman" w:eastAsiaTheme="minorEastAsia"/>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nhideWhenUsed/>
    <w:rsid w:val="000B618B"/>
    <w:rPr>
      <w:vertAlign w:val="superscript"/>
    </w:rPr>
  </w:style>
  <w:style w:type="paragraph" w:styleId="Footer">
    <w:name w:val="footer"/>
    <w:basedOn w:val="Normal"/>
    <w:link w:val="FooterChar"/>
    <w:uiPriority w:val="99"/>
    <w:unhideWhenUsed/>
    <w:rsid w:val="000B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18B"/>
    <w:rPr>
      <w:rFonts w:eastAsiaTheme="minorEastAsia"/>
      <w:sz w:val="22"/>
      <w:szCs w:val="22"/>
    </w:rPr>
  </w:style>
  <w:style w:type="character" w:styleId="Hyperlink">
    <w:name w:val="Hyperlink"/>
    <w:basedOn w:val="DefaultParagraphFont"/>
    <w:uiPriority w:val="99"/>
    <w:unhideWhenUsed/>
    <w:rsid w:val="000B618B"/>
    <w:rPr>
      <w:color w:val="0563C1" w:themeColor="hyperlink"/>
      <w:u w:val="single"/>
    </w:rPr>
  </w:style>
  <w:style w:type="paragraph" w:styleId="BalloonText">
    <w:name w:val="Balloon Text"/>
    <w:basedOn w:val="Normal"/>
    <w:link w:val="BalloonTextChar"/>
    <w:uiPriority w:val="99"/>
    <w:semiHidden/>
    <w:unhideWhenUsed/>
    <w:rsid w:val="000B61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618B"/>
    <w:rPr>
      <w:rFonts w:ascii="Times New Roman" w:hAnsi="Times New Roman" w:eastAsiaTheme="minorEastAsia" w:cs="Times New Roman"/>
      <w:sz w:val="18"/>
      <w:szCs w:val="18"/>
    </w:rPr>
  </w:style>
  <w:style w:type="character" w:styleId="CommentReference">
    <w:name w:val="annotation reference"/>
    <w:basedOn w:val="DefaultParagraphFont"/>
    <w:uiPriority w:val="99"/>
    <w:semiHidden/>
    <w:unhideWhenUsed/>
    <w:rsid w:val="000B618B"/>
    <w:rPr>
      <w:sz w:val="18"/>
      <w:szCs w:val="18"/>
    </w:rPr>
  </w:style>
  <w:style w:type="paragraph" w:styleId="CommentText">
    <w:name w:val="annotation text"/>
    <w:basedOn w:val="Normal"/>
    <w:link w:val="CommentTextChar"/>
    <w:uiPriority w:val="99"/>
    <w:semiHidden/>
    <w:unhideWhenUsed/>
    <w:rsid w:val="000B618B"/>
    <w:pPr>
      <w:spacing w:line="240" w:lineRule="auto"/>
    </w:pPr>
    <w:rPr>
      <w:sz w:val="24"/>
      <w:szCs w:val="24"/>
    </w:rPr>
  </w:style>
  <w:style w:type="character" w:customStyle="1" w:styleId="CommentTextChar">
    <w:name w:val="Comment Text Char"/>
    <w:basedOn w:val="DefaultParagraphFont"/>
    <w:link w:val="CommentText"/>
    <w:uiPriority w:val="99"/>
    <w:semiHidden/>
    <w:rsid w:val="000B618B"/>
    <w:rPr>
      <w:rFonts w:eastAsiaTheme="minorEastAsia"/>
    </w:rPr>
  </w:style>
  <w:style w:type="paragraph" w:styleId="CommentSubject">
    <w:name w:val="annotation subject"/>
    <w:basedOn w:val="CommentText"/>
    <w:next w:val="CommentText"/>
    <w:link w:val="CommentSubjectChar"/>
    <w:uiPriority w:val="99"/>
    <w:semiHidden/>
    <w:unhideWhenUsed/>
    <w:rsid w:val="000B618B"/>
    <w:rPr>
      <w:b/>
      <w:bCs/>
      <w:sz w:val="20"/>
      <w:szCs w:val="20"/>
    </w:rPr>
  </w:style>
  <w:style w:type="character" w:customStyle="1" w:styleId="CommentSubjectChar">
    <w:name w:val="Comment Subject Char"/>
    <w:basedOn w:val="CommentTextChar"/>
    <w:link w:val="CommentSubject"/>
    <w:uiPriority w:val="99"/>
    <w:semiHidden/>
    <w:rsid w:val="000B618B"/>
    <w:rPr>
      <w:rFonts w:eastAsiaTheme="minorEastAsia"/>
      <w:b/>
      <w:bCs/>
      <w:sz w:val="20"/>
      <w:szCs w:val="20"/>
    </w:rPr>
  </w:style>
  <w:style w:type="paragraph" w:styleId="ListParagraph">
    <w:name w:val="List Paragraph"/>
    <w:basedOn w:val="Normal"/>
    <w:uiPriority w:val="34"/>
    <w:qFormat/>
    <w:rsid w:val="000B618B"/>
    <w:pPr>
      <w:ind w:left="720"/>
      <w:contextualSpacing/>
    </w:pPr>
  </w:style>
  <w:style w:type="paragraph" w:styleId="Revision">
    <w:name w:val="Revision"/>
    <w:hidden/>
    <w:uiPriority w:val="99"/>
    <w:semiHidden/>
    <w:rsid w:val="00890320"/>
    <w:rPr>
      <w:rFonts w:eastAsiaTheme="minorEastAsia"/>
      <w:sz w:val="22"/>
      <w:szCs w:val="22"/>
    </w:rPr>
  </w:style>
  <w:style w:type="paragraph" w:styleId="Header">
    <w:name w:val="header"/>
    <w:basedOn w:val="Normal"/>
    <w:link w:val="HeaderChar"/>
    <w:uiPriority w:val="99"/>
    <w:unhideWhenUsed/>
    <w:rsid w:val="009D2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67"/>
    <w:rPr>
      <w:rFonts w:eastAsiaTheme="minorEastAsia"/>
      <w:sz w:val="22"/>
      <w:szCs w:val="22"/>
    </w:rPr>
  </w:style>
  <w:style w:type="paragraph" w:styleId="BodyTextIndent">
    <w:name w:val="Body Text Indent"/>
    <w:basedOn w:val="Normal"/>
    <w:link w:val="BodyTextIndentChar"/>
    <w:rsid w:val="00F1111E"/>
    <w:pPr>
      <w:spacing w:after="0" w:line="48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1111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2018-04-06T21:14:42Z</dcterms:created>
  <dcterms:modified xsi:type="dcterms:W3CDTF">2018-04-06T21:14:42Z</dcterms:modified>
</cp:coreProperties>
</file>