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2C7A39" w:rsidRPr="00E32DB7" w:rsidP="002C7A39" w14:paraId="03C106F2" w14:textId="77777777">
      <w:pPr>
        <w:pStyle w:val="HTMLPreformatted"/>
        <w:jc w:val="center"/>
        <w:rPr>
          <w:rFonts w:ascii="Times New Roman" w:hAnsi="Times New Roman" w:cs="Times New Roman"/>
          <w:b/>
          <w:bCs/>
          <w:sz w:val="24"/>
          <w:szCs w:val="24"/>
        </w:rPr>
      </w:pPr>
      <w:bookmarkStart w:id="0" w:name="_Toc512326203"/>
      <w:bookmarkStart w:id="1" w:name="_Toc83667911"/>
      <w:bookmarkStart w:id="2" w:name="_Toc83673481"/>
      <w:bookmarkStart w:id="3" w:name="_Hlk7793395"/>
      <w:r w:rsidRPr="00E32DB7">
        <w:rPr>
          <w:rFonts w:ascii="Times New Roman" w:hAnsi="Times New Roman" w:cs="Times New Roman"/>
          <w:b/>
          <w:bCs/>
          <w:sz w:val="24"/>
          <w:szCs w:val="24"/>
        </w:rPr>
        <w:t>BEFORE</w:t>
      </w:r>
    </w:p>
    <w:p w:rsidR="002C7A39" w:rsidRPr="00E32DB7" w:rsidP="002C7A39" w14:paraId="1F342072" w14:textId="77777777">
      <w:pPr>
        <w:pStyle w:val="HTMLPreformatted"/>
        <w:jc w:val="center"/>
        <w:rPr>
          <w:rFonts w:ascii="Times New Roman" w:hAnsi="Times New Roman" w:cs="Times New Roman"/>
          <w:sz w:val="24"/>
          <w:szCs w:val="24"/>
        </w:rPr>
      </w:pPr>
      <w:r w:rsidRPr="00E32DB7">
        <w:rPr>
          <w:rFonts w:ascii="Times New Roman" w:hAnsi="Times New Roman" w:cs="Times New Roman"/>
          <w:b/>
          <w:bCs/>
          <w:sz w:val="24"/>
          <w:szCs w:val="24"/>
        </w:rPr>
        <w:t>THE PUBLIC UTILITIES COMMISSION OF OHIO</w:t>
      </w:r>
    </w:p>
    <w:p w:rsidR="002C7A39" w:rsidRPr="00E32DB7" w:rsidP="002C7A39" w14:paraId="2DCD8789" w14:textId="77777777">
      <w:pPr>
        <w:pStyle w:val="HTMLPreformatted"/>
        <w:rPr>
          <w:rFonts w:ascii="Times New Roman" w:hAnsi="Times New Roman" w:cs="Times New Roman"/>
          <w:sz w:val="24"/>
          <w:szCs w:val="24"/>
        </w:rPr>
      </w:pPr>
    </w:p>
    <w:tbl>
      <w:tblPr>
        <w:tblW w:w="9092" w:type="dxa"/>
        <w:tblLook w:val="01E0"/>
      </w:tblPr>
      <w:tblGrid>
        <w:gridCol w:w="4230"/>
        <w:gridCol w:w="462"/>
        <w:gridCol w:w="4400"/>
      </w:tblGrid>
      <w:tr w14:paraId="4164992F" w14:textId="77777777" w:rsidTr="00810C97">
        <w:tblPrEx>
          <w:tblW w:w="9092" w:type="dxa"/>
          <w:tblLook w:val="01E0"/>
        </w:tblPrEx>
        <w:trPr>
          <w:trHeight w:val="807"/>
        </w:trPr>
        <w:tc>
          <w:tcPr>
            <w:tcW w:w="4230" w:type="dxa"/>
            <w:shd w:val="clear" w:color="auto" w:fill="auto"/>
          </w:tcPr>
          <w:p w:rsidR="0034517B" w:rsidRPr="00E32DB7" w:rsidP="00810C97" w14:paraId="7377DE2F" w14:textId="77777777">
            <w:pPr>
              <w:pStyle w:val="HTMLPreformatted"/>
              <w:rPr>
                <w:rFonts w:ascii="Times New Roman" w:hAnsi="Times New Roman" w:cs="Times New Roman"/>
                <w:sz w:val="24"/>
                <w:szCs w:val="24"/>
              </w:rPr>
            </w:pPr>
            <w:r w:rsidRPr="00E32DB7">
              <w:rPr>
                <w:rFonts w:ascii="Times New Roman" w:hAnsi="Times New Roman" w:cs="Times New Roman"/>
                <w:sz w:val="24"/>
                <w:szCs w:val="24"/>
              </w:rPr>
              <w:t>In the Matter of the 2021 Review of the Delivery Capital Recovery Rider of Ohio Edison Company, the Cleveland Electric Illuminating Company, and the Toledo Edison Company.</w:t>
            </w:r>
          </w:p>
        </w:tc>
        <w:tc>
          <w:tcPr>
            <w:tcW w:w="462" w:type="dxa"/>
            <w:shd w:val="clear" w:color="auto" w:fill="auto"/>
          </w:tcPr>
          <w:p w:rsidR="0034517B" w:rsidRPr="00E32DB7" w:rsidP="00810C97" w14:paraId="5893A5D0" w14:textId="77777777">
            <w:pPr>
              <w:pStyle w:val="HTMLPreformatted"/>
              <w:rPr>
                <w:rFonts w:ascii="Times New Roman" w:hAnsi="Times New Roman" w:cs="Times New Roman"/>
                <w:sz w:val="24"/>
                <w:szCs w:val="24"/>
              </w:rPr>
            </w:pPr>
            <w:r w:rsidRPr="00E32DB7">
              <w:rPr>
                <w:rFonts w:ascii="Times New Roman" w:hAnsi="Times New Roman" w:cs="Times New Roman"/>
                <w:sz w:val="24"/>
                <w:szCs w:val="24"/>
              </w:rPr>
              <w:t>)</w:t>
            </w:r>
          </w:p>
          <w:p w:rsidR="0034517B" w:rsidRPr="00E32DB7" w:rsidP="00810C97" w14:paraId="334CF667" w14:textId="77777777">
            <w:pPr>
              <w:pStyle w:val="HTMLPreformatted"/>
              <w:rPr>
                <w:rFonts w:ascii="Times New Roman" w:hAnsi="Times New Roman" w:cs="Times New Roman"/>
                <w:sz w:val="24"/>
                <w:szCs w:val="24"/>
              </w:rPr>
            </w:pPr>
            <w:r w:rsidRPr="00E32DB7">
              <w:rPr>
                <w:rFonts w:ascii="Times New Roman" w:hAnsi="Times New Roman" w:cs="Times New Roman"/>
                <w:sz w:val="24"/>
                <w:szCs w:val="24"/>
              </w:rPr>
              <w:t>)</w:t>
            </w:r>
          </w:p>
          <w:p w:rsidR="0034517B" w:rsidRPr="00E32DB7" w:rsidP="00810C97" w14:paraId="2A959F17" w14:textId="77777777">
            <w:pPr>
              <w:pStyle w:val="HTMLPreformatted"/>
              <w:rPr>
                <w:rFonts w:ascii="Times New Roman" w:hAnsi="Times New Roman" w:cs="Times New Roman"/>
                <w:sz w:val="24"/>
                <w:szCs w:val="24"/>
              </w:rPr>
            </w:pPr>
            <w:r w:rsidRPr="00E32DB7">
              <w:rPr>
                <w:rFonts w:ascii="Times New Roman" w:hAnsi="Times New Roman" w:cs="Times New Roman"/>
                <w:sz w:val="24"/>
                <w:szCs w:val="24"/>
              </w:rPr>
              <w:t>)</w:t>
            </w:r>
          </w:p>
          <w:p w:rsidR="0034517B" w:rsidRPr="00E32DB7" w:rsidP="00810C97" w14:paraId="49050EBF" w14:textId="77777777">
            <w:pPr>
              <w:pStyle w:val="HTMLPreformatted"/>
              <w:rPr>
                <w:rFonts w:ascii="Times New Roman" w:hAnsi="Times New Roman" w:cs="Times New Roman"/>
                <w:sz w:val="24"/>
                <w:szCs w:val="24"/>
              </w:rPr>
            </w:pPr>
            <w:r w:rsidRPr="00E32DB7">
              <w:rPr>
                <w:rFonts w:ascii="Times New Roman" w:hAnsi="Times New Roman" w:cs="Times New Roman"/>
                <w:sz w:val="24"/>
                <w:szCs w:val="24"/>
              </w:rPr>
              <w:t>)</w:t>
            </w:r>
          </w:p>
          <w:p w:rsidR="0034517B" w:rsidRPr="00E32DB7" w:rsidP="00810C97" w14:paraId="6213839C" w14:textId="77777777">
            <w:pPr>
              <w:pStyle w:val="HTMLPreformatted"/>
              <w:rPr>
                <w:rFonts w:ascii="Times New Roman" w:hAnsi="Times New Roman" w:cs="Times New Roman"/>
                <w:sz w:val="24"/>
                <w:szCs w:val="24"/>
              </w:rPr>
            </w:pPr>
            <w:r w:rsidRPr="00E32DB7">
              <w:rPr>
                <w:rFonts w:ascii="Times New Roman" w:hAnsi="Times New Roman" w:cs="Times New Roman"/>
                <w:sz w:val="24"/>
                <w:szCs w:val="24"/>
              </w:rPr>
              <w:t>)</w:t>
            </w:r>
          </w:p>
        </w:tc>
        <w:tc>
          <w:tcPr>
            <w:tcW w:w="4400" w:type="dxa"/>
            <w:shd w:val="clear" w:color="auto" w:fill="auto"/>
          </w:tcPr>
          <w:p w:rsidR="0034517B" w:rsidRPr="00E32DB7" w:rsidP="00810C97" w14:paraId="21ACE9CA" w14:textId="77777777">
            <w:pPr>
              <w:pStyle w:val="HTMLPreformatted"/>
              <w:rPr>
                <w:rFonts w:ascii="Times New Roman" w:hAnsi="Times New Roman" w:cs="Times New Roman"/>
                <w:sz w:val="24"/>
                <w:szCs w:val="24"/>
              </w:rPr>
            </w:pPr>
          </w:p>
          <w:p w:rsidR="0034517B" w:rsidRPr="00E32DB7" w:rsidP="00810C97" w14:paraId="0191B65D" w14:textId="77777777">
            <w:pPr>
              <w:pStyle w:val="HTMLPreformatted"/>
              <w:rPr>
                <w:rFonts w:ascii="Times New Roman" w:hAnsi="Times New Roman" w:cs="Times New Roman"/>
                <w:sz w:val="24"/>
                <w:szCs w:val="24"/>
              </w:rPr>
            </w:pPr>
            <w:r w:rsidRPr="00E32DB7">
              <w:rPr>
                <w:rFonts w:ascii="Times New Roman" w:hAnsi="Times New Roman" w:cs="Times New Roman"/>
                <w:sz w:val="24"/>
                <w:szCs w:val="24"/>
              </w:rPr>
              <w:t>Case No. 21-1038-EL-RDR</w:t>
            </w:r>
          </w:p>
          <w:p w:rsidR="0034517B" w:rsidRPr="00E32DB7" w:rsidP="00810C97" w14:paraId="4E0DC84E" w14:textId="77777777">
            <w:pPr>
              <w:pStyle w:val="HTMLPreformatted"/>
              <w:rPr>
                <w:rFonts w:ascii="Times New Roman" w:hAnsi="Times New Roman" w:cs="Times New Roman"/>
                <w:sz w:val="24"/>
                <w:szCs w:val="24"/>
              </w:rPr>
            </w:pPr>
          </w:p>
          <w:p w:rsidR="0034517B" w:rsidRPr="00E32DB7" w:rsidP="00810C97" w14:paraId="01CA2CDC" w14:textId="77777777">
            <w:pPr>
              <w:pStyle w:val="HTMLPreformatted"/>
              <w:rPr>
                <w:rFonts w:ascii="Times New Roman" w:hAnsi="Times New Roman" w:cs="Times New Roman"/>
                <w:sz w:val="24"/>
                <w:szCs w:val="24"/>
              </w:rPr>
            </w:pPr>
          </w:p>
          <w:p w:rsidR="0034517B" w:rsidRPr="00E32DB7" w:rsidP="00810C97" w14:paraId="4427AEAA" w14:textId="77777777">
            <w:pPr>
              <w:pStyle w:val="HTMLPreformatted"/>
              <w:rPr>
                <w:rFonts w:ascii="Times New Roman" w:hAnsi="Times New Roman" w:cs="Times New Roman"/>
                <w:sz w:val="24"/>
                <w:szCs w:val="24"/>
              </w:rPr>
            </w:pPr>
          </w:p>
        </w:tc>
      </w:tr>
    </w:tbl>
    <w:p w:rsidR="002C7A39" w:rsidRPr="00E32DB7" w:rsidP="002C7A39" w14:paraId="0B759046" w14:textId="77777777">
      <w:pPr>
        <w:pStyle w:val="HTMLPreformatted"/>
        <w:rPr>
          <w:rFonts w:ascii="Times New Roman" w:hAnsi="Times New Roman" w:cs="Times New Roman"/>
          <w:sz w:val="24"/>
          <w:szCs w:val="24"/>
        </w:rPr>
      </w:pPr>
      <w:r w:rsidRPr="00E32DB7">
        <w:rPr>
          <w:rFonts w:ascii="Times New Roman" w:hAnsi="Times New Roman" w:cs="Times New Roman"/>
          <w:sz w:val="24"/>
          <w:szCs w:val="24"/>
        </w:rPr>
        <w:tab/>
      </w:r>
    </w:p>
    <w:p w:rsidR="002C7A39" w:rsidRPr="00E32DB7" w:rsidP="002C7A39" w14:paraId="382C81CE" w14:textId="77777777">
      <w:pPr>
        <w:pStyle w:val="HTMLPreformatted"/>
        <w:pBdr>
          <w:top w:val="single" w:sz="12" w:space="1" w:color="auto"/>
        </w:pBdr>
        <w:rPr>
          <w:rFonts w:ascii="Times New Roman" w:hAnsi="Times New Roman" w:cs="Times New Roman"/>
          <w:sz w:val="24"/>
          <w:szCs w:val="24"/>
        </w:rPr>
      </w:pPr>
    </w:p>
    <w:p w:rsidR="002C7A39" w:rsidRPr="00E32DB7" w:rsidP="002C7A39" w14:paraId="1E7C9467" w14:textId="60C7FFF1">
      <w:pPr>
        <w:jc w:val="center"/>
        <w:rPr>
          <w:b/>
          <w:bCs/>
          <w:szCs w:val="24"/>
        </w:rPr>
      </w:pPr>
      <w:r w:rsidRPr="00E32DB7">
        <w:rPr>
          <w:b/>
          <w:bCs/>
          <w:szCs w:val="24"/>
        </w:rPr>
        <w:t>CONSUMER PROTECTION COMMENTS</w:t>
      </w:r>
    </w:p>
    <w:p w:rsidR="002C7A39" w:rsidRPr="00E32DB7" w:rsidP="002C7A39" w14:paraId="2C5601B8" w14:textId="77777777">
      <w:pPr>
        <w:jc w:val="center"/>
        <w:rPr>
          <w:b/>
          <w:bCs/>
          <w:szCs w:val="24"/>
        </w:rPr>
      </w:pPr>
      <w:r w:rsidRPr="00E32DB7">
        <w:rPr>
          <w:b/>
          <w:bCs/>
          <w:szCs w:val="24"/>
        </w:rPr>
        <w:t>BY</w:t>
      </w:r>
    </w:p>
    <w:p w:rsidR="002C7A39" w:rsidRPr="00E32DB7" w:rsidP="002C7A39" w14:paraId="7A8CC290" w14:textId="77777777">
      <w:pPr>
        <w:jc w:val="center"/>
        <w:rPr>
          <w:b/>
          <w:bCs/>
          <w:szCs w:val="24"/>
        </w:rPr>
      </w:pPr>
      <w:r w:rsidRPr="00E32DB7">
        <w:rPr>
          <w:b/>
          <w:bCs/>
          <w:szCs w:val="24"/>
        </w:rPr>
        <w:t>OFFICE OF THE OHIO CONSUMERS’ COUNSEL</w:t>
      </w:r>
    </w:p>
    <w:p w:rsidR="002C7A39" w:rsidRPr="00E32DB7" w:rsidP="002C7A39" w14:paraId="0510FC89" w14:textId="77777777">
      <w:pPr>
        <w:pBdr>
          <w:bottom w:val="single" w:sz="12" w:space="1" w:color="auto"/>
        </w:pBdr>
        <w:tabs>
          <w:tab w:val="left" w:pos="4320"/>
        </w:tabs>
        <w:rPr>
          <w:szCs w:val="24"/>
        </w:rPr>
      </w:pPr>
    </w:p>
    <w:p w:rsidR="00C93439" w:rsidRPr="00E32DB7" w:rsidP="00C93439" w14:paraId="19155C86" w14:textId="77777777">
      <w:pPr>
        <w:rPr>
          <w:szCs w:val="24"/>
        </w:rPr>
      </w:pPr>
      <w:bookmarkStart w:id="4" w:name="_Toc83716856"/>
      <w:bookmarkStart w:id="5" w:name="_Toc83717266"/>
      <w:bookmarkStart w:id="6" w:name="_Toc83717803"/>
      <w:bookmarkStart w:id="7" w:name="_Toc84259781"/>
      <w:bookmarkStart w:id="8" w:name="_Toc84260407"/>
    </w:p>
    <w:p w:rsidR="006F1EA1" w:rsidRPr="00E32DB7" w:rsidP="008B100A" w14:paraId="6E6C00A0" w14:textId="021FCD58">
      <w:pPr>
        <w:pStyle w:val="Heading1"/>
        <w:rPr>
          <w:rFonts w:ascii="Times New Roman" w:hAnsi="Times New Roman"/>
        </w:rPr>
      </w:pPr>
      <w:r w:rsidRPr="00E32DB7">
        <w:rPr>
          <w:rFonts w:ascii="Times New Roman" w:hAnsi="Times New Roman"/>
        </w:rPr>
        <w:t>I.</w:t>
      </w:r>
      <w:r w:rsidRPr="00E32DB7">
        <w:rPr>
          <w:rFonts w:ascii="Times New Roman" w:hAnsi="Times New Roman"/>
        </w:rPr>
        <w:tab/>
      </w:r>
      <w:r w:rsidRPr="00E32DB7" w:rsidR="00790369">
        <w:rPr>
          <w:rFonts w:ascii="Times New Roman" w:hAnsi="Times New Roman"/>
        </w:rPr>
        <w:t>INTRODUCTION</w:t>
      </w:r>
      <w:bookmarkEnd w:id="0"/>
      <w:bookmarkEnd w:id="1"/>
      <w:bookmarkEnd w:id="2"/>
      <w:bookmarkEnd w:id="4"/>
      <w:bookmarkEnd w:id="5"/>
      <w:bookmarkEnd w:id="6"/>
      <w:bookmarkEnd w:id="7"/>
      <w:bookmarkEnd w:id="8"/>
    </w:p>
    <w:bookmarkEnd w:id="3"/>
    <w:p w:rsidR="007A2250" w:rsidRPr="00E32DB7" w:rsidP="000649A4" w14:paraId="1AADDB46" w14:textId="3B4B12C4">
      <w:pPr>
        <w:kinsoku w:val="0"/>
        <w:overflowPunct w:val="0"/>
        <w:autoSpaceDE w:val="0"/>
        <w:autoSpaceDN w:val="0"/>
        <w:adjustRightInd w:val="0"/>
        <w:spacing w:line="480" w:lineRule="auto"/>
        <w:ind w:firstLine="720"/>
        <w:rPr>
          <w:szCs w:val="24"/>
        </w:rPr>
      </w:pPr>
      <w:r w:rsidRPr="00E32DB7">
        <w:rPr>
          <w:szCs w:val="24"/>
        </w:rPr>
        <w:t>This case involves the audit of t</w:t>
      </w:r>
      <w:r w:rsidRPr="00E32DB7" w:rsidR="00790369">
        <w:rPr>
          <w:szCs w:val="24"/>
        </w:rPr>
        <w:t>he FirstEnergy Utilities</w:t>
      </w:r>
      <w:r>
        <w:rPr>
          <w:rStyle w:val="FootnoteReference"/>
          <w:szCs w:val="24"/>
        </w:rPr>
        <w:footnoteReference w:id="3"/>
      </w:r>
      <w:r w:rsidRPr="00E32DB7" w:rsidR="00790369">
        <w:rPr>
          <w:szCs w:val="24"/>
        </w:rPr>
        <w:t xml:space="preserve"> </w:t>
      </w:r>
      <w:r w:rsidRPr="00E32DB7">
        <w:rPr>
          <w:szCs w:val="24"/>
        </w:rPr>
        <w:t>2021 spending under its so-called Delivery Capital Recover Rider (“DCR Charge”).</w:t>
      </w:r>
      <w:r>
        <w:rPr>
          <w:rStyle w:val="FootnoteReference"/>
          <w:szCs w:val="24"/>
        </w:rPr>
        <w:footnoteReference w:id="4"/>
      </w:r>
      <w:r w:rsidRPr="00E32DB7">
        <w:rPr>
          <w:szCs w:val="24"/>
        </w:rPr>
        <w:t xml:space="preserve"> Under the DCR Charge, the FirstEnergy Utilities charge consumers hundreds of millions of dollars every year, including a return on and of their distribution-related capital investments. OCC has long opposed such single-issue ratemaking, which allows utilities to charge their captive consumers hundreds of millions of dollars without the consumer protections embedded in a rate case proceeding. As such, this annual audit of the 2021 DCR Charge to FirstEnergy consumers is important to protect consumers by making sure that they are not paying too much for their electric service.</w:t>
      </w:r>
    </w:p>
    <w:p w:rsidR="00A93828" w:rsidRPr="00E32DB7" w:rsidP="005B41A7" w14:paraId="1AC1BBDD" w14:textId="1BBB1C62">
      <w:pPr>
        <w:pStyle w:val="BodyText"/>
        <w:spacing w:line="493" w:lineRule="auto"/>
        <w:ind w:firstLine="720"/>
        <w:jc w:val="left"/>
        <w:rPr>
          <w:szCs w:val="24"/>
        </w:rPr>
      </w:pPr>
      <w:r w:rsidRPr="00E32DB7">
        <w:rPr>
          <w:szCs w:val="24"/>
        </w:rPr>
        <w:t xml:space="preserve">OCC files these consumer protection comments </w:t>
      </w:r>
      <w:r w:rsidRPr="00E32DB7" w:rsidR="000649A4">
        <w:rPr>
          <w:szCs w:val="24"/>
        </w:rPr>
        <w:t>on behalf of the FirstEnergy Utilities’ approximately 1.9 million residential utility consumers</w:t>
      </w:r>
      <w:r w:rsidRPr="00E32DB7">
        <w:rPr>
          <w:szCs w:val="24"/>
        </w:rPr>
        <w:t>.</w:t>
      </w:r>
      <w:r w:rsidRPr="00E32DB7" w:rsidR="00E21F7A">
        <w:rPr>
          <w:szCs w:val="24"/>
        </w:rPr>
        <w:t xml:space="preserve"> </w:t>
      </w:r>
    </w:p>
    <w:p w:rsidR="00DD1BDA" w:rsidRPr="00E32DB7" w:rsidP="008B100A" w14:paraId="55E02BEF" w14:textId="66229C9D">
      <w:pPr>
        <w:pStyle w:val="Heading1"/>
        <w:rPr>
          <w:rFonts w:ascii="Times New Roman" w:hAnsi="Times New Roman"/>
        </w:rPr>
      </w:pPr>
      <w:bookmarkStart w:id="9" w:name="_Toc83667912"/>
      <w:bookmarkStart w:id="10" w:name="_Toc83673482"/>
      <w:bookmarkStart w:id="11" w:name="_Toc83716857"/>
      <w:bookmarkStart w:id="12" w:name="_Toc83717267"/>
      <w:bookmarkStart w:id="13" w:name="_Toc83717804"/>
      <w:bookmarkStart w:id="14" w:name="_Toc84259782"/>
      <w:bookmarkStart w:id="15" w:name="_Toc84260408"/>
      <w:r w:rsidRPr="00E32DB7">
        <w:rPr>
          <w:rFonts w:ascii="Times New Roman" w:hAnsi="Times New Roman"/>
        </w:rPr>
        <w:t>II.</w:t>
      </w:r>
      <w:r w:rsidRPr="00E32DB7">
        <w:rPr>
          <w:rFonts w:ascii="Times New Roman" w:hAnsi="Times New Roman"/>
        </w:rPr>
        <w:tab/>
      </w:r>
      <w:r w:rsidRPr="00E32DB7" w:rsidR="00790369">
        <w:rPr>
          <w:rFonts w:ascii="Times New Roman" w:hAnsi="Times New Roman"/>
        </w:rPr>
        <w:t xml:space="preserve">SUMMARY OF </w:t>
      </w:r>
      <w:r w:rsidRPr="00E32DB7" w:rsidR="001735E6">
        <w:rPr>
          <w:rFonts w:ascii="Times New Roman" w:hAnsi="Times New Roman"/>
        </w:rPr>
        <w:t xml:space="preserve">THE ANNUAL DCR </w:t>
      </w:r>
      <w:r w:rsidRPr="00E32DB7" w:rsidR="00790369">
        <w:rPr>
          <w:rFonts w:ascii="Times New Roman" w:hAnsi="Times New Roman"/>
        </w:rPr>
        <w:t>AUDIT FINDINGS AND OCC</w:t>
      </w:r>
      <w:r w:rsidRPr="00E32DB7" w:rsidR="002F3F45">
        <w:rPr>
          <w:rFonts w:ascii="Times New Roman" w:hAnsi="Times New Roman"/>
        </w:rPr>
        <w:t xml:space="preserve"> CONSUMER PROTE</w:t>
      </w:r>
      <w:r w:rsidRPr="00E32DB7" w:rsidR="00042753">
        <w:rPr>
          <w:rFonts w:ascii="Times New Roman" w:hAnsi="Times New Roman"/>
        </w:rPr>
        <w:t>C</w:t>
      </w:r>
      <w:r w:rsidRPr="00E32DB7" w:rsidR="002F3F45">
        <w:rPr>
          <w:rFonts w:ascii="Times New Roman" w:hAnsi="Times New Roman"/>
        </w:rPr>
        <w:t>TION</w:t>
      </w:r>
      <w:r w:rsidRPr="00E32DB7" w:rsidR="00790369">
        <w:rPr>
          <w:rFonts w:ascii="Times New Roman" w:hAnsi="Times New Roman"/>
        </w:rPr>
        <w:t xml:space="preserve"> RECOMMENDATION</w:t>
      </w:r>
      <w:bookmarkEnd w:id="9"/>
      <w:bookmarkEnd w:id="10"/>
      <w:r w:rsidRPr="00E32DB7" w:rsidR="007633CA">
        <w:rPr>
          <w:rFonts w:ascii="Times New Roman" w:hAnsi="Times New Roman"/>
        </w:rPr>
        <w:t>S</w:t>
      </w:r>
      <w:r w:rsidRPr="00E32DB7" w:rsidR="002F3F45">
        <w:rPr>
          <w:rFonts w:ascii="Times New Roman" w:hAnsi="Times New Roman"/>
        </w:rPr>
        <w:t xml:space="preserve"> REGARDING THE DCR AUDIT</w:t>
      </w:r>
      <w:bookmarkEnd w:id="11"/>
      <w:bookmarkEnd w:id="12"/>
      <w:bookmarkEnd w:id="13"/>
      <w:bookmarkEnd w:id="14"/>
      <w:bookmarkEnd w:id="15"/>
      <w:r w:rsidRPr="00E32DB7" w:rsidR="0064524D">
        <w:rPr>
          <w:rFonts w:ascii="Times New Roman" w:hAnsi="Times New Roman"/>
        </w:rPr>
        <w:t xml:space="preserve"> </w:t>
      </w:r>
    </w:p>
    <w:p w:rsidR="00B527E0" w:rsidRPr="00E32DB7" w:rsidP="00B527E0" w14:paraId="1402502F" w14:textId="5AB5D059">
      <w:pPr>
        <w:kinsoku w:val="0"/>
        <w:overflowPunct w:val="0"/>
        <w:autoSpaceDE w:val="0"/>
        <w:autoSpaceDN w:val="0"/>
        <w:adjustRightInd w:val="0"/>
        <w:spacing w:line="480" w:lineRule="auto"/>
        <w:ind w:firstLine="720"/>
        <w:rPr>
          <w:rFonts w:eastAsia="Calibri"/>
          <w:szCs w:val="24"/>
        </w:rPr>
      </w:pPr>
      <w:r w:rsidRPr="00E32DB7">
        <w:rPr>
          <w:szCs w:val="24"/>
        </w:rPr>
        <w:t>Blue Ridge Consulting Services, Inc. (“Auditor”), an outside contractor selected by the PUCO, submitted the Compliance Audit of the 202</w:t>
      </w:r>
      <w:r w:rsidRPr="00E32DB7" w:rsidR="000649A4">
        <w:rPr>
          <w:szCs w:val="24"/>
        </w:rPr>
        <w:t>1</w:t>
      </w:r>
      <w:r w:rsidRPr="00E32DB7">
        <w:rPr>
          <w:szCs w:val="24"/>
        </w:rPr>
        <w:t xml:space="preserve"> Distribution Capital Recovery </w:t>
      </w:r>
      <w:r w:rsidRPr="00E32DB7" w:rsidR="0008799A">
        <w:rPr>
          <w:szCs w:val="24"/>
        </w:rPr>
        <w:t xml:space="preserve">charge </w:t>
      </w:r>
      <w:r w:rsidRPr="00E32DB7">
        <w:rPr>
          <w:szCs w:val="24"/>
        </w:rPr>
        <w:t xml:space="preserve">(DCR) Rider (“Audit Report”) on </w:t>
      </w:r>
      <w:r w:rsidRPr="00E32DB7" w:rsidR="000649A4">
        <w:rPr>
          <w:szCs w:val="24"/>
        </w:rPr>
        <w:t>May 18, 2022</w:t>
      </w:r>
      <w:r w:rsidRPr="00E32DB7">
        <w:rPr>
          <w:szCs w:val="24"/>
        </w:rPr>
        <w:t>.</w:t>
      </w:r>
      <w:r w:rsidRPr="00E32DB7" w:rsidR="00E21F7A">
        <w:rPr>
          <w:szCs w:val="24"/>
        </w:rPr>
        <w:t xml:space="preserve"> </w:t>
      </w:r>
      <w:r w:rsidRPr="00E32DB7">
        <w:rPr>
          <w:szCs w:val="24"/>
        </w:rPr>
        <w:t xml:space="preserve">The objective of the DCR Audit </w:t>
      </w:r>
      <w:r w:rsidRPr="00E32DB7" w:rsidR="00EC31BC">
        <w:rPr>
          <w:szCs w:val="24"/>
        </w:rPr>
        <w:t xml:space="preserve">was </w:t>
      </w:r>
      <w:r w:rsidRPr="00E32DB7">
        <w:rPr>
          <w:szCs w:val="24"/>
        </w:rPr>
        <w:t xml:space="preserve">to determine if </w:t>
      </w:r>
      <w:r w:rsidRPr="00E32DB7" w:rsidR="00860897">
        <w:rPr>
          <w:szCs w:val="24"/>
        </w:rPr>
        <w:t xml:space="preserve">the </w:t>
      </w:r>
      <w:r w:rsidRPr="00E32DB7">
        <w:rPr>
          <w:szCs w:val="24"/>
        </w:rPr>
        <w:t>FirstEnergy</w:t>
      </w:r>
      <w:r w:rsidRPr="00E32DB7" w:rsidR="00860897">
        <w:rPr>
          <w:szCs w:val="24"/>
        </w:rPr>
        <w:t xml:space="preserve"> Utilities</w:t>
      </w:r>
      <w:r w:rsidRPr="00E32DB7">
        <w:rPr>
          <w:szCs w:val="24"/>
        </w:rPr>
        <w:t xml:space="preserve"> implemented </w:t>
      </w:r>
      <w:r w:rsidRPr="00E32DB7" w:rsidR="00860897">
        <w:rPr>
          <w:szCs w:val="24"/>
        </w:rPr>
        <w:t xml:space="preserve">the </w:t>
      </w:r>
      <w:r w:rsidRPr="00E32DB7">
        <w:rPr>
          <w:szCs w:val="24"/>
        </w:rPr>
        <w:t xml:space="preserve">approved DCR </w:t>
      </w:r>
      <w:r w:rsidRPr="00E32DB7" w:rsidR="00EC31BC">
        <w:rPr>
          <w:szCs w:val="24"/>
        </w:rPr>
        <w:t xml:space="preserve">charge </w:t>
      </w:r>
      <w:r w:rsidRPr="00E32DB7">
        <w:rPr>
          <w:szCs w:val="24"/>
        </w:rPr>
        <w:t>and is in</w:t>
      </w:r>
      <w:r w:rsidRPr="00E32DB7" w:rsidR="00C17AF9">
        <w:rPr>
          <w:szCs w:val="24"/>
        </w:rPr>
        <w:t xml:space="preserve"> </w:t>
      </w:r>
      <w:r w:rsidRPr="00E32DB7">
        <w:rPr>
          <w:szCs w:val="24"/>
        </w:rPr>
        <w:t xml:space="preserve">compliance with </w:t>
      </w:r>
      <w:r w:rsidRPr="00E32DB7" w:rsidR="00EC31BC">
        <w:rPr>
          <w:szCs w:val="24"/>
        </w:rPr>
        <w:t xml:space="preserve">the </w:t>
      </w:r>
      <w:r w:rsidRPr="00E32DB7">
        <w:rPr>
          <w:szCs w:val="24"/>
        </w:rPr>
        <w:t>PUCO</w:t>
      </w:r>
      <w:r w:rsidRPr="00E32DB7" w:rsidR="00EC31BC">
        <w:rPr>
          <w:szCs w:val="24"/>
        </w:rPr>
        <w:t>’s</w:t>
      </w:r>
      <w:r w:rsidRPr="00E32DB7">
        <w:rPr>
          <w:szCs w:val="24"/>
        </w:rPr>
        <w:t xml:space="preserve"> </w:t>
      </w:r>
      <w:r w:rsidRPr="00E32DB7" w:rsidR="00EC31BC">
        <w:rPr>
          <w:szCs w:val="24"/>
        </w:rPr>
        <w:t xml:space="preserve">DCR charge enabling </w:t>
      </w:r>
      <w:r w:rsidRPr="00E32DB7">
        <w:rPr>
          <w:szCs w:val="24"/>
        </w:rPr>
        <w:t>order.</w:t>
      </w:r>
      <w:r>
        <w:rPr>
          <w:rStyle w:val="FootnoteReference"/>
          <w:szCs w:val="24"/>
        </w:rPr>
        <w:footnoteReference w:id="5"/>
      </w:r>
      <w:r w:rsidRPr="00E32DB7">
        <w:rPr>
          <w:szCs w:val="24"/>
        </w:rPr>
        <w:t xml:space="preserve"> </w:t>
      </w:r>
    </w:p>
    <w:p w:rsidR="00A2516C" w:rsidRPr="00E32DB7" w:rsidP="00A2516C" w14:paraId="37CAE52E" w14:textId="0339582B">
      <w:pPr>
        <w:widowControl w:val="0"/>
        <w:spacing w:line="480" w:lineRule="auto"/>
        <w:ind w:firstLine="720"/>
        <w:rPr>
          <w:szCs w:val="24"/>
        </w:rPr>
      </w:pPr>
      <w:r w:rsidRPr="00E32DB7">
        <w:rPr>
          <w:szCs w:val="24"/>
        </w:rPr>
        <w:t xml:space="preserve">In the DCR Audit, the </w:t>
      </w:r>
      <w:r w:rsidRPr="00E32DB7" w:rsidR="00BF6864">
        <w:rPr>
          <w:szCs w:val="24"/>
        </w:rPr>
        <w:t>A</w:t>
      </w:r>
      <w:r w:rsidRPr="00E32DB7">
        <w:rPr>
          <w:szCs w:val="24"/>
        </w:rPr>
        <w:t xml:space="preserve">uditor found that </w:t>
      </w:r>
      <w:r w:rsidRPr="00E32DB7" w:rsidR="009672E3">
        <w:rPr>
          <w:szCs w:val="24"/>
        </w:rPr>
        <w:t xml:space="preserve">the </w:t>
      </w:r>
      <w:r w:rsidRPr="00E32DB7">
        <w:rPr>
          <w:szCs w:val="24"/>
        </w:rPr>
        <w:t xml:space="preserve">FirstEnergy </w:t>
      </w:r>
      <w:r w:rsidRPr="00E32DB7" w:rsidR="009672E3">
        <w:rPr>
          <w:szCs w:val="24"/>
        </w:rPr>
        <w:t xml:space="preserve">Utilities </w:t>
      </w:r>
      <w:r w:rsidRPr="00E32DB7">
        <w:rPr>
          <w:szCs w:val="24"/>
        </w:rPr>
        <w:t xml:space="preserve">overstated </w:t>
      </w:r>
      <w:r w:rsidRPr="00E32DB7" w:rsidR="00483F8B">
        <w:rPr>
          <w:szCs w:val="24"/>
        </w:rPr>
        <w:t>their</w:t>
      </w:r>
      <w:r w:rsidRPr="00E32DB7">
        <w:rPr>
          <w:szCs w:val="24"/>
        </w:rPr>
        <w:t xml:space="preserve"> 202</w:t>
      </w:r>
      <w:r w:rsidRPr="00E32DB7" w:rsidR="00466EF9">
        <w:rPr>
          <w:szCs w:val="24"/>
        </w:rPr>
        <w:t>1</w:t>
      </w:r>
      <w:r w:rsidRPr="00E32DB7">
        <w:rPr>
          <w:szCs w:val="24"/>
        </w:rPr>
        <w:t xml:space="preserve"> DCR </w:t>
      </w:r>
      <w:r w:rsidRPr="00E32DB7" w:rsidR="00EC31BC">
        <w:rPr>
          <w:szCs w:val="24"/>
        </w:rPr>
        <w:t xml:space="preserve">charge </w:t>
      </w:r>
      <w:r w:rsidRPr="00E32DB7">
        <w:rPr>
          <w:szCs w:val="24"/>
        </w:rPr>
        <w:t>revenue requirement by nearly $</w:t>
      </w:r>
      <w:r w:rsidRPr="00E32DB7" w:rsidR="00466EF9">
        <w:rPr>
          <w:szCs w:val="24"/>
        </w:rPr>
        <w:t>3.1</w:t>
      </w:r>
      <w:r w:rsidRPr="00E32DB7">
        <w:rPr>
          <w:szCs w:val="24"/>
        </w:rPr>
        <w:t xml:space="preserve"> million</w:t>
      </w:r>
      <w:r w:rsidRPr="00E32DB7" w:rsidR="000252DE">
        <w:rPr>
          <w:szCs w:val="24"/>
        </w:rPr>
        <w:t xml:space="preserve">, thus overcharging FirstEnergy </w:t>
      </w:r>
      <w:r w:rsidRPr="00E32DB7" w:rsidR="00860897">
        <w:rPr>
          <w:szCs w:val="24"/>
        </w:rPr>
        <w:t>Utility</w:t>
      </w:r>
      <w:r w:rsidRPr="00E32DB7" w:rsidR="000252DE">
        <w:rPr>
          <w:szCs w:val="24"/>
        </w:rPr>
        <w:t xml:space="preserve"> consumers.</w:t>
      </w:r>
      <w:r>
        <w:rPr>
          <w:rStyle w:val="FootnoteReference"/>
          <w:szCs w:val="24"/>
        </w:rPr>
        <w:footnoteReference w:id="6"/>
      </w:r>
      <w:r w:rsidRPr="00E32DB7" w:rsidR="00E21F7A">
        <w:rPr>
          <w:szCs w:val="24"/>
        </w:rPr>
        <w:t xml:space="preserve"> </w:t>
      </w:r>
      <w:r w:rsidRPr="00E32DB7" w:rsidR="00C17AF9">
        <w:rPr>
          <w:szCs w:val="24"/>
        </w:rPr>
        <w:t>Adopting</w:t>
      </w:r>
      <w:r w:rsidRPr="00E32DB7">
        <w:rPr>
          <w:szCs w:val="24"/>
        </w:rPr>
        <w:t xml:space="preserve"> the</w:t>
      </w:r>
      <w:r w:rsidRPr="00E32DB7" w:rsidR="00C17AF9">
        <w:rPr>
          <w:szCs w:val="24"/>
        </w:rPr>
        <w:t xml:space="preserve"> DCR Audit’s</w:t>
      </w:r>
      <w:r w:rsidRPr="00E32DB7">
        <w:rPr>
          <w:szCs w:val="24"/>
        </w:rPr>
        <w:t xml:space="preserve"> recommendations and adjustments will </w:t>
      </w:r>
      <w:r w:rsidRPr="00E32DB7" w:rsidR="008B100A">
        <w:rPr>
          <w:szCs w:val="24"/>
        </w:rPr>
        <w:t xml:space="preserve">protect consumers from being charged too much under the </w:t>
      </w:r>
      <w:r w:rsidRPr="00E32DB7">
        <w:rPr>
          <w:szCs w:val="24"/>
        </w:rPr>
        <w:t>DCR</w:t>
      </w:r>
      <w:r w:rsidRPr="00E32DB7" w:rsidR="000252DE">
        <w:rPr>
          <w:szCs w:val="24"/>
        </w:rPr>
        <w:t>.</w:t>
      </w:r>
      <w:r w:rsidRPr="00E32DB7" w:rsidR="00C17AF9">
        <w:rPr>
          <w:szCs w:val="24"/>
        </w:rPr>
        <w:t xml:space="preserve"> It will</w:t>
      </w:r>
      <w:r w:rsidRPr="00E32DB7">
        <w:rPr>
          <w:szCs w:val="24"/>
        </w:rPr>
        <w:t xml:space="preserve"> also, on a going-forward basis</w:t>
      </w:r>
      <w:r w:rsidRPr="00E32DB7" w:rsidR="00C83302">
        <w:rPr>
          <w:szCs w:val="24"/>
        </w:rPr>
        <w:t>,</w:t>
      </w:r>
      <w:r w:rsidRPr="00E32DB7">
        <w:rPr>
          <w:szCs w:val="24"/>
        </w:rPr>
        <w:t xml:space="preserve"> </w:t>
      </w:r>
      <w:r w:rsidRPr="00E32DB7" w:rsidR="008B100A">
        <w:rPr>
          <w:szCs w:val="24"/>
        </w:rPr>
        <w:t xml:space="preserve">help ensure </w:t>
      </w:r>
      <w:r w:rsidRPr="00E32DB7">
        <w:rPr>
          <w:szCs w:val="24"/>
        </w:rPr>
        <w:t xml:space="preserve">that the correct amount of rate base (distribution related capital investments), </w:t>
      </w:r>
      <w:r w:rsidRPr="00E32DB7" w:rsidR="00F22CC8">
        <w:rPr>
          <w:szCs w:val="24"/>
        </w:rPr>
        <w:t>excess deferred income tax (“</w:t>
      </w:r>
      <w:r w:rsidRPr="00E32DB7">
        <w:rPr>
          <w:szCs w:val="24"/>
        </w:rPr>
        <w:t>EDIT</w:t>
      </w:r>
      <w:r w:rsidRPr="00E32DB7" w:rsidR="00F22CC8">
        <w:rPr>
          <w:szCs w:val="24"/>
        </w:rPr>
        <w:t>”)</w:t>
      </w:r>
      <w:r w:rsidRPr="00E32DB7">
        <w:rPr>
          <w:szCs w:val="24"/>
        </w:rPr>
        <w:t xml:space="preserve"> balances, and other ratemaking items are being recorded and used in setting rates.</w:t>
      </w:r>
    </w:p>
    <w:p w:rsidR="009A23B5" w:rsidRPr="00E32DB7" w:rsidP="009A23B5" w14:paraId="7DC6E1D6" w14:textId="7F261F3B">
      <w:pPr>
        <w:spacing w:line="480" w:lineRule="auto"/>
        <w:ind w:firstLine="720"/>
        <w:rPr>
          <w:szCs w:val="24"/>
        </w:rPr>
      </w:pPr>
      <w:r w:rsidRPr="00E32DB7">
        <w:rPr>
          <w:szCs w:val="24"/>
        </w:rPr>
        <w:t>OCC supports the findings and recommendations included in the DCR Audit Report</w:t>
      </w:r>
      <w:r w:rsidRPr="00E32DB7" w:rsidR="005A0A04">
        <w:rPr>
          <w:szCs w:val="24"/>
        </w:rPr>
        <w:t>.</w:t>
      </w:r>
      <w:r w:rsidRPr="00E32DB7" w:rsidR="00E21F7A">
        <w:rPr>
          <w:szCs w:val="24"/>
        </w:rPr>
        <w:t xml:space="preserve"> </w:t>
      </w:r>
      <w:r w:rsidRPr="00E32DB7" w:rsidR="005A0A04">
        <w:rPr>
          <w:szCs w:val="24"/>
        </w:rPr>
        <w:t>For consumer protection, OCC</w:t>
      </w:r>
      <w:r w:rsidRPr="00E32DB7">
        <w:rPr>
          <w:szCs w:val="24"/>
        </w:rPr>
        <w:t xml:space="preserve"> recommends that the PUCO adopt all of the Auditor’s recommendations and adjustments.</w:t>
      </w:r>
      <w:r w:rsidRPr="00E32DB7" w:rsidR="00E21F7A">
        <w:rPr>
          <w:szCs w:val="24"/>
        </w:rPr>
        <w:t xml:space="preserve"> </w:t>
      </w:r>
      <w:r w:rsidRPr="00E32DB7">
        <w:rPr>
          <w:szCs w:val="24"/>
        </w:rPr>
        <w:t xml:space="preserve">Specifically, the DCR Audit proposed </w:t>
      </w:r>
      <w:r w:rsidRPr="00E32DB7" w:rsidR="00466EF9">
        <w:rPr>
          <w:szCs w:val="24"/>
        </w:rPr>
        <w:t>thirty-two</w:t>
      </w:r>
      <w:r w:rsidRPr="00E32DB7">
        <w:rPr>
          <w:szCs w:val="24"/>
        </w:rPr>
        <w:t xml:space="preserve"> adjustments </w:t>
      </w:r>
      <w:r w:rsidRPr="00E32DB7" w:rsidR="005A0A04">
        <w:rPr>
          <w:szCs w:val="24"/>
        </w:rPr>
        <w:t>that reduce the 202</w:t>
      </w:r>
      <w:r w:rsidRPr="00E32DB7" w:rsidR="00466EF9">
        <w:rPr>
          <w:szCs w:val="24"/>
        </w:rPr>
        <w:t>1</w:t>
      </w:r>
      <w:r w:rsidRPr="00E32DB7" w:rsidR="005A0A04">
        <w:rPr>
          <w:szCs w:val="24"/>
        </w:rPr>
        <w:t xml:space="preserve"> DCR charge revenue requirement</w:t>
      </w:r>
      <w:r w:rsidRPr="00E32DB7">
        <w:rPr>
          <w:szCs w:val="24"/>
        </w:rPr>
        <w:t>.</w:t>
      </w:r>
      <w:r>
        <w:rPr>
          <w:rStyle w:val="FootnoteReference"/>
          <w:szCs w:val="24"/>
        </w:rPr>
        <w:footnoteReference w:id="7"/>
      </w:r>
      <w:r w:rsidRPr="00E32DB7" w:rsidR="00E21F7A">
        <w:rPr>
          <w:szCs w:val="24"/>
        </w:rPr>
        <w:t xml:space="preserve"> </w:t>
      </w:r>
      <w:r w:rsidRPr="00E32DB7" w:rsidR="005A0A04">
        <w:rPr>
          <w:szCs w:val="24"/>
        </w:rPr>
        <w:t>They include</w:t>
      </w:r>
      <w:r w:rsidRPr="00E32DB7" w:rsidR="00C8754D">
        <w:rPr>
          <w:szCs w:val="24"/>
        </w:rPr>
        <w:t xml:space="preserve"> </w:t>
      </w:r>
      <w:r w:rsidRPr="00E32DB7" w:rsidR="00466EF9">
        <w:rPr>
          <w:szCs w:val="24"/>
        </w:rPr>
        <w:t>adjusting</w:t>
      </w:r>
      <w:r w:rsidRPr="00E32DB7" w:rsidR="00C8754D">
        <w:rPr>
          <w:szCs w:val="24"/>
        </w:rPr>
        <w:t xml:space="preserve"> (reduc</w:t>
      </w:r>
      <w:r w:rsidRPr="00E32DB7" w:rsidR="00466EF9">
        <w:rPr>
          <w:szCs w:val="24"/>
        </w:rPr>
        <w:t>ing</w:t>
      </w:r>
      <w:r w:rsidRPr="00E32DB7" w:rsidR="00C8754D">
        <w:rPr>
          <w:szCs w:val="24"/>
        </w:rPr>
        <w:t>)</w:t>
      </w:r>
      <w:r w:rsidRPr="00E32DB7" w:rsidR="00466EF9">
        <w:rPr>
          <w:szCs w:val="24"/>
        </w:rPr>
        <w:t xml:space="preserve"> the revenue requirement by nearly $900,000 for correcting the normalized EDIT balances and </w:t>
      </w:r>
      <w:r w:rsidRPr="00E32DB7" w:rsidR="008B100A">
        <w:rPr>
          <w:szCs w:val="24"/>
        </w:rPr>
        <w:t xml:space="preserve">reducing by </w:t>
      </w:r>
      <w:r w:rsidRPr="00E32DB7" w:rsidR="00466EF9">
        <w:rPr>
          <w:szCs w:val="24"/>
        </w:rPr>
        <w:t xml:space="preserve">$2 million </w:t>
      </w:r>
      <w:r w:rsidRPr="00E32DB7" w:rsidR="008B100A">
        <w:rPr>
          <w:szCs w:val="24"/>
        </w:rPr>
        <w:t xml:space="preserve">the </w:t>
      </w:r>
      <w:r w:rsidRPr="00E32DB7" w:rsidR="00466EF9">
        <w:rPr>
          <w:szCs w:val="24"/>
        </w:rPr>
        <w:t>non-normalized EDIT balances</w:t>
      </w:r>
      <w:r w:rsidRPr="00E32DB7">
        <w:rPr>
          <w:szCs w:val="24"/>
        </w:rPr>
        <w:t>.</w:t>
      </w:r>
      <w:r>
        <w:rPr>
          <w:rStyle w:val="FootnoteReference"/>
          <w:szCs w:val="24"/>
        </w:rPr>
        <w:footnoteReference w:id="8"/>
      </w:r>
      <w:r w:rsidRPr="00E32DB7" w:rsidR="00E21F7A">
        <w:rPr>
          <w:szCs w:val="24"/>
        </w:rPr>
        <w:t xml:space="preserve"> </w:t>
      </w:r>
      <w:r w:rsidRPr="00E32DB7">
        <w:rPr>
          <w:szCs w:val="24"/>
        </w:rPr>
        <w:t>A summary of these proposed adjustments is included in the DCR Audit.</w:t>
      </w:r>
      <w:r>
        <w:rPr>
          <w:rStyle w:val="FootnoteReference"/>
          <w:szCs w:val="24"/>
        </w:rPr>
        <w:footnoteReference w:id="9"/>
      </w:r>
      <w:r w:rsidRPr="00E32DB7" w:rsidR="00E21F7A">
        <w:rPr>
          <w:szCs w:val="24"/>
        </w:rPr>
        <w:t xml:space="preserve"> </w:t>
      </w:r>
    </w:p>
    <w:p w:rsidR="009A23B5" w:rsidRPr="00E32DB7" w:rsidP="00CA5DD4" w14:paraId="51D2BD8F" w14:textId="7CCAEEB8">
      <w:pPr>
        <w:spacing w:line="480" w:lineRule="auto"/>
        <w:ind w:firstLine="720"/>
        <w:rPr>
          <w:szCs w:val="24"/>
        </w:rPr>
      </w:pPr>
      <w:r w:rsidRPr="00E32DB7">
        <w:rPr>
          <w:szCs w:val="24"/>
        </w:rPr>
        <w:t xml:space="preserve">In addition to these adjustments to </w:t>
      </w:r>
      <w:r w:rsidRPr="00E32DB7" w:rsidR="00C4692E">
        <w:rPr>
          <w:szCs w:val="24"/>
        </w:rPr>
        <w:t xml:space="preserve">the DCR </w:t>
      </w:r>
      <w:r w:rsidRPr="00E32DB7" w:rsidR="00466EF9">
        <w:rPr>
          <w:szCs w:val="24"/>
        </w:rPr>
        <w:t>C</w:t>
      </w:r>
      <w:r w:rsidRPr="00E32DB7" w:rsidR="00C4692E">
        <w:rPr>
          <w:szCs w:val="24"/>
        </w:rPr>
        <w:t>harge</w:t>
      </w:r>
      <w:r w:rsidRPr="00E32DB7">
        <w:rPr>
          <w:szCs w:val="24"/>
        </w:rPr>
        <w:t xml:space="preserve"> and the related adjustments to rate base items, the Audit</w:t>
      </w:r>
      <w:r w:rsidRPr="00E32DB7" w:rsidR="000252DE">
        <w:rPr>
          <w:szCs w:val="24"/>
        </w:rPr>
        <w:t>or</w:t>
      </w:r>
      <w:r w:rsidRPr="00E32DB7">
        <w:rPr>
          <w:szCs w:val="24"/>
        </w:rPr>
        <w:t xml:space="preserve"> also made </w:t>
      </w:r>
      <w:r w:rsidRPr="00E32DB7" w:rsidR="00CF4A23">
        <w:rPr>
          <w:szCs w:val="24"/>
        </w:rPr>
        <w:t>twelve</w:t>
      </w:r>
      <w:r w:rsidRPr="00E32DB7">
        <w:rPr>
          <w:szCs w:val="24"/>
        </w:rPr>
        <w:t xml:space="preserve"> recommendations.</w:t>
      </w:r>
      <w:r>
        <w:rPr>
          <w:rStyle w:val="FootnoteReference"/>
          <w:szCs w:val="24"/>
        </w:rPr>
        <w:footnoteReference w:id="10"/>
      </w:r>
      <w:r w:rsidRPr="00E32DB7" w:rsidR="00E21F7A">
        <w:rPr>
          <w:szCs w:val="24"/>
        </w:rPr>
        <w:t xml:space="preserve"> </w:t>
      </w:r>
      <w:r w:rsidRPr="00E32DB7" w:rsidR="00CF4A23">
        <w:rPr>
          <w:szCs w:val="24"/>
        </w:rPr>
        <w:t>These recommendations included “that IT projects be better monitored by the Companies, particularly when involving outside contractors[,]”</w:t>
      </w:r>
      <w:r>
        <w:rPr>
          <w:rStyle w:val="FootnoteReference"/>
          <w:szCs w:val="24"/>
        </w:rPr>
        <w:footnoteReference w:id="11"/>
      </w:r>
      <w:r w:rsidRPr="00E32DB7" w:rsidR="00CF4A23">
        <w:rPr>
          <w:szCs w:val="24"/>
        </w:rPr>
        <w:t xml:space="preserve"> “the Company review their planning processes and procedures to minimize budget overruns in the future[,]”</w:t>
      </w:r>
      <w:r>
        <w:rPr>
          <w:rStyle w:val="FootnoteReference"/>
          <w:szCs w:val="24"/>
        </w:rPr>
        <w:footnoteReference w:id="12"/>
      </w:r>
      <w:r w:rsidRPr="00E32DB7" w:rsidR="00CF4A23">
        <w:rPr>
          <w:szCs w:val="24"/>
        </w:rPr>
        <w:t xml:space="preserve"> and “that the Companies continue to make a concerted effort to reduce the volume of backlog work orders, both in quantity and dollar value, to return to the 2018 level.”</w:t>
      </w:r>
      <w:r>
        <w:rPr>
          <w:rStyle w:val="FootnoteReference"/>
          <w:szCs w:val="24"/>
        </w:rPr>
        <w:footnoteReference w:id="13"/>
      </w:r>
    </w:p>
    <w:p w:rsidR="005A0A04" w:rsidRPr="00E32DB7" w:rsidP="00CA5DD4" w14:paraId="1CBF09AB" w14:textId="77777777">
      <w:pPr>
        <w:spacing w:line="480" w:lineRule="auto"/>
        <w:ind w:firstLine="720"/>
        <w:rPr>
          <w:szCs w:val="24"/>
        </w:rPr>
      </w:pPr>
      <w:r w:rsidRPr="00E32DB7">
        <w:rPr>
          <w:szCs w:val="24"/>
        </w:rPr>
        <w:t>For consumer protection, OCC recommends that the PUCO adopt all of the Auditor’s recommendations and adjustments in the DCR Audit.</w:t>
      </w:r>
      <w:r w:rsidRPr="00E32DB7" w:rsidR="00E21F7A">
        <w:rPr>
          <w:szCs w:val="24"/>
        </w:rPr>
        <w:t xml:space="preserve"> </w:t>
      </w:r>
    </w:p>
    <w:p w:rsidR="00401278" w:rsidRPr="00E32DB7" w:rsidP="00401278" w14:paraId="443F5E58" w14:textId="77777777">
      <w:pPr>
        <w:ind w:firstLine="720"/>
        <w:rPr>
          <w:szCs w:val="24"/>
        </w:rPr>
      </w:pPr>
      <w:bookmarkStart w:id="16" w:name="_Toc512326204"/>
    </w:p>
    <w:p w:rsidR="003D1256" w:rsidRPr="00E32DB7" w:rsidP="008B100A" w14:paraId="4E132864" w14:textId="5AE64103">
      <w:pPr>
        <w:pStyle w:val="Heading1"/>
        <w:rPr>
          <w:rFonts w:ascii="Times New Roman" w:hAnsi="Times New Roman"/>
        </w:rPr>
      </w:pPr>
      <w:bookmarkStart w:id="17" w:name="_Toc83307760"/>
      <w:bookmarkStart w:id="18" w:name="_Toc8388100"/>
      <w:bookmarkStart w:id="19" w:name="_Toc83667921"/>
      <w:bookmarkStart w:id="20" w:name="_Toc83673492"/>
      <w:bookmarkStart w:id="21" w:name="_Toc83716867"/>
      <w:bookmarkStart w:id="22" w:name="_Toc83717277"/>
      <w:bookmarkStart w:id="23" w:name="_Toc83717814"/>
      <w:bookmarkStart w:id="24" w:name="_Toc84259791"/>
      <w:bookmarkStart w:id="25" w:name="_Toc84260417"/>
      <w:bookmarkEnd w:id="16"/>
      <w:bookmarkEnd w:id="17"/>
      <w:r w:rsidRPr="00E32DB7">
        <w:rPr>
          <w:rFonts w:ascii="Times New Roman" w:hAnsi="Times New Roman"/>
        </w:rPr>
        <w:t>III.</w:t>
      </w:r>
      <w:r w:rsidRPr="00E32DB7">
        <w:rPr>
          <w:rFonts w:ascii="Times New Roman" w:hAnsi="Times New Roman"/>
        </w:rPr>
        <w:tab/>
      </w:r>
      <w:r w:rsidRPr="00E32DB7" w:rsidR="00790369">
        <w:rPr>
          <w:rFonts w:ascii="Times New Roman" w:hAnsi="Times New Roman"/>
        </w:rPr>
        <w:t>CONCLUSION</w:t>
      </w:r>
      <w:bookmarkEnd w:id="18"/>
      <w:bookmarkEnd w:id="19"/>
      <w:bookmarkEnd w:id="20"/>
      <w:bookmarkEnd w:id="21"/>
      <w:bookmarkEnd w:id="22"/>
      <w:bookmarkEnd w:id="23"/>
      <w:bookmarkEnd w:id="24"/>
      <w:bookmarkEnd w:id="25"/>
    </w:p>
    <w:p w:rsidR="00DD17BF" w:rsidRPr="00E32DB7" w:rsidP="006F760B" w14:paraId="500156AC" w14:textId="51953600">
      <w:pPr>
        <w:pStyle w:val="BodyTextIndent3"/>
        <w:widowControl w:val="0"/>
        <w:spacing w:line="480" w:lineRule="auto"/>
        <w:rPr>
          <w:szCs w:val="24"/>
        </w:rPr>
      </w:pPr>
      <w:r w:rsidRPr="00E32DB7">
        <w:rPr>
          <w:szCs w:val="24"/>
        </w:rPr>
        <w:t xml:space="preserve">The PUCO </w:t>
      </w:r>
      <w:r w:rsidRPr="00E32DB7" w:rsidR="00CF4A23">
        <w:rPr>
          <w:szCs w:val="24"/>
        </w:rPr>
        <w:t>should adopt</w:t>
      </w:r>
      <w:r w:rsidRPr="00E32DB7">
        <w:rPr>
          <w:szCs w:val="24"/>
        </w:rPr>
        <w:t xml:space="preserve"> OCC’s consumer protection recommendations </w:t>
      </w:r>
      <w:r w:rsidRPr="00E32DB7" w:rsidR="008B100A">
        <w:rPr>
          <w:szCs w:val="24"/>
        </w:rPr>
        <w:t>that support the PUCO-appointed Auditor’s findings</w:t>
      </w:r>
      <w:r w:rsidRPr="00E32DB7" w:rsidR="007633CA">
        <w:rPr>
          <w:szCs w:val="24"/>
        </w:rPr>
        <w:t>.</w:t>
      </w:r>
    </w:p>
    <w:p w:rsidR="00D82729" w:rsidRPr="00E32DB7" w14:paraId="47DEAC0A" w14:textId="77777777">
      <w:pPr>
        <w:rPr>
          <w:szCs w:val="24"/>
        </w:rPr>
      </w:pPr>
      <w:r w:rsidRPr="00E32DB7">
        <w:rPr>
          <w:szCs w:val="24"/>
        </w:rPr>
        <w:br w:type="page"/>
      </w:r>
    </w:p>
    <w:p w:rsidR="003D1256" w:rsidRPr="00E32DB7" w:rsidP="00DD17BF" w14:paraId="5E66F639" w14:textId="0CA598AC">
      <w:pPr>
        <w:pStyle w:val="BodyTextIndent3"/>
        <w:widowControl w:val="0"/>
        <w:spacing w:line="480" w:lineRule="auto"/>
        <w:ind w:left="3240"/>
        <w:rPr>
          <w:szCs w:val="24"/>
        </w:rPr>
      </w:pPr>
      <w:r w:rsidRPr="00E32DB7">
        <w:rPr>
          <w:szCs w:val="24"/>
        </w:rPr>
        <w:t>Respectfully submitted,</w:t>
      </w:r>
    </w:p>
    <w:p w:rsidR="003D1256" w:rsidRPr="00E32DB7" w:rsidP="003D1256" w14:paraId="2F00DE92" w14:textId="77777777">
      <w:pPr>
        <w:pStyle w:val="Footer"/>
        <w:tabs>
          <w:tab w:val="clear" w:pos="4320"/>
          <w:tab w:val="clear" w:pos="8640"/>
        </w:tabs>
        <w:ind w:left="3960"/>
        <w:rPr>
          <w:sz w:val="24"/>
          <w:szCs w:val="24"/>
        </w:rPr>
      </w:pPr>
      <w:r w:rsidRPr="00E32DB7">
        <w:rPr>
          <w:sz w:val="24"/>
          <w:szCs w:val="24"/>
        </w:rPr>
        <w:t>Bruce Weston (0016973)</w:t>
      </w:r>
    </w:p>
    <w:p w:rsidR="003D1256" w:rsidRPr="00E32DB7" w:rsidP="003D1256" w14:paraId="4F67562A" w14:textId="77777777">
      <w:pPr>
        <w:ind w:left="3960"/>
        <w:rPr>
          <w:szCs w:val="24"/>
        </w:rPr>
      </w:pPr>
      <w:r w:rsidRPr="00E32DB7">
        <w:rPr>
          <w:szCs w:val="24"/>
        </w:rPr>
        <w:t>Ohio Consumers’ Counsel</w:t>
      </w:r>
    </w:p>
    <w:p w:rsidR="003D1256" w:rsidRPr="00E32DB7" w:rsidP="003D1256" w14:paraId="4A615BE7" w14:textId="77777777">
      <w:pPr>
        <w:tabs>
          <w:tab w:val="left" w:pos="4320"/>
        </w:tabs>
        <w:ind w:left="3960"/>
        <w:rPr>
          <w:i/>
          <w:szCs w:val="24"/>
          <w:u w:val="single"/>
        </w:rPr>
      </w:pPr>
    </w:p>
    <w:p w:rsidR="00041DF9" w:rsidRPr="00E32DB7" w:rsidP="00041DF9" w14:paraId="140F942C" w14:textId="77777777">
      <w:pPr>
        <w:ind w:left="3960"/>
        <w:rPr>
          <w:bCs/>
          <w:i/>
          <w:iCs/>
          <w:szCs w:val="24"/>
          <w:u w:val="single"/>
        </w:rPr>
      </w:pPr>
      <w:r w:rsidRPr="00E32DB7">
        <w:rPr>
          <w:bCs/>
          <w:i/>
          <w:iCs/>
          <w:szCs w:val="24"/>
          <w:u w:val="single"/>
        </w:rPr>
        <w:t xml:space="preserve">/s/ </w:t>
      </w:r>
      <w:r w:rsidRPr="00E32DB7" w:rsidR="00F05C80">
        <w:rPr>
          <w:bCs/>
          <w:i/>
          <w:iCs/>
          <w:szCs w:val="24"/>
          <w:u w:val="single"/>
        </w:rPr>
        <w:t>William J. Michael</w:t>
      </w:r>
    </w:p>
    <w:p w:rsidR="00F05C80" w:rsidRPr="00E32DB7" w:rsidP="00041DF9" w14:paraId="34B41B00" w14:textId="77777777">
      <w:pPr>
        <w:ind w:left="3960"/>
        <w:rPr>
          <w:bCs/>
          <w:szCs w:val="24"/>
        </w:rPr>
      </w:pPr>
      <w:r w:rsidRPr="00E32DB7">
        <w:rPr>
          <w:bCs/>
          <w:szCs w:val="24"/>
        </w:rPr>
        <w:t>William J. Michael (0070921)</w:t>
      </w:r>
    </w:p>
    <w:p w:rsidR="000902C6" w:rsidRPr="00E32DB7" w:rsidP="00041DF9" w14:paraId="7C7C9F9F" w14:textId="77777777">
      <w:pPr>
        <w:ind w:left="3960"/>
        <w:rPr>
          <w:bCs/>
          <w:szCs w:val="24"/>
        </w:rPr>
      </w:pPr>
      <w:r w:rsidRPr="00E32DB7">
        <w:rPr>
          <w:bCs/>
          <w:szCs w:val="24"/>
        </w:rPr>
        <w:t>Counsel of Record</w:t>
      </w:r>
    </w:p>
    <w:p w:rsidR="000902C6" w:rsidRPr="00E32DB7" w:rsidP="00041DF9" w14:paraId="4BEFF835" w14:textId="77777777">
      <w:pPr>
        <w:ind w:left="3960"/>
        <w:rPr>
          <w:bCs/>
          <w:szCs w:val="24"/>
        </w:rPr>
      </w:pPr>
      <w:r w:rsidRPr="00E32DB7">
        <w:rPr>
          <w:bCs/>
          <w:szCs w:val="24"/>
        </w:rPr>
        <w:t>Assistant Consumers’ Counsel</w:t>
      </w:r>
    </w:p>
    <w:p w:rsidR="000902C6" w:rsidRPr="00E32DB7" w:rsidP="00041DF9" w14:paraId="5011D6BB" w14:textId="77777777">
      <w:pPr>
        <w:ind w:left="3960"/>
        <w:rPr>
          <w:bCs/>
          <w:szCs w:val="24"/>
        </w:rPr>
      </w:pPr>
    </w:p>
    <w:p w:rsidR="003D1256" w:rsidRPr="00E32DB7" w:rsidP="00041DF9" w14:paraId="576796BA" w14:textId="77777777">
      <w:pPr>
        <w:ind w:left="3960"/>
        <w:rPr>
          <w:b/>
          <w:szCs w:val="24"/>
        </w:rPr>
      </w:pPr>
      <w:r w:rsidRPr="00E32DB7">
        <w:rPr>
          <w:b/>
          <w:szCs w:val="24"/>
        </w:rPr>
        <w:t>Office of the Ohio Consumers’ Counsel</w:t>
      </w:r>
    </w:p>
    <w:p w:rsidR="003D1256" w:rsidRPr="00E32DB7" w:rsidP="00041DF9" w14:paraId="3C0E52C2" w14:textId="589ED1EB">
      <w:pPr>
        <w:ind w:left="3960"/>
        <w:rPr>
          <w:szCs w:val="24"/>
        </w:rPr>
      </w:pPr>
      <w:r w:rsidRPr="00E32DB7">
        <w:rPr>
          <w:szCs w:val="24"/>
        </w:rPr>
        <w:t xml:space="preserve">65 East State Street, </w:t>
      </w:r>
      <w:r w:rsidRPr="00E32DB7" w:rsidR="00BC7B94">
        <w:rPr>
          <w:szCs w:val="24"/>
        </w:rPr>
        <w:t>Suite 700</w:t>
      </w:r>
    </w:p>
    <w:p w:rsidR="003D1256" w:rsidRPr="00E32DB7" w:rsidP="00041DF9" w14:paraId="0C89B99E" w14:textId="77777777">
      <w:pPr>
        <w:ind w:left="3960"/>
        <w:rPr>
          <w:szCs w:val="24"/>
        </w:rPr>
      </w:pPr>
      <w:r w:rsidRPr="00E32DB7">
        <w:rPr>
          <w:szCs w:val="24"/>
        </w:rPr>
        <w:t>Columbus, Ohio 43215</w:t>
      </w:r>
    </w:p>
    <w:p w:rsidR="000902C6" w:rsidRPr="00E32DB7" w:rsidP="00041DF9" w14:paraId="1AA28D69" w14:textId="77777777">
      <w:pPr>
        <w:ind w:left="3960"/>
        <w:rPr>
          <w:szCs w:val="24"/>
        </w:rPr>
      </w:pPr>
      <w:r w:rsidRPr="00E32DB7">
        <w:rPr>
          <w:szCs w:val="24"/>
        </w:rPr>
        <w:t xml:space="preserve">Telephone [Michael]: (614) </w:t>
      </w:r>
      <w:r w:rsidRPr="00E32DB7" w:rsidR="00F05C80">
        <w:rPr>
          <w:szCs w:val="24"/>
        </w:rPr>
        <w:t>466-1291</w:t>
      </w:r>
    </w:p>
    <w:p w:rsidR="00041DF9" w:rsidRPr="00E32DB7" w:rsidP="00041DF9" w14:paraId="4D2DDC1A" w14:textId="5EF67CB8">
      <w:pPr>
        <w:autoSpaceDE w:val="0"/>
        <w:autoSpaceDN w:val="0"/>
        <w:adjustRightInd w:val="0"/>
        <w:ind w:left="3960"/>
        <w:rPr>
          <w:szCs w:val="24"/>
        </w:rPr>
      </w:pPr>
      <w:hyperlink r:id="rId6" w:history="1">
        <w:r w:rsidRPr="00E32DB7" w:rsidR="007726D2">
          <w:rPr>
            <w:rStyle w:val="Hyperlink"/>
            <w:szCs w:val="24"/>
          </w:rPr>
          <w:t>william.michael@occ.ohio.gov</w:t>
        </w:r>
      </w:hyperlink>
    </w:p>
    <w:p w:rsidR="003D1256" w:rsidRPr="00E32DB7" w:rsidP="003D1256" w14:paraId="085EB9E1" w14:textId="77777777">
      <w:pPr>
        <w:autoSpaceDE w:val="0"/>
        <w:autoSpaceDN w:val="0"/>
        <w:adjustRightInd w:val="0"/>
        <w:ind w:left="3960"/>
        <w:rPr>
          <w:szCs w:val="24"/>
        </w:rPr>
      </w:pPr>
      <w:r w:rsidRPr="00E32DB7">
        <w:rPr>
          <w:szCs w:val="24"/>
        </w:rPr>
        <w:t>(willing to accept service by e-mail)</w:t>
      </w:r>
    </w:p>
    <w:p w:rsidR="003D1256" w:rsidRPr="00E32DB7" w:rsidP="003D1256" w14:paraId="350DAD1A" w14:textId="77777777">
      <w:pPr>
        <w:autoSpaceDE w:val="0"/>
        <w:autoSpaceDN w:val="0"/>
        <w:adjustRightInd w:val="0"/>
        <w:rPr>
          <w:szCs w:val="24"/>
        </w:rPr>
        <w:sectPr w:rsidSect="00434A6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326"/>
        </w:sectPr>
      </w:pPr>
    </w:p>
    <w:p w:rsidR="003D1256" w:rsidRPr="00E32DB7" w:rsidP="0031236B" w14:paraId="68B69968" w14:textId="77777777">
      <w:pPr>
        <w:pStyle w:val="BodyTextIndent3"/>
        <w:widowControl w:val="0"/>
        <w:spacing w:line="480" w:lineRule="auto"/>
        <w:ind w:firstLine="0"/>
        <w:jc w:val="center"/>
        <w:rPr>
          <w:b/>
          <w:bCs/>
          <w:szCs w:val="24"/>
          <w:u w:val="single"/>
        </w:rPr>
      </w:pPr>
      <w:r w:rsidRPr="00E32DB7">
        <w:rPr>
          <w:b/>
          <w:bCs/>
          <w:szCs w:val="24"/>
          <w:u w:val="single"/>
        </w:rPr>
        <w:t>CERTIFICATE OF SERVICE</w:t>
      </w:r>
    </w:p>
    <w:p w:rsidR="003D1256" w:rsidRPr="00E32DB7" w:rsidP="00E20B95" w14:paraId="5D37378C" w14:textId="091E9DA2">
      <w:pPr>
        <w:spacing w:line="480" w:lineRule="auto"/>
        <w:ind w:firstLine="720"/>
        <w:rPr>
          <w:szCs w:val="24"/>
        </w:rPr>
      </w:pPr>
      <w:r w:rsidRPr="00E32DB7">
        <w:rPr>
          <w:szCs w:val="24"/>
        </w:rPr>
        <w:t xml:space="preserve">I hereby certify that a copy of these </w:t>
      </w:r>
      <w:r w:rsidRPr="00E32DB7" w:rsidR="007726D2">
        <w:rPr>
          <w:szCs w:val="24"/>
        </w:rPr>
        <w:t xml:space="preserve">Consumer Protection </w:t>
      </w:r>
      <w:r w:rsidRPr="00E32DB7">
        <w:rPr>
          <w:szCs w:val="24"/>
        </w:rPr>
        <w:t>Comments w</w:t>
      </w:r>
      <w:r w:rsidRPr="00E32DB7" w:rsidR="00445090">
        <w:rPr>
          <w:szCs w:val="24"/>
        </w:rPr>
        <w:t>as</w:t>
      </w:r>
      <w:r w:rsidRPr="00E32DB7">
        <w:rPr>
          <w:szCs w:val="24"/>
        </w:rPr>
        <w:t xml:space="preserve"> served on the persons stated below via electronic transmission this </w:t>
      </w:r>
      <w:r w:rsidRPr="00E32DB7" w:rsidR="007D3647">
        <w:rPr>
          <w:szCs w:val="24"/>
        </w:rPr>
        <w:t>1</w:t>
      </w:r>
      <w:r w:rsidRPr="00E32DB7" w:rsidR="007D3647">
        <w:rPr>
          <w:szCs w:val="24"/>
          <w:vertAlign w:val="superscript"/>
        </w:rPr>
        <w:t>st</w:t>
      </w:r>
      <w:r w:rsidRPr="00E32DB7" w:rsidR="007D3647">
        <w:rPr>
          <w:szCs w:val="24"/>
        </w:rPr>
        <w:t xml:space="preserve"> </w:t>
      </w:r>
      <w:r w:rsidRPr="00E32DB7">
        <w:rPr>
          <w:szCs w:val="24"/>
        </w:rPr>
        <w:t>day of</w:t>
      </w:r>
      <w:r w:rsidRPr="00E32DB7" w:rsidR="007D3647">
        <w:rPr>
          <w:szCs w:val="24"/>
        </w:rPr>
        <w:t xml:space="preserve"> June 2023.</w:t>
      </w:r>
    </w:p>
    <w:p w:rsidR="003D1256" w:rsidRPr="00E32DB7" w:rsidP="003D1256" w14:paraId="2A5AF012" w14:textId="77777777">
      <w:pPr>
        <w:rPr>
          <w:i/>
          <w:iCs/>
          <w:szCs w:val="24"/>
          <w:u w:val="single"/>
        </w:rPr>
      </w:pPr>
      <w:r w:rsidRPr="00E32DB7">
        <w:rPr>
          <w:szCs w:val="24"/>
        </w:rPr>
        <w:tab/>
      </w:r>
      <w:r w:rsidRPr="00E32DB7">
        <w:rPr>
          <w:szCs w:val="24"/>
        </w:rPr>
        <w:tab/>
      </w:r>
      <w:r w:rsidRPr="00E32DB7">
        <w:rPr>
          <w:szCs w:val="24"/>
        </w:rPr>
        <w:tab/>
      </w:r>
      <w:r w:rsidRPr="00E32DB7">
        <w:rPr>
          <w:szCs w:val="24"/>
        </w:rPr>
        <w:tab/>
      </w:r>
      <w:r w:rsidRPr="00E32DB7">
        <w:rPr>
          <w:szCs w:val="24"/>
        </w:rPr>
        <w:tab/>
      </w:r>
      <w:r w:rsidRPr="00E32DB7">
        <w:rPr>
          <w:szCs w:val="24"/>
        </w:rPr>
        <w:tab/>
      </w:r>
      <w:r w:rsidRPr="00E32DB7">
        <w:rPr>
          <w:i/>
          <w:iCs/>
          <w:szCs w:val="24"/>
          <w:u w:val="single"/>
        </w:rPr>
        <w:t xml:space="preserve">/s/ </w:t>
      </w:r>
      <w:r w:rsidRPr="00E32DB7" w:rsidR="00F05C80">
        <w:rPr>
          <w:i/>
          <w:iCs/>
          <w:szCs w:val="24"/>
          <w:u w:val="single"/>
        </w:rPr>
        <w:t>William J. Michael</w:t>
      </w:r>
    </w:p>
    <w:p w:rsidR="00F05C80" w:rsidRPr="00E32DB7" w:rsidP="003D1256" w14:paraId="2ED8782F" w14:textId="7EA023B7">
      <w:pPr>
        <w:rPr>
          <w:szCs w:val="24"/>
        </w:rPr>
      </w:pPr>
      <w:r w:rsidRPr="00E32DB7">
        <w:rPr>
          <w:szCs w:val="24"/>
        </w:rPr>
        <w:tab/>
      </w:r>
      <w:r w:rsidRPr="00E32DB7">
        <w:rPr>
          <w:szCs w:val="24"/>
        </w:rPr>
        <w:tab/>
      </w:r>
      <w:r w:rsidRPr="00E32DB7">
        <w:rPr>
          <w:szCs w:val="24"/>
        </w:rPr>
        <w:tab/>
      </w:r>
      <w:r w:rsidRPr="00E32DB7">
        <w:rPr>
          <w:szCs w:val="24"/>
        </w:rPr>
        <w:tab/>
      </w:r>
      <w:r w:rsidRPr="00E32DB7">
        <w:rPr>
          <w:szCs w:val="24"/>
        </w:rPr>
        <w:tab/>
      </w:r>
      <w:r w:rsidRPr="00E32DB7">
        <w:rPr>
          <w:szCs w:val="24"/>
        </w:rPr>
        <w:tab/>
      </w:r>
      <w:r w:rsidRPr="00E32DB7">
        <w:rPr>
          <w:szCs w:val="24"/>
        </w:rPr>
        <w:t>William J. Michael</w:t>
      </w:r>
    </w:p>
    <w:p w:rsidR="003D1256" w:rsidRPr="00E32DB7" w:rsidP="004B6AD4" w14:paraId="418779C4" w14:textId="77777777">
      <w:pPr>
        <w:ind w:left="3600" w:firstLine="720"/>
        <w:rPr>
          <w:szCs w:val="24"/>
        </w:rPr>
      </w:pPr>
      <w:r w:rsidRPr="00E32DB7">
        <w:rPr>
          <w:szCs w:val="24"/>
        </w:rPr>
        <w:t>Assistant Consumers’ Counsel</w:t>
      </w:r>
    </w:p>
    <w:p w:rsidR="003D1256" w:rsidRPr="00E32DB7" w:rsidP="003D1256" w14:paraId="0557341E" w14:textId="77777777">
      <w:pPr>
        <w:pStyle w:val="CommentText"/>
        <w:jc w:val="center"/>
        <w:rPr>
          <w:b/>
          <w:u w:val="single"/>
        </w:rPr>
      </w:pPr>
    </w:p>
    <w:p w:rsidR="00401278" w:rsidRPr="00E32DB7" w:rsidP="00401278" w14:paraId="7D770330" w14:textId="77777777">
      <w:pPr>
        <w:rPr>
          <w:szCs w:val="24"/>
        </w:rPr>
      </w:pPr>
      <w:r w:rsidRPr="00E32DB7">
        <w:rPr>
          <w:szCs w:val="24"/>
        </w:rPr>
        <w:t>The PUCO’s e-filing system will electronically serve notice of the filing of this document on the following parties:</w:t>
      </w:r>
    </w:p>
    <w:p w:rsidR="00401278" w:rsidRPr="00E32DB7" w:rsidP="00401278" w14:paraId="59C253A7" w14:textId="77777777">
      <w:pPr>
        <w:pStyle w:val="CommentText"/>
      </w:pPr>
    </w:p>
    <w:p w:rsidR="00401278" w:rsidRPr="00E32DB7" w:rsidP="00401278" w14:paraId="0F101A64" w14:textId="77777777">
      <w:pPr>
        <w:pStyle w:val="CommentText"/>
        <w:jc w:val="center"/>
        <w:rPr>
          <w:b/>
          <w:u w:val="single"/>
        </w:rPr>
      </w:pPr>
      <w:r w:rsidRPr="00E32DB7">
        <w:rPr>
          <w:b/>
          <w:u w:val="single"/>
        </w:rPr>
        <w:t>SERVICE LIST</w:t>
      </w:r>
    </w:p>
    <w:p w:rsidR="00401278" w:rsidRPr="00E32DB7" w:rsidP="00401278" w14:paraId="77D1374E"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4"/>
        <w:gridCol w:w="4426"/>
      </w:tblGrid>
      <w:tr w14:paraId="3F8F5740" w14:textId="77777777" w:rsidTr="00F6793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14" w:type="dxa"/>
          </w:tcPr>
          <w:p w:rsidR="00F67937" w:rsidRPr="00E32DB7" w:rsidP="00810C97" w14:paraId="36D9F779" w14:textId="77777777">
            <w:pPr>
              <w:pStyle w:val="CommentText"/>
              <w:rPr>
                <w:bCs/>
              </w:rPr>
            </w:pPr>
            <w:hyperlink r:id="rId13" w:history="1">
              <w:r w:rsidRPr="00E32DB7">
                <w:rPr>
                  <w:rStyle w:val="Hyperlink"/>
                  <w:bCs/>
                </w:rPr>
                <w:t>werner.margard@ohioAGO.gov</w:t>
              </w:r>
            </w:hyperlink>
          </w:p>
          <w:p w:rsidR="00F67937" w:rsidRPr="00E32DB7" w:rsidP="00810C97" w14:paraId="62F7ABA1" w14:textId="77777777">
            <w:pPr>
              <w:pStyle w:val="CommentText"/>
              <w:rPr>
                <w:bCs/>
              </w:rPr>
            </w:pPr>
            <w:hyperlink r:id="rId14" w:history="1">
              <w:r w:rsidRPr="00E32DB7">
                <w:rPr>
                  <w:rStyle w:val="Hyperlink"/>
                  <w:bCs/>
                </w:rPr>
                <w:t>thomas.lindgren@ohioAGO.gov</w:t>
              </w:r>
            </w:hyperlink>
          </w:p>
          <w:p w:rsidR="00F67937" w:rsidRPr="00E32DB7" w:rsidP="00810C97" w14:paraId="5280350D" w14:textId="77777777">
            <w:pPr>
              <w:pStyle w:val="CommentText"/>
              <w:rPr>
                <w:bCs/>
              </w:rPr>
            </w:pPr>
          </w:p>
          <w:p w:rsidR="00F67937" w:rsidRPr="00E32DB7" w:rsidP="00810C97" w14:paraId="1B800D57" w14:textId="77777777">
            <w:pPr>
              <w:pStyle w:val="CommentText"/>
              <w:rPr>
                <w:bCs/>
              </w:rPr>
            </w:pPr>
            <w:r w:rsidRPr="00E32DB7">
              <w:rPr>
                <w:bCs/>
              </w:rPr>
              <w:t>Attorney Examiners:</w:t>
            </w:r>
          </w:p>
          <w:p w:rsidR="00AF4C35" w:rsidRPr="00E32DB7" w:rsidP="00AF4C35" w14:paraId="01A500BD" w14:textId="5017CF44">
            <w:pPr>
              <w:rPr>
                <w:color w:val="0000FF"/>
                <w:szCs w:val="24"/>
                <w:u w:val="single"/>
              </w:rPr>
            </w:pPr>
            <w:hyperlink r:id="rId15" w:history="1">
              <w:r w:rsidRPr="00E32DB7">
                <w:rPr>
                  <w:rStyle w:val="Hyperlink"/>
                  <w:szCs w:val="24"/>
                </w:rPr>
                <w:t>megan.addison@puco.ohio.gov</w:t>
              </w:r>
            </w:hyperlink>
          </w:p>
          <w:p w:rsidR="00F67937" w:rsidRPr="00E32DB7" w:rsidP="00810C97" w14:paraId="1A8C7F60" w14:textId="23F74377">
            <w:pPr>
              <w:adjustRightInd w:val="0"/>
              <w:rPr>
                <w:color w:val="0000FF"/>
                <w:szCs w:val="24"/>
                <w:u w:val="single"/>
              </w:rPr>
            </w:pPr>
            <w:hyperlink r:id="rId16" w:history="1">
              <w:r w:rsidRPr="00E32DB7" w:rsidR="00AF4C35">
                <w:rPr>
                  <w:rStyle w:val="Hyperlink"/>
                  <w:szCs w:val="24"/>
                </w:rPr>
                <w:t>gregory.price@puco.ohio.gov</w:t>
              </w:r>
            </w:hyperlink>
          </w:p>
          <w:p w:rsidR="00F67937" w:rsidRPr="00E32DB7" w:rsidP="00810C97" w14:paraId="1AFF4544" w14:textId="31447C9F">
            <w:pPr>
              <w:rPr>
                <w:color w:val="0000FF"/>
                <w:szCs w:val="24"/>
                <w:u w:val="single"/>
              </w:rPr>
            </w:pPr>
            <w:hyperlink r:id="rId17" w:history="1">
              <w:r w:rsidRPr="00E32DB7" w:rsidR="00AF4C35">
                <w:rPr>
                  <w:rStyle w:val="Hyperlink"/>
                  <w:szCs w:val="24"/>
                </w:rPr>
                <w:t>jacqueline.st.john@puco.ohio.gov</w:t>
              </w:r>
            </w:hyperlink>
          </w:p>
          <w:p w:rsidR="00F67937" w:rsidRPr="00E32DB7" w:rsidP="00810C97" w14:paraId="7F71CB26" w14:textId="77777777">
            <w:pPr>
              <w:pStyle w:val="CommentText"/>
              <w:rPr>
                <w:bCs/>
              </w:rPr>
            </w:pPr>
          </w:p>
          <w:p w:rsidR="00F67937" w:rsidRPr="00E32DB7" w:rsidP="00810C97" w14:paraId="4B8B7A99" w14:textId="77777777">
            <w:pPr>
              <w:pStyle w:val="CommentText"/>
              <w:rPr>
                <w:bCs/>
              </w:rPr>
            </w:pPr>
          </w:p>
          <w:p w:rsidR="00F67937" w:rsidRPr="00E32DB7" w:rsidP="00810C97" w14:paraId="40EB1AEB" w14:textId="77777777">
            <w:pPr>
              <w:pStyle w:val="CommentText"/>
              <w:rPr>
                <w:bCs/>
              </w:rPr>
            </w:pPr>
          </w:p>
          <w:p w:rsidR="00F67937" w:rsidRPr="00E32DB7" w:rsidP="00810C97" w14:paraId="16749353" w14:textId="77777777">
            <w:pPr>
              <w:pStyle w:val="CommentText"/>
              <w:rPr>
                <w:bCs/>
              </w:rPr>
            </w:pPr>
          </w:p>
        </w:tc>
        <w:tc>
          <w:tcPr>
            <w:tcW w:w="4426" w:type="dxa"/>
          </w:tcPr>
          <w:p w:rsidR="00CA4BFF" w:rsidRPr="00E32DB7" w:rsidP="00810C97" w14:paraId="2835D564" w14:textId="22671B4D">
            <w:pPr>
              <w:pStyle w:val="CommentText"/>
              <w:ind w:left="1062"/>
            </w:pPr>
            <w:hyperlink r:id="rId18" w:history="1">
              <w:r w:rsidRPr="00E32DB7">
                <w:rPr>
                  <w:rStyle w:val="Hyperlink"/>
                </w:rPr>
                <w:t>mrgladman@jonesday.com</w:t>
              </w:r>
            </w:hyperlink>
          </w:p>
          <w:p w:rsidR="00F67937" w:rsidRPr="00E32DB7" w:rsidP="00810C97" w14:paraId="73DB19F5" w14:textId="674659AB">
            <w:pPr>
              <w:pStyle w:val="CommentText"/>
              <w:ind w:left="1062"/>
            </w:pPr>
            <w:hyperlink r:id="rId19" w:history="1">
              <w:r w:rsidRPr="00E32DB7" w:rsidR="00CA4BFF">
                <w:rPr>
                  <w:rStyle w:val="Hyperlink"/>
                </w:rPr>
                <w:t>mdengler@jonesday.com</w:t>
              </w:r>
            </w:hyperlink>
          </w:p>
          <w:p w:rsidR="00CA4BFF" w:rsidRPr="00E32DB7" w:rsidP="00810C97" w14:paraId="79315F31" w14:textId="5212D758">
            <w:pPr>
              <w:pStyle w:val="CommentText"/>
              <w:ind w:left="1062"/>
              <w:rPr>
                <w:bCs/>
              </w:rPr>
            </w:pPr>
            <w:hyperlink r:id="rId20" w:history="1">
              <w:r w:rsidRPr="00E32DB7" w:rsidR="00D40309">
                <w:rPr>
                  <w:rStyle w:val="Hyperlink"/>
                  <w:bCs/>
                </w:rPr>
                <w:t>sgoyal@jonesday.com</w:t>
              </w:r>
            </w:hyperlink>
          </w:p>
          <w:p w:rsidR="00D40309" w:rsidRPr="00E32DB7" w:rsidP="00810C97" w14:paraId="2BAA527D" w14:textId="0E7B3AE5">
            <w:pPr>
              <w:pStyle w:val="CommentText"/>
              <w:ind w:left="1062"/>
              <w:rPr>
                <w:bCs/>
              </w:rPr>
            </w:pPr>
            <w:hyperlink r:id="rId21" w:history="1">
              <w:r w:rsidRPr="00E32DB7">
                <w:rPr>
                  <w:rStyle w:val="Hyperlink"/>
                  <w:bCs/>
                </w:rPr>
                <w:t>radoringo@jonesday.com</w:t>
              </w:r>
            </w:hyperlink>
          </w:p>
          <w:p w:rsidR="00D40309" w:rsidRPr="00E32DB7" w:rsidP="00810C97" w14:paraId="0C9B5EC5" w14:textId="2436C959">
            <w:pPr>
              <w:pStyle w:val="CommentText"/>
              <w:ind w:left="1062"/>
              <w:rPr>
                <w:bCs/>
              </w:rPr>
            </w:pPr>
          </w:p>
        </w:tc>
      </w:tr>
    </w:tbl>
    <w:p w:rsidR="003D1256" w:rsidRPr="00E32DB7" w:rsidP="003D1256" w14:paraId="4CB39E71" w14:textId="77777777">
      <w:pPr>
        <w:pStyle w:val="CommentText"/>
        <w:jc w:val="center"/>
        <w:rPr>
          <w:b/>
          <w:u w:val="single"/>
        </w:rPr>
      </w:pPr>
    </w:p>
    <w:sectPr w:rsidSect="0064524D">
      <w:footerReference w:type="first" r:id="rId22"/>
      <w:pgSz w:w="12240" w:h="15840"/>
      <w:pgMar w:top="1440" w:right="1800" w:bottom="1440" w:left="180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0804" w14:paraId="71A225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3527408"/>
      <w:docPartObj>
        <w:docPartGallery w:val="Page Numbers (Bottom of Page)"/>
        <w:docPartUnique/>
      </w:docPartObj>
    </w:sdtPr>
    <w:sdtEndPr>
      <w:rPr>
        <w:noProof/>
        <w:sz w:val="24"/>
        <w:szCs w:val="24"/>
      </w:rPr>
    </w:sdtEndPr>
    <w:sdtContent>
      <w:p w:rsidR="00F47854" w:rsidRPr="00F47854" w14:paraId="24E406C2" w14:textId="0DA4C32A">
        <w:pPr>
          <w:pStyle w:val="Footer"/>
          <w:jc w:val="center"/>
          <w:rPr>
            <w:sz w:val="24"/>
            <w:szCs w:val="24"/>
          </w:rPr>
        </w:pPr>
        <w:r w:rsidRPr="00F47854">
          <w:rPr>
            <w:sz w:val="24"/>
            <w:szCs w:val="24"/>
          </w:rPr>
          <w:fldChar w:fldCharType="begin"/>
        </w:r>
        <w:r w:rsidRPr="00F47854">
          <w:rPr>
            <w:sz w:val="24"/>
            <w:szCs w:val="24"/>
          </w:rPr>
          <w:instrText xml:space="preserve"> PAGE   \* MERGEFORMAT </w:instrText>
        </w:r>
        <w:r w:rsidRPr="00F47854">
          <w:rPr>
            <w:sz w:val="24"/>
            <w:szCs w:val="24"/>
          </w:rPr>
          <w:fldChar w:fldCharType="separate"/>
        </w:r>
        <w:r w:rsidRPr="00F47854">
          <w:rPr>
            <w:noProof/>
            <w:sz w:val="24"/>
            <w:szCs w:val="24"/>
          </w:rPr>
          <w:t>2</w:t>
        </w:r>
        <w:r w:rsidRPr="00F47854">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6819" w:rsidRPr="00710FEF" w14:paraId="57B27BEF" w14:textId="0999681E">
    <w:pPr>
      <w:pStyle w:val="Footer"/>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6819" w:rsidRPr="00041DF9" w14:paraId="1C5D4546" w14:textId="77777777">
    <w:pPr>
      <w:pStyle w:val="Footer"/>
      <w:jc w:val="center"/>
      <w:rPr>
        <w:sz w:val="24"/>
        <w:szCs w:val="24"/>
      </w:rPr>
    </w:pPr>
    <w:r w:rsidRPr="00041DF9">
      <w:rPr>
        <w:sz w:val="24"/>
        <w:szCs w:val="24"/>
      </w:rPr>
      <w:fldChar w:fldCharType="begin"/>
    </w:r>
    <w:r w:rsidRPr="00041DF9">
      <w:rPr>
        <w:sz w:val="24"/>
        <w:szCs w:val="24"/>
      </w:rPr>
      <w:instrText xml:space="preserve"> PAGE   \* MERGEFORMAT </w:instrText>
    </w:r>
    <w:r w:rsidRPr="00041DF9">
      <w:rPr>
        <w:sz w:val="24"/>
        <w:szCs w:val="24"/>
      </w:rPr>
      <w:fldChar w:fldCharType="separate"/>
    </w:r>
    <w:r>
      <w:rPr>
        <w:noProof/>
        <w:sz w:val="24"/>
        <w:szCs w:val="24"/>
      </w:rPr>
      <w:t>11</w:t>
    </w:r>
    <w:r w:rsidRPr="00041DF9">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4645" w14:paraId="197E6DC2" w14:textId="77777777">
      <w:r>
        <w:separator/>
      </w:r>
    </w:p>
  </w:footnote>
  <w:footnote w:type="continuationSeparator" w:id="1">
    <w:p w:rsidR="00C84645" w14:paraId="5D8603B6" w14:textId="77777777">
      <w:r>
        <w:continuationSeparator/>
      </w:r>
    </w:p>
  </w:footnote>
  <w:footnote w:type="continuationNotice" w:id="2">
    <w:p w:rsidR="00C84645" w14:paraId="0C2F5FC1" w14:textId="77777777"/>
  </w:footnote>
  <w:footnote w:id="3">
    <w:p w:rsidR="00ED0111" w14:paraId="0C44942B" w14:textId="22466136">
      <w:pPr>
        <w:pStyle w:val="FootnoteText"/>
      </w:pPr>
      <w:r>
        <w:rPr>
          <w:rStyle w:val="FootnoteReference"/>
        </w:rPr>
        <w:footnoteRef/>
      </w:r>
      <w:r>
        <w:t xml:space="preserve"> </w:t>
      </w:r>
      <w:r w:rsidRPr="00E21F7A">
        <w:t xml:space="preserve">The Ohio Edison Company, </w:t>
      </w:r>
      <w:r w:rsidR="00406D2F">
        <w:t>t</w:t>
      </w:r>
      <w:r w:rsidRPr="00E21F7A">
        <w:t xml:space="preserve">he Cleveland Electric Illuminating Company, and </w:t>
      </w:r>
      <w:r w:rsidR="00406D2F">
        <w:t>t</w:t>
      </w:r>
      <w:r w:rsidRPr="00E21F7A">
        <w:t>he Toledo Edison Company, collectively, “Utilities” or “FirstEnergy Utilities.”</w:t>
      </w:r>
    </w:p>
  </w:footnote>
  <w:footnote w:id="4">
    <w:p w:rsidR="000649A4" w14:paraId="6329D2F8" w14:textId="6D5B997F">
      <w:pPr>
        <w:pStyle w:val="FootnoteText"/>
      </w:pPr>
      <w:r>
        <w:rPr>
          <w:rStyle w:val="FootnoteReference"/>
        </w:rPr>
        <w:footnoteRef/>
      </w:r>
      <w:r>
        <w:t xml:space="preserve"> Specifically, this audit reviews all additions, retirements, transfers, and adjustments to the current date value of plant-in-service that have occurred for the actual year ended November 30, 2021. </w:t>
      </w:r>
      <w:r w:rsidRPr="00B67E70">
        <w:rPr>
          <w:i/>
          <w:iCs/>
        </w:rPr>
        <w:t>See</w:t>
      </w:r>
      <w:r>
        <w:t xml:space="preserve"> Entry on November 3, 2021, Request for Proposal.</w:t>
      </w:r>
    </w:p>
  </w:footnote>
  <w:footnote w:id="5">
    <w:p w:rsidR="00556819" w:rsidRPr="00E21F7A" w:rsidP="00E21F7A" w14:paraId="25344CC6" w14:textId="5FD33002">
      <w:pPr>
        <w:pStyle w:val="FootnoteText"/>
      </w:pPr>
      <w:r w:rsidRPr="00E21F7A">
        <w:rPr>
          <w:rStyle w:val="FootnoteReference"/>
        </w:rPr>
        <w:footnoteRef/>
      </w:r>
      <w:r w:rsidRPr="00E21F7A">
        <w:t xml:space="preserve"> DCR Audit at </w:t>
      </w:r>
      <w:r w:rsidR="000649A4">
        <w:t>8</w:t>
      </w:r>
      <w:r w:rsidRPr="00E21F7A">
        <w:t xml:space="preserve">. </w:t>
      </w:r>
    </w:p>
  </w:footnote>
  <w:footnote w:id="6">
    <w:p w:rsidR="00556819" w:rsidRPr="00E21F7A" w:rsidP="00E21F7A" w14:paraId="62720D16" w14:textId="03C11ED7">
      <w:pPr>
        <w:pStyle w:val="FootnoteText"/>
      </w:pPr>
      <w:r w:rsidRPr="00E21F7A">
        <w:rPr>
          <w:rStyle w:val="FootnoteReference"/>
        </w:rPr>
        <w:footnoteRef/>
      </w:r>
      <w:r w:rsidRPr="00E21F7A">
        <w:t xml:space="preserve"> </w:t>
      </w:r>
      <w:r w:rsidR="00466EF9">
        <w:rPr>
          <w:i/>
          <w:iCs/>
        </w:rPr>
        <w:t>Id.</w:t>
      </w:r>
      <w:r w:rsidR="00466EF9">
        <w:t xml:space="preserve"> at 9</w:t>
      </w:r>
      <w:r w:rsidRPr="00E21F7A">
        <w:t xml:space="preserve">. </w:t>
      </w:r>
    </w:p>
  </w:footnote>
  <w:footnote w:id="7">
    <w:p w:rsidR="00556819" w:rsidRPr="00E21F7A" w:rsidP="00E21F7A" w14:paraId="4C6CF7EF" w14:textId="77777777">
      <w:pPr>
        <w:pStyle w:val="FootnoteText"/>
      </w:pPr>
      <w:r w:rsidRPr="00E21F7A">
        <w:rPr>
          <w:rStyle w:val="FootnoteReference"/>
        </w:rPr>
        <w:footnoteRef/>
      </w:r>
      <w:r w:rsidRPr="00E21F7A">
        <w:t xml:space="preserve"> </w:t>
      </w:r>
      <w:r w:rsidRPr="00E21F7A">
        <w:rPr>
          <w:i/>
          <w:iCs/>
        </w:rPr>
        <w:t>Id.</w:t>
      </w:r>
      <w:r w:rsidRPr="00E21F7A">
        <w:t xml:space="preserve"> </w:t>
      </w:r>
    </w:p>
  </w:footnote>
  <w:footnote w:id="8">
    <w:p w:rsidR="00556819" w:rsidRPr="00E21F7A" w:rsidP="00E21F7A" w14:paraId="0B7057BB" w14:textId="42E437A7">
      <w:pPr>
        <w:pStyle w:val="FootnoteText"/>
      </w:pPr>
      <w:r w:rsidRPr="00E21F7A">
        <w:rPr>
          <w:rStyle w:val="FootnoteReference"/>
        </w:rPr>
        <w:footnoteRef/>
      </w:r>
      <w:r w:rsidRPr="00E21F7A">
        <w:t xml:space="preserve"> </w:t>
      </w:r>
      <w:r w:rsidRPr="00E21F7A">
        <w:rPr>
          <w:i/>
          <w:iCs/>
        </w:rPr>
        <w:t>Id.</w:t>
      </w:r>
      <w:r w:rsidRPr="00E21F7A">
        <w:t xml:space="preserve"> </w:t>
      </w:r>
      <w:r w:rsidR="00466EF9">
        <w:t>at 19, Table 10.</w:t>
      </w:r>
    </w:p>
  </w:footnote>
  <w:footnote w:id="9">
    <w:p w:rsidR="00556819" w:rsidRPr="00E21F7A" w:rsidP="00E21F7A" w14:paraId="6FE2547B" w14:textId="6235DD4C">
      <w:pPr>
        <w:pStyle w:val="FootnoteText"/>
      </w:pPr>
      <w:r w:rsidRPr="00E21F7A">
        <w:rPr>
          <w:rStyle w:val="FootnoteReference"/>
        </w:rPr>
        <w:footnoteRef/>
      </w:r>
      <w:r w:rsidRPr="00E21F7A">
        <w:t xml:space="preserve"> </w:t>
      </w:r>
      <w:r w:rsidR="00466EF9">
        <w:rPr>
          <w:i/>
          <w:iCs/>
        </w:rPr>
        <w:t>See id</w:t>
      </w:r>
      <w:r w:rsidRPr="00E21F7A">
        <w:t>.</w:t>
      </w:r>
    </w:p>
  </w:footnote>
  <w:footnote w:id="10">
    <w:p w:rsidR="00556819" w:rsidRPr="00E21F7A" w:rsidP="00E21F7A" w14:paraId="58CFF1B0" w14:textId="00F9D978">
      <w:pPr>
        <w:pStyle w:val="FootnoteText"/>
      </w:pPr>
      <w:r w:rsidRPr="00E21F7A">
        <w:rPr>
          <w:rStyle w:val="FootnoteReference"/>
        </w:rPr>
        <w:footnoteRef/>
      </w:r>
      <w:r w:rsidRPr="00E21F7A">
        <w:t xml:space="preserve"> </w:t>
      </w:r>
      <w:r w:rsidR="00CF4A23">
        <w:rPr>
          <w:i/>
          <w:iCs/>
        </w:rPr>
        <w:t>Id.</w:t>
      </w:r>
      <w:r w:rsidRPr="00E21F7A">
        <w:t xml:space="preserve"> at 21-22.</w:t>
      </w:r>
    </w:p>
  </w:footnote>
  <w:footnote w:id="11">
    <w:p w:rsidR="00CF4A23" w14:paraId="6F0BEAF9" w14:textId="2F4EFAD3">
      <w:pPr>
        <w:pStyle w:val="FootnoteText"/>
      </w:pPr>
      <w:r>
        <w:rPr>
          <w:rStyle w:val="FootnoteReference"/>
        </w:rPr>
        <w:footnoteRef/>
      </w:r>
      <w:r>
        <w:t xml:space="preserve"> Recommendation No. 3.</w:t>
      </w:r>
    </w:p>
  </w:footnote>
  <w:footnote w:id="12">
    <w:p w:rsidR="00CF4A23" w14:paraId="10FC7A4E" w14:textId="3B35790E">
      <w:pPr>
        <w:pStyle w:val="FootnoteText"/>
      </w:pPr>
      <w:r>
        <w:rPr>
          <w:rStyle w:val="FootnoteReference"/>
        </w:rPr>
        <w:footnoteRef/>
      </w:r>
      <w:r>
        <w:t xml:space="preserve"> Recommendation No. 4.</w:t>
      </w:r>
    </w:p>
  </w:footnote>
  <w:footnote w:id="13">
    <w:p w:rsidR="00CF4A23" w14:paraId="10350348" w14:textId="648EC683">
      <w:pPr>
        <w:pStyle w:val="FootnoteText"/>
      </w:pPr>
      <w:r>
        <w:rPr>
          <w:rStyle w:val="FootnoteReference"/>
        </w:rPr>
        <w:footnoteRef/>
      </w:r>
      <w:r>
        <w:t xml:space="preserve"> Recommendation No.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0804" w14:paraId="6F664F0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0804" w14:paraId="62B8EEB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0804" w14:paraId="0347C4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E67994"/>
    <w:multiLevelType w:val="hybridMultilevel"/>
    <w:tmpl w:val="1FE6069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36022A84"/>
    <w:multiLevelType w:val="hybridMultilevel"/>
    <w:tmpl w:val="BD6213C6"/>
    <w:lvl w:ilvl="0">
      <w:start w:val="1"/>
      <w:numFmt w:val="decimal"/>
      <w:lvlText w:val="(%1)"/>
      <w:lvlJc w:val="left"/>
      <w:pPr>
        <w:ind w:left="990" w:hanging="360"/>
      </w:pPr>
      <w:rPr>
        <w:rFonts w:hint="default"/>
      </w:rPr>
    </w:lvl>
    <w:lvl w:ilvl="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
    <w:nsid w:val="41EF2C80"/>
    <w:multiLevelType w:val="multilevel"/>
    <w:tmpl w:val="6D360966"/>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64C4074C"/>
    <w:multiLevelType w:val="hybridMultilevel"/>
    <w:tmpl w:val="73C251E2"/>
    <w:lvl w:ilvl="0">
      <w:start w:val="1"/>
      <w:numFmt w:val="decimal"/>
      <w:pStyle w:val="TOC3"/>
      <w:lvlText w:val="%1."/>
      <w:lvlJc w:val="left"/>
      <w:pPr>
        <w:ind w:left="1890" w:hanging="360"/>
      </w:pPr>
      <w:rPr>
        <w:rFonts w:ascii="Times New Roman" w:eastAsia="Calibri" w:hAnsi="Times New Roman" w:cs="Times New Roman" w:hint="default"/>
        <w:color w:val="0000FF"/>
        <w:sz w:val="24"/>
        <w:u w:val="none"/>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4">
    <w:nsid w:val="65400C8B"/>
    <w:multiLevelType w:val="hybridMultilevel"/>
    <w:tmpl w:val="B9F2ED8A"/>
    <w:lvl w:ilvl="0">
      <w:start w:val="12"/>
      <w:numFmt w:val="decimal"/>
      <w:lvlText w:val="%1."/>
      <w:lvlJc w:val="left"/>
      <w:pPr>
        <w:ind w:left="549" w:hanging="668"/>
      </w:pPr>
      <w:rPr>
        <w:rFonts w:ascii="Times New Roman" w:eastAsia="Times New Roman" w:hAnsi="Times New Roman" w:hint="default"/>
        <w:color w:val="010101"/>
        <w:w w:val="102"/>
        <w:sz w:val="23"/>
        <w:szCs w:val="23"/>
      </w:rPr>
    </w:lvl>
    <w:lvl w:ilvl="1">
      <w:start w:val="1"/>
      <w:numFmt w:val="lowerLetter"/>
      <w:lvlText w:val="(%2)"/>
      <w:lvlJc w:val="left"/>
      <w:pPr>
        <w:ind w:left="1260" w:hanging="668"/>
      </w:pPr>
      <w:rPr>
        <w:rFonts w:ascii="Times New Roman" w:eastAsia="Times New Roman" w:hAnsi="Times New Roman" w:hint="default"/>
        <w:color w:val="010101"/>
        <w:w w:val="102"/>
        <w:sz w:val="23"/>
        <w:szCs w:val="23"/>
      </w:rPr>
    </w:lvl>
    <w:lvl w:ilvl="2">
      <w:start w:val="1"/>
      <w:numFmt w:val="bullet"/>
      <w:lvlText w:val="•"/>
      <w:lvlJc w:val="left"/>
      <w:pPr>
        <w:ind w:left="2233" w:hanging="668"/>
      </w:pPr>
      <w:rPr>
        <w:rFonts w:hint="default"/>
      </w:rPr>
    </w:lvl>
    <w:lvl w:ilvl="3">
      <w:start w:val="1"/>
      <w:numFmt w:val="bullet"/>
      <w:lvlText w:val="•"/>
      <w:lvlJc w:val="left"/>
      <w:pPr>
        <w:ind w:left="3206" w:hanging="668"/>
      </w:pPr>
      <w:rPr>
        <w:rFonts w:hint="default"/>
      </w:rPr>
    </w:lvl>
    <w:lvl w:ilvl="4">
      <w:start w:val="1"/>
      <w:numFmt w:val="bullet"/>
      <w:lvlText w:val="•"/>
      <w:lvlJc w:val="left"/>
      <w:pPr>
        <w:ind w:left="4180" w:hanging="668"/>
      </w:pPr>
      <w:rPr>
        <w:rFonts w:hint="default"/>
      </w:rPr>
    </w:lvl>
    <w:lvl w:ilvl="5">
      <w:start w:val="1"/>
      <w:numFmt w:val="bullet"/>
      <w:lvlText w:val="•"/>
      <w:lvlJc w:val="left"/>
      <w:pPr>
        <w:ind w:left="5153" w:hanging="668"/>
      </w:pPr>
      <w:rPr>
        <w:rFonts w:hint="default"/>
      </w:rPr>
    </w:lvl>
    <w:lvl w:ilvl="6">
      <w:start w:val="1"/>
      <w:numFmt w:val="bullet"/>
      <w:lvlText w:val="•"/>
      <w:lvlJc w:val="left"/>
      <w:pPr>
        <w:ind w:left="6126" w:hanging="668"/>
      </w:pPr>
      <w:rPr>
        <w:rFonts w:hint="default"/>
      </w:rPr>
    </w:lvl>
    <w:lvl w:ilvl="7">
      <w:start w:val="1"/>
      <w:numFmt w:val="bullet"/>
      <w:lvlText w:val="•"/>
      <w:lvlJc w:val="left"/>
      <w:pPr>
        <w:ind w:left="7100" w:hanging="668"/>
      </w:pPr>
      <w:rPr>
        <w:rFonts w:hint="default"/>
      </w:rPr>
    </w:lvl>
    <w:lvl w:ilvl="8">
      <w:start w:val="1"/>
      <w:numFmt w:val="bullet"/>
      <w:lvlText w:val="•"/>
      <w:lvlJc w:val="left"/>
      <w:pPr>
        <w:ind w:left="8073" w:hanging="668"/>
      </w:pPr>
      <w:rPr>
        <w:rFonts w:hint="default"/>
      </w:rPr>
    </w:lvl>
  </w:abstractNum>
  <w:abstractNum w:abstractNumId="5">
    <w:nsid w:val="664F3CAB"/>
    <w:multiLevelType w:val="hybridMultilevel"/>
    <w:tmpl w:val="6BC620FA"/>
    <w:lvl w:ilvl="0">
      <w:start w:val="1"/>
      <w:numFmt w:val="upperLetter"/>
      <w:lvlText w:val="%1."/>
      <w:lvlJc w:val="left"/>
      <w:pPr>
        <w:ind w:left="1440" w:hanging="72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5"/>
  </w:num>
  <w:num w:numId="5">
    <w:abstractNumId w:val="0"/>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drawingGridHorizontalSpacing w:val="24"/>
  <w:drawingGridVerticalSpacing w:val="65"/>
  <w:displayHorizont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7A7"/>
    <w:rsid w:val="00016841"/>
    <w:rsid w:val="000252DE"/>
    <w:rsid w:val="00033902"/>
    <w:rsid w:val="00034F9B"/>
    <w:rsid w:val="00035A02"/>
    <w:rsid w:val="00036221"/>
    <w:rsid w:val="00036A22"/>
    <w:rsid w:val="00036A2D"/>
    <w:rsid w:val="00041DF9"/>
    <w:rsid w:val="00042753"/>
    <w:rsid w:val="000433E6"/>
    <w:rsid w:val="00050ADE"/>
    <w:rsid w:val="00051885"/>
    <w:rsid w:val="00053AFC"/>
    <w:rsid w:val="0005587D"/>
    <w:rsid w:val="000649A4"/>
    <w:rsid w:val="00066BBF"/>
    <w:rsid w:val="00072B07"/>
    <w:rsid w:val="0008799A"/>
    <w:rsid w:val="000902C6"/>
    <w:rsid w:val="00093F06"/>
    <w:rsid w:val="00094794"/>
    <w:rsid w:val="00094A8D"/>
    <w:rsid w:val="00097A69"/>
    <w:rsid w:val="000B1CB9"/>
    <w:rsid w:val="000B2992"/>
    <w:rsid w:val="000C77D8"/>
    <w:rsid w:val="000D20A6"/>
    <w:rsid w:val="000E12D9"/>
    <w:rsid w:val="000E4FD3"/>
    <w:rsid w:val="000F2934"/>
    <w:rsid w:val="000F3D91"/>
    <w:rsid w:val="000F63B6"/>
    <w:rsid w:val="001005D1"/>
    <w:rsid w:val="0011157E"/>
    <w:rsid w:val="00111ACE"/>
    <w:rsid w:val="00112589"/>
    <w:rsid w:val="00112694"/>
    <w:rsid w:val="001132A6"/>
    <w:rsid w:val="00120A7B"/>
    <w:rsid w:val="00123A9C"/>
    <w:rsid w:val="00132158"/>
    <w:rsid w:val="0013623A"/>
    <w:rsid w:val="00137CEF"/>
    <w:rsid w:val="00141E2E"/>
    <w:rsid w:val="0015341F"/>
    <w:rsid w:val="00154676"/>
    <w:rsid w:val="00155E3D"/>
    <w:rsid w:val="00160BE7"/>
    <w:rsid w:val="00163951"/>
    <w:rsid w:val="00164A05"/>
    <w:rsid w:val="00170580"/>
    <w:rsid w:val="001735E6"/>
    <w:rsid w:val="001763E7"/>
    <w:rsid w:val="00184109"/>
    <w:rsid w:val="00190086"/>
    <w:rsid w:val="00191389"/>
    <w:rsid w:val="0019194F"/>
    <w:rsid w:val="00197524"/>
    <w:rsid w:val="001A1959"/>
    <w:rsid w:val="001B61F7"/>
    <w:rsid w:val="001C6AA6"/>
    <w:rsid w:val="001D4265"/>
    <w:rsid w:val="001D50DA"/>
    <w:rsid w:val="001E7D34"/>
    <w:rsid w:val="001F24E9"/>
    <w:rsid w:val="001F3186"/>
    <w:rsid w:val="001F3EAA"/>
    <w:rsid w:val="0020572F"/>
    <w:rsid w:val="00226977"/>
    <w:rsid w:val="00230FA0"/>
    <w:rsid w:val="0023248C"/>
    <w:rsid w:val="00234669"/>
    <w:rsid w:val="00237628"/>
    <w:rsid w:val="002461A1"/>
    <w:rsid w:val="00250C9B"/>
    <w:rsid w:val="0025766F"/>
    <w:rsid w:val="002579FE"/>
    <w:rsid w:val="002634EB"/>
    <w:rsid w:val="00264051"/>
    <w:rsid w:val="00277334"/>
    <w:rsid w:val="002776FF"/>
    <w:rsid w:val="00280B7B"/>
    <w:rsid w:val="00280FAA"/>
    <w:rsid w:val="00287AFC"/>
    <w:rsid w:val="00291353"/>
    <w:rsid w:val="00292C0B"/>
    <w:rsid w:val="002930E7"/>
    <w:rsid w:val="00293FD7"/>
    <w:rsid w:val="002A10E4"/>
    <w:rsid w:val="002A2263"/>
    <w:rsid w:val="002A316D"/>
    <w:rsid w:val="002B4CA0"/>
    <w:rsid w:val="002B4CA7"/>
    <w:rsid w:val="002B7A53"/>
    <w:rsid w:val="002C04CE"/>
    <w:rsid w:val="002C06FB"/>
    <w:rsid w:val="002C51C6"/>
    <w:rsid w:val="002C66B7"/>
    <w:rsid w:val="002C7096"/>
    <w:rsid w:val="002C7A39"/>
    <w:rsid w:val="002D3B74"/>
    <w:rsid w:val="002D3E9A"/>
    <w:rsid w:val="002E0751"/>
    <w:rsid w:val="002E1C6F"/>
    <w:rsid w:val="002E21AE"/>
    <w:rsid w:val="002E2633"/>
    <w:rsid w:val="002E7847"/>
    <w:rsid w:val="002F3F45"/>
    <w:rsid w:val="002F530D"/>
    <w:rsid w:val="002F62E9"/>
    <w:rsid w:val="002F6367"/>
    <w:rsid w:val="00302823"/>
    <w:rsid w:val="0030472B"/>
    <w:rsid w:val="003066AE"/>
    <w:rsid w:val="0031236B"/>
    <w:rsid w:val="003234CC"/>
    <w:rsid w:val="00325407"/>
    <w:rsid w:val="00327100"/>
    <w:rsid w:val="00333B77"/>
    <w:rsid w:val="0034517B"/>
    <w:rsid w:val="00353C9D"/>
    <w:rsid w:val="00354E51"/>
    <w:rsid w:val="0035663A"/>
    <w:rsid w:val="003639A1"/>
    <w:rsid w:val="003649AE"/>
    <w:rsid w:val="00364CB6"/>
    <w:rsid w:val="00372B1A"/>
    <w:rsid w:val="00376BCB"/>
    <w:rsid w:val="00390706"/>
    <w:rsid w:val="00391727"/>
    <w:rsid w:val="00393037"/>
    <w:rsid w:val="00397B50"/>
    <w:rsid w:val="003A4329"/>
    <w:rsid w:val="003A66B8"/>
    <w:rsid w:val="003C1C51"/>
    <w:rsid w:val="003D1256"/>
    <w:rsid w:val="003D51E0"/>
    <w:rsid w:val="003D5411"/>
    <w:rsid w:val="003E6255"/>
    <w:rsid w:val="003F25B9"/>
    <w:rsid w:val="003F37A7"/>
    <w:rsid w:val="003F4BC9"/>
    <w:rsid w:val="003F59E5"/>
    <w:rsid w:val="003F6F55"/>
    <w:rsid w:val="00401278"/>
    <w:rsid w:val="00406BE8"/>
    <w:rsid w:val="00406D2F"/>
    <w:rsid w:val="004163D6"/>
    <w:rsid w:val="00416B9A"/>
    <w:rsid w:val="00427AD1"/>
    <w:rsid w:val="004302DD"/>
    <w:rsid w:val="004317CA"/>
    <w:rsid w:val="00431A5E"/>
    <w:rsid w:val="00434A66"/>
    <w:rsid w:val="004439CA"/>
    <w:rsid w:val="00444958"/>
    <w:rsid w:val="00445090"/>
    <w:rsid w:val="00452908"/>
    <w:rsid w:val="00456746"/>
    <w:rsid w:val="00466EF9"/>
    <w:rsid w:val="00467125"/>
    <w:rsid w:val="004709F3"/>
    <w:rsid w:val="004744BC"/>
    <w:rsid w:val="00483F8B"/>
    <w:rsid w:val="00484223"/>
    <w:rsid w:val="004859FD"/>
    <w:rsid w:val="004940D1"/>
    <w:rsid w:val="004968B7"/>
    <w:rsid w:val="004B6AD4"/>
    <w:rsid w:val="004C04B1"/>
    <w:rsid w:val="004C2E6B"/>
    <w:rsid w:val="004C5C7C"/>
    <w:rsid w:val="004D2579"/>
    <w:rsid w:val="004D620D"/>
    <w:rsid w:val="004E5030"/>
    <w:rsid w:val="004E68C3"/>
    <w:rsid w:val="004E6C04"/>
    <w:rsid w:val="004E74B8"/>
    <w:rsid w:val="00513D3F"/>
    <w:rsid w:val="00515916"/>
    <w:rsid w:val="00521A6A"/>
    <w:rsid w:val="0052706A"/>
    <w:rsid w:val="00530047"/>
    <w:rsid w:val="00535E7F"/>
    <w:rsid w:val="005436F2"/>
    <w:rsid w:val="0054744F"/>
    <w:rsid w:val="00556819"/>
    <w:rsid w:val="00562507"/>
    <w:rsid w:val="0056351E"/>
    <w:rsid w:val="005708CA"/>
    <w:rsid w:val="00573B42"/>
    <w:rsid w:val="00574EC6"/>
    <w:rsid w:val="00575167"/>
    <w:rsid w:val="00576AF5"/>
    <w:rsid w:val="00592A0F"/>
    <w:rsid w:val="005A0A04"/>
    <w:rsid w:val="005A5EA7"/>
    <w:rsid w:val="005B01CC"/>
    <w:rsid w:val="005B41A7"/>
    <w:rsid w:val="005B7B25"/>
    <w:rsid w:val="005C396D"/>
    <w:rsid w:val="005D1E7D"/>
    <w:rsid w:val="005D20B9"/>
    <w:rsid w:val="005D610D"/>
    <w:rsid w:val="005E0603"/>
    <w:rsid w:val="005E12FA"/>
    <w:rsid w:val="005E3481"/>
    <w:rsid w:val="005E3E34"/>
    <w:rsid w:val="005E5177"/>
    <w:rsid w:val="005E52CF"/>
    <w:rsid w:val="005E5D64"/>
    <w:rsid w:val="005F0803"/>
    <w:rsid w:val="005F56BD"/>
    <w:rsid w:val="00600203"/>
    <w:rsid w:val="00602015"/>
    <w:rsid w:val="00602E0B"/>
    <w:rsid w:val="00610BDA"/>
    <w:rsid w:val="006121B0"/>
    <w:rsid w:val="0061694A"/>
    <w:rsid w:val="00634BEB"/>
    <w:rsid w:val="0064524D"/>
    <w:rsid w:val="00645B01"/>
    <w:rsid w:val="00650368"/>
    <w:rsid w:val="00665F65"/>
    <w:rsid w:val="006724B8"/>
    <w:rsid w:val="00673AF1"/>
    <w:rsid w:val="00693E41"/>
    <w:rsid w:val="006A0FC0"/>
    <w:rsid w:val="006B2E89"/>
    <w:rsid w:val="006C54F1"/>
    <w:rsid w:val="006C62F1"/>
    <w:rsid w:val="006D1BF0"/>
    <w:rsid w:val="006D7CD7"/>
    <w:rsid w:val="006E18BF"/>
    <w:rsid w:val="006E6B9F"/>
    <w:rsid w:val="006F1BBB"/>
    <w:rsid w:val="006F1DFF"/>
    <w:rsid w:val="006F1EA1"/>
    <w:rsid w:val="006F29D7"/>
    <w:rsid w:val="006F760B"/>
    <w:rsid w:val="00700A6E"/>
    <w:rsid w:val="007068AF"/>
    <w:rsid w:val="00710FEF"/>
    <w:rsid w:val="00717C3E"/>
    <w:rsid w:val="00721A67"/>
    <w:rsid w:val="00721D91"/>
    <w:rsid w:val="00731251"/>
    <w:rsid w:val="0073445E"/>
    <w:rsid w:val="0074194E"/>
    <w:rsid w:val="00746C2B"/>
    <w:rsid w:val="007633CA"/>
    <w:rsid w:val="00764AC5"/>
    <w:rsid w:val="00771A7E"/>
    <w:rsid w:val="007726D2"/>
    <w:rsid w:val="00775232"/>
    <w:rsid w:val="00776D46"/>
    <w:rsid w:val="0078054D"/>
    <w:rsid w:val="007826C9"/>
    <w:rsid w:val="00785959"/>
    <w:rsid w:val="00790369"/>
    <w:rsid w:val="00791C31"/>
    <w:rsid w:val="007A2250"/>
    <w:rsid w:val="007A2F3C"/>
    <w:rsid w:val="007A7C2F"/>
    <w:rsid w:val="007A7E45"/>
    <w:rsid w:val="007B5677"/>
    <w:rsid w:val="007C6DD4"/>
    <w:rsid w:val="007D3647"/>
    <w:rsid w:val="007D6CA8"/>
    <w:rsid w:val="007F2D96"/>
    <w:rsid w:val="008016D1"/>
    <w:rsid w:val="0080591F"/>
    <w:rsid w:val="00810C97"/>
    <w:rsid w:val="0081233D"/>
    <w:rsid w:val="008141D5"/>
    <w:rsid w:val="00825D47"/>
    <w:rsid w:val="00833530"/>
    <w:rsid w:val="008420C7"/>
    <w:rsid w:val="0084690C"/>
    <w:rsid w:val="00853CA4"/>
    <w:rsid w:val="00860897"/>
    <w:rsid w:val="0086205F"/>
    <w:rsid w:val="00862923"/>
    <w:rsid w:val="00864E73"/>
    <w:rsid w:val="0087002A"/>
    <w:rsid w:val="0087632E"/>
    <w:rsid w:val="008774C0"/>
    <w:rsid w:val="008862A7"/>
    <w:rsid w:val="00890323"/>
    <w:rsid w:val="008A119D"/>
    <w:rsid w:val="008A7D9B"/>
    <w:rsid w:val="008B100A"/>
    <w:rsid w:val="008B3371"/>
    <w:rsid w:val="008B7304"/>
    <w:rsid w:val="008C0D5F"/>
    <w:rsid w:val="008C5D7D"/>
    <w:rsid w:val="008C6697"/>
    <w:rsid w:val="008C68E0"/>
    <w:rsid w:val="008D1801"/>
    <w:rsid w:val="008D1BDF"/>
    <w:rsid w:val="008D2269"/>
    <w:rsid w:val="008D3FEA"/>
    <w:rsid w:val="008D73A9"/>
    <w:rsid w:val="008E31F3"/>
    <w:rsid w:val="008F0B97"/>
    <w:rsid w:val="008F68F9"/>
    <w:rsid w:val="00902FA5"/>
    <w:rsid w:val="0091697F"/>
    <w:rsid w:val="00916EF8"/>
    <w:rsid w:val="00920425"/>
    <w:rsid w:val="00926A6A"/>
    <w:rsid w:val="00934518"/>
    <w:rsid w:val="009358D0"/>
    <w:rsid w:val="009465F0"/>
    <w:rsid w:val="009512FF"/>
    <w:rsid w:val="009613A5"/>
    <w:rsid w:val="009672E3"/>
    <w:rsid w:val="00990DE5"/>
    <w:rsid w:val="009935A6"/>
    <w:rsid w:val="009A061B"/>
    <w:rsid w:val="009A23B5"/>
    <w:rsid w:val="009A42FB"/>
    <w:rsid w:val="009A6593"/>
    <w:rsid w:val="009A7769"/>
    <w:rsid w:val="009B0912"/>
    <w:rsid w:val="009B0F34"/>
    <w:rsid w:val="009B4762"/>
    <w:rsid w:val="009B50E8"/>
    <w:rsid w:val="009B5C33"/>
    <w:rsid w:val="009B6151"/>
    <w:rsid w:val="009B6374"/>
    <w:rsid w:val="009B7ADF"/>
    <w:rsid w:val="009C5918"/>
    <w:rsid w:val="009D1011"/>
    <w:rsid w:val="009E10B6"/>
    <w:rsid w:val="009E612C"/>
    <w:rsid w:val="009F1A69"/>
    <w:rsid w:val="009F4338"/>
    <w:rsid w:val="009F644A"/>
    <w:rsid w:val="00A03E72"/>
    <w:rsid w:val="00A0494E"/>
    <w:rsid w:val="00A06E01"/>
    <w:rsid w:val="00A11A46"/>
    <w:rsid w:val="00A15C5E"/>
    <w:rsid w:val="00A15D1B"/>
    <w:rsid w:val="00A2516C"/>
    <w:rsid w:val="00A316E9"/>
    <w:rsid w:val="00A34572"/>
    <w:rsid w:val="00A4434D"/>
    <w:rsid w:val="00A51B97"/>
    <w:rsid w:val="00A555E2"/>
    <w:rsid w:val="00A57717"/>
    <w:rsid w:val="00A60111"/>
    <w:rsid w:val="00A61048"/>
    <w:rsid w:val="00A6242D"/>
    <w:rsid w:val="00A656E5"/>
    <w:rsid w:val="00A66DDE"/>
    <w:rsid w:val="00A7320F"/>
    <w:rsid w:val="00A779A7"/>
    <w:rsid w:val="00A93828"/>
    <w:rsid w:val="00A95B3F"/>
    <w:rsid w:val="00AA09CC"/>
    <w:rsid w:val="00AA1135"/>
    <w:rsid w:val="00AD451E"/>
    <w:rsid w:val="00AD5CB4"/>
    <w:rsid w:val="00AF0A21"/>
    <w:rsid w:val="00AF13C1"/>
    <w:rsid w:val="00AF4112"/>
    <w:rsid w:val="00AF4613"/>
    <w:rsid w:val="00AF4C35"/>
    <w:rsid w:val="00AF73BE"/>
    <w:rsid w:val="00B00198"/>
    <w:rsid w:val="00B030C4"/>
    <w:rsid w:val="00B03154"/>
    <w:rsid w:val="00B04C4C"/>
    <w:rsid w:val="00B106D3"/>
    <w:rsid w:val="00B17CEB"/>
    <w:rsid w:val="00B24ACF"/>
    <w:rsid w:val="00B340C6"/>
    <w:rsid w:val="00B4704B"/>
    <w:rsid w:val="00B4736A"/>
    <w:rsid w:val="00B527E0"/>
    <w:rsid w:val="00B56C2B"/>
    <w:rsid w:val="00B570C2"/>
    <w:rsid w:val="00B61AB3"/>
    <w:rsid w:val="00B635A5"/>
    <w:rsid w:val="00B67E70"/>
    <w:rsid w:val="00B75633"/>
    <w:rsid w:val="00B81AC4"/>
    <w:rsid w:val="00B81F8B"/>
    <w:rsid w:val="00B8375E"/>
    <w:rsid w:val="00B86F64"/>
    <w:rsid w:val="00B90C58"/>
    <w:rsid w:val="00B92DFF"/>
    <w:rsid w:val="00B948A8"/>
    <w:rsid w:val="00BA131E"/>
    <w:rsid w:val="00BA2410"/>
    <w:rsid w:val="00BB0A2F"/>
    <w:rsid w:val="00BB6B1D"/>
    <w:rsid w:val="00BC22F3"/>
    <w:rsid w:val="00BC52B7"/>
    <w:rsid w:val="00BC7B94"/>
    <w:rsid w:val="00BD08CA"/>
    <w:rsid w:val="00BD2FC9"/>
    <w:rsid w:val="00BD59A3"/>
    <w:rsid w:val="00BE05C0"/>
    <w:rsid w:val="00BE4FAC"/>
    <w:rsid w:val="00BF67A4"/>
    <w:rsid w:val="00BF6864"/>
    <w:rsid w:val="00C01F9E"/>
    <w:rsid w:val="00C04535"/>
    <w:rsid w:val="00C114CE"/>
    <w:rsid w:val="00C12632"/>
    <w:rsid w:val="00C13D74"/>
    <w:rsid w:val="00C17339"/>
    <w:rsid w:val="00C17AF9"/>
    <w:rsid w:val="00C23116"/>
    <w:rsid w:val="00C24C02"/>
    <w:rsid w:val="00C31A9B"/>
    <w:rsid w:val="00C324DA"/>
    <w:rsid w:val="00C32AED"/>
    <w:rsid w:val="00C36FA8"/>
    <w:rsid w:val="00C44888"/>
    <w:rsid w:val="00C44BCA"/>
    <w:rsid w:val="00C4692E"/>
    <w:rsid w:val="00C47FFC"/>
    <w:rsid w:val="00C5798A"/>
    <w:rsid w:val="00C6276D"/>
    <w:rsid w:val="00C7437D"/>
    <w:rsid w:val="00C75301"/>
    <w:rsid w:val="00C75411"/>
    <w:rsid w:val="00C80DA5"/>
    <w:rsid w:val="00C83302"/>
    <w:rsid w:val="00C84370"/>
    <w:rsid w:val="00C84645"/>
    <w:rsid w:val="00C873FD"/>
    <w:rsid w:val="00C8754D"/>
    <w:rsid w:val="00C922C0"/>
    <w:rsid w:val="00C93439"/>
    <w:rsid w:val="00CA271E"/>
    <w:rsid w:val="00CA4BFF"/>
    <w:rsid w:val="00CA5DD4"/>
    <w:rsid w:val="00CB1DB4"/>
    <w:rsid w:val="00CB585F"/>
    <w:rsid w:val="00CC025B"/>
    <w:rsid w:val="00CC0B81"/>
    <w:rsid w:val="00CC12E8"/>
    <w:rsid w:val="00CD0857"/>
    <w:rsid w:val="00CD5A26"/>
    <w:rsid w:val="00CD6AC8"/>
    <w:rsid w:val="00CE392A"/>
    <w:rsid w:val="00CF03AB"/>
    <w:rsid w:val="00CF155C"/>
    <w:rsid w:val="00CF3635"/>
    <w:rsid w:val="00CF4562"/>
    <w:rsid w:val="00CF4A23"/>
    <w:rsid w:val="00D022B5"/>
    <w:rsid w:val="00D025D5"/>
    <w:rsid w:val="00D05119"/>
    <w:rsid w:val="00D106D6"/>
    <w:rsid w:val="00D10DDE"/>
    <w:rsid w:val="00D222E3"/>
    <w:rsid w:val="00D26A52"/>
    <w:rsid w:val="00D31A90"/>
    <w:rsid w:val="00D31DF4"/>
    <w:rsid w:val="00D32710"/>
    <w:rsid w:val="00D33D5D"/>
    <w:rsid w:val="00D40309"/>
    <w:rsid w:val="00D421AF"/>
    <w:rsid w:val="00D448E3"/>
    <w:rsid w:val="00D44D98"/>
    <w:rsid w:val="00D47A98"/>
    <w:rsid w:val="00D5320B"/>
    <w:rsid w:val="00D60F59"/>
    <w:rsid w:val="00D72F7B"/>
    <w:rsid w:val="00D74DCD"/>
    <w:rsid w:val="00D814D6"/>
    <w:rsid w:val="00D82729"/>
    <w:rsid w:val="00D84F83"/>
    <w:rsid w:val="00D854C6"/>
    <w:rsid w:val="00D8623F"/>
    <w:rsid w:val="00D90754"/>
    <w:rsid w:val="00D92A1D"/>
    <w:rsid w:val="00DB68E3"/>
    <w:rsid w:val="00DB73E3"/>
    <w:rsid w:val="00DC41FF"/>
    <w:rsid w:val="00DC4DE4"/>
    <w:rsid w:val="00DD10FD"/>
    <w:rsid w:val="00DD17BF"/>
    <w:rsid w:val="00DD1BDA"/>
    <w:rsid w:val="00DE10D0"/>
    <w:rsid w:val="00DE5B43"/>
    <w:rsid w:val="00DF0721"/>
    <w:rsid w:val="00DF4741"/>
    <w:rsid w:val="00E0108B"/>
    <w:rsid w:val="00E02F01"/>
    <w:rsid w:val="00E039D0"/>
    <w:rsid w:val="00E04958"/>
    <w:rsid w:val="00E06667"/>
    <w:rsid w:val="00E10DDD"/>
    <w:rsid w:val="00E1180E"/>
    <w:rsid w:val="00E17C1F"/>
    <w:rsid w:val="00E20B95"/>
    <w:rsid w:val="00E21F7A"/>
    <w:rsid w:val="00E32DB7"/>
    <w:rsid w:val="00E332C6"/>
    <w:rsid w:val="00E3590B"/>
    <w:rsid w:val="00E45F3E"/>
    <w:rsid w:val="00E51D22"/>
    <w:rsid w:val="00E53129"/>
    <w:rsid w:val="00E55D1F"/>
    <w:rsid w:val="00E5744C"/>
    <w:rsid w:val="00E60B3B"/>
    <w:rsid w:val="00E61D62"/>
    <w:rsid w:val="00E80804"/>
    <w:rsid w:val="00E82A6C"/>
    <w:rsid w:val="00E909C2"/>
    <w:rsid w:val="00E949B1"/>
    <w:rsid w:val="00E94D36"/>
    <w:rsid w:val="00E96FD3"/>
    <w:rsid w:val="00EA7BF5"/>
    <w:rsid w:val="00EB4B82"/>
    <w:rsid w:val="00EB6242"/>
    <w:rsid w:val="00EC1CF8"/>
    <w:rsid w:val="00EC31BC"/>
    <w:rsid w:val="00ED0111"/>
    <w:rsid w:val="00ED1192"/>
    <w:rsid w:val="00ED177D"/>
    <w:rsid w:val="00ED2D07"/>
    <w:rsid w:val="00ED5CD6"/>
    <w:rsid w:val="00ED5ED7"/>
    <w:rsid w:val="00EE285A"/>
    <w:rsid w:val="00EE3FF5"/>
    <w:rsid w:val="00F02D08"/>
    <w:rsid w:val="00F05C80"/>
    <w:rsid w:val="00F1673E"/>
    <w:rsid w:val="00F22268"/>
    <w:rsid w:val="00F22CC8"/>
    <w:rsid w:val="00F25998"/>
    <w:rsid w:val="00F27A11"/>
    <w:rsid w:val="00F3323F"/>
    <w:rsid w:val="00F40567"/>
    <w:rsid w:val="00F41A98"/>
    <w:rsid w:val="00F428C6"/>
    <w:rsid w:val="00F43968"/>
    <w:rsid w:val="00F47854"/>
    <w:rsid w:val="00F5467A"/>
    <w:rsid w:val="00F55E79"/>
    <w:rsid w:val="00F629EF"/>
    <w:rsid w:val="00F653E4"/>
    <w:rsid w:val="00F67937"/>
    <w:rsid w:val="00F753D5"/>
    <w:rsid w:val="00F7544B"/>
    <w:rsid w:val="00F770A4"/>
    <w:rsid w:val="00F81BB7"/>
    <w:rsid w:val="00F85683"/>
    <w:rsid w:val="00F94B7A"/>
    <w:rsid w:val="00FA0C0E"/>
    <w:rsid w:val="00FA2184"/>
    <w:rsid w:val="00FA29A5"/>
    <w:rsid w:val="00FA3FCC"/>
    <w:rsid w:val="00FA5AB2"/>
    <w:rsid w:val="00FA7AC6"/>
    <w:rsid w:val="00FA7ADC"/>
    <w:rsid w:val="00FB0923"/>
    <w:rsid w:val="00FC3874"/>
    <w:rsid w:val="00FC41D9"/>
    <w:rsid w:val="00FC5502"/>
    <w:rsid w:val="00FE0025"/>
    <w:rsid w:val="00FE6A60"/>
    <w:rsid w:val="00FF45FD"/>
    <w:rsid w:val="00FF6A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CF4457A"/>
  <w15:chartTrackingRefBased/>
  <w15:docId w15:val="{CB8801E7-7C3B-411F-8E0B-673EC4A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17B"/>
    <w:rPr>
      <w:sz w:val="24"/>
    </w:rPr>
  </w:style>
  <w:style w:type="paragraph" w:styleId="Heading1">
    <w:name w:val="heading 1"/>
    <w:basedOn w:val="Normal"/>
    <w:next w:val="Normal"/>
    <w:autoRedefine/>
    <w:qFormat/>
    <w:rsid w:val="008B100A"/>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484223"/>
    <w:pPr>
      <w:keepNext/>
      <w:numPr>
        <w:ilvl w:val="1"/>
        <w:numId w:val="1"/>
      </w:numPr>
      <w:ind w:left="1440" w:hanging="720"/>
      <w:outlineLvl w:val="1"/>
    </w:pPr>
    <w:rPr>
      <w:rFonts w:ascii="Times New Roman Bold" w:hAnsi="Times New Roman Bold"/>
      <w:b/>
      <w:szCs w:val="24"/>
    </w:rPr>
  </w:style>
  <w:style w:type="paragraph" w:styleId="Heading3">
    <w:name w:val="heading 3"/>
    <w:basedOn w:val="Normal"/>
    <w:next w:val="Normal"/>
    <w:autoRedefine/>
    <w:qFormat/>
    <w:rsid w:val="00042753"/>
    <w:pPr>
      <w:keepNext/>
      <w:numPr>
        <w:ilvl w:val="2"/>
        <w:numId w:val="1"/>
      </w:numPr>
      <w:spacing w:after="240"/>
      <w:ind w:left="2160" w:hanging="720"/>
      <w:outlineLvl w:val="2"/>
    </w:pPr>
    <w:rPr>
      <w:rFonts w:ascii="Times New Roman Bold" w:eastAsia="Calibri" w:hAnsi="Times New Roman Bold"/>
      <w:b/>
      <w:bCs/>
    </w:rPr>
  </w:style>
  <w:style w:type="paragraph" w:styleId="Heading4">
    <w:name w:val="heading 4"/>
    <w:basedOn w:val="Normal"/>
    <w:next w:val="Normal"/>
    <w:link w:val="Heading4Char"/>
    <w:unhideWhenUsed/>
    <w:qFormat/>
    <w:rsid w:val="001D50DA"/>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7563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7563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75633"/>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B75633"/>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B75633"/>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1"/>
    <w:uiPriority w:val="99"/>
    <w:qFormat/>
    <w:rsid w:val="00575D25"/>
    <w:pPr>
      <w:spacing w:after="120"/>
    </w:pPr>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styleId="Revision">
    <w:name w:val="Revision"/>
    <w:hidden/>
    <w:uiPriority w:val="99"/>
    <w:semiHidden/>
    <w:rsid w:val="00552C9B"/>
    <w:rPr>
      <w:sz w:val="24"/>
    </w:rPr>
  </w:style>
  <w:style w:type="character" w:customStyle="1" w:styleId="FooterChar">
    <w:name w:val="Footer Char"/>
    <w:link w:val="Footer"/>
    <w:uiPriority w:val="99"/>
    <w:rsid w:val="004C7036"/>
  </w:style>
  <w:style w:type="character" w:customStyle="1" w:styleId="BodyTextChar">
    <w:name w:val="Body Text Char"/>
    <w:link w:val="BodyText"/>
    <w:rsid w:val="008B3E12"/>
    <w:rPr>
      <w:sz w:val="24"/>
    </w:rPr>
  </w:style>
  <w:style w:type="character" w:customStyle="1" w:styleId="BodyTextIndentChar">
    <w:name w:val="Body Text Indent Char"/>
    <w:link w:val="BodyTextIndent"/>
    <w:rsid w:val="008B3E12"/>
    <w:rPr>
      <w:sz w:val="24"/>
    </w:rPr>
  </w:style>
  <w:style w:type="paragraph" w:styleId="TOC1">
    <w:name w:val="toc 1"/>
    <w:basedOn w:val="Normal"/>
    <w:next w:val="Normal"/>
    <w:autoRedefine/>
    <w:uiPriority w:val="39"/>
    <w:qFormat/>
    <w:rsid w:val="00042753"/>
    <w:pPr>
      <w:tabs>
        <w:tab w:val="decimal" w:leader="dot" w:pos="9360"/>
      </w:tabs>
      <w:spacing w:after="240"/>
      <w:ind w:left="720" w:hanging="720"/>
    </w:pPr>
    <w:rPr>
      <w:bCs/>
      <w:szCs w:val="24"/>
    </w:rPr>
  </w:style>
  <w:style w:type="paragraph" w:styleId="TOC2">
    <w:name w:val="toc 2"/>
    <w:basedOn w:val="Normal"/>
    <w:next w:val="Normal"/>
    <w:autoRedefine/>
    <w:uiPriority w:val="39"/>
    <w:qFormat/>
    <w:rsid w:val="00042753"/>
    <w:pPr>
      <w:tabs>
        <w:tab w:val="decimal" w:leader="dot" w:pos="9360"/>
      </w:tabs>
      <w:spacing w:after="240"/>
      <w:ind w:left="1440" w:hanging="720"/>
    </w:pPr>
  </w:style>
  <w:style w:type="table" w:customStyle="1" w:styleId="TableGrid1">
    <w:name w:val="Table Grid1"/>
    <w:basedOn w:val="TableNormal"/>
    <w:next w:val="TableGrid"/>
    <w:uiPriority w:val="59"/>
    <w:rsid w:val="00A12E8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1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 Char Char Char1,Footnote Text Char Char Char1 Char,Footnote Text Char Char Char2,Footnote Text Char Char1 Char1,Footnote Text Char1 Char Char Char,Footnote Text Char1 Char1 Char,Footnote Text Char2 Char"/>
    <w:link w:val="FootnoteText"/>
    <w:uiPriority w:val="99"/>
    <w:locked/>
    <w:rsid w:val="00575D25"/>
  </w:style>
  <w:style w:type="table" w:customStyle="1" w:styleId="TableGrid3">
    <w:name w:val="Table Grid3"/>
    <w:basedOn w:val="TableNormal"/>
    <w:next w:val="TableGrid"/>
    <w:uiPriority w:val="59"/>
    <w:rsid w:val="00327D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C00B86"/>
    <w:rPr>
      <w:color w:val="808080"/>
      <w:shd w:val="clear" w:color="auto" w:fill="E6E6E6"/>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rsid w:val="001A37BB"/>
    <w:rPr>
      <w:rFonts w:ascii="Calibri" w:eastAsia="Calibri" w:hAnsi="Calibri"/>
    </w:rPr>
  </w:style>
  <w:style w:type="paragraph" w:styleId="ListParagraph">
    <w:name w:val="List Paragraph"/>
    <w:basedOn w:val="Normal"/>
    <w:uiPriority w:val="34"/>
    <w:qFormat/>
    <w:rsid w:val="001A37BB"/>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rsid w:val="002B7494"/>
    <w:rPr>
      <w:sz w:val="24"/>
      <w:szCs w:val="24"/>
    </w:rPr>
  </w:style>
  <w:style w:type="paragraph" w:styleId="Caption">
    <w:name w:val="caption"/>
    <w:basedOn w:val="Normal"/>
    <w:next w:val="Normal"/>
    <w:uiPriority w:val="35"/>
    <w:unhideWhenUsed/>
    <w:qFormat/>
    <w:rsid w:val="00C04535"/>
    <w:pPr>
      <w:keepNext/>
      <w:spacing w:before="120" w:after="120"/>
      <w:jc w:val="center"/>
    </w:pPr>
    <w:rPr>
      <w:rFonts w:ascii="Cambria" w:hAnsi="Cambria"/>
      <w:b/>
      <w:sz w:val="20"/>
      <w:szCs w:val="18"/>
      <w:lang w:bidi="en-US"/>
    </w:rPr>
  </w:style>
  <w:style w:type="paragraph" w:customStyle="1" w:styleId="IndentParagraph">
    <w:name w:val="Indent Paragraph"/>
    <w:basedOn w:val="Normal"/>
    <w:link w:val="IndentParagraphChar"/>
    <w:qFormat/>
    <w:rsid w:val="00C04535"/>
    <w:pPr>
      <w:spacing w:before="120" w:after="120"/>
      <w:ind w:firstLine="432"/>
      <w:jc w:val="both"/>
    </w:pPr>
    <w:rPr>
      <w:rFonts w:ascii="Cambria" w:hAnsi="Cambria"/>
      <w:sz w:val="22"/>
      <w:szCs w:val="22"/>
      <w:lang w:bidi="en-US"/>
    </w:rPr>
  </w:style>
  <w:style w:type="character" w:customStyle="1" w:styleId="IndentParagraphChar">
    <w:name w:val="Indent Paragraph Char"/>
    <w:link w:val="IndentParagraph"/>
    <w:rsid w:val="00C04535"/>
    <w:rPr>
      <w:rFonts w:ascii="Cambria" w:hAnsi="Cambria"/>
      <w:sz w:val="22"/>
      <w:szCs w:val="22"/>
      <w:lang w:eastAsia="en-US" w:bidi="en-US"/>
    </w:rPr>
  </w:style>
  <w:style w:type="table" w:customStyle="1" w:styleId="TableGrid4">
    <w:name w:val="Table Grid4"/>
    <w:basedOn w:val="TableNormal"/>
    <w:next w:val="TableGrid"/>
    <w:uiPriority w:val="39"/>
    <w:rsid w:val="009A77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F64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E6C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1D50DA"/>
    <w:rPr>
      <w:rFonts w:ascii="Calibri" w:hAnsi="Calibri"/>
      <w:b/>
      <w:bCs/>
      <w:sz w:val="28"/>
      <w:szCs w:val="28"/>
    </w:rPr>
  </w:style>
  <w:style w:type="character" w:customStyle="1" w:styleId="Heading5Char">
    <w:name w:val="Heading 5 Char"/>
    <w:link w:val="Heading5"/>
    <w:semiHidden/>
    <w:rsid w:val="00B75633"/>
    <w:rPr>
      <w:rFonts w:ascii="Calibri" w:hAnsi="Calibri"/>
      <w:b/>
      <w:bCs/>
      <w:i/>
      <w:iCs/>
      <w:sz w:val="26"/>
      <w:szCs w:val="26"/>
    </w:rPr>
  </w:style>
  <w:style w:type="character" w:customStyle="1" w:styleId="Heading6Char">
    <w:name w:val="Heading 6 Char"/>
    <w:link w:val="Heading6"/>
    <w:semiHidden/>
    <w:rsid w:val="00B75633"/>
    <w:rPr>
      <w:rFonts w:ascii="Calibri" w:hAnsi="Calibri"/>
      <w:b/>
      <w:bCs/>
      <w:sz w:val="22"/>
      <w:szCs w:val="22"/>
    </w:rPr>
  </w:style>
  <w:style w:type="character" w:customStyle="1" w:styleId="Heading7Char">
    <w:name w:val="Heading 7 Char"/>
    <w:link w:val="Heading7"/>
    <w:semiHidden/>
    <w:rsid w:val="00B75633"/>
    <w:rPr>
      <w:rFonts w:ascii="Calibri" w:hAnsi="Calibri"/>
      <w:sz w:val="24"/>
      <w:szCs w:val="24"/>
    </w:rPr>
  </w:style>
  <w:style w:type="character" w:customStyle="1" w:styleId="Heading8Char">
    <w:name w:val="Heading 8 Char"/>
    <w:link w:val="Heading8"/>
    <w:semiHidden/>
    <w:rsid w:val="00B75633"/>
    <w:rPr>
      <w:rFonts w:ascii="Calibri" w:hAnsi="Calibri"/>
      <w:i/>
      <w:iCs/>
      <w:sz w:val="24"/>
      <w:szCs w:val="24"/>
    </w:rPr>
  </w:style>
  <w:style w:type="character" w:customStyle="1" w:styleId="Heading9Char">
    <w:name w:val="Heading 9 Char"/>
    <w:link w:val="Heading9"/>
    <w:semiHidden/>
    <w:rsid w:val="00B75633"/>
    <w:rPr>
      <w:rFonts w:ascii="Calibri Light" w:hAnsi="Calibri Light"/>
      <w:sz w:val="22"/>
      <w:szCs w:val="22"/>
    </w:rPr>
  </w:style>
  <w:style w:type="character" w:customStyle="1" w:styleId="sssh">
    <w:name w:val="ss_sh"/>
    <w:basedOn w:val="DefaultParagraphFont"/>
    <w:rsid w:val="00B570C2"/>
  </w:style>
  <w:style w:type="paragraph" w:styleId="TOCHeading">
    <w:name w:val="TOC Heading"/>
    <w:basedOn w:val="Heading1"/>
    <w:next w:val="Normal"/>
    <w:uiPriority w:val="39"/>
    <w:unhideWhenUsed/>
    <w:qFormat/>
    <w:rsid w:val="00934518"/>
    <w:pPr>
      <w:keepLines/>
      <w:spacing w:before="240" w:after="0" w:line="259" w:lineRule="auto"/>
      <w:ind w:left="0" w:firstLine="0"/>
      <w:outlineLvl w:val="9"/>
    </w:pPr>
    <w:rPr>
      <w:rFonts w:ascii="Calibri Light" w:hAnsi="Calibri Light"/>
      <w:b w:val="0"/>
      <w:caps w:val="0"/>
      <w:color w:val="2F5496"/>
      <w:sz w:val="32"/>
      <w:szCs w:val="32"/>
    </w:rPr>
  </w:style>
  <w:style w:type="paragraph" w:styleId="TOC3">
    <w:name w:val="toc 3"/>
    <w:basedOn w:val="Normal"/>
    <w:next w:val="Normal"/>
    <w:autoRedefine/>
    <w:uiPriority w:val="39"/>
    <w:qFormat/>
    <w:rsid w:val="00556819"/>
    <w:pPr>
      <w:numPr>
        <w:numId w:val="6"/>
      </w:numPr>
      <w:tabs>
        <w:tab w:val="decimal" w:leader="dot" w:pos="9360"/>
      </w:tabs>
      <w:spacing w:after="240"/>
      <w:ind w:left="2160" w:hanging="720"/>
      <w:outlineLvl w:val="2"/>
    </w:pPr>
  </w:style>
  <w:style w:type="character" w:customStyle="1" w:styleId="HTMLPreformattedChar">
    <w:name w:val="HTML Preformatted Char"/>
    <w:link w:val="HTMLPreformatted"/>
    <w:rsid w:val="002C7A39"/>
    <w:rPr>
      <w:rFonts w:ascii="Courier New" w:eastAsia="Courier New" w:hAnsi="Courier New" w:cs="Courier New"/>
    </w:rPr>
  </w:style>
  <w:style w:type="character" w:customStyle="1" w:styleId="UnresolvedMention">
    <w:name w:val="Unresolved Mention"/>
    <w:basedOn w:val="DefaultParagraphFont"/>
    <w:rsid w:val="00263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yperlink" Target="mailto:werner.margard@ohioAGO.gov" TargetMode="External" /><Relationship Id="rId14" Type="http://schemas.openxmlformats.org/officeDocument/2006/relationships/hyperlink" Target="mailto:thomas.lindgren@ohioAGO.gov" TargetMode="External" /><Relationship Id="rId15" Type="http://schemas.openxmlformats.org/officeDocument/2006/relationships/hyperlink" Target="mailto:megan.addison@puco.ohio.gov" TargetMode="External" /><Relationship Id="rId16" Type="http://schemas.openxmlformats.org/officeDocument/2006/relationships/hyperlink" Target="mailto:gregory.price@puco.ohio.gov" TargetMode="External" /><Relationship Id="rId17" Type="http://schemas.openxmlformats.org/officeDocument/2006/relationships/hyperlink" Target="mailto:jacqueline.st.john@puco.ohio.gov" TargetMode="External" /><Relationship Id="rId18" Type="http://schemas.openxmlformats.org/officeDocument/2006/relationships/hyperlink" Target="mailto:mrgladman@jonesday.com" TargetMode="External" /><Relationship Id="rId19" Type="http://schemas.openxmlformats.org/officeDocument/2006/relationships/hyperlink" Target="mailto:mdengler@jonesday.com" TargetMode="External" /><Relationship Id="rId2" Type="http://schemas.openxmlformats.org/officeDocument/2006/relationships/settings" Target="settings.xml" /><Relationship Id="rId20" Type="http://schemas.openxmlformats.org/officeDocument/2006/relationships/hyperlink" Target="mailto:sgoyal@jonesday.com" TargetMode="External" /><Relationship Id="rId21" Type="http://schemas.openxmlformats.org/officeDocument/2006/relationships/hyperlink" Target="mailto:radoringo@jonesday.com" TargetMode="External" /><Relationship Id="rId22" Type="http://schemas.openxmlformats.org/officeDocument/2006/relationships/footer" Target="footer4.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AB489-C68C-4B9A-9993-0806F4A6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2023-06-01T15:52:27Z</dcterms:created>
  <dcterms:modified xsi:type="dcterms:W3CDTF">2023-06-01T15:52:27Z</dcterms:modified>
</cp:coreProperties>
</file>