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118C3" w:rsidP="001118C3">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1118C3" w:rsidP="001118C3">
      <w:pPr>
        <w:pStyle w:val="HTMLPreformatted"/>
        <w:jc w:val="center"/>
        <w:rPr>
          <w:rFonts w:ascii="Times New Roman" w:hAnsi="Times New Roman"/>
          <w:sz w:val="24"/>
        </w:rPr>
      </w:pPr>
      <w:r>
        <w:rPr>
          <w:rFonts w:ascii="Times New Roman" w:hAnsi="Times New Roman"/>
          <w:b/>
          <w:bCs/>
          <w:sz w:val="24"/>
        </w:rPr>
        <w:t>THE PUBLIC UTILITIES COMMISSION OF OHIO</w:t>
      </w:r>
    </w:p>
    <w:p w:rsidR="001118C3" w:rsidP="001118C3">
      <w:pPr>
        <w:pStyle w:val="HTMLPreformatted"/>
        <w:rPr>
          <w:rFonts w:ascii="Times New Roman" w:hAnsi="Times New Roman"/>
          <w:sz w:val="24"/>
        </w:rPr>
      </w:pPr>
    </w:p>
    <w:tbl>
      <w:tblPr>
        <w:tblW w:w="9728" w:type="dxa"/>
        <w:tblInd w:w="0" w:type="dxa"/>
        <w:tblCellMar>
          <w:top w:w="0" w:type="dxa"/>
          <w:left w:w="108" w:type="dxa"/>
          <w:bottom w:w="0" w:type="dxa"/>
          <w:right w:w="108" w:type="dxa"/>
        </w:tblCellMar>
        <w:tblLook w:val="01E0"/>
      </w:tblPr>
      <w:tblGrid>
        <w:gridCol w:w="4968"/>
        <w:gridCol w:w="360"/>
        <w:gridCol w:w="4400"/>
      </w:tblGrid>
      <w:tr w:rsidTr="0075676B">
        <w:tblPrEx>
          <w:tblW w:w="9728" w:type="dxa"/>
          <w:tblInd w:w="0" w:type="dxa"/>
          <w:tblCellMar>
            <w:top w:w="0" w:type="dxa"/>
            <w:left w:w="108" w:type="dxa"/>
            <w:bottom w:w="0" w:type="dxa"/>
            <w:right w:w="108" w:type="dxa"/>
          </w:tblCellMar>
          <w:tblLook w:val="01E0"/>
        </w:tblPrEx>
        <w:trPr>
          <w:trHeight w:val="807"/>
        </w:trPr>
        <w:tc>
          <w:tcPr>
            <w:tcW w:w="4968" w:type="dxa"/>
            <w:shd w:val="clear" w:color="auto" w:fill="auto"/>
          </w:tcPr>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Application of Ohio Edison Company, The Cleveland Electric Illuminating Company, and The Toledo Edison Company for a Waiver of Rule 4901:1-39-04. </w:t>
            </w:r>
          </w:p>
        </w:tc>
        <w:tc>
          <w:tcPr>
            <w:tcW w:w="360" w:type="dxa"/>
            <w:shd w:val="clear" w:color="auto" w:fill="auto"/>
          </w:tcPr>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1118C3"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Pr>
                <w:rFonts w:ascii="Times New Roman" w:eastAsia="Courier New" w:hAnsi="Times New Roman" w:cs="Courier New"/>
                <w:sz w:val="24"/>
                <w:lang w:val="en-US" w:eastAsia="en-US" w:bidi="ar-SA"/>
              </w:rPr>
              <w:t xml:space="preserve"> 19-</w:t>
            </w:r>
            <w:r w:rsidR="00420F9B">
              <w:rPr>
                <w:rFonts w:ascii="Times New Roman" w:eastAsia="Courier New" w:hAnsi="Times New Roman" w:cs="Courier New"/>
                <w:sz w:val="24"/>
                <w:lang w:val="en-US" w:eastAsia="en-US" w:bidi="ar-SA"/>
              </w:rPr>
              <w:t>0</w:t>
            </w:r>
            <w:r>
              <w:rPr>
                <w:rFonts w:ascii="Times New Roman" w:eastAsia="Courier New" w:hAnsi="Times New Roman" w:cs="Courier New"/>
                <w:sz w:val="24"/>
                <w:lang w:val="en-US" w:eastAsia="en-US" w:bidi="ar-SA"/>
              </w:rPr>
              <w:t>363-EL-WVR</w:t>
            </w:r>
            <w:r w:rsidRPr="00A044B5">
              <w:rPr>
                <w:rFonts w:ascii="Times New Roman" w:eastAsia="Courier New" w:hAnsi="Times New Roman" w:cs="Courier New"/>
                <w:sz w:val="24"/>
                <w:lang w:val="en-US" w:eastAsia="en-US" w:bidi="ar-SA"/>
              </w:rPr>
              <w:t xml:space="preserve"> </w:t>
            </w:r>
          </w:p>
          <w:p w:rsidR="001118C3"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EF263C">
      <w:pPr>
        <w:pStyle w:val="BodyTextIndent3"/>
        <w:widowControl w:val="0"/>
        <w:spacing w:line="480" w:lineRule="auto"/>
        <w:ind w:right="-312"/>
      </w:pPr>
      <w:r>
        <w:t>The Office of the Ohio Consumers’ Counsel (“OCC”) moves to intervene in this case where FirstEnergy</w:t>
      </w:r>
      <w:r>
        <w:rPr>
          <w:rStyle w:val="FootnoteReference"/>
        </w:rPr>
        <w:footnoteReference w:id="2"/>
      </w:r>
      <w:r>
        <w:t xml:space="preserve"> will file an energy efficiency portfolio plan by December 1, 2019.</w:t>
      </w:r>
      <w:r>
        <w:rPr>
          <w:rStyle w:val="FootnoteReference"/>
        </w:rPr>
        <w:footnoteReference w:id="3"/>
      </w:r>
      <w:r>
        <w:t xml:space="preserve"> (The PUCO ‘s existing rules  require that FirstEnergy file an energy efficiency portfolio plan by September 1, 2019). The existing PUCO rules, however, have been superseded with the passage of House Bill 6.</w:t>
      </w:r>
    </w:p>
    <w:p w:rsidR="00A044B5">
      <w:pPr>
        <w:pStyle w:val="BodyTextIndent3"/>
        <w:widowControl w:val="0"/>
        <w:spacing w:line="480" w:lineRule="auto"/>
        <w:ind w:right="-312"/>
      </w:pPr>
      <w:r>
        <w:t>OCC is filing on behalf of the 1.9 million residential utility customers of</w:t>
      </w:r>
      <w:r>
        <w:rPr>
          <w:szCs w:val="24"/>
        </w:rPr>
        <w:t xml:space="preserve"> FirstEnergy. FirstEnergy’s residential customers (and some nonresidential customers) pay for these programs, including the costs of the programs and utility profits referred to as “shared savings.”</w:t>
      </w:r>
      <w:r>
        <w:rPr>
          <w:rStyle w:val="FootnoteReference"/>
        </w:rPr>
        <w:footnoteReference w:id="4"/>
      </w:r>
      <w:r>
        <w:t xml:space="preserve"> These charges are capped at a maximum of $107 million per year for 2017, 2018, and 2019, and should be similarly capped at $107 million in 2020.</w:t>
      </w:r>
      <w:r>
        <w:rPr>
          <w:rStyle w:val="FootnoteReference"/>
        </w:rPr>
        <w:footnoteReference w:id="5"/>
      </w:r>
      <w:r>
        <w:t xml:space="preserve"> The reasons the Public Utilities Commission of Ohio (“PUCO”) should grant OCC’s motion are further set forth in the attached memorandum in support.</w:t>
      </w:r>
    </w:p>
    <w:p w:rsidR="001118C3" w:rsidP="001118C3">
      <w:pPr>
        <w:ind w:left="3600" w:firstLine="720"/>
        <w:rPr>
          <w:szCs w:val="24"/>
        </w:rPr>
      </w:pPr>
      <w:r>
        <w:br w:type="page"/>
      </w:r>
      <w:r w:rsidRPr="0010475C">
        <w:rPr>
          <w:szCs w:val="24"/>
        </w:rPr>
        <w:t>Respectfully submitted,</w:t>
      </w:r>
    </w:p>
    <w:p w:rsidR="001118C3" w:rsidRPr="0010475C" w:rsidP="001118C3">
      <w:pPr>
        <w:ind w:left="3600" w:firstLine="720"/>
        <w:rPr>
          <w:szCs w:val="24"/>
        </w:rPr>
      </w:pPr>
    </w:p>
    <w:p w:rsidR="001118C3" w:rsidRPr="0010475C" w:rsidP="001118C3">
      <w:pPr>
        <w:ind w:left="3600" w:firstLine="720"/>
        <w:rPr>
          <w:szCs w:val="24"/>
        </w:rPr>
      </w:pPr>
      <w:r w:rsidRPr="0010475C">
        <w:rPr>
          <w:szCs w:val="24"/>
        </w:rPr>
        <w:t>Bruce Weston (0016973)</w:t>
      </w:r>
    </w:p>
    <w:p w:rsidR="001118C3" w:rsidRPr="0010475C" w:rsidP="001118C3">
      <w:pPr>
        <w:ind w:firstLine="4320"/>
        <w:rPr>
          <w:szCs w:val="24"/>
        </w:rPr>
      </w:pPr>
      <w:r w:rsidRPr="0010475C">
        <w:rPr>
          <w:szCs w:val="24"/>
        </w:rPr>
        <w:t>Ohio Consumers’ Counsel</w:t>
      </w:r>
    </w:p>
    <w:p w:rsidR="001118C3" w:rsidRPr="0010475C" w:rsidP="001118C3">
      <w:pPr>
        <w:ind w:firstLine="4320"/>
        <w:rPr>
          <w:szCs w:val="24"/>
        </w:rPr>
      </w:pPr>
    </w:p>
    <w:p w:rsidR="001118C3" w:rsidP="001118C3">
      <w:pPr>
        <w:ind w:firstLine="4320"/>
        <w:rPr>
          <w:i/>
          <w:szCs w:val="24"/>
          <w:u w:val="single"/>
        </w:rPr>
      </w:pPr>
      <w:r w:rsidRPr="0010475C">
        <w:rPr>
          <w:i/>
          <w:szCs w:val="24"/>
          <w:u w:val="single"/>
        </w:rPr>
        <w:t xml:space="preserve">/s/ </w:t>
      </w:r>
      <w:r>
        <w:rPr>
          <w:i/>
          <w:szCs w:val="24"/>
          <w:u w:val="single"/>
        </w:rPr>
        <w:t>Christopher Healey</w:t>
      </w:r>
      <w:r>
        <w:rPr>
          <w:i/>
          <w:szCs w:val="24"/>
          <w:u w:val="single"/>
        </w:rPr>
        <w:tab/>
      </w:r>
      <w:r>
        <w:rPr>
          <w:i/>
          <w:szCs w:val="24"/>
          <w:u w:val="single"/>
        </w:rPr>
        <w:tab/>
      </w:r>
    </w:p>
    <w:p w:rsidR="001118C3" w:rsidP="001118C3">
      <w:pPr>
        <w:ind w:firstLine="4320"/>
        <w:rPr>
          <w:szCs w:val="24"/>
        </w:rPr>
      </w:pPr>
      <w:r>
        <w:rPr>
          <w:szCs w:val="24"/>
        </w:rPr>
        <w:t>Christopher Healey (0086027)</w:t>
      </w:r>
    </w:p>
    <w:p w:rsidR="001118C3" w:rsidP="001118C3">
      <w:pPr>
        <w:ind w:firstLine="4320"/>
        <w:rPr>
          <w:szCs w:val="24"/>
        </w:rPr>
      </w:pPr>
      <w:r>
        <w:rPr>
          <w:szCs w:val="24"/>
        </w:rPr>
        <w:t>Counsel of Record</w:t>
      </w:r>
    </w:p>
    <w:p w:rsidR="00477E23" w:rsidP="001118C3">
      <w:pPr>
        <w:ind w:firstLine="4320"/>
        <w:rPr>
          <w:szCs w:val="24"/>
        </w:rPr>
      </w:pPr>
      <w:r>
        <w:rPr>
          <w:szCs w:val="24"/>
        </w:rPr>
        <w:t>Ambrosia Logsdon (0096598)</w:t>
      </w:r>
    </w:p>
    <w:p w:rsidR="00477E23" w:rsidP="001118C3">
      <w:pPr>
        <w:ind w:firstLine="4320"/>
        <w:rPr>
          <w:szCs w:val="24"/>
        </w:rPr>
      </w:pPr>
      <w:r>
        <w:rPr>
          <w:szCs w:val="24"/>
        </w:rPr>
        <w:t>Assistant Consumers’ Counsel</w:t>
      </w:r>
    </w:p>
    <w:p w:rsidR="001118C3" w:rsidRPr="0010475C" w:rsidP="001118C3">
      <w:pPr>
        <w:ind w:firstLine="4320"/>
        <w:rPr>
          <w:szCs w:val="24"/>
        </w:rPr>
      </w:pPr>
    </w:p>
    <w:p w:rsidR="001118C3" w:rsidRPr="0010475C" w:rsidP="001118C3">
      <w:pPr>
        <w:ind w:firstLine="4320"/>
        <w:rPr>
          <w:b/>
          <w:szCs w:val="24"/>
        </w:rPr>
      </w:pPr>
      <w:r w:rsidRPr="0010475C">
        <w:rPr>
          <w:b/>
          <w:szCs w:val="24"/>
        </w:rPr>
        <w:t>Office of the Ohio Consumers’ Counsel</w:t>
      </w:r>
    </w:p>
    <w:p w:rsidR="001118C3" w:rsidRPr="0010475C" w:rsidP="001118C3">
      <w:pPr>
        <w:ind w:firstLine="4320"/>
        <w:rPr>
          <w:szCs w:val="24"/>
        </w:rPr>
      </w:pPr>
      <w:r>
        <w:rPr>
          <w:szCs w:val="24"/>
        </w:rPr>
        <w:t>65 East State Street, 7th Floor</w:t>
      </w:r>
    </w:p>
    <w:p w:rsidR="001118C3" w:rsidP="001118C3">
      <w:pPr>
        <w:ind w:firstLine="4320"/>
        <w:rPr>
          <w:szCs w:val="24"/>
        </w:rPr>
      </w:pPr>
      <w:r>
        <w:rPr>
          <w:szCs w:val="24"/>
        </w:rPr>
        <w:t>Columbus, Ohio 43215</w:t>
      </w:r>
    </w:p>
    <w:p w:rsidR="001118C3" w:rsidP="001118C3">
      <w:pPr>
        <w:ind w:firstLine="4320"/>
        <w:rPr>
          <w:szCs w:val="24"/>
        </w:rPr>
      </w:pPr>
      <w:r>
        <w:rPr>
          <w:szCs w:val="24"/>
        </w:rPr>
        <w:t>Telephone: Healey - 614-466-9571</w:t>
      </w:r>
    </w:p>
    <w:p w:rsidR="00477E23" w:rsidP="001118C3">
      <w:pPr>
        <w:ind w:firstLine="4320"/>
        <w:rPr>
          <w:szCs w:val="24"/>
        </w:rPr>
      </w:pPr>
      <w:r>
        <w:rPr>
          <w:szCs w:val="24"/>
        </w:rPr>
        <w:t>Telephone: Logsdon – 614-466-1292</w:t>
      </w:r>
    </w:p>
    <w:p w:rsidR="001118C3" w:rsidP="001118C3">
      <w:pPr>
        <w:ind w:firstLine="4320"/>
        <w:rPr>
          <w:rStyle w:val="Hyperlink"/>
          <w:szCs w:val="24"/>
        </w:rPr>
      </w:pPr>
      <w:r>
        <w:fldChar w:fldCharType="begin"/>
      </w:r>
      <w:r>
        <w:instrText xml:space="preserve"> HYPERLINK "mailto:Christopher.healey@occ.ohio.gov" </w:instrText>
      </w:r>
      <w:r>
        <w:fldChar w:fldCharType="separate"/>
      </w:r>
      <w:r w:rsidRPr="007A1D4D" w:rsidR="00C429CC">
        <w:rPr>
          <w:rStyle w:val="Hyperlink"/>
          <w:szCs w:val="24"/>
        </w:rPr>
        <w:t>Christopher.healey@occ.ohio.gov</w:t>
      </w:r>
      <w:r>
        <w:fldChar w:fldCharType="end"/>
      </w:r>
    </w:p>
    <w:p w:rsidR="00477E23" w:rsidP="001118C3">
      <w:pPr>
        <w:ind w:firstLine="4320"/>
        <w:rPr>
          <w:rStyle w:val="Hyperlink"/>
          <w:szCs w:val="24"/>
        </w:rPr>
      </w:pPr>
      <w:r>
        <w:fldChar w:fldCharType="begin"/>
      </w:r>
      <w:r>
        <w:instrText xml:space="preserve"> HYPERLINK "mailto:Ambrosia.logsdon@occ.ohio.gov" </w:instrText>
      </w:r>
      <w:r>
        <w:fldChar w:fldCharType="separate"/>
      </w:r>
      <w:r w:rsidRPr="009A27FF" w:rsidR="00C429CC">
        <w:rPr>
          <w:rStyle w:val="Hyperlink"/>
          <w:szCs w:val="24"/>
        </w:rPr>
        <w:t>Ambrosia.logsdon@occ.ohio.gov</w:t>
      </w:r>
      <w:r>
        <w:fldChar w:fldCharType="end"/>
      </w:r>
    </w:p>
    <w:p w:rsidR="00A044B5" w:rsidRPr="001118C3" w:rsidP="001118C3">
      <w:pPr>
        <w:ind w:firstLine="4320"/>
        <w:rPr>
          <w:szCs w:val="24"/>
          <w:u w:val="single"/>
        </w:rPr>
      </w:pPr>
      <w:r w:rsidRPr="0010475C">
        <w:rPr>
          <w:szCs w:val="24"/>
        </w:rPr>
        <w:t>(</w:t>
      </w:r>
      <w:r>
        <w:rPr>
          <w:szCs w:val="24"/>
        </w:rPr>
        <w:t xml:space="preserve">willing to </w:t>
      </w:r>
      <w:r w:rsidRPr="0010475C">
        <w:rPr>
          <w:szCs w:val="24"/>
        </w:rPr>
        <w:t xml:space="preserve">accept service </w:t>
      </w:r>
      <w:r>
        <w:rPr>
          <w:szCs w:val="24"/>
        </w:rPr>
        <w:t>by</w:t>
      </w:r>
      <w:r w:rsidRPr="0010475C">
        <w:rPr>
          <w:szCs w:val="24"/>
        </w:rPr>
        <w:t xml:space="preserve"> e</w:t>
      </w:r>
      <w:r>
        <w:rPr>
          <w:szCs w:val="24"/>
        </w:rPr>
        <w:t>-</w:t>
      </w:r>
      <w:r w:rsidRPr="0010475C">
        <w:rPr>
          <w:szCs w:val="24"/>
        </w:rPr>
        <w:t>mai</w:t>
      </w:r>
      <w:r>
        <w:rPr>
          <w:szCs w:val="24"/>
        </w:rPr>
        <w:t>l)</w:t>
      </w:r>
      <w:r>
        <w:rPr>
          <w:szCs w:val="24"/>
        </w:rPr>
        <w:tab/>
      </w:r>
      <w:r>
        <w:rPr>
          <w:szCs w:val="24"/>
        </w:rPr>
        <w:tab/>
      </w:r>
      <w:r>
        <w:rPr>
          <w:szCs w:val="24"/>
        </w:rPr>
        <w:tab/>
      </w:r>
      <w:r>
        <w:rPr>
          <w:szCs w:val="24"/>
        </w:rPr>
        <w:tab/>
      </w:r>
      <w:r>
        <w:rPr>
          <w:szCs w:val="24"/>
        </w:rPr>
        <w:tab/>
      </w:r>
      <w:r w:rsidRPr="001118C3">
        <w:rPr>
          <w:szCs w:val="24"/>
        </w:rPr>
        <w:tab/>
      </w:r>
    </w:p>
    <w:p w:rsidR="00A044B5">
      <w:pPr>
        <w:rPr>
          <w:szCs w:val="24"/>
        </w:rPr>
      </w:pPr>
    </w:p>
    <w:p w:rsidR="00A044B5"/>
    <w:p w:rsidR="00A044B5"/>
    <w:p w:rsidR="00A044B5">
      <w:pPr>
        <w:ind w:left="4320" w:firstLine="720"/>
        <w:jc w:val="both"/>
      </w:pPr>
    </w:p>
    <w:p w:rsidR="00A044B5">
      <w:pPr>
        <w:pStyle w:val="HTMLPreformatted"/>
        <w:jc w:val="center"/>
        <w:rPr>
          <w:rFonts w:ascii="Times New Roman" w:hAnsi="Times New Roman"/>
          <w:b/>
          <w:bCs/>
          <w:sz w:val="24"/>
        </w:rPr>
        <w:sectPr w:rsidSect="001118C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26"/>
        </w:sectPr>
      </w:pPr>
    </w:p>
    <w:p w:rsidR="001118C3" w:rsidP="001118C3">
      <w:pPr>
        <w:pStyle w:val="HTMLPreformatted"/>
        <w:jc w:val="center"/>
        <w:rPr>
          <w:rFonts w:ascii="Times New Roman" w:hAnsi="Times New Roman"/>
          <w:b/>
          <w:bCs/>
          <w:sz w:val="24"/>
        </w:rPr>
      </w:pPr>
      <w:r>
        <w:rPr>
          <w:rFonts w:ascii="Times New Roman" w:hAnsi="Times New Roman"/>
          <w:b/>
          <w:bCs/>
          <w:sz w:val="24"/>
        </w:rPr>
        <w:t>BEFORE</w:t>
      </w:r>
    </w:p>
    <w:p w:rsidR="001118C3" w:rsidP="001118C3">
      <w:pPr>
        <w:pStyle w:val="HTMLPreformatted"/>
        <w:jc w:val="center"/>
        <w:rPr>
          <w:rFonts w:ascii="Times New Roman" w:hAnsi="Times New Roman"/>
          <w:sz w:val="24"/>
        </w:rPr>
      </w:pPr>
      <w:r>
        <w:rPr>
          <w:rFonts w:ascii="Times New Roman" w:hAnsi="Times New Roman"/>
          <w:b/>
          <w:bCs/>
          <w:sz w:val="24"/>
        </w:rPr>
        <w:t>THE PUBLIC UTILITIES COMMISSION OF OHIO</w:t>
      </w:r>
    </w:p>
    <w:p w:rsidR="001118C3" w:rsidP="001118C3">
      <w:pPr>
        <w:pStyle w:val="HTMLPreformatted"/>
        <w:rPr>
          <w:rFonts w:ascii="Times New Roman" w:hAnsi="Times New Roman"/>
          <w:sz w:val="24"/>
        </w:rPr>
      </w:pPr>
    </w:p>
    <w:tbl>
      <w:tblPr>
        <w:tblW w:w="9728" w:type="dxa"/>
        <w:tblInd w:w="0" w:type="dxa"/>
        <w:tblCellMar>
          <w:top w:w="0" w:type="dxa"/>
          <w:left w:w="108" w:type="dxa"/>
          <w:bottom w:w="0" w:type="dxa"/>
          <w:right w:w="108" w:type="dxa"/>
        </w:tblCellMar>
        <w:tblLook w:val="01E0"/>
      </w:tblPr>
      <w:tblGrid>
        <w:gridCol w:w="4968"/>
        <w:gridCol w:w="360"/>
        <w:gridCol w:w="4400"/>
      </w:tblGrid>
      <w:tr w:rsidTr="0075676B">
        <w:tblPrEx>
          <w:tblW w:w="9728" w:type="dxa"/>
          <w:tblInd w:w="0" w:type="dxa"/>
          <w:tblCellMar>
            <w:top w:w="0" w:type="dxa"/>
            <w:left w:w="108" w:type="dxa"/>
            <w:bottom w:w="0" w:type="dxa"/>
            <w:right w:w="108" w:type="dxa"/>
          </w:tblCellMar>
          <w:tblLook w:val="01E0"/>
        </w:tblPrEx>
        <w:trPr>
          <w:trHeight w:val="807"/>
        </w:trPr>
        <w:tc>
          <w:tcPr>
            <w:tcW w:w="4968" w:type="dxa"/>
            <w:shd w:val="clear" w:color="auto" w:fill="auto"/>
          </w:tcPr>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Application of Ohio Edison Company, The Cleveland Electric Illuminating Company, and The Toledo Edison Company for a Waiver of Rule 4901:1-39-04. </w:t>
            </w:r>
          </w:p>
        </w:tc>
        <w:tc>
          <w:tcPr>
            <w:tcW w:w="360" w:type="dxa"/>
            <w:shd w:val="clear" w:color="auto" w:fill="auto"/>
          </w:tcPr>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1118C3"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Case No.</w:t>
            </w:r>
            <w:r>
              <w:rPr>
                <w:rFonts w:ascii="Times New Roman" w:eastAsia="Courier New" w:hAnsi="Times New Roman" w:cs="Courier New"/>
                <w:sz w:val="24"/>
                <w:lang w:val="en-US" w:eastAsia="en-US" w:bidi="ar-SA"/>
              </w:rPr>
              <w:t xml:space="preserve"> 19-</w:t>
            </w:r>
            <w:r w:rsidR="00420F9B">
              <w:rPr>
                <w:rFonts w:ascii="Times New Roman" w:eastAsia="Courier New" w:hAnsi="Times New Roman" w:cs="Courier New"/>
                <w:sz w:val="24"/>
                <w:lang w:val="en-US" w:eastAsia="en-US" w:bidi="ar-SA"/>
              </w:rPr>
              <w:t>0</w:t>
            </w:r>
            <w:r>
              <w:rPr>
                <w:rFonts w:ascii="Times New Roman" w:eastAsia="Courier New" w:hAnsi="Times New Roman" w:cs="Courier New"/>
                <w:sz w:val="24"/>
                <w:lang w:val="en-US" w:eastAsia="en-US" w:bidi="ar-SA"/>
              </w:rPr>
              <w:t>363-EL-WVR</w:t>
            </w:r>
            <w:r w:rsidRPr="00A044B5">
              <w:rPr>
                <w:rFonts w:ascii="Times New Roman" w:eastAsia="Courier New" w:hAnsi="Times New Roman" w:cs="Courier New"/>
                <w:sz w:val="24"/>
                <w:lang w:val="en-US" w:eastAsia="en-US" w:bidi="ar-SA"/>
              </w:rPr>
              <w:t xml:space="preserve"> </w:t>
            </w:r>
          </w:p>
          <w:p w:rsidR="001118C3"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1118C3" w:rsidRPr="00A044B5" w:rsidP="0075676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EB299A" w:rsidP="00152E24">
      <w:pPr>
        <w:pStyle w:val="BodyTextIndent3"/>
        <w:widowControl w:val="0"/>
        <w:spacing w:line="480" w:lineRule="auto"/>
        <w:ind w:right="-24"/>
      </w:pPr>
      <w:r>
        <w:t>Under Ohio House Bill 6, 133rd General Assembly (“HB 6”), the General Assembly amended the law regarding energy efficiency programs. In particular, HB 6 provides that if a utility has energy efficiency programs in place in 2019, those programs will continue through the end of 2020 without modification unless changes are authorized by the PUCO. This includes continuing the current budget, which for FirstEnergy is $107 million per year.</w:t>
      </w:r>
      <w:r>
        <w:rPr>
          <w:rStyle w:val="FootnoteReference"/>
        </w:rPr>
        <w:footnoteReference w:id="6"/>
      </w:r>
      <w:r>
        <w:t xml:space="preserve"> This means that customers cannot be charged more than $107 million per year currently, so they cannot be charged more than $107 million in 2020 either. </w:t>
      </w:r>
    </w:p>
    <w:p w:rsidR="00A044B5" w:rsidP="006A4C40">
      <w:pPr>
        <w:pStyle w:val="BodyTextIndent3"/>
        <w:widowControl w:val="0"/>
        <w:spacing w:line="480" w:lineRule="auto"/>
        <w:ind w:right="-24"/>
      </w:pPr>
      <w:r>
        <w:rPr>
          <w:szCs w:val="24"/>
        </w:rPr>
        <w:t xml:space="preserve">OCC has authority under law to represent </w:t>
      </w:r>
      <w:r>
        <w:t xml:space="preserve">the interests of all the 1.9 million residential utility customers of FirstEnergy under R.C. Chapter 4911. 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involving charges to consumers for energy efficiency programs, including the costs of running the programs and utility profits resulting from those programs. Thus, this element of the intervention standard in R.C. 4903.221 is satisfied. </w:t>
      </w:r>
    </w:p>
    <w:p w:rsidR="00A044B5">
      <w:pPr>
        <w:spacing w:line="480" w:lineRule="auto"/>
        <w:ind w:firstLine="720"/>
        <w:rPr>
          <w:szCs w:val="24"/>
        </w:rPr>
      </w:pPr>
      <w:r>
        <w:rPr>
          <w:szCs w:val="24"/>
        </w:rPr>
        <w:t>R.C. 4903.221(B) requires the PUCO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f FirstEnergy in this case involving the amount that they might be charged for energy efficiency programs in 2020. This interest is different than that of any other party and especially different than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among other things, advancing the position that customers should pay a maximum of $107 million in 2020 for FirstEnergy’s energy efficiency programs. OCC’s position is therefore directly related to the merits of this case, which is pending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A044B5">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FirstEnergy seeks to continue its programs for 2020 under HB 6 and to charge customers tens of millions of dollars for those programs</w:t>
      </w:r>
      <w:r>
        <w:rPr>
          <w:szCs w:val="24"/>
        </w:rPr>
        <w:t xml:space="preserve">.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A044B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rsidP="006A4C40">
      <w:pPr>
        <w:pStyle w:val="WW-BodyTextIndent3"/>
        <w:spacing w:line="480" w:lineRule="auto"/>
        <w:ind w:right="-29"/>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Pr>
          <w:szCs w:val="24"/>
        </w:rPr>
        <w:t xml:space="preserve">  </w:t>
      </w:r>
    </w:p>
    <w:p w:rsidR="00A044B5">
      <w:pPr>
        <w:spacing w:line="480" w:lineRule="auto"/>
        <w:ind w:firstLine="720"/>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477E23" w:rsidP="00320961">
      <w:pPr>
        <w:pStyle w:val="BodyTextIndent3"/>
        <w:widowControl w:val="0"/>
        <w:spacing w:line="480" w:lineRule="auto"/>
        <w:ind w:left="3600" w:right="-672" w:firstLine="0"/>
        <w:rPr>
          <w:szCs w:val="24"/>
        </w:rPr>
      </w:pPr>
      <w:r>
        <w:rPr>
          <w:szCs w:val="24"/>
        </w:rPr>
        <w:tab/>
      </w:r>
      <w:r w:rsidRPr="0010475C">
        <w:rPr>
          <w:szCs w:val="24"/>
        </w:rPr>
        <w:t>Respectfully submitted,</w:t>
      </w:r>
    </w:p>
    <w:p w:rsidR="00477E23" w:rsidRPr="0010475C" w:rsidP="00477E23">
      <w:pPr>
        <w:ind w:left="3600" w:firstLine="720"/>
        <w:rPr>
          <w:szCs w:val="24"/>
        </w:rPr>
      </w:pPr>
      <w:r w:rsidRPr="0010475C">
        <w:rPr>
          <w:szCs w:val="24"/>
        </w:rPr>
        <w:t>Bruce Weston (0016973)</w:t>
      </w:r>
    </w:p>
    <w:p w:rsidR="00477E23" w:rsidRPr="0010475C" w:rsidP="00477E23">
      <w:pPr>
        <w:ind w:firstLine="4320"/>
        <w:rPr>
          <w:szCs w:val="24"/>
        </w:rPr>
      </w:pPr>
      <w:r w:rsidRPr="0010475C">
        <w:rPr>
          <w:szCs w:val="24"/>
        </w:rPr>
        <w:t>Ohio Consumers’ Counsel</w:t>
      </w:r>
    </w:p>
    <w:p w:rsidR="00477E23" w:rsidRPr="0010475C" w:rsidP="00477E23">
      <w:pPr>
        <w:ind w:firstLine="4320"/>
        <w:rPr>
          <w:szCs w:val="24"/>
        </w:rPr>
      </w:pPr>
    </w:p>
    <w:p w:rsidR="00477E23" w:rsidP="00477E23">
      <w:pPr>
        <w:ind w:firstLine="4320"/>
        <w:rPr>
          <w:i/>
          <w:szCs w:val="24"/>
          <w:u w:val="single"/>
        </w:rPr>
      </w:pPr>
      <w:r w:rsidRPr="0010475C">
        <w:rPr>
          <w:i/>
          <w:szCs w:val="24"/>
          <w:u w:val="single"/>
        </w:rPr>
        <w:t xml:space="preserve">/s/ </w:t>
      </w:r>
      <w:r>
        <w:rPr>
          <w:i/>
          <w:szCs w:val="24"/>
          <w:u w:val="single"/>
        </w:rPr>
        <w:t>Christopher Healey</w:t>
      </w:r>
      <w:r>
        <w:rPr>
          <w:i/>
          <w:szCs w:val="24"/>
          <w:u w:val="single"/>
        </w:rPr>
        <w:tab/>
      </w:r>
      <w:r>
        <w:rPr>
          <w:i/>
          <w:szCs w:val="24"/>
          <w:u w:val="single"/>
        </w:rPr>
        <w:tab/>
      </w:r>
    </w:p>
    <w:p w:rsidR="00477E23" w:rsidP="00477E23">
      <w:pPr>
        <w:ind w:firstLine="4320"/>
        <w:rPr>
          <w:szCs w:val="24"/>
        </w:rPr>
      </w:pPr>
      <w:r>
        <w:rPr>
          <w:szCs w:val="24"/>
        </w:rPr>
        <w:t>Christopher Healey (0086027)</w:t>
      </w:r>
    </w:p>
    <w:p w:rsidR="00477E23" w:rsidP="00477E23">
      <w:pPr>
        <w:ind w:firstLine="4320"/>
        <w:rPr>
          <w:szCs w:val="24"/>
        </w:rPr>
      </w:pPr>
      <w:r>
        <w:rPr>
          <w:szCs w:val="24"/>
        </w:rPr>
        <w:t>Counsel of Record</w:t>
      </w:r>
    </w:p>
    <w:p w:rsidR="00477E23" w:rsidP="00477E23">
      <w:pPr>
        <w:ind w:firstLine="4320"/>
        <w:rPr>
          <w:szCs w:val="24"/>
        </w:rPr>
      </w:pPr>
      <w:r>
        <w:rPr>
          <w:szCs w:val="24"/>
        </w:rPr>
        <w:t>Ambrosia Logsdon (0096598)</w:t>
      </w:r>
    </w:p>
    <w:p w:rsidR="00477E23" w:rsidP="00477E23">
      <w:pPr>
        <w:ind w:firstLine="4320"/>
        <w:rPr>
          <w:szCs w:val="24"/>
        </w:rPr>
      </w:pPr>
      <w:r>
        <w:rPr>
          <w:szCs w:val="24"/>
        </w:rPr>
        <w:t>Assistant Consumers’ Counsel</w:t>
      </w:r>
    </w:p>
    <w:p w:rsidR="00477E23" w:rsidRPr="0010475C" w:rsidP="00477E23">
      <w:pPr>
        <w:ind w:firstLine="4320"/>
        <w:rPr>
          <w:szCs w:val="24"/>
        </w:rPr>
      </w:pPr>
    </w:p>
    <w:p w:rsidR="00477E23" w:rsidRPr="0010475C" w:rsidP="00477E23">
      <w:pPr>
        <w:ind w:firstLine="4320"/>
        <w:rPr>
          <w:b/>
          <w:szCs w:val="24"/>
        </w:rPr>
      </w:pPr>
      <w:r w:rsidRPr="0010475C">
        <w:rPr>
          <w:b/>
          <w:szCs w:val="24"/>
        </w:rPr>
        <w:t>Office of the Ohio Consumers’ Counsel</w:t>
      </w:r>
    </w:p>
    <w:p w:rsidR="00477E23" w:rsidRPr="0010475C" w:rsidP="00477E23">
      <w:pPr>
        <w:ind w:firstLine="4320"/>
        <w:rPr>
          <w:szCs w:val="24"/>
        </w:rPr>
      </w:pPr>
      <w:r>
        <w:rPr>
          <w:szCs w:val="24"/>
        </w:rPr>
        <w:t>65 East State Street, 7th Floor</w:t>
      </w:r>
    </w:p>
    <w:p w:rsidR="00477E23" w:rsidP="00477E23">
      <w:pPr>
        <w:ind w:firstLine="4320"/>
        <w:rPr>
          <w:szCs w:val="24"/>
        </w:rPr>
      </w:pPr>
      <w:r>
        <w:rPr>
          <w:szCs w:val="24"/>
        </w:rPr>
        <w:t>Columbus, Ohio 43215</w:t>
      </w:r>
    </w:p>
    <w:p w:rsidR="00477E23" w:rsidP="00477E23">
      <w:pPr>
        <w:ind w:firstLine="4320"/>
        <w:rPr>
          <w:szCs w:val="24"/>
        </w:rPr>
      </w:pPr>
      <w:r>
        <w:rPr>
          <w:szCs w:val="24"/>
        </w:rPr>
        <w:t>Telephone: Healey - 614-466-9571</w:t>
      </w:r>
    </w:p>
    <w:p w:rsidR="00477E23" w:rsidP="00477E23">
      <w:pPr>
        <w:ind w:firstLine="4320"/>
        <w:rPr>
          <w:szCs w:val="24"/>
        </w:rPr>
      </w:pPr>
      <w:r>
        <w:rPr>
          <w:szCs w:val="24"/>
        </w:rPr>
        <w:t>Telephone: Logsdon – 614-466-1292</w:t>
      </w:r>
    </w:p>
    <w:p w:rsidR="00477E23" w:rsidP="00477E23">
      <w:pPr>
        <w:ind w:firstLine="4320"/>
        <w:rPr>
          <w:rStyle w:val="Hyperlink"/>
          <w:szCs w:val="24"/>
        </w:rPr>
      </w:pPr>
      <w:r>
        <w:fldChar w:fldCharType="begin"/>
      </w:r>
      <w:r>
        <w:instrText xml:space="preserve"> HYPERLINK "mailto:Christopher.healey@occ.ohio.gov" </w:instrText>
      </w:r>
      <w:r>
        <w:fldChar w:fldCharType="separate"/>
      </w:r>
      <w:r w:rsidRPr="007A1D4D" w:rsidR="00C429CC">
        <w:rPr>
          <w:rStyle w:val="Hyperlink"/>
          <w:szCs w:val="24"/>
        </w:rPr>
        <w:t>Christopher.healey@occ.ohio.gov</w:t>
      </w:r>
      <w:r>
        <w:fldChar w:fldCharType="end"/>
      </w:r>
    </w:p>
    <w:p w:rsidR="00477E23" w:rsidP="00477E23">
      <w:pPr>
        <w:ind w:firstLine="4320"/>
        <w:rPr>
          <w:rStyle w:val="Hyperlink"/>
          <w:szCs w:val="24"/>
        </w:rPr>
      </w:pPr>
      <w:r>
        <w:fldChar w:fldCharType="begin"/>
      </w:r>
      <w:r>
        <w:instrText xml:space="preserve"> HYPERLINK "mailto:Ambrosia.logsdon@occ.ohio.gov" </w:instrText>
      </w:r>
      <w:r>
        <w:fldChar w:fldCharType="separate"/>
      </w:r>
      <w:r w:rsidRPr="009A27FF" w:rsidR="00C429CC">
        <w:rPr>
          <w:rStyle w:val="Hyperlink"/>
          <w:szCs w:val="24"/>
        </w:rPr>
        <w:t>Ambrosia.logsdon@occ.ohio.gov</w:t>
      </w:r>
      <w:r>
        <w:fldChar w:fldCharType="end"/>
      </w:r>
    </w:p>
    <w:p w:rsidR="00CA3F81" w:rsidRPr="00152E24" w:rsidP="00477E23">
      <w:pPr>
        <w:pStyle w:val="BodyTextIndent3"/>
        <w:widowControl w:val="0"/>
        <w:spacing w:line="480" w:lineRule="auto"/>
        <w:ind w:left="3600" w:right="-672"/>
        <w:rPr>
          <w:color w:val="0000FF"/>
          <w:szCs w:val="24"/>
          <w:u w:val="single"/>
        </w:rPr>
      </w:pPr>
      <w:r w:rsidRPr="0010475C">
        <w:rPr>
          <w:szCs w:val="24"/>
        </w:rPr>
        <w:t>(</w:t>
      </w:r>
      <w:r>
        <w:rPr>
          <w:szCs w:val="24"/>
        </w:rPr>
        <w:t xml:space="preserve">willing to </w:t>
      </w:r>
      <w:r w:rsidRPr="0010475C">
        <w:rPr>
          <w:szCs w:val="24"/>
        </w:rPr>
        <w:t xml:space="preserve">accept service </w:t>
      </w:r>
      <w:r>
        <w:rPr>
          <w:szCs w:val="24"/>
        </w:rPr>
        <w:t>by</w:t>
      </w:r>
      <w:r w:rsidRPr="0010475C">
        <w:rPr>
          <w:szCs w:val="24"/>
        </w:rPr>
        <w:t xml:space="preserve"> e</w:t>
      </w:r>
      <w:r>
        <w:rPr>
          <w:szCs w:val="24"/>
        </w:rPr>
        <w:t>-</w:t>
      </w:r>
      <w:r w:rsidRPr="0010475C">
        <w:rPr>
          <w:szCs w:val="24"/>
        </w:rPr>
        <w:t>mai</w:t>
      </w:r>
      <w:r>
        <w:rPr>
          <w:szCs w:val="24"/>
        </w:rPr>
        <w:t>l)</w:t>
      </w:r>
    </w:p>
    <w:p w:rsidR="00A044B5">
      <w:pPr>
        <w:rPr>
          <w:szCs w:val="24"/>
        </w:rPr>
      </w:pPr>
    </w:p>
    <w:p w:rsidR="00A044B5">
      <w:pPr>
        <w:rPr>
          <w:szCs w:val="24"/>
        </w:rPr>
      </w:pPr>
    </w:p>
    <w:p w:rsidR="00A044B5">
      <w:pPr>
        <w:rPr>
          <w:szCs w:val="24"/>
        </w:rPr>
      </w:pPr>
      <w:r>
        <w:rPr>
          <w:szCs w:val="24"/>
        </w:rPr>
        <w:tab/>
      </w:r>
      <w:r>
        <w:rPr>
          <w:szCs w:val="24"/>
        </w:rPr>
        <w:tab/>
      </w:r>
      <w:r>
        <w:rPr>
          <w:szCs w:val="24"/>
        </w:rPr>
        <w:tab/>
      </w:r>
      <w:r>
        <w:rPr>
          <w:szCs w:val="24"/>
        </w:rPr>
        <w:tab/>
      </w:r>
      <w:r>
        <w:rPr>
          <w:szCs w:val="24"/>
        </w:rPr>
        <w:tab/>
      </w:r>
      <w:r>
        <w:rPr>
          <w:szCs w:val="24"/>
        </w:rPr>
        <w:tab/>
      </w:r>
    </w:p>
    <w:p w:rsidR="00A044B5">
      <w:pPr>
        <w:jc w:val="center"/>
        <w:rPr>
          <w:b/>
          <w:bCs/>
          <w:u w:val="single"/>
        </w:rPr>
      </w:pPr>
      <w:r>
        <w:br w:type="page"/>
      </w:r>
      <w:r>
        <w:rPr>
          <w:b/>
          <w:bCs/>
          <w:u w:val="single"/>
        </w:rPr>
        <w:t>CERTIFICATE OF SERVICE</w:t>
      </w:r>
    </w:p>
    <w:p w:rsidR="00A044B5">
      <w:pPr>
        <w:spacing w:line="480" w:lineRule="atLeast"/>
      </w:pPr>
      <w:r>
        <w:tab/>
        <w:t xml:space="preserve">I hereby certify that a copy of this </w:t>
      </w:r>
      <w:r w:rsidRPr="00477E23">
        <w:rPr>
          <w:iCs/>
        </w:rPr>
        <w:t>Motion to Intervene</w:t>
      </w:r>
      <w:r>
        <w:t xml:space="preserve"> was served on the persons stated below </w:t>
      </w:r>
      <w:r w:rsidRPr="00477E23">
        <w:rPr>
          <w:iCs/>
        </w:rPr>
        <w:t xml:space="preserve">via </w:t>
      </w:r>
      <w:r>
        <w:t>electronic transmission, this 28th day of August 2019.</w:t>
      </w:r>
    </w:p>
    <w:p w:rsidR="00A044B5">
      <w:pPr>
        <w:spacing w:line="480" w:lineRule="atLeast"/>
      </w:pPr>
    </w:p>
    <w:p w:rsidR="00A044B5" w:rsidRPr="00152E24">
      <w:pPr>
        <w:tabs>
          <w:tab w:val="left" w:pos="4320"/>
        </w:tabs>
        <w:rPr>
          <w:i/>
          <w:iCs/>
          <w:u w:val="single"/>
        </w:rPr>
      </w:pPr>
      <w:r>
        <w:tab/>
      </w:r>
      <w:r>
        <w:rPr>
          <w:i/>
          <w:iCs/>
          <w:u w:val="single"/>
        </w:rPr>
        <w:t>/s/ Christopher Healey</w:t>
      </w:r>
      <w:r>
        <w:rPr>
          <w:i/>
          <w:iCs/>
          <w:u w:val="single"/>
        </w:rPr>
        <w:tab/>
      </w:r>
      <w:r>
        <w:rPr>
          <w:i/>
          <w:iCs/>
          <w:u w:val="single"/>
        </w:rPr>
        <w:tab/>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320961">
      <w:pPr>
        <w:pStyle w:val="CommentText"/>
        <w:jc w:val="center"/>
        <w:rPr>
          <w:b/>
          <w:u w:val="single"/>
        </w:rPr>
      </w:pPr>
    </w:p>
    <w:p w:rsidR="00320961">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32096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320961" w:rsidP="00320961">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1D411C" w:rsidR="00C429CC">
              <w:rPr>
                <w:rStyle w:val="Hyperlink"/>
                <w:bCs/>
                <w:color w:val="0000FF"/>
                <w:sz w:val="24"/>
                <w:szCs w:val="24"/>
                <w:u w:val="single"/>
                <w:lang w:val="en-US" w:eastAsia="en-US" w:bidi="ar-SA"/>
              </w:rPr>
              <w:t>John.jones@ohioattorneygeneral.gov</w:t>
            </w:r>
            <w:r>
              <w:fldChar w:fldCharType="end"/>
            </w:r>
          </w:p>
          <w:p w:rsidR="00320961" w:rsidP="00320961">
            <w:pPr>
              <w:pStyle w:val="CommentText"/>
              <w:rPr>
                <w:rStyle w:val="DefaultParagraphFont"/>
                <w:bCs/>
                <w:sz w:val="24"/>
                <w:szCs w:val="24"/>
                <w:lang w:val="en-US" w:eastAsia="en-US" w:bidi="ar-SA"/>
              </w:rPr>
            </w:pPr>
          </w:p>
          <w:p w:rsidR="00320961" w:rsidP="00320961">
            <w:pPr>
              <w:pStyle w:val="CommentText"/>
              <w:rPr>
                <w:rStyle w:val="DefaultParagraphFont"/>
                <w:bCs/>
                <w:sz w:val="24"/>
                <w:szCs w:val="24"/>
                <w:lang w:val="en-US" w:eastAsia="en-US" w:bidi="ar-SA"/>
              </w:rPr>
            </w:pPr>
            <w:r>
              <w:rPr>
                <w:bCs/>
                <w:sz w:val="24"/>
                <w:szCs w:val="24"/>
                <w:lang w:val="en-US" w:eastAsia="en-US" w:bidi="ar-SA"/>
              </w:rPr>
              <w:t>Attorney Examiner:</w:t>
            </w:r>
          </w:p>
          <w:p w:rsidR="00320961" w:rsidP="00320961">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"mailto:Anna.sanyal@puco.ohio.gov" </w:instrText>
            </w:r>
            <w:r>
              <w:fldChar w:fldCharType="separate"/>
            </w:r>
            <w:r w:rsidRPr="001D411C" w:rsidR="00C429CC">
              <w:rPr>
                <w:rStyle w:val="Hyperlink"/>
                <w:bCs/>
                <w:color w:val="0000FF"/>
                <w:sz w:val="24"/>
                <w:szCs w:val="24"/>
                <w:u w:val="single"/>
                <w:lang w:val="en-US" w:eastAsia="en-US" w:bidi="ar-SA"/>
              </w:rPr>
              <w:t>Anna.sanyal@puco.ohio.gov</w:t>
            </w:r>
            <w:r>
              <w:fldChar w:fldCharType="end"/>
            </w:r>
          </w:p>
          <w:p w:rsidR="00320961" w:rsidRPr="00320961" w:rsidP="00320961">
            <w:pPr>
              <w:pStyle w:val="CommentText"/>
              <w:rPr>
                <w:rStyle w:val="DefaultParagraphFont"/>
                <w:bCs/>
                <w:sz w:val="24"/>
                <w:szCs w:val="24"/>
                <w:lang w:val="en-US" w:eastAsia="en-US" w:bidi="ar-SA"/>
              </w:rPr>
            </w:pPr>
          </w:p>
        </w:tc>
        <w:tc>
          <w:tcPr>
            <w:tcW w:w="4315" w:type="dxa"/>
          </w:tcPr>
          <w:p w:rsidR="00320961" w:rsidP="00320961">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"mailto:rendris@firstenergycorp.com" </w:instrText>
            </w:r>
            <w:r>
              <w:fldChar w:fldCharType="separate"/>
            </w:r>
            <w:r w:rsidRPr="001D411C" w:rsidR="00C429CC">
              <w:rPr>
                <w:rStyle w:val="Hyperlink"/>
                <w:bCs/>
                <w:color w:val="0000FF"/>
                <w:sz w:val="24"/>
                <w:szCs w:val="24"/>
                <w:u w:val="single"/>
                <w:lang w:val="en-US" w:eastAsia="en-US" w:bidi="ar-SA"/>
              </w:rPr>
              <w:t>rendris@firstenergycorp.com</w:t>
            </w:r>
            <w:r>
              <w:fldChar w:fldCharType="end"/>
            </w:r>
          </w:p>
          <w:p w:rsidR="00320961" w:rsidRPr="00320961" w:rsidP="00320961">
            <w:pPr>
              <w:pStyle w:val="CommentText"/>
              <w:rPr>
                <w:rStyle w:val="DefaultParagraphFont"/>
                <w:bCs/>
                <w:sz w:val="24"/>
                <w:szCs w:val="24"/>
                <w:lang w:val="en-US" w:eastAsia="en-US" w:bidi="ar-SA"/>
              </w:rPr>
            </w:pPr>
          </w:p>
          <w:p w:rsidR="00320961">
            <w:pPr>
              <w:pStyle w:val="CommentText"/>
              <w:jc w:val="center"/>
              <w:rPr>
                <w:rStyle w:val="DefaultParagraphFont"/>
                <w:b/>
                <w:sz w:val="24"/>
                <w:szCs w:val="24"/>
                <w:u w:val="single"/>
                <w:lang w:val="en-US" w:eastAsia="en-US" w:bidi="ar-SA"/>
              </w:rPr>
            </w:pPr>
          </w:p>
        </w:tc>
      </w:tr>
    </w:tbl>
    <w:p w:rsidR="00320961">
      <w:pPr>
        <w:pStyle w:val="CommentText"/>
        <w:jc w:val="center"/>
        <w:rPr>
          <w:b/>
          <w:u w:val="single"/>
        </w:rPr>
      </w:pPr>
    </w:p>
    <w:p w:rsidR="00A044B5">
      <w:pPr>
        <w:pStyle w:val="BodyText"/>
        <w:rPr>
          <w:b/>
          <w:bCs/>
        </w:rPr>
      </w:pPr>
    </w:p>
    <w:tbl>
      <w:tblPr>
        <w:tblW w:w="0" w:type="auto"/>
        <w:tblInd w:w="0" w:type="dxa"/>
        <w:tblCellMar>
          <w:top w:w="0" w:type="dxa"/>
          <w:left w:w="108" w:type="dxa"/>
          <w:bottom w:w="0" w:type="dxa"/>
          <w:right w:w="108" w:type="dxa"/>
        </w:tblCellMar>
        <w:tblLook w:val="01E0"/>
      </w:tblPr>
      <w:tblGrid>
        <w:gridCol w:w="4320"/>
        <w:gridCol w:w="4320"/>
      </w:tblGrid>
      <w:tr w:rsidTr="00A044B5">
        <w:tblPrEx>
          <w:tblW w:w="0" w:type="auto"/>
          <w:tblInd w:w="0" w:type="dxa"/>
          <w:tblCellMar>
            <w:top w:w="0" w:type="dxa"/>
            <w:left w:w="108" w:type="dxa"/>
            <w:bottom w:w="0" w:type="dxa"/>
            <w:right w:w="108" w:type="dxa"/>
          </w:tblCellMar>
          <w:tblLook w:val="01E0"/>
        </w:tblPrEx>
        <w:tc>
          <w:tcPr>
            <w:tcW w:w="4428" w:type="dxa"/>
            <w:shd w:val="clear" w:color="auto" w:fill="auto"/>
          </w:tcPr>
          <w:p w:rsidR="00A044B5" w:rsidRPr="00A044B5" w:rsidP="00A044B5">
            <w:pPr>
              <w:autoSpaceDE w:val="0"/>
              <w:autoSpaceDN w:val="0"/>
              <w:adjustRightInd w:val="0"/>
              <w:rPr>
                <w:rStyle w:val="DefaultParagraphFont"/>
                <w:bCs/>
                <w:sz w:val="24"/>
                <w:lang w:val="en-US" w:eastAsia="en-US" w:bidi="ar-SA"/>
              </w:rPr>
            </w:pPr>
          </w:p>
        </w:tc>
        <w:tc>
          <w:tcPr>
            <w:tcW w:w="4428" w:type="dxa"/>
            <w:shd w:val="clear" w:color="auto" w:fill="auto"/>
          </w:tcPr>
          <w:p w:rsidR="00A044B5" w:rsidRPr="00A044B5">
            <w:pPr>
              <w:pStyle w:val="BodyText"/>
              <w:jc w:val="both"/>
              <w:rPr>
                <w:rStyle w:val="DefaultParagraphFont"/>
                <w:bCs/>
                <w:sz w:val="24"/>
                <w:lang w:val="en-US" w:eastAsia="en-US" w:bidi="ar-SA"/>
              </w:rPr>
            </w:pPr>
          </w:p>
        </w:tc>
      </w:tr>
      <w:tr w:rsidTr="00A044B5">
        <w:tblPrEx>
          <w:tblW w:w="0" w:type="auto"/>
          <w:tblInd w:w="0" w:type="dxa"/>
          <w:tblCellMar>
            <w:top w:w="0" w:type="dxa"/>
            <w:left w:w="108" w:type="dxa"/>
            <w:bottom w:w="0" w:type="dxa"/>
            <w:right w:w="108" w:type="dxa"/>
          </w:tblCellMar>
          <w:tblLook w:val="01E0"/>
        </w:tblPrEx>
        <w:tc>
          <w:tcPr>
            <w:tcW w:w="4428" w:type="dxa"/>
            <w:shd w:val="clear" w:color="auto" w:fill="auto"/>
          </w:tcPr>
          <w:p w:rsidR="00A044B5" w:rsidRPr="00A044B5">
            <w:pPr>
              <w:rPr>
                <w:rStyle w:val="DefaultParagraphFont"/>
                <w:sz w:val="24"/>
                <w:szCs w:val="24"/>
                <w:lang w:val="en-US" w:eastAsia="en-US" w:bidi="ar-SA"/>
              </w:rPr>
            </w:pPr>
          </w:p>
        </w:tc>
        <w:tc>
          <w:tcPr>
            <w:tcW w:w="4428" w:type="dxa"/>
            <w:shd w:val="clear" w:color="auto" w:fill="auto"/>
          </w:tcPr>
          <w:p w:rsidR="00A044B5" w:rsidRPr="00A044B5">
            <w:pPr>
              <w:rPr>
                <w:rStyle w:val="DefaultParagraphFont"/>
                <w:bCs/>
                <w:sz w:val="24"/>
                <w:lang w:val="en-US" w:eastAsia="en-US" w:bidi="ar-SA"/>
              </w:rPr>
            </w:pPr>
          </w:p>
        </w:tc>
      </w:tr>
    </w:tbl>
    <w:p w:rsidR="00A044B5">
      <w:pPr>
        <w:pStyle w:val="BodyText"/>
        <w:rPr>
          <w:b/>
          <w:bCs/>
        </w:rPr>
      </w:pPr>
    </w:p>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7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E05A8" w:rsidP="00FE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7C6">
      <w:r>
        <w:separator/>
      </w:r>
    </w:p>
  </w:footnote>
  <w:footnote w:type="continuationSeparator" w:id="1">
    <w:p w:rsidR="009307C6">
      <w:r>
        <w:continuationSeparator/>
      </w:r>
    </w:p>
  </w:footnote>
  <w:footnote w:id="2">
    <w:p w:rsidR="001118C3" w:rsidP="006A4C40">
      <w:pPr>
        <w:pStyle w:val="FootnoteText"/>
        <w:spacing w:after="120"/>
      </w:pPr>
      <w:r>
        <w:rPr>
          <w:rStyle w:val="FootnoteReference"/>
        </w:rPr>
        <w:footnoteRef/>
      </w:r>
      <w:r>
        <w:t xml:space="preserve"> FirstEnergy is the Ohio Edison Company, The Cleveland Electric Illuminating Company, and The Toledo Edison Company, collectively.</w:t>
      </w:r>
    </w:p>
  </w:footnote>
  <w:footnote w:id="3">
    <w:p w:rsidR="006A4C40" w:rsidP="006A4C40">
      <w:pPr>
        <w:pStyle w:val="FootnoteText"/>
        <w:spacing w:after="120"/>
      </w:pPr>
      <w:r>
        <w:rPr>
          <w:rStyle w:val="FootnoteReference"/>
        </w:rPr>
        <w:footnoteRef/>
      </w:r>
      <w:r>
        <w:t xml:space="preserve"> Entry (Aug. 22, 2019).</w:t>
      </w:r>
    </w:p>
  </w:footnote>
  <w:footnote w:id="4">
    <w:p w:rsidR="001118C3" w:rsidP="006A4C40">
      <w:pPr>
        <w:pStyle w:val="FootnoteText"/>
        <w:spacing w:after="120"/>
      </w:pPr>
      <w:r>
        <w:rPr>
          <w:rStyle w:val="FootnoteReference"/>
        </w:rPr>
        <w:footnoteRef/>
      </w:r>
      <w:r>
        <w:t xml:space="preserve"> </w:t>
      </w:r>
      <w:r>
        <w:rPr>
          <w:i/>
        </w:rPr>
        <w:t>See</w:t>
      </w:r>
      <w:r>
        <w:t xml:space="preserve"> R.C. Chapter 4911, R.C. 4903.221 and Ohio Adm. Code 4901-1-11.</w:t>
      </w:r>
    </w:p>
  </w:footnote>
  <w:footnote w:id="5">
    <w:p w:rsidR="00AA43AF" w:rsidRPr="001118C3" w:rsidP="006A4C40">
      <w:pPr>
        <w:pStyle w:val="FootnoteText"/>
        <w:spacing w:after="120"/>
      </w:pPr>
      <w:r>
        <w:rPr>
          <w:rStyle w:val="FootnoteReference"/>
        </w:rPr>
        <w:footnoteRef/>
      </w:r>
      <w:r>
        <w:t xml:space="preserve"> </w:t>
      </w:r>
      <w:r>
        <w:rPr>
          <w:i/>
          <w:iCs/>
        </w:rPr>
        <w:t>See</w:t>
      </w:r>
      <w:r>
        <w:t xml:space="preserve"> Case No. 16-743-EL-POR, Opinion &amp; Order (Nov. 21, 2017).</w:t>
      </w:r>
    </w:p>
  </w:footnote>
  <w:footnote w:id="6">
    <w:p w:rsidR="001118C3" w:rsidRPr="001118C3" w:rsidP="006A4C40">
      <w:pPr>
        <w:pStyle w:val="FootnoteText"/>
        <w:spacing w:after="120"/>
      </w:pPr>
      <w:r>
        <w:rPr>
          <w:rStyle w:val="FootnoteReference"/>
        </w:rPr>
        <w:footnoteRef/>
      </w:r>
      <w:r>
        <w:t xml:space="preserve"> </w:t>
      </w:r>
      <w:r>
        <w:rPr>
          <w:i/>
          <w:iCs/>
        </w:rPr>
        <w:t>See</w:t>
      </w:r>
      <w:r>
        <w:t xml:space="preserve"> Case No. 16-743-EL-POR, Opinion &amp; Order (Nov. 21, 2017).</w:t>
      </w:r>
    </w:p>
  </w:footnote>
  <w:footnote w:id="7">
    <w:p w:rsidR="00A044B5" w:rsidP="006A4C40">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7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47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2019-08-28T13:32:41Z</dcterms:created>
  <dcterms:modified xsi:type="dcterms:W3CDTF">2019-08-28T13:32:41Z</dcterms:modified>
</cp:coreProperties>
</file>