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8F" w:rsidRPr="00D308F6" w:rsidRDefault="0085528F" w:rsidP="00D308F6">
      <w:pPr>
        <w:spacing w:line="240" w:lineRule="auto"/>
        <w:jc w:val="center"/>
        <w:rPr>
          <w:rFonts w:ascii="Times New Roman" w:hAnsi="Times New Roman" w:cs="Times New Roman"/>
          <w:b/>
          <w:sz w:val="24"/>
          <w:szCs w:val="24"/>
        </w:rPr>
      </w:pPr>
      <w:bookmarkStart w:id="0" w:name="_GoBack"/>
      <w:bookmarkEnd w:id="0"/>
      <w:r w:rsidRPr="00D308F6">
        <w:rPr>
          <w:rFonts w:ascii="Times New Roman" w:hAnsi="Times New Roman" w:cs="Times New Roman"/>
          <w:b/>
          <w:sz w:val="24"/>
          <w:szCs w:val="24"/>
        </w:rPr>
        <w:t>BEFORE</w:t>
      </w:r>
    </w:p>
    <w:p w:rsidR="0085528F" w:rsidRPr="0085528F" w:rsidRDefault="0085528F" w:rsidP="00D308F6">
      <w:pPr>
        <w:pStyle w:val="HTMLPreformatted"/>
        <w:jc w:val="center"/>
        <w:rPr>
          <w:rFonts w:ascii="Times New Roman" w:hAnsi="Times New Roman" w:cs="Times New Roman"/>
          <w:sz w:val="24"/>
          <w:szCs w:val="24"/>
        </w:rPr>
      </w:pPr>
      <w:r w:rsidRPr="0085528F">
        <w:rPr>
          <w:rFonts w:ascii="Times New Roman" w:hAnsi="Times New Roman" w:cs="Times New Roman"/>
          <w:b/>
          <w:bCs/>
          <w:sz w:val="24"/>
          <w:szCs w:val="24"/>
        </w:rPr>
        <w:t>THE PUBLIC UTILITIES COMMISSION OF OHIO</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85528F" w:rsidRPr="0085528F" w:rsidTr="009872D1">
        <w:trPr>
          <w:trHeight w:val="807"/>
        </w:trPr>
        <w:tc>
          <w:tcPr>
            <w:tcW w:w="4584"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the Establishment of a Charge Pursuant to Revised Code Section 4909.18.</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Approval to Change Accounting Methods.</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the Approval of a Tariff for a New Service.</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c>
          <w:tcPr>
            <w:tcW w:w="360"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r w:rsidRPr="0085528F">
              <w:rPr>
                <w:rFonts w:ascii="Times New Roman" w:hAnsi="Times New Roman" w:cs="Times New Roman"/>
                <w:sz w:val="24"/>
                <w:szCs w:val="24"/>
              </w:rPr>
              <w:br/>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r w:rsidRPr="0085528F">
              <w:rPr>
                <w:rFonts w:ascii="Times New Roman" w:hAnsi="Times New Roman" w:cs="Times New Roman"/>
                <w:sz w:val="24"/>
                <w:szCs w:val="24"/>
              </w:rPr>
              <w:br/>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c>
          <w:tcPr>
            <w:tcW w:w="3910"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12-2400-EL-UNC</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12-2401-EL-AAM</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12-2402-EL-ATA</w:t>
            </w:r>
          </w:p>
        </w:tc>
      </w:tr>
    </w:tbl>
    <w:p w:rsidR="0085528F" w:rsidRPr="0085528F" w:rsidRDefault="0085528F" w:rsidP="0085528F">
      <w:pPr>
        <w:pBdr>
          <w:bottom w:val="single" w:sz="12" w:space="1" w:color="auto"/>
        </w:pBdr>
        <w:spacing w:line="240" w:lineRule="auto"/>
        <w:rPr>
          <w:rFonts w:ascii="Times New Roman" w:hAnsi="Times New Roman" w:cs="Times New Roman"/>
          <w:b/>
          <w:sz w:val="24"/>
          <w:szCs w:val="24"/>
        </w:rPr>
      </w:pPr>
    </w:p>
    <w:p w:rsidR="0085528F" w:rsidRPr="0085528F" w:rsidRDefault="0085528F" w:rsidP="0085528F">
      <w:pPr>
        <w:spacing w:line="240" w:lineRule="auto"/>
        <w:rPr>
          <w:rFonts w:ascii="Times New Roman" w:hAnsi="Times New Roman" w:cs="Times New Roman"/>
          <w:b/>
          <w:sz w:val="24"/>
          <w:szCs w:val="24"/>
        </w:rPr>
      </w:pPr>
    </w:p>
    <w:p w:rsidR="0085528F" w:rsidRPr="0085528F" w:rsidRDefault="0085528F" w:rsidP="0085528F">
      <w:pPr>
        <w:spacing w:line="240" w:lineRule="auto"/>
        <w:jc w:val="center"/>
        <w:rPr>
          <w:rFonts w:ascii="Times New Roman" w:hAnsi="Times New Roman" w:cs="Times New Roman"/>
          <w:b/>
          <w:sz w:val="24"/>
          <w:szCs w:val="24"/>
        </w:rPr>
      </w:pPr>
      <w:r w:rsidRPr="0085528F">
        <w:rPr>
          <w:rFonts w:ascii="Times New Roman" w:hAnsi="Times New Roman" w:cs="Times New Roman"/>
          <w:b/>
          <w:sz w:val="24"/>
          <w:szCs w:val="24"/>
        </w:rPr>
        <w:t>REPLY BRIEF</w:t>
      </w:r>
    </w:p>
    <w:p w:rsidR="0085528F" w:rsidRPr="0085528F" w:rsidRDefault="0085528F" w:rsidP="0085528F">
      <w:pPr>
        <w:spacing w:line="240" w:lineRule="auto"/>
        <w:jc w:val="center"/>
        <w:rPr>
          <w:rFonts w:ascii="Times New Roman" w:hAnsi="Times New Roman" w:cs="Times New Roman"/>
          <w:b/>
          <w:sz w:val="24"/>
          <w:szCs w:val="24"/>
        </w:rPr>
      </w:pPr>
      <w:r w:rsidRPr="0085528F">
        <w:rPr>
          <w:rFonts w:ascii="Times New Roman" w:hAnsi="Times New Roman" w:cs="Times New Roman"/>
          <w:b/>
          <w:sz w:val="24"/>
          <w:szCs w:val="24"/>
        </w:rPr>
        <w:t>BY</w:t>
      </w:r>
    </w:p>
    <w:p w:rsidR="0085528F" w:rsidRPr="0085528F" w:rsidRDefault="0085528F" w:rsidP="0085528F">
      <w:pPr>
        <w:spacing w:line="240" w:lineRule="auto"/>
        <w:jc w:val="center"/>
        <w:rPr>
          <w:rFonts w:ascii="Times New Roman" w:hAnsi="Times New Roman" w:cs="Times New Roman"/>
          <w:b/>
          <w:sz w:val="24"/>
          <w:szCs w:val="24"/>
        </w:rPr>
      </w:pPr>
      <w:r w:rsidRPr="0085528F">
        <w:rPr>
          <w:rFonts w:ascii="Times New Roman" w:hAnsi="Times New Roman" w:cs="Times New Roman"/>
          <w:b/>
          <w:sz w:val="24"/>
          <w:szCs w:val="24"/>
        </w:rPr>
        <w:t>THE OFFICE OF THE OHIO CONSUMERS’ COUNSEL</w:t>
      </w:r>
    </w:p>
    <w:p w:rsidR="0085528F" w:rsidRPr="0085528F" w:rsidRDefault="0085528F" w:rsidP="0085528F">
      <w:pPr>
        <w:pStyle w:val="HTMLPreformatted"/>
        <w:pBdr>
          <w:bottom w:val="single" w:sz="12" w:space="1" w:color="auto"/>
        </w:pBdr>
        <w:jc w:val="center"/>
        <w:rPr>
          <w:rFonts w:ascii="Times New Roman" w:hAnsi="Times New Roman" w:cs="Times New Roman"/>
          <w:b/>
          <w:bCs/>
          <w:sz w:val="24"/>
          <w:szCs w:val="24"/>
        </w:rPr>
      </w:pPr>
    </w:p>
    <w:p w:rsidR="0085528F" w:rsidRPr="0085528F" w:rsidRDefault="0085528F" w:rsidP="0085528F">
      <w:pPr>
        <w:pStyle w:val="HTMLPreformatted"/>
        <w:rPr>
          <w:rFonts w:ascii="Times New Roman" w:hAnsi="Times New Roman" w:cs="Times New Roman"/>
          <w:b/>
          <w:bCs/>
          <w:sz w:val="24"/>
          <w:szCs w:val="24"/>
        </w:rPr>
      </w:pPr>
    </w:p>
    <w:p w:rsidR="0085528F" w:rsidRPr="0085528F" w:rsidRDefault="0085528F" w:rsidP="0085528F">
      <w:pPr>
        <w:spacing w:line="240" w:lineRule="auto"/>
        <w:ind w:left="3600" w:firstLine="720"/>
        <w:rPr>
          <w:rFonts w:ascii="Times New Roman" w:hAnsi="Times New Roman" w:cs="Times New Roman"/>
          <w:sz w:val="24"/>
          <w:szCs w:val="24"/>
        </w:rPr>
      </w:pPr>
    </w:p>
    <w:p w:rsidR="0085528F" w:rsidRPr="0085528F" w:rsidRDefault="0085528F" w:rsidP="0085528F">
      <w:pPr>
        <w:spacing w:line="240" w:lineRule="auto"/>
        <w:ind w:left="3600" w:firstLine="720"/>
        <w:rPr>
          <w:rFonts w:ascii="Times New Roman" w:hAnsi="Times New Roman" w:cs="Times New Roman"/>
          <w:sz w:val="24"/>
          <w:szCs w:val="24"/>
        </w:rPr>
      </w:pPr>
    </w:p>
    <w:p w:rsidR="0085528F" w:rsidRPr="0085528F" w:rsidRDefault="0085528F" w:rsidP="0085528F">
      <w:pPr>
        <w:spacing w:line="240" w:lineRule="auto"/>
        <w:ind w:left="3600" w:firstLine="720"/>
        <w:rPr>
          <w:rFonts w:ascii="Times New Roman" w:hAnsi="Times New Roman" w:cs="Times New Roman"/>
          <w:sz w:val="24"/>
          <w:szCs w:val="24"/>
        </w:rPr>
      </w:pPr>
    </w:p>
    <w:p w:rsidR="0085528F" w:rsidRPr="0085528F" w:rsidRDefault="0085528F" w:rsidP="0085528F">
      <w:pPr>
        <w:ind w:left="3600" w:firstLine="720"/>
        <w:rPr>
          <w:rFonts w:ascii="Times New Roman" w:hAnsi="Times New Roman" w:cs="Times New Roman"/>
          <w:sz w:val="24"/>
          <w:szCs w:val="24"/>
        </w:rPr>
      </w:pPr>
    </w:p>
    <w:p w:rsidR="0085528F" w:rsidRPr="0085528F" w:rsidRDefault="0085528F" w:rsidP="0085528F">
      <w:pPr>
        <w:ind w:left="3600" w:firstLine="720"/>
        <w:rPr>
          <w:rFonts w:ascii="Times New Roman" w:hAnsi="Times New Roman" w:cs="Times New Roman"/>
          <w:sz w:val="24"/>
          <w:szCs w:val="24"/>
        </w:rPr>
      </w:pPr>
    </w:p>
    <w:p w:rsidR="0085528F" w:rsidRPr="0085528F" w:rsidRDefault="0085528F" w:rsidP="0085528F">
      <w:pPr>
        <w:spacing w:line="240" w:lineRule="auto"/>
        <w:ind w:left="4320"/>
        <w:rPr>
          <w:rFonts w:ascii="Times New Roman" w:hAnsi="Times New Roman" w:cs="Times New Roman"/>
          <w:sz w:val="24"/>
          <w:szCs w:val="24"/>
        </w:rPr>
      </w:pPr>
      <w:r w:rsidRPr="0085528F">
        <w:rPr>
          <w:rFonts w:ascii="Times New Roman" w:hAnsi="Times New Roman" w:cs="Times New Roman"/>
          <w:sz w:val="24"/>
          <w:szCs w:val="24"/>
        </w:rPr>
        <w:t>BRUCE J. WESTON</w:t>
      </w:r>
    </w:p>
    <w:p w:rsidR="0085528F" w:rsidRPr="0085528F" w:rsidRDefault="0085528F" w:rsidP="0085528F">
      <w:pPr>
        <w:spacing w:line="240" w:lineRule="auto"/>
        <w:ind w:left="4320"/>
        <w:rPr>
          <w:rFonts w:ascii="Times New Roman" w:hAnsi="Times New Roman" w:cs="Times New Roman"/>
          <w:sz w:val="24"/>
          <w:szCs w:val="24"/>
        </w:rPr>
      </w:pPr>
      <w:r w:rsidRPr="0085528F">
        <w:rPr>
          <w:rFonts w:ascii="Times New Roman" w:hAnsi="Times New Roman" w:cs="Times New Roman"/>
          <w:sz w:val="24"/>
          <w:szCs w:val="24"/>
        </w:rPr>
        <w:t>OHIO CONSUMERS’ COUNSEL</w:t>
      </w:r>
    </w:p>
    <w:p w:rsidR="0085528F" w:rsidRPr="0085528F" w:rsidRDefault="0085528F" w:rsidP="0085528F">
      <w:pPr>
        <w:spacing w:line="240" w:lineRule="auto"/>
        <w:ind w:left="4320"/>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85528F">
        <w:rPr>
          <w:rFonts w:ascii="Times New Roman" w:hAnsi="Times New Roman" w:cs="Times New Roman"/>
          <w:sz w:val="24"/>
          <w:szCs w:val="24"/>
        </w:rPr>
        <w:t>Maureen R. Grady, Counsel of Record</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85528F">
        <w:rPr>
          <w:rFonts w:ascii="Times New Roman" w:hAnsi="Times New Roman" w:cs="Times New Roman"/>
          <w:sz w:val="24"/>
          <w:szCs w:val="24"/>
        </w:rPr>
        <w:t>Kyle L. Kern</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85528F">
        <w:rPr>
          <w:rFonts w:ascii="Times New Roman" w:hAnsi="Times New Roman" w:cs="Times New Roman"/>
          <w:sz w:val="24"/>
          <w:szCs w:val="24"/>
        </w:rPr>
        <w:t xml:space="preserve">Assistant Consumers’ Counsel </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b/>
          <w:bCs/>
          <w:color w:val="000000"/>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b/>
          <w:bCs/>
          <w:color w:val="000000"/>
          <w:sz w:val="24"/>
          <w:szCs w:val="24"/>
        </w:rPr>
      </w:pPr>
      <w:r w:rsidRPr="0085528F">
        <w:rPr>
          <w:rFonts w:ascii="Times New Roman" w:hAnsi="Times New Roman" w:cs="Times New Roman"/>
          <w:b/>
          <w:bCs/>
          <w:color w:val="000000"/>
          <w:sz w:val="24"/>
          <w:szCs w:val="24"/>
        </w:rPr>
        <w:t>Office of the Ohio Consumers’ Counsel</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85528F">
        <w:rPr>
          <w:rFonts w:ascii="Times New Roman" w:hAnsi="Times New Roman" w:cs="Times New Roman"/>
          <w:color w:val="000000"/>
          <w:sz w:val="24"/>
          <w:szCs w:val="24"/>
        </w:rPr>
        <w:t>10 West Broad Street, Suite 1800</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85528F">
        <w:rPr>
          <w:rFonts w:ascii="Times New Roman" w:hAnsi="Times New Roman" w:cs="Times New Roman"/>
          <w:color w:val="000000"/>
          <w:sz w:val="24"/>
          <w:szCs w:val="24"/>
        </w:rPr>
        <w:t>Columbus, Ohio 43215-3485</w:t>
      </w:r>
    </w:p>
    <w:p w:rsidR="0085528F" w:rsidRPr="0085528F" w:rsidRDefault="0085528F" w:rsidP="005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85528F">
        <w:rPr>
          <w:rFonts w:ascii="Times New Roman" w:hAnsi="Times New Roman" w:cs="Times New Roman"/>
          <w:color w:val="000000"/>
          <w:sz w:val="24"/>
          <w:szCs w:val="24"/>
        </w:rPr>
        <w:t>Telephone:  (Grady) (614) 466-9567</w:t>
      </w:r>
    </w:p>
    <w:p w:rsidR="0085528F" w:rsidRPr="0085528F" w:rsidRDefault="0085528F" w:rsidP="005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85528F">
        <w:rPr>
          <w:rFonts w:ascii="Times New Roman" w:hAnsi="Times New Roman" w:cs="Times New Roman"/>
          <w:color w:val="000000"/>
          <w:sz w:val="24"/>
          <w:szCs w:val="24"/>
        </w:rPr>
        <w:t>Telephone:  (Kern) (614) 466-9585</w:t>
      </w:r>
    </w:p>
    <w:p w:rsidR="0085528F" w:rsidRDefault="00CF746E" w:rsidP="005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Style w:val="Hyperlink"/>
          <w:rFonts w:ascii="Times New Roman" w:hAnsi="Times New Roman" w:cs="Times New Roman"/>
          <w:sz w:val="24"/>
          <w:szCs w:val="24"/>
        </w:rPr>
      </w:pPr>
      <w:hyperlink r:id="rId8" w:history="1">
        <w:r w:rsidR="0085528F" w:rsidRPr="0085528F">
          <w:rPr>
            <w:rStyle w:val="Hyperlink"/>
            <w:rFonts w:ascii="Times New Roman" w:hAnsi="Times New Roman" w:cs="Times New Roman"/>
            <w:sz w:val="24"/>
            <w:szCs w:val="24"/>
          </w:rPr>
          <w:t>grady@occ.state.oh.us</w:t>
        </w:r>
      </w:hyperlink>
    </w:p>
    <w:p w:rsidR="0085528F" w:rsidRDefault="0085528F" w:rsidP="005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 xml:space="preserve">July </w:t>
      </w:r>
      <w:r>
        <w:rPr>
          <w:rFonts w:ascii="Times New Roman" w:hAnsi="Times New Roman" w:cs="Times New Roman"/>
          <w:sz w:val="24"/>
          <w:szCs w:val="24"/>
        </w:rPr>
        <w:t>30</w:t>
      </w:r>
      <w:r w:rsidRPr="0085528F">
        <w:rPr>
          <w:rFonts w:ascii="Times New Roman" w:hAnsi="Times New Roman" w:cs="Times New Roman"/>
          <w:sz w:val="24"/>
          <w:szCs w:val="24"/>
        </w:rPr>
        <w:t>, 2013</w:t>
      </w:r>
      <w:r w:rsidRPr="0085528F">
        <w:rPr>
          <w:rFonts w:ascii="Times New Roman" w:hAnsi="Times New Roman" w:cs="Times New Roman"/>
          <w:sz w:val="24"/>
          <w:szCs w:val="24"/>
        </w:rPr>
        <w:tab/>
      </w:r>
      <w:r w:rsidRPr="0085528F">
        <w:rPr>
          <w:rFonts w:ascii="Times New Roman" w:hAnsi="Times New Roman" w:cs="Times New Roman"/>
          <w:sz w:val="24"/>
          <w:szCs w:val="24"/>
        </w:rPr>
        <w:tab/>
      </w:r>
      <w:r w:rsidRPr="0085528F">
        <w:rPr>
          <w:rFonts w:ascii="Times New Roman" w:hAnsi="Times New Roman" w:cs="Times New Roman"/>
          <w:sz w:val="24"/>
          <w:szCs w:val="24"/>
        </w:rPr>
        <w:tab/>
        <w:t xml:space="preserve">           </w:t>
      </w:r>
      <w:hyperlink r:id="rId9" w:history="1">
        <w:r w:rsidRPr="0085528F">
          <w:rPr>
            <w:rStyle w:val="Hyperlink"/>
            <w:rFonts w:ascii="Times New Roman" w:hAnsi="Times New Roman" w:cs="Times New Roman"/>
            <w:sz w:val="24"/>
            <w:szCs w:val="24"/>
          </w:rPr>
          <w:t>kern@occ.state.oh.us</w:t>
        </w:r>
      </w:hyperlink>
    </w:p>
    <w:p w:rsidR="005C7CC6" w:rsidRDefault="005C7CC6" w:rsidP="002E62BB">
      <w:pPr>
        <w:jc w:val="center"/>
        <w:rPr>
          <w:rFonts w:ascii="Times New Roman" w:hAnsi="Times New Roman"/>
          <w:b/>
          <w:bCs/>
          <w:sz w:val="24"/>
        </w:rPr>
        <w:sectPr w:rsidR="005C7CC6" w:rsidSect="007A5863">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pPr>
    </w:p>
    <w:p w:rsidR="0085528F" w:rsidRDefault="0085528F" w:rsidP="002E62BB">
      <w:pPr>
        <w:jc w:val="center"/>
        <w:rPr>
          <w:rFonts w:ascii="Times New Roman" w:hAnsi="Times New Roman"/>
          <w:b/>
          <w:bCs/>
          <w:sz w:val="24"/>
        </w:rPr>
      </w:pPr>
      <w:r>
        <w:rPr>
          <w:rFonts w:ascii="Times New Roman" w:hAnsi="Times New Roman"/>
          <w:b/>
          <w:bCs/>
          <w:sz w:val="24"/>
        </w:rPr>
        <w:lastRenderedPageBreak/>
        <w:t>TABLE OF CONTENTS</w:t>
      </w:r>
    </w:p>
    <w:p w:rsidR="002E62BB" w:rsidRDefault="002E62BB" w:rsidP="002E62BB">
      <w:pPr>
        <w:jc w:val="center"/>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D308F6">
        <w:rPr>
          <w:rFonts w:ascii="Times New Roman" w:hAnsi="Times New Roman"/>
          <w:b/>
          <w:bCs/>
          <w:sz w:val="24"/>
        </w:rPr>
        <w:tab/>
      </w:r>
      <w:r>
        <w:rPr>
          <w:rFonts w:ascii="Times New Roman" w:hAnsi="Times New Roman"/>
          <w:b/>
          <w:bCs/>
          <w:sz w:val="24"/>
        </w:rPr>
        <w:t>PAGE</w:t>
      </w:r>
    </w:p>
    <w:p w:rsidR="00966812" w:rsidRDefault="00D308F6">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"1-5" \h \z \u </w:instrText>
      </w:r>
      <w:r>
        <w:rPr>
          <w:b/>
          <w:bCs/>
        </w:rPr>
        <w:fldChar w:fldCharType="separate"/>
      </w:r>
      <w:hyperlink w:anchor="_Toc362949984" w:history="1">
        <w:r w:rsidR="00966812" w:rsidRPr="00C60D9D">
          <w:rPr>
            <w:rStyle w:val="Hyperlink"/>
            <w:noProof/>
          </w:rPr>
          <w:t>I.</w:t>
        </w:r>
        <w:r w:rsidR="00966812">
          <w:rPr>
            <w:rFonts w:asciiTheme="minorHAnsi" w:eastAsiaTheme="minorEastAsia" w:hAnsiTheme="minorHAnsi" w:cstheme="minorBidi"/>
            <w:caps w:val="0"/>
            <w:noProof/>
            <w:sz w:val="22"/>
            <w:szCs w:val="22"/>
          </w:rPr>
          <w:tab/>
        </w:r>
        <w:r w:rsidR="00966812" w:rsidRPr="00C60D9D">
          <w:rPr>
            <w:rStyle w:val="Hyperlink"/>
            <w:noProof/>
          </w:rPr>
          <w:t>INTRODUCTION</w:t>
        </w:r>
        <w:r w:rsidR="00966812">
          <w:rPr>
            <w:noProof/>
            <w:webHidden/>
          </w:rPr>
          <w:tab/>
        </w:r>
        <w:r w:rsidR="00966812">
          <w:rPr>
            <w:noProof/>
            <w:webHidden/>
          </w:rPr>
          <w:fldChar w:fldCharType="begin"/>
        </w:r>
        <w:r w:rsidR="00966812">
          <w:rPr>
            <w:noProof/>
            <w:webHidden/>
          </w:rPr>
          <w:instrText xml:space="preserve"> PAGEREF _Toc362949984 \h </w:instrText>
        </w:r>
        <w:r w:rsidR="00966812">
          <w:rPr>
            <w:noProof/>
            <w:webHidden/>
          </w:rPr>
        </w:r>
        <w:r w:rsidR="00966812">
          <w:rPr>
            <w:noProof/>
            <w:webHidden/>
          </w:rPr>
          <w:fldChar w:fldCharType="separate"/>
        </w:r>
        <w:r w:rsidR="00530C78">
          <w:rPr>
            <w:noProof/>
            <w:webHidden/>
          </w:rPr>
          <w:t>1</w:t>
        </w:r>
        <w:r w:rsidR="00966812">
          <w:rPr>
            <w:noProof/>
            <w:webHidden/>
          </w:rPr>
          <w:fldChar w:fldCharType="end"/>
        </w:r>
      </w:hyperlink>
    </w:p>
    <w:p w:rsidR="00966812" w:rsidRDefault="00CF746E">
      <w:pPr>
        <w:pStyle w:val="TOC1"/>
        <w:rPr>
          <w:rFonts w:asciiTheme="minorHAnsi" w:eastAsiaTheme="minorEastAsia" w:hAnsiTheme="minorHAnsi" w:cstheme="minorBidi"/>
          <w:caps w:val="0"/>
          <w:noProof/>
          <w:sz w:val="22"/>
          <w:szCs w:val="22"/>
        </w:rPr>
      </w:pPr>
      <w:hyperlink w:anchor="_Toc362949985" w:history="1">
        <w:r w:rsidR="00966812" w:rsidRPr="00C60D9D">
          <w:rPr>
            <w:rStyle w:val="Hyperlink"/>
            <w:noProof/>
          </w:rPr>
          <w:t>II.</w:t>
        </w:r>
        <w:r w:rsidR="00966812">
          <w:rPr>
            <w:rFonts w:asciiTheme="minorHAnsi" w:eastAsiaTheme="minorEastAsia" w:hAnsiTheme="minorHAnsi" w:cstheme="minorBidi"/>
            <w:caps w:val="0"/>
            <w:noProof/>
            <w:sz w:val="22"/>
            <w:szCs w:val="22"/>
          </w:rPr>
          <w:tab/>
        </w:r>
        <w:r w:rsidR="00966812" w:rsidRPr="00C60D9D">
          <w:rPr>
            <w:rStyle w:val="Hyperlink"/>
            <w:noProof/>
          </w:rPr>
          <w:t>LAW AND ARGUMENT</w:t>
        </w:r>
        <w:r w:rsidR="00966812">
          <w:rPr>
            <w:noProof/>
            <w:webHidden/>
          </w:rPr>
          <w:tab/>
        </w:r>
        <w:r w:rsidR="00966812">
          <w:rPr>
            <w:noProof/>
            <w:webHidden/>
          </w:rPr>
          <w:fldChar w:fldCharType="begin"/>
        </w:r>
        <w:r w:rsidR="00966812">
          <w:rPr>
            <w:noProof/>
            <w:webHidden/>
          </w:rPr>
          <w:instrText xml:space="preserve"> PAGEREF _Toc362949985 \h </w:instrText>
        </w:r>
        <w:r w:rsidR="00966812">
          <w:rPr>
            <w:noProof/>
            <w:webHidden/>
          </w:rPr>
        </w:r>
        <w:r w:rsidR="00966812">
          <w:rPr>
            <w:noProof/>
            <w:webHidden/>
          </w:rPr>
          <w:fldChar w:fldCharType="separate"/>
        </w:r>
        <w:r w:rsidR="00530C78">
          <w:rPr>
            <w:noProof/>
            <w:webHidden/>
          </w:rPr>
          <w:t>3</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49986" w:history="1">
        <w:r w:rsidR="00966812" w:rsidRPr="00C60D9D">
          <w:rPr>
            <w:rStyle w:val="Hyperlink"/>
            <w:noProof/>
          </w:rPr>
          <w:t>A.</w:t>
        </w:r>
        <w:r w:rsidR="00966812">
          <w:rPr>
            <w:rFonts w:asciiTheme="minorHAnsi" w:eastAsiaTheme="minorEastAsia" w:hAnsiTheme="minorHAnsi"/>
            <w:noProof/>
            <w:sz w:val="22"/>
          </w:rPr>
          <w:tab/>
        </w:r>
        <w:r w:rsidR="00966812" w:rsidRPr="00C60D9D">
          <w:rPr>
            <w:rStyle w:val="Hyperlink"/>
            <w:noProof/>
          </w:rPr>
          <w:t xml:space="preserve">The Joint Motion To Dismiss Should Be Granted For Reasons That Include Justice For Customers That Already Are Paying Several </w:t>
        </w:r>
        <w:r w:rsidR="00BB1337">
          <w:rPr>
            <w:rStyle w:val="Hyperlink"/>
            <w:noProof/>
          </w:rPr>
          <w:br/>
        </w:r>
        <w:r w:rsidR="00966812" w:rsidRPr="00C60D9D">
          <w:rPr>
            <w:rStyle w:val="Hyperlink"/>
            <w:noProof/>
          </w:rPr>
          <w:t>Hundred Million Dollars To Duke For Agreed-To Stability Charges.</w:t>
        </w:r>
        <w:r w:rsidR="00966812">
          <w:rPr>
            <w:noProof/>
            <w:webHidden/>
          </w:rPr>
          <w:tab/>
        </w:r>
        <w:r w:rsidR="00966812">
          <w:rPr>
            <w:noProof/>
            <w:webHidden/>
          </w:rPr>
          <w:fldChar w:fldCharType="begin"/>
        </w:r>
        <w:r w:rsidR="00966812">
          <w:rPr>
            <w:noProof/>
            <w:webHidden/>
          </w:rPr>
          <w:instrText xml:space="preserve"> PAGEREF _Toc362949986 \h </w:instrText>
        </w:r>
        <w:r w:rsidR="00966812">
          <w:rPr>
            <w:noProof/>
            <w:webHidden/>
          </w:rPr>
        </w:r>
        <w:r w:rsidR="00966812">
          <w:rPr>
            <w:noProof/>
            <w:webHidden/>
          </w:rPr>
          <w:fldChar w:fldCharType="separate"/>
        </w:r>
        <w:r w:rsidR="00530C78">
          <w:rPr>
            <w:noProof/>
            <w:webHidden/>
          </w:rPr>
          <w:t>3</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87" w:history="1">
        <w:r w:rsidR="00966812" w:rsidRPr="00C60D9D">
          <w:rPr>
            <w:rStyle w:val="Hyperlink"/>
            <w:noProof/>
          </w:rPr>
          <w:t>1.</w:t>
        </w:r>
        <w:r w:rsidR="00966812">
          <w:rPr>
            <w:rFonts w:asciiTheme="minorHAnsi" w:eastAsiaTheme="minorEastAsia" w:hAnsiTheme="minorHAnsi"/>
            <w:noProof/>
            <w:sz w:val="22"/>
          </w:rPr>
          <w:tab/>
        </w:r>
        <w:r w:rsidR="00966812" w:rsidRPr="00C60D9D">
          <w:rPr>
            <w:rStyle w:val="Hyperlink"/>
            <w:noProof/>
          </w:rPr>
          <w:t xml:space="preserve">Duke’s application violates the doctrines of res judicata </w:t>
        </w:r>
        <w:r w:rsidR="00BB1337">
          <w:rPr>
            <w:rStyle w:val="Hyperlink"/>
            <w:noProof/>
          </w:rPr>
          <w:br/>
        </w:r>
        <w:r w:rsidR="00966812" w:rsidRPr="00C60D9D">
          <w:rPr>
            <w:rStyle w:val="Hyperlink"/>
            <w:noProof/>
          </w:rPr>
          <w:t xml:space="preserve">and collateral estoppel that protect customers from </w:t>
        </w:r>
        <w:r w:rsidR="00BB1337">
          <w:rPr>
            <w:rStyle w:val="Hyperlink"/>
            <w:noProof/>
          </w:rPr>
          <w:br/>
        </w:r>
        <w:r w:rsidR="00966812" w:rsidRPr="00C60D9D">
          <w:rPr>
            <w:rStyle w:val="Hyperlink"/>
            <w:noProof/>
          </w:rPr>
          <w:t>Duke’s second bite at a golden apple.</w:t>
        </w:r>
        <w:r w:rsidR="00966812">
          <w:rPr>
            <w:noProof/>
            <w:webHidden/>
          </w:rPr>
          <w:tab/>
        </w:r>
        <w:r w:rsidR="00966812">
          <w:rPr>
            <w:noProof/>
            <w:webHidden/>
          </w:rPr>
          <w:fldChar w:fldCharType="begin"/>
        </w:r>
        <w:r w:rsidR="00966812">
          <w:rPr>
            <w:noProof/>
            <w:webHidden/>
          </w:rPr>
          <w:instrText xml:space="preserve"> PAGEREF _Toc362949987 \h </w:instrText>
        </w:r>
        <w:r w:rsidR="00966812">
          <w:rPr>
            <w:noProof/>
            <w:webHidden/>
          </w:rPr>
        </w:r>
        <w:r w:rsidR="00966812">
          <w:rPr>
            <w:noProof/>
            <w:webHidden/>
          </w:rPr>
          <w:fldChar w:fldCharType="separate"/>
        </w:r>
        <w:r w:rsidR="00530C78">
          <w:rPr>
            <w:noProof/>
            <w:webHidden/>
          </w:rPr>
          <w:t>4</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88" w:history="1">
        <w:r w:rsidR="00966812" w:rsidRPr="00C60D9D">
          <w:rPr>
            <w:rStyle w:val="Hyperlink"/>
            <w:noProof/>
          </w:rPr>
          <w:t xml:space="preserve">2.  </w:t>
        </w:r>
        <w:r w:rsidR="00966812">
          <w:rPr>
            <w:rFonts w:asciiTheme="minorHAnsi" w:eastAsiaTheme="minorEastAsia" w:hAnsiTheme="minorHAnsi"/>
            <w:noProof/>
            <w:sz w:val="22"/>
          </w:rPr>
          <w:tab/>
        </w:r>
        <w:r w:rsidR="00966812" w:rsidRPr="00C60D9D">
          <w:rPr>
            <w:rStyle w:val="Hyperlink"/>
            <w:noProof/>
          </w:rPr>
          <w:t>Duke waived its rights to reasonable compensation from customers.</w:t>
        </w:r>
        <w:r w:rsidR="00966812">
          <w:rPr>
            <w:noProof/>
            <w:webHidden/>
          </w:rPr>
          <w:tab/>
        </w:r>
        <w:r w:rsidR="00966812">
          <w:rPr>
            <w:noProof/>
            <w:webHidden/>
          </w:rPr>
          <w:fldChar w:fldCharType="begin"/>
        </w:r>
        <w:r w:rsidR="00966812">
          <w:rPr>
            <w:noProof/>
            <w:webHidden/>
          </w:rPr>
          <w:instrText xml:space="preserve"> PAGEREF _Toc362949988 \h </w:instrText>
        </w:r>
        <w:r w:rsidR="00966812">
          <w:rPr>
            <w:noProof/>
            <w:webHidden/>
          </w:rPr>
        </w:r>
        <w:r w:rsidR="00966812">
          <w:rPr>
            <w:noProof/>
            <w:webHidden/>
          </w:rPr>
          <w:fldChar w:fldCharType="separate"/>
        </w:r>
        <w:r w:rsidR="00530C78">
          <w:rPr>
            <w:noProof/>
            <w:webHidden/>
          </w:rPr>
          <w:t>9</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89" w:history="1">
        <w:r w:rsidR="00966812" w:rsidRPr="00C60D9D">
          <w:rPr>
            <w:rStyle w:val="Hyperlink"/>
            <w:noProof/>
          </w:rPr>
          <w:t xml:space="preserve">3.  </w:t>
        </w:r>
        <w:r w:rsidR="00966812">
          <w:rPr>
            <w:rFonts w:asciiTheme="minorHAnsi" w:eastAsiaTheme="minorEastAsia" w:hAnsiTheme="minorHAnsi"/>
            <w:noProof/>
            <w:sz w:val="22"/>
          </w:rPr>
          <w:tab/>
        </w:r>
        <w:r w:rsidR="00966812" w:rsidRPr="00C60D9D">
          <w:rPr>
            <w:rStyle w:val="Hyperlink"/>
            <w:noProof/>
          </w:rPr>
          <w:t xml:space="preserve">The PUCO has held that capacity costs can be included </w:t>
        </w:r>
        <w:r w:rsidR="00BB1337">
          <w:rPr>
            <w:rStyle w:val="Hyperlink"/>
            <w:noProof/>
          </w:rPr>
          <w:br/>
        </w:r>
        <w:r w:rsidR="00966812" w:rsidRPr="00C60D9D">
          <w:rPr>
            <w:rStyle w:val="Hyperlink"/>
            <w:noProof/>
          </w:rPr>
          <w:t>in an electric security plan.</w:t>
        </w:r>
        <w:r w:rsidR="00966812">
          <w:rPr>
            <w:noProof/>
            <w:webHidden/>
          </w:rPr>
          <w:tab/>
        </w:r>
        <w:r w:rsidR="00966812">
          <w:rPr>
            <w:noProof/>
            <w:webHidden/>
          </w:rPr>
          <w:fldChar w:fldCharType="begin"/>
        </w:r>
        <w:r w:rsidR="00966812">
          <w:rPr>
            <w:noProof/>
            <w:webHidden/>
          </w:rPr>
          <w:instrText xml:space="preserve"> PAGEREF _Toc362949989 \h </w:instrText>
        </w:r>
        <w:r w:rsidR="00966812">
          <w:rPr>
            <w:noProof/>
            <w:webHidden/>
          </w:rPr>
        </w:r>
        <w:r w:rsidR="00966812">
          <w:rPr>
            <w:noProof/>
            <w:webHidden/>
          </w:rPr>
          <w:fldChar w:fldCharType="separate"/>
        </w:r>
        <w:r w:rsidR="00530C78">
          <w:rPr>
            <w:noProof/>
            <w:webHidden/>
          </w:rPr>
          <w:t>11</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49990" w:history="1">
        <w:r w:rsidR="00966812" w:rsidRPr="00C60D9D">
          <w:rPr>
            <w:rStyle w:val="Hyperlink"/>
            <w:noProof/>
          </w:rPr>
          <w:t>B.</w:t>
        </w:r>
        <w:r w:rsidR="00966812">
          <w:rPr>
            <w:rFonts w:asciiTheme="minorHAnsi" w:eastAsiaTheme="minorEastAsia" w:hAnsiTheme="minorHAnsi"/>
            <w:noProof/>
            <w:sz w:val="22"/>
          </w:rPr>
          <w:tab/>
        </w:r>
        <w:r w:rsidR="00966812" w:rsidRPr="00C60D9D">
          <w:rPr>
            <w:rStyle w:val="Hyperlink"/>
            <w:noProof/>
          </w:rPr>
          <w:t xml:space="preserve">Contrary To Duke’s Assertions, There Is No State Law That Requires </w:t>
        </w:r>
        <w:r w:rsidR="00BB1337">
          <w:rPr>
            <w:rStyle w:val="Hyperlink"/>
            <w:noProof/>
          </w:rPr>
          <w:br/>
        </w:r>
        <w:r w:rsidR="00966812" w:rsidRPr="00C60D9D">
          <w:rPr>
            <w:rStyle w:val="Hyperlink"/>
            <w:noProof/>
          </w:rPr>
          <w:t xml:space="preserve">The PUCO To Apply Traditional Regulatory Principles To The </w:t>
        </w:r>
        <w:r w:rsidR="00BB1337">
          <w:rPr>
            <w:rStyle w:val="Hyperlink"/>
            <w:noProof/>
          </w:rPr>
          <w:br/>
        </w:r>
        <w:r w:rsidR="00966812" w:rsidRPr="00C60D9D">
          <w:rPr>
            <w:rStyle w:val="Hyperlink"/>
            <w:noProof/>
          </w:rPr>
          <w:t xml:space="preserve">Wholesale FRR Capacity Service That Duke Provides To Marketers </w:t>
        </w:r>
        <w:r w:rsidR="00BB1337">
          <w:rPr>
            <w:rStyle w:val="Hyperlink"/>
            <w:noProof/>
          </w:rPr>
          <w:br/>
        </w:r>
        <w:r w:rsidR="00966812" w:rsidRPr="00C60D9D">
          <w:rPr>
            <w:rStyle w:val="Hyperlink"/>
            <w:noProof/>
          </w:rPr>
          <w:t>And The Winners Of Its Competitive Bid Auctions.</w:t>
        </w:r>
        <w:r w:rsidR="00966812">
          <w:rPr>
            <w:noProof/>
            <w:webHidden/>
          </w:rPr>
          <w:tab/>
        </w:r>
        <w:r w:rsidR="00966812">
          <w:rPr>
            <w:noProof/>
            <w:webHidden/>
          </w:rPr>
          <w:fldChar w:fldCharType="begin"/>
        </w:r>
        <w:r w:rsidR="00966812">
          <w:rPr>
            <w:noProof/>
            <w:webHidden/>
          </w:rPr>
          <w:instrText xml:space="preserve"> PAGEREF _Toc362949990 \h </w:instrText>
        </w:r>
        <w:r w:rsidR="00966812">
          <w:rPr>
            <w:noProof/>
            <w:webHidden/>
          </w:rPr>
        </w:r>
        <w:r w:rsidR="00966812">
          <w:rPr>
            <w:noProof/>
            <w:webHidden/>
          </w:rPr>
          <w:fldChar w:fldCharType="separate"/>
        </w:r>
        <w:r w:rsidR="00530C78">
          <w:rPr>
            <w:noProof/>
            <w:webHidden/>
          </w:rPr>
          <w:t>14</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1" w:history="1">
        <w:r w:rsidR="00966812" w:rsidRPr="00C60D9D">
          <w:rPr>
            <w:rStyle w:val="Hyperlink"/>
            <w:noProof/>
          </w:rPr>
          <w:t>1.</w:t>
        </w:r>
        <w:r w:rsidR="00966812">
          <w:rPr>
            <w:rFonts w:asciiTheme="minorHAnsi" w:eastAsiaTheme="minorEastAsia" w:hAnsiTheme="minorHAnsi"/>
            <w:noProof/>
            <w:sz w:val="22"/>
          </w:rPr>
          <w:tab/>
        </w:r>
        <w:r w:rsidR="00966812" w:rsidRPr="00C60D9D">
          <w:rPr>
            <w:rStyle w:val="Hyperlink"/>
            <w:noProof/>
          </w:rPr>
          <w:t>R.C. 4905.04, 4905.05, and 4905.06 do not permit the PUCO to establish rates.</w:t>
        </w:r>
        <w:r w:rsidR="00966812">
          <w:rPr>
            <w:noProof/>
            <w:webHidden/>
          </w:rPr>
          <w:tab/>
        </w:r>
        <w:r w:rsidR="00966812">
          <w:rPr>
            <w:noProof/>
            <w:webHidden/>
          </w:rPr>
          <w:fldChar w:fldCharType="begin"/>
        </w:r>
        <w:r w:rsidR="00966812">
          <w:rPr>
            <w:noProof/>
            <w:webHidden/>
          </w:rPr>
          <w:instrText xml:space="preserve"> PAGEREF _Toc362949991 \h </w:instrText>
        </w:r>
        <w:r w:rsidR="00966812">
          <w:rPr>
            <w:noProof/>
            <w:webHidden/>
          </w:rPr>
        </w:r>
        <w:r w:rsidR="00966812">
          <w:rPr>
            <w:noProof/>
            <w:webHidden/>
          </w:rPr>
          <w:fldChar w:fldCharType="separate"/>
        </w:r>
        <w:r w:rsidR="00530C78">
          <w:rPr>
            <w:noProof/>
            <w:webHidden/>
          </w:rPr>
          <w:t>15</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2" w:history="1">
        <w:r w:rsidR="00966812" w:rsidRPr="00C60D9D">
          <w:rPr>
            <w:rStyle w:val="Hyperlink"/>
            <w:noProof/>
          </w:rPr>
          <w:t>2.</w:t>
        </w:r>
        <w:r w:rsidR="00966812">
          <w:rPr>
            <w:rFonts w:asciiTheme="minorHAnsi" w:eastAsiaTheme="minorEastAsia" w:hAnsiTheme="minorHAnsi"/>
            <w:noProof/>
            <w:sz w:val="22"/>
          </w:rPr>
          <w:tab/>
        </w:r>
        <w:r w:rsidR="00966812" w:rsidRPr="00C60D9D">
          <w:rPr>
            <w:rStyle w:val="Hyperlink"/>
            <w:noProof/>
          </w:rPr>
          <w:t xml:space="preserve">R.C. 4905.04, 4905.05, and 4905.06 do not establish </w:t>
        </w:r>
        <w:r w:rsidR="00BB1337">
          <w:rPr>
            <w:rStyle w:val="Hyperlink"/>
            <w:noProof/>
          </w:rPr>
          <w:br/>
        </w:r>
        <w:r w:rsidR="00966812" w:rsidRPr="00C60D9D">
          <w:rPr>
            <w:rStyle w:val="Hyperlink"/>
            <w:noProof/>
          </w:rPr>
          <w:t xml:space="preserve">any obligation to ensure that jurisdictional utilities </w:t>
        </w:r>
        <w:r w:rsidR="00BB1337">
          <w:rPr>
            <w:rStyle w:val="Hyperlink"/>
            <w:noProof/>
          </w:rPr>
          <w:br/>
        </w:r>
        <w:r w:rsidR="00966812" w:rsidRPr="00C60D9D">
          <w:rPr>
            <w:rStyle w:val="Hyperlink"/>
            <w:noProof/>
          </w:rPr>
          <w:t>receive just and reasonable compensation for services.</w:t>
        </w:r>
        <w:r w:rsidR="00966812">
          <w:rPr>
            <w:noProof/>
            <w:webHidden/>
          </w:rPr>
          <w:tab/>
        </w:r>
        <w:r w:rsidR="00966812">
          <w:rPr>
            <w:noProof/>
            <w:webHidden/>
          </w:rPr>
          <w:fldChar w:fldCharType="begin"/>
        </w:r>
        <w:r w:rsidR="00966812">
          <w:rPr>
            <w:noProof/>
            <w:webHidden/>
          </w:rPr>
          <w:instrText xml:space="preserve"> PAGEREF _Toc362949992 \h </w:instrText>
        </w:r>
        <w:r w:rsidR="00966812">
          <w:rPr>
            <w:noProof/>
            <w:webHidden/>
          </w:rPr>
        </w:r>
        <w:r w:rsidR="00966812">
          <w:rPr>
            <w:noProof/>
            <w:webHidden/>
          </w:rPr>
          <w:fldChar w:fldCharType="separate"/>
        </w:r>
        <w:r w:rsidR="00530C78">
          <w:rPr>
            <w:noProof/>
            <w:webHidden/>
          </w:rPr>
          <w:t>17</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3" w:history="1">
        <w:r w:rsidR="00966812" w:rsidRPr="00C60D9D">
          <w:rPr>
            <w:rStyle w:val="Hyperlink"/>
            <w:noProof/>
          </w:rPr>
          <w:t xml:space="preserve">3.  </w:t>
        </w:r>
        <w:r w:rsidR="00966812">
          <w:rPr>
            <w:rFonts w:asciiTheme="minorHAnsi" w:eastAsiaTheme="minorEastAsia" w:hAnsiTheme="minorHAnsi"/>
            <w:noProof/>
            <w:sz w:val="22"/>
          </w:rPr>
          <w:tab/>
        </w:r>
        <w:r w:rsidR="00966812" w:rsidRPr="00C60D9D">
          <w:rPr>
            <w:rStyle w:val="Hyperlink"/>
            <w:noProof/>
          </w:rPr>
          <w:t xml:space="preserve">R.C. 4905.22 does not require fair and reasonable rates </w:t>
        </w:r>
        <w:r w:rsidR="00BB1337">
          <w:rPr>
            <w:rStyle w:val="Hyperlink"/>
            <w:noProof/>
          </w:rPr>
          <w:br/>
        </w:r>
        <w:r w:rsidR="00966812" w:rsidRPr="00C60D9D">
          <w:rPr>
            <w:rStyle w:val="Hyperlink"/>
            <w:noProof/>
          </w:rPr>
          <w:t>for wholesale generation rates.</w:t>
        </w:r>
        <w:r w:rsidR="00966812">
          <w:rPr>
            <w:noProof/>
            <w:webHidden/>
          </w:rPr>
          <w:tab/>
        </w:r>
        <w:r w:rsidR="00966812">
          <w:rPr>
            <w:noProof/>
            <w:webHidden/>
          </w:rPr>
          <w:fldChar w:fldCharType="begin"/>
        </w:r>
        <w:r w:rsidR="00966812">
          <w:rPr>
            <w:noProof/>
            <w:webHidden/>
          </w:rPr>
          <w:instrText xml:space="preserve"> PAGEREF _Toc362949993 \h </w:instrText>
        </w:r>
        <w:r w:rsidR="00966812">
          <w:rPr>
            <w:noProof/>
            <w:webHidden/>
          </w:rPr>
        </w:r>
        <w:r w:rsidR="00966812">
          <w:rPr>
            <w:noProof/>
            <w:webHidden/>
          </w:rPr>
          <w:fldChar w:fldCharType="separate"/>
        </w:r>
        <w:r w:rsidR="00530C78">
          <w:rPr>
            <w:noProof/>
            <w:webHidden/>
          </w:rPr>
          <w:t>21</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4" w:history="1">
        <w:r w:rsidR="00966812" w:rsidRPr="00C60D9D">
          <w:rPr>
            <w:rStyle w:val="Hyperlink"/>
            <w:noProof/>
          </w:rPr>
          <w:t>4.</w:t>
        </w:r>
        <w:r w:rsidR="00966812">
          <w:rPr>
            <w:rFonts w:asciiTheme="minorHAnsi" w:eastAsiaTheme="minorEastAsia" w:hAnsiTheme="minorHAnsi"/>
            <w:noProof/>
            <w:sz w:val="22"/>
          </w:rPr>
          <w:tab/>
        </w:r>
        <w:r w:rsidR="00966812" w:rsidRPr="00C60D9D">
          <w:rPr>
            <w:rStyle w:val="Hyperlink"/>
            <w:noProof/>
          </w:rPr>
          <w:t xml:space="preserve">While R.C. 4905.26 may be construed as a rate setting statute that establishes a utility’s right to just and reasonable rates, it only applies in limited </w:t>
        </w:r>
        <w:r w:rsidR="00BB1337">
          <w:rPr>
            <w:rStyle w:val="Hyperlink"/>
            <w:noProof/>
          </w:rPr>
          <w:br/>
        </w:r>
        <w:r w:rsidR="00966812" w:rsidRPr="00C60D9D">
          <w:rPr>
            <w:rStyle w:val="Hyperlink"/>
            <w:noProof/>
          </w:rPr>
          <w:t>circumstances, which are not present in this case.</w:t>
        </w:r>
        <w:r w:rsidR="00966812">
          <w:rPr>
            <w:noProof/>
            <w:webHidden/>
          </w:rPr>
          <w:tab/>
        </w:r>
        <w:r w:rsidR="00966812">
          <w:rPr>
            <w:noProof/>
            <w:webHidden/>
          </w:rPr>
          <w:fldChar w:fldCharType="begin"/>
        </w:r>
        <w:r w:rsidR="00966812">
          <w:rPr>
            <w:noProof/>
            <w:webHidden/>
          </w:rPr>
          <w:instrText xml:space="preserve"> PAGEREF _Toc362949994 \h </w:instrText>
        </w:r>
        <w:r w:rsidR="00966812">
          <w:rPr>
            <w:noProof/>
            <w:webHidden/>
          </w:rPr>
        </w:r>
        <w:r w:rsidR="00966812">
          <w:rPr>
            <w:noProof/>
            <w:webHidden/>
          </w:rPr>
          <w:fldChar w:fldCharType="separate"/>
        </w:r>
        <w:r w:rsidR="00530C78">
          <w:rPr>
            <w:noProof/>
            <w:webHidden/>
          </w:rPr>
          <w:t>22</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5" w:history="1">
        <w:r w:rsidR="00966812" w:rsidRPr="00C60D9D">
          <w:rPr>
            <w:rStyle w:val="Hyperlink"/>
            <w:noProof/>
          </w:rPr>
          <w:t>5.</w:t>
        </w:r>
        <w:r w:rsidR="00966812">
          <w:rPr>
            <w:rFonts w:asciiTheme="minorHAnsi" w:eastAsiaTheme="minorEastAsia" w:hAnsiTheme="minorHAnsi"/>
            <w:noProof/>
            <w:sz w:val="22"/>
          </w:rPr>
          <w:tab/>
        </w:r>
        <w:r w:rsidR="00966812" w:rsidRPr="00C60D9D">
          <w:rPr>
            <w:rStyle w:val="Hyperlink"/>
            <w:noProof/>
          </w:rPr>
          <w:t xml:space="preserve">Providing wholesale “non-competitive” FRR capacity service to marketers is not similar to providing </w:t>
        </w:r>
        <w:r w:rsidR="00BB1337">
          <w:rPr>
            <w:rStyle w:val="Hyperlink"/>
            <w:noProof/>
          </w:rPr>
          <w:br/>
        </w:r>
        <w:r w:rsidR="00966812" w:rsidRPr="00C60D9D">
          <w:rPr>
            <w:rStyle w:val="Hyperlink"/>
            <w:noProof/>
          </w:rPr>
          <w:t>traditional public utility service prior to restructuring.</w:t>
        </w:r>
        <w:r w:rsidR="00966812">
          <w:rPr>
            <w:noProof/>
            <w:webHidden/>
          </w:rPr>
          <w:tab/>
        </w:r>
        <w:r w:rsidR="00966812">
          <w:rPr>
            <w:noProof/>
            <w:webHidden/>
          </w:rPr>
          <w:fldChar w:fldCharType="begin"/>
        </w:r>
        <w:r w:rsidR="00966812">
          <w:rPr>
            <w:noProof/>
            <w:webHidden/>
          </w:rPr>
          <w:instrText xml:space="preserve"> PAGEREF _Toc362949995 \h </w:instrText>
        </w:r>
        <w:r w:rsidR="00966812">
          <w:rPr>
            <w:noProof/>
            <w:webHidden/>
          </w:rPr>
        </w:r>
        <w:r w:rsidR="00966812">
          <w:rPr>
            <w:noProof/>
            <w:webHidden/>
          </w:rPr>
          <w:fldChar w:fldCharType="separate"/>
        </w:r>
        <w:r w:rsidR="00530C78">
          <w:rPr>
            <w:noProof/>
            <w:webHidden/>
          </w:rPr>
          <w:t>25</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49996" w:history="1">
        <w:r w:rsidR="00966812" w:rsidRPr="00C60D9D">
          <w:rPr>
            <w:rStyle w:val="Hyperlink"/>
            <w:noProof/>
          </w:rPr>
          <w:t>C.</w:t>
        </w:r>
        <w:r w:rsidR="00966812">
          <w:rPr>
            <w:rFonts w:asciiTheme="minorHAnsi" w:eastAsiaTheme="minorEastAsia" w:hAnsiTheme="minorHAnsi"/>
            <w:noProof/>
            <w:sz w:val="22"/>
          </w:rPr>
          <w:tab/>
        </w:r>
        <w:r w:rsidR="00966812" w:rsidRPr="00C60D9D">
          <w:rPr>
            <w:rStyle w:val="Hyperlink"/>
            <w:noProof/>
          </w:rPr>
          <w:t>Even If The Commission Can Regulate The Provision Of Wholesale Generation Capacity Under Ohio Law, It Is Not Bound To Use Fully Embedded Costs To Compensate Duke For Its Capacity.</w:t>
        </w:r>
        <w:r w:rsidR="00966812">
          <w:rPr>
            <w:noProof/>
            <w:webHidden/>
          </w:rPr>
          <w:tab/>
        </w:r>
        <w:r w:rsidR="00966812">
          <w:rPr>
            <w:noProof/>
            <w:webHidden/>
          </w:rPr>
          <w:fldChar w:fldCharType="begin"/>
        </w:r>
        <w:r w:rsidR="00966812">
          <w:rPr>
            <w:noProof/>
            <w:webHidden/>
          </w:rPr>
          <w:instrText xml:space="preserve"> PAGEREF _Toc362949996 \h </w:instrText>
        </w:r>
        <w:r w:rsidR="00966812">
          <w:rPr>
            <w:noProof/>
            <w:webHidden/>
          </w:rPr>
        </w:r>
        <w:r w:rsidR="00966812">
          <w:rPr>
            <w:noProof/>
            <w:webHidden/>
          </w:rPr>
          <w:fldChar w:fldCharType="separate"/>
        </w:r>
        <w:r w:rsidR="00530C78">
          <w:rPr>
            <w:noProof/>
            <w:webHidden/>
          </w:rPr>
          <w:t>26</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7" w:history="1">
        <w:r w:rsidR="00966812" w:rsidRPr="00C60D9D">
          <w:rPr>
            <w:rStyle w:val="Hyperlink"/>
            <w:noProof/>
          </w:rPr>
          <w:t>1.</w:t>
        </w:r>
        <w:r w:rsidR="00966812">
          <w:rPr>
            <w:rFonts w:asciiTheme="minorHAnsi" w:eastAsiaTheme="minorEastAsia" w:hAnsiTheme="minorHAnsi"/>
            <w:noProof/>
            <w:sz w:val="22"/>
          </w:rPr>
          <w:tab/>
        </w:r>
        <w:r w:rsidR="00966812" w:rsidRPr="00C60D9D">
          <w:rPr>
            <w:rStyle w:val="Hyperlink"/>
            <w:noProof/>
          </w:rPr>
          <w:t xml:space="preserve">Under the reliability assurance agreement, a state commission </w:t>
        </w:r>
        <w:r w:rsidR="00966812" w:rsidRPr="00C60D9D">
          <w:rPr>
            <w:rStyle w:val="Hyperlink"/>
            <w:i/>
            <w:noProof/>
          </w:rPr>
          <w:t>may</w:t>
        </w:r>
        <w:r w:rsidR="00966812" w:rsidRPr="00C60D9D">
          <w:rPr>
            <w:rStyle w:val="Hyperlink"/>
            <w:noProof/>
          </w:rPr>
          <w:t xml:space="preserve"> adopt a state compensation mechanism, but it is not required to do so.</w:t>
        </w:r>
        <w:r w:rsidR="00966812">
          <w:rPr>
            <w:noProof/>
            <w:webHidden/>
          </w:rPr>
          <w:tab/>
        </w:r>
        <w:r w:rsidR="00966812">
          <w:rPr>
            <w:noProof/>
            <w:webHidden/>
          </w:rPr>
          <w:fldChar w:fldCharType="begin"/>
        </w:r>
        <w:r w:rsidR="00966812">
          <w:rPr>
            <w:noProof/>
            <w:webHidden/>
          </w:rPr>
          <w:instrText xml:space="preserve"> PAGEREF _Toc362949997 \h </w:instrText>
        </w:r>
        <w:r w:rsidR="00966812">
          <w:rPr>
            <w:noProof/>
            <w:webHidden/>
          </w:rPr>
        </w:r>
        <w:r w:rsidR="00966812">
          <w:rPr>
            <w:noProof/>
            <w:webHidden/>
          </w:rPr>
          <w:fldChar w:fldCharType="separate"/>
        </w:r>
        <w:r w:rsidR="00530C78">
          <w:rPr>
            <w:noProof/>
            <w:webHidden/>
          </w:rPr>
          <w:t>26</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49998" w:history="1">
        <w:r w:rsidR="00966812" w:rsidRPr="00C60D9D">
          <w:rPr>
            <w:rStyle w:val="Hyperlink"/>
            <w:noProof/>
          </w:rPr>
          <w:t>2.</w:t>
        </w:r>
        <w:r w:rsidR="00966812">
          <w:rPr>
            <w:rFonts w:asciiTheme="minorHAnsi" w:eastAsiaTheme="minorEastAsia" w:hAnsiTheme="minorHAnsi"/>
            <w:noProof/>
            <w:sz w:val="22"/>
          </w:rPr>
          <w:tab/>
        </w:r>
        <w:r w:rsidR="00966812" w:rsidRPr="00C60D9D">
          <w:rPr>
            <w:rStyle w:val="Hyperlink"/>
            <w:noProof/>
          </w:rPr>
          <w:t xml:space="preserve">The PUCO is not obligated to establish a cost based rate </w:t>
        </w:r>
        <w:r w:rsidR="00BB1337">
          <w:rPr>
            <w:rStyle w:val="Hyperlink"/>
            <w:noProof/>
          </w:rPr>
          <w:br/>
        </w:r>
        <w:r w:rsidR="00966812" w:rsidRPr="00C60D9D">
          <w:rPr>
            <w:rStyle w:val="Hyperlink"/>
            <w:noProof/>
          </w:rPr>
          <w:t xml:space="preserve">for capacity services.  In this case, it should not develop cost based compensation for Duke as it would violate </w:t>
        </w:r>
        <w:r w:rsidR="00BB1337">
          <w:rPr>
            <w:rStyle w:val="Hyperlink"/>
            <w:noProof/>
          </w:rPr>
          <w:br/>
        </w:r>
        <w:r w:rsidR="00966812" w:rsidRPr="00C60D9D">
          <w:rPr>
            <w:rStyle w:val="Hyperlink"/>
            <w:noProof/>
          </w:rPr>
          <w:t>the Duke ESP Stipulation.</w:t>
        </w:r>
        <w:r w:rsidR="00966812">
          <w:rPr>
            <w:noProof/>
            <w:webHidden/>
          </w:rPr>
          <w:tab/>
        </w:r>
        <w:r w:rsidR="00966812">
          <w:rPr>
            <w:noProof/>
            <w:webHidden/>
          </w:rPr>
          <w:fldChar w:fldCharType="begin"/>
        </w:r>
        <w:r w:rsidR="00966812">
          <w:rPr>
            <w:noProof/>
            <w:webHidden/>
          </w:rPr>
          <w:instrText xml:space="preserve"> PAGEREF _Toc362949998 \h </w:instrText>
        </w:r>
        <w:r w:rsidR="00966812">
          <w:rPr>
            <w:noProof/>
            <w:webHidden/>
          </w:rPr>
        </w:r>
        <w:r w:rsidR="00966812">
          <w:rPr>
            <w:noProof/>
            <w:webHidden/>
          </w:rPr>
          <w:fldChar w:fldCharType="separate"/>
        </w:r>
        <w:r w:rsidR="00530C78">
          <w:rPr>
            <w:noProof/>
            <w:webHidden/>
          </w:rPr>
          <w:t>29</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49999" w:history="1">
        <w:r w:rsidR="00966812" w:rsidRPr="00C60D9D">
          <w:rPr>
            <w:rStyle w:val="Hyperlink"/>
            <w:noProof/>
          </w:rPr>
          <w:t>D.</w:t>
        </w:r>
        <w:r w:rsidR="00966812">
          <w:rPr>
            <w:rFonts w:asciiTheme="minorHAnsi" w:eastAsiaTheme="minorEastAsia" w:hAnsiTheme="minorHAnsi"/>
            <w:noProof/>
            <w:sz w:val="22"/>
          </w:rPr>
          <w:tab/>
        </w:r>
        <w:r w:rsidR="00966812" w:rsidRPr="00C60D9D">
          <w:rPr>
            <w:rStyle w:val="Hyperlink"/>
            <w:noProof/>
          </w:rPr>
          <w:t xml:space="preserve">The PUCO Should Reject Duke’s Allegations That If It Does Not </w:t>
        </w:r>
        <w:r w:rsidR="00BB1337">
          <w:rPr>
            <w:rStyle w:val="Hyperlink"/>
            <w:noProof/>
          </w:rPr>
          <w:br/>
        </w:r>
        <w:r w:rsidR="00966812" w:rsidRPr="00C60D9D">
          <w:rPr>
            <w:rStyle w:val="Hyperlink"/>
            <w:noProof/>
          </w:rPr>
          <w:t>Receive Its Fully Embedded Cost Of Capacity, There Will Be An Unconstitutional Taking.</w:t>
        </w:r>
        <w:r w:rsidR="00966812">
          <w:rPr>
            <w:noProof/>
            <w:webHidden/>
          </w:rPr>
          <w:tab/>
        </w:r>
        <w:r w:rsidR="00966812">
          <w:rPr>
            <w:noProof/>
            <w:webHidden/>
          </w:rPr>
          <w:fldChar w:fldCharType="begin"/>
        </w:r>
        <w:r w:rsidR="00966812">
          <w:rPr>
            <w:noProof/>
            <w:webHidden/>
          </w:rPr>
          <w:instrText xml:space="preserve"> PAGEREF _Toc362949999 \h </w:instrText>
        </w:r>
        <w:r w:rsidR="00966812">
          <w:rPr>
            <w:noProof/>
            <w:webHidden/>
          </w:rPr>
        </w:r>
        <w:r w:rsidR="00966812">
          <w:rPr>
            <w:noProof/>
            <w:webHidden/>
          </w:rPr>
          <w:fldChar w:fldCharType="separate"/>
        </w:r>
        <w:r w:rsidR="00530C78">
          <w:rPr>
            <w:noProof/>
            <w:webHidden/>
          </w:rPr>
          <w:t>33</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50000" w:history="1">
        <w:r w:rsidR="00966812" w:rsidRPr="00C60D9D">
          <w:rPr>
            <w:rStyle w:val="Hyperlink"/>
            <w:noProof/>
          </w:rPr>
          <w:t>1.</w:t>
        </w:r>
        <w:r w:rsidR="00966812">
          <w:rPr>
            <w:rFonts w:asciiTheme="minorHAnsi" w:eastAsiaTheme="minorEastAsia" w:hAnsiTheme="minorHAnsi"/>
            <w:noProof/>
            <w:sz w:val="22"/>
          </w:rPr>
          <w:tab/>
        </w:r>
        <w:r w:rsidR="00966812" w:rsidRPr="00C60D9D">
          <w:rPr>
            <w:rStyle w:val="Hyperlink"/>
            <w:noProof/>
          </w:rPr>
          <w:t xml:space="preserve">The PUCO has no authority to decide constitutional </w:t>
        </w:r>
        <w:r w:rsidR="00BB1337">
          <w:rPr>
            <w:rStyle w:val="Hyperlink"/>
            <w:noProof/>
          </w:rPr>
          <w:br/>
        </w:r>
        <w:r w:rsidR="00966812" w:rsidRPr="00C60D9D">
          <w:rPr>
            <w:rStyle w:val="Hyperlink"/>
            <w:noProof/>
          </w:rPr>
          <w:t>issues.</w:t>
        </w:r>
        <w:r w:rsidR="00966812">
          <w:rPr>
            <w:noProof/>
            <w:webHidden/>
          </w:rPr>
          <w:tab/>
        </w:r>
        <w:r w:rsidR="00966812">
          <w:rPr>
            <w:noProof/>
            <w:webHidden/>
          </w:rPr>
          <w:fldChar w:fldCharType="begin"/>
        </w:r>
        <w:r w:rsidR="00966812">
          <w:rPr>
            <w:noProof/>
            <w:webHidden/>
          </w:rPr>
          <w:instrText xml:space="preserve"> PAGEREF _Toc362950000 \h </w:instrText>
        </w:r>
        <w:r w:rsidR="00966812">
          <w:rPr>
            <w:noProof/>
            <w:webHidden/>
          </w:rPr>
        </w:r>
        <w:r w:rsidR="00966812">
          <w:rPr>
            <w:noProof/>
            <w:webHidden/>
          </w:rPr>
          <w:fldChar w:fldCharType="separate"/>
        </w:r>
        <w:r w:rsidR="00530C78">
          <w:rPr>
            <w:noProof/>
            <w:webHidden/>
          </w:rPr>
          <w:t>33</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50001" w:history="1">
        <w:r w:rsidR="00966812" w:rsidRPr="00C60D9D">
          <w:rPr>
            <w:rStyle w:val="Hyperlink"/>
            <w:noProof/>
          </w:rPr>
          <w:t>2.</w:t>
        </w:r>
        <w:r w:rsidR="00966812">
          <w:rPr>
            <w:rFonts w:asciiTheme="minorHAnsi" w:eastAsiaTheme="minorEastAsia" w:hAnsiTheme="minorHAnsi"/>
            <w:noProof/>
            <w:sz w:val="22"/>
          </w:rPr>
          <w:tab/>
        </w:r>
        <w:r w:rsidR="00966812" w:rsidRPr="00C60D9D">
          <w:rPr>
            <w:rStyle w:val="Hyperlink"/>
            <w:noProof/>
          </w:rPr>
          <w:t xml:space="preserve">Unconstitutional taking is not present when the losses </w:t>
        </w:r>
        <w:r w:rsidR="00BB1337">
          <w:rPr>
            <w:rStyle w:val="Hyperlink"/>
            <w:noProof/>
          </w:rPr>
          <w:br/>
        </w:r>
        <w:r w:rsidR="00966812" w:rsidRPr="00C60D9D">
          <w:rPr>
            <w:rStyle w:val="Hyperlink"/>
            <w:noProof/>
          </w:rPr>
          <w:t>are associated with deregulated services.</w:t>
        </w:r>
        <w:r w:rsidR="00966812">
          <w:rPr>
            <w:noProof/>
            <w:webHidden/>
          </w:rPr>
          <w:tab/>
        </w:r>
        <w:r w:rsidR="00966812">
          <w:rPr>
            <w:noProof/>
            <w:webHidden/>
          </w:rPr>
          <w:fldChar w:fldCharType="begin"/>
        </w:r>
        <w:r w:rsidR="00966812">
          <w:rPr>
            <w:noProof/>
            <w:webHidden/>
          </w:rPr>
          <w:instrText xml:space="preserve"> PAGEREF _Toc362950001 \h </w:instrText>
        </w:r>
        <w:r w:rsidR="00966812">
          <w:rPr>
            <w:noProof/>
            <w:webHidden/>
          </w:rPr>
        </w:r>
        <w:r w:rsidR="00966812">
          <w:rPr>
            <w:noProof/>
            <w:webHidden/>
          </w:rPr>
          <w:fldChar w:fldCharType="separate"/>
        </w:r>
        <w:r w:rsidR="00530C78">
          <w:rPr>
            <w:noProof/>
            <w:webHidden/>
          </w:rPr>
          <w:t>36</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2" w:history="1">
        <w:r w:rsidR="00966812" w:rsidRPr="00C60D9D">
          <w:rPr>
            <w:rStyle w:val="Hyperlink"/>
            <w:noProof/>
          </w:rPr>
          <w:t>E.</w:t>
        </w:r>
        <w:r w:rsidR="00966812">
          <w:rPr>
            <w:rFonts w:asciiTheme="minorHAnsi" w:eastAsiaTheme="minorEastAsia" w:hAnsiTheme="minorHAnsi"/>
            <w:noProof/>
            <w:sz w:val="22"/>
          </w:rPr>
          <w:tab/>
        </w:r>
        <w:r w:rsidR="00966812" w:rsidRPr="00C60D9D">
          <w:rPr>
            <w:rStyle w:val="Hyperlink"/>
            <w:noProof/>
          </w:rPr>
          <w:t>Despite Duke’s Claims That AEP Ohio And Duke Are “Similarly Situated” There Are Significant Differences The PUCO Must Consider.  These Differences Allow The PUCO To Treat Duke Differently Than AEP Ohio Without Running Afoul Of Discrimination Laws Or Equal Protection Policies Under Federal And State Constitutions.</w:t>
        </w:r>
        <w:r w:rsidR="00966812">
          <w:rPr>
            <w:noProof/>
            <w:webHidden/>
          </w:rPr>
          <w:tab/>
        </w:r>
        <w:r w:rsidR="00966812">
          <w:rPr>
            <w:noProof/>
            <w:webHidden/>
          </w:rPr>
          <w:fldChar w:fldCharType="begin"/>
        </w:r>
        <w:r w:rsidR="00966812">
          <w:rPr>
            <w:noProof/>
            <w:webHidden/>
          </w:rPr>
          <w:instrText xml:space="preserve"> PAGEREF _Toc362950002 \h </w:instrText>
        </w:r>
        <w:r w:rsidR="00966812">
          <w:rPr>
            <w:noProof/>
            <w:webHidden/>
          </w:rPr>
        </w:r>
        <w:r w:rsidR="00966812">
          <w:rPr>
            <w:noProof/>
            <w:webHidden/>
          </w:rPr>
          <w:fldChar w:fldCharType="separate"/>
        </w:r>
        <w:r w:rsidR="00530C78">
          <w:rPr>
            <w:noProof/>
            <w:webHidden/>
          </w:rPr>
          <w:t>39</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50003" w:history="1">
        <w:r w:rsidR="00966812" w:rsidRPr="00C60D9D">
          <w:rPr>
            <w:rStyle w:val="Hyperlink"/>
            <w:noProof/>
          </w:rPr>
          <w:t>1.</w:t>
        </w:r>
        <w:r w:rsidR="00966812">
          <w:rPr>
            <w:rFonts w:asciiTheme="minorHAnsi" w:eastAsiaTheme="minorEastAsia" w:hAnsiTheme="minorHAnsi"/>
            <w:noProof/>
            <w:sz w:val="22"/>
          </w:rPr>
          <w:tab/>
        </w:r>
        <w:r w:rsidR="00966812" w:rsidRPr="00C60D9D">
          <w:rPr>
            <w:rStyle w:val="Hyperlink"/>
            <w:noProof/>
          </w:rPr>
          <w:t>The PUCO is not required to approve Duke’s capacity deferrals because Duke is not similarly situated to AEP Ohio, and thus is not entitled to “equal protection.”</w:t>
        </w:r>
        <w:r w:rsidR="00966812">
          <w:rPr>
            <w:noProof/>
            <w:webHidden/>
          </w:rPr>
          <w:tab/>
        </w:r>
        <w:r w:rsidR="00966812">
          <w:rPr>
            <w:noProof/>
            <w:webHidden/>
          </w:rPr>
          <w:fldChar w:fldCharType="begin"/>
        </w:r>
        <w:r w:rsidR="00966812">
          <w:rPr>
            <w:noProof/>
            <w:webHidden/>
          </w:rPr>
          <w:instrText xml:space="preserve"> PAGEREF _Toc362950003 \h </w:instrText>
        </w:r>
        <w:r w:rsidR="00966812">
          <w:rPr>
            <w:noProof/>
            <w:webHidden/>
          </w:rPr>
        </w:r>
        <w:r w:rsidR="00966812">
          <w:rPr>
            <w:noProof/>
            <w:webHidden/>
          </w:rPr>
          <w:fldChar w:fldCharType="separate"/>
        </w:r>
        <w:r w:rsidR="00530C78">
          <w:rPr>
            <w:noProof/>
            <w:webHidden/>
          </w:rPr>
          <w:t>43</w:t>
        </w:r>
        <w:r w:rsidR="00966812">
          <w:rPr>
            <w:noProof/>
            <w:webHidden/>
          </w:rPr>
          <w:fldChar w:fldCharType="end"/>
        </w:r>
      </w:hyperlink>
    </w:p>
    <w:p w:rsidR="00966812" w:rsidRDefault="00CF746E">
      <w:pPr>
        <w:pStyle w:val="TOC3"/>
        <w:tabs>
          <w:tab w:val="left" w:pos="2880"/>
          <w:tab w:val="right" w:leader="dot" w:pos="8630"/>
        </w:tabs>
        <w:rPr>
          <w:rFonts w:asciiTheme="minorHAnsi" w:eastAsiaTheme="minorEastAsia" w:hAnsiTheme="minorHAnsi"/>
          <w:noProof/>
          <w:sz w:val="22"/>
        </w:rPr>
      </w:pPr>
      <w:hyperlink w:anchor="_Toc362950004" w:history="1">
        <w:r w:rsidR="00966812" w:rsidRPr="00C60D9D">
          <w:rPr>
            <w:rStyle w:val="Hyperlink"/>
            <w:noProof/>
          </w:rPr>
          <w:t>2.</w:t>
        </w:r>
        <w:r w:rsidR="00966812" w:rsidRPr="00C60D9D">
          <w:rPr>
            <w:rStyle w:val="Hyperlink"/>
            <w:rFonts w:eastAsia="Calibri"/>
            <w:noProof/>
          </w:rPr>
          <w:t xml:space="preserve"> </w:t>
        </w:r>
        <w:r w:rsidR="00966812">
          <w:rPr>
            <w:rFonts w:asciiTheme="minorHAnsi" w:eastAsiaTheme="minorEastAsia" w:hAnsiTheme="minorHAnsi"/>
            <w:noProof/>
            <w:sz w:val="22"/>
          </w:rPr>
          <w:tab/>
        </w:r>
        <w:r w:rsidR="00966812" w:rsidRPr="00C60D9D">
          <w:rPr>
            <w:rStyle w:val="Hyperlink"/>
            <w:rFonts w:eastAsia="Calibri"/>
            <w:noProof/>
          </w:rPr>
          <w:t xml:space="preserve">Duke failed to prove that it would be discriminatory if </w:t>
        </w:r>
        <w:r w:rsidR="00BB1337">
          <w:rPr>
            <w:rStyle w:val="Hyperlink"/>
            <w:rFonts w:eastAsia="Calibri"/>
            <w:noProof/>
          </w:rPr>
          <w:br/>
        </w:r>
        <w:r w:rsidR="00966812" w:rsidRPr="00C60D9D">
          <w:rPr>
            <w:rStyle w:val="Hyperlink"/>
            <w:rFonts w:eastAsia="Calibri"/>
            <w:noProof/>
          </w:rPr>
          <w:t>the PUCO does not implement a cost-based state compensation mechanism.</w:t>
        </w:r>
        <w:r w:rsidR="00966812">
          <w:rPr>
            <w:noProof/>
            <w:webHidden/>
          </w:rPr>
          <w:tab/>
        </w:r>
        <w:r w:rsidR="00966812">
          <w:rPr>
            <w:noProof/>
            <w:webHidden/>
          </w:rPr>
          <w:fldChar w:fldCharType="begin"/>
        </w:r>
        <w:r w:rsidR="00966812">
          <w:rPr>
            <w:noProof/>
            <w:webHidden/>
          </w:rPr>
          <w:instrText xml:space="preserve"> PAGEREF _Toc362950004 \h </w:instrText>
        </w:r>
        <w:r w:rsidR="00966812">
          <w:rPr>
            <w:noProof/>
            <w:webHidden/>
          </w:rPr>
        </w:r>
        <w:r w:rsidR="00966812">
          <w:rPr>
            <w:noProof/>
            <w:webHidden/>
          </w:rPr>
          <w:fldChar w:fldCharType="separate"/>
        </w:r>
        <w:r w:rsidR="00530C78">
          <w:rPr>
            <w:noProof/>
            <w:webHidden/>
          </w:rPr>
          <w:t>46</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5" w:history="1">
        <w:r w:rsidR="00966812" w:rsidRPr="00C60D9D">
          <w:rPr>
            <w:rStyle w:val="Hyperlink"/>
            <w:noProof/>
          </w:rPr>
          <w:t>F.</w:t>
        </w:r>
        <w:r w:rsidR="00966812">
          <w:rPr>
            <w:rFonts w:asciiTheme="minorHAnsi" w:eastAsiaTheme="minorEastAsia" w:hAnsiTheme="minorHAnsi"/>
            <w:noProof/>
            <w:sz w:val="22"/>
          </w:rPr>
          <w:tab/>
        </w:r>
        <w:r w:rsidR="00966812" w:rsidRPr="00C60D9D">
          <w:rPr>
            <w:rStyle w:val="Hyperlink"/>
            <w:noProof/>
          </w:rPr>
          <w:t>Duke’s Request To Collect Increased Costs For Capacity Services Rendered, Starting August 1, 2012, Is Retroactive Ratemaking.</w:t>
        </w:r>
        <w:r w:rsidR="00966812">
          <w:rPr>
            <w:noProof/>
            <w:webHidden/>
          </w:rPr>
          <w:tab/>
        </w:r>
        <w:r w:rsidR="00966812">
          <w:rPr>
            <w:noProof/>
            <w:webHidden/>
          </w:rPr>
          <w:fldChar w:fldCharType="begin"/>
        </w:r>
        <w:r w:rsidR="00966812">
          <w:rPr>
            <w:noProof/>
            <w:webHidden/>
          </w:rPr>
          <w:instrText xml:space="preserve"> PAGEREF _Toc362950005 \h </w:instrText>
        </w:r>
        <w:r w:rsidR="00966812">
          <w:rPr>
            <w:noProof/>
            <w:webHidden/>
          </w:rPr>
        </w:r>
        <w:r w:rsidR="00966812">
          <w:rPr>
            <w:noProof/>
            <w:webHidden/>
          </w:rPr>
          <w:fldChar w:fldCharType="separate"/>
        </w:r>
        <w:r w:rsidR="00530C78">
          <w:rPr>
            <w:noProof/>
            <w:webHidden/>
          </w:rPr>
          <w:t>48</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6" w:history="1">
        <w:r w:rsidR="00966812" w:rsidRPr="00C60D9D">
          <w:rPr>
            <w:rStyle w:val="Hyperlink"/>
            <w:noProof/>
          </w:rPr>
          <w:t>G.</w:t>
        </w:r>
        <w:r w:rsidR="00966812">
          <w:rPr>
            <w:rFonts w:asciiTheme="minorHAnsi" w:eastAsiaTheme="minorEastAsia" w:hAnsiTheme="minorHAnsi"/>
            <w:noProof/>
            <w:sz w:val="22"/>
          </w:rPr>
          <w:tab/>
        </w:r>
        <w:r w:rsidR="00966812" w:rsidRPr="00C60D9D">
          <w:rPr>
            <w:rStyle w:val="Hyperlink"/>
            <w:noProof/>
          </w:rPr>
          <w:t>Permitting Duke To Transfer Capacity Revenues To An Affiliate Post Corporate Separation Is Unreasonable And Unlawful.</w:t>
        </w:r>
        <w:r w:rsidR="00966812">
          <w:rPr>
            <w:noProof/>
            <w:webHidden/>
          </w:rPr>
          <w:tab/>
        </w:r>
        <w:r w:rsidR="00966812">
          <w:rPr>
            <w:noProof/>
            <w:webHidden/>
          </w:rPr>
          <w:fldChar w:fldCharType="begin"/>
        </w:r>
        <w:r w:rsidR="00966812">
          <w:rPr>
            <w:noProof/>
            <w:webHidden/>
          </w:rPr>
          <w:instrText xml:space="preserve"> PAGEREF _Toc362950006 \h </w:instrText>
        </w:r>
        <w:r w:rsidR="00966812">
          <w:rPr>
            <w:noProof/>
            <w:webHidden/>
          </w:rPr>
        </w:r>
        <w:r w:rsidR="00966812">
          <w:rPr>
            <w:noProof/>
            <w:webHidden/>
          </w:rPr>
          <w:fldChar w:fldCharType="separate"/>
        </w:r>
        <w:r w:rsidR="00530C78">
          <w:rPr>
            <w:noProof/>
            <w:webHidden/>
          </w:rPr>
          <w:t>51</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7" w:history="1">
        <w:r w:rsidR="00966812" w:rsidRPr="00C60D9D">
          <w:rPr>
            <w:rStyle w:val="Hyperlink"/>
            <w:noProof/>
          </w:rPr>
          <w:t>H.</w:t>
        </w:r>
        <w:r w:rsidR="00966812">
          <w:rPr>
            <w:rFonts w:asciiTheme="minorHAnsi" w:eastAsiaTheme="minorEastAsia" w:hAnsiTheme="minorHAnsi"/>
            <w:noProof/>
            <w:sz w:val="22"/>
          </w:rPr>
          <w:tab/>
        </w:r>
        <w:r w:rsidR="00966812" w:rsidRPr="00C60D9D">
          <w:rPr>
            <w:rStyle w:val="Hyperlink"/>
            <w:noProof/>
          </w:rPr>
          <w:t xml:space="preserve">Duke Has Not Used The Most Current Projections In Its Applications </w:t>
        </w:r>
        <w:r w:rsidR="00BB1337">
          <w:rPr>
            <w:rStyle w:val="Hyperlink"/>
            <w:noProof/>
          </w:rPr>
          <w:br/>
        </w:r>
        <w:r w:rsidR="00966812" w:rsidRPr="00C60D9D">
          <w:rPr>
            <w:rStyle w:val="Hyperlink"/>
            <w:noProof/>
          </w:rPr>
          <w:t>In Either Its Pro Forma Financials Or Its Revenue Requirement.</w:t>
        </w:r>
        <w:r w:rsidR="00966812">
          <w:rPr>
            <w:noProof/>
            <w:webHidden/>
          </w:rPr>
          <w:tab/>
        </w:r>
        <w:r w:rsidR="00966812">
          <w:rPr>
            <w:noProof/>
            <w:webHidden/>
          </w:rPr>
          <w:fldChar w:fldCharType="begin"/>
        </w:r>
        <w:r w:rsidR="00966812">
          <w:rPr>
            <w:noProof/>
            <w:webHidden/>
          </w:rPr>
          <w:instrText xml:space="preserve"> PAGEREF _Toc362950007 \h </w:instrText>
        </w:r>
        <w:r w:rsidR="00966812">
          <w:rPr>
            <w:noProof/>
            <w:webHidden/>
          </w:rPr>
        </w:r>
        <w:r w:rsidR="00966812">
          <w:rPr>
            <w:noProof/>
            <w:webHidden/>
          </w:rPr>
          <w:fldChar w:fldCharType="separate"/>
        </w:r>
        <w:r w:rsidR="00530C78">
          <w:rPr>
            <w:noProof/>
            <w:webHidden/>
          </w:rPr>
          <w:t>53</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8" w:history="1">
        <w:r w:rsidR="00966812" w:rsidRPr="00C60D9D">
          <w:rPr>
            <w:rStyle w:val="Hyperlink"/>
            <w:noProof/>
          </w:rPr>
          <w:t>I.</w:t>
        </w:r>
        <w:r w:rsidR="00966812">
          <w:rPr>
            <w:rFonts w:asciiTheme="minorHAnsi" w:eastAsiaTheme="minorEastAsia" w:hAnsiTheme="minorHAnsi"/>
            <w:noProof/>
            <w:sz w:val="22"/>
          </w:rPr>
          <w:tab/>
        </w:r>
        <w:r w:rsidR="00966812" w:rsidRPr="00C60D9D">
          <w:rPr>
            <w:rStyle w:val="Hyperlink"/>
            <w:noProof/>
          </w:rPr>
          <w:t xml:space="preserve">Duke’s Energy Margin Calculation Produced By Dr. Zhang’s </w:t>
        </w:r>
        <w:r w:rsidR="00BB1337">
          <w:rPr>
            <w:rStyle w:val="Hyperlink"/>
            <w:noProof/>
          </w:rPr>
          <w:br/>
        </w:r>
        <w:r w:rsidR="00966812" w:rsidRPr="00C60D9D">
          <w:rPr>
            <w:rStyle w:val="Hyperlink"/>
            <w:noProof/>
          </w:rPr>
          <w:t>Commercial Business Model Should Be Used In Lieu Of Mr. Luciani’s Calculations.</w:t>
        </w:r>
        <w:r w:rsidR="00966812">
          <w:rPr>
            <w:noProof/>
            <w:webHidden/>
          </w:rPr>
          <w:tab/>
        </w:r>
        <w:r w:rsidR="00966812">
          <w:rPr>
            <w:noProof/>
            <w:webHidden/>
          </w:rPr>
          <w:fldChar w:fldCharType="begin"/>
        </w:r>
        <w:r w:rsidR="00966812">
          <w:rPr>
            <w:noProof/>
            <w:webHidden/>
          </w:rPr>
          <w:instrText xml:space="preserve"> PAGEREF _Toc362950008 \h </w:instrText>
        </w:r>
        <w:r w:rsidR="00966812">
          <w:rPr>
            <w:noProof/>
            <w:webHidden/>
          </w:rPr>
        </w:r>
        <w:r w:rsidR="00966812">
          <w:rPr>
            <w:noProof/>
            <w:webHidden/>
          </w:rPr>
          <w:fldChar w:fldCharType="separate"/>
        </w:r>
        <w:r w:rsidR="00530C78">
          <w:rPr>
            <w:noProof/>
            <w:webHidden/>
          </w:rPr>
          <w:t>56</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09" w:history="1">
        <w:r w:rsidR="00966812" w:rsidRPr="00C60D9D">
          <w:rPr>
            <w:rStyle w:val="Hyperlink"/>
            <w:noProof/>
          </w:rPr>
          <w:t>J.</w:t>
        </w:r>
        <w:r w:rsidR="00966812">
          <w:rPr>
            <w:rFonts w:asciiTheme="minorHAnsi" w:eastAsiaTheme="minorEastAsia" w:hAnsiTheme="minorHAnsi"/>
            <w:noProof/>
            <w:sz w:val="22"/>
          </w:rPr>
          <w:tab/>
        </w:r>
        <w:r w:rsidR="00966812" w:rsidRPr="00C60D9D">
          <w:rPr>
            <w:rStyle w:val="Hyperlink"/>
            <w:noProof/>
          </w:rPr>
          <w:t>The PUCO Should Not Use Actual Data To Calculate A New Revenue Requirement Each Year.</w:t>
        </w:r>
        <w:r w:rsidR="00966812">
          <w:rPr>
            <w:noProof/>
            <w:webHidden/>
          </w:rPr>
          <w:tab/>
        </w:r>
        <w:r w:rsidR="00966812">
          <w:rPr>
            <w:noProof/>
            <w:webHidden/>
          </w:rPr>
          <w:fldChar w:fldCharType="begin"/>
        </w:r>
        <w:r w:rsidR="00966812">
          <w:rPr>
            <w:noProof/>
            <w:webHidden/>
          </w:rPr>
          <w:instrText xml:space="preserve"> PAGEREF _Toc362950009 \h </w:instrText>
        </w:r>
        <w:r w:rsidR="00966812">
          <w:rPr>
            <w:noProof/>
            <w:webHidden/>
          </w:rPr>
        </w:r>
        <w:r w:rsidR="00966812">
          <w:rPr>
            <w:noProof/>
            <w:webHidden/>
          </w:rPr>
          <w:fldChar w:fldCharType="separate"/>
        </w:r>
        <w:r w:rsidR="00530C78">
          <w:rPr>
            <w:noProof/>
            <w:webHidden/>
          </w:rPr>
          <w:t>61</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10" w:history="1">
        <w:r w:rsidR="00966812" w:rsidRPr="00C60D9D">
          <w:rPr>
            <w:rStyle w:val="Hyperlink"/>
            <w:rFonts w:cs="Times New Roman"/>
            <w:noProof/>
          </w:rPr>
          <w:t>K.</w:t>
        </w:r>
        <w:r w:rsidR="00966812">
          <w:rPr>
            <w:rFonts w:asciiTheme="minorHAnsi" w:eastAsiaTheme="minorEastAsia" w:hAnsiTheme="minorHAnsi"/>
            <w:noProof/>
            <w:sz w:val="22"/>
          </w:rPr>
          <w:tab/>
        </w:r>
        <w:r w:rsidR="00966812" w:rsidRPr="00C60D9D">
          <w:rPr>
            <w:rStyle w:val="Hyperlink"/>
            <w:noProof/>
          </w:rPr>
          <w:t xml:space="preserve">Duke Erred In Calculating Its Proposed Return On Equity On Only </w:t>
        </w:r>
        <w:r w:rsidR="00BB1337">
          <w:rPr>
            <w:rStyle w:val="Hyperlink"/>
            <w:noProof/>
          </w:rPr>
          <w:br/>
        </w:r>
        <w:r w:rsidR="00966812" w:rsidRPr="00C60D9D">
          <w:rPr>
            <w:rStyle w:val="Hyperlink"/>
            <w:noProof/>
          </w:rPr>
          <w:t>The Operations Of The Generation Portion Of Duke.</w:t>
        </w:r>
        <w:r w:rsidR="00966812">
          <w:rPr>
            <w:noProof/>
            <w:webHidden/>
          </w:rPr>
          <w:tab/>
        </w:r>
        <w:r w:rsidR="00966812">
          <w:rPr>
            <w:noProof/>
            <w:webHidden/>
          </w:rPr>
          <w:fldChar w:fldCharType="begin"/>
        </w:r>
        <w:r w:rsidR="00966812">
          <w:rPr>
            <w:noProof/>
            <w:webHidden/>
          </w:rPr>
          <w:instrText xml:space="preserve"> PAGEREF _Toc362950010 \h </w:instrText>
        </w:r>
        <w:r w:rsidR="00966812">
          <w:rPr>
            <w:noProof/>
            <w:webHidden/>
          </w:rPr>
        </w:r>
        <w:r w:rsidR="00966812">
          <w:rPr>
            <w:noProof/>
            <w:webHidden/>
          </w:rPr>
          <w:fldChar w:fldCharType="separate"/>
        </w:r>
        <w:r w:rsidR="00530C78">
          <w:rPr>
            <w:noProof/>
            <w:webHidden/>
          </w:rPr>
          <w:t>62</w:t>
        </w:r>
        <w:r w:rsidR="00966812">
          <w:rPr>
            <w:noProof/>
            <w:webHidden/>
          </w:rPr>
          <w:fldChar w:fldCharType="end"/>
        </w:r>
      </w:hyperlink>
    </w:p>
    <w:p w:rsidR="00966812" w:rsidRDefault="00CF746E">
      <w:pPr>
        <w:pStyle w:val="TOC2"/>
        <w:tabs>
          <w:tab w:val="left" w:pos="1440"/>
          <w:tab w:val="right" w:leader="dot" w:pos="8630"/>
        </w:tabs>
        <w:rPr>
          <w:rFonts w:asciiTheme="minorHAnsi" w:eastAsiaTheme="minorEastAsia" w:hAnsiTheme="minorHAnsi"/>
          <w:noProof/>
          <w:sz w:val="22"/>
        </w:rPr>
      </w:pPr>
      <w:hyperlink w:anchor="_Toc362950011" w:history="1">
        <w:r w:rsidR="00966812" w:rsidRPr="00C60D9D">
          <w:rPr>
            <w:rStyle w:val="Hyperlink"/>
            <w:noProof/>
          </w:rPr>
          <w:t>L.</w:t>
        </w:r>
        <w:r w:rsidR="00966812">
          <w:rPr>
            <w:rFonts w:asciiTheme="minorHAnsi" w:eastAsiaTheme="minorEastAsia" w:hAnsiTheme="minorHAnsi"/>
            <w:noProof/>
            <w:sz w:val="22"/>
          </w:rPr>
          <w:tab/>
        </w:r>
        <w:r w:rsidR="00966812" w:rsidRPr="00C60D9D">
          <w:rPr>
            <w:rStyle w:val="Hyperlink"/>
            <w:noProof/>
          </w:rPr>
          <w:t>Duke’s Proposed ROE If 11.15% Is Not Supported By Dr. Vander Weide’s Equity Cost Rate Study.</w:t>
        </w:r>
        <w:r w:rsidR="00966812">
          <w:rPr>
            <w:noProof/>
            <w:webHidden/>
          </w:rPr>
          <w:tab/>
        </w:r>
        <w:r w:rsidR="00966812">
          <w:rPr>
            <w:noProof/>
            <w:webHidden/>
          </w:rPr>
          <w:fldChar w:fldCharType="begin"/>
        </w:r>
        <w:r w:rsidR="00966812">
          <w:rPr>
            <w:noProof/>
            <w:webHidden/>
          </w:rPr>
          <w:instrText xml:space="preserve"> PAGEREF _Toc362950011 \h </w:instrText>
        </w:r>
        <w:r w:rsidR="00966812">
          <w:rPr>
            <w:noProof/>
            <w:webHidden/>
          </w:rPr>
        </w:r>
        <w:r w:rsidR="00966812">
          <w:rPr>
            <w:noProof/>
            <w:webHidden/>
          </w:rPr>
          <w:fldChar w:fldCharType="separate"/>
        </w:r>
        <w:r w:rsidR="00530C78">
          <w:rPr>
            <w:noProof/>
            <w:webHidden/>
          </w:rPr>
          <w:t>63</w:t>
        </w:r>
        <w:r w:rsidR="00966812">
          <w:rPr>
            <w:noProof/>
            <w:webHidden/>
          </w:rPr>
          <w:fldChar w:fldCharType="end"/>
        </w:r>
      </w:hyperlink>
    </w:p>
    <w:p w:rsidR="00966812" w:rsidRDefault="00CF746E">
      <w:pPr>
        <w:pStyle w:val="TOC1"/>
        <w:rPr>
          <w:rFonts w:asciiTheme="minorHAnsi" w:eastAsiaTheme="minorEastAsia" w:hAnsiTheme="minorHAnsi" w:cstheme="minorBidi"/>
          <w:caps w:val="0"/>
          <w:noProof/>
          <w:sz w:val="22"/>
          <w:szCs w:val="22"/>
        </w:rPr>
      </w:pPr>
      <w:hyperlink w:anchor="_Toc362950012" w:history="1">
        <w:r w:rsidR="00966812" w:rsidRPr="00C60D9D">
          <w:rPr>
            <w:rStyle w:val="Hyperlink"/>
            <w:noProof/>
          </w:rPr>
          <w:t>III.</w:t>
        </w:r>
        <w:r w:rsidR="00966812">
          <w:rPr>
            <w:rFonts w:asciiTheme="minorHAnsi" w:eastAsiaTheme="minorEastAsia" w:hAnsiTheme="minorHAnsi" w:cstheme="minorBidi"/>
            <w:caps w:val="0"/>
            <w:noProof/>
            <w:sz w:val="22"/>
            <w:szCs w:val="22"/>
          </w:rPr>
          <w:tab/>
        </w:r>
        <w:r w:rsidR="00966812" w:rsidRPr="00C60D9D">
          <w:rPr>
            <w:rStyle w:val="Hyperlink"/>
            <w:noProof/>
          </w:rPr>
          <w:t>CONCLUSION</w:t>
        </w:r>
        <w:r w:rsidR="00966812">
          <w:rPr>
            <w:noProof/>
            <w:webHidden/>
          </w:rPr>
          <w:tab/>
        </w:r>
        <w:r w:rsidR="00966812">
          <w:rPr>
            <w:noProof/>
            <w:webHidden/>
          </w:rPr>
          <w:fldChar w:fldCharType="begin"/>
        </w:r>
        <w:r w:rsidR="00966812">
          <w:rPr>
            <w:noProof/>
            <w:webHidden/>
          </w:rPr>
          <w:instrText xml:space="preserve"> PAGEREF _Toc362950012 \h </w:instrText>
        </w:r>
        <w:r w:rsidR="00966812">
          <w:rPr>
            <w:noProof/>
            <w:webHidden/>
          </w:rPr>
        </w:r>
        <w:r w:rsidR="00966812">
          <w:rPr>
            <w:noProof/>
            <w:webHidden/>
          </w:rPr>
          <w:fldChar w:fldCharType="separate"/>
        </w:r>
        <w:r w:rsidR="00530C78">
          <w:rPr>
            <w:noProof/>
            <w:webHidden/>
          </w:rPr>
          <w:t>65</w:t>
        </w:r>
        <w:r w:rsidR="00966812">
          <w:rPr>
            <w:noProof/>
            <w:webHidden/>
          </w:rPr>
          <w:fldChar w:fldCharType="end"/>
        </w:r>
      </w:hyperlink>
    </w:p>
    <w:p w:rsidR="00D308F6" w:rsidRDefault="00D308F6" w:rsidP="002E62BB">
      <w:pPr>
        <w:jc w:val="center"/>
        <w:rPr>
          <w:rFonts w:ascii="Times New Roman" w:hAnsi="Times New Roman"/>
          <w:b/>
          <w:bCs/>
          <w:sz w:val="24"/>
        </w:rPr>
      </w:pPr>
      <w:r>
        <w:rPr>
          <w:rFonts w:ascii="Times New Roman" w:hAnsi="Times New Roman"/>
          <w:b/>
          <w:bCs/>
          <w:sz w:val="24"/>
        </w:rPr>
        <w:fldChar w:fldCharType="end"/>
      </w:r>
    </w:p>
    <w:p w:rsidR="002E62BB" w:rsidRDefault="002E62BB" w:rsidP="002E62BB">
      <w:pPr>
        <w:jc w:val="center"/>
        <w:rPr>
          <w:rFonts w:ascii="Times New Roman" w:hAnsi="Times New Roman"/>
          <w:b/>
          <w:bCs/>
          <w:sz w:val="24"/>
        </w:rPr>
      </w:pPr>
    </w:p>
    <w:p w:rsidR="0085528F" w:rsidRDefault="0085528F" w:rsidP="0085528F">
      <w:pPr>
        <w:pStyle w:val="HTMLPreformatted"/>
        <w:jc w:val="center"/>
        <w:rPr>
          <w:rFonts w:ascii="Times New Roman" w:hAnsi="Times New Roman"/>
          <w:b/>
          <w:bCs/>
          <w:sz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FF"/>
          <w:sz w:val="24"/>
          <w:szCs w:val="24"/>
        </w:rPr>
      </w:pPr>
    </w:p>
    <w:p w:rsidR="005C7CC6" w:rsidRDefault="002E62BB">
      <w:pPr>
        <w:sectPr w:rsidR="005C7CC6" w:rsidSect="005C7CC6">
          <w:headerReference w:type="even" r:id="rId16"/>
          <w:headerReference w:type="default" r:id="rId17"/>
          <w:footerReference w:type="default" r:id="rId18"/>
          <w:headerReference w:type="first" r:id="rId19"/>
          <w:pgSz w:w="12240" w:h="15840" w:code="1"/>
          <w:pgMar w:top="1440" w:right="1800" w:bottom="1440" w:left="1800" w:header="720" w:footer="720" w:gutter="0"/>
          <w:pgNumType w:fmt="lowerRoman" w:start="1"/>
          <w:cols w:space="720"/>
          <w:docGrid w:linePitch="360"/>
        </w:sectPr>
      </w:pPr>
      <w:r>
        <w:br w:type="page"/>
      </w:r>
    </w:p>
    <w:p w:rsidR="0085528F" w:rsidRPr="0085528F" w:rsidRDefault="0085528F" w:rsidP="0085528F">
      <w:pPr>
        <w:pStyle w:val="HTMLPreformatted"/>
        <w:jc w:val="center"/>
        <w:rPr>
          <w:rFonts w:ascii="Times New Roman" w:hAnsi="Times New Roman" w:cs="Times New Roman"/>
          <w:b/>
          <w:bCs/>
          <w:sz w:val="24"/>
          <w:szCs w:val="24"/>
        </w:rPr>
      </w:pPr>
      <w:r w:rsidRPr="0085528F">
        <w:rPr>
          <w:rFonts w:ascii="Times New Roman" w:hAnsi="Times New Roman" w:cs="Times New Roman"/>
          <w:b/>
          <w:bCs/>
          <w:sz w:val="24"/>
          <w:szCs w:val="24"/>
        </w:rPr>
        <w:lastRenderedPageBreak/>
        <w:t>BEFORE</w:t>
      </w:r>
    </w:p>
    <w:p w:rsidR="0085528F" w:rsidRPr="0085528F" w:rsidRDefault="0085528F" w:rsidP="0085528F">
      <w:pPr>
        <w:pStyle w:val="HTMLPreformatted"/>
        <w:jc w:val="center"/>
        <w:rPr>
          <w:rFonts w:ascii="Times New Roman" w:hAnsi="Times New Roman" w:cs="Times New Roman"/>
          <w:sz w:val="24"/>
          <w:szCs w:val="24"/>
        </w:rPr>
      </w:pPr>
      <w:r w:rsidRPr="0085528F">
        <w:rPr>
          <w:rFonts w:ascii="Times New Roman" w:hAnsi="Times New Roman" w:cs="Times New Roman"/>
          <w:b/>
          <w:bCs/>
          <w:sz w:val="24"/>
          <w:szCs w:val="24"/>
        </w:rPr>
        <w:t>THE PUBLIC UTILITIES COMMISSION OF OHIO</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85528F" w:rsidRPr="0085528F" w:rsidTr="009872D1">
        <w:trPr>
          <w:trHeight w:val="807"/>
        </w:trPr>
        <w:tc>
          <w:tcPr>
            <w:tcW w:w="4584"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the Establishment of a Charge Pursuant to Revised Code Section 4909.18.</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Approval to Change Accounting Methods.</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In the Matter of the Application of Duke Energy Ohio, Inc., for the Approval of a Tariff for a New Service.</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c>
          <w:tcPr>
            <w:tcW w:w="360"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r w:rsidRPr="0085528F">
              <w:rPr>
                <w:rFonts w:ascii="Times New Roman" w:hAnsi="Times New Roman" w:cs="Times New Roman"/>
                <w:sz w:val="24"/>
                <w:szCs w:val="24"/>
              </w:rPr>
              <w:br/>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r w:rsidRPr="0085528F">
              <w:rPr>
                <w:rFonts w:ascii="Times New Roman" w:hAnsi="Times New Roman" w:cs="Times New Roman"/>
                <w:sz w:val="24"/>
                <w:szCs w:val="24"/>
              </w:rPr>
              <w:br/>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c>
          <w:tcPr>
            <w:tcW w:w="3910" w:type="dxa"/>
          </w:tcPr>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12-2400-EL-UNC</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12-2401-EL-AAM</w:t>
            </w: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5528F" w:rsidRP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5528F">
              <w:rPr>
                <w:rFonts w:ascii="Times New Roman" w:hAnsi="Times New Roman" w:cs="Times New Roman"/>
                <w:sz w:val="24"/>
                <w:szCs w:val="24"/>
              </w:rPr>
              <w:t>Case No. 12-2402-EL-ATA</w:t>
            </w:r>
          </w:p>
        </w:tc>
      </w:tr>
    </w:tbl>
    <w:p w:rsidR="0085528F" w:rsidRPr="0085528F" w:rsidRDefault="0085528F" w:rsidP="0085528F">
      <w:pPr>
        <w:pBdr>
          <w:bottom w:val="single" w:sz="12" w:space="1" w:color="auto"/>
        </w:pBdr>
        <w:spacing w:line="240" w:lineRule="auto"/>
        <w:rPr>
          <w:rFonts w:ascii="Times New Roman" w:hAnsi="Times New Roman" w:cs="Times New Roman"/>
          <w:b/>
          <w:sz w:val="24"/>
          <w:szCs w:val="24"/>
        </w:rPr>
      </w:pPr>
    </w:p>
    <w:p w:rsidR="0085528F" w:rsidRPr="0085528F" w:rsidRDefault="0085528F" w:rsidP="0085528F">
      <w:pPr>
        <w:spacing w:line="240" w:lineRule="auto"/>
        <w:rPr>
          <w:rFonts w:ascii="Times New Roman" w:hAnsi="Times New Roman" w:cs="Times New Roman"/>
          <w:b/>
          <w:sz w:val="24"/>
          <w:szCs w:val="24"/>
        </w:rPr>
      </w:pPr>
    </w:p>
    <w:p w:rsidR="0085528F" w:rsidRPr="0085528F" w:rsidRDefault="0085528F" w:rsidP="008552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REPLY</w:t>
      </w:r>
      <w:r w:rsidRPr="0085528F">
        <w:rPr>
          <w:rFonts w:ascii="Times New Roman" w:hAnsi="Times New Roman" w:cs="Times New Roman"/>
          <w:b/>
          <w:sz w:val="24"/>
          <w:szCs w:val="24"/>
        </w:rPr>
        <w:t xml:space="preserve"> BRIEF</w:t>
      </w:r>
    </w:p>
    <w:p w:rsidR="0085528F" w:rsidRPr="0085528F" w:rsidRDefault="0085528F" w:rsidP="0085528F">
      <w:pPr>
        <w:spacing w:line="240" w:lineRule="auto"/>
        <w:jc w:val="center"/>
        <w:rPr>
          <w:rFonts w:ascii="Times New Roman" w:hAnsi="Times New Roman" w:cs="Times New Roman"/>
          <w:b/>
          <w:sz w:val="24"/>
          <w:szCs w:val="24"/>
        </w:rPr>
      </w:pPr>
      <w:r w:rsidRPr="0085528F">
        <w:rPr>
          <w:rFonts w:ascii="Times New Roman" w:hAnsi="Times New Roman" w:cs="Times New Roman"/>
          <w:b/>
          <w:sz w:val="24"/>
          <w:szCs w:val="24"/>
        </w:rPr>
        <w:t>BY</w:t>
      </w:r>
    </w:p>
    <w:p w:rsidR="0085528F" w:rsidRPr="0085528F" w:rsidRDefault="0085528F" w:rsidP="0085528F">
      <w:pPr>
        <w:spacing w:line="240" w:lineRule="auto"/>
        <w:jc w:val="center"/>
        <w:rPr>
          <w:rFonts w:ascii="Times New Roman" w:hAnsi="Times New Roman" w:cs="Times New Roman"/>
          <w:b/>
          <w:sz w:val="24"/>
          <w:szCs w:val="24"/>
        </w:rPr>
      </w:pPr>
      <w:r w:rsidRPr="0085528F">
        <w:rPr>
          <w:rFonts w:ascii="Times New Roman" w:hAnsi="Times New Roman" w:cs="Times New Roman"/>
          <w:b/>
          <w:sz w:val="24"/>
          <w:szCs w:val="24"/>
        </w:rPr>
        <w:t>THE OFFICE</w:t>
      </w:r>
      <w:r w:rsidR="00F12692">
        <w:rPr>
          <w:rFonts w:ascii="Times New Roman" w:hAnsi="Times New Roman" w:cs="Times New Roman"/>
          <w:b/>
          <w:sz w:val="24"/>
          <w:szCs w:val="24"/>
        </w:rPr>
        <w:t xml:space="preserve"> OF THE OHIO CONSUMERS’ COUNSEL</w:t>
      </w:r>
    </w:p>
    <w:p w:rsidR="0085528F" w:rsidRPr="0085528F" w:rsidRDefault="0085528F" w:rsidP="0085528F">
      <w:pPr>
        <w:pBdr>
          <w:bottom w:val="single" w:sz="12" w:space="1" w:color="auto"/>
        </w:pBdr>
        <w:spacing w:line="240" w:lineRule="auto"/>
        <w:jc w:val="center"/>
        <w:rPr>
          <w:rFonts w:ascii="Times New Roman" w:hAnsi="Times New Roman" w:cs="Times New Roman"/>
          <w:b/>
          <w:sz w:val="24"/>
          <w:szCs w:val="24"/>
        </w:rPr>
      </w:pPr>
    </w:p>
    <w:p w:rsidR="00FB4463" w:rsidRPr="00FB4463" w:rsidRDefault="00FB4463" w:rsidP="00FB4463">
      <w:pPr>
        <w:pStyle w:val="Heading1"/>
        <w:numPr>
          <w:ilvl w:val="0"/>
          <w:numId w:val="0"/>
        </w:numPr>
        <w:ind w:left="720"/>
        <w:rPr>
          <w:rFonts w:eastAsia="Calibri" w:cs="Times New Roman"/>
        </w:rPr>
      </w:pPr>
      <w:bookmarkStart w:id="1" w:name="_Toc359245861"/>
      <w:bookmarkStart w:id="2" w:name="_Toc356824270"/>
      <w:bookmarkStart w:id="3" w:name="_Toc362256857"/>
      <w:bookmarkStart w:id="4" w:name="_Toc362256902"/>
      <w:bookmarkStart w:id="5" w:name="_Toc362257074"/>
    </w:p>
    <w:p w:rsidR="00F12692" w:rsidRPr="00627E12" w:rsidRDefault="00F12692" w:rsidP="002E62BB">
      <w:pPr>
        <w:pStyle w:val="Heading1"/>
        <w:rPr>
          <w:rFonts w:eastAsia="Calibri" w:cs="Times New Roman"/>
        </w:rPr>
      </w:pPr>
      <w:bookmarkStart w:id="6" w:name="_Toc362949984"/>
      <w:r w:rsidRPr="00627E12">
        <w:t>I</w:t>
      </w:r>
      <w:r w:rsidR="0085528F" w:rsidRPr="00627E12">
        <w:t>NTRODUCTIO</w:t>
      </w:r>
      <w:bookmarkEnd w:id="1"/>
      <w:bookmarkEnd w:id="2"/>
      <w:r w:rsidR="0085528F" w:rsidRPr="00627E12">
        <w:t>N</w:t>
      </w:r>
      <w:bookmarkEnd w:id="3"/>
      <w:bookmarkEnd w:id="4"/>
      <w:bookmarkEnd w:id="5"/>
      <w:bookmarkEnd w:id="6"/>
    </w:p>
    <w:p w:rsidR="00F12692" w:rsidRPr="009D4132" w:rsidRDefault="0085528F" w:rsidP="009D4132">
      <w:pPr>
        <w:ind w:firstLine="360"/>
        <w:rPr>
          <w:rFonts w:ascii="Times New Roman" w:hAnsi="Times New Roman" w:cs="Times New Roman"/>
          <w:b/>
          <w:sz w:val="24"/>
          <w:szCs w:val="24"/>
        </w:rPr>
      </w:pPr>
      <w:bookmarkStart w:id="7" w:name="_Toc362256858"/>
      <w:bookmarkStart w:id="8" w:name="_Toc362256903"/>
      <w:bookmarkStart w:id="9" w:name="_Toc362257075"/>
      <w:r w:rsidRPr="009D4132">
        <w:rPr>
          <w:rFonts w:ascii="Times New Roman" w:hAnsi="Times New Roman" w:cs="Times New Roman"/>
          <w:sz w:val="24"/>
          <w:szCs w:val="24"/>
        </w:rPr>
        <w:t xml:space="preserve">Duke Energy Ohio (“Duke” </w:t>
      </w:r>
      <w:r w:rsidR="00A22C90">
        <w:rPr>
          <w:rFonts w:ascii="Times New Roman" w:hAnsi="Times New Roman" w:cs="Times New Roman"/>
          <w:sz w:val="24"/>
          <w:szCs w:val="24"/>
        </w:rPr>
        <w:t>or</w:t>
      </w:r>
      <w:r w:rsidRPr="009D4132">
        <w:rPr>
          <w:rFonts w:ascii="Times New Roman" w:hAnsi="Times New Roman" w:cs="Times New Roman"/>
          <w:sz w:val="24"/>
          <w:szCs w:val="24"/>
        </w:rPr>
        <w:t xml:space="preserve"> “</w:t>
      </w:r>
      <w:r w:rsidR="005611DC">
        <w:rPr>
          <w:rFonts w:ascii="Times New Roman" w:hAnsi="Times New Roman" w:cs="Times New Roman"/>
          <w:sz w:val="24"/>
          <w:szCs w:val="24"/>
        </w:rPr>
        <w:t>Utility</w:t>
      </w:r>
      <w:r w:rsidRPr="009D4132">
        <w:rPr>
          <w:rFonts w:ascii="Times New Roman" w:hAnsi="Times New Roman" w:cs="Times New Roman"/>
          <w:sz w:val="24"/>
          <w:szCs w:val="24"/>
        </w:rPr>
        <w:t>”) proposes to collect $729 million (plus carrying charges) from retail customers over a thirty</w:t>
      </w:r>
      <w:r w:rsidR="007D0C6F">
        <w:rPr>
          <w:rFonts w:ascii="Times New Roman" w:hAnsi="Times New Roman" w:cs="Times New Roman"/>
          <w:sz w:val="24"/>
          <w:szCs w:val="24"/>
        </w:rPr>
        <w:t>-</w:t>
      </w:r>
      <w:r w:rsidRPr="009D4132">
        <w:rPr>
          <w:rFonts w:ascii="Times New Roman" w:hAnsi="Times New Roman" w:cs="Times New Roman"/>
          <w:sz w:val="24"/>
          <w:szCs w:val="24"/>
        </w:rPr>
        <w:t>four</w:t>
      </w:r>
      <w:r w:rsidR="007D0C6F">
        <w:rPr>
          <w:rFonts w:ascii="Times New Roman" w:hAnsi="Times New Roman" w:cs="Times New Roman"/>
          <w:sz w:val="24"/>
          <w:szCs w:val="24"/>
        </w:rPr>
        <w:t>-</w:t>
      </w:r>
      <w:r w:rsidRPr="009D4132">
        <w:rPr>
          <w:rFonts w:ascii="Times New Roman" w:hAnsi="Times New Roman" w:cs="Times New Roman"/>
          <w:sz w:val="24"/>
          <w:szCs w:val="24"/>
        </w:rPr>
        <w:t xml:space="preserve">month </w:t>
      </w:r>
      <w:r w:rsidR="00627E12" w:rsidRPr="00676837">
        <w:rPr>
          <w:rFonts w:ascii="Times New Roman" w:hAnsi="Times New Roman" w:cs="Times New Roman"/>
          <w:sz w:val="24"/>
          <w:szCs w:val="24"/>
        </w:rPr>
        <w:t>period that relates back</w:t>
      </w:r>
      <w:r w:rsidR="00627E12" w:rsidRPr="009D4132">
        <w:rPr>
          <w:rFonts w:ascii="Times New Roman" w:hAnsi="Times New Roman" w:cs="Times New Roman"/>
          <w:b/>
          <w:sz w:val="24"/>
          <w:szCs w:val="24"/>
        </w:rPr>
        <w:t xml:space="preserve"> </w:t>
      </w:r>
      <w:r w:rsidRPr="009D4132">
        <w:rPr>
          <w:rFonts w:ascii="Times New Roman" w:hAnsi="Times New Roman" w:cs="Times New Roman"/>
          <w:sz w:val="24"/>
          <w:szCs w:val="24"/>
        </w:rPr>
        <w:t>to August 1, 2012.</w:t>
      </w:r>
      <w:r w:rsidR="005611DC">
        <w:rPr>
          <w:rStyle w:val="FootnoteReference"/>
          <w:rFonts w:ascii="Times New Roman" w:hAnsi="Times New Roman" w:cs="Times New Roman"/>
          <w:sz w:val="24"/>
          <w:szCs w:val="24"/>
        </w:rPr>
        <w:footnoteReference w:id="2"/>
      </w:r>
      <w:r w:rsidRPr="009D4132">
        <w:rPr>
          <w:rFonts w:ascii="Times New Roman" w:hAnsi="Times New Roman" w:cs="Times New Roman"/>
          <w:sz w:val="24"/>
          <w:szCs w:val="24"/>
        </w:rPr>
        <w:t xml:space="preserve">  </w:t>
      </w:r>
      <w:r w:rsidR="00F12692" w:rsidRPr="009D4132">
        <w:rPr>
          <w:rFonts w:ascii="Times New Roman" w:hAnsi="Times New Roman" w:cs="Times New Roman"/>
          <w:sz w:val="24"/>
          <w:szCs w:val="24"/>
        </w:rPr>
        <w:t>As explained in the Joint Motion to Dismiss and OCC’s Initial Post Hearing Brief, this proposal is unjust, unreasonable, and unlawful on many fronts.</w:t>
      </w:r>
      <w:bookmarkEnd w:id="7"/>
      <w:bookmarkEnd w:id="8"/>
      <w:bookmarkEnd w:id="9"/>
    </w:p>
    <w:p w:rsidR="00F12692" w:rsidRPr="00627E12" w:rsidRDefault="00F12692" w:rsidP="00FB4463">
      <w:pPr>
        <w:pStyle w:val="ListParagraph"/>
        <w:numPr>
          <w:ilvl w:val="0"/>
          <w:numId w:val="20"/>
        </w:numPr>
        <w:spacing w:line="240" w:lineRule="auto"/>
        <w:ind w:left="2160" w:right="720" w:hanging="720"/>
        <w:rPr>
          <w:rFonts w:ascii="Times New Roman" w:eastAsia="Calibri" w:hAnsi="Times New Roman" w:cs="Times New Roman"/>
          <w:sz w:val="24"/>
          <w:szCs w:val="24"/>
        </w:rPr>
      </w:pPr>
      <w:r w:rsidRPr="00627E12">
        <w:rPr>
          <w:rFonts w:ascii="Times New Roman" w:hAnsi="Times New Roman" w:cs="Times New Roman"/>
          <w:sz w:val="24"/>
          <w:szCs w:val="24"/>
        </w:rPr>
        <w:t>It violates</w:t>
      </w:r>
      <w:r w:rsidRPr="00627E12">
        <w:rPr>
          <w:rFonts w:ascii="Times New Roman" w:eastAsia="Calibri" w:hAnsi="Times New Roman" w:cs="Times New Roman"/>
          <w:sz w:val="24"/>
          <w:szCs w:val="24"/>
        </w:rPr>
        <w:t xml:space="preserve"> the Electric Se</w:t>
      </w:r>
      <w:r w:rsidR="00D8706A">
        <w:rPr>
          <w:rFonts w:ascii="Times New Roman" w:eastAsia="Calibri" w:hAnsi="Times New Roman" w:cs="Times New Roman"/>
          <w:sz w:val="24"/>
          <w:szCs w:val="24"/>
        </w:rPr>
        <w:t>curity</w:t>
      </w:r>
      <w:r w:rsidRPr="00627E12">
        <w:rPr>
          <w:rFonts w:ascii="Times New Roman" w:eastAsia="Calibri" w:hAnsi="Times New Roman" w:cs="Times New Roman"/>
          <w:sz w:val="24"/>
          <w:szCs w:val="24"/>
        </w:rPr>
        <w:t xml:space="preserve"> Plan (“ESP”) Stipulation signed less than a year and a half ago.</w:t>
      </w:r>
      <w:r w:rsidRPr="00F12692">
        <w:rPr>
          <w:rStyle w:val="FootnoteReference"/>
          <w:rFonts w:ascii="Times New Roman" w:eastAsia="Calibri" w:hAnsi="Times New Roman" w:cs="Times New Roman"/>
          <w:b/>
          <w:sz w:val="24"/>
          <w:szCs w:val="24"/>
        </w:rPr>
        <w:footnoteReference w:id="3"/>
      </w:r>
      <w:r w:rsidRPr="00627E12">
        <w:rPr>
          <w:rFonts w:ascii="Times New Roman" w:eastAsia="Calibri" w:hAnsi="Times New Roman" w:cs="Times New Roman"/>
          <w:sz w:val="24"/>
          <w:szCs w:val="24"/>
        </w:rPr>
        <w:t xml:space="preserve"> </w:t>
      </w:r>
    </w:p>
    <w:p w:rsidR="00F12692" w:rsidRDefault="00F12692" w:rsidP="00FB4463">
      <w:pPr>
        <w:spacing w:line="240" w:lineRule="auto"/>
        <w:ind w:left="2160" w:right="720" w:hanging="720"/>
        <w:rPr>
          <w:rFonts w:ascii="Times New Roman" w:eastAsia="Calibri" w:hAnsi="Times New Roman" w:cs="Times New Roman"/>
          <w:sz w:val="24"/>
          <w:szCs w:val="24"/>
        </w:rPr>
      </w:pPr>
    </w:p>
    <w:p w:rsidR="002E62BB" w:rsidRDefault="002E62BB" w:rsidP="00FB4463">
      <w:pPr>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12692" w:rsidRDefault="00F12692" w:rsidP="00FB4463">
      <w:pPr>
        <w:pStyle w:val="ListParagraph"/>
        <w:numPr>
          <w:ilvl w:val="0"/>
          <w:numId w:val="20"/>
        </w:numPr>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I</w:t>
      </w:r>
      <w:r w:rsidRPr="00F12692">
        <w:rPr>
          <w:rFonts w:ascii="Times New Roman" w:eastAsia="Calibri" w:hAnsi="Times New Roman" w:cs="Times New Roman"/>
          <w:sz w:val="24"/>
          <w:szCs w:val="24"/>
        </w:rPr>
        <w:t>t is contrary to the General Assembly’s directive that Duke be “fully on its own in the competitive market”</w:t>
      </w:r>
      <w:r w:rsidRPr="00F12692">
        <w:rPr>
          <w:rFonts w:ascii="Times New Roman" w:eastAsia="Calibri" w:hAnsi="Times New Roman" w:cs="Times New Roman"/>
          <w:b/>
          <w:sz w:val="24"/>
          <w:szCs w:val="24"/>
          <w:vertAlign w:val="superscript"/>
        </w:rPr>
        <w:footnoteReference w:id="4"/>
      </w:r>
      <w:r w:rsidRPr="00F12692">
        <w:rPr>
          <w:rFonts w:ascii="Times New Roman" w:eastAsia="Calibri" w:hAnsi="Times New Roman" w:cs="Times New Roman"/>
          <w:sz w:val="24"/>
          <w:szCs w:val="24"/>
        </w:rPr>
        <w:t xml:space="preserve"> after its market development period ended in 2005.</w:t>
      </w:r>
      <w:r w:rsidRPr="00F12692">
        <w:rPr>
          <w:rStyle w:val="FootnoteReference"/>
          <w:rFonts w:ascii="Times New Roman" w:eastAsia="Calibri" w:hAnsi="Times New Roman" w:cs="Times New Roman"/>
          <w:b/>
          <w:sz w:val="24"/>
          <w:szCs w:val="24"/>
        </w:rPr>
        <w:footnoteReference w:id="5"/>
      </w:r>
      <w:r w:rsidRPr="00F12692">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
    <w:p w:rsidR="00F12692" w:rsidRDefault="00F12692" w:rsidP="00FB4463">
      <w:pPr>
        <w:pStyle w:val="ListParagraph"/>
        <w:spacing w:line="240" w:lineRule="auto"/>
        <w:ind w:left="2160" w:right="720" w:hanging="720"/>
        <w:rPr>
          <w:rFonts w:ascii="Times New Roman" w:eastAsia="Calibri" w:hAnsi="Times New Roman" w:cs="Times New Roman"/>
          <w:sz w:val="24"/>
          <w:szCs w:val="24"/>
        </w:rPr>
      </w:pPr>
    </w:p>
    <w:p w:rsidR="00F12692" w:rsidRPr="00627E12" w:rsidRDefault="00627E12" w:rsidP="00FB4463">
      <w:pPr>
        <w:pStyle w:val="ListParagraph"/>
        <w:numPr>
          <w:ilvl w:val="0"/>
          <w:numId w:val="20"/>
        </w:numPr>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Duke has failed to prove that $729 million (plus carrying costs</w:t>
      </w:r>
      <w:r w:rsidR="00A22C90">
        <w:rPr>
          <w:rFonts w:ascii="Times New Roman" w:eastAsia="Calibri" w:hAnsi="Times New Roman" w:cs="Times New Roman"/>
          <w:sz w:val="24"/>
          <w:szCs w:val="24"/>
        </w:rPr>
        <w:t>) is</w:t>
      </w:r>
      <w:r w:rsidR="00F12692" w:rsidRPr="00627E12">
        <w:rPr>
          <w:rFonts w:ascii="Times New Roman" w:eastAsia="Calibri" w:hAnsi="Times New Roman" w:cs="Times New Roman"/>
          <w:sz w:val="24"/>
          <w:szCs w:val="24"/>
        </w:rPr>
        <w:t xml:space="preserve"> a just and reasonable revenue requirement that should be collected from its retail customers. </w:t>
      </w:r>
    </w:p>
    <w:p w:rsidR="00F12692" w:rsidRDefault="00F12692" w:rsidP="00FB4463">
      <w:pPr>
        <w:spacing w:line="240" w:lineRule="auto"/>
        <w:ind w:left="2160" w:right="720" w:hanging="720"/>
        <w:rPr>
          <w:rFonts w:ascii="Times New Roman" w:eastAsia="Calibri" w:hAnsi="Times New Roman" w:cs="Times New Roman"/>
          <w:sz w:val="24"/>
          <w:szCs w:val="24"/>
        </w:rPr>
      </w:pPr>
    </w:p>
    <w:p w:rsidR="00F12692" w:rsidRPr="00627E12" w:rsidRDefault="00F12692" w:rsidP="00FB4463">
      <w:pPr>
        <w:pStyle w:val="ListParagraph"/>
        <w:numPr>
          <w:ilvl w:val="0"/>
          <w:numId w:val="20"/>
        </w:numPr>
        <w:spacing w:line="240" w:lineRule="auto"/>
        <w:ind w:left="2160" w:right="720" w:hanging="720"/>
        <w:rPr>
          <w:rFonts w:ascii="Times New Roman" w:eastAsia="Calibri" w:hAnsi="Times New Roman" w:cs="Times New Roman"/>
          <w:sz w:val="24"/>
          <w:szCs w:val="24"/>
        </w:rPr>
      </w:pPr>
      <w:r w:rsidRPr="00627E12">
        <w:rPr>
          <w:rFonts w:ascii="Times New Roman" w:eastAsia="Calibri" w:hAnsi="Times New Roman" w:cs="Times New Roman"/>
          <w:sz w:val="24"/>
          <w:szCs w:val="24"/>
        </w:rPr>
        <w:t>Duke seek</w:t>
      </w:r>
      <w:r w:rsidR="00627E12">
        <w:rPr>
          <w:rFonts w:ascii="Times New Roman" w:eastAsia="Calibri" w:hAnsi="Times New Roman" w:cs="Times New Roman"/>
          <w:sz w:val="24"/>
          <w:szCs w:val="24"/>
        </w:rPr>
        <w:t>s</w:t>
      </w:r>
      <w:r w:rsidRPr="00627E12">
        <w:rPr>
          <w:rFonts w:ascii="Times New Roman" w:eastAsia="Calibri" w:hAnsi="Times New Roman" w:cs="Times New Roman"/>
          <w:sz w:val="24"/>
          <w:szCs w:val="24"/>
        </w:rPr>
        <w:t xml:space="preserve"> rate increases for services rendered in the past.  Doing so is retroactive ratemaking and is prohibited in Ohio under </w:t>
      </w:r>
      <w:proofErr w:type="spellStart"/>
      <w:r w:rsidRPr="00627E12">
        <w:rPr>
          <w:rFonts w:ascii="Times New Roman" w:eastAsia="Calibri" w:hAnsi="Times New Roman" w:cs="Times New Roman"/>
          <w:i/>
          <w:sz w:val="24"/>
          <w:szCs w:val="24"/>
        </w:rPr>
        <w:t>Keco</w:t>
      </w:r>
      <w:proofErr w:type="spellEnd"/>
      <w:r w:rsidRPr="00627E12">
        <w:rPr>
          <w:rFonts w:ascii="Times New Roman" w:eastAsia="Calibri" w:hAnsi="Times New Roman" w:cs="Times New Roman"/>
          <w:sz w:val="24"/>
          <w:szCs w:val="24"/>
        </w:rPr>
        <w:t xml:space="preserve"> and its progeny.</w:t>
      </w:r>
      <w:r w:rsidRPr="00F12692">
        <w:rPr>
          <w:rStyle w:val="FootnoteReference"/>
          <w:rFonts w:ascii="Times New Roman" w:eastAsia="Calibri" w:hAnsi="Times New Roman" w:cs="Times New Roman"/>
          <w:sz w:val="24"/>
          <w:szCs w:val="24"/>
        </w:rPr>
        <w:footnoteReference w:id="6"/>
      </w:r>
      <w:r w:rsidRPr="00627E12">
        <w:rPr>
          <w:rFonts w:ascii="Times New Roman" w:eastAsia="Calibri" w:hAnsi="Times New Roman" w:cs="Times New Roman"/>
          <w:sz w:val="24"/>
          <w:szCs w:val="24"/>
        </w:rPr>
        <w:t xml:space="preserve">  </w:t>
      </w:r>
    </w:p>
    <w:p w:rsidR="00627E12" w:rsidRPr="00F12692" w:rsidRDefault="00627E12" w:rsidP="00FB4463">
      <w:pPr>
        <w:spacing w:line="240" w:lineRule="auto"/>
        <w:ind w:left="2160" w:right="720" w:hanging="720"/>
        <w:rPr>
          <w:rFonts w:ascii="Times New Roman" w:eastAsia="Calibri" w:hAnsi="Times New Roman" w:cs="Times New Roman"/>
          <w:sz w:val="24"/>
          <w:szCs w:val="24"/>
        </w:rPr>
      </w:pPr>
    </w:p>
    <w:p w:rsidR="006F7C6A" w:rsidRDefault="00F12692">
      <w:pPr>
        <w:rPr>
          <w:rFonts w:ascii="Times New Roman" w:hAnsi="Times New Roman" w:cs="Times New Roman"/>
          <w:sz w:val="24"/>
          <w:szCs w:val="24"/>
        </w:rPr>
      </w:pPr>
      <w:r w:rsidRPr="00F12692">
        <w:rPr>
          <w:rFonts w:ascii="Times New Roman" w:eastAsia="Calibri" w:hAnsi="Times New Roman" w:cs="Times New Roman"/>
          <w:sz w:val="24"/>
          <w:szCs w:val="24"/>
        </w:rPr>
        <w:tab/>
      </w:r>
      <w:r w:rsidRPr="00F12692">
        <w:rPr>
          <w:rFonts w:ascii="Times New Roman" w:hAnsi="Times New Roman" w:cs="Times New Roman"/>
          <w:sz w:val="24"/>
          <w:szCs w:val="24"/>
        </w:rPr>
        <w:t xml:space="preserve">Under Ohio law, customers are supposed to be the beneficiaries of Duke’s entry into a competitive </w:t>
      </w:r>
      <w:r w:rsidR="005611DC">
        <w:rPr>
          <w:rFonts w:ascii="Times New Roman" w:hAnsi="Times New Roman" w:cs="Times New Roman"/>
          <w:sz w:val="24"/>
          <w:szCs w:val="24"/>
        </w:rPr>
        <w:t xml:space="preserve">generation </w:t>
      </w:r>
      <w:r w:rsidRPr="00F12692">
        <w:rPr>
          <w:rFonts w:ascii="Times New Roman" w:hAnsi="Times New Roman" w:cs="Times New Roman"/>
          <w:sz w:val="24"/>
          <w:szCs w:val="24"/>
        </w:rPr>
        <w:t xml:space="preserve">market.  But Duke wants customers to protect it from the market.  </w:t>
      </w:r>
      <w:r w:rsidR="00C839E2">
        <w:rPr>
          <w:rFonts w:ascii="Times New Roman" w:hAnsi="Times New Roman" w:cs="Times New Roman"/>
          <w:sz w:val="24"/>
          <w:szCs w:val="24"/>
        </w:rPr>
        <w:t xml:space="preserve">It </w:t>
      </w:r>
      <w:r w:rsidR="005611DC">
        <w:rPr>
          <w:rFonts w:ascii="Times New Roman" w:hAnsi="Times New Roman" w:cs="Times New Roman"/>
          <w:sz w:val="24"/>
          <w:szCs w:val="24"/>
        </w:rPr>
        <w:t>requests</w:t>
      </w:r>
      <w:r w:rsidR="00C839E2">
        <w:rPr>
          <w:rFonts w:ascii="Times New Roman" w:hAnsi="Times New Roman" w:cs="Times New Roman"/>
          <w:sz w:val="24"/>
          <w:szCs w:val="24"/>
        </w:rPr>
        <w:t xml:space="preserve"> </w:t>
      </w:r>
      <w:r w:rsidRPr="00F12692">
        <w:rPr>
          <w:rFonts w:ascii="Times New Roman" w:hAnsi="Times New Roman" w:cs="Times New Roman"/>
          <w:sz w:val="24"/>
          <w:szCs w:val="24"/>
        </w:rPr>
        <w:t xml:space="preserve">protection in the form of receiving </w:t>
      </w:r>
      <w:r w:rsidR="005611DC">
        <w:rPr>
          <w:rFonts w:ascii="Times New Roman" w:hAnsi="Times New Roman" w:cs="Times New Roman"/>
          <w:sz w:val="24"/>
          <w:szCs w:val="24"/>
        </w:rPr>
        <w:t xml:space="preserve">from retail customers </w:t>
      </w:r>
      <w:r w:rsidRPr="00F12692">
        <w:rPr>
          <w:rFonts w:ascii="Times New Roman" w:hAnsi="Times New Roman" w:cs="Times New Roman"/>
          <w:sz w:val="24"/>
          <w:szCs w:val="24"/>
        </w:rPr>
        <w:t xml:space="preserve">embedded cost rates for wholesale capacity that </w:t>
      </w:r>
      <w:r w:rsidR="005611DC">
        <w:rPr>
          <w:rFonts w:ascii="Times New Roman" w:hAnsi="Times New Roman" w:cs="Times New Roman"/>
          <w:sz w:val="24"/>
          <w:szCs w:val="24"/>
        </w:rPr>
        <w:t>Duke</w:t>
      </w:r>
      <w:r w:rsidRPr="00F12692">
        <w:rPr>
          <w:rFonts w:ascii="Times New Roman" w:hAnsi="Times New Roman" w:cs="Times New Roman"/>
          <w:sz w:val="24"/>
          <w:szCs w:val="24"/>
        </w:rPr>
        <w:t xml:space="preserve"> sells to </w:t>
      </w:r>
      <w:r w:rsidR="00C839E2">
        <w:rPr>
          <w:rFonts w:ascii="Times New Roman" w:hAnsi="Times New Roman" w:cs="Times New Roman"/>
          <w:sz w:val="24"/>
          <w:szCs w:val="24"/>
        </w:rPr>
        <w:t>marketers</w:t>
      </w:r>
      <w:r w:rsidRPr="00F12692">
        <w:rPr>
          <w:rFonts w:ascii="Times New Roman" w:hAnsi="Times New Roman" w:cs="Times New Roman"/>
          <w:sz w:val="24"/>
          <w:szCs w:val="24"/>
        </w:rPr>
        <w:t xml:space="preserve"> at </w:t>
      </w:r>
      <w:r w:rsidR="005611DC">
        <w:rPr>
          <w:rFonts w:ascii="Times New Roman" w:hAnsi="Times New Roman" w:cs="Times New Roman"/>
          <w:sz w:val="24"/>
          <w:szCs w:val="24"/>
        </w:rPr>
        <w:t xml:space="preserve">the </w:t>
      </w:r>
      <w:r w:rsidR="008B498E">
        <w:rPr>
          <w:rFonts w:ascii="Times New Roman" w:hAnsi="Times New Roman" w:cs="Times New Roman"/>
          <w:sz w:val="24"/>
          <w:szCs w:val="24"/>
        </w:rPr>
        <w:t>PJM Reliability Pricing Model (“</w:t>
      </w:r>
      <w:r w:rsidRPr="00F12692">
        <w:rPr>
          <w:rFonts w:ascii="Times New Roman" w:hAnsi="Times New Roman" w:cs="Times New Roman"/>
          <w:sz w:val="24"/>
          <w:szCs w:val="24"/>
        </w:rPr>
        <w:t>RPM</w:t>
      </w:r>
      <w:r w:rsidR="008B498E">
        <w:rPr>
          <w:rFonts w:ascii="Times New Roman" w:hAnsi="Times New Roman" w:cs="Times New Roman"/>
          <w:sz w:val="24"/>
          <w:szCs w:val="24"/>
        </w:rPr>
        <w:t>”)</w:t>
      </w:r>
      <w:r w:rsidR="005611DC">
        <w:rPr>
          <w:rFonts w:ascii="Times New Roman" w:hAnsi="Times New Roman" w:cs="Times New Roman"/>
          <w:sz w:val="24"/>
          <w:szCs w:val="24"/>
        </w:rPr>
        <w:t xml:space="preserve"> price</w:t>
      </w:r>
      <w:r w:rsidRPr="00F12692">
        <w:rPr>
          <w:rFonts w:ascii="Times New Roman" w:hAnsi="Times New Roman" w:cs="Times New Roman"/>
          <w:sz w:val="24"/>
          <w:szCs w:val="24"/>
        </w:rPr>
        <w:t xml:space="preserve">.  </w:t>
      </w:r>
      <w:r w:rsidR="00C839E2">
        <w:rPr>
          <w:rFonts w:ascii="Times New Roman" w:hAnsi="Times New Roman" w:cs="Times New Roman"/>
          <w:sz w:val="24"/>
          <w:szCs w:val="24"/>
        </w:rPr>
        <w:t xml:space="preserve">The PUCO should reject this </w:t>
      </w:r>
      <w:r w:rsidR="005611DC">
        <w:rPr>
          <w:rFonts w:ascii="Times New Roman" w:hAnsi="Times New Roman" w:cs="Times New Roman"/>
          <w:sz w:val="24"/>
          <w:szCs w:val="24"/>
        </w:rPr>
        <w:t>request</w:t>
      </w:r>
      <w:r w:rsidR="00C839E2">
        <w:rPr>
          <w:rFonts w:ascii="Times New Roman" w:hAnsi="Times New Roman" w:cs="Times New Roman"/>
          <w:sz w:val="24"/>
          <w:szCs w:val="24"/>
        </w:rPr>
        <w:t>.  In</w:t>
      </w:r>
      <w:r w:rsidR="001F0886">
        <w:rPr>
          <w:rFonts w:ascii="Times New Roman" w:hAnsi="Times New Roman" w:cs="Times New Roman"/>
          <w:sz w:val="24"/>
          <w:szCs w:val="24"/>
        </w:rPr>
        <w:t xml:space="preserve"> doing so the </w:t>
      </w:r>
      <w:r w:rsidR="00A22C90">
        <w:rPr>
          <w:rFonts w:ascii="Times New Roman" w:hAnsi="Times New Roman" w:cs="Times New Roman"/>
          <w:sz w:val="24"/>
          <w:szCs w:val="24"/>
        </w:rPr>
        <w:t>PUCO will</w:t>
      </w:r>
      <w:r w:rsidR="001F0886">
        <w:rPr>
          <w:rFonts w:ascii="Times New Roman" w:hAnsi="Times New Roman" w:cs="Times New Roman"/>
          <w:sz w:val="24"/>
          <w:szCs w:val="24"/>
        </w:rPr>
        <w:t xml:space="preserve"> be upholding the quintessential policy of the state—ensuring reasonably priced retail electric service is available to consumers in the state of Ohio.  </w:t>
      </w:r>
      <w:r w:rsidR="00C839E2">
        <w:rPr>
          <w:rFonts w:ascii="Times New Roman" w:hAnsi="Times New Roman" w:cs="Times New Roman"/>
          <w:sz w:val="24"/>
          <w:szCs w:val="24"/>
        </w:rPr>
        <w:t xml:space="preserve"> </w:t>
      </w:r>
    </w:p>
    <w:p w:rsidR="007B4368" w:rsidRDefault="007B4368">
      <w:pPr>
        <w:rPr>
          <w:rFonts w:ascii="Times New Roman Bold" w:eastAsiaTheme="majorEastAsia" w:hAnsi="Times New Roman Bold" w:cstheme="majorBidi"/>
          <w:b/>
          <w:bCs/>
          <w:caps/>
          <w:sz w:val="24"/>
          <w:szCs w:val="28"/>
        </w:rPr>
      </w:pPr>
    </w:p>
    <w:p w:rsidR="00C6545B" w:rsidRPr="00C839E2" w:rsidRDefault="0085528F" w:rsidP="00FB4463">
      <w:pPr>
        <w:pStyle w:val="Heading1"/>
      </w:pPr>
      <w:bookmarkStart w:id="10" w:name="_Toc362949985"/>
      <w:r w:rsidRPr="00C839E2">
        <w:lastRenderedPageBreak/>
        <w:t xml:space="preserve">LAW AND </w:t>
      </w:r>
      <w:r w:rsidR="007C1220" w:rsidRPr="00C839E2">
        <w:t>ARGUMENT</w:t>
      </w:r>
      <w:bookmarkEnd w:id="10"/>
    </w:p>
    <w:p w:rsidR="0030712C" w:rsidRDefault="0030712C" w:rsidP="00FB4463">
      <w:pPr>
        <w:pStyle w:val="Heading2"/>
      </w:pPr>
      <w:bookmarkStart w:id="11" w:name="_Toc362949986"/>
      <w:r>
        <w:t>A</w:t>
      </w:r>
      <w:r w:rsidRPr="009B2BB3">
        <w:t>.</w:t>
      </w:r>
      <w:r w:rsidRPr="009B2BB3">
        <w:tab/>
      </w:r>
      <w:r>
        <w:t xml:space="preserve">The Joint Motion </w:t>
      </w:r>
      <w:r w:rsidR="00FB4463">
        <w:t xml:space="preserve">To </w:t>
      </w:r>
      <w:r>
        <w:t xml:space="preserve">Dismiss </w:t>
      </w:r>
      <w:r w:rsidR="00FB4463">
        <w:t xml:space="preserve">Should Be </w:t>
      </w:r>
      <w:r>
        <w:t>Granted</w:t>
      </w:r>
      <w:r w:rsidR="00035CF2">
        <w:t xml:space="preserve"> For Reasons That Include Justice For Customers That </w:t>
      </w:r>
      <w:r w:rsidR="001E3D30">
        <w:t xml:space="preserve">Already </w:t>
      </w:r>
      <w:r w:rsidR="00035CF2">
        <w:t>Are Paying</w:t>
      </w:r>
      <w:r w:rsidR="001E3D30">
        <w:t xml:space="preserve"> Several Hundred Million Dollars To</w:t>
      </w:r>
      <w:r w:rsidR="00035CF2">
        <w:t xml:space="preserve"> Duke </w:t>
      </w:r>
      <w:r w:rsidR="001E7113">
        <w:t>For Agreed-To</w:t>
      </w:r>
      <w:r w:rsidR="001E3D30">
        <w:t xml:space="preserve"> Stability Charges.</w:t>
      </w:r>
      <w:bookmarkEnd w:id="11"/>
    </w:p>
    <w:p w:rsidR="00AA0C4C" w:rsidRPr="00AA0C4C" w:rsidRDefault="00AA0C4C" w:rsidP="00413BEF">
      <w:pPr>
        <w:ind w:firstLine="720"/>
        <w:rPr>
          <w:rFonts w:ascii="Times New Roman" w:eastAsia="Calibri" w:hAnsi="Times New Roman" w:cs="Times New Roman"/>
          <w:sz w:val="24"/>
          <w:szCs w:val="24"/>
        </w:rPr>
      </w:pPr>
      <w:r w:rsidRPr="00AA0C4C">
        <w:rPr>
          <w:rFonts w:ascii="Times New Roman" w:hAnsi="Times New Roman" w:cs="Times New Roman"/>
          <w:sz w:val="24"/>
          <w:szCs w:val="24"/>
        </w:rPr>
        <w:t>Various intervening parties to this proceeding (“Signatory Parties”), including OCC, filed a Joint Motion to Dismiss on October 4, 2012.</w:t>
      </w:r>
      <w:r w:rsidRPr="00AA0C4C">
        <w:rPr>
          <w:rStyle w:val="FootnoteReference"/>
          <w:rFonts w:ascii="Times New Roman" w:hAnsi="Times New Roman" w:cs="Times New Roman"/>
          <w:sz w:val="24"/>
          <w:szCs w:val="24"/>
        </w:rPr>
        <w:footnoteReference w:id="7"/>
      </w:r>
      <w:r w:rsidRPr="00AA0C4C">
        <w:rPr>
          <w:rFonts w:ascii="Times New Roman" w:hAnsi="Times New Roman" w:cs="Times New Roman"/>
          <w:b/>
          <w:sz w:val="24"/>
          <w:szCs w:val="24"/>
        </w:rPr>
        <w:t xml:space="preserve">  </w:t>
      </w:r>
      <w:r w:rsidRPr="00AA0C4C">
        <w:rPr>
          <w:rFonts w:ascii="Times New Roman" w:eastAsia="Calibri" w:hAnsi="Times New Roman" w:cs="Times New Roman"/>
          <w:sz w:val="24"/>
          <w:szCs w:val="24"/>
        </w:rPr>
        <w:t xml:space="preserve">The Signatory Parties moved the PUCO to dismiss Duke’s Application to collect $729 million from customers—about $150-$200 per year for three years for a typical residential customer. </w:t>
      </w:r>
      <w:r w:rsidR="00035CF2">
        <w:rPr>
          <w:rFonts w:ascii="Times New Roman" w:eastAsia="Calibri" w:hAnsi="Times New Roman" w:cs="Times New Roman"/>
          <w:sz w:val="24"/>
          <w:szCs w:val="24"/>
        </w:rPr>
        <w:t>These are the same customer</w:t>
      </w:r>
      <w:r w:rsidR="00885374">
        <w:rPr>
          <w:rFonts w:ascii="Times New Roman" w:eastAsia="Calibri" w:hAnsi="Times New Roman" w:cs="Times New Roman"/>
          <w:sz w:val="24"/>
          <w:szCs w:val="24"/>
        </w:rPr>
        <w:t>s</w:t>
      </w:r>
      <w:r w:rsidR="00035CF2">
        <w:rPr>
          <w:rFonts w:ascii="Times New Roman" w:eastAsia="Calibri" w:hAnsi="Times New Roman" w:cs="Times New Roman"/>
          <w:sz w:val="24"/>
          <w:szCs w:val="24"/>
        </w:rPr>
        <w:t xml:space="preserve"> that already</w:t>
      </w:r>
      <w:r w:rsidR="001124FC">
        <w:rPr>
          <w:rFonts w:ascii="Times New Roman" w:eastAsia="Calibri" w:hAnsi="Times New Roman" w:cs="Times New Roman"/>
          <w:sz w:val="24"/>
          <w:szCs w:val="24"/>
        </w:rPr>
        <w:t xml:space="preserve"> are paying $330</w:t>
      </w:r>
      <w:r w:rsidR="00035CF2">
        <w:rPr>
          <w:rFonts w:ascii="Times New Roman" w:eastAsia="Calibri" w:hAnsi="Times New Roman" w:cs="Times New Roman"/>
          <w:sz w:val="24"/>
          <w:szCs w:val="24"/>
        </w:rPr>
        <w:t xml:space="preserve"> million</w:t>
      </w:r>
      <w:r w:rsidR="00885374">
        <w:rPr>
          <w:rFonts w:ascii="Times New Roman" w:eastAsia="Calibri" w:hAnsi="Times New Roman" w:cs="Times New Roman"/>
          <w:sz w:val="24"/>
          <w:szCs w:val="24"/>
        </w:rPr>
        <w:t xml:space="preserve"> to Duke</w:t>
      </w:r>
      <w:r w:rsidR="00035CF2">
        <w:rPr>
          <w:rFonts w:ascii="Times New Roman" w:eastAsia="Calibri" w:hAnsi="Times New Roman" w:cs="Times New Roman"/>
          <w:sz w:val="24"/>
          <w:szCs w:val="24"/>
        </w:rPr>
        <w:t xml:space="preserve"> in so-called “stability” charges </w:t>
      </w:r>
      <w:r w:rsidR="003C4E34">
        <w:rPr>
          <w:rFonts w:ascii="Times New Roman" w:eastAsia="Calibri" w:hAnsi="Times New Roman" w:cs="Times New Roman"/>
          <w:sz w:val="24"/>
          <w:szCs w:val="24"/>
        </w:rPr>
        <w:t xml:space="preserve">that, unlike the capacity charges, were agreed to </w:t>
      </w:r>
      <w:r w:rsidR="00885374">
        <w:rPr>
          <w:rFonts w:ascii="Times New Roman" w:eastAsia="Calibri" w:hAnsi="Times New Roman" w:cs="Times New Roman"/>
          <w:sz w:val="24"/>
          <w:szCs w:val="24"/>
        </w:rPr>
        <w:t>in the Stipulation</w:t>
      </w:r>
      <w:r w:rsidR="00035CF2">
        <w:rPr>
          <w:rFonts w:ascii="Times New Roman" w:eastAsia="Calibri" w:hAnsi="Times New Roman" w:cs="Times New Roman"/>
          <w:sz w:val="24"/>
          <w:szCs w:val="24"/>
        </w:rPr>
        <w:t xml:space="preserve"> in the electric security plan</w:t>
      </w:r>
      <w:r w:rsidR="00885374">
        <w:rPr>
          <w:rFonts w:ascii="Times New Roman" w:eastAsia="Calibri" w:hAnsi="Times New Roman" w:cs="Times New Roman"/>
          <w:sz w:val="24"/>
          <w:szCs w:val="24"/>
        </w:rPr>
        <w:t xml:space="preserve"> case</w:t>
      </w:r>
      <w:r w:rsidR="00035C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the Joint Motion to Dismiss, the Signatory </w:t>
      </w:r>
      <w:r w:rsidR="00D8706A">
        <w:rPr>
          <w:rFonts w:ascii="Times New Roman" w:eastAsia="Calibri" w:hAnsi="Times New Roman" w:cs="Times New Roman"/>
          <w:sz w:val="24"/>
          <w:szCs w:val="24"/>
        </w:rPr>
        <w:t>P</w:t>
      </w:r>
      <w:r>
        <w:rPr>
          <w:rFonts w:ascii="Times New Roman" w:eastAsia="Calibri" w:hAnsi="Times New Roman" w:cs="Times New Roman"/>
          <w:sz w:val="24"/>
          <w:szCs w:val="24"/>
        </w:rPr>
        <w:t>arties urged t</w:t>
      </w:r>
      <w:r w:rsidRPr="00AA0C4C">
        <w:rPr>
          <w:rFonts w:ascii="Times New Roman" w:eastAsia="Calibri" w:hAnsi="Times New Roman" w:cs="Times New Roman"/>
          <w:sz w:val="24"/>
          <w:szCs w:val="24"/>
        </w:rPr>
        <w:t xml:space="preserve">he PUCO </w:t>
      </w:r>
      <w:r w:rsidR="00A22C90">
        <w:rPr>
          <w:rFonts w:ascii="Times New Roman" w:eastAsia="Calibri" w:hAnsi="Times New Roman" w:cs="Times New Roman"/>
          <w:sz w:val="24"/>
          <w:szCs w:val="24"/>
        </w:rPr>
        <w:t xml:space="preserve">to </w:t>
      </w:r>
      <w:r w:rsidR="00A22C90" w:rsidRPr="00AA0C4C">
        <w:rPr>
          <w:rFonts w:ascii="Times New Roman" w:eastAsia="Calibri" w:hAnsi="Times New Roman" w:cs="Times New Roman"/>
          <w:sz w:val="24"/>
          <w:szCs w:val="24"/>
        </w:rPr>
        <w:t>enforce</w:t>
      </w:r>
      <w:r w:rsidRPr="00AA0C4C">
        <w:rPr>
          <w:rFonts w:ascii="Times New Roman" w:eastAsia="Calibri" w:hAnsi="Times New Roman" w:cs="Times New Roman"/>
          <w:sz w:val="24"/>
          <w:szCs w:val="24"/>
        </w:rPr>
        <w:t xml:space="preserve"> the entire Duke ESP Stipulation which priced capacity at</w:t>
      </w:r>
      <w:r w:rsidR="008B498E">
        <w:rPr>
          <w:rFonts w:ascii="Times New Roman" w:eastAsia="Calibri" w:hAnsi="Times New Roman" w:cs="Times New Roman"/>
          <w:sz w:val="24"/>
          <w:szCs w:val="24"/>
        </w:rPr>
        <w:t xml:space="preserve"> Final Zon</w:t>
      </w:r>
      <w:r w:rsidR="00C87FB5">
        <w:rPr>
          <w:rFonts w:ascii="Times New Roman" w:eastAsia="Calibri" w:hAnsi="Times New Roman" w:cs="Times New Roman"/>
          <w:sz w:val="24"/>
          <w:szCs w:val="24"/>
        </w:rPr>
        <w:t>al</w:t>
      </w:r>
      <w:r w:rsidR="008B498E">
        <w:rPr>
          <w:rFonts w:ascii="Times New Roman" w:eastAsia="Calibri" w:hAnsi="Times New Roman" w:cs="Times New Roman"/>
          <w:sz w:val="24"/>
          <w:szCs w:val="24"/>
        </w:rPr>
        <w:t xml:space="preserve"> Capacity Price (“</w:t>
      </w:r>
      <w:r w:rsidRPr="00AA0C4C">
        <w:rPr>
          <w:rFonts w:ascii="Times New Roman" w:eastAsia="Calibri" w:hAnsi="Times New Roman" w:cs="Times New Roman"/>
          <w:sz w:val="24"/>
          <w:szCs w:val="24"/>
        </w:rPr>
        <w:t>FZCP</w:t>
      </w:r>
      <w:r w:rsidR="008B498E">
        <w:rPr>
          <w:rFonts w:ascii="Times New Roman" w:eastAsia="Calibri" w:hAnsi="Times New Roman" w:cs="Times New Roman"/>
          <w:sz w:val="24"/>
          <w:szCs w:val="24"/>
        </w:rPr>
        <w:t>”)</w:t>
      </w:r>
      <w:r w:rsidRPr="00AA0C4C">
        <w:rPr>
          <w:rFonts w:ascii="Times New Roman" w:eastAsia="Calibri" w:hAnsi="Times New Roman" w:cs="Times New Roman"/>
          <w:sz w:val="24"/>
          <w:szCs w:val="24"/>
        </w:rPr>
        <w:t>, not embedded costs</w:t>
      </w:r>
      <w:r>
        <w:rPr>
          <w:rFonts w:ascii="Times New Roman" w:eastAsia="Calibri" w:hAnsi="Times New Roman" w:cs="Times New Roman"/>
          <w:sz w:val="24"/>
          <w:szCs w:val="24"/>
        </w:rPr>
        <w:t xml:space="preserve">.  </w:t>
      </w:r>
      <w:r w:rsidR="00413BEF">
        <w:rPr>
          <w:rFonts w:ascii="Times New Roman" w:eastAsia="Calibri" w:hAnsi="Times New Roman" w:cs="Times New Roman"/>
          <w:sz w:val="24"/>
          <w:szCs w:val="24"/>
        </w:rPr>
        <w:t>The Signatory Parties also argued that</w:t>
      </w:r>
      <w:r>
        <w:rPr>
          <w:rFonts w:ascii="Times New Roman" w:eastAsia="Calibri" w:hAnsi="Times New Roman" w:cs="Times New Roman"/>
          <w:sz w:val="24"/>
          <w:szCs w:val="24"/>
        </w:rPr>
        <w:t xml:space="preserve"> </w:t>
      </w:r>
      <w:r w:rsidRPr="00AA0C4C">
        <w:rPr>
          <w:rFonts w:ascii="Times New Roman" w:eastAsia="Calibri" w:hAnsi="Times New Roman" w:cs="Times New Roman"/>
          <w:sz w:val="24"/>
          <w:szCs w:val="24"/>
        </w:rPr>
        <w:t>Duk</w:t>
      </w:r>
      <w:r>
        <w:rPr>
          <w:rFonts w:ascii="Times New Roman" w:eastAsia="Calibri" w:hAnsi="Times New Roman" w:cs="Times New Roman"/>
          <w:sz w:val="24"/>
          <w:szCs w:val="24"/>
        </w:rPr>
        <w:t>e is precluded under the d</w:t>
      </w:r>
      <w:r w:rsidRPr="00AA0C4C">
        <w:rPr>
          <w:rFonts w:ascii="Times New Roman" w:eastAsia="Calibri" w:hAnsi="Times New Roman" w:cs="Times New Roman"/>
          <w:sz w:val="24"/>
          <w:szCs w:val="24"/>
        </w:rPr>
        <w:t xml:space="preserve">octrines of </w:t>
      </w:r>
      <w:r>
        <w:rPr>
          <w:rFonts w:ascii="Times New Roman" w:eastAsia="Calibri" w:hAnsi="Times New Roman" w:cs="Times New Roman"/>
          <w:sz w:val="24"/>
          <w:szCs w:val="24"/>
        </w:rPr>
        <w:t>r</w:t>
      </w:r>
      <w:r w:rsidRPr="00AA0C4C">
        <w:rPr>
          <w:rFonts w:ascii="Times New Roman" w:eastAsia="Calibri" w:hAnsi="Times New Roman" w:cs="Times New Roman"/>
          <w:sz w:val="24"/>
          <w:szCs w:val="24"/>
        </w:rPr>
        <w:t xml:space="preserve">es </w:t>
      </w:r>
      <w:r>
        <w:rPr>
          <w:rFonts w:ascii="Times New Roman" w:eastAsia="Calibri" w:hAnsi="Times New Roman" w:cs="Times New Roman"/>
          <w:sz w:val="24"/>
          <w:szCs w:val="24"/>
        </w:rPr>
        <w:t>j</w:t>
      </w:r>
      <w:r w:rsidRPr="00AA0C4C">
        <w:rPr>
          <w:rFonts w:ascii="Times New Roman" w:eastAsia="Calibri" w:hAnsi="Times New Roman" w:cs="Times New Roman"/>
          <w:sz w:val="24"/>
          <w:szCs w:val="24"/>
        </w:rPr>
        <w:t xml:space="preserve">udicata and </w:t>
      </w:r>
      <w:r>
        <w:rPr>
          <w:rFonts w:ascii="Times New Roman" w:eastAsia="Calibri" w:hAnsi="Times New Roman" w:cs="Times New Roman"/>
          <w:sz w:val="24"/>
          <w:szCs w:val="24"/>
        </w:rPr>
        <w:t>c</w:t>
      </w:r>
      <w:r w:rsidRPr="00AA0C4C">
        <w:rPr>
          <w:rFonts w:ascii="Times New Roman" w:eastAsia="Calibri" w:hAnsi="Times New Roman" w:cs="Times New Roman"/>
          <w:sz w:val="24"/>
          <w:szCs w:val="24"/>
        </w:rPr>
        <w:t xml:space="preserve">ollateral </w:t>
      </w:r>
      <w:r>
        <w:rPr>
          <w:rFonts w:ascii="Times New Roman" w:eastAsia="Calibri" w:hAnsi="Times New Roman" w:cs="Times New Roman"/>
          <w:sz w:val="24"/>
          <w:szCs w:val="24"/>
        </w:rPr>
        <w:t>e</w:t>
      </w:r>
      <w:r w:rsidRPr="00AA0C4C">
        <w:rPr>
          <w:rFonts w:ascii="Times New Roman" w:eastAsia="Calibri" w:hAnsi="Times New Roman" w:cs="Times New Roman"/>
          <w:sz w:val="24"/>
          <w:szCs w:val="24"/>
        </w:rPr>
        <w:t>stoppel from re-litigating its Electric Security Plan</w:t>
      </w:r>
      <w:r w:rsidR="00413BEF">
        <w:rPr>
          <w:rFonts w:ascii="Times New Roman" w:eastAsia="Calibri" w:hAnsi="Times New Roman" w:cs="Times New Roman"/>
          <w:sz w:val="24"/>
          <w:szCs w:val="24"/>
        </w:rPr>
        <w:t>.</w:t>
      </w:r>
    </w:p>
    <w:p w:rsidR="0030712C" w:rsidRPr="00AA0C4C" w:rsidRDefault="00AA0C4C" w:rsidP="00AA0C4C">
      <w:pPr>
        <w:ind w:firstLine="720"/>
        <w:rPr>
          <w:rFonts w:ascii="Times New Roman" w:hAnsi="Times New Roman" w:cs="Times New Roman"/>
          <w:b/>
          <w:sz w:val="24"/>
          <w:szCs w:val="24"/>
        </w:rPr>
      </w:pPr>
      <w:r w:rsidRPr="00AA0C4C">
        <w:rPr>
          <w:rFonts w:ascii="Times New Roman" w:eastAsia="Calibri" w:hAnsi="Times New Roman" w:cs="Times New Roman"/>
          <w:sz w:val="24"/>
          <w:szCs w:val="24"/>
        </w:rPr>
        <w:t>Duke</w:t>
      </w:r>
      <w:r w:rsidR="00413BEF">
        <w:rPr>
          <w:rFonts w:ascii="Times New Roman" w:eastAsia="Calibri" w:hAnsi="Times New Roman" w:cs="Times New Roman"/>
          <w:sz w:val="24"/>
          <w:szCs w:val="24"/>
        </w:rPr>
        <w:t xml:space="preserve"> attempted to </w:t>
      </w:r>
      <w:r w:rsidRPr="00AA0C4C">
        <w:rPr>
          <w:rFonts w:ascii="Times New Roman" w:eastAsia="Calibri" w:hAnsi="Times New Roman" w:cs="Times New Roman"/>
          <w:sz w:val="24"/>
          <w:szCs w:val="24"/>
        </w:rPr>
        <w:t>refut</w:t>
      </w:r>
      <w:r w:rsidR="00413BEF">
        <w:rPr>
          <w:rFonts w:ascii="Times New Roman" w:eastAsia="Calibri" w:hAnsi="Times New Roman" w:cs="Times New Roman"/>
          <w:sz w:val="24"/>
          <w:szCs w:val="24"/>
        </w:rPr>
        <w:t>e these arguments, in part, by alleging that res judicata and collateral estoppel do not apply in this case.</w:t>
      </w:r>
      <w:r w:rsidR="00413BEF">
        <w:rPr>
          <w:rStyle w:val="FootnoteReference"/>
          <w:rFonts w:ascii="Times New Roman" w:eastAsia="Calibri" w:hAnsi="Times New Roman" w:cs="Times New Roman"/>
          <w:sz w:val="24"/>
          <w:szCs w:val="24"/>
        </w:rPr>
        <w:footnoteReference w:id="8"/>
      </w:r>
      <w:r w:rsidR="00413BEF">
        <w:rPr>
          <w:rFonts w:ascii="Times New Roman" w:eastAsia="Calibri" w:hAnsi="Times New Roman" w:cs="Times New Roman"/>
          <w:sz w:val="24"/>
          <w:szCs w:val="24"/>
        </w:rPr>
        <w:t xml:space="preserve">  Duke also alleges that it did not waive its rights to reasonable compensation when it agreed to the ESP Stipulation.  Additionally, Duke alleges that the PUCO could not have ruled on the issue at hand because it has no authority to include capacity costs as part of an ESP.  These arguments fail for the reasons discussed in detail below. </w:t>
      </w:r>
      <w:r w:rsidRPr="00AA0C4C">
        <w:rPr>
          <w:rFonts w:ascii="Times New Roman" w:eastAsia="Calibri" w:hAnsi="Times New Roman" w:cs="Times New Roman"/>
          <w:sz w:val="24"/>
          <w:szCs w:val="24"/>
        </w:rPr>
        <w:t xml:space="preserve">  </w:t>
      </w:r>
    </w:p>
    <w:p w:rsidR="0030712C" w:rsidRDefault="0030712C" w:rsidP="00FB4463">
      <w:pPr>
        <w:pStyle w:val="Heading3"/>
      </w:pPr>
      <w:bookmarkStart w:id="12" w:name="_Toc362949987"/>
      <w:r>
        <w:lastRenderedPageBreak/>
        <w:t>1.</w:t>
      </w:r>
      <w:r>
        <w:tab/>
      </w:r>
      <w:r w:rsidRPr="009B2BB3">
        <w:t xml:space="preserve">Duke’s </w:t>
      </w:r>
      <w:r w:rsidR="002E6946">
        <w:t>a</w:t>
      </w:r>
      <w:r w:rsidRPr="009B2BB3">
        <w:t xml:space="preserve">pplication </w:t>
      </w:r>
      <w:r w:rsidR="002E6946">
        <w:t>v</w:t>
      </w:r>
      <w:r w:rsidRPr="009B2BB3">
        <w:t xml:space="preserve">iolates the </w:t>
      </w:r>
      <w:r w:rsidR="002E6946">
        <w:t>d</w:t>
      </w:r>
      <w:r w:rsidRPr="009B2BB3">
        <w:t xml:space="preserve">octrines of </w:t>
      </w:r>
      <w:r w:rsidR="002E6946">
        <w:t>r</w:t>
      </w:r>
      <w:r w:rsidRPr="009B2BB3">
        <w:t xml:space="preserve">es </w:t>
      </w:r>
      <w:r w:rsidR="002E6946">
        <w:t>j</w:t>
      </w:r>
      <w:r w:rsidRPr="009B2BB3">
        <w:t xml:space="preserve">udicata and </w:t>
      </w:r>
      <w:r w:rsidR="002E6946">
        <w:t>c</w:t>
      </w:r>
      <w:r w:rsidRPr="009B2BB3">
        <w:t xml:space="preserve">ollateral </w:t>
      </w:r>
      <w:r w:rsidR="002E6946">
        <w:t>e</w:t>
      </w:r>
      <w:r w:rsidRPr="009B2BB3">
        <w:t>stoppel</w:t>
      </w:r>
      <w:r w:rsidR="001E3D30">
        <w:t xml:space="preserve"> that protect customers from Duke’s second bite at a golden apple</w:t>
      </w:r>
      <w:r w:rsidRPr="009B2BB3">
        <w:t>.</w:t>
      </w:r>
      <w:bookmarkEnd w:id="12"/>
    </w:p>
    <w:p w:rsidR="0030712C" w:rsidRDefault="0030712C" w:rsidP="0030712C">
      <w:pPr>
        <w:autoSpaceDE w:val="0"/>
        <w:autoSpaceDN w:val="0"/>
        <w:adjustRightInd w:val="0"/>
        <w:ind w:firstLine="720"/>
        <w:rPr>
          <w:rFonts w:ascii="Times New Roman" w:eastAsia="Calibri" w:hAnsi="Times New Roman" w:cs="Times New Roman"/>
          <w:sz w:val="24"/>
          <w:szCs w:val="24"/>
        </w:rPr>
      </w:pPr>
      <w:r w:rsidRPr="009B2BB3">
        <w:rPr>
          <w:rFonts w:ascii="Times New Roman" w:hAnsi="Times New Roman" w:cs="Times New Roman"/>
          <w:sz w:val="24"/>
          <w:szCs w:val="24"/>
        </w:rPr>
        <w:t>Duke argues that the doctrines of res judicata and collateral estoppel do not apply to bar its request in this case.</w:t>
      </w:r>
      <w:r w:rsidRPr="009B2BB3">
        <w:rPr>
          <w:rStyle w:val="FootnoteReference"/>
          <w:rFonts w:ascii="Times New Roman" w:hAnsi="Times New Roman" w:cs="Times New Roman"/>
          <w:sz w:val="24"/>
          <w:szCs w:val="24"/>
        </w:rPr>
        <w:footnoteReference w:id="9"/>
      </w:r>
      <w:r w:rsidRPr="009B2BB3">
        <w:rPr>
          <w:rFonts w:ascii="Times New Roman" w:hAnsi="Times New Roman" w:cs="Times New Roman"/>
          <w:sz w:val="24"/>
          <w:szCs w:val="24"/>
        </w:rPr>
        <w:t xml:space="preserve">  </w:t>
      </w:r>
      <w:r>
        <w:rPr>
          <w:rFonts w:ascii="Times New Roman" w:hAnsi="Times New Roman" w:cs="Times New Roman"/>
          <w:sz w:val="24"/>
          <w:szCs w:val="24"/>
        </w:rPr>
        <w:t xml:space="preserve">Duke </w:t>
      </w:r>
      <w:r w:rsidR="00413BEF">
        <w:rPr>
          <w:rFonts w:ascii="Times New Roman" w:hAnsi="Times New Roman" w:cs="Times New Roman"/>
          <w:sz w:val="24"/>
          <w:szCs w:val="24"/>
        </w:rPr>
        <w:t>also contends that</w:t>
      </w:r>
      <w:r>
        <w:rPr>
          <w:rFonts w:ascii="Times New Roman" w:hAnsi="Times New Roman" w:cs="Times New Roman"/>
          <w:sz w:val="24"/>
          <w:szCs w:val="24"/>
        </w:rPr>
        <w:t xml:space="preserve"> neither the ESP Stipulation nor the PUCO’s order approving the ESP Stipulation constitute a final judicial determination on the merits.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addition, Duke states that the claims at issue in the prior and pending proceedings are separate and distinct: one addressing competitive retail pricing and one addressing noncompetitive wholesale pricing.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Duke is wrong.  T</w:t>
      </w:r>
      <w:r>
        <w:rPr>
          <w:rFonts w:ascii="Times New Roman" w:eastAsia="Calibri" w:hAnsi="Times New Roman" w:cs="Times New Roman"/>
          <w:sz w:val="24"/>
          <w:szCs w:val="24"/>
        </w:rPr>
        <w:t xml:space="preserve">he capacity supply service at issue in this proceeding is the same capacity supply service that was at issue in the Duke ESP.  </w:t>
      </w:r>
      <w:r w:rsidR="008B498E">
        <w:rPr>
          <w:rFonts w:ascii="Times New Roman" w:eastAsia="Calibri" w:hAnsi="Times New Roman" w:cs="Times New Roman"/>
          <w:sz w:val="24"/>
          <w:szCs w:val="24"/>
        </w:rPr>
        <w:t>And t</w:t>
      </w:r>
      <w:r>
        <w:rPr>
          <w:rFonts w:ascii="Times New Roman" w:eastAsia="Calibri" w:hAnsi="Times New Roman" w:cs="Times New Roman"/>
          <w:sz w:val="24"/>
          <w:szCs w:val="24"/>
        </w:rPr>
        <w:t xml:space="preserve">he assets being used by Duke to supply capacity in the ESP are the same assets at issue in this proceeding.  </w:t>
      </w:r>
    </w:p>
    <w:p w:rsidR="00A22C90" w:rsidRDefault="0030712C" w:rsidP="00E814D4">
      <w:pPr>
        <w:pStyle w:val="BodyText"/>
        <w:spacing w:line="480" w:lineRule="auto"/>
        <w:ind w:firstLine="720"/>
        <w:contextualSpacing/>
        <w:jc w:val="left"/>
        <w:rPr>
          <w:rFonts w:ascii="Times New Roman" w:hAnsi="Times New Roman"/>
          <w:sz w:val="24"/>
          <w:szCs w:val="24"/>
        </w:rPr>
      </w:pPr>
      <w:r w:rsidRPr="00200179">
        <w:rPr>
          <w:rFonts w:ascii="Times New Roman" w:hAnsi="Times New Roman"/>
          <w:sz w:val="24"/>
          <w:szCs w:val="24"/>
        </w:rPr>
        <w:t>Duke</w:t>
      </w:r>
      <w:r>
        <w:rPr>
          <w:rFonts w:ascii="Times New Roman" w:hAnsi="Times New Roman"/>
          <w:sz w:val="24"/>
          <w:szCs w:val="24"/>
        </w:rPr>
        <w:t xml:space="preserve"> cites to </w:t>
      </w:r>
      <w:r w:rsidRPr="001A48A2">
        <w:rPr>
          <w:rFonts w:ascii="Times New Roman" w:hAnsi="Times New Roman"/>
          <w:i/>
          <w:sz w:val="24"/>
          <w:szCs w:val="24"/>
        </w:rPr>
        <w:t>State ex rel.</w:t>
      </w:r>
      <w:r>
        <w:rPr>
          <w:rFonts w:ascii="Times New Roman" w:hAnsi="Times New Roman"/>
          <w:sz w:val="24"/>
          <w:szCs w:val="24"/>
        </w:rPr>
        <w:t xml:space="preserve"> </w:t>
      </w:r>
      <w:r>
        <w:rPr>
          <w:rFonts w:ascii="Times New Roman" w:hAnsi="Times New Roman"/>
          <w:i/>
          <w:sz w:val="24"/>
          <w:szCs w:val="24"/>
        </w:rPr>
        <w:t xml:space="preserve">Davis et al. v. Public Employees Retirement Board, </w:t>
      </w:r>
      <w:r w:rsidRPr="001A48A2">
        <w:rPr>
          <w:rFonts w:ascii="Times New Roman" w:hAnsi="Times New Roman"/>
          <w:sz w:val="24"/>
          <w:szCs w:val="24"/>
        </w:rPr>
        <w:t>120 Ohio St.3d 386</w:t>
      </w:r>
      <w:r>
        <w:rPr>
          <w:rFonts w:ascii="Times New Roman" w:hAnsi="Times New Roman"/>
          <w:sz w:val="24"/>
          <w:szCs w:val="24"/>
        </w:rPr>
        <w:t xml:space="preserve"> (“Davis”)</w:t>
      </w:r>
      <w:r>
        <w:rPr>
          <w:rFonts w:ascii="Times New Roman" w:hAnsi="Times New Roman"/>
          <w:i/>
          <w:sz w:val="24"/>
          <w:szCs w:val="24"/>
        </w:rPr>
        <w:t xml:space="preserve"> </w:t>
      </w:r>
      <w:r>
        <w:rPr>
          <w:rFonts w:ascii="Times New Roman" w:hAnsi="Times New Roman"/>
          <w:sz w:val="24"/>
          <w:szCs w:val="24"/>
        </w:rPr>
        <w:t xml:space="preserve">and </w:t>
      </w:r>
      <w:proofErr w:type="spellStart"/>
      <w:r>
        <w:rPr>
          <w:rFonts w:ascii="Times New Roman" w:hAnsi="Times New Roman"/>
          <w:i/>
          <w:sz w:val="24"/>
          <w:szCs w:val="24"/>
        </w:rPr>
        <w:t>Consolo</w:t>
      </w:r>
      <w:proofErr w:type="spellEnd"/>
      <w:r>
        <w:rPr>
          <w:rFonts w:ascii="Times New Roman" w:hAnsi="Times New Roman"/>
          <w:i/>
          <w:sz w:val="24"/>
          <w:szCs w:val="24"/>
        </w:rPr>
        <w:t xml:space="preserve"> v. City of Cleveland, </w:t>
      </w:r>
      <w:r w:rsidRPr="001A48A2">
        <w:rPr>
          <w:rFonts w:ascii="Times New Roman" w:hAnsi="Times New Roman"/>
          <w:sz w:val="24"/>
          <w:szCs w:val="24"/>
        </w:rPr>
        <w:t>103 Ohio St.3d 362 (2004)</w:t>
      </w:r>
      <w:r>
        <w:rPr>
          <w:rFonts w:ascii="Times New Roman" w:hAnsi="Times New Roman"/>
          <w:sz w:val="24"/>
          <w:szCs w:val="24"/>
        </w:rPr>
        <w:t xml:space="preserve"> (“</w:t>
      </w:r>
      <w:proofErr w:type="spellStart"/>
      <w:r>
        <w:rPr>
          <w:rFonts w:ascii="Times New Roman" w:hAnsi="Times New Roman"/>
          <w:sz w:val="24"/>
          <w:szCs w:val="24"/>
        </w:rPr>
        <w:t>Consolo</w:t>
      </w:r>
      <w:proofErr w:type="spellEnd"/>
      <w:r>
        <w:rPr>
          <w:rFonts w:ascii="Times New Roman" w:hAnsi="Times New Roman"/>
          <w:sz w:val="24"/>
          <w:szCs w:val="24"/>
        </w:rPr>
        <w:t xml:space="preserve">”) as precedent for its argument that a </w:t>
      </w:r>
      <w:r w:rsidRPr="00200179">
        <w:rPr>
          <w:rFonts w:ascii="Times New Roman" w:hAnsi="Times New Roman"/>
          <w:sz w:val="24"/>
          <w:szCs w:val="24"/>
        </w:rPr>
        <w:t>“stipulated s</w:t>
      </w:r>
      <w:r>
        <w:rPr>
          <w:rFonts w:ascii="Times New Roman" w:hAnsi="Times New Roman"/>
          <w:sz w:val="24"/>
          <w:szCs w:val="24"/>
        </w:rPr>
        <w:t xml:space="preserve">ettlement does not constitute a </w:t>
      </w:r>
      <w:r w:rsidRPr="00200179">
        <w:rPr>
          <w:rFonts w:ascii="Times New Roman" w:hAnsi="Times New Roman"/>
          <w:sz w:val="24"/>
          <w:szCs w:val="24"/>
        </w:rPr>
        <w:t>‘valid, final judgment upon the merits’ sufficient to support a claim of res judicata.”</w:t>
      </w:r>
      <w:r>
        <w:rPr>
          <w:rStyle w:val="FootnoteReference"/>
          <w:rFonts w:ascii="Times New Roman" w:hAnsi="Times New Roman"/>
          <w:sz w:val="24"/>
          <w:szCs w:val="24"/>
        </w:rPr>
        <w:footnoteReference w:id="12"/>
      </w:r>
      <w:r>
        <w:rPr>
          <w:rFonts w:ascii="Times New Roman" w:hAnsi="Times New Roman"/>
          <w:sz w:val="24"/>
          <w:szCs w:val="24"/>
        </w:rPr>
        <w:t xml:space="preserve">  But neither </w:t>
      </w:r>
      <w:r w:rsidRPr="001A48A2">
        <w:rPr>
          <w:rFonts w:ascii="Times New Roman" w:hAnsi="Times New Roman"/>
          <w:i/>
          <w:sz w:val="24"/>
          <w:szCs w:val="24"/>
        </w:rPr>
        <w:t>Davis</w:t>
      </w:r>
      <w:r>
        <w:rPr>
          <w:rFonts w:ascii="Times New Roman" w:hAnsi="Times New Roman"/>
          <w:sz w:val="24"/>
          <w:szCs w:val="24"/>
        </w:rPr>
        <w:t xml:space="preserve"> nor </w:t>
      </w:r>
      <w:proofErr w:type="spellStart"/>
      <w:r w:rsidRPr="001A48A2">
        <w:rPr>
          <w:rFonts w:ascii="Times New Roman" w:hAnsi="Times New Roman"/>
          <w:i/>
          <w:sz w:val="24"/>
          <w:szCs w:val="24"/>
        </w:rPr>
        <w:t>Consolo</w:t>
      </w:r>
      <w:proofErr w:type="spellEnd"/>
      <w:r w:rsidRPr="001A48A2">
        <w:rPr>
          <w:rFonts w:ascii="Times New Roman" w:hAnsi="Times New Roman"/>
          <w:i/>
          <w:sz w:val="24"/>
          <w:szCs w:val="24"/>
        </w:rPr>
        <w:t xml:space="preserve"> </w:t>
      </w:r>
      <w:r>
        <w:rPr>
          <w:rFonts w:ascii="Times New Roman" w:hAnsi="Times New Roman"/>
          <w:sz w:val="24"/>
          <w:szCs w:val="24"/>
        </w:rPr>
        <w:t xml:space="preserve">support </w:t>
      </w:r>
      <w:r w:rsidR="00DD23A0">
        <w:rPr>
          <w:rFonts w:ascii="Times New Roman" w:hAnsi="Times New Roman"/>
          <w:sz w:val="24"/>
          <w:szCs w:val="24"/>
        </w:rPr>
        <w:t>Duke</w:t>
      </w:r>
      <w:r w:rsidR="005460B2">
        <w:rPr>
          <w:rFonts w:ascii="Times New Roman" w:hAnsi="Times New Roman"/>
          <w:sz w:val="24"/>
          <w:szCs w:val="24"/>
        </w:rPr>
        <w:t xml:space="preserve">’s </w:t>
      </w:r>
      <w:r>
        <w:rPr>
          <w:rFonts w:ascii="Times New Roman" w:hAnsi="Times New Roman"/>
          <w:sz w:val="24"/>
          <w:szCs w:val="24"/>
        </w:rPr>
        <w:t xml:space="preserve">argument. </w:t>
      </w:r>
    </w:p>
    <w:p w:rsidR="0030712C" w:rsidRDefault="0030712C" w:rsidP="00A7267F">
      <w:pPr>
        <w:pStyle w:val="BodyText"/>
        <w:spacing w:line="480" w:lineRule="auto"/>
        <w:ind w:firstLine="720"/>
        <w:contextualSpacing/>
        <w:jc w:val="left"/>
        <w:rPr>
          <w:rFonts w:ascii="Times New Roman" w:hAnsi="Times New Roman"/>
          <w:sz w:val="24"/>
          <w:szCs w:val="24"/>
        </w:rPr>
      </w:pPr>
      <w:r>
        <w:rPr>
          <w:rFonts w:ascii="Times New Roman" w:hAnsi="Times New Roman"/>
          <w:sz w:val="24"/>
          <w:szCs w:val="24"/>
        </w:rPr>
        <w:t>First, these collateral estoppel cases do not address res judicata or any of its elements.  The Ohio Supreme Court has held, “r</w:t>
      </w:r>
      <w:r w:rsidRPr="00F24F53">
        <w:rPr>
          <w:rFonts w:ascii="Times New Roman" w:hAnsi="Times New Roman"/>
          <w:sz w:val="24"/>
          <w:szCs w:val="24"/>
        </w:rPr>
        <w:t xml:space="preserve">es judicata promotes the principle of finality of judgments by requiring plaintiffs to present every possible ground for relief in the first </w:t>
      </w:r>
      <w:r w:rsidRPr="00F24F53">
        <w:rPr>
          <w:rFonts w:ascii="Times New Roman" w:hAnsi="Times New Roman"/>
          <w:sz w:val="24"/>
          <w:szCs w:val="24"/>
        </w:rPr>
        <w:lastRenderedPageBreak/>
        <w:t>action.</w:t>
      </w:r>
      <w:r>
        <w:rPr>
          <w:rFonts w:ascii="Times New Roman" w:hAnsi="Times New Roman"/>
          <w:sz w:val="24"/>
          <w:szCs w:val="24"/>
        </w:rPr>
        <w:t>”</w:t>
      </w:r>
      <w:r>
        <w:rPr>
          <w:rStyle w:val="FootnoteReference"/>
          <w:rFonts w:ascii="Times New Roman" w:hAnsi="Times New Roman"/>
          <w:sz w:val="24"/>
          <w:szCs w:val="24"/>
        </w:rPr>
        <w:footnoteReference w:id="13"/>
      </w:r>
      <w:r>
        <w:rPr>
          <w:rFonts w:ascii="Times New Roman" w:hAnsi="Times New Roman"/>
          <w:sz w:val="24"/>
          <w:szCs w:val="24"/>
        </w:rPr>
        <w:t xml:space="preserve">  But neither of the cases cited by </w:t>
      </w:r>
      <w:r w:rsidR="00DD23A0">
        <w:rPr>
          <w:rFonts w:ascii="Times New Roman" w:hAnsi="Times New Roman"/>
          <w:sz w:val="24"/>
          <w:szCs w:val="24"/>
        </w:rPr>
        <w:t>Duke</w:t>
      </w:r>
      <w:r w:rsidR="005460B2">
        <w:rPr>
          <w:rFonts w:ascii="Times New Roman" w:hAnsi="Times New Roman"/>
          <w:sz w:val="24"/>
          <w:szCs w:val="24"/>
        </w:rPr>
        <w:t xml:space="preserve"> </w:t>
      </w:r>
      <w:r>
        <w:rPr>
          <w:rFonts w:ascii="Times New Roman" w:hAnsi="Times New Roman"/>
          <w:sz w:val="24"/>
          <w:szCs w:val="24"/>
        </w:rPr>
        <w:t xml:space="preserve">addresses what actually constitutes a valid, final judgment on the merits. </w:t>
      </w:r>
    </w:p>
    <w:p w:rsidR="0030712C" w:rsidRDefault="0030712C" w:rsidP="002162D0">
      <w:pPr>
        <w:pStyle w:val="BodyText"/>
        <w:spacing w:line="480" w:lineRule="auto"/>
        <w:ind w:firstLine="720"/>
        <w:contextualSpacing/>
        <w:jc w:val="left"/>
        <w:rPr>
          <w:rFonts w:ascii="Times New Roman" w:hAnsi="Times New Roman"/>
          <w:sz w:val="24"/>
          <w:szCs w:val="24"/>
        </w:rPr>
      </w:pPr>
      <w:r w:rsidRPr="001F49A3">
        <w:rPr>
          <w:rFonts w:ascii="Times New Roman" w:hAnsi="Times New Roman"/>
          <w:i/>
          <w:sz w:val="24"/>
          <w:szCs w:val="24"/>
        </w:rPr>
        <w:t>Davis</w:t>
      </w:r>
      <w:r>
        <w:rPr>
          <w:rFonts w:ascii="Times New Roman" w:hAnsi="Times New Roman"/>
          <w:sz w:val="24"/>
          <w:szCs w:val="24"/>
        </w:rPr>
        <w:t xml:space="preserve"> does not support Duke’s assertion that </w:t>
      </w:r>
      <w:r w:rsidRPr="001F49A3">
        <w:rPr>
          <w:rFonts w:ascii="Times New Roman" w:hAnsi="Times New Roman"/>
          <w:sz w:val="24"/>
          <w:szCs w:val="24"/>
        </w:rPr>
        <w:t xml:space="preserve">a stipulated settlement </w:t>
      </w:r>
      <w:r>
        <w:rPr>
          <w:rFonts w:ascii="Times New Roman" w:hAnsi="Times New Roman"/>
          <w:sz w:val="24"/>
          <w:szCs w:val="24"/>
        </w:rPr>
        <w:t>cannot</w:t>
      </w:r>
      <w:r w:rsidRPr="001F49A3">
        <w:rPr>
          <w:rFonts w:ascii="Times New Roman" w:hAnsi="Times New Roman"/>
          <w:sz w:val="24"/>
          <w:szCs w:val="24"/>
        </w:rPr>
        <w:t xml:space="preserve"> constitute a valid</w:t>
      </w:r>
      <w:r>
        <w:rPr>
          <w:rFonts w:ascii="Times New Roman" w:hAnsi="Times New Roman"/>
          <w:sz w:val="24"/>
          <w:szCs w:val="24"/>
        </w:rPr>
        <w:t>,</w:t>
      </w:r>
      <w:r w:rsidRPr="001F49A3">
        <w:rPr>
          <w:rFonts w:ascii="Times New Roman" w:hAnsi="Times New Roman"/>
          <w:sz w:val="24"/>
          <w:szCs w:val="24"/>
        </w:rPr>
        <w:t xml:space="preserve"> final judgment on the merits</w:t>
      </w:r>
      <w:r>
        <w:rPr>
          <w:rFonts w:ascii="Times New Roman" w:hAnsi="Times New Roman"/>
          <w:sz w:val="24"/>
          <w:szCs w:val="24"/>
        </w:rPr>
        <w:t xml:space="preserve"> for res judicata purposes</w:t>
      </w:r>
      <w:r w:rsidRPr="001F49A3">
        <w:rPr>
          <w:rFonts w:ascii="Times New Roman" w:hAnsi="Times New Roman"/>
          <w:sz w:val="24"/>
          <w:szCs w:val="24"/>
        </w:rPr>
        <w:t xml:space="preserve">. </w:t>
      </w:r>
      <w:r>
        <w:rPr>
          <w:rFonts w:ascii="Times New Roman" w:hAnsi="Times New Roman"/>
          <w:sz w:val="24"/>
          <w:szCs w:val="24"/>
        </w:rPr>
        <w:t xml:space="preserve"> </w:t>
      </w:r>
      <w:r w:rsidRPr="00EE6351">
        <w:rPr>
          <w:rFonts w:ascii="Times New Roman" w:hAnsi="Times New Roman"/>
          <w:i/>
          <w:sz w:val="24"/>
          <w:szCs w:val="24"/>
        </w:rPr>
        <w:t>Davis</w:t>
      </w:r>
      <w:r>
        <w:rPr>
          <w:rFonts w:ascii="Times New Roman" w:hAnsi="Times New Roman"/>
          <w:sz w:val="24"/>
          <w:szCs w:val="24"/>
        </w:rPr>
        <w:t xml:space="preserve"> addresses collateral estoppel elements that are not common to res judicata.</w:t>
      </w:r>
      <w:r w:rsidR="00E7234B">
        <w:rPr>
          <w:rFonts w:ascii="Times New Roman" w:hAnsi="Times New Roman"/>
          <w:sz w:val="24"/>
          <w:szCs w:val="24"/>
        </w:rPr>
        <w:t xml:space="preserve">  </w:t>
      </w:r>
      <w:r>
        <w:rPr>
          <w:rFonts w:ascii="Times New Roman" w:hAnsi="Times New Roman"/>
          <w:sz w:val="24"/>
          <w:szCs w:val="24"/>
        </w:rPr>
        <w:t xml:space="preserve">In </w:t>
      </w:r>
      <w:r w:rsidRPr="00176DEC">
        <w:rPr>
          <w:rFonts w:ascii="Times New Roman" w:hAnsi="Times New Roman"/>
          <w:i/>
          <w:sz w:val="24"/>
          <w:szCs w:val="24"/>
        </w:rPr>
        <w:t>Davis</w:t>
      </w:r>
      <w:r>
        <w:rPr>
          <w:rFonts w:ascii="Times New Roman" w:hAnsi="Times New Roman"/>
          <w:sz w:val="24"/>
          <w:szCs w:val="24"/>
        </w:rPr>
        <w:t>, the collateral estoppel claim failed because the issue was not actually litigated in the previous proceedings.</w:t>
      </w:r>
      <w:r>
        <w:rPr>
          <w:rStyle w:val="FootnoteReference"/>
          <w:rFonts w:ascii="Times New Roman" w:hAnsi="Times New Roman"/>
          <w:sz w:val="24"/>
          <w:szCs w:val="24"/>
        </w:rPr>
        <w:footnoteReference w:id="14"/>
      </w:r>
      <w:r w:rsidR="00E7234B">
        <w:rPr>
          <w:rFonts w:ascii="Times New Roman" w:hAnsi="Times New Roman"/>
          <w:sz w:val="24"/>
          <w:szCs w:val="24"/>
        </w:rPr>
        <w:t xml:space="preserve">  </w:t>
      </w:r>
      <w:r>
        <w:rPr>
          <w:rFonts w:ascii="Times New Roman" w:hAnsi="Times New Roman"/>
          <w:sz w:val="24"/>
          <w:szCs w:val="24"/>
        </w:rPr>
        <w:t>As proof that the issue was not actually litigated, the Court cited to a party’s request during the administrative proceeding that the authority not rule on the issue, and the authority’s subsequent determination “that it was not considering these issues in its ruling.”</w:t>
      </w:r>
      <w:r>
        <w:rPr>
          <w:rStyle w:val="FootnoteReference"/>
          <w:rFonts w:ascii="Times New Roman" w:hAnsi="Times New Roman"/>
          <w:sz w:val="24"/>
          <w:szCs w:val="24"/>
        </w:rPr>
        <w:footnoteReference w:id="15"/>
      </w:r>
      <w:r>
        <w:rPr>
          <w:rFonts w:ascii="Times New Roman" w:hAnsi="Times New Roman"/>
          <w:sz w:val="24"/>
          <w:szCs w:val="24"/>
        </w:rPr>
        <w:t xml:space="preserve">  Ultimately, the Court held: “[w]hen an issue is not actually litigated and decided in the previous </w:t>
      </w:r>
      <w:proofErr w:type="gramStart"/>
      <w:r>
        <w:rPr>
          <w:rFonts w:ascii="Times New Roman" w:hAnsi="Times New Roman"/>
          <w:sz w:val="24"/>
          <w:szCs w:val="24"/>
        </w:rPr>
        <w:t>proceeding,</w:t>
      </w:r>
      <w:proofErr w:type="gramEnd"/>
      <w:r>
        <w:rPr>
          <w:rFonts w:ascii="Times New Roman" w:hAnsi="Times New Roman"/>
          <w:sz w:val="24"/>
          <w:szCs w:val="24"/>
        </w:rPr>
        <w:t xml:space="preserve"> collateral estoppel does not preclude the issue from being litigated in the subsequent proceeding.”</w:t>
      </w:r>
      <w:r>
        <w:rPr>
          <w:rStyle w:val="FootnoteReference"/>
          <w:rFonts w:ascii="Times New Roman" w:hAnsi="Times New Roman"/>
          <w:sz w:val="24"/>
          <w:szCs w:val="24"/>
        </w:rPr>
        <w:footnoteReference w:id="16"/>
      </w:r>
      <w:r>
        <w:rPr>
          <w:rFonts w:ascii="Times New Roman" w:hAnsi="Times New Roman"/>
          <w:sz w:val="24"/>
          <w:szCs w:val="24"/>
        </w:rPr>
        <w:t xml:space="preserve">  </w:t>
      </w:r>
      <w:r w:rsidRPr="005D5675">
        <w:rPr>
          <w:rFonts w:ascii="Times New Roman" w:hAnsi="Times New Roman"/>
          <w:i/>
          <w:sz w:val="24"/>
          <w:szCs w:val="24"/>
        </w:rPr>
        <w:t>Davis</w:t>
      </w:r>
      <w:r>
        <w:rPr>
          <w:rFonts w:ascii="Times New Roman" w:hAnsi="Times New Roman"/>
          <w:sz w:val="24"/>
          <w:szCs w:val="24"/>
        </w:rPr>
        <w:t xml:space="preserve"> also analogized a party’s failure to raise or contest issues with a stipulation.</w:t>
      </w:r>
      <w:r>
        <w:rPr>
          <w:rStyle w:val="FootnoteReference"/>
          <w:rFonts w:ascii="Times New Roman" w:hAnsi="Times New Roman"/>
          <w:sz w:val="24"/>
          <w:szCs w:val="24"/>
        </w:rPr>
        <w:footnoteReference w:id="17"/>
      </w:r>
      <w:r>
        <w:rPr>
          <w:rFonts w:ascii="Times New Roman" w:hAnsi="Times New Roman"/>
          <w:sz w:val="24"/>
          <w:szCs w:val="24"/>
        </w:rPr>
        <w:t xml:space="preserve">  The Court </w:t>
      </w:r>
      <w:r w:rsidRPr="005D5675">
        <w:rPr>
          <w:rFonts w:ascii="Times New Roman" w:hAnsi="Times New Roman"/>
          <w:sz w:val="24"/>
          <w:szCs w:val="24"/>
        </w:rPr>
        <w:t>c</w:t>
      </w:r>
      <w:r>
        <w:rPr>
          <w:rFonts w:ascii="Times New Roman" w:hAnsi="Times New Roman"/>
          <w:sz w:val="24"/>
          <w:szCs w:val="24"/>
        </w:rPr>
        <w:t>ited to the Restatement for the proposition that “[a]n issue is not actually litigated if *** it is the subject of a stipulation between the parties.”</w:t>
      </w:r>
      <w:r>
        <w:rPr>
          <w:rStyle w:val="FootnoteReference"/>
          <w:rFonts w:ascii="Times New Roman" w:hAnsi="Times New Roman"/>
          <w:sz w:val="24"/>
          <w:szCs w:val="24"/>
        </w:rPr>
        <w:footnoteReference w:id="18"/>
      </w:r>
      <w:r>
        <w:rPr>
          <w:rFonts w:ascii="Times New Roman" w:hAnsi="Times New Roman"/>
          <w:sz w:val="24"/>
          <w:szCs w:val="24"/>
        </w:rPr>
        <w:t xml:space="preserve">  But at no point does </w:t>
      </w:r>
      <w:r>
        <w:rPr>
          <w:rFonts w:ascii="Times New Roman" w:hAnsi="Times New Roman"/>
          <w:i/>
          <w:sz w:val="24"/>
          <w:szCs w:val="24"/>
        </w:rPr>
        <w:t xml:space="preserve">Davis </w:t>
      </w:r>
      <w:r>
        <w:rPr>
          <w:rFonts w:ascii="Times New Roman" w:hAnsi="Times New Roman"/>
          <w:sz w:val="24"/>
          <w:szCs w:val="24"/>
        </w:rPr>
        <w:t xml:space="preserve">challenge the finality or the validity of the judgment in the previous case.  </w:t>
      </w:r>
    </w:p>
    <w:p w:rsidR="0030712C" w:rsidRPr="00200179" w:rsidRDefault="00E7234B" w:rsidP="00E814D4">
      <w:pPr>
        <w:pStyle w:val="BodyText"/>
        <w:spacing w:line="480" w:lineRule="auto"/>
        <w:ind w:firstLine="720"/>
        <w:contextualSpacing/>
        <w:jc w:val="left"/>
        <w:rPr>
          <w:rFonts w:ascii="Times New Roman" w:hAnsi="Times New Roman"/>
          <w:sz w:val="24"/>
          <w:szCs w:val="24"/>
        </w:rPr>
      </w:pPr>
      <w:r>
        <w:rPr>
          <w:rFonts w:ascii="Times New Roman" w:hAnsi="Times New Roman"/>
          <w:sz w:val="24"/>
          <w:szCs w:val="24"/>
        </w:rPr>
        <w:lastRenderedPageBreak/>
        <w:t xml:space="preserve">The law is clear.  </w:t>
      </w:r>
      <w:r w:rsidR="0030712C">
        <w:rPr>
          <w:rFonts w:ascii="Times New Roman" w:hAnsi="Times New Roman"/>
          <w:sz w:val="24"/>
          <w:szCs w:val="24"/>
        </w:rPr>
        <w:t>W</w:t>
      </w:r>
      <w:r w:rsidR="0030712C" w:rsidRPr="00B36514">
        <w:rPr>
          <w:rFonts w:ascii="Times New Roman" w:hAnsi="Times New Roman"/>
          <w:sz w:val="24"/>
          <w:szCs w:val="24"/>
        </w:rPr>
        <w:t>hile</w:t>
      </w:r>
      <w:r w:rsidR="0030712C">
        <w:rPr>
          <w:rFonts w:ascii="Times New Roman" w:hAnsi="Times New Roman"/>
          <w:sz w:val="24"/>
          <w:szCs w:val="24"/>
        </w:rPr>
        <w:t xml:space="preserve"> </w:t>
      </w:r>
      <w:r w:rsidR="00676837">
        <w:rPr>
          <w:rFonts w:ascii="Times New Roman" w:hAnsi="Times New Roman"/>
          <w:sz w:val="24"/>
          <w:szCs w:val="24"/>
        </w:rPr>
        <w:t xml:space="preserve">collateral estoppel requires that the identical issue </w:t>
      </w:r>
      <w:r>
        <w:rPr>
          <w:rFonts w:ascii="Times New Roman" w:hAnsi="Times New Roman"/>
          <w:sz w:val="24"/>
          <w:szCs w:val="24"/>
        </w:rPr>
        <w:t>“</w:t>
      </w:r>
      <w:r w:rsidR="00676837">
        <w:rPr>
          <w:rFonts w:ascii="Times New Roman" w:hAnsi="Times New Roman"/>
          <w:sz w:val="24"/>
          <w:szCs w:val="24"/>
        </w:rPr>
        <w:t>be</w:t>
      </w:r>
      <w:r w:rsidR="0030712C" w:rsidRPr="00C246F1">
        <w:rPr>
          <w:rFonts w:ascii="Times New Roman" w:hAnsi="Times New Roman"/>
          <w:sz w:val="24"/>
          <w:szCs w:val="24"/>
        </w:rPr>
        <w:t xml:space="preserve"> actually litigated</w:t>
      </w:r>
      <w:r w:rsidR="0030712C" w:rsidRPr="005D5675">
        <w:rPr>
          <w:rFonts w:ascii="Times New Roman" w:hAnsi="Times New Roman"/>
          <w:sz w:val="24"/>
          <w:szCs w:val="24"/>
        </w:rPr>
        <w:t>, directly determined, and essential to the judgment in the prior action</w:t>
      </w:r>
      <w:r w:rsidR="0030712C">
        <w:rPr>
          <w:rFonts w:ascii="Times New Roman" w:hAnsi="Times New Roman"/>
          <w:sz w:val="24"/>
          <w:szCs w:val="24"/>
        </w:rPr>
        <w:t>,’”</w:t>
      </w:r>
      <w:r w:rsidR="0030712C">
        <w:rPr>
          <w:rStyle w:val="FootnoteReference"/>
          <w:rFonts w:ascii="Times New Roman" w:hAnsi="Times New Roman"/>
          <w:sz w:val="24"/>
          <w:szCs w:val="24"/>
        </w:rPr>
        <w:footnoteReference w:id="19"/>
      </w:r>
      <w:r w:rsidR="0030712C">
        <w:rPr>
          <w:rFonts w:ascii="Times New Roman" w:hAnsi="Times New Roman"/>
          <w:sz w:val="24"/>
          <w:szCs w:val="24"/>
        </w:rPr>
        <w:t xml:space="preserve"> res judicata simply does not</w:t>
      </w:r>
      <w:r w:rsidR="00676837">
        <w:rPr>
          <w:rFonts w:ascii="Times New Roman" w:hAnsi="Times New Roman"/>
          <w:sz w:val="24"/>
          <w:szCs w:val="24"/>
        </w:rPr>
        <w:t xml:space="preserve">.  </w:t>
      </w:r>
      <w:r w:rsidR="0030712C" w:rsidRPr="00EE6351">
        <w:rPr>
          <w:rFonts w:ascii="Times New Roman" w:hAnsi="Times New Roman"/>
          <w:sz w:val="24"/>
          <w:szCs w:val="24"/>
        </w:rPr>
        <w:t xml:space="preserve">Res judicata precludes </w:t>
      </w:r>
      <w:r w:rsidR="0030712C">
        <w:rPr>
          <w:rFonts w:ascii="Times New Roman" w:hAnsi="Times New Roman"/>
          <w:sz w:val="24"/>
          <w:szCs w:val="24"/>
        </w:rPr>
        <w:t xml:space="preserve">both </w:t>
      </w:r>
      <w:r w:rsidR="0030712C" w:rsidRPr="00EE6351">
        <w:rPr>
          <w:rFonts w:ascii="Times New Roman" w:hAnsi="Times New Roman"/>
          <w:sz w:val="24"/>
          <w:szCs w:val="24"/>
        </w:rPr>
        <w:t>claims that were actually litigated and claims that were not actually litigated</w:t>
      </w:r>
      <w:r w:rsidR="00037721">
        <w:rPr>
          <w:rFonts w:ascii="Times New Roman" w:hAnsi="Times New Roman"/>
          <w:sz w:val="24"/>
          <w:szCs w:val="24"/>
        </w:rPr>
        <w:t>,</w:t>
      </w:r>
      <w:r w:rsidR="0030712C" w:rsidRPr="00EE6351">
        <w:rPr>
          <w:rFonts w:ascii="Times New Roman" w:hAnsi="Times New Roman"/>
          <w:sz w:val="24"/>
          <w:szCs w:val="24"/>
        </w:rPr>
        <w:t xml:space="preserve"> but which could have been raised.</w:t>
      </w:r>
      <w:r w:rsidR="0030712C">
        <w:rPr>
          <w:rStyle w:val="FootnoteReference"/>
          <w:rFonts w:ascii="Times New Roman" w:hAnsi="Times New Roman"/>
          <w:sz w:val="24"/>
          <w:szCs w:val="24"/>
        </w:rPr>
        <w:footnoteReference w:id="20"/>
      </w:r>
      <w:r w:rsidR="0030712C">
        <w:rPr>
          <w:rFonts w:ascii="Times New Roman" w:hAnsi="Times New Roman"/>
          <w:sz w:val="24"/>
          <w:szCs w:val="24"/>
        </w:rPr>
        <w:t xml:space="preserve">  </w:t>
      </w:r>
      <w:r w:rsidR="0030712C" w:rsidRPr="00BA2A77">
        <w:rPr>
          <w:rFonts w:ascii="Times New Roman" w:hAnsi="Times New Roman"/>
          <w:sz w:val="24"/>
          <w:szCs w:val="24"/>
        </w:rPr>
        <w:t xml:space="preserve">The </w:t>
      </w:r>
      <w:r w:rsidR="0030712C">
        <w:rPr>
          <w:rFonts w:ascii="Times New Roman" w:hAnsi="Times New Roman"/>
          <w:i/>
          <w:sz w:val="24"/>
          <w:szCs w:val="24"/>
        </w:rPr>
        <w:t>Davis</w:t>
      </w:r>
      <w:r w:rsidR="0030712C" w:rsidRPr="00BA2A77">
        <w:rPr>
          <w:rFonts w:ascii="Times New Roman" w:hAnsi="Times New Roman"/>
          <w:sz w:val="24"/>
          <w:szCs w:val="24"/>
        </w:rPr>
        <w:t xml:space="preserve"> case, which addressed a collateral estoppel claim, does not support Duke’s res judicata argument.</w:t>
      </w:r>
      <w:r w:rsidR="0030712C" w:rsidRPr="00240BAE">
        <w:rPr>
          <w:rFonts w:ascii="Times New Roman" w:hAnsi="Times New Roman"/>
          <w:sz w:val="24"/>
          <w:szCs w:val="24"/>
        </w:rPr>
        <w:t xml:space="preserve"> </w:t>
      </w:r>
      <w:r w:rsidR="0030712C">
        <w:rPr>
          <w:rFonts w:ascii="Times New Roman" w:hAnsi="Times New Roman"/>
          <w:sz w:val="24"/>
          <w:szCs w:val="24"/>
        </w:rPr>
        <w:t xml:space="preserve"> </w:t>
      </w:r>
    </w:p>
    <w:p w:rsidR="0030712C" w:rsidRDefault="0030712C" w:rsidP="00E814D4">
      <w:pPr>
        <w:pStyle w:val="BodyText"/>
        <w:spacing w:after="0" w:line="480" w:lineRule="auto"/>
        <w:ind w:firstLine="720"/>
        <w:contextualSpacing/>
        <w:jc w:val="left"/>
        <w:rPr>
          <w:rFonts w:ascii="Times New Roman" w:hAnsi="Times New Roman"/>
          <w:sz w:val="24"/>
          <w:szCs w:val="24"/>
        </w:rPr>
      </w:pPr>
      <w:proofErr w:type="spellStart"/>
      <w:r w:rsidRPr="00460543">
        <w:rPr>
          <w:rFonts w:ascii="Times New Roman" w:hAnsi="Times New Roman"/>
          <w:i/>
          <w:sz w:val="24"/>
          <w:szCs w:val="24"/>
        </w:rPr>
        <w:t>Consolo</w:t>
      </w:r>
      <w:proofErr w:type="spellEnd"/>
      <w:r w:rsidRPr="00BA2A77">
        <w:rPr>
          <w:rFonts w:ascii="Times New Roman" w:hAnsi="Times New Roman"/>
          <w:sz w:val="24"/>
          <w:szCs w:val="24"/>
        </w:rPr>
        <w:t xml:space="preserve">, which addressed a collateral estoppel claim, </w:t>
      </w:r>
      <w:r>
        <w:rPr>
          <w:rFonts w:ascii="Times New Roman" w:hAnsi="Times New Roman"/>
          <w:sz w:val="24"/>
          <w:szCs w:val="24"/>
        </w:rPr>
        <w:t xml:space="preserve">also </w:t>
      </w:r>
      <w:r w:rsidRPr="00BA2A77">
        <w:rPr>
          <w:rFonts w:ascii="Times New Roman" w:hAnsi="Times New Roman"/>
          <w:sz w:val="24"/>
          <w:szCs w:val="24"/>
        </w:rPr>
        <w:t>does not support Duke’s res judicata argument.</w:t>
      </w:r>
      <w:r w:rsidRPr="00240BAE">
        <w:rPr>
          <w:rFonts w:ascii="Times New Roman" w:hAnsi="Times New Roman"/>
          <w:sz w:val="24"/>
          <w:szCs w:val="24"/>
        </w:rPr>
        <w:t xml:space="preserve"> </w:t>
      </w:r>
      <w:r>
        <w:rPr>
          <w:rFonts w:ascii="Times New Roman" w:hAnsi="Times New Roman"/>
          <w:sz w:val="24"/>
          <w:szCs w:val="24"/>
        </w:rPr>
        <w:t xml:space="preserve"> In </w:t>
      </w:r>
      <w:proofErr w:type="spellStart"/>
      <w:r>
        <w:rPr>
          <w:rFonts w:ascii="Times New Roman" w:hAnsi="Times New Roman"/>
          <w:i/>
          <w:sz w:val="24"/>
          <w:szCs w:val="24"/>
        </w:rPr>
        <w:t>Consolo</w:t>
      </w:r>
      <w:proofErr w:type="spellEnd"/>
      <w:r>
        <w:rPr>
          <w:rFonts w:ascii="Times New Roman" w:hAnsi="Times New Roman"/>
          <w:sz w:val="24"/>
          <w:szCs w:val="24"/>
        </w:rPr>
        <w:t xml:space="preserve">, the Ohio Supreme Court </w:t>
      </w:r>
      <w:r w:rsidRPr="00BA2A77">
        <w:rPr>
          <w:rFonts w:ascii="Times New Roman" w:hAnsi="Times New Roman"/>
          <w:sz w:val="24"/>
          <w:szCs w:val="24"/>
        </w:rPr>
        <w:t xml:space="preserve">found </w:t>
      </w:r>
      <w:r>
        <w:rPr>
          <w:rFonts w:ascii="Times New Roman" w:hAnsi="Times New Roman"/>
          <w:sz w:val="24"/>
          <w:szCs w:val="24"/>
        </w:rPr>
        <w:t>the</w:t>
      </w:r>
      <w:r w:rsidRPr="00BA2A77">
        <w:rPr>
          <w:rFonts w:ascii="Times New Roman" w:hAnsi="Times New Roman"/>
          <w:sz w:val="24"/>
          <w:szCs w:val="24"/>
        </w:rPr>
        <w:t xml:space="preserve"> elements of</w:t>
      </w:r>
      <w:r>
        <w:rPr>
          <w:rFonts w:ascii="Times New Roman" w:hAnsi="Times New Roman"/>
          <w:sz w:val="24"/>
          <w:szCs w:val="24"/>
        </w:rPr>
        <w:t xml:space="preserve"> collateral estoppel missing, but the Court did not address res judicata elements (i.e., was there a final judgment on the merits).  Collateral estoppel also requires an issue to be actually litigated and essential to the final judgment upon the merits.</w:t>
      </w:r>
      <w:r>
        <w:rPr>
          <w:rStyle w:val="FootnoteReference"/>
          <w:rFonts w:ascii="Times New Roman" w:hAnsi="Times New Roman"/>
          <w:sz w:val="24"/>
          <w:szCs w:val="24"/>
        </w:rPr>
        <w:footnoteReference w:id="21"/>
      </w:r>
      <w:r w:rsidR="00E7234B">
        <w:rPr>
          <w:rFonts w:ascii="Times New Roman" w:hAnsi="Times New Roman"/>
          <w:sz w:val="24"/>
          <w:szCs w:val="24"/>
        </w:rPr>
        <w:t xml:space="preserve">  </w:t>
      </w:r>
      <w:r>
        <w:rPr>
          <w:rFonts w:ascii="Times New Roman" w:hAnsi="Times New Roman"/>
          <w:sz w:val="24"/>
          <w:szCs w:val="24"/>
        </w:rPr>
        <w:t xml:space="preserve">Yet, in </w:t>
      </w:r>
      <w:proofErr w:type="spellStart"/>
      <w:r>
        <w:rPr>
          <w:rFonts w:ascii="Times New Roman" w:hAnsi="Times New Roman"/>
          <w:i/>
          <w:sz w:val="24"/>
          <w:szCs w:val="24"/>
        </w:rPr>
        <w:t>Consolo</w:t>
      </w:r>
      <w:proofErr w:type="spellEnd"/>
      <w:r>
        <w:rPr>
          <w:rFonts w:ascii="Times New Roman" w:hAnsi="Times New Roman"/>
          <w:sz w:val="24"/>
          <w:szCs w:val="24"/>
        </w:rPr>
        <w:t>, the Court found that one issue “</w:t>
      </w:r>
      <w:r w:rsidRPr="00BA2A77">
        <w:rPr>
          <w:rFonts w:ascii="Times New Roman" w:hAnsi="Times New Roman"/>
          <w:sz w:val="24"/>
          <w:szCs w:val="24"/>
        </w:rPr>
        <w:t xml:space="preserve">was neither actually litigated nor essential to </w:t>
      </w:r>
      <w:r>
        <w:rPr>
          <w:rFonts w:ascii="Times New Roman" w:hAnsi="Times New Roman"/>
          <w:sz w:val="24"/>
          <w:szCs w:val="24"/>
        </w:rPr>
        <w:t>[the Court’s] judgment.</w:t>
      </w:r>
      <w:r w:rsidRPr="00BA2A77">
        <w:rPr>
          <w:rFonts w:ascii="Times New Roman" w:hAnsi="Times New Roman"/>
          <w:sz w:val="24"/>
          <w:szCs w:val="24"/>
        </w:rPr>
        <w:t>”</w:t>
      </w:r>
      <w:r>
        <w:rPr>
          <w:rStyle w:val="FootnoteReference"/>
          <w:rFonts w:ascii="Times New Roman" w:hAnsi="Times New Roman"/>
          <w:sz w:val="24"/>
          <w:szCs w:val="24"/>
        </w:rPr>
        <w:footnoteReference w:id="22"/>
      </w:r>
      <w:r w:rsidR="00E7234B">
        <w:rPr>
          <w:rFonts w:ascii="Times New Roman" w:hAnsi="Times New Roman"/>
          <w:sz w:val="24"/>
          <w:szCs w:val="24"/>
        </w:rPr>
        <w:t xml:space="preserve">  </w:t>
      </w:r>
      <w:r>
        <w:rPr>
          <w:rFonts w:ascii="Times New Roman" w:hAnsi="Times New Roman"/>
          <w:sz w:val="24"/>
          <w:szCs w:val="24"/>
        </w:rPr>
        <w:t xml:space="preserve">Thus, the facts in both </w:t>
      </w:r>
      <w:r w:rsidRPr="005E2F6E">
        <w:rPr>
          <w:rFonts w:ascii="Times New Roman" w:hAnsi="Times New Roman"/>
          <w:i/>
          <w:sz w:val="24"/>
          <w:szCs w:val="24"/>
        </w:rPr>
        <w:t>Davis</w:t>
      </w:r>
      <w:r>
        <w:rPr>
          <w:rFonts w:ascii="Times New Roman" w:hAnsi="Times New Roman"/>
          <w:sz w:val="24"/>
          <w:szCs w:val="24"/>
        </w:rPr>
        <w:t xml:space="preserve"> and </w:t>
      </w:r>
      <w:proofErr w:type="spellStart"/>
      <w:r w:rsidRPr="005E2F6E">
        <w:rPr>
          <w:rFonts w:ascii="Times New Roman" w:hAnsi="Times New Roman"/>
          <w:i/>
          <w:sz w:val="24"/>
          <w:szCs w:val="24"/>
        </w:rPr>
        <w:t>Consolo</w:t>
      </w:r>
      <w:proofErr w:type="spellEnd"/>
      <w:r w:rsidRPr="005E2F6E">
        <w:rPr>
          <w:rFonts w:ascii="Times New Roman" w:hAnsi="Times New Roman"/>
          <w:i/>
          <w:sz w:val="24"/>
          <w:szCs w:val="24"/>
        </w:rPr>
        <w:t xml:space="preserve"> </w:t>
      </w:r>
      <w:r>
        <w:rPr>
          <w:rFonts w:ascii="Times New Roman" w:hAnsi="Times New Roman"/>
          <w:sz w:val="24"/>
          <w:szCs w:val="24"/>
        </w:rPr>
        <w:t xml:space="preserve">are distinguishable from the present case. </w:t>
      </w:r>
    </w:p>
    <w:p w:rsidR="0030712C" w:rsidRPr="00704436" w:rsidRDefault="0030712C" w:rsidP="0030712C">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w:t>
      </w:r>
      <w:r w:rsidRPr="00704436">
        <w:rPr>
          <w:rFonts w:ascii="Times New Roman" w:hAnsi="Times New Roman" w:cs="Times New Roman"/>
          <w:sz w:val="24"/>
          <w:szCs w:val="24"/>
        </w:rPr>
        <w:t>he issue of how</w:t>
      </w:r>
      <w:r>
        <w:rPr>
          <w:rFonts w:ascii="Times New Roman" w:hAnsi="Times New Roman" w:cs="Times New Roman"/>
          <w:sz w:val="24"/>
          <w:szCs w:val="24"/>
        </w:rPr>
        <w:t xml:space="preserve"> Duke was to be compensated for </w:t>
      </w:r>
      <w:r w:rsidRPr="00704436">
        <w:rPr>
          <w:rFonts w:ascii="Times New Roman" w:hAnsi="Times New Roman" w:cs="Times New Roman"/>
          <w:sz w:val="24"/>
          <w:szCs w:val="24"/>
        </w:rPr>
        <w:t>providing capacity as an FRR entity was an integral pa</w:t>
      </w:r>
      <w:r>
        <w:rPr>
          <w:rFonts w:ascii="Times New Roman" w:hAnsi="Times New Roman" w:cs="Times New Roman"/>
          <w:sz w:val="24"/>
          <w:szCs w:val="24"/>
        </w:rPr>
        <w:t xml:space="preserve">rt of the prior proceeding. </w:t>
      </w:r>
      <w:r w:rsidR="00E7234B">
        <w:rPr>
          <w:rFonts w:ascii="Times New Roman" w:hAnsi="Times New Roman" w:cs="Times New Roman"/>
          <w:sz w:val="24"/>
          <w:szCs w:val="24"/>
        </w:rPr>
        <w:t xml:space="preserve"> </w:t>
      </w:r>
      <w:r>
        <w:rPr>
          <w:rFonts w:ascii="Times New Roman" w:hAnsi="Times New Roman" w:cs="Times New Roman"/>
          <w:sz w:val="24"/>
          <w:szCs w:val="24"/>
        </w:rPr>
        <w:t xml:space="preserve">The ESP </w:t>
      </w:r>
      <w:r w:rsidRPr="00704436">
        <w:rPr>
          <w:rFonts w:ascii="Times New Roman" w:hAnsi="Times New Roman" w:cs="Times New Roman"/>
          <w:sz w:val="24"/>
          <w:szCs w:val="24"/>
        </w:rPr>
        <w:t xml:space="preserve">Stipulation, Duke’s testimony, the </w:t>
      </w:r>
      <w:r w:rsidR="00037721">
        <w:rPr>
          <w:rFonts w:ascii="Times New Roman" w:hAnsi="Times New Roman" w:cs="Times New Roman"/>
          <w:sz w:val="24"/>
          <w:szCs w:val="24"/>
        </w:rPr>
        <w:t>PUCO</w:t>
      </w:r>
      <w:r w:rsidRPr="00704436">
        <w:rPr>
          <w:rFonts w:ascii="Times New Roman" w:hAnsi="Times New Roman" w:cs="Times New Roman"/>
          <w:sz w:val="24"/>
          <w:szCs w:val="24"/>
        </w:rPr>
        <w:t xml:space="preserve"> Order, and Du</w:t>
      </w:r>
      <w:r>
        <w:rPr>
          <w:rFonts w:ascii="Times New Roman" w:hAnsi="Times New Roman" w:cs="Times New Roman"/>
          <w:sz w:val="24"/>
          <w:szCs w:val="24"/>
        </w:rPr>
        <w:t xml:space="preserve">ke’s tariffs all attest to that </w:t>
      </w:r>
      <w:r w:rsidRPr="00704436">
        <w:rPr>
          <w:rFonts w:ascii="Times New Roman" w:hAnsi="Times New Roman" w:cs="Times New Roman"/>
          <w:sz w:val="24"/>
          <w:szCs w:val="24"/>
        </w:rPr>
        <w:t>fact.</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The issues raised in this case were already litigate</w:t>
      </w:r>
      <w:r>
        <w:rPr>
          <w:rFonts w:ascii="Times New Roman" w:hAnsi="Times New Roman" w:cs="Times New Roman"/>
          <w:sz w:val="24"/>
          <w:szCs w:val="24"/>
        </w:rPr>
        <w:t xml:space="preserve">d, and Duke had the opportunity </w:t>
      </w:r>
      <w:r w:rsidRPr="00704436">
        <w:rPr>
          <w:rFonts w:ascii="Times New Roman" w:hAnsi="Times New Roman" w:cs="Times New Roman"/>
          <w:sz w:val="24"/>
          <w:szCs w:val="24"/>
        </w:rPr>
        <w:t>to present evidence of its embedded costs of being an FRR</w:t>
      </w:r>
      <w:r>
        <w:rPr>
          <w:rFonts w:ascii="Times New Roman" w:hAnsi="Times New Roman" w:cs="Times New Roman"/>
          <w:sz w:val="24"/>
          <w:szCs w:val="24"/>
        </w:rPr>
        <w:t xml:space="preserve"> entity. </w:t>
      </w:r>
      <w:r w:rsidR="00037721">
        <w:rPr>
          <w:rFonts w:ascii="Times New Roman" w:hAnsi="Times New Roman" w:cs="Times New Roman"/>
          <w:sz w:val="24"/>
          <w:szCs w:val="24"/>
        </w:rPr>
        <w:t xml:space="preserve"> </w:t>
      </w:r>
      <w:r>
        <w:rPr>
          <w:rFonts w:ascii="Times New Roman" w:hAnsi="Times New Roman" w:cs="Times New Roman"/>
          <w:sz w:val="24"/>
          <w:szCs w:val="24"/>
        </w:rPr>
        <w:t xml:space="preserve">In fact it did present </w:t>
      </w:r>
      <w:r w:rsidRPr="00704436">
        <w:rPr>
          <w:rFonts w:ascii="Times New Roman" w:hAnsi="Times New Roman" w:cs="Times New Roman"/>
          <w:sz w:val="24"/>
          <w:szCs w:val="24"/>
        </w:rPr>
        <w:t xml:space="preserve">such evidence in its </w:t>
      </w:r>
      <w:r w:rsidRPr="00704436">
        <w:rPr>
          <w:rFonts w:ascii="Times New Roman" w:hAnsi="Times New Roman" w:cs="Times New Roman"/>
          <w:sz w:val="24"/>
          <w:szCs w:val="24"/>
        </w:rPr>
        <w:lastRenderedPageBreak/>
        <w:t>original application,</w:t>
      </w:r>
      <w:r>
        <w:rPr>
          <w:rStyle w:val="FootnoteReference"/>
          <w:rFonts w:ascii="Times New Roman" w:hAnsi="Times New Roman" w:cs="Times New Roman"/>
          <w:sz w:val="24"/>
          <w:szCs w:val="24"/>
        </w:rPr>
        <w:footnoteReference w:id="23"/>
      </w:r>
      <w:r w:rsidRPr="00704436">
        <w:rPr>
          <w:rFonts w:ascii="Times New Roman" w:hAnsi="Times New Roman" w:cs="Times New Roman"/>
          <w:sz w:val="24"/>
          <w:szCs w:val="24"/>
        </w:rPr>
        <w:t xml:space="preserve"> but as part o</w:t>
      </w:r>
      <w:r>
        <w:rPr>
          <w:rFonts w:ascii="Times New Roman" w:hAnsi="Times New Roman" w:cs="Times New Roman"/>
          <w:sz w:val="24"/>
          <w:szCs w:val="24"/>
        </w:rPr>
        <w:t xml:space="preserve">f the ESP settlement Duke agreed to </w:t>
      </w:r>
      <w:r w:rsidRPr="00704436">
        <w:rPr>
          <w:rFonts w:ascii="Times New Roman" w:hAnsi="Times New Roman" w:cs="Times New Roman"/>
          <w:sz w:val="24"/>
          <w:szCs w:val="24"/>
        </w:rPr>
        <w:t>forego cost</w:t>
      </w:r>
      <w:r w:rsidR="00037721">
        <w:rPr>
          <w:rFonts w:ascii="Times New Roman" w:hAnsi="Times New Roman" w:cs="Times New Roman"/>
          <w:sz w:val="24"/>
          <w:szCs w:val="24"/>
        </w:rPr>
        <w:t>-</w:t>
      </w:r>
      <w:r w:rsidRPr="00704436">
        <w:rPr>
          <w:rFonts w:ascii="Times New Roman" w:hAnsi="Times New Roman" w:cs="Times New Roman"/>
          <w:sz w:val="24"/>
          <w:szCs w:val="24"/>
        </w:rPr>
        <w:t xml:space="preserve">based capacity </w:t>
      </w:r>
      <w:r w:rsidR="00037721">
        <w:rPr>
          <w:rFonts w:ascii="Times New Roman" w:hAnsi="Times New Roman" w:cs="Times New Roman"/>
          <w:sz w:val="24"/>
          <w:szCs w:val="24"/>
        </w:rPr>
        <w:t xml:space="preserve">prices </w:t>
      </w:r>
      <w:r w:rsidRPr="00704436">
        <w:rPr>
          <w:rFonts w:ascii="Times New Roman" w:hAnsi="Times New Roman" w:cs="Times New Roman"/>
          <w:sz w:val="24"/>
          <w:szCs w:val="24"/>
        </w:rPr>
        <w:t>in lieu of market</w:t>
      </w:r>
      <w:r w:rsidR="00037721">
        <w:rPr>
          <w:rFonts w:ascii="Times New Roman" w:hAnsi="Times New Roman" w:cs="Times New Roman"/>
          <w:sz w:val="24"/>
          <w:szCs w:val="24"/>
        </w:rPr>
        <w:t>-</w:t>
      </w:r>
      <w:r w:rsidRPr="00704436">
        <w:rPr>
          <w:rFonts w:ascii="Times New Roman" w:hAnsi="Times New Roman" w:cs="Times New Roman"/>
          <w:sz w:val="24"/>
          <w:szCs w:val="24"/>
        </w:rPr>
        <w:t xml:space="preserve"> based ca</w:t>
      </w:r>
      <w:r>
        <w:rPr>
          <w:rFonts w:ascii="Times New Roman" w:hAnsi="Times New Roman" w:cs="Times New Roman"/>
          <w:sz w:val="24"/>
          <w:szCs w:val="24"/>
        </w:rPr>
        <w:t xml:space="preserve">pacity </w:t>
      </w:r>
      <w:r w:rsidR="00037721">
        <w:rPr>
          <w:rFonts w:ascii="Times New Roman" w:hAnsi="Times New Roman" w:cs="Times New Roman"/>
          <w:sz w:val="24"/>
          <w:szCs w:val="24"/>
        </w:rPr>
        <w:t xml:space="preserve">prices </w:t>
      </w:r>
      <w:r>
        <w:rPr>
          <w:rFonts w:ascii="Times New Roman" w:hAnsi="Times New Roman" w:cs="Times New Roman"/>
          <w:sz w:val="24"/>
          <w:szCs w:val="24"/>
        </w:rPr>
        <w:t xml:space="preserve">and compensation through </w:t>
      </w:r>
      <w:r w:rsidRPr="00704436">
        <w:rPr>
          <w:rFonts w:ascii="Times New Roman" w:hAnsi="Times New Roman" w:cs="Times New Roman"/>
          <w:sz w:val="24"/>
          <w:szCs w:val="24"/>
        </w:rPr>
        <w:t xml:space="preserve">Riders RC and ESSC. </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Duke agreed to be compensated f</w:t>
      </w:r>
      <w:r>
        <w:rPr>
          <w:rFonts w:ascii="Times New Roman" w:hAnsi="Times New Roman" w:cs="Times New Roman"/>
          <w:sz w:val="24"/>
          <w:szCs w:val="24"/>
        </w:rPr>
        <w:t xml:space="preserve">or its FRR obligation under the </w:t>
      </w:r>
      <w:r w:rsidRPr="00704436">
        <w:rPr>
          <w:rFonts w:ascii="Times New Roman" w:hAnsi="Times New Roman" w:cs="Times New Roman"/>
          <w:sz w:val="24"/>
          <w:szCs w:val="24"/>
        </w:rPr>
        <w:t>terms of the Stipulation.</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 xml:space="preserve"> Duke’s agreement under the Sti</w:t>
      </w:r>
      <w:r>
        <w:rPr>
          <w:rFonts w:ascii="Times New Roman" w:hAnsi="Times New Roman" w:cs="Times New Roman"/>
          <w:sz w:val="24"/>
          <w:szCs w:val="24"/>
        </w:rPr>
        <w:t xml:space="preserve">pulation cannot be squared with </w:t>
      </w:r>
      <w:r w:rsidRPr="00704436">
        <w:rPr>
          <w:rFonts w:ascii="Times New Roman" w:hAnsi="Times New Roman" w:cs="Times New Roman"/>
          <w:sz w:val="24"/>
          <w:szCs w:val="24"/>
        </w:rPr>
        <w:t>its allegations in this proceeding that it is receiving inadequate capacity compensation, which will cause it to operate at a significant loss.</w:t>
      </w:r>
      <w:r>
        <w:rPr>
          <w:rStyle w:val="FootnoteReference"/>
          <w:rFonts w:ascii="Times New Roman" w:hAnsi="Times New Roman" w:cs="Times New Roman"/>
          <w:sz w:val="24"/>
          <w:szCs w:val="24"/>
        </w:rPr>
        <w:footnoteReference w:id="24"/>
      </w:r>
      <w:r w:rsidRPr="00704436">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Pr>
          <w:rFonts w:ascii="Times New Roman" w:hAnsi="Times New Roman" w:cs="Times New Roman"/>
          <w:sz w:val="24"/>
          <w:szCs w:val="24"/>
        </w:rPr>
        <w:t xml:space="preserve">Thus, when collateral </w:t>
      </w:r>
      <w:r w:rsidRPr="00704436">
        <w:rPr>
          <w:rFonts w:ascii="Times New Roman" w:hAnsi="Times New Roman" w:cs="Times New Roman"/>
          <w:sz w:val="24"/>
          <w:szCs w:val="24"/>
        </w:rPr>
        <w:t xml:space="preserve">estoppel and res judicata are applied, it is clear that Duke is precluded from seeking </w:t>
      </w:r>
      <w:r>
        <w:rPr>
          <w:rFonts w:ascii="Times New Roman" w:hAnsi="Times New Roman" w:cs="Times New Roman"/>
          <w:sz w:val="24"/>
          <w:szCs w:val="24"/>
        </w:rPr>
        <w:t xml:space="preserve">the </w:t>
      </w:r>
      <w:r w:rsidRPr="00704436">
        <w:rPr>
          <w:rFonts w:ascii="Times New Roman" w:hAnsi="Times New Roman" w:cs="Times New Roman"/>
          <w:sz w:val="24"/>
          <w:szCs w:val="24"/>
        </w:rPr>
        <w:t>additional relief requested in its Application.</w:t>
      </w:r>
    </w:p>
    <w:p w:rsidR="0030712C" w:rsidRPr="00704436" w:rsidRDefault="0030712C" w:rsidP="0030712C">
      <w:pPr>
        <w:autoSpaceDE w:val="0"/>
        <w:autoSpaceDN w:val="0"/>
        <w:adjustRightInd w:val="0"/>
        <w:ind w:firstLine="720"/>
        <w:rPr>
          <w:rFonts w:ascii="Times New Roman" w:hAnsi="Times New Roman" w:cs="Times New Roman"/>
          <w:sz w:val="24"/>
          <w:szCs w:val="24"/>
        </w:rPr>
      </w:pPr>
      <w:r w:rsidRPr="00704436">
        <w:rPr>
          <w:rFonts w:ascii="Times New Roman" w:hAnsi="Times New Roman" w:cs="Times New Roman"/>
          <w:sz w:val="24"/>
          <w:szCs w:val="24"/>
        </w:rPr>
        <w:t>Moreover, Duke’s arguments in favor of narrowing the scope of the res judicata</w:t>
      </w:r>
      <w:r>
        <w:rPr>
          <w:rFonts w:ascii="Times New Roman" w:hAnsi="Times New Roman" w:cs="Times New Roman"/>
          <w:sz w:val="24"/>
          <w:szCs w:val="24"/>
        </w:rPr>
        <w:t xml:space="preserve"> </w:t>
      </w:r>
      <w:r w:rsidRPr="00704436">
        <w:rPr>
          <w:rFonts w:ascii="Times New Roman" w:hAnsi="Times New Roman" w:cs="Times New Roman"/>
          <w:sz w:val="24"/>
          <w:szCs w:val="24"/>
        </w:rPr>
        <w:t>and collateral estoppel doctrines are contrary to legal precedent regarding these doctrines.</w:t>
      </w:r>
    </w:p>
    <w:p w:rsidR="0030712C" w:rsidRPr="00704436" w:rsidRDefault="0030712C" w:rsidP="003071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Pr="00704436">
        <w:rPr>
          <w:rFonts w:ascii="Times New Roman" w:hAnsi="Times New Roman" w:cs="Times New Roman"/>
          <w:sz w:val="24"/>
          <w:szCs w:val="24"/>
        </w:rPr>
        <w:t>es judicata precludes n</w:t>
      </w:r>
      <w:r>
        <w:rPr>
          <w:rFonts w:ascii="Times New Roman" w:hAnsi="Times New Roman" w:cs="Times New Roman"/>
          <w:sz w:val="24"/>
          <w:szCs w:val="24"/>
        </w:rPr>
        <w:t xml:space="preserve">ot only re-litigation of issues </w:t>
      </w:r>
      <w:r w:rsidRPr="00704436">
        <w:rPr>
          <w:rFonts w:ascii="Times New Roman" w:hAnsi="Times New Roman" w:cs="Times New Roman"/>
          <w:sz w:val="24"/>
          <w:szCs w:val="24"/>
        </w:rPr>
        <w:t>raised and decided in a prior action</w:t>
      </w:r>
      <w:r w:rsidR="00037721">
        <w:rPr>
          <w:rFonts w:ascii="Times New Roman" w:hAnsi="Times New Roman" w:cs="Times New Roman"/>
          <w:sz w:val="24"/>
          <w:szCs w:val="24"/>
        </w:rPr>
        <w:t>, but t</w:t>
      </w:r>
      <w:r w:rsidRPr="00704436">
        <w:rPr>
          <w:rFonts w:ascii="Times New Roman" w:hAnsi="Times New Roman" w:cs="Times New Roman"/>
          <w:sz w:val="24"/>
          <w:szCs w:val="24"/>
        </w:rPr>
        <w:t>he doctrine als</w:t>
      </w:r>
      <w:r>
        <w:rPr>
          <w:rFonts w:ascii="Times New Roman" w:hAnsi="Times New Roman" w:cs="Times New Roman"/>
          <w:sz w:val="24"/>
          <w:szCs w:val="24"/>
        </w:rPr>
        <w:t xml:space="preserve">o “applies even to instances in </w:t>
      </w:r>
      <w:r w:rsidRPr="00704436">
        <w:rPr>
          <w:rFonts w:ascii="Times New Roman" w:hAnsi="Times New Roman" w:cs="Times New Roman"/>
          <w:sz w:val="24"/>
          <w:szCs w:val="24"/>
        </w:rPr>
        <w:t>which a party is prepared to present new evidence or new causes of action not presented</w:t>
      </w:r>
      <w:r>
        <w:rPr>
          <w:rFonts w:ascii="Times New Roman" w:hAnsi="Times New Roman" w:cs="Times New Roman"/>
          <w:sz w:val="24"/>
          <w:szCs w:val="24"/>
        </w:rPr>
        <w:t xml:space="preserve"> </w:t>
      </w:r>
      <w:r w:rsidRPr="00704436">
        <w:rPr>
          <w:rFonts w:ascii="Times New Roman" w:hAnsi="Times New Roman" w:cs="Times New Roman"/>
          <w:sz w:val="24"/>
          <w:szCs w:val="24"/>
        </w:rPr>
        <w:t>in the first action, or to seek remedies or forms of relief not sought in the first action.”</w:t>
      </w:r>
      <w:r>
        <w:rPr>
          <w:rStyle w:val="FootnoteReference"/>
          <w:rFonts w:ascii="Times New Roman" w:hAnsi="Times New Roman" w:cs="Times New Roman"/>
          <w:sz w:val="24"/>
          <w:szCs w:val="24"/>
        </w:rPr>
        <w:footnoteReference w:id="25"/>
      </w:r>
    </w:p>
    <w:p w:rsidR="0030712C" w:rsidRPr="00704436" w:rsidRDefault="0030712C" w:rsidP="0030712C">
      <w:pPr>
        <w:autoSpaceDE w:val="0"/>
        <w:autoSpaceDN w:val="0"/>
        <w:adjustRightInd w:val="0"/>
        <w:ind w:firstLine="720"/>
        <w:rPr>
          <w:rFonts w:ascii="Times New Roman" w:hAnsi="Times New Roman" w:cs="Times New Roman"/>
          <w:sz w:val="24"/>
          <w:szCs w:val="24"/>
        </w:rPr>
      </w:pPr>
      <w:r w:rsidRPr="00704436">
        <w:rPr>
          <w:rFonts w:ascii="Times New Roman" w:hAnsi="Times New Roman" w:cs="Times New Roman"/>
          <w:sz w:val="24"/>
          <w:szCs w:val="24"/>
        </w:rPr>
        <w:t xml:space="preserve">The Supreme Court of Ohio has </w:t>
      </w:r>
      <w:r>
        <w:rPr>
          <w:rFonts w:ascii="Times New Roman" w:hAnsi="Times New Roman" w:cs="Times New Roman"/>
          <w:sz w:val="24"/>
          <w:szCs w:val="24"/>
        </w:rPr>
        <w:t xml:space="preserve">held </w:t>
      </w:r>
      <w:r w:rsidRPr="00704436">
        <w:rPr>
          <w:rFonts w:ascii="Times New Roman" w:hAnsi="Times New Roman" w:cs="Times New Roman"/>
          <w:sz w:val="24"/>
          <w:szCs w:val="24"/>
        </w:rPr>
        <w:t>that:</w:t>
      </w:r>
    </w:p>
    <w:p w:rsidR="0030712C" w:rsidRDefault="0030712C" w:rsidP="00E7234B">
      <w:pPr>
        <w:autoSpaceDE w:val="0"/>
        <w:autoSpaceDN w:val="0"/>
        <w:adjustRightInd w:val="0"/>
        <w:spacing w:line="240" w:lineRule="auto"/>
        <w:ind w:left="1440" w:right="720"/>
        <w:rPr>
          <w:rFonts w:ascii="Times New Roman" w:hAnsi="Times New Roman" w:cs="Times New Roman"/>
          <w:sz w:val="24"/>
          <w:szCs w:val="24"/>
        </w:rPr>
      </w:pPr>
      <w:r w:rsidRPr="00704436">
        <w:rPr>
          <w:rFonts w:ascii="Times New Roman" w:hAnsi="Times New Roman" w:cs="Times New Roman"/>
          <w:sz w:val="24"/>
          <w:szCs w:val="24"/>
        </w:rPr>
        <w:t>A party cannot re-litigate matters which he might have interposed,</w:t>
      </w:r>
      <w:r>
        <w:rPr>
          <w:rFonts w:ascii="Times New Roman" w:hAnsi="Times New Roman" w:cs="Times New Roman"/>
          <w:sz w:val="24"/>
          <w:szCs w:val="24"/>
        </w:rPr>
        <w:t xml:space="preserve"> </w:t>
      </w:r>
      <w:r w:rsidRPr="00704436">
        <w:rPr>
          <w:rFonts w:ascii="Times New Roman" w:hAnsi="Times New Roman" w:cs="Times New Roman"/>
          <w:sz w:val="24"/>
          <w:szCs w:val="24"/>
        </w:rPr>
        <w:t>but failed to do in a prior action between the sam</w:t>
      </w:r>
      <w:r>
        <w:rPr>
          <w:rFonts w:ascii="Times New Roman" w:hAnsi="Times New Roman" w:cs="Times New Roman"/>
          <w:sz w:val="24"/>
          <w:szCs w:val="24"/>
        </w:rPr>
        <w:t xml:space="preserve">e parties or their </w:t>
      </w:r>
      <w:r w:rsidRPr="00704436">
        <w:rPr>
          <w:rFonts w:ascii="Times New Roman" w:hAnsi="Times New Roman" w:cs="Times New Roman"/>
          <w:sz w:val="24"/>
          <w:szCs w:val="24"/>
        </w:rPr>
        <w:t>privies, in reference to the same su</w:t>
      </w:r>
      <w:r>
        <w:rPr>
          <w:rFonts w:ascii="Times New Roman" w:hAnsi="Times New Roman" w:cs="Times New Roman"/>
          <w:sz w:val="24"/>
          <w:szCs w:val="24"/>
        </w:rPr>
        <w:t xml:space="preserve">bject matter. And if one of the </w:t>
      </w:r>
      <w:r w:rsidRPr="00704436">
        <w:rPr>
          <w:rFonts w:ascii="Times New Roman" w:hAnsi="Times New Roman" w:cs="Times New Roman"/>
          <w:sz w:val="24"/>
          <w:szCs w:val="24"/>
        </w:rPr>
        <w:t>parties failed to introduce matters for</w:t>
      </w:r>
      <w:r>
        <w:rPr>
          <w:rFonts w:ascii="Times New Roman" w:hAnsi="Times New Roman" w:cs="Times New Roman"/>
          <w:sz w:val="24"/>
          <w:szCs w:val="24"/>
        </w:rPr>
        <w:t xml:space="preserve"> the consideration of the court </w:t>
      </w:r>
      <w:r w:rsidRPr="00704436">
        <w:rPr>
          <w:rFonts w:ascii="Times New Roman" w:hAnsi="Times New Roman" w:cs="Times New Roman"/>
          <w:sz w:val="24"/>
          <w:szCs w:val="24"/>
        </w:rPr>
        <w:t>that he might have done, he will</w:t>
      </w:r>
      <w:r>
        <w:rPr>
          <w:rFonts w:ascii="Times New Roman" w:hAnsi="Times New Roman" w:cs="Times New Roman"/>
          <w:sz w:val="24"/>
          <w:szCs w:val="24"/>
        </w:rPr>
        <w:t xml:space="preserve"> be presumed to have waived his </w:t>
      </w:r>
      <w:r w:rsidRPr="00704436">
        <w:rPr>
          <w:rFonts w:ascii="Times New Roman" w:hAnsi="Times New Roman" w:cs="Times New Roman"/>
          <w:sz w:val="24"/>
          <w:szCs w:val="24"/>
        </w:rPr>
        <w:t>right to do so.</w:t>
      </w:r>
      <w:r>
        <w:rPr>
          <w:rStyle w:val="FootnoteReference"/>
          <w:rFonts w:ascii="Times New Roman" w:hAnsi="Times New Roman" w:cs="Times New Roman"/>
          <w:sz w:val="24"/>
          <w:szCs w:val="24"/>
        </w:rPr>
        <w:footnoteReference w:id="26"/>
      </w:r>
    </w:p>
    <w:p w:rsidR="0030712C" w:rsidRPr="00704436" w:rsidRDefault="0030712C" w:rsidP="0030712C">
      <w:pPr>
        <w:autoSpaceDE w:val="0"/>
        <w:autoSpaceDN w:val="0"/>
        <w:adjustRightInd w:val="0"/>
        <w:spacing w:line="240" w:lineRule="auto"/>
        <w:ind w:left="720" w:right="720"/>
        <w:rPr>
          <w:rFonts w:ascii="Times New Roman" w:hAnsi="Times New Roman" w:cs="Times New Roman"/>
          <w:sz w:val="24"/>
          <w:szCs w:val="24"/>
        </w:rPr>
      </w:pPr>
    </w:p>
    <w:p w:rsidR="0030712C" w:rsidRDefault="0030712C" w:rsidP="0030712C">
      <w:pPr>
        <w:autoSpaceDE w:val="0"/>
        <w:autoSpaceDN w:val="0"/>
        <w:adjustRightInd w:val="0"/>
        <w:rPr>
          <w:rFonts w:ascii="Times New Roman" w:hAnsi="Times New Roman" w:cs="Times New Roman"/>
          <w:sz w:val="24"/>
          <w:szCs w:val="24"/>
        </w:rPr>
      </w:pPr>
      <w:r w:rsidRPr="00704436">
        <w:rPr>
          <w:rFonts w:ascii="Times New Roman" w:hAnsi="Times New Roman" w:cs="Times New Roman"/>
          <w:sz w:val="24"/>
          <w:szCs w:val="24"/>
        </w:rPr>
        <w:t>Hence, the scope of these doctrines is broad and encompasses Duke’s claims in the pr</w:t>
      </w:r>
      <w:r>
        <w:rPr>
          <w:rFonts w:ascii="Times New Roman" w:hAnsi="Times New Roman" w:cs="Times New Roman"/>
          <w:sz w:val="24"/>
          <w:szCs w:val="24"/>
        </w:rPr>
        <w:t>esent case.</w:t>
      </w:r>
      <w:r w:rsidR="00E7234B">
        <w:rPr>
          <w:rFonts w:ascii="Times New Roman" w:hAnsi="Times New Roman" w:cs="Times New Roman"/>
          <w:sz w:val="24"/>
          <w:szCs w:val="24"/>
        </w:rPr>
        <w:t xml:space="preserve">  </w:t>
      </w:r>
      <w:r>
        <w:rPr>
          <w:rFonts w:ascii="Times New Roman" w:hAnsi="Times New Roman" w:cs="Times New Roman"/>
          <w:sz w:val="24"/>
          <w:szCs w:val="24"/>
        </w:rPr>
        <w:t xml:space="preserve">Duke was afforded a </w:t>
      </w:r>
      <w:r w:rsidRPr="00704436">
        <w:rPr>
          <w:rFonts w:ascii="Times New Roman" w:hAnsi="Times New Roman" w:cs="Times New Roman"/>
          <w:sz w:val="24"/>
          <w:szCs w:val="24"/>
        </w:rPr>
        <w:t xml:space="preserve">fair opportunity to litigate how its capacity should </w:t>
      </w:r>
      <w:r>
        <w:rPr>
          <w:rFonts w:ascii="Times New Roman" w:hAnsi="Times New Roman" w:cs="Times New Roman"/>
          <w:sz w:val="24"/>
          <w:szCs w:val="24"/>
        </w:rPr>
        <w:t xml:space="preserve">be priced when it filed its ESP </w:t>
      </w:r>
      <w:r w:rsidRPr="00704436">
        <w:rPr>
          <w:rFonts w:ascii="Times New Roman" w:hAnsi="Times New Roman" w:cs="Times New Roman"/>
          <w:sz w:val="24"/>
          <w:szCs w:val="24"/>
        </w:rPr>
        <w:t xml:space="preserve">application. </w:t>
      </w:r>
      <w:r w:rsidR="00037721">
        <w:rPr>
          <w:rFonts w:ascii="Times New Roman" w:hAnsi="Times New Roman" w:cs="Times New Roman"/>
          <w:sz w:val="24"/>
          <w:szCs w:val="24"/>
        </w:rPr>
        <w:t xml:space="preserve"> </w:t>
      </w:r>
      <w:r w:rsidRPr="00704436">
        <w:rPr>
          <w:rFonts w:ascii="Times New Roman" w:hAnsi="Times New Roman" w:cs="Times New Roman"/>
          <w:sz w:val="24"/>
          <w:szCs w:val="24"/>
        </w:rPr>
        <w:t>In fact, the very same legal authority that it re</w:t>
      </w:r>
      <w:r>
        <w:rPr>
          <w:rFonts w:ascii="Times New Roman" w:hAnsi="Times New Roman" w:cs="Times New Roman"/>
          <w:sz w:val="24"/>
          <w:szCs w:val="24"/>
        </w:rPr>
        <w:t xml:space="preserve">lies on here—Section 8.1 of the </w:t>
      </w:r>
      <w:r w:rsidRPr="00704436">
        <w:rPr>
          <w:rFonts w:ascii="Times New Roman" w:hAnsi="Times New Roman" w:cs="Times New Roman"/>
          <w:sz w:val="24"/>
          <w:szCs w:val="24"/>
        </w:rPr>
        <w:t xml:space="preserve">PJM RAA which authorizes the </w:t>
      </w:r>
      <w:r w:rsidR="00037721">
        <w:rPr>
          <w:rFonts w:ascii="Times New Roman" w:hAnsi="Times New Roman" w:cs="Times New Roman"/>
          <w:sz w:val="24"/>
          <w:szCs w:val="24"/>
        </w:rPr>
        <w:t>PUCO</w:t>
      </w:r>
      <w:r w:rsidRPr="00704436">
        <w:rPr>
          <w:rFonts w:ascii="Times New Roman" w:hAnsi="Times New Roman" w:cs="Times New Roman"/>
          <w:sz w:val="24"/>
          <w:szCs w:val="24"/>
        </w:rPr>
        <w:t xml:space="preserve"> to</w:t>
      </w:r>
      <w:r>
        <w:rPr>
          <w:rFonts w:ascii="Times New Roman" w:hAnsi="Times New Roman" w:cs="Times New Roman"/>
          <w:sz w:val="24"/>
          <w:szCs w:val="24"/>
        </w:rPr>
        <w:t xml:space="preserve"> establish a state compensation </w:t>
      </w:r>
      <w:r w:rsidRPr="00704436">
        <w:rPr>
          <w:rFonts w:ascii="Times New Roman" w:hAnsi="Times New Roman" w:cs="Times New Roman"/>
          <w:sz w:val="24"/>
          <w:szCs w:val="24"/>
        </w:rPr>
        <w:t xml:space="preserve">mechanism—was part of the legal authority Duke relied on to </w:t>
      </w:r>
      <w:r w:rsidR="00037721">
        <w:rPr>
          <w:rFonts w:ascii="Times New Roman" w:hAnsi="Times New Roman" w:cs="Times New Roman"/>
          <w:sz w:val="24"/>
          <w:szCs w:val="24"/>
        </w:rPr>
        <w:t xml:space="preserve">initially </w:t>
      </w:r>
      <w:r w:rsidRPr="00704436">
        <w:rPr>
          <w:rFonts w:ascii="Times New Roman" w:hAnsi="Times New Roman" w:cs="Times New Roman"/>
          <w:sz w:val="24"/>
          <w:szCs w:val="24"/>
        </w:rPr>
        <w:t xml:space="preserve">seek a cost-based rate for capacity in its filed ESP. </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The facts are the same, the law i</w:t>
      </w:r>
      <w:r>
        <w:rPr>
          <w:rFonts w:ascii="Times New Roman" w:hAnsi="Times New Roman" w:cs="Times New Roman"/>
          <w:sz w:val="24"/>
          <w:szCs w:val="24"/>
        </w:rPr>
        <w:t>s the same, and the parties are the same.</w:t>
      </w:r>
      <w:r w:rsidR="00E7234B">
        <w:rPr>
          <w:rFonts w:ascii="Times New Roman" w:hAnsi="Times New Roman" w:cs="Times New Roman"/>
          <w:sz w:val="24"/>
          <w:szCs w:val="24"/>
        </w:rPr>
        <w:t xml:space="preserve"> </w:t>
      </w:r>
      <w:r>
        <w:rPr>
          <w:rFonts w:ascii="Times New Roman" w:hAnsi="Times New Roman" w:cs="Times New Roman"/>
          <w:sz w:val="24"/>
          <w:szCs w:val="24"/>
        </w:rPr>
        <w:t xml:space="preserve"> Despite th</w:t>
      </w:r>
      <w:r w:rsidR="00037721">
        <w:rPr>
          <w:rFonts w:ascii="Times New Roman" w:hAnsi="Times New Roman" w:cs="Times New Roman"/>
          <w:sz w:val="24"/>
          <w:szCs w:val="24"/>
        </w:rPr>
        <w:t>i</w:t>
      </w:r>
      <w:r>
        <w:rPr>
          <w:rFonts w:ascii="Times New Roman" w:hAnsi="Times New Roman" w:cs="Times New Roman"/>
          <w:sz w:val="24"/>
          <w:szCs w:val="24"/>
        </w:rPr>
        <w:t>s, Duke continues to argue that the ESP proceeding and the current proceeding are separate and distinct.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Again, Duke is wrong.</w:t>
      </w:r>
    </w:p>
    <w:p w:rsidR="0030712C" w:rsidRPr="00704436" w:rsidRDefault="0030712C" w:rsidP="0030712C">
      <w:pPr>
        <w:autoSpaceDE w:val="0"/>
        <w:autoSpaceDN w:val="0"/>
        <w:adjustRightInd w:val="0"/>
        <w:ind w:firstLine="720"/>
        <w:rPr>
          <w:rFonts w:ascii="Times New Roman" w:hAnsi="Times New Roman" w:cs="Times New Roman"/>
          <w:sz w:val="24"/>
          <w:szCs w:val="24"/>
        </w:rPr>
      </w:pPr>
      <w:r w:rsidRPr="00704436">
        <w:rPr>
          <w:rFonts w:ascii="Times New Roman" w:hAnsi="Times New Roman" w:cs="Times New Roman"/>
          <w:sz w:val="24"/>
          <w:szCs w:val="24"/>
        </w:rPr>
        <w:t>The issues pertaining to the capacity rate w</w:t>
      </w:r>
      <w:r>
        <w:rPr>
          <w:rFonts w:ascii="Times New Roman" w:hAnsi="Times New Roman" w:cs="Times New Roman"/>
          <w:sz w:val="24"/>
          <w:szCs w:val="24"/>
        </w:rPr>
        <w:t xml:space="preserve">ere well known because AEP Ohio was litigating the same issues </w:t>
      </w:r>
      <w:r w:rsidRPr="00704436">
        <w:rPr>
          <w:rFonts w:ascii="Times New Roman" w:hAnsi="Times New Roman" w:cs="Times New Roman"/>
          <w:sz w:val="24"/>
          <w:szCs w:val="24"/>
        </w:rPr>
        <w:t>at both the federal and st</w:t>
      </w:r>
      <w:r>
        <w:rPr>
          <w:rFonts w:ascii="Times New Roman" w:hAnsi="Times New Roman" w:cs="Times New Roman"/>
          <w:sz w:val="24"/>
          <w:szCs w:val="24"/>
        </w:rPr>
        <w:t xml:space="preserve">ate levels since, at a minimum, </w:t>
      </w:r>
      <w:r w:rsidRPr="00704436">
        <w:rPr>
          <w:rFonts w:ascii="Times New Roman" w:hAnsi="Times New Roman" w:cs="Times New Roman"/>
          <w:sz w:val="24"/>
          <w:szCs w:val="24"/>
        </w:rPr>
        <w:t xml:space="preserve">December, 2010. </w:t>
      </w:r>
      <w:r w:rsidR="00C26AB0">
        <w:rPr>
          <w:rFonts w:ascii="Times New Roman" w:hAnsi="Times New Roman" w:cs="Times New Roman"/>
          <w:sz w:val="24"/>
          <w:szCs w:val="24"/>
        </w:rPr>
        <w:t xml:space="preserve"> </w:t>
      </w:r>
      <w:r w:rsidRPr="00704436">
        <w:rPr>
          <w:rFonts w:ascii="Times New Roman" w:hAnsi="Times New Roman" w:cs="Times New Roman"/>
          <w:sz w:val="24"/>
          <w:szCs w:val="24"/>
        </w:rPr>
        <w:t xml:space="preserve">Duke’s </w:t>
      </w:r>
      <w:r>
        <w:rPr>
          <w:rFonts w:ascii="Times New Roman" w:hAnsi="Times New Roman" w:cs="Times New Roman"/>
          <w:sz w:val="24"/>
          <w:szCs w:val="24"/>
        </w:rPr>
        <w:t xml:space="preserve">argument </w:t>
      </w:r>
      <w:r w:rsidRPr="00704436">
        <w:rPr>
          <w:rFonts w:ascii="Times New Roman" w:hAnsi="Times New Roman" w:cs="Times New Roman"/>
          <w:sz w:val="24"/>
          <w:szCs w:val="24"/>
        </w:rPr>
        <w:t xml:space="preserve">that </w:t>
      </w:r>
      <w:r>
        <w:rPr>
          <w:rFonts w:ascii="Times New Roman" w:hAnsi="Times New Roman" w:cs="Times New Roman"/>
          <w:sz w:val="24"/>
          <w:szCs w:val="24"/>
        </w:rPr>
        <w:t xml:space="preserve">a generic </w:t>
      </w:r>
      <w:r w:rsidRPr="00704436">
        <w:rPr>
          <w:rFonts w:ascii="Times New Roman" w:hAnsi="Times New Roman" w:cs="Times New Roman"/>
          <w:sz w:val="24"/>
          <w:szCs w:val="24"/>
        </w:rPr>
        <w:t>stat</w:t>
      </w:r>
      <w:r>
        <w:rPr>
          <w:rFonts w:ascii="Times New Roman" w:hAnsi="Times New Roman" w:cs="Times New Roman"/>
          <w:sz w:val="24"/>
          <w:szCs w:val="24"/>
        </w:rPr>
        <w:t xml:space="preserve">e mechanism (or methodology for </w:t>
      </w:r>
      <w:r w:rsidRPr="00704436">
        <w:rPr>
          <w:rFonts w:ascii="Times New Roman" w:hAnsi="Times New Roman" w:cs="Times New Roman"/>
          <w:sz w:val="24"/>
          <w:szCs w:val="24"/>
        </w:rPr>
        <w:t>establishing the state mechanism) was a new creation b</w:t>
      </w:r>
      <w:r>
        <w:rPr>
          <w:rFonts w:ascii="Times New Roman" w:hAnsi="Times New Roman" w:cs="Times New Roman"/>
          <w:sz w:val="24"/>
          <w:szCs w:val="24"/>
        </w:rPr>
        <w:t xml:space="preserve">y the </w:t>
      </w:r>
      <w:r w:rsidR="00C26AB0">
        <w:rPr>
          <w:rFonts w:ascii="Times New Roman" w:hAnsi="Times New Roman" w:cs="Times New Roman"/>
          <w:sz w:val="24"/>
          <w:szCs w:val="24"/>
        </w:rPr>
        <w:t xml:space="preserve">PUCO </w:t>
      </w:r>
      <w:r>
        <w:rPr>
          <w:rFonts w:ascii="Times New Roman" w:hAnsi="Times New Roman" w:cs="Times New Roman"/>
          <w:sz w:val="24"/>
          <w:szCs w:val="24"/>
        </w:rPr>
        <w:t xml:space="preserve">in 2012, after </w:t>
      </w:r>
      <w:r w:rsidR="00C26AB0">
        <w:rPr>
          <w:rFonts w:ascii="Times New Roman" w:hAnsi="Times New Roman" w:cs="Times New Roman"/>
          <w:sz w:val="24"/>
          <w:szCs w:val="24"/>
        </w:rPr>
        <w:t xml:space="preserve">Duke’s </w:t>
      </w:r>
      <w:r w:rsidRPr="00704436">
        <w:rPr>
          <w:rFonts w:ascii="Times New Roman" w:hAnsi="Times New Roman" w:cs="Times New Roman"/>
          <w:sz w:val="24"/>
          <w:szCs w:val="24"/>
        </w:rPr>
        <w:t>ESP</w:t>
      </w:r>
      <w:r w:rsidR="00C26AB0">
        <w:rPr>
          <w:rFonts w:ascii="Times New Roman" w:hAnsi="Times New Roman" w:cs="Times New Roman"/>
          <w:sz w:val="24"/>
          <w:szCs w:val="24"/>
        </w:rPr>
        <w:t xml:space="preserve"> had been approved</w:t>
      </w:r>
      <w:r w:rsidRPr="00704436">
        <w:rPr>
          <w:rFonts w:ascii="Times New Roman" w:hAnsi="Times New Roman" w:cs="Times New Roman"/>
          <w:sz w:val="24"/>
          <w:szCs w:val="24"/>
        </w:rPr>
        <w:t xml:space="preserve">, is just inaccurate. </w:t>
      </w:r>
      <w:r w:rsidR="00E7234B">
        <w:rPr>
          <w:rFonts w:ascii="Times New Roman" w:hAnsi="Times New Roman" w:cs="Times New Roman"/>
          <w:sz w:val="24"/>
          <w:szCs w:val="24"/>
        </w:rPr>
        <w:t xml:space="preserve"> </w:t>
      </w:r>
      <w:r>
        <w:rPr>
          <w:rFonts w:ascii="Times New Roman" w:hAnsi="Times New Roman" w:cs="Times New Roman"/>
          <w:sz w:val="24"/>
          <w:szCs w:val="24"/>
        </w:rPr>
        <w:t>As previously explained by multiple parties, the PUCO explicitly limited its review in the AEP Ohio Capacity Case to AEP Ohio.</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C26AB0">
        <w:rPr>
          <w:rFonts w:ascii="Times New Roman" w:hAnsi="Times New Roman" w:cs="Times New Roman"/>
          <w:sz w:val="24"/>
          <w:szCs w:val="24"/>
        </w:rPr>
        <w:t>T</w:t>
      </w:r>
      <w:r w:rsidRPr="00704436">
        <w:rPr>
          <w:rFonts w:ascii="Times New Roman" w:hAnsi="Times New Roman" w:cs="Times New Roman"/>
          <w:sz w:val="24"/>
          <w:szCs w:val="24"/>
        </w:rPr>
        <w:t>he i</w:t>
      </w:r>
      <w:r>
        <w:rPr>
          <w:rFonts w:ascii="Times New Roman" w:hAnsi="Times New Roman" w:cs="Times New Roman"/>
          <w:sz w:val="24"/>
          <w:szCs w:val="24"/>
        </w:rPr>
        <w:t xml:space="preserve">ssue of an appropriate capacity </w:t>
      </w:r>
      <w:r w:rsidRPr="00704436">
        <w:rPr>
          <w:rFonts w:ascii="Times New Roman" w:hAnsi="Times New Roman" w:cs="Times New Roman"/>
          <w:sz w:val="24"/>
          <w:szCs w:val="24"/>
        </w:rPr>
        <w:t>charge for AEP Ohio was fully raised and litigated, and wa</w:t>
      </w:r>
      <w:r w:rsidR="00E7234B">
        <w:rPr>
          <w:rFonts w:ascii="Times New Roman" w:hAnsi="Times New Roman" w:cs="Times New Roman"/>
          <w:sz w:val="24"/>
          <w:szCs w:val="24"/>
        </w:rPr>
        <w:t xml:space="preserve">s known to the industry in 2010.  </w:t>
      </w:r>
      <w:r w:rsidRPr="00704436">
        <w:rPr>
          <w:rFonts w:ascii="Times New Roman" w:hAnsi="Times New Roman" w:cs="Times New Roman"/>
          <w:sz w:val="24"/>
          <w:szCs w:val="24"/>
        </w:rPr>
        <w:t>The only thing that is new or different is Duke’s atte</w:t>
      </w:r>
      <w:r>
        <w:rPr>
          <w:rFonts w:ascii="Times New Roman" w:hAnsi="Times New Roman" w:cs="Times New Roman"/>
          <w:sz w:val="24"/>
          <w:szCs w:val="24"/>
        </w:rPr>
        <w:t xml:space="preserve">mpt to get a second bite at the </w:t>
      </w:r>
      <w:r w:rsidRPr="00704436">
        <w:rPr>
          <w:rFonts w:ascii="Times New Roman" w:hAnsi="Times New Roman" w:cs="Times New Roman"/>
          <w:sz w:val="24"/>
          <w:szCs w:val="24"/>
        </w:rPr>
        <w:t>regulatory process by seeking the “higher of” the result rea</w:t>
      </w:r>
      <w:r>
        <w:rPr>
          <w:rFonts w:ascii="Times New Roman" w:hAnsi="Times New Roman" w:cs="Times New Roman"/>
          <w:sz w:val="24"/>
          <w:szCs w:val="24"/>
        </w:rPr>
        <w:t xml:space="preserve">ched in its two Stipulations or </w:t>
      </w:r>
      <w:r w:rsidRPr="00704436">
        <w:rPr>
          <w:rFonts w:ascii="Times New Roman" w:hAnsi="Times New Roman" w:cs="Times New Roman"/>
          <w:sz w:val="24"/>
          <w:szCs w:val="24"/>
        </w:rPr>
        <w:t>the litigated result in AEP Ohio’s Capacity Case.</w:t>
      </w:r>
    </w:p>
    <w:p w:rsidR="0030712C" w:rsidRDefault="0030712C" w:rsidP="0030712C">
      <w:pPr>
        <w:autoSpaceDE w:val="0"/>
        <w:autoSpaceDN w:val="0"/>
        <w:adjustRightInd w:val="0"/>
        <w:ind w:firstLine="720"/>
        <w:rPr>
          <w:rFonts w:ascii="Times New Roman" w:hAnsi="Times New Roman" w:cs="Times New Roman"/>
          <w:sz w:val="24"/>
          <w:szCs w:val="24"/>
        </w:rPr>
      </w:pPr>
      <w:r w:rsidRPr="00704436">
        <w:rPr>
          <w:rFonts w:ascii="Times New Roman" w:hAnsi="Times New Roman" w:cs="Times New Roman"/>
          <w:sz w:val="24"/>
          <w:szCs w:val="24"/>
        </w:rPr>
        <w:t>According to the Court, “where an administrative proceeding is of a judicial</w:t>
      </w:r>
      <w:r>
        <w:rPr>
          <w:rFonts w:ascii="Times New Roman" w:hAnsi="Times New Roman" w:cs="Times New Roman"/>
          <w:sz w:val="24"/>
          <w:szCs w:val="24"/>
        </w:rPr>
        <w:t xml:space="preserve"> </w:t>
      </w:r>
      <w:r w:rsidRPr="00704436">
        <w:rPr>
          <w:rFonts w:ascii="Times New Roman" w:hAnsi="Times New Roman" w:cs="Times New Roman"/>
          <w:sz w:val="24"/>
          <w:szCs w:val="24"/>
        </w:rPr>
        <w:t xml:space="preserve">nature and where the parties have had an ample opportunity </w:t>
      </w:r>
      <w:r>
        <w:rPr>
          <w:rFonts w:ascii="Times New Roman" w:hAnsi="Times New Roman" w:cs="Times New Roman"/>
          <w:sz w:val="24"/>
          <w:szCs w:val="24"/>
        </w:rPr>
        <w:t xml:space="preserve">to litigate the issues involved </w:t>
      </w:r>
      <w:r w:rsidRPr="00704436">
        <w:rPr>
          <w:rFonts w:ascii="Times New Roman" w:hAnsi="Times New Roman" w:cs="Times New Roman"/>
          <w:sz w:val="24"/>
          <w:szCs w:val="24"/>
        </w:rPr>
        <w:t>in the proceeding, the doctrine of collateral estoppel m</w:t>
      </w:r>
      <w:r>
        <w:rPr>
          <w:rFonts w:ascii="Times New Roman" w:hAnsi="Times New Roman" w:cs="Times New Roman"/>
          <w:sz w:val="24"/>
          <w:szCs w:val="24"/>
        </w:rPr>
        <w:t xml:space="preserve">ay be used to bar litigation of </w:t>
      </w:r>
      <w:r w:rsidRPr="00704436">
        <w:rPr>
          <w:rFonts w:ascii="Times New Roman" w:hAnsi="Times New Roman" w:cs="Times New Roman"/>
          <w:sz w:val="24"/>
          <w:szCs w:val="24"/>
        </w:rPr>
        <w:lastRenderedPageBreak/>
        <w:t>issues in a second administrative proceeding.”</w:t>
      </w:r>
      <w:r>
        <w:rPr>
          <w:rStyle w:val="FootnoteReference"/>
          <w:rFonts w:ascii="Times New Roman" w:hAnsi="Times New Roman" w:cs="Times New Roman"/>
          <w:sz w:val="24"/>
          <w:szCs w:val="24"/>
        </w:rPr>
        <w:footnoteReference w:id="29"/>
      </w:r>
      <w:r w:rsidRPr="00704436">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 xml:space="preserve">The </w:t>
      </w:r>
      <w:r>
        <w:rPr>
          <w:rFonts w:ascii="Times New Roman" w:hAnsi="Times New Roman" w:cs="Times New Roman"/>
          <w:sz w:val="24"/>
          <w:szCs w:val="24"/>
        </w:rPr>
        <w:t xml:space="preserve">Court has held that </w:t>
      </w:r>
      <w:r w:rsidRPr="00704436">
        <w:rPr>
          <w:rFonts w:ascii="Times New Roman" w:hAnsi="Times New Roman" w:cs="Times New Roman"/>
          <w:sz w:val="24"/>
          <w:szCs w:val="24"/>
        </w:rPr>
        <w:t>PUCO proceedings “characterized by notice, hearing, a</w:t>
      </w:r>
      <w:r>
        <w:rPr>
          <w:rFonts w:ascii="Times New Roman" w:hAnsi="Times New Roman" w:cs="Times New Roman"/>
          <w:sz w:val="24"/>
          <w:szCs w:val="24"/>
        </w:rPr>
        <w:t xml:space="preserve">nd the making of an evidentiary </w:t>
      </w:r>
      <w:r w:rsidRPr="00704436">
        <w:rPr>
          <w:rFonts w:ascii="Times New Roman" w:hAnsi="Times New Roman" w:cs="Times New Roman"/>
          <w:sz w:val="24"/>
          <w:szCs w:val="24"/>
        </w:rPr>
        <w:t>record” are quasi-judicial proceedings.</w:t>
      </w:r>
      <w:r>
        <w:rPr>
          <w:rStyle w:val="FootnoteReference"/>
          <w:rFonts w:ascii="Times New Roman" w:hAnsi="Times New Roman" w:cs="Times New Roman"/>
          <w:sz w:val="24"/>
          <w:szCs w:val="24"/>
        </w:rPr>
        <w:footnoteReference w:id="30"/>
      </w:r>
      <w:r w:rsidRPr="00704436">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 xml:space="preserve">Moreover, the </w:t>
      </w:r>
      <w:r>
        <w:rPr>
          <w:rFonts w:ascii="Times New Roman" w:hAnsi="Times New Roman" w:cs="Times New Roman"/>
          <w:sz w:val="24"/>
          <w:szCs w:val="24"/>
        </w:rPr>
        <w:t xml:space="preserve">doctrine can also be applied in </w:t>
      </w:r>
      <w:r w:rsidRPr="00704436">
        <w:rPr>
          <w:rFonts w:ascii="Times New Roman" w:hAnsi="Times New Roman" w:cs="Times New Roman"/>
          <w:sz w:val="24"/>
          <w:szCs w:val="24"/>
        </w:rPr>
        <w:t>cases concluded by settlement.</w:t>
      </w:r>
      <w:r>
        <w:rPr>
          <w:rStyle w:val="FootnoteReference"/>
          <w:rFonts w:ascii="Times New Roman" w:hAnsi="Times New Roman" w:cs="Times New Roman"/>
          <w:sz w:val="24"/>
          <w:szCs w:val="24"/>
        </w:rPr>
        <w:footnoteReference w:id="31"/>
      </w:r>
      <w:r w:rsidRPr="00704436">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sidRPr="00704436">
        <w:rPr>
          <w:rFonts w:ascii="Times New Roman" w:hAnsi="Times New Roman" w:cs="Times New Roman"/>
          <w:sz w:val="24"/>
          <w:szCs w:val="24"/>
        </w:rPr>
        <w:t>Therefore, res judic</w:t>
      </w:r>
      <w:r>
        <w:rPr>
          <w:rFonts w:ascii="Times New Roman" w:hAnsi="Times New Roman" w:cs="Times New Roman"/>
          <w:sz w:val="24"/>
          <w:szCs w:val="24"/>
        </w:rPr>
        <w:t xml:space="preserve">ata and collateral estoppel bar </w:t>
      </w:r>
      <w:r w:rsidRPr="00704436">
        <w:rPr>
          <w:rFonts w:ascii="Times New Roman" w:hAnsi="Times New Roman" w:cs="Times New Roman"/>
          <w:sz w:val="24"/>
          <w:szCs w:val="24"/>
        </w:rPr>
        <w:t>Duke’s requests in this case.</w:t>
      </w:r>
    </w:p>
    <w:p w:rsidR="00413BEF" w:rsidRPr="00413BEF" w:rsidRDefault="00413BEF" w:rsidP="00E7234B">
      <w:pPr>
        <w:pStyle w:val="Heading3"/>
      </w:pPr>
      <w:bookmarkStart w:id="13" w:name="_Toc362949988"/>
      <w:r w:rsidRPr="00413BEF">
        <w:t xml:space="preserve">2.  </w:t>
      </w:r>
      <w:r w:rsidRPr="00413BEF">
        <w:tab/>
        <w:t xml:space="preserve">Duke </w:t>
      </w:r>
      <w:r w:rsidR="002E6946">
        <w:t>w</w:t>
      </w:r>
      <w:r w:rsidRPr="00413BEF">
        <w:t xml:space="preserve">aived </w:t>
      </w:r>
      <w:r w:rsidR="002E6946">
        <w:t>i</w:t>
      </w:r>
      <w:r w:rsidRPr="00413BEF">
        <w:t xml:space="preserve">ts </w:t>
      </w:r>
      <w:r w:rsidR="002E6946">
        <w:t>r</w:t>
      </w:r>
      <w:r w:rsidRPr="00413BEF">
        <w:t xml:space="preserve">ights </w:t>
      </w:r>
      <w:r w:rsidR="002E6946">
        <w:t>t</w:t>
      </w:r>
      <w:r w:rsidRPr="00413BEF">
        <w:t xml:space="preserve">o </w:t>
      </w:r>
      <w:r w:rsidR="002E6946">
        <w:t>r</w:t>
      </w:r>
      <w:r w:rsidRPr="00413BEF">
        <w:t xml:space="preserve">easonable </w:t>
      </w:r>
      <w:r w:rsidR="002E6946">
        <w:t>c</w:t>
      </w:r>
      <w:r w:rsidRPr="00413BEF">
        <w:t>ompensation</w:t>
      </w:r>
      <w:r w:rsidR="001332D2">
        <w:t xml:space="preserve"> from customers</w:t>
      </w:r>
      <w:r w:rsidRPr="00413BEF">
        <w:t>.</w:t>
      </w:r>
      <w:bookmarkEnd w:id="13"/>
    </w:p>
    <w:p w:rsidR="00413BEF" w:rsidRDefault="00413BEF" w:rsidP="00413BEF">
      <w:pPr>
        <w:autoSpaceDE w:val="0"/>
        <w:autoSpaceDN w:val="0"/>
        <w:adjustRightInd w:val="0"/>
        <w:ind w:firstLine="720"/>
        <w:rPr>
          <w:rFonts w:ascii="Times New Roman" w:hAnsi="Times New Roman" w:cs="Times New Roman"/>
          <w:sz w:val="24"/>
          <w:szCs w:val="24"/>
        </w:rPr>
      </w:pPr>
      <w:r w:rsidRPr="009E340A">
        <w:rPr>
          <w:rFonts w:ascii="Times New Roman" w:hAnsi="Times New Roman" w:cs="Times New Roman"/>
          <w:sz w:val="24"/>
          <w:szCs w:val="24"/>
        </w:rPr>
        <w:t>Duke argues that it has not waived its right to just and reasonable compensation for its capacity service.</w:t>
      </w:r>
      <w:r>
        <w:rPr>
          <w:rStyle w:val="FootnoteReference"/>
          <w:rFonts w:ascii="Times New Roman" w:hAnsi="Times New Roman" w:cs="Times New Roman"/>
          <w:sz w:val="24"/>
          <w:szCs w:val="24"/>
        </w:rPr>
        <w:footnoteReference w:id="32"/>
      </w:r>
      <w:r w:rsidRPr="009E340A">
        <w:rPr>
          <w:rFonts w:ascii="Times New Roman" w:hAnsi="Times New Roman" w:cs="Times New Roman"/>
          <w:sz w:val="24"/>
          <w:szCs w:val="24"/>
        </w:rPr>
        <w:t xml:space="preserve">  </w:t>
      </w:r>
      <w:r>
        <w:rPr>
          <w:rFonts w:ascii="Times New Roman" w:hAnsi="Times New Roman" w:cs="Times New Roman"/>
          <w:sz w:val="24"/>
          <w:szCs w:val="24"/>
        </w:rPr>
        <w:t>Duke states that “waiver is a matter of intention –it is the voluntary relinquishment of a known right, claim or privilege with the intent to do so with full knowledge of the facts.”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Then, </w:t>
      </w:r>
      <w:r w:rsidR="00024562">
        <w:rPr>
          <w:rFonts w:ascii="Times New Roman" w:hAnsi="Times New Roman" w:cs="Times New Roman"/>
          <w:sz w:val="24"/>
          <w:szCs w:val="24"/>
        </w:rPr>
        <w:t>Duke</w:t>
      </w:r>
      <w:r w:rsidR="005460B2">
        <w:rPr>
          <w:rFonts w:ascii="Times New Roman" w:hAnsi="Times New Roman" w:cs="Times New Roman"/>
          <w:sz w:val="24"/>
          <w:szCs w:val="24"/>
        </w:rPr>
        <w:t xml:space="preserve"> </w:t>
      </w:r>
      <w:r>
        <w:rPr>
          <w:rFonts w:ascii="Times New Roman" w:hAnsi="Times New Roman" w:cs="Times New Roman"/>
          <w:sz w:val="24"/>
          <w:szCs w:val="24"/>
        </w:rPr>
        <w:t>reasons that “[n]</w:t>
      </w:r>
      <w:proofErr w:type="spellStart"/>
      <w:r>
        <w:rPr>
          <w:rFonts w:ascii="Times New Roman" w:hAnsi="Times New Roman" w:cs="Times New Roman"/>
          <w:sz w:val="24"/>
          <w:szCs w:val="24"/>
        </w:rPr>
        <w:t>owhere</w:t>
      </w:r>
      <w:proofErr w:type="spellEnd"/>
      <w:r>
        <w:rPr>
          <w:rFonts w:ascii="Times New Roman" w:hAnsi="Times New Roman" w:cs="Times New Roman"/>
          <w:sz w:val="24"/>
          <w:szCs w:val="24"/>
        </w:rPr>
        <w:t xml:space="preserve"> does the ESP Order specify how much Duke Energy Ohio would be paid for providing wholesale capacity service or that Duke Energy Ohio voluntarily relinquished its right to recover its costs….”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But in making this argument, Duke is asking the PUCO to ignore the facts and circumstances that surround this proceeding.</w:t>
      </w:r>
    </w:p>
    <w:p w:rsidR="00DF3ABF" w:rsidRDefault="00413BEF" w:rsidP="00413BEF">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The timeline of events leading up to this proceeding show that Duke </w:t>
      </w:r>
      <w:r w:rsidR="00A22C90">
        <w:rPr>
          <w:rFonts w:ascii="Times New Roman" w:hAnsi="Times New Roman" w:cs="Times New Roman"/>
          <w:sz w:val="24"/>
          <w:szCs w:val="24"/>
        </w:rPr>
        <w:t xml:space="preserve">voluntarily </w:t>
      </w:r>
      <w:r>
        <w:rPr>
          <w:rFonts w:ascii="Times New Roman" w:hAnsi="Times New Roman" w:cs="Times New Roman"/>
          <w:sz w:val="24"/>
          <w:szCs w:val="24"/>
        </w:rPr>
        <w:t xml:space="preserve">chose to pursue the approaches it took for capacity pricing—knowing the cost recovery implications.  For example, Duke chose to initiate the move from the Midwest </w:t>
      </w:r>
      <w:r>
        <w:rPr>
          <w:rFonts w:ascii="Times New Roman" w:hAnsi="Times New Roman" w:cs="Times New Roman"/>
          <w:sz w:val="24"/>
          <w:szCs w:val="24"/>
        </w:rPr>
        <w:lastRenderedPageBreak/>
        <w:t>Independent Transmission System Operation (</w:t>
      </w:r>
      <w:r w:rsidR="00A22C90">
        <w:rPr>
          <w:rFonts w:ascii="Times New Roman" w:hAnsi="Times New Roman" w:cs="Times New Roman"/>
          <w:sz w:val="24"/>
          <w:szCs w:val="24"/>
        </w:rPr>
        <w:t>“</w:t>
      </w:r>
      <w:r>
        <w:rPr>
          <w:rFonts w:ascii="Times New Roman" w:hAnsi="Times New Roman" w:cs="Times New Roman"/>
          <w:sz w:val="24"/>
          <w:szCs w:val="24"/>
        </w:rPr>
        <w:t>MISO</w:t>
      </w:r>
      <w:r w:rsidR="00A22C90">
        <w:rPr>
          <w:rFonts w:ascii="Times New Roman" w:hAnsi="Times New Roman" w:cs="Times New Roman"/>
          <w:sz w:val="24"/>
          <w:szCs w:val="24"/>
        </w:rPr>
        <w:t>”</w:t>
      </w:r>
      <w:r>
        <w:rPr>
          <w:rFonts w:ascii="Times New Roman" w:hAnsi="Times New Roman" w:cs="Times New Roman"/>
          <w:sz w:val="24"/>
          <w:szCs w:val="24"/>
        </w:rPr>
        <w:t>) to PJM Interconnection in June of 2010.</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 August of 2010, Duke submitted a Fixed Resource Requirement Integration Plan, which detailed how it would meet its PJM resource adequacy requirements as an FRR entity.</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024562">
        <w:rPr>
          <w:rFonts w:ascii="Times New Roman" w:hAnsi="Times New Roman" w:cs="Times New Roman"/>
          <w:sz w:val="24"/>
          <w:szCs w:val="24"/>
        </w:rPr>
        <w:t>Duke</w:t>
      </w:r>
      <w:r w:rsidR="005460B2">
        <w:rPr>
          <w:rFonts w:ascii="Times New Roman" w:hAnsi="Times New Roman" w:cs="Times New Roman"/>
          <w:sz w:val="24"/>
          <w:szCs w:val="24"/>
        </w:rPr>
        <w:t xml:space="preserve"> </w:t>
      </w:r>
      <w:r>
        <w:rPr>
          <w:rFonts w:ascii="Times New Roman" w:hAnsi="Times New Roman" w:cs="Times New Roman"/>
          <w:sz w:val="24"/>
          <w:szCs w:val="24"/>
        </w:rPr>
        <w:t>should have been aware at that time that under the RAA the default price for capacity was RPM.  It should have also known that the only way to request a cost-based price under the RAA is to file at FERC.  But Duke filed a Stipulation in its Application for Approval of the Establishment of Rider BTR (base transmission rider) and a Regional Transmission Rider in April of 2011</w:t>
      </w:r>
      <w:r w:rsidR="008B498E">
        <w:rPr>
          <w:rFonts w:ascii="Times New Roman" w:hAnsi="Times New Roman" w:cs="Times New Roman"/>
          <w:sz w:val="24"/>
          <w:szCs w:val="24"/>
        </w:rPr>
        <w:t xml:space="preserve">.  There, </w:t>
      </w:r>
      <w:r>
        <w:rPr>
          <w:rFonts w:ascii="Times New Roman" w:hAnsi="Times New Roman" w:cs="Times New Roman"/>
          <w:sz w:val="24"/>
          <w:szCs w:val="24"/>
        </w:rPr>
        <w:t>Duke agreed that it would not request FERC approval of a wholesale capacity charge based upon Duke’s costs as an FRR entity in PJM between January 1, 2012 and May 31, 2016.</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413BEF" w:rsidRDefault="00413BEF" w:rsidP="00413BEF">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In June of 2011, Duke filed an application for a Standard Service Offer in the form of an ESP.  Duke proposed to collect the costs of its capacity based on embedded costs, plus a reasonable rate of return.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However, Duke filed a Stipulation to resolve its ESP case on October 24, 2011 that provided </w:t>
      </w:r>
      <w:r w:rsidR="00024562">
        <w:rPr>
          <w:rFonts w:ascii="Times New Roman" w:hAnsi="Times New Roman" w:cs="Times New Roman"/>
          <w:sz w:val="24"/>
          <w:szCs w:val="24"/>
        </w:rPr>
        <w:t xml:space="preserve">for </w:t>
      </w:r>
      <w:r>
        <w:rPr>
          <w:rFonts w:ascii="Times New Roman" w:hAnsi="Times New Roman" w:cs="Times New Roman"/>
          <w:sz w:val="24"/>
          <w:szCs w:val="24"/>
        </w:rPr>
        <w:t xml:space="preserve">capacity </w:t>
      </w:r>
      <w:r w:rsidR="00024562">
        <w:rPr>
          <w:rFonts w:ascii="Times New Roman" w:hAnsi="Times New Roman" w:cs="Times New Roman"/>
          <w:sz w:val="24"/>
          <w:szCs w:val="24"/>
        </w:rPr>
        <w:t xml:space="preserve">to </w:t>
      </w:r>
      <w:r>
        <w:rPr>
          <w:rFonts w:ascii="Times New Roman" w:hAnsi="Times New Roman" w:cs="Times New Roman"/>
          <w:sz w:val="24"/>
          <w:szCs w:val="24"/>
        </w:rPr>
        <w:t>be at the market-based price, rather than a cost-based price.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Duke was not forced to make any of these decisions.</w:t>
      </w:r>
    </w:p>
    <w:p w:rsidR="00413BEF" w:rsidRDefault="00413BEF" w:rsidP="00413BEF">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While it is true that the Duke ESP Stipulation does not </w:t>
      </w:r>
      <w:r w:rsidR="00A22C90">
        <w:rPr>
          <w:rFonts w:ascii="Times New Roman" w:hAnsi="Times New Roman" w:cs="Times New Roman"/>
          <w:sz w:val="24"/>
          <w:szCs w:val="24"/>
        </w:rPr>
        <w:t>explicitly say “Duke</w:t>
      </w:r>
      <w:r>
        <w:rPr>
          <w:rFonts w:ascii="Times New Roman" w:hAnsi="Times New Roman" w:cs="Times New Roman"/>
          <w:sz w:val="24"/>
          <w:szCs w:val="24"/>
        </w:rPr>
        <w:t xml:space="preserve"> waives its right to reasonable compensation for capacity,” Duke cannot separate itself from the decisions it has made.  Duke decided to become an FRR entity.  Duke decided to forego its opportunity to seek cost-based compensation at FERC. </w:t>
      </w:r>
      <w:r w:rsidR="00024562">
        <w:rPr>
          <w:rFonts w:ascii="Times New Roman" w:hAnsi="Times New Roman" w:cs="Times New Roman"/>
          <w:sz w:val="24"/>
          <w:szCs w:val="24"/>
        </w:rPr>
        <w:t xml:space="preserve"> </w:t>
      </w:r>
      <w:r>
        <w:rPr>
          <w:rFonts w:ascii="Times New Roman" w:hAnsi="Times New Roman" w:cs="Times New Roman"/>
          <w:sz w:val="24"/>
          <w:szCs w:val="24"/>
        </w:rPr>
        <w:t xml:space="preserve">Duke should have </w:t>
      </w:r>
      <w:r>
        <w:rPr>
          <w:rFonts w:ascii="Times New Roman" w:hAnsi="Times New Roman" w:cs="Times New Roman"/>
          <w:sz w:val="24"/>
          <w:szCs w:val="24"/>
        </w:rPr>
        <w:lastRenderedPageBreak/>
        <w:t>known that RPM prices are the default under the RAA.  Duke settled its ESP.   Duke did not include a provision for cost-based capacity in the ESP settlement.</w:t>
      </w:r>
      <w:r w:rsidR="00024562">
        <w:rPr>
          <w:rFonts w:ascii="Times New Roman" w:hAnsi="Times New Roman" w:cs="Times New Roman"/>
          <w:sz w:val="24"/>
          <w:szCs w:val="24"/>
        </w:rPr>
        <w:t xml:space="preserve"> </w:t>
      </w:r>
      <w:r>
        <w:rPr>
          <w:rFonts w:ascii="Times New Roman" w:hAnsi="Times New Roman" w:cs="Times New Roman"/>
          <w:sz w:val="24"/>
          <w:szCs w:val="24"/>
        </w:rPr>
        <w:t xml:space="preserve"> Duke did not file a request for rate relief on the grounds it was not recovering its capacity costs under the ESP from November </w:t>
      </w:r>
      <w:r w:rsidR="00A22C90">
        <w:rPr>
          <w:rFonts w:ascii="Times New Roman" w:hAnsi="Times New Roman" w:cs="Times New Roman"/>
          <w:sz w:val="24"/>
          <w:szCs w:val="24"/>
        </w:rPr>
        <w:t>22</w:t>
      </w:r>
      <w:r>
        <w:rPr>
          <w:rFonts w:ascii="Times New Roman" w:hAnsi="Times New Roman" w:cs="Times New Roman"/>
          <w:sz w:val="24"/>
          <w:szCs w:val="24"/>
        </w:rPr>
        <w:t xml:space="preserve">, 2011 through August </w:t>
      </w:r>
      <w:r w:rsidR="0058204D">
        <w:rPr>
          <w:rFonts w:ascii="Times New Roman" w:hAnsi="Times New Roman" w:cs="Times New Roman"/>
          <w:sz w:val="24"/>
          <w:szCs w:val="24"/>
        </w:rPr>
        <w:t>28</w:t>
      </w:r>
      <w:r>
        <w:rPr>
          <w:rFonts w:ascii="Times New Roman" w:hAnsi="Times New Roman" w:cs="Times New Roman"/>
          <w:sz w:val="24"/>
          <w:szCs w:val="24"/>
        </w:rPr>
        <w:t xml:space="preserve"> 2012. </w:t>
      </w:r>
      <w:r w:rsidR="00E7234B">
        <w:rPr>
          <w:rFonts w:ascii="Times New Roman" w:hAnsi="Times New Roman" w:cs="Times New Roman"/>
          <w:sz w:val="24"/>
          <w:szCs w:val="24"/>
        </w:rPr>
        <w:t xml:space="preserve"> </w:t>
      </w:r>
      <w:r>
        <w:rPr>
          <w:rFonts w:ascii="Times New Roman" w:hAnsi="Times New Roman" w:cs="Times New Roman"/>
          <w:sz w:val="24"/>
          <w:szCs w:val="24"/>
        </w:rPr>
        <w:t>All of these decisions were voluntary.  All of these decisions should have been made by Duke with full knowledge of the facts surrounding FRR entities and the PJM capacity market.</w:t>
      </w:r>
      <w:r w:rsidR="00024562">
        <w:rPr>
          <w:rFonts w:ascii="Times New Roman" w:hAnsi="Times New Roman" w:cs="Times New Roman"/>
          <w:sz w:val="24"/>
          <w:szCs w:val="24"/>
        </w:rPr>
        <w:t xml:space="preserve"> </w:t>
      </w:r>
      <w:r>
        <w:rPr>
          <w:rFonts w:ascii="Times New Roman" w:hAnsi="Times New Roman" w:cs="Times New Roman"/>
          <w:sz w:val="24"/>
          <w:szCs w:val="24"/>
        </w:rPr>
        <w:t xml:space="preserve"> Duke should be held accountable for its decisions.</w:t>
      </w:r>
    </w:p>
    <w:p w:rsidR="00413BEF" w:rsidRPr="00413BEF" w:rsidRDefault="00413BEF" w:rsidP="00FB4463">
      <w:pPr>
        <w:pStyle w:val="Heading3"/>
      </w:pPr>
      <w:bookmarkStart w:id="14" w:name="_Toc362949989"/>
      <w:r w:rsidRPr="00413BEF">
        <w:t xml:space="preserve">3.  </w:t>
      </w:r>
      <w:r>
        <w:tab/>
      </w:r>
      <w:r w:rsidRPr="00413BEF">
        <w:t xml:space="preserve">The PUCO </w:t>
      </w:r>
      <w:r w:rsidR="00E7234B">
        <w:t>h</w:t>
      </w:r>
      <w:r w:rsidRPr="00413BEF">
        <w:t xml:space="preserve">as </w:t>
      </w:r>
      <w:r w:rsidR="00E7234B">
        <w:t>h</w:t>
      </w:r>
      <w:r w:rsidRPr="00413BEF">
        <w:t xml:space="preserve">eld </w:t>
      </w:r>
      <w:r w:rsidR="00E7234B">
        <w:t>t</w:t>
      </w:r>
      <w:r w:rsidRPr="00413BEF">
        <w:t xml:space="preserve">hat </w:t>
      </w:r>
      <w:r w:rsidR="00E7234B">
        <w:t>c</w:t>
      </w:r>
      <w:r w:rsidRPr="00413BEF">
        <w:t xml:space="preserve">apacity </w:t>
      </w:r>
      <w:r w:rsidR="00E7234B">
        <w:t>c</w:t>
      </w:r>
      <w:r w:rsidRPr="00413BEF">
        <w:t xml:space="preserve">osts </w:t>
      </w:r>
      <w:r w:rsidR="00E7234B">
        <w:t>c</w:t>
      </w:r>
      <w:r w:rsidRPr="00413BEF">
        <w:t xml:space="preserve">an </w:t>
      </w:r>
      <w:r w:rsidR="00E7234B">
        <w:t>b</w:t>
      </w:r>
      <w:r w:rsidRPr="00413BEF">
        <w:t xml:space="preserve">e </w:t>
      </w:r>
      <w:r w:rsidR="00E7234B">
        <w:t>i</w:t>
      </w:r>
      <w:r w:rsidRPr="00413BEF">
        <w:t xml:space="preserve">ncluded </w:t>
      </w:r>
      <w:r w:rsidR="00E7234B">
        <w:t>i</w:t>
      </w:r>
      <w:r w:rsidRPr="00413BEF">
        <w:t xml:space="preserve">n </w:t>
      </w:r>
      <w:r w:rsidR="00E7234B">
        <w:t>a</w:t>
      </w:r>
      <w:r w:rsidRPr="00413BEF">
        <w:t xml:space="preserve">n </w:t>
      </w:r>
      <w:r w:rsidR="00E7234B">
        <w:t>e</w:t>
      </w:r>
      <w:r w:rsidRPr="00413BEF">
        <w:t xml:space="preserve">lectric </w:t>
      </w:r>
      <w:r w:rsidR="00E7234B">
        <w:t>s</w:t>
      </w:r>
      <w:r w:rsidRPr="00413BEF">
        <w:t xml:space="preserve">ecurity </w:t>
      </w:r>
      <w:r w:rsidR="00E7234B">
        <w:t>p</w:t>
      </w:r>
      <w:r w:rsidRPr="00413BEF">
        <w:t>lan.</w:t>
      </w:r>
      <w:bookmarkEnd w:id="14"/>
    </w:p>
    <w:p w:rsidR="00413BEF"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t xml:space="preserve">Duke argues that </w:t>
      </w:r>
      <w:r w:rsidR="00B569AC">
        <w:rPr>
          <w:rFonts w:ascii="Times New Roman" w:hAnsi="Times New Roman" w:cs="Times New Roman"/>
          <w:sz w:val="24"/>
          <w:szCs w:val="24"/>
        </w:rPr>
        <w:t>its</w:t>
      </w:r>
      <w:r>
        <w:rPr>
          <w:rFonts w:ascii="Times New Roman" w:hAnsi="Times New Roman" w:cs="Times New Roman"/>
          <w:sz w:val="24"/>
          <w:szCs w:val="24"/>
        </w:rPr>
        <w:t xml:space="preserve"> ESP did not establish a state compensation mechanism for Duke.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Specifically, Duke asserts that an ESP can only include components found under a subdivision of R.C. 4928.143. </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58204D">
        <w:rPr>
          <w:rFonts w:ascii="Times New Roman" w:hAnsi="Times New Roman" w:cs="Times New Roman"/>
          <w:sz w:val="24"/>
          <w:szCs w:val="24"/>
        </w:rPr>
        <w:t xml:space="preserve">In this regard, </w:t>
      </w:r>
      <w:r>
        <w:rPr>
          <w:rFonts w:ascii="Times New Roman" w:hAnsi="Times New Roman" w:cs="Times New Roman"/>
          <w:sz w:val="24"/>
          <w:szCs w:val="24"/>
        </w:rPr>
        <w:t xml:space="preserve">Duke states: </w:t>
      </w:r>
    </w:p>
    <w:p w:rsidR="00413BEF" w:rsidRDefault="00413BEF" w:rsidP="00E7234B">
      <w:pPr>
        <w:spacing w:line="240" w:lineRule="auto"/>
        <w:ind w:left="1440" w:right="720"/>
        <w:rPr>
          <w:rFonts w:ascii="Times New Roman" w:hAnsi="Times New Roman" w:cs="Times New Roman"/>
          <w:sz w:val="24"/>
          <w:szCs w:val="24"/>
        </w:rPr>
      </w:pPr>
      <w:r>
        <w:rPr>
          <w:rFonts w:ascii="Times New Roman" w:hAnsi="Times New Roman" w:cs="Times New Roman"/>
          <w:sz w:val="24"/>
          <w:szCs w:val="24"/>
        </w:rPr>
        <w:t>R.C. 4928.143 does not authorize, for inclusion in an ESP, the approval of a state mechanism for capacity service provided by an FRR entity.  The Commission confirmed this fact when it found that ‘Chapter 4928, Revised Code, has no application in terms of the Commission’s authority to establish the [state compensation mechanism].</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413BEF" w:rsidRDefault="00413BEF" w:rsidP="00413BEF">
      <w:pPr>
        <w:spacing w:line="240" w:lineRule="auto"/>
        <w:ind w:left="720" w:right="720" w:firstLine="720"/>
        <w:rPr>
          <w:rFonts w:ascii="Times New Roman" w:hAnsi="Times New Roman" w:cs="Times New Roman"/>
          <w:sz w:val="24"/>
          <w:szCs w:val="24"/>
        </w:rPr>
      </w:pPr>
    </w:p>
    <w:p w:rsidR="00413BEF" w:rsidRDefault="00B569AC" w:rsidP="00413BEF">
      <w:pPr>
        <w:rPr>
          <w:rFonts w:ascii="Times New Roman" w:hAnsi="Times New Roman" w:cs="Times New Roman"/>
          <w:sz w:val="24"/>
          <w:szCs w:val="24"/>
        </w:rPr>
      </w:pPr>
      <w:r>
        <w:rPr>
          <w:rFonts w:ascii="Times New Roman" w:hAnsi="Times New Roman" w:cs="Times New Roman"/>
          <w:sz w:val="24"/>
          <w:szCs w:val="24"/>
        </w:rPr>
        <w:t>Duke</w:t>
      </w:r>
      <w:r w:rsidR="0058204D">
        <w:rPr>
          <w:rFonts w:ascii="Times New Roman" w:hAnsi="Times New Roman" w:cs="Times New Roman"/>
          <w:sz w:val="24"/>
          <w:szCs w:val="24"/>
        </w:rPr>
        <w:t xml:space="preserve"> </w:t>
      </w:r>
      <w:r w:rsidR="00413BEF">
        <w:rPr>
          <w:rFonts w:ascii="Times New Roman" w:hAnsi="Times New Roman" w:cs="Times New Roman"/>
          <w:sz w:val="24"/>
          <w:szCs w:val="24"/>
        </w:rPr>
        <w:t>further concludes that “the ESP Order did not establish</w:t>
      </w:r>
      <w:r>
        <w:rPr>
          <w:rFonts w:ascii="Times New Roman" w:hAnsi="Times New Roman" w:cs="Times New Roman"/>
          <w:sz w:val="24"/>
          <w:szCs w:val="24"/>
        </w:rPr>
        <w:t xml:space="preserve"> </w:t>
      </w:r>
      <w:r w:rsidR="00413BEF">
        <w:rPr>
          <w:rFonts w:ascii="Times New Roman" w:hAnsi="Times New Roman" w:cs="Times New Roman"/>
          <w:sz w:val="24"/>
          <w:szCs w:val="24"/>
        </w:rPr>
        <w:t>-</w:t>
      </w:r>
      <w:r>
        <w:rPr>
          <w:rFonts w:ascii="Times New Roman" w:hAnsi="Times New Roman" w:cs="Times New Roman"/>
          <w:sz w:val="24"/>
          <w:szCs w:val="24"/>
        </w:rPr>
        <w:t xml:space="preserve"> </w:t>
      </w:r>
      <w:r w:rsidR="00413BEF">
        <w:rPr>
          <w:rFonts w:ascii="Times New Roman" w:hAnsi="Times New Roman" w:cs="Times New Roman"/>
          <w:sz w:val="24"/>
          <w:szCs w:val="24"/>
        </w:rPr>
        <w:t xml:space="preserve">nor could it have established </w:t>
      </w:r>
      <w:r>
        <w:rPr>
          <w:rFonts w:ascii="Times New Roman" w:hAnsi="Times New Roman" w:cs="Times New Roman"/>
          <w:sz w:val="24"/>
          <w:szCs w:val="24"/>
        </w:rPr>
        <w:t xml:space="preserve">- </w:t>
      </w:r>
      <w:r w:rsidR="00413BEF">
        <w:rPr>
          <w:rFonts w:ascii="Times New Roman" w:hAnsi="Times New Roman" w:cs="Times New Roman"/>
          <w:sz w:val="24"/>
          <w:szCs w:val="24"/>
        </w:rPr>
        <w:t>a state compensation mechanism for Duke Energy Ohio.”</w:t>
      </w:r>
      <w:r w:rsidR="00413BEF">
        <w:rPr>
          <w:rStyle w:val="FootnoteReference"/>
          <w:rFonts w:ascii="Times New Roman" w:hAnsi="Times New Roman" w:cs="Times New Roman"/>
          <w:sz w:val="24"/>
          <w:szCs w:val="24"/>
        </w:rPr>
        <w:footnoteReference w:id="43"/>
      </w:r>
      <w:r w:rsidR="00413BEF">
        <w:rPr>
          <w:rFonts w:ascii="Times New Roman" w:hAnsi="Times New Roman" w:cs="Times New Roman"/>
          <w:sz w:val="24"/>
          <w:szCs w:val="24"/>
        </w:rPr>
        <w:t xml:space="preserve">  But Duke’s argument must be rejected. </w:t>
      </w:r>
      <w:r w:rsidR="00E7234B">
        <w:rPr>
          <w:rFonts w:ascii="Times New Roman" w:hAnsi="Times New Roman" w:cs="Times New Roman"/>
          <w:sz w:val="24"/>
          <w:szCs w:val="24"/>
        </w:rPr>
        <w:t xml:space="preserve"> </w:t>
      </w:r>
      <w:r w:rsidR="00413BEF">
        <w:rPr>
          <w:rFonts w:ascii="Times New Roman" w:hAnsi="Times New Roman" w:cs="Times New Roman"/>
          <w:sz w:val="24"/>
          <w:szCs w:val="24"/>
        </w:rPr>
        <w:t xml:space="preserve">Duke ignores the fact that the PUCO has already determined that it has the authority to include capacity costs through an ESP proceeding. </w:t>
      </w:r>
    </w:p>
    <w:p w:rsidR="00413BEF"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AEP Ohio Capacity Case Order did not address the deferral recovery mechanism for AEP Ohio.  Rather, the PUCO merely noted that an appropriate mechanism would be established in the AEP Ohio Electric Security Plan Case and that any other financial considerations would also be addressed by the PUCO in that </w:t>
      </w:r>
      <w:r w:rsidR="00B569AC">
        <w:rPr>
          <w:rFonts w:ascii="Times New Roman" w:hAnsi="Times New Roman" w:cs="Times New Roman"/>
          <w:sz w:val="24"/>
          <w:szCs w:val="24"/>
        </w:rPr>
        <w:t>c</w:t>
      </w:r>
      <w:r>
        <w:rPr>
          <w:rFonts w:ascii="Times New Roman" w:hAnsi="Times New Roman" w:cs="Times New Roman"/>
          <w:sz w:val="24"/>
          <w:szCs w:val="24"/>
        </w:rPr>
        <w:t>ase.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But ultimately, in the AEP Ohio ESP Case, the PUCO stated:</w:t>
      </w:r>
    </w:p>
    <w:p w:rsidR="00413BEF" w:rsidRDefault="00413BEF" w:rsidP="00E7234B">
      <w:pPr>
        <w:spacing w:line="240" w:lineRule="auto"/>
        <w:ind w:left="1440" w:right="720"/>
        <w:rPr>
          <w:rFonts w:ascii="Times New Roman" w:hAnsi="Times New Roman" w:cs="Times New Roman"/>
          <w:sz w:val="24"/>
          <w:szCs w:val="24"/>
        </w:rPr>
      </w:pPr>
      <w:r w:rsidRPr="00D20646">
        <w:rPr>
          <w:rFonts w:ascii="Times New Roman" w:hAnsi="Times New Roman" w:cs="Times New Roman"/>
          <w:sz w:val="24"/>
          <w:szCs w:val="24"/>
        </w:rPr>
        <w:t>Certain par</w:t>
      </w:r>
      <w:r>
        <w:rPr>
          <w:rFonts w:ascii="Times New Roman" w:hAnsi="Times New Roman" w:cs="Times New Roman"/>
          <w:sz w:val="24"/>
          <w:szCs w:val="24"/>
        </w:rPr>
        <w:t>ties that oppose the Commission’</w:t>
      </w:r>
      <w:r w:rsidRPr="00D20646">
        <w:rPr>
          <w:rFonts w:ascii="Times New Roman" w:hAnsi="Times New Roman" w:cs="Times New Roman"/>
          <w:sz w:val="24"/>
          <w:szCs w:val="24"/>
        </w:rPr>
        <w:t>s incorporation of the Capacity Case</w:t>
      </w:r>
      <w:r>
        <w:rPr>
          <w:rFonts w:ascii="Times New Roman" w:hAnsi="Times New Roman" w:cs="Times New Roman"/>
          <w:sz w:val="24"/>
          <w:szCs w:val="24"/>
        </w:rPr>
        <w:t xml:space="preserve"> </w:t>
      </w:r>
      <w:r w:rsidRPr="00D20646">
        <w:rPr>
          <w:rFonts w:ascii="Times New Roman" w:hAnsi="Times New Roman" w:cs="Times New Roman"/>
          <w:sz w:val="24"/>
          <w:szCs w:val="24"/>
        </w:rPr>
        <w:t>deferrals in the modified ESP overlook the fact that the Capacity Case was opened prior to</w:t>
      </w:r>
      <w:r>
        <w:rPr>
          <w:rFonts w:ascii="Times New Roman" w:hAnsi="Times New Roman" w:cs="Times New Roman"/>
          <w:sz w:val="24"/>
          <w:szCs w:val="24"/>
        </w:rPr>
        <w:t xml:space="preserve"> each of the ESP 2 applications</w:t>
      </w:r>
      <w:r w:rsidRPr="00D20646">
        <w:rPr>
          <w:rFonts w:ascii="Times New Roman" w:hAnsi="Times New Roman" w:cs="Times New Roman"/>
          <w:sz w:val="24"/>
          <w:szCs w:val="24"/>
        </w:rPr>
        <w:t xml:space="preserve"> filed by AEP-Ohio and that each of the applications</w:t>
      </w:r>
      <w:r>
        <w:rPr>
          <w:rFonts w:ascii="Times New Roman" w:hAnsi="Times New Roman" w:cs="Times New Roman"/>
          <w:sz w:val="24"/>
          <w:szCs w:val="24"/>
        </w:rPr>
        <w:t xml:space="preserve"> </w:t>
      </w:r>
      <w:r w:rsidRPr="00D20646">
        <w:rPr>
          <w:rFonts w:ascii="Times New Roman" w:hAnsi="Times New Roman" w:cs="Times New Roman"/>
          <w:sz w:val="24"/>
          <w:szCs w:val="24"/>
        </w:rPr>
        <w:t>proposed a state compensation capacity charge and plan for resolution of the issue.</w:t>
      </w:r>
      <w:r>
        <w:rPr>
          <w:rStyle w:val="FootnoteReference"/>
          <w:rFonts w:ascii="Times New Roman" w:hAnsi="Times New Roman" w:cs="Times New Roman"/>
          <w:sz w:val="24"/>
          <w:szCs w:val="24"/>
        </w:rPr>
        <w:footnoteReference w:id="45"/>
      </w:r>
    </w:p>
    <w:p w:rsidR="00413BEF" w:rsidRPr="00E45180" w:rsidRDefault="00413BEF" w:rsidP="00413BEF">
      <w:pPr>
        <w:spacing w:line="240" w:lineRule="auto"/>
        <w:ind w:left="720" w:right="720"/>
        <w:rPr>
          <w:rFonts w:ascii="Times New Roman" w:hAnsi="Times New Roman" w:cs="Times New Roman"/>
          <w:sz w:val="24"/>
          <w:szCs w:val="24"/>
        </w:rPr>
      </w:pPr>
    </w:p>
    <w:p w:rsidR="00413BEF"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t xml:space="preserve">The PUCO concluded that “in accordance with Section 4928.144, Revised Code, the Commission may order any just and reasonable phase-in of any rate of price established under Sections 4928.141, 4928.142, </w:t>
      </w:r>
      <w:r w:rsidRPr="00B3116B">
        <w:rPr>
          <w:rFonts w:ascii="Times New Roman" w:hAnsi="Times New Roman" w:cs="Times New Roman"/>
          <w:sz w:val="24"/>
          <w:szCs w:val="24"/>
        </w:rPr>
        <w:t>or 4928.143</w:t>
      </w:r>
      <w:r>
        <w:rPr>
          <w:rFonts w:ascii="Times New Roman" w:hAnsi="Times New Roman" w:cs="Times New Roman"/>
          <w:sz w:val="24"/>
          <w:szCs w:val="24"/>
        </w:rPr>
        <w:t>, Revised Code, including carrying charges.”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 PUCO held that </w:t>
      </w:r>
      <w:r w:rsidR="00B569AC">
        <w:rPr>
          <w:rFonts w:ascii="Times New Roman" w:hAnsi="Times New Roman" w:cs="Times New Roman"/>
          <w:sz w:val="24"/>
          <w:szCs w:val="24"/>
        </w:rPr>
        <w:t>“</w:t>
      </w:r>
      <w:r w:rsidRPr="00A0144F">
        <w:rPr>
          <w:rFonts w:ascii="Times New Roman" w:hAnsi="Times New Roman" w:cs="Times New Roman"/>
          <w:sz w:val="24"/>
          <w:szCs w:val="24"/>
        </w:rPr>
        <w:t>AEP</w:t>
      </w:r>
      <w:r>
        <w:rPr>
          <w:rFonts w:ascii="Times New Roman" w:hAnsi="Times New Roman" w:cs="Times New Roman"/>
          <w:sz w:val="24"/>
          <w:szCs w:val="24"/>
        </w:rPr>
        <w:t xml:space="preserve"> Ohio </w:t>
      </w:r>
      <w:r w:rsidRPr="00A0144F">
        <w:rPr>
          <w:rFonts w:ascii="Times New Roman" w:hAnsi="Times New Roman" w:cs="Times New Roman"/>
          <w:sz w:val="24"/>
          <w:szCs w:val="24"/>
        </w:rPr>
        <w:t xml:space="preserve">proposed certain capacity charges and a plan as a part of </w:t>
      </w:r>
      <w:r>
        <w:rPr>
          <w:rFonts w:ascii="Times New Roman" w:hAnsi="Times New Roman" w:cs="Times New Roman"/>
          <w:sz w:val="24"/>
          <w:szCs w:val="24"/>
        </w:rPr>
        <w:t>its</w:t>
      </w:r>
      <w:r w:rsidRPr="00A0144F">
        <w:rPr>
          <w:rFonts w:ascii="Times New Roman" w:hAnsi="Times New Roman" w:cs="Times New Roman"/>
          <w:sz w:val="24"/>
          <w:szCs w:val="24"/>
        </w:rPr>
        <w:t xml:space="preserve"> modified ESP</w:t>
      </w:r>
      <w:r>
        <w:rPr>
          <w:rFonts w:ascii="Times New Roman" w:hAnsi="Times New Roman" w:cs="Times New Roman"/>
          <w:sz w:val="24"/>
          <w:szCs w:val="24"/>
        </w:rPr>
        <w:t>,</w:t>
      </w:r>
      <w:r w:rsidR="007C5854">
        <w:rPr>
          <w:rFonts w:ascii="Times New Roman" w:hAnsi="Times New Roman" w:cs="Times New Roman"/>
          <w:sz w:val="24"/>
          <w:szCs w:val="24"/>
        </w:rPr>
        <w:t>”</w:t>
      </w:r>
      <w:r w:rsidRPr="00A0144F">
        <w:rPr>
          <w:rFonts w:ascii="Times New Roman" w:hAnsi="Times New Roman" w:cs="Times New Roman"/>
          <w:sz w:val="24"/>
          <w:szCs w:val="24"/>
        </w:rPr>
        <w:t xml:space="preserve"> and</w:t>
      </w:r>
      <w:r>
        <w:rPr>
          <w:rFonts w:ascii="Times New Roman" w:hAnsi="Times New Roman" w:cs="Times New Roman"/>
          <w:sz w:val="24"/>
          <w:szCs w:val="24"/>
        </w:rPr>
        <w:t xml:space="preserve"> it is within the PUCO’s authority to</w:t>
      </w:r>
      <w:r w:rsidRPr="00A0144F">
        <w:rPr>
          <w:rFonts w:ascii="Times New Roman" w:hAnsi="Times New Roman" w:cs="Times New Roman"/>
          <w:sz w:val="24"/>
          <w:szCs w:val="24"/>
        </w:rPr>
        <w:t xml:space="preserve"> approve or modify and approve an</w:t>
      </w:r>
      <w:r>
        <w:rPr>
          <w:rFonts w:ascii="Times New Roman" w:hAnsi="Times New Roman" w:cs="Times New Roman"/>
          <w:sz w:val="24"/>
          <w:szCs w:val="24"/>
        </w:rPr>
        <w:t xml:space="preserve"> </w:t>
      </w:r>
      <w:r w:rsidRPr="00A0144F">
        <w:rPr>
          <w:rFonts w:ascii="Times New Roman" w:hAnsi="Times New Roman" w:cs="Times New Roman"/>
          <w:sz w:val="24"/>
          <w:szCs w:val="24"/>
        </w:rPr>
        <w:t>ESP.</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The PUCO found that n</w:t>
      </w:r>
      <w:r w:rsidRPr="00A0144F">
        <w:rPr>
          <w:rFonts w:ascii="Times New Roman" w:hAnsi="Times New Roman" w:cs="Times New Roman"/>
          <w:sz w:val="24"/>
          <w:szCs w:val="24"/>
        </w:rPr>
        <w:t xml:space="preserve">othing in </w:t>
      </w:r>
      <w:r>
        <w:rPr>
          <w:rFonts w:ascii="Times New Roman" w:hAnsi="Times New Roman" w:cs="Times New Roman"/>
          <w:sz w:val="24"/>
          <w:szCs w:val="24"/>
        </w:rPr>
        <w:t>R.C.</w:t>
      </w:r>
      <w:r w:rsidRPr="00A0144F">
        <w:rPr>
          <w:rFonts w:ascii="Times New Roman" w:hAnsi="Times New Roman" w:cs="Times New Roman"/>
          <w:sz w:val="24"/>
          <w:szCs w:val="24"/>
        </w:rPr>
        <w:t xml:space="preserve"> 4928.144</w:t>
      </w:r>
      <w:r>
        <w:rPr>
          <w:rFonts w:ascii="Times New Roman" w:hAnsi="Times New Roman" w:cs="Times New Roman"/>
          <w:sz w:val="24"/>
          <w:szCs w:val="24"/>
        </w:rPr>
        <w:t xml:space="preserve"> limits </w:t>
      </w:r>
      <w:r w:rsidR="007C5854">
        <w:rPr>
          <w:rFonts w:ascii="Times New Roman" w:hAnsi="Times New Roman" w:cs="Times New Roman"/>
          <w:sz w:val="24"/>
          <w:szCs w:val="24"/>
        </w:rPr>
        <w:t>its</w:t>
      </w:r>
      <w:r>
        <w:rPr>
          <w:rFonts w:ascii="Times New Roman" w:hAnsi="Times New Roman" w:cs="Times New Roman"/>
          <w:sz w:val="24"/>
          <w:szCs w:val="24"/>
        </w:rPr>
        <w:t xml:space="preserve"> auth</w:t>
      </w:r>
      <w:r w:rsidRPr="00A0144F">
        <w:rPr>
          <w:rFonts w:ascii="Times New Roman" w:hAnsi="Times New Roman" w:cs="Times New Roman"/>
          <w:sz w:val="24"/>
          <w:szCs w:val="24"/>
        </w:rPr>
        <w:t>ority to</w:t>
      </w:r>
      <w:r>
        <w:rPr>
          <w:rFonts w:ascii="Times New Roman" w:hAnsi="Times New Roman" w:cs="Times New Roman"/>
          <w:sz w:val="24"/>
          <w:szCs w:val="24"/>
        </w:rPr>
        <w:t xml:space="preserve"> </w:t>
      </w:r>
      <w:r w:rsidRPr="00A0144F">
        <w:rPr>
          <w:rFonts w:ascii="Times New Roman" w:hAnsi="Times New Roman" w:cs="Times New Roman"/>
          <w:sz w:val="24"/>
          <w:szCs w:val="24"/>
        </w:rPr>
        <w:t>modify the ESP to include deferrals on its own motion.</w:t>
      </w:r>
      <w:r>
        <w:rPr>
          <w:rStyle w:val="FootnoteReference"/>
          <w:rFonts w:ascii="Times New Roman" w:hAnsi="Times New Roman" w:cs="Times New Roman"/>
          <w:sz w:val="24"/>
          <w:szCs w:val="24"/>
        </w:rPr>
        <w:footnoteReference w:id="48"/>
      </w:r>
    </w:p>
    <w:p w:rsidR="00413BEF"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t xml:space="preserve">Similarly, in the AEP Ohio Capacity Case, AEP Ohio argued on rehearing that the PUCO’s Capacity Order was unlawful and unreasonable in finding that the Provider of Last Resort (“POLR”) charge approved in the ESP 1 Order reflected AEP Ohio’s cost of </w:t>
      </w:r>
      <w:r>
        <w:rPr>
          <w:rFonts w:ascii="Times New Roman" w:hAnsi="Times New Roman" w:cs="Times New Roman"/>
          <w:sz w:val="24"/>
          <w:szCs w:val="24"/>
        </w:rPr>
        <w:lastRenderedPageBreak/>
        <w:t xml:space="preserve">supplying capacity for retail loads served by </w:t>
      </w:r>
      <w:r w:rsidR="00047434">
        <w:rPr>
          <w:rFonts w:ascii="Times New Roman" w:hAnsi="Times New Roman" w:cs="Times New Roman"/>
          <w:sz w:val="24"/>
          <w:szCs w:val="24"/>
        </w:rPr>
        <w:t>marketers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Pr>
          <w:rFonts w:ascii="Times New Roman" w:hAnsi="Times New Roman" w:cs="Times New Roman"/>
          <w:sz w:val="24"/>
          <w:szCs w:val="24"/>
        </w:rPr>
        <w:t xml:space="preserve">AEP Ohio contended that the POLR charge was based upon the continued use of RPM pricing to set the capacity charge for </w:t>
      </w:r>
      <w:r w:rsidR="00047434">
        <w:rPr>
          <w:rFonts w:ascii="Times New Roman" w:hAnsi="Times New Roman" w:cs="Times New Roman"/>
          <w:sz w:val="24"/>
          <w:szCs w:val="24"/>
        </w:rPr>
        <w:t>marketers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00E7234B">
        <w:rPr>
          <w:rFonts w:ascii="Times New Roman" w:hAnsi="Times New Roman" w:cs="Times New Roman"/>
          <w:sz w:val="24"/>
          <w:szCs w:val="24"/>
        </w:rPr>
        <w:t xml:space="preserve"> </w:t>
      </w:r>
      <w:r>
        <w:rPr>
          <w:rFonts w:ascii="Times New Roman" w:hAnsi="Times New Roman" w:cs="Times New Roman"/>
          <w:sz w:val="24"/>
          <w:szCs w:val="24"/>
        </w:rPr>
        <w:t>The PUCO disagreed with AEP Ohio and found that it had approved retail rates for AEP Ohio, including recovery of capacity costs through a POLR charge.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 PUCO ultimately permitted AEP Ohio to recover capacity costs associated with customer shopping through its POLR charge.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The PUCO acknowledged that the purpose of the POLR charge was to compensate AEP Ohio for the risk associated with its POLR obligation.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However, the PUCO also found that the POLR charge was approved, in part, to recover capacity costs associated with customer shopping.</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Accordingly, the PUCO concluded that there </w:t>
      </w:r>
      <w:proofErr w:type="gramStart"/>
      <w:r w:rsidR="000519B9">
        <w:rPr>
          <w:rFonts w:ascii="Times New Roman" w:hAnsi="Times New Roman" w:cs="Times New Roman"/>
          <w:sz w:val="24"/>
          <w:szCs w:val="24"/>
        </w:rPr>
        <w:t>are</w:t>
      </w:r>
      <w:proofErr w:type="gramEnd"/>
      <w:r>
        <w:rPr>
          <w:rFonts w:ascii="Times New Roman" w:hAnsi="Times New Roman" w:cs="Times New Roman"/>
          <w:sz w:val="24"/>
          <w:szCs w:val="24"/>
        </w:rPr>
        <w:t xml:space="preserve"> capacity costs associated with </w:t>
      </w:r>
      <w:r w:rsidR="000519B9">
        <w:rPr>
          <w:rFonts w:ascii="Times New Roman" w:hAnsi="Times New Roman" w:cs="Times New Roman"/>
          <w:sz w:val="24"/>
          <w:szCs w:val="24"/>
        </w:rPr>
        <w:t>the</w:t>
      </w:r>
      <w:r>
        <w:rPr>
          <w:rFonts w:ascii="Times New Roman" w:hAnsi="Times New Roman" w:cs="Times New Roman"/>
          <w:sz w:val="24"/>
          <w:szCs w:val="24"/>
        </w:rPr>
        <w:t xml:space="preserve"> POLR obligation, and that such costs may be properly recoverable through an ESP upon a proper record.</w:t>
      </w:r>
    </w:p>
    <w:p w:rsidR="00B35A4C"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t xml:space="preserve">Finally, in the </w:t>
      </w:r>
      <w:r w:rsidR="000519B9">
        <w:rPr>
          <w:rFonts w:ascii="Times New Roman" w:hAnsi="Times New Roman" w:cs="Times New Roman"/>
          <w:sz w:val="24"/>
          <w:szCs w:val="24"/>
        </w:rPr>
        <w:t>PUCO</w:t>
      </w:r>
      <w:r>
        <w:rPr>
          <w:rFonts w:ascii="Times New Roman" w:hAnsi="Times New Roman" w:cs="Times New Roman"/>
          <w:sz w:val="24"/>
          <w:szCs w:val="24"/>
        </w:rPr>
        <w:t>’s December 8, 2010 Entry in the AEP Ohio Capacity Case, the PUCO found that it approved retail rates, “including recovery of capacity costs through provider of last resort charges to certain retail shopping customers, based upon the continuation of the current capacity charges established by the three-year capacity auction conducted by PJM, under the current FRR mechanism.”</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413BEF" w:rsidRDefault="00413BEF" w:rsidP="00413BEF">
      <w:pPr>
        <w:ind w:firstLine="720"/>
        <w:rPr>
          <w:rFonts w:ascii="Times New Roman" w:hAnsi="Times New Roman" w:cs="Times New Roman"/>
          <w:sz w:val="24"/>
          <w:szCs w:val="24"/>
        </w:rPr>
      </w:pPr>
      <w:r>
        <w:rPr>
          <w:rFonts w:ascii="Times New Roman" w:hAnsi="Times New Roman" w:cs="Times New Roman"/>
          <w:sz w:val="24"/>
          <w:szCs w:val="24"/>
        </w:rPr>
        <w:t>These rulings by the PUCO directly contradict Duke’s assertion that</w:t>
      </w:r>
      <w:r w:rsidR="00B1557C">
        <w:rPr>
          <w:rFonts w:ascii="Times New Roman" w:hAnsi="Times New Roman" w:cs="Times New Roman"/>
          <w:sz w:val="24"/>
          <w:szCs w:val="24"/>
        </w:rPr>
        <w:t>,</w:t>
      </w:r>
      <w:r>
        <w:rPr>
          <w:rFonts w:ascii="Times New Roman" w:hAnsi="Times New Roman" w:cs="Times New Roman"/>
          <w:sz w:val="24"/>
          <w:szCs w:val="24"/>
        </w:rPr>
        <w:t xml:space="preserve"> as a matter of law, the services at issue in the Duke ESP cannot be the same services as those that are </w:t>
      </w:r>
      <w:r>
        <w:rPr>
          <w:rFonts w:ascii="Times New Roman" w:hAnsi="Times New Roman" w:cs="Times New Roman"/>
          <w:sz w:val="24"/>
          <w:szCs w:val="24"/>
        </w:rPr>
        <w:lastRenderedPageBreak/>
        <w:t>being sought in this case.  The PUCO’s decisions in the AEP Ohio Capacity and ESP Cases show that the PUCO has ruled that capacity charges can be included within its approval of an ESP plan.  Thus, the PUCO had the authority to approve a state compensation mechanism for Duke through its approval of the Duke ESP Stipulation.  Duke’s argument should be denied.</w:t>
      </w:r>
    </w:p>
    <w:p w:rsidR="00C307A8" w:rsidRPr="00EF6152" w:rsidRDefault="0030712C" w:rsidP="00FB4463">
      <w:pPr>
        <w:pStyle w:val="Heading2"/>
        <w:rPr>
          <w:i/>
        </w:rPr>
      </w:pPr>
      <w:bookmarkStart w:id="15" w:name="_Toc362949990"/>
      <w:r>
        <w:t>B.</w:t>
      </w:r>
      <w:r>
        <w:tab/>
      </w:r>
      <w:r w:rsidR="007C1220" w:rsidRPr="00EF6152">
        <w:t xml:space="preserve">Contrary </w:t>
      </w:r>
      <w:r w:rsidR="00E7234B" w:rsidRPr="00EF6152">
        <w:t xml:space="preserve">To </w:t>
      </w:r>
      <w:r w:rsidR="007C1220" w:rsidRPr="00EF6152">
        <w:t xml:space="preserve">Duke’s </w:t>
      </w:r>
      <w:r w:rsidR="00E7234B" w:rsidRPr="00EF6152">
        <w:t xml:space="preserve">Assertions, There Is No </w:t>
      </w:r>
      <w:r w:rsidR="00C307A8" w:rsidRPr="00EF6152">
        <w:t xml:space="preserve">State </w:t>
      </w:r>
      <w:r w:rsidR="00E7234B" w:rsidRPr="00EF6152">
        <w:t xml:space="preserve">Law That Requires The </w:t>
      </w:r>
      <w:r w:rsidR="007C1220" w:rsidRPr="00EF6152">
        <w:t xml:space="preserve">PUCO </w:t>
      </w:r>
      <w:r w:rsidR="00E7234B" w:rsidRPr="00EF6152">
        <w:t xml:space="preserve">To Apply Traditional Regulatory Principles To The Wholesale </w:t>
      </w:r>
      <w:r w:rsidR="00C307A8" w:rsidRPr="00EF6152">
        <w:t xml:space="preserve">FRR </w:t>
      </w:r>
      <w:r w:rsidR="00E7234B" w:rsidRPr="00EF6152">
        <w:t xml:space="preserve">Capacity Service That </w:t>
      </w:r>
      <w:r w:rsidR="007C1220" w:rsidRPr="00EF6152">
        <w:t xml:space="preserve">Duke </w:t>
      </w:r>
      <w:r w:rsidR="00E7234B" w:rsidRPr="00EF6152">
        <w:t xml:space="preserve">Provides To </w:t>
      </w:r>
      <w:r w:rsidR="00E7234B">
        <w:t>Marketers</w:t>
      </w:r>
      <w:r w:rsidR="00E7234B" w:rsidRPr="00EF6152">
        <w:t xml:space="preserve"> And The Winners Of Its Competitive Bid Auctions.</w:t>
      </w:r>
      <w:bookmarkEnd w:id="15"/>
      <w:r w:rsidR="00E7234B" w:rsidRPr="00EF6152">
        <w:t xml:space="preserve">  </w:t>
      </w:r>
    </w:p>
    <w:p w:rsidR="00E24873" w:rsidRPr="00EF6152" w:rsidRDefault="00992029" w:rsidP="00E814D4">
      <w:pPr>
        <w:ind w:firstLine="720"/>
        <w:rPr>
          <w:rFonts w:ascii="Times New Roman" w:hAnsi="Times New Roman" w:cs="Times New Roman"/>
          <w:sz w:val="24"/>
          <w:szCs w:val="24"/>
        </w:rPr>
      </w:pPr>
      <w:r w:rsidRPr="00EF6152">
        <w:rPr>
          <w:rFonts w:ascii="Times New Roman" w:hAnsi="Times New Roman" w:cs="Times New Roman"/>
          <w:sz w:val="24"/>
          <w:szCs w:val="24"/>
        </w:rPr>
        <w:t xml:space="preserve">Duke argues that the </w:t>
      </w:r>
      <w:r w:rsidR="00C307A8" w:rsidRPr="00EF6152">
        <w:rPr>
          <w:rFonts w:ascii="Times New Roman" w:hAnsi="Times New Roman" w:cs="Times New Roman"/>
          <w:sz w:val="24"/>
          <w:szCs w:val="24"/>
        </w:rPr>
        <w:t>PUCO has authority to supervise and regulate</w:t>
      </w:r>
      <w:r w:rsidRPr="00EF6152">
        <w:rPr>
          <w:rFonts w:ascii="Times New Roman" w:hAnsi="Times New Roman" w:cs="Times New Roman"/>
          <w:sz w:val="24"/>
          <w:szCs w:val="24"/>
        </w:rPr>
        <w:t xml:space="preserve"> under various sections of the Revised </w:t>
      </w:r>
      <w:r w:rsidR="00835369" w:rsidRPr="00EF6152">
        <w:rPr>
          <w:rFonts w:ascii="Times New Roman" w:hAnsi="Times New Roman" w:cs="Times New Roman"/>
          <w:sz w:val="24"/>
          <w:szCs w:val="24"/>
        </w:rPr>
        <w:t>C</w:t>
      </w:r>
      <w:r w:rsidRPr="00EF6152">
        <w:rPr>
          <w:rFonts w:ascii="Times New Roman" w:hAnsi="Times New Roman" w:cs="Times New Roman"/>
          <w:sz w:val="24"/>
          <w:szCs w:val="24"/>
        </w:rPr>
        <w:t xml:space="preserve">ode including R.C. </w:t>
      </w:r>
      <w:r w:rsidR="00C307A8" w:rsidRPr="00EF6152">
        <w:rPr>
          <w:rFonts w:ascii="Times New Roman" w:hAnsi="Times New Roman" w:cs="Times New Roman"/>
          <w:sz w:val="24"/>
          <w:szCs w:val="24"/>
        </w:rPr>
        <w:t xml:space="preserve">4905.04, 4905.05, 4905.06, </w:t>
      </w:r>
      <w:r w:rsidR="00835369" w:rsidRPr="00EF6152">
        <w:rPr>
          <w:rFonts w:ascii="Times New Roman" w:hAnsi="Times New Roman" w:cs="Times New Roman"/>
          <w:sz w:val="24"/>
          <w:szCs w:val="24"/>
        </w:rPr>
        <w:t xml:space="preserve">and </w:t>
      </w:r>
      <w:r w:rsidR="00C307A8" w:rsidRPr="00EF6152">
        <w:rPr>
          <w:rFonts w:ascii="Times New Roman" w:hAnsi="Times New Roman" w:cs="Times New Roman"/>
          <w:sz w:val="24"/>
          <w:szCs w:val="24"/>
        </w:rPr>
        <w:t>4905.26</w:t>
      </w:r>
      <w:r w:rsidRPr="00EF6152">
        <w:rPr>
          <w:rFonts w:ascii="Times New Roman" w:hAnsi="Times New Roman" w:cs="Times New Roman"/>
          <w:sz w:val="24"/>
          <w:szCs w:val="24"/>
        </w:rPr>
        <w:t>.</w:t>
      </w:r>
      <w:r w:rsidRPr="00EF6152">
        <w:rPr>
          <w:rStyle w:val="FootnoteReference"/>
          <w:rFonts w:ascii="Times New Roman" w:hAnsi="Times New Roman" w:cs="Times New Roman"/>
          <w:sz w:val="24"/>
          <w:szCs w:val="24"/>
        </w:rPr>
        <w:footnoteReference w:id="56"/>
      </w:r>
      <w:r w:rsidRPr="00EF6152">
        <w:rPr>
          <w:rFonts w:ascii="Times New Roman" w:hAnsi="Times New Roman" w:cs="Times New Roman"/>
          <w:sz w:val="24"/>
          <w:szCs w:val="24"/>
        </w:rPr>
        <w:t xml:space="preserve">  Duke alleges that u</w:t>
      </w:r>
      <w:r w:rsidR="00C307A8" w:rsidRPr="00EF6152">
        <w:rPr>
          <w:rFonts w:ascii="Times New Roman" w:hAnsi="Times New Roman" w:cs="Times New Roman"/>
          <w:sz w:val="24"/>
          <w:szCs w:val="24"/>
        </w:rPr>
        <w:t>nder th</w:t>
      </w:r>
      <w:r w:rsidR="00E24873" w:rsidRPr="00EF6152">
        <w:rPr>
          <w:rFonts w:ascii="Times New Roman" w:hAnsi="Times New Roman" w:cs="Times New Roman"/>
          <w:sz w:val="24"/>
          <w:szCs w:val="24"/>
        </w:rPr>
        <w:t>ese state laws, the</w:t>
      </w:r>
      <w:r w:rsidR="00C307A8" w:rsidRPr="00EF6152">
        <w:rPr>
          <w:rFonts w:ascii="Times New Roman" w:hAnsi="Times New Roman" w:cs="Times New Roman"/>
          <w:sz w:val="24"/>
          <w:szCs w:val="24"/>
        </w:rPr>
        <w:t xml:space="preserve"> PUCO has an obligation to ens</w:t>
      </w:r>
      <w:r w:rsidR="005C001B" w:rsidRPr="00EF6152">
        <w:rPr>
          <w:rFonts w:ascii="Times New Roman" w:hAnsi="Times New Roman" w:cs="Times New Roman"/>
          <w:sz w:val="24"/>
          <w:szCs w:val="24"/>
        </w:rPr>
        <w:t xml:space="preserve">ure </w:t>
      </w:r>
      <w:r w:rsidR="00C307A8" w:rsidRPr="00EF6152">
        <w:rPr>
          <w:rFonts w:ascii="Times New Roman" w:hAnsi="Times New Roman" w:cs="Times New Roman"/>
          <w:sz w:val="24"/>
          <w:szCs w:val="24"/>
        </w:rPr>
        <w:t xml:space="preserve">that jurisdictional utilities receive just and reasonable compensation for the </w:t>
      </w:r>
      <w:r w:rsidR="00C307A8" w:rsidRPr="009B09A5">
        <w:rPr>
          <w:rFonts w:ascii="Times New Roman" w:hAnsi="Times New Roman" w:cs="Times New Roman"/>
          <w:sz w:val="24"/>
          <w:szCs w:val="24"/>
        </w:rPr>
        <w:t>services</w:t>
      </w:r>
      <w:r w:rsidR="009B09A5">
        <w:rPr>
          <w:rFonts w:ascii="Times New Roman" w:hAnsi="Times New Roman" w:cs="Times New Roman"/>
          <w:sz w:val="24"/>
          <w:szCs w:val="24"/>
        </w:rPr>
        <w:t xml:space="preserve"> t</w:t>
      </w:r>
      <w:r w:rsidR="00C307A8" w:rsidRPr="00EF6152">
        <w:rPr>
          <w:rFonts w:ascii="Times New Roman" w:hAnsi="Times New Roman" w:cs="Times New Roman"/>
          <w:sz w:val="24"/>
          <w:szCs w:val="24"/>
        </w:rPr>
        <w:t>hey render</w:t>
      </w:r>
      <w:r w:rsidRPr="00EF6152">
        <w:rPr>
          <w:rFonts w:ascii="Times New Roman" w:hAnsi="Times New Roman" w:cs="Times New Roman"/>
          <w:sz w:val="24"/>
          <w:szCs w:val="24"/>
        </w:rPr>
        <w:t xml:space="preserve">.  </w:t>
      </w:r>
      <w:r w:rsidR="00E24873" w:rsidRPr="00EF6152">
        <w:rPr>
          <w:rFonts w:ascii="Times New Roman" w:hAnsi="Times New Roman" w:cs="Times New Roman"/>
          <w:sz w:val="24"/>
          <w:szCs w:val="24"/>
        </w:rPr>
        <w:t xml:space="preserve">Duke considers the wholesale FRR capacity service that it provides to </w:t>
      </w:r>
      <w:r w:rsidR="00047434">
        <w:rPr>
          <w:rFonts w:ascii="Times New Roman" w:hAnsi="Times New Roman" w:cs="Times New Roman"/>
          <w:sz w:val="24"/>
          <w:szCs w:val="24"/>
        </w:rPr>
        <w:t xml:space="preserve">marketers </w:t>
      </w:r>
      <w:r w:rsidR="00E24873" w:rsidRPr="00EF6152">
        <w:rPr>
          <w:rFonts w:ascii="Times New Roman" w:hAnsi="Times New Roman" w:cs="Times New Roman"/>
          <w:sz w:val="24"/>
          <w:szCs w:val="24"/>
        </w:rPr>
        <w:t>to be “services” subject to regulation under Chapter 4905, Revised Code</w:t>
      </w:r>
      <w:r w:rsidR="008C09CB" w:rsidRPr="00EF6152">
        <w:rPr>
          <w:rFonts w:ascii="Times New Roman" w:hAnsi="Times New Roman" w:cs="Times New Roman"/>
          <w:sz w:val="24"/>
          <w:szCs w:val="24"/>
        </w:rPr>
        <w:t>, consistent with the PUCO’s findings in the AEP Capacity Case.</w:t>
      </w:r>
      <w:r w:rsidR="00450885" w:rsidRPr="00EF6152">
        <w:rPr>
          <w:rStyle w:val="FootnoteReference"/>
          <w:rFonts w:ascii="Times New Roman" w:hAnsi="Times New Roman" w:cs="Times New Roman"/>
          <w:sz w:val="24"/>
          <w:szCs w:val="24"/>
        </w:rPr>
        <w:footnoteReference w:id="57"/>
      </w:r>
      <w:r w:rsidR="008C09CB" w:rsidRPr="00EF6152">
        <w:rPr>
          <w:rFonts w:ascii="Times New Roman" w:hAnsi="Times New Roman" w:cs="Times New Roman"/>
          <w:sz w:val="24"/>
          <w:szCs w:val="24"/>
        </w:rPr>
        <w:t xml:space="preserve">  </w:t>
      </w:r>
      <w:r w:rsidR="00E24873" w:rsidRPr="00EF6152">
        <w:rPr>
          <w:rFonts w:ascii="Times New Roman" w:hAnsi="Times New Roman" w:cs="Times New Roman"/>
          <w:sz w:val="24"/>
          <w:szCs w:val="24"/>
        </w:rPr>
        <w:t xml:space="preserve">Duke </w:t>
      </w:r>
      <w:r w:rsidR="008C09CB" w:rsidRPr="00EF6152">
        <w:rPr>
          <w:rFonts w:ascii="Times New Roman" w:hAnsi="Times New Roman" w:cs="Times New Roman"/>
          <w:sz w:val="24"/>
          <w:szCs w:val="24"/>
        </w:rPr>
        <w:t xml:space="preserve">also argues that providing </w:t>
      </w:r>
      <w:r w:rsidR="00E24873" w:rsidRPr="00EF6152">
        <w:rPr>
          <w:rFonts w:ascii="Times New Roman" w:hAnsi="Times New Roman" w:cs="Times New Roman"/>
          <w:sz w:val="24"/>
          <w:szCs w:val="24"/>
        </w:rPr>
        <w:t xml:space="preserve">wholesale </w:t>
      </w:r>
      <w:r w:rsidR="008C09CB" w:rsidRPr="00EF6152">
        <w:rPr>
          <w:rFonts w:ascii="Times New Roman" w:hAnsi="Times New Roman" w:cs="Times New Roman"/>
          <w:sz w:val="24"/>
          <w:szCs w:val="24"/>
        </w:rPr>
        <w:t>“non-competitive”</w:t>
      </w:r>
      <w:r w:rsidR="008C09CB" w:rsidRPr="00EF6152">
        <w:rPr>
          <w:rStyle w:val="FootnoteReference"/>
          <w:rFonts w:ascii="Times New Roman" w:hAnsi="Times New Roman" w:cs="Times New Roman"/>
          <w:sz w:val="24"/>
          <w:szCs w:val="24"/>
        </w:rPr>
        <w:footnoteReference w:id="58"/>
      </w:r>
      <w:r w:rsidR="003C489B" w:rsidRPr="00EF6152">
        <w:rPr>
          <w:rFonts w:ascii="Times New Roman" w:hAnsi="Times New Roman" w:cs="Times New Roman"/>
          <w:sz w:val="24"/>
          <w:szCs w:val="24"/>
        </w:rPr>
        <w:t xml:space="preserve"> </w:t>
      </w:r>
      <w:r w:rsidR="00E24873" w:rsidRPr="00EF6152">
        <w:rPr>
          <w:rFonts w:ascii="Times New Roman" w:hAnsi="Times New Roman" w:cs="Times New Roman"/>
          <w:sz w:val="24"/>
          <w:szCs w:val="24"/>
        </w:rPr>
        <w:t xml:space="preserve">FRR capacity service to </w:t>
      </w:r>
      <w:r w:rsidR="00047434">
        <w:rPr>
          <w:rFonts w:ascii="Times New Roman" w:hAnsi="Times New Roman" w:cs="Times New Roman"/>
          <w:sz w:val="24"/>
          <w:szCs w:val="24"/>
        </w:rPr>
        <w:t xml:space="preserve">marketers </w:t>
      </w:r>
      <w:r w:rsidR="00E24873" w:rsidRPr="00EF6152">
        <w:rPr>
          <w:rFonts w:ascii="Times New Roman" w:hAnsi="Times New Roman" w:cs="Times New Roman"/>
          <w:sz w:val="24"/>
          <w:szCs w:val="24"/>
        </w:rPr>
        <w:t>is very similar to</w:t>
      </w:r>
      <w:r w:rsidR="008C09CB" w:rsidRPr="00EF6152">
        <w:rPr>
          <w:rFonts w:ascii="Times New Roman" w:hAnsi="Times New Roman" w:cs="Times New Roman"/>
          <w:sz w:val="24"/>
          <w:szCs w:val="24"/>
        </w:rPr>
        <w:t xml:space="preserve"> providing </w:t>
      </w:r>
      <w:r w:rsidR="00E24873" w:rsidRPr="00EF6152">
        <w:rPr>
          <w:rFonts w:ascii="Times New Roman" w:hAnsi="Times New Roman" w:cs="Times New Roman"/>
          <w:sz w:val="24"/>
          <w:szCs w:val="24"/>
        </w:rPr>
        <w:t>traditional</w:t>
      </w:r>
      <w:r w:rsidR="008C09CB" w:rsidRPr="00EF6152">
        <w:rPr>
          <w:rFonts w:ascii="Times New Roman" w:hAnsi="Times New Roman" w:cs="Times New Roman"/>
          <w:sz w:val="24"/>
          <w:szCs w:val="24"/>
        </w:rPr>
        <w:t xml:space="preserve"> public utility</w:t>
      </w:r>
      <w:r w:rsidR="00E24873" w:rsidRPr="00EF6152">
        <w:rPr>
          <w:rFonts w:ascii="Times New Roman" w:hAnsi="Times New Roman" w:cs="Times New Roman"/>
          <w:sz w:val="24"/>
          <w:szCs w:val="24"/>
        </w:rPr>
        <w:t xml:space="preserve"> service prior to restructuring.</w:t>
      </w:r>
      <w:r w:rsidR="00E24873" w:rsidRPr="00EF6152">
        <w:rPr>
          <w:rStyle w:val="FootnoteReference"/>
          <w:rFonts w:ascii="Times New Roman" w:hAnsi="Times New Roman" w:cs="Times New Roman"/>
          <w:sz w:val="24"/>
          <w:szCs w:val="24"/>
        </w:rPr>
        <w:footnoteReference w:id="59"/>
      </w:r>
      <w:r w:rsidR="00E24873" w:rsidRPr="00EF6152">
        <w:rPr>
          <w:rFonts w:ascii="Times New Roman" w:hAnsi="Times New Roman" w:cs="Times New Roman"/>
          <w:sz w:val="24"/>
          <w:szCs w:val="24"/>
        </w:rPr>
        <w:t xml:space="preserve">    </w:t>
      </w:r>
    </w:p>
    <w:p w:rsidR="00240972" w:rsidRPr="00EF6152" w:rsidRDefault="00992029" w:rsidP="001608F4">
      <w:pPr>
        <w:ind w:firstLine="720"/>
        <w:rPr>
          <w:rFonts w:ascii="Times New Roman" w:hAnsi="Times New Roman" w:cs="Times New Roman"/>
          <w:sz w:val="24"/>
          <w:szCs w:val="24"/>
        </w:rPr>
      </w:pPr>
      <w:r w:rsidRPr="00EF6152">
        <w:rPr>
          <w:rFonts w:ascii="Times New Roman" w:hAnsi="Times New Roman" w:cs="Times New Roman"/>
          <w:sz w:val="24"/>
          <w:szCs w:val="24"/>
        </w:rPr>
        <w:lastRenderedPageBreak/>
        <w:t>According to Duke, the PUCO can</w:t>
      </w:r>
      <w:r w:rsidR="00E24873" w:rsidRPr="00EF6152">
        <w:rPr>
          <w:rFonts w:ascii="Times New Roman" w:hAnsi="Times New Roman" w:cs="Times New Roman"/>
          <w:sz w:val="24"/>
          <w:szCs w:val="24"/>
        </w:rPr>
        <w:t xml:space="preserve"> </w:t>
      </w:r>
      <w:r w:rsidR="00240972" w:rsidRPr="00EF6152">
        <w:rPr>
          <w:rFonts w:ascii="Times New Roman" w:hAnsi="Times New Roman" w:cs="Times New Roman"/>
          <w:sz w:val="24"/>
          <w:szCs w:val="24"/>
        </w:rPr>
        <w:t>(and must), under traditional regulation, ensure that jurisdictional utilities receive reasonable compensation for the services they render.</w:t>
      </w:r>
      <w:r w:rsidR="00450885" w:rsidRPr="00EF6152">
        <w:rPr>
          <w:rStyle w:val="FootnoteReference"/>
          <w:rFonts w:ascii="Times New Roman" w:hAnsi="Times New Roman" w:cs="Times New Roman"/>
          <w:sz w:val="24"/>
          <w:szCs w:val="24"/>
        </w:rPr>
        <w:footnoteReference w:id="60"/>
      </w:r>
      <w:r w:rsidR="00240972" w:rsidRPr="00EF6152">
        <w:rPr>
          <w:rFonts w:ascii="Times New Roman" w:hAnsi="Times New Roman" w:cs="Times New Roman"/>
          <w:sz w:val="24"/>
          <w:szCs w:val="24"/>
        </w:rPr>
        <w:t xml:space="preserve">  Duke defines reasonable compensation as </w:t>
      </w:r>
      <w:r w:rsidRPr="00EF6152">
        <w:rPr>
          <w:rFonts w:ascii="Times New Roman" w:hAnsi="Times New Roman" w:cs="Times New Roman"/>
          <w:sz w:val="24"/>
          <w:szCs w:val="24"/>
        </w:rPr>
        <w:t xml:space="preserve">a cost based state mechanism for the </w:t>
      </w:r>
      <w:r w:rsidR="00835369" w:rsidRPr="00EF6152">
        <w:rPr>
          <w:rFonts w:ascii="Times New Roman" w:hAnsi="Times New Roman" w:cs="Times New Roman"/>
          <w:sz w:val="24"/>
          <w:szCs w:val="24"/>
        </w:rPr>
        <w:t xml:space="preserve">wholesale </w:t>
      </w:r>
      <w:r w:rsidRPr="00EF6152">
        <w:rPr>
          <w:rFonts w:ascii="Times New Roman" w:hAnsi="Times New Roman" w:cs="Times New Roman"/>
          <w:sz w:val="24"/>
          <w:szCs w:val="24"/>
        </w:rPr>
        <w:t>FRR capacity service that Duke must provide</w:t>
      </w:r>
      <w:r w:rsidR="009B09A5">
        <w:rPr>
          <w:rFonts w:ascii="Times New Roman" w:hAnsi="Times New Roman" w:cs="Times New Roman"/>
          <w:sz w:val="24"/>
          <w:szCs w:val="24"/>
        </w:rPr>
        <w:t xml:space="preserve"> to </w:t>
      </w:r>
      <w:r w:rsidR="00047434">
        <w:rPr>
          <w:rFonts w:ascii="Times New Roman" w:hAnsi="Times New Roman" w:cs="Times New Roman"/>
          <w:sz w:val="24"/>
          <w:szCs w:val="24"/>
        </w:rPr>
        <w:t>marketers</w:t>
      </w:r>
      <w:r w:rsidR="009B09A5">
        <w:rPr>
          <w:rFonts w:ascii="Times New Roman" w:hAnsi="Times New Roman" w:cs="Times New Roman"/>
          <w:sz w:val="24"/>
          <w:szCs w:val="24"/>
        </w:rPr>
        <w:t xml:space="preserve">.  </w:t>
      </w:r>
      <w:r w:rsidR="00835369" w:rsidRPr="00EF6152">
        <w:rPr>
          <w:rFonts w:ascii="Times New Roman" w:hAnsi="Times New Roman" w:cs="Times New Roman"/>
          <w:sz w:val="24"/>
          <w:szCs w:val="24"/>
        </w:rPr>
        <w:t>Duke argues that</w:t>
      </w:r>
      <w:r w:rsidR="008C09CB" w:rsidRPr="00EF6152">
        <w:rPr>
          <w:rFonts w:ascii="Times New Roman" w:hAnsi="Times New Roman" w:cs="Times New Roman"/>
          <w:sz w:val="24"/>
          <w:szCs w:val="24"/>
        </w:rPr>
        <w:t xml:space="preserve"> </w:t>
      </w:r>
      <w:r w:rsidR="00835369" w:rsidRPr="00EF6152">
        <w:rPr>
          <w:rFonts w:ascii="Times New Roman" w:hAnsi="Times New Roman" w:cs="Times New Roman"/>
          <w:sz w:val="24"/>
          <w:szCs w:val="24"/>
        </w:rPr>
        <w:t>applying a cost based mechanism for wholesale FRR capacity is appropriate because the wholesale service is subject to t</w:t>
      </w:r>
      <w:r w:rsidRPr="00EF6152">
        <w:rPr>
          <w:rFonts w:ascii="Times New Roman" w:hAnsi="Times New Roman" w:cs="Times New Roman"/>
          <w:sz w:val="24"/>
          <w:szCs w:val="24"/>
        </w:rPr>
        <w:t xml:space="preserve">raditional ratemaking </w:t>
      </w:r>
      <w:r w:rsidR="00835369" w:rsidRPr="00EF6152">
        <w:rPr>
          <w:rFonts w:ascii="Times New Roman" w:hAnsi="Times New Roman" w:cs="Times New Roman"/>
          <w:sz w:val="24"/>
          <w:szCs w:val="24"/>
        </w:rPr>
        <w:t xml:space="preserve">under Chapter 4909, Revised Code. </w:t>
      </w:r>
      <w:r w:rsidR="008C09CB" w:rsidRPr="00EF6152">
        <w:rPr>
          <w:rFonts w:ascii="Times New Roman" w:hAnsi="Times New Roman" w:cs="Times New Roman"/>
          <w:sz w:val="24"/>
          <w:szCs w:val="24"/>
        </w:rPr>
        <w:t xml:space="preserve">  Duke relies upon the PUCO’s decision in the AEP Ohio Capacity case for support for this proposition.  Duke argues that, like AEP Ohio, it needs to augment the PJM auction rates for FRR capacity because it is not being compensated for its embedded costs, and thus, not receiving a reasonable return on its investment.</w:t>
      </w:r>
      <w:r w:rsidR="008C09CB" w:rsidRPr="00EF6152">
        <w:rPr>
          <w:rStyle w:val="FootnoteReference"/>
          <w:rFonts w:ascii="Times New Roman" w:hAnsi="Times New Roman" w:cs="Times New Roman"/>
          <w:sz w:val="24"/>
          <w:szCs w:val="24"/>
        </w:rPr>
        <w:footnoteReference w:id="61"/>
      </w:r>
      <w:r w:rsidR="002F67F9" w:rsidRPr="00EF6152">
        <w:rPr>
          <w:rFonts w:ascii="Times New Roman" w:hAnsi="Times New Roman" w:cs="Times New Roman"/>
          <w:sz w:val="24"/>
          <w:szCs w:val="24"/>
        </w:rPr>
        <w:t xml:space="preserve">  But Duke’s arguments are based on faulty legal assumptions which are addressed below.</w:t>
      </w:r>
    </w:p>
    <w:p w:rsidR="002F67F9" w:rsidRPr="00EF6152" w:rsidRDefault="002E62BB" w:rsidP="00FB4463">
      <w:pPr>
        <w:pStyle w:val="Heading3"/>
      </w:pPr>
      <w:bookmarkStart w:id="16" w:name="_Toc362949991"/>
      <w:r>
        <w:t>1</w:t>
      </w:r>
      <w:r w:rsidR="00D308F6">
        <w:t>.</w:t>
      </w:r>
      <w:r w:rsidR="00D308F6">
        <w:tab/>
        <w:t>R</w:t>
      </w:r>
      <w:r w:rsidR="002F67F9" w:rsidRPr="00EF6152">
        <w:t>.C. 4905.04, 4905.05, and 4905.06 do not permit the PUCO to establish rates</w:t>
      </w:r>
      <w:r w:rsidR="00DD5BA4" w:rsidRPr="00EF6152">
        <w:t>.</w:t>
      </w:r>
      <w:bookmarkEnd w:id="16"/>
    </w:p>
    <w:p w:rsidR="00DF3ABF" w:rsidRDefault="002B3970" w:rsidP="00731C91">
      <w:pPr>
        <w:ind w:firstLine="720"/>
        <w:rPr>
          <w:rFonts w:ascii="Times New Roman" w:hAnsi="Times New Roman" w:cs="Times New Roman"/>
          <w:sz w:val="24"/>
          <w:szCs w:val="24"/>
        </w:rPr>
      </w:pPr>
      <w:r w:rsidRPr="00EF6152">
        <w:rPr>
          <w:rFonts w:ascii="Times New Roman" w:hAnsi="Times New Roman" w:cs="Times New Roman"/>
          <w:sz w:val="24"/>
          <w:szCs w:val="24"/>
        </w:rPr>
        <w:t>R.C</w:t>
      </w:r>
      <w:r w:rsidR="009B09A5">
        <w:rPr>
          <w:rFonts w:ascii="Times New Roman" w:hAnsi="Times New Roman" w:cs="Times New Roman"/>
          <w:sz w:val="24"/>
          <w:szCs w:val="24"/>
        </w:rPr>
        <w:t>.</w:t>
      </w:r>
      <w:r w:rsidRPr="00EF6152">
        <w:rPr>
          <w:rFonts w:ascii="Times New Roman" w:hAnsi="Times New Roman" w:cs="Times New Roman"/>
          <w:sz w:val="24"/>
          <w:szCs w:val="24"/>
        </w:rPr>
        <w:t xml:space="preserve"> 4905.04, 4905.05, and 4905.06 do not establish any PUCO obligation to ensure that jurisdictional utilities receive just and reasonable compensation for services provided to </w:t>
      </w:r>
      <w:r w:rsidR="00047434">
        <w:rPr>
          <w:rFonts w:ascii="Times New Roman" w:hAnsi="Times New Roman" w:cs="Times New Roman"/>
          <w:sz w:val="24"/>
          <w:szCs w:val="24"/>
        </w:rPr>
        <w:t>marketers</w:t>
      </w:r>
      <w:r w:rsidRPr="00EF6152">
        <w:rPr>
          <w:rFonts w:ascii="Times New Roman" w:hAnsi="Times New Roman" w:cs="Times New Roman"/>
          <w:sz w:val="24"/>
          <w:szCs w:val="24"/>
        </w:rPr>
        <w:t xml:space="preserve">.  A close look at these statutes confirms this.  </w:t>
      </w:r>
    </w:p>
    <w:p w:rsidR="008A390C" w:rsidRDefault="002B3970" w:rsidP="008B498E">
      <w:pPr>
        <w:ind w:firstLine="720"/>
        <w:rPr>
          <w:i/>
        </w:rPr>
      </w:pPr>
      <w:r w:rsidRPr="00EF6152">
        <w:rPr>
          <w:rFonts w:ascii="Times New Roman" w:hAnsi="Times New Roman" w:cs="Times New Roman"/>
          <w:sz w:val="24"/>
          <w:szCs w:val="24"/>
        </w:rPr>
        <w:t>R.C. 4905.04 gives the PUCO</w:t>
      </w:r>
      <w:r w:rsidR="009B09A5">
        <w:rPr>
          <w:rFonts w:ascii="Times New Roman" w:hAnsi="Times New Roman" w:cs="Times New Roman"/>
          <w:sz w:val="24"/>
          <w:szCs w:val="24"/>
        </w:rPr>
        <w:t xml:space="preserve"> the </w:t>
      </w:r>
      <w:r w:rsidRPr="00EF6152">
        <w:rPr>
          <w:rFonts w:ascii="Times New Roman" w:hAnsi="Times New Roman" w:cs="Times New Roman"/>
          <w:sz w:val="24"/>
          <w:szCs w:val="24"/>
        </w:rPr>
        <w:t>power to supervise and regulate public utilities</w:t>
      </w:r>
      <w:r w:rsidR="003153DD">
        <w:rPr>
          <w:rFonts w:ascii="Times New Roman" w:hAnsi="Times New Roman" w:cs="Times New Roman"/>
          <w:sz w:val="24"/>
          <w:szCs w:val="24"/>
        </w:rPr>
        <w:t>,</w:t>
      </w:r>
      <w:r w:rsidRPr="00EF6152">
        <w:rPr>
          <w:rFonts w:ascii="Times New Roman" w:hAnsi="Times New Roman" w:cs="Times New Roman"/>
          <w:sz w:val="24"/>
          <w:szCs w:val="24"/>
        </w:rPr>
        <w:t xml:space="preserve"> and to require that all public utilities furnish their products and render all services exacted by the PUCO or law.  R.C. 4905.05 defines </w:t>
      </w:r>
      <w:r w:rsidR="00B35A4C">
        <w:rPr>
          <w:rFonts w:ascii="Times New Roman" w:hAnsi="Times New Roman" w:cs="Times New Roman"/>
          <w:sz w:val="24"/>
          <w:szCs w:val="24"/>
        </w:rPr>
        <w:t xml:space="preserve">the </w:t>
      </w:r>
      <w:r w:rsidRPr="00EF6152">
        <w:rPr>
          <w:rFonts w:ascii="Times New Roman" w:hAnsi="Times New Roman" w:cs="Times New Roman"/>
          <w:sz w:val="24"/>
          <w:szCs w:val="24"/>
        </w:rPr>
        <w:t>PUCO</w:t>
      </w:r>
      <w:r w:rsidR="00B35A4C">
        <w:rPr>
          <w:rFonts w:ascii="Times New Roman" w:hAnsi="Times New Roman" w:cs="Times New Roman"/>
          <w:sz w:val="24"/>
          <w:szCs w:val="24"/>
        </w:rPr>
        <w:t>’s</w:t>
      </w:r>
      <w:r w:rsidRPr="00EF6152">
        <w:rPr>
          <w:rFonts w:ascii="Times New Roman" w:hAnsi="Times New Roman" w:cs="Times New Roman"/>
          <w:sz w:val="24"/>
          <w:szCs w:val="24"/>
        </w:rPr>
        <w:t xml:space="preserve"> scope of jurisdiction as extending to public utilities with plant or property within the state.  R.C. 4905.06 establishes that the PUCO has general supervision over public utilities.  It allows the PUC</w:t>
      </w:r>
      <w:r w:rsidR="009B09A5">
        <w:rPr>
          <w:rFonts w:ascii="Times New Roman" w:hAnsi="Times New Roman" w:cs="Times New Roman"/>
          <w:sz w:val="24"/>
          <w:szCs w:val="24"/>
        </w:rPr>
        <w:t xml:space="preserve">O to take actions to keep them </w:t>
      </w:r>
      <w:r w:rsidRPr="00EF6152">
        <w:rPr>
          <w:rFonts w:ascii="Times New Roman" w:hAnsi="Times New Roman" w:cs="Times New Roman"/>
          <w:sz w:val="24"/>
          <w:szCs w:val="24"/>
        </w:rPr>
        <w:t xml:space="preserve">advised of utilities’ general condition, capitalization, </w:t>
      </w:r>
      <w:r w:rsidRPr="00EF6152">
        <w:rPr>
          <w:rFonts w:ascii="Times New Roman" w:hAnsi="Times New Roman" w:cs="Times New Roman"/>
          <w:sz w:val="24"/>
          <w:szCs w:val="24"/>
        </w:rPr>
        <w:lastRenderedPageBreak/>
        <w:t xml:space="preserve">and franchises and the manner in which utilities manage their property with respect to the adequacy, safety, and security of the public and their employees.  </w:t>
      </w:r>
      <w:r w:rsidR="008A390C" w:rsidRPr="00EF6152">
        <w:rPr>
          <w:rFonts w:ascii="Times New Roman" w:hAnsi="Times New Roman" w:cs="Times New Roman"/>
          <w:sz w:val="24"/>
          <w:szCs w:val="24"/>
        </w:rPr>
        <w:t>The broad</w:t>
      </w:r>
      <w:r w:rsidR="008A390C" w:rsidRPr="00EF6152">
        <w:rPr>
          <w:rFonts w:ascii="Times New Roman" w:hAnsi="Times New Roman" w:cs="Times New Roman"/>
          <w:i/>
          <w:sz w:val="24"/>
          <w:szCs w:val="24"/>
        </w:rPr>
        <w:t xml:space="preserve"> </w:t>
      </w:r>
      <w:r w:rsidR="008A390C" w:rsidRPr="00EF6152">
        <w:rPr>
          <w:rFonts w:ascii="Times New Roman" w:hAnsi="Times New Roman" w:cs="Times New Roman"/>
          <w:sz w:val="24"/>
          <w:szCs w:val="24"/>
        </w:rPr>
        <w:t>supervisory powers identified in these statutes have generally been used in the context of affecting</w:t>
      </w:r>
      <w:r w:rsidR="008A390C" w:rsidRPr="008A390C">
        <w:rPr>
          <w:rFonts w:ascii="Times New Roman" w:hAnsi="Times New Roman" w:cs="Times New Roman"/>
          <w:sz w:val="24"/>
          <w:szCs w:val="24"/>
        </w:rPr>
        <w:t xml:space="preserve"> public safety and service reliability</w:t>
      </w:r>
      <w:r w:rsidR="008A390C">
        <w:rPr>
          <w:rFonts w:ascii="Times New Roman" w:hAnsi="Times New Roman" w:cs="Times New Roman"/>
          <w:sz w:val="24"/>
          <w:szCs w:val="24"/>
        </w:rPr>
        <w:t>.</w:t>
      </w:r>
      <w:r w:rsidR="008A390C" w:rsidRPr="008A390C">
        <w:rPr>
          <w:rStyle w:val="FootnoteReference"/>
          <w:rFonts w:ascii="Times New Roman" w:hAnsi="Times New Roman" w:cs="Times New Roman"/>
          <w:sz w:val="24"/>
          <w:szCs w:val="24"/>
        </w:rPr>
        <w:footnoteReference w:id="62"/>
      </w:r>
      <w:r w:rsidR="008A390C">
        <w:rPr>
          <w:rFonts w:ascii="Times New Roman" w:hAnsi="Times New Roman" w:cs="Times New Roman"/>
          <w:sz w:val="24"/>
          <w:szCs w:val="24"/>
        </w:rPr>
        <w:t xml:space="preserve">  Yet issues of public safety and service reliability are not present in Duke’s </w:t>
      </w:r>
      <w:r w:rsidR="003153DD">
        <w:rPr>
          <w:rFonts w:ascii="Times New Roman" w:hAnsi="Times New Roman" w:cs="Times New Roman"/>
          <w:sz w:val="24"/>
          <w:szCs w:val="24"/>
        </w:rPr>
        <w:t>A</w:t>
      </w:r>
      <w:r w:rsidR="008A390C">
        <w:rPr>
          <w:rFonts w:ascii="Times New Roman" w:hAnsi="Times New Roman" w:cs="Times New Roman"/>
          <w:sz w:val="24"/>
          <w:szCs w:val="24"/>
        </w:rPr>
        <w:t xml:space="preserve">pplication.  </w:t>
      </w:r>
      <w:r w:rsidR="008A390C">
        <w:rPr>
          <w:i/>
        </w:rPr>
        <w:t xml:space="preserve"> </w:t>
      </w:r>
    </w:p>
    <w:p w:rsidR="007C1220" w:rsidRDefault="00DD5BA4" w:rsidP="00091A23">
      <w:pPr>
        <w:ind w:firstLine="720"/>
        <w:rPr>
          <w:rFonts w:ascii="Times New Roman" w:hAnsi="Times New Roman" w:cs="Times New Roman"/>
          <w:sz w:val="24"/>
          <w:szCs w:val="24"/>
        </w:rPr>
      </w:pPr>
      <w:r w:rsidRPr="00DD5BA4">
        <w:rPr>
          <w:rFonts w:ascii="Times New Roman" w:hAnsi="Times New Roman" w:cs="Times New Roman"/>
          <w:sz w:val="24"/>
          <w:szCs w:val="24"/>
        </w:rPr>
        <w:t>The Ohio Supreme Court has determined that a statute broadly granting the PUCO all powers necessary to carry out Chapter 4901 could not be used to disregard other specific ratemaking statutes.</w:t>
      </w:r>
      <w:r w:rsidRPr="00DD5BA4">
        <w:rPr>
          <w:rStyle w:val="FootnoteReference"/>
          <w:rFonts w:ascii="Times New Roman" w:hAnsi="Times New Roman" w:cs="Times New Roman"/>
          <w:sz w:val="24"/>
          <w:szCs w:val="24"/>
        </w:rPr>
        <w:footnoteReference w:id="63"/>
      </w:r>
      <w:r w:rsidRPr="00DD5BA4">
        <w:rPr>
          <w:rFonts w:ascii="Times New Roman" w:hAnsi="Times New Roman" w:cs="Times New Roman"/>
          <w:sz w:val="24"/>
          <w:szCs w:val="24"/>
        </w:rPr>
        <w:t xml:space="preserve">  That reasoning applies here.  The broad general supervisory statutes </w:t>
      </w:r>
      <w:r w:rsidR="008A390C">
        <w:rPr>
          <w:rFonts w:ascii="Times New Roman" w:hAnsi="Times New Roman" w:cs="Times New Roman"/>
          <w:sz w:val="24"/>
          <w:szCs w:val="24"/>
        </w:rPr>
        <w:t xml:space="preserve">cited by Duke </w:t>
      </w:r>
      <w:r w:rsidRPr="00DD5BA4">
        <w:rPr>
          <w:rFonts w:ascii="Times New Roman" w:hAnsi="Times New Roman" w:cs="Times New Roman"/>
          <w:sz w:val="24"/>
          <w:szCs w:val="24"/>
        </w:rPr>
        <w:t>cannot be substituted for the specific ratemaking statutes</w:t>
      </w:r>
      <w:r w:rsidR="008A390C">
        <w:rPr>
          <w:rFonts w:ascii="Times New Roman" w:hAnsi="Times New Roman" w:cs="Times New Roman"/>
          <w:sz w:val="24"/>
          <w:szCs w:val="24"/>
        </w:rPr>
        <w:t xml:space="preserve"> found under R.C. Chapter 4909. </w:t>
      </w:r>
    </w:p>
    <w:p w:rsidR="007C1220" w:rsidRPr="00EF6152" w:rsidRDefault="007C1220" w:rsidP="00091A23">
      <w:pPr>
        <w:ind w:firstLine="720"/>
        <w:rPr>
          <w:rFonts w:ascii="Times New Roman" w:hAnsi="Times New Roman" w:cs="Times New Roman"/>
          <w:sz w:val="24"/>
          <w:szCs w:val="24"/>
        </w:rPr>
      </w:pPr>
      <w:r w:rsidRPr="00EF6152">
        <w:rPr>
          <w:rFonts w:ascii="Times New Roman" w:hAnsi="Times New Roman" w:cs="Times New Roman"/>
          <w:sz w:val="24"/>
          <w:szCs w:val="24"/>
        </w:rPr>
        <w:t>None of these broad, general supervisory statutes allow the PUCO to set rates.  As explained in detail in OCC’s Initial Brief</w:t>
      </w:r>
      <w:r w:rsidR="00EF6152">
        <w:rPr>
          <w:rFonts w:ascii="Times New Roman" w:hAnsi="Times New Roman" w:cs="Times New Roman"/>
          <w:sz w:val="24"/>
          <w:szCs w:val="24"/>
        </w:rPr>
        <w:t>,</w:t>
      </w:r>
      <w:r w:rsidRPr="00EF6152">
        <w:rPr>
          <w:rStyle w:val="FootnoteReference"/>
          <w:rFonts w:ascii="Times New Roman" w:hAnsi="Times New Roman" w:cs="Times New Roman"/>
          <w:sz w:val="24"/>
          <w:szCs w:val="24"/>
        </w:rPr>
        <w:footnoteReference w:id="64"/>
      </w:r>
      <w:r w:rsidRPr="00EF6152">
        <w:rPr>
          <w:rFonts w:ascii="Times New Roman" w:hAnsi="Times New Roman" w:cs="Times New Roman"/>
          <w:sz w:val="24"/>
          <w:szCs w:val="24"/>
        </w:rPr>
        <w:t xml:space="preserve"> rates outside an ESP can only be set </w:t>
      </w:r>
      <w:proofErr w:type="gramStart"/>
      <w:r w:rsidRPr="00EF6152">
        <w:rPr>
          <w:rFonts w:ascii="Times New Roman" w:hAnsi="Times New Roman" w:cs="Times New Roman"/>
          <w:sz w:val="24"/>
          <w:szCs w:val="24"/>
        </w:rPr>
        <w:t>through  a</w:t>
      </w:r>
      <w:proofErr w:type="gramEnd"/>
      <w:r w:rsidRPr="00EF6152">
        <w:rPr>
          <w:rFonts w:ascii="Times New Roman" w:hAnsi="Times New Roman" w:cs="Times New Roman"/>
          <w:sz w:val="24"/>
          <w:szCs w:val="24"/>
        </w:rPr>
        <w:t xml:space="preserve"> rate case </w:t>
      </w:r>
      <w:r w:rsidR="003153DD">
        <w:rPr>
          <w:rFonts w:ascii="Times New Roman" w:hAnsi="Times New Roman" w:cs="Times New Roman"/>
          <w:sz w:val="24"/>
          <w:szCs w:val="24"/>
        </w:rPr>
        <w:t xml:space="preserve">filed </w:t>
      </w:r>
      <w:r w:rsidRPr="00EF6152">
        <w:rPr>
          <w:rFonts w:ascii="Times New Roman" w:hAnsi="Times New Roman" w:cs="Times New Roman"/>
          <w:sz w:val="24"/>
          <w:szCs w:val="24"/>
        </w:rPr>
        <w:t xml:space="preserve">under R.C. 4909.18 or through a complaint </w:t>
      </w:r>
      <w:r w:rsidR="00A92CE5" w:rsidRPr="00EF6152">
        <w:rPr>
          <w:rFonts w:ascii="Times New Roman" w:hAnsi="Times New Roman" w:cs="Times New Roman"/>
          <w:sz w:val="24"/>
          <w:szCs w:val="24"/>
        </w:rPr>
        <w:t>case,</w:t>
      </w:r>
      <w:r w:rsidR="00A92CE5">
        <w:rPr>
          <w:rFonts w:ascii="Times New Roman" w:hAnsi="Times New Roman" w:cs="Times New Roman"/>
          <w:sz w:val="24"/>
          <w:szCs w:val="24"/>
        </w:rPr>
        <w:t xml:space="preserve"> filed</w:t>
      </w:r>
      <w:r w:rsidRPr="00EF6152">
        <w:rPr>
          <w:rFonts w:ascii="Times New Roman" w:hAnsi="Times New Roman" w:cs="Times New Roman"/>
          <w:sz w:val="24"/>
          <w:szCs w:val="24"/>
        </w:rPr>
        <w:t xml:space="preserve"> under R.C. 4905.26.  Duke has not presented either for the </w:t>
      </w:r>
      <w:r w:rsidR="003153DD">
        <w:rPr>
          <w:rFonts w:ascii="Times New Roman" w:hAnsi="Times New Roman" w:cs="Times New Roman"/>
          <w:sz w:val="24"/>
          <w:szCs w:val="24"/>
        </w:rPr>
        <w:t>PUCO</w:t>
      </w:r>
      <w:r w:rsidRPr="00EF6152">
        <w:rPr>
          <w:rFonts w:ascii="Times New Roman" w:hAnsi="Times New Roman" w:cs="Times New Roman"/>
          <w:sz w:val="24"/>
          <w:szCs w:val="24"/>
        </w:rPr>
        <w:t xml:space="preserve"> to review.  </w:t>
      </w:r>
    </w:p>
    <w:p w:rsidR="00DD5BA4" w:rsidRPr="00EF6152" w:rsidRDefault="00DD5BA4" w:rsidP="00091A23">
      <w:pPr>
        <w:ind w:firstLine="720"/>
        <w:rPr>
          <w:rFonts w:ascii="Times New Roman" w:hAnsi="Times New Roman" w:cs="Times New Roman"/>
          <w:sz w:val="24"/>
          <w:szCs w:val="24"/>
        </w:rPr>
      </w:pPr>
      <w:r w:rsidRPr="00EF6152">
        <w:rPr>
          <w:rFonts w:ascii="Times New Roman" w:hAnsi="Times New Roman" w:cs="Times New Roman"/>
          <w:sz w:val="24"/>
          <w:szCs w:val="24"/>
        </w:rPr>
        <w:t>Moreover, while the PUCO did cite to these general supervisory sections of the Code in the AEP Capacity Charge</w:t>
      </w:r>
      <w:r w:rsidR="00DF3ABF">
        <w:rPr>
          <w:rFonts w:ascii="Times New Roman" w:hAnsi="Times New Roman" w:cs="Times New Roman"/>
          <w:sz w:val="24"/>
          <w:szCs w:val="24"/>
        </w:rPr>
        <w:t xml:space="preserve"> </w:t>
      </w:r>
      <w:r w:rsidR="003153DD">
        <w:rPr>
          <w:rFonts w:ascii="Times New Roman" w:hAnsi="Times New Roman" w:cs="Times New Roman"/>
          <w:sz w:val="24"/>
          <w:szCs w:val="24"/>
        </w:rPr>
        <w:t>C</w:t>
      </w:r>
      <w:r w:rsidRPr="00EF6152">
        <w:rPr>
          <w:rFonts w:ascii="Times New Roman" w:hAnsi="Times New Roman" w:cs="Times New Roman"/>
          <w:sz w:val="24"/>
          <w:szCs w:val="24"/>
        </w:rPr>
        <w:t>ase, the context was different.  Going back to the very first Entry in the AEP Capacity Case, the PUCO initially cited to these laws to enable it to expressly adopt the</w:t>
      </w:r>
      <w:r w:rsidR="003153DD">
        <w:rPr>
          <w:rFonts w:ascii="Times New Roman" w:hAnsi="Times New Roman" w:cs="Times New Roman"/>
          <w:sz w:val="24"/>
          <w:szCs w:val="24"/>
        </w:rPr>
        <w:t xml:space="preserve"> then</w:t>
      </w:r>
      <w:r w:rsidRPr="00EF6152">
        <w:rPr>
          <w:rFonts w:ascii="Times New Roman" w:hAnsi="Times New Roman" w:cs="Times New Roman"/>
          <w:sz w:val="24"/>
          <w:szCs w:val="24"/>
        </w:rPr>
        <w:t xml:space="preserve"> existing capacity rates as the state compensation mechanism.</w:t>
      </w:r>
      <w:r w:rsidRPr="00EF6152">
        <w:rPr>
          <w:rStyle w:val="FootnoteReference"/>
          <w:rFonts w:ascii="Times New Roman" w:hAnsi="Times New Roman" w:cs="Times New Roman"/>
          <w:sz w:val="24"/>
          <w:szCs w:val="24"/>
        </w:rPr>
        <w:t xml:space="preserve"> </w:t>
      </w:r>
      <w:r w:rsidRPr="00EF6152">
        <w:rPr>
          <w:rStyle w:val="FootnoteReference"/>
          <w:rFonts w:ascii="Times New Roman" w:hAnsi="Times New Roman" w:cs="Times New Roman"/>
          <w:sz w:val="24"/>
          <w:szCs w:val="24"/>
        </w:rPr>
        <w:footnoteReference w:id="65"/>
      </w:r>
      <w:r w:rsidRPr="00EF6152">
        <w:rPr>
          <w:rFonts w:ascii="Times New Roman" w:hAnsi="Times New Roman" w:cs="Times New Roman"/>
          <w:sz w:val="24"/>
          <w:szCs w:val="24"/>
        </w:rPr>
        <w:t xml:space="preserve">  But th</w:t>
      </w:r>
      <w:r w:rsidR="003153DD">
        <w:rPr>
          <w:rFonts w:ascii="Times New Roman" w:hAnsi="Times New Roman" w:cs="Times New Roman"/>
          <w:sz w:val="24"/>
          <w:szCs w:val="24"/>
        </w:rPr>
        <w:t>ose</w:t>
      </w:r>
      <w:r w:rsidRPr="00EF6152">
        <w:rPr>
          <w:rFonts w:ascii="Times New Roman" w:hAnsi="Times New Roman" w:cs="Times New Roman"/>
          <w:sz w:val="24"/>
          <w:szCs w:val="24"/>
        </w:rPr>
        <w:t xml:space="preserve"> existing capacity rates were already part of PUCO</w:t>
      </w:r>
      <w:r w:rsidR="003153DD">
        <w:rPr>
          <w:rFonts w:ascii="Times New Roman" w:hAnsi="Times New Roman" w:cs="Times New Roman"/>
          <w:sz w:val="24"/>
          <w:szCs w:val="24"/>
        </w:rPr>
        <w:t>-</w:t>
      </w:r>
      <w:r w:rsidRPr="00EF6152">
        <w:rPr>
          <w:rFonts w:ascii="Times New Roman" w:hAnsi="Times New Roman" w:cs="Times New Roman"/>
          <w:sz w:val="24"/>
          <w:szCs w:val="24"/>
        </w:rPr>
        <w:t xml:space="preserve">approved </w:t>
      </w:r>
      <w:r w:rsidRPr="00EF6152">
        <w:rPr>
          <w:rFonts w:ascii="Times New Roman" w:hAnsi="Times New Roman" w:cs="Times New Roman"/>
          <w:sz w:val="24"/>
          <w:szCs w:val="24"/>
        </w:rPr>
        <w:lastRenderedPageBreak/>
        <w:t>AEP ESP retail rates.</w:t>
      </w:r>
      <w:r w:rsidRPr="00EF6152">
        <w:rPr>
          <w:rStyle w:val="FootnoteReference"/>
          <w:rFonts w:ascii="Times New Roman" w:hAnsi="Times New Roman" w:cs="Times New Roman"/>
          <w:sz w:val="24"/>
          <w:szCs w:val="24"/>
        </w:rPr>
        <w:footnoteReference w:id="66"/>
      </w:r>
      <w:r w:rsidRPr="00EF6152">
        <w:rPr>
          <w:rFonts w:ascii="Times New Roman" w:hAnsi="Times New Roman" w:cs="Times New Roman"/>
          <w:sz w:val="24"/>
          <w:szCs w:val="24"/>
        </w:rPr>
        <w:t xml:space="preserve">   So while the PUCO can find that a state compensation mechanism already exists, that is much different than “establishing</w:t>
      </w:r>
      <w:r w:rsidR="00B35A4C">
        <w:rPr>
          <w:rFonts w:ascii="Times New Roman" w:hAnsi="Times New Roman" w:cs="Times New Roman"/>
          <w:sz w:val="24"/>
          <w:szCs w:val="24"/>
        </w:rPr>
        <w:t xml:space="preserve">” </w:t>
      </w:r>
      <w:r w:rsidRPr="00EF6152">
        <w:rPr>
          <w:rFonts w:ascii="Times New Roman" w:hAnsi="Times New Roman" w:cs="Times New Roman"/>
          <w:sz w:val="24"/>
          <w:szCs w:val="24"/>
        </w:rPr>
        <w:t xml:space="preserve">outside of an ESP, a state compensation mechanism that requires the setting of new rates.  </w:t>
      </w:r>
    </w:p>
    <w:p w:rsidR="00DD5BA4" w:rsidRPr="00EF6152" w:rsidRDefault="00DD5BA4" w:rsidP="00091A23">
      <w:pPr>
        <w:ind w:firstLine="720"/>
        <w:rPr>
          <w:rFonts w:ascii="Times New Roman" w:hAnsi="Times New Roman" w:cs="Times New Roman"/>
          <w:sz w:val="24"/>
          <w:szCs w:val="24"/>
        </w:rPr>
      </w:pPr>
      <w:r w:rsidRPr="00EF6152">
        <w:rPr>
          <w:rFonts w:ascii="Times New Roman" w:hAnsi="Times New Roman" w:cs="Times New Roman"/>
          <w:sz w:val="24"/>
          <w:szCs w:val="24"/>
        </w:rPr>
        <w:t>Even the PUCO seemed to acknowledge this in subsequent Entries on Rehearing.  In its October 17, 2012 Entry on Rehearing it granted rehearing</w:t>
      </w:r>
      <w:r w:rsidRPr="00EF6152">
        <w:rPr>
          <w:rStyle w:val="FootnoteReference"/>
          <w:rFonts w:ascii="Times New Roman" w:hAnsi="Times New Roman" w:cs="Times New Roman"/>
          <w:sz w:val="24"/>
          <w:szCs w:val="24"/>
        </w:rPr>
        <w:footnoteReference w:id="67"/>
      </w:r>
      <w:r w:rsidRPr="00EF6152">
        <w:rPr>
          <w:rFonts w:ascii="Times New Roman" w:hAnsi="Times New Roman" w:cs="Times New Roman"/>
          <w:sz w:val="24"/>
          <w:szCs w:val="24"/>
        </w:rPr>
        <w:t xml:space="preserve"> to clarify that its investigation initiated in the AEP Capacity Case was conducted under specific authority found in R.C. 4905.26.</w:t>
      </w:r>
      <w:r w:rsidRPr="00EF6152">
        <w:rPr>
          <w:rStyle w:val="FootnoteReference"/>
          <w:rFonts w:ascii="Times New Roman" w:hAnsi="Times New Roman" w:cs="Times New Roman"/>
          <w:sz w:val="24"/>
          <w:szCs w:val="24"/>
        </w:rPr>
        <w:footnoteReference w:id="68"/>
      </w:r>
      <w:r w:rsidRPr="00EF6152">
        <w:rPr>
          <w:rFonts w:ascii="Times New Roman" w:hAnsi="Times New Roman" w:cs="Times New Roman"/>
          <w:sz w:val="24"/>
          <w:szCs w:val="24"/>
        </w:rPr>
        <w:t xml:space="preserve">  Its clarification was noted not just once but at numerous points within the Application for Rehearing.  Further in a later Entry on Rehearing (Dec. 12</w:t>
      </w:r>
      <w:r w:rsidR="00EF6152">
        <w:rPr>
          <w:rFonts w:ascii="Times New Roman" w:hAnsi="Times New Roman" w:cs="Times New Roman"/>
          <w:sz w:val="24"/>
          <w:szCs w:val="24"/>
        </w:rPr>
        <w:t xml:space="preserve">, </w:t>
      </w:r>
      <w:r w:rsidRPr="00EF6152">
        <w:rPr>
          <w:rFonts w:ascii="Times New Roman" w:hAnsi="Times New Roman" w:cs="Times New Roman"/>
          <w:sz w:val="24"/>
          <w:szCs w:val="24"/>
        </w:rPr>
        <w:t>2012), the PUCO emphasized that it initiated the capacity case hearing to review AEP’s existing capacity charge to determine that it was consistent with R.C. 4905.26.</w:t>
      </w:r>
      <w:r w:rsidRPr="00EF6152">
        <w:rPr>
          <w:rStyle w:val="FootnoteReference"/>
          <w:rFonts w:ascii="Times New Roman" w:hAnsi="Times New Roman" w:cs="Times New Roman"/>
          <w:sz w:val="24"/>
          <w:szCs w:val="24"/>
        </w:rPr>
        <w:footnoteReference w:id="69"/>
      </w:r>
    </w:p>
    <w:p w:rsidR="00DD5BA4" w:rsidRPr="00EF6152" w:rsidRDefault="00D308F6" w:rsidP="00FB4463">
      <w:pPr>
        <w:pStyle w:val="Heading3"/>
      </w:pPr>
      <w:bookmarkStart w:id="17" w:name="_Toc362949992"/>
      <w:r>
        <w:t>2.</w:t>
      </w:r>
      <w:r>
        <w:tab/>
      </w:r>
      <w:r w:rsidR="00DD5BA4" w:rsidRPr="00EF6152">
        <w:t>R.C. 4905.04, 4905.05, and 4905.06 do not establish any obligation to ensure that jurisdictional utilities receive just and reasonable compensation for services.</w:t>
      </w:r>
      <w:bookmarkEnd w:id="17"/>
      <w:r w:rsidR="00DD5BA4" w:rsidRPr="00EF6152">
        <w:t xml:space="preserve"> </w:t>
      </w:r>
    </w:p>
    <w:p w:rsidR="00C43F24" w:rsidRPr="00303AB0" w:rsidRDefault="002B3970" w:rsidP="00091A23">
      <w:pPr>
        <w:ind w:firstLine="720"/>
        <w:rPr>
          <w:rFonts w:ascii="Times New Roman" w:hAnsi="Times New Roman" w:cs="Times New Roman"/>
          <w:sz w:val="24"/>
          <w:szCs w:val="24"/>
        </w:rPr>
      </w:pPr>
      <w:r w:rsidRPr="00303AB0">
        <w:rPr>
          <w:rFonts w:ascii="Times New Roman" w:hAnsi="Times New Roman" w:cs="Times New Roman"/>
          <w:sz w:val="24"/>
          <w:szCs w:val="24"/>
        </w:rPr>
        <w:t>No</w:t>
      </w:r>
      <w:r w:rsidR="00B35A4C">
        <w:rPr>
          <w:rFonts w:ascii="Times New Roman" w:hAnsi="Times New Roman" w:cs="Times New Roman"/>
          <w:sz w:val="24"/>
          <w:szCs w:val="24"/>
        </w:rPr>
        <w:t>r do</w:t>
      </w:r>
      <w:r w:rsidRPr="00303AB0">
        <w:rPr>
          <w:rFonts w:ascii="Times New Roman" w:hAnsi="Times New Roman" w:cs="Times New Roman"/>
          <w:sz w:val="24"/>
          <w:szCs w:val="24"/>
        </w:rPr>
        <w:t xml:space="preserve"> these statutes pertain to any PUCO obligation to ensure that jurisdictional utilities receive just and reasonable compensation for the services they render</w:t>
      </w:r>
      <w:r w:rsidR="00383769" w:rsidRPr="00303AB0">
        <w:rPr>
          <w:rFonts w:ascii="Times New Roman" w:hAnsi="Times New Roman" w:cs="Times New Roman"/>
          <w:sz w:val="24"/>
          <w:szCs w:val="24"/>
        </w:rPr>
        <w:t xml:space="preserve">.  </w:t>
      </w:r>
      <w:r w:rsidR="00C43F24" w:rsidRPr="00303AB0">
        <w:rPr>
          <w:rFonts w:ascii="Times New Roman" w:hAnsi="Times New Roman" w:cs="Times New Roman"/>
          <w:sz w:val="24"/>
          <w:szCs w:val="24"/>
        </w:rPr>
        <w:t xml:space="preserve">There are no words that convey any such authority </w:t>
      </w:r>
      <w:r w:rsidR="007C1220" w:rsidRPr="00303AB0">
        <w:rPr>
          <w:rFonts w:ascii="Times New Roman" w:hAnsi="Times New Roman" w:cs="Times New Roman"/>
          <w:sz w:val="24"/>
          <w:szCs w:val="24"/>
        </w:rPr>
        <w:t>in R.C. 4905.04, 4905.05, or 4905.06.  N</w:t>
      </w:r>
      <w:r w:rsidR="00C43F24" w:rsidRPr="00303AB0">
        <w:rPr>
          <w:rFonts w:ascii="Times New Roman" w:hAnsi="Times New Roman" w:cs="Times New Roman"/>
          <w:sz w:val="24"/>
          <w:szCs w:val="24"/>
        </w:rPr>
        <w:t xml:space="preserve">either the PUCO nor </w:t>
      </w:r>
      <w:r w:rsidR="001754BD">
        <w:rPr>
          <w:rFonts w:ascii="Times New Roman" w:hAnsi="Times New Roman" w:cs="Times New Roman"/>
          <w:sz w:val="24"/>
          <w:szCs w:val="24"/>
        </w:rPr>
        <w:t>Duke</w:t>
      </w:r>
      <w:r w:rsidR="00C43F24" w:rsidRPr="00303AB0">
        <w:rPr>
          <w:rFonts w:ascii="Times New Roman" w:hAnsi="Times New Roman" w:cs="Times New Roman"/>
          <w:sz w:val="24"/>
          <w:szCs w:val="24"/>
        </w:rPr>
        <w:t xml:space="preserve"> can change that fact.  Authority to change Ohio law lies solely with the General Assembly.  </w:t>
      </w:r>
    </w:p>
    <w:p w:rsidR="00303AB0" w:rsidRPr="00303AB0" w:rsidRDefault="007C1220" w:rsidP="00091A23">
      <w:pPr>
        <w:ind w:firstLine="720"/>
        <w:rPr>
          <w:rFonts w:ascii="Times New Roman" w:hAnsi="Times New Roman" w:cs="Times New Roman"/>
          <w:sz w:val="24"/>
          <w:szCs w:val="24"/>
        </w:rPr>
      </w:pPr>
      <w:r w:rsidRPr="00303AB0">
        <w:rPr>
          <w:rFonts w:ascii="Times New Roman" w:hAnsi="Times New Roman" w:cs="Times New Roman"/>
          <w:sz w:val="24"/>
          <w:szCs w:val="24"/>
        </w:rPr>
        <w:lastRenderedPageBreak/>
        <w:t xml:space="preserve">While other statutes within Chapter 4905 may require that jurisdictional utilities receive just and reasonable compensation for services (i.e. R.C. 4905.26 and 4905.22), </w:t>
      </w:r>
      <w:r w:rsidR="00303AB0" w:rsidRPr="00303AB0">
        <w:rPr>
          <w:rFonts w:ascii="Times New Roman" w:hAnsi="Times New Roman" w:cs="Times New Roman"/>
          <w:sz w:val="24"/>
          <w:szCs w:val="24"/>
        </w:rPr>
        <w:t xml:space="preserve">those statutes are directed to retail, jurisdictional services provided to consumers in the state.  They have no applicability to wholesale rates that a utility charges unregulated </w:t>
      </w:r>
      <w:r w:rsidR="00047434">
        <w:rPr>
          <w:rFonts w:ascii="Times New Roman" w:hAnsi="Times New Roman" w:cs="Times New Roman"/>
          <w:sz w:val="24"/>
          <w:szCs w:val="24"/>
        </w:rPr>
        <w:t>marketers</w:t>
      </w:r>
      <w:r w:rsidR="00303AB0" w:rsidRPr="00303AB0">
        <w:rPr>
          <w:rFonts w:ascii="Times New Roman" w:hAnsi="Times New Roman" w:cs="Times New Roman"/>
          <w:sz w:val="24"/>
          <w:szCs w:val="24"/>
        </w:rPr>
        <w:t xml:space="preserve"> and winners of the competitive bid auctions.  </w:t>
      </w:r>
    </w:p>
    <w:p w:rsidR="007705A5" w:rsidRDefault="00303AB0" w:rsidP="00091A23">
      <w:pPr>
        <w:ind w:firstLine="720"/>
        <w:rPr>
          <w:rFonts w:ascii="Times New Roman" w:hAnsi="Times New Roman" w:cs="Times New Roman"/>
          <w:sz w:val="24"/>
          <w:szCs w:val="24"/>
        </w:rPr>
      </w:pPr>
      <w:r w:rsidRPr="00303AB0">
        <w:rPr>
          <w:rFonts w:ascii="Times New Roman" w:hAnsi="Times New Roman" w:cs="Times New Roman"/>
          <w:sz w:val="24"/>
          <w:szCs w:val="24"/>
        </w:rPr>
        <w:t>The PUCO is</w:t>
      </w:r>
      <w:r w:rsidR="006A7B6C">
        <w:rPr>
          <w:rFonts w:ascii="Times New Roman" w:hAnsi="Times New Roman" w:cs="Times New Roman"/>
          <w:sz w:val="24"/>
          <w:szCs w:val="24"/>
        </w:rPr>
        <w:t xml:space="preserve"> a</w:t>
      </w:r>
      <w:r w:rsidRPr="00303AB0">
        <w:rPr>
          <w:rFonts w:ascii="Times New Roman" w:hAnsi="Times New Roman" w:cs="Times New Roman"/>
          <w:sz w:val="24"/>
          <w:szCs w:val="24"/>
        </w:rPr>
        <w:t xml:space="preserve"> creature of statute with no statutory authority beyond that conferred by the General Assembly.</w:t>
      </w:r>
      <w:r w:rsidR="007705A5">
        <w:rPr>
          <w:rStyle w:val="FootnoteReference"/>
          <w:rFonts w:ascii="Times New Roman" w:hAnsi="Times New Roman" w:cs="Times New Roman"/>
          <w:sz w:val="24"/>
          <w:szCs w:val="24"/>
        </w:rPr>
        <w:footnoteReference w:id="70"/>
      </w:r>
      <w:r w:rsidRPr="00303AB0">
        <w:rPr>
          <w:rFonts w:ascii="Times New Roman" w:hAnsi="Times New Roman" w:cs="Times New Roman"/>
          <w:sz w:val="24"/>
          <w:szCs w:val="24"/>
        </w:rPr>
        <w:t xml:space="preserve">  Ohio law does not confer upon </w:t>
      </w:r>
      <w:r w:rsidR="007705A5">
        <w:rPr>
          <w:rFonts w:ascii="Times New Roman" w:hAnsi="Times New Roman" w:cs="Times New Roman"/>
          <w:sz w:val="24"/>
          <w:szCs w:val="24"/>
        </w:rPr>
        <w:t>the</w:t>
      </w:r>
      <w:r w:rsidR="00755121">
        <w:rPr>
          <w:rFonts w:ascii="Times New Roman" w:hAnsi="Times New Roman" w:cs="Times New Roman"/>
          <w:sz w:val="24"/>
          <w:szCs w:val="24"/>
        </w:rPr>
        <w:t xml:space="preserve"> </w:t>
      </w:r>
      <w:r w:rsidRPr="00303AB0">
        <w:rPr>
          <w:rFonts w:ascii="Times New Roman" w:hAnsi="Times New Roman" w:cs="Times New Roman"/>
          <w:sz w:val="24"/>
          <w:szCs w:val="24"/>
        </w:rPr>
        <w:t>PUCO the authority to regulate wholesale transactions</w:t>
      </w:r>
      <w:r w:rsidRPr="007705A5">
        <w:rPr>
          <w:rFonts w:ascii="Times New Roman" w:hAnsi="Times New Roman" w:cs="Times New Roman"/>
          <w:sz w:val="24"/>
          <w:szCs w:val="24"/>
        </w:rPr>
        <w:t xml:space="preserve">.  </w:t>
      </w:r>
      <w:r w:rsidR="007705A5" w:rsidRPr="007705A5">
        <w:rPr>
          <w:rFonts w:ascii="Times New Roman" w:hAnsi="Times New Roman" w:cs="Times New Roman"/>
          <w:sz w:val="24"/>
          <w:szCs w:val="24"/>
        </w:rPr>
        <w:t>While the PUCO has general</w:t>
      </w:r>
      <w:r w:rsidR="007705A5">
        <w:rPr>
          <w:rFonts w:ascii="Times New Roman" w:hAnsi="Times New Roman" w:cs="Times New Roman"/>
          <w:sz w:val="24"/>
          <w:szCs w:val="24"/>
        </w:rPr>
        <w:t xml:space="preserve"> j</w:t>
      </w:r>
      <w:r w:rsidR="007705A5" w:rsidRPr="007705A5">
        <w:rPr>
          <w:rFonts w:ascii="Times New Roman" w:hAnsi="Times New Roman" w:cs="Times New Roman"/>
          <w:sz w:val="24"/>
          <w:szCs w:val="24"/>
        </w:rPr>
        <w:t xml:space="preserve">urisdiction over public utilities as a whole, it does not necessarily have jurisdiction over all the services provided by a </w:t>
      </w:r>
      <w:r w:rsidR="007705A5">
        <w:rPr>
          <w:rFonts w:ascii="Times New Roman" w:hAnsi="Times New Roman" w:cs="Times New Roman"/>
          <w:sz w:val="24"/>
          <w:szCs w:val="24"/>
        </w:rPr>
        <w:t xml:space="preserve">public </w:t>
      </w:r>
      <w:r w:rsidR="007705A5" w:rsidRPr="007705A5">
        <w:rPr>
          <w:rFonts w:ascii="Times New Roman" w:hAnsi="Times New Roman" w:cs="Times New Roman"/>
          <w:sz w:val="24"/>
          <w:szCs w:val="24"/>
        </w:rPr>
        <w:t>utility.</w:t>
      </w:r>
      <w:r w:rsidR="007705A5" w:rsidRPr="007705A5">
        <w:rPr>
          <w:rStyle w:val="FootnoteReference"/>
          <w:rFonts w:ascii="Times New Roman" w:hAnsi="Times New Roman" w:cs="Times New Roman"/>
          <w:sz w:val="24"/>
          <w:szCs w:val="24"/>
        </w:rPr>
        <w:footnoteReference w:id="71"/>
      </w:r>
      <w:r w:rsidR="007705A5" w:rsidRPr="007705A5">
        <w:rPr>
          <w:rFonts w:ascii="Times New Roman" w:hAnsi="Times New Roman" w:cs="Times New Roman"/>
          <w:sz w:val="24"/>
          <w:szCs w:val="24"/>
        </w:rPr>
        <w:t xml:space="preserve">  </w:t>
      </w:r>
    </w:p>
    <w:p w:rsidR="007705A5" w:rsidRDefault="007705A5" w:rsidP="00091A23">
      <w:pPr>
        <w:ind w:firstLine="720"/>
        <w:rPr>
          <w:rFonts w:ascii="Times New Roman" w:hAnsi="Times New Roman" w:cs="Times New Roman"/>
          <w:sz w:val="24"/>
          <w:szCs w:val="24"/>
        </w:rPr>
      </w:pPr>
      <w:r w:rsidRPr="00BF7063">
        <w:rPr>
          <w:rFonts w:ascii="Times New Roman" w:hAnsi="Times New Roman" w:cs="Times New Roman"/>
          <w:sz w:val="24"/>
          <w:szCs w:val="24"/>
        </w:rPr>
        <w:t>Here the PUCO has no jurisdiction over the generation operations of Duke.  It is well settled that the generation component of electric service is not subject to PUCO regulation.</w:t>
      </w:r>
      <w:r w:rsidRPr="00BF7063">
        <w:rPr>
          <w:rStyle w:val="FootnoteReference"/>
          <w:rFonts w:ascii="Times New Roman" w:hAnsi="Times New Roman" w:cs="Times New Roman"/>
          <w:sz w:val="24"/>
          <w:szCs w:val="24"/>
        </w:rPr>
        <w:footnoteReference w:id="72"/>
      </w:r>
      <w:r w:rsidRPr="00BF7063">
        <w:rPr>
          <w:rFonts w:ascii="Times New Roman" w:hAnsi="Times New Roman" w:cs="Times New Roman"/>
          <w:sz w:val="24"/>
          <w:szCs w:val="24"/>
        </w:rPr>
        <w:t xml:space="preserve"> R.C. 4928.03 specifies that retail electric generation service is competitive and therefore not subject to commission regulation.  R.C. 4928.05 expressly removes competitive retail electric services from PUCO regulation.   </w:t>
      </w:r>
      <w:r w:rsidR="00BF7063" w:rsidRPr="00BF7063">
        <w:rPr>
          <w:rFonts w:ascii="Times New Roman" w:hAnsi="Times New Roman" w:cs="Times New Roman"/>
          <w:sz w:val="24"/>
          <w:szCs w:val="24"/>
        </w:rPr>
        <w:t xml:space="preserve">Instead under </w:t>
      </w:r>
      <w:r w:rsidRPr="00BF7063">
        <w:rPr>
          <w:rFonts w:ascii="Times New Roman" w:hAnsi="Times New Roman" w:cs="Times New Roman"/>
          <w:sz w:val="24"/>
          <w:szCs w:val="24"/>
        </w:rPr>
        <w:t>R</w:t>
      </w:r>
      <w:r w:rsidR="00BF7063">
        <w:rPr>
          <w:rFonts w:ascii="Times New Roman" w:hAnsi="Times New Roman" w:cs="Times New Roman"/>
          <w:sz w:val="24"/>
          <w:szCs w:val="24"/>
        </w:rPr>
        <w:t>.C.</w:t>
      </w:r>
      <w:r w:rsidRPr="00BF7063">
        <w:rPr>
          <w:rFonts w:ascii="Times New Roman" w:hAnsi="Times New Roman" w:cs="Times New Roman"/>
          <w:sz w:val="24"/>
          <w:szCs w:val="24"/>
        </w:rPr>
        <w:t xml:space="preserve"> 4928.14</w:t>
      </w:r>
      <w:r w:rsidR="00755121">
        <w:rPr>
          <w:rFonts w:ascii="Times New Roman" w:hAnsi="Times New Roman" w:cs="Times New Roman"/>
          <w:sz w:val="24"/>
          <w:szCs w:val="24"/>
        </w:rPr>
        <w:t>1</w:t>
      </w:r>
      <w:r w:rsidRPr="00BF7063">
        <w:rPr>
          <w:rFonts w:ascii="Times New Roman" w:hAnsi="Times New Roman" w:cs="Times New Roman"/>
          <w:sz w:val="24"/>
          <w:szCs w:val="24"/>
        </w:rPr>
        <w:t xml:space="preserve">(A) an EDU </w:t>
      </w:r>
      <w:r w:rsidR="00BF7063" w:rsidRPr="00BF7063">
        <w:rPr>
          <w:rFonts w:ascii="Times New Roman" w:hAnsi="Times New Roman" w:cs="Times New Roman"/>
          <w:sz w:val="24"/>
          <w:szCs w:val="24"/>
        </w:rPr>
        <w:t>must</w:t>
      </w:r>
      <w:r w:rsidRPr="00BF7063">
        <w:rPr>
          <w:rFonts w:ascii="Times New Roman" w:hAnsi="Times New Roman" w:cs="Times New Roman"/>
          <w:sz w:val="24"/>
          <w:szCs w:val="24"/>
        </w:rPr>
        <w:t xml:space="preserve"> provide a market-based standard service offer of all competitive retail electric services, including electric g</w:t>
      </w:r>
      <w:r w:rsidR="00BF7063" w:rsidRPr="00BF7063">
        <w:rPr>
          <w:rFonts w:ascii="Times New Roman" w:hAnsi="Times New Roman" w:cs="Times New Roman"/>
          <w:sz w:val="24"/>
          <w:szCs w:val="24"/>
        </w:rPr>
        <w:t xml:space="preserve">eneration </w:t>
      </w:r>
      <w:r w:rsidRPr="00BF7063">
        <w:rPr>
          <w:rFonts w:ascii="Times New Roman" w:hAnsi="Times New Roman" w:cs="Times New Roman"/>
          <w:sz w:val="24"/>
          <w:szCs w:val="24"/>
        </w:rPr>
        <w:t>ser</w:t>
      </w:r>
      <w:r w:rsidR="00BF7063" w:rsidRPr="00BF7063">
        <w:rPr>
          <w:rFonts w:ascii="Times New Roman" w:hAnsi="Times New Roman" w:cs="Times New Roman"/>
          <w:sz w:val="24"/>
          <w:szCs w:val="24"/>
        </w:rPr>
        <w:t xml:space="preserve">vice.  </w:t>
      </w:r>
      <w:r w:rsidRPr="00BF7063">
        <w:rPr>
          <w:rFonts w:ascii="Times New Roman" w:hAnsi="Times New Roman" w:cs="Times New Roman"/>
          <w:sz w:val="24"/>
          <w:szCs w:val="24"/>
        </w:rPr>
        <w:t xml:space="preserve"> </w:t>
      </w:r>
    </w:p>
    <w:p w:rsidR="00BF7063" w:rsidRDefault="00BF7063" w:rsidP="00091A23">
      <w:pPr>
        <w:ind w:firstLine="720"/>
        <w:rPr>
          <w:rFonts w:ascii="Times New Roman" w:hAnsi="Times New Roman" w:cs="Times New Roman"/>
          <w:sz w:val="24"/>
          <w:szCs w:val="24"/>
        </w:rPr>
      </w:pPr>
      <w:r>
        <w:rPr>
          <w:rFonts w:ascii="Times New Roman" w:hAnsi="Times New Roman" w:cs="Times New Roman"/>
          <w:sz w:val="24"/>
          <w:szCs w:val="24"/>
        </w:rPr>
        <w:t>But Duke (and the PUCO, th</w:t>
      </w:r>
      <w:r w:rsidR="00755121">
        <w:rPr>
          <w:rFonts w:ascii="Times New Roman" w:hAnsi="Times New Roman" w:cs="Times New Roman"/>
          <w:sz w:val="24"/>
          <w:szCs w:val="24"/>
        </w:rPr>
        <w:t>r</w:t>
      </w:r>
      <w:r>
        <w:rPr>
          <w:rFonts w:ascii="Times New Roman" w:hAnsi="Times New Roman" w:cs="Times New Roman"/>
          <w:sz w:val="24"/>
          <w:szCs w:val="24"/>
        </w:rPr>
        <w:t>ough the AEP Capacity Case Order) believe</w:t>
      </w:r>
      <w:r w:rsidR="00B35A4C">
        <w:rPr>
          <w:rFonts w:ascii="Times New Roman" w:hAnsi="Times New Roman" w:cs="Times New Roman"/>
          <w:sz w:val="24"/>
          <w:szCs w:val="24"/>
        </w:rPr>
        <w:t>s</w:t>
      </w:r>
      <w:r>
        <w:rPr>
          <w:rFonts w:ascii="Times New Roman" w:hAnsi="Times New Roman" w:cs="Times New Roman"/>
          <w:sz w:val="24"/>
          <w:szCs w:val="24"/>
        </w:rPr>
        <w:t xml:space="preserve"> that labeling FRR capacity service that a utility provides to unregulated </w:t>
      </w:r>
      <w:r w:rsidR="00047434">
        <w:rPr>
          <w:rFonts w:ascii="Times New Roman" w:hAnsi="Times New Roman" w:cs="Times New Roman"/>
          <w:sz w:val="24"/>
          <w:szCs w:val="24"/>
        </w:rPr>
        <w:t>marketers</w:t>
      </w:r>
      <w:r w:rsidR="0058204D">
        <w:rPr>
          <w:rFonts w:ascii="Times New Roman" w:hAnsi="Times New Roman" w:cs="Times New Roman"/>
          <w:sz w:val="24"/>
          <w:szCs w:val="24"/>
        </w:rPr>
        <w:t xml:space="preserve"> as</w:t>
      </w:r>
      <w:r>
        <w:rPr>
          <w:rFonts w:ascii="Times New Roman" w:hAnsi="Times New Roman" w:cs="Times New Roman"/>
          <w:sz w:val="24"/>
          <w:szCs w:val="24"/>
        </w:rPr>
        <w:t xml:space="preserve"> either </w:t>
      </w:r>
      <w:r>
        <w:rPr>
          <w:rFonts w:ascii="Times New Roman" w:hAnsi="Times New Roman" w:cs="Times New Roman"/>
          <w:sz w:val="24"/>
          <w:szCs w:val="24"/>
        </w:rPr>
        <w:lastRenderedPageBreak/>
        <w:t xml:space="preserve">“non-competitive” or “wholesale” permits the PUCO to regulate this portion of generation.  But both are wrong.  </w:t>
      </w:r>
    </w:p>
    <w:p w:rsidR="007705A5" w:rsidRPr="00420104" w:rsidRDefault="00BF7063" w:rsidP="00091A23">
      <w:pPr>
        <w:ind w:firstLine="720"/>
        <w:rPr>
          <w:rFonts w:ascii="Times New Roman" w:hAnsi="Times New Roman" w:cs="Times New Roman"/>
          <w:sz w:val="24"/>
          <w:szCs w:val="24"/>
        </w:rPr>
      </w:pPr>
      <w:r w:rsidRPr="00755121">
        <w:rPr>
          <w:rFonts w:ascii="Times New Roman" w:hAnsi="Times New Roman" w:cs="Times New Roman"/>
          <w:sz w:val="24"/>
          <w:szCs w:val="24"/>
        </w:rPr>
        <w:t>The Ohio Supreme Court</w:t>
      </w:r>
      <w:r w:rsidR="00420104">
        <w:rPr>
          <w:rFonts w:ascii="Times New Roman" w:hAnsi="Times New Roman" w:cs="Times New Roman"/>
          <w:sz w:val="24"/>
          <w:szCs w:val="24"/>
        </w:rPr>
        <w:t>’s</w:t>
      </w:r>
      <w:r w:rsidRPr="00755121">
        <w:rPr>
          <w:rFonts w:ascii="Times New Roman" w:hAnsi="Times New Roman" w:cs="Times New Roman"/>
          <w:sz w:val="24"/>
          <w:szCs w:val="24"/>
        </w:rPr>
        <w:t xml:space="preserve"> ruling </w:t>
      </w:r>
      <w:r w:rsidR="007705A5" w:rsidRPr="00755121">
        <w:rPr>
          <w:rFonts w:ascii="Times New Roman" w:hAnsi="Times New Roman" w:cs="Times New Roman"/>
          <w:sz w:val="24"/>
          <w:szCs w:val="24"/>
        </w:rPr>
        <w:t xml:space="preserve">in </w:t>
      </w:r>
      <w:r w:rsidR="007705A5" w:rsidRPr="00755121">
        <w:rPr>
          <w:rFonts w:ascii="Times New Roman" w:hAnsi="Times New Roman" w:cs="Times New Roman"/>
          <w:i/>
          <w:sz w:val="24"/>
          <w:szCs w:val="24"/>
        </w:rPr>
        <w:t>IEU v. P</w:t>
      </w:r>
      <w:r w:rsidR="00755121">
        <w:rPr>
          <w:rFonts w:ascii="Times New Roman" w:hAnsi="Times New Roman" w:cs="Times New Roman"/>
          <w:i/>
          <w:sz w:val="24"/>
          <w:szCs w:val="24"/>
        </w:rPr>
        <w:t>ub. Util. Comm.</w:t>
      </w:r>
      <w:r w:rsidRPr="00755121">
        <w:rPr>
          <w:rStyle w:val="FootnoteReference"/>
          <w:rFonts w:ascii="Times New Roman" w:hAnsi="Times New Roman" w:cs="Times New Roman"/>
          <w:sz w:val="24"/>
          <w:szCs w:val="24"/>
        </w:rPr>
        <w:footnoteReference w:id="73"/>
      </w:r>
      <w:r w:rsidR="007705A5" w:rsidRPr="00755121">
        <w:rPr>
          <w:rFonts w:ascii="Times New Roman" w:hAnsi="Times New Roman" w:cs="Times New Roman"/>
          <w:sz w:val="24"/>
          <w:szCs w:val="24"/>
        </w:rPr>
        <w:t xml:space="preserve"> </w:t>
      </w:r>
      <w:r w:rsidRPr="00755121">
        <w:rPr>
          <w:rFonts w:ascii="Times New Roman" w:hAnsi="Times New Roman" w:cs="Times New Roman"/>
          <w:sz w:val="24"/>
          <w:szCs w:val="24"/>
        </w:rPr>
        <w:t xml:space="preserve">underscores the importance of looking beyond the label given to a service, to consider instead the substance of the service.  </w:t>
      </w:r>
      <w:proofErr w:type="gramStart"/>
      <w:r w:rsidRPr="00755121">
        <w:rPr>
          <w:rFonts w:ascii="Times New Roman" w:hAnsi="Times New Roman" w:cs="Times New Roman"/>
          <w:sz w:val="24"/>
          <w:szCs w:val="24"/>
        </w:rPr>
        <w:t xml:space="preserve">In </w:t>
      </w:r>
      <w:r w:rsidRPr="00755121">
        <w:rPr>
          <w:rFonts w:ascii="Times New Roman" w:hAnsi="Times New Roman" w:cs="Times New Roman"/>
          <w:i/>
          <w:sz w:val="24"/>
          <w:szCs w:val="24"/>
        </w:rPr>
        <w:t>IEU v. P</w:t>
      </w:r>
      <w:r w:rsidR="00755121">
        <w:rPr>
          <w:rFonts w:ascii="Times New Roman" w:hAnsi="Times New Roman" w:cs="Times New Roman"/>
          <w:i/>
          <w:sz w:val="24"/>
          <w:szCs w:val="24"/>
        </w:rPr>
        <w:t>ub.</w:t>
      </w:r>
      <w:proofErr w:type="gramEnd"/>
      <w:r w:rsidR="00755121">
        <w:rPr>
          <w:rFonts w:ascii="Times New Roman" w:hAnsi="Times New Roman" w:cs="Times New Roman"/>
          <w:i/>
          <w:sz w:val="24"/>
          <w:szCs w:val="24"/>
        </w:rPr>
        <w:t xml:space="preserve"> Util.</w:t>
      </w:r>
      <w:r w:rsidR="00755121" w:rsidRPr="00755121">
        <w:rPr>
          <w:rFonts w:ascii="Times New Roman" w:hAnsi="Times New Roman" w:cs="Times New Roman"/>
          <w:i/>
          <w:sz w:val="24"/>
          <w:szCs w:val="24"/>
        </w:rPr>
        <w:t xml:space="preserve"> Comm.</w:t>
      </w:r>
      <w:r w:rsidR="00755121">
        <w:rPr>
          <w:rFonts w:ascii="Times New Roman" w:hAnsi="Times New Roman" w:cs="Times New Roman"/>
          <w:sz w:val="24"/>
          <w:szCs w:val="24"/>
        </w:rPr>
        <w:t xml:space="preserve">, </w:t>
      </w:r>
      <w:r w:rsidR="00110718" w:rsidRPr="00755121">
        <w:rPr>
          <w:rFonts w:ascii="Times New Roman" w:hAnsi="Times New Roman" w:cs="Times New Roman"/>
          <w:sz w:val="24"/>
          <w:szCs w:val="24"/>
        </w:rPr>
        <w:t>the Court determined that characterizing ancillary service as a distribution service and not generation service is unlawful and “</w:t>
      </w:r>
      <w:r w:rsidR="007705A5" w:rsidRPr="00755121">
        <w:rPr>
          <w:rFonts w:ascii="Times New Roman" w:hAnsi="Times New Roman" w:cs="Times New Roman"/>
          <w:sz w:val="24"/>
          <w:szCs w:val="24"/>
        </w:rPr>
        <w:t>blurs the legislative</w:t>
      </w:r>
      <w:r w:rsidR="007705A5" w:rsidRPr="00755121">
        <w:rPr>
          <w:rFonts w:ascii="Times New Roman" w:hAnsi="Times New Roman" w:cs="Times New Roman"/>
          <w:i/>
          <w:sz w:val="24"/>
          <w:szCs w:val="24"/>
        </w:rPr>
        <w:t xml:space="preserve"> </w:t>
      </w:r>
      <w:r w:rsidR="007705A5" w:rsidRPr="00755121">
        <w:rPr>
          <w:rFonts w:ascii="Times New Roman" w:hAnsi="Times New Roman" w:cs="Times New Roman"/>
          <w:sz w:val="24"/>
          <w:szCs w:val="24"/>
        </w:rPr>
        <w:t>distinctions between electric transmission, generation,</w:t>
      </w:r>
      <w:r w:rsidR="007705A5" w:rsidRPr="00755121">
        <w:rPr>
          <w:rFonts w:ascii="Times New Roman" w:hAnsi="Times New Roman" w:cs="Times New Roman"/>
          <w:i/>
          <w:sz w:val="24"/>
          <w:szCs w:val="24"/>
        </w:rPr>
        <w:t xml:space="preserve"> </w:t>
      </w:r>
      <w:r w:rsidR="007705A5" w:rsidRPr="00755121">
        <w:rPr>
          <w:rFonts w:ascii="Times New Roman" w:hAnsi="Times New Roman" w:cs="Times New Roman"/>
          <w:sz w:val="24"/>
          <w:szCs w:val="24"/>
        </w:rPr>
        <w:t>and distribution</w:t>
      </w:r>
      <w:r w:rsidR="00110718" w:rsidRPr="00755121">
        <w:rPr>
          <w:rFonts w:ascii="Times New Roman" w:hAnsi="Times New Roman" w:cs="Times New Roman"/>
          <w:sz w:val="24"/>
          <w:szCs w:val="24"/>
        </w:rPr>
        <w:t>.”</w:t>
      </w:r>
      <w:r w:rsidR="00110718" w:rsidRPr="00755121">
        <w:rPr>
          <w:rStyle w:val="FootnoteReference"/>
          <w:rFonts w:ascii="Times New Roman" w:hAnsi="Times New Roman" w:cs="Times New Roman"/>
          <w:sz w:val="24"/>
          <w:szCs w:val="24"/>
        </w:rPr>
        <w:footnoteReference w:id="74"/>
      </w:r>
      <w:r w:rsidR="00110718" w:rsidRPr="00755121">
        <w:rPr>
          <w:rFonts w:ascii="Times New Roman" w:hAnsi="Times New Roman" w:cs="Times New Roman"/>
          <w:sz w:val="24"/>
          <w:szCs w:val="24"/>
        </w:rPr>
        <w:t xml:space="preserve">  </w:t>
      </w:r>
      <w:r w:rsidR="007705A5" w:rsidRPr="00755121">
        <w:rPr>
          <w:rFonts w:ascii="Times New Roman" w:hAnsi="Times New Roman" w:cs="Times New Roman"/>
          <w:sz w:val="24"/>
          <w:szCs w:val="24"/>
        </w:rPr>
        <w:t xml:space="preserve"> </w:t>
      </w:r>
      <w:r w:rsidR="00420104" w:rsidRPr="00420104">
        <w:rPr>
          <w:rFonts w:ascii="Times New Roman" w:hAnsi="Times New Roman" w:cs="Times New Roman"/>
          <w:sz w:val="24"/>
          <w:szCs w:val="24"/>
        </w:rPr>
        <w:t>The Court concluded that, if</w:t>
      </w:r>
      <w:r w:rsidR="00110718" w:rsidRPr="00420104">
        <w:rPr>
          <w:rFonts w:ascii="Times New Roman" w:hAnsi="Times New Roman" w:cs="Times New Roman"/>
          <w:sz w:val="24"/>
          <w:szCs w:val="24"/>
        </w:rPr>
        <w:t xml:space="preserve"> the PUCO approach were </w:t>
      </w:r>
      <w:r w:rsidR="00420104" w:rsidRPr="00420104">
        <w:rPr>
          <w:rFonts w:ascii="Times New Roman" w:hAnsi="Times New Roman" w:cs="Times New Roman"/>
          <w:sz w:val="24"/>
          <w:szCs w:val="24"/>
        </w:rPr>
        <w:t>upheld</w:t>
      </w:r>
      <w:r w:rsidR="00110718" w:rsidRPr="00420104">
        <w:rPr>
          <w:rFonts w:ascii="Times New Roman" w:hAnsi="Times New Roman" w:cs="Times New Roman"/>
          <w:sz w:val="24"/>
          <w:szCs w:val="24"/>
        </w:rPr>
        <w:t xml:space="preserve">, the three </w:t>
      </w:r>
      <w:r w:rsidR="007705A5" w:rsidRPr="00420104">
        <w:rPr>
          <w:rFonts w:ascii="Times New Roman" w:hAnsi="Times New Roman" w:cs="Times New Roman"/>
          <w:sz w:val="24"/>
          <w:szCs w:val="24"/>
        </w:rPr>
        <w:t xml:space="preserve">functions </w:t>
      </w:r>
      <w:r w:rsidR="00110718" w:rsidRPr="00420104">
        <w:rPr>
          <w:rFonts w:ascii="Times New Roman" w:hAnsi="Times New Roman" w:cs="Times New Roman"/>
          <w:sz w:val="24"/>
          <w:szCs w:val="24"/>
        </w:rPr>
        <w:t>of electricity service would be subj</w:t>
      </w:r>
      <w:r w:rsidR="007705A5" w:rsidRPr="00420104">
        <w:rPr>
          <w:rFonts w:ascii="Times New Roman" w:hAnsi="Times New Roman" w:cs="Times New Roman"/>
          <w:sz w:val="24"/>
          <w:szCs w:val="24"/>
        </w:rPr>
        <w:t>ect to commission regulation</w:t>
      </w:r>
      <w:r w:rsidR="00110718" w:rsidRPr="00420104">
        <w:rPr>
          <w:rFonts w:ascii="Times New Roman" w:hAnsi="Times New Roman" w:cs="Times New Roman"/>
          <w:sz w:val="24"/>
          <w:szCs w:val="24"/>
        </w:rPr>
        <w:t xml:space="preserve">, </w:t>
      </w:r>
      <w:r w:rsidR="007705A5" w:rsidRPr="00420104">
        <w:rPr>
          <w:rFonts w:ascii="Times New Roman" w:hAnsi="Times New Roman" w:cs="Times New Roman"/>
          <w:sz w:val="24"/>
          <w:szCs w:val="24"/>
        </w:rPr>
        <w:t>negat</w:t>
      </w:r>
      <w:r w:rsidR="00110718" w:rsidRPr="00420104">
        <w:rPr>
          <w:rFonts w:ascii="Times New Roman" w:hAnsi="Times New Roman" w:cs="Times New Roman"/>
          <w:sz w:val="24"/>
          <w:szCs w:val="24"/>
        </w:rPr>
        <w:t xml:space="preserve">ing </w:t>
      </w:r>
      <w:r w:rsidR="007705A5" w:rsidRPr="00420104">
        <w:rPr>
          <w:rFonts w:ascii="Times New Roman" w:hAnsi="Times New Roman" w:cs="Times New Roman"/>
          <w:sz w:val="24"/>
          <w:szCs w:val="24"/>
        </w:rPr>
        <w:t>the</w:t>
      </w:r>
      <w:r w:rsidR="00110718" w:rsidRPr="00420104">
        <w:rPr>
          <w:rFonts w:ascii="Times New Roman" w:hAnsi="Times New Roman" w:cs="Times New Roman"/>
          <w:sz w:val="24"/>
          <w:szCs w:val="24"/>
        </w:rPr>
        <w:t xml:space="preserve"> General Assembly’s</w:t>
      </w:r>
      <w:r w:rsidR="007705A5" w:rsidRPr="00420104">
        <w:rPr>
          <w:rFonts w:ascii="Times New Roman" w:hAnsi="Times New Roman" w:cs="Times New Roman"/>
          <w:sz w:val="24"/>
          <w:szCs w:val="24"/>
        </w:rPr>
        <w:t xml:space="preserve"> deregulation of the electric-utility industry.  </w:t>
      </w:r>
      <w:r w:rsidR="00110718" w:rsidRPr="00420104">
        <w:rPr>
          <w:rFonts w:ascii="Times New Roman" w:hAnsi="Times New Roman" w:cs="Times New Roman"/>
          <w:sz w:val="24"/>
          <w:szCs w:val="24"/>
        </w:rPr>
        <w:t>The Court judiciously noted that while it</w:t>
      </w:r>
      <w:r w:rsidR="007705A5" w:rsidRPr="00420104">
        <w:rPr>
          <w:rFonts w:ascii="Times New Roman" w:hAnsi="Times New Roman" w:cs="Times New Roman"/>
          <w:sz w:val="24"/>
          <w:szCs w:val="24"/>
        </w:rPr>
        <w:t xml:space="preserve"> appreciate</w:t>
      </w:r>
      <w:r w:rsidR="00110718" w:rsidRPr="00420104">
        <w:rPr>
          <w:rFonts w:ascii="Times New Roman" w:hAnsi="Times New Roman" w:cs="Times New Roman"/>
          <w:sz w:val="24"/>
          <w:szCs w:val="24"/>
        </w:rPr>
        <w:t xml:space="preserve">d </w:t>
      </w:r>
      <w:r w:rsidR="007705A5" w:rsidRPr="00420104">
        <w:rPr>
          <w:rFonts w:ascii="Times New Roman" w:hAnsi="Times New Roman" w:cs="Times New Roman"/>
          <w:sz w:val="24"/>
          <w:szCs w:val="24"/>
        </w:rPr>
        <w:t>the PUCO</w:t>
      </w:r>
      <w:r w:rsidR="00420104" w:rsidRPr="00420104">
        <w:rPr>
          <w:rFonts w:ascii="Times New Roman" w:hAnsi="Times New Roman" w:cs="Times New Roman"/>
          <w:sz w:val="24"/>
          <w:szCs w:val="24"/>
        </w:rPr>
        <w:t>’s</w:t>
      </w:r>
      <w:r w:rsidR="007705A5" w:rsidRPr="00420104">
        <w:rPr>
          <w:rFonts w:ascii="Times New Roman" w:hAnsi="Times New Roman" w:cs="Times New Roman"/>
          <w:sz w:val="24"/>
          <w:szCs w:val="24"/>
        </w:rPr>
        <w:t xml:space="preserve"> concern with respect to the future reliability of the electric generation market, </w:t>
      </w:r>
      <w:r w:rsidR="00110718" w:rsidRPr="00420104">
        <w:rPr>
          <w:rFonts w:ascii="Times New Roman" w:hAnsi="Times New Roman" w:cs="Times New Roman"/>
          <w:sz w:val="24"/>
          <w:szCs w:val="24"/>
        </w:rPr>
        <w:t>“</w:t>
      </w:r>
      <w:r w:rsidR="007705A5" w:rsidRPr="00420104">
        <w:rPr>
          <w:rFonts w:ascii="Times New Roman" w:hAnsi="Times New Roman" w:cs="Times New Roman"/>
          <w:sz w:val="24"/>
          <w:szCs w:val="24"/>
        </w:rPr>
        <w:t>a concern for the future of the competitive market does not empower the commission to create remedies beyond the parameters of the law.</w:t>
      </w:r>
      <w:r w:rsidR="0088264C">
        <w:rPr>
          <w:rFonts w:ascii="Times New Roman" w:hAnsi="Times New Roman" w:cs="Times New Roman"/>
          <w:sz w:val="24"/>
          <w:szCs w:val="24"/>
        </w:rPr>
        <w:t>”</w:t>
      </w:r>
      <w:r w:rsidR="00110718" w:rsidRPr="00420104">
        <w:rPr>
          <w:rStyle w:val="FootnoteReference"/>
          <w:rFonts w:ascii="Times New Roman" w:hAnsi="Times New Roman" w:cs="Times New Roman"/>
          <w:sz w:val="24"/>
          <w:szCs w:val="24"/>
        </w:rPr>
        <w:footnoteReference w:id="75"/>
      </w:r>
      <w:r w:rsidR="007705A5" w:rsidRPr="00420104">
        <w:rPr>
          <w:rFonts w:ascii="Times New Roman" w:hAnsi="Times New Roman" w:cs="Times New Roman"/>
          <w:sz w:val="24"/>
          <w:szCs w:val="24"/>
        </w:rPr>
        <w:t xml:space="preserve"> </w:t>
      </w:r>
    </w:p>
    <w:p w:rsidR="007705A5" w:rsidRPr="00420104" w:rsidRDefault="00110718" w:rsidP="00110718">
      <w:pPr>
        <w:rPr>
          <w:rFonts w:ascii="Times New Roman" w:hAnsi="Times New Roman" w:cs="Times New Roman"/>
          <w:sz w:val="24"/>
          <w:szCs w:val="24"/>
        </w:rPr>
      </w:pPr>
      <w:r w:rsidRPr="00420104">
        <w:rPr>
          <w:rFonts w:ascii="Times New Roman" w:hAnsi="Times New Roman" w:cs="Times New Roman"/>
          <w:i/>
          <w:sz w:val="24"/>
          <w:szCs w:val="24"/>
        </w:rPr>
        <w:tab/>
      </w:r>
      <w:r w:rsidR="00420104" w:rsidRPr="00420104">
        <w:rPr>
          <w:rFonts w:ascii="Times New Roman" w:hAnsi="Times New Roman" w:cs="Times New Roman"/>
          <w:sz w:val="24"/>
          <w:szCs w:val="24"/>
        </w:rPr>
        <w:t xml:space="preserve">But here Duke is seeking remedies beyond the parameters of the law.  </w:t>
      </w:r>
      <w:r w:rsidR="00420104">
        <w:rPr>
          <w:rFonts w:ascii="Times New Roman" w:hAnsi="Times New Roman" w:cs="Times New Roman"/>
          <w:sz w:val="24"/>
          <w:szCs w:val="24"/>
        </w:rPr>
        <w:t>Duke wants to characterize a component of generation as “wholesale” and “non-competitive” in order receive regulatory protection for what has been deregulated.  T</w:t>
      </w:r>
      <w:r w:rsidRPr="00420104">
        <w:rPr>
          <w:rFonts w:ascii="Times New Roman" w:hAnsi="Times New Roman" w:cs="Times New Roman"/>
          <w:sz w:val="24"/>
          <w:szCs w:val="24"/>
        </w:rPr>
        <w:t xml:space="preserve">he labels Duke (and the </w:t>
      </w:r>
      <w:r w:rsidR="00420104">
        <w:rPr>
          <w:rFonts w:ascii="Times New Roman" w:hAnsi="Times New Roman" w:cs="Times New Roman"/>
          <w:sz w:val="24"/>
          <w:szCs w:val="24"/>
        </w:rPr>
        <w:t>P</w:t>
      </w:r>
      <w:r w:rsidRPr="00420104">
        <w:rPr>
          <w:rFonts w:ascii="Times New Roman" w:hAnsi="Times New Roman" w:cs="Times New Roman"/>
          <w:sz w:val="24"/>
          <w:szCs w:val="24"/>
        </w:rPr>
        <w:t>UCO) seek</w:t>
      </w:r>
      <w:r w:rsidR="005032AA">
        <w:rPr>
          <w:rFonts w:ascii="Times New Roman" w:hAnsi="Times New Roman" w:cs="Times New Roman"/>
          <w:sz w:val="24"/>
          <w:szCs w:val="24"/>
        </w:rPr>
        <w:t>s</w:t>
      </w:r>
      <w:r w:rsidRPr="00420104">
        <w:rPr>
          <w:rFonts w:ascii="Times New Roman" w:hAnsi="Times New Roman" w:cs="Times New Roman"/>
          <w:sz w:val="24"/>
          <w:szCs w:val="24"/>
        </w:rPr>
        <w:t xml:space="preserve"> to apply to an inherent part of generation service (whether “retail” or “wholesale”) should be set aside.  Instead the question should be what is the true nature of the </w:t>
      </w:r>
      <w:r w:rsidR="00B87614">
        <w:rPr>
          <w:rFonts w:ascii="Times New Roman" w:hAnsi="Times New Roman" w:cs="Times New Roman"/>
          <w:sz w:val="24"/>
          <w:szCs w:val="24"/>
        </w:rPr>
        <w:t xml:space="preserve">electric </w:t>
      </w:r>
      <w:r w:rsidRPr="00420104">
        <w:rPr>
          <w:rFonts w:ascii="Times New Roman" w:hAnsi="Times New Roman" w:cs="Times New Roman"/>
          <w:sz w:val="24"/>
          <w:szCs w:val="24"/>
        </w:rPr>
        <w:t xml:space="preserve">service being provided?  </w:t>
      </w:r>
    </w:p>
    <w:p w:rsidR="007705A5" w:rsidRPr="00420104" w:rsidRDefault="00420104" w:rsidP="0042010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“Retail electric service” </w:t>
      </w:r>
      <w:r w:rsidR="00B87614">
        <w:rPr>
          <w:rFonts w:ascii="Times New Roman" w:hAnsi="Times New Roman" w:cs="Times New Roman"/>
          <w:sz w:val="24"/>
          <w:szCs w:val="24"/>
        </w:rPr>
        <w:t>is defined very broadly under</w:t>
      </w:r>
      <w:r>
        <w:rPr>
          <w:rFonts w:ascii="Times New Roman" w:hAnsi="Times New Roman" w:cs="Times New Roman"/>
          <w:sz w:val="24"/>
          <w:szCs w:val="24"/>
        </w:rPr>
        <w:t xml:space="preserve"> R.C. 4928.01(A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27)</w:t>
      </w:r>
      <w:r w:rsidR="00B87614">
        <w:rPr>
          <w:rFonts w:ascii="Times New Roman" w:hAnsi="Times New Roman" w:cs="Times New Roman"/>
          <w:sz w:val="24"/>
          <w:szCs w:val="24"/>
        </w:rPr>
        <w:t xml:space="preserve">.  It is “any service involved in supplying or arranging for the supply of electricity to ultimate consumers in this state, from the point of generation to the point of consumption.”  Under this definition even though capacity is sold on a wholesale basis to </w:t>
      </w:r>
      <w:r w:rsidR="00047434">
        <w:rPr>
          <w:rFonts w:ascii="Times New Roman" w:hAnsi="Times New Roman" w:cs="Times New Roman"/>
          <w:sz w:val="24"/>
          <w:szCs w:val="24"/>
        </w:rPr>
        <w:t>marketers</w:t>
      </w:r>
      <w:r w:rsidR="00B87614">
        <w:rPr>
          <w:rFonts w:ascii="Times New Roman" w:hAnsi="Times New Roman" w:cs="Times New Roman"/>
          <w:sz w:val="24"/>
          <w:szCs w:val="24"/>
        </w:rPr>
        <w:t xml:space="preserve"> and auction winners, that capacity service is</w:t>
      </w:r>
      <w:r w:rsidR="00AB5243">
        <w:rPr>
          <w:rFonts w:ascii="Times New Roman" w:hAnsi="Times New Roman" w:cs="Times New Roman"/>
          <w:sz w:val="24"/>
          <w:szCs w:val="24"/>
        </w:rPr>
        <w:t xml:space="preserve"> then sold to shopping and non-shopping customers in this state.  Although customers may be one step removed from the transaction, nonetheless the capacity service is a service “involved in” supplying or arranging for the supply of electricity.  As such, the PUCO’s authority with respect to generation service is limited to authorizing ret</w:t>
      </w:r>
      <w:r w:rsidR="00E15C9C">
        <w:rPr>
          <w:rFonts w:ascii="Times New Roman" w:hAnsi="Times New Roman" w:cs="Times New Roman"/>
          <w:sz w:val="24"/>
          <w:szCs w:val="24"/>
        </w:rPr>
        <w:t>ail</w:t>
      </w:r>
      <w:r w:rsidR="00AB5243">
        <w:rPr>
          <w:rFonts w:ascii="Times New Roman" w:hAnsi="Times New Roman" w:cs="Times New Roman"/>
          <w:sz w:val="24"/>
          <w:szCs w:val="24"/>
        </w:rPr>
        <w:t xml:space="preserve"> SSO rates that are established in conformity with R.C. 4928.141 to 4928.144.  </w:t>
      </w:r>
    </w:p>
    <w:p w:rsidR="00303AB0" w:rsidRPr="00303AB0" w:rsidRDefault="007705A5" w:rsidP="00091A2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15C9C">
        <w:rPr>
          <w:rFonts w:ascii="Times New Roman" w:hAnsi="Times New Roman" w:cs="Times New Roman"/>
          <w:sz w:val="24"/>
          <w:szCs w:val="24"/>
        </w:rPr>
        <w:t xml:space="preserve">Even if Duke (and the PUCO) </w:t>
      </w:r>
      <w:r w:rsidR="005032AA">
        <w:rPr>
          <w:rFonts w:ascii="Times New Roman" w:hAnsi="Times New Roman" w:cs="Times New Roman"/>
          <w:sz w:val="24"/>
          <w:szCs w:val="24"/>
        </w:rPr>
        <w:t>is</w:t>
      </w:r>
      <w:r w:rsidR="00E15C9C">
        <w:rPr>
          <w:rFonts w:ascii="Times New Roman" w:hAnsi="Times New Roman" w:cs="Times New Roman"/>
          <w:sz w:val="24"/>
          <w:szCs w:val="24"/>
        </w:rPr>
        <w:t xml:space="preserve"> correct in arguing that Chapter 4928 does not apply to “wholesale” electric service, there is no simple default to Title 49 regulation.  Why?  Because </w:t>
      </w:r>
      <w:r w:rsidRPr="007705A5">
        <w:rPr>
          <w:rFonts w:ascii="Times New Roman" w:hAnsi="Times New Roman" w:cs="Times New Roman"/>
          <w:sz w:val="24"/>
          <w:szCs w:val="24"/>
        </w:rPr>
        <w:t>there is no</w:t>
      </w:r>
      <w:r w:rsidR="00303AB0" w:rsidRPr="007705A5">
        <w:rPr>
          <w:rFonts w:ascii="Times New Roman" w:hAnsi="Times New Roman" w:cs="Times New Roman"/>
          <w:sz w:val="24"/>
          <w:szCs w:val="24"/>
        </w:rPr>
        <w:t xml:space="preserve"> provision o</w:t>
      </w:r>
      <w:r w:rsidR="00303AB0" w:rsidRPr="00303AB0">
        <w:rPr>
          <w:rFonts w:ascii="Times New Roman" w:hAnsi="Times New Roman" w:cs="Times New Roman"/>
          <w:sz w:val="24"/>
          <w:szCs w:val="24"/>
        </w:rPr>
        <w:t xml:space="preserve">f Title 49 </w:t>
      </w:r>
      <w:r w:rsidR="00E15C9C">
        <w:rPr>
          <w:rFonts w:ascii="Times New Roman" w:hAnsi="Times New Roman" w:cs="Times New Roman"/>
          <w:sz w:val="24"/>
          <w:szCs w:val="24"/>
        </w:rPr>
        <w:t xml:space="preserve">that </w:t>
      </w:r>
      <w:r w:rsidR="00303AB0" w:rsidRPr="00303AB0">
        <w:rPr>
          <w:rFonts w:ascii="Times New Roman" w:hAnsi="Times New Roman" w:cs="Times New Roman"/>
          <w:sz w:val="24"/>
          <w:szCs w:val="24"/>
        </w:rPr>
        <w:t xml:space="preserve">authorizes the PUCO to establish wholesale prices </w:t>
      </w:r>
      <w:r w:rsidR="00303AB0">
        <w:rPr>
          <w:rFonts w:ascii="Times New Roman" w:hAnsi="Times New Roman" w:cs="Times New Roman"/>
          <w:sz w:val="24"/>
          <w:szCs w:val="24"/>
        </w:rPr>
        <w:t xml:space="preserve">for a </w:t>
      </w:r>
      <w:r w:rsidR="00303AB0" w:rsidRPr="00303AB0">
        <w:rPr>
          <w:rFonts w:ascii="Times New Roman" w:hAnsi="Times New Roman" w:cs="Times New Roman"/>
          <w:sz w:val="24"/>
          <w:szCs w:val="24"/>
        </w:rPr>
        <w:t xml:space="preserve">utility’s provision of capacity that </w:t>
      </w:r>
      <w:r w:rsidR="00047434">
        <w:rPr>
          <w:rFonts w:ascii="Times New Roman" w:hAnsi="Times New Roman" w:cs="Times New Roman"/>
          <w:sz w:val="24"/>
          <w:szCs w:val="24"/>
        </w:rPr>
        <w:t>marketers</w:t>
      </w:r>
      <w:r w:rsidR="00303AB0" w:rsidRPr="00303AB0">
        <w:rPr>
          <w:rFonts w:ascii="Times New Roman" w:hAnsi="Times New Roman" w:cs="Times New Roman"/>
          <w:sz w:val="24"/>
          <w:szCs w:val="24"/>
        </w:rPr>
        <w:t xml:space="preserve"> require to serve their retail electric generation service customers.  </w:t>
      </w:r>
      <w:r w:rsidR="00E15C9C">
        <w:rPr>
          <w:rFonts w:ascii="Times New Roman" w:hAnsi="Times New Roman" w:cs="Times New Roman"/>
          <w:sz w:val="24"/>
          <w:szCs w:val="24"/>
        </w:rPr>
        <w:t>As discussed supra, a</w:t>
      </w:r>
      <w:r w:rsidR="00303AB0" w:rsidRPr="00303AB0">
        <w:rPr>
          <w:rFonts w:ascii="Times New Roman" w:hAnsi="Times New Roman" w:cs="Times New Roman"/>
          <w:sz w:val="24"/>
          <w:szCs w:val="24"/>
        </w:rPr>
        <w:t xml:space="preserve"> general concern for retail competition</w:t>
      </w:r>
      <w:r w:rsidR="00303AB0">
        <w:rPr>
          <w:rFonts w:ascii="Times New Roman" w:hAnsi="Times New Roman" w:cs="Times New Roman"/>
          <w:sz w:val="24"/>
          <w:szCs w:val="24"/>
        </w:rPr>
        <w:t xml:space="preserve"> </w:t>
      </w:r>
      <w:r w:rsidR="00303AB0" w:rsidRPr="00303AB0">
        <w:rPr>
          <w:rFonts w:ascii="Times New Roman" w:hAnsi="Times New Roman" w:cs="Times New Roman"/>
          <w:sz w:val="24"/>
          <w:szCs w:val="24"/>
        </w:rPr>
        <w:t xml:space="preserve">(as expressed in the AEP Capacity Case Order) does not empower the PUCO to create remedies beyond the parameters of the law.  </w:t>
      </w:r>
      <w:r w:rsidR="00303AB0" w:rsidRPr="00303AB0">
        <w:rPr>
          <w:rFonts w:ascii="Times New Roman" w:hAnsi="Times New Roman" w:cs="Times New Roman"/>
          <w:i/>
          <w:sz w:val="24"/>
          <w:szCs w:val="24"/>
        </w:rPr>
        <w:t>IEU v. P</w:t>
      </w:r>
      <w:r w:rsidR="009B09A5">
        <w:rPr>
          <w:rFonts w:ascii="Times New Roman" w:hAnsi="Times New Roman" w:cs="Times New Roman"/>
          <w:i/>
          <w:sz w:val="24"/>
          <w:szCs w:val="24"/>
        </w:rPr>
        <w:t>ub., Util. Comm.,</w:t>
      </w:r>
      <w:r w:rsidR="00303AB0" w:rsidRPr="00303AB0">
        <w:rPr>
          <w:rFonts w:ascii="Times New Roman" w:hAnsi="Times New Roman" w:cs="Times New Roman"/>
          <w:sz w:val="24"/>
          <w:szCs w:val="24"/>
        </w:rPr>
        <w:t xml:space="preserve"> </w:t>
      </w:r>
      <w:proofErr w:type="gramStart"/>
      <w:r w:rsidR="00303AB0" w:rsidRPr="00303AB0">
        <w:rPr>
          <w:rFonts w:ascii="Times New Roman" w:hAnsi="Times New Roman" w:cs="Times New Roman"/>
          <w:sz w:val="24"/>
          <w:szCs w:val="24"/>
        </w:rPr>
        <w:t xml:space="preserve">117 Ohio </w:t>
      </w:r>
      <w:r w:rsidR="009B09A5">
        <w:rPr>
          <w:rFonts w:ascii="Times New Roman" w:hAnsi="Times New Roman" w:cs="Times New Roman"/>
          <w:sz w:val="24"/>
          <w:szCs w:val="24"/>
        </w:rPr>
        <w:t>S</w:t>
      </w:r>
      <w:r w:rsidR="00303AB0" w:rsidRPr="00303AB0">
        <w:rPr>
          <w:rFonts w:ascii="Times New Roman" w:hAnsi="Times New Roman" w:cs="Times New Roman"/>
          <w:sz w:val="24"/>
          <w:szCs w:val="24"/>
        </w:rPr>
        <w:t>t.3d</w:t>
      </w:r>
      <w:r w:rsidR="00EE2B03">
        <w:rPr>
          <w:rFonts w:ascii="Times New Roman" w:hAnsi="Times New Roman" w:cs="Times New Roman"/>
          <w:sz w:val="24"/>
          <w:szCs w:val="24"/>
        </w:rPr>
        <w:t xml:space="preserve"> </w:t>
      </w:r>
      <w:r w:rsidR="00303AB0" w:rsidRPr="00303AB0">
        <w:rPr>
          <w:rFonts w:ascii="Times New Roman" w:hAnsi="Times New Roman" w:cs="Times New Roman"/>
          <w:sz w:val="24"/>
          <w:szCs w:val="24"/>
        </w:rPr>
        <w:t>486, 491</w:t>
      </w:r>
      <w:proofErr w:type="gramEnd"/>
      <w:r w:rsidR="00303AB0" w:rsidRPr="00303AB0">
        <w:rPr>
          <w:rFonts w:ascii="Times New Roman" w:hAnsi="Times New Roman" w:cs="Times New Roman"/>
          <w:sz w:val="24"/>
          <w:szCs w:val="24"/>
        </w:rPr>
        <w:t xml:space="preserve">.  Even if the FERC delegated authority to the PUCO to establish wholesale capacity charges, it nonetheless must have the </w:t>
      </w:r>
      <w:r w:rsidR="00303AB0">
        <w:rPr>
          <w:rFonts w:ascii="Times New Roman" w:hAnsi="Times New Roman" w:cs="Times New Roman"/>
          <w:sz w:val="24"/>
          <w:szCs w:val="24"/>
        </w:rPr>
        <w:t xml:space="preserve">independent </w:t>
      </w:r>
      <w:r w:rsidR="00303AB0" w:rsidRPr="00303AB0">
        <w:rPr>
          <w:rFonts w:ascii="Times New Roman" w:hAnsi="Times New Roman" w:cs="Times New Roman"/>
          <w:sz w:val="24"/>
          <w:szCs w:val="24"/>
        </w:rPr>
        <w:t>statutory authority to do so.  But it does not</w:t>
      </w:r>
      <w:r w:rsidR="00303AB0">
        <w:rPr>
          <w:rFonts w:ascii="Times New Roman" w:hAnsi="Times New Roman" w:cs="Times New Roman"/>
          <w:sz w:val="24"/>
          <w:szCs w:val="24"/>
        </w:rPr>
        <w:t>.  The</w:t>
      </w:r>
      <w:r w:rsidR="00303AB0" w:rsidRPr="00303AB0">
        <w:rPr>
          <w:rFonts w:ascii="Times New Roman" w:hAnsi="Times New Roman" w:cs="Times New Roman"/>
          <w:sz w:val="24"/>
          <w:szCs w:val="24"/>
        </w:rPr>
        <w:t xml:space="preserve"> PUCO is without subject matter jurisdiction under Ohio law to establish wholesale capacity charges levie</w:t>
      </w:r>
      <w:r w:rsidR="00303AB0">
        <w:rPr>
          <w:rFonts w:ascii="Times New Roman" w:hAnsi="Times New Roman" w:cs="Times New Roman"/>
          <w:sz w:val="24"/>
          <w:szCs w:val="24"/>
        </w:rPr>
        <w:t>d</w:t>
      </w:r>
      <w:r w:rsidR="00303AB0" w:rsidRPr="00303AB0">
        <w:rPr>
          <w:rFonts w:ascii="Times New Roman" w:hAnsi="Times New Roman" w:cs="Times New Roman"/>
          <w:sz w:val="24"/>
          <w:szCs w:val="24"/>
        </w:rPr>
        <w:t xml:space="preserve"> by a public utility on unregulated </w:t>
      </w:r>
      <w:r w:rsidR="00047434">
        <w:rPr>
          <w:rFonts w:ascii="Times New Roman" w:hAnsi="Times New Roman" w:cs="Times New Roman"/>
          <w:sz w:val="24"/>
          <w:szCs w:val="24"/>
        </w:rPr>
        <w:t>marketers</w:t>
      </w:r>
      <w:r w:rsidR="00303AB0">
        <w:rPr>
          <w:rFonts w:ascii="Times New Roman" w:hAnsi="Times New Roman" w:cs="Times New Roman"/>
          <w:sz w:val="24"/>
          <w:szCs w:val="24"/>
        </w:rPr>
        <w:t xml:space="preserve"> and the winners of the competitive bid auctions</w:t>
      </w:r>
      <w:r w:rsidR="00303AB0" w:rsidRPr="00303AB0">
        <w:rPr>
          <w:rFonts w:ascii="Times New Roman" w:hAnsi="Times New Roman" w:cs="Times New Roman"/>
          <w:sz w:val="24"/>
          <w:szCs w:val="24"/>
        </w:rPr>
        <w:t xml:space="preserve">. </w:t>
      </w:r>
    </w:p>
    <w:p w:rsidR="00287B31" w:rsidRPr="00287B31" w:rsidRDefault="00D308F6" w:rsidP="00FB4463">
      <w:pPr>
        <w:pStyle w:val="Heading3"/>
      </w:pPr>
      <w:bookmarkStart w:id="18" w:name="_Toc362949993"/>
      <w:r>
        <w:lastRenderedPageBreak/>
        <w:t>3</w:t>
      </w:r>
      <w:r w:rsidR="00287B31">
        <w:t xml:space="preserve">.  </w:t>
      </w:r>
      <w:r w:rsidR="00287B31">
        <w:tab/>
      </w:r>
      <w:r w:rsidR="00287B31" w:rsidRPr="00287B31">
        <w:t>R.C. 4905.22 does not require fair and reasonable rates for wholesale generation rates.</w:t>
      </w:r>
      <w:bookmarkEnd w:id="18"/>
    </w:p>
    <w:p w:rsidR="00287B31" w:rsidRPr="00287B31" w:rsidRDefault="00287B31" w:rsidP="00091A23">
      <w:pPr>
        <w:ind w:firstLine="720"/>
        <w:rPr>
          <w:rFonts w:ascii="Times New Roman" w:hAnsi="Times New Roman" w:cs="Times New Roman"/>
          <w:sz w:val="24"/>
          <w:szCs w:val="24"/>
        </w:rPr>
      </w:pPr>
      <w:r w:rsidRPr="00287B31">
        <w:rPr>
          <w:rFonts w:ascii="Times New Roman" w:hAnsi="Times New Roman" w:cs="Times New Roman"/>
          <w:sz w:val="24"/>
          <w:szCs w:val="24"/>
        </w:rPr>
        <w:t>Duke argues that the PUCO has the authority and responsibility to ensure that approved rates are reasonable.</w:t>
      </w:r>
      <w:r>
        <w:rPr>
          <w:rStyle w:val="FootnoteReference"/>
          <w:rFonts w:ascii="Times New Roman" w:hAnsi="Times New Roman" w:cs="Times New Roman"/>
          <w:sz w:val="24"/>
          <w:szCs w:val="24"/>
        </w:rPr>
        <w:footnoteReference w:id="76"/>
      </w:r>
      <w:r w:rsidRPr="00287B31">
        <w:rPr>
          <w:rFonts w:ascii="Times New Roman" w:hAnsi="Times New Roman" w:cs="Times New Roman"/>
          <w:sz w:val="24"/>
          <w:szCs w:val="24"/>
        </w:rPr>
        <w:t xml:space="preserve">  Duke cites to the provisions of Chapter 4905 and Chapter 4909.</w:t>
      </w:r>
      <w:r>
        <w:rPr>
          <w:rStyle w:val="FootnoteReference"/>
          <w:rFonts w:ascii="Times New Roman" w:hAnsi="Times New Roman" w:cs="Times New Roman"/>
          <w:sz w:val="24"/>
          <w:szCs w:val="24"/>
        </w:rPr>
        <w:footnoteReference w:id="77"/>
      </w:r>
      <w:r w:rsidRPr="00287B31">
        <w:rPr>
          <w:rFonts w:ascii="Times New Roman" w:hAnsi="Times New Roman" w:cs="Times New Roman"/>
          <w:sz w:val="24"/>
          <w:szCs w:val="24"/>
        </w:rPr>
        <w:t xml:space="preserve">   Specifically, Duke points to R.C. 4905.22 and 4909.15.  Duke argues that without the full rate relief requested, Duke’s return on equity will be unreasonable.  These arguments lack both legal and factual support.  </w:t>
      </w:r>
    </w:p>
    <w:p w:rsidR="00287B31" w:rsidRDefault="00287B31" w:rsidP="00091A23">
      <w:pPr>
        <w:ind w:firstLine="720"/>
        <w:rPr>
          <w:rFonts w:ascii="Times New Roman" w:hAnsi="Times New Roman" w:cs="Times New Roman"/>
          <w:sz w:val="24"/>
          <w:szCs w:val="24"/>
        </w:rPr>
      </w:pPr>
      <w:r>
        <w:rPr>
          <w:rFonts w:ascii="Times New Roman" w:hAnsi="Times New Roman" w:cs="Times New Roman"/>
          <w:sz w:val="24"/>
          <w:szCs w:val="24"/>
        </w:rPr>
        <w:t>As explained supra, R.C. 4905.22 and 4909.19 are st</w:t>
      </w:r>
      <w:r w:rsidRPr="00303AB0">
        <w:rPr>
          <w:rFonts w:ascii="Times New Roman" w:hAnsi="Times New Roman" w:cs="Times New Roman"/>
          <w:sz w:val="24"/>
          <w:szCs w:val="24"/>
        </w:rPr>
        <w:t xml:space="preserve">atutes directed to retail, jurisdictional services provided to consumers in the state.  They have no applicability to wholesale rates that a utility charges unregulated </w:t>
      </w:r>
      <w:r w:rsidR="00047434">
        <w:rPr>
          <w:rFonts w:ascii="Times New Roman" w:hAnsi="Times New Roman" w:cs="Times New Roman"/>
          <w:sz w:val="24"/>
          <w:szCs w:val="24"/>
        </w:rPr>
        <w:t xml:space="preserve">marketers </w:t>
      </w:r>
      <w:r w:rsidRPr="00303AB0">
        <w:rPr>
          <w:rFonts w:ascii="Times New Roman" w:hAnsi="Times New Roman" w:cs="Times New Roman"/>
          <w:sz w:val="24"/>
          <w:szCs w:val="24"/>
        </w:rPr>
        <w:t xml:space="preserve">and winners of the competitive bid auctions.  </w:t>
      </w:r>
    </w:p>
    <w:p w:rsidR="00287B31" w:rsidRDefault="00287B31" w:rsidP="00091A23">
      <w:pPr>
        <w:ind w:firstLine="720"/>
        <w:rPr>
          <w:rFonts w:ascii="Times New Roman" w:hAnsi="Times New Roman" w:cs="Times New Roman"/>
          <w:sz w:val="24"/>
          <w:szCs w:val="24"/>
        </w:rPr>
      </w:pPr>
      <w:r>
        <w:rPr>
          <w:rFonts w:ascii="Times New Roman" w:hAnsi="Times New Roman" w:cs="Times New Roman"/>
          <w:sz w:val="24"/>
          <w:szCs w:val="24"/>
        </w:rPr>
        <w:t xml:space="preserve">Additionally, what Duke fails to recognize is </w:t>
      </w:r>
      <w:r w:rsidRPr="00BF7063">
        <w:rPr>
          <w:rFonts w:ascii="Times New Roman" w:hAnsi="Times New Roman" w:cs="Times New Roman"/>
          <w:sz w:val="24"/>
          <w:szCs w:val="24"/>
        </w:rPr>
        <w:t xml:space="preserve">the PUCO has no jurisdiction over </w:t>
      </w:r>
      <w:r>
        <w:rPr>
          <w:rFonts w:ascii="Times New Roman" w:hAnsi="Times New Roman" w:cs="Times New Roman"/>
          <w:sz w:val="24"/>
          <w:szCs w:val="24"/>
        </w:rPr>
        <w:t xml:space="preserve">its </w:t>
      </w:r>
      <w:r w:rsidRPr="00BF7063">
        <w:rPr>
          <w:rFonts w:ascii="Times New Roman" w:hAnsi="Times New Roman" w:cs="Times New Roman"/>
          <w:sz w:val="24"/>
          <w:szCs w:val="24"/>
        </w:rPr>
        <w:t>generation operations</w:t>
      </w:r>
      <w:r>
        <w:rPr>
          <w:rFonts w:ascii="Times New Roman" w:hAnsi="Times New Roman" w:cs="Times New Roman"/>
          <w:sz w:val="24"/>
          <w:szCs w:val="24"/>
        </w:rPr>
        <w:t>.</w:t>
      </w:r>
      <w:r w:rsidRPr="00BF7063">
        <w:rPr>
          <w:rFonts w:ascii="Times New Roman" w:hAnsi="Times New Roman" w:cs="Times New Roman"/>
          <w:sz w:val="24"/>
          <w:szCs w:val="24"/>
        </w:rPr>
        <w:t xml:space="preserve">  R.C. 4928.03 specifies that retail electric generation service is competitive and therefore not subject to </w:t>
      </w:r>
      <w:r>
        <w:rPr>
          <w:rFonts w:ascii="Times New Roman" w:hAnsi="Times New Roman" w:cs="Times New Roman"/>
          <w:sz w:val="24"/>
          <w:szCs w:val="24"/>
        </w:rPr>
        <w:t>PUCO</w:t>
      </w:r>
      <w:r w:rsidRPr="00BF7063">
        <w:rPr>
          <w:rFonts w:ascii="Times New Roman" w:hAnsi="Times New Roman" w:cs="Times New Roman"/>
          <w:sz w:val="24"/>
          <w:szCs w:val="24"/>
        </w:rPr>
        <w:t xml:space="preserve"> regulation.  R.C. 4928.05 expressly removes competitive retail electric services from PUCO regulation.   Instead under R</w:t>
      </w:r>
      <w:r>
        <w:rPr>
          <w:rFonts w:ascii="Times New Roman" w:hAnsi="Times New Roman" w:cs="Times New Roman"/>
          <w:sz w:val="24"/>
          <w:szCs w:val="24"/>
        </w:rPr>
        <w:t>.C.</w:t>
      </w:r>
      <w:r w:rsidRPr="00BF7063">
        <w:rPr>
          <w:rFonts w:ascii="Times New Roman" w:hAnsi="Times New Roman" w:cs="Times New Roman"/>
          <w:sz w:val="24"/>
          <w:szCs w:val="24"/>
        </w:rPr>
        <w:t xml:space="preserve"> 4928.14</w:t>
      </w:r>
      <w:r>
        <w:rPr>
          <w:rFonts w:ascii="Times New Roman" w:hAnsi="Times New Roman" w:cs="Times New Roman"/>
          <w:sz w:val="24"/>
          <w:szCs w:val="24"/>
        </w:rPr>
        <w:t>1</w:t>
      </w:r>
      <w:r w:rsidRPr="00BF7063">
        <w:rPr>
          <w:rFonts w:ascii="Times New Roman" w:hAnsi="Times New Roman" w:cs="Times New Roman"/>
          <w:sz w:val="24"/>
          <w:szCs w:val="24"/>
        </w:rPr>
        <w:t xml:space="preserve">(A) an EDU must provide a market-based standard service offer of all competitive retail electric services, including electric generation service.   </w:t>
      </w:r>
    </w:p>
    <w:p w:rsidR="00992029" w:rsidRPr="00A84B44" w:rsidRDefault="00D308F6" w:rsidP="00FB4463">
      <w:pPr>
        <w:pStyle w:val="Heading3"/>
      </w:pPr>
      <w:bookmarkStart w:id="19" w:name="_Toc362949994"/>
      <w:r>
        <w:lastRenderedPageBreak/>
        <w:t>4.</w:t>
      </w:r>
      <w:r>
        <w:tab/>
      </w:r>
      <w:r w:rsidR="002F67F9" w:rsidRPr="00A84B44">
        <w:t>While R.C. 4905.26 may be construed as a rate setting statute that establishes a utility’s</w:t>
      </w:r>
      <w:r w:rsidR="00066FF8" w:rsidRPr="00A84B44">
        <w:t xml:space="preserve"> </w:t>
      </w:r>
      <w:r w:rsidR="002F67F9" w:rsidRPr="00A84B44">
        <w:t xml:space="preserve">right to just and reasonable rates, it only </w:t>
      </w:r>
      <w:r w:rsidR="0058204D" w:rsidRPr="00A84B44">
        <w:t>applies in</w:t>
      </w:r>
      <w:r w:rsidR="002F67F9" w:rsidRPr="00A84B44">
        <w:t xml:space="preserve"> limited circumstances, which are </w:t>
      </w:r>
      <w:r w:rsidR="00066FF8" w:rsidRPr="00A84B44">
        <w:t xml:space="preserve">not </w:t>
      </w:r>
      <w:r w:rsidR="002F67F9" w:rsidRPr="00A84B44">
        <w:t>present in this case.</w:t>
      </w:r>
      <w:bookmarkEnd w:id="19"/>
      <w:r w:rsidR="002F67F9" w:rsidRPr="00A84B44">
        <w:t xml:space="preserve">  </w:t>
      </w:r>
    </w:p>
    <w:p w:rsidR="00066FF8" w:rsidRPr="00A84B44" w:rsidRDefault="002C28D1" w:rsidP="004B729B">
      <w:pPr>
        <w:ind w:firstLine="720"/>
        <w:rPr>
          <w:rFonts w:ascii="Times New Roman" w:hAnsi="Times New Roman" w:cs="Times New Roman"/>
          <w:sz w:val="24"/>
          <w:szCs w:val="24"/>
        </w:rPr>
      </w:pPr>
      <w:r w:rsidRPr="00A84B44">
        <w:rPr>
          <w:rFonts w:ascii="Times New Roman" w:hAnsi="Times New Roman" w:cs="Times New Roman"/>
          <w:sz w:val="24"/>
          <w:szCs w:val="24"/>
        </w:rPr>
        <w:t xml:space="preserve">Duke attempts to </w:t>
      </w:r>
      <w:r w:rsidR="00475829" w:rsidRPr="00A84B44">
        <w:rPr>
          <w:rFonts w:ascii="Times New Roman" w:hAnsi="Times New Roman" w:cs="Times New Roman"/>
          <w:sz w:val="24"/>
          <w:szCs w:val="24"/>
        </w:rPr>
        <w:t xml:space="preserve">bolster its legal claim for $729 million (plus carrying costs) </w:t>
      </w:r>
      <w:r w:rsidRPr="00A84B44">
        <w:rPr>
          <w:rFonts w:ascii="Times New Roman" w:hAnsi="Times New Roman" w:cs="Times New Roman"/>
          <w:sz w:val="24"/>
          <w:szCs w:val="24"/>
        </w:rPr>
        <w:t xml:space="preserve">by foisting R.C. 4905.26 </w:t>
      </w:r>
      <w:r w:rsidR="00475829" w:rsidRPr="00A84B44">
        <w:rPr>
          <w:rFonts w:ascii="Times New Roman" w:hAnsi="Times New Roman" w:cs="Times New Roman"/>
          <w:sz w:val="24"/>
          <w:szCs w:val="24"/>
        </w:rPr>
        <w:t xml:space="preserve">as an additional statute for the PUCO to use to grant its request.  However, Duke’s attempts should be rebuffed for a multitude of reasons. </w:t>
      </w:r>
    </w:p>
    <w:p w:rsidR="00BA0150" w:rsidRPr="00A84B44" w:rsidRDefault="00066FF8" w:rsidP="004B729B">
      <w:pPr>
        <w:ind w:firstLine="720"/>
        <w:rPr>
          <w:rFonts w:ascii="Times New Roman" w:hAnsi="Times New Roman" w:cs="Times New Roman"/>
          <w:sz w:val="24"/>
          <w:szCs w:val="24"/>
        </w:rPr>
      </w:pPr>
      <w:r w:rsidRPr="00A84B44">
        <w:rPr>
          <w:rFonts w:ascii="Times New Roman" w:hAnsi="Times New Roman" w:cs="Times New Roman"/>
          <w:sz w:val="24"/>
          <w:szCs w:val="24"/>
        </w:rPr>
        <w:t xml:space="preserve"> Although the statute does allow a utility to file a complaint as to matters affecting its service, and permits the PUCO to change rates, it is not the panacea that Duke believes it to be.  </w:t>
      </w:r>
      <w:r w:rsidR="00475829" w:rsidRPr="00A84B44">
        <w:rPr>
          <w:rFonts w:ascii="Times New Roman" w:hAnsi="Times New Roman" w:cs="Times New Roman"/>
          <w:sz w:val="24"/>
          <w:szCs w:val="24"/>
        </w:rPr>
        <w:t xml:space="preserve">First, Duke did not file its application as a self-complaint under R.C. 4905.26.  </w:t>
      </w:r>
      <w:r w:rsidR="00B0369E" w:rsidRPr="00A84B44">
        <w:rPr>
          <w:rFonts w:ascii="Times New Roman" w:hAnsi="Times New Roman" w:cs="Times New Roman"/>
          <w:sz w:val="24"/>
          <w:szCs w:val="24"/>
        </w:rPr>
        <w:t>There is no mention at all of that statute in its application.  Nor is its application filed in the form of a complaint</w:t>
      </w:r>
      <w:r w:rsidR="00B0369E" w:rsidRPr="00EB5604">
        <w:rPr>
          <w:rFonts w:ascii="Times New Roman" w:hAnsi="Times New Roman" w:cs="Times New Roman"/>
          <w:b/>
          <w:sz w:val="24"/>
          <w:szCs w:val="24"/>
        </w:rPr>
        <w:t xml:space="preserve">. </w:t>
      </w:r>
      <w:r w:rsidR="006F7C6A">
        <w:rPr>
          <w:rFonts w:ascii="Times New Roman" w:hAnsi="Times New Roman" w:cs="Times New Roman"/>
          <w:b/>
          <w:sz w:val="24"/>
          <w:szCs w:val="24"/>
        </w:rPr>
        <w:t xml:space="preserve"> </w:t>
      </w:r>
      <w:r w:rsidR="00BA0150" w:rsidRPr="00EB5604">
        <w:rPr>
          <w:rFonts w:ascii="Times New Roman" w:hAnsi="Times New Roman" w:cs="Times New Roman"/>
          <w:b/>
          <w:sz w:val="24"/>
          <w:szCs w:val="24"/>
        </w:rPr>
        <w:t>And there is no Commission</w:t>
      </w:r>
      <w:r w:rsidR="00500377">
        <w:rPr>
          <w:rFonts w:ascii="Times New Roman" w:hAnsi="Times New Roman" w:cs="Times New Roman"/>
          <w:b/>
          <w:sz w:val="24"/>
          <w:szCs w:val="24"/>
        </w:rPr>
        <w:t>-</w:t>
      </w:r>
      <w:r w:rsidR="00BA0150" w:rsidRPr="00EB5604">
        <w:rPr>
          <w:rFonts w:ascii="Times New Roman" w:hAnsi="Times New Roman" w:cs="Times New Roman"/>
          <w:b/>
          <w:sz w:val="24"/>
          <w:szCs w:val="24"/>
        </w:rPr>
        <w:t>initiated complaint or investigation in this case, unlike the PUCO’s AEP Ohio Capacity proceeding</w:t>
      </w:r>
      <w:r w:rsidR="00BA0150" w:rsidRPr="00A84B44">
        <w:rPr>
          <w:rFonts w:ascii="Times New Roman" w:hAnsi="Times New Roman" w:cs="Times New Roman"/>
          <w:sz w:val="24"/>
          <w:szCs w:val="24"/>
        </w:rPr>
        <w:t xml:space="preserve">.  In that proceeding, the Commission determined that its authority to set a capacity rate was derived in large part from its investigation of AEP Ohio’s capacity rate. </w:t>
      </w:r>
      <w:r w:rsidR="003A5C82" w:rsidRPr="00A84B44">
        <w:rPr>
          <w:rStyle w:val="FootnoteReference"/>
          <w:rFonts w:ascii="Times New Roman" w:hAnsi="Times New Roman" w:cs="Times New Roman"/>
          <w:sz w:val="24"/>
          <w:szCs w:val="24"/>
        </w:rPr>
        <w:footnoteReference w:id="78"/>
      </w:r>
    </w:p>
    <w:p w:rsidR="00EB14FA" w:rsidRPr="00A84B44" w:rsidRDefault="00BA0150" w:rsidP="004B729B">
      <w:pPr>
        <w:ind w:firstLine="720"/>
        <w:rPr>
          <w:rFonts w:ascii="Times New Roman" w:hAnsi="Times New Roman" w:cs="Times New Roman"/>
          <w:sz w:val="24"/>
          <w:szCs w:val="24"/>
        </w:rPr>
      </w:pPr>
      <w:r w:rsidRPr="00A84B44">
        <w:rPr>
          <w:rFonts w:ascii="Times New Roman" w:hAnsi="Times New Roman" w:cs="Times New Roman"/>
          <w:sz w:val="24"/>
          <w:szCs w:val="24"/>
        </w:rPr>
        <w:t>And even assuming arguendo that Duke can somehow transf</w:t>
      </w:r>
      <w:r w:rsidR="003A5C82" w:rsidRPr="00A84B44">
        <w:rPr>
          <w:rFonts w:ascii="Times New Roman" w:hAnsi="Times New Roman" w:cs="Times New Roman"/>
          <w:sz w:val="24"/>
          <w:szCs w:val="24"/>
        </w:rPr>
        <w:t xml:space="preserve">igure </w:t>
      </w:r>
      <w:r w:rsidRPr="00A84B44">
        <w:rPr>
          <w:rFonts w:ascii="Times New Roman" w:hAnsi="Times New Roman" w:cs="Times New Roman"/>
          <w:sz w:val="24"/>
          <w:szCs w:val="24"/>
        </w:rPr>
        <w:t xml:space="preserve">its application into a self-complaint under R.C. 4905.26, it still is doomed to failure.  </w:t>
      </w:r>
      <w:r w:rsidR="009C1018" w:rsidRPr="00A84B44">
        <w:rPr>
          <w:rFonts w:ascii="Times New Roman" w:hAnsi="Times New Roman" w:cs="Times New Roman"/>
          <w:sz w:val="24"/>
          <w:szCs w:val="24"/>
        </w:rPr>
        <w:t>The PUCO has ruled</w:t>
      </w:r>
      <w:r w:rsidR="0015793C" w:rsidRPr="00A84B44">
        <w:rPr>
          <w:rFonts w:ascii="Times New Roman" w:hAnsi="Times New Roman" w:cs="Times New Roman"/>
          <w:sz w:val="24"/>
          <w:szCs w:val="24"/>
        </w:rPr>
        <w:t xml:space="preserve"> on numerous</w:t>
      </w:r>
      <w:r w:rsidR="00AD1A77" w:rsidRPr="00A84B44">
        <w:rPr>
          <w:rFonts w:ascii="Times New Roman" w:hAnsi="Times New Roman" w:cs="Times New Roman"/>
          <w:sz w:val="24"/>
          <w:szCs w:val="24"/>
        </w:rPr>
        <w:t xml:space="preserve"> times</w:t>
      </w:r>
      <w:r w:rsidR="009C1018" w:rsidRPr="00A84B44">
        <w:rPr>
          <w:rFonts w:ascii="Times New Roman" w:hAnsi="Times New Roman" w:cs="Times New Roman"/>
          <w:sz w:val="24"/>
          <w:szCs w:val="24"/>
        </w:rPr>
        <w:t xml:space="preserve"> that complaint cases under R.C. 4905.26 are not the primary method for the PUCO to modify or approve rates.</w:t>
      </w:r>
      <w:r w:rsidR="00AD1A77" w:rsidRPr="00A84B44">
        <w:rPr>
          <w:rStyle w:val="FootnoteReference"/>
          <w:rFonts w:ascii="Times New Roman" w:hAnsi="Times New Roman" w:cs="Times New Roman"/>
          <w:sz w:val="24"/>
          <w:szCs w:val="24"/>
        </w:rPr>
        <w:footnoteReference w:id="79"/>
      </w:r>
      <w:r w:rsidR="009C1018" w:rsidRPr="00A84B44">
        <w:rPr>
          <w:rFonts w:ascii="Times New Roman" w:hAnsi="Times New Roman" w:cs="Times New Roman"/>
          <w:sz w:val="24"/>
          <w:szCs w:val="24"/>
        </w:rPr>
        <w:t xml:space="preserve">   In fact,</w:t>
      </w:r>
      <w:r w:rsidR="004B729B" w:rsidRPr="00A84B44">
        <w:rPr>
          <w:rFonts w:ascii="Times New Roman" w:hAnsi="Times New Roman" w:cs="Times New Roman"/>
          <w:sz w:val="24"/>
          <w:szCs w:val="24"/>
        </w:rPr>
        <w:t xml:space="preserve"> where the complaint cases are initiated by the utility (“self-complaint” cases)</w:t>
      </w:r>
      <w:r w:rsidR="009C1018" w:rsidRPr="00A84B44">
        <w:rPr>
          <w:rFonts w:ascii="Times New Roman" w:hAnsi="Times New Roman" w:cs="Times New Roman"/>
          <w:sz w:val="24"/>
          <w:szCs w:val="24"/>
        </w:rPr>
        <w:t xml:space="preserve"> the PUCO has only authorized rates </w:t>
      </w:r>
      <w:r w:rsidR="009C1018" w:rsidRPr="00A84B44">
        <w:rPr>
          <w:rFonts w:ascii="Times New Roman" w:hAnsi="Times New Roman" w:cs="Times New Roman"/>
          <w:sz w:val="24"/>
          <w:szCs w:val="24"/>
        </w:rPr>
        <w:lastRenderedPageBreak/>
        <w:t>changes</w:t>
      </w:r>
      <w:r w:rsidR="003A5C82" w:rsidRPr="00A84B44">
        <w:rPr>
          <w:rFonts w:ascii="Times New Roman" w:hAnsi="Times New Roman" w:cs="Times New Roman"/>
          <w:sz w:val="24"/>
          <w:szCs w:val="24"/>
        </w:rPr>
        <w:t xml:space="preserve"> </w:t>
      </w:r>
      <w:r w:rsidR="009C1018" w:rsidRPr="00A84B44">
        <w:rPr>
          <w:rFonts w:ascii="Times New Roman" w:hAnsi="Times New Roman" w:cs="Times New Roman"/>
          <w:sz w:val="24"/>
          <w:szCs w:val="24"/>
        </w:rPr>
        <w:t>under limited circumstances</w:t>
      </w:r>
      <w:r w:rsidR="00EB14FA" w:rsidRPr="00A84B44">
        <w:rPr>
          <w:rFonts w:ascii="Times New Roman" w:hAnsi="Times New Roman" w:cs="Times New Roman"/>
          <w:sz w:val="24"/>
          <w:szCs w:val="24"/>
        </w:rPr>
        <w:t xml:space="preserve"> and those limited circumstances are not present in this case.</w:t>
      </w:r>
    </w:p>
    <w:p w:rsidR="004B729B" w:rsidRPr="00306820" w:rsidRDefault="003A5C82" w:rsidP="004B729B">
      <w:pPr>
        <w:ind w:firstLine="720"/>
        <w:rPr>
          <w:rFonts w:ascii="Times New Roman" w:hAnsi="Times New Roman" w:cs="Times New Roman"/>
          <w:sz w:val="24"/>
          <w:szCs w:val="24"/>
        </w:rPr>
      </w:pPr>
      <w:r>
        <w:rPr>
          <w:rFonts w:ascii="Times New Roman" w:hAnsi="Times New Roman" w:cs="Times New Roman"/>
          <w:sz w:val="24"/>
          <w:szCs w:val="24"/>
        </w:rPr>
        <w:t xml:space="preserve">Recently, the PUCO had occasion to review the self-complaint </w:t>
      </w:r>
      <w:r w:rsidR="0058204D">
        <w:rPr>
          <w:rFonts w:ascii="Times New Roman" w:hAnsi="Times New Roman" w:cs="Times New Roman"/>
          <w:sz w:val="24"/>
          <w:szCs w:val="24"/>
        </w:rPr>
        <w:t xml:space="preserve">of </w:t>
      </w:r>
      <w:r w:rsidR="0058204D" w:rsidRPr="00306820">
        <w:rPr>
          <w:rFonts w:ascii="Times New Roman" w:hAnsi="Times New Roman" w:cs="Times New Roman"/>
          <w:sz w:val="24"/>
          <w:szCs w:val="24"/>
        </w:rPr>
        <w:t>Suburban</w:t>
      </w:r>
      <w:r w:rsidR="009C1018" w:rsidRPr="00306820">
        <w:rPr>
          <w:rFonts w:ascii="Times New Roman" w:hAnsi="Times New Roman" w:cs="Times New Roman"/>
          <w:sz w:val="24"/>
          <w:szCs w:val="24"/>
        </w:rPr>
        <w:t xml:space="preserve"> Natural Gas Company</w:t>
      </w:r>
      <w:r>
        <w:rPr>
          <w:rFonts w:ascii="Times New Roman" w:hAnsi="Times New Roman" w:cs="Times New Roman"/>
          <w:sz w:val="24"/>
          <w:szCs w:val="24"/>
        </w:rPr>
        <w:t>.</w:t>
      </w:r>
      <w:r w:rsidR="004B729B" w:rsidRPr="00306820">
        <w:rPr>
          <w:rStyle w:val="FootnoteReference"/>
          <w:rFonts w:ascii="Times New Roman" w:hAnsi="Times New Roman" w:cs="Times New Roman"/>
          <w:sz w:val="24"/>
          <w:szCs w:val="24"/>
        </w:rPr>
        <w:footnoteReference w:id="80"/>
      </w:r>
      <w:r w:rsidR="009C1018" w:rsidRPr="00306820">
        <w:rPr>
          <w:rFonts w:ascii="Times New Roman" w:hAnsi="Times New Roman" w:cs="Times New Roman"/>
          <w:sz w:val="24"/>
          <w:szCs w:val="24"/>
        </w:rPr>
        <w:t xml:space="preserve"> </w:t>
      </w:r>
      <w:r>
        <w:rPr>
          <w:rFonts w:ascii="Times New Roman" w:hAnsi="Times New Roman" w:cs="Times New Roman"/>
          <w:sz w:val="24"/>
          <w:szCs w:val="24"/>
        </w:rPr>
        <w:t xml:space="preserve">In its Order, </w:t>
      </w:r>
      <w:r w:rsidR="009C1018" w:rsidRPr="00306820">
        <w:rPr>
          <w:rFonts w:ascii="Times New Roman" w:hAnsi="Times New Roman" w:cs="Times New Roman"/>
          <w:sz w:val="24"/>
          <w:szCs w:val="24"/>
        </w:rPr>
        <w:t xml:space="preserve">the Commission </w:t>
      </w:r>
      <w:r w:rsidR="004B729B" w:rsidRPr="00306820">
        <w:rPr>
          <w:rFonts w:ascii="Times New Roman" w:hAnsi="Times New Roman" w:cs="Times New Roman"/>
          <w:sz w:val="24"/>
          <w:szCs w:val="24"/>
        </w:rPr>
        <w:t xml:space="preserve">defined the </w:t>
      </w:r>
      <w:r w:rsidR="009C1018" w:rsidRPr="00306820">
        <w:rPr>
          <w:rFonts w:ascii="Times New Roman" w:hAnsi="Times New Roman" w:cs="Times New Roman"/>
          <w:sz w:val="24"/>
          <w:szCs w:val="24"/>
        </w:rPr>
        <w:t>“limited circumstances”</w:t>
      </w:r>
      <w:r w:rsidR="004B729B" w:rsidRPr="00306820">
        <w:rPr>
          <w:rFonts w:ascii="Times New Roman" w:hAnsi="Times New Roman" w:cs="Times New Roman"/>
          <w:sz w:val="24"/>
          <w:szCs w:val="24"/>
        </w:rPr>
        <w:t xml:space="preserve"> under which it would change rates </w:t>
      </w:r>
      <w:r>
        <w:rPr>
          <w:rFonts w:ascii="Times New Roman" w:hAnsi="Times New Roman" w:cs="Times New Roman"/>
          <w:sz w:val="24"/>
          <w:szCs w:val="24"/>
        </w:rPr>
        <w:t>wh</w:t>
      </w:r>
      <w:r w:rsidR="0015793C">
        <w:rPr>
          <w:rFonts w:ascii="Times New Roman" w:hAnsi="Times New Roman" w:cs="Times New Roman"/>
          <w:sz w:val="24"/>
          <w:szCs w:val="24"/>
        </w:rPr>
        <w:t>e</w:t>
      </w:r>
      <w:r>
        <w:rPr>
          <w:rFonts w:ascii="Times New Roman" w:hAnsi="Times New Roman" w:cs="Times New Roman"/>
          <w:sz w:val="24"/>
          <w:szCs w:val="24"/>
        </w:rPr>
        <w:t>n faced with a ut</w:t>
      </w:r>
      <w:r w:rsidR="004B729B" w:rsidRPr="00306820">
        <w:rPr>
          <w:rFonts w:ascii="Times New Roman" w:hAnsi="Times New Roman" w:cs="Times New Roman"/>
          <w:sz w:val="24"/>
          <w:szCs w:val="24"/>
        </w:rPr>
        <w:t>ility self-complaint case</w:t>
      </w:r>
      <w:r w:rsidR="00EB14FA" w:rsidRPr="00306820">
        <w:rPr>
          <w:rFonts w:ascii="Times New Roman" w:hAnsi="Times New Roman" w:cs="Times New Roman"/>
          <w:sz w:val="24"/>
          <w:szCs w:val="24"/>
        </w:rPr>
        <w:t xml:space="preserve"> filed under R.C. 4905.26</w:t>
      </w:r>
      <w:r>
        <w:rPr>
          <w:rFonts w:ascii="Times New Roman" w:hAnsi="Times New Roman" w:cs="Times New Roman"/>
          <w:sz w:val="24"/>
          <w:szCs w:val="24"/>
        </w:rPr>
        <w:t xml:space="preserve">.  The PUCO ruled that rate changes through a utility self </w:t>
      </w:r>
      <w:r w:rsidR="0015793C">
        <w:rPr>
          <w:rFonts w:ascii="Times New Roman" w:hAnsi="Times New Roman" w:cs="Times New Roman"/>
          <w:sz w:val="24"/>
          <w:szCs w:val="24"/>
        </w:rPr>
        <w:t>-</w:t>
      </w:r>
      <w:r>
        <w:rPr>
          <w:rFonts w:ascii="Times New Roman" w:hAnsi="Times New Roman" w:cs="Times New Roman"/>
          <w:sz w:val="24"/>
          <w:szCs w:val="24"/>
        </w:rPr>
        <w:t>complaint case could be made if any of t</w:t>
      </w:r>
      <w:r w:rsidR="009A41E1">
        <w:rPr>
          <w:rFonts w:ascii="Times New Roman" w:hAnsi="Times New Roman" w:cs="Times New Roman"/>
          <w:sz w:val="24"/>
          <w:szCs w:val="24"/>
        </w:rPr>
        <w:t>he following conditions are met</w:t>
      </w:r>
      <w:r w:rsidR="004B729B" w:rsidRPr="00306820">
        <w:rPr>
          <w:rFonts w:ascii="Times New Roman" w:hAnsi="Times New Roman" w:cs="Times New Roman"/>
          <w:sz w:val="24"/>
          <w:szCs w:val="24"/>
        </w:rPr>
        <w:t xml:space="preserve">:  </w:t>
      </w:r>
      <w:r w:rsidR="009C1018" w:rsidRPr="00306820">
        <w:rPr>
          <w:rFonts w:ascii="Times New Roman" w:hAnsi="Times New Roman" w:cs="Times New Roman"/>
          <w:sz w:val="24"/>
          <w:szCs w:val="24"/>
        </w:rPr>
        <w:t xml:space="preserve"> </w:t>
      </w:r>
    </w:p>
    <w:p w:rsidR="004B729B" w:rsidRPr="00306820" w:rsidRDefault="009C1018" w:rsidP="00091A23">
      <w:pPr>
        <w:pStyle w:val="ListParagraph"/>
        <w:numPr>
          <w:ilvl w:val="0"/>
          <w:numId w:val="9"/>
        </w:numPr>
        <w:ind w:left="2160" w:right="720" w:hanging="720"/>
        <w:rPr>
          <w:rFonts w:ascii="Times New Roman" w:hAnsi="Times New Roman" w:cs="Times New Roman"/>
          <w:sz w:val="24"/>
          <w:szCs w:val="24"/>
        </w:rPr>
      </w:pPr>
      <w:r w:rsidRPr="00306820">
        <w:rPr>
          <w:rFonts w:ascii="Times New Roman" w:hAnsi="Times New Roman" w:cs="Times New Roman"/>
          <w:sz w:val="24"/>
          <w:szCs w:val="24"/>
        </w:rPr>
        <w:t>when the impact of the rate change has been directed to particular customer classes</w:t>
      </w:r>
      <w:r w:rsidR="009A41E1">
        <w:rPr>
          <w:rFonts w:ascii="Times New Roman" w:hAnsi="Times New Roman" w:cs="Times New Roman"/>
          <w:sz w:val="24"/>
          <w:szCs w:val="24"/>
        </w:rPr>
        <w:t>;</w:t>
      </w:r>
    </w:p>
    <w:p w:rsidR="004B729B" w:rsidRPr="00306820" w:rsidRDefault="009C1018" w:rsidP="00091A23">
      <w:pPr>
        <w:pStyle w:val="ListParagraph"/>
        <w:numPr>
          <w:ilvl w:val="0"/>
          <w:numId w:val="9"/>
        </w:numPr>
        <w:ind w:left="2160" w:right="720" w:hanging="720"/>
        <w:rPr>
          <w:rFonts w:ascii="Times New Roman" w:hAnsi="Times New Roman" w:cs="Times New Roman"/>
          <w:sz w:val="24"/>
          <w:szCs w:val="24"/>
        </w:rPr>
      </w:pPr>
      <w:r w:rsidRPr="00306820">
        <w:rPr>
          <w:rFonts w:ascii="Times New Roman" w:hAnsi="Times New Roman" w:cs="Times New Roman"/>
          <w:sz w:val="24"/>
          <w:szCs w:val="24"/>
        </w:rPr>
        <w:t xml:space="preserve"> </w:t>
      </w:r>
      <w:r w:rsidR="009A41E1">
        <w:rPr>
          <w:rFonts w:ascii="Times New Roman" w:hAnsi="Times New Roman" w:cs="Times New Roman"/>
          <w:sz w:val="24"/>
          <w:szCs w:val="24"/>
        </w:rPr>
        <w:t xml:space="preserve">when the rate change </w:t>
      </w:r>
      <w:r w:rsidRPr="00306820">
        <w:rPr>
          <w:rFonts w:ascii="Times New Roman" w:hAnsi="Times New Roman" w:cs="Times New Roman"/>
          <w:sz w:val="24"/>
          <w:szCs w:val="24"/>
        </w:rPr>
        <w:t>has occurred during a rate proceeding</w:t>
      </w:r>
      <w:r w:rsidR="009A41E1">
        <w:rPr>
          <w:rFonts w:ascii="Times New Roman" w:hAnsi="Times New Roman" w:cs="Times New Roman"/>
          <w:sz w:val="24"/>
          <w:szCs w:val="24"/>
        </w:rPr>
        <w:t>;</w:t>
      </w:r>
      <w:r w:rsidRPr="00306820">
        <w:rPr>
          <w:rFonts w:ascii="Times New Roman" w:hAnsi="Times New Roman" w:cs="Times New Roman"/>
          <w:sz w:val="24"/>
          <w:szCs w:val="24"/>
        </w:rPr>
        <w:t xml:space="preserve"> </w:t>
      </w:r>
    </w:p>
    <w:p w:rsidR="004B729B" w:rsidRPr="00306820" w:rsidRDefault="009A41E1" w:rsidP="00091A23">
      <w:pPr>
        <w:pStyle w:val="ListParagraph"/>
        <w:numPr>
          <w:ilvl w:val="0"/>
          <w:numId w:val="9"/>
        </w:numPr>
        <w:ind w:left="2160" w:right="720" w:hanging="72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rate change </w:t>
      </w:r>
      <w:r w:rsidR="009C1018" w:rsidRPr="00306820">
        <w:rPr>
          <w:rFonts w:ascii="Times New Roman" w:hAnsi="Times New Roman" w:cs="Times New Roman"/>
          <w:sz w:val="24"/>
          <w:szCs w:val="24"/>
        </w:rPr>
        <w:t>has been temporary in duration, or occurred in the context of an emergency rate proceeding, pursuant to Section 4909.</w:t>
      </w:r>
      <w:r w:rsidR="004B729B" w:rsidRPr="00306820">
        <w:rPr>
          <w:rFonts w:ascii="Times New Roman" w:hAnsi="Times New Roman" w:cs="Times New Roman"/>
          <w:sz w:val="24"/>
          <w:szCs w:val="24"/>
        </w:rPr>
        <w:t>16, Revised Code.</w:t>
      </w:r>
      <w:r w:rsidR="00EB14FA" w:rsidRPr="00306820">
        <w:rPr>
          <w:rStyle w:val="FootnoteReference"/>
          <w:rFonts w:ascii="Times New Roman" w:hAnsi="Times New Roman" w:cs="Times New Roman"/>
          <w:sz w:val="24"/>
          <w:szCs w:val="24"/>
        </w:rPr>
        <w:footnoteReference w:id="81"/>
      </w:r>
    </w:p>
    <w:p w:rsidR="00091A23" w:rsidRDefault="003A5C82" w:rsidP="00EB14FA">
      <w:pPr>
        <w:rPr>
          <w:rFonts w:ascii="Times New Roman" w:hAnsi="Times New Roman" w:cs="Times New Roman"/>
          <w:sz w:val="24"/>
          <w:szCs w:val="24"/>
        </w:rPr>
      </w:pPr>
      <w:r>
        <w:rPr>
          <w:rFonts w:ascii="Times New Roman" w:hAnsi="Times New Roman" w:cs="Times New Roman"/>
          <w:sz w:val="24"/>
          <w:szCs w:val="24"/>
        </w:rPr>
        <w:t>T</w:t>
      </w:r>
      <w:r w:rsidR="002C28D1" w:rsidRPr="00306820">
        <w:rPr>
          <w:rFonts w:ascii="Times New Roman" w:hAnsi="Times New Roman" w:cs="Times New Roman"/>
          <w:sz w:val="24"/>
          <w:szCs w:val="24"/>
        </w:rPr>
        <w:t>he Commission noted</w:t>
      </w:r>
      <w:r w:rsidR="00EB14FA" w:rsidRPr="00306820">
        <w:rPr>
          <w:rFonts w:ascii="Times New Roman" w:hAnsi="Times New Roman" w:cs="Times New Roman"/>
          <w:sz w:val="24"/>
          <w:szCs w:val="24"/>
        </w:rPr>
        <w:t>, with multiple citations</w:t>
      </w:r>
      <w:r>
        <w:rPr>
          <w:rFonts w:ascii="Times New Roman" w:hAnsi="Times New Roman" w:cs="Times New Roman"/>
          <w:sz w:val="24"/>
          <w:szCs w:val="24"/>
        </w:rPr>
        <w:t xml:space="preserve"> to</w:t>
      </w:r>
      <w:r w:rsidR="009C1018" w:rsidRPr="00306820">
        <w:rPr>
          <w:rFonts w:ascii="Times New Roman" w:hAnsi="Times New Roman" w:cs="Times New Roman"/>
          <w:sz w:val="24"/>
          <w:szCs w:val="24"/>
        </w:rPr>
        <w:t xml:space="preserve"> prior cases,</w:t>
      </w:r>
      <w:r>
        <w:rPr>
          <w:rFonts w:ascii="Times New Roman" w:hAnsi="Times New Roman" w:cs="Times New Roman"/>
          <w:sz w:val="24"/>
          <w:szCs w:val="24"/>
        </w:rPr>
        <w:t xml:space="preserve"> that </w:t>
      </w:r>
      <w:r w:rsidR="002C28D1" w:rsidRPr="00306820">
        <w:rPr>
          <w:rFonts w:ascii="Times New Roman" w:hAnsi="Times New Roman" w:cs="Times New Roman"/>
          <w:sz w:val="24"/>
          <w:szCs w:val="24"/>
        </w:rPr>
        <w:t xml:space="preserve">it had </w:t>
      </w:r>
      <w:r w:rsidR="00EB14FA" w:rsidRPr="00306820">
        <w:rPr>
          <w:rFonts w:ascii="Times New Roman" w:hAnsi="Times New Roman" w:cs="Times New Roman"/>
          <w:sz w:val="24"/>
          <w:szCs w:val="24"/>
        </w:rPr>
        <w:t xml:space="preserve">circumscribed </w:t>
      </w:r>
      <w:r w:rsidR="009C1018" w:rsidRPr="00306820">
        <w:rPr>
          <w:rFonts w:ascii="Times New Roman" w:hAnsi="Times New Roman" w:cs="Times New Roman"/>
          <w:sz w:val="24"/>
          <w:szCs w:val="24"/>
        </w:rPr>
        <w:t>th</w:t>
      </w:r>
      <w:r w:rsidR="00EB14FA" w:rsidRPr="00306820">
        <w:rPr>
          <w:rFonts w:ascii="Times New Roman" w:hAnsi="Times New Roman" w:cs="Times New Roman"/>
          <w:sz w:val="24"/>
          <w:szCs w:val="24"/>
        </w:rPr>
        <w:t>e conditions for a self- complaint case.</w:t>
      </w:r>
      <w:r w:rsidR="00EB14FA" w:rsidRPr="00306820">
        <w:rPr>
          <w:rStyle w:val="FootnoteReference"/>
          <w:rFonts w:ascii="Times New Roman" w:hAnsi="Times New Roman" w:cs="Times New Roman"/>
          <w:sz w:val="24"/>
          <w:szCs w:val="24"/>
        </w:rPr>
        <w:footnoteReference w:id="82"/>
      </w:r>
      <w:r w:rsidR="00EB14FA" w:rsidRPr="00306820">
        <w:rPr>
          <w:rFonts w:ascii="Times New Roman" w:hAnsi="Times New Roman" w:cs="Times New Roman"/>
          <w:sz w:val="24"/>
          <w:szCs w:val="24"/>
        </w:rPr>
        <w:t xml:space="preserve">  The Commission determined it would </w:t>
      </w:r>
      <w:r w:rsidR="00306820" w:rsidRPr="00306820">
        <w:rPr>
          <w:rFonts w:ascii="Times New Roman" w:hAnsi="Times New Roman" w:cs="Times New Roman"/>
          <w:sz w:val="24"/>
          <w:szCs w:val="24"/>
        </w:rPr>
        <w:t xml:space="preserve">only </w:t>
      </w:r>
      <w:r w:rsidR="00EB14FA" w:rsidRPr="00306820">
        <w:rPr>
          <w:rFonts w:ascii="Times New Roman" w:hAnsi="Times New Roman" w:cs="Times New Roman"/>
          <w:sz w:val="24"/>
          <w:szCs w:val="24"/>
        </w:rPr>
        <w:t>examine the reasonableness of charges proposed by a util</w:t>
      </w:r>
      <w:r w:rsidR="0015793C">
        <w:rPr>
          <w:rFonts w:ascii="Times New Roman" w:hAnsi="Times New Roman" w:cs="Times New Roman"/>
          <w:sz w:val="24"/>
          <w:szCs w:val="24"/>
        </w:rPr>
        <w:t>i</w:t>
      </w:r>
      <w:r w:rsidR="00AD1A77">
        <w:rPr>
          <w:rFonts w:ascii="Times New Roman" w:hAnsi="Times New Roman" w:cs="Times New Roman"/>
          <w:sz w:val="24"/>
          <w:szCs w:val="24"/>
        </w:rPr>
        <w:t>t</w:t>
      </w:r>
      <w:r w:rsidR="00EB14FA" w:rsidRPr="00306820">
        <w:rPr>
          <w:rFonts w:ascii="Times New Roman" w:hAnsi="Times New Roman" w:cs="Times New Roman"/>
          <w:sz w:val="24"/>
          <w:szCs w:val="24"/>
        </w:rPr>
        <w:t xml:space="preserve">y in a self-complaint </w:t>
      </w:r>
    </w:p>
    <w:p w:rsidR="00091A23" w:rsidRDefault="00091A23">
      <w:pPr>
        <w:rPr>
          <w:rFonts w:ascii="Times New Roman" w:hAnsi="Times New Roman" w:cs="Times New Roman"/>
          <w:sz w:val="24"/>
          <w:szCs w:val="24"/>
        </w:rPr>
      </w:pPr>
      <w:r>
        <w:rPr>
          <w:rFonts w:ascii="Times New Roman" w:hAnsi="Times New Roman" w:cs="Times New Roman"/>
          <w:sz w:val="24"/>
          <w:szCs w:val="24"/>
        </w:rPr>
        <w:br w:type="page"/>
      </w:r>
    </w:p>
    <w:p w:rsidR="00066FF8" w:rsidRDefault="00EB14FA" w:rsidP="00EB14FA">
      <w:pPr>
        <w:rPr>
          <w:rFonts w:ascii="Times New Roman" w:hAnsi="Times New Roman" w:cs="Times New Roman"/>
          <w:sz w:val="24"/>
          <w:szCs w:val="24"/>
        </w:rPr>
      </w:pPr>
      <w:proofErr w:type="gramStart"/>
      <w:r w:rsidRPr="00306820">
        <w:rPr>
          <w:rFonts w:ascii="Times New Roman" w:hAnsi="Times New Roman" w:cs="Times New Roman"/>
          <w:sz w:val="24"/>
          <w:szCs w:val="24"/>
        </w:rPr>
        <w:lastRenderedPageBreak/>
        <w:t>proceeding</w:t>
      </w:r>
      <w:proofErr w:type="gramEnd"/>
      <w:r w:rsidRPr="00306820">
        <w:rPr>
          <w:rFonts w:ascii="Times New Roman" w:hAnsi="Times New Roman" w:cs="Times New Roman"/>
          <w:sz w:val="24"/>
          <w:szCs w:val="24"/>
        </w:rPr>
        <w:t xml:space="preserve"> if the charges were not a general, across the board rate increase and </w:t>
      </w:r>
      <w:r w:rsidR="009C1018" w:rsidRPr="00306820">
        <w:rPr>
          <w:rFonts w:ascii="Times New Roman" w:hAnsi="Times New Roman" w:cs="Times New Roman"/>
          <w:sz w:val="24"/>
          <w:szCs w:val="24"/>
        </w:rPr>
        <w:t>the self-complaint mechanism w</w:t>
      </w:r>
      <w:r w:rsidR="00306820" w:rsidRPr="00306820">
        <w:rPr>
          <w:rFonts w:ascii="Times New Roman" w:hAnsi="Times New Roman" w:cs="Times New Roman"/>
          <w:sz w:val="24"/>
          <w:szCs w:val="24"/>
        </w:rPr>
        <w:t xml:space="preserve">ould </w:t>
      </w:r>
      <w:r w:rsidR="009C1018" w:rsidRPr="00306820">
        <w:rPr>
          <w:rFonts w:ascii="Times New Roman" w:hAnsi="Times New Roman" w:cs="Times New Roman"/>
          <w:sz w:val="24"/>
          <w:szCs w:val="24"/>
        </w:rPr>
        <w:t>protect the customers' interests</w:t>
      </w:r>
      <w:r w:rsidR="00306820" w:rsidRPr="00306820">
        <w:rPr>
          <w:rFonts w:ascii="Times New Roman" w:hAnsi="Times New Roman" w:cs="Times New Roman"/>
          <w:sz w:val="24"/>
          <w:szCs w:val="24"/>
        </w:rPr>
        <w:t>.</w:t>
      </w:r>
      <w:r w:rsidR="002C28D1" w:rsidRPr="00306820">
        <w:rPr>
          <w:rStyle w:val="FootnoteReference"/>
          <w:rFonts w:ascii="Times New Roman" w:hAnsi="Times New Roman" w:cs="Times New Roman"/>
          <w:sz w:val="24"/>
          <w:szCs w:val="24"/>
        </w:rPr>
        <w:footnoteReference w:id="83"/>
      </w:r>
      <w:r w:rsidR="00306820" w:rsidRPr="00306820">
        <w:rPr>
          <w:rFonts w:ascii="Times New Roman" w:hAnsi="Times New Roman" w:cs="Times New Roman"/>
          <w:sz w:val="24"/>
          <w:szCs w:val="24"/>
        </w:rPr>
        <w:t xml:space="preserve">  </w:t>
      </w:r>
    </w:p>
    <w:p w:rsidR="0015793C" w:rsidRDefault="00306820" w:rsidP="00066FF8">
      <w:pPr>
        <w:ind w:firstLine="720"/>
        <w:rPr>
          <w:rFonts w:ascii="Times New Roman" w:hAnsi="Times New Roman" w:cs="Times New Roman"/>
          <w:sz w:val="24"/>
          <w:szCs w:val="24"/>
        </w:rPr>
      </w:pPr>
      <w:r w:rsidRPr="00306820">
        <w:rPr>
          <w:rFonts w:ascii="Times New Roman" w:hAnsi="Times New Roman" w:cs="Times New Roman"/>
          <w:sz w:val="24"/>
          <w:szCs w:val="24"/>
        </w:rPr>
        <w:t xml:space="preserve">These </w:t>
      </w:r>
      <w:r w:rsidR="005460B2">
        <w:rPr>
          <w:rFonts w:ascii="Times New Roman" w:hAnsi="Times New Roman" w:cs="Times New Roman"/>
          <w:sz w:val="24"/>
          <w:szCs w:val="24"/>
        </w:rPr>
        <w:t>PUCO</w:t>
      </w:r>
      <w:r w:rsidR="00500377">
        <w:rPr>
          <w:rFonts w:ascii="Times New Roman" w:hAnsi="Times New Roman" w:cs="Times New Roman"/>
          <w:sz w:val="24"/>
          <w:szCs w:val="24"/>
        </w:rPr>
        <w:t>-</w:t>
      </w:r>
      <w:r w:rsidRPr="00306820">
        <w:rPr>
          <w:rFonts w:ascii="Times New Roman" w:hAnsi="Times New Roman" w:cs="Times New Roman"/>
          <w:sz w:val="24"/>
          <w:szCs w:val="24"/>
        </w:rPr>
        <w:t xml:space="preserve">imposed restrictions </w:t>
      </w:r>
      <w:r w:rsidR="005032AA">
        <w:rPr>
          <w:rFonts w:ascii="Times New Roman" w:hAnsi="Times New Roman" w:cs="Times New Roman"/>
          <w:sz w:val="24"/>
          <w:szCs w:val="24"/>
        </w:rPr>
        <w:t>are consistent with</w:t>
      </w:r>
      <w:r w:rsidRPr="00306820">
        <w:rPr>
          <w:rFonts w:ascii="Times New Roman" w:hAnsi="Times New Roman" w:cs="Times New Roman"/>
          <w:sz w:val="24"/>
          <w:szCs w:val="24"/>
        </w:rPr>
        <w:t xml:space="preserve"> the statutory requirements of R.C. 4905.26.  In other words a change in rates limited to a subclass of customers may be necessary to prevent or remedy what the statute refers to as </w:t>
      </w:r>
      <w:r w:rsidR="00066FF8">
        <w:rPr>
          <w:rFonts w:ascii="Times New Roman" w:hAnsi="Times New Roman" w:cs="Times New Roman"/>
          <w:sz w:val="24"/>
          <w:szCs w:val="24"/>
        </w:rPr>
        <w:t xml:space="preserve">an </w:t>
      </w:r>
      <w:r w:rsidRPr="00306820">
        <w:rPr>
          <w:rFonts w:ascii="Times New Roman" w:hAnsi="Times New Roman" w:cs="Times New Roman"/>
          <w:sz w:val="24"/>
          <w:szCs w:val="24"/>
        </w:rPr>
        <w:t xml:space="preserve">unjust, unreasonable, preferential, or discriminatory situation.  Such a situation </w:t>
      </w:r>
      <w:r w:rsidR="003A5C82">
        <w:rPr>
          <w:rFonts w:ascii="Times New Roman" w:hAnsi="Times New Roman" w:cs="Times New Roman"/>
          <w:sz w:val="24"/>
          <w:szCs w:val="24"/>
        </w:rPr>
        <w:t xml:space="preserve">may </w:t>
      </w:r>
      <w:r w:rsidRPr="00306820">
        <w:rPr>
          <w:rFonts w:ascii="Times New Roman" w:hAnsi="Times New Roman" w:cs="Times New Roman"/>
          <w:sz w:val="24"/>
          <w:szCs w:val="24"/>
        </w:rPr>
        <w:t>exist where customers in general are being charged for a service they are not receiving, and thus, are su</w:t>
      </w:r>
      <w:r w:rsidR="003A5C82">
        <w:rPr>
          <w:rFonts w:ascii="Times New Roman" w:hAnsi="Times New Roman" w:cs="Times New Roman"/>
          <w:sz w:val="24"/>
          <w:szCs w:val="24"/>
        </w:rPr>
        <w:t>bsidizing</w:t>
      </w:r>
      <w:r w:rsidRPr="00306820">
        <w:rPr>
          <w:rFonts w:ascii="Times New Roman" w:hAnsi="Times New Roman" w:cs="Times New Roman"/>
          <w:sz w:val="24"/>
          <w:szCs w:val="24"/>
        </w:rPr>
        <w:t>.</w:t>
      </w:r>
      <w:r w:rsidRPr="00306820">
        <w:rPr>
          <w:rStyle w:val="FootnoteReference"/>
          <w:rFonts w:ascii="Times New Roman" w:hAnsi="Times New Roman" w:cs="Times New Roman"/>
          <w:sz w:val="24"/>
          <w:szCs w:val="24"/>
        </w:rPr>
        <w:footnoteReference w:id="84"/>
      </w:r>
      <w:r w:rsidRPr="00306820">
        <w:rPr>
          <w:rFonts w:ascii="Times New Roman" w:hAnsi="Times New Roman" w:cs="Times New Roman"/>
          <w:sz w:val="24"/>
          <w:szCs w:val="24"/>
        </w:rPr>
        <w:t xml:space="preserve">  </w:t>
      </w:r>
      <w:r w:rsidR="003A5C82">
        <w:rPr>
          <w:rFonts w:ascii="Times New Roman" w:hAnsi="Times New Roman" w:cs="Times New Roman"/>
          <w:sz w:val="24"/>
          <w:szCs w:val="24"/>
        </w:rPr>
        <w:t xml:space="preserve">Additionally, the </w:t>
      </w:r>
      <w:r w:rsidR="005460B2">
        <w:rPr>
          <w:rFonts w:ascii="Times New Roman" w:hAnsi="Times New Roman" w:cs="Times New Roman"/>
          <w:sz w:val="24"/>
          <w:szCs w:val="24"/>
        </w:rPr>
        <w:t xml:space="preserve">PUCO </w:t>
      </w:r>
      <w:r w:rsidR="003A5C82">
        <w:rPr>
          <w:rFonts w:ascii="Times New Roman" w:hAnsi="Times New Roman" w:cs="Times New Roman"/>
          <w:sz w:val="24"/>
          <w:szCs w:val="24"/>
        </w:rPr>
        <w:t>has ruled that under normal circumstances it would not permit noncompetitive offerings to be considered pursuant to a self-complaint proceeding.</w:t>
      </w:r>
      <w:r w:rsidR="003A5C82">
        <w:rPr>
          <w:rStyle w:val="FootnoteReference"/>
          <w:rFonts w:ascii="Times New Roman" w:hAnsi="Times New Roman" w:cs="Times New Roman"/>
          <w:sz w:val="24"/>
          <w:szCs w:val="24"/>
        </w:rPr>
        <w:footnoteReference w:id="85"/>
      </w:r>
      <w:r w:rsidR="00AD1A77">
        <w:rPr>
          <w:rFonts w:ascii="Times New Roman" w:hAnsi="Times New Roman" w:cs="Times New Roman"/>
          <w:sz w:val="24"/>
          <w:szCs w:val="24"/>
        </w:rPr>
        <w:t xml:space="preserve">  </w:t>
      </w:r>
    </w:p>
    <w:p w:rsidR="004B729B" w:rsidRPr="00306820" w:rsidRDefault="0015793C" w:rsidP="0015793C">
      <w:pPr>
        <w:ind w:firstLine="720"/>
        <w:rPr>
          <w:rFonts w:ascii="Times New Roman" w:hAnsi="Times New Roman" w:cs="Times New Roman"/>
          <w:sz w:val="24"/>
          <w:szCs w:val="24"/>
        </w:rPr>
      </w:pPr>
      <w:r>
        <w:rPr>
          <w:rFonts w:ascii="Times New Roman" w:hAnsi="Times New Roman" w:cs="Times New Roman"/>
          <w:sz w:val="24"/>
          <w:szCs w:val="24"/>
        </w:rPr>
        <w:t xml:space="preserve">In this proceeding Duke seeks a rate change directed across the board to all </w:t>
      </w:r>
      <w:r w:rsidR="005460B2">
        <w:rPr>
          <w:rFonts w:ascii="Times New Roman" w:hAnsi="Times New Roman" w:cs="Times New Roman"/>
          <w:sz w:val="24"/>
          <w:szCs w:val="24"/>
        </w:rPr>
        <w:t>of its</w:t>
      </w:r>
      <w:r>
        <w:rPr>
          <w:rFonts w:ascii="Times New Roman" w:hAnsi="Times New Roman" w:cs="Times New Roman"/>
          <w:sz w:val="24"/>
          <w:szCs w:val="24"/>
        </w:rPr>
        <w:t xml:space="preserve"> customers.  The rate increase is not directed to a particular customer class.  Duke requests its rate increase on a stand</w:t>
      </w:r>
      <w:r w:rsidR="00A84B44">
        <w:rPr>
          <w:rFonts w:ascii="Times New Roman" w:hAnsi="Times New Roman" w:cs="Times New Roman"/>
          <w:sz w:val="24"/>
          <w:szCs w:val="24"/>
        </w:rPr>
        <w:t>-</w:t>
      </w:r>
      <w:r>
        <w:rPr>
          <w:rFonts w:ascii="Times New Roman" w:hAnsi="Times New Roman" w:cs="Times New Roman"/>
          <w:sz w:val="24"/>
          <w:szCs w:val="24"/>
        </w:rPr>
        <w:t xml:space="preserve">alone basis—it is not sought during the course of another rate proceeding.  And Duke’s request is not temporary in duration as it will extend for three long years.  Duke has also failed to prove that its request is an emergency request filed </w:t>
      </w:r>
      <w:r>
        <w:rPr>
          <w:rFonts w:ascii="Times New Roman" w:hAnsi="Times New Roman" w:cs="Times New Roman"/>
          <w:sz w:val="24"/>
          <w:szCs w:val="24"/>
        </w:rPr>
        <w:lastRenderedPageBreak/>
        <w:t>under R.C. 4909.16.  Finally, i</w:t>
      </w:r>
      <w:r w:rsidR="00AD1A77">
        <w:rPr>
          <w:rFonts w:ascii="Times New Roman" w:hAnsi="Times New Roman" w:cs="Times New Roman"/>
          <w:sz w:val="24"/>
          <w:szCs w:val="24"/>
        </w:rPr>
        <w:t xml:space="preserve">f </w:t>
      </w:r>
      <w:r w:rsidR="001845A0">
        <w:rPr>
          <w:rFonts w:ascii="Times New Roman" w:hAnsi="Times New Roman" w:cs="Times New Roman"/>
          <w:sz w:val="24"/>
          <w:szCs w:val="24"/>
        </w:rPr>
        <w:t xml:space="preserve">the PUCO accepts </w:t>
      </w:r>
      <w:r w:rsidR="00AD1A77">
        <w:rPr>
          <w:rFonts w:ascii="Times New Roman" w:hAnsi="Times New Roman" w:cs="Times New Roman"/>
          <w:sz w:val="24"/>
          <w:szCs w:val="24"/>
        </w:rPr>
        <w:t>Duke’s claim that capacity service is truly a “non-competit</w:t>
      </w:r>
      <w:r>
        <w:rPr>
          <w:rFonts w:ascii="Times New Roman" w:hAnsi="Times New Roman" w:cs="Times New Roman"/>
          <w:sz w:val="24"/>
          <w:szCs w:val="24"/>
        </w:rPr>
        <w:t>i</w:t>
      </w:r>
      <w:r w:rsidR="00AD1A77">
        <w:rPr>
          <w:rFonts w:ascii="Times New Roman" w:hAnsi="Times New Roman" w:cs="Times New Roman"/>
          <w:sz w:val="24"/>
          <w:szCs w:val="24"/>
        </w:rPr>
        <w:t xml:space="preserve">ve” service, </w:t>
      </w:r>
      <w:proofErr w:type="gramStart"/>
      <w:r w:rsidR="00AD1A77">
        <w:rPr>
          <w:rFonts w:ascii="Times New Roman" w:hAnsi="Times New Roman" w:cs="Times New Roman"/>
          <w:sz w:val="24"/>
          <w:szCs w:val="24"/>
        </w:rPr>
        <w:t>then</w:t>
      </w:r>
      <w:proofErr w:type="gramEnd"/>
      <w:r w:rsidR="00AD1A77">
        <w:rPr>
          <w:rFonts w:ascii="Times New Roman" w:hAnsi="Times New Roman" w:cs="Times New Roman"/>
          <w:sz w:val="24"/>
          <w:szCs w:val="24"/>
        </w:rPr>
        <w:t xml:space="preserve"> this is another reason why there is no authority to approve the rate increase under R.C. 4905.26.  </w:t>
      </w:r>
    </w:p>
    <w:p w:rsidR="0033627C" w:rsidRPr="00A84B44" w:rsidRDefault="00D308F6" w:rsidP="00FB4463">
      <w:pPr>
        <w:pStyle w:val="Heading3"/>
      </w:pPr>
      <w:bookmarkStart w:id="20" w:name="_Toc362949995"/>
      <w:r>
        <w:t>5.</w:t>
      </w:r>
      <w:r>
        <w:tab/>
      </w:r>
      <w:r w:rsidR="00066FF8" w:rsidRPr="00A84B44">
        <w:t>Providing wholesale “non-competitive”</w:t>
      </w:r>
      <w:r w:rsidR="00066FF8" w:rsidRPr="00A84B44">
        <w:rPr>
          <w:rStyle w:val="FootnoteReference"/>
          <w:rFonts w:ascii="Times New Roman" w:hAnsi="Times New Roman"/>
        </w:rPr>
        <w:footnoteReference w:id="86"/>
      </w:r>
      <w:r w:rsidR="00066FF8" w:rsidRPr="00A84B44">
        <w:t xml:space="preserve"> FRR capacity service to </w:t>
      </w:r>
      <w:r w:rsidR="00047434">
        <w:t>marketers</w:t>
      </w:r>
      <w:r w:rsidR="00066FF8" w:rsidRPr="00A84B44">
        <w:t xml:space="preserve"> is not similar to providing traditional public utility service prior to restructuring.</w:t>
      </w:r>
      <w:bookmarkEnd w:id="20"/>
    </w:p>
    <w:p w:rsidR="00010DCB" w:rsidRPr="00A84B44" w:rsidRDefault="00010DCB" w:rsidP="00D308F6">
      <w:pPr>
        <w:ind w:firstLine="720"/>
        <w:rPr>
          <w:rFonts w:ascii="Times New Roman" w:hAnsi="Times New Roman" w:cs="Times New Roman"/>
          <w:sz w:val="24"/>
          <w:szCs w:val="24"/>
        </w:rPr>
      </w:pPr>
      <w:r w:rsidRPr="00A84B44">
        <w:rPr>
          <w:rFonts w:ascii="Times New Roman" w:hAnsi="Times New Roman" w:cs="Times New Roman"/>
          <w:sz w:val="24"/>
          <w:szCs w:val="24"/>
        </w:rPr>
        <w:t xml:space="preserve">According to Duke, the wholesale capacity FRR service that it provides to </w:t>
      </w:r>
      <w:r w:rsidR="00047434">
        <w:rPr>
          <w:rFonts w:ascii="Times New Roman" w:hAnsi="Times New Roman" w:cs="Times New Roman"/>
          <w:sz w:val="24"/>
          <w:szCs w:val="24"/>
        </w:rPr>
        <w:t>marketers</w:t>
      </w:r>
      <w:r w:rsidRPr="00A84B44">
        <w:rPr>
          <w:rFonts w:ascii="Times New Roman" w:hAnsi="Times New Roman" w:cs="Times New Roman"/>
          <w:sz w:val="24"/>
          <w:szCs w:val="24"/>
        </w:rPr>
        <w:t xml:space="preserve"> is similar to traditional public utility service that was provided to customers prior to restructuring.  But Duke’s claims of similarity are misguided.  </w:t>
      </w:r>
    </w:p>
    <w:p w:rsidR="00D308F6" w:rsidRDefault="00010DCB" w:rsidP="0064367D">
      <w:pPr>
        <w:ind w:firstLine="720"/>
      </w:pPr>
      <w:r w:rsidRPr="00A84B44">
        <w:rPr>
          <w:rFonts w:ascii="Times New Roman" w:hAnsi="Times New Roman" w:cs="Times New Roman"/>
          <w:sz w:val="24"/>
          <w:szCs w:val="24"/>
        </w:rPr>
        <w:t xml:space="preserve">Under traditional regulation in Ohio, the services that are provided by utilities are those provided to the public and citizens of the state—not to third party merchants.  One need only look at how the General Assembly defined a public utility to confirm this.  </w:t>
      </w:r>
      <w:r w:rsidR="00A919CA" w:rsidRPr="00A84B44">
        <w:rPr>
          <w:rFonts w:ascii="Times New Roman" w:hAnsi="Times New Roman" w:cs="Times New Roman"/>
          <w:sz w:val="24"/>
          <w:szCs w:val="24"/>
        </w:rPr>
        <w:t>R.C. 4905.03 defin</w:t>
      </w:r>
      <w:r w:rsidRPr="00A84B44">
        <w:rPr>
          <w:rFonts w:ascii="Times New Roman" w:hAnsi="Times New Roman" w:cs="Times New Roman"/>
          <w:sz w:val="24"/>
          <w:szCs w:val="24"/>
        </w:rPr>
        <w:t>es</w:t>
      </w:r>
      <w:r w:rsidR="00A919CA" w:rsidRPr="00A84B44">
        <w:rPr>
          <w:rFonts w:ascii="Times New Roman" w:hAnsi="Times New Roman" w:cs="Times New Roman"/>
          <w:sz w:val="24"/>
          <w:szCs w:val="24"/>
        </w:rPr>
        <w:t xml:space="preserve"> a public utility as </w:t>
      </w:r>
      <w:r w:rsidRPr="00A84B44">
        <w:rPr>
          <w:rFonts w:ascii="Times New Roman" w:hAnsi="Times New Roman" w:cs="Times New Roman"/>
          <w:sz w:val="24"/>
          <w:szCs w:val="24"/>
        </w:rPr>
        <w:t>an entity “</w:t>
      </w:r>
      <w:r w:rsidR="00A919CA" w:rsidRPr="00A84B44">
        <w:rPr>
          <w:rFonts w:ascii="Times New Roman" w:hAnsi="Times New Roman" w:cs="Times New Roman"/>
          <w:sz w:val="24"/>
          <w:szCs w:val="24"/>
        </w:rPr>
        <w:t xml:space="preserve">engaged in the business of supplying electricity for light, heart, or power purposes </w:t>
      </w:r>
      <w:r w:rsidRPr="00A84B44">
        <w:rPr>
          <w:rFonts w:ascii="Times New Roman" w:hAnsi="Times New Roman" w:cs="Times New Roman"/>
          <w:i/>
          <w:sz w:val="24"/>
          <w:szCs w:val="24"/>
        </w:rPr>
        <w:t>to consumers within this state</w:t>
      </w:r>
      <w:r w:rsidR="0058204D" w:rsidRPr="00A84B44">
        <w:rPr>
          <w:rFonts w:ascii="Times New Roman" w:hAnsi="Times New Roman" w:cs="Times New Roman"/>
          <w:i/>
          <w:sz w:val="24"/>
          <w:szCs w:val="24"/>
        </w:rPr>
        <w:t>.”</w:t>
      </w:r>
      <w:r w:rsidR="00DD5BA4" w:rsidRPr="007B4368">
        <w:rPr>
          <w:rStyle w:val="FootnoteReference"/>
          <w:rFonts w:ascii="Times New Roman" w:hAnsi="Times New Roman" w:cs="Times New Roman"/>
          <w:sz w:val="24"/>
          <w:szCs w:val="24"/>
        </w:rPr>
        <w:footnoteReference w:id="87"/>
      </w:r>
      <w:r w:rsidR="00A919CA" w:rsidRPr="00A84B44">
        <w:rPr>
          <w:rFonts w:ascii="Times New Roman" w:hAnsi="Times New Roman" w:cs="Times New Roman"/>
          <w:i/>
          <w:sz w:val="24"/>
          <w:szCs w:val="24"/>
        </w:rPr>
        <w:t xml:space="preserve"> </w:t>
      </w:r>
      <w:r w:rsidR="00A919CA" w:rsidRPr="00A84B44">
        <w:rPr>
          <w:rFonts w:ascii="Times New Roman" w:hAnsi="Times New Roman" w:cs="Times New Roman"/>
          <w:sz w:val="24"/>
          <w:szCs w:val="24"/>
        </w:rPr>
        <w:t xml:space="preserve"> </w:t>
      </w:r>
    </w:p>
    <w:p w:rsidR="00A84B44" w:rsidRPr="00A84B44" w:rsidRDefault="00010DCB" w:rsidP="00D308F6">
      <w:pPr>
        <w:rPr>
          <w:rFonts w:ascii="Times New Roman" w:hAnsi="Times New Roman" w:cs="Times New Roman"/>
          <w:sz w:val="24"/>
          <w:szCs w:val="24"/>
        </w:rPr>
      </w:pPr>
      <w:r w:rsidRPr="00A84B44">
        <w:rPr>
          <w:rFonts w:ascii="Times New Roman" w:hAnsi="Times New Roman" w:cs="Times New Roman"/>
          <w:sz w:val="24"/>
          <w:szCs w:val="24"/>
        </w:rPr>
        <w:t>“Consumers in this state” were not and have never been</w:t>
      </w:r>
      <w:r w:rsidR="00047434">
        <w:rPr>
          <w:rFonts w:ascii="Times New Roman" w:hAnsi="Times New Roman" w:cs="Times New Roman"/>
          <w:sz w:val="24"/>
          <w:szCs w:val="24"/>
        </w:rPr>
        <w:t xml:space="preserve"> marketers</w:t>
      </w:r>
      <w:r w:rsidRPr="00A84B44">
        <w:rPr>
          <w:rFonts w:ascii="Times New Roman" w:hAnsi="Times New Roman" w:cs="Times New Roman"/>
          <w:sz w:val="24"/>
          <w:szCs w:val="24"/>
        </w:rPr>
        <w:t xml:space="preserve">.  </w:t>
      </w:r>
      <w:r w:rsidR="00DD5BA4" w:rsidRPr="00A84B44">
        <w:rPr>
          <w:rFonts w:ascii="Times New Roman" w:hAnsi="Times New Roman" w:cs="Times New Roman"/>
          <w:sz w:val="24"/>
          <w:szCs w:val="24"/>
        </w:rPr>
        <w:t>Mor</w:t>
      </w:r>
      <w:r w:rsidR="00A84B44" w:rsidRPr="00A84B44">
        <w:rPr>
          <w:rFonts w:ascii="Times New Roman" w:hAnsi="Times New Roman" w:cs="Times New Roman"/>
          <w:sz w:val="24"/>
          <w:szCs w:val="24"/>
        </w:rPr>
        <w:t>eo</w:t>
      </w:r>
      <w:r w:rsidR="00DD5BA4" w:rsidRPr="00A84B44">
        <w:rPr>
          <w:rFonts w:ascii="Times New Roman" w:hAnsi="Times New Roman" w:cs="Times New Roman"/>
          <w:sz w:val="24"/>
          <w:szCs w:val="24"/>
        </w:rPr>
        <w:t>ver, the o</w:t>
      </w:r>
      <w:r w:rsidR="00A6180F" w:rsidRPr="00A84B44">
        <w:rPr>
          <w:rFonts w:ascii="Times New Roman" w:hAnsi="Times New Roman" w:cs="Times New Roman"/>
          <w:sz w:val="24"/>
          <w:szCs w:val="24"/>
        </w:rPr>
        <w:t>bligations of utility are to the public at large</w:t>
      </w:r>
      <w:r w:rsidR="00DD5BA4" w:rsidRPr="00A84B44">
        <w:rPr>
          <w:rFonts w:ascii="Times New Roman" w:hAnsi="Times New Roman" w:cs="Times New Roman"/>
          <w:sz w:val="24"/>
          <w:szCs w:val="24"/>
        </w:rPr>
        <w:t xml:space="preserve">—not to </w:t>
      </w:r>
      <w:r w:rsidR="00047434">
        <w:rPr>
          <w:rFonts w:ascii="Times New Roman" w:hAnsi="Times New Roman" w:cs="Times New Roman"/>
          <w:sz w:val="24"/>
          <w:szCs w:val="24"/>
        </w:rPr>
        <w:t>marketers</w:t>
      </w:r>
      <w:r w:rsidR="00DD5BA4" w:rsidRPr="00A84B44">
        <w:rPr>
          <w:rFonts w:ascii="Times New Roman" w:hAnsi="Times New Roman" w:cs="Times New Roman"/>
          <w:sz w:val="24"/>
          <w:szCs w:val="24"/>
        </w:rPr>
        <w:t>.</w:t>
      </w:r>
      <w:r w:rsidR="00DD5BA4" w:rsidRPr="00A84B44">
        <w:rPr>
          <w:rStyle w:val="FootnoteReference"/>
          <w:rFonts w:ascii="Times New Roman" w:hAnsi="Times New Roman" w:cs="Times New Roman"/>
          <w:sz w:val="24"/>
          <w:szCs w:val="24"/>
        </w:rPr>
        <w:footnoteReference w:id="88"/>
      </w:r>
    </w:p>
    <w:p w:rsidR="00A84B44" w:rsidRPr="00467375" w:rsidRDefault="00016E0D" w:rsidP="00FB4463">
      <w:pPr>
        <w:pStyle w:val="Heading2"/>
      </w:pPr>
      <w:bookmarkStart w:id="21" w:name="_Toc362949996"/>
      <w:r>
        <w:lastRenderedPageBreak/>
        <w:t>C.</w:t>
      </w:r>
      <w:r w:rsidR="00D308F6">
        <w:rPr>
          <w:i/>
        </w:rPr>
        <w:tab/>
      </w:r>
      <w:r w:rsidR="00A84B44" w:rsidRPr="00467375">
        <w:t xml:space="preserve">Even </w:t>
      </w:r>
      <w:r w:rsidR="00091A23" w:rsidRPr="00467375">
        <w:t xml:space="preserve">If The </w:t>
      </w:r>
      <w:r w:rsidR="00A84B44" w:rsidRPr="00467375">
        <w:t xml:space="preserve">Commission </w:t>
      </w:r>
      <w:r w:rsidR="00091A23" w:rsidRPr="00467375">
        <w:t xml:space="preserve">Can Regulate The Provision Of Wholesale Generation Capacity Under </w:t>
      </w:r>
      <w:r w:rsidR="005032AA" w:rsidRPr="00467375">
        <w:t xml:space="preserve">Ohio </w:t>
      </w:r>
      <w:r w:rsidR="00091A23" w:rsidRPr="00467375">
        <w:t xml:space="preserve">Law, It Is Not Bound To Use Fully Embedded Costs To Compensate </w:t>
      </w:r>
      <w:r w:rsidR="005032AA" w:rsidRPr="00467375">
        <w:t xml:space="preserve">Duke </w:t>
      </w:r>
      <w:r w:rsidR="00091A23" w:rsidRPr="00467375">
        <w:t>For Its Capacity.</w:t>
      </w:r>
      <w:bookmarkEnd w:id="21"/>
    </w:p>
    <w:p w:rsidR="009872D1" w:rsidRDefault="00467375" w:rsidP="00467375">
      <w:pPr>
        <w:ind w:firstLine="720"/>
        <w:rPr>
          <w:rFonts w:ascii="Times New Roman" w:hAnsi="Times New Roman" w:cs="Times New Roman"/>
          <w:sz w:val="24"/>
          <w:szCs w:val="24"/>
        </w:rPr>
      </w:pPr>
      <w:r w:rsidRPr="00467375">
        <w:rPr>
          <w:rFonts w:ascii="Times New Roman" w:hAnsi="Times New Roman" w:cs="Times New Roman"/>
          <w:sz w:val="24"/>
          <w:szCs w:val="24"/>
        </w:rPr>
        <w:t xml:space="preserve">If the PUCO determines </w:t>
      </w:r>
      <w:r>
        <w:rPr>
          <w:rFonts w:ascii="Times New Roman" w:hAnsi="Times New Roman" w:cs="Times New Roman"/>
          <w:sz w:val="24"/>
          <w:szCs w:val="24"/>
        </w:rPr>
        <w:t xml:space="preserve">that the FRR capacity service provided by Duke to </w:t>
      </w:r>
      <w:r w:rsidR="00047434">
        <w:rPr>
          <w:rFonts w:ascii="Times New Roman" w:hAnsi="Times New Roman" w:cs="Times New Roman"/>
          <w:sz w:val="24"/>
          <w:szCs w:val="24"/>
        </w:rPr>
        <w:t>marketers</w:t>
      </w:r>
      <w:r>
        <w:rPr>
          <w:rFonts w:ascii="Times New Roman" w:hAnsi="Times New Roman" w:cs="Times New Roman"/>
          <w:sz w:val="24"/>
          <w:szCs w:val="24"/>
        </w:rPr>
        <w:t xml:space="preserve"> and auction winners can be regulated under the PUCO’s traditional regulatory authority (per R.C. Chapters 4905, 4909), the PUCO need not compensate Duke for its fully embedded cost.  </w:t>
      </w:r>
      <w:r w:rsidR="009872D1">
        <w:rPr>
          <w:rFonts w:ascii="Times New Roman" w:hAnsi="Times New Roman" w:cs="Times New Roman"/>
          <w:sz w:val="24"/>
          <w:szCs w:val="24"/>
        </w:rPr>
        <w:t>There are numerous reasons why as explained in detail below.  First, the Reliability Assurance Agreement</w:t>
      </w:r>
      <w:r w:rsidR="0058204D">
        <w:rPr>
          <w:rFonts w:ascii="Times New Roman" w:hAnsi="Times New Roman" w:cs="Times New Roman"/>
          <w:sz w:val="24"/>
          <w:szCs w:val="24"/>
        </w:rPr>
        <w:t xml:space="preserve"> (“RAA”)</w:t>
      </w:r>
      <w:r w:rsidR="009872D1">
        <w:rPr>
          <w:rFonts w:ascii="Times New Roman" w:hAnsi="Times New Roman" w:cs="Times New Roman"/>
          <w:sz w:val="24"/>
          <w:szCs w:val="24"/>
        </w:rPr>
        <w:t xml:space="preserve"> does not require the PUCO to affirmatively develop a state compensation mechanism.  Second, </w:t>
      </w:r>
      <w:r>
        <w:rPr>
          <w:rFonts w:ascii="Times New Roman" w:hAnsi="Times New Roman" w:cs="Times New Roman"/>
          <w:sz w:val="24"/>
          <w:szCs w:val="24"/>
        </w:rPr>
        <w:t xml:space="preserve">as the PUCO itself has recognized, </w:t>
      </w:r>
      <w:r w:rsidR="00A35126">
        <w:rPr>
          <w:rFonts w:ascii="Times New Roman" w:hAnsi="Times New Roman" w:cs="Times New Roman"/>
          <w:sz w:val="24"/>
          <w:szCs w:val="24"/>
        </w:rPr>
        <w:t>it is under no obligation to adop</w:t>
      </w:r>
      <w:r w:rsidR="00091A23">
        <w:rPr>
          <w:rFonts w:ascii="Times New Roman" w:hAnsi="Times New Roman" w:cs="Times New Roman"/>
          <w:sz w:val="24"/>
          <w:szCs w:val="24"/>
        </w:rPr>
        <w:t>t</w:t>
      </w:r>
      <w:r w:rsidR="00A35126">
        <w:rPr>
          <w:rFonts w:ascii="Times New Roman" w:hAnsi="Times New Roman" w:cs="Times New Roman"/>
          <w:sz w:val="24"/>
          <w:szCs w:val="24"/>
        </w:rPr>
        <w:t xml:space="preserve"> a specific mechanism to address capacity costs.</w:t>
      </w:r>
      <w:r w:rsidR="00A35126">
        <w:rPr>
          <w:rStyle w:val="FootnoteReference"/>
          <w:rFonts w:ascii="Times New Roman" w:hAnsi="Times New Roman" w:cs="Times New Roman"/>
          <w:sz w:val="24"/>
          <w:szCs w:val="24"/>
        </w:rPr>
        <w:footnoteReference w:id="89"/>
      </w:r>
      <w:r w:rsidR="00A35126">
        <w:rPr>
          <w:rFonts w:ascii="Times New Roman" w:hAnsi="Times New Roman" w:cs="Times New Roman"/>
          <w:sz w:val="24"/>
          <w:szCs w:val="24"/>
        </w:rPr>
        <w:t xml:space="preserve">  </w:t>
      </w:r>
    </w:p>
    <w:p w:rsidR="009872D1" w:rsidRPr="0064367D" w:rsidRDefault="009872D1" w:rsidP="00091A23">
      <w:pPr>
        <w:pStyle w:val="Heading3"/>
        <w:numPr>
          <w:ilvl w:val="0"/>
          <w:numId w:val="28"/>
        </w:numPr>
        <w:ind w:left="2880" w:hanging="720"/>
      </w:pPr>
      <w:bookmarkStart w:id="22" w:name="_Toc362949997"/>
      <w:r w:rsidRPr="0064367D">
        <w:t xml:space="preserve">Under the </w:t>
      </w:r>
      <w:r w:rsidR="002E6946">
        <w:t>r</w:t>
      </w:r>
      <w:r w:rsidRPr="0064367D">
        <w:t xml:space="preserve">eliability </w:t>
      </w:r>
      <w:r w:rsidR="002E6946">
        <w:t>a</w:t>
      </w:r>
      <w:r w:rsidRPr="0064367D">
        <w:t xml:space="preserve">ssurance </w:t>
      </w:r>
      <w:r w:rsidR="002E6946">
        <w:t>a</w:t>
      </w:r>
      <w:r w:rsidRPr="0064367D">
        <w:t xml:space="preserve">greement, </w:t>
      </w:r>
      <w:r w:rsidR="00091A23">
        <w:t>a</w:t>
      </w:r>
      <w:r w:rsidRPr="0064367D">
        <w:t xml:space="preserve"> </w:t>
      </w:r>
      <w:r w:rsidR="002E6946">
        <w:t>s</w:t>
      </w:r>
      <w:r w:rsidRPr="0064367D">
        <w:t xml:space="preserve">tate </w:t>
      </w:r>
      <w:r w:rsidR="002E6946">
        <w:t>c</w:t>
      </w:r>
      <w:r w:rsidRPr="0064367D">
        <w:t xml:space="preserve">ommission </w:t>
      </w:r>
      <w:r w:rsidR="00091A23" w:rsidRPr="000B7B06">
        <w:rPr>
          <w:i/>
        </w:rPr>
        <w:t>m</w:t>
      </w:r>
      <w:r w:rsidRPr="0064367D">
        <w:rPr>
          <w:i/>
        </w:rPr>
        <w:t>ay</w:t>
      </w:r>
      <w:r w:rsidRPr="0064367D">
        <w:t xml:space="preserve"> </w:t>
      </w:r>
      <w:r w:rsidR="00091A23">
        <w:t>a</w:t>
      </w:r>
      <w:r w:rsidRPr="0064367D">
        <w:t xml:space="preserve">dopt </w:t>
      </w:r>
      <w:r w:rsidR="00091A23">
        <w:t>a</w:t>
      </w:r>
      <w:r w:rsidRPr="0064367D">
        <w:t xml:space="preserve"> </w:t>
      </w:r>
      <w:r w:rsidR="002E6946">
        <w:t>s</w:t>
      </w:r>
      <w:r w:rsidRPr="0064367D">
        <w:t xml:space="preserve">tate </w:t>
      </w:r>
      <w:r w:rsidR="007C6E59">
        <w:t>c</w:t>
      </w:r>
      <w:r w:rsidRPr="0064367D">
        <w:t xml:space="preserve">ompensation </w:t>
      </w:r>
      <w:r w:rsidR="007C6E59">
        <w:t>m</w:t>
      </w:r>
      <w:r w:rsidRPr="0064367D">
        <w:t xml:space="preserve">echanism, </w:t>
      </w:r>
      <w:r w:rsidR="00091A23">
        <w:t>b</w:t>
      </w:r>
      <w:r w:rsidRPr="0064367D">
        <w:t xml:space="preserve">ut </w:t>
      </w:r>
      <w:r w:rsidR="00091A23">
        <w:t>i</w:t>
      </w:r>
      <w:r w:rsidRPr="0064367D">
        <w:t xml:space="preserve">t </w:t>
      </w:r>
      <w:r w:rsidR="00091A23">
        <w:t>i</w:t>
      </w:r>
      <w:r w:rsidRPr="0064367D">
        <w:t xml:space="preserve">s </w:t>
      </w:r>
      <w:r w:rsidR="00091A23">
        <w:t>n</w:t>
      </w:r>
      <w:r w:rsidRPr="0064367D">
        <w:t xml:space="preserve">ot </w:t>
      </w:r>
      <w:r w:rsidR="00091A23">
        <w:t>r</w:t>
      </w:r>
      <w:r w:rsidRPr="0064367D">
        <w:t xml:space="preserve">equired </w:t>
      </w:r>
      <w:r w:rsidR="00091A23">
        <w:t>t</w:t>
      </w:r>
      <w:r w:rsidRPr="0064367D">
        <w:t xml:space="preserve">o </w:t>
      </w:r>
      <w:r w:rsidR="00091A23">
        <w:t>do</w:t>
      </w:r>
      <w:r w:rsidRPr="0064367D">
        <w:t xml:space="preserve"> </w:t>
      </w:r>
      <w:r w:rsidR="00091A23">
        <w:t>s</w:t>
      </w:r>
      <w:r w:rsidRPr="0064367D">
        <w:t>o.</w:t>
      </w:r>
      <w:bookmarkEnd w:id="22"/>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 xml:space="preserve">Duke argues that “[t]he Commission also has found that Section D.8 of Schedule 8.1 of the </w:t>
      </w:r>
      <w:r w:rsidR="0058204D">
        <w:rPr>
          <w:rFonts w:ascii="Times New Roman" w:hAnsi="Times New Roman" w:cs="Times New Roman"/>
          <w:sz w:val="24"/>
          <w:szCs w:val="24"/>
        </w:rPr>
        <w:t xml:space="preserve">RAA </w:t>
      </w:r>
      <w:r>
        <w:rPr>
          <w:rFonts w:ascii="Times New Roman" w:hAnsi="Times New Roman" w:cs="Times New Roman"/>
          <w:sz w:val="24"/>
          <w:szCs w:val="24"/>
        </w:rPr>
        <w:t>acknowledges the authority of the Commission to establish [a state compensation mechanism] that, once established, prevails over the other compensation methods addressed in that section.”</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Pr>
          <w:rFonts w:ascii="Times New Roman" w:hAnsi="Times New Roman" w:cs="Times New Roman"/>
          <w:sz w:val="24"/>
          <w:szCs w:val="24"/>
        </w:rPr>
        <w:t xml:space="preserve">Duke’s statement assumes that a state Commission </w:t>
      </w:r>
      <w:r w:rsidRPr="00EC6F84">
        <w:rPr>
          <w:rFonts w:ascii="Times New Roman" w:hAnsi="Times New Roman" w:cs="Times New Roman"/>
          <w:i/>
          <w:sz w:val="24"/>
          <w:szCs w:val="24"/>
        </w:rPr>
        <w:t>must</w:t>
      </w:r>
      <w:r>
        <w:rPr>
          <w:rFonts w:ascii="Times New Roman" w:hAnsi="Times New Roman" w:cs="Times New Roman"/>
          <w:sz w:val="24"/>
          <w:szCs w:val="24"/>
        </w:rPr>
        <w:t xml:space="preserve"> develop a state compensation mechanism for FRR entities.  Duke is wrong.  Duke fails to acknowledge that it is within the discretion of a state Commission to adopt a state compensation mechanism for FRR entities.  In this regard, Schedule 8.1, Section D.8 of the RAA’s language is precise, and states:</w:t>
      </w:r>
    </w:p>
    <w:p w:rsidR="009872D1" w:rsidRPr="00E45180" w:rsidRDefault="009872D1" w:rsidP="009872D1">
      <w:pPr>
        <w:autoSpaceDE w:val="0"/>
        <w:autoSpaceDN w:val="0"/>
        <w:adjustRightInd w:val="0"/>
        <w:spacing w:line="240" w:lineRule="auto"/>
        <w:ind w:left="1440" w:right="720"/>
        <w:rPr>
          <w:rFonts w:ascii="Times New Roman" w:eastAsia="Times New Roman" w:hAnsi="Times New Roman" w:cs="Times New Roman"/>
          <w:sz w:val="24"/>
          <w:szCs w:val="24"/>
        </w:rPr>
      </w:pPr>
      <w:r w:rsidRPr="001136D6">
        <w:rPr>
          <w:rFonts w:ascii="Times New Roman" w:eastAsia="Times New Roman" w:hAnsi="Times New Roman" w:cs="Times New Roman"/>
          <w:sz w:val="24"/>
          <w:szCs w:val="24"/>
        </w:rPr>
        <w:lastRenderedPageBreak/>
        <w:t>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 205 of the Federal Power Act proposing to change the basis for compensation to a method based on the FRR Entity’s cost or such other basis shown to be just and reasonable, an a retail LSE may at any time exercise its rights under Section 206 of the FPA.</w:t>
      </w:r>
      <w:r w:rsidRPr="00E45180">
        <w:rPr>
          <w:rFonts w:ascii="Times New Roman" w:eastAsia="Times New Roman" w:hAnsi="Times New Roman" w:cs="Times New Roman"/>
          <w:sz w:val="24"/>
          <w:szCs w:val="24"/>
          <w:vertAlign w:val="superscript"/>
        </w:rPr>
        <w:footnoteReference w:id="91"/>
      </w:r>
    </w:p>
    <w:p w:rsidR="009872D1" w:rsidRPr="001136D6" w:rsidRDefault="009872D1" w:rsidP="009872D1">
      <w:pPr>
        <w:autoSpaceDE w:val="0"/>
        <w:autoSpaceDN w:val="0"/>
        <w:adjustRightInd w:val="0"/>
        <w:spacing w:line="240" w:lineRule="auto"/>
        <w:ind w:left="1440" w:right="720"/>
        <w:rPr>
          <w:rFonts w:ascii="Times New Roman" w:eastAsia="Times New Roman" w:hAnsi="Times New Roman" w:cs="Times New Roman"/>
          <w:sz w:val="24"/>
          <w:szCs w:val="24"/>
        </w:rPr>
      </w:pP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The RAA</w:t>
      </w:r>
      <w:r w:rsidRPr="001136D6">
        <w:rPr>
          <w:rFonts w:ascii="Times New Roman" w:hAnsi="Times New Roman" w:cs="Times New Roman"/>
          <w:sz w:val="24"/>
          <w:szCs w:val="24"/>
        </w:rPr>
        <w:t xml:space="preserve"> specifies the mechanisms through which an entity such as Duke can recover the costs associated with its FRR obligation from its wholesale customers, which</w:t>
      </w:r>
      <w:r>
        <w:rPr>
          <w:rFonts w:ascii="Times New Roman" w:hAnsi="Times New Roman" w:cs="Times New Roman"/>
          <w:sz w:val="24"/>
          <w:szCs w:val="24"/>
        </w:rPr>
        <w:t xml:space="preserve"> PJM refers to as Load Serving E</w:t>
      </w:r>
      <w:r w:rsidRPr="001136D6">
        <w:rPr>
          <w:rFonts w:ascii="Times New Roman" w:hAnsi="Times New Roman" w:cs="Times New Roman"/>
          <w:sz w:val="24"/>
          <w:szCs w:val="24"/>
        </w:rPr>
        <w:t>ntities (</w:t>
      </w:r>
      <w:r>
        <w:rPr>
          <w:rFonts w:ascii="Times New Roman" w:hAnsi="Times New Roman" w:cs="Times New Roman"/>
          <w:sz w:val="24"/>
          <w:szCs w:val="24"/>
        </w:rPr>
        <w:t>“</w:t>
      </w:r>
      <w:r w:rsidRPr="001136D6">
        <w:rPr>
          <w:rFonts w:ascii="Times New Roman" w:hAnsi="Times New Roman" w:cs="Times New Roman"/>
          <w:sz w:val="24"/>
          <w:szCs w:val="24"/>
        </w:rPr>
        <w:t>LSEs</w:t>
      </w:r>
      <w:r>
        <w:rPr>
          <w:rFonts w:ascii="Times New Roman" w:hAnsi="Times New Roman" w:cs="Times New Roman"/>
          <w:sz w:val="24"/>
          <w:szCs w:val="24"/>
        </w:rPr>
        <w:t>”</w:t>
      </w:r>
      <w:r w:rsidRPr="001136D6">
        <w:rPr>
          <w:rFonts w:ascii="Times New Roman" w:hAnsi="Times New Roman" w:cs="Times New Roman"/>
          <w:sz w:val="24"/>
          <w:szCs w:val="24"/>
        </w:rPr>
        <w:t>).  The RAA states that where there is a state compensation mechanism in place, then that method prevails.</w:t>
      </w:r>
      <w:r w:rsidRPr="001136D6">
        <w:rPr>
          <w:rFonts w:ascii="Times New Roman" w:hAnsi="Times New Roman" w:cs="Times New Roman"/>
          <w:sz w:val="24"/>
          <w:szCs w:val="24"/>
          <w:vertAlign w:val="superscript"/>
        </w:rPr>
        <w:footnoteReference w:id="92"/>
      </w:r>
      <w:r w:rsidRPr="001136D6">
        <w:rPr>
          <w:rFonts w:ascii="Times New Roman" w:hAnsi="Times New Roman" w:cs="Times New Roman"/>
          <w:sz w:val="24"/>
          <w:szCs w:val="24"/>
        </w:rPr>
        <w:t xml:space="preserve">  When there is no state compensation mechanism in place, the RAA states that an FRR entity </w:t>
      </w:r>
      <w:r w:rsidRPr="00340139">
        <w:rPr>
          <w:rFonts w:ascii="Times New Roman" w:hAnsi="Times New Roman" w:cs="Times New Roman"/>
          <w:sz w:val="24"/>
          <w:szCs w:val="24"/>
        </w:rPr>
        <w:t xml:space="preserve">shall </w:t>
      </w:r>
      <w:r w:rsidRPr="001136D6">
        <w:rPr>
          <w:rFonts w:ascii="Times New Roman" w:hAnsi="Times New Roman" w:cs="Times New Roman"/>
          <w:sz w:val="24"/>
          <w:szCs w:val="24"/>
        </w:rPr>
        <w:t xml:space="preserve">be compensated in accordance with Attachment DD to the PJM Tariff, which specifies market-based capacity prices set in the PJM-administered forward auction process.  Under the RAA, </w:t>
      </w:r>
      <w:r>
        <w:rPr>
          <w:rFonts w:ascii="Times New Roman" w:hAnsi="Times New Roman" w:cs="Times New Roman"/>
          <w:sz w:val="24"/>
          <w:szCs w:val="24"/>
        </w:rPr>
        <w:t>an</w:t>
      </w:r>
      <w:r w:rsidRPr="001136D6">
        <w:rPr>
          <w:rFonts w:ascii="Times New Roman" w:hAnsi="Times New Roman" w:cs="Times New Roman"/>
          <w:sz w:val="24"/>
          <w:szCs w:val="24"/>
        </w:rPr>
        <w:t xml:space="preserve"> FRR entity </w:t>
      </w:r>
      <w:r>
        <w:rPr>
          <w:rFonts w:ascii="Times New Roman" w:hAnsi="Times New Roman" w:cs="Times New Roman"/>
          <w:sz w:val="24"/>
          <w:szCs w:val="24"/>
        </w:rPr>
        <w:t>has the option to</w:t>
      </w:r>
      <w:r w:rsidRPr="001136D6">
        <w:rPr>
          <w:rFonts w:ascii="Times New Roman" w:hAnsi="Times New Roman" w:cs="Times New Roman"/>
          <w:sz w:val="24"/>
          <w:szCs w:val="24"/>
        </w:rPr>
        <w:t xml:space="preserve"> make a filing</w:t>
      </w:r>
      <w:r>
        <w:rPr>
          <w:rFonts w:ascii="Times New Roman" w:hAnsi="Times New Roman" w:cs="Times New Roman"/>
          <w:sz w:val="24"/>
          <w:szCs w:val="24"/>
        </w:rPr>
        <w:t xml:space="preserve"> at</w:t>
      </w:r>
      <w:r w:rsidRPr="001136D6">
        <w:rPr>
          <w:rFonts w:ascii="Times New Roman" w:hAnsi="Times New Roman" w:cs="Times New Roman"/>
          <w:sz w:val="24"/>
          <w:szCs w:val="24"/>
        </w:rPr>
        <w:t xml:space="preserve"> FERC under Section 205 of the Federal Power Act proposing to change the basis for</w:t>
      </w:r>
      <w:r>
        <w:rPr>
          <w:rFonts w:ascii="Times New Roman" w:hAnsi="Times New Roman" w:cs="Times New Roman"/>
          <w:sz w:val="24"/>
          <w:szCs w:val="24"/>
        </w:rPr>
        <w:t xml:space="preserve"> </w:t>
      </w:r>
      <w:r w:rsidRPr="00E45180">
        <w:rPr>
          <w:rFonts w:ascii="Times New Roman" w:hAnsi="Times New Roman" w:cs="Times New Roman"/>
          <w:sz w:val="24"/>
          <w:szCs w:val="24"/>
        </w:rPr>
        <w:t>compensation to a method based on the FRR entity’s embedded costs.</w:t>
      </w:r>
      <w:r w:rsidRPr="00E45180">
        <w:rPr>
          <w:rFonts w:ascii="Times New Roman" w:hAnsi="Times New Roman" w:cs="Times New Roman"/>
          <w:sz w:val="24"/>
          <w:szCs w:val="24"/>
          <w:vertAlign w:val="superscript"/>
        </w:rPr>
        <w:footnoteReference w:id="93"/>
      </w:r>
      <w:r w:rsidRPr="00E45180">
        <w:rPr>
          <w:rFonts w:ascii="Times New Roman" w:hAnsi="Times New Roman" w:cs="Times New Roman"/>
          <w:sz w:val="24"/>
          <w:szCs w:val="24"/>
        </w:rPr>
        <w:t xml:space="preserve">  </w:t>
      </w:r>
      <w:r>
        <w:rPr>
          <w:rFonts w:ascii="Times New Roman" w:hAnsi="Times New Roman" w:cs="Times New Roman"/>
          <w:sz w:val="24"/>
          <w:szCs w:val="24"/>
        </w:rPr>
        <w:t xml:space="preserve">Thus, a state </w:t>
      </w:r>
      <w:r w:rsidR="00B35A4C">
        <w:rPr>
          <w:rFonts w:ascii="Times New Roman" w:hAnsi="Times New Roman" w:cs="Times New Roman"/>
          <w:sz w:val="24"/>
          <w:szCs w:val="24"/>
        </w:rPr>
        <w:t>c</w:t>
      </w:r>
      <w:r>
        <w:rPr>
          <w:rFonts w:ascii="Times New Roman" w:hAnsi="Times New Roman" w:cs="Times New Roman"/>
          <w:sz w:val="24"/>
          <w:szCs w:val="24"/>
        </w:rPr>
        <w:t xml:space="preserve">ommission is not </w:t>
      </w:r>
      <w:r>
        <w:rPr>
          <w:rFonts w:ascii="Times New Roman" w:hAnsi="Times New Roman" w:cs="Times New Roman"/>
          <w:sz w:val="24"/>
          <w:szCs w:val="24"/>
        </w:rPr>
        <w:lastRenderedPageBreak/>
        <w:t xml:space="preserve">obligated under the RAA to intervene on an FRR entity’s behalf and implement a state compensation mechanism.  </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Duke states that “although PJM’s RAA makes the RPM auction price the default rate for compensation for FRR capacity service, the RAA does not limit recovery to auction-based pricing.  Rather, the RAA provides for two other forms of compensation — a state compensation mechanism and a rate established through a Section 205 filing.”</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But this statement is also misleading on two grounds.  First, a state Commission is not required to act under the RAA. Second, Duke incorrectly assumes that a state compensation mechanism must be different than the default pricing mechanism (the PJM market-based price).  T</w:t>
      </w:r>
      <w:r w:rsidRPr="00B75548">
        <w:rPr>
          <w:rFonts w:ascii="Times New Roman" w:hAnsi="Times New Roman" w:cs="Times New Roman"/>
          <w:sz w:val="24"/>
          <w:szCs w:val="24"/>
        </w:rPr>
        <w:t xml:space="preserve">he RAA does not mandate that a state compensation mechanism be based on costs. </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OCC and other parties have consistently argued throughout this proceeding that the PUCO adopted a compensation mechanism for Duke as a result of approving the Stipulation and Recommendation in the Duke Electric Security Plan proceeding (i.e., market-based prices).</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Pr>
          <w:rFonts w:ascii="Times New Roman" w:hAnsi="Times New Roman" w:cs="Times New Roman"/>
          <w:sz w:val="24"/>
          <w:szCs w:val="24"/>
        </w:rPr>
        <w:t>T</w:t>
      </w:r>
      <w:r w:rsidRPr="00B75548">
        <w:rPr>
          <w:rFonts w:ascii="Times New Roman" w:hAnsi="Times New Roman" w:cs="Times New Roman"/>
          <w:sz w:val="24"/>
          <w:szCs w:val="24"/>
        </w:rPr>
        <w:t>he RAA does not limit the number of state compensation mechanisms that a state</w:t>
      </w:r>
      <w:r>
        <w:rPr>
          <w:rFonts w:ascii="Times New Roman" w:hAnsi="Times New Roman" w:cs="Times New Roman"/>
          <w:sz w:val="24"/>
          <w:szCs w:val="24"/>
        </w:rPr>
        <w:t xml:space="preserve"> commission </w:t>
      </w:r>
      <w:r w:rsidRPr="00B75548">
        <w:rPr>
          <w:rFonts w:ascii="Times New Roman" w:hAnsi="Times New Roman" w:cs="Times New Roman"/>
          <w:sz w:val="24"/>
          <w:szCs w:val="24"/>
        </w:rPr>
        <w:t>can implement.</w:t>
      </w:r>
      <w:r>
        <w:rPr>
          <w:rFonts w:ascii="Times New Roman" w:hAnsi="Times New Roman" w:cs="Times New Roman"/>
          <w:sz w:val="24"/>
          <w:szCs w:val="24"/>
        </w:rPr>
        <w:t xml:space="preserve">  Thus, it is inconsequential that the PUCO adopted a different state compensation mechanism for AEP Ohio.  </w:t>
      </w:r>
      <w:r w:rsidRPr="00B75548">
        <w:rPr>
          <w:rFonts w:ascii="Times New Roman" w:hAnsi="Times New Roman" w:cs="Times New Roman"/>
          <w:sz w:val="24"/>
          <w:szCs w:val="24"/>
        </w:rPr>
        <w:t xml:space="preserve">The RAA does not state that there may only be one state compensation mechanism for all FRR entities within the state.  Accordingly, it is </w:t>
      </w:r>
      <w:r>
        <w:rPr>
          <w:rFonts w:ascii="Times New Roman" w:hAnsi="Times New Roman" w:cs="Times New Roman"/>
          <w:sz w:val="24"/>
          <w:szCs w:val="24"/>
        </w:rPr>
        <w:t xml:space="preserve">both </w:t>
      </w:r>
      <w:r w:rsidRPr="00B75548">
        <w:rPr>
          <w:rFonts w:ascii="Times New Roman" w:hAnsi="Times New Roman" w:cs="Times New Roman"/>
          <w:sz w:val="24"/>
          <w:szCs w:val="24"/>
        </w:rPr>
        <w:t>plausible and appropriate under the RAA for the PUCO to have separate state compensation mechanisms for separate FRR entities.</w:t>
      </w:r>
      <w:r w:rsidR="000B7B06">
        <w:rPr>
          <w:rFonts w:ascii="Times New Roman" w:hAnsi="Times New Roman" w:cs="Times New Roman"/>
          <w:sz w:val="24"/>
          <w:szCs w:val="24"/>
        </w:rPr>
        <w:t xml:space="preserve"> </w:t>
      </w:r>
      <w:r w:rsidRPr="00B75548">
        <w:rPr>
          <w:rFonts w:ascii="Times New Roman" w:hAnsi="Times New Roman" w:cs="Times New Roman"/>
          <w:sz w:val="24"/>
          <w:szCs w:val="24"/>
        </w:rPr>
        <w:t xml:space="preserve"> </w:t>
      </w:r>
      <w:r>
        <w:rPr>
          <w:rFonts w:ascii="Times New Roman" w:hAnsi="Times New Roman" w:cs="Times New Roman"/>
          <w:sz w:val="24"/>
          <w:szCs w:val="24"/>
        </w:rPr>
        <w:t xml:space="preserve">It is also just and reasonable that the state compensation mechanism for Duke is market-based </w:t>
      </w:r>
      <w:r>
        <w:rPr>
          <w:rFonts w:ascii="Times New Roman" w:hAnsi="Times New Roman" w:cs="Times New Roman"/>
          <w:sz w:val="24"/>
          <w:szCs w:val="24"/>
        </w:rPr>
        <w:lastRenderedPageBreak/>
        <w:t xml:space="preserve">pricing, as that is what Duke agreed to in the ESP Stipulation that was approved by the PUCO.  </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 xml:space="preserve">The PUCO Staff explained in its post-hearing brief, stating: </w:t>
      </w:r>
      <w:r w:rsidR="000B7B0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sidRPr="00FB644B">
        <w:rPr>
          <w:rFonts w:ascii="Times New Roman" w:hAnsi="Times New Roman" w:cs="Times New Roman"/>
          <w:sz w:val="24"/>
          <w:szCs w:val="24"/>
        </w:rPr>
        <w:t>nstead</w:t>
      </w:r>
      <w:proofErr w:type="spellEnd"/>
      <w:r w:rsidRPr="00FB644B">
        <w:rPr>
          <w:rFonts w:ascii="Times New Roman" w:hAnsi="Times New Roman" w:cs="Times New Roman"/>
          <w:sz w:val="24"/>
          <w:szCs w:val="24"/>
        </w:rPr>
        <w:t xml:space="preserve"> of the cost-based capacit</w:t>
      </w:r>
      <w:r>
        <w:rPr>
          <w:rFonts w:ascii="Times New Roman" w:hAnsi="Times New Roman" w:cs="Times New Roman"/>
          <w:sz w:val="24"/>
          <w:szCs w:val="24"/>
        </w:rPr>
        <w:t xml:space="preserve">y charge that had been proposed </w:t>
      </w:r>
      <w:r w:rsidRPr="00FB644B">
        <w:rPr>
          <w:rFonts w:ascii="Times New Roman" w:hAnsi="Times New Roman" w:cs="Times New Roman"/>
          <w:sz w:val="24"/>
          <w:szCs w:val="24"/>
        </w:rPr>
        <w:t>in Duke’s ESP Application, the Stipulation expressly adopted capacity priced at</w:t>
      </w:r>
      <w:r>
        <w:rPr>
          <w:rFonts w:ascii="Times New Roman" w:hAnsi="Times New Roman" w:cs="Times New Roman"/>
          <w:sz w:val="24"/>
          <w:szCs w:val="24"/>
        </w:rPr>
        <w:t xml:space="preserve"> </w:t>
      </w:r>
      <w:r w:rsidRPr="00FB644B">
        <w:rPr>
          <w:rFonts w:ascii="Times New Roman" w:hAnsi="Times New Roman" w:cs="Times New Roman"/>
          <w:sz w:val="24"/>
          <w:szCs w:val="24"/>
        </w:rPr>
        <w:t>RPM prices</w:t>
      </w:r>
      <w:r>
        <w:rPr>
          <w:rFonts w:ascii="Times New Roman" w:hAnsi="Times New Roman" w:cs="Times New Roman"/>
          <w:sz w:val="24"/>
          <w:szCs w:val="24"/>
        </w:rPr>
        <w:t xml:space="preserve">…The </w:t>
      </w:r>
      <w:r w:rsidRPr="00FB644B">
        <w:rPr>
          <w:rFonts w:ascii="Times New Roman" w:hAnsi="Times New Roman" w:cs="Times New Roman"/>
          <w:sz w:val="24"/>
          <w:szCs w:val="24"/>
        </w:rPr>
        <w:t>Stipulation language coupled with Duke and Staff testimony from the ESP proceeding</w:t>
      </w:r>
      <w:r>
        <w:rPr>
          <w:rFonts w:ascii="Times New Roman" w:hAnsi="Times New Roman" w:cs="Times New Roman"/>
          <w:sz w:val="24"/>
          <w:szCs w:val="24"/>
        </w:rPr>
        <w:t xml:space="preserve"> </w:t>
      </w:r>
      <w:r w:rsidRPr="00FB644B">
        <w:rPr>
          <w:rFonts w:ascii="Times New Roman" w:hAnsi="Times New Roman" w:cs="Times New Roman"/>
          <w:sz w:val="24"/>
          <w:szCs w:val="24"/>
        </w:rPr>
        <w:t>confirm that Duke agreed to provide capacity and agreed to be compensated for its FRR</w:t>
      </w:r>
      <w:r>
        <w:rPr>
          <w:rFonts w:ascii="Times New Roman" w:hAnsi="Times New Roman" w:cs="Times New Roman"/>
          <w:sz w:val="24"/>
          <w:szCs w:val="24"/>
        </w:rPr>
        <w:t xml:space="preserve"> </w:t>
      </w:r>
      <w:r w:rsidRPr="00FB644B">
        <w:rPr>
          <w:rFonts w:ascii="Times New Roman" w:hAnsi="Times New Roman" w:cs="Times New Roman"/>
          <w:sz w:val="24"/>
          <w:szCs w:val="24"/>
        </w:rPr>
        <w:t>obligation based on the PJM reliability pricing model.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Pr>
          <w:rFonts w:ascii="Times New Roman" w:hAnsi="Times New Roman" w:cs="Times New Roman"/>
          <w:sz w:val="24"/>
          <w:szCs w:val="24"/>
        </w:rPr>
        <w:t>But Duke disputes that the Commission approved a state compensation mechanism as a result of its ESP.</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Specifically, Duke argues that “[t]he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fail to identify any language in the controlling ESP Order that expressly identifies a state compensation mechanism for Duke Energy Ohio.”</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Even if the PUCO agrees with Duke and it determines that it did not establish a state compensation mechanism for Duke as a result of approving the Duke ESP Stipulation, the PUCO 1) is not required to develop a state compensation mechanism for Duke under the RAA, and 2) should not develop a cost-based state compensation mechanism for Duke.</w:t>
      </w:r>
    </w:p>
    <w:p w:rsidR="002F32AF" w:rsidRPr="00DC1061" w:rsidRDefault="002F32AF" w:rsidP="000B7B06">
      <w:pPr>
        <w:pStyle w:val="Heading3"/>
        <w:numPr>
          <w:ilvl w:val="0"/>
          <w:numId w:val="28"/>
        </w:numPr>
        <w:ind w:left="2880" w:hanging="720"/>
        <w:rPr>
          <w:rFonts w:ascii="Times New Roman" w:hAnsi="Times New Roman"/>
        </w:rPr>
      </w:pPr>
      <w:bookmarkStart w:id="23" w:name="_Toc362949998"/>
      <w:r w:rsidRPr="00DC1061">
        <w:rPr>
          <w:rFonts w:ascii="Times New Roman" w:hAnsi="Times New Roman"/>
        </w:rPr>
        <w:t>The PUCO is not obligated to establish a cost based rate for capacity services</w:t>
      </w:r>
      <w:r w:rsidR="00A92CE5">
        <w:rPr>
          <w:rFonts w:ascii="Times New Roman" w:hAnsi="Times New Roman"/>
        </w:rPr>
        <w:t xml:space="preserve">.  </w:t>
      </w:r>
      <w:r w:rsidRPr="00DC1061">
        <w:rPr>
          <w:rFonts w:ascii="Times New Roman" w:hAnsi="Times New Roman"/>
        </w:rPr>
        <w:t>In this case, it should not develop cost based compensation for Duke as it would violate the Duke ESP Stipulation.</w:t>
      </w:r>
      <w:bookmarkEnd w:id="23"/>
      <w:r w:rsidRPr="00DC1061">
        <w:rPr>
          <w:rFonts w:ascii="Times New Roman" w:hAnsi="Times New Roman"/>
        </w:rPr>
        <w:t xml:space="preserve">  </w:t>
      </w:r>
    </w:p>
    <w:p w:rsidR="009872D1" w:rsidRPr="00877431" w:rsidRDefault="002F32AF" w:rsidP="002F32AF">
      <w:pPr>
        <w:pStyle w:val="NoSpacing"/>
        <w:spacing w:line="480" w:lineRule="auto"/>
        <w:ind w:firstLine="720"/>
        <w:rPr>
          <w:rFonts w:ascii="Times New Roman" w:hAnsi="Times New Roman" w:cs="Times New Roman"/>
          <w:b/>
          <w:sz w:val="24"/>
          <w:szCs w:val="24"/>
        </w:rPr>
      </w:pPr>
      <w:r w:rsidRPr="002F32AF">
        <w:rPr>
          <w:rFonts w:ascii="Times New Roman" w:hAnsi="Times New Roman" w:cs="Times New Roman"/>
          <w:sz w:val="24"/>
          <w:szCs w:val="24"/>
        </w:rPr>
        <w:t>A</w:t>
      </w:r>
      <w:r w:rsidR="0064367D" w:rsidRPr="002F32AF">
        <w:rPr>
          <w:rFonts w:ascii="Times New Roman" w:hAnsi="Times New Roman" w:cs="Times New Roman"/>
          <w:sz w:val="24"/>
          <w:szCs w:val="24"/>
        </w:rPr>
        <w:t xml:space="preserve">ccording to the PUCO, capacity costs may be addressed through a state compensation that is specifically crafted to meet the stated needs of a particular utility or </w:t>
      </w:r>
      <w:r w:rsidR="0064367D" w:rsidRPr="002F32AF">
        <w:rPr>
          <w:rFonts w:ascii="Times New Roman" w:hAnsi="Times New Roman" w:cs="Times New Roman"/>
          <w:sz w:val="24"/>
          <w:szCs w:val="24"/>
        </w:rPr>
        <w:lastRenderedPageBreak/>
        <w:t>through a rider or other mechanism</w:t>
      </w:r>
      <w:r w:rsidR="0064367D" w:rsidRPr="0058204D">
        <w:rPr>
          <w:rFonts w:ascii="Times New Roman" w:hAnsi="Times New Roman" w:cs="Times New Roman"/>
          <w:sz w:val="24"/>
          <w:szCs w:val="24"/>
        </w:rPr>
        <w:t>.</w:t>
      </w:r>
      <w:r w:rsidR="0064367D" w:rsidRPr="00B3116B">
        <w:rPr>
          <w:rStyle w:val="FootnoteReference"/>
          <w:rFonts w:ascii="Times New Roman" w:hAnsi="Times New Roman"/>
          <w:sz w:val="24"/>
        </w:rPr>
        <w:footnoteReference w:id="99"/>
      </w:r>
      <w:r w:rsidR="0064367D" w:rsidRPr="0058204D">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sidR="0064367D" w:rsidRPr="0058204D">
        <w:rPr>
          <w:rFonts w:ascii="Times New Roman" w:hAnsi="Times New Roman" w:cs="Times New Roman"/>
          <w:sz w:val="24"/>
          <w:szCs w:val="24"/>
        </w:rPr>
        <w:t>The</w:t>
      </w:r>
      <w:r w:rsidR="0064367D" w:rsidRPr="002F32AF">
        <w:rPr>
          <w:rFonts w:ascii="Times New Roman" w:hAnsi="Times New Roman" w:cs="Times New Roman"/>
          <w:sz w:val="24"/>
          <w:szCs w:val="24"/>
        </w:rPr>
        <w:t xml:space="preserve"> PUCO can also determine that it need not establish a separate and distinct state compensation mechanism for Duke, as one has already been set in Duke’s ESP proceeding, as discussed in detail in OCC’s Initial Brief.</w:t>
      </w:r>
      <w:r w:rsidR="0064367D" w:rsidRPr="002F32AF">
        <w:rPr>
          <w:rStyle w:val="FootnoteReference"/>
          <w:rFonts w:ascii="Times New Roman" w:hAnsi="Times New Roman" w:cs="Times New Roman"/>
          <w:b/>
          <w:sz w:val="24"/>
          <w:szCs w:val="24"/>
        </w:rPr>
        <w:footnoteReference w:id="100"/>
      </w:r>
      <w:r>
        <w:rPr>
          <w:rFonts w:ascii="Times New Roman" w:hAnsi="Times New Roman" w:cs="Times New Roman"/>
          <w:sz w:val="24"/>
          <w:szCs w:val="24"/>
        </w:rPr>
        <w:t xml:space="preserve">  Moreover, a</w:t>
      </w:r>
      <w:r w:rsidR="009872D1" w:rsidRPr="002F32AF">
        <w:rPr>
          <w:rFonts w:ascii="Times New Roman" w:hAnsi="Times New Roman" w:cs="Times New Roman"/>
          <w:sz w:val="24"/>
          <w:szCs w:val="24"/>
        </w:rPr>
        <w:t xml:space="preserve"> </w:t>
      </w:r>
      <w:r w:rsidR="0058204D">
        <w:rPr>
          <w:rFonts w:ascii="Times New Roman" w:hAnsi="Times New Roman" w:cs="Times New Roman"/>
          <w:sz w:val="24"/>
          <w:szCs w:val="24"/>
        </w:rPr>
        <w:t>c</w:t>
      </w:r>
      <w:r w:rsidR="009872D1" w:rsidRPr="002F32AF">
        <w:rPr>
          <w:rFonts w:ascii="Times New Roman" w:hAnsi="Times New Roman" w:cs="Times New Roman"/>
          <w:sz w:val="24"/>
          <w:szCs w:val="24"/>
        </w:rPr>
        <w:t>ost-</w:t>
      </w:r>
      <w:r w:rsidR="0058204D">
        <w:rPr>
          <w:rFonts w:ascii="Times New Roman" w:hAnsi="Times New Roman" w:cs="Times New Roman"/>
          <w:sz w:val="24"/>
          <w:szCs w:val="24"/>
        </w:rPr>
        <w:t>b</w:t>
      </w:r>
      <w:r w:rsidR="009872D1" w:rsidRPr="002F32AF">
        <w:rPr>
          <w:rFonts w:ascii="Times New Roman" w:hAnsi="Times New Roman" w:cs="Times New Roman"/>
          <w:sz w:val="24"/>
          <w:szCs w:val="24"/>
        </w:rPr>
        <w:t xml:space="preserve">ased </w:t>
      </w:r>
      <w:r w:rsidR="0058204D">
        <w:rPr>
          <w:rFonts w:ascii="Times New Roman" w:hAnsi="Times New Roman" w:cs="Times New Roman"/>
          <w:sz w:val="24"/>
          <w:szCs w:val="24"/>
        </w:rPr>
        <w:t>s</w:t>
      </w:r>
      <w:r w:rsidR="009872D1" w:rsidRPr="002F32AF">
        <w:rPr>
          <w:rFonts w:ascii="Times New Roman" w:hAnsi="Times New Roman" w:cs="Times New Roman"/>
          <w:sz w:val="24"/>
          <w:szCs w:val="24"/>
        </w:rPr>
        <w:t xml:space="preserve">tate </w:t>
      </w:r>
      <w:r w:rsidR="0058204D">
        <w:rPr>
          <w:rFonts w:ascii="Times New Roman" w:hAnsi="Times New Roman" w:cs="Times New Roman"/>
          <w:sz w:val="24"/>
          <w:szCs w:val="24"/>
        </w:rPr>
        <w:t>c</w:t>
      </w:r>
      <w:r w:rsidR="009872D1" w:rsidRPr="002F32AF">
        <w:rPr>
          <w:rFonts w:ascii="Times New Roman" w:hAnsi="Times New Roman" w:cs="Times New Roman"/>
          <w:sz w:val="24"/>
          <w:szCs w:val="24"/>
        </w:rPr>
        <w:t xml:space="preserve">ompensation </w:t>
      </w:r>
      <w:r w:rsidR="0058204D">
        <w:rPr>
          <w:rFonts w:ascii="Times New Roman" w:hAnsi="Times New Roman" w:cs="Times New Roman"/>
          <w:sz w:val="24"/>
          <w:szCs w:val="24"/>
        </w:rPr>
        <w:t>m</w:t>
      </w:r>
      <w:r w:rsidR="009872D1" w:rsidRPr="002F32AF">
        <w:rPr>
          <w:rFonts w:ascii="Times New Roman" w:hAnsi="Times New Roman" w:cs="Times New Roman"/>
          <w:sz w:val="24"/>
          <w:szCs w:val="24"/>
        </w:rPr>
        <w:t xml:space="preserve">echanism </w:t>
      </w:r>
      <w:r w:rsidR="0058204D">
        <w:rPr>
          <w:rFonts w:ascii="Times New Roman" w:hAnsi="Times New Roman" w:cs="Times New Roman"/>
          <w:sz w:val="24"/>
          <w:szCs w:val="24"/>
        </w:rPr>
        <w:t>f</w:t>
      </w:r>
      <w:r w:rsidR="009872D1" w:rsidRPr="002F32AF">
        <w:rPr>
          <w:rFonts w:ascii="Times New Roman" w:hAnsi="Times New Roman" w:cs="Times New Roman"/>
          <w:sz w:val="24"/>
          <w:szCs w:val="24"/>
        </w:rPr>
        <w:t xml:space="preserve">or Duke would violate the </w:t>
      </w:r>
      <w:r w:rsidR="0058204D">
        <w:rPr>
          <w:rFonts w:ascii="Times New Roman" w:hAnsi="Times New Roman" w:cs="Times New Roman"/>
          <w:sz w:val="24"/>
          <w:szCs w:val="24"/>
        </w:rPr>
        <w:t>t</w:t>
      </w:r>
      <w:r w:rsidR="009872D1" w:rsidRPr="002F32AF">
        <w:rPr>
          <w:rFonts w:ascii="Times New Roman" w:hAnsi="Times New Roman" w:cs="Times New Roman"/>
          <w:sz w:val="24"/>
          <w:szCs w:val="24"/>
        </w:rPr>
        <w:t>erms of the Duke ESP Stipulation.</w:t>
      </w:r>
      <w:r w:rsidR="009872D1" w:rsidRPr="00877431">
        <w:rPr>
          <w:rFonts w:ascii="Times New Roman" w:hAnsi="Times New Roman" w:cs="Times New Roman"/>
          <w:b/>
          <w:sz w:val="24"/>
          <w:szCs w:val="24"/>
        </w:rPr>
        <w:t xml:space="preserve"> </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 xml:space="preserve">As explained </w:t>
      </w:r>
      <w:r w:rsidRPr="00C86EF4">
        <w:rPr>
          <w:rFonts w:ascii="Times New Roman" w:hAnsi="Times New Roman" w:cs="Times New Roman"/>
          <w:i/>
          <w:sz w:val="24"/>
          <w:szCs w:val="24"/>
        </w:rPr>
        <w:t>supra</w:t>
      </w:r>
      <w:r>
        <w:rPr>
          <w:rFonts w:ascii="Times New Roman" w:hAnsi="Times New Roman" w:cs="Times New Roman"/>
          <w:sz w:val="24"/>
          <w:szCs w:val="24"/>
        </w:rPr>
        <w:t xml:space="preserve">, the PUCO is not obligated to establish a cost-based state compensation mechanism for Duke.  The RAA clearly provides a default capacity price (the PJM market-based price) for FRR entities. In the alternative, Duke could have sought a cost-based price at FERC by making a filing under Section 205 of the Federal Power Act.   But Duke agreed not to do so.  Now, Duke is claiming that the default price for capacity under the RAA (the PJM market-based price) is confiscatory and that the PUCO must act.  But these arguments by Duke do not require the PUCO to act, nor does the plain language of the RAA.  And </w:t>
      </w:r>
      <w:r w:rsidR="001754BD">
        <w:rPr>
          <w:rFonts w:ascii="Times New Roman" w:hAnsi="Times New Roman" w:cs="Times New Roman"/>
          <w:sz w:val="24"/>
          <w:szCs w:val="24"/>
        </w:rPr>
        <w:t>Duke</w:t>
      </w:r>
      <w:r w:rsidR="0058204D">
        <w:rPr>
          <w:rFonts w:ascii="Times New Roman" w:hAnsi="Times New Roman" w:cs="Times New Roman"/>
          <w:sz w:val="24"/>
          <w:szCs w:val="24"/>
        </w:rPr>
        <w:t xml:space="preserve"> </w:t>
      </w:r>
      <w:r>
        <w:rPr>
          <w:rFonts w:ascii="Times New Roman" w:hAnsi="Times New Roman" w:cs="Times New Roman"/>
          <w:sz w:val="24"/>
          <w:szCs w:val="24"/>
        </w:rPr>
        <w:t>has failed to cite any precedent to the contrary.</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There are several reasons why it would be improper for the PUCO to establish a cost-based state compensation mechanism as a result of this proceeding.  First, Duke agreed to a capacity price as a result of the Stipulation entered into by Duke resolving its ESP.  This capacity price is the Final Zonal Capacity price for the unconstrained region of the Regional Transmission Organization (“RTO”) for its FRR obligations.</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t>
      </w:r>
      <w:r>
        <w:rPr>
          <w:rFonts w:ascii="Times New Roman" w:hAnsi="Times New Roman" w:cs="Times New Roman"/>
          <w:sz w:val="24"/>
          <w:szCs w:val="24"/>
        </w:rPr>
        <w:lastRenderedPageBreak/>
        <w:t>Approving a cost-based compensation mechanism for Duke as a result of this proceeding violates the terms of the ESP Stipulation.  As the PUCO Staff explained:</w:t>
      </w:r>
    </w:p>
    <w:p w:rsidR="009872D1" w:rsidRDefault="009872D1" w:rsidP="000B7B06">
      <w:pPr>
        <w:spacing w:line="240" w:lineRule="auto"/>
        <w:ind w:left="1440" w:right="720"/>
        <w:rPr>
          <w:rFonts w:ascii="Times New Roman" w:hAnsi="Times New Roman" w:cs="Times New Roman"/>
          <w:sz w:val="24"/>
          <w:szCs w:val="24"/>
        </w:rPr>
      </w:pPr>
      <w:r w:rsidRPr="00433E47">
        <w:rPr>
          <w:rFonts w:ascii="Times New Roman" w:hAnsi="Times New Roman" w:cs="Times New Roman"/>
          <w:sz w:val="24"/>
          <w:szCs w:val="24"/>
        </w:rPr>
        <w:t xml:space="preserve">The </w:t>
      </w:r>
      <w:r w:rsidR="005460B2">
        <w:rPr>
          <w:rFonts w:ascii="Times New Roman" w:hAnsi="Times New Roman" w:cs="Times New Roman"/>
          <w:sz w:val="24"/>
          <w:szCs w:val="24"/>
        </w:rPr>
        <w:t>Company’s</w:t>
      </w:r>
      <w:r w:rsidRPr="00433E47">
        <w:rPr>
          <w:rFonts w:ascii="Times New Roman" w:hAnsi="Times New Roman" w:cs="Times New Roman"/>
          <w:sz w:val="24"/>
          <w:szCs w:val="24"/>
        </w:rPr>
        <w:t xml:space="preserve"> request for additional compensation for capacity services in this</w:t>
      </w:r>
      <w:r>
        <w:rPr>
          <w:rFonts w:ascii="Times New Roman" w:hAnsi="Times New Roman" w:cs="Times New Roman"/>
          <w:sz w:val="24"/>
          <w:szCs w:val="24"/>
        </w:rPr>
        <w:t xml:space="preserve"> </w:t>
      </w:r>
      <w:r w:rsidRPr="00433E47">
        <w:rPr>
          <w:rFonts w:ascii="Times New Roman" w:hAnsi="Times New Roman" w:cs="Times New Roman"/>
          <w:sz w:val="24"/>
          <w:szCs w:val="24"/>
        </w:rPr>
        <w:t>case violates the terms of the stipulation approved by the Commission that resolved</w:t>
      </w:r>
      <w:r>
        <w:rPr>
          <w:rFonts w:ascii="Times New Roman" w:hAnsi="Times New Roman" w:cs="Times New Roman"/>
          <w:sz w:val="24"/>
          <w:szCs w:val="24"/>
        </w:rPr>
        <w:t xml:space="preserve"> </w:t>
      </w:r>
      <w:r w:rsidRPr="00433E47">
        <w:rPr>
          <w:rFonts w:ascii="Times New Roman" w:hAnsi="Times New Roman" w:cs="Times New Roman"/>
          <w:sz w:val="24"/>
          <w:szCs w:val="24"/>
        </w:rPr>
        <w:t xml:space="preserve">Duke’s ESP case. </w:t>
      </w:r>
      <w:r w:rsidR="001754BD">
        <w:rPr>
          <w:rFonts w:ascii="Times New Roman" w:hAnsi="Times New Roman" w:cs="Times New Roman"/>
          <w:sz w:val="24"/>
          <w:szCs w:val="24"/>
        </w:rPr>
        <w:t xml:space="preserve"> </w:t>
      </w:r>
      <w:r w:rsidRPr="00433E47">
        <w:rPr>
          <w:rFonts w:ascii="Times New Roman" w:hAnsi="Times New Roman" w:cs="Times New Roman"/>
          <w:sz w:val="24"/>
          <w:szCs w:val="24"/>
        </w:rPr>
        <w:t>The issue of compensation for capacity services was addressed and</w:t>
      </w:r>
      <w:r>
        <w:rPr>
          <w:rFonts w:ascii="Times New Roman" w:hAnsi="Times New Roman" w:cs="Times New Roman"/>
          <w:sz w:val="24"/>
          <w:szCs w:val="24"/>
        </w:rPr>
        <w:t xml:space="preserve"> </w:t>
      </w:r>
      <w:r w:rsidRPr="00433E47">
        <w:rPr>
          <w:rFonts w:ascii="Times New Roman" w:hAnsi="Times New Roman" w:cs="Times New Roman"/>
          <w:sz w:val="24"/>
          <w:szCs w:val="24"/>
        </w:rPr>
        <w:t xml:space="preserve">fully resolved in the ESP proceeding. </w:t>
      </w:r>
      <w:r w:rsidR="001754BD">
        <w:rPr>
          <w:rFonts w:ascii="Times New Roman" w:hAnsi="Times New Roman" w:cs="Times New Roman"/>
          <w:sz w:val="24"/>
          <w:szCs w:val="24"/>
        </w:rPr>
        <w:t xml:space="preserve"> </w:t>
      </w:r>
      <w:r w:rsidRPr="00433E47">
        <w:rPr>
          <w:rFonts w:ascii="Times New Roman" w:hAnsi="Times New Roman" w:cs="Times New Roman"/>
          <w:sz w:val="24"/>
          <w:szCs w:val="24"/>
        </w:rPr>
        <w:t>Duke agreed to provide capacity and agreed to be</w:t>
      </w:r>
      <w:r>
        <w:rPr>
          <w:rFonts w:ascii="Times New Roman" w:hAnsi="Times New Roman" w:cs="Times New Roman"/>
          <w:sz w:val="24"/>
          <w:szCs w:val="24"/>
        </w:rPr>
        <w:t xml:space="preserve"> </w:t>
      </w:r>
      <w:r w:rsidRPr="00433E47">
        <w:rPr>
          <w:rFonts w:ascii="Times New Roman" w:hAnsi="Times New Roman" w:cs="Times New Roman"/>
          <w:sz w:val="24"/>
          <w:szCs w:val="24"/>
        </w:rPr>
        <w:t>compensated for its FRR obligation based on the PJM RPM.</w:t>
      </w:r>
      <w:r>
        <w:rPr>
          <w:rStyle w:val="FootnoteReference"/>
          <w:rFonts w:ascii="Times New Roman" w:hAnsi="Times New Roman" w:cs="Times New Roman"/>
          <w:sz w:val="24"/>
          <w:szCs w:val="24"/>
        </w:rPr>
        <w:footnoteReference w:id="102"/>
      </w:r>
    </w:p>
    <w:p w:rsidR="009872D1" w:rsidRDefault="009872D1" w:rsidP="009872D1">
      <w:pPr>
        <w:spacing w:line="240" w:lineRule="auto"/>
        <w:ind w:left="720" w:right="720"/>
        <w:rPr>
          <w:rFonts w:ascii="Times New Roman" w:hAnsi="Times New Roman" w:cs="Times New Roman"/>
          <w:sz w:val="24"/>
          <w:szCs w:val="24"/>
        </w:rPr>
      </w:pPr>
    </w:p>
    <w:p w:rsidR="009872D1" w:rsidRDefault="009872D1" w:rsidP="00987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the PUCO approves Duke’s request it will fail to preserve the integrity of the ESP Stipulation.  And, as the Ohio Energy Group (“OEG”) pointed out “[granting] Duke’</w:t>
      </w:r>
      <w:r w:rsidRPr="002D4594">
        <w:rPr>
          <w:rFonts w:ascii="Times New Roman" w:hAnsi="Times New Roman" w:cs="Times New Roman"/>
          <w:sz w:val="24"/>
          <w:szCs w:val="24"/>
        </w:rPr>
        <w:t>s request would require the Commission to take a substant</w:t>
      </w:r>
      <w:r>
        <w:rPr>
          <w:rFonts w:ascii="Times New Roman" w:hAnsi="Times New Roman" w:cs="Times New Roman"/>
          <w:sz w:val="24"/>
          <w:szCs w:val="24"/>
        </w:rPr>
        <w:t xml:space="preserve">ial step backwards. </w:t>
      </w:r>
      <w:r w:rsidR="00D229FC">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Pr="002D4594">
        <w:rPr>
          <w:rFonts w:ascii="Times New Roman" w:hAnsi="Times New Roman" w:cs="Times New Roman"/>
          <w:sz w:val="24"/>
          <w:szCs w:val="24"/>
        </w:rPr>
        <w:t>of its Commissio</w:t>
      </w:r>
      <w:r>
        <w:rPr>
          <w:rFonts w:ascii="Times New Roman" w:hAnsi="Times New Roman" w:cs="Times New Roman"/>
          <w:sz w:val="24"/>
          <w:szCs w:val="24"/>
        </w:rPr>
        <w:t>n-approved ESP Stipulation, Duk</w:t>
      </w:r>
      <w:r w:rsidRPr="002D4594">
        <w:rPr>
          <w:rFonts w:ascii="Times New Roman" w:hAnsi="Times New Roman" w:cs="Times New Roman"/>
          <w:sz w:val="24"/>
          <w:szCs w:val="24"/>
        </w:rPr>
        <w:t>e is where the Commission wants it to be.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OCC agrees.</w:t>
      </w:r>
    </w:p>
    <w:p w:rsidR="009872D1" w:rsidRDefault="009872D1" w:rsidP="009872D1">
      <w:pPr>
        <w:ind w:firstLine="720"/>
        <w:rPr>
          <w:rFonts w:ascii="Times New Roman" w:hAnsi="Times New Roman" w:cs="Times New Roman"/>
          <w:sz w:val="24"/>
          <w:szCs w:val="24"/>
        </w:rPr>
      </w:pPr>
      <w:r>
        <w:rPr>
          <w:rFonts w:ascii="Times New Roman" w:hAnsi="Times New Roman" w:cs="Times New Roman"/>
          <w:sz w:val="24"/>
          <w:szCs w:val="24"/>
        </w:rPr>
        <w:t xml:space="preserve">Duke also agreed to a $330 million Electric Service Stability Charge to resolve its ESP proceeding.  If the PUCO establishes a cost-based state compensation mechanism for Duke at this point in time, it will not only directly violate the terms of the Duke ESP Stipulation, it will also undermine the agreement bargained for by the Signatory Parties.  The Signatory Parties to the Duke ESP Stipulation undoubtedly would not have agreed to give Duke $330 million dollars of customers’ money for a stability charge if they thought </w:t>
      </w:r>
      <w:r w:rsidR="001754BD">
        <w:rPr>
          <w:rFonts w:ascii="Times New Roman" w:hAnsi="Times New Roman" w:cs="Times New Roman"/>
          <w:sz w:val="24"/>
          <w:szCs w:val="24"/>
        </w:rPr>
        <w:t>Duke</w:t>
      </w:r>
      <w:r w:rsidR="005460B2">
        <w:rPr>
          <w:rFonts w:ascii="Times New Roman" w:hAnsi="Times New Roman" w:cs="Times New Roman"/>
          <w:sz w:val="24"/>
          <w:szCs w:val="24"/>
        </w:rPr>
        <w:t xml:space="preserve"> </w:t>
      </w:r>
      <w:r>
        <w:rPr>
          <w:rFonts w:ascii="Times New Roman" w:hAnsi="Times New Roman" w:cs="Times New Roman"/>
          <w:sz w:val="24"/>
          <w:szCs w:val="24"/>
        </w:rPr>
        <w:t xml:space="preserve">would seek a $729 million cost-based state compensation mechanism </w:t>
      </w:r>
      <w:r w:rsidR="00B35A4C">
        <w:rPr>
          <w:rFonts w:ascii="Times New Roman" w:hAnsi="Times New Roman" w:cs="Times New Roman"/>
          <w:sz w:val="24"/>
          <w:szCs w:val="24"/>
        </w:rPr>
        <w:t xml:space="preserve">less than </w:t>
      </w:r>
      <w:r>
        <w:rPr>
          <w:rFonts w:ascii="Times New Roman" w:hAnsi="Times New Roman" w:cs="Times New Roman"/>
          <w:sz w:val="24"/>
          <w:szCs w:val="24"/>
        </w:rPr>
        <w:t>a year later.</w:t>
      </w:r>
    </w:p>
    <w:p w:rsidR="00780852" w:rsidRDefault="009872D1" w:rsidP="0098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 OCC explained in its Initial Brief, Duke </w:t>
      </w:r>
      <w:r w:rsidRPr="008C1B89">
        <w:rPr>
          <w:rFonts w:ascii="Times New Roman" w:eastAsia="Calibri" w:hAnsi="Times New Roman" w:cs="Times New Roman"/>
          <w:sz w:val="24"/>
          <w:szCs w:val="24"/>
        </w:rPr>
        <w:t xml:space="preserve">has asked the </w:t>
      </w:r>
      <w:r>
        <w:rPr>
          <w:rFonts w:ascii="Times New Roman" w:eastAsia="Calibri" w:hAnsi="Times New Roman" w:cs="Times New Roman"/>
          <w:sz w:val="24"/>
          <w:szCs w:val="24"/>
        </w:rPr>
        <w:t>PUCO</w:t>
      </w:r>
      <w:r w:rsidRPr="008C1B89">
        <w:rPr>
          <w:rFonts w:ascii="Times New Roman" w:eastAsia="Calibri" w:hAnsi="Times New Roman" w:cs="Times New Roman"/>
          <w:sz w:val="24"/>
          <w:szCs w:val="24"/>
        </w:rPr>
        <w:t xml:space="preserve"> to set aside the capacity pri</w:t>
      </w:r>
      <w:r>
        <w:rPr>
          <w:rFonts w:ascii="Times New Roman" w:eastAsia="Calibri" w:hAnsi="Times New Roman" w:cs="Times New Roman"/>
          <w:sz w:val="24"/>
          <w:szCs w:val="24"/>
        </w:rPr>
        <w:t>cing portion of the Stipulation</w:t>
      </w:r>
      <w:r w:rsidRPr="008C1B89">
        <w:rPr>
          <w:rFonts w:ascii="Times New Roman" w:eastAsia="Calibri" w:hAnsi="Times New Roman" w:cs="Times New Roman"/>
          <w:sz w:val="24"/>
          <w:szCs w:val="24"/>
        </w:rPr>
        <w:t xml:space="preserve"> in favor of a cost-based capacity charge.  This </w:t>
      </w:r>
      <w:r w:rsidRPr="008C1B89">
        <w:rPr>
          <w:rFonts w:ascii="Times New Roman" w:eastAsia="Calibri" w:hAnsi="Times New Roman" w:cs="Times New Roman"/>
          <w:sz w:val="24"/>
          <w:szCs w:val="24"/>
        </w:rPr>
        <w:lastRenderedPageBreak/>
        <w:t xml:space="preserve">will directly undermine the agreement bargained for.  Preserving the integrity of stipulations means that parties should be able to rely upon the terms of </w:t>
      </w:r>
      <w:r>
        <w:rPr>
          <w:rFonts w:ascii="Times New Roman" w:eastAsia="Calibri" w:hAnsi="Times New Roman" w:cs="Times New Roman"/>
          <w:sz w:val="24"/>
          <w:szCs w:val="24"/>
        </w:rPr>
        <w:t>an agreement</w:t>
      </w:r>
      <w:r w:rsidRPr="008C1B89">
        <w:rPr>
          <w:rFonts w:ascii="Times New Roman" w:eastAsia="Calibri" w:hAnsi="Times New Roman" w:cs="Times New Roman"/>
          <w:sz w:val="24"/>
          <w:szCs w:val="24"/>
        </w:rPr>
        <w:t xml:space="preserve">, such as the Duke ESP Stipulation, and should be able to enforce its terms. </w:t>
      </w:r>
      <w:r w:rsidR="000B7B06">
        <w:rPr>
          <w:rFonts w:ascii="Times New Roman" w:eastAsia="Calibri" w:hAnsi="Times New Roman" w:cs="Times New Roman"/>
          <w:sz w:val="24"/>
          <w:szCs w:val="24"/>
        </w:rPr>
        <w:t xml:space="preserve"> </w:t>
      </w:r>
      <w:r w:rsidRPr="008C1B89">
        <w:rPr>
          <w:rFonts w:ascii="Times New Roman" w:eastAsia="Calibri" w:hAnsi="Times New Roman" w:cs="Times New Roman"/>
          <w:sz w:val="24"/>
          <w:szCs w:val="24"/>
        </w:rPr>
        <w:t xml:space="preserve">The PUCO should respect the precedential value of all its decisions, including its decision to adopt the Stipulation in the Duke ESP case.  Doing so provides regulatory certainty which benefits not only customers, but investors and shareholders as well.  </w:t>
      </w:r>
    </w:p>
    <w:p w:rsidR="009872D1" w:rsidRDefault="009872D1" w:rsidP="0098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8C1B89">
        <w:rPr>
          <w:rFonts w:ascii="Times New Roman" w:eastAsia="Calibri" w:hAnsi="Times New Roman" w:cs="Times New Roman"/>
          <w:sz w:val="24"/>
          <w:szCs w:val="24"/>
        </w:rPr>
        <w:t>It is essential that the PUCO respect its previous decisions and not depart from them</w:t>
      </w:r>
      <w:r>
        <w:rPr>
          <w:rFonts w:ascii="Times New Roman" w:eastAsia="Calibri" w:hAnsi="Times New Roman" w:cs="Times New Roman"/>
          <w:sz w:val="24"/>
          <w:szCs w:val="24"/>
        </w:rPr>
        <w:t>, especially</w:t>
      </w:r>
      <w:r w:rsidRPr="008C1B89">
        <w:rPr>
          <w:rFonts w:ascii="Times New Roman" w:eastAsia="Calibri" w:hAnsi="Times New Roman" w:cs="Times New Roman"/>
          <w:sz w:val="24"/>
          <w:szCs w:val="24"/>
        </w:rPr>
        <w:t xml:space="preserve"> without a clear need.  As the </w:t>
      </w:r>
      <w:r>
        <w:rPr>
          <w:rFonts w:ascii="Times New Roman" w:eastAsia="Calibri" w:hAnsi="Times New Roman" w:cs="Times New Roman"/>
          <w:sz w:val="24"/>
          <w:szCs w:val="24"/>
        </w:rPr>
        <w:t>PUCO</w:t>
      </w:r>
      <w:r w:rsidRPr="008C1B89">
        <w:rPr>
          <w:rFonts w:ascii="Times New Roman" w:eastAsia="Calibri" w:hAnsi="Times New Roman" w:cs="Times New Roman"/>
          <w:sz w:val="24"/>
          <w:szCs w:val="24"/>
        </w:rPr>
        <w:t xml:space="preserve"> has acknowledged on numerous occasions, parties must keep their commitments made in stipulations.</w:t>
      </w:r>
      <w:r w:rsidRPr="008C1B89">
        <w:rPr>
          <w:rFonts w:ascii="Times New Roman" w:eastAsia="Calibri" w:hAnsi="Times New Roman" w:cs="Times New Roman"/>
          <w:sz w:val="24"/>
          <w:szCs w:val="24"/>
          <w:vertAlign w:val="superscript"/>
        </w:rPr>
        <w:footnoteReference w:id="104"/>
      </w:r>
      <w:r w:rsidRPr="008C1B89">
        <w:rPr>
          <w:rFonts w:ascii="Times New Roman" w:eastAsia="Calibri" w:hAnsi="Times New Roman" w:cs="Times New Roman"/>
          <w:sz w:val="24"/>
          <w:szCs w:val="24"/>
        </w:rPr>
        <w:t xml:space="preserve"> </w:t>
      </w:r>
      <w:r w:rsidR="000B7B06">
        <w:rPr>
          <w:rFonts w:ascii="Times New Roman" w:eastAsia="Calibri" w:hAnsi="Times New Roman" w:cs="Times New Roman"/>
          <w:sz w:val="24"/>
          <w:szCs w:val="24"/>
        </w:rPr>
        <w:t xml:space="preserve"> </w:t>
      </w:r>
      <w:r w:rsidRPr="008C1B89">
        <w:rPr>
          <w:rFonts w:ascii="Times New Roman" w:eastAsia="Calibri" w:hAnsi="Times New Roman" w:cs="Times New Roman"/>
          <w:sz w:val="24"/>
          <w:szCs w:val="24"/>
        </w:rPr>
        <w:t>To do otherwise is to invite every settled case to be reopened at the first sign of discontent by any party</w:t>
      </w:r>
      <w:r>
        <w:rPr>
          <w:rFonts w:ascii="Times New Roman" w:eastAsia="Calibri" w:hAnsi="Times New Roman" w:cs="Times New Roman"/>
          <w:sz w:val="24"/>
          <w:szCs w:val="24"/>
        </w:rPr>
        <w:t xml:space="preserve">, in </w:t>
      </w:r>
      <w:proofErr w:type="gramStart"/>
      <w:r>
        <w:rPr>
          <w:rFonts w:ascii="Times New Roman" w:eastAsia="Calibri" w:hAnsi="Times New Roman" w:cs="Times New Roman"/>
          <w:sz w:val="24"/>
          <w:szCs w:val="24"/>
        </w:rPr>
        <w:t>turn</w:t>
      </w:r>
      <w:r w:rsidR="00B06092">
        <w:rPr>
          <w:rFonts w:ascii="Times New Roman" w:eastAsia="Calibri" w:hAnsi="Times New Roman" w:cs="Times New Roman"/>
          <w:sz w:val="24"/>
          <w:szCs w:val="24"/>
        </w:rPr>
        <w:t>,</w:t>
      </w:r>
      <w:proofErr w:type="gramEnd"/>
      <w:r w:rsidR="00B06092">
        <w:rPr>
          <w:rFonts w:ascii="Times New Roman" w:eastAsia="Calibri" w:hAnsi="Times New Roman" w:cs="Times New Roman"/>
          <w:sz w:val="24"/>
          <w:szCs w:val="24"/>
        </w:rPr>
        <w:t xml:space="preserve"> </w:t>
      </w:r>
      <w:r>
        <w:rPr>
          <w:rFonts w:ascii="Times New Roman" w:eastAsia="Calibri" w:hAnsi="Times New Roman" w:cs="Times New Roman"/>
          <w:sz w:val="24"/>
          <w:szCs w:val="24"/>
        </w:rPr>
        <w:t>creating an environment that discourages negotiation and settlement</w:t>
      </w:r>
      <w:r w:rsidRPr="008C1B89">
        <w:rPr>
          <w:rFonts w:ascii="Times New Roman" w:eastAsia="Calibri" w:hAnsi="Times New Roman" w:cs="Times New Roman"/>
          <w:sz w:val="24"/>
          <w:szCs w:val="24"/>
        </w:rPr>
        <w:t xml:space="preserve">.  </w:t>
      </w:r>
      <w:r>
        <w:rPr>
          <w:rFonts w:ascii="Times New Roman" w:eastAsia="Calibri" w:hAnsi="Times New Roman" w:cs="Times New Roman"/>
          <w:sz w:val="24"/>
          <w:szCs w:val="24"/>
        </w:rPr>
        <w:t>Implementing a cost-based state compensation mechanism for Duke as a result of this case would be in direct conflict with the terms of the Stipulation the PUCO approved to resolve the Duke ESP case.  This is a slippery slope that could have devastating consequences for customers.</w:t>
      </w:r>
    </w:p>
    <w:p w:rsidR="009872D1" w:rsidRDefault="009872D1" w:rsidP="0098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Duke states in its post-hearing brief that “although a stipulation may be accorded substantial weight, the Commission must independently interpret any stipulation and determine whether it is reasonable and in the public interest.”</w:t>
      </w:r>
      <w:r>
        <w:rPr>
          <w:rStyle w:val="FootnoteReference"/>
          <w:rFonts w:ascii="Times New Roman" w:eastAsia="Calibri" w:hAnsi="Times New Roman" w:cs="Times New Roman"/>
          <w:sz w:val="24"/>
          <w:szCs w:val="24"/>
        </w:rPr>
        <w:footnoteReference w:id="105"/>
      </w:r>
      <w:r>
        <w:rPr>
          <w:rFonts w:ascii="Times New Roman" w:eastAsia="Calibri" w:hAnsi="Times New Roman" w:cs="Times New Roman"/>
          <w:sz w:val="24"/>
          <w:szCs w:val="24"/>
        </w:rPr>
        <w:t xml:space="preserve">  The PUCO has already</w:t>
      </w:r>
      <w:r w:rsidR="0058204D">
        <w:rPr>
          <w:rFonts w:ascii="Times New Roman" w:eastAsia="Calibri" w:hAnsi="Times New Roman" w:cs="Times New Roman"/>
          <w:sz w:val="24"/>
          <w:szCs w:val="24"/>
        </w:rPr>
        <w:t xml:space="preserve"> independently</w:t>
      </w:r>
      <w:r>
        <w:rPr>
          <w:rFonts w:ascii="Times New Roman" w:eastAsia="Calibri" w:hAnsi="Times New Roman" w:cs="Times New Roman"/>
          <w:sz w:val="24"/>
          <w:szCs w:val="24"/>
        </w:rPr>
        <w:t xml:space="preserve"> found that the Duke ESP Stipulation it is reasonable and in the public interest.  It would be unreasonable and contrary to customers’ interests for the PUCO to implement a cost-based state compensation mechanism that is contrary to the terms of the </w:t>
      </w:r>
      <w:r>
        <w:rPr>
          <w:rFonts w:ascii="Times New Roman" w:eastAsia="Calibri" w:hAnsi="Times New Roman" w:cs="Times New Roman"/>
          <w:sz w:val="24"/>
          <w:szCs w:val="24"/>
        </w:rPr>
        <w:lastRenderedPageBreak/>
        <w:t>Duke ESP Stipulation it approved—especially given the fact that the PUCO is not required to implement a state compensation mechanism under the RAA.</w:t>
      </w:r>
    </w:p>
    <w:p w:rsidR="00CB5445" w:rsidRPr="00EE2B03" w:rsidRDefault="00016E0D" w:rsidP="00FB4463">
      <w:pPr>
        <w:pStyle w:val="Heading2"/>
      </w:pPr>
      <w:bookmarkStart w:id="24" w:name="_Toc362949999"/>
      <w:r>
        <w:t>D.</w:t>
      </w:r>
      <w:r w:rsidR="00D308F6">
        <w:tab/>
      </w:r>
      <w:r w:rsidR="00234F3B" w:rsidRPr="00EE2B03">
        <w:t xml:space="preserve">The </w:t>
      </w:r>
      <w:r w:rsidR="0058204D">
        <w:t>PUCO</w:t>
      </w:r>
      <w:r w:rsidR="0058204D" w:rsidRPr="00EE2B03">
        <w:t xml:space="preserve"> </w:t>
      </w:r>
      <w:r w:rsidR="000B7B06" w:rsidRPr="00EE2B03">
        <w:t xml:space="preserve">Should Reject </w:t>
      </w:r>
      <w:r w:rsidR="00CB5445" w:rsidRPr="00EE2B03">
        <w:t xml:space="preserve">Duke’s </w:t>
      </w:r>
      <w:r w:rsidR="000B7B06" w:rsidRPr="00EE2B03">
        <w:t xml:space="preserve">Allegations That If It Does Not Receive Its Fully Embedded Cost </w:t>
      </w:r>
      <w:proofErr w:type="gramStart"/>
      <w:r w:rsidR="000B7B06" w:rsidRPr="00EE2B03">
        <w:t>Of</w:t>
      </w:r>
      <w:proofErr w:type="gramEnd"/>
      <w:r w:rsidR="000B7B06" w:rsidRPr="00EE2B03">
        <w:t xml:space="preserve"> Capacity</w:t>
      </w:r>
      <w:r w:rsidR="00D229FC">
        <w:t>,</w:t>
      </w:r>
      <w:r w:rsidR="000B7B06" w:rsidRPr="00EE2B03">
        <w:t xml:space="preserve"> There Will Be An Unconstitutional Taking.</w:t>
      </w:r>
      <w:bookmarkEnd w:id="24"/>
    </w:p>
    <w:p w:rsidR="004B44E6" w:rsidRPr="00EE2B03" w:rsidRDefault="00CB5445" w:rsidP="000B7B06">
      <w:pPr>
        <w:ind w:firstLine="720"/>
        <w:rPr>
          <w:rFonts w:ascii="Times New Roman" w:hAnsi="Times New Roman" w:cs="Times New Roman"/>
          <w:sz w:val="24"/>
          <w:szCs w:val="24"/>
        </w:rPr>
      </w:pPr>
      <w:r w:rsidRPr="00EE2B03">
        <w:rPr>
          <w:rFonts w:ascii="Times New Roman" w:hAnsi="Times New Roman" w:cs="Times New Roman"/>
          <w:sz w:val="24"/>
          <w:szCs w:val="24"/>
        </w:rPr>
        <w:t>Duke argues that it is “constitutionally entitled to a rate that permits it to earn a fair return on the value of assets it em</w:t>
      </w:r>
      <w:r w:rsidR="004E7959">
        <w:rPr>
          <w:rFonts w:ascii="Times New Roman" w:hAnsi="Times New Roman" w:cs="Times New Roman"/>
          <w:sz w:val="24"/>
          <w:szCs w:val="24"/>
        </w:rPr>
        <w:t>ploys for public convenience.”</w:t>
      </w:r>
      <w:r w:rsidRPr="00EE2B03">
        <w:rPr>
          <w:rStyle w:val="FootnoteReference"/>
          <w:rFonts w:ascii="Times New Roman" w:hAnsi="Times New Roman" w:cs="Times New Roman"/>
          <w:sz w:val="24"/>
          <w:szCs w:val="24"/>
        </w:rPr>
        <w:footnoteReference w:id="106"/>
      </w:r>
      <w:r w:rsidRPr="00EE2B03">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sidRPr="00EE2B03">
        <w:rPr>
          <w:rFonts w:ascii="Times New Roman" w:hAnsi="Times New Roman" w:cs="Times New Roman"/>
          <w:sz w:val="24"/>
          <w:szCs w:val="24"/>
        </w:rPr>
        <w:t>Duke ass</w:t>
      </w:r>
      <w:r w:rsidR="004E7959">
        <w:rPr>
          <w:rFonts w:ascii="Times New Roman" w:hAnsi="Times New Roman" w:cs="Times New Roman"/>
          <w:sz w:val="24"/>
          <w:szCs w:val="24"/>
        </w:rPr>
        <w:t xml:space="preserve">erts that under this principle </w:t>
      </w:r>
      <w:r w:rsidRPr="00EE2B03">
        <w:rPr>
          <w:rFonts w:ascii="Times New Roman" w:hAnsi="Times New Roman" w:cs="Times New Roman"/>
          <w:sz w:val="24"/>
          <w:szCs w:val="24"/>
        </w:rPr>
        <w:t>it is “entitled to recover the cost of providing ‘regulated service’—in this situation, its wholesale FRR capacity service—including a fair return on its investment.”</w:t>
      </w:r>
      <w:r w:rsidRPr="00EE2B03">
        <w:rPr>
          <w:rStyle w:val="FootnoteReference"/>
          <w:rFonts w:ascii="Times New Roman" w:hAnsi="Times New Roman" w:cs="Times New Roman"/>
          <w:sz w:val="24"/>
          <w:szCs w:val="24"/>
        </w:rPr>
        <w:footnoteReference w:id="107"/>
      </w:r>
      <w:r w:rsidR="00234F3B" w:rsidRPr="00EE2B03">
        <w:rPr>
          <w:rFonts w:ascii="Times New Roman" w:hAnsi="Times New Roman" w:cs="Times New Roman"/>
          <w:sz w:val="24"/>
          <w:szCs w:val="24"/>
        </w:rPr>
        <w:t xml:space="preserve"> </w:t>
      </w:r>
      <w:r w:rsidRPr="00EE2B03">
        <w:rPr>
          <w:rFonts w:ascii="Times New Roman" w:hAnsi="Times New Roman" w:cs="Times New Roman"/>
          <w:sz w:val="24"/>
          <w:szCs w:val="24"/>
        </w:rPr>
        <w:t xml:space="preserve"> Duke claims its current receipt of only the FZCP is confiscatory </w:t>
      </w:r>
      <w:r w:rsidR="00234F3B" w:rsidRPr="00EE2B03">
        <w:rPr>
          <w:rFonts w:ascii="Times New Roman" w:hAnsi="Times New Roman" w:cs="Times New Roman"/>
          <w:sz w:val="24"/>
          <w:szCs w:val="24"/>
        </w:rPr>
        <w:t>under the Ohio and federal constitutions.</w:t>
      </w:r>
      <w:r w:rsidR="00234F3B" w:rsidRPr="00EE2B03">
        <w:rPr>
          <w:rStyle w:val="FootnoteReference"/>
          <w:rFonts w:ascii="Times New Roman" w:hAnsi="Times New Roman" w:cs="Times New Roman"/>
          <w:sz w:val="24"/>
          <w:szCs w:val="24"/>
        </w:rPr>
        <w:footnoteReference w:id="108"/>
      </w:r>
      <w:r w:rsidR="00234F3B" w:rsidRPr="00EE2B03">
        <w:rPr>
          <w:rFonts w:ascii="Times New Roman" w:hAnsi="Times New Roman" w:cs="Times New Roman"/>
          <w:sz w:val="24"/>
          <w:szCs w:val="24"/>
        </w:rPr>
        <w:t xml:space="preserve">  Duke points to its current returns on equity that are below zero as evidence of the unconstitutional taking.</w:t>
      </w:r>
      <w:r w:rsidR="004E7959">
        <w:rPr>
          <w:rStyle w:val="FootnoteReference"/>
          <w:rFonts w:ascii="Times New Roman" w:hAnsi="Times New Roman" w:cs="Times New Roman"/>
          <w:sz w:val="24"/>
          <w:szCs w:val="24"/>
        </w:rPr>
        <w:footnoteReference w:id="109"/>
      </w:r>
      <w:r w:rsidR="00234F3B" w:rsidRPr="00EE2B03">
        <w:rPr>
          <w:rFonts w:ascii="Times New Roman" w:hAnsi="Times New Roman" w:cs="Times New Roman"/>
          <w:sz w:val="24"/>
          <w:szCs w:val="24"/>
        </w:rPr>
        <w:t xml:space="preserve">  But as explained below, Duke’s arguments are not well made, especially in light to the fact that the PUCO does not have authority to decide constitutional issues. </w:t>
      </w:r>
    </w:p>
    <w:p w:rsidR="002A64E3" w:rsidRPr="00EE2B03" w:rsidRDefault="00D308F6" w:rsidP="00FB4463">
      <w:pPr>
        <w:pStyle w:val="Heading3"/>
      </w:pPr>
      <w:bookmarkStart w:id="25" w:name="_Toc362950000"/>
      <w:r>
        <w:t>1.</w:t>
      </w:r>
      <w:r>
        <w:tab/>
      </w:r>
      <w:r w:rsidR="009223BB" w:rsidRPr="00EE2B03">
        <w:t>The PUCO has no authority to decide constitutional issue</w:t>
      </w:r>
      <w:r w:rsidR="00E353E3" w:rsidRPr="00EE2B03">
        <w:t>s</w:t>
      </w:r>
      <w:r>
        <w:t>.</w:t>
      </w:r>
      <w:bookmarkEnd w:id="25"/>
    </w:p>
    <w:p w:rsidR="002A64E3" w:rsidRPr="00EE2B03" w:rsidRDefault="002A64E3" w:rsidP="002A64E3">
      <w:pPr>
        <w:ind w:firstLine="720"/>
        <w:rPr>
          <w:rFonts w:ascii="Times New Roman" w:hAnsi="Times New Roman" w:cs="Times New Roman"/>
          <w:sz w:val="24"/>
          <w:szCs w:val="24"/>
          <w:lang w:eastAsia="ar-SA"/>
        </w:rPr>
      </w:pPr>
      <w:r w:rsidRPr="00EE2B03">
        <w:rPr>
          <w:rFonts w:ascii="Times New Roman" w:hAnsi="Times New Roman" w:cs="Times New Roman"/>
          <w:sz w:val="24"/>
          <w:szCs w:val="24"/>
          <w:lang w:eastAsia="ar-SA"/>
        </w:rPr>
        <w:t xml:space="preserve">Title 49 of the Ohio Revised Code defines the entire scope of the PUCO’s jurisdiction.  Under Title 49, the PUCO has exclusive jurisdiction over various matters </w:t>
      </w:r>
      <w:r w:rsidRPr="00EE2B03">
        <w:rPr>
          <w:rFonts w:ascii="Times New Roman" w:hAnsi="Times New Roman" w:cs="Times New Roman"/>
          <w:sz w:val="24"/>
          <w:szCs w:val="24"/>
          <w:lang w:eastAsia="ar-SA"/>
        </w:rPr>
        <w:lastRenderedPageBreak/>
        <w:t>involving public utilities, such as rates and charges, classifications, and service, effectively denying jurisdiction to all courts, except the Supreme Court.</w:t>
      </w:r>
      <w:r w:rsidRPr="00EE2B03">
        <w:rPr>
          <w:rStyle w:val="FootnoteReference"/>
          <w:rFonts w:ascii="Times New Roman" w:hAnsi="Times New Roman" w:cs="Times New Roman"/>
          <w:sz w:val="24"/>
          <w:szCs w:val="24"/>
          <w:lang w:eastAsia="ar-SA"/>
        </w:rPr>
        <w:footnoteReference w:id="110"/>
      </w:r>
      <w:r w:rsidRPr="00EE2B03">
        <w:rPr>
          <w:rFonts w:ascii="Times New Roman" w:hAnsi="Times New Roman" w:cs="Times New Roman"/>
          <w:sz w:val="24"/>
          <w:szCs w:val="24"/>
          <w:lang w:eastAsia="ar-SA"/>
        </w:rPr>
        <w:t xml:space="preserve">  The rationale behind these grants of authority is that the determination of issues related to applicable laws and regulations, industry practices, and standards is best accomplished by the PUCO with its expert staff.</w:t>
      </w:r>
      <w:r w:rsidRPr="00EE2B03">
        <w:rPr>
          <w:rStyle w:val="FootnoteReference"/>
          <w:rFonts w:ascii="Times New Roman" w:hAnsi="Times New Roman" w:cs="Times New Roman"/>
          <w:sz w:val="24"/>
          <w:szCs w:val="24"/>
          <w:lang w:eastAsia="ar-SA"/>
        </w:rPr>
        <w:footnoteReference w:id="111"/>
      </w:r>
      <w:r w:rsidRPr="00EE2B03">
        <w:rPr>
          <w:rFonts w:ascii="Times New Roman" w:hAnsi="Times New Roman" w:cs="Times New Roman"/>
          <w:sz w:val="24"/>
          <w:szCs w:val="24"/>
          <w:lang w:eastAsia="ar-SA"/>
        </w:rPr>
        <w:t xml:space="preserve">  But because the</w:t>
      </w:r>
      <w:r w:rsidR="0058204D">
        <w:rPr>
          <w:rFonts w:ascii="Times New Roman" w:hAnsi="Times New Roman" w:cs="Times New Roman"/>
          <w:sz w:val="24"/>
          <w:szCs w:val="24"/>
          <w:lang w:eastAsia="ar-SA"/>
        </w:rPr>
        <w:t xml:space="preserve"> PUCO</w:t>
      </w:r>
      <w:r w:rsidRPr="00EE2B03">
        <w:rPr>
          <w:rFonts w:ascii="Times New Roman" w:hAnsi="Times New Roman" w:cs="Times New Roman"/>
          <w:sz w:val="24"/>
          <w:szCs w:val="24"/>
          <w:lang w:eastAsia="ar-SA"/>
        </w:rPr>
        <w:t xml:space="preserve"> is ultimately a creature of statute,</w:t>
      </w:r>
      <w:r w:rsidRPr="00EE2B03">
        <w:rPr>
          <w:rStyle w:val="FootnoteReference"/>
          <w:rFonts w:ascii="Times New Roman" w:hAnsi="Times New Roman" w:cs="Times New Roman"/>
          <w:sz w:val="24"/>
          <w:szCs w:val="24"/>
          <w:lang w:eastAsia="ar-SA"/>
        </w:rPr>
        <w:footnoteReference w:id="112"/>
      </w:r>
      <w:r w:rsidRPr="00EE2B03">
        <w:rPr>
          <w:rFonts w:ascii="Times New Roman" w:hAnsi="Times New Roman" w:cs="Times New Roman"/>
          <w:sz w:val="24"/>
          <w:szCs w:val="24"/>
          <w:lang w:eastAsia="ar-SA"/>
        </w:rPr>
        <w:t xml:space="preserve"> it has only those powers conferred to it by statute.  </w:t>
      </w:r>
    </w:p>
    <w:p w:rsidR="002A64E3" w:rsidRPr="00EE2B03" w:rsidRDefault="002A64E3" w:rsidP="002A64E3">
      <w:pPr>
        <w:ind w:firstLine="720"/>
        <w:rPr>
          <w:rFonts w:ascii="Times New Roman" w:hAnsi="Times New Roman" w:cs="Times New Roman"/>
          <w:sz w:val="24"/>
          <w:szCs w:val="24"/>
        </w:rPr>
      </w:pPr>
      <w:r w:rsidRPr="00EE2B03">
        <w:rPr>
          <w:rFonts w:ascii="Times New Roman" w:hAnsi="Times New Roman" w:cs="Times New Roman"/>
          <w:sz w:val="24"/>
          <w:szCs w:val="24"/>
          <w:lang w:eastAsia="ar-SA"/>
        </w:rPr>
        <w:t xml:space="preserve">The Ohio Supreme Court has </w:t>
      </w:r>
      <w:r w:rsidR="00E353E3" w:rsidRPr="00EE2B03">
        <w:rPr>
          <w:rFonts w:ascii="Times New Roman" w:hAnsi="Times New Roman" w:cs="Times New Roman"/>
          <w:sz w:val="24"/>
          <w:szCs w:val="24"/>
          <w:lang w:eastAsia="ar-SA"/>
        </w:rPr>
        <w:t xml:space="preserve">also </w:t>
      </w:r>
      <w:r w:rsidRPr="00EE2B03">
        <w:rPr>
          <w:rFonts w:ascii="Times New Roman" w:hAnsi="Times New Roman" w:cs="Times New Roman"/>
          <w:sz w:val="24"/>
          <w:szCs w:val="24"/>
          <w:lang w:eastAsia="ar-SA"/>
        </w:rPr>
        <w:t xml:space="preserve">confined the scope of the </w:t>
      </w:r>
      <w:r w:rsidR="0058204D">
        <w:rPr>
          <w:rFonts w:ascii="Times New Roman" w:hAnsi="Times New Roman" w:cs="Times New Roman"/>
          <w:sz w:val="24"/>
          <w:szCs w:val="24"/>
          <w:lang w:eastAsia="ar-SA"/>
        </w:rPr>
        <w:t>PUCO</w:t>
      </w:r>
      <w:r w:rsidR="0058204D" w:rsidRPr="00EE2B03">
        <w:rPr>
          <w:rFonts w:ascii="Times New Roman" w:hAnsi="Times New Roman" w:cs="Times New Roman"/>
          <w:sz w:val="24"/>
          <w:szCs w:val="24"/>
          <w:lang w:eastAsia="ar-SA"/>
        </w:rPr>
        <w:t xml:space="preserve">’s </w:t>
      </w:r>
      <w:r w:rsidRPr="00EE2B03">
        <w:rPr>
          <w:rFonts w:ascii="Times New Roman" w:hAnsi="Times New Roman" w:cs="Times New Roman"/>
          <w:sz w:val="24"/>
          <w:szCs w:val="24"/>
          <w:lang w:eastAsia="ar-SA"/>
        </w:rPr>
        <w:t>jurisdiction to utility-related matters.</w:t>
      </w:r>
      <w:r w:rsidRPr="00EE2B03">
        <w:rPr>
          <w:rStyle w:val="FootnoteReference"/>
          <w:rFonts w:ascii="Times New Roman" w:hAnsi="Times New Roman" w:cs="Times New Roman"/>
          <w:sz w:val="24"/>
          <w:szCs w:val="24"/>
          <w:lang w:eastAsia="ar-SA"/>
        </w:rPr>
        <w:footnoteReference w:id="113"/>
      </w:r>
      <w:r w:rsidRPr="00EE2B03">
        <w:rPr>
          <w:rFonts w:ascii="Times New Roman" w:hAnsi="Times New Roman" w:cs="Times New Roman"/>
          <w:sz w:val="24"/>
          <w:szCs w:val="24"/>
          <w:lang w:eastAsia="ar-SA"/>
        </w:rPr>
        <w:t xml:space="preserve">  T</w:t>
      </w:r>
      <w:r w:rsidRPr="00EE2B03">
        <w:rPr>
          <w:rFonts w:ascii="Times New Roman" w:hAnsi="Times New Roman" w:cs="Times New Roman"/>
          <w:sz w:val="24"/>
          <w:szCs w:val="24"/>
        </w:rPr>
        <w:t xml:space="preserve">he Ohio Supreme Court has explicitly provided that decisions regarding the constitutionality of statutes are decisions for the courts, and not for the PUCO or for an advisory board.  To this end, the Supreme Court has emphasized: “[the fact that the] PUCO has exclusive jurisdiction over service-related matters does not diminish ‘the basic jurisdiction of the court of common pleas *** in other areas of possible claims against utilities, including pure tort and contract claims *** moreover, PUCO </w:t>
      </w:r>
      <w:r w:rsidRPr="00EE2B03">
        <w:rPr>
          <w:rFonts w:ascii="Times New Roman" w:hAnsi="Times New Roman" w:cs="Times New Roman"/>
          <w:b/>
          <w:i/>
          <w:sz w:val="24"/>
          <w:szCs w:val="24"/>
        </w:rPr>
        <w:t>is not a court</w:t>
      </w:r>
      <w:r w:rsidRPr="00EE2B03">
        <w:rPr>
          <w:rFonts w:ascii="Times New Roman" w:hAnsi="Times New Roman" w:cs="Times New Roman"/>
          <w:sz w:val="24"/>
          <w:szCs w:val="24"/>
        </w:rPr>
        <w:t xml:space="preserve"> and has no power to judicially ascertain and determine legal rights and liabilities.’”</w:t>
      </w:r>
      <w:r w:rsidRPr="00EE2B03">
        <w:rPr>
          <w:rStyle w:val="FootnoteReference"/>
          <w:rFonts w:ascii="Times New Roman" w:hAnsi="Times New Roman" w:cs="Times New Roman"/>
          <w:sz w:val="24"/>
          <w:szCs w:val="24"/>
        </w:rPr>
        <w:footnoteReference w:id="114"/>
      </w:r>
      <w:r w:rsidRPr="00EE2B03">
        <w:rPr>
          <w:rFonts w:ascii="Times New Roman" w:hAnsi="Times New Roman" w:cs="Times New Roman"/>
          <w:sz w:val="24"/>
          <w:szCs w:val="24"/>
        </w:rPr>
        <w:t xml:space="preserve">  </w:t>
      </w:r>
      <w:r w:rsidR="000B1234" w:rsidRPr="00EE2B03">
        <w:rPr>
          <w:rFonts w:ascii="Times New Roman" w:hAnsi="Times New Roman" w:cs="Times New Roman"/>
          <w:sz w:val="24"/>
          <w:szCs w:val="24"/>
        </w:rPr>
        <w:t>C</w:t>
      </w:r>
      <w:r w:rsidRPr="00EE2B03">
        <w:rPr>
          <w:rFonts w:ascii="Times New Roman" w:hAnsi="Times New Roman" w:cs="Times New Roman"/>
          <w:sz w:val="24"/>
          <w:szCs w:val="24"/>
        </w:rPr>
        <w:t>onstitutional rights fall within the “legal rights and liabilities” that courts have the power to determine,</w:t>
      </w:r>
      <w:r w:rsidRPr="00EE2B03">
        <w:rPr>
          <w:rStyle w:val="FootnoteReference"/>
          <w:rFonts w:ascii="Times New Roman" w:hAnsi="Times New Roman" w:cs="Times New Roman"/>
          <w:sz w:val="24"/>
          <w:szCs w:val="24"/>
        </w:rPr>
        <w:footnoteReference w:id="115"/>
      </w:r>
      <w:r w:rsidRPr="00EE2B03">
        <w:rPr>
          <w:rFonts w:ascii="Times New Roman" w:hAnsi="Times New Roman" w:cs="Times New Roman"/>
          <w:sz w:val="24"/>
          <w:szCs w:val="24"/>
        </w:rPr>
        <w:t xml:space="preserve"> and therefore, the </w:t>
      </w:r>
      <w:r w:rsidR="0058204D">
        <w:rPr>
          <w:rFonts w:ascii="Times New Roman" w:hAnsi="Times New Roman" w:cs="Times New Roman"/>
          <w:sz w:val="24"/>
          <w:szCs w:val="24"/>
        </w:rPr>
        <w:t xml:space="preserve">PUCO </w:t>
      </w:r>
      <w:r w:rsidRPr="00EE2B03">
        <w:rPr>
          <w:rFonts w:ascii="Times New Roman" w:hAnsi="Times New Roman" w:cs="Times New Roman"/>
          <w:sz w:val="24"/>
          <w:szCs w:val="24"/>
        </w:rPr>
        <w:t>has no jurisdiction to determine constitutional claims</w:t>
      </w:r>
      <w:r w:rsidR="000B1234" w:rsidRPr="00EE2B03">
        <w:rPr>
          <w:rFonts w:ascii="Times New Roman" w:hAnsi="Times New Roman" w:cs="Times New Roman"/>
          <w:sz w:val="24"/>
          <w:szCs w:val="24"/>
        </w:rPr>
        <w:t>.</w:t>
      </w:r>
      <w:r w:rsidR="00CE2887" w:rsidRPr="00EE2B03">
        <w:rPr>
          <w:rFonts w:ascii="Times New Roman" w:hAnsi="Times New Roman" w:cs="Times New Roman"/>
          <w:sz w:val="24"/>
          <w:szCs w:val="24"/>
        </w:rPr>
        <w:t xml:space="preserve">  </w:t>
      </w:r>
      <w:r w:rsidRPr="00EE2B03">
        <w:rPr>
          <w:rFonts w:ascii="Times New Roman" w:hAnsi="Times New Roman" w:cs="Times New Roman"/>
          <w:sz w:val="24"/>
          <w:szCs w:val="24"/>
        </w:rPr>
        <w:t>Similarly, in</w:t>
      </w:r>
      <w:r w:rsidR="00CE2887" w:rsidRPr="00EE2B03">
        <w:rPr>
          <w:rFonts w:ascii="Times New Roman" w:hAnsi="Times New Roman" w:cs="Times New Roman"/>
          <w:sz w:val="24"/>
          <w:szCs w:val="24"/>
        </w:rPr>
        <w:t xml:space="preserve"> </w:t>
      </w:r>
      <w:r w:rsidR="00CE2887" w:rsidRPr="00EE2B03">
        <w:rPr>
          <w:rFonts w:ascii="Times New Roman" w:hAnsi="Times New Roman" w:cs="Times New Roman"/>
          <w:i/>
          <w:sz w:val="24"/>
          <w:szCs w:val="24"/>
        </w:rPr>
        <w:t>Consumers’ Counsel v. Pub. Util. Comm.</w:t>
      </w:r>
      <w:r w:rsidR="00CE2887" w:rsidRPr="00EE2B03">
        <w:rPr>
          <w:rFonts w:ascii="Times New Roman" w:hAnsi="Times New Roman" w:cs="Times New Roman"/>
          <w:sz w:val="24"/>
          <w:szCs w:val="24"/>
        </w:rPr>
        <w:t xml:space="preserve"> </w:t>
      </w:r>
      <w:r w:rsidR="00CE2887" w:rsidRPr="00EE2B03">
        <w:rPr>
          <w:rFonts w:ascii="Times New Roman" w:hAnsi="Times New Roman" w:cs="Times New Roman"/>
          <w:sz w:val="24"/>
          <w:szCs w:val="24"/>
        </w:rPr>
        <w:lastRenderedPageBreak/>
        <w:t xml:space="preserve">(1994), 70 Ohio St. 3d 244, 247, the Ohio Supreme Court </w:t>
      </w:r>
      <w:r w:rsidR="00E353E3" w:rsidRPr="00EE2B03">
        <w:rPr>
          <w:rFonts w:ascii="Times New Roman" w:hAnsi="Times New Roman" w:cs="Times New Roman"/>
          <w:sz w:val="24"/>
          <w:szCs w:val="24"/>
        </w:rPr>
        <w:t>determined</w:t>
      </w:r>
      <w:r w:rsidR="00CE2887" w:rsidRPr="00EE2B03">
        <w:rPr>
          <w:rFonts w:ascii="Times New Roman" w:hAnsi="Times New Roman" w:cs="Times New Roman"/>
          <w:sz w:val="24"/>
          <w:szCs w:val="24"/>
        </w:rPr>
        <w:t xml:space="preserve"> that “an administrative agency such as the commission may not pass upon the constitutionality of a statute.”</w:t>
      </w:r>
      <w:r w:rsidRPr="00EE2B03">
        <w:rPr>
          <w:rFonts w:ascii="Times New Roman" w:hAnsi="Times New Roman" w:cs="Times New Roman"/>
          <w:sz w:val="24"/>
          <w:szCs w:val="24"/>
        </w:rPr>
        <w:t xml:space="preserve"> </w:t>
      </w:r>
    </w:p>
    <w:p w:rsidR="000B1234" w:rsidRPr="00B3116B" w:rsidRDefault="000B1234" w:rsidP="000B1234">
      <w:pPr>
        <w:pStyle w:val="BodyText"/>
        <w:spacing w:after="0" w:line="480" w:lineRule="auto"/>
        <w:jc w:val="left"/>
        <w:rPr>
          <w:rFonts w:ascii="Times New Roman" w:hAnsi="Times New Roman"/>
          <w:sz w:val="24"/>
          <w:shd w:val="clear" w:color="auto" w:fill="FFFFFF"/>
        </w:rPr>
      </w:pPr>
      <w:r w:rsidRPr="00EE2B03">
        <w:rPr>
          <w:rFonts w:ascii="Times New Roman" w:hAnsi="Times New Roman"/>
          <w:color w:val="333333"/>
          <w:sz w:val="24"/>
          <w:szCs w:val="24"/>
          <w:shd w:val="clear" w:color="auto" w:fill="FFFFFF"/>
        </w:rPr>
        <w:tab/>
      </w:r>
      <w:r w:rsidR="009223BB" w:rsidRPr="00B3116B">
        <w:rPr>
          <w:rFonts w:ascii="Times New Roman" w:hAnsi="Times New Roman"/>
          <w:sz w:val="24"/>
          <w:shd w:val="clear" w:color="auto" w:fill="FFFFFF"/>
        </w:rPr>
        <w:t>The PUCO</w:t>
      </w:r>
      <w:r w:rsidRPr="00B3116B">
        <w:rPr>
          <w:rFonts w:ascii="Times New Roman" w:hAnsi="Times New Roman"/>
          <w:sz w:val="24"/>
          <w:shd w:val="clear" w:color="auto" w:fill="FFFFFF"/>
        </w:rPr>
        <w:t xml:space="preserve"> itself </w:t>
      </w:r>
      <w:r w:rsidR="00EE2B03" w:rsidRPr="00B3116B">
        <w:rPr>
          <w:rFonts w:ascii="Times New Roman" w:hAnsi="Times New Roman"/>
          <w:sz w:val="24"/>
          <w:shd w:val="clear" w:color="auto" w:fill="FFFFFF"/>
        </w:rPr>
        <w:t xml:space="preserve"> </w:t>
      </w:r>
      <w:r w:rsidR="009223BB" w:rsidRPr="00B3116B">
        <w:rPr>
          <w:rFonts w:ascii="Times New Roman" w:hAnsi="Times New Roman"/>
          <w:sz w:val="24"/>
          <w:shd w:val="clear" w:color="auto" w:fill="FFFFFF"/>
        </w:rPr>
        <w:t xml:space="preserve"> has long recognized that it lacks jurisdiction to decide constitutional questions.</w:t>
      </w:r>
      <w:r w:rsidR="009223BB" w:rsidRPr="00B3116B">
        <w:rPr>
          <w:rStyle w:val="FootnoteReference"/>
          <w:rFonts w:ascii="Times New Roman" w:hAnsi="Times New Roman"/>
          <w:sz w:val="24"/>
          <w:shd w:val="clear" w:color="auto" w:fill="FFFFFF"/>
        </w:rPr>
        <w:footnoteReference w:id="116"/>
      </w:r>
      <w:r w:rsidRPr="00B3116B">
        <w:rPr>
          <w:rFonts w:ascii="Times New Roman" w:hAnsi="Times New Roman"/>
          <w:sz w:val="24"/>
          <w:shd w:val="clear" w:color="auto" w:fill="FFFFFF"/>
        </w:rPr>
        <w:t xml:space="preserve">  </w:t>
      </w:r>
      <w:r w:rsidR="009223BB" w:rsidRPr="00B3116B">
        <w:rPr>
          <w:rFonts w:ascii="Times New Roman" w:hAnsi="Times New Roman"/>
          <w:sz w:val="24"/>
          <w:shd w:val="clear" w:color="auto" w:fill="FFFFFF"/>
        </w:rPr>
        <w:t xml:space="preserve"> </w:t>
      </w:r>
      <w:r w:rsidR="00E86090" w:rsidRPr="00B3116B">
        <w:rPr>
          <w:rFonts w:ascii="Times New Roman" w:hAnsi="Times New Roman"/>
          <w:sz w:val="24"/>
          <w:shd w:val="clear" w:color="auto" w:fill="FFFFFF"/>
        </w:rPr>
        <w:t>It has ruled that it lacks jurisdiction to address “as applied” constitutional challenges to the way it interprets and applies statutes.</w:t>
      </w:r>
      <w:r w:rsidR="00E86090" w:rsidRPr="00B3116B">
        <w:rPr>
          <w:rStyle w:val="FootnoteReference"/>
          <w:rFonts w:ascii="Times New Roman" w:hAnsi="Times New Roman"/>
          <w:sz w:val="24"/>
          <w:shd w:val="clear" w:color="auto" w:fill="FFFFFF"/>
        </w:rPr>
        <w:footnoteReference w:id="117"/>
      </w:r>
      <w:r w:rsidR="00E86090" w:rsidRPr="00B3116B">
        <w:rPr>
          <w:rFonts w:ascii="Times New Roman" w:hAnsi="Times New Roman"/>
          <w:sz w:val="24"/>
          <w:shd w:val="clear" w:color="auto" w:fill="FFFFFF"/>
        </w:rPr>
        <w:t xml:space="preserve">  Similarly, the PUCO has recognized that it cannot determine the constitutionality of a provision in a utility’s tariff.</w:t>
      </w:r>
      <w:r w:rsidR="00E86090" w:rsidRPr="00B3116B">
        <w:rPr>
          <w:rStyle w:val="FootnoteReference"/>
          <w:rFonts w:ascii="Times New Roman" w:hAnsi="Times New Roman"/>
          <w:sz w:val="24"/>
          <w:shd w:val="clear" w:color="auto" w:fill="FFFFFF"/>
        </w:rPr>
        <w:footnoteReference w:id="118"/>
      </w:r>
      <w:r w:rsidR="00E86090" w:rsidRPr="00B3116B">
        <w:rPr>
          <w:rFonts w:ascii="Times New Roman" w:hAnsi="Times New Roman"/>
          <w:sz w:val="24"/>
          <w:shd w:val="clear" w:color="auto" w:fill="FFFFFF"/>
        </w:rPr>
        <w:t xml:space="preserve">  </w:t>
      </w:r>
      <w:r w:rsidR="00CE2887" w:rsidRPr="00B3116B">
        <w:rPr>
          <w:rFonts w:ascii="Times New Roman" w:hAnsi="Times New Roman"/>
          <w:sz w:val="24"/>
          <w:shd w:val="clear" w:color="auto" w:fill="FFFFFF"/>
        </w:rPr>
        <w:t>The PUCO also ruled it could not pass on the constitutionality of the SEET provisions of S.B. 221.</w:t>
      </w:r>
      <w:r w:rsidR="00CE2887" w:rsidRPr="00B3116B">
        <w:rPr>
          <w:rStyle w:val="FootnoteReference"/>
          <w:rFonts w:ascii="Times New Roman" w:hAnsi="Times New Roman"/>
          <w:sz w:val="24"/>
          <w:shd w:val="clear" w:color="auto" w:fill="FFFFFF"/>
        </w:rPr>
        <w:footnoteReference w:id="119"/>
      </w:r>
      <w:r w:rsidR="00CE2887" w:rsidRPr="00B3116B">
        <w:rPr>
          <w:rFonts w:ascii="Times New Roman" w:hAnsi="Times New Roman"/>
          <w:sz w:val="24"/>
          <w:shd w:val="clear" w:color="auto" w:fill="FFFFFF"/>
        </w:rPr>
        <w:t xml:space="preserve"> </w:t>
      </w:r>
      <w:r w:rsidR="000B7B06">
        <w:rPr>
          <w:rFonts w:ascii="Times New Roman" w:hAnsi="Times New Roman"/>
          <w:sz w:val="24"/>
          <w:shd w:val="clear" w:color="auto" w:fill="FFFFFF"/>
        </w:rPr>
        <w:t xml:space="preserve"> </w:t>
      </w:r>
      <w:r w:rsidRPr="00B3116B">
        <w:rPr>
          <w:rFonts w:ascii="Times New Roman" w:hAnsi="Times New Roman"/>
          <w:sz w:val="24"/>
          <w:shd w:val="clear" w:color="auto" w:fill="FFFFFF"/>
        </w:rPr>
        <w:t>And the PUCO has specifically acknowledged its lack of jurisdiction to consider the question of constitutional taking.</w:t>
      </w:r>
      <w:r w:rsidRPr="00B3116B">
        <w:rPr>
          <w:rStyle w:val="FootnoteReference"/>
          <w:rFonts w:ascii="Times New Roman" w:hAnsi="Times New Roman"/>
          <w:sz w:val="24"/>
          <w:shd w:val="clear" w:color="auto" w:fill="FFFFFF"/>
        </w:rPr>
        <w:footnoteReference w:id="120"/>
      </w:r>
    </w:p>
    <w:p w:rsidR="009223BB" w:rsidRPr="00B3116B" w:rsidRDefault="009223BB" w:rsidP="000B7B06">
      <w:pPr>
        <w:pStyle w:val="BodyText"/>
        <w:spacing w:after="0" w:line="480" w:lineRule="auto"/>
        <w:ind w:firstLine="720"/>
        <w:jc w:val="left"/>
        <w:rPr>
          <w:rFonts w:ascii="Times New Roman" w:hAnsi="Times New Roman"/>
          <w:sz w:val="24"/>
          <w:shd w:val="clear" w:color="auto" w:fill="FFFFFF"/>
        </w:rPr>
      </w:pPr>
      <w:r w:rsidRPr="00B3116B">
        <w:rPr>
          <w:rFonts w:ascii="Times New Roman" w:hAnsi="Times New Roman"/>
          <w:sz w:val="24"/>
          <w:shd w:val="clear" w:color="auto" w:fill="FFFFFF"/>
        </w:rPr>
        <w:t xml:space="preserve">For example, in </w:t>
      </w:r>
      <w:r w:rsidRPr="00B3116B">
        <w:rPr>
          <w:rFonts w:ascii="Times New Roman" w:hAnsi="Times New Roman"/>
          <w:i/>
          <w:sz w:val="24"/>
          <w:shd w:val="clear" w:color="auto" w:fill="FFFFFF"/>
        </w:rPr>
        <w:t>Cincinnati Gas &amp; Electric Co,</w:t>
      </w:r>
      <w:r w:rsidRPr="00B3116B">
        <w:rPr>
          <w:rStyle w:val="FootnoteReference"/>
          <w:rFonts w:ascii="Times New Roman" w:hAnsi="Times New Roman"/>
          <w:i/>
          <w:sz w:val="24"/>
          <w:shd w:val="clear" w:color="auto" w:fill="FFFFFF"/>
        </w:rPr>
        <w:footnoteReference w:id="121"/>
      </w:r>
      <w:r w:rsidRPr="00B3116B">
        <w:rPr>
          <w:rFonts w:ascii="Times New Roman" w:hAnsi="Times New Roman"/>
          <w:sz w:val="24"/>
          <w:shd w:val="clear" w:color="auto" w:fill="FFFFFF"/>
        </w:rPr>
        <w:t xml:space="preserve"> the Commission denied an application for rehearing by the utility which, in part, claimed that the rate of return allowed in the proceeding was confiscatory.</w:t>
      </w:r>
      <w:r w:rsidRPr="00B3116B">
        <w:rPr>
          <w:rStyle w:val="FootnoteReference"/>
          <w:rFonts w:ascii="Times New Roman" w:hAnsi="Times New Roman"/>
          <w:sz w:val="24"/>
          <w:shd w:val="clear" w:color="auto" w:fill="FFFFFF"/>
        </w:rPr>
        <w:footnoteReference w:id="122"/>
      </w:r>
      <w:r w:rsidRPr="00B3116B">
        <w:rPr>
          <w:rFonts w:ascii="Times New Roman" w:hAnsi="Times New Roman"/>
          <w:sz w:val="24"/>
          <w:shd w:val="clear" w:color="auto" w:fill="FFFFFF"/>
        </w:rPr>
        <w:t xml:space="preserve"> The </w:t>
      </w:r>
      <w:r w:rsidR="0058204D">
        <w:rPr>
          <w:rFonts w:ascii="Times New Roman" w:hAnsi="Times New Roman"/>
          <w:sz w:val="24"/>
          <w:szCs w:val="24"/>
          <w:shd w:val="clear" w:color="auto" w:fill="FFFFFF"/>
        </w:rPr>
        <w:t>PUCO</w:t>
      </w:r>
      <w:r w:rsidR="0058204D" w:rsidRPr="00B3116B">
        <w:rPr>
          <w:rFonts w:ascii="Times New Roman" w:hAnsi="Times New Roman"/>
          <w:sz w:val="24"/>
          <w:shd w:val="clear" w:color="auto" w:fill="FFFFFF"/>
        </w:rPr>
        <w:t xml:space="preserve"> </w:t>
      </w:r>
      <w:r w:rsidRPr="00B3116B">
        <w:rPr>
          <w:rFonts w:ascii="Times New Roman" w:hAnsi="Times New Roman"/>
          <w:sz w:val="24"/>
          <w:shd w:val="clear" w:color="auto" w:fill="FFFFFF"/>
        </w:rPr>
        <w:t xml:space="preserve">had authorized a rate of return of 7.21 percent </w:t>
      </w:r>
      <w:r w:rsidRPr="00B3116B">
        <w:rPr>
          <w:rFonts w:ascii="Times New Roman" w:hAnsi="Times New Roman"/>
          <w:sz w:val="24"/>
          <w:shd w:val="clear" w:color="auto" w:fill="FFFFFF"/>
        </w:rPr>
        <w:lastRenderedPageBreak/>
        <w:t>which resulted in an approved rate increase that was less than what the utility has requested.</w:t>
      </w:r>
      <w:r w:rsidRPr="00B3116B">
        <w:rPr>
          <w:rStyle w:val="FootnoteReference"/>
          <w:rFonts w:ascii="Times New Roman" w:hAnsi="Times New Roman"/>
          <w:sz w:val="24"/>
          <w:shd w:val="clear" w:color="auto" w:fill="FFFFFF"/>
        </w:rPr>
        <w:footnoteReference w:id="123"/>
      </w:r>
      <w:r w:rsidRPr="00B3116B">
        <w:rPr>
          <w:rFonts w:ascii="Times New Roman" w:hAnsi="Times New Roman"/>
          <w:sz w:val="24"/>
          <w:shd w:val="clear" w:color="auto" w:fill="FFFFFF"/>
        </w:rPr>
        <w:t xml:space="preserve"> The utility asserted that the rate of return was unjust and unreasonable and constituted an unconstitutional taking of the utility’s property.</w:t>
      </w:r>
      <w:r w:rsidRPr="00B3116B">
        <w:rPr>
          <w:rStyle w:val="FootnoteReference"/>
          <w:rFonts w:ascii="Times New Roman" w:hAnsi="Times New Roman"/>
          <w:sz w:val="24"/>
          <w:shd w:val="clear" w:color="auto" w:fill="FFFFFF"/>
        </w:rPr>
        <w:footnoteReference w:id="124"/>
      </w:r>
      <w:r w:rsidRPr="00B3116B">
        <w:rPr>
          <w:rFonts w:ascii="Times New Roman" w:hAnsi="Times New Roman"/>
          <w:sz w:val="24"/>
          <w:shd w:val="clear" w:color="auto" w:fill="FFFFFF"/>
        </w:rPr>
        <w:t xml:space="preserve"> </w:t>
      </w:r>
      <w:r w:rsidR="000B7B06">
        <w:rPr>
          <w:rFonts w:ascii="Times New Roman" w:hAnsi="Times New Roman"/>
          <w:sz w:val="24"/>
          <w:shd w:val="clear" w:color="auto" w:fill="FFFFFF"/>
        </w:rPr>
        <w:t xml:space="preserve"> </w:t>
      </w:r>
      <w:r w:rsidRPr="00B3116B">
        <w:rPr>
          <w:rFonts w:ascii="Times New Roman" w:hAnsi="Times New Roman"/>
          <w:sz w:val="24"/>
          <w:shd w:val="clear" w:color="auto" w:fill="FFFFFF"/>
        </w:rPr>
        <w:t xml:space="preserve">The </w:t>
      </w:r>
      <w:r w:rsidR="0058204D">
        <w:rPr>
          <w:rFonts w:ascii="Times New Roman" w:hAnsi="Times New Roman"/>
          <w:sz w:val="24"/>
          <w:szCs w:val="24"/>
          <w:shd w:val="clear" w:color="auto" w:fill="FFFFFF"/>
        </w:rPr>
        <w:t>PUCO</w:t>
      </w:r>
      <w:r w:rsidR="0058204D" w:rsidRPr="00B3116B">
        <w:rPr>
          <w:rFonts w:ascii="Times New Roman" w:hAnsi="Times New Roman"/>
          <w:sz w:val="24"/>
          <w:shd w:val="clear" w:color="auto" w:fill="FFFFFF"/>
        </w:rPr>
        <w:t xml:space="preserve"> </w:t>
      </w:r>
      <w:r w:rsidRPr="00B3116B">
        <w:rPr>
          <w:rFonts w:ascii="Times New Roman" w:hAnsi="Times New Roman"/>
          <w:sz w:val="24"/>
          <w:shd w:val="clear" w:color="auto" w:fill="FFFFFF"/>
        </w:rPr>
        <w:t>rejected this argument and stated that while the argument was “totally without merit, the Commission lacks the jurisdiction to consider constitutional questions.”</w:t>
      </w:r>
      <w:r w:rsidRPr="00B3116B">
        <w:rPr>
          <w:rStyle w:val="FootnoteReference"/>
          <w:rFonts w:ascii="Times New Roman" w:hAnsi="Times New Roman"/>
          <w:sz w:val="24"/>
          <w:shd w:val="clear" w:color="auto" w:fill="FFFFFF"/>
        </w:rPr>
        <w:footnoteReference w:id="125"/>
      </w:r>
      <w:r w:rsidRPr="00B3116B">
        <w:rPr>
          <w:rFonts w:ascii="Times New Roman" w:hAnsi="Times New Roman"/>
          <w:sz w:val="24"/>
          <w:shd w:val="clear" w:color="auto" w:fill="FFFFFF"/>
        </w:rPr>
        <w:t xml:space="preserve"> </w:t>
      </w:r>
    </w:p>
    <w:p w:rsidR="00ED5E88" w:rsidRPr="00EE2B03" w:rsidRDefault="00E353E3" w:rsidP="000B7B06">
      <w:pPr>
        <w:ind w:firstLine="720"/>
        <w:rPr>
          <w:rFonts w:ascii="Times New Roman" w:hAnsi="Times New Roman" w:cs="Times New Roman"/>
          <w:sz w:val="24"/>
          <w:szCs w:val="24"/>
        </w:rPr>
      </w:pPr>
      <w:r w:rsidRPr="00EE2B03">
        <w:rPr>
          <w:rFonts w:ascii="Times New Roman" w:hAnsi="Times New Roman" w:cs="Times New Roman"/>
          <w:sz w:val="24"/>
          <w:szCs w:val="24"/>
        </w:rPr>
        <w:t xml:space="preserve">Thus, as a threshold matter, the </w:t>
      </w:r>
      <w:r w:rsidR="0058204D">
        <w:rPr>
          <w:rFonts w:ascii="Times New Roman" w:hAnsi="Times New Roman" w:cs="Times New Roman"/>
          <w:sz w:val="24"/>
          <w:szCs w:val="24"/>
        </w:rPr>
        <w:t>PUCO</w:t>
      </w:r>
      <w:r w:rsidR="0058204D" w:rsidRPr="00EE2B03">
        <w:rPr>
          <w:rFonts w:ascii="Times New Roman" w:hAnsi="Times New Roman" w:cs="Times New Roman"/>
          <w:sz w:val="24"/>
          <w:szCs w:val="24"/>
        </w:rPr>
        <w:t xml:space="preserve"> </w:t>
      </w:r>
      <w:r w:rsidRPr="00EE2B03">
        <w:rPr>
          <w:rFonts w:ascii="Times New Roman" w:hAnsi="Times New Roman" w:cs="Times New Roman"/>
          <w:sz w:val="24"/>
          <w:szCs w:val="24"/>
        </w:rPr>
        <w:t>cannot consider Duke’s constitutional claims that a taking is occurring if it does not receive more than the FZCP</w:t>
      </w:r>
      <w:r w:rsidR="00B35A4C">
        <w:rPr>
          <w:rFonts w:ascii="Times New Roman" w:hAnsi="Times New Roman" w:cs="Times New Roman"/>
          <w:sz w:val="24"/>
          <w:szCs w:val="24"/>
        </w:rPr>
        <w:t>.</w:t>
      </w:r>
      <w:r w:rsidRPr="00EE2B03">
        <w:rPr>
          <w:rFonts w:ascii="Times New Roman" w:hAnsi="Times New Roman" w:cs="Times New Roman"/>
          <w:sz w:val="24"/>
          <w:szCs w:val="24"/>
        </w:rPr>
        <w:t xml:space="preserve"> </w:t>
      </w:r>
      <w:r w:rsidR="000B7B06">
        <w:rPr>
          <w:rFonts w:ascii="Times New Roman" w:hAnsi="Times New Roman" w:cs="Times New Roman"/>
          <w:sz w:val="24"/>
          <w:szCs w:val="24"/>
        </w:rPr>
        <w:t xml:space="preserve"> </w:t>
      </w:r>
      <w:r w:rsidR="00B35A4C">
        <w:rPr>
          <w:rFonts w:ascii="Times New Roman" w:hAnsi="Times New Roman" w:cs="Times New Roman"/>
          <w:sz w:val="24"/>
          <w:szCs w:val="24"/>
        </w:rPr>
        <w:t>And,</w:t>
      </w:r>
      <w:r w:rsidR="0091510D" w:rsidRPr="00EE2B03">
        <w:rPr>
          <w:rFonts w:ascii="Times New Roman" w:hAnsi="Times New Roman" w:cs="Times New Roman"/>
          <w:sz w:val="24"/>
          <w:szCs w:val="24"/>
          <w:lang w:eastAsia="ar-SA"/>
        </w:rPr>
        <w:t xml:space="preserve"> any court of competent jurisdiction will find that Duke’s constitutional arguments are misplaced, and not supported by fact or reason, as explained below.    </w:t>
      </w:r>
    </w:p>
    <w:p w:rsidR="0091510D" w:rsidRPr="00EE2B03" w:rsidRDefault="00D308F6" w:rsidP="00FB4463">
      <w:pPr>
        <w:pStyle w:val="Heading3"/>
      </w:pPr>
      <w:bookmarkStart w:id="26" w:name="_Toc362950001"/>
      <w:r>
        <w:t>2.</w:t>
      </w:r>
      <w:r>
        <w:tab/>
      </w:r>
      <w:r w:rsidR="00DB472C" w:rsidRPr="00EE2B03">
        <w:t>U</w:t>
      </w:r>
      <w:r w:rsidR="0091510D" w:rsidRPr="00EE2B03">
        <w:t xml:space="preserve">nconstitutional taking </w:t>
      </w:r>
      <w:r w:rsidR="00DB472C" w:rsidRPr="00EE2B03">
        <w:t>is not present when the losses are associated with deregulated services.</w:t>
      </w:r>
      <w:bookmarkEnd w:id="26"/>
    </w:p>
    <w:p w:rsidR="00ED5E88" w:rsidRPr="00EE2B03" w:rsidRDefault="00113E13" w:rsidP="00ED5E88">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 xml:space="preserve">Duke calls upon the landmark cases of </w:t>
      </w:r>
      <w:r w:rsidRPr="00EE2B03">
        <w:rPr>
          <w:rFonts w:ascii="Times New Roman" w:eastAsia="Calibri" w:hAnsi="Times New Roman" w:cs="Times New Roman"/>
          <w:i/>
          <w:sz w:val="24"/>
          <w:szCs w:val="24"/>
        </w:rPr>
        <w:t>Smyth</w:t>
      </w:r>
      <w:r w:rsidRPr="00EE2B03">
        <w:rPr>
          <w:rFonts w:ascii="Times New Roman" w:eastAsia="Calibri" w:hAnsi="Times New Roman" w:cs="Times New Roman"/>
          <w:sz w:val="24"/>
          <w:szCs w:val="24"/>
        </w:rPr>
        <w:t xml:space="preserve">, </w:t>
      </w:r>
      <w:r w:rsidRPr="00EE2B03">
        <w:rPr>
          <w:rFonts w:ascii="Times New Roman" w:eastAsia="Calibri" w:hAnsi="Times New Roman" w:cs="Times New Roman"/>
          <w:i/>
          <w:sz w:val="24"/>
          <w:szCs w:val="24"/>
        </w:rPr>
        <w:t>Bluefield</w:t>
      </w:r>
      <w:r w:rsidRPr="00EE2B03">
        <w:rPr>
          <w:rFonts w:ascii="Times New Roman" w:eastAsia="Calibri" w:hAnsi="Times New Roman" w:cs="Times New Roman"/>
          <w:sz w:val="24"/>
          <w:szCs w:val="24"/>
        </w:rPr>
        <w:t xml:space="preserve">, and </w:t>
      </w:r>
      <w:r w:rsidRPr="00EE2B03">
        <w:rPr>
          <w:rFonts w:ascii="Times New Roman" w:eastAsia="Calibri" w:hAnsi="Times New Roman" w:cs="Times New Roman"/>
          <w:i/>
          <w:sz w:val="24"/>
          <w:szCs w:val="24"/>
        </w:rPr>
        <w:t>Duquesne</w:t>
      </w:r>
      <w:r w:rsidRPr="00EE2B03">
        <w:rPr>
          <w:rFonts w:ascii="Times New Roman" w:eastAsia="Calibri" w:hAnsi="Times New Roman" w:cs="Times New Roman"/>
          <w:sz w:val="24"/>
          <w:szCs w:val="24"/>
        </w:rPr>
        <w:t xml:space="preserve"> to support its claim that if it does not receive its fully embedded cost of capacity its return on its investment will be below that which is legally acceptable.</w:t>
      </w:r>
      <w:r w:rsidRPr="00EE2B03">
        <w:rPr>
          <w:rFonts w:ascii="Times New Roman" w:eastAsia="Calibri" w:hAnsi="Times New Roman" w:cs="Times New Roman"/>
          <w:sz w:val="24"/>
          <w:szCs w:val="24"/>
          <w:vertAlign w:val="superscript"/>
        </w:rPr>
        <w:footnoteReference w:id="126"/>
      </w:r>
      <w:r w:rsidRPr="00EE2B03">
        <w:rPr>
          <w:rFonts w:ascii="Times New Roman" w:eastAsia="Calibri" w:hAnsi="Times New Roman" w:cs="Times New Roman"/>
          <w:sz w:val="24"/>
          <w:szCs w:val="24"/>
        </w:rPr>
        <w:t xml:space="preserve">  But Duke fails to recognize a critical distinction between </w:t>
      </w:r>
      <w:r w:rsidR="00ED5E88" w:rsidRPr="00EE2B03">
        <w:rPr>
          <w:rFonts w:ascii="Times New Roman" w:eastAsia="Calibri" w:hAnsi="Times New Roman" w:cs="Times New Roman"/>
          <w:sz w:val="24"/>
          <w:szCs w:val="24"/>
        </w:rPr>
        <w:t xml:space="preserve">it and the </w:t>
      </w:r>
      <w:r w:rsidRPr="00EE2B03">
        <w:rPr>
          <w:rFonts w:ascii="Times New Roman" w:eastAsia="Calibri" w:hAnsi="Times New Roman" w:cs="Times New Roman"/>
          <w:sz w:val="24"/>
          <w:szCs w:val="24"/>
        </w:rPr>
        <w:t xml:space="preserve">entities involved in </w:t>
      </w:r>
      <w:r w:rsidRPr="0006671B">
        <w:rPr>
          <w:rFonts w:ascii="Times New Roman" w:eastAsia="Calibri" w:hAnsi="Times New Roman" w:cs="Times New Roman"/>
          <w:i/>
          <w:sz w:val="24"/>
          <w:szCs w:val="24"/>
        </w:rPr>
        <w:t>Smyth</w:t>
      </w:r>
      <w:r w:rsidRPr="00EE2B03">
        <w:rPr>
          <w:rFonts w:ascii="Times New Roman" w:eastAsia="Calibri" w:hAnsi="Times New Roman" w:cs="Times New Roman"/>
          <w:sz w:val="24"/>
          <w:szCs w:val="24"/>
        </w:rPr>
        <w:t>,</w:t>
      </w:r>
      <w:r w:rsidRPr="00EE2B03">
        <w:rPr>
          <w:rFonts w:ascii="Times New Roman" w:eastAsia="Calibri" w:hAnsi="Times New Roman" w:cs="Times New Roman"/>
          <w:i/>
          <w:sz w:val="24"/>
          <w:szCs w:val="24"/>
        </w:rPr>
        <w:t xml:space="preserve"> Bluefield, and Duquesne Light</w:t>
      </w:r>
      <w:r w:rsidR="00ED5E88" w:rsidRPr="00EE2B03">
        <w:rPr>
          <w:rFonts w:ascii="Times New Roman" w:eastAsia="Calibri" w:hAnsi="Times New Roman" w:cs="Times New Roman"/>
          <w:sz w:val="24"/>
          <w:szCs w:val="24"/>
        </w:rPr>
        <w:t>.  The entities in the landmar</w:t>
      </w:r>
      <w:r w:rsidRPr="00EE2B03">
        <w:rPr>
          <w:rFonts w:ascii="Times New Roman" w:eastAsia="Calibri" w:hAnsi="Times New Roman" w:cs="Times New Roman"/>
          <w:sz w:val="24"/>
          <w:szCs w:val="24"/>
        </w:rPr>
        <w:t xml:space="preserve">k cases all involved companies whose services were fully regulated. </w:t>
      </w:r>
    </w:p>
    <w:p w:rsidR="00041C55" w:rsidRPr="00EE2B03" w:rsidRDefault="00113E13" w:rsidP="00ED5E88">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 xml:space="preserve"> In contrast, D</w:t>
      </w:r>
      <w:r w:rsidR="00ED5E88" w:rsidRPr="00EE2B03">
        <w:rPr>
          <w:rFonts w:ascii="Times New Roman" w:eastAsia="Calibri" w:hAnsi="Times New Roman" w:cs="Times New Roman"/>
          <w:sz w:val="24"/>
          <w:szCs w:val="24"/>
        </w:rPr>
        <w:t>uke</w:t>
      </w:r>
      <w:r w:rsidRPr="00EE2B03">
        <w:rPr>
          <w:rFonts w:ascii="Times New Roman" w:eastAsia="Calibri" w:hAnsi="Times New Roman" w:cs="Times New Roman"/>
          <w:sz w:val="24"/>
          <w:szCs w:val="24"/>
        </w:rPr>
        <w:t xml:space="preserve"> is not similar</w:t>
      </w:r>
      <w:r w:rsidR="00ED5E88" w:rsidRPr="00EE2B03">
        <w:rPr>
          <w:rFonts w:ascii="Times New Roman" w:eastAsia="Calibri" w:hAnsi="Times New Roman" w:cs="Times New Roman"/>
          <w:sz w:val="24"/>
          <w:szCs w:val="24"/>
        </w:rPr>
        <w:t>ly situated</w:t>
      </w:r>
      <w:r w:rsidRPr="00EE2B03">
        <w:rPr>
          <w:rFonts w:ascii="Times New Roman" w:eastAsia="Calibri" w:hAnsi="Times New Roman" w:cs="Times New Roman"/>
          <w:sz w:val="24"/>
          <w:szCs w:val="24"/>
        </w:rPr>
        <w:t xml:space="preserve"> because</w:t>
      </w:r>
      <w:r w:rsidR="00ED5E88" w:rsidRPr="00EE2B03">
        <w:rPr>
          <w:rFonts w:ascii="Times New Roman" w:eastAsia="Calibri" w:hAnsi="Times New Roman" w:cs="Times New Roman"/>
          <w:sz w:val="24"/>
          <w:szCs w:val="24"/>
        </w:rPr>
        <w:t xml:space="preserve"> its electric</w:t>
      </w:r>
      <w:r w:rsidRPr="00EE2B03">
        <w:rPr>
          <w:rFonts w:ascii="Times New Roman" w:eastAsia="Calibri" w:hAnsi="Times New Roman" w:cs="Times New Roman"/>
          <w:sz w:val="24"/>
          <w:szCs w:val="24"/>
        </w:rPr>
        <w:t xml:space="preserve"> generation services in Ohio are </w:t>
      </w:r>
      <w:r w:rsidR="00ED5E88" w:rsidRPr="00EE2B03">
        <w:rPr>
          <w:rFonts w:ascii="Times New Roman" w:eastAsia="Calibri" w:hAnsi="Times New Roman" w:cs="Times New Roman"/>
          <w:sz w:val="24"/>
          <w:szCs w:val="24"/>
        </w:rPr>
        <w:t>not regulated, but subject to competition.</w:t>
      </w:r>
      <w:r w:rsidRPr="00EE2B03">
        <w:rPr>
          <w:rFonts w:ascii="Times New Roman" w:eastAsia="Calibri" w:hAnsi="Times New Roman" w:cs="Times New Roman"/>
          <w:sz w:val="24"/>
          <w:szCs w:val="24"/>
        </w:rPr>
        <w:t xml:space="preserve"> </w:t>
      </w:r>
      <w:r w:rsidR="00ED5E88" w:rsidRPr="00EE2B03">
        <w:rPr>
          <w:rFonts w:ascii="Times New Roman" w:eastAsia="Calibri" w:hAnsi="Times New Roman" w:cs="Times New Roman"/>
          <w:sz w:val="24"/>
          <w:szCs w:val="24"/>
        </w:rPr>
        <w:t xml:space="preserve">  A</w:t>
      </w:r>
      <w:r w:rsidRPr="00EE2B03">
        <w:rPr>
          <w:rFonts w:ascii="Times New Roman" w:eastAsia="Calibri" w:hAnsi="Times New Roman" w:cs="Times New Roman"/>
          <w:sz w:val="24"/>
          <w:szCs w:val="24"/>
        </w:rPr>
        <w:t>s discussed in OCC’s Brief, the</w:t>
      </w:r>
      <w:r w:rsidR="00ED5E88" w:rsidRPr="00EE2B03">
        <w:rPr>
          <w:rFonts w:ascii="Times New Roman" w:eastAsia="Calibri" w:hAnsi="Times New Roman" w:cs="Times New Roman"/>
          <w:sz w:val="24"/>
          <w:szCs w:val="24"/>
        </w:rPr>
        <w:t xml:space="preserve"> wholesale capacity services provided to </w:t>
      </w:r>
      <w:r w:rsidR="00047434">
        <w:rPr>
          <w:rFonts w:ascii="Times New Roman" w:eastAsia="Calibri" w:hAnsi="Times New Roman" w:cs="Times New Roman"/>
          <w:sz w:val="24"/>
          <w:szCs w:val="24"/>
        </w:rPr>
        <w:t>marketers</w:t>
      </w:r>
      <w:r w:rsidR="00ED5E88" w:rsidRPr="00EE2B03">
        <w:rPr>
          <w:rFonts w:ascii="Times New Roman" w:eastAsia="Calibri" w:hAnsi="Times New Roman" w:cs="Times New Roman"/>
          <w:sz w:val="24"/>
          <w:szCs w:val="24"/>
        </w:rPr>
        <w:t xml:space="preserve"> and auction winners are a part of</w:t>
      </w:r>
      <w:r w:rsidRPr="00EE2B03">
        <w:rPr>
          <w:rFonts w:ascii="Times New Roman" w:eastAsia="Calibri" w:hAnsi="Times New Roman" w:cs="Times New Roman"/>
          <w:sz w:val="24"/>
          <w:szCs w:val="24"/>
        </w:rPr>
        <w:t xml:space="preserve"> </w:t>
      </w:r>
      <w:r w:rsidRPr="00EE2B03">
        <w:rPr>
          <w:rFonts w:ascii="Times New Roman" w:eastAsia="Calibri" w:hAnsi="Times New Roman" w:cs="Times New Roman"/>
          <w:sz w:val="24"/>
          <w:szCs w:val="24"/>
        </w:rPr>
        <w:lastRenderedPageBreak/>
        <w:t>D</w:t>
      </w:r>
      <w:r w:rsidR="00ED5E88" w:rsidRPr="00EE2B03">
        <w:rPr>
          <w:rFonts w:ascii="Times New Roman" w:eastAsia="Calibri" w:hAnsi="Times New Roman" w:cs="Times New Roman"/>
          <w:sz w:val="24"/>
          <w:szCs w:val="24"/>
        </w:rPr>
        <w:t>uke’s</w:t>
      </w:r>
      <w:r w:rsidRPr="00EE2B03">
        <w:rPr>
          <w:rFonts w:ascii="Times New Roman" w:eastAsia="Calibri" w:hAnsi="Times New Roman" w:cs="Times New Roman"/>
          <w:sz w:val="24"/>
          <w:szCs w:val="24"/>
        </w:rPr>
        <w:t xml:space="preserve"> competitive generation services.</w:t>
      </w:r>
      <w:r w:rsidRPr="00EE2B03">
        <w:rPr>
          <w:rFonts w:ascii="Times New Roman" w:hAnsi="Times New Roman" w:cs="Times New Roman"/>
          <w:sz w:val="24"/>
          <w:szCs w:val="24"/>
          <w:vertAlign w:val="superscript"/>
        </w:rPr>
        <w:footnoteReference w:id="127"/>
      </w:r>
      <w:r w:rsidRPr="00EE2B03">
        <w:rPr>
          <w:rFonts w:ascii="Times New Roman" w:eastAsia="Calibri" w:hAnsi="Times New Roman" w:cs="Times New Roman"/>
          <w:sz w:val="24"/>
          <w:szCs w:val="24"/>
        </w:rPr>
        <w:t xml:space="preserve">  </w:t>
      </w:r>
      <w:r w:rsidR="00ED5E88" w:rsidRPr="00EE2B03">
        <w:rPr>
          <w:rFonts w:ascii="Times New Roman" w:eastAsia="Calibri" w:hAnsi="Times New Roman" w:cs="Times New Roman"/>
          <w:sz w:val="24"/>
          <w:szCs w:val="24"/>
        </w:rPr>
        <w:t xml:space="preserve">And under a competitive </w:t>
      </w:r>
      <w:r w:rsidR="00041C55" w:rsidRPr="00EE2B03">
        <w:rPr>
          <w:rFonts w:ascii="Times New Roman" w:eastAsia="Calibri" w:hAnsi="Times New Roman" w:cs="Times New Roman"/>
          <w:sz w:val="24"/>
          <w:szCs w:val="24"/>
        </w:rPr>
        <w:t>marketplace, Duke is to be fully on its own.</w:t>
      </w:r>
      <w:r w:rsidR="00041C55" w:rsidRPr="00EE2B03">
        <w:rPr>
          <w:rStyle w:val="FootnoteReference"/>
          <w:rFonts w:ascii="Times New Roman" w:eastAsia="Calibri" w:hAnsi="Times New Roman" w:cs="Times New Roman"/>
          <w:sz w:val="24"/>
          <w:szCs w:val="24"/>
        </w:rPr>
        <w:footnoteReference w:id="128"/>
      </w:r>
      <w:r w:rsidR="00041C55" w:rsidRPr="00EE2B03">
        <w:rPr>
          <w:rFonts w:ascii="Times New Roman" w:eastAsia="Calibri" w:hAnsi="Times New Roman" w:cs="Times New Roman"/>
          <w:sz w:val="24"/>
          <w:szCs w:val="24"/>
        </w:rPr>
        <w:t xml:space="preserve">  Neither the </w:t>
      </w:r>
      <w:r w:rsidR="00E00CAA">
        <w:rPr>
          <w:rFonts w:ascii="Times New Roman" w:eastAsia="Calibri" w:hAnsi="Times New Roman" w:cs="Times New Roman"/>
          <w:sz w:val="24"/>
          <w:szCs w:val="24"/>
        </w:rPr>
        <w:t>PUCO</w:t>
      </w:r>
      <w:r w:rsidR="00E00CAA" w:rsidRPr="00EE2B03">
        <w:rPr>
          <w:rFonts w:ascii="Times New Roman" w:eastAsia="Calibri" w:hAnsi="Times New Roman" w:cs="Times New Roman"/>
          <w:sz w:val="24"/>
          <w:szCs w:val="24"/>
        </w:rPr>
        <w:t xml:space="preserve"> </w:t>
      </w:r>
      <w:r w:rsidR="00041C55" w:rsidRPr="00EE2B03">
        <w:rPr>
          <w:rFonts w:ascii="Times New Roman" w:eastAsia="Calibri" w:hAnsi="Times New Roman" w:cs="Times New Roman"/>
          <w:sz w:val="24"/>
          <w:szCs w:val="24"/>
        </w:rPr>
        <w:t xml:space="preserve">nor customers have an obligation to restore revenues lost by operation of the competitive market.  </w:t>
      </w:r>
    </w:p>
    <w:p w:rsidR="00113E13" w:rsidRPr="00EE2B03" w:rsidRDefault="00113E13" w:rsidP="00ED5E88">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The United States Supreme Court</w:t>
      </w:r>
      <w:r w:rsidR="00041C55" w:rsidRPr="00EE2B03">
        <w:rPr>
          <w:rFonts w:ascii="Times New Roman" w:eastAsia="Calibri" w:hAnsi="Times New Roman" w:cs="Times New Roman"/>
          <w:sz w:val="24"/>
          <w:szCs w:val="24"/>
        </w:rPr>
        <w:t xml:space="preserve"> itself has acknowle</w:t>
      </w:r>
      <w:r w:rsidR="00EE2B03">
        <w:rPr>
          <w:rFonts w:ascii="Times New Roman" w:eastAsia="Calibri" w:hAnsi="Times New Roman" w:cs="Times New Roman"/>
          <w:sz w:val="24"/>
          <w:szCs w:val="24"/>
        </w:rPr>
        <w:t>d</w:t>
      </w:r>
      <w:r w:rsidR="00041C55" w:rsidRPr="00EE2B03">
        <w:rPr>
          <w:rFonts w:ascii="Times New Roman" w:eastAsia="Calibri" w:hAnsi="Times New Roman" w:cs="Times New Roman"/>
          <w:sz w:val="24"/>
          <w:szCs w:val="24"/>
        </w:rPr>
        <w:t xml:space="preserve">ged the traditional taking standards announced in </w:t>
      </w:r>
      <w:r w:rsidR="00041C55" w:rsidRPr="0006671B">
        <w:rPr>
          <w:rFonts w:ascii="Times New Roman" w:eastAsia="Calibri" w:hAnsi="Times New Roman" w:cs="Times New Roman"/>
          <w:i/>
          <w:sz w:val="24"/>
          <w:szCs w:val="24"/>
        </w:rPr>
        <w:t>Bluefield</w:t>
      </w:r>
      <w:r w:rsidR="00041C55" w:rsidRPr="00EE2B03">
        <w:rPr>
          <w:rFonts w:ascii="Times New Roman" w:eastAsia="Calibri" w:hAnsi="Times New Roman" w:cs="Times New Roman"/>
          <w:sz w:val="24"/>
          <w:szCs w:val="24"/>
        </w:rPr>
        <w:t xml:space="preserve"> do not apply when util</w:t>
      </w:r>
      <w:r w:rsidRPr="00EE2B03">
        <w:rPr>
          <w:rFonts w:ascii="Times New Roman" w:eastAsia="Calibri" w:hAnsi="Times New Roman" w:cs="Times New Roman"/>
          <w:sz w:val="24"/>
          <w:szCs w:val="24"/>
        </w:rPr>
        <w:t>ities are facing financial pressure from competitive forces</w:t>
      </w:r>
      <w:r w:rsidR="00041C55" w:rsidRPr="00EE2B03">
        <w:rPr>
          <w:rFonts w:ascii="Times New Roman" w:eastAsia="Calibri" w:hAnsi="Times New Roman" w:cs="Times New Roman"/>
          <w:sz w:val="24"/>
          <w:szCs w:val="24"/>
        </w:rPr>
        <w:t xml:space="preserve">.  </w:t>
      </w:r>
      <w:r w:rsidRPr="00EE2B03">
        <w:rPr>
          <w:rFonts w:ascii="Times New Roman" w:eastAsia="Calibri" w:hAnsi="Times New Roman" w:cs="Times New Roman"/>
          <w:sz w:val="24"/>
          <w:szCs w:val="24"/>
        </w:rPr>
        <w:t xml:space="preserve">Specifically, in </w:t>
      </w:r>
      <w:r w:rsidRPr="00EE2B03">
        <w:rPr>
          <w:rFonts w:ascii="Times New Roman" w:eastAsia="Calibri" w:hAnsi="Times New Roman" w:cs="Times New Roman"/>
          <w:i/>
          <w:sz w:val="24"/>
          <w:szCs w:val="24"/>
        </w:rPr>
        <w:t>Market Street Railway Co. v. Railway Comm. of California</w:t>
      </w:r>
      <w:r w:rsidRPr="00EE2B03">
        <w:rPr>
          <w:rFonts w:ascii="Times New Roman" w:eastAsia="Calibri" w:hAnsi="Times New Roman" w:cs="Times New Roman"/>
          <w:sz w:val="24"/>
          <w:szCs w:val="24"/>
        </w:rPr>
        <w:t>, the Court rejected the argument that a commission-mandated rate reduction</w:t>
      </w:r>
      <w:r w:rsidR="00041C55" w:rsidRPr="00EE2B03">
        <w:rPr>
          <w:rFonts w:ascii="Times New Roman" w:eastAsia="Calibri" w:hAnsi="Times New Roman" w:cs="Times New Roman"/>
          <w:sz w:val="24"/>
          <w:szCs w:val="24"/>
        </w:rPr>
        <w:t xml:space="preserve"> for a utility in a competitive market</w:t>
      </w:r>
      <w:r w:rsidRPr="00EE2B03">
        <w:rPr>
          <w:rFonts w:ascii="Times New Roman" w:eastAsia="Calibri" w:hAnsi="Times New Roman" w:cs="Times New Roman"/>
          <w:sz w:val="24"/>
          <w:szCs w:val="24"/>
        </w:rPr>
        <w:t xml:space="preserve"> resulted in confiscatory rates and therefore a taking under the Constitution.</w:t>
      </w:r>
      <w:r w:rsidRPr="00EE2B03">
        <w:rPr>
          <w:rFonts w:ascii="Times New Roman" w:hAnsi="Times New Roman" w:cs="Times New Roman"/>
          <w:sz w:val="24"/>
          <w:szCs w:val="24"/>
          <w:vertAlign w:val="superscript"/>
        </w:rPr>
        <w:footnoteReference w:id="129"/>
      </w:r>
      <w:r w:rsidRPr="00EE2B03">
        <w:rPr>
          <w:rFonts w:ascii="Times New Roman" w:eastAsia="Calibri" w:hAnsi="Times New Roman" w:cs="Times New Roman"/>
          <w:sz w:val="24"/>
          <w:szCs w:val="24"/>
        </w:rPr>
        <w:t xml:space="preserve">  The Court explicitly noted the different set of circumstances the case presented from previous </w:t>
      </w:r>
      <w:r w:rsidR="008811FE" w:rsidRPr="00EE2B03">
        <w:rPr>
          <w:rFonts w:ascii="Times New Roman" w:eastAsia="Calibri" w:hAnsi="Times New Roman" w:cs="Times New Roman"/>
          <w:sz w:val="24"/>
          <w:szCs w:val="24"/>
        </w:rPr>
        <w:t>utility</w:t>
      </w:r>
      <w:r w:rsidRPr="00EE2B03">
        <w:rPr>
          <w:rFonts w:ascii="Times New Roman" w:eastAsia="Calibri" w:hAnsi="Times New Roman" w:cs="Times New Roman"/>
          <w:sz w:val="24"/>
          <w:szCs w:val="24"/>
        </w:rPr>
        <w:t xml:space="preserve"> cases it had decided</w:t>
      </w:r>
      <w:r w:rsidR="008811FE" w:rsidRPr="00EE2B03">
        <w:rPr>
          <w:rFonts w:ascii="Times New Roman" w:eastAsia="Calibri" w:hAnsi="Times New Roman" w:cs="Times New Roman"/>
          <w:sz w:val="24"/>
          <w:szCs w:val="24"/>
        </w:rPr>
        <w:t>:</w:t>
      </w:r>
      <w:r w:rsidRPr="00EE2B03">
        <w:rPr>
          <w:rFonts w:ascii="Times New Roman" w:hAnsi="Times New Roman" w:cs="Times New Roman"/>
          <w:sz w:val="24"/>
          <w:szCs w:val="24"/>
          <w:vertAlign w:val="superscript"/>
        </w:rPr>
        <w:footnoteReference w:id="130"/>
      </w:r>
      <w:r w:rsidRPr="00EE2B03">
        <w:rPr>
          <w:rFonts w:ascii="Times New Roman" w:eastAsia="Calibri" w:hAnsi="Times New Roman" w:cs="Times New Roman"/>
          <w:sz w:val="24"/>
          <w:szCs w:val="24"/>
        </w:rPr>
        <w:t xml:space="preserve">  </w:t>
      </w:r>
    </w:p>
    <w:p w:rsidR="00113E13" w:rsidRPr="00EE2B03" w:rsidRDefault="00113E13" w:rsidP="00D308F6">
      <w:pPr>
        <w:spacing w:after="200" w:line="240" w:lineRule="auto"/>
        <w:ind w:left="1440" w:right="720"/>
        <w:rPr>
          <w:rFonts w:ascii="Times New Roman" w:eastAsia="Calibri" w:hAnsi="Times New Roman" w:cs="Times New Roman"/>
          <w:sz w:val="24"/>
          <w:szCs w:val="24"/>
        </w:rPr>
      </w:pPr>
      <w:r w:rsidRPr="00EE2B03">
        <w:rPr>
          <w:rFonts w:ascii="Times New Roman" w:eastAsia="Calibri" w:hAnsi="Times New Roman" w:cs="Times New Roman"/>
          <w:sz w:val="24"/>
          <w:szCs w:val="24"/>
        </w:rPr>
        <w:t>[I]t should be noted at the outset that most of our cases deal with utilities which had earning opportunities, and public regulation curtailed earnings otherwise possible. But if there were no public regulation at all, this appellant would be a particularly ailing unit of a generally sick industry. The problem of reconciling the patrons' needs and the investors' rights in an enterprise that has passed its zenith of opportunity and usefulness, whose investment already is impaired by economic forces, and whose earning possibilities are already invaded by competition from other forms of transportation, is quite a different problem.</w:t>
      </w:r>
    </w:p>
    <w:p w:rsidR="00113E13" w:rsidRPr="00EE2B03" w:rsidRDefault="00113E13" w:rsidP="008811FE">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 xml:space="preserve">The utility in </w:t>
      </w:r>
      <w:r w:rsidRPr="00EE2B03">
        <w:rPr>
          <w:rFonts w:ascii="Times New Roman" w:eastAsia="Calibri" w:hAnsi="Times New Roman" w:cs="Times New Roman"/>
          <w:i/>
          <w:sz w:val="24"/>
          <w:szCs w:val="24"/>
        </w:rPr>
        <w:t>Market Street Railway</w:t>
      </w:r>
      <w:r w:rsidRPr="00EE2B03">
        <w:rPr>
          <w:rFonts w:ascii="Times New Roman" w:eastAsia="Calibri" w:hAnsi="Times New Roman" w:cs="Times New Roman"/>
          <w:sz w:val="24"/>
          <w:szCs w:val="24"/>
        </w:rPr>
        <w:t xml:space="preserve"> </w:t>
      </w:r>
      <w:r w:rsidR="008811FE" w:rsidRPr="00EE2B03">
        <w:rPr>
          <w:rFonts w:ascii="Times New Roman" w:eastAsia="Calibri" w:hAnsi="Times New Roman" w:cs="Times New Roman"/>
          <w:sz w:val="24"/>
          <w:szCs w:val="24"/>
        </w:rPr>
        <w:t>had relied upon</w:t>
      </w:r>
      <w:r w:rsidRPr="00EE2B03">
        <w:rPr>
          <w:rFonts w:ascii="Times New Roman" w:eastAsia="Calibri" w:hAnsi="Times New Roman" w:cs="Times New Roman"/>
          <w:sz w:val="24"/>
          <w:szCs w:val="24"/>
        </w:rPr>
        <w:t xml:space="preserve"> </w:t>
      </w:r>
      <w:r w:rsidRPr="00EE2B03">
        <w:rPr>
          <w:rFonts w:ascii="Times New Roman" w:eastAsia="Calibri" w:hAnsi="Times New Roman" w:cs="Times New Roman"/>
          <w:i/>
          <w:sz w:val="24"/>
          <w:szCs w:val="24"/>
        </w:rPr>
        <w:t>Hope</w:t>
      </w:r>
      <w:r w:rsidRPr="00EE2B03">
        <w:rPr>
          <w:rFonts w:ascii="Times New Roman" w:eastAsia="Calibri" w:hAnsi="Times New Roman" w:cs="Times New Roman"/>
          <w:sz w:val="24"/>
          <w:szCs w:val="24"/>
        </w:rPr>
        <w:t xml:space="preserve"> as authority for it to earn a rate which</w:t>
      </w:r>
      <w:r w:rsidR="008811FE" w:rsidRPr="00EE2B03">
        <w:rPr>
          <w:rFonts w:ascii="Times New Roman" w:eastAsia="Calibri" w:hAnsi="Times New Roman" w:cs="Times New Roman"/>
          <w:sz w:val="24"/>
          <w:szCs w:val="24"/>
        </w:rPr>
        <w:t xml:space="preserve"> </w:t>
      </w:r>
      <w:r w:rsidRPr="00EE2B03">
        <w:rPr>
          <w:rFonts w:ascii="Times New Roman" w:eastAsia="Calibri" w:hAnsi="Times New Roman" w:cs="Times New Roman"/>
          <w:sz w:val="24"/>
          <w:szCs w:val="24"/>
        </w:rPr>
        <w:t xml:space="preserve">would be enough to protect </w:t>
      </w:r>
      <w:r w:rsidR="008811FE" w:rsidRPr="00EE2B03">
        <w:rPr>
          <w:rFonts w:ascii="Times New Roman" w:eastAsia="Calibri" w:hAnsi="Times New Roman" w:cs="Times New Roman"/>
          <w:sz w:val="24"/>
          <w:szCs w:val="24"/>
        </w:rPr>
        <w:t>its</w:t>
      </w:r>
      <w:r w:rsidRPr="00EE2B03">
        <w:rPr>
          <w:rFonts w:ascii="Times New Roman" w:eastAsia="Calibri" w:hAnsi="Times New Roman" w:cs="Times New Roman"/>
          <w:sz w:val="24"/>
          <w:szCs w:val="24"/>
        </w:rPr>
        <w:t xml:space="preserve"> financial integrity and maintain its credit.</w:t>
      </w:r>
      <w:r w:rsidRPr="00EE2B03">
        <w:rPr>
          <w:rFonts w:ascii="Times New Roman" w:hAnsi="Times New Roman" w:cs="Times New Roman"/>
          <w:sz w:val="24"/>
          <w:szCs w:val="24"/>
          <w:vertAlign w:val="superscript"/>
        </w:rPr>
        <w:footnoteReference w:id="131"/>
      </w:r>
      <w:r w:rsidRPr="00EE2B03">
        <w:rPr>
          <w:rFonts w:ascii="Times New Roman" w:eastAsia="Calibri" w:hAnsi="Times New Roman" w:cs="Times New Roman"/>
          <w:sz w:val="24"/>
          <w:szCs w:val="24"/>
        </w:rPr>
        <w:t xml:space="preserve">  But the Court rejected this argument</w:t>
      </w:r>
      <w:r w:rsidR="008811FE" w:rsidRPr="00EE2B03">
        <w:rPr>
          <w:rFonts w:ascii="Times New Roman" w:eastAsia="Calibri" w:hAnsi="Times New Roman" w:cs="Times New Roman"/>
          <w:sz w:val="24"/>
          <w:szCs w:val="24"/>
        </w:rPr>
        <w:t xml:space="preserve">.  Instead it found that there was a marked difference between the utility in </w:t>
      </w:r>
      <w:r w:rsidR="008811FE" w:rsidRPr="00B3116B">
        <w:rPr>
          <w:rFonts w:ascii="Times New Roman" w:eastAsia="Calibri" w:hAnsi="Times New Roman" w:cs="Times New Roman"/>
          <w:i/>
          <w:sz w:val="24"/>
          <w:szCs w:val="24"/>
        </w:rPr>
        <w:t xml:space="preserve">Hope </w:t>
      </w:r>
      <w:r w:rsidR="008811FE" w:rsidRPr="00EE2B03">
        <w:rPr>
          <w:rFonts w:ascii="Times New Roman" w:eastAsia="Calibri" w:hAnsi="Times New Roman" w:cs="Times New Roman"/>
          <w:sz w:val="24"/>
          <w:szCs w:val="24"/>
        </w:rPr>
        <w:t xml:space="preserve">and </w:t>
      </w:r>
      <w:r w:rsidR="00B35A4C">
        <w:rPr>
          <w:rFonts w:ascii="Times New Roman" w:eastAsia="Calibri" w:hAnsi="Times New Roman" w:cs="Times New Roman"/>
          <w:sz w:val="24"/>
          <w:szCs w:val="24"/>
        </w:rPr>
        <w:t xml:space="preserve">the </w:t>
      </w:r>
      <w:r w:rsidR="008811FE" w:rsidRPr="00EE2B03">
        <w:rPr>
          <w:rFonts w:ascii="Times New Roman" w:eastAsia="Calibri" w:hAnsi="Times New Roman" w:cs="Times New Roman"/>
          <w:sz w:val="24"/>
          <w:szCs w:val="24"/>
        </w:rPr>
        <w:t>utility</w:t>
      </w:r>
      <w:proofErr w:type="gramStart"/>
      <w:r w:rsidR="00B35A4C">
        <w:rPr>
          <w:rFonts w:ascii="Times New Roman" w:eastAsia="Calibri" w:hAnsi="Times New Roman" w:cs="Times New Roman"/>
          <w:sz w:val="24"/>
          <w:szCs w:val="24"/>
        </w:rPr>
        <w:t>.</w:t>
      </w:r>
      <w:r w:rsidR="008811FE" w:rsidRPr="00EE2B03">
        <w:rPr>
          <w:rFonts w:ascii="Times New Roman" w:eastAsia="Calibri" w:hAnsi="Times New Roman" w:cs="Times New Roman"/>
          <w:sz w:val="24"/>
          <w:szCs w:val="24"/>
        </w:rPr>
        <w:t>.</w:t>
      </w:r>
      <w:proofErr w:type="gramEnd"/>
      <w:r w:rsidR="008811FE" w:rsidRPr="00EE2B03">
        <w:rPr>
          <w:rFonts w:ascii="Times New Roman" w:eastAsia="Calibri" w:hAnsi="Times New Roman" w:cs="Times New Roman"/>
          <w:sz w:val="24"/>
          <w:szCs w:val="24"/>
        </w:rPr>
        <w:t xml:space="preserve">  The Court described the </w:t>
      </w:r>
      <w:r w:rsidRPr="00EE2B03">
        <w:rPr>
          <w:rFonts w:ascii="Times New Roman" w:eastAsia="Calibri" w:hAnsi="Times New Roman" w:cs="Times New Roman"/>
          <w:sz w:val="24"/>
          <w:szCs w:val="24"/>
        </w:rPr>
        <w:t xml:space="preserve">utility in </w:t>
      </w:r>
      <w:r w:rsidRPr="00EE2B03">
        <w:rPr>
          <w:rFonts w:ascii="Times New Roman" w:eastAsia="Calibri" w:hAnsi="Times New Roman" w:cs="Times New Roman"/>
          <w:i/>
          <w:sz w:val="24"/>
          <w:szCs w:val="24"/>
        </w:rPr>
        <w:lastRenderedPageBreak/>
        <w:t>Hope</w:t>
      </w:r>
      <w:r w:rsidRPr="00EE2B03">
        <w:rPr>
          <w:rFonts w:ascii="Times New Roman" w:eastAsia="Calibri" w:hAnsi="Times New Roman" w:cs="Times New Roman"/>
          <w:sz w:val="24"/>
          <w:szCs w:val="24"/>
        </w:rPr>
        <w:t xml:space="preserve"> as one which was in an advantageous economic position and poised to make significant earnings</w:t>
      </w:r>
      <w:r w:rsidR="008811FE" w:rsidRPr="00EE2B03">
        <w:rPr>
          <w:rFonts w:ascii="Times New Roman" w:eastAsia="Calibri" w:hAnsi="Times New Roman" w:cs="Times New Roman"/>
          <w:sz w:val="24"/>
          <w:szCs w:val="24"/>
        </w:rPr>
        <w:t xml:space="preserve">.  On the other hand, it characterized the utility as one </w:t>
      </w:r>
      <w:r w:rsidRPr="00EE2B03">
        <w:rPr>
          <w:rFonts w:ascii="Times New Roman" w:eastAsia="Calibri" w:hAnsi="Times New Roman" w:cs="Times New Roman"/>
          <w:sz w:val="24"/>
          <w:szCs w:val="24"/>
        </w:rPr>
        <w:t>operat</w:t>
      </w:r>
      <w:r w:rsidR="008811FE" w:rsidRPr="00EE2B03">
        <w:rPr>
          <w:rFonts w:ascii="Times New Roman" w:eastAsia="Calibri" w:hAnsi="Times New Roman" w:cs="Times New Roman"/>
          <w:sz w:val="24"/>
          <w:szCs w:val="24"/>
        </w:rPr>
        <w:t xml:space="preserve">ing </w:t>
      </w:r>
      <w:r w:rsidRPr="00EE2B03">
        <w:rPr>
          <w:rFonts w:ascii="Times New Roman" w:eastAsia="Calibri" w:hAnsi="Times New Roman" w:cs="Times New Roman"/>
          <w:sz w:val="24"/>
          <w:szCs w:val="24"/>
        </w:rPr>
        <w:t xml:space="preserve">in a competitive market </w:t>
      </w:r>
      <w:r w:rsidR="008811FE" w:rsidRPr="00EE2B03">
        <w:rPr>
          <w:rFonts w:ascii="Times New Roman" w:eastAsia="Calibri" w:hAnsi="Times New Roman" w:cs="Times New Roman"/>
          <w:sz w:val="24"/>
          <w:szCs w:val="24"/>
        </w:rPr>
        <w:t xml:space="preserve">whose financial problems could not be rectified with a </w:t>
      </w:r>
      <w:r w:rsidRPr="00EE2B03">
        <w:rPr>
          <w:rFonts w:ascii="Times New Roman" w:eastAsia="Calibri" w:hAnsi="Times New Roman" w:cs="Times New Roman"/>
          <w:sz w:val="24"/>
          <w:szCs w:val="24"/>
        </w:rPr>
        <w:t>rate increase.</w:t>
      </w:r>
      <w:r w:rsidRPr="00EE2B03">
        <w:rPr>
          <w:rFonts w:ascii="Times New Roman" w:hAnsi="Times New Roman" w:cs="Times New Roman"/>
          <w:sz w:val="24"/>
          <w:szCs w:val="24"/>
          <w:vertAlign w:val="superscript"/>
        </w:rPr>
        <w:footnoteReference w:id="132"/>
      </w:r>
      <w:r w:rsidR="0070663A">
        <w:rPr>
          <w:rFonts w:ascii="Times New Roman" w:eastAsia="Calibri" w:hAnsi="Times New Roman" w:cs="Times New Roman"/>
          <w:sz w:val="24"/>
          <w:szCs w:val="24"/>
        </w:rPr>
        <w:t xml:space="preserve">  The Court </w:t>
      </w:r>
      <w:r w:rsidRPr="00EE2B03">
        <w:rPr>
          <w:rFonts w:ascii="Times New Roman" w:eastAsia="Calibri" w:hAnsi="Times New Roman" w:cs="Times New Roman"/>
          <w:sz w:val="24"/>
          <w:szCs w:val="24"/>
        </w:rPr>
        <w:t xml:space="preserve">rejected the utility’s takings claim, holding that the </w:t>
      </w:r>
      <w:r w:rsidR="00B35A4C">
        <w:rPr>
          <w:rFonts w:ascii="Times New Roman" w:eastAsia="Calibri" w:hAnsi="Times New Roman" w:cs="Times New Roman"/>
          <w:sz w:val="24"/>
          <w:szCs w:val="24"/>
        </w:rPr>
        <w:t>d</w:t>
      </w:r>
      <w:r w:rsidRPr="00EE2B03">
        <w:rPr>
          <w:rFonts w:ascii="Times New Roman" w:eastAsia="Calibri" w:hAnsi="Times New Roman" w:cs="Times New Roman"/>
          <w:sz w:val="24"/>
          <w:szCs w:val="24"/>
        </w:rPr>
        <w:t xml:space="preserve">ue </w:t>
      </w:r>
      <w:r w:rsidR="00B35A4C">
        <w:rPr>
          <w:rFonts w:ascii="Times New Roman" w:eastAsia="Calibri" w:hAnsi="Times New Roman" w:cs="Times New Roman"/>
          <w:sz w:val="24"/>
          <w:szCs w:val="24"/>
        </w:rPr>
        <w:t>p</w:t>
      </w:r>
      <w:r w:rsidRPr="00EE2B03">
        <w:rPr>
          <w:rFonts w:ascii="Times New Roman" w:eastAsia="Calibri" w:hAnsi="Times New Roman" w:cs="Times New Roman"/>
          <w:sz w:val="24"/>
          <w:szCs w:val="24"/>
        </w:rPr>
        <w:t xml:space="preserve">rocess </w:t>
      </w:r>
      <w:r w:rsidR="00B35A4C">
        <w:rPr>
          <w:rFonts w:ascii="Times New Roman" w:eastAsia="Calibri" w:hAnsi="Times New Roman" w:cs="Times New Roman"/>
          <w:sz w:val="24"/>
          <w:szCs w:val="24"/>
        </w:rPr>
        <w:t>c</w:t>
      </w:r>
      <w:r w:rsidRPr="00EE2B03">
        <w:rPr>
          <w:rFonts w:ascii="Times New Roman" w:eastAsia="Calibri" w:hAnsi="Times New Roman" w:cs="Times New Roman"/>
          <w:sz w:val="24"/>
          <w:szCs w:val="24"/>
        </w:rPr>
        <w:t>lause has never been used or intended for public utility commissions to fix rates that ensure the continuation of a service no one currently wants or to protect the credit of a business whose securities are already impaired.</w:t>
      </w:r>
      <w:r w:rsidRPr="00EE2B03">
        <w:rPr>
          <w:rFonts w:ascii="Times New Roman" w:hAnsi="Times New Roman" w:cs="Times New Roman"/>
          <w:sz w:val="24"/>
          <w:szCs w:val="24"/>
          <w:vertAlign w:val="superscript"/>
        </w:rPr>
        <w:footnoteReference w:id="133"/>
      </w:r>
      <w:r w:rsidRPr="00EE2B03">
        <w:rPr>
          <w:rFonts w:ascii="Times New Roman" w:eastAsia="Calibri" w:hAnsi="Times New Roman" w:cs="Times New Roman"/>
          <w:sz w:val="24"/>
          <w:szCs w:val="24"/>
        </w:rPr>
        <w:t xml:space="preserve">  The Court held that the </w:t>
      </w:r>
      <w:r w:rsidR="00B35A4C">
        <w:rPr>
          <w:rFonts w:ascii="Times New Roman" w:eastAsia="Calibri" w:hAnsi="Times New Roman" w:cs="Times New Roman"/>
          <w:sz w:val="24"/>
          <w:szCs w:val="24"/>
        </w:rPr>
        <w:t>d</w:t>
      </w:r>
      <w:r w:rsidRPr="00EE2B03">
        <w:rPr>
          <w:rFonts w:ascii="Times New Roman" w:eastAsia="Calibri" w:hAnsi="Times New Roman" w:cs="Times New Roman"/>
          <w:sz w:val="24"/>
          <w:szCs w:val="24"/>
        </w:rPr>
        <w:t xml:space="preserve">ue </w:t>
      </w:r>
      <w:r w:rsidR="00B35A4C">
        <w:rPr>
          <w:rFonts w:ascii="Times New Roman" w:eastAsia="Calibri" w:hAnsi="Times New Roman" w:cs="Times New Roman"/>
          <w:sz w:val="24"/>
          <w:szCs w:val="24"/>
        </w:rPr>
        <w:t>p</w:t>
      </w:r>
      <w:r w:rsidRPr="00EE2B03">
        <w:rPr>
          <w:rFonts w:ascii="Times New Roman" w:eastAsia="Calibri" w:hAnsi="Times New Roman" w:cs="Times New Roman"/>
          <w:sz w:val="24"/>
          <w:szCs w:val="24"/>
        </w:rPr>
        <w:t xml:space="preserve">rocess </w:t>
      </w:r>
      <w:r w:rsidR="00B35A4C">
        <w:rPr>
          <w:rFonts w:ascii="Times New Roman" w:eastAsia="Calibri" w:hAnsi="Times New Roman" w:cs="Times New Roman"/>
          <w:sz w:val="24"/>
          <w:szCs w:val="24"/>
        </w:rPr>
        <w:t>c</w:t>
      </w:r>
      <w:r w:rsidRPr="00EE2B03">
        <w:rPr>
          <w:rFonts w:ascii="Times New Roman" w:eastAsia="Calibri" w:hAnsi="Times New Roman" w:cs="Times New Roman"/>
          <w:sz w:val="24"/>
          <w:szCs w:val="24"/>
        </w:rPr>
        <w:t>lause “has not and cannot be applied to insure values or to restore values that have been lost by the operation of economic forces.”</w:t>
      </w:r>
      <w:r w:rsidRPr="00EE2B03">
        <w:rPr>
          <w:rFonts w:ascii="Times New Roman" w:hAnsi="Times New Roman" w:cs="Times New Roman"/>
          <w:sz w:val="24"/>
          <w:szCs w:val="24"/>
          <w:vertAlign w:val="superscript"/>
        </w:rPr>
        <w:footnoteReference w:id="134"/>
      </w:r>
      <w:r w:rsidRPr="00EE2B03">
        <w:rPr>
          <w:rFonts w:ascii="Times New Roman" w:eastAsia="Calibri" w:hAnsi="Times New Roman" w:cs="Times New Roman"/>
          <w:sz w:val="24"/>
          <w:szCs w:val="24"/>
        </w:rPr>
        <w:t xml:space="preserve"> </w:t>
      </w:r>
    </w:p>
    <w:p w:rsidR="008811FE" w:rsidRPr="00EE2B03" w:rsidRDefault="008811FE" w:rsidP="008811FE">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 xml:space="preserve">The current case presents strikingly similar issues to </w:t>
      </w:r>
      <w:r w:rsidRPr="00EE2B03">
        <w:rPr>
          <w:rFonts w:ascii="Times New Roman" w:eastAsia="Calibri" w:hAnsi="Times New Roman" w:cs="Times New Roman"/>
          <w:i/>
          <w:sz w:val="24"/>
          <w:szCs w:val="24"/>
        </w:rPr>
        <w:t>Market Street Railway</w:t>
      </w:r>
      <w:r w:rsidRPr="00EE2B03">
        <w:rPr>
          <w:rFonts w:ascii="Times New Roman" w:eastAsia="Calibri" w:hAnsi="Times New Roman" w:cs="Times New Roman"/>
          <w:sz w:val="24"/>
          <w:szCs w:val="24"/>
        </w:rPr>
        <w:t xml:space="preserve">. </w:t>
      </w:r>
      <w:r w:rsidR="000B7B06">
        <w:rPr>
          <w:rFonts w:ascii="Times New Roman" w:eastAsia="Calibri" w:hAnsi="Times New Roman" w:cs="Times New Roman"/>
          <w:sz w:val="24"/>
          <w:szCs w:val="24"/>
        </w:rPr>
        <w:t xml:space="preserve">Duke </w:t>
      </w:r>
      <w:r w:rsidR="00EE2B03">
        <w:rPr>
          <w:rFonts w:ascii="Times New Roman" w:eastAsia="Calibri" w:hAnsi="Times New Roman" w:cs="Times New Roman"/>
          <w:sz w:val="24"/>
          <w:szCs w:val="24"/>
        </w:rPr>
        <w:t>c</w:t>
      </w:r>
      <w:r w:rsidRPr="00EE2B03">
        <w:rPr>
          <w:rFonts w:ascii="Times New Roman" w:eastAsia="Calibri" w:hAnsi="Times New Roman" w:cs="Times New Roman"/>
          <w:sz w:val="24"/>
          <w:szCs w:val="24"/>
        </w:rPr>
        <w:t xml:space="preserve">laims market based compensation (FZCP) is insufficient for it.  But the PUCO does not regulate the competitive market and Duke was by statute required to be fully on its own </w:t>
      </w:r>
      <w:r w:rsidR="00B35A4C">
        <w:rPr>
          <w:rFonts w:ascii="Times New Roman" w:eastAsia="Calibri" w:hAnsi="Times New Roman" w:cs="Times New Roman"/>
          <w:sz w:val="24"/>
          <w:szCs w:val="24"/>
        </w:rPr>
        <w:t xml:space="preserve">after its </w:t>
      </w:r>
      <w:r w:rsidRPr="00EE2B03">
        <w:rPr>
          <w:rFonts w:ascii="Times New Roman" w:eastAsia="Calibri" w:hAnsi="Times New Roman" w:cs="Times New Roman"/>
          <w:sz w:val="24"/>
          <w:szCs w:val="24"/>
        </w:rPr>
        <w:t xml:space="preserve">market development period </w:t>
      </w:r>
      <w:r w:rsidR="00B35A4C">
        <w:rPr>
          <w:rFonts w:ascii="Times New Roman" w:eastAsia="Calibri" w:hAnsi="Times New Roman" w:cs="Times New Roman"/>
          <w:sz w:val="24"/>
          <w:szCs w:val="24"/>
        </w:rPr>
        <w:t xml:space="preserve">ended </w:t>
      </w:r>
      <w:r w:rsidRPr="00EE2B03">
        <w:rPr>
          <w:rFonts w:ascii="Times New Roman" w:eastAsia="Calibri" w:hAnsi="Times New Roman" w:cs="Times New Roman"/>
          <w:sz w:val="24"/>
          <w:szCs w:val="24"/>
        </w:rPr>
        <w:t xml:space="preserve">in 2005.  </w:t>
      </w:r>
    </w:p>
    <w:p w:rsidR="00113E13" w:rsidRPr="00EE2B03" w:rsidRDefault="00113E13" w:rsidP="00DB472C">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D</w:t>
      </w:r>
      <w:r w:rsidR="00DB472C" w:rsidRPr="00EE2B03">
        <w:rPr>
          <w:rFonts w:ascii="Times New Roman" w:eastAsia="Calibri" w:hAnsi="Times New Roman" w:cs="Times New Roman"/>
          <w:sz w:val="24"/>
          <w:szCs w:val="24"/>
        </w:rPr>
        <w:t>uke</w:t>
      </w:r>
      <w:r w:rsidRPr="00EE2B03">
        <w:rPr>
          <w:rFonts w:ascii="Times New Roman" w:eastAsia="Calibri" w:hAnsi="Times New Roman" w:cs="Times New Roman"/>
          <w:sz w:val="24"/>
          <w:szCs w:val="24"/>
        </w:rPr>
        <w:t xml:space="preserve"> cannot successfully argue a taking because the admitted factors behind its problems are from market forces.  As the United States Supreme Court stated in </w:t>
      </w:r>
      <w:r w:rsidRPr="00EE2B03">
        <w:rPr>
          <w:rFonts w:ascii="Times New Roman" w:eastAsia="Calibri" w:hAnsi="Times New Roman" w:cs="Times New Roman"/>
          <w:i/>
          <w:sz w:val="24"/>
          <w:szCs w:val="24"/>
        </w:rPr>
        <w:t>Market Street Railway,</w:t>
      </w:r>
      <w:r w:rsidRPr="00EE2B03">
        <w:rPr>
          <w:rFonts w:ascii="Times New Roman" w:eastAsia="Calibri" w:hAnsi="Times New Roman" w:cs="Times New Roman"/>
          <w:sz w:val="24"/>
          <w:szCs w:val="24"/>
        </w:rPr>
        <w:t xml:space="preserve"> the </w:t>
      </w:r>
      <w:r w:rsidR="00B35A4C">
        <w:rPr>
          <w:rFonts w:ascii="Times New Roman" w:eastAsia="Calibri" w:hAnsi="Times New Roman" w:cs="Times New Roman"/>
          <w:sz w:val="24"/>
          <w:szCs w:val="24"/>
        </w:rPr>
        <w:t>d</w:t>
      </w:r>
      <w:r w:rsidRPr="00EE2B03">
        <w:rPr>
          <w:rFonts w:ascii="Times New Roman" w:eastAsia="Calibri" w:hAnsi="Times New Roman" w:cs="Times New Roman"/>
          <w:sz w:val="24"/>
          <w:szCs w:val="24"/>
        </w:rPr>
        <w:t xml:space="preserve">ue </w:t>
      </w:r>
      <w:r w:rsidR="00B35A4C">
        <w:rPr>
          <w:rFonts w:ascii="Times New Roman" w:eastAsia="Calibri" w:hAnsi="Times New Roman" w:cs="Times New Roman"/>
          <w:sz w:val="24"/>
          <w:szCs w:val="24"/>
        </w:rPr>
        <w:t>p</w:t>
      </w:r>
      <w:r w:rsidRPr="00EE2B03">
        <w:rPr>
          <w:rFonts w:ascii="Times New Roman" w:eastAsia="Calibri" w:hAnsi="Times New Roman" w:cs="Times New Roman"/>
          <w:sz w:val="24"/>
          <w:szCs w:val="24"/>
        </w:rPr>
        <w:t xml:space="preserve">rocess </w:t>
      </w:r>
      <w:r w:rsidR="00B35A4C">
        <w:rPr>
          <w:rFonts w:ascii="Times New Roman" w:eastAsia="Calibri" w:hAnsi="Times New Roman" w:cs="Times New Roman"/>
          <w:sz w:val="24"/>
          <w:szCs w:val="24"/>
        </w:rPr>
        <w:t>c</w:t>
      </w:r>
      <w:r w:rsidRPr="00EE2B03">
        <w:rPr>
          <w:rFonts w:ascii="Times New Roman" w:eastAsia="Calibri" w:hAnsi="Times New Roman" w:cs="Times New Roman"/>
          <w:sz w:val="24"/>
          <w:szCs w:val="24"/>
        </w:rPr>
        <w:t>lause does not ensure protection of financial integrity against the oper</w:t>
      </w:r>
      <w:r w:rsidR="00EE2B03">
        <w:rPr>
          <w:rFonts w:ascii="Times New Roman" w:eastAsia="Calibri" w:hAnsi="Times New Roman" w:cs="Times New Roman"/>
          <w:sz w:val="24"/>
          <w:szCs w:val="24"/>
        </w:rPr>
        <w:t>ation of economic forces.  Custo</w:t>
      </w:r>
      <w:r w:rsidRPr="00EE2B03">
        <w:rPr>
          <w:rFonts w:ascii="Times New Roman" w:eastAsia="Calibri" w:hAnsi="Times New Roman" w:cs="Times New Roman"/>
          <w:sz w:val="24"/>
          <w:szCs w:val="24"/>
        </w:rPr>
        <w:t>mer switching and declining wholesale prices are both products of economic forces and D</w:t>
      </w:r>
      <w:r w:rsidR="00DB472C" w:rsidRPr="00EE2B03">
        <w:rPr>
          <w:rFonts w:ascii="Times New Roman" w:eastAsia="Calibri" w:hAnsi="Times New Roman" w:cs="Times New Roman"/>
          <w:sz w:val="24"/>
          <w:szCs w:val="24"/>
        </w:rPr>
        <w:t>uke</w:t>
      </w:r>
      <w:r w:rsidRPr="00EE2B03">
        <w:rPr>
          <w:rFonts w:ascii="Times New Roman" w:eastAsia="Calibri" w:hAnsi="Times New Roman" w:cs="Times New Roman"/>
          <w:sz w:val="24"/>
          <w:szCs w:val="24"/>
        </w:rPr>
        <w:t xml:space="preserve"> cannot seek </w:t>
      </w:r>
      <w:r w:rsidR="00DB472C" w:rsidRPr="00EE2B03">
        <w:rPr>
          <w:rFonts w:ascii="Times New Roman" w:eastAsia="Calibri" w:hAnsi="Times New Roman" w:cs="Times New Roman"/>
          <w:sz w:val="24"/>
          <w:szCs w:val="24"/>
        </w:rPr>
        <w:t xml:space="preserve">respite </w:t>
      </w:r>
      <w:r w:rsidRPr="00EE2B03">
        <w:rPr>
          <w:rFonts w:ascii="Times New Roman" w:eastAsia="Calibri" w:hAnsi="Times New Roman" w:cs="Times New Roman"/>
          <w:sz w:val="24"/>
          <w:szCs w:val="24"/>
        </w:rPr>
        <w:t>from these forces</w:t>
      </w:r>
      <w:r w:rsidR="00DB472C" w:rsidRPr="00EE2B03">
        <w:rPr>
          <w:rFonts w:ascii="Times New Roman" w:eastAsia="Calibri" w:hAnsi="Times New Roman" w:cs="Times New Roman"/>
          <w:sz w:val="24"/>
          <w:szCs w:val="24"/>
        </w:rPr>
        <w:t xml:space="preserve"> in the form of a $729 million (plus carrying charge) charge to its customers.</w:t>
      </w:r>
      <w:r w:rsidRPr="00EE2B03">
        <w:rPr>
          <w:rFonts w:ascii="Times New Roman" w:eastAsia="Calibri" w:hAnsi="Times New Roman" w:cs="Times New Roman"/>
          <w:sz w:val="24"/>
          <w:szCs w:val="24"/>
        </w:rPr>
        <w:t xml:space="preserve"> </w:t>
      </w:r>
    </w:p>
    <w:p w:rsidR="00DE24AC" w:rsidRPr="00EE2B03" w:rsidRDefault="00113E13" w:rsidP="00DE24AC">
      <w:pPr>
        <w:ind w:firstLine="720"/>
        <w:rPr>
          <w:rFonts w:ascii="Times New Roman" w:eastAsia="Calibri" w:hAnsi="Times New Roman" w:cs="Times New Roman"/>
          <w:sz w:val="24"/>
          <w:szCs w:val="24"/>
        </w:rPr>
      </w:pPr>
      <w:r w:rsidRPr="00EE2B03">
        <w:rPr>
          <w:rFonts w:ascii="Times New Roman" w:eastAsia="Calibri" w:hAnsi="Times New Roman" w:cs="Times New Roman"/>
          <w:sz w:val="24"/>
          <w:szCs w:val="24"/>
        </w:rPr>
        <w:t xml:space="preserve">Just like the utility in </w:t>
      </w:r>
      <w:r w:rsidRPr="00EE2B03">
        <w:rPr>
          <w:rFonts w:ascii="Times New Roman" w:eastAsia="Calibri" w:hAnsi="Times New Roman" w:cs="Times New Roman"/>
          <w:i/>
          <w:sz w:val="24"/>
          <w:szCs w:val="24"/>
        </w:rPr>
        <w:t>Market Street Railway,</w:t>
      </w:r>
      <w:r w:rsidRPr="00EE2B03">
        <w:rPr>
          <w:rFonts w:ascii="Times New Roman" w:eastAsia="Calibri" w:hAnsi="Times New Roman" w:cs="Times New Roman"/>
          <w:sz w:val="24"/>
          <w:szCs w:val="24"/>
        </w:rPr>
        <w:t xml:space="preserve"> </w:t>
      </w:r>
      <w:r w:rsidR="00E00CAA" w:rsidRPr="00EE2B03">
        <w:rPr>
          <w:rFonts w:ascii="Times New Roman" w:eastAsia="Calibri" w:hAnsi="Times New Roman" w:cs="Times New Roman"/>
          <w:sz w:val="24"/>
          <w:szCs w:val="24"/>
        </w:rPr>
        <w:t>Duke is</w:t>
      </w:r>
      <w:r w:rsidRPr="00EE2B03">
        <w:rPr>
          <w:rFonts w:ascii="Times New Roman" w:eastAsia="Calibri" w:hAnsi="Times New Roman" w:cs="Times New Roman"/>
          <w:sz w:val="24"/>
          <w:szCs w:val="24"/>
        </w:rPr>
        <w:t xml:space="preserve"> attempting to protect its bo</w:t>
      </w:r>
      <w:r w:rsidR="00DB472C" w:rsidRPr="00EE2B03">
        <w:rPr>
          <w:rFonts w:ascii="Times New Roman" w:eastAsia="Calibri" w:hAnsi="Times New Roman" w:cs="Times New Roman"/>
          <w:sz w:val="24"/>
          <w:szCs w:val="24"/>
        </w:rPr>
        <w:t xml:space="preserve">ttom line from market forces—here the “culprit” is low </w:t>
      </w:r>
      <w:r w:rsidR="00E00CAA" w:rsidRPr="00EE2B03">
        <w:rPr>
          <w:rFonts w:ascii="Times New Roman" w:eastAsia="Calibri" w:hAnsi="Times New Roman" w:cs="Times New Roman"/>
          <w:sz w:val="24"/>
          <w:szCs w:val="24"/>
        </w:rPr>
        <w:t>market based</w:t>
      </w:r>
      <w:r w:rsidR="00DB472C" w:rsidRPr="00EE2B03">
        <w:rPr>
          <w:rFonts w:ascii="Times New Roman" w:eastAsia="Calibri" w:hAnsi="Times New Roman" w:cs="Times New Roman"/>
          <w:sz w:val="24"/>
          <w:szCs w:val="24"/>
        </w:rPr>
        <w:t xml:space="preserve"> prices for </w:t>
      </w:r>
      <w:r w:rsidR="00DB472C" w:rsidRPr="00EE2B03">
        <w:rPr>
          <w:rFonts w:ascii="Times New Roman" w:eastAsia="Calibri" w:hAnsi="Times New Roman" w:cs="Times New Roman"/>
          <w:sz w:val="24"/>
          <w:szCs w:val="24"/>
        </w:rPr>
        <w:lastRenderedPageBreak/>
        <w:t xml:space="preserve">capacity.  “Low” is measured by Duke to be anything below its fully embedded cost of capacity.  But the U.S. Supreme Court rejected </w:t>
      </w:r>
      <w:r w:rsidR="00DE24AC" w:rsidRPr="00EE2B03">
        <w:rPr>
          <w:rFonts w:ascii="Times New Roman" w:eastAsia="Calibri" w:hAnsi="Times New Roman" w:cs="Times New Roman"/>
          <w:sz w:val="24"/>
          <w:szCs w:val="24"/>
        </w:rPr>
        <w:t xml:space="preserve">similar claims in </w:t>
      </w:r>
      <w:r w:rsidR="00DE24AC" w:rsidRPr="004E7959">
        <w:rPr>
          <w:rFonts w:ascii="Times New Roman" w:eastAsia="Calibri" w:hAnsi="Times New Roman" w:cs="Times New Roman"/>
          <w:i/>
          <w:sz w:val="24"/>
          <w:szCs w:val="24"/>
        </w:rPr>
        <w:t>Market Street Railway</w:t>
      </w:r>
      <w:r w:rsidR="00DE24AC" w:rsidRPr="00EE2B03">
        <w:rPr>
          <w:rFonts w:ascii="Times New Roman" w:eastAsia="Calibri" w:hAnsi="Times New Roman" w:cs="Times New Roman"/>
          <w:sz w:val="24"/>
          <w:szCs w:val="24"/>
        </w:rPr>
        <w:t xml:space="preserve">.  The PUCO should also reject such claims.  </w:t>
      </w:r>
      <w:r w:rsidR="00DB472C" w:rsidRPr="00EE2B03">
        <w:rPr>
          <w:rFonts w:ascii="Times New Roman" w:eastAsia="Calibri" w:hAnsi="Times New Roman" w:cs="Times New Roman"/>
          <w:sz w:val="24"/>
          <w:szCs w:val="24"/>
        </w:rPr>
        <w:t xml:space="preserve"> </w:t>
      </w:r>
    </w:p>
    <w:p w:rsidR="00D03179" w:rsidRPr="00D03179" w:rsidRDefault="00016E0D" w:rsidP="00FB4463">
      <w:pPr>
        <w:pStyle w:val="Heading2"/>
        <w:rPr>
          <w:rStyle w:val="Heading2Char"/>
        </w:rPr>
      </w:pPr>
      <w:bookmarkStart w:id="27" w:name="_Toc362950002"/>
      <w:r>
        <w:t>E</w:t>
      </w:r>
      <w:r w:rsidR="00D03179">
        <w:t>.</w:t>
      </w:r>
      <w:r w:rsidR="00D03179">
        <w:tab/>
      </w:r>
      <w:r w:rsidR="00D03179" w:rsidRPr="00D03179">
        <w:rPr>
          <w:rStyle w:val="Heading2Char"/>
        </w:rPr>
        <w:t xml:space="preserve">Despite Duke’s Claims That AEP Ohio </w:t>
      </w:r>
      <w:r w:rsidR="000B7B06" w:rsidRPr="00D03179">
        <w:rPr>
          <w:rStyle w:val="Heading2Char"/>
        </w:rPr>
        <w:t xml:space="preserve">And </w:t>
      </w:r>
      <w:r w:rsidR="00D03179" w:rsidRPr="00D03179">
        <w:rPr>
          <w:rStyle w:val="Heading2Char"/>
        </w:rPr>
        <w:t xml:space="preserve">Duke Are </w:t>
      </w:r>
      <w:r w:rsidR="000B7B06" w:rsidRPr="00D03179">
        <w:rPr>
          <w:rStyle w:val="Heading2Char"/>
        </w:rPr>
        <w:t>“</w:t>
      </w:r>
      <w:r w:rsidR="00D03179" w:rsidRPr="00D03179">
        <w:rPr>
          <w:rStyle w:val="Heading2Char"/>
        </w:rPr>
        <w:t>Similarly Situated</w:t>
      </w:r>
      <w:r w:rsidR="000B7B06" w:rsidRPr="00D03179">
        <w:rPr>
          <w:rStyle w:val="Heading2Char"/>
        </w:rPr>
        <w:t xml:space="preserve">” </w:t>
      </w:r>
      <w:r w:rsidR="00D03179" w:rsidRPr="00D03179">
        <w:rPr>
          <w:rStyle w:val="Heading2Char"/>
        </w:rPr>
        <w:t xml:space="preserve">There </w:t>
      </w:r>
      <w:r w:rsidR="000B7B06" w:rsidRPr="00D03179">
        <w:rPr>
          <w:rStyle w:val="Heading2Char"/>
        </w:rPr>
        <w:t xml:space="preserve">Are </w:t>
      </w:r>
      <w:r w:rsidR="00D03179" w:rsidRPr="00D03179">
        <w:rPr>
          <w:rStyle w:val="Heading2Char"/>
        </w:rPr>
        <w:t xml:space="preserve">Significant Differences </w:t>
      </w:r>
      <w:r w:rsidR="000B7B06" w:rsidRPr="00D03179">
        <w:rPr>
          <w:rStyle w:val="Heading2Char"/>
        </w:rPr>
        <w:t xml:space="preserve">The </w:t>
      </w:r>
      <w:r w:rsidR="00D03179" w:rsidRPr="00D03179">
        <w:rPr>
          <w:rStyle w:val="Heading2Char"/>
        </w:rPr>
        <w:t>PUCO Must Consider</w:t>
      </w:r>
      <w:r w:rsidR="000B7B06">
        <w:rPr>
          <w:rStyle w:val="Heading2Char"/>
        </w:rPr>
        <w:t>.</w:t>
      </w:r>
      <w:r w:rsidR="000B7B06" w:rsidRPr="00D03179">
        <w:rPr>
          <w:rStyle w:val="Heading2Char"/>
        </w:rPr>
        <w:t xml:space="preserve">  </w:t>
      </w:r>
      <w:r w:rsidR="00D03179">
        <w:rPr>
          <w:rStyle w:val="Heading2Char"/>
        </w:rPr>
        <w:t xml:space="preserve">These </w:t>
      </w:r>
      <w:r w:rsidR="000B7B06">
        <w:rPr>
          <w:rStyle w:val="Heading2Char"/>
        </w:rPr>
        <w:t xml:space="preserve">Differences Allow The </w:t>
      </w:r>
      <w:r w:rsidR="00D03179">
        <w:rPr>
          <w:rStyle w:val="Heading2Char"/>
        </w:rPr>
        <w:t xml:space="preserve">PUCO </w:t>
      </w:r>
      <w:r w:rsidR="000B7B06">
        <w:rPr>
          <w:rStyle w:val="Heading2Char"/>
        </w:rPr>
        <w:t xml:space="preserve">To Treat </w:t>
      </w:r>
      <w:r w:rsidR="00D03179">
        <w:rPr>
          <w:rStyle w:val="Heading2Char"/>
        </w:rPr>
        <w:t xml:space="preserve">Duke </w:t>
      </w:r>
      <w:r w:rsidR="000B7B06">
        <w:rPr>
          <w:rStyle w:val="Heading2Char"/>
        </w:rPr>
        <w:t xml:space="preserve">Differently Than </w:t>
      </w:r>
      <w:r w:rsidR="00D03179">
        <w:rPr>
          <w:rStyle w:val="Heading2Char"/>
        </w:rPr>
        <w:t xml:space="preserve">AEP Ohio </w:t>
      </w:r>
      <w:r w:rsidR="000B7B06">
        <w:rPr>
          <w:rStyle w:val="Heading2Char"/>
        </w:rPr>
        <w:t>Without Running Afoul Of Discrimination Laws Or Equal Protection Policies Under Federal And State Constitutions.</w:t>
      </w:r>
      <w:bookmarkEnd w:id="27"/>
      <w:r w:rsidR="000B7B06">
        <w:rPr>
          <w:rStyle w:val="Heading2Char"/>
        </w:rPr>
        <w:t xml:space="preserve">  </w:t>
      </w:r>
    </w:p>
    <w:p w:rsidR="00D03179" w:rsidRDefault="00D03179" w:rsidP="000B7B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1358F7">
        <w:rPr>
          <w:rFonts w:ascii="Times New Roman" w:eastAsia="Calibri" w:hAnsi="Times New Roman" w:cs="Times New Roman"/>
          <w:sz w:val="24"/>
          <w:szCs w:val="24"/>
        </w:rPr>
        <w:t>Duke continues to argue that Duke and AEP Ohio should be treated similarly because they are similarly situated utilities.</w:t>
      </w:r>
      <w:r>
        <w:rPr>
          <w:rStyle w:val="FootnoteReference"/>
          <w:rFonts w:ascii="Times New Roman" w:eastAsia="Calibri" w:hAnsi="Times New Roman" w:cs="Times New Roman"/>
          <w:sz w:val="24"/>
          <w:szCs w:val="24"/>
        </w:rPr>
        <w:footnoteReference w:id="135"/>
      </w:r>
      <w:r w:rsidRPr="001358F7">
        <w:rPr>
          <w:rFonts w:ascii="Times New Roman" w:eastAsia="Calibri" w:hAnsi="Times New Roman" w:cs="Times New Roman"/>
          <w:sz w:val="24"/>
          <w:szCs w:val="24"/>
        </w:rPr>
        <w:t xml:space="preserve">  </w:t>
      </w:r>
      <w:r>
        <w:rPr>
          <w:rFonts w:ascii="Times New Roman" w:eastAsia="Calibri" w:hAnsi="Times New Roman" w:cs="Times New Roman"/>
          <w:sz w:val="24"/>
          <w:szCs w:val="24"/>
        </w:rPr>
        <w:t>In reality, the only similarity Duke has been able to establish is that both Duke and AEP Ohio are FRR entities.</w:t>
      </w:r>
      <w:r>
        <w:rPr>
          <w:rStyle w:val="FootnoteReference"/>
          <w:rFonts w:ascii="Times New Roman" w:eastAsia="Calibri" w:hAnsi="Times New Roman" w:cs="Times New Roman"/>
          <w:sz w:val="24"/>
          <w:szCs w:val="24"/>
        </w:rPr>
        <w:footnoteReference w:id="136"/>
      </w:r>
      <w:r>
        <w:rPr>
          <w:rFonts w:ascii="Times New Roman" w:eastAsia="Calibri" w:hAnsi="Times New Roman" w:cs="Times New Roman"/>
          <w:sz w:val="24"/>
          <w:szCs w:val="24"/>
        </w:rPr>
        <w:t xml:space="preserve">  But this fact has never been in dispute. It is the various differences between Duke and AEP Ohio that Duke continuously (and conveniently) leaves out of its arguments that are central to deciding this case.  These distinctions show that outside of being FRR entities, these utilities, and the circumstances surrounding their respective capacity charges, are not similar.  </w:t>
      </w:r>
    </w:p>
    <w:p w:rsidR="00EC5CD3" w:rsidRDefault="00D03179" w:rsidP="00947A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t>OCC and several other parties pointed out in their post-hearing briefs the various differences between the two utilities.</w:t>
      </w:r>
      <w:r>
        <w:rPr>
          <w:rStyle w:val="FootnoteReference"/>
          <w:rFonts w:ascii="Times New Roman" w:eastAsia="Calibri" w:hAnsi="Times New Roman" w:cs="Times New Roman"/>
          <w:sz w:val="24"/>
          <w:szCs w:val="24"/>
        </w:rPr>
        <w:footnoteReference w:id="137"/>
      </w:r>
      <w:r>
        <w:rPr>
          <w:rFonts w:ascii="Times New Roman" w:eastAsia="Calibri" w:hAnsi="Times New Roman" w:cs="Times New Roman"/>
          <w:sz w:val="24"/>
          <w:szCs w:val="24"/>
        </w:rPr>
        <w:t xml:space="preserve">  First, </w:t>
      </w:r>
      <w:r w:rsidR="00B0609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AEP Ohio Capacity Case decisions are only applicable to AEP Ohio.</w:t>
      </w:r>
      <w:r>
        <w:rPr>
          <w:rStyle w:val="FootnoteReference"/>
          <w:rFonts w:ascii="Times New Roman" w:eastAsia="Calibri" w:hAnsi="Times New Roman" w:cs="Times New Roman"/>
          <w:sz w:val="24"/>
          <w:szCs w:val="24"/>
        </w:rPr>
        <w:footnoteReference w:id="138"/>
      </w:r>
      <w:r>
        <w:rPr>
          <w:rFonts w:ascii="Times New Roman" w:eastAsia="Calibri" w:hAnsi="Times New Roman" w:cs="Times New Roman"/>
          <w:sz w:val="24"/>
          <w:szCs w:val="24"/>
        </w:rPr>
        <w:t xml:space="preserve">  Second, AEP Ohio’s capacity charge was approved within the context of its electric security plan, while Duke settled its electric security plan </w:t>
      </w:r>
      <w:r>
        <w:rPr>
          <w:rFonts w:ascii="Times New Roman" w:eastAsia="Calibri" w:hAnsi="Times New Roman" w:cs="Times New Roman"/>
          <w:sz w:val="24"/>
          <w:szCs w:val="24"/>
        </w:rPr>
        <w:lastRenderedPageBreak/>
        <w:t>through a Stipulation.</w:t>
      </w:r>
      <w:r>
        <w:rPr>
          <w:rStyle w:val="FootnoteReference"/>
          <w:rFonts w:ascii="Times New Roman" w:eastAsia="Calibri" w:hAnsi="Times New Roman" w:cs="Times New Roman"/>
          <w:sz w:val="24"/>
          <w:szCs w:val="24"/>
        </w:rPr>
        <w:footnoteReference w:id="139"/>
      </w:r>
      <w:r>
        <w:rPr>
          <w:rFonts w:ascii="Times New Roman" w:eastAsia="Calibri" w:hAnsi="Times New Roman" w:cs="Times New Roman"/>
          <w:sz w:val="24"/>
          <w:szCs w:val="24"/>
        </w:rPr>
        <w:t xml:space="preserve">  Third, Duke is not establishing a new capacity service; but rather, it is seeking to increase rates for the capacity service it currently provides under its ESP.</w:t>
      </w:r>
      <w:r>
        <w:rPr>
          <w:rStyle w:val="FootnoteReference"/>
          <w:rFonts w:ascii="Times New Roman" w:eastAsia="Calibri" w:hAnsi="Times New Roman" w:cs="Times New Roman"/>
          <w:sz w:val="24"/>
          <w:szCs w:val="24"/>
        </w:rPr>
        <w:footnoteReference w:id="140"/>
      </w:r>
      <w:r>
        <w:rPr>
          <w:rFonts w:ascii="Times New Roman" w:eastAsia="Calibri" w:hAnsi="Times New Roman" w:cs="Times New Roman"/>
          <w:sz w:val="24"/>
          <w:szCs w:val="24"/>
        </w:rPr>
        <w:t xml:space="preserve">  </w:t>
      </w:r>
    </w:p>
    <w:p w:rsidR="00E65DD0" w:rsidRDefault="00EC5CD3" w:rsidP="00947A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r>
      <w:r w:rsidR="00D03179">
        <w:rPr>
          <w:rFonts w:ascii="Times New Roman" w:eastAsia="Calibri" w:hAnsi="Times New Roman" w:cs="Times New Roman"/>
          <w:sz w:val="24"/>
          <w:szCs w:val="24"/>
        </w:rPr>
        <w:t xml:space="preserve">Moreover, unlike AEP Ohio, Duke is not providing capacity service directly to retail customers.  AEP Ohio actually provides capacity service to Standard Service Offer (“SSO”) (non-shopping) customers.  Duke does not.  Duke Witness, Keith Trent explained that </w:t>
      </w:r>
      <w:r w:rsidR="00D03179" w:rsidRPr="00D613A1">
        <w:rPr>
          <w:rFonts w:ascii="Times New Roman" w:eastAsia="Calibri" w:hAnsi="Times New Roman" w:cs="Times New Roman"/>
          <w:sz w:val="24"/>
          <w:szCs w:val="24"/>
        </w:rPr>
        <w:t>Duke does not directly provid</w:t>
      </w:r>
      <w:r w:rsidR="00D03179">
        <w:rPr>
          <w:rFonts w:ascii="Times New Roman" w:eastAsia="Calibri" w:hAnsi="Times New Roman" w:cs="Times New Roman"/>
          <w:sz w:val="24"/>
          <w:szCs w:val="24"/>
        </w:rPr>
        <w:t xml:space="preserve">e capacity to any of its retail </w:t>
      </w:r>
      <w:r w:rsidR="00D03179" w:rsidRPr="00D613A1">
        <w:rPr>
          <w:rFonts w:ascii="Times New Roman" w:eastAsia="Calibri" w:hAnsi="Times New Roman" w:cs="Times New Roman"/>
          <w:sz w:val="24"/>
          <w:szCs w:val="24"/>
        </w:rPr>
        <w:t>customers</w:t>
      </w:r>
      <w:r w:rsidR="00D03179">
        <w:rPr>
          <w:rFonts w:ascii="Times New Roman" w:eastAsia="Calibri" w:hAnsi="Times New Roman" w:cs="Times New Roman"/>
          <w:sz w:val="24"/>
          <w:szCs w:val="24"/>
        </w:rPr>
        <w:t>.</w:t>
      </w:r>
      <w:r w:rsidR="00D03179">
        <w:rPr>
          <w:rStyle w:val="FootnoteReference"/>
          <w:rFonts w:ascii="Times New Roman" w:eastAsia="Calibri" w:hAnsi="Times New Roman" w:cs="Times New Roman"/>
          <w:sz w:val="24"/>
          <w:szCs w:val="24"/>
        </w:rPr>
        <w:footnoteReference w:id="141"/>
      </w:r>
      <w:r w:rsidR="00D03179">
        <w:rPr>
          <w:rFonts w:ascii="Times New Roman" w:eastAsia="Calibri" w:hAnsi="Times New Roman" w:cs="Times New Roman"/>
          <w:sz w:val="24"/>
          <w:szCs w:val="24"/>
        </w:rPr>
        <w:t xml:space="preserve">  In contrast, as of March 1, 2012, 26% of AEO Ohio’s load switched to an alternative supplier.</w:t>
      </w:r>
      <w:r w:rsidR="00D03179">
        <w:rPr>
          <w:rStyle w:val="FootnoteReference"/>
          <w:rFonts w:ascii="Times New Roman" w:eastAsia="Calibri" w:hAnsi="Times New Roman" w:cs="Times New Roman"/>
          <w:sz w:val="24"/>
          <w:szCs w:val="24"/>
        </w:rPr>
        <w:footnoteReference w:id="142"/>
      </w:r>
      <w:r w:rsidR="00D03179">
        <w:rPr>
          <w:rFonts w:ascii="Times New Roman" w:eastAsia="Calibri" w:hAnsi="Times New Roman" w:cs="Times New Roman"/>
          <w:sz w:val="24"/>
          <w:szCs w:val="24"/>
        </w:rPr>
        <w:t xml:space="preserve">  Thus, AEP Ohio is directly providing service </w:t>
      </w:r>
      <w:r w:rsidR="00D03179" w:rsidRPr="00D229FC">
        <w:rPr>
          <w:rFonts w:ascii="Times New Roman" w:eastAsia="Calibri" w:hAnsi="Times New Roman" w:cs="Times New Roman"/>
          <w:sz w:val="24"/>
          <w:szCs w:val="24"/>
        </w:rPr>
        <w:t>to approximately 74 percent</w:t>
      </w:r>
      <w:r w:rsidR="00D03179">
        <w:rPr>
          <w:rFonts w:ascii="Times New Roman" w:eastAsia="Calibri" w:hAnsi="Times New Roman" w:cs="Times New Roman"/>
          <w:sz w:val="24"/>
          <w:szCs w:val="24"/>
        </w:rPr>
        <w:t xml:space="preserve"> of its non-shopping standard service customers.  </w:t>
      </w:r>
    </w:p>
    <w:p w:rsidR="00D03179" w:rsidRDefault="00E65DD0" w:rsidP="00947A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r>
      <w:r w:rsidR="00D03179">
        <w:rPr>
          <w:rFonts w:ascii="Times New Roman" w:eastAsia="Calibri" w:hAnsi="Times New Roman" w:cs="Times New Roman"/>
          <w:sz w:val="24"/>
          <w:szCs w:val="24"/>
        </w:rPr>
        <w:t xml:space="preserve">In contrast, Duke provides capacity service directly to </w:t>
      </w:r>
      <w:r w:rsidR="00047434">
        <w:rPr>
          <w:rFonts w:ascii="Times New Roman" w:eastAsia="Calibri" w:hAnsi="Times New Roman" w:cs="Times New Roman"/>
          <w:sz w:val="24"/>
          <w:szCs w:val="24"/>
        </w:rPr>
        <w:t>marketers</w:t>
      </w:r>
      <w:r w:rsidR="00D03179">
        <w:rPr>
          <w:rFonts w:ascii="Times New Roman" w:eastAsia="Calibri" w:hAnsi="Times New Roman" w:cs="Times New Roman"/>
          <w:sz w:val="24"/>
          <w:szCs w:val="24"/>
        </w:rPr>
        <w:t xml:space="preserve"> and standard service auction winners.</w:t>
      </w:r>
      <w:r w:rsidR="00D03179">
        <w:rPr>
          <w:rStyle w:val="FootnoteReference"/>
          <w:rFonts w:ascii="Times New Roman" w:eastAsia="Calibri" w:hAnsi="Times New Roman" w:cs="Times New Roman"/>
          <w:sz w:val="24"/>
          <w:szCs w:val="24"/>
        </w:rPr>
        <w:footnoteReference w:id="143"/>
      </w:r>
      <w:r w:rsidR="00D03179">
        <w:rPr>
          <w:rFonts w:ascii="Times New Roman" w:eastAsia="Calibri" w:hAnsi="Times New Roman" w:cs="Times New Roman"/>
          <w:sz w:val="24"/>
          <w:szCs w:val="24"/>
        </w:rPr>
        <w:t xml:space="preserve">  Duke already charges </w:t>
      </w:r>
      <w:r w:rsidR="00047434">
        <w:rPr>
          <w:rFonts w:ascii="Times New Roman" w:eastAsia="Calibri" w:hAnsi="Times New Roman" w:cs="Times New Roman"/>
          <w:sz w:val="24"/>
          <w:szCs w:val="24"/>
        </w:rPr>
        <w:t>marketers</w:t>
      </w:r>
      <w:r w:rsidR="00D03179">
        <w:rPr>
          <w:rFonts w:ascii="Times New Roman" w:eastAsia="Calibri" w:hAnsi="Times New Roman" w:cs="Times New Roman"/>
          <w:sz w:val="24"/>
          <w:szCs w:val="24"/>
        </w:rPr>
        <w:t xml:space="preserve"> and standard service auction winners the FZCP for capacity pursuant to the terms of the Duke ESP Stipulation.  Thus, it is disconcerting that Duke is seeking to charge customers $729 million for capacity deferrals when Duke is not providing this service directly to customers. </w:t>
      </w:r>
      <w:r w:rsidR="00947A3D">
        <w:rPr>
          <w:rFonts w:ascii="Times New Roman" w:eastAsia="Calibri" w:hAnsi="Times New Roman" w:cs="Times New Roman"/>
          <w:sz w:val="24"/>
          <w:szCs w:val="24"/>
        </w:rPr>
        <w:t xml:space="preserve"> </w:t>
      </w:r>
      <w:r w:rsidR="00D03179">
        <w:rPr>
          <w:rFonts w:ascii="Times New Roman" w:eastAsia="Calibri" w:hAnsi="Times New Roman" w:cs="Times New Roman"/>
          <w:sz w:val="24"/>
          <w:szCs w:val="24"/>
        </w:rPr>
        <w:t xml:space="preserve">This is </w:t>
      </w:r>
      <w:r w:rsidR="00D03179">
        <w:rPr>
          <w:rFonts w:ascii="Times New Roman" w:eastAsia="Calibri" w:hAnsi="Times New Roman" w:cs="Times New Roman"/>
          <w:sz w:val="24"/>
          <w:szCs w:val="24"/>
        </w:rPr>
        <w:lastRenderedPageBreak/>
        <w:t>especially true given the fact that Duke is charging customers $330 million for a stability charge.</w:t>
      </w:r>
    </w:p>
    <w:p w:rsidR="00D03179" w:rsidRDefault="00D03179" w:rsidP="00947A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t>Fourth, Duke is seeking an unlawful retroactive capacity charge, whereas AEP Ohio’s capacity charge was applied on a prospective basis.</w:t>
      </w:r>
      <w:r>
        <w:rPr>
          <w:rStyle w:val="FootnoteReference"/>
          <w:rFonts w:ascii="Times New Roman" w:eastAsia="Calibri" w:hAnsi="Times New Roman" w:cs="Times New Roman"/>
          <w:sz w:val="24"/>
          <w:szCs w:val="24"/>
        </w:rPr>
        <w:footnoteReference w:id="144"/>
      </w:r>
      <w:r>
        <w:rPr>
          <w:rFonts w:ascii="Times New Roman" w:eastAsia="Calibri" w:hAnsi="Times New Roman" w:cs="Times New Roman"/>
          <w:sz w:val="24"/>
          <w:szCs w:val="24"/>
        </w:rPr>
        <w:t xml:space="preserve">  Fifth, AEP Ohio and Duke differ significantly in the approach they took to seek cost-based capacity pricing.</w:t>
      </w:r>
      <w:r>
        <w:rPr>
          <w:rStyle w:val="FootnoteReference"/>
          <w:rFonts w:ascii="Times New Roman" w:eastAsia="Calibri" w:hAnsi="Times New Roman" w:cs="Times New Roman"/>
          <w:sz w:val="24"/>
          <w:szCs w:val="24"/>
        </w:rPr>
        <w:footnoteReference w:id="145"/>
      </w:r>
      <w:r>
        <w:rPr>
          <w:rFonts w:ascii="Times New Roman" w:eastAsia="Calibri" w:hAnsi="Times New Roman" w:cs="Times New Roman"/>
          <w:sz w:val="24"/>
          <w:szCs w:val="24"/>
        </w:rPr>
        <w:t xml:space="preserve">  These arguments all show that the similarities between Duke and AEP Ohio stop after acknowledging that they are both FRR entities.</w:t>
      </w:r>
      <w:r>
        <w:rPr>
          <w:rStyle w:val="FootnoteReference"/>
          <w:rFonts w:ascii="Times New Roman" w:eastAsia="Calibri" w:hAnsi="Times New Roman" w:cs="Times New Roman"/>
          <w:sz w:val="24"/>
          <w:szCs w:val="24"/>
        </w:rPr>
        <w:footnoteReference w:id="146"/>
      </w:r>
    </w:p>
    <w:p w:rsidR="00D03179" w:rsidRDefault="00D03179" w:rsidP="00947A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t>Duke argues that its situation is identical to AEP Ohio, and thus it would be unconstitutional to treat it differently than AEP Ohio.</w:t>
      </w:r>
      <w:r>
        <w:rPr>
          <w:rStyle w:val="FootnoteReference"/>
          <w:rFonts w:ascii="Times New Roman" w:eastAsia="Calibri" w:hAnsi="Times New Roman" w:cs="Times New Roman"/>
          <w:sz w:val="24"/>
          <w:szCs w:val="24"/>
        </w:rPr>
        <w:footnoteReference w:id="147"/>
      </w:r>
      <w:r>
        <w:rPr>
          <w:rFonts w:ascii="Times New Roman" w:eastAsia="Calibri" w:hAnsi="Times New Roman" w:cs="Times New Roman"/>
          <w:sz w:val="24"/>
          <w:szCs w:val="24"/>
        </w:rPr>
        <w:t xml:space="preserve">  But Duke is incorrect.  The facts and circumstances show a litany of distinctions between the two utilities:  </w:t>
      </w: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The AEP Ohio Capacity decision does not apply to Duke.  The AEP Ohio Capacity Decision applies only to AEP Ohio.  The PUCO was clear in stating that no other FRR entity was considered for purposes of its decision in the AEP Ohio Capacity Case.</w:t>
      </w:r>
      <w:r>
        <w:rPr>
          <w:rStyle w:val="FootnoteReference"/>
          <w:rFonts w:ascii="Times New Roman" w:eastAsia="Calibri" w:hAnsi="Times New Roman" w:cs="Times New Roman"/>
          <w:sz w:val="24"/>
          <w:szCs w:val="24"/>
        </w:rPr>
        <w:footnoteReference w:id="148"/>
      </w:r>
    </w:p>
    <w:p w:rsidR="00D03179" w:rsidRDefault="00D03179" w:rsidP="00947A3D">
      <w:pPr>
        <w:pStyle w:val="ListParagraph"/>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Duke settled its ESP proceeding with a Stipulation that provides for a market-based capacity price (FCZP), plus a $330 million dollar ESSC charge.</w:t>
      </w:r>
      <w:r>
        <w:rPr>
          <w:rStyle w:val="FootnoteReference"/>
          <w:rFonts w:ascii="Times New Roman" w:eastAsia="Calibri" w:hAnsi="Times New Roman" w:cs="Times New Roman"/>
          <w:sz w:val="24"/>
          <w:szCs w:val="24"/>
        </w:rPr>
        <w:footnoteReference w:id="149"/>
      </w:r>
      <w:r>
        <w:rPr>
          <w:rFonts w:ascii="Times New Roman" w:eastAsia="Calibri" w:hAnsi="Times New Roman" w:cs="Times New Roman"/>
          <w:sz w:val="24"/>
          <w:szCs w:val="24"/>
        </w:rPr>
        <w:t xml:space="preserve">  AEP Ohio litigated its ESP which ultimately included a capacity mechanism.</w:t>
      </w:r>
      <w:r>
        <w:rPr>
          <w:rStyle w:val="FootnoteReference"/>
          <w:rFonts w:ascii="Times New Roman" w:eastAsia="Calibri" w:hAnsi="Times New Roman" w:cs="Times New Roman"/>
          <w:sz w:val="24"/>
          <w:szCs w:val="24"/>
        </w:rPr>
        <w:footnoteReference w:id="150"/>
      </w:r>
    </w:p>
    <w:p w:rsidR="00D03179" w:rsidRPr="000521BB" w:rsidRDefault="00D03179" w:rsidP="00947A3D">
      <w:p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Duke stipulated away its right to seek cost based compensation from FERC through a FPA Section 205 filing in Case No. 11-2641-EL-RDR, et.al. AEP Ohio made </w:t>
      </w:r>
      <w:r>
        <w:rPr>
          <w:rFonts w:ascii="Times New Roman" w:eastAsia="Calibri" w:hAnsi="Times New Roman" w:cs="Times New Roman"/>
          <w:sz w:val="24"/>
          <w:szCs w:val="24"/>
        </w:rPr>
        <w:lastRenderedPageBreak/>
        <w:t>a FPA 205 filing with FERC, which triggered the PUCO’s review in Case No. 10-2929-EL-ESC.</w:t>
      </w:r>
    </w:p>
    <w:p w:rsidR="00D03179" w:rsidRPr="00527735" w:rsidRDefault="00D03179" w:rsidP="00947A3D">
      <w:p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sidRPr="00527735">
        <w:rPr>
          <w:rFonts w:ascii="Times New Roman" w:eastAsia="Calibri" w:hAnsi="Times New Roman" w:cs="Times New Roman"/>
          <w:sz w:val="24"/>
          <w:szCs w:val="24"/>
        </w:rPr>
        <w:t xml:space="preserve"> </w:t>
      </w: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AEP Ohio’s state compensation mechanism deferral applies prospectively after the date of the Commission’s order.</w:t>
      </w:r>
      <w:r w:rsidRPr="008C3E37">
        <w:rPr>
          <w:rStyle w:val="FootnoteReference"/>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151"/>
      </w:r>
      <w:r>
        <w:rPr>
          <w:rFonts w:ascii="Times New Roman" w:eastAsia="Calibri" w:hAnsi="Times New Roman" w:cs="Times New Roman"/>
          <w:sz w:val="24"/>
          <w:szCs w:val="24"/>
        </w:rPr>
        <w:t xml:space="preserve">  Duke’s proposed mechanism would apply retroactively.</w:t>
      </w:r>
    </w:p>
    <w:p w:rsidR="00947A3D" w:rsidRDefault="00947A3D">
      <w:pPr>
        <w:rPr>
          <w:rFonts w:ascii="Times New Roman" w:eastAsia="Calibri" w:hAnsi="Times New Roman" w:cs="Times New Roman"/>
          <w:sz w:val="24"/>
          <w:szCs w:val="24"/>
        </w:rPr>
      </w:pP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sidRPr="00527735">
        <w:rPr>
          <w:rFonts w:ascii="Times New Roman" w:eastAsia="Calibri" w:hAnsi="Times New Roman" w:cs="Times New Roman"/>
          <w:sz w:val="24"/>
          <w:szCs w:val="24"/>
        </w:rPr>
        <w:t>AEP Ohio’s capacity charge was implemented through its ESP proceeding.</w:t>
      </w:r>
      <w:r>
        <w:rPr>
          <w:rStyle w:val="FootnoteReference"/>
          <w:rFonts w:ascii="Times New Roman" w:eastAsia="Calibri" w:hAnsi="Times New Roman" w:cs="Times New Roman"/>
          <w:sz w:val="24"/>
          <w:szCs w:val="24"/>
        </w:rPr>
        <w:footnoteReference w:id="152"/>
      </w:r>
      <w:r w:rsidRPr="00527735">
        <w:rPr>
          <w:rFonts w:ascii="Times New Roman" w:eastAsia="Calibri" w:hAnsi="Times New Roman" w:cs="Times New Roman"/>
          <w:sz w:val="24"/>
          <w:szCs w:val="24"/>
        </w:rPr>
        <w:t xml:space="preserve">  Duke has asserted that a state compensation mechanism cannot be established through an ESP.</w:t>
      </w:r>
      <w:r>
        <w:rPr>
          <w:rStyle w:val="FootnoteReference"/>
          <w:rFonts w:ascii="Times New Roman" w:eastAsia="Calibri" w:hAnsi="Times New Roman" w:cs="Times New Roman"/>
          <w:sz w:val="24"/>
          <w:szCs w:val="24"/>
        </w:rPr>
        <w:footnoteReference w:id="153"/>
      </w:r>
      <w:r w:rsidRPr="00527735">
        <w:rPr>
          <w:rFonts w:ascii="Times New Roman" w:eastAsia="Calibri" w:hAnsi="Times New Roman" w:cs="Times New Roman"/>
          <w:sz w:val="24"/>
          <w:szCs w:val="24"/>
        </w:rPr>
        <w:t xml:space="preserve">  And Duke asked the PUCO to establish a new rate for its capacity services under traditional rate-making statutes (Ohio Revised Code Chapters 4905 and 4909) – well after it settled its ESP.</w:t>
      </w:r>
      <w:r>
        <w:rPr>
          <w:rStyle w:val="FootnoteReference"/>
          <w:rFonts w:ascii="Times New Roman" w:eastAsia="Calibri" w:hAnsi="Times New Roman" w:cs="Times New Roman"/>
          <w:sz w:val="24"/>
          <w:szCs w:val="24"/>
        </w:rPr>
        <w:footnoteReference w:id="154"/>
      </w:r>
    </w:p>
    <w:p w:rsidR="00D03179" w:rsidRPr="00527735" w:rsidRDefault="00D03179" w:rsidP="00947A3D">
      <w:p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200" w:line="276"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Duke requested a cost-based capacity charge under chapters 4909 and 4905 of the Revised Code —and has not met its burden of proof under these chapters to receive the relief requested.  A</w:t>
      </w:r>
      <w:r w:rsidRPr="000521BB">
        <w:rPr>
          <w:rFonts w:ascii="Times New Roman" w:eastAsia="Calibri" w:hAnsi="Times New Roman" w:cs="Times New Roman"/>
          <w:sz w:val="24"/>
          <w:szCs w:val="24"/>
        </w:rPr>
        <w:t xml:space="preserve"> rate increase</w:t>
      </w:r>
      <w:r>
        <w:rPr>
          <w:rFonts w:ascii="Times New Roman" w:eastAsia="Calibri" w:hAnsi="Times New Roman" w:cs="Times New Roman"/>
          <w:sz w:val="24"/>
          <w:szCs w:val="24"/>
        </w:rPr>
        <w:t xml:space="preserve"> (per R.C. 4909.18)</w:t>
      </w:r>
      <w:r w:rsidRPr="000521BB">
        <w:rPr>
          <w:rFonts w:ascii="Times New Roman" w:eastAsia="Calibri" w:hAnsi="Times New Roman" w:cs="Times New Roman"/>
          <w:sz w:val="24"/>
          <w:szCs w:val="24"/>
        </w:rPr>
        <w:t xml:space="preserve"> can only be granted if the applicable provisions</w:t>
      </w:r>
      <w:r>
        <w:rPr>
          <w:rFonts w:ascii="Times New Roman" w:eastAsia="Calibri" w:hAnsi="Times New Roman" w:cs="Times New Roman"/>
          <w:sz w:val="24"/>
          <w:szCs w:val="24"/>
        </w:rPr>
        <w:t xml:space="preserve"> </w:t>
      </w:r>
      <w:r w:rsidRPr="000521BB">
        <w:rPr>
          <w:rFonts w:ascii="Times New Roman" w:eastAsia="Calibri" w:hAnsi="Times New Roman" w:cs="Times New Roman"/>
          <w:sz w:val="24"/>
          <w:szCs w:val="24"/>
        </w:rPr>
        <w:t>of the Revised Code are complied with.</w:t>
      </w:r>
      <w:r>
        <w:rPr>
          <w:rFonts w:ascii="Times New Roman" w:eastAsia="Calibri" w:hAnsi="Times New Roman" w:cs="Times New Roman"/>
          <w:sz w:val="24"/>
          <w:szCs w:val="24"/>
        </w:rPr>
        <w:t xml:space="preserve">  </w:t>
      </w:r>
      <w:r w:rsidRPr="000521BB">
        <w:rPr>
          <w:rFonts w:ascii="Times New Roman" w:eastAsia="Calibri" w:hAnsi="Times New Roman" w:cs="Times New Roman"/>
          <w:sz w:val="24"/>
          <w:szCs w:val="24"/>
        </w:rPr>
        <w:t>Under R.C. 4905.26, the existing rate complained of must be shown by the</w:t>
      </w:r>
      <w:r>
        <w:rPr>
          <w:rFonts w:ascii="Times New Roman" w:eastAsia="Calibri" w:hAnsi="Times New Roman" w:cs="Times New Roman"/>
          <w:sz w:val="24"/>
          <w:szCs w:val="24"/>
        </w:rPr>
        <w:t xml:space="preserve"> </w:t>
      </w:r>
      <w:r w:rsidRPr="000521BB">
        <w:rPr>
          <w:rFonts w:ascii="Times New Roman" w:eastAsia="Calibri" w:hAnsi="Times New Roman" w:cs="Times New Roman"/>
          <w:sz w:val="24"/>
          <w:szCs w:val="24"/>
        </w:rPr>
        <w:t>complainant to be unjust, unreasonable, unjustly discriminatory, unjustly preferential, or</w:t>
      </w:r>
      <w:r>
        <w:rPr>
          <w:rFonts w:ascii="Times New Roman" w:eastAsia="Calibri" w:hAnsi="Times New Roman" w:cs="Times New Roman"/>
          <w:sz w:val="24"/>
          <w:szCs w:val="24"/>
        </w:rPr>
        <w:t xml:space="preserve"> </w:t>
      </w:r>
      <w:r w:rsidRPr="000521BB">
        <w:rPr>
          <w:rFonts w:ascii="Times New Roman" w:eastAsia="Calibri" w:hAnsi="Times New Roman" w:cs="Times New Roman"/>
          <w:sz w:val="24"/>
          <w:szCs w:val="24"/>
        </w:rPr>
        <w:t>in violation of law</w:t>
      </w:r>
      <w:r>
        <w:rPr>
          <w:rFonts w:ascii="Times New Roman" w:eastAsia="Calibri" w:hAnsi="Times New Roman" w:cs="Times New Roman"/>
          <w:sz w:val="24"/>
          <w:szCs w:val="24"/>
        </w:rPr>
        <w:t>.</w:t>
      </w: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sidRPr="003A4298">
        <w:rPr>
          <w:rFonts w:ascii="Times New Roman" w:eastAsia="Calibri" w:hAnsi="Times New Roman" w:cs="Times New Roman"/>
          <w:sz w:val="24"/>
          <w:szCs w:val="24"/>
        </w:rPr>
        <w:t>Duke is not establishing a new capacity service; it is seeking to increase rates for the capacity service it currently provides under its ESP.</w:t>
      </w:r>
    </w:p>
    <w:p w:rsidR="00D03179" w:rsidRPr="00FF30E8" w:rsidRDefault="00D03179" w:rsidP="00947A3D">
      <w:pPr>
        <w:pStyle w:val="ListParagraph"/>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p>
    <w:p w:rsidR="00D03179" w:rsidRDefault="00D03179" w:rsidP="00947A3D">
      <w:pPr>
        <w:pStyle w:val="ListParagraph"/>
        <w:numPr>
          <w:ilvl w:val="0"/>
          <w:numId w:val="29"/>
        </w:numPr>
        <w:tabs>
          <w:tab w:val="left" w:pos="916"/>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2160" w:right="720" w:hanging="720"/>
        <w:rPr>
          <w:rFonts w:ascii="Times New Roman" w:eastAsia="Calibri" w:hAnsi="Times New Roman" w:cs="Times New Roman"/>
          <w:sz w:val="24"/>
          <w:szCs w:val="24"/>
        </w:rPr>
      </w:pPr>
      <w:r>
        <w:rPr>
          <w:rFonts w:ascii="Times New Roman" w:eastAsia="Calibri" w:hAnsi="Times New Roman" w:cs="Times New Roman"/>
          <w:sz w:val="24"/>
          <w:szCs w:val="24"/>
        </w:rPr>
        <w:t>AEP Ohio provides service directly to non-shopping SSO customers.  Duke does not.</w:t>
      </w:r>
    </w:p>
    <w:p w:rsidR="00D03179" w:rsidRDefault="00D03179" w:rsidP="00D0317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0" w:right="1440"/>
        <w:rPr>
          <w:rFonts w:ascii="Times New Roman" w:eastAsia="Calibri" w:hAnsi="Times New Roman" w:cs="Times New Roman"/>
          <w:sz w:val="24"/>
          <w:szCs w:val="24"/>
        </w:rPr>
      </w:pPr>
    </w:p>
    <w:p w:rsidR="00D03179" w:rsidRDefault="00D03179" w:rsidP="00D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These significant differences between AEP Ohio and Duke must be considered and acknowledged by the PUCO.  It is not an </w:t>
      </w:r>
      <w:proofErr w:type="gramStart"/>
      <w:r>
        <w:rPr>
          <w:rFonts w:ascii="Times New Roman" w:eastAsia="Calibri" w:hAnsi="Times New Roman" w:cs="Times New Roman"/>
          <w:sz w:val="24"/>
          <w:szCs w:val="24"/>
        </w:rPr>
        <w:t>apples</w:t>
      </w:r>
      <w:proofErr w:type="gramEnd"/>
      <w:r>
        <w:rPr>
          <w:rFonts w:ascii="Times New Roman" w:eastAsia="Calibri" w:hAnsi="Times New Roman" w:cs="Times New Roman"/>
          <w:sz w:val="24"/>
          <w:szCs w:val="24"/>
        </w:rPr>
        <w:t xml:space="preserve"> to apples comparison between AEP Ohio and Duke, as Duke contends.  Instead of addressing these differences in its post-</w:t>
      </w:r>
      <w:r>
        <w:rPr>
          <w:rFonts w:ascii="Times New Roman" w:eastAsia="Calibri" w:hAnsi="Times New Roman" w:cs="Times New Roman"/>
          <w:sz w:val="24"/>
          <w:szCs w:val="24"/>
        </w:rPr>
        <w:lastRenderedPageBreak/>
        <w:t>hearing brief, Duke provided a list of “remarkable”</w:t>
      </w:r>
      <w:r>
        <w:rPr>
          <w:rStyle w:val="FootnoteReference"/>
          <w:rFonts w:ascii="Times New Roman" w:eastAsia="Calibri" w:hAnsi="Times New Roman" w:cs="Times New Roman"/>
          <w:sz w:val="24"/>
          <w:szCs w:val="24"/>
        </w:rPr>
        <w:footnoteReference w:id="155"/>
      </w:r>
      <w:r>
        <w:rPr>
          <w:rFonts w:ascii="Times New Roman" w:eastAsia="Calibri" w:hAnsi="Times New Roman" w:cs="Times New Roman"/>
          <w:sz w:val="24"/>
          <w:szCs w:val="24"/>
        </w:rPr>
        <w:t xml:space="preserve"> similarities.</w:t>
      </w:r>
      <w:r w:rsidR="00947A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But none of the points made by Duke are the subject of contention in this case.  For example, Duke states “[b]</w:t>
      </w:r>
      <w:proofErr w:type="spellStart"/>
      <w:r>
        <w:rPr>
          <w:rFonts w:ascii="Times New Roman" w:eastAsia="Calibri" w:hAnsi="Times New Roman" w:cs="Times New Roman"/>
          <w:sz w:val="24"/>
          <w:szCs w:val="24"/>
        </w:rPr>
        <w:t>oth</w:t>
      </w:r>
      <w:proofErr w:type="spellEnd"/>
      <w:r>
        <w:rPr>
          <w:rFonts w:ascii="Times New Roman" w:eastAsia="Calibri" w:hAnsi="Times New Roman" w:cs="Times New Roman"/>
          <w:sz w:val="24"/>
          <w:szCs w:val="24"/>
        </w:rPr>
        <w:t xml:space="preserve"> AEP Ohio and Duke Energy Ohio, as FRR entities, have binding self-supply obligations.”  And, “AEP Ohio’s FRR obligations will terminate on May 31, 2015, as will Duke Energy Ohio’s FRR obligations.”  These similarities are not “remarkable” and Duke’s argument is not persuasive.  No party has disputed Duke’s status as an FRR entity (a status Duke voluntarily chose).  Duke is being compensated at the FZCP price for its FRR obligations because that is what it agreed to. </w:t>
      </w:r>
    </w:p>
    <w:p w:rsidR="00657D32" w:rsidRPr="005C3CC6" w:rsidRDefault="00657D32" w:rsidP="00947A3D">
      <w:pPr>
        <w:pStyle w:val="Heading3"/>
        <w:numPr>
          <w:ilvl w:val="0"/>
          <w:numId w:val="31"/>
        </w:numPr>
        <w:ind w:left="2880" w:hanging="720"/>
      </w:pPr>
      <w:bookmarkStart w:id="28" w:name="_Toc362950003"/>
      <w:r w:rsidRPr="005C3CC6">
        <w:t xml:space="preserve">The </w:t>
      </w:r>
      <w:r w:rsidR="00E00CAA">
        <w:t>PUCO</w:t>
      </w:r>
      <w:r w:rsidR="00E00CAA" w:rsidRPr="005C3CC6">
        <w:t xml:space="preserve"> </w:t>
      </w:r>
      <w:r w:rsidRPr="005C3CC6">
        <w:t>is not required to approve Duke’s capacity deferrals because Duke is not similarly</w:t>
      </w:r>
      <w:r w:rsidR="00D03179">
        <w:t xml:space="preserve"> </w:t>
      </w:r>
      <w:r w:rsidRPr="005C3CC6">
        <w:t>situated to AEP Ohio, and thus is not entitled to “equal protection.”</w:t>
      </w:r>
      <w:bookmarkEnd w:id="28"/>
      <w:r w:rsidR="002F32AF">
        <w:t xml:space="preserve">  </w:t>
      </w:r>
    </w:p>
    <w:p w:rsidR="00784D04" w:rsidRDefault="00C92741" w:rsidP="005C3CC6">
      <w:pPr>
        <w:ind w:firstLine="720"/>
        <w:rPr>
          <w:rFonts w:ascii="Times New Roman" w:hAnsi="Times New Roman" w:cs="Times New Roman"/>
          <w:sz w:val="24"/>
          <w:szCs w:val="24"/>
        </w:rPr>
      </w:pPr>
      <w:r w:rsidRPr="005C3CC6">
        <w:rPr>
          <w:rFonts w:ascii="Times New Roman" w:hAnsi="Times New Roman" w:cs="Times New Roman"/>
          <w:sz w:val="24"/>
          <w:szCs w:val="24"/>
        </w:rPr>
        <w:t>Duke believes its proposed deferral mechanism is reasonable and urges the Commission to approve it.</w:t>
      </w:r>
      <w:r w:rsidRPr="005C3CC6">
        <w:rPr>
          <w:rStyle w:val="FootnoteReference"/>
          <w:rFonts w:ascii="Times New Roman" w:hAnsi="Times New Roman" w:cs="Times New Roman"/>
          <w:sz w:val="24"/>
          <w:szCs w:val="24"/>
        </w:rPr>
        <w:footnoteReference w:id="156"/>
      </w:r>
      <w:r w:rsidRPr="005C3CC6">
        <w:rPr>
          <w:rFonts w:ascii="Times New Roman" w:hAnsi="Times New Roman" w:cs="Times New Roman"/>
          <w:sz w:val="24"/>
          <w:szCs w:val="24"/>
        </w:rPr>
        <w:t xml:space="preserve">  Duke argues that the PUCO should approve its deferral request because the PUCO in the AEP Ohio Capacity case </w:t>
      </w:r>
      <w:r w:rsidR="00C74FF2" w:rsidRPr="005C3CC6">
        <w:rPr>
          <w:rFonts w:ascii="Times New Roman" w:hAnsi="Times New Roman" w:cs="Times New Roman"/>
          <w:sz w:val="24"/>
          <w:szCs w:val="24"/>
        </w:rPr>
        <w:t xml:space="preserve">approved </w:t>
      </w:r>
      <w:r w:rsidRPr="005C3CC6">
        <w:rPr>
          <w:rFonts w:ascii="Times New Roman" w:hAnsi="Times New Roman" w:cs="Times New Roman"/>
          <w:sz w:val="24"/>
          <w:szCs w:val="24"/>
        </w:rPr>
        <w:t>a</w:t>
      </w:r>
      <w:r w:rsidR="005C3CC6">
        <w:rPr>
          <w:rFonts w:ascii="Times New Roman" w:hAnsi="Times New Roman" w:cs="Times New Roman"/>
          <w:sz w:val="24"/>
          <w:szCs w:val="24"/>
        </w:rPr>
        <w:t xml:space="preserve"> similar</w:t>
      </w:r>
      <w:r w:rsidRPr="005C3CC6">
        <w:rPr>
          <w:rFonts w:ascii="Times New Roman" w:hAnsi="Times New Roman" w:cs="Times New Roman"/>
          <w:sz w:val="24"/>
          <w:szCs w:val="24"/>
        </w:rPr>
        <w:t xml:space="preserve"> </w:t>
      </w:r>
      <w:r w:rsidR="00C74FF2" w:rsidRPr="005C3CC6">
        <w:rPr>
          <w:rFonts w:ascii="Times New Roman" w:hAnsi="Times New Roman" w:cs="Times New Roman"/>
          <w:sz w:val="24"/>
          <w:szCs w:val="24"/>
        </w:rPr>
        <w:t>deferral approach with two sources of compensation-suppliers and retail customers</w:t>
      </w:r>
      <w:r w:rsidRPr="005C3CC6">
        <w:rPr>
          <w:rFonts w:ascii="Times New Roman" w:hAnsi="Times New Roman" w:cs="Times New Roman"/>
          <w:sz w:val="24"/>
          <w:szCs w:val="24"/>
        </w:rPr>
        <w:t>.</w:t>
      </w:r>
      <w:r w:rsidR="00784D04" w:rsidRPr="005C3CC6">
        <w:rPr>
          <w:rStyle w:val="FootnoteReference"/>
          <w:rFonts w:ascii="Times New Roman" w:hAnsi="Times New Roman" w:cs="Times New Roman"/>
          <w:sz w:val="24"/>
          <w:szCs w:val="24"/>
        </w:rPr>
        <w:footnoteReference w:id="157"/>
      </w:r>
      <w:r w:rsidRPr="005C3CC6">
        <w:rPr>
          <w:rFonts w:ascii="Times New Roman" w:hAnsi="Times New Roman" w:cs="Times New Roman"/>
          <w:sz w:val="24"/>
          <w:szCs w:val="24"/>
        </w:rPr>
        <w:t xml:space="preserve">  And </w:t>
      </w:r>
      <w:r w:rsidR="00F73C36" w:rsidRPr="005C3CC6">
        <w:rPr>
          <w:rFonts w:ascii="Times New Roman" w:hAnsi="Times New Roman" w:cs="Times New Roman"/>
          <w:sz w:val="24"/>
          <w:szCs w:val="24"/>
        </w:rPr>
        <w:t xml:space="preserve">Duke notes that </w:t>
      </w:r>
      <w:r w:rsidRPr="005C3CC6">
        <w:rPr>
          <w:rFonts w:ascii="Times New Roman" w:hAnsi="Times New Roman" w:cs="Times New Roman"/>
          <w:sz w:val="24"/>
          <w:szCs w:val="24"/>
        </w:rPr>
        <w:t xml:space="preserve">in that case the PUCO rejected </w:t>
      </w:r>
      <w:r w:rsidR="00F73C36" w:rsidRPr="005C3CC6">
        <w:rPr>
          <w:rFonts w:ascii="Times New Roman" w:hAnsi="Times New Roman" w:cs="Times New Roman"/>
          <w:sz w:val="24"/>
          <w:szCs w:val="24"/>
        </w:rPr>
        <w:t xml:space="preserve">the </w:t>
      </w:r>
      <w:proofErr w:type="spellStart"/>
      <w:r w:rsidR="00F73C36" w:rsidRPr="005C3CC6">
        <w:rPr>
          <w:rFonts w:ascii="Times New Roman" w:hAnsi="Times New Roman" w:cs="Times New Roman"/>
          <w:sz w:val="24"/>
          <w:szCs w:val="24"/>
        </w:rPr>
        <w:t>interven</w:t>
      </w:r>
      <w:r w:rsidRPr="005C3CC6">
        <w:rPr>
          <w:rFonts w:ascii="Times New Roman" w:hAnsi="Times New Roman" w:cs="Times New Roman"/>
          <w:sz w:val="24"/>
          <w:szCs w:val="24"/>
        </w:rPr>
        <w:t>ors</w:t>
      </w:r>
      <w:proofErr w:type="spellEnd"/>
      <w:r w:rsidR="00F73C36" w:rsidRPr="005C3CC6">
        <w:rPr>
          <w:rFonts w:ascii="Times New Roman" w:hAnsi="Times New Roman" w:cs="Times New Roman"/>
          <w:sz w:val="24"/>
          <w:szCs w:val="24"/>
        </w:rPr>
        <w:t>’</w:t>
      </w:r>
      <w:r w:rsidRPr="005C3CC6">
        <w:rPr>
          <w:rFonts w:ascii="Times New Roman" w:hAnsi="Times New Roman" w:cs="Times New Roman"/>
          <w:sz w:val="24"/>
          <w:szCs w:val="24"/>
        </w:rPr>
        <w:t xml:space="preserve"> arguments against the deferral</w:t>
      </w:r>
      <w:r w:rsidR="00F73C36" w:rsidRPr="005C3CC6">
        <w:rPr>
          <w:rFonts w:ascii="Times New Roman" w:hAnsi="Times New Roman" w:cs="Times New Roman"/>
          <w:sz w:val="24"/>
          <w:szCs w:val="24"/>
        </w:rPr>
        <w:t>s.  Duke argues tha</w:t>
      </w:r>
      <w:r w:rsidR="00784D04" w:rsidRPr="005C3CC6">
        <w:rPr>
          <w:rFonts w:ascii="Times New Roman" w:hAnsi="Times New Roman" w:cs="Times New Roman"/>
          <w:sz w:val="24"/>
          <w:szCs w:val="24"/>
        </w:rPr>
        <w:t>t</w:t>
      </w:r>
      <w:r w:rsidR="005E3003" w:rsidRPr="005C3CC6">
        <w:rPr>
          <w:rFonts w:ascii="Times New Roman" w:hAnsi="Times New Roman" w:cs="Times New Roman"/>
          <w:sz w:val="24"/>
          <w:szCs w:val="24"/>
        </w:rPr>
        <w:t xml:space="preserve"> a state compensation mechanism</w:t>
      </w:r>
      <w:r w:rsidR="00F73C36" w:rsidRPr="005C3CC6">
        <w:rPr>
          <w:rFonts w:ascii="Times New Roman" w:hAnsi="Times New Roman" w:cs="Times New Roman"/>
          <w:sz w:val="24"/>
          <w:szCs w:val="24"/>
        </w:rPr>
        <w:t xml:space="preserve"> is similarly appropriate for it.  In fact Duke argues that the PUCO should apply the same structure to it </w:t>
      </w:r>
      <w:r w:rsidR="00784D04" w:rsidRPr="005C3CC6">
        <w:rPr>
          <w:rFonts w:ascii="Times New Roman" w:hAnsi="Times New Roman" w:cs="Times New Roman"/>
          <w:sz w:val="24"/>
          <w:szCs w:val="24"/>
        </w:rPr>
        <w:t>to</w:t>
      </w:r>
      <w:r w:rsidR="00F73C36" w:rsidRPr="005C3CC6">
        <w:rPr>
          <w:rFonts w:ascii="Times New Roman" w:hAnsi="Times New Roman" w:cs="Times New Roman"/>
          <w:sz w:val="24"/>
          <w:szCs w:val="24"/>
        </w:rPr>
        <w:t xml:space="preserve"> ensure consistent treatment of FRR entities, as contemplated under the federal and state equal protection clauses.</w:t>
      </w:r>
      <w:r w:rsidR="00F73C36" w:rsidRPr="005C3CC6">
        <w:rPr>
          <w:rStyle w:val="FootnoteReference"/>
          <w:rFonts w:ascii="Times New Roman" w:hAnsi="Times New Roman" w:cs="Times New Roman"/>
          <w:sz w:val="24"/>
          <w:szCs w:val="24"/>
        </w:rPr>
        <w:footnoteReference w:id="158"/>
      </w:r>
      <w:r w:rsidR="00F73C36" w:rsidRPr="005C3CC6">
        <w:rPr>
          <w:rFonts w:ascii="Times New Roman" w:hAnsi="Times New Roman" w:cs="Times New Roman"/>
          <w:sz w:val="24"/>
          <w:szCs w:val="24"/>
        </w:rPr>
        <w:t xml:space="preserve">  </w:t>
      </w:r>
    </w:p>
    <w:p w:rsidR="004E7959" w:rsidRDefault="004E7959" w:rsidP="00B0419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explained supra, the PUCO has no jurisdiction to entertain constitutional claims.  </w:t>
      </w:r>
      <w:r w:rsidRPr="00EE2B03">
        <w:rPr>
          <w:rFonts w:ascii="Times New Roman" w:hAnsi="Times New Roman" w:cs="Times New Roman"/>
          <w:sz w:val="24"/>
          <w:szCs w:val="24"/>
          <w:lang w:eastAsia="ar-SA"/>
        </w:rPr>
        <w:t>Even though the Commission cannot rule on the constitutionality of this claim, any court of competent jurisdiction will find that Duke’s constitutional arguments</w:t>
      </w:r>
      <w:r>
        <w:rPr>
          <w:rFonts w:ascii="Times New Roman" w:hAnsi="Times New Roman" w:cs="Times New Roman"/>
          <w:sz w:val="24"/>
          <w:szCs w:val="24"/>
          <w:lang w:eastAsia="ar-SA"/>
        </w:rPr>
        <w:t xml:space="preserve"> should be rejected</w:t>
      </w:r>
      <w:r w:rsidR="0006671B">
        <w:rPr>
          <w:rFonts w:ascii="Times New Roman" w:hAnsi="Times New Roman" w:cs="Times New Roman"/>
          <w:sz w:val="24"/>
          <w:szCs w:val="24"/>
          <w:lang w:eastAsia="ar-SA"/>
        </w:rPr>
        <w:t>.  This is</w:t>
      </w:r>
      <w:r>
        <w:rPr>
          <w:rFonts w:ascii="Times New Roman" w:hAnsi="Times New Roman" w:cs="Times New Roman"/>
          <w:sz w:val="24"/>
          <w:szCs w:val="24"/>
          <w:lang w:eastAsia="ar-SA"/>
        </w:rPr>
        <w:t xml:space="preserve"> because Duke and AEP are not similarly situated and the equal protection clause </w:t>
      </w:r>
      <w:r w:rsidR="002240A1">
        <w:rPr>
          <w:rFonts w:ascii="Times New Roman" w:hAnsi="Times New Roman" w:cs="Times New Roman"/>
          <w:sz w:val="24"/>
          <w:szCs w:val="24"/>
          <w:lang w:eastAsia="ar-SA"/>
        </w:rPr>
        <w:t xml:space="preserve">does not require similar treatment in such an instance.  </w:t>
      </w:r>
      <w:r>
        <w:rPr>
          <w:rFonts w:ascii="Times New Roman" w:hAnsi="Times New Roman" w:cs="Times New Roman"/>
          <w:sz w:val="24"/>
          <w:szCs w:val="24"/>
          <w:lang w:eastAsia="ar-SA"/>
        </w:rPr>
        <w:t xml:space="preserve">  </w:t>
      </w:r>
      <w:r w:rsidR="00B04198">
        <w:rPr>
          <w:rFonts w:ascii="Times New Roman" w:hAnsi="Times New Roman" w:cs="Times New Roman"/>
          <w:sz w:val="24"/>
          <w:szCs w:val="24"/>
        </w:rPr>
        <w:t xml:space="preserve"> </w:t>
      </w:r>
    </w:p>
    <w:p w:rsidR="00A53C94" w:rsidRPr="002240A1" w:rsidRDefault="00B04198" w:rsidP="004E7959">
      <w:pPr>
        <w:ind w:firstLine="720"/>
        <w:rPr>
          <w:rStyle w:val="ssrfcpassagedeactivated"/>
          <w:rFonts w:ascii="Times New Roman" w:hAnsi="Times New Roman" w:cs="Times New Roman"/>
          <w:sz w:val="24"/>
          <w:szCs w:val="24"/>
        </w:rPr>
      </w:pPr>
      <w:r>
        <w:rPr>
          <w:rFonts w:ascii="Times New Roman" w:hAnsi="Times New Roman" w:cs="Times New Roman"/>
          <w:sz w:val="24"/>
          <w:szCs w:val="24"/>
        </w:rPr>
        <w:t xml:space="preserve">The federal and state </w:t>
      </w:r>
      <w:r w:rsidRPr="002240A1">
        <w:rPr>
          <w:rFonts w:ascii="Times New Roman" w:hAnsi="Times New Roman" w:cs="Times New Roman"/>
          <w:sz w:val="24"/>
          <w:szCs w:val="24"/>
        </w:rPr>
        <w:t>e</w:t>
      </w:r>
      <w:r w:rsidRPr="002240A1">
        <w:rPr>
          <w:rStyle w:val="sh2536451215"/>
          <w:rFonts w:ascii="Times New Roman" w:hAnsi="Times New Roman" w:cs="Times New Roman"/>
          <w:sz w:val="24"/>
          <w:szCs w:val="24"/>
        </w:rPr>
        <w:t>qual protection</w:t>
      </w:r>
      <w:r w:rsidRPr="002240A1">
        <w:rPr>
          <w:rStyle w:val="ssrfcpassagedeactivated"/>
          <w:rFonts w:ascii="Times New Roman" w:hAnsi="Times New Roman" w:cs="Times New Roman"/>
          <w:sz w:val="24"/>
          <w:szCs w:val="24"/>
        </w:rPr>
        <w:t xml:space="preserve"> c</w:t>
      </w:r>
      <w:hyperlink r:id="rId20" w:history="1">
        <w:r w:rsidRPr="00947A3D">
          <w:rPr>
            <w:rStyle w:val="sh2536451215"/>
            <w:rFonts w:ascii="Times New Roman" w:hAnsi="Times New Roman" w:cs="Times New Roman"/>
            <w:sz w:val="24"/>
            <w:szCs w:val="24"/>
          </w:rPr>
          <w:t>lauses</w:t>
        </w:r>
      </w:hyperlink>
      <w:r w:rsidRPr="00947A3D">
        <w:rPr>
          <w:rStyle w:val="FootnoteReference"/>
          <w:rFonts w:ascii="Times New Roman" w:hAnsi="Times New Roman" w:cs="Times New Roman"/>
          <w:sz w:val="24"/>
          <w:szCs w:val="24"/>
        </w:rPr>
        <w:footnoteReference w:id="159"/>
      </w:r>
      <w:r w:rsidRPr="002240A1">
        <w:rPr>
          <w:rStyle w:val="ssrfcpassagedeactivated"/>
          <w:rFonts w:ascii="Times New Roman" w:hAnsi="Times New Roman" w:cs="Times New Roman"/>
          <w:sz w:val="24"/>
          <w:szCs w:val="24"/>
        </w:rPr>
        <w:t xml:space="preserve"> require that all </w:t>
      </w:r>
      <w:r w:rsidRPr="002240A1">
        <w:rPr>
          <w:rStyle w:val="ssrfcpassagedeactivated"/>
          <w:rFonts w:ascii="Times New Roman" w:hAnsi="Times New Roman" w:cs="Times New Roman"/>
          <w:i/>
          <w:sz w:val="24"/>
          <w:szCs w:val="24"/>
        </w:rPr>
        <w:t>similarly situated individuals</w:t>
      </w:r>
      <w:r w:rsidRPr="002240A1">
        <w:rPr>
          <w:rStyle w:val="ssrfcpassagedeactivated"/>
          <w:rFonts w:ascii="Times New Roman" w:hAnsi="Times New Roman" w:cs="Times New Roman"/>
          <w:sz w:val="24"/>
          <w:szCs w:val="24"/>
        </w:rPr>
        <w:t xml:space="preserve"> be treated in a similar manner.  </w:t>
      </w:r>
      <w:r w:rsidR="00A53C94" w:rsidRPr="002240A1">
        <w:rPr>
          <w:rStyle w:val="ssrfcpassagedeactivated"/>
          <w:rFonts w:ascii="Times New Roman" w:hAnsi="Times New Roman" w:cs="Times New Roman"/>
          <w:sz w:val="24"/>
          <w:szCs w:val="24"/>
        </w:rPr>
        <w:t>The equal protection clause prohibits laws (or government regulations) that treat differently those persons who are in all relevant respects alike.</w:t>
      </w:r>
      <w:r w:rsidR="00A53C94" w:rsidRPr="002240A1">
        <w:rPr>
          <w:rStyle w:val="FootnoteReference"/>
          <w:rFonts w:ascii="Times New Roman" w:hAnsi="Times New Roman" w:cs="Times New Roman"/>
          <w:sz w:val="24"/>
          <w:szCs w:val="24"/>
        </w:rPr>
        <w:footnoteReference w:id="160"/>
      </w:r>
      <w:r w:rsidR="00A53C94" w:rsidRPr="002240A1">
        <w:rPr>
          <w:rStyle w:val="ssrfcpassagedeactivated"/>
          <w:rFonts w:ascii="Times New Roman" w:hAnsi="Times New Roman" w:cs="Times New Roman"/>
          <w:sz w:val="24"/>
          <w:szCs w:val="24"/>
        </w:rPr>
        <w:t xml:space="preserve">  </w:t>
      </w:r>
    </w:p>
    <w:p w:rsidR="00E768A0" w:rsidRPr="006F46D2" w:rsidRDefault="00107A28" w:rsidP="00947A3D">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Duke focuses</w:t>
      </w:r>
      <w:r w:rsidR="006F46D2" w:rsidRPr="006F46D2">
        <w:rPr>
          <w:rStyle w:val="ssrfcpassagedeactivated"/>
          <w:rFonts w:ascii="Times New Roman" w:hAnsi="Times New Roman" w:cs="Times New Roman"/>
          <w:sz w:val="24"/>
          <w:szCs w:val="24"/>
        </w:rPr>
        <w:t xml:space="preserve"> on </w:t>
      </w:r>
      <w:r w:rsidRPr="006F46D2">
        <w:rPr>
          <w:rStyle w:val="ssrfcpassagedeactivated"/>
          <w:rFonts w:ascii="Times New Roman" w:hAnsi="Times New Roman" w:cs="Times New Roman"/>
          <w:sz w:val="24"/>
          <w:szCs w:val="24"/>
        </w:rPr>
        <w:t>on</w:t>
      </w:r>
      <w:r w:rsidR="00E768A0" w:rsidRPr="006F46D2">
        <w:rPr>
          <w:rStyle w:val="ssrfcpassagedeactivated"/>
          <w:rFonts w:ascii="Times New Roman" w:hAnsi="Times New Roman" w:cs="Times New Roman"/>
          <w:sz w:val="24"/>
          <w:szCs w:val="24"/>
        </w:rPr>
        <w:t>e</w:t>
      </w:r>
      <w:r w:rsidRPr="006F46D2">
        <w:rPr>
          <w:rStyle w:val="ssrfcpassagedeactivated"/>
          <w:rFonts w:ascii="Times New Roman" w:hAnsi="Times New Roman" w:cs="Times New Roman"/>
          <w:sz w:val="24"/>
          <w:szCs w:val="24"/>
        </w:rPr>
        <w:t xml:space="preserve"> similar</w:t>
      </w:r>
      <w:r w:rsidR="002240A1">
        <w:rPr>
          <w:rStyle w:val="ssrfcpassagedeactivated"/>
          <w:rFonts w:ascii="Times New Roman" w:hAnsi="Times New Roman" w:cs="Times New Roman"/>
          <w:sz w:val="24"/>
          <w:szCs w:val="24"/>
        </w:rPr>
        <w:t>i</w:t>
      </w:r>
      <w:r w:rsidRPr="006F46D2">
        <w:rPr>
          <w:rStyle w:val="ssrfcpassagedeactivated"/>
          <w:rFonts w:ascii="Times New Roman" w:hAnsi="Times New Roman" w:cs="Times New Roman"/>
          <w:sz w:val="24"/>
          <w:szCs w:val="24"/>
        </w:rPr>
        <w:t>ty be</w:t>
      </w:r>
      <w:r w:rsidR="002240A1">
        <w:rPr>
          <w:rStyle w:val="ssrfcpassagedeactivated"/>
          <w:rFonts w:ascii="Times New Roman" w:hAnsi="Times New Roman" w:cs="Times New Roman"/>
          <w:sz w:val="24"/>
          <w:szCs w:val="24"/>
        </w:rPr>
        <w:t xml:space="preserve">tween it and AEP Ohio—both are </w:t>
      </w:r>
      <w:r w:rsidRPr="006F46D2">
        <w:rPr>
          <w:rStyle w:val="ssrfcpassagedeactivated"/>
          <w:rFonts w:ascii="Times New Roman" w:hAnsi="Times New Roman" w:cs="Times New Roman"/>
          <w:sz w:val="24"/>
          <w:szCs w:val="24"/>
        </w:rPr>
        <w:t>FRR entities.</w:t>
      </w:r>
      <w:r w:rsidRPr="006F46D2">
        <w:rPr>
          <w:rStyle w:val="FootnoteReference"/>
          <w:rFonts w:ascii="Times New Roman" w:hAnsi="Times New Roman" w:cs="Times New Roman"/>
          <w:sz w:val="24"/>
          <w:szCs w:val="24"/>
        </w:rPr>
        <w:footnoteReference w:id="161"/>
      </w:r>
      <w:r w:rsidRPr="006F46D2">
        <w:rPr>
          <w:rStyle w:val="ssrfcpassagedeactivated"/>
          <w:rFonts w:ascii="Times New Roman" w:hAnsi="Times New Roman" w:cs="Times New Roman"/>
          <w:sz w:val="24"/>
          <w:szCs w:val="24"/>
        </w:rPr>
        <w:t xml:space="preserve">  </w:t>
      </w:r>
      <w:r w:rsidR="00E768A0" w:rsidRPr="006F46D2">
        <w:rPr>
          <w:rStyle w:val="ssrfcpassagedeactivated"/>
          <w:rFonts w:ascii="Times New Roman" w:hAnsi="Times New Roman" w:cs="Times New Roman"/>
          <w:sz w:val="24"/>
          <w:szCs w:val="24"/>
        </w:rPr>
        <w:t xml:space="preserve">Duke seems to believe that </w:t>
      </w:r>
      <w:r w:rsidRPr="006F46D2">
        <w:rPr>
          <w:rStyle w:val="ssrfcpassagedeactivated"/>
          <w:rFonts w:ascii="Times New Roman" w:hAnsi="Times New Roman" w:cs="Times New Roman"/>
          <w:sz w:val="24"/>
          <w:szCs w:val="24"/>
        </w:rPr>
        <w:t xml:space="preserve">that because both Ohio utilities are FRR entities </w:t>
      </w:r>
      <w:r w:rsidR="00E768A0" w:rsidRPr="006F46D2">
        <w:rPr>
          <w:rStyle w:val="ssrfcpassagedeactivated"/>
          <w:rFonts w:ascii="Times New Roman" w:hAnsi="Times New Roman" w:cs="Times New Roman"/>
          <w:sz w:val="24"/>
          <w:szCs w:val="24"/>
        </w:rPr>
        <w:t>they both should receive exactly the same regulatory treatment.  This simplistic notion is no</w:t>
      </w:r>
      <w:r w:rsidR="0070663A">
        <w:rPr>
          <w:rStyle w:val="ssrfcpassagedeactivated"/>
          <w:rFonts w:ascii="Times New Roman" w:hAnsi="Times New Roman" w:cs="Times New Roman"/>
          <w:sz w:val="24"/>
          <w:szCs w:val="24"/>
        </w:rPr>
        <w:t>t sufficient to support a claim</w:t>
      </w:r>
      <w:r w:rsidR="00E768A0" w:rsidRPr="006F46D2">
        <w:rPr>
          <w:rStyle w:val="ssrfcpassagedeactivated"/>
          <w:rFonts w:ascii="Times New Roman" w:hAnsi="Times New Roman" w:cs="Times New Roman"/>
          <w:sz w:val="24"/>
          <w:szCs w:val="24"/>
        </w:rPr>
        <w:t xml:space="preserve"> for similar treatment under the equal protection clauses.  </w:t>
      </w:r>
    </w:p>
    <w:p w:rsidR="009813BD" w:rsidRPr="00E00CAA" w:rsidRDefault="00E768A0" w:rsidP="00947A3D">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 xml:space="preserve">While it is true that Duke and AEP Ohio are both FRR entities, there are </w:t>
      </w:r>
      <w:proofErr w:type="gramStart"/>
      <w:r w:rsidRPr="006F46D2">
        <w:rPr>
          <w:rStyle w:val="ssrfcpassagedeactivated"/>
          <w:rFonts w:ascii="Times New Roman" w:hAnsi="Times New Roman" w:cs="Times New Roman"/>
          <w:sz w:val="24"/>
          <w:szCs w:val="24"/>
        </w:rPr>
        <w:t>many</w:t>
      </w:r>
      <w:r w:rsidR="002240A1">
        <w:rPr>
          <w:rStyle w:val="ssrfcpassagedeactivated"/>
          <w:rFonts w:ascii="Times New Roman" w:hAnsi="Times New Roman" w:cs="Times New Roman"/>
          <w:sz w:val="24"/>
          <w:szCs w:val="24"/>
        </w:rPr>
        <w:t xml:space="preserve"> </w:t>
      </w:r>
      <w:r w:rsidR="0070663A">
        <w:rPr>
          <w:rStyle w:val="ssrfcpassagedeactivated"/>
          <w:rFonts w:ascii="Times New Roman" w:hAnsi="Times New Roman" w:cs="Times New Roman"/>
          <w:sz w:val="24"/>
          <w:szCs w:val="24"/>
        </w:rPr>
        <w:t>d</w:t>
      </w:r>
      <w:r w:rsidRPr="006F46D2">
        <w:rPr>
          <w:rStyle w:val="ssrfcpassagedeactivated"/>
          <w:rFonts w:ascii="Times New Roman" w:hAnsi="Times New Roman" w:cs="Times New Roman"/>
          <w:sz w:val="24"/>
          <w:szCs w:val="24"/>
        </w:rPr>
        <w:t>i</w:t>
      </w:r>
      <w:r w:rsidR="002240A1">
        <w:rPr>
          <w:rStyle w:val="ssrfcpassagedeactivated"/>
          <w:rFonts w:ascii="Times New Roman" w:hAnsi="Times New Roman" w:cs="Times New Roman"/>
          <w:sz w:val="24"/>
          <w:szCs w:val="24"/>
        </w:rPr>
        <w:t>s</w:t>
      </w:r>
      <w:r w:rsidRPr="006F46D2">
        <w:rPr>
          <w:rStyle w:val="ssrfcpassagedeactivated"/>
          <w:rFonts w:ascii="Times New Roman" w:hAnsi="Times New Roman" w:cs="Times New Roman"/>
          <w:sz w:val="24"/>
          <w:szCs w:val="24"/>
        </w:rPr>
        <w:t>similarities</w:t>
      </w:r>
      <w:proofErr w:type="gramEnd"/>
      <w:r w:rsidR="00B3116B">
        <w:rPr>
          <w:rStyle w:val="ssrfcpassagedeactivated"/>
          <w:rFonts w:ascii="Times New Roman" w:hAnsi="Times New Roman" w:cs="Times New Roman"/>
          <w:sz w:val="24"/>
          <w:szCs w:val="24"/>
        </w:rPr>
        <w:t xml:space="preserve">, as discussed </w:t>
      </w:r>
      <w:r w:rsidR="007C6E59">
        <w:rPr>
          <w:rStyle w:val="ssrfcpassagedeactivated"/>
          <w:rFonts w:ascii="Times New Roman" w:hAnsi="Times New Roman" w:cs="Times New Roman"/>
          <w:sz w:val="24"/>
          <w:szCs w:val="24"/>
        </w:rPr>
        <w:t>supra that</w:t>
      </w:r>
      <w:r w:rsidRPr="006F46D2">
        <w:rPr>
          <w:rStyle w:val="ssrfcpassagedeactivated"/>
          <w:rFonts w:ascii="Times New Roman" w:hAnsi="Times New Roman" w:cs="Times New Roman"/>
          <w:sz w:val="24"/>
          <w:szCs w:val="24"/>
        </w:rPr>
        <w:t xml:space="preserve"> can form a reasonable basis for different treatment.  </w:t>
      </w:r>
      <w:r w:rsidR="00EC74F6" w:rsidRPr="006F46D2">
        <w:rPr>
          <w:rStyle w:val="ssrfcpassagedeactivated"/>
          <w:rFonts w:ascii="Times New Roman" w:hAnsi="Times New Roman" w:cs="Times New Roman"/>
          <w:sz w:val="24"/>
          <w:szCs w:val="24"/>
        </w:rPr>
        <w:t xml:space="preserve">The </w:t>
      </w:r>
      <w:r w:rsidR="00EC74F6" w:rsidRPr="006F46D2">
        <w:rPr>
          <w:rStyle w:val="sh2536451215"/>
          <w:rFonts w:ascii="Times New Roman" w:hAnsi="Times New Roman" w:cs="Times New Roman"/>
          <w:sz w:val="24"/>
          <w:szCs w:val="24"/>
        </w:rPr>
        <w:t>Equal Protection Clause</w:t>
      </w:r>
      <w:r w:rsidR="00EC74F6" w:rsidRPr="006F46D2">
        <w:rPr>
          <w:rStyle w:val="ssrfcpassagedeactivated"/>
          <w:rFonts w:ascii="Times New Roman" w:hAnsi="Times New Roman" w:cs="Times New Roman"/>
          <w:sz w:val="24"/>
          <w:szCs w:val="24"/>
        </w:rPr>
        <w:t xml:space="preserve"> "* * * imposes no iron rule of equality***.” </w:t>
      </w:r>
      <w:proofErr w:type="gramStart"/>
      <w:r w:rsidR="00EC74F6" w:rsidRPr="006F46D2">
        <w:rPr>
          <w:rStyle w:val="ssit"/>
          <w:rFonts w:ascii="Times New Roman" w:hAnsi="Times New Roman" w:cs="Times New Roman"/>
          <w:i/>
          <w:sz w:val="24"/>
          <w:szCs w:val="24"/>
        </w:rPr>
        <w:t>Allied Stores</w:t>
      </w:r>
      <w:r w:rsidR="00EC74F6" w:rsidRPr="006F46D2">
        <w:rPr>
          <w:rStyle w:val="ssrfcpassagedeactivated"/>
          <w:rFonts w:ascii="Times New Roman" w:hAnsi="Times New Roman" w:cs="Times New Roman"/>
          <w:i/>
          <w:sz w:val="24"/>
          <w:szCs w:val="24"/>
        </w:rPr>
        <w:t xml:space="preserve"> </w:t>
      </w:r>
      <w:r w:rsidR="00EC74F6" w:rsidRPr="006F46D2">
        <w:rPr>
          <w:rStyle w:val="ssit"/>
          <w:rFonts w:ascii="Times New Roman" w:hAnsi="Times New Roman" w:cs="Times New Roman"/>
          <w:i/>
          <w:sz w:val="24"/>
          <w:szCs w:val="24"/>
        </w:rPr>
        <w:t xml:space="preserve">of Ohio, Inc. </w:t>
      </w:r>
      <w:r w:rsidR="00EC74F6" w:rsidRPr="006F46D2">
        <w:rPr>
          <w:rStyle w:val="ssrfcpassagedeactivated"/>
          <w:rFonts w:ascii="Times New Roman" w:hAnsi="Times New Roman" w:cs="Times New Roman"/>
          <w:i/>
          <w:sz w:val="24"/>
          <w:szCs w:val="24"/>
        </w:rPr>
        <w:t>v</w:t>
      </w:r>
      <w:r w:rsidR="00EC74F6" w:rsidRPr="006F46D2">
        <w:rPr>
          <w:rStyle w:val="ssit"/>
          <w:rFonts w:ascii="Times New Roman" w:hAnsi="Times New Roman" w:cs="Times New Roman"/>
          <w:i/>
          <w:sz w:val="24"/>
          <w:szCs w:val="24"/>
        </w:rPr>
        <w:t>. Bowers</w:t>
      </w:r>
      <w:r w:rsidR="00EC74F6" w:rsidRPr="006F46D2">
        <w:rPr>
          <w:rStyle w:val="ssrfcpassagedeactivated"/>
          <w:rFonts w:ascii="Times New Roman" w:hAnsi="Times New Roman" w:cs="Times New Roman"/>
          <w:sz w:val="24"/>
          <w:szCs w:val="24"/>
        </w:rPr>
        <w:t xml:space="preserve"> (</w:t>
      </w:r>
      <w:r w:rsidR="00EC74F6" w:rsidRPr="00E00CAA">
        <w:rPr>
          <w:rStyle w:val="ssrfcpassagedeactivated"/>
          <w:rFonts w:ascii="Times New Roman" w:hAnsi="Times New Roman" w:cs="Times New Roman"/>
          <w:sz w:val="24"/>
          <w:szCs w:val="24"/>
        </w:rPr>
        <w:t xml:space="preserve">1959), </w:t>
      </w:r>
      <w:hyperlink r:id="rId21" w:history="1">
        <w:r w:rsidR="00EC74F6" w:rsidRPr="00C23155">
          <w:rPr>
            <w:rStyle w:val="Hyperlink"/>
            <w:rFonts w:ascii="Times New Roman" w:hAnsi="Times New Roman"/>
            <w:color w:val="auto"/>
            <w:sz w:val="24"/>
          </w:rPr>
          <w:t>358 U.S. 522, 526</w:t>
        </w:r>
      </w:hyperlink>
      <w:r w:rsidR="00EC74F6" w:rsidRPr="00E00CAA">
        <w:rPr>
          <w:rStyle w:val="ssrfcpassagedeactivated"/>
          <w:rFonts w:ascii="Times New Roman" w:hAnsi="Times New Roman" w:cs="Times New Roman"/>
          <w:sz w:val="24"/>
          <w:szCs w:val="24"/>
        </w:rPr>
        <w:t>.</w:t>
      </w:r>
      <w:proofErr w:type="gramEnd"/>
      <w:r w:rsidR="00EC74F6" w:rsidRPr="00E00CAA">
        <w:rPr>
          <w:rStyle w:val="ssrfcpassagedeactivated"/>
          <w:rFonts w:ascii="Times New Roman" w:hAnsi="Times New Roman" w:cs="Times New Roman"/>
          <w:sz w:val="24"/>
          <w:szCs w:val="24"/>
        </w:rPr>
        <w:t xml:space="preserve">  </w:t>
      </w:r>
      <w:r w:rsidR="00EC74F6" w:rsidRPr="006F46D2">
        <w:rPr>
          <w:rStyle w:val="ssrfcpassagedeactivated"/>
          <w:rFonts w:ascii="Times New Roman" w:hAnsi="Times New Roman" w:cs="Times New Roman"/>
          <w:sz w:val="24"/>
          <w:szCs w:val="24"/>
        </w:rPr>
        <w:t>U</w:t>
      </w:r>
      <w:r w:rsidRPr="006F46D2">
        <w:rPr>
          <w:rStyle w:val="ssrfcpassagedeactivated"/>
          <w:rFonts w:ascii="Times New Roman" w:hAnsi="Times New Roman" w:cs="Times New Roman"/>
          <w:sz w:val="24"/>
          <w:szCs w:val="24"/>
        </w:rPr>
        <w:t>nder the law where there is no “suspect classification”</w:t>
      </w:r>
      <w:r w:rsidR="00EC74F6" w:rsidRPr="006F46D2">
        <w:rPr>
          <w:rStyle w:val="ssrfcpassagedeactivated"/>
          <w:rFonts w:ascii="Times New Roman" w:hAnsi="Times New Roman" w:cs="Times New Roman"/>
          <w:sz w:val="24"/>
          <w:szCs w:val="24"/>
        </w:rPr>
        <w:t xml:space="preserve"> the </w:t>
      </w:r>
      <w:r w:rsidR="006F46D2" w:rsidRPr="006F46D2">
        <w:rPr>
          <w:rStyle w:val="ssrfcpassagedeactivated"/>
          <w:rFonts w:ascii="Times New Roman" w:hAnsi="Times New Roman" w:cs="Times New Roman"/>
          <w:sz w:val="24"/>
          <w:szCs w:val="24"/>
        </w:rPr>
        <w:t xml:space="preserve">dissimilar </w:t>
      </w:r>
      <w:r w:rsidR="00EC74F6" w:rsidRPr="006F46D2">
        <w:rPr>
          <w:rStyle w:val="ssrfcpassagedeactivated"/>
          <w:rFonts w:ascii="Times New Roman" w:hAnsi="Times New Roman" w:cs="Times New Roman"/>
          <w:sz w:val="24"/>
          <w:szCs w:val="24"/>
        </w:rPr>
        <w:t>treatment need only have a reasonable basis to withstand constitutional challenge.</w:t>
      </w:r>
      <w:r w:rsidR="00EC74F6" w:rsidRPr="006F46D2">
        <w:rPr>
          <w:rStyle w:val="FootnoteReference"/>
          <w:rFonts w:ascii="Times New Roman" w:hAnsi="Times New Roman" w:cs="Times New Roman"/>
          <w:sz w:val="24"/>
          <w:szCs w:val="24"/>
        </w:rPr>
        <w:footnoteReference w:id="162"/>
      </w:r>
      <w:r w:rsidR="00EC74F6" w:rsidRPr="006F46D2">
        <w:rPr>
          <w:rStyle w:val="ssrfcpassagedeactivated"/>
          <w:rFonts w:ascii="Times New Roman" w:hAnsi="Times New Roman" w:cs="Times New Roman"/>
          <w:sz w:val="24"/>
          <w:szCs w:val="24"/>
        </w:rPr>
        <w:t xml:space="preserve">  </w:t>
      </w:r>
      <w:r w:rsidR="00EC74F6" w:rsidRPr="006F46D2">
        <w:rPr>
          <w:rStyle w:val="ssib"/>
          <w:rFonts w:ascii="Times New Roman" w:hAnsi="Times New Roman" w:cs="Times New Roman"/>
          <w:sz w:val="24"/>
          <w:szCs w:val="24"/>
        </w:rPr>
        <w:t> </w:t>
      </w:r>
      <w:r w:rsidR="00EC74F6" w:rsidRPr="006F46D2">
        <w:rPr>
          <w:rStyle w:val="ssrfcpassagedeactivated"/>
          <w:rFonts w:ascii="Times New Roman" w:hAnsi="Times New Roman" w:cs="Times New Roman"/>
          <w:sz w:val="24"/>
          <w:szCs w:val="24"/>
        </w:rPr>
        <w:t>The constitution</w:t>
      </w:r>
      <w:r w:rsidR="00D371FA" w:rsidRPr="006F46D2">
        <w:rPr>
          <w:rStyle w:val="ssrfcpassagedeactivated"/>
          <w:rFonts w:ascii="Times New Roman" w:hAnsi="Times New Roman" w:cs="Times New Roman"/>
          <w:sz w:val="24"/>
          <w:szCs w:val="24"/>
        </w:rPr>
        <w:t xml:space="preserve"> i</w:t>
      </w:r>
      <w:r w:rsidR="006F46D2" w:rsidRPr="006F46D2">
        <w:rPr>
          <w:rStyle w:val="ssrfcpassagedeactivated"/>
          <w:rFonts w:ascii="Times New Roman" w:hAnsi="Times New Roman" w:cs="Times New Roman"/>
          <w:sz w:val="24"/>
          <w:szCs w:val="24"/>
        </w:rPr>
        <w:t>s</w:t>
      </w:r>
      <w:r w:rsidR="00D371FA" w:rsidRPr="006F46D2">
        <w:rPr>
          <w:rStyle w:val="ssrfcpassagedeactivated"/>
          <w:rFonts w:ascii="Times New Roman" w:hAnsi="Times New Roman" w:cs="Times New Roman"/>
          <w:sz w:val="24"/>
          <w:szCs w:val="24"/>
        </w:rPr>
        <w:t xml:space="preserve"> violated “</w:t>
      </w:r>
      <w:r w:rsidR="00EC74F6" w:rsidRPr="006F46D2">
        <w:rPr>
          <w:rStyle w:val="ssrfcpassagedeactivated"/>
          <w:rFonts w:ascii="Times New Roman" w:hAnsi="Times New Roman" w:cs="Times New Roman"/>
          <w:sz w:val="24"/>
          <w:szCs w:val="24"/>
        </w:rPr>
        <w:t xml:space="preserve">only if the </w:t>
      </w:r>
      <w:r w:rsidR="00EC74F6" w:rsidRPr="006F46D2">
        <w:rPr>
          <w:rStyle w:val="ssrfcpassagedeactivated"/>
          <w:rFonts w:ascii="Times New Roman" w:hAnsi="Times New Roman" w:cs="Times New Roman"/>
          <w:sz w:val="24"/>
          <w:szCs w:val="24"/>
        </w:rPr>
        <w:lastRenderedPageBreak/>
        <w:t xml:space="preserve">classification </w:t>
      </w:r>
      <w:r w:rsidR="00D371FA" w:rsidRPr="006F46D2">
        <w:rPr>
          <w:rStyle w:val="ssrfcpassagedeactivated"/>
          <w:rFonts w:ascii="Times New Roman" w:hAnsi="Times New Roman" w:cs="Times New Roman"/>
          <w:sz w:val="24"/>
          <w:szCs w:val="24"/>
        </w:rPr>
        <w:t xml:space="preserve">[treatment] </w:t>
      </w:r>
      <w:r w:rsidR="00EC74F6" w:rsidRPr="006F46D2">
        <w:rPr>
          <w:rStyle w:val="ssrfcpassagedeactivated"/>
          <w:rFonts w:ascii="Times New Roman" w:hAnsi="Times New Roman" w:cs="Times New Roman"/>
          <w:sz w:val="24"/>
          <w:szCs w:val="24"/>
        </w:rPr>
        <w:t xml:space="preserve">rests on grounds wholly irrelevant to the achievement of the State's objective. </w:t>
      </w:r>
      <w:r w:rsidR="00E2624D">
        <w:rPr>
          <w:rStyle w:val="ssrfcpassagedeactivated"/>
          <w:rFonts w:ascii="Times New Roman" w:hAnsi="Times New Roman" w:cs="Times New Roman"/>
          <w:sz w:val="24"/>
          <w:szCs w:val="24"/>
        </w:rPr>
        <w:t xml:space="preserve"> </w:t>
      </w:r>
      <w:r w:rsidR="00EC74F6" w:rsidRPr="006F46D2">
        <w:rPr>
          <w:rStyle w:val="ssrfcpassagedeactivated"/>
          <w:rFonts w:ascii="Times New Roman" w:hAnsi="Times New Roman" w:cs="Times New Roman"/>
          <w:sz w:val="24"/>
          <w:szCs w:val="24"/>
        </w:rPr>
        <w:t xml:space="preserve">State legislatures are presumed to have acted within their constitutional power despite the fact that, in practice, their laws result in some inequality. </w:t>
      </w:r>
      <w:r w:rsidR="00E2624D">
        <w:rPr>
          <w:rStyle w:val="ssrfcpassagedeactivated"/>
          <w:rFonts w:ascii="Times New Roman" w:hAnsi="Times New Roman" w:cs="Times New Roman"/>
          <w:sz w:val="24"/>
          <w:szCs w:val="24"/>
        </w:rPr>
        <w:t xml:space="preserve"> </w:t>
      </w:r>
      <w:r w:rsidR="00EC74F6" w:rsidRPr="006F46D2">
        <w:rPr>
          <w:rStyle w:val="ssrfcpassagedeactivated"/>
          <w:rFonts w:ascii="Times New Roman" w:hAnsi="Times New Roman" w:cs="Times New Roman"/>
          <w:sz w:val="24"/>
          <w:szCs w:val="24"/>
        </w:rPr>
        <w:t xml:space="preserve">A statutory discrimination will not be set aside </w:t>
      </w:r>
      <w:r w:rsidR="00D371FA" w:rsidRPr="006F46D2">
        <w:rPr>
          <w:rStyle w:val="ssrfcpassagedeactivated"/>
          <w:rFonts w:ascii="Times New Roman" w:hAnsi="Times New Roman" w:cs="Times New Roman"/>
          <w:sz w:val="24"/>
          <w:szCs w:val="24"/>
        </w:rPr>
        <w:t>i</w:t>
      </w:r>
      <w:r w:rsidR="00EC74F6" w:rsidRPr="006F46D2">
        <w:rPr>
          <w:rStyle w:val="ssrfcpassagedeactivated"/>
          <w:rFonts w:ascii="Times New Roman" w:hAnsi="Times New Roman" w:cs="Times New Roman"/>
          <w:sz w:val="24"/>
          <w:szCs w:val="24"/>
        </w:rPr>
        <w:t>f any state of facts reasonably may be conceived to justify it * * *."</w:t>
      </w:r>
      <w:r w:rsidR="00947A3D">
        <w:rPr>
          <w:rStyle w:val="ssrfcpassagedeactivated"/>
          <w:rFonts w:ascii="Times New Roman" w:hAnsi="Times New Roman" w:cs="Times New Roman"/>
          <w:sz w:val="24"/>
          <w:szCs w:val="24"/>
        </w:rPr>
        <w:t xml:space="preserve"> </w:t>
      </w:r>
      <w:r w:rsidR="00EC74F6" w:rsidRPr="006F46D2">
        <w:rPr>
          <w:rStyle w:val="ssrfcpassagedeactivated"/>
          <w:rFonts w:ascii="Times New Roman" w:hAnsi="Times New Roman" w:cs="Times New Roman"/>
          <w:sz w:val="24"/>
          <w:szCs w:val="24"/>
        </w:rPr>
        <w:t xml:space="preserve"> </w:t>
      </w:r>
      <w:proofErr w:type="gramStart"/>
      <w:r w:rsidR="00EC74F6" w:rsidRPr="006F46D2">
        <w:rPr>
          <w:rStyle w:val="ssrfcpassagedeactivated"/>
          <w:rFonts w:ascii="Times New Roman" w:hAnsi="Times New Roman" w:cs="Times New Roman"/>
          <w:i/>
          <w:sz w:val="24"/>
          <w:szCs w:val="24"/>
        </w:rPr>
        <w:t>McGowan v. Maryland</w:t>
      </w:r>
      <w:r w:rsidR="00EC74F6" w:rsidRPr="00E00CAA">
        <w:rPr>
          <w:rStyle w:val="ssrfcpassagedeactivated"/>
          <w:rFonts w:ascii="Times New Roman" w:hAnsi="Times New Roman" w:cs="Times New Roman"/>
          <w:sz w:val="24"/>
          <w:szCs w:val="24"/>
        </w:rPr>
        <w:t xml:space="preserve">, </w:t>
      </w:r>
      <w:hyperlink r:id="rId22" w:history="1">
        <w:r w:rsidR="00EC74F6" w:rsidRPr="00C23155">
          <w:rPr>
            <w:rStyle w:val="Hyperlink"/>
            <w:rFonts w:ascii="Times New Roman" w:hAnsi="Times New Roman"/>
            <w:color w:val="auto"/>
            <w:sz w:val="24"/>
          </w:rPr>
          <w:t>366 U.S. 420, 424-25 (1961)</w:t>
        </w:r>
      </w:hyperlink>
      <w:r w:rsidR="00EC74F6" w:rsidRPr="00E00CAA">
        <w:rPr>
          <w:rStyle w:val="ssrfcpassagedeactivated"/>
          <w:rFonts w:ascii="Times New Roman" w:hAnsi="Times New Roman" w:cs="Times New Roman"/>
          <w:sz w:val="24"/>
          <w:szCs w:val="24"/>
        </w:rPr>
        <w:t>.</w:t>
      </w:r>
      <w:proofErr w:type="gramEnd"/>
      <w:r w:rsidR="00EC74F6" w:rsidRPr="00E00CAA">
        <w:rPr>
          <w:rStyle w:val="ssrfcpassagedeactivated"/>
          <w:rFonts w:ascii="Times New Roman" w:hAnsi="Times New Roman" w:cs="Times New Roman"/>
          <w:sz w:val="24"/>
          <w:szCs w:val="24"/>
        </w:rPr>
        <w:t xml:space="preserve"> </w:t>
      </w:r>
      <w:r w:rsidR="00947A3D">
        <w:rPr>
          <w:rStyle w:val="ssrfcpassagedeactivated"/>
          <w:rFonts w:ascii="Times New Roman" w:hAnsi="Times New Roman" w:cs="Times New Roman"/>
          <w:sz w:val="24"/>
          <w:szCs w:val="24"/>
        </w:rPr>
        <w:t xml:space="preserve"> </w:t>
      </w:r>
      <w:r w:rsidR="00EC74F6" w:rsidRPr="00E00CAA">
        <w:rPr>
          <w:rStyle w:val="ssrfcpassagedeactivated"/>
          <w:rFonts w:ascii="Times New Roman" w:hAnsi="Times New Roman" w:cs="Times New Roman"/>
          <w:sz w:val="24"/>
          <w:szCs w:val="24"/>
        </w:rPr>
        <w:t>See</w:t>
      </w:r>
      <w:r w:rsidR="006F46D2" w:rsidRPr="00E00CAA">
        <w:rPr>
          <w:rStyle w:val="ssrfcpassagedeactivated"/>
          <w:rFonts w:ascii="Times New Roman" w:hAnsi="Times New Roman" w:cs="Times New Roman"/>
          <w:sz w:val="24"/>
          <w:szCs w:val="24"/>
        </w:rPr>
        <w:t>,</w:t>
      </w:r>
      <w:r w:rsidR="00EC74F6" w:rsidRPr="00E73768">
        <w:rPr>
          <w:rStyle w:val="ssrfcpassagedeactivated"/>
          <w:rFonts w:ascii="Times New Roman" w:hAnsi="Times New Roman" w:cs="Times New Roman"/>
          <w:sz w:val="24"/>
          <w:szCs w:val="24"/>
        </w:rPr>
        <w:t xml:space="preserve"> also, </w:t>
      </w:r>
      <w:r w:rsidR="00EC74F6" w:rsidRPr="00E73768">
        <w:rPr>
          <w:rStyle w:val="ssrfcpassagedeactivated"/>
          <w:rFonts w:ascii="Times New Roman" w:hAnsi="Times New Roman" w:cs="Times New Roman"/>
          <w:i/>
          <w:sz w:val="24"/>
          <w:szCs w:val="24"/>
        </w:rPr>
        <w:t>People v. Valdez</w:t>
      </w:r>
      <w:r w:rsidR="00EC74F6" w:rsidRPr="00E73768">
        <w:rPr>
          <w:rStyle w:val="ssrfcpassagedeactivated"/>
          <w:rFonts w:ascii="Times New Roman" w:hAnsi="Times New Roman" w:cs="Times New Roman"/>
          <w:sz w:val="24"/>
          <w:szCs w:val="24"/>
        </w:rPr>
        <w:t xml:space="preserve">, </w:t>
      </w:r>
      <w:hyperlink r:id="rId23" w:history="1">
        <w:r w:rsidR="00EC74F6" w:rsidRPr="00C23155">
          <w:rPr>
            <w:rStyle w:val="Hyperlink"/>
            <w:rFonts w:ascii="Times New Roman" w:hAnsi="Times New Roman"/>
            <w:color w:val="auto"/>
            <w:sz w:val="24"/>
          </w:rPr>
          <w:t>402 N</w:t>
        </w:r>
        <w:r w:rsidR="006F46D2" w:rsidRPr="00C23155">
          <w:rPr>
            <w:rStyle w:val="Hyperlink"/>
            <w:rFonts w:ascii="Times New Roman" w:hAnsi="Times New Roman"/>
            <w:color w:val="auto"/>
            <w:sz w:val="24"/>
          </w:rPr>
          <w:t>.</w:t>
        </w:r>
        <w:r w:rsidR="00EC74F6" w:rsidRPr="00C23155">
          <w:rPr>
            <w:rStyle w:val="Hyperlink"/>
            <w:rFonts w:ascii="Times New Roman" w:hAnsi="Times New Roman"/>
            <w:color w:val="auto"/>
            <w:sz w:val="24"/>
          </w:rPr>
          <w:t>E</w:t>
        </w:r>
        <w:r w:rsidR="006F46D2" w:rsidRPr="00C23155">
          <w:rPr>
            <w:rStyle w:val="Hyperlink"/>
            <w:rFonts w:ascii="Times New Roman" w:hAnsi="Times New Roman"/>
            <w:color w:val="auto"/>
            <w:sz w:val="24"/>
          </w:rPr>
          <w:t>.</w:t>
        </w:r>
        <w:r w:rsidR="00EC74F6" w:rsidRPr="00C23155">
          <w:rPr>
            <w:rStyle w:val="Hyperlink"/>
            <w:rFonts w:ascii="Times New Roman" w:hAnsi="Times New Roman"/>
            <w:color w:val="auto"/>
            <w:sz w:val="24"/>
          </w:rPr>
          <w:t>2d 187 (Ill. 1980)</w:t>
        </w:r>
      </w:hyperlink>
      <w:r w:rsidR="00EC74F6" w:rsidRPr="00E00CAA">
        <w:rPr>
          <w:rStyle w:val="ssrfcpassagedeactivated"/>
          <w:rFonts w:ascii="Times New Roman" w:hAnsi="Times New Roman" w:cs="Times New Roman"/>
          <w:sz w:val="24"/>
          <w:szCs w:val="24"/>
        </w:rPr>
        <w:t>.</w:t>
      </w:r>
    </w:p>
    <w:p w:rsidR="00E509B4" w:rsidRPr="006F46D2" w:rsidRDefault="009813BD" w:rsidP="00947A3D">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Here, as discussed in detail in OCC’s initial brief</w:t>
      </w:r>
      <w:r w:rsidR="00573E06" w:rsidRPr="006F46D2">
        <w:rPr>
          <w:rStyle w:val="ssrfcpassagedeactivated"/>
          <w:rFonts w:ascii="Times New Roman" w:hAnsi="Times New Roman" w:cs="Times New Roman"/>
          <w:sz w:val="24"/>
          <w:szCs w:val="24"/>
        </w:rPr>
        <w:t>,</w:t>
      </w:r>
      <w:r w:rsidRPr="006F46D2">
        <w:rPr>
          <w:rStyle w:val="FootnoteReference"/>
          <w:rFonts w:ascii="Times New Roman" w:hAnsi="Times New Roman" w:cs="Times New Roman"/>
          <w:sz w:val="24"/>
          <w:szCs w:val="24"/>
        </w:rPr>
        <w:footnoteReference w:id="163"/>
      </w:r>
      <w:r w:rsidR="00D229FC">
        <w:rPr>
          <w:rStyle w:val="ssrfcpassagedeactivated"/>
          <w:rFonts w:ascii="Times New Roman" w:hAnsi="Times New Roman" w:cs="Times New Roman"/>
          <w:sz w:val="24"/>
          <w:szCs w:val="24"/>
        </w:rPr>
        <w:t xml:space="preserve"> </w:t>
      </w:r>
      <w:r w:rsidR="00573E06" w:rsidRPr="006F46D2">
        <w:rPr>
          <w:rStyle w:val="ssrfcpassagedeactivated"/>
          <w:rFonts w:ascii="Times New Roman" w:hAnsi="Times New Roman" w:cs="Times New Roman"/>
          <w:sz w:val="24"/>
          <w:szCs w:val="24"/>
        </w:rPr>
        <w:t>and in the Join Motion to Dismiss</w:t>
      </w:r>
      <w:r w:rsidR="00573E06" w:rsidRPr="006F46D2">
        <w:rPr>
          <w:rStyle w:val="FootnoteReference"/>
          <w:rFonts w:ascii="Times New Roman" w:hAnsi="Times New Roman" w:cs="Times New Roman"/>
          <w:sz w:val="24"/>
          <w:szCs w:val="24"/>
        </w:rPr>
        <w:footnoteReference w:id="164"/>
      </w:r>
      <w:r w:rsidRPr="006F46D2">
        <w:rPr>
          <w:rStyle w:val="ssrfcpassagedeactivated"/>
          <w:rFonts w:ascii="Times New Roman" w:hAnsi="Times New Roman" w:cs="Times New Roman"/>
          <w:sz w:val="24"/>
          <w:szCs w:val="24"/>
        </w:rPr>
        <w:t xml:space="preserve"> </w:t>
      </w:r>
      <w:r w:rsidR="00E2624D">
        <w:rPr>
          <w:rStyle w:val="ssrfcpassagedeactivated"/>
          <w:rFonts w:ascii="Times New Roman" w:hAnsi="Times New Roman" w:cs="Times New Roman"/>
          <w:sz w:val="24"/>
          <w:szCs w:val="24"/>
        </w:rPr>
        <w:t xml:space="preserve"> </w:t>
      </w:r>
      <w:r w:rsidRPr="006F46D2">
        <w:rPr>
          <w:rStyle w:val="ssrfcpassagedeactivated"/>
          <w:rFonts w:ascii="Times New Roman" w:hAnsi="Times New Roman" w:cs="Times New Roman"/>
          <w:sz w:val="24"/>
          <w:szCs w:val="24"/>
        </w:rPr>
        <w:t>AEP Ohio is distinguishable from Duke in many respects</w:t>
      </w:r>
      <w:r w:rsidR="00E509B4" w:rsidRPr="006F46D2">
        <w:rPr>
          <w:rStyle w:val="ssrfcpassagedeactivated"/>
          <w:rFonts w:ascii="Times New Roman" w:hAnsi="Times New Roman" w:cs="Times New Roman"/>
          <w:sz w:val="24"/>
          <w:szCs w:val="24"/>
        </w:rPr>
        <w:t>.  T</w:t>
      </w:r>
      <w:r w:rsidRPr="006F46D2">
        <w:rPr>
          <w:rStyle w:val="ssrfcpassagedeactivated"/>
          <w:rFonts w:ascii="Times New Roman" w:hAnsi="Times New Roman" w:cs="Times New Roman"/>
          <w:sz w:val="24"/>
          <w:szCs w:val="24"/>
        </w:rPr>
        <w:t>hese distinguishing factors form a reasonable basis for</w:t>
      </w:r>
      <w:r w:rsidR="00E509B4" w:rsidRPr="006F46D2">
        <w:rPr>
          <w:rStyle w:val="ssrfcpassagedeactivated"/>
          <w:rFonts w:ascii="Times New Roman" w:hAnsi="Times New Roman" w:cs="Times New Roman"/>
          <w:sz w:val="24"/>
          <w:szCs w:val="24"/>
        </w:rPr>
        <w:t xml:space="preserve"> the PUCO </w:t>
      </w:r>
      <w:r w:rsidR="00E00CAA" w:rsidRPr="006F46D2">
        <w:rPr>
          <w:rStyle w:val="ssrfcpassagedeactivated"/>
          <w:rFonts w:ascii="Times New Roman" w:hAnsi="Times New Roman" w:cs="Times New Roman"/>
          <w:sz w:val="24"/>
          <w:szCs w:val="24"/>
        </w:rPr>
        <w:t>to treat</w:t>
      </w:r>
      <w:r w:rsidRPr="006F46D2">
        <w:rPr>
          <w:rStyle w:val="ssrfcpassagedeactivated"/>
          <w:rFonts w:ascii="Times New Roman" w:hAnsi="Times New Roman" w:cs="Times New Roman"/>
          <w:sz w:val="24"/>
          <w:szCs w:val="24"/>
        </w:rPr>
        <w:t xml:space="preserve"> Duke differently than AEP Ohio. </w:t>
      </w:r>
      <w:r w:rsidR="00E509B4" w:rsidRPr="006F46D2">
        <w:rPr>
          <w:rStyle w:val="ssrfcpassagedeactivated"/>
          <w:rFonts w:ascii="Times New Roman" w:hAnsi="Times New Roman" w:cs="Times New Roman"/>
          <w:sz w:val="24"/>
          <w:szCs w:val="24"/>
        </w:rPr>
        <w:t xml:space="preserve"> </w:t>
      </w:r>
      <w:r w:rsidR="00B3116B">
        <w:rPr>
          <w:rStyle w:val="ssrfcpassagedeactivated"/>
          <w:rFonts w:ascii="Times New Roman" w:hAnsi="Times New Roman" w:cs="Times New Roman"/>
          <w:sz w:val="24"/>
          <w:szCs w:val="24"/>
        </w:rPr>
        <w:t>See discussion supra.</w:t>
      </w:r>
    </w:p>
    <w:p w:rsidR="00D229FC" w:rsidRDefault="00E509B4" w:rsidP="00947A3D">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The most formidable distinction relates to Duke’s pursuit (or non-pursuit)</w:t>
      </w:r>
      <w:r w:rsidR="00D31B12" w:rsidRPr="006F46D2">
        <w:rPr>
          <w:rStyle w:val="ssrfcpassagedeactivated"/>
          <w:rFonts w:ascii="Times New Roman" w:hAnsi="Times New Roman" w:cs="Times New Roman"/>
          <w:sz w:val="24"/>
          <w:szCs w:val="24"/>
        </w:rPr>
        <w:t xml:space="preserve"> of cost based capacity for its FRR obligation over the past </w:t>
      </w:r>
      <w:r w:rsidR="00E00CAA" w:rsidRPr="006F46D2">
        <w:rPr>
          <w:rStyle w:val="ssrfcpassagedeactivated"/>
          <w:rFonts w:ascii="Times New Roman" w:hAnsi="Times New Roman" w:cs="Times New Roman"/>
          <w:sz w:val="24"/>
          <w:szCs w:val="24"/>
        </w:rPr>
        <w:t>several years</w:t>
      </w:r>
      <w:r w:rsidR="00D31B12" w:rsidRPr="006F46D2">
        <w:rPr>
          <w:rStyle w:val="ssrfcpassagedeactivated"/>
          <w:rFonts w:ascii="Times New Roman" w:hAnsi="Times New Roman" w:cs="Times New Roman"/>
          <w:sz w:val="24"/>
          <w:szCs w:val="24"/>
        </w:rPr>
        <w:t xml:space="preserve">.  </w:t>
      </w:r>
      <w:r w:rsidR="009813BD" w:rsidRPr="006F46D2">
        <w:rPr>
          <w:rStyle w:val="ssrfcpassagedeactivated"/>
          <w:rFonts w:ascii="Times New Roman" w:hAnsi="Times New Roman" w:cs="Times New Roman"/>
          <w:sz w:val="24"/>
          <w:szCs w:val="24"/>
        </w:rPr>
        <w:t xml:space="preserve">For example, </w:t>
      </w:r>
      <w:r w:rsidR="00573E06" w:rsidRPr="006F46D2">
        <w:rPr>
          <w:rStyle w:val="ssrfcpassagedeactivated"/>
          <w:rFonts w:ascii="Times New Roman" w:hAnsi="Times New Roman" w:cs="Times New Roman"/>
          <w:sz w:val="24"/>
          <w:szCs w:val="24"/>
        </w:rPr>
        <w:t xml:space="preserve">instead of continuing to pursue its claim for cost-based pricing for capacity in its ESP case, </w:t>
      </w:r>
      <w:r w:rsidR="009813BD" w:rsidRPr="006F46D2">
        <w:rPr>
          <w:rStyle w:val="ssrfcpassagedeactivated"/>
          <w:rFonts w:ascii="Times New Roman" w:hAnsi="Times New Roman" w:cs="Times New Roman"/>
          <w:sz w:val="24"/>
          <w:szCs w:val="24"/>
        </w:rPr>
        <w:t>Duke voluntarily agreed</w:t>
      </w:r>
      <w:r w:rsidR="00573E06" w:rsidRPr="006F46D2">
        <w:rPr>
          <w:rStyle w:val="ssrfcpassagedeactivated"/>
          <w:rFonts w:ascii="Times New Roman" w:hAnsi="Times New Roman" w:cs="Times New Roman"/>
          <w:sz w:val="24"/>
          <w:szCs w:val="24"/>
        </w:rPr>
        <w:t xml:space="preserve"> to accept compensation based on RPM prices</w:t>
      </w:r>
      <w:r w:rsidRPr="006F46D2">
        <w:rPr>
          <w:rStyle w:val="ssrfcpassagedeactivated"/>
          <w:rFonts w:ascii="Times New Roman" w:hAnsi="Times New Roman" w:cs="Times New Roman"/>
          <w:sz w:val="24"/>
          <w:szCs w:val="24"/>
        </w:rPr>
        <w:t xml:space="preserve">, </w:t>
      </w:r>
      <w:r w:rsidR="00573E06" w:rsidRPr="006F46D2">
        <w:rPr>
          <w:rStyle w:val="ssrfcpassagedeactivated"/>
          <w:rFonts w:ascii="Times New Roman" w:hAnsi="Times New Roman" w:cs="Times New Roman"/>
          <w:sz w:val="24"/>
          <w:szCs w:val="24"/>
        </w:rPr>
        <w:t>plus $330 million for the ESSC rider.</w:t>
      </w:r>
      <w:r w:rsidR="00573E06" w:rsidRPr="006F46D2">
        <w:rPr>
          <w:rStyle w:val="FootnoteReference"/>
          <w:rFonts w:ascii="Times New Roman" w:hAnsi="Times New Roman" w:cs="Times New Roman"/>
          <w:sz w:val="24"/>
          <w:szCs w:val="24"/>
        </w:rPr>
        <w:footnoteReference w:id="165"/>
      </w:r>
      <w:r w:rsidR="009813BD" w:rsidRPr="006F46D2">
        <w:rPr>
          <w:rStyle w:val="ssrfcpassagedeactivated"/>
          <w:rFonts w:ascii="Times New Roman" w:hAnsi="Times New Roman" w:cs="Times New Roman"/>
          <w:sz w:val="24"/>
          <w:szCs w:val="24"/>
        </w:rPr>
        <w:t xml:space="preserve"> </w:t>
      </w:r>
      <w:r w:rsidR="00573E06" w:rsidRPr="006F46D2">
        <w:rPr>
          <w:rStyle w:val="ssrfcpassagedeactivated"/>
          <w:rFonts w:ascii="Times New Roman" w:hAnsi="Times New Roman" w:cs="Times New Roman"/>
          <w:sz w:val="24"/>
          <w:szCs w:val="24"/>
        </w:rPr>
        <w:t xml:space="preserve"> AEP</w:t>
      </w:r>
      <w:r w:rsidR="00E00CAA">
        <w:rPr>
          <w:rStyle w:val="ssrfcpassagedeactivated"/>
          <w:rFonts w:ascii="Times New Roman" w:hAnsi="Times New Roman" w:cs="Times New Roman"/>
          <w:sz w:val="24"/>
          <w:szCs w:val="24"/>
        </w:rPr>
        <w:t xml:space="preserve"> Ohio</w:t>
      </w:r>
      <w:r w:rsidR="006F46D2" w:rsidRPr="006F46D2">
        <w:rPr>
          <w:rStyle w:val="ssrfcpassagedeactivated"/>
          <w:rFonts w:ascii="Times New Roman" w:hAnsi="Times New Roman" w:cs="Times New Roman"/>
          <w:sz w:val="24"/>
          <w:szCs w:val="24"/>
        </w:rPr>
        <w:t xml:space="preserve">, on the other hand, pursued cost-based pricing at the state level.  </w:t>
      </w:r>
      <w:r w:rsidR="00573E06" w:rsidRPr="006F46D2">
        <w:rPr>
          <w:rStyle w:val="ssrfcpassagedeactivated"/>
          <w:rFonts w:ascii="Times New Roman" w:hAnsi="Times New Roman" w:cs="Times New Roman"/>
          <w:sz w:val="24"/>
          <w:szCs w:val="24"/>
        </w:rPr>
        <w:t xml:space="preserve"> Instead of litigating state issues related to the MISO/PJM transfer case</w:t>
      </w:r>
      <w:r w:rsidRPr="006F46D2">
        <w:rPr>
          <w:rStyle w:val="ssrfcpassagedeactivated"/>
          <w:rFonts w:ascii="Times New Roman" w:hAnsi="Times New Roman" w:cs="Times New Roman"/>
          <w:sz w:val="24"/>
          <w:szCs w:val="24"/>
        </w:rPr>
        <w:t>,</w:t>
      </w:r>
      <w:r w:rsidR="00573E06" w:rsidRPr="006F46D2">
        <w:rPr>
          <w:rStyle w:val="FootnoteReference"/>
          <w:rFonts w:ascii="Times New Roman" w:hAnsi="Times New Roman" w:cs="Times New Roman"/>
          <w:sz w:val="24"/>
          <w:szCs w:val="24"/>
        </w:rPr>
        <w:footnoteReference w:id="166"/>
      </w:r>
      <w:r w:rsidRPr="006F46D2">
        <w:rPr>
          <w:rStyle w:val="ssrfcpassagedeactivated"/>
          <w:rFonts w:ascii="Times New Roman" w:hAnsi="Times New Roman" w:cs="Times New Roman"/>
          <w:sz w:val="24"/>
          <w:szCs w:val="24"/>
        </w:rPr>
        <w:t xml:space="preserve"> </w:t>
      </w:r>
      <w:r w:rsidR="00573E06" w:rsidRPr="006F46D2">
        <w:rPr>
          <w:rStyle w:val="ssrfcpassagedeactivated"/>
          <w:rFonts w:ascii="Times New Roman" w:hAnsi="Times New Roman" w:cs="Times New Roman"/>
          <w:sz w:val="24"/>
          <w:szCs w:val="24"/>
        </w:rPr>
        <w:t xml:space="preserve"> Duke settled and </w:t>
      </w:r>
      <w:r w:rsidRPr="006F46D2">
        <w:rPr>
          <w:rStyle w:val="ssrfcpassagedeactivated"/>
          <w:rFonts w:ascii="Times New Roman" w:hAnsi="Times New Roman" w:cs="Times New Roman"/>
          <w:sz w:val="24"/>
          <w:szCs w:val="24"/>
        </w:rPr>
        <w:t>a</w:t>
      </w:r>
      <w:r w:rsidR="00573E06" w:rsidRPr="006F46D2">
        <w:rPr>
          <w:rStyle w:val="ssrfcpassagedeactivated"/>
          <w:rFonts w:ascii="Times New Roman" w:hAnsi="Times New Roman" w:cs="Times New Roman"/>
          <w:sz w:val="24"/>
          <w:szCs w:val="24"/>
        </w:rPr>
        <w:t xml:space="preserve">greed not to seek FERC approval of cost-based pricing for its FRR </w:t>
      </w:r>
    </w:p>
    <w:p w:rsidR="00D229FC" w:rsidRDefault="00D229FC">
      <w:pPr>
        <w:rPr>
          <w:rStyle w:val="ssrfcpassagedeactivated"/>
          <w:rFonts w:ascii="Times New Roman" w:hAnsi="Times New Roman" w:cs="Times New Roman"/>
          <w:sz w:val="24"/>
          <w:szCs w:val="24"/>
        </w:rPr>
      </w:pPr>
      <w:r>
        <w:rPr>
          <w:rStyle w:val="ssrfcpassagedeactivated"/>
          <w:rFonts w:ascii="Times New Roman" w:hAnsi="Times New Roman" w:cs="Times New Roman"/>
          <w:sz w:val="24"/>
          <w:szCs w:val="24"/>
        </w:rPr>
        <w:br w:type="page"/>
      </w:r>
    </w:p>
    <w:p w:rsidR="00E509B4" w:rsidRPr="006F46D2" w:rsidRDefault="00573E06" w:rsidP="00D229FC">
      <w:pPr>
        <w:rPr>
          <w:rStyle w:val="ssrfcpassagedeactivated"/>
          <w:rFonts w:ascii="Times New Roman" w:hAnsi="Times New Roman" w:cs="Times New Roman"/>
          <w:sz w:val="24"/>
          <w:szCs w:val="24"/>
        </w:rPr>
      </w:pPr>
      <w:proofErr w:type="gramStart"/>
      <w:r w:rsidRPr="006F46D2">
        <w:rPr>
          <w:rStyle w:val="ssrfcpassagedeactivated"/>
          <w:rFonts w:ascii="Times New Roman" w:hAnsi="Times New Roman" w:cs="Times New Roman"/>
          <w:sz w:val="24"/>
          <w:szCs w:val="24"/>
        </w:rPr>
        <w:lastRenderedPageBreak/>
        <w:t>obligations</w:t>
      </w:r>
      <w:proofErr w:type="gramEnd"/>
      <w:r w:rsidRPr="006F46D2">
        <w:rPr>
          <w:rStyle w:val="ssrfcpassagedeactivated"/>
          <w:rFonts w:ascii="Times New Roman" w:hAnsi="Times New Roman" w:cs="Times New Roman"/>
          <w:sz w:val="24"/>
          <w:szCs w:val="24"/>
        </w:rPr>
        <w:t xml:space="preserve"> under the PJM RAA.</w:t>
      </w:r>
      <w:r w:rsidRPr="006F46D2">
        <w:rPr>
          <w:rStyle w:val="FootnoteReference"/>
          <w:rFonts w:ascii="Times New Roman" w:hAnsi="Times New Roman" w:cs="Times New Roman"/>
          <w:sz w:val="24"/>
          <w:szCs w:val="24"/>
        </w:rPr>
        <w:footnoteReference w:id="167"/>
      </w:r>
      <w:r w:rsidRPr="006F46D2">
        <w:rPr>
          <w:rStyle w:val="ssrfcpassagedeactivated"/>
          <w:rFonts w:ascii="Times New Roman" w:hAnsi="Times New Roman" w:cs="Times New Roman"/>
          <w:sz w:val="24"/>
          <w:szCs w:val="24"/>
        </w:rPr>
        <w:t xml:space="preserve"> </w:t>
      </w:r>
      <w:r w:rsidR="00947A3D">
        <w:rPr>
          <w:rStyle w:val="ssrfcpassagedeactivated"/>
          <w:rFonts w:ascii="Times New Roman" w:hAnsi="Times New Roman" w:cs="Times New Roman"/>
          <w:sz w:val="24"/>
          <w:szCs w:val="24"/>
        </w:rPr>
        <w:t xml:space="preserve"> </w:t>
      </w:r>
      <w:r w:rsidRPr="006F46D2">
        <w:rPr>
          <w:rStyle w:val="ssrfcpassagedeactivated"/>
          <w:rFonts w:ascii="Times New Roman" w:hAnsi="Times New Roman" w:cs="Times New Roman"/>
          <w:sz w:val="24"/>
          <w:szCs w:val="24"/>
        </w:rPr>
        <w:t>AEP</w:t>
      </w:r>
      <w:r w:rsidR="00E00CAA">
        <w:rPr>
          <w:rStyle w:val="ssrfcpassagedeactivated"/>
          <w:rFonts w:ascii="Times New Roman" w:hAnsi="Times New Roman" w:cs="Times New Roman"/>
          <w:sz w:val="24"/>
          <w:szCs w:val="24"/>
        </w:rPr>
        <w:t xml:space="preserve"> Ohio</w:t>
      </w:r>
      <w:r w:rsidRPr="006F46D2">
        <w:rPr>
          <w:rStyle w:val="ssrfcpassagedeactivated"/>
          <w:rFonts w:ascii="Times New Roman" w:hAnsi="Times New Roman" w:cs="Times New Roman"/>
          <w:sz w:val="24"/>
          <w:szCs w:val="24"/>
        </w:rPr>
        <w:t xml:space="preserve"> did not</w:t>
      </w:r>
      <w:r w:rsidR="006F46D2" w:rsidRPr="006F46D2">
        <w:rPr>
          <w:rStyle w:val="ssrfcpassagedeactivated"/>
          <w:rFonts w:ascii="Times New Roman" w:hAnsi="Times New Roman" w:cs="Times New Roman"/>
          <w:sz w:val="24"/>
          <w:szCs w:val="24"/>
        </w:rPr>
        <w:t>, choosing instead to litigate the issue before FERC</w:t>
      </w:r>
      <w:r w:rsidRPr="006F46D2">
        <w:rPr>
          <w:rStyle w:val="ssrfcpassagedeactivated"/>
          <w:rFonts w:ascii="Times New Roman" w:hAnsi="Times New Roman" w:cs="Times New Roman"/>
          <w:sz w:val="24"/>
          <w:szCs w:val="24"/>
        </w:rPr>
        <w:t xml:space="preserve">.  </w:t>
      </w:r>
      <w:r w:rsidR="00E509B4" w:rsidRPr="006F46D2">
        <w:rPr>
          <w:rStyle w:val="ssrfcpassagedeactivated"/>
          <w:rFonts w:ascii="Times New Roman" w:hAnsi="Times New Roman" w:cs="Times New Roman"/>
          <w:sz w:val="24"/>
          <w:szCs w:val="24"/>
        </w:rPr>
        <w:t xml:space="preserve">  </w:t>
      </w:r>
    </w:p>
    <w:p w:rsidR="00D31B12" w:rsidRPr="006F46D2" w:rsidRDefault="00573E06" w:rsidP="00947A3D">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 xml:space="preserve">Duke chose its own path on this issue.  </w:t>
      </w:r>
      <w:r w:rsidR="00E509B4" w:rsidRPr="006F46D2">
        <w:rPr>
          <w:rStyle w:val="ssrfcpassagedeactivated"/>
          <w:rFonts w:ascii="Times New Roman" w:hAnsi="Times New Roman" w:cs="Times New Roman"/>
          <w:sz w:val="24"/>
          <w:szCs w:val="24"/>
        </w:rPr>
        <w:t xml:space="preserve">Unlike AEP Ohio </w:t>
      </w:r>
      <w:r w:rsidR="00E65DD0">
        <w:rPr>
          <w:rStyle w:val="ssrfcpassagedeactivated"/>
          <w:rFonts w:ascii="Times New Roman" w:hAnsi="Times New Roman" w:cs="Times New Roman"/>
          <w:sz w:val="24"/>
          <w:szCs w:val="24"/>
        </w:rPr>
        <w:t>that</w:t>
      </w:r>
      <w:r w:rsidR="00E65DD0" w:rsidRPr="006F46D2">
        <w:rPr>
          <w:rStyle w:val="ssrfcpassagedeactivated"/>
          <w:rFonts w:ascii="Times New Roman" w:hAnsi="Times New Roman" w:cs="Times New Roman"/>
          <w:sz w:val="24"/>
          <w:szCs w:val="24"/>
        </w:rPr>
        <w:t xml:space="preserve"> </w:t>
      </w:r>
      <w:r w:rsidR="00E509B4" w:rsidRPr="006F46D2">
        <w:rPr>
          <w:rStyle w:val="ssrfcpassagedeactivated"/>
          <w:rFonts w:ascii="Times New Roman" w:hAnsi="Times New Roman" w:cs="Times New Roman"/>
          <w:sz w:val="24"/>
          <w:szCs w:val="24"/>
        </w:rPr>
        <w:t>consistently continued to take the risk of litigation, Duke opted for regulatory certainty.  That regulatory certainty came in the form of stipulations in separate PUCO proceedings.  Those stipulations were reached in April 2011 and October 2011, well after AEP Ohio filed numerous proceedings at the state and federal levels contesting the application of market-based RPM pricing to wholesale capacity.  In those stipulations, Duke chose to resolve the wholesale pricing issue by accepting RPM priced capacity plus the $330 million ESSC, foregoing any challenges to the wholesale capacity pricing at the state and federal</w:t>
      </w:r>
      <w:r w:rsidR="006F46D2" w:rsidRPr="006F46D2">
        <w:rPr>
          <w:rStyle w:val="ssrfcpassagedeactivated"/>
          <w:rFonts w:ascii="Times New Roman" w:hAnsi="Times New Roman" w:cs="Times New Roman"/>
          <w:sz w:val="24"/>
          <w:szCs w:val="24"/>
        </w:rPr>
        <w:t xml:space="preserve"> </w:t>
      </w:r>
      <w:r w:rsidR="00E509B4" w:rsidRPr="006F46D2">
        <w:rPr>
          <w:rStyle w:val="ssrfcpassagedeactivated"/>
          <w:rFonts w:ascii="Times New Roman" w:hAnsi="Times New Roman" w:cs="Times New Roman"/>
          <w:sz w:val="24"/>
          <w:szCs w:val="24"/>
        </w:rPr>
        <w:t xml:space="preserve">level.  </w:t>
      </w:r>
    </w:p>
    <w:p w:rsidR="00B04198" w:rsidRDefault="00D31B12" w:rsidP="00D01ABC">
      <w:pPr>
        <w:ind w:firstLine="720"/>
        <w:rPr>
          <w:rStyle w:val="ssrfcpassagedeactivated"/>
          <w:rFonts w:ascii="Times New Roman" w:hAnsi="Times New Roman" w:cs="Times New Roman"/>
          <w:sz w:val="24"/>
          <w:szCs w:val="24"/>
        </w:rPr>
      </w:pPr>
      <w:r w:rsidRPr="006F46D2">
        <w:rPr>
          <w:rStyle w:val="ssrfcpassagedeactivated"/>
          <w:rFonts w:ascii="Times New Roman" w:hAnsi="Times New Roman" w:cs="Times New Roman"/>
          <w:sz w:val="24"/>
          <w:szCs w:val="24"/>
        </w:rPr>
        <w:t xml:space="preserve">Given Duke’s acceptance of RPM priced capacity, and its voluntary choice to forego litigation, Duke is in a far different legal position than AEP Ohio.  </w:t>
      </w:r>
      <w:r w:rsidR="00D371FA" w:rsidRPr="006F46D2">
        <w:rPr>
          <w:rStyle w:val="ssrfcpassagedeactivated"/>
          <w:rFonts w:ascii="Times New Roman" w:hAnsi="Times New Roman" w:cs="Times New Roman"/>
          <w:sz w:val="24"/>
          <w:szCs w:val="24"/>
        </w:rPr>
        <w:t>Its legal position –accepting RPM priced capacity, instead of aggressively pursuing cost-based capacity</w:t>
      </w:r>
      <w:r w:rsidR="006F46D2" w:rsidRPr="006F46D2">
        <w:rPr>
          <w:rStyle w:val="ssrfcpassagedeactivated"/>
          <w:rFonts w:ascii="Times New Roman" w:hAnsi="Times New Roman" w:cs="Times New Roman"/>
          <w:sz w:val="24"/>
          <w:szCs w:val="24"/>
        </w:rPr>
        <w:t>,</w:t>
      </w:r>
      <w:r w:rsidR="00D371FA" w:rsidRPr="006F46D2">
        <w:rPr>
          <w:rStyle w:val="ssrfcpassagedeactivated"/>
          <w:rFonts w:ascii="Times New Roman" w:hAnsi="Times New Roman" w:cs="Times New Roman"/>
          <w:sz w:val="24"/>
          <w:szCs w:val="24"/>
        </w:rPr>
        <w:t xml:space="preserve"> is reason enough </w:t>
      </w:r>
      <w:r w:rsidR="00E73768" w:rsidRPr="006F46D2">
        <w:rPr>
          <w:rStyle w:val="ssrfcpassagedeactivated"/>
          <w:rFonts w:ascii="Times New Roman" w:hAnsi="Times New Roman" w:cs="Times New Roman"/>
          <w:sz w:val="24"/>
          <w:szCs w:val="24"/>
        </w:rPr>
        <w:t>for the</w:t>
      </w:r>
      <w:r w:rsidRPr="006F46D2">
        <w:rPr>
          <w:rStyle w:val="ssrfcpassagedeactivated"/>
          <w:rFonts w:ascii="Times New Roman" w:hAnsi="Times New Roman" w:cs="Times New Roman"/>
          <w:sz w:val="24"/>
          <w:szCs w:val="24"/>
        </w:rPr>
        <w:t xml:space="preserve"> PUCO to treat Duke differently without running afoul of the equal protection clause</w:t>
      </w:r>
      <w:r w:rsidR="00D371FA" w:rsidRPr="006F46D2">
        <w:rPr>
          <w:rStyle w:val="ssrfcpassagedeactivated"/>
          <w:rFonts w:ascii="Times New Roman" w:hAnsi="Times New Roman" w:cs="Times New Roman"/>
          <w:sz w:val="24"/>
          <w:szCs w:val="24"/>
        </w:rPr>
        <w:t>.</w:t>
      </w:r>
    </w:p>
    <w:p w:rsidR="002F32AF" w:rsidRDefault="00D03179" w:rsidP="00FB4463">
      <w:pPr>
        <w:pStyle w:val="Heading3"/>
        <w:rPr>
          <w:rFonts w:eastAsia="Calibri"/>
        </w:rPr>
      </w:pPr>
      <w:bookmarkStart w:id="29" w:name="_Toc362950004"/>
      <w:r>
        <w:rPr>
          <w:rStyle w:val="ssrfcpassagedeactivated"/>
          <w:rFonts w:ascii="Times New Roman" w:hAnsi="Times New Roman"/>
        </w:rPr>
        <w:t>2.</w:t>
      </w:r>
      <w:r w:rsidR="002F32AF" w:rsidRPr="002F32AF">
        <w:rPr>
          <w:rFonts w:eastAsia="Calibri"/>
        </w:rPr>
        <w:t xml:space="preserve"> </w:t>
      </w:r>
      <w:r w:rsidR="002F32AF">
        <w:rPr>
          <w:rFonts w:eastAsia="Calibri"/>
        </w:rPr>
        <w:tab/>
      </w:r>
      <w:r w:rsidR="002F32AF" w:rsidRPr="00104F9D">
        <w:rPr>
          <w:rFonts w:eastAsia="Calibri"/>
        </w:rPr>
        <w:t xml:space="preserve">Duke </w:t>
      </w:r>
      <w:r w:rsidR="00947A3D">
        <w:rPr>
          <w:rFonts w:eastAsia="Calibri"/>
        </w:rPr>
        <w:t>f</w:t>
      </w:r>
      <w:r w:rsidR="002F32AF" w:rsidRPr="00104F9D">
        <w:rPr>
          <w:rFonts w:eastAsia="Calibri"/>
        </w:rPr>
        <w:t xml:space="preserve">ailed </w:t>
      </w:r>
      <w:r w:rsidR="00947A3D">
        <w:rPr>
          <w:rFonts w:eastAsia="Calibri"/>
        </w:rPr>
        <w:t>t</w:t>
      </w:r>
      <w:r w:rsidR="002F32AF" w:rsidRPr="00104F9D">
        <w:rPr>
          <w:rFonts w:eastAsia="Calibri"/>
        </w:rPr>
        <w:t xml:space="preserve">o </w:t>
      </w:r>
      <w:r w:rsidR="00947A3D">
        <w:rPr>
          <w:rFonts w:eastAsia="Calibri"/>
        </w:rPr>
        <w:t>p</w:t>
      </w:r>
      <w:r w:rsidR="002F32AF" w:rsidRPr="00104F9D">
        <w:rPr>
          <w:rFonts w:eastAsia="Calibri"/>
        </w:rPr>
        <w:t xml:space="preserve">rove </w:t>
      </w:r>
      <w:r w:rsidR="00947A3D">
        <w:rPr>
          <w:rFonts w:eastAsia="Calibri"/>
        </w:rPr>
        <w:t>t</w:t>
      </w:r>
      <w:r w:rsidR="002F32AF" w:rsidRPr="00104F9D">
        <w:rPr>
          <w:rFonts w:eastAsia="Calibri"/>
        </w:rPr>
        <w:t xml:space="preserve">hat </w:t>
      </w:r>
      <w:r w:rsidR="00947A3D">
        <w:rPr>
          <w:rFonts w:eastAsia="Calibri"/>
        </w:rPr>
        <w:t>i</w:t>
      </w:r>
      <w:r w:rsidR="002F32AF" w:rsidRPr="00104F9D">
        <w:rPr>
          <w:rFonts w:eastAsia="Calibri"/>
        </w:rPr>
        <w:t xml:space="preserve">t </w:t>
      </w:r>
      <w:r w:rsidR="00947A3D">
        <w:rPr>
          <w:rFonts w:eastAsia="Calibri"/>
        </w:rPr>
        <w:t>w</w:t>
      </w:r>
      <w:r w:rsidR="002F32AF" w:rsidRPr="00104F9D">
        <w:rPr>
          <w:rFonts w:eastAsia="Calibri"/>
        </w:rPr>
        <w:t>ould</w:t>
      </w:r>
      <w:r w:rsidR="002F32AF">
        <w:rPr>
          <w:rFonts w:eastAsia="Calibri"/>
        </w:rPr>
        <w:t xml:space="preserve"> </w:t>
      </w:r>
      <w:r w:rsidR="00947A3D">
        <w:rPr>
          <w:rFonts w:eastAsia="Calibri"/>
        </w:rPr>
        <w:t>b</w:t>
      </w:r>
      <w:r w:rsidR="002F32AF">
        <w:rPr>
          <w:rFonts w:eastAsia="Calibri"/>
        </w:rPr>
        <w:t xml:space="preserve">e </w:t>
      </w:r>
      <w:r w:rsidR="00947A3D">
        <w:rPr>
          <w:rFonts w:eastAsia="Calibri"/>
        </w:rPr>
        <w:t>d</w:t>
      </w:r>
      <w:r w:rsidR="002F32AF">
        <w:rPr>
          <w:rFonts w:eastAsia="Calibri"/>
        </w:rPr>
        <w:t xml:space="preserve">iscriminatory </w:t>
      </w:r>
      <w:r w:rsidR="00947A3D">
        <w:rPr>
          <w:rFonts w:eastAsia="Calibri"/>
        </w:rPr>
        <w:t>i</w:t>
      </w:r>
      <w:r w:rsidR="002F32AF" w:rsidRPr="00104F9D">
        <w:rPr>
          <w:rFonts w:eastAsia="Calibri"/>
        </w:rPr>
        <w:t xml:space="preserve">f </w:t>
      </w:r>
      <w:r w:rsidR="00947A3D">
        <w:rPr>
          <w:rFonts w:eastAsia="Calibri"/>
        </w:rPr>
        <w:t>t</w:t>
      </w:r>
      <w:r w:rsidR="002F32AF" w:rsidRPr="00104F9D">
        <w:rPr>
          <w:rFonts w:eastAsia="Calibri"/>
        </w:rPr>
        <w:t xml:space="preserve">he PUCO </w:t>
      </w:r>
      <w:r w:rsidR="00947A3D">
        <w:rPr>
          <w:rFonts w:eastAsia="Calibri"/>
        </w:rPr>
        <w:t>d</w:t>
      </w:r>
      <w:r w:rsidR="002F32AF" w:rsidRPr="00104F9D">
        <w:rPr>
          <w:rFonts w:eastAsia="Calibri"/>
        </w:rPr>
        <w:t xml:space="preserve">oes </w:t>
      </w:r>
      <w:r w:rsidR="00947A3D">
        <w:rPr>
          <w:rFonts w:eastAsia="Calibri"/>
        </w:rPr>
        <w:t>n</w:t>
      </w:r>
      <w:r w:rsidR="002F32AF" w:rsidRPr="00104F9D">
        <w:rPr>
          <w:rFonts w:eastAsia="Calibri"/>
        </w:rPr>
        <w:t xml:space="preserve">ot </w:t>
      </w:r>
      <w:r w:rsidR="00947A3D">
        <w:rPr>
          <w:rFonts w:eastAsia="Calibri"/>
        </w:rPr>
        <w:t>i</w:t>
      </w:r>
      <w:r w:rsidR="002F32AF" w:rsidRPr="00104F9D">
        <w:rPr>
          <w:rFonts w:eastAsia="Calibri"/>
        </w:rPr>
        <w:t xml:space="preserve">mplement a </w:t>
      </w:r>
      <w:r w:rsidR="00947A3D">
        <w:rPr>
          <w:rFonts w:eastAsia="Calibri"/>
        </w:rPr>
        <w:t>c</w:t>
      </w:r>
      <w:r w:rsidR="002F32AF" w:rsidRPr="00104F9D">
        <w:rPr>
          <w:rFonts w:eastAsia="Calibri"/>
        </w:rPr>
        <w:t>ost-</w:t>
      </w:r>
      <w:r w:rsidR="00947A3D">
        <w:rPr>
          <w:rFonts w:eastAsia="Calibri"/>
        </w:rPr>
        <w:t>b</w:t>
      </w:r>
      <w:r w:rsidR="002F32AF" w:rsidRPr="00104F9D">
        <w:rPr>
          <w:rFonts w:eastAsia="Calibri"/>
        </w:rPr>
        <w:t xml:space="preserve">ased </w:t>
      </w:r>
      <w:r w:rsidR="007C6E59">
        <w:rPr>
          <w:rFonts w:eastAsia="Calibri"/>
        </w:rPr>
        <w:t>s</w:t>
      </w:r>
      <w:r w:rsidR="002F32AF" w:rsidRPr="00104F9D">
        <w:rPr>
          <w:rFonts w:eastAsia="Calibri"/>
        </w:rPr>
        <w:t xml:space="preserve">tate </w:t>
      </w:r>
      <w:r w:rsidR="007C6E59">
        <w:rPr>
          <w:rFonts w:eastAsia="Calibri"/>
        </w:rPr>
        <w:t>c</w:t>
      </w:r>
      <w:r w:rsidR="002F32AF" w:rsidRPr="00104F9D">
        <w:rPr>
          <w:rFonts w:eastAsia="Calibri"/>
        </w:rPr>
        <w:t xml:space="preserve">ompensation </w:t>
      </w:r>
      <w:r w:rsidR="007C6E59">
        <w:rPr>
          <w:rFonts w:eastAsia="Calibri"/>
        </w:rPr>
        <w:t>m</w:t>
      </w:r>
      <w:r w:rsidR="002F32AF" w:rsidRPr="00104F9D">
        <w:rPr>
          <w:rFonts w:eastAsia="Calibri"/>
        </w:rPr>
        <w:t>echanism.</w:t>
      </w:r>
      <w:bookmarkEnd w:id="29"/>
    </w:p>
    <w:p w:rsidR="002F32AF" w:rsidRDefault="002F32AF" w:rsidP="002F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Duke repeatedly argues that the PUCO must treat it the same as AEP Ohio.</w:t>
      </w:r>
      <w:r>
        <w:rPr>
          <w:rStyle w:val="FootnoteReference"/>
          <w:rFonts w:ascii="Times New Roman" w:eastAsia="Calibri" w:hAnsi="Times New Roman" w:cs="Times New Roman"/>
          <w:sz w:val="24"/>
          <w:szCs w:val="24"/>
        </w:rPr>
        <w:footnoteReference w:id="168"/>
      </w:r>
      <w:r>
        <w:rPr>
          <w:rFonts w:ascii="Times New Roman" w:eastAsia="Calibri" w:hAnsi="Times New Roman" w:cs="Times New Roman"/>
          <w:sz w:val="24"/>
          <w:szCs w:val="24"/>
        </w:rPr>
        <w:t xml:space="preserve">  Duke contends that the PUCO should ignore the fact that it stipulated to a capacity price to resolve its ESP proceeding, and instead the PUCO must give Duke the same treatment </w:t>
      </w:r>
      <w:r>
        <w:rPr>
          <w:rFonts w:ascii="Times New Roman" w:eastAsia="Calibri" w:hAnsi="Times New Roman" w:cs="Times New Roman"/>
          <w:sz w:val="24"/>
          <w:szCs w:val="24"/>
        </w:rPr>
        <w:lastRenderedPageBreak/>
        <w:t xml:space="preserve">as it gave AEP Ohio (i.e., a cost-based capacity price).  To this end, Duke states: “failure to follow the AEP Ohio precedent in these circumstances would result in unduly discriminatory treatment of similarly situated utilities….” </w:t>
      </w:r>
      <w:r>
        <w:rPr>
          <w:rStyle w:val="FootnoteReference"/>
          <w:rFonts w:ascii="Times New Roman" w:eastAsia="Calibri" w:hAnsi="Times New Roman" w:cs="Times New Roman"/>
          <w:sz w:val="24"/>
          <w:szCs w:val="24"/>
        </w:rPr>
        <w:footnoteReference w:id="169"/>
      </w:r>
      <w:r>
        <w:rPr>
          <w:rFonts w:ascii="Times New Roman" w:eastAsia="Calibri" w:hAnsi="Times New Roman" w:cs="Times New Roman"/>
          <w:sz w:val="24"/>
          <w:szCs w:val="24"/>
        </w:rPr>
        <w:t xml:space="preserve"> </w:t>
      </w:r>
      <w:r w:rsidR="00947A3D">
        <w:rPr>
          <w:rFonts w:ascii="Times New Roman" w:eastAsia="Calibri" w:hAnsi="Times New Roman" w:cs="Times New Roman"/>
          <w:sz w:val="24"/>
          <w:szCs w:val="24"/>
        </w:rPr>
        <w:t xml:space="preserve"> </w:t>
      </w:r>
      <w:r>
        <w:rPr>
          <w:rFonts w:ascii="Times New Roman" w:eastAsia="Calibri" w:hAnsi="Times New Roman" w:cs="Times New Roman"/>
          <w:sz w:val="24"/>
          <w:szCs w:val="24"/>
        </w:rPr>
        <w:t>Duke is wrong.</w:t>
      </w:r>
    </w:p>
    <w:p w:rsidR="002F32AF" w:rsidRDefault="002F32AF" w:rsidP="002F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Under R.C. 4905.35(A) a public utility is not permitted to</w:t>
      </w:r>
      <w:r w:rsidRPr="008E177A">
        <w:rPr>
          <w:rFonts w:ascii="Times New Roman" w:eastAsia="Calibri" w:hAnsi="Times New Roman" w:cs="Times New Roman"/>
          <w:sz w:val="24"/>
          <w:szCs w:val="24"/>
        </w:rPr>
        <w:t xml:space="preserve"> make or give any undue or unreasonable preference or advantage to any person, firm, corporation, or locality, or subject any person, firm, corporation, or locality to any undue or unreasonable prejudice or disadvantage.</w:t>
      </w:r>
      <w:r>
        <w:rPr>
          <w:rFonts w:ascii="Times New Roman" w:eastAsia="Calibri" w:hAnsi="Times New Roman" w:cs="Times New Roman"/>
          <w:sz w:val="24"/>
          <w:szCs w:val="24"/>
        </w:rPr>
        <w:t xml:space="preserve">  Thus, the standard for discrimination under R.C. 4905.35 is an “</w:t>
      </w:r>
      <w:r w:rsidRPr="00F4113D">
        <w:rPr>
          <w:rFonts w:ascii="Times New Roman" w:eastAsia="Calibri" w:hAnsi="Times New Roman" w:cs="Times New Roman"/>
          <w:i/>
          <w:sz w:val="24"/>
          <w:szCs w:val="24"/>
        </w:rPr>
        <w:t>unreasonable</w:t>
      </w:r>
      <w:r>
        <w:rPr>
          <w:rFonts w:ascii="Times New Roman" w:eastAsia="Calibri" w:hAnsi="Times New Roman" w:cs="Times New Roman"/>
          <w:sz w:val="24"/>
          <w:szCs w:val="24"/>
        </w:rPr>
        <w:t xml:space="preserve"> preference” or “</w:t>
      </w:r>
      <w:r w:rsidRPr="00F4113D">
        <w:rPr>
          <w:rFonts w:ascii="Times New Roman" w:eastAsia="Calibri" w:hAnsi="Times New Roman" w:cs="Times New Roman"/>
          <w:i/>
          <w:sz w:val="24"/>
          <w:szCs w:val="24"/>
        </w:rPr>
        <w:t xml:space="preserve">unreasonable </w:t>
      </w:r>
      <w:r>
        <w:rPr>
          <w:rFonts w:ascii="Times New Roman" w:eastAsia="Calibri" w:hAnsi="Times New Roman" w:cs="Times New Roman"/>
          <w:sz w:val="24"/>
          <w:szCs w:val="24"/>
        </w:rPr>
        <w:t xml:space="preserve">disadvantage.”  Although R.C. 4905.35 describes discriminatory behavior by a public utility (rather than discrimination against a public utility) the standard for proving discrimination is undoubtedly a significant burden.   In this case, Duke has failed to meet its burden of proof because it has not shown that it would be unreasonable for the PUCO to dismiss this case. </w:t>
      </w:r>
    </w:p>
    <w:p w:rsidR="002F32AF" w:rsidRDefault="002F32AF" w:rsidP="002F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Specifically, Duke has not shown that the PUCO has unreasonably preferred AEP Ohio to Duke.   And Duke has not established that it has been, or would be, unreasonably disadvantaged if it were to continue charging </w:t>
      </w:r>
      <w:r w:rsidR="00047434">
        <w:rPr>
          <w:rFonts w:ascii="Times New Roman" w:eastAsia="Calibri" w:hAnsi="Times New Roman" w:cs="Times New Roman"/>
          <w:sz w:val="24"/>
          <w:szCs w:val="24"/>
        </w:rPr>
        <w:t>marketers</w:t>
      </w:r>
      <w:r>
        <w:rPr>
          <w:rFonts w:ascii="Times New Roman" w:eastAsia="Calibri" w:hAnsi="Times New Roman" w:cs="Times New Roman"/>
          <w:sz w:val="24"/>
          <w:szCs w:val="24"/>
        </w:rPr>
        <w:t xml:space="preserve"> and winners of the standard service auctions the FZCP for capacity.  Duke is being compensated at the FZCP market-based price because that is what it agreed to.  Duke is also receiving $330 million dollars from customers for a stability charge because that is what it negotiated to resolve its ESP case.  Thus, any “disadvantages” that Duke claims to be experiencing are a direct result of the agreements Duke made.  </w:t>
      </w:r>
    </w:p>
    <w:p w:rsidR="002F32AF" w:rsidRDefault="002F32AF" w:rsidP="002F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Duke has failed to meet its burden to prove that it would be discriminatory for the PUCO to have a cost-based state compensation mechanism for AEP Ohio, but a market-</w:t>
      </w:r>
      <w:r>
        <w:rPr>
          <w:rFonts w:ascii="Times New Roman" w:eastAsia="Calibri" w:hAnsi="Times New Roman" w:cs="Times New Roman"/>
          <w:sz w:val="24"/>
          <w:szCs w:val="24"/>
        </w:rPr>
        <w:lastRenderedPageBreak/>
        <w:t>based capacity price for Duke.  Duke has not shown that it would be unreasonable to have separate state compensation mechanisms for AEP Ohio and Duke.  And Duke has not established that it will be unreasonably disadvantaged by being compensated at the FZCP.  The PUCO should not allow Duke to deliberately violate the terms of the ESP settlement.</w:t>
      </w:r>
    </w:p>
    <w:p w:rsidR="005C3CC6" w:rsidRPr="006F46D2" w:rsidRDefault="00016E0D" w:rsidP="00FB4463">
      <w:pPr>
        <w:pStyle w:val="Heading2"/>
      </w:pPr>
      <w:bookmarkStart w:id="30" w:name="_Toc362950005"/>
      <w:r>
        <w:t>F</w:t>
      </w:r>
      <w:r w:rsidR="00D308F6">
        <w:t>.</w:t>
      </w:r>
      <w:r w:rsidR="00D308F6">
        <w:tab/>
      </w:r>
      <w:r w:rsidR="005C3CC6" w:rsidRPr="006F46D2">
        <w:t xml:space="preserve">Duke’s </w:t>
      </w:r>
      <w:r w:rsidR="00947A3D" w:rsidRPr="006F46D2">
        <w:t xml:space="preserve">Request </w:t>
      </w:r>
      <w:proofErr w:type="gramStart"/>
      <w:r w:rsidR="00947A3D" w:rsidRPr="006F46D2">
        <w:t>To Collect Increased Costs For</w:t>
      </w:r>
      <w:proofErr w:type="gramEnd"/>
      <w:r w:rsidR="00947A3D" w:rsidRPr="006F46D2">
        <w:t xml:space="preserve"> Capacity Services Rendered</w:t>
      </w:r>
      <w:r w:rsidR="0007184D">
        <w:t>,</w:t>
      </w:r>
      <w:r w:rsidR="00947A3D" w:rsidRPr="006F46D2">
        <w:t xml:space="preserve"> Starting </w:t>
      </w:r>
      <w:r w:rsidR="005C3CC6" w:rsidRPr="006F46D2">
        <w:t xml:space="preserve">August </w:t>
      </w:r>
      <w:r w:rsidR="00947A3D" w:rsidRPr="006F46D2">
        <w:t>1, 2012</w:t>
      </w:r>
      <w:r w:rsidR="0007184D">
        <w:t>,</w:t>
      </w:r>
      <w:r w:rsidR="00947A3D" w:rsidRPr="006F46D2">
        <w:t xml:space="preserve"> Is Retroactive Ratemaking.</w:t>
      </w:r>
      <w:bookmarkEnd w:id="30"/>
      <w:r w:rsidR="00947A3D" w:rsidRPr="006F46D2">
        <w:t xml:space="preserve">  </w:t>
      </w:r>
    </w:p>
    <w:p w:rsidR="00E750E9" w:rsidRDefault="00F73C36" w:rsidP="00947A3D">
      <w:pPr>
        <w:ind w:firstLine="720"/>
        <w:rPr>
          <w:rFonts w:ascii="Times New Roman" w:hAnsi="Times New Roman" w:cs="Times New Roman"/>
          <w:sz w:val="24"/>
          <w:szCs w:val="24"/>
        </w:rPr>
      </w:pPr>
      <w:r w:rsidRPr="006F46D2">
        <w:rPr>
          <w:rFonts w:ascii="Times New Roman" w:hAnsi="Times New Roman" w:cs="Times New Roman"/>
          <w:sz w:val="24"/>
          <w:szCs w:val="24"/>
        </w:rPr>
        <w:t>Duke argues as well that the proposed deferral period (</w:t>
      </w:r>
      <w:r w:rsidR="00784D04" w:rsidRPr="006F46D2">
        <w:rPr>
          <w:rFonts w:ascii="Times New Roman" w:hAnsi="Times New Roman" w:cs="Times New Roman"/>
          <w:sz w:val="24"/>
          <w:szCs w:val="24"/>
        </w:rPr>
        <w:t>A</w:t>
      </w:r>
      <w:r w:rsidRPr="006F46D2">
        <w:rPr>
          <w:rFonts w:ascii="Times New Roman" w:hAnsi="Times New Roman" w:cs="Times New Roman"/>
          <w:sz w:val="24"/>
          <w:szCs w:val="24"/>
        </w:rPr>
        <w:t>ugust 1, 2012 through May 15, 2015</w:t>
      </w:r>
      <w:r w:rsidR="00784D04" w:rsidRPr="006F46D2">
        <w:rPr>
          <w:rFonts w:ascii="Times New Roman" w:hAnsi="Times New Roman" w:cs="Times New Roman"/>
          <w:sz w:val="24"/>
          <w:szCs w:val="24"/>
        </w:rPr>
        <w:t>)</w:t>
      </w:r>
      <w:r w:rsidRPr="006F46D2">
        <w:rPr>
          <w:rFonts w:ascii="Times New Roman" w:hAnsi="Times New Roman" w:cs="Times New Roman"/>
          <w:sz w:val="24"/>
          <w:szCs w:val="24"/>
        </w:rPr>
        <w:t xml:space="preserve"> is appropriate.</w:t>
      </w:r>
      <w:r w:rsidR="00784D04" w:rsidRPr="006F46D2">
        <w:rPr>
          <w:rStyle w:val="FootnoteReference"/>
          <w:rFonts w:ascii="Times New Roman" w:hAnsi="Times New Roman" w:cs="Times New Roman"/>
          <w:sz w:val="24"/>
          <w:szCs w:val="24"/>
        </w:rPr>
        <w:footnoteReference w:id="170"/>
      </w:r>
      <w:r w:rsidRPr="006F46D2">
        <w:rPr>
          <w:rFonts w:ascii="Times New Roman" w:hAnsi="Times New Roman" w:cs="Times New Roman"/>
          <w:sz w:val="24"/>
          <w:szCs w:val="24"/>
        </w:rPr>
        <w:t xml:space="preserve">  </w:t>
      </w:r>
      <w:r w:rsidR="002F530A">
        <w:rPr>
          <w:rFonts w:ascii="Times New Roman" w:hAnsi="Times New Roman" w:cs="Times New Roman"/>
          <w:sz w:val="24"/>
          <w:szCs w:val="24"/>
        </w:rPr>
        <w:t>Duke picks August 1,</w:t>
      </w:r>
      <w:r w:rsidR="00FE0AC6">
        <w:rPr>
          <w:rFonts w:ascii="Times New Roman" w:hAnsi="Times New Roman" w:cs="Times New Roman"/>
          <w:sz w:val="24"/>
          <w:szCs w:val="24"/>
        </w:rPr>
        <w:t xml:space="preserve"> </w:t>
      </w:r>
      <w:r w:rsidR="002F530A">
        <w:rPr>
          <w:rFonts w:ascii="Times New Roman" w:hAnsi="Times New Roman" w:cs="Times New Roman"/>
          <w:sz w:val="24"/>
          <w:szCs w:val="24"/>
        </w:rPr>
        <w:t xml:space="preserve">2012 </w:t>
      </w:r>
      <w:r w:rsidR="00B3116B">
        <w:rPr>
          <w:rFonts w:ascii="Times New Roman" w:hAnsi="Times New Roman" w:cs="Times New Roman"/>
          <w:sz w:val="24"/>
          <w:szCs w:val="24"/>
        </w:rPr>
        <w:t>because</w:t>
      </w:r>
      <w:r w:rsidR="002F530A">
        <w:rPr>
          <w:rFonts w:ascii="Times New Roman" w:hAnsi="Times New Roman" w:cs="Times New Roman"/>
          <w:sz w:val="24"/>
          <w:szCs w:val="24"/>
        </w:rPr>
        <w:t xml:space="preserve"> this is the first month after the PUCO determined that AEP had a right to embedded cost recovery for fulfilling a wholesale capacity service obligation.</w:t>
      </w:r>
      <w:r w:rsidR="00FE0AC6">
        <w:rPr>
          <w:rStyle w:val="FootnoteReference"/>
          <w:rFonts w:ascii="Times New Roman" w:hAnsi="Times New Roman" w:cs="Times New Roman"/>
          <w:sz w:val="24"/>
          <w:szCs w:val="24"/>
        </w:rPr>
        <w:footnoteReference w:id="171"/>
      </w:r>
      <w:r w:rsidR="002F530A">
        <w:rPr>
          <w:rFonts w:ascii="Times New Roman" w:hAnsi="Times New Roman" w:cs="Times New Roman"/>
          <w:sz w:val="24"/>
          <w:szCs w:val="24"/>
        </w:rPr>
        <w:t xml:space="preserve">  </w:t>
      </w:r>
      <w:r w:rsidRPr="006F46D2">
        <w:rPr>
          <w:rFonts w:ascii="Times New Roman" w:hAnsi="Times New Roman" w:cs="Times New Roman"/>
          <w:sz w:val="24"/>
          <w:szCs w:val="24"/>
        </w:rPr>
        <w:t>According to Duke there is no retroactive ratemaking because there is no ratemaking.</w:t>
      </w:r>
      <w:r w:rsidR="00784D04" w:rsidRPr="006F46D2">
        <w:rPr>
          <w:rStyle w:val="FootnoteReference"/>
          <w:rFonts w:ascii="Times New Roman" w:hAnsi="Times New Roman" w:cs="Times New Roman"/>
          <w:sz w:val="24"/>
          <w:szCs w:val="24"/>
        </w:rPr>
        <w:footnoteReference w:id="172"/>
      </w:r>
      <w:r w:rsidRPr="006F46D2">
        <w:rPr>
          <w:rFonts w:ascii="Times New Roman" w:hAnsi="Times New Roman" w:cs="Times New Roman"/>
          <w:sz w:val="24"/>
          <w:szCs w:val="24"/>
        </w:rPr>
        <w:t xml:space="preserve">  In this regard Duke unequivocally claims that “The Company’s Application in these proceedings does not include a request to set rates.”</w:t>
      </w:r>
      <w:r w:rsidRPr="006F46D2">
        <w:rPr>
          <w:rStyle w:val="FootnoteReference"/>
          <w:rFonts w:ascii="Times New Roman" w:hAnsi="Times New Roman" w:cs="Times New Roman"/>
          <w:sz w:val="24"/>
          <w:szCs w:val="24"/>
        </w:rPr>
        <w:footnoteReference w:id="173"/>
      </w:r>
      <w:r w:rsidRPr="006F46D2">
        <w:rPr>
          <w:rFonts w:ascii="Times New Roman" w:hAnsi="Times New Roman" w:cs="Times New Roman"/>
          <w:sz w:val="24"/>
          <w:szCs w:val="24"/>
        </w:rPr>
        <w:t xml:space="preserve">  </w:t>
      </w:r>
      <w:r w:rsidR="00BF23A6">
        <w:rPr>
          <w:rFonts w:ascii="Times New Roman" w:hAnsi="Times New Roman" w:cs="Times New Roman"/>
          <w:sz w:val="24"/>
          <w:szCs w:val="24"/>
        </w:rPr>
        <w:t>Duke is merely seeking authority to defer costs, it proclaims.</w:t>
      </w:r>
      <w:r w:rsidR="00BF23A6">
        <w:rPr>
          <w:rStyle w:val="FootnoteReference"/>
          <w:rFonts w:ascii="Times New Roman" w:hAnsi="Times New Roman" w:cs="Times New Roman"/>
          <w:sz w:val="24"/>
          <w:szCs w:val="24"/>
        </w:rPr>
        <w:footnoteReference w:id="174"/>
      </w:r>
      <w:r w:rsidR="00BF23A6">
        <w:rPr>
          <w:rFonts w:ascii="Times New Roman" w:hAnsi="Times New Roman" w:cs="Times New Roman"/>
          <w:sz w:val="24"/>
          <w:szCs w:val="24"/>
        </w:rPr>
        <w:t xml:space="preserve"> </w:t>
      </w:r>
      <w:r w:rsidR="00947A3D">
        <w:rPr>
          <w:rFonts w:ascii="Times New Roman" w:hAnsi="Times New Roman" w:cs="Times New Roman"/>
          <w:sz w:val="24"/>
          <w:szCs w:val="24"/>
        </w:rPr>
        <w:t xml:space="preserve"> </w:t>
      </w:r>
      <w:r w:rsidRPr="006F46D2">
        <w:rPr>
          <w:rFonts w:ascii="Times New Roman" w:hAnsi="Times New Roman" w:cs="Times New Roman"/>
          <w:sz w:val="24"/>
          <w:szCs w:val="24"/>
        </w:rPr>
        <w:t>Therefore</w:t>
      </w:r>
      <w:r w:rsidR="00B3116B">
        <w:rPr>
          <w:rFonts w:ascii="Times New Roman" w:hAnsi="Times New Roman" w:cs="Times New Roman"/>
          <w:sz w:val="24"/>
          <w:szCs w:val="24"/>
        </w:rPr>
        <w:t>,</w:t>
      </w:r>
      <w:r w:rsidRPr="006F46D2">
        <w:rPr>
          <w:rFonts w:ascii="Times New Roman" w:hAnsi="Times New Roman" w:cs="Times New Roman"/>
          <w:sz w:val="24"/>
          <w:szCs w:val="24"/>
        </w:rPr>
        <w:t xml:space="preserve"> there is no impermissible retroactive ratemaking.</w:t>
      </w:r>
      <w:r w:rsidR="00784D04" w:rsidRPr="006F46D2">
        <w:rPr>
          <w:rStyle w:val="FootnoteReference"/>
          <w:rFonts w:ascii="Times New Roman" w:hAnsi="Times New Roman" w:cs="Times New Roman"/>
          <w:sz w:val="24"/>
          <w:szCs w:val="24"/>
        </w:rPr>
        <w:footnoteReference w:id="175"/>
      </w:r>
      <w:r w:rsidRPr="006F46D2">
        <w:rPr>
          <w:rFonts w:ascii="Times New Roman" w:hAnsi="Times New Roman" w:cs="Times New Roman"/>
          <w:sz w:val="24"/>
          <w:szCs w:val="24"/>
        </w:rPr>
        <w:t xml:space="preserve">   </w:t>
      </w:r>
      <w:r w:rsidR="00095B9B" w:rsidRPr="00CB59FA">
        <w:rPr>
          <w:rFonts w:ascii="Times New Roman" w:hAnsi="Times New Roman" w:cs="Times New Roman"/>
          <w:sz w:val="24"/>
          <w:szCs w:val="24"/>
        </w:rPr>
        <w:t xml:space="preserve">But Duke’s sophistry </w:t>
      </w:r>
      <w:r w:rsidR="00E730C9" w:rsidRPr="00CB59FA">
        <w:rPr>
          <w:rFonts w:ascii="Times New Roman" w:hAnsi="Times New Roman" w:cs="Times New Roman"/>
          <w:sz w:val="24"/>
          <w:szCs w:val="24"/>
        </w:rPr>
        <w:t xml:space="preserve">should be recognized for what it is—a feeble attempt at trying to make its unlawful request seem lawful.  </w:t>
      </w:r>
    </w:p>
    <w:p w:rsidR="00E750E9" w:rsidRDefault="00E730C9" w:rsidP="00947A3D">
      <w:pPr>
        <w:ind w:firstLine="720"/>
        <w:rPr>
          <w:rFonts w:ascii="Times New Roman" w:hAnsi="Times New Roman" w:cs="Times New Roman"/>
        </w:rPr>
      </w:pPr>
      <w:r w:rsidRPr="00B06092">
        <w:rPr>
          <w:rFonts w:ascii="Times New Roman" w:hAnsi="Times New Roman" w:cs="Times New Roman"/>
          <w:sz w:val="24"/>
          <w:szCs w:val="24"/>
        </w:rPr>
        <w:lastRenderedPageBreak/>
        <w:t xml:space="preserve">There is undoubtedly ratemaking at issue.  </w:t>
      </w:r>
      <w:r w:rsidR="00BF23A6" w:rsidRPr="00B06092">
        <w:rPr>
          <w:rFonts w:ascii="Times New Roman" w:hAnsi="Times New Roman" w:cs="Times New Roman"/>
          <w:sz w:val="24"/>
          <w:szCs w:val="24"/>
        </w:rPr>
        <w:t xml:space="preserve">First, </w:t>
      </w:r>
      <w:r w:rsidR="00E750E9" w:rsidRPr="00B06092">
        <w:rPr>
          <w:rFonts w:ascii="Times New Roman" w:hAnsi="Times New Roman" w:cs="Times New Roman"/>
          <w:sz w:val="24"/>
          <w:szCs w:val="24"/>
        </w:rPr>
        <w:t>Duke</w:t>
      </w:r>
      <w:r w:rsidR="00BF23A6" w:rsidRPr="00B06092">
        <w:rPr>
          <w:rFonts w:ascii="Times New Roman" w:hAnsi="Times New Roman" w:cs="Times New Roman"/>
          <w:sz w:val="24"/>
          <w:szCs w:val="24"/>
        </w:rPr>
        <w:t xml:space="preserve"> seeks authority to defer costs, claiming that the PUCO has authority over its books of account</w:t>
      </w:r>
      <w:r w:rsidR="00E750E9" w:rsidRPr="00B06092">
        <w:rPr>
          <w:rFonts w:ascii="Times New Roman" w:hAnsi="Times New Roman" w:cs="Times New Roman"/>
          <w:sz w:val="24"/>
          <w:szCs w:val="24"/>
        </w:rPr>
        <w:t>s</w:t>
      </w:r>
      <w:r w:rsidR="00BF23A6" w:rsidRPr="00B06092">
        <w:rPr>
          <w:rFonts w:ascii="Times New Roman" w:hAnsi="Times New Roman" w:cs="Times New Roman"/>
          <w:sz w:val="24"/>
          <w:szCs w:val="24"/>
        </w:rPr>
        <w:t xml:space="preserve"> and that the deferral does not affect rates</w:t>
      </w:r>
      <w:r w:rsidR="00431E1D" w:rsidRPr="00B06092">
        <w:rPr>
          <w:rFonts w:ascii="Times New Roman" w:hAnsi="Times New Roman" w:cs="Times New Roman"/>
          <w:sz w:val="24"/>
          <w:szCs w:val="24"/>
        </w:rPr>
        <w:t>.</w:t>
      </w:r>
      <w:r w:rsidR="002F530A" w:rsidRPr="00B06092">
        <w:rPr>
          <w:rFonts w:ascii="Times New Roman" w:hAnsi="Times New Roman" w:cs="Times New Roman"/>
          <w:sz w:val="24"/>
          <w:szCs w:val="24"/>
        </w:rPr>
        <w:t xml:space="preserve">  </w:t>
      </w:r>
      <w:r w:rsidR="00BF23A6" w:rsidRPr="00B06092">
        <w:rPr>
          <w:rFonts w:ascii="Times New Roman" w:hAnsi="Times New Roman" w:cs="Times New Roman"/>
          <w:sz w:val="24"/>
          <w:szCs w:val="24"/>
        </w:rPr>
        <w:t xml:space="preserve">Then after the deferral is authorized, Duke will argue that, having authorized the deferrals, it would be arbitrary and capricious to deny recovery of those deferrals in its rates. </w:t>
      </w:r>
      <w:r w:rsidR="00500F0E">
        <w:rPr>
          <w:rFonts w:ascii="Times New Roman" w:hAnsi="Times New Roman" w:cs="Times New Roman"/>
          <w:sz w:val="24"/>
          <w:szCs w:val="24"/>
        </w:rPr>
        <w:t xml:space="preserve"> </w:t>
      </w:r>
      <w:r w:rsidR="00B3116B" w:rsidRPr="00B06092">
        <w:rPr>
          <w:rFonts w:ascii="Times New Roman" w:hAnsi="Times New Roman" w:cs="Times New Roman"/>
          <w:sz w:val="24"/>
          <w:szCs w:val="24"/>
        </w:rPr>
        <w:t xml:space="preserve">However, </w:t>
      </w:r>
      <w:r w:rsidR="00CB59FA" w:rsidRPr="00B06092">
        <w:rPr>
          <w:rFonts w:ascii="Times New Roman" w:hAnsi="Times New Roman" w:cs="Times New Roman"/>
          <w:sz w:val="24"/>
          <w:szCs w:val="24"/>
        </w:rPr>
        <w:t>i</w:t>
      </w:r>
      <w:r w:rsidR="002F530A" w:rsidRPr="00B06092">
        <w:rPr>
          <w:rFonts w:ascii="Times New Roman" w:hAnsi="Times New Roman" w:cs="Times New Roman"/>
          <w:sz w:val="24"/>
          <w:szCs w:val="24"/>
        </w:rPr>
        <w:t>f</w:t>
      </w:r>
      <w:r w:rsidR="00BF23A6" w:rsidRPr="00B06092">
        <w:rPr>
          <w:rFonts w:ascii="Times New Roman" w:hAnsi="Times New Roman" w:cs="Times New Roman"/>
          <w:sz w:val="24"/>
          <w:szCs w:val="24"/>
        </w:rPr>
        <w:t xml:space="preserve"> the costs for which deferral is being sought are not eligible for ultimate recovery through rates, then the </w:t>
      </w:r>
      <w:r w:rsidR="002F530A" w:rsidRPr="00B06092">
        <w:rPr>
          <w:rFonts w:ascii="Times New Roman" w:hAnsi="Times New Roman" w:cs="Times New Roman"/>
          <w:sz w:val="24"/>
          <w:szCs w:val="24"/>
        </w:rPr>
        <w:t>PUCO</w:t>
      </w:r>
      <w:r w:rsidR="00BF23A6" w:rsidRPr="00B06092">
        <w:rPr>
          <w:rFonts w:ascii="Times New Roman" w:hAnsi="Times New Roman" w:cs="Times New Roman"/>
          <w:sz w:val="24"/>
          <w:szCs w:val="24"/>
        </w:rPr>
        <w:t xml:space="preserve"> </w:t>
      </w:r>
      <w:r w:rsidR="00CB59FA" w:rsidRPr="00B06092">
        <w:rPr>
          <w:rFonts w:ascii="Times New Roman" w:hAnsi="Times New Roman" w:cs="Times New Roman"/>
          <w:sz w:val="24"/>
          <w:szCs w:val="24"/>
        </w:rPr>
        <w:t>should</w:t>
      </w:r>
      <w:r w:rsidR="00BF23A6" w:rsidRPr="00B06092">
        <w:rPr>
          <w:rFonts w:ascii="Times New Roman" w:hAnsi="Times New Roman" w:cs="Times New Roman"/>
          <w:sz w:val="24"/>
          <w:szCs w:val="24"/>
        </w:rPr>
        <w:t xml:space="preserve"> not authorize deferral of those costs</w:t>
      </w:r>
      <w:r w:rsidR="00B3116B" w:rsidRPr="00B06092">
        <w:rPr>
          <w:rFonts w:ascii="Times New Roman" w:hAnsi="Times New Roman" w:cs="Times New Roman"/>
          <w:sz w:val="24"/>
          <w:szCs w:val="24"/>
        </w:rPr>
        <w:t xml:space="preserve"> because such a deferral </w:t>
      </w:r>
      <w:r w:rsidR="00BF23A6" w:rsidRPr="00B06092">
        <w:rPr>
          <w:rFonts w:ascii="Times New Roman" w:hAnsi="Times New Roman" w:cs="Times New Roman"/>
          <w:sz w:val="24"/>
          <w:szCs w:val="24"/>
        </w:rPr>
        <w:t xml:space="preserve">would result in misstatement of </w:t>
      </w:r>
      <w:r w:rsidR="002F530A" w:rsidRPr="00B06092">
        <w:rPr>
          <w:rFonts w:ascii="Times New Roman" w:hAnsi="Times New Roman" w:cs="Times New Roman"/>
          <w:sz w:val="24"/>
          <w:szCs w:val="24"/>
        </w:rPr>
        <w:t xml:space="preserve">Duke’s </w:t>
      </w:r>
      <w:r w:rsidR="00BF23A6" w:rsidRPr="00B06092">
        <w:rPr>
          <w:rFonts w:ascii="Times New Roman" w:hAnsi="Times New Roman" w:cs="Times New Roman"/>
          <w:sz w:val="24"/>
          <w:szCs w:val="24"/>
        </w:rPr>
        <w:t xml:space="preserve">books of account.  </w:t>
      </w:r>
      <w:r w:rsidR="00B3116B" w:rsidRPr="00B06092">
        <w:rPr>
          <w:rFonts w:ascii="Times New Roman" w:hAnsi="Times New Roman" w:cs="Times New Roman"/>
          <w:sz w:val="24"/>
          <w:szCs w:val="24"/>
        </w:rPr>
        <w:t xml:space="preserve">That is, there </w:t>
      </w:r>
      <w:r w:rsidR="00BF23A6" w:rsidRPr="00B06092">
        <w:rPr>
          <w:rFonts w:ascii="Times New Roman" w:hAnsi="Times New Roman" w:cs="Times New Roman"/>
          <w:sz w:val="24"/>
          <w:szCs w:val="24"/>
        </w:rPr>
        <w:t xml:space="preserve"> can be no regulatory asset if it is not reasonable to assume that rates will be set to recover the costs for which deferral is being sought.</w:t>
      </w:r>
      <w:r w:rsidR="00B3116B">
        <w:rPr>
          <w:rStyle w:val="FootnoteReference"/>
          <w:rFonts w:ascii="Times New Roman" w:hAnsi="Times New Roman" w:cs="Times New Roman"/>
        </w:rPr>
        <w:footnoteReference w:id="176"/>
      </w:r>
      <w:r w:rsidR="00CB59FA" w:rsidRPr="00CB59FA">
        <w:rPr>
          <w:rFonts w:ascii="Times New Roman" w:hAnsi="Times New Roman" w:cs="Times New Roman"/>
        </w:rPr>
        <w:t xml:space="preserve">  </w:t>
      </w:r>
    </w:p>
    <w:p w:rsidR="00CB59FA" w:rsidRPr="00B06092" w:rsidRDefault="00CB59FA" w:rsidP="007E11CB">
      <w:pPr>
        <w:ind w:firstLine="720"/>
        <w:rPr>
          <w:rFonts w:ascii="Times New Roman" w:hAnsi="Times New Roman" w:cs="Times New Roman"/>
          <w:sz w:val="24"/>
          <w:szCs w:val="24"/>
        </w:rPr>
      </w:pPr>
      <w:r w:rsidRPr="00B06092">
        <w:rPr>
          <w:rFonts w:ascii="Times New Roman" w:hAnsi="Times New Roman" w:cs="Times New Roman"/>
          <w:sz w:val="24"/>
          <w:szCs w:val="24"/>
        </w:rPr>
        <w:t>Hence, the deferral request goes hand in hand with ratemaking.</w:t>
      </w:r>
      <w:r w:rsidR="00E750E9" w:rsidRPr="00B06092">
        <w:rPr>
          <w:rFonts w:eastAsia="Times New Roman"/>
          <w:sz w:val="24"/>
          <w:szCs w:val="24"/>
        </w:rPr>
        <w:t xml:space="preserve"> </w:t>
      </w:r>
      <w:r w:rsidR="00431E1D" w:rsidRPr="00B06092">
        <w:rPr>
          <w:rFonts w:eastAsia="Times New Roman"/>
          <w:sz w:val="24"/>
          <w:szCs w:val="24"/>
        </w:rPr>
        <w:t xml:space="preserve"> </w:t>
      </w:r>
      <w:r w:rsidR="00E750E9" w:rsidRPr="00B06092">
        <w:rPr>
          <w:rFonts w:ascii="Times New Roman" w:eastAsia="Times New Roman" w:hAnsi="Times New Roman" w:cs="Times New Roman"/>
          <w:sz w:val="24"/>
          <w:szCs w:val="24"/>
        </w:rPr>
        <w:t>The Ohio Supreme Court has itself recognized the express linkage between accounting and ratemaking and has permitted appeals of accounting orders, finding that harm can result even without the direct setting of rates.</w:t>
      </w:r>
      <w:r w:rsidR="00E750E9" w:rsidRPr="00B06092">
        <w:rPr>
          <w:rFonts w:ascii="Times New Roman" w:eastAsia="Times New Roman" w:hAnsi="Times New Roman" w:cs="Times New Roman"/>
          <w:sz w:val="24"/>
          <w:szCs w:val="24"/>
          <w:vertAlign w:val="superscript"/>
        </w:rPr>
        <w:footnoteReference w:id="177"/>
      </w:r>
      <w:r w:rsidR="00E750E9" w:rsidRPr="00B06092">
        <w:rPr>
          <w:rFonts w:eastAsia="Times New Roman"/>
          <w:sz w:val="24"/>
          <w:szCs w:val="24"/>
        </w:rPr>
        <w:t xml:space="preserve">  </w:t>
      </w:r>
      <w:r w:rsidR="002F530A" w:rsidRPr="00B06092">
        <w:rPr>
          <w:rFonts w:ascii="Times New Roman" w:hAnsi="Times New Roman" w:cs="Times New Roman"/>
          <w:sz w:val="24"/>
          <w:szCs w:val="24"/>
        </w:rPr>
        <w:t xml:space="preserve">  </w:t>
      </w:r>
    </w:p>
    <w:p w:rsidR="0047571D" w:rsidRPr="006F46D2" w:rsidRDefault="00B3116B" w:rsidP="007E11CB">
      <w:pPr>
        <w:ind w:firstLine="720"/>
        <w:rPr>
          <w:rFonts w:ascii="Times New Roman" w:hAnsi="Times New Roman" w:cs="Times New Roman"/>
          <w:spacing w:val="-3"/>
          <w:sz w:val="24"/>
          <w:szCs w:val="24"/>
        </w:rPr>
      </w:pPr>
      <w:r w:rsidRPr="00B06092">
        <w:rPr>
          <w:rFonts w:ascii="Times New Roman" w:hAnsi="Times New Roman" w:cs="Times New Roman"/>
          <w:sz w:val="24"/>
          <w:szCs w:val="24"/>
        </w:rPr>
        <w:t>And w</w:t>
      </w:r>
      <w:r w:rsidR="00E730C9" w:rsidRPr="00B06092">
        <w:rPr>
          <w:rFonts w:ascii="Times New Roman" w:hAnsi="Times New Roman" w:cs="Times New Roman"/>
          <w:sz w:val="24"/>
          <w:szCs w:val="24"/>
        </w:rPr>
        <w:t>hile the Commission may not be asked to set “rates</w:t>
      </w:r>
      <w:r w:rsidRPr="00B06092">
        <w:rPr>
          <w:rFonts w:ascii="Times New Roman" w:hAnsi="Times New Roman" w:cs="Times New Roman"/>
          <w:sz w:val="24"/>
          <w:szCs w:val="24"/>
        </w:rPr>
        <w:t>,</w:t>
      </w:r>
      <w:r w:rsidR="00E730C9" w:rsidRPr="00B06092">
        <w:rPr>
          <w:rFonts w:ascii="Times New Roman" w:hAnsi="Times New Roman" w:cs="Times New Roman"/>
          <w:sz w:val="24"/>
          <w:szCs w:val="24"/>
        </w:rPr>
        <w:t xml:space="preserve">” it has been asked to set a charge to be collected in future rates.  For example, Duke requests in its </w:t>
      </w:r>
      <w:r w:rsidR="00095B9B" w:rsidRPr="00B06092">
        <w:rPr>
          <w:rFonts w:ascii="Times New Roman" w:hAnsi="Times New Roman" w:cs="Times New Roman"/>
          <w:sz w:val="24"/>
          <w:szCs w:val="24"/>
        </w:rPr>
        <w:t xml:space="preserve">application </w:t>
      </w:r>
      <w:r w:rsidR="00E730C9" w:rsidRPr="00B06092">
        <w:rPr>
          <w:rFonts w:ascii="Times New Roman" w:hAnsi="Times New Roman" w:cs="Times New Roman"/>
          <w:sz w:val="24"/>
          <w:szCs w:val="24"/>
        </w:rPr>
        <w:t>an</w:t>
      </w:r>
      <w:r w:rsidR="00095B9B" w:rsidRPr="00B06092">
        <w:rPr>
          <w:rFonts w:ascii="Times New Roman" w:hAnsi="Times New Roman" w:cs="Times New Roman"/>
          <w:sz w:val="24"/>
          <w:szCs w:val="24"/>
        </w:rPr>
        <w:t xml:space="preserve"> order “establishing the amount of the cost-based charge, pursu</w:t>
      </w:r>
      <w:r w:rsidR="00E730C9" w:rsidRPr="00B06092">
        <w:rPr>
          <w:rFonts w:ascii="Times New Roman" w:hAnsi="Times New Roman" w:cs="Times New Roman"/>
          <w:sz w:val="24"/>
          <w:szCs w:val="24"/>
        </w:rPr>
        <w:t>a</w:t>
      </w:r>
      <w:r w:rsidR="00095B9B" w:rsidRPr="00B06092">
        <w:rPr>
          <w:rFonts w:ascii="Times New Roman" w:hAnsi="Times New Roman" w:cs="Times New Roman"/>
          <w:sz w:val="24"/>
          <w:szCs w:val="24"/>
        </w:rPr>
        <w:t xml:space="preserve">nt to Ohio’s newly adopted state compensation mechanism, for the provision by Duke Energy Ohio of </w:t>
      </w:r>
      <w:r w:rsidR="00095B9B" w:rsidRPr="00B06092">
        <w:rPr>
          <w:rFonts w:ascii="Times New Roman" w:hAnsi="Times New Roman" w:cs="Times New Roman"/>
          <w:sz w:val="24"/>
          <w:szCs w:val="24"/>
        </w:rPr>
        <w:lastRenderedPageBreak/>
        <w:t>capacity services throughout its service territory</w:t>
      </w:r>
      <w:r w:rsidR="00E730C9" w:rsidRPr="00B06092">
        <w:rPr>
          <w:rFonts w:ascii="Times New Roman" w:hAnsi="Times New Roman" w:cs="Times New Roman"/>
          <w:sz w:val="24"/>
          <w:szCs w:val="24"/>
        </w:rPr>
        <w:t>.</w:t>
      </w:r>
      <w:r w:rsidR="00095B9B" w:rsidRPr="00B06092">
        <w:rPr>
          <w:rFonts w:ascii="Times New Roman" w:hAnsi="Times New Roman" w:cs="Times New Roman"/>
          <w:sz w:val="24"/>
          <w:szCs w:val="24"/>
        </w:rPr>
        <w:t>”</w:t>
      </w:r>
      <w:r w:rsidR="00095B9B" w:rsidRPr="00B06092">
        <w:rPr>
          <w:rStyle w:val="FootnoteReference"/>
          <w:rFonts w:ascii="Times New Roman" w:hAnsi="Times New Roman" w:cs="Times New Roman"/>
          <w:sz w:val="24"/>
          <w:szCs w:val="24"/>
        </w:rPr>
        <w:footnoteReference w:id="178"/>
      </w:r>
      <w:r w:rsidR="00095B9B" w:rsidRPr="00B06092">
        <w:rPr>
          <w:rFonts w:ascii="Times New Roman" w:hAnsi="Times New Roman" w:cs="Times New Roman"/>
          <w:sz w:val="24"/>
          <w:szCs w:val="24"/>
        </w:rPr>
        <w:t xml:space="preserve">  Indeed Duke calculated a net annual revenue requirement that would enable it to achieve an 11.15</w:t>
      </w:r>
      <w:r w:rsidRPr="00B06092">
        <w:rPr>
          <w:rFonts w:ascii="Times New Roman" w:hAnsi="Times New Roman" w:cs="Times New Roman"/>
          <w:sz w:val="24"/>
          <w:szCs w:val="24"/>
        </w:rPr>
        <w:t xml:space="preserve"> %</w:t>
      </w:r>
      <w:r w:rsidR="00095B9B" w:rsidRPr="00B06092">
        <w:rPr>
          <w:rFonts w:ascii="Times New Roman" w:hAnsi="Times New Roman" w:cs="Times New Roman"/>
          <w:sz w:val="24"/>
          <w:szCs w:val="24"/>
        </w:rPr>
        <w:t xml:space="preserve"> ROE on its investment used to provide the FRR services from August 1, 2012 through May 31, 2015.</w:t>
      </w:r>
      <w:r w:rsidR="00095B9B" w:rsidRPr="00B06092">
        <w:rPr>
          <w:rStyle w:val="FootnoteReference"/>
          <w:rFonts w:ascii="Times New Roman" w:hAnsi="Times New Roman" w:cs="Times New Roman"/>
          <w:sz w:val="24"/>
          <w:szCs w:val="24"/>
        </w:rPr>
        <w:footnoteReference w:id="179"/>
      </w:r>
      <w:r w:rsidR="00095B9B" w:rsidRPr="00B06092">
        <w:rPr>
          <w:rFonts w:ascii="Times New Roman" w:hAnsi="Times New Roman" w:cs="Times New Roman"/>
          <w:sz w:val="24"/>
          <w:szCs w:val="24"/>
        </w:rPr>
        <w:t xml:space="preserve">  </w:t>
      </w:r>
      <w:r w:rsidR="00C37104" w:rsidRPr="00B06092">
        <w:rPr>
          <w:rFonts w:ascii="Times New Roman" w:hAnsi="Times New Roman" w:cs="Times New Roman"/>
          <w:sz w:val="24"/>
          <w:szCs w:val="24"/>
        </w:rPr>
        <w:t>That annual revenue requirement is $258.7 million per year for three years.</w:t>
      </w:r>
      <w:r w:rsidR="00C37104" w:rsidRPr="00B06092">
        <w:rPr>
          <w:rStyle w:val="FootnoteReference"/>
          <w:rFonts w:ascii="Times New Roman" w:hAnsi="Times New Roman" w:cs="Times New Roman"/>
          <w:sz w:val="24"/>
          <w:szCs w:val="24"/>
        </w:rPr>
        <w:footnoteReference w:id="180"/>
      </w:r>
      <w:r w:rsidRPr="00B06092">
        <w:rPr>
          <w:rFonts w:ascii="Times New Roman" w:hAnsi="Times New Roman" w:cs="Times New Roman"/>
          <w:sz w:val="24"/>
          <w:szCs w:val="24"/>
        </w:rPr>
        <w:t xml:space="preserve">  </w:t>
      </w:r>
      <w:r w:rsidR="00C37104" w:rsidRPr="00B06092">
        <w:rPr>
          <w:rFonts w:ascii="Times New Roman" w:hAnsi="Times New Roman" w:cs="Times New Roman"/>
          <w:spacing w:val="-3"/>
          <w:sz w:val="24"/>
          <w:szCs w:val="24"/>
        </w:rPr>
        <w:t>Setting charges for services based on es</w:t>
      </w:r>
      <w:r w:rsidR="002240A1" w:rsidRPr="00B06092">
        <w:rPr>
          <w:rFonts w:ascii="Times New Roman" w:hAnsi="Times New Roman" w:cs="Times New Roman"/>
          <w:spacing w:val="-3"/>
          <w:sz w:val="24"/>
          <w:szCs w:val="24"/>
        </w:rPr>
        <w:t xml:space="preserve">tablished revenue requirements </w:t>
      </w:r>
      <w:r w:rsidR="00C37104" w:rsidRPr="00B06092">
        <w:rPr>
          <w:rFonts w:ascii="Times New Roman" w:hAnsi="Times New Roman" w:cs="Times New Roman"/>
          <w:spacing w:val="-3"/>
          <w:sz w:val="24"/>
          <w:szCs w:val="24"/>
        </w:rPr>
        <w:t xml:space="preserve">is ratemaking.  </w:t>
      </w:r>
      <w:r w:rsidR="0047571D" w:rsidRPr="00B06092">
        <w:rPr>
          <w:rFonts w:ascii="Times New Roman" w:hAnsi="Times New Roman" w:cs="Times New Roman"/>
          <w:spacing w:val="-3"/>
          <w:sz w:val="24"/>
          <w:szCs w:val="24"/>
        </w:rPr>
        <w:t>And it is retroactive because Duke seeks compensation for wholesale capacity services it has provided during the period its application in this case has been under review.  Present rates may not make up for dollars lost while a PUCO proceeding is pending.</w:t>
      </w:r>
      <w:r w:rsidR="0047571D" w:rsidRPr="006F46D2">
        <w:rPr>
          <w:rStyle w:val="FootnoteReference"/>
          <w:rFonts w:ascii="Times New Roman" w:hAnsi="Times New Roman" w:cs="Times New Roman"/>
          <w:spacing w:val="-3"/>
          <w:sz w:val="24"/>
          <w:szCs w:val="24"/>
        </w:rPr>
        <w:footnoteReference w:id="181"/>
      </w:r>
      <w:r w:rsidR="0047571D" w:rsidRPr="006F46D2">
        <w:rPr>
          <w:rFonts w:ascii="Times New Roman" w:hAnsi="Times New Roman" w:cs="Times New Roman"/>
          <w:spacing w:val="-3"/>
          <w:sz w:val="24"/>
          <w:szCs w:val="24"/>
        </w:rPr>
        <w:t xml:space="preserve">  </w:t>
      </w:r>
    </w:p>
    <w:p w:rsidR="002F530A" w:rsidRPr="002F530A" w:rsidRDefault="00CB59FA" w:rsidP="002F530A">
      <w:pPr>
        <w:tabs>
          <w:tab w:val="left" w:pos="-720"/>
        </w:tabs>
        <w:suppressAutoHyphens/>
        <w:rPr>
          <w:rFonts w:ascii="Times New Roman" w:hAnsi="Times New Roman" w:cs="Times New Roman"/>
          <w:sz w:val="24"/>
          <w:szCs w:val="24"/>
        </w:rPr>
      </w:pPr>
      <w:r>
        <w:rPr>
          <w:rFonts w:ascii="Times New Roman" w:hAnsi="Times New Roman" w:cs="Times New Roman"/>
          <w:spacing w:val="-3"/>
          <w:sz w:val="24"/>
          <w:szCs w:val="24"/>
        </w:rPr>
        <w:tab/>
        <w:t>Moreover, as noted in OCC’s Initial Brief</w:t>
      </w:r>
      <w:r w:rsidR="00E73768">
        <w:rPr>
          <w:rFonts w:ascii="Times New Roman" w:hAnsi="Times New Roman" w:cs="Times New Roman"/>
          <w:spacing w:val="-3"/>
          <w:sz w:val="24"/>
          <w:szCs w:val="24"/>
        </w:rPr>
        <w:t>,</w:t>
      </w:r>
      <w:r w:rsidR="00B3116B">
        <w:rPr>
          <w:rFonts w:ascii="Times New Roman" w:hAnsi="Times New Roman" w:cs="Times New Roman"/>
          <w:spacing w:val="-3"/>
          <w:sz w:val="24"/>
          <w:szCs w:val="24"/>
        </w:rPr>
        <w:t xml:space="preserve"> </w:t>
      </w:r>
      <w:r w:rsidR="00E73768">
        <w:rPr>
          <w:rFonts w:ascii="Times New Roman" w:hAnsi="Times New Roman" w:cs="Times New Roman"/>
          <w:spacing w:val="-3"/>
          <w:sz w:val="24"/>
          <w:szCs w:val="24"/>
        </w:rPr>
        <w:t>Duke’s</w:t>
      </w:r>
      <w:r w:rsidR="00AC0C24">
        <w:rPr>
          <w:rFonts w:ascii="Times New Roman" w:hAnsi="Times New Roman" w:cs="Times New Roman"/>
          <w:spacing w:val="-3"/>
          <w:sz w:val="24"/>
          <w:szCs w:val="24"/>
        </w:rPr>
        <w:t xml:space="preserve"> claim that it is only equitable for it to receive the s</w:t>
      </w:r>
      <w:r w:rsidR="002F530A">
        <w:rPr>
          <w:rFonts w:ascii="Times New Roman" w:hAnsi="Times New Roman" w:cs="Times New Roman"/>
          <w:spacing w:val="-3"/>
          <w:sz w:val="24"/>
          <w:szCs w:val="24"/>
        </w:rPr>
        <w:t xml:space="preserve">ame compensation as AEP Ohio should be disregarded.  The timing of Duke’s application was completely within its own control.  Duke insists </w:t>
      </w:r>
      <w:r w:rsidR="002F530A" w:rsidRPr="002F530A">
        <w:rPr>
          <w:rFonts w:ascii="Times New Roman" w:hAnsi="Times New Roman" w:cs="Times New Roman"/>
          <w:spacing w:val="-3"/>
          <w:sz w:val="24"/>
          <w:szCs w:val="24"/>
        </w:rPr>
        <w:t>that</w:t>
      </w:r>
      <w:r w:rsidR="002F530A" w:rsidRPr="002F530A">
        <w:rPr>
          <w:rFonts w:ascii="Times New Roman" w:hAnsi="Times New Roman" w:cs="Times New Roman"/>
          <w:sz w:val="24"/>
          <w:szCs w:val="24"/>
        </w:rPr>
        <w:t xml:space="preserve"> this case is completely independent of </w:t>
      </w:r>
      <w:r w:rsidR="002F530A" w:rsidRPr="002F530A">
        <w:rPr>
          <w:rFonts w:ascii="Times New Roman" w:hAnsi="Times New Roman" w:cs="Times New Roman"/>
          <w:bCs/>
          <w:iCs/>
          <w:sz w:val="24"/>
          <w:szCs w:val="24"/>
        </w:rPr>
        <w:t xml:space="preserve">Case No. </w:t>
      </w:r>
      <w:r w:rsidR="002F530A" w:rsidRPr="002F530A">
        <w:rPr>
          <w:rFonts w:ascii="Times New Roman" w:hAnsi="Times New Roman" w:cs="Times New Roman"/>
          <w:sz w:val="24"/>
          <w:szCs w:val="24"/>
        </w:rPr>
        <w:t>11-3549-EL-SSO, et al. and the settlement of that case</w:t>
      </w:r>
      <w:r w:rsidR="002F530A">
        <w:rPr>
          <w:rFonts w:ascii="Times New Roman" w:hAnsi="Times New Roman" w:cs="Times New Roman"/>
          <w:sz w:val="24"/>
          <w:szCs w:val="24"/>
        </w:rPr>
        <w:t>.</w:t>
      </w:r>
      <w:r w:rsidR="002F530A" w:rsidRPr="002F530A">
        <w:rPr>
          <w:rFonts w:ascii="Times New Roman" w:hAnsi="Times New Roman" w:cs="Times New Roman"/>
          <w:sz w:val="24"/>
          <w:szCs w:val="24"/>
        </w:rPr>
        <w:t xml:space="preserve">  Accepting this premise (as one must if the Commission does not grant the motion to dismiss), then </w:t>
      </w:r>
      <w:r w:rsidR="001754BD">
        <w:rPr>
          <w:rFonts w:ascii="Times New Roman" w:hAnsi="Times New Roman" w:cs="Times New Roman"/>
          <w:sz w:val="24"/>
          <w:szCs w:val="24"/>
        </w:rPr>
        <w:t>Duke</w:t>
      </w:r>
      <w:r w:rsidR="002F530A" w:rsidRPr="002F530A">
        <w:rPr>
          <w:rFonts w:ascii="Times New Roman" w:hAnsi="Times New Roman" w:cs="Times New Roman"/>
          <w:sz w:val="24"/>
          <w:szCs w:val="24"/>
        </w:rPr>
        <w:t xml:space="preserve"> could have filed the present case simultaneously with its filing of </w:t>
      </w:r>
      <w:r w:rsidR="002F530A" w:rsidRPr="002F530A">
        <w:rPr>
          <w:rFonts w:ascii="Times New Roman" w:hAnsi="Times New Roman" w:cs="Times New Roman"/>
          <w:bCs/>
          <w:iCs/>
          <w:sz w:val="24"/>
          <w:szCs w:val="24"/>
        </w:rPr>
        <w:t xml:space="preserve">Case No. </w:t>
      </w:r>
      <w:r w:rsidR="002F530A" w:rsidRPr="002F530A">
        <w:rPr>
          <w:rFonts w:ascii="Times New Roman" w:hAnsi="Times New Roman" w:cs="Times New Roman"/>
          <w:sz w:val="24"/>
          <w:szCs w:val="24"/>
        </w:rPr>
        <w:t xml:space="preserve">11-3549-EL-SSO, et al. or any time before or after.  Given the discretion that </w:t>
      </w:r>
      <w:r w:rsidR="001754BD">
        <w:rPr>
          <w:rFonts w:ascii="Times New Roman" w:hAnsi="Times New Roman" w:cs="Times New Roman"/>
          <w:sz w:val="24"/>
          <w:szCs w:val="24"/>
        </w:rPr>
        <w:t xml:space="preserve">Duke </w:t>
      </w:r>
      <w:r w:rsidR="002F530A" w:rsidRPr="002F530A">
        <w:rPr>
          <w:rFonts w:ascii="Times New Roman" w:hAnsi="Times New Roman" w:cs="Times New Roman"/>
          <w:sz w:val="24"/>
          <w:szCs w:val="24"/>
        </w:rPr>
        <w:t>had over the timing of the filing of this case, it has no equitable claim to the recovery of any costs incurred before the Commission issues an order in this case.</w:t>
      </w:r>
      <w:r w:rsidR="002F530A">
        <w:rPr>
          <w:rFonts w:ascii="Times New Roman" w:hAnsi="Times New Roman" w:cs="Times New Roman"/>
          <w:sz w:val="24"/>
          <w:szCs w:val="24"/>
        </w:rPr>
        <w:t xml:space="preserve"> </w:t>
      </w:r>
    </w:p>
    <w:p w:rsidR="002F530A" w:rsidRDefault="002F530A" w:rsidP="002F530A">
      <w:pPr>
        <w:tabs>
          <w:tab w:val="left" w:pos="-720"/>
        </w:tabs>
        <w:suppressAutoHyphens/>
        <w:ind w:firstLine="720"/>
        <w:rPr>
          <w:rFonts w:ascii="Times New Roman" w:hAnsi="Times New Roman" w:cs="Times New Roman"/>
          <w:spacing w:val="-3"/>
          <w:sz w:val="24"/>
          <w:szCs w:val="24"/>
        </w:rPr>
      </w:pPr>
      <w:r w:rsidRPr="006F46D2">
        <w:rPr>
          <w:rFonts w:ascii="Times New Roman" w:hAnsi="Times New Roman" w:cs="Times New Roman"/>
          <w:spacing w:val="-3"/>
          <w:sz w:val="24"/>
          <w:szCs w:val="24"/>
        </w:rPr>
        <w:t>The PUCO should recognize Duke’s  request for what it is—ratemaking that is retroactive—and not be fooled by surface arguments aimed at disguising the true nature of Duke’s request.  As noted by the Ohio Supreme Court, “[t]</w:t>
      </w:r>
      <w:proofErr w:type="spellStart"/>
      <w:r w:rsidRPr="006F46D2">
        <w:rPr>
          <w:rFonts w:ascii="Times New Roman" w:hAnsi="Times New Roman" w:cs="Times New Roman"/>
          <w:spacing w:val="-3"/>
          <w:sz w:val="24"/>
          <w:szCs w:val="24"/>
        </w:rPr>
        <w:t>oo</w:t>
      </w:r>
      <w:proofErr w:type="spellEnd"/>
      <w:r w:rsidRPr="006F46D2">
        <w:rPr>
          <w:rFonts w:ascii="Times New Roman" w:hAnsi="Times New Roman" w:cs="Times New Roman"/>
          <w:spacing w:val="-3"/>
          <w:sz w:val="24"/>
          <w:szCs w:val="24"/>
        </w:rPr>
        <w:t xml:space="preserve"> much legal ingenuity is today </w:t>
      </w:r>
      <w:r w:rsidRPr="006F46D2">
        <w:rPr>
          <w:rFonts w:ascii="Times New Roman" w:hAnsi="Times New Roman" w:cs="Times New Roman"/>
          <w:spacing w:val="-3"/>
          <w:sz w:val="24"/>
          <w:szCs w:val="24"/>
        </w:rPr>
        <w:lastRenderedPageBreak/>
        <w:t>employed in advising clients how to do a perfectly unlawful thing in a prima facie lawful way, and in advising courts to do a perfectly unconstitutional thing in a prima facie constitutional way.  Whether or not such sophistry shall succeed depends upon whether the courts shall regard the substance of things, or merely the surface of things.”</w:t>
      </w:r>
      <w:r w:rsidRPr="006F46D2">
        <w:rPr>
          <w:rStyle w:val="FootnoteReference"/>
          <w:rFonts w:ascii="Times New Roman" w:hAnsi="Times New Roman" w:cs="Times New Roman"/>
          <w:spacing w:val="-3"/>
          <w:sz w:val="24"/>
          <w:szCs w:val="24"/>
        </w:rPr>
        <w:footnoteReference w:id="182"/>
      </w:r>
    </w:p>
    <w:p w:rsidR="005C3CC6" w:rsidRPr="006F46D2" w:rsidRDefault="00016E0D" w:rsidP="00FB4463">
      <w:pPr>
        <w:pStyle w:val="Heading2"/>
      </w:pPr>
      <w:bookmarkStart w:id="31" w:name="_Toc362950006"/>
      <w:r>
        <w:t>G.</w:t>
      </w:r>
      <w:r w:rsidR="00D308F6">
        <w:tab/>
      </w:r>
      <w:r w:rsidR="005C3CC6" w:rsidRPr="006F46D2">
        <w:t xml:space="preserve">Permitting Duke </w:t>
      </w:r>
      <w:r w:rsidR="00C94A9C" w:rsidRPr="006F46D2">
        <w:t>To Transfer Capacity Revenues To An Affiliate Post Corporate Separation Is Unreasonable And Unlawful.</w:t>
      </w:r>
      <w:bookmarkEnd w:id="31"/>
      <w:r w:rsidR="00C94A9C" w:rsidRPr="006F46D2">
        <w:t xml:space="preserve">  </w:t>
      </w:r>
    </w:p>
    <w:p w:rsidR="0083026B" w:rsidRPr="00193CEF" w:rsidRDefault="00784D04" w:rsidP="00A955A2">
      <w:pPr>
        <w:ind w:firstLine="720"/>
        <w:rPr>
          <w:rFonts w:ascii="Times New Roman" w:hAnsi="Times New Roman" w:cs="Times New Roman"/>
          <w:sz w:val="24"/>
          <w:szCs w:val="24"/>
        </w:rPr>
      </w:pPr>
      <w:r w:rsidRPr="006F46D2">
        <w:rPr>
          <w:rFonts w:ascii="Times New Roman" w:hAnsi="Times New Roman" w:cs="Times New Roman"/>
          <w:sz w:val="24"/>
          <w:szCs w:val="24"/>
        </w:rPr>
        <w:t>Duke argues that end of the deferral period should be May 31, 2015</w:t>
      </w:r>
      <w:r w:rsidR="00491F1C">
        <w:rPr>
          <w:rFonts w:ascii="Times New Roman" w:hAnsi="Times New Roman" w:cs="Times New Roman"/>
          <w:sz w:val="24"/>
          <w:szCs w:val="24"/>
        </w:rPr>
        <w:t>,</w:t>
      </w:r>
      <w:r w:rsidRPr="006F46D2">
        <w:rPr>
          <w:rFonts w:ascii="Times New Roman" w:hAnsi="Times New Roman" w:cs="Times New Roman"/>
          <w:sz w:val="24"/>
          <w:szCs w:val="24"/>
        </w:rPr>
        <w:t xml:space="preserve"> instead of December 31, 2014, the deadline for corporate separation.</w:t>
      </w:r>
      <w:r w:rsidR="00750C68" w:rsidRPr="006F46D2">
        <w:rPr>
          <w:rStyle w:val="FootnoteReference"/>
          <w:rFonts w:ascii="Times New Roman" w:hAnsi="Times New Roman" w:cs="Times New Roman"/>
          <w:sz w:val="24"/>
          <w:szCs w:val="24"/>
        </w:rPr>
        <w:footnoteReference w:id="183"/>
      </w:r>
      <w:r w:rsidRPr="006F46D2">
        <w:rPr>
          <w:rFonts w:ascii="Times New Roman" w:hAnsi="Times New Roman" w:cs="Times New Roman"/>
          <w:sz w:val="24"/>
          <w:szCs w:val="24"/>
        </w:rPr>
        <w:t xml:space="preserve">  Duke claims that its corporate separation does not diminish its obligation to provide capacity services.</w:t>
      </w:r>
      <w:r w:rsidR="00750C68" w:rsidRPr="006F46D2">
        <w:rPr>
          <w:rStyle w:val="FootnoteReference"/>
          <w:rFonts w:ascii="Times New Roman" w:hAnsi="Times New Roman" w:cs="Times New Roman"/>
          <w:sz w:val="24"/>
          <w:szCs w:val="24"/>
        </w:rPr>
        <w:footnoteReference w:id="184"/>
      </w:r>
      <w:r w:rsidR="00A955A2">
        <w:rPr>
          <w:rFonts w:ascii="Times New Roman" w:hAnsi="Times New Roman" w:cs="Times New Roman"/>
          <w:sz w:val="24"/>
          <w:szCs w:val="24"/>
        </w:rPr>
        <w:t xml:space="preserve">  Duke relies upon the PUCO’s </w:t>
      </w:r>
      <w:r w:rsidRPr="006F46D2">
        <w:rPr>
          <w:rFonts w:ascii="Times New Roman" w:hAnsi="Times New Roman" w:cs="Times New Roman"/>
          <w:sz w:val="24"/>
          <w:szCs w:val="24"/>
        </w:rPr>
        <w:t xml:space="preserve">findings in the AEP </w:t>
      </w:r>
      <w:r w:rsidR="000B4D65">
        <w:rPr>
          <w:rFonts w:ascii="Times New Roman" w:hAnsi="Times New Roman" w:cs="Times New Roman"/>
          <w:sz w:val="24"/>
          <w:szCs w:val="24"/>
        </w:rPr>
        <w:t xml:space="preserve">ESP proceeding </w:t>
      </w:r>
      <w:r w:rsidRPr="006F46D2">
        <w:rPr>
          <w:rFonts w:ascii="Times New Roman" w:hAnsi="Times New Roman" w:cs="Times New Roman"/>
          <w:sz w:val="24"/>
          <w:szCs w:val="24"/>
        </w:rPr>
        <w:t xml:space="preserve">where the PUCO rejected </w:t>
      </w:r>
      <w:proofErr w:type="spellStart"/>
      <w:r w:rsidRPr="006F46D2">
        <w:rPr>
          <w:rFonts w:ascii="Times New Roman" w:hAnsi="Times New Roman" w:cs="Times New Roman"/>
          <w:sz w:val="24"/>
          <w:szCs w:val="24"/>
        </w:rPr>
        <w:t>intervenors</w:t>
      </w:r>
      <w:proofErr w:type="spellEnd"/>
      <w:r w:rsidRPr="006F46D2">
        <w:rPr>
          <w:rFonts w:ascii="Times New Roman" w:hAnsi="Times New Roman" w:cs="Times New Roman"/>
          <w:sz w:val="24"/>
          <w:szCs w:val="24"/>
        </w:rPr>
        <w:t xml:space="preserve">’ claims </w:t>
      </w:r>
      <w:r w:rsidR="00750C68" w:rsidRPr="006F46D2">
        <w:rPr>
          <w:rFonts w:ascii="Times New Roman" w:hAnsi="Times New Roman" w:cs="Times New Roman"/>
          <w:sz w:val="24"/>
          <w:szCs w:val="24"/>
        </w:rPr>
        <w:t>that transfer of cost-based capacity reven</w:t>
      </w:r>
      <w:r w:rsidR="006F46D2" w:rsidRPr="006F46D2">
        <w:rPr>
          <w:rFonts w:ascii="Times New Roman" w:hAnsi="Times New Roman" w:cs="Times New Roman"/>
          <w:sz w:val="24"/>
          <w:szCs w:val="24"/>
        </w:rPr>
        <w:t xml:space="preserve">ues </w:t>
      </w:r>
      <w:r w:rsidR="00750C68" w:rsidRPr="006F46D2">
        <w:rPr>
          <w:rFonts w:ascii="Times New Roman" w:hAnsi="Times New Roman" w:cs="Times New Roman"/>
          <w:sz w:val="24"/>
          <w:szCs w:val="24"/>
        </w:rPr>
        <w:t xml:space="preserve">to an affiliate was </w:t>
      </w:r>
      <w:r w:rsidRPr="006F46D2">
        <w:rPr>
          <w:rFonts w:ascii="Times New Roman" w:hAnsi="Times New Roman" w:cs="Times New Roman"/>
          <w:sz w:val="24"/>
          <w:szCs w:val="24"/>
        </w:rPr>
        <w:t>anti-competitive</w:t>
      </w:r>
      <w:r w:rsidR="006F46D2" w:rsidRPr="006F46D2">
        <w:rPr>
          <w:rFonts w:ascii="Times New Roman" w:hAnsi="Times New Roman" w:cs="Times New Roman"/>
          <w:sz w:val="24"/>
          <w:szCs w:val="24"/>
        </w:rPr>
        <w:t>.</w:t>
      </w:r>
      <w:r w:rsidR="00C94A9C">
        <w:rPr>
          <w:rFonts w:ascii="Times New Roman" w:hAnsi="Times New Roman" w:cs="Times New Roman"/>
          <w:sz w:val="24"/>
          <w:szCs w:val="24"/>
        </w:rPr>
        <w:t xml:space="preserve"> </w:t>
      </w:r>
      <w:r w:rsidRPr="006F46D2">
        <w:rPr>
          <w:rFonts w:ascii="Times New Roman" w:hAnsi="Times New Roman" w:cs="Times New Roman"/>
          <w:sz w:val="24"/>
          <w:szCs w:val="24"/>
        </w:rPr>
        <w:t xml:space="preserve"> </w:t>
      </w:r>
      <w:r w:rsidR="00A955A2">
        <w:rPr>
          <w:rFonts w:ascii="Times New Roman" w:hAnsi="Times New Roman" w:cs="Times New Roman"/>
          <w:sz w:val="24"/>
          <w:szCs w:val="24"/>
        </w:rPr>
        <w:t xml:space="preserve">Duke claims </w:t>
      </w:r>
      <w:r w:rsidR="00A955A2" w:rsidRPr="00193CEF">
        <w:rPr>
          <w:rFonts w:ascii="Times New Roman" w:hAnsi="Times New Roman" w:cs="Times New Roman"/>
          <w:sz w:val="24"/>
          <w:szCs w:val="24"/>
        </w:rPr>
        <w:t>that w</w:t>
      </w:r>
      <w:r w:rsidR="0083026B" w:rsidRPr="00193CEF">
        <w:rPr>
          <w:rFonts w:ascii="Times New Roman" w:hAnsi="Times New Roman" w:cs="Times New Roman"/>
          <w:sz w:val="24"/>
          <w:szCs w:val="24"/>
        </w:rPr>
        <w:t xml:space="preserve">ithout </w:t>
      </w:r>
      <w:r w:rsidR="00193CEF" w:rsidRPr="00193CEF">
        <w:rPr>
          <w:rFonts w:ascii="Times New Roman" w:hAnsi="Times New Roman" w:cs="Times New Roman"/>
          <w:sz w:val="24"/>
          <w:szCs w:val="24"/>
        </w:rPr>
        <w:t xml:space="preserve">the </w:t>
      </w:r>
      <w:r w:rsidR="0083026B" w:rsidRPr="00193CEF">
        <w:rPr>
          <w:rFonts w:ascii="Times New Roman" w:hAnsi="Times New Roman" w:cs="Times New Roman"/>
          <w:sz w:val="24"/>
          <w:szCs w:val="24"/>
        </w:rPr>
        <w:t xml:space="preserve">certainty of </w:t>
      </w:r>
      <w:r w:rsidR="00193CEF" w:rsidRPr="00193CEF">
        <w:rPr>
          <w:rFonts w:ascii="Times New Roman" w:hAnsi="Times New Roman" w:cs="Times New Roman"/>
          <w:sz w:val="24"/>
          <w:szCs w:val="24"/>
        </w:rPr>
        <w:t xml:space="preserve">such </w:t>
      </w:r>
      <w:r w:rsidR="0083026B" w:rsidRPr="00193CEF">
        <w:rPr>
          <w:rFonts w:ascii="Times New Roman" w:hAnsi="Times New Roman" w:cs="Times New Roman"/>
          <w:sz w:val="24"/>
          <w:szCs w:val="24"/>
        </w:rPr>
        <w:t>revenue there is “no assurance that the transferee will have the financial support necessary to enable it to provide capacity service to satisfy Duke’s obligations.</w:t>
      </w:r>
      <w:r w:rsidR="00047DEF" w:rsidRPr="00193CEF">
        <w:rPr>
          <w:rFonts w:ascii="Times New Roman" w:hAnsi="Times New Roman" w:cs="Times New Roman"/>
          <w:sz w:val="24"/>
          <w:szCs w:val="24"/>
        </w:rPr>
        <w:t>”</w:t>
      </w:r>
      <w:r w:rsidR="0083026B" w:rsidRPr="00193CEF">
        <w:rPr>
          <w:rFonts w:ascii="Times New Roman" w:hAnsi="Times New Roman" w:cs="Times New Roman"/>
          <w:sz w:val="24"/>
          <w:szCs w:val="24"/>
        </w:rPr>
        <w:t xml:space="preserve">   </w:t>
      </w:r>
    </w:p>
    <w:p w:rsidR="003F1967" w:rsidRDefault="003C3F9F" w:rsidP="003C3F9F">
      <w:pPr>
        <w:rPr>
          <w:rFonts w:ascii="Arial" w:eastAsia="Times New Roman" w:hAnsi="Arial" w:cs="Arial"/>
          <w:sz w:val="24"/>
          <w:szCs w:val="24"/>
        </w:rPr>
      </w:pPr>
      <w:r>
        <w:rPr>
          <w:rFonts w:ascii="Times New Roman" w:hAnsi="Times New Roman" w:cs="Times New Roman"/>
          <w:sz w:val="24"/>
          <w:szCs w:val="24"/>
        </w:rPr>
        <w:tab/>
      </w:r>
      <w:r w:rsidR="00B01429">
        <w:rPr>
          <w:rFonts w:ascii="Times New Roman" w:hAnsi="Times New Roman" w:cs="Times New Roman"/>
          <w:sz w:val="24"/>
          <w:szCs w:val="24"/>
        </w:rPr>
        <w:t>However, as argued in OCC’s Initial Brief, Duke should not be permitted to collect embedded capacity costs incurred after December 31, 2014</w:t>
      </w:r>
      <w:r w:rsidR="008A2A70">
        <w:rPr>
          <w:rFonts w:ascii="Times New Roman" w:hAnsi="Times New Roman" w:cs="Times New Roman"/>
          <w:sz w:val="24"/>
          <w:szCs w:val="24"/>
        </w:rPr>
        <w:t>,</w:t>
      </w:r>
      <w:r w:rsidR="00B01429">
        <w:rPr>
          <w:rFonts w:ascii="Times New Roman" w:hAnsi="Times New Roman" w:cs="Times New Roman"/>
          <w:sz w:val="24"/>
          <w:szCs w:val="24"/>
        </w:rPr>
        <w:t xml:space="preserve"> when it will be structurally separated.  Doing so violates not only the provisions of R.C.</w:t>
      </w:r>
      <w:r w:rsidR="003261AC">
        <w:rPr>
          <w:rFonts w:ascii="Times New Roman" w:hAnsi="Times New Roman" w:cs="Times New Roman"/>
          <w:sz w:val="24"/>
          <w:szCs w:val="24"/>
        </w:rPr>
        <w:t xml:space="preserve"> </w:t>
      </w:r>
      <w:r w:rsidR="00B01429">
        <w:rPr>
          <w:rFonts w:ascii="Times New Roman" w:hAnsi="Times New Roman" w:cs="Times New Roman"/>
          <w:sz w:val="24"/>
          <w:szCs w:val="24"/>
        </w:rPr>
        <w:t xml:space="preserve">4928.02(H) but also violates </w:t>
      </w:r>
      <w:r w:rsidRPr="00B01429">
        <w:rPr>
          <w:rFonts w:ascii="Times New Roman" w:eastAsia="Times New Roman" w:hAnsi="Times New Roman" w:cs="Times New Roman"/>
          <w:sz w:val="24"/>
          <w:szCs w:val="24"/>
        </w:rPr>
        <w:t>R.C. 4928.17(A</w:t>
      </w:r>
      <w:proofErr w:type="gramStart"/>
      <w:r w:rsidRPr="00B01429">
        <w:rPr>
          <w:rFonts w:ascii="Times New Roman" w:eastAsia="Times New Roman" w:hAnsi="Times New Roman" w:cs="Times New Roman"/>
          <w:sz w:val="24"/>
          <w:szCs w:val="24"/>
        </w:rPr>
        <w:t>)(</w:t>
      </w:r>
      <w:proofErr w:type="gramEnd"/>
      <w:r w:rsidRPr="00B01429">
        <w:rPr>
          <w:rFonts w:ascii="Times New Roman" w:eastAsia="Times New Roman" w:hAnsi="Times New Roman" w:cs="Times New Roman"/>
          <w:sz w:val="24"/>
          <w:szCs w:val="24"/>
        </w:rPr>
        <w:t>3)</w:t>
      </w:r>
      <w:r w:rsidR="00B01429" w:rsidRPr="00B01429">
        <w:rPr>
          <w:rFonts w:ascii="Times New Roman" w:eastAsia="Times New Roman" w:hAnsi="Times New Roman" w:cs="Times New Roman"/>
          <w:sz w:val="24"/>
          <w:szCs w:val="24"/>
        </w:rPr>
        <w:t>.</w:t>
      </w:r>
      <w:r w:rsidR="00B01429">
        <w:rPr>
          <w:rFonts w:ascii="Arial" w:eastAsia="Times New Roman" w:hAnsi="Arial" w:cs="Arial"/>
          <w:sz w:val="24"/>
          <w:szCs w:val="24"/>
        </w:rPr>
        <w:t xml:space="preserve">  </w:t>
      </w:r>
      <w:r w:rsidR="00B01429" w:rsidRPr="00B01429">
        <w:rPr>
          <w:rFonts w:ascii="Times New Roman" w:eastAsia="Times New Roman" w:hAnsi="Times New Roman" w:cs="Times New Roman"/>
          <w:sz w:val="24"/>
          <w:szCs w:val="24"/>
        </w:rPr>
        <w:t>That provision</w:t>
      </w:r>
      <w:r w:rsidRPr="00B01429">
        <w:rPr>
          <w:rFonts w:ascii="Times New Roman" w:eastAsia="Times New Roman" w:hAnsi="Times New Roman" w:cs="Times New Roman"/>
          <w:sz w:val="24"/>
          <w:szCs w:val="24"/>
        </w:rPr>
        <w:t xml:space="preserve"> </w:t>
      </w:r>
      <w:r w:rsidRPr="003C3F9F">
        <w:rPr>
          <w:rFonts w:ascii="Times New Roman" w:eastAsia="Times New Roman" w:hAnsi="Times New Roman" w:cs="Times New Roman"/>
          <w:sz w:val="24"/>
          <w:szCs w:val="24"/>
        </w:rPr>
        <w:t xml:space="preserve">prohibits </w:t>
      </w:r>
      <w:r w:rsidR="00B01429" w:rsidRPr="00B01429">
        <w:rPr>
          <w:rFonts w:ascii="Times New Roman" w:eastAsia="Times New Roman" w:hAnsi="Times New Roman" w:cs="Times New Roman"/>
          <w:sz w:val="24"/>
          <w:szCs w:val="24"/>
        </w:rPr>
        <w:t>Duke,</w:t>
      </w:r>
      <w:r w:rsidRPr="003C3F9F">
        <w:rPr>
          <w:rFonts w:ascii="Times New Roman" w:eastAsia="Times New Roman" w:hAnsi="Times New Roman" w:cs="Times New Roman"/>
          <w:sz w:val="24"/>
          <w:szCs w:val="24"/>
        </w:rPr>
        <w:t xml:space="preserve"> after its corporate separation,</w:t>
      </w:r>
      <w:r w:rsidRPr="00B01429">
        <w:rPr>
          <w:rFonts w:ascii="Times New Roman" w:eastAsia="Times New Roman" w:hAnsi="Times New Roman" w:cs="Times New Roman"/>
          <w:sz w:val="24"/>
          <w:szCs w:val="24"/>
        </w:rPr>
        <w:t xml:space="preserve"> </w:t>
      </w:r>
      <w:r w:rsidRPr="003C3F9F">
        <w:rPr>
          <w:rFonts w:ascii="Times New Roman" w:eastAsia="Times New Roman" w:hAnsi="Times New Roman" w:cs="Times New Roman"/>
          <w:sz w:val="24"/>
          <w:szCs w:val="24"/>
        </w:rPr>
        <w:t>from</w:t>
      </w:r>
      <w:r w:rsidR="00B01429" w:rsidRPr="00B01429">
        <w:rPr>
          <w:rFonts w:ascii="Times New Roman" w:eastAsia="Times New Roman" w:hAnsi="Times New Roman" w:cs="Times New Roman"/>
          <w:sz w:val="24"/>
          <w:szCs w:val="24"/>
        </w:rPr>
        <w:t xml:space="preserve"> extending </w:t>
      </w:r>
      <w:r w:rsidR="00B01429">
        <w:rPr>
          <w:rFonts w:ascii="Times New Roman" w:eastAsia="Times New Roman" w:hAnsi="Times New Roman" w:cs="Times New Roman"/>
          <w:sz w:val="24"/>
          <w:szCs w:val="24"/>
        </w:rPr>
        <w:t>“</w:t>
      </w:r>
      <w:r w:rsidRPr="003C3F9F">
        <w:rPr>
          <w:rFonts w:ascii="Times New Roman" w:eastAsia="Times New Roman" w:hAnsi="Times New Roman" w:cs="Times New Roman"/>
          <w:sz w:val="24"/>
          <w:szCs w:val="24"/>
        </w:rPr>
        <w:t>any</w:t>
      </w:r>
      <w:r w:rsidRPr="00B01429">
        <w:rPr>
          <w:rFonts w:ascii="Times New Roman" w:eastAsia="Times New Roman" w:hAnsi="Times New Roman" w:cs="Times New Roman"/>
          <w:sz w:val="24"/>
          <w:szCs w:val="24"/>
        </w:rPr>
        <w:t xml:space="preserve"> </w:t>
      </w:r>
      <w:r w:rsidRPr="003C3F9F">
        <w:rPr>
          <w:rFonts w:ascii="Times New Roman" w:eastAsia="Times New Roman" w:hAnsi="Times New Roman" w:cs="Times New Roman"/>
          <w:sz w:val="24"/>
          <w:szCs w:val="24"/>
        </w:rPr>
        <w:t>undue preference or advantage</w:t>
      </w:r>
      <w:r w:rsidRPr="00B01429">
        <w:rPr>
          <w:rFonts w:ascii="Times New Roman" w:eastAsia="Times New Roman" w:hAnsi="Times New Roman" w:cs="Times New Roman"/>
          <w:sz w:val="24"/>
          <w:szCs w:val="24"/>
        </w:rPr>
        <w:t xml:space="preserve"> </w:t>
      </w:r>
      <w:r w:rsidRPr="003C3F9F">
        <w:rPr>
          <w:rFonts w:ascii="Times New Roman" w:eastAsia="Times New Roman" w:hAnsi="Times New Roman" w:cs="Times New Roman"/>
          <w:sz w:val="24"/>
          <w:szCs w:val="24"/>
        </w:rPr>
        <w:t>to any</w:t>
      </w:r>
      <w:r w:rsidRPr="00B01429">
        <w:rPr>
          <w:rFonts w:ascii="Times New Roman" w:eastAsia="Times New Roman" w:hAnsi="Times New Roman" w:cs="Times New Roman"/>
          <w:sz w:val="24"/>
          <w:szCs w:val="24"/>
        </w:rPr>
        <w:t xml:space="preserve"> </w:t>
      </w:r>
      <w:r w:rsidRPr="003C3F9F">
        <w:rPr>
          <w:rFonts w:ascii="Times New Roman" w:eastAsia="Times New Roman" w:hAnsi="Times New Roman" w:cs="Times New Roman"/>
          <w:sz w:val="24"/>
          <w:szCs w:val="24"/>
        </w:rPr>
        <w:t xml:space="preserve">affiliate . . . engaged in </w:t>
      </w:r>
      <w:r w:rsidRPr="00B01429">
        <w:rPr>
          <w:rFonts w:ascii="Times New Roman" w:eastAsia="Times New Roman" w:hAnsi="Times New Roman" w:cs="Times New Roman"/>
          <w:sz w:val="24"/>
          <w:szCs w:val="24"/>
        </w:rPr>
        <w:t>t</w:t>
      </w:r>
      <w:r w:rsidRPr="003C3F9F">
        <w:rPr>
          <w:rFonts w:ascii="Times New Roman" w:eastAsia="Times New Roman" w:hAnsi="Times New Roman" w:cs="Times New Roman"/>
          <w:sz w:val="24"/>
          <w:szCs w:val="24"/>
        </w:rPr>
        <w:t>he business of supplying the competitive retail electric service.”</w:t>
      </w:r>
      <w:r w:rsidRPr="00B01429">
        <w:rPr>
          <w:rFonts w:ascii="Times New Roman" w:eastAsia="Times New Roman" w:hAnsi="Times New Roman" w:cs="Times New Roman"/>
          <w:sz w:val="24"/>
          <w:szCs w:val="24"/>
        </w:rPr>
        <w:t xml:space="preserve">  </w:t>
      </w:r>
      <w:r w:rsidR="00B01429" w:rsidRPr="00B01429">
        <w:rPr>
          <w:rFonts w:ascii="Times New Roman" w:eastAsia="Times New Roman" w:hAnsi="Times New Roman" w:cs="Times New Roman"/>
          <w:sz w:val="24"/>
          <w:szCs w:val="24"/>
        </w:rPr>
        <w:t xml:space="preserve">It also </w:t>
      </w:r>
      <w:r w:rsidR="00B01429">
        <w:rPr>
          <w:rFonts w:ascii="Times New Roman" w:eastAsia="Times New Roman" w:hAnsi="Times New Roman" w:cs="Times New Roman"/>
          <w:sz w:val="24"/>
          <w:szCs w:val="24"/>
        </w:rPr>
        <w:t>prohibits an affiliate from rec</w:t>
      </w:r>
      <w:r w:rsidR="00B01429" w:rsidRPr="00B01429">
        <w:rPr>
          <w:rFonts w:ascii="Times New Roman" w:eastAsia="Times New Roman" w:hAnsi="Times New Roman" w:cs="Times New Roman"/>
          <w:sz w:val="24"/>
          <w:szCs w:val="24"/>
        </w:rPr>
        <w:t>e</w:t>
      </w:r>
      <w:r w:rsidR="00B01429">
        <w:rPr>
          <w:rFonts w:ascii="Times New Roman" w:eastAsia="Times New Roman" w:hAnsi="Times New Roman" w:cs="Times New Roman"/>
          <w:sz w:val="24"/>
          <w:szCs w:val="24"/>
        </w:rPr>
        <w:t>i</w:t>
      </w:r>
      <w:r w:rsidR="00B01429" w:rsidRPr="00B01429">
        <w:rPr>
          <w:rFonts w:ascii="Times New Roman" w:eastAsia="Times New Roman" w:hAnsi="Times New Roman" w:cs="Times New Roman"/>
          <w:sz w:val="24"/>
          <w:szCs w:val="24"/>
        </w:rPr>
        <w:t>v</w:t>
      </w:r>
      <w:r w:rsidR="00B01429">
        <w:rPr>
          <w:rFonts w:ascii="Times New Roman" w:eastAsia="Times New Roman" w:hAnsi="Times New Roman" w:cs="Times New Roman"/>
          <w:sz w:val="24"/>
          <w:szCs w:val="24"/>
        </w:rPr>
        <w:t>i</w:t>
      </w:r>
      <w:r w:rsidR="00B01429" w:rsidRPr="00B01429">
        <w:rPr>
          <w:rFonts w:ascii="Times New Roman" w:eastAsia="Times New Roman" w:hAnsi="Times New Roman" w:cs="Times New Roman"/>
          <w:sz w:val="24"/>
          <w:szCs w:val="24"/>
        </w:rPr>
        <w:t xml:space="preserve">ng “undue preference or advantage from any affiliate, </w:t>
      </w:r>
      <w:r w:rsidR="00B01429" w:rsidRPr="00B01429">
        <w:rPr>
          <w:rFonts w:ascii="Times New Roman" w:eastAsia="Times New Roman" w:hAnsi="Times New Roman" w:cs="Times New Roman"/>
          <w:sz w:val="24"/>
          <w:szCs w:val="24"/>
        </w:rPr>
        <w:lastRenderedPageBreak/>
        <w:t>division or part of the business engaged in business of supplying the noncompetitive retail electric service</w:t>
      </w:r>
      <w:r w:rsidR="00B01429">
        <w:rPr>
          <w:rFonts w:ascii="Arial" w:eastAsia="Times New Roman" w:hAnsi="Arial" w:cs="Arial"/>
          <w:sz w:val="24"/>
          <w:szCs w:val="24"/>
        </w:rPr>
        <w:t xml:space="preserve">.”  </w:t>
      </w:r>
    </w:p>
    <w:p w:rsidR="007D6E27" w:rsidRDefault="007D6E27" w:rsidP="003C3F9F">
      <w:pPr>
        <w:rPr>
          <w:rFonts w:ascii="Times New Roman" w:eastAsia="Times New Roman" w:hAnsi="Times New Roman" w:cs="Times New Roman"/>
          <w:sz w:val="24"/>
          <w:szCs w:val="24"/>
        </w:rPr>
      </w:pPr>
      <w:r>
        <w:rPr>
          <w:rFonts w:ascii="Arial" w:eastAsia="Times New Roman" w:hAnsi="Arial" w:cs="Arial"/>
          <w:sz w:val="24"/>
          <w:szCs w:val="24"/>
        </w:rPr>
        <w:tab/>
      </w:r>
      <w:r w:rsidRPr="0016684F">
        <w:rPr>
          <w:rFonts w:ascii="Times New Roman" w:eastAsia="Times New Roman" w:hAnsi="Times New Roman" w:cs="Times New Roman"/>
          <w:sz w:val="24"/>
          <w:szCs w:val="24"/>
        </w:rPr>
        <w:t xml:space="preserve">The PUCO, however, in the AEP ESP case, failed to address claims that transferring the capacity and RSR revenues from an EDU to an affiliate violates the corporate separation provisions of the Code.  Rather the PUCO focused on the </w:t>
      </w:r>
      <w:proofErr w:type="spellStart"/>
      <w:r w:rsidRPr="0016684F">
        <w:rPr>
          <w:rFonts w:ascii="Times New Roman" w:eastAsia="Times New Roman" w:hAnsi="Times New Roman" w:cs="Times New Roman"/>
          <w:sz w:val="24"/>
          <w:szCs w:val="24"/>
        </w:rPr>
        <w:t>intervenors</w:t>
      </w:r>
      <w:proofErr w:type="spellEnd"/>
      <w:r w:rsidRPr="0016684F">
        <w:rPr>
          <w:rFonts w:ascii="Times New Roman" w:eastAsia="Times New Roman" w:hAnsi="Times New Roman" w:cs="Times New Roman"/>
          <w:sz w:val="24"/>
          <w:szCs w:val="24"/>
        </w:rPr>
        <w:t>’ claim of subsidies under R.C. 4928.02(H), finding that there could be no subsidy because the generating affiliate is receiving the actual cost of service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85"/>
      </w:r>
    </w:p>
    <w:p w:rsidR="008A2A70" w:rsidRDefault="00132564" w:rsidP="003C3F9F">
      <w:pPr>
        <w:rPr>
          <w:rFonts w:ascii="Arial" w:eastAsia="Times New Roman" w:hAnsi="Arial" w:cs="Arial"/>
          <w:sz w:val="24"/>
          <w:szCs w:val="24"/>
        </w:rPr>
      </w:pPr>
      <w:r>
        <w:rPr>
          <w:rFonts w:ascii="Times New Roman" w:eastAsia="Times New Roman" w:hAnsi="Times New Roman" w:cs="Times New Roman"/>
          <w:sz w:val="24"/>
          <w:szCs w:val="24"/>
        </w:rPr>
        <w:tab/>
        <w:t xml:space="preserve">Under the corporate separation law, the affiliate can receive no “undue preference” or “advantage.”  But here the affiliate would be receiving a “regulated” revenue stream that other </w:t>
      </w:r>
      <w:r w:rsidR="00047434">
        <w:rPr>
          <w:rFonts w:ascii="Times New Roman" w:eastAsia="Times New Roman" w:hAnsi="Times New Roman" w:cs="Times New Roman"/>
          <w:sz w:val="24"/>
          <w:szCs w:val="24"/>
        </w:rPr>
        <w:t>marketers</w:t>
      </w:r>
      <w:r>
        <w:rPr>
          <w:rFonts w:ascii="Times New Roman" w:eastAsia="Times New Roman" w:hAnsi="Times New Roman" w:cs="Times New Roman"/>
          <w:sz w:val="24"/>
          <w:szCs w:val="24"/>
        </w:rPr>
        <w:t xml:space="preserve"> do not receive.  And the revenue stream paid for by Duke’s customers will afford the Duke affiliate something other </w:t>
      </w:r>
      <w:r w:rsidR="00047434">
        <w:rPr>
          <w:rFonts w:ascii="Times New Roman" w:eastAsia="Times New Roman" w:hAnsi="Times New Roman" w:cs="Times New Roman"/>
          <w:sz w:val="24"/>
          <w:szCs w:val="24"/>
        </w:rPr>
        <w:t>marketers</w:t>
      </w:r>
      <w:r>
        <w:rPr>
          <w:rFonts w:ascii="Times New Roman" w:eastAsia="Times New Roman" w:hAnsi="Times New Roman" w:cs="Times New Roman"/>
          <w:sz w:val="24"/>
          <w:szCs w:val="24"/>
        </w:rPr>
        <w:t xml:space="preserve"> cannot receive in the market—compensation for capa</w:t>
      </w:r>
      <w:r w:rsidR="00E71CDD">
        <w:rPr>
          <w:rFonts w:ascii="Times New Roman" w:eastAsia="Times New Roman" w:hAnsi="Times New Roman" w:cs="Times New Roman"/>
          <w:sz w:val="24"/>
          <w:szCs w:val="24"/>
        </w:rPr>
        <w:t xml:space="preserve">city at </w:t>
      </w:r>
      <w:r>
        <w:rPr>
          <w:rFonts w:ascii="Times New Roman" w:eastAsia="Times New Roman" w:hAnsi="Times New Roman" w:cs="Times New Roman"/>
          <w:sz w:val="24"/>
          <w:szCs w:val="24"/>
        </w:rPr>
        <w:t>full</w:t>
      </w:r>
      <w:r w:rsidR="00E71CD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embedded cost.  </w:t>
      </w:r>
      <w:r>
        <w:rPr>
          <w:rFonts w:ascii="Arial" w:eastAsia="Times New Roman" w:hAnsi="Arial" w:cs="Arial"/>
          <w:sz w:val="24"/>
          <w:szCs w:val="24"/>
        </w:rPr>
        <w:tab/>
      </w:r>
    </w:p>
    <w:p w:rsidR="000A5925" w:rsidRDefault="00132564" w:rsidP="00731C91">
      <w:pPr>
        <w:ind w:firstLine="720"/>
        <w:rPr>
          <w:rFonts w:ascii="Arial" w:eastAsia="Times New Roman" w:hAnsi="Arial" w:cs="Arial"/>
          <w:sz w:val="24"/>
          <w:szCs w:val="24"/>
        </w:rPr>
      </w:pPr>
      <w:r w:rsidRPr="00E71CDD">
        <w:rPr>
          <w:rFonts w:ascii="Times New Roman" w:eastAsia="Times New Roman" w:hAnsi="Times New Roman" w:cs="Times New Roman"/>
          <w:sz w:val="24"/>
          <w:szCs w:val="24"/>
        </w:rPr>
        <w:t>Moreover, as argued in OCC’s Initial Brief</w:t>
      </w:r>
      <w:r w:rsidR="00E71CDD">
        <w:rPr>
          <w:rFonts w:ascii="Times New Roman" w:eastAsia="Times New Roman" w:hAnsi="Times New Roman" w:cs="Times New Roman"/>
          <w:sz w:val="24"/>
          <w:szCs w:val="24"/>
        </w:rPr>
        <w:t>,</w:t>
      </w:r>
      <w:r w:rsidR="00E71CDD" w:rsidRPr="00E71CDD">
        <w:rPr>
          <w:rStyle w:val="FootnoteReference"/>
          <w:rFonts w:ascii="Times New Roman" w:eastAsia="Times New Roman" w:hAnsi="Times New Roman" w:cs="Times New Roman"/>
          <w:sz w:val="24"/>
          <w:szCs w:val="24"/>
        </w:rPr>
        <w:footnoteReference w:id="186"/>
      </w:r>
      <w:r w:rsidRPr="00E71CDD">
        <w:rPr>
          <w:rFonts w:ascii="Times New Roman" w:eastAsia="Times New Roman" w:hAnsi="Times New Roman" w:cs="Times New Roman"/>
          <w:sz w:val="24"/>
          <w:szCs w:val="24"/>
        </w:rPr>
        <w:t xml:space="preserve"> Duke is not rendering a public utility service to retail customers for the charge it seeks in this case.  The service in question is provided by Duke to </w:t>
      </w:r>
      <w:r w:rsidR="00047434">
        <w:rPr>
          <w:rFonts w:ascii="Times New Roman" w:eastAsia="Times New Roman" w:hAnsi="Times New Roman" w:cs="Times New Roman"/>
          <w:sz w:val="24"/>
          <w:szCs w:val="24"/>
        </w:rPr>
        <w:t>marketers</w:t>
      </w:r>
      <w:r w:rsidR="00E71CDD">
        <w:rPr>
          <w:rFonts w:ascii="Times New Roman" w:eastAsia="Times New Roman" w:hAnsi="Times New Roman" w:cs="Times New Roman"/>
          <w:sz w:val="24"/>
          <w:szCs w:val="24"/>
        </w:rPr>
        <w:t xml:space="preserve"> and winners of the auctions, not to juri</w:t>
      </w:r>
      <w:r w:rsidR="003261AC">
        <w:rPr>
          <w:rFonts w:ascii="Times New Roman" w:eastAsia="Times New Roman" w:hAnsi="Times New Roman" w:cs="Times New Roman"/>
          <w:sz w:val="24"/>
          <w:szCs w:val="24"/>
        </w:rPr>
        <w:t>sd</w:t>
      </w:r>
      <w:r w:rsidR="00E71CDD">
        <w:rPr>
          <w:rFonts w:ascii="Times New Roman" w:eastAsia="Times New Roman" w:hAnsi="Times New Roman" w:cs="Times New Roman"/>
          <w:sz w:val="24"/>
          <w:szCs w:val="24"/>
        </w:rPr>
        <w:t>i</w:t>
      </w:r>
      <w:r w:rsidR="003261AC">
        <w:rPr>
          <w:rFonts w:ascii="Times New Roman" w:eastAsia="Times New Roman" w:hAnsi="Times New Roman" w:cs="Times New Roman"/>
          <w:sz w:val="24"/>
          <w:szCs w:val="24"/>
        </w:rPr>
        <w:t>c</w:t>
      </w:r>
      <w:r w:rsidR="00E71CDD">
        <w:rPr>
          <w:rFonts w:ascii="Times New Roman" w:eastAsia="Times New Roman" w:hAnsi="Times New Roman" w:cs="Times New Roman"/>
          <w:sz w:val="24"/>
          <w:szCs w:val="24"/>
        </w:rPr>
        <w:t>tional customers</w:t>
      </w:r>
      <w:r w:rsidRPr="00E71CDD">
        <w:rPr>
          <w:rFonts w:ascii="Times New Roman" w:eastAsia="Times New Roman" w:hAnsi="Times New Roman" w:cs="Times New Roman"/>
          <w:sz w:val="24"/>
          <w:szCs w:val="24"/>
        </w:rPr>
        <w:t xml:space="preserve">.  </w:t>
      </w:r>
      <w:r w:rsidR="00E71CDD">
        <w:rPr>
          <w:rFonts w:ascii="Times New Roman" w:eastAsia="Times New Roman" w:hAnsi="Times New Roman" w:cs="Times New Roman"/>
          <w:sz w:val="24"/>
          <w:szCs w:val="24"/>
        </w:rPr>
        <w:t xml:space="preserve">The PUCO is without any statutory authority to regulate the rates charged to </w:t>
      </w:r>
      <w:r w:rsidR="00047434">
        <w:rPr>
          <w:rFonts w:ascii="Times New Roman" w:eastAsia="Times New Roman" w:hAnsi="Times New Roman" w:cs="Times New Roman"/>
          <w:sz w:val="24"/>
          <w:szCs w:val="24"/>
        </w:rPr>
        <w:t>marketers</w:t>
      </w:r>
      <w:r w:rsidR="00E71CDD">
        <w:rPr>
          <w:rFonts w:ascii="Times New Roman" w:eastAsia="Times New Roman" w:hAnsi="Times New Roman" w:cs="Times New Roman"/>
          <w:sz w:val="24"/>
          <w:szCs w:val="24"/>
        </w:rPr>
        <w:t xml:space="preserve"> and the winners of auctions.</w:t>
      </w:r>
      <w:r w:rsidR="00E71CDD">
        <w:rPr>
          <w:rStyle w:val="FootnoteReference"/>
          <w:rFonts w:ascii="Times New Roman" w:eastAsia="Times New Roman" w:hAnsi="Times New Roman" w:cs="Times New Roman"/>
          <w:sz w:val="24"/>
          <w:szCs w:val="24"/>
        </w:rPr>
        <w:footnoteReference w:id="187"/>
      </w:r>
      <w:r w:rsidR="00E71CDD">
        <w:rPr>
          <w:rFonts w:ascii="Times New Roman" w:eastAsia="Times New Roman" w:hAnsi="Times New Roman" w:cs="Times New Roman"/>
          <w:sz w:val="24"/>
          <w:szCs w:val="24"/>
        </w:rPr>
        <w:t xml:space="preserve"> </w:t>
      </w:r>
      <w:r w:rsidRPr="00E71CDD">
        <w:rPr>
          <w:rFonts w:ascii="Times New Roman" w:eastAsia="Times New Roman" w:hAnsi="Times New Roman" w:cs="Times New Roman"/>
          <w:sz w:val="24"/>
          <w:szCs w:val="24"/>
        </w:rPr>
        <w:t xml:space="preserve"> </w:t>
      </w:r>
      <w:r w:rsidR="00E71CDD">
        <w:rPr>
          <w:rFonts w:ascii="Times New Roman" w:eastAsia="Times New Roman" w:hAnsi="Times New Roman" w:cs="Times New Roman"/>
          <w:sz w:val="24"/>
          <w:szCs w:val="24"/>
        </w:rPr>
        <w:t xml:space="preserve">Thus the cost of these </w:t>
      </w:r>
      <w:r w:rsidR="00047434">
        <w:rPr>
          <w:rFonts w:ascii="Times New Roman" w:eastAsia="Times New Roman" w:hAnsi="Times New Roman" w:cs="Times New Roman"/>
          <w:sz w:val="24"/>
          <w:szCs w:val="24"/>
        </w:rPr>
        <w:t>marketers’</w:t>
      </w:r>
      <w:r w:rsidR="00E71CDD">
        <w:rPr>
          <w:rFonts w:ascii="Times New Roman" w:eastAsia="Times New Roman" w:hAnsi="Times New Roman" w:cs="Times New Roman"/>
          <w:sz w:val="24"/>
          <w:szCs w:val="24"/>
        </w:rPr>
        <w:t xml:space="preserve"> services cannot by definition be costs attributable to service that the Commission regulates under Chapter 4909.  They are not costs that the PUCO may consider when fixing just, reasonable, and compensatory rates under R.C. 4909.151. </w:t>
      </w:r>
    </w:p>
    <w:p w:rsidR="00227511" w:rsidRPr="00227511" w:rsidRDefault="00016E0D" w:rsidP="00FB4463">
      <w:pPr>
        <w:pStyle w:val="Heading2"/>
      </w:pPr>
      <w:bookmarkStart w:id="32" w:name="_Toc362950007"/>
      <w:r>
        <w:lastRenderedPageBreak/>
        <w:t>H</w:t>
      </w:r>
      <w:r w:rsidR="00D308F6">
        <w:t>.</w:t>
      </w:r>
      <w:r w:rsidR="00D308F6">
        <w:tab/>
      </w:r>
      <w:r w:rsidR="00BB5D3D">
        <w:t>Duke</w:t>
      </w:r>
      <w:r w:rsidR="00840741">
        <w:t xml:space="preserve"> </w:t>
      </w:r>
      <w:r w:rsidR="00C94A9C">
        <w:t>Has Not Used The Most Current Projections In Its Applications In Either Its Pro Forma Financials Or Its Revenue Requirement.</w:t>
      </w:r>
      <w:bookmarkEnd w:id="32"/>
    </w:p>
    <w:p w:rsidR="00AB1675" w:rsidRPr="00227511" w:rsidRDefault="00287B31" w:rsidP="00C94A9C">
      <w:pPr>
        <w:ind w:firstLine="720"/>
        <w:rPr>
          <w:rFonts w:ascii="Times New Roman" w:hAnsi="Times New Roman" w:cs="Times New Roman"/>
          <w:sz w:val="24"/>
          <w:szCs w:val="24"/>
        </w:rPr>
      </w:pPr>
      <w:r w:rsidRPr="00227511">
        <w:rPr>
          <w:rFonts w:ascii="Times New Roman" w:hAnsi="Times New Roman" w:cs="Times New Roman"/>
          <w:sz w:val="24"/>
          <w:szCs w:val="24"/>
        </w:rPr>
        <w:t xml:space="preserve">Duke argues that its use of </w:t>
      </w:r>
      <w:r w:rsidRPr="00227511">
        <w:rPr>
          <w:rFonts w:ascii="Times New Roman" w:hAnsi="Times New Roman" w:cs="Times New Roman"/>
          <w:i/>
          <w:sz w:val="24"/>
          <w:szCs w:val="24"/>
        </w:rPr>
        <w:t>the most current projections</w:t>
      </w:r>
      <w:r w:rsidRPr="00227511">
        <w:rPr>
          <w:rFonts w:ascii="Times New Roman" w:hAnsi="Times New Roman" w:cs="Times New Roman"/>
          <w:sz w:val="24"/>
          <w:szCs w:val="24"/>
        </w:rPr>
        <w:t xml:space="preserve"> </w:t>
      </w:r>
      <w:r w:rsidRPr="00227511">
        <w:rPr>
          <w:rFonts w:ascii="Times New Roman" w:hAnsi="Times New Roman" w:cs="Times New Roman"/>
          <w:i/>
          <w:sz w:val="24"/>
          <w:szCs w:val="24"/>
        </w:rPr>
        <w:t>as of the date of its August 201</w:t>
      </w:r>
      <w:r w:rsidR="008328F2" w:rsidRPr="00227511">
        <w:rPr>
          <w:rFonts w:ascii="Times New Roman" w:hAnsi="Times New Roman" w:cs="Times New Roman"/>
          <w:i/>
          <w:sz w:val="24"/>
          <w:szCs w:val="24"/>
        </w:rPr>
        <w:t>2</w:t>
      </w:r>
      <w:r w:rsidRPr="00227511">
        <w:rPr>
          <w:rFonts w:ascii="Times New Roman" w:hAnsi="Times New Roman" w:cs="Times New Roman"/>
          <w:i/>
          <w:sz w:val="24"/>
          <w:szCs w:val="24"/>
        </w:rPr>
        <w:t xml:space="preserve"> filing </w:t>
      </w:r>
      <w:r w:rsidRPr="00227511">
        <w:rPr>
          <w:rFonts w:ascii="Times New Roman" w:hAnsi="Times New Roman" w:cs="Times New Roman"/>
          <w:sz w:val="24"/>
          <w:szCs w:val="24"/>
        </w:rPr>
        <w:t>is appropriate.</w:t>
      </w:r>
      <w:r w:rsidR="00476D28">
        <w:rPr>
          <w:rStyle w:val="FootnoteReference"/>
          <w:rFonts w:ascii="Times New Roman" w:hAnsi="Times New Roman" w:cs="Times New Roman"/>
          <w:sz w:val="24"/>
          <w:szCs w:val="24"/>
        </w:rPr>
        <w:footnoteReference w:id="188"/>
      </w:r>
      <w:r w:rsidRPr="00227511">
        <w:rPr>
          <w:rFonts w:ascii="Times New Roman" w:hAnsi="Times New Roman" w:cs="Times New Roman"/>
          <w:sz w:val="24"/>
          <w:szCs w:val="24"/>
        </w:rPr>
        <w:t xml:space="preserve">  </w:t>
      </w:r>
      <w:r w:rsidR="008328F2" w:rsidRPr="00227511">
        <w:rPr>
          <w:rFonts w:ascii="Times New Roman" w:hAnsi="Times New Roman" w:cs="Times New Roman"/>
          <w:sz w:val="24"/>
          <w:szCs w:val="24"/>
        </w:rPr>
        <w:t>By this</w:t>
      </w:r>
      <w:r w:rsidR="002E5564" w:rsidRPr="00227511">
        <w:rPr>
          <w:rFonts w:ascii="Times New Roman" w:hAnsi="Times New Roman" w:cs="Times New Roman"/>
          <w:sz w:val="24"/>
          <w:szCs w:val="24"/>
        </w:rPr>
        <w:t>,</w:t>
      </w:r>
      <w:r w:rsidR="008328F2" w:rsidRPr="00227511">
        <w:rPr>
          <w:rFonts w:ascii="Times New Roman" w:hAnsi="Times New Roman" w:cs="Times New Roman"/>
          <w:sz w:val="24"/>
          <w:szCs w:val="24"/>
        </w:rPr>
        <w:t xml:space="preserve"> D</w:t>
      </w:r>
      <w:r w:rsidR="002E5564" w:rsidRPr="00227511">
        <w:rPr>
          <w:rFonts w:ascii="Times New Roman" w:hAnsi="Times New Roman" w:cs="Times New Roman"/>
          <w:sz w:val="24"/>
          <w:szCs w:val="24"/>
        </w:rPr>
        <w:t xml:space="preserve">uke is referring to use of projections in its pro forma statements, as presented by Mr. Savoy.  </w:t>
      </w:r>
      <w:r w:rsidR="001243A0" w:rsidRPr="00227511">
        <w:rPr>
          <w:rFonts w:ascii="Times New Roman" w:hAnsi="Times New Roman" w:cs="Times New Roman"/>
          <w:sz w:val="24"/>
          <w:szCs w:val="24"/>
        </w:rPr>
        <w:t>P</w:t>
      </w:r>
      <w:r w:rsidR="0019239C" w:rsidRPr="00227511">
        <w:rPr>
          <w:rFonts w:ascii="Times New Roman" w:hAnsi="Times New Roman" w:cs="Times New Roman"/>
          <w:sz w:val="24"/>
          <w:szCs w:val="24"/>
        </w:rPr>
        <w:t>art of Mr. Savoy’s pro forma</w:t>
      </w:r>
      <w:r w:rsidR="00840741" w:rsidRPr="00227511">
        <w:rPr>
          <w:rFonts w:ascii="Times New Roman" w:hAnsi="Times New Roman" w:cs="Times New Roman"/>
          <w:sz w:val="24"/>
          <w:szCs w:val="24"/>
        </w:rPr>
        <w:t xml:space="preserve"> </w:t>
      </w:r>
      <w:r w:rsidR="0019239C" w:rsidRPr="00227511">
        <w:rPr>
          <w:rFonts w:ascii="Times New Roman" w:hAnsi="Times New Roman" w:cs="Times New Roman"/>
          <w:sz w:val="24"/>
          <w:szCs w:val="24"/>
        </w:rPr>
        <w:t>projections</w:t>
      </w:r>
      <w:r w:rsidR="001243A0" w:rsidRPr="00227511">
        <w:rPr>
          <w:rFonts w:ascii="Times New Roman" w:hAnsi="Times New Roman" w:cs="Times New Roman"/>
          <w:sz w:val="24"/>
          <w:szCs w:val="24"/>
        </w:rPr>
        <w:t xml:space="preserve">--operating expenses </w:t>
      </w:r>
      <w:r w:rsidR="0019239C" w:rsidRPr="00227511">
        <w:rPr>
          <w:rFonts w:ascii="Times New Roman" w:hAnsi="Times New Roman" w:cs="Times New Roman"/>
          <w:sz w:val="24"/>
          <w:szCs w:val="24"/>
        </w:rPr>
        <w:t xml:space="preserve"> (lines 12-18) are based on 2 &amp; 10 data—two months actual, 10 months estimated</w:t>
      </w:r>
      <w:r w:rsidR="001243A0" w:rsidRPr="00227511">
        <w:rPr>
          <w:rFonts w:ascii="Times New Roman" w:hAnsi="Times New Roman" w:cs="Times New Roman"/>
          <w:sz w:val="24"/>
          <w:szCs w:val="24"/>
        </w:rPr>
        <w:t xml:space="preserve"> for 2012.</w:t>
      </w:r>
      <w:r w:rsidR="001243A0">
        <w:rPr>
          <w:rStyle w:val="FootnoteReference"/>
          <w:rFonts w:ascii="Times New Roman" w:hAnsi="Times New Roman" w:cs="Times New Roman"/>
          <w:sz w:val="24"/>
          <w:szCs w:val="24"/>
        </w:rPr>
        <w:footnoteReference w:id="189"/>
      </w:r>
      <w:r w:rsidR="001243A0" w:rsidRPr="00227511">
        <w:rPr>
          <w:rFonts w:ascii="Times New Roman" w:hAnsi="Times New Roman" w:cs="Times New Roman"/>
          <w:sz w:val="24"/>
          <w:szCs w:val="24"/>
        </w:rPr>
        <w:t xml:space="preserve">  The other part of Mr. Savoy’s pro forma projections—operating revenues (lines 1-11) were derived from a June 28, 2012 commercial business model run that related to a 2012 budget containing 6 months actual and 6 months projected data.</w:t>
      </w:r>
      <w:r w:rsidR="001243A0">
        <w:rPr>
          <w:rStyle w:val="FootnoteReference"/>
          <w:rFonts w:ascii="Times New Roman" w:hAnsi="Times New Roman" w:cs="Times New Roman"/>
          <w:sz w:val="24"/>
          <w:szCs w:val="24"/>
        </w:rPr>
        <w:footnoteReference w:id="190"/>
      </w:r>
      <w:r w:rsidR="001243A0" w:rsidRPr="00227511">
        <w:rPr>
          <w:rFonts w:ascii="Times New Roman" w:hAnsi="Times New Roman" w:cs="Times New Roman"/>
          <w:sz w:val="24"/>
          <w:szCs w:val="24"/>
        </w:rPr>
        <w:t xml:space="preserve">  </w:t>
      </w:r>
      <w:r w:rsidR="00AB1675" w:rsidRPr="00227511">
        <w:rPr>
          <w:rFonts w:ascii="Times New Roman" w:hAnsi="Times New Roman" w:cs="Times New Roman"/>
          <w:sz w:val="24"/>
          <w:szCs w:val="24"/>
        </w:rPr>
        <w:t>Mr. Savoy’s pro form projections were then relied upon by all of the other Duke Witnesses</w:t>
      </w:r>
      <w:r w:rsidR="00AB1675">
        <w:rPr>
          <w:rStyle w:val="FootnoteReference"/>
          <w:rFonts w:ascii="Times New Roman" w:hAnsi="Times New Roman" w:cs="Times New Roman"/>
          <w:sz w:val="24"/>
          <w:szCs w:val="24"/>
        </w:rPr>
        <w:footnoteReference w:id="191"/>
      </w:r>
      <w:r w:rsidR="00AB1675" w:rsidRPr="00227511">
        <w:rPr>
          <w:rFonts w:ascii="Times New Roman" w:hAnsi="Times New Roman" w:cs="Times New Roman"/>
          <w:sz w:val="24"/>
          <w:szCs w:val="24"/>
        </w:rPr>
        <w:t xml:space="preserve"> to prove that Duke’s financial integrity “is in a dire and precarious position.”</w:t>
      </w:r>
      <w:r w:rsidR="00AB1675">
        <w:rPr>
          <w:rStyle w:val="FootnoteReference"/>
          <w:rFonts w:ascii="Times New Roman" w:hAnsi="Times New Roman" w:cs="Times New Roman"/>
          <w:sz w:val="24"/>
          <w:szCs w:val="24"/>
        </w:rPr>
        <w:footnoteReference w:id="192"/>
      </w:r>
    </w:p>
    <w:p w:rsidR="0018487D" w:rsidRPr="00193CEF" w:rsidRDefault="00AB1675" w:rsidP="00AB1675">
      <w:pPr>
        <w:ind w:firstLine="720"/>
        <w:rPr>
          <w:rFonts w:ascii="Times New Roman" w:hAnsi="Times New Roman" w:cs="Times New Roman"/>
          <w:sz w:val="24"/>
          <w:szCs w:val="24"/>
        </w:rPr>
      </w:pPr>
      <w:r>
        <w:rPr>
          <w:rFonts w:ascii="Times New Roman" w:hAnsi="Times New Roman" w:cs="Times New Roman"/>
          <w:sz w:val="24"/>
          <w:szCs w:val="24"/>
        </w:rPr>
        <w:t>For</w:t>
      </w:r>
      <w:r w:rsidR="001243A0">
        <w:rPr>
          <w:rFonts w:ascii="Times New Roman" w:hAnsi="Times New Roman" w:cs="Times New Roman"/>
          <w:sz w:val="24"/>
          <w:szCs w:val="24"/>
        </w:rPr>
        <w:t xml:space="preserve"> purposes of computing its revenue requirement in this case Duke used the </w:t>
      </w:r>
      <w:r w:rsidR="008328F2">
        <w:rPr>
          <w:rFonts w:ascii="Times New Roman" w:hAnsi="Times New Roman" w:cs="Times New Roman"/>
          <w:sz w:val="24"/>
          <w:szCs w:val="24"/>
        </w:rPr>
        <w:t>same data reported in its FERC Form 1, as of December 31, 2011.</w:t>
      </w:r>
      <w:r w:rsidR="008328F2">
        <w:rPr>
          <w:rStyle w:val="FootnoteReference"/>
          <w:rFonts w:ascii="Times New Roman" w:hAnsi="Times New Roman" w:cs="Times New Roman"/>
          <w:sz w:val="24"/>
          <w:szCs w:val="24"/>
        </w:rPr>
        <w:footnoteReference w:id="193"/>
      </w:r>
      <w:r w:rsidR="00287B31">
        <w:rPr>
          <w:rFonts w:ascii="Times New Roman" w:hAnsi="Times New Roman" w:cs="Times New Roman"/>
          <w:sz w:val="24"/>
          <w:szCs w:val="24"/>
        </w:rPr>
        <w:t xml:space="preserve"> </w:t>
      </w:r>
      <w:r>
        <w:rPr>
          <w:rFonts w:ascii="Times New Roman" w:hAnsi="Times New Roman" w:cs="Times New Roman"/>
          <w:sz w:val="24"/>
          <w:szCs w:val="24"/>
        </w:rPr>
        <w:t xml:space="preserve">That is for the revenue requirement that establishes the alleged need for $729 million (plus carrying charges) Duke uses a “test year” of 12 months actual data for the year of 2011.  </w:t>
      </w:r>
      <w:r w:rsidR="008328F2">
        <w:rPr>
          <w:rFonts w:ascii="Times New Roman" w:hAnsi="Times New Roman" w:cs="Times New Roman"/>
          <w:sz w:val="24"/>
          <w:szCs w:val="24"/>
        </w:rPr>
        <w:t xml:space="preserve">Duke believes the </w:t>
      </w:r>
      <w:r w:rsidR="00FE4FC5">
        <w:rPr>
          <w:rFonts w:ascii="Times New Roman" w:hAnsi="Times New Roman" w:cs="Times New Roman"/>
          <w:sz w:val="24"/>
          <w:szCs w:val="24"/>
        </w:rPr>
        <w:t xml:space="preserve">2011 </w:t>
      </w:r>
      <w:r w:rsidR="008328F2">
        <w:rPr>
          <w:rFonts w:ascii="Times New Roman" w:hAnsi="Times New Roman" w:cs="Times New Roman"/>
          <w:sz w:val="24"/>
          <w:szCs w:val="24"/>
        </w:rPr>
        <w:t xml:space="preserve">data is appropriate because it provides a reliable and verifiable source </w:t>
      </w:r>
      <w:r w:rsidR="008328F2">
        <w:rPr>
          <w:rFonts w:ascii="Times New Roman" w:hAnsi="Times New Roman" w:cs="Times New Roman"/>
          <w:sz w:val="24"/>
          <w:szCs w:val="24"/>
        </w:rPr>
        <w:lastRenderedPageBreak/>
        <w:t>of data that will avoid protracted reviews and litigation before the PUCO.</w:t>
      </w:r>
      <w:r w:rsidR="008328F2">
        <w:rPr>
          <w:rStyle w:val="FootnoteReference"/>
          <w:rFonts w:ascii="Times New Roman" w:hAnsi="Times New Roman" w:cs="Times New Roman"/>
          <w:sz w:val="24"/>
          <w:szCs w:val="24"/>
        </w:rPr>
        <w:footnoteReference w:id="194"/>
      </w:r>
      <w:r w:rsidR="008328F2">
        <w:rPr>
          <w:rFonts w:ascii="Times New Roman" w:hAnsi="Times New Roman" w:cs="Times New Roman"/>
          <w:sz w:val="24"/>
          <w:szCs w:val="24"/>
        </w:rPr>
        <w:t xml:space="preserve">  It also notes that the approach tracks the methodology approved by the PUCO for AEP</w:t>
      </w:r>
      <w:r w:rsidR="00E73768">
        <w:rPr>
          <w:rFonts w:ascii="Times New Roman" w:hAnsi="Times New Roman" w:cs="Times New Roman"/>
          <w:sz w:val="24"/>
          <w:szCs w:val="24"/>
        </w:rPr>
        <w:t xml:space="preserve"> Ohio</w:t>
      </w:r>
      <w:r w:rsidR="008328F2">
        <w:rPr>
          <w:rFonts w:ascii="Times New Roman" w:hAnsi="Times New Roman" w:cs="Times New Roman"/>
          <w:sz w:val="24"/>
          <w:szCs w:val="24"/>
        </w:rPr>
        <w:t>, where data from AEP’s 2010 FERC Form 1 was used.</w:t>
      </w:r>
      <w:r w:rsidR="008328F2">
        <w:rPr>
          <w:rStyle w:val="FootnoteReference"/>
          <w:rFonts w:ascii="Times New Roman" w:hAnsi="Times New Roman" w:cs="Times New Roman"/>
          <w:sz w:val="24"/>
          <w:szCs w:val="24"/>
        </w:rPr>
        <w:footnoteReference w:id="195"/>
      </w:r>
      <w:r w:rsidR="008328F2">
        <w:rPr>
          <w:rFonts w:ascii="Times New Roman" w:hAnsi="Times New Roman" w:cs="Times New Roman"/>
          <w:sz w:val="24"/>
          <w:szCs w:val="24"/>
        </w:rPr>
        <w:t xml:space="preserve">  </w:t>
      </w:r>
      <w:r w:rsidR="001243A0">
        <w:rPr>
          <w:rFonts w:ascii="Times New Roman" w:hAnsi="Times New Roman" w:cs="Times New Roman"/>
          <w:sz w:val="24"/>
          <w:szCs w:val="24"/>
        </w:rPr>
        <w:t xml:space="preserve">Duke used forecasted data in its revenue requirement calculation </w:t>
      </w:r>
      <w:r w:rsidR="0018487D" w:rsidRPr="00193CEF">
        <w:rPr>
          <w:rFonts w:ascii="Times New Roman" w:hAnsi="Times New Roman" w:cs="Times New Roman"/>
          <w:sz w:val="24"/>
          <w:szCs w:val="24"/>
        </w:rPr>
        <w:t xml:space="preserve">only </w:t>
      </w:r>
      <w:r w:rsidR="001243A0">
        <w:rPr>
          <w:rFonts w:ascii="Times New Roman" w:hAnsi="Times New Roman" w:cs="Times New Roman"/>
          <w:sz w:val="24"/>
          <w:szCs w:val="24"/>
        </w:rPr>
        <w:t xml:space="preserve">to compute </w:t>
      </w:r>
      <w:r w:rsidR="0018487D" w:rsidRPr="00193CEF">
        <w:rPr>
          <w:rFonts w:ascii="Times New Roman" w:hAnsi="Times New Roman" w:cs="Times New Roman"/>
          <w:sz w:val="24"/>
          <w:szCs w:val="24"/>
        </w:rPr>
        <w:t>the margins from sale of energy</w:t>
      </w:r>
      <w:r>
        <w:rPr>
          <w:rFonts w:ascii="Times New Roman" w:hAnsi="Times New Roman" w:cs="Times New Roman"/>
          <w:sz w:val="24"/>
          <w:szCs w:val="24"/>
        </w:rPr>
        <w:t>.</w:t>
      </w:r>
      <w:r w:rsidR="00FE4FC5">
        <w:rPr>
          <w:rStyle w:val="FootnoteReference"/>
          <w:rFonts w:ascii="Times New Roman" w:hAnsi="Times New Roman" w:cs="Times New Roman"/>
          <w:sz w:val="24"/>
          <w:szCs w:val="24"/>
        </w:rPr>
        <w:footnoteReference w:id="196"/>
      </w:r>
      <w:r w:rsidR="0018487D" w:rsidRPr="00193CEF">
        <w:rPr>
          <w:rFonts w:ascii="Times New Roman" w:hAnsi="Times New Roman" w:cs="Times New Roman"/>
          <w:sz w:val="24"/>
          <w:szCs w:val="24"/>
        </w:rPr>
        <w:t xml:space="preserve"> </w:t>
      </w:r>
    </w:p>
    <w:p w:rsidR="0018487D" w:rsidRPr="00193CEF" w:rsidRDefault="00FE4FC5" w:rsidP="00FE4FC5">
      <w:pPr>
        <w:ind w:firstLine="720"/>
        <w:rPr>
          <w:rFonts w:ascii="Times New Roman" w:hAnsi="Times New Roman" w:cs="Times New Roman"/>
          <w:sz w:val="24"/>
          <w:szCs w:val="24"/>
        </w:rPr>
      </w:pPr>
      <w:r>
        <w:rPr>
          <w:rFonts w:ascii="Times New Roman" w:hAnsi="Times New Roman" w:cs="Times New Roman"/>
          <w:sz w:val="24"/>
          <w:szCs w:val="24"/>
        </w:rPr>
        <w:t xml:space="preserve">Duke criticizes the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for suggesting that the forecasted data used in the Application is too old and must be replaced, in part, by newer information.</w:t>
      </w:r>
      <w:r>
        <w:rPr>
          <w:rStyle w:val="FootnoteReference"/>
          <w:rFonts w:ascii="Times New Roman" w:hAnsi="Times New Roman" w:cs="Times New Roman"/>
          <w:sz w:val="24"/>
          <w:szCs w:val="24"/>
        </w:rPr>
        <w:footnoteReference w:id="197"/>
      </w:r>
      <w:r>
        <w:rPr>
          <w:rFonts w:ascii="Times New Roman" w:hAnsi="Times New Roman" w:cs="Times New Roman"/>
          <w:sz w:val="24"/>
          <w:szCs w:val="24"/>
        </w:rPr>
        <w:t xml:space="preserve">  Duke claims that “to the extent that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are suggesting that one particular forecast be used, as opposed to the most recent forecast available, such an outcome is biased because it allows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to choose that single forecast that is the least favorable to the Company.”  Duke goes on to claim that if the PUCO determines that the freshe</w:t>
      </w:r>
      <w:r w:rsidR="008D547A">
        <w:rPr>
          <w:rFonts w:ascii="Times New Roman" w:hAnsi="Times New Roman" w:cs="Times New Roman"/>
          <w:sz w:val="24"/>
          <w:szCs w:val="24"/>
        </w:rPr>
        <w:t xml:space="preserve">r </w:t>
      </w:r>
      <w:r>
        <w:rPr>
          <w:rFonts w:ascii="Times New Roman" w:hAnsi="Times New Roman" w:cs="Times New Roman"/>
          <w:sz w:val="24"/>
          <w:szCs w:val="24"/>
        </w:rPr>
        <w:t xml:space="preserve">available data </w:t>
      </w:r>
      <w:r w:rsidR="008D547A">
        <w:rPr>
          <w:rFonts w:ascii="Times New Roman" w:hAnsi="Times New Roman" w:cs="Times New Roman"/>
          <w:sz w:val="24"/>
          <w:szCs w:val="24"/>
        </w:rPr>
        <w:t xml:space="preserve">should be used, the “freshest available data is the only supportable option.  And the freshest forecasted data in the record is that presented by the Staff’s expert witness, Ralph </w:t>
      </w:r>
      <w:proofErr w:type="spellStart"/>
      <w:r w:rsidR="008D547A">
        <w:rPr>
          <w:rFonts w:ascii="Times New Roman" w:hAnsi="Times New Roman" w:cs="Times New Roman"/>
          <w:sz w:val="24"/>
          <w:szCs w:val="24"/>
        </w:rPr>
        <w:t>Luciani</w:t>
      </w:r>
      <w:proofErr w:type="spellEnd"/>
      <w:r w:rsidR="008D547A">
        <w:rPr>
          <w:rFonts w:ascii="Times New Roman" w:hAnsi="Times New Roman" w:cs="Times New Roman"/>
          <w:sz w:val="24"/>
          <w:szCs w:val="24"/>
        </w:rPr>
        <w:t>.”</w:t>
      </w:r>
      <w:r w:rsidR="008D547A">
        <w:rPr>
          <w:rStyle w:val="FootnoteReference"/>
          <w:rFonts w:ascii="Times New Roman" w:hAnsi="Times New Roman" w:cs="Times New Roman"/>
          <w:sz w:val="24"/>
          <w:szCs w:val="24"/>
        </w:rPr>
        <w:footnoteReference w:id="198"/>
      </w:r>
    </w:p>
    <w:p w:rsidR="00523FDC" w:rsidRDefault="0018487D" w:rsidP="00C74FF2">
      <w:pPr>
        <w:rPr>
          <w:rFonts w:ascii="Times New Roman" w:hAnsi="Times New Roman" w:cs="Times New Roman"/>
          <w:sz w:val="24"/>
          <w:szCs w:val="24"/>
        </w:rPr>
      </w:pPr>
      <w:r w:rsidRPr="00193CEF">
        <w:rPr>
          <w:rFonts w:ascii="Times New Roman" w:hAnsi="Times New Roman" w:cs="Times New Roman"/>
          <w:sz w:val="24"/>
          <w:szCs w:val="24"/>
        </w:rPr>
        <w:tab/>
      </w:r>
      <w:r w:rsidR="008D547A">
        <w:rPr>
          <w:rFonts w:ascii="Times New Roman" w:hAnsi="Times New Roman" w:cs="Times New Roman"/>
          <w:sz w:val="24"/>
          <w:szCs w:val="24"/>
        </w:rPr>
        <w:t xml:space="preserve">But Duke is wrong on a number of fronts.  First, it mixes apples with oranges when it suggests that </w:t>
      </w:r>
      <w:proofErr w:type="spellStart"/>
      <w:r w:rsidR="008D547A">
        <w:rPr>
          <w:rFonts w:ascii="Times New Roman" w:hAnsi="Times New Roman" w:cs="Times New Roman"/>
          <w:sz w:val="24"/>
          <w:szCs w:val="24"/>
        </w:rPr>
        <w:t>Intervenors</w:t>
      </w:r>
      <w:proofErr w:type="spellEnd"/>
      <w:r w:rsidR="008D547A">
        <w:rPr>
          <w:rFonts w:ascii="Times New Roman" w:hAnsi="Times New Roman" w:cs="Times New Roman"/>
          <w:sz w:val="24"/>
          <w:szCs w:val="24"/>
        </w:rPr>
        <w:t xml:space="preserve"> are choosing one particular forecast that is not the freshest availab</w:t>
      </w:r>
      <w:r w:rsidR="001C1FE1">
        <w:rPr>
          <w:rFonts w:ascii="Times New Roman" w:hAnsi="Times New Roman" w:cs="Times New Roman"/>
          <w:sz w:val="24"/>
          <w:szCs w:val="24"/>
        </w:rPr>
        <w:t xml:space="preserve">le data.  Revised OCC Exhibits </w:t>
      </w:r>
      <w:r w:rsidR="00E73768">
        <w:rPr>
          <w:rFonts w:ascii="Times New Roman" w:hAnsi="Times New Roman" w:cs="Times New Roman"/>
          <w:sz w:val="24"/>
          <w:szCs w:val="24"/>
        </w:rPr>
        <w:t>7A and</w:t>
      </w:r>
      <w:r w:rsidR="008D547A">
        <w:rPr>
          <w:rFonts w:ascii="Times New Roman" w:hAnsi="Times New Roman" w:cs="Times New Roman"/>
          <w:sz w:val="24"/>
          <w:szCs w:val="24"/>
        </w:rPr>
        <w:t xml:space="preserve"> 8A—the pro forma projections, are the freshest available pro forma projections that are in the record.  Mr. </w:t>
      </w:r>
      <w:proofErr w:type="spellStart"/>
      <w:r w:rsidR="008D547A">
        <w:rPr>
          <w:rFonts w:ascii="Times New Roman" w:hAnsi="Times New Roman" w:cs="Times New Roman"/>
          <w:sz w:val="24"/>
          <w:szCs w:val="24"/>
        </w:rPr>
        <w:t>Luciani</w:t>
      </w:r>
      <w:proofErr w:type="spellEnd"/>
      <w:r w:rsidR="008D547A">
        <w:rPr>
          <w:rFonts w:ascii="Times New Roman" w:hAnsi="Times New Roman" w:cs="Times New Roman"/>
          <w:sz w:val="24"/>
          <w:szCs w:val="24"/>
        </w:rPr>
        <w:t xml:space="preserve"> </w:t>
      </w:r>
      <w:r w:rsidR="00523FDC">
        <w:rPr>
          <w:rFonts w:ascii="Times New Roman" w:hAnsi="Times New Roman" w:cs="Times New Roman"/>
          <w:sz w:val="24"/>
          <w:szCs w:val="24"/>
        </w:rPr>
        <w:t xml:space="preserve">does not present any pro forma projections.  </w:t>
      </w:r>
      <w:r w:rsidR="00AB1A99">
        <w:rPr>
          <w:rFonts w:ascii="Times New Roman" w:hAnsi="Times New Roman" w:cs="Times New Roman"/>
          <w:sz w:val="24"/>
          <w:szCs w:val="24"/>
        </w:rPr>
        <w:t xml:space="preserve">Thus if one were to use the freshest available pro forma data, it would be OCC Exhibits </w:t>
      </w:r>
      <w:r w:rsidR="00B3116B">
        <w:rPr>
          <w:rFonts w:ascii="Times New Roman" w:hAnsi="Times New Roman" w:cs="Times New Roman"/>
          <w:sz w:val="24"/>
          <w:szCs w:val="24"/>
        </w:rPr>
        <w:t>7</w:t>
      </w:r>
      <w:r w:rsidR="00AB1A99">
        <w:rPr>
          <w:rFonts w:ascii="Times New Roman" w:hAnsi="Times New Roman" w:cs="Times New Roman"/>
          <w:sz w:val="24"/>
          <w:szCs w:val="24"/>
        </w:rPr>
        <w:t xml:space="preserve">A and 8A.  </w:t>
      </w:r>
      <w:r w:rsidR="00FF2E50">
        <w:rPr>
          <w:rFonts w:ascii="Times New Roman" w:hAnsi="Times New Roman" w:cs="Times New Roman"/>
          <w:sz w:val="24"/>
          <w:szCs w:val="24"/>
        </w:rPr>
        <w:t xml:space="preserve">Once the freshest available pro forma </w:t>
      </w:r>
      <w:r w:rsidR="00FF2E50">
        <w:rPr>
          <w:rFonts w:ascii="Times New Roman" w:hAnsi="Times New Roman" w:cs="Times New Roman"/>
          <w:sz w:val="24"/>
          <w:szCs w:val="24"/>
        </w:rPr>
        <w:lastRenderedPageBreak/>
        <w:t xml:space="preserve">projections are used, it becomes clear that Duke’s claim of being in a dire and precarious position </w:t>
      </w:r>
      <w:r w:rsidR="0029400F">
        <w:rPr>
          <w:rFonts w:ascii="Times New Roman" w:hAnsi="Times New Roman" w:cs="Times New Roman"/>
          <w:sz w:val="24"/>
          <w:szCs w:val="24"/>
        </w:rPr>
        <w:t>is</w:t>
      </w:r>
      <w:r w:rsidR="00E73768">
        <w:rPr>
          <w:rFonts w:ascii="Times New Roman" w:hAnsi="Times New Roman" w:cs="Times New Roman"/>
          <w:sz w:val="24"/>
          <w:szCs w:val="24"/>
        </w:rPr>
        <w:t xml:space="preserve"> highly</w:t>
      </w:r>
      <w:r w:rsidR="000A4B6C">
        <w:rPr>
          <w:rFonts w:ascii="Times New Roman" w:hAnsi="Times New Roman" w:cs="Times New Roman"/>
          <w:sz w:val="24"/>
          <w:szCs w:val="24"/>
        </w:rPr>
        <w:t xml:space="preserve"> </w:t>
      </w:r>
      <w:r w:rsidR="00FF2E50">
        <w:rPr>
          <w:rFonts w:ascii="Times New Roman" w:hAnsi="Times New Roman" w:cs="Times New Roman"/>
          <w:sz w:val="24"/>
          <w:szCs w:val="24"/>
        </w:rPr>
        <w:t xml:space="preserve">exaggerated.  At most, given the projections of Duke’s income for 2013 and 2014, there is a relatively small negative adjusted income for one segment of its business-its legacy generating assets.  </w:t>
      </w:r>
    </w:p>
    <w:p w:rsidR="00AB1A99" w:rsidRDefault="00523FDC" w:rsidP="00523FDC">
      <w:pPr>
        <w:ind w:firstLine="720"/>
        <w:rPr>
          <w:rFonts w:ascii="Times New Roman" w:hAnsi="Times New Roman" w:cs="Times New Roman"/>
          <w:sz w:val="24"/>
          <w:szCs w:val="24"/>
        </w:rPr>
      </w:pPr>
      <w:r>
        <w:rPr>
          <w:rFonts w:ascii="Times New Roman" w:hAnsi="Times New Roman" w:cs="Times New Roman"/>
          <w:sz w:val="24"/>
          <w:szCs w:val="24"/>
        </w:rPr>
        <w:t xml:space="preserve">And on the revenue requirement front, while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have proposed adjustments to the revenue requirements calculated by Mr. </w:t>
      </w:r>
      <w:proofErr w:type="spellStart"/>
      <w:r>
        <w:rPr>
          <w:rFonts w:ascii="Times New Roman" w:hAnsi="Times New Roman" w:cs="Times New Roman"/>
          <w:sz w:val="24"/>
          <w:szCs w:val="24"/>
        </w:rPr>
        <w:t>Wathen</w:t>
      </w:r>
      <w:proofErr w:type="spellEnd"/>
      <w:r>
        <w:rPr>
          <w:rFonts w:ascii="Times New Roman" w:hAnsi="Times New Roman" w:cs="Times New Roman"/>
          <w:sz w:val="24"/>
          <w:szCs w:val="24"/>
        </w:rPr>
        <w:t xml:space="preserve">, most of the adjustments were made to correct blatant errors made by Mr. </w:t>
      </w:r>
      <w:proofErr w:type="spellStart"/>
      <w:r>
        <w:rPr>
          <w:rFonts w:ascii="Times New Roman" w:hAnsi="Times New Roman" w:cs="Times New Roman"/>
          <w:sz w:val="24"/>
          <w:szCs w:val="24"/>
        </w:rPr>
        <w:t>Wathen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w:t>
      </w:r>
      <w:r w:rsidR="00C94A9C">
        <w:rPr>
          <w:rFonts w:ascii="Times New Roman" w:hAnsi="Times New Roman" w:cs="Times New Roman"/>
          <w:sz w:val="24"/>
          <w:szCs w:val="24"/>
        </w:rPr>
        <w:t xml:space="preserve"> </w:t>
      </w:r>
      <w:r>
        <w:rPr>
          <w:rFonts w:ascii="Times New Roman" w:hAnsi="Times New Roman" w:cs="Times New Roman"/>
          <w:sz w:val="24"/>
          <w:szCs w:val="24"/>
        </w:rPr>
        <w:t>OCC and others have proposed additional adjustments, for instance</w:t>
      </w:r>
      <w:r w:rsidR="00AB1A99">
        <w:rPr>
          <w:rFonts w:ascii="Times New Roman" w:hAnsi="Times New Roman" w:cs="Times New Roman"/>
          <w:sz w:val="24"/>
          <w:szCs w:val="24"/>
        </w:rPr>
        <w:t>,</w:t>
      </w:r>
      <w:r>
        <w:rPr>
          <w:rFonts w:ascii="Times New Roman" w:hAnsi="Times New Roman" w:cs="Times New Roman"/>
          <w:sz w:val="24"/>
          <w:szCs w:val="24"/>
        </w:rPr>
        <w:t xml:space="preserve"> to O&amp;M</w:t>
      </w:r>
      <w:r w:rsidR="00B06092">
        <w:rPr>
          <w:rFonts w:ascii="Times New Roman" w:hAnsi="Times New Roman" w:cs="Times New Roman"/>
          <w:sz w:val="24"/>
          <w:szCs w:val="24"/>
        </w:rPr>
        <w:t>,</w:t>
      </w:r>
      <w:r>
        <w:rPr>
          <w:rFonts w:ascii="Times New Roman" w:hAnsi="Times New Roman" w:cs="Times New Roman"/>
          <w:sz w:val="24"/>
          <w:szCs w:val="24"/>
        </w:rPr>
        <w:t xml:space="preserve"> on grounds that the </w:t>
      </w:r>
      <w:r w:rsidRPr="00C94A9C">
        <w:rPr>
          <w:rFonts w:ascii="Times New Roman" w:hAnsi="Times New Roman" w:cs="Times New Roman"/>
          <w:sz w:val="24"/>
          <w:szCs w:val="24"/>
        </w:rPr>
        <w:t xml:space="preserve">2011 </w:t>
      </w:r>
      <w:r>
        <w:rPr>
          <w:rFonts w:ascii="Times New Roman" w:hAnsi="Times New Roman" w:cs="Times New Roman"/>
          <w:sz w:val="24"/>
          <w:szCs w:val="24"/>
        </w:rPr>
        <w:t>actual expenses are not reasonable</w:t>
      </w:r>
      <w:r w:rsidR="00AB1A99">
        <w:rPr>
          <w:rFonts w:ascii="Times New Roman" w:hAnsi="Times New Roman" w:cs="Times New Roman"/>
          <w:sz w:val="24"/>
          <w:szCs w:val="24"/>
        </w:rPr>
        <w:t xml:space="preserve">. </w:t>
      </w:r>
    </w:p>
    <w:p w:rsidR="000A4B6C" w:rsidRDefault="00AB1A99" w:rsidP="00523FDC">
      <w:pPr>
        <w:ind w:firstLine="720"/>
        <w:rPr>
          <w:rFonts w:ascii="Times New Roman" w:hAnsi="Times New Roman" w:cs="Times New Roman"/>
          <w:sz w:val="24"/>
          <w:szCs w:val="24"/>
        </w:rPr>
      </w:pPr>
      <w:r>
        <w:rPr>
          <w:rFonts w:ascii="Times New Roman" w:hAnsi="Times New Roman" w:cs="Times New Roman"/>
          <w:sz w:val="24"/>
          <w:szCs w:val="24"/>
        </w:rPr>
        <w:t xml:space="preserve"> The basic premise of OCC’s adjustments to O&amp;M is that the actual </w:t>
      </w:r>
      <w:r w:rsidRPr="00C94A9C">
        <w:rPr>
          <w:rFonts w:ascii="Times New Roman" w:hAnsi="Times New Roman" w:cs="Times New Roman"/>
          <w:sz w:val="24"/>
          <w:szCs w:val="24"/>
        </w:rPr>
        <w:t>2011</w:t>
      </w:r>
      <w:r>
        <w:rPr>
          <w:rFonts w:ascii="Times New Roman" w:hAnsi="Times New Roman" w:cs="Times New Roman"/>
          <w:sz w:val="24"/>
          <w:szCs w:val="24"/>
        </w:rPr>
        <w:t xml:space="preserve"> ex</w:t>
      </w:r>
      <w:r w:rsidR="000A4B6C">
        <w:rPr>
          <w:rFonts w:ascii="Times New Roman" w:hAnsi="Times New Roman" w:cs="Times New Roman"/>
          <w:sz w:val="24"/>
          <w:szCs w:val="24"/>
        </w:rPr>
        <w:t xml:space="preserve">penses, even though verifiable, </w:t>
      </w:r>
      <w:r w:rsidR="00523FDC">
        <w:rPr>
          <w:rFonts w:ascii="Times New Roman" w:hAnsi="Times New Roman" w:cs="Times New Roman"/>
          <w:sz w:val="24"/>
          <w:szCs w:val="24"/>
        </w:rPr>
        <w:t>are not reflective of the experience Duke is anticipated to have during the rate effective period</w:t>
      </w:r>
      <w:r w:rsidR="000A4B6C">
        <w:rPr>
          <w:rFonts w:ascii="Times New Roman" w:hAnsi="Times New Roman" w:cs="Times New Roman"/>
          <w:sz w:val="24"/>
          <w:szCs w:val="24"/>
        </w:rPr>
        <w:t xml:space="preserve"> (2013 and beyond).   </w:t>
      </w:r>
      <w:r>
        <w:rPr>
          <w:rFonts w:ascii="Times New Roman" w:hAnsi="Times New Roman" w:cs="Times New Roman"/>
          <w:sz w:val="24"/>
          <w:szCs w:val="24"/>
        </w:rPr>
        <w:t xml:space="preserve">OCC’s adjustment is based on the freshest available O&amp;M expense </w:t>
      </w:r>
      <w:r w:rsidR="000A4B6C">
        <w:rPr>
          <w:rFonts w:ascii="Times New Roman" w:hAnsi="Times New Roman" w:cs="Times New Roman"/>
          <w:sz w:val="24"/>
          <w:szCs w:val="24"/>
        </w:rPr>
        <w:t>projections—projections that</w:t>
      </w:r>
      <w:r w:rsidR="00C94A9C">
        <w:rPr>
          <w:rFonts w:ascii="Times New Roman" w:hAnsi="Times New Roman" w:cs="Times New Roman"/>
          <w:sz w:val="24"/>
          <w:szCs w:val="24"/>
        </w:rPr>
        <w:t xml:space="preserve"> </w:t>
      </w:r>
      <w:r w:rsidR="000A4B6C">
        <w:rPr>
          <w:rFonts w:ascii="Times New Roman" w:hAnsi="Times New Roman" w:cs="Times New Roman"/>
          <w:sz w:val="24"/>
          <w:szCs w:val="24"/>
        </w:rPr>
        <w:t>Duke itself provided!</w:t>
      </w:r>
      <w:r>
        <w:rPr>
          <w:rFonts w:ascii="Times New Roman" w:hAnsi="Times New Roman" w:cs="Times New Roman"/>
          <w:sz w:val="24"/>
          <w:szCs w:val="24"/>
        </w:rPr>
        <w:t xml:space="preserve">  OCC did not pick and choose but merely put into record </w:t>
      </w:r>
      <w:r w:rsidR="001754BD">
        <w:rPr>
          <w:rFonts w:ascii="Times New Roman" w:hAnsi="Times New Roman" w:cs="Times New Roman"/>
          <w:sz w:val="24"/>
          <w:szCs w:val="24"/>
        </w:rPr>
        <w:t>Duke</w:t>
      </w:r>
      <w:r>
        <w:rPr>
          <w:rFonts w:ascii="Times New Roman" w:hAnsi="Times New Roman" w:cs="Times New Roman"/>
          <w:sz w:val="24"/>
          <w:szCs w:val="24"/>
        </w:rPr>
        <w:t xml:space="preserve">’s own latest approved budget data, </w:t>
      </w:r>
      <w:r w:rsidRPr="00C94A9C">
        <w:rPr>
          <w:rFonts w:ascii="Times New Roman" w:hAnsi="Times New Roman" w:cs="Times New Roman"/>
          <w:sz w:val="24"/>
          <w:szCs w:val="24"/>
        </w:rPr>
        <w:t xml:space="preserve">based on </w:t>
      </w:r>
      <w:r w:rsidR="000A4B6C" w:rsidRPr="00C94A9C">
        <w:rPr>
          <w:rFonts w:ascii="Times New Roman" w:hAnsi="Times New Roman" w:cs="Times New Roman"/>
          <w:sz w:val="24"/>
          <w:szCs w:val="24"/>
        </w:rPr>
        <w:t>Duke’s</w:t>
      </w:r>
      <w:r w:rsidRPr="00C94A9C">
        <w:rPr>
          <w:rFonts w:ascii="Times New Roman" w:hAnsi="Times New Roman" w:cs="Times New Roman"/>
          <w:sz w:val="24"/>
          <w:szCs w:val="24"/>
        </w:rPr>
        <w:t xml:space="preserve"> </w:t>
      </w:r>
      <w:r w:rsidR="000A4B6C" w:rsidRPr="00C94A9C">
        <w:rPr>
          <w:rFonts w:ascii="Times New Roman" w:hAnsi="Times New Roman" w:cs="Times New Roman"/>
          <w:sz w:val="24"/>
          <w:szCs w:val="24"/>
        </w:rPr>
        <w:t xml:space="preserve">actual </w:t>
      </w:r>
      <w:r w:rsidRPr="00C94A9C">
        <w:rPr>
          <w:rFonts w:ascii="Times New Roman" w:hAnsi="Times New Roman" w:cs="Times New Roman"/>
          <w:sz w:val="24"/>
          <w:szCs w:val="24"/>
        </w:rPr>
        <w:t>12 month</w:t>
      </w:r>
      <w:r w:rsidR="000A4B6C" w:rsidRPr="00C94A9C">
        <w:rPr>
          <w:rFonts w:ascii="Times New Roman" w:hAnsi="Times New Roman" w:cs="Times New Roman"/>
          <w:sz w:val="24"/>
          <w:szCs w:val="24"/>
        </w:rPr>
        <w:t xml:space="preserve"> experience in </w:t>
      </w:r>
      <w:r w:rsidRPr="00C94A9C">
        <w:rPr>
          <w:rFonts w:ascii="Times New Roman" w:hAnsi="Times New Roman" w:cs="Times New Roman"/>
          <w:sz w:val="24"/>
          <w:szCs w:val="24"/>
        </w:rPr>
        <w:t>2012</w:t>
      </w:r>
      <w:r w:rsidR="000A4B6C" w:rsidRPr="00C94A9C">
        <w:rPr>
          <w:rFonts w:ascii="Times New Roman" w:hAnsi="Times New Roman" w:cs="Times New Roman"/>
          <w:sz w:val="24"/>
          <w:szCs w:val="24"/>
        </w:rPr>
        <w:t>.</w:t>
      </w:r>
      <w:r w:rsidR="00FF2E50">
        <w:rPr>
          <w:rFonts w:ascii="Times New Roman" w:hAnsi="Times New Roman" w:cs="Times New Roman"/>
          <w:sz w:val="24"/>
          <w:szCs w:val="24"/>
        </w:rPr>
        <w:t xml:space="preserve">  OCC’s adjustment to </w:t>
      </w:r>
      <w:r w:rsidR="000A4B6C">
        <w:rPr>
          <w:rFonts w:ascii="Times New Roman" w:hAnsi="Times New Roman" w:cs="Times New Roman"/>
          <w:sz w:val="24"/>
          <w:szCs w:val="24"/>
        </w:rPr>
        <w:t xml:space="preserve">one </w:t>
      </w:r>
      <w:r w:rsidR="00FF2E50">
        <w:rPr>
          <w:rFonts w:ascii="Times New Roman" w:hAnsi="Times New Roman" w:cs="Times New Roman"/>
          <w:sz w:val="24"/>
          <w:szCs w:val="24"/>
        </w:rPr>
        <w:t xml:space="preserve">portion of the 2011 data was an adjustment not much different than the adjustments </w:t>
      </w:r>
      <w:r w:rsidR="001754BD">
        <w:rPr>
          <w:rFonts w:ascii="Times New Roman" w:hAnsi="Times New Roman" w:cs="Times New Roman"/>
          <w:sz w:val="24"/>
          <w:szCs w:val="24"/>
        </w:rPr>
        <w:t>Duke</w:t>
      </w:r>
      <w:r w:rsidR="00FF2E50">
        <w:rPr>
          <w:rFonts w:ascii="Times New Roman" w:hAnsi="Times New Roman" w:cs="Times New Roman"/>
          <w:sz w:val="24"/>
          <w:szCs w:val="24"/>
        </w:rPr>
        <w:t xml:space="preserve"> </w:t>
      </w:r>
      <w:r w:rsidR="000A4B6C">
        <w:rPr>
          <w:rFonts w:ascii="Times New Roman" w:hAnsi="Times New Roman" w:cs="Times New Roman"/>
          <w:sz w:val="24"/>
          <w:szCs w:val="24"/>
        </w:rPr>
        <w:t xml:space="preserve">itself </w:t>
      </w:r>
      <w:r w:rsidR="00FF2E50">
        <w:rPr>
          <w:rFonts w:ascii="Times New Roman" w:hAnsi="Times New Roman" w:cs="Times New Roman"/>
          <w:sz w:val="24"/>
          <w:szCs w:val="24"/>
        </w:rPr>
        <w:t>made to its actual 2011 data.</w:t>
      </w:r>
      <w:r w:rsidR="000A4B6C">
        <w:rPr>
          <w:rStyle w:val="FootnoteReference"/>
          <w:rFonts w:ascii="Times New Roman" w:hAnsi="Times New Roman" w:cs="Times New Roman"/>
          <w:sz w:val="24"/>
          <w:szCs w:val="24"/>
        </w:rPr>
        <w:footnoteReference w:id="200"/>
      </w:r>
      <w:r w:rsidR="00FF2E50">
        <w:rPr>
          <w:rFonts w:ascii="Times New Roman" w:hAnsi="Times New Roman" w:cs="Times New Roman"/>
          <w:sz w:val="24"/>
          <w:szCs w:val="24"/>
        </w:rPr>
        <w:t xml:space="preserve">  </w:t>
      </w:r>
    </w:p>
    <w:p w:rsidR="00B057A8" w:rsidRDefault="00FF2E50" w:rsidP="00523FDC">
      <w:pPr>
        <w:ind w:firstLine="720"/>
        <w:rPr>
          <w:rFonts w:ascii="Times New Roman" w:hAnsi="Times New Roman" w:cs="Times New Roman"/>
          <w:sz w:val="24"/>
          <w:szCs w:val="24"/>
        </w:rPr>
      </w:pPr>
      <w:r>
        <w:rPr>
          <w:rFonts w:ascii="Times New Roman" w:hAnsi="Times New Roman" w:cs="Times New Roman"/>
          <w:sz w:val="24"/>
          <w:szCs w:val="24"/>
        </w:rPr>
        <w:t>“Test year” data can and should be adjusted if it is not representative of the experience expected when rates go into effect</w:t>
      </w:r>
      <w:r w:rsidR="00523FDC">
        <w:rPr>
          <w:rFonts w:ascii="Times New Roman" w:hAnsi="Times New Roman" w:cs="Times New Roman"/>
          <w:sz w:val="24"/>
          <w:szCs w:val="24"/>
        </w:rPr>
        <w:t>.</w:t>
      </w:r>
      <w:r>
        <w:rPr>
          <w:rStyle w:val="FootnoteReference"/>
          <w:rFonts w:ascii="Times New Roman" w:hAnsi="Times New Roman" w:cs="Times New Roman"/>
          <w:sz w:val="24"/>
          <w:szCs w:val="24"/>
        </w:rPr>
        <w:footnoteReference w:id="201"/>
      </w:r>
      <w:r w:rsidR="00523FDC">
        <w:rPr>
          <w:rFonts w:ascii="Times New Roman" w:hAnsi="Times New Roman" w:cs="Times New Roman"/>
          <w:sz w:val="24"/>
          <w:szCs w:val="24"/>
        </w:rPr>
        <w:t xml:space="preserve">   </w:t>
      </w:r>
      <w:r w:rsidR="000A4B6C">
        <w:rPr>
          <w:rFonts w:ascii="Times New Roman" w:hAnsi="Times New Roman" w:cs="Times New Roman"/>
          <w:sz w:val="24"/>
          <w:szCs w:val="24"/>
        </w:rPr>
        <w:t xml:space="preserve">In the case of the O&amp;M expenses, Mr. Savoy testified that O&amp;M reductions shown in the latest pro forma data (OCC Ex.7 A and 8A) reflected the significant cost reduction efforts undertaken at all of Duke’s plants </w:t>
      </w:r>
      <w:r w:rsidR="000A4B6C">
        <w:rPr>
          <w:rFonts w:ascii="Times New Roman" w:hAnsi="Times New Roman" w:cs="Times New Roman"/>
          <w:sz w:val="24"/>
          <w:szCs w:val="24"/>
        </w:rPr>
        <w:lastRenderedPageBreak/>
        <w:t>as it continues to deal with the economics in Ohio.</w:t>
      </w:r>
      <w:r w:rsidR="000A4B6C">
        <w:rPr>
          <w:rStyle w:val="FootnoteReference"/>
          <w:rFonts w:ascii="Times New Roman" w:hAnsi="Times New Roman" w:cs="Times New Roman"/>
          <w:sz w:val="24"/>
          <w:szCs w:val="24"/>
        </w:rPr>
        <w:footnoteReference w:id="202"/>
      </w:r>
      <w:r w:rsidR="000A4B6C">
        <w:rPr>
          <w:rFonts w:ascii="Times New Roman" w:hAnsi="Times New Roman" w:cs="Times New Roman"/>
          <w:sz w:val="24"/>
          <w:szCs w:val="24"/>
        </w:rPr>
        <w:t xml:space="preserve">  Yet, under Duke’s approach the PUCO should ignore the actual experience of Duke in 2012 and allow Duke to collect O&amp;M expenses </w:t>
      </w:r>
      <w:r w:rsidR="00B057A8">
        <w:rPr>
          <w:rFonts w:ascii="Times New Roman" w:hAnsi="Times New Roman" w:cs="Times New Roman"/>
          <w:sz w:val="24"/>
          <w:szCs w:val="24"/>
        </w:rPr>
        <w:t xml:space="preserve">incurred in 2011.  But these O&amp;M expenses </w:t>
      </w:r>
      <w:r w:rsidR="000A4B6C">
        <w:rPr>
          <w:rFonts w:ascii="Times New Roman" w:hAnsi="Times New Roman" w:cs="Times New Roman"/>
          <w:sz w:val="24"/>
          <w:szCs w:val="24"/>
        </w:rPr>
        <w:t xml:space="preserve">are clearly overstated, in light of the most recent experience of Duke.  </w:t>
      </w:r>
      <w:r w:rsidR="00B057A8">
        <w:rPr>
          <w:rFonts w:ascii="Times New Roman" w:hAnsi="Times New Roman" w:cs="Times New Roman"/>
          <w:sz w:val="24"/>
          <w:szCs w:val="24"/>
        </w:rPr>
        <w:t xml:space="preserve">They are thus, not reasonable expenses of the utility that customers should be expected to reimburse Duke for.  </w:t>
      </w:r>
    </w:p>
    <w:p w:rsidR="00BB5D3D" w:rsidRPr="00BB5D3D" w:rsidRDefault="00016E0D" w:rsidP="00FB4463">
      <w:pPr>
        <w:pStyle w:val="Heading2"/>
      </w:pPr>
      <w:bookmarkStart w:id="33" w:name="_Toc362950008"/>
      <w:r>
        <w:t>I</w:t>
      </w:r>
      <w:r w:rsidR="00D308F6">
        <w:t>.</w:t>
      </w:r>
      <w:r w:rsidR="00D308F6">
        <w:tab/>
      </w:r>
      <w:r w:rsidR="00BB5D3D" w:rsidRPr="00BB5D3D">
        <w:t xml:space="preserve">Duke’s </w:t>
      </w:r>
      <w:r w:rsidR="00C94A9C" w:rsidRPr="00BB5D3D">
        <w:t xml:space="preserve">Energy Margin Calculation Produced </w:t>
      </w:r>
      <w:proofErr w:type="gramStart"/>
      <w:r w:rsidR="00C94A9C" w:rsidRPr="00BB5D3D">
        <w:t>By</w:t>
      </w:r>
      <w:proofErr w:type="gramEnd"/>
      <w:r w:rsidR="00C94A9C" w:rsidRPr="00BB5D3D">
        <w:t xml:space="preserve"> </w:t>
      </w:r>
      <w:r w:rsidR="00BB5D3D" w:rsidRPr="00BB5D3D">
        <w:t>Dr</w:t>
      </w:r>
      <w:r w:rsidR="00C94A9C" w:rsidRPr="00BB5D3D">
        <w:t xml:space="preserve">. </w:t>
      </w:r>
      <w:r w:rsidR="00BB5D3D" w:rsidRPr="00BB5D3D">
        <w:t xml:space="preserve">Zhang’s </w:t>
      </w:r>
      <w:r w:rsidR="00C94A9C" w:rsidRPr="00BB5D3D">
        <w:t xml:space="preserve">Commercial Business Model Should Be Used In Lieu Of </w:t>
      </w:r>
      <w:r w:rsidR="00BB5D3D" w:rsidRPr="00BB5D3D">
        <w:t>Mr</w:t>
      </w:r>
      <w:r w:rsidR="00C94A9C" w:rsidRPr="00BB5D3D">
        <w:t xml:space="preserve">. </w:t>
      </w:r>
      <w:proofErr w:type="spellStart"/>
      <w:r w:rsidR="00BB5D3D" w:rsidRPr="00BB5D3D">
        <w:t>Luciani’s</w:t>
      </w:r>
      <w:proofErr w:type="spellEnd"/>
      <w:r w:rsidR="00BB5D3D" w:rsidRPr="00BB5D3D">
        <w:t xml:space="preserve"> </w:t>
      </w:r>
      <w:r w:rsidR="00C94A9C" w:rsidRPr="00BB5D3D">
        <w:t>Calculations.</w:t>
      </w:r>
      <w:bookmarkEnd w:id="33"/>
    </w:p>
    <w:p w:rsidR="00133DF9" w:rsidRDefault="00B057A8" w:rsidP="00133DF9">
      <w:pPr>
        <w:ind w:firstLine="720"/>
        <w:rPr>
          <w:rFonts w:ascii="Times New Roman" w:hAnsi="Times New Roman" w:cs="Times New Roman"/>
          <w:sz w:val="24"/>
          <w:szCs w:val="24"/>
        </w:rPr>
      </w:pPr>
      <w:r>
        <w:rPr>
          <w:rFonts w:ascii="Times New Roman" w:hAnsi="Times New Roman" w:cs="Times New Roman"/>
          <w:sz w:val="24"/>
          <w:szCs w:val="24"/>
        </w:rPr>
        <w:t xml:space="preserve">With respect to the energy margin calculation, which is the only projected part of Mr. </w:t>
      </w:r>
      <w:proofErr w:type="spellStart"/>
      <w:r>
        <w:rPr>
          <w:rFonts w:ascii="Times New Roman" w:hAnsi="Times New Roman" w:cs="Times New Roman"/>
          <w:sz w:val="24"/>
          <w:szCs w:val="24"/>
        </w:rPr>
        <w:t>Wathen’s</w:t>
      </w:r>
      <w:proofErr w:type="spellEnd"/>
      <w:r>
        <w:rPr>
          <w:rFonts w:ascii="Times New Roman" w:hAnsi="Times New Roman" w:cs="Times New Roman"/>
          <w:sz w:val="24"/>
          <w:szCs w:val="24"/>
        </w:rPr>
        <w:t xml:space="preserve"> revenue requirement, Duke prefers to abandon the margins produced by its own commercial business model, </w:t>
      </w:r>
      <w:r w:rsidR="00DE600F">
        <w:rPr>
          <w:rFonts w:ascii="Times New Roman" w:hAnsi="Times New Roman" w:cs="Times New Roman"/>
          <w:sz w:val="24"/>
          <w:szCs w:val="24"/>
        </w:rPr>
        <w:t xml:space="preserve">run by </w:t>
      </w:r>
      <w:r w:rsidR="00113C18">
        <w:rPr>
          <w:rFonts w:ascii="Times New Roman" w:hAnsi="Times New Roman" w:cs="Times New Roman"/>
          <w:sz w:val="24"/>
          <w:szCs w:val="24"/>
        </w:rPr>
        <w:t>Dr.</w:t>
      </w:r>
      <w:r w:rsidR="00DE600F">
        <w:rPr>
          <w:rFonts w:ascii="Times New Roman" w:hAnsi="Times New Roman" w:cs="Times New Roman"/>
          <w:sz w:val="24"/>
          <w:szCs w:val="24"/>
        </w:rPr>
        <w:t xml:space="preserve"> Zh</w:t>
      </w:r>
      <w:r w:rsidR="00113C18">
        <w:rPr>
          <w:rFonts w:ascii="Times New Roman" w:hAnsi="Times New Roman" w:cs="Times New Roman"/>
          <w:sz w:val="24"/>
          <w:szCs w:val="24"/>
        </w:rPr>
        <w:t>a</w:t>
      </w:r>
      <w:r w:rsidR="00DE600F">
        <w:rPr>
          <w:rFonts w:ascii="Times New Roman" w:hAnsi="Times New Roman" w:cs="Times New Roman"/>
          <w:sz w:val="24"/>
          <w:szCs w:val="24"/>
        </w:rPr>
        <w:t>ng</w:t>
      </w:r>
      <w:r w:rsidR="00133DF9">
        <w:rPr>
          <w:rFonts w:ascii="Times New Roman" w:hAnsi="Times New Roman" w:cs="Times New Roman"/>
          <w:sz w:val="24"/>
          <w:szCs w:val="24"/>
        </w:rPr>
        <w:t>.  Instead it wants to adopt the re</w:t>
      </w:r>
      <w:r>
        <w:rPr>
          <w:rFonts w:ascii="Times New Roman" w:hAnsi="Times New Roman" w:cs="Times New Roman"/>
          <w:sz w:val="24"/>
          <w:szCs w:val="24"/>
        </w:rPr>
        <w:t>duced margins projected by</w:t>
      </w:r>
      <w:r w:rsidR="00133DF9">
        <w:rPr>
          <w:rFonts w:ascii="Times New Roman" w:hAnsi="Times New Roman" w:cs="Times New Roman"/>
          <w:sz w:val="24"/>
          <w:szCs w:val="24"/>
        </w:rPr>
        <w:t xml:space="preserve"> PUCO</w:t>
      </w:r>
      <w:r>
        <w:rPr>
          <w:rFonts w:ascii="Times New Roman" w:hAnsi="Times New Roman" w:cs="Times New Roman"/>
          <w:sz w:val="24"/>
          <w:szCs w:val="24"/>
        </w:rPr>
        <w:t xml:space="preserve"> Staff </w:t>
      </w:r>
      <w:r w:rsidR="00C94A9C">
        <w:rPr>
          <w:rFonts w:ascii="Times New Roman" w:hAnsi="Times New Roman" w:cs="Times New Roman"/>
          <w:sz w:val="24"/>
          <w:szCs w:val="24"/>
        </w:rPr>
        <w:t>w</w:t>
      </w:r>
      <w:r>
        <w:rPr>
          <w:rFonts w:ascii="Times New Roman" w:hAnsi="Times New Roman" w:cs="Times New Roman"/>
          <w:sz w:val="24"/>
          <w:szCs w:val="24"/>
        </w:rPr>
        <w:t xml:space="preserve">itness </w:t>
      </w:r>
      <w:proofErr w:type="spellStart"/>
      <w:r>
        <w:rPr>
          <w:rFonts w:ascii="Times New Roman" w:hAnsi="Times New Roman" w:cs="Times New Roman"/>
          <w:sz w:val="24"/>
          <w:szCs w:val="24"/>
        </w:rPr>
        <w:t>Luciani</w:t>
      </w:r>
      <w:proofErr w:type="spellEnd"/>
      <w:r w:rsidR="00133DF9">
        <w:rPr>
          <w:rFonts w:ascii="Times New Roman" w:hAnsi="Times New Roman" w:cs="Times New Roman"/>
          <w:sz w:val="24"/>
          <w:szCs w:val="24"/>
        </w:rPr>
        <w:t xml:space="preserve"> through his generic PROMOD model, despite the fact that the PUCO Staff is not recommending a revenue requirement for Duke.</w:t>
      </w:r>
      <w:r w:rsidR="00D10AB5">
        <w:rPr>
          <w:rStyle w:val="FootnoteReference"/>
          <w:rFonts w:ascii="Times New Roman" w:hAnsi="Times New Roman" w:cs="Times New Roman"/>
          <w:sz w:val="24"/>
          <w:szCs w:val="24"/>
        </w:rPr>
        <w:footnoteReference w:id="203"/>
      </w:r>
      <w:r w:rsidR="00133DF9">
        <w:rPr>
          <w:rFonts w:ascii="Times New Roman" w:hAnsi="Times New Roman" w:cs="Times New Roman"/>
          <w:sz w:val="24"/>
          <w:szCs w:val="24"/>
        </w:rPr>
        <w:t xml:space="preserve">  While </w:t>
      </w:r>
      <w:r w:rsidR="001754BD">
        <w:rPr>
          <w:rFonts w:ascii="Times New Roman" w:hAnsi="Times New Roman" w:cs="Times New Roman"/>
          <w:sz w:val="24"/>
          <w:szCs w:val="24"/>
        </w:rPr>
        <w:t>Duke</w:t>
      </w:r>
      <w:r w:rsidR="00133DF9">
        <w:rPr>
          <w:rFonts w:ascii="Times New Roman" w:hAnsi="Times New Roman" w:cs="Times New Roman"/>
          <w:sz w:val="24"/>
          <w:szCs w:val="24"/>
        </w:rPr>
        <w:t xml:space="preserve"> justifies its jumping ship from the “S.S. Zh</w:t>
      </w:r>
      <w:r w:rsidR="007231C8">
        <w:rPr>
          <w:rFonts w:ascii="Times New Roman" w:hAnsi="Times New Roman" w:cs="Times New Roman"/>
          <w:sz w:val="24"/>
          <w:szCs w:val="24"/>
        </w:rPr>
        <w:t>a</w:t>
      </w:r>
      <w:r w:rsidR="00133DF9">
        <w:rPr>
          <w:rFonts w:ascii="Times New Roman" w:hAnsi="Times New Roman" w:cs="Times New Roman"/>
          <w:sz w:val="24"/>
          <w:szCs w:val="24"/>
        </w:rPr>
        <w:t xml:space="preserve">ng” to the “S.S. </w:t>
      </w:r>
      <w:proofErr w:type="spellStart"/>
      <w:r w:rsidR="00133DF9">
        <w:rPr>
          <w:rFonts w:ascii="Times New Roman" w:hAnsi="Times New Roman" w:cs="Times New Roman"/>
          <w:sz w:val="24"/>
          <w:szCs w:val="24"/>
        </w:rPr>
        <w:t>Luciani</w:t>
      </w:r>
      <w:proofErr w:type="spellEnd"/>
      <w:r w:rsidR="00133DF9">
        <w:rPr>
          <w:rFonts w:ascii="Times New Roman" w:hAnsi="Times New Roman" w:cs="Times New Roman"/>
          <w:sz w:val="24"/>
          <w:szCs w:val="24"/>
        </w:rPr>
        <w:t xml:space="preserve">” on the basis of “freshness”--this too is a transparent attempt to grasp whatever will result in more money flowing into Duke’s pockets.  </w:t>
      </w:r>
    </w:p>
    <w:p w:rsidR="00133DF9" w:rsidRDefault="00133DF9" w:rsidP="00523FDC">
      <w:pPr>
        <w:ind w:firstLine="720"/>
        <w:rPr>
          <w:rFonts w:ascii="Times New Roman" w:hAnsi="Times New Roman" w:cs="Times New Roman"/>
          <w:sz w:val="24"/>
          <w:szCs w:val="24"/>
        </w:rPr>
      </w:pPr>
      <w:r>
        <w:rPr>
          <w:rFonts w:ascii="Times New Roman" w:hAnsi="Times New Roman" w:cs="Times New Roman"/>
          <w:sz w:val="24"/>
          <w:szCs w:val="24"/>
        </w:rPr>
        <w:t>A</w:t>
      </w:r>
      <w:r w:rsidR="00B123A3">
        <w:rPr>
          <w:rFonts w:ascii="Times New Roman" w:hAnsi="Times New Roman" w:cs="Times New Roman"/>
          <w:sz w:val="24"/>
          <w:szCs w:val="24"/>
        </w:rPr>
        <w:t>s adeptly demonstrated by Dr. Zh</w:t>
      </w:r>
      <w:r w:rsidR="00B46BB2">
        <w:rPr>
          <w:rFonts w:ascii="Times New Roman" w:hAnsi="Times New Roman" w:cs="Times New Roman"/>
          <w:sz w:val="24"/>
          <w:szCs w:val="24"/>
        </w:rPr>
        <w:t>a</w:t>
      </w:r>
      <w:r w:rsidR="00B123A3">
        <w:rPr>
          <w:rFonts w:ascii="Times New Roman" w:hAnsi="Times New Roman" w:cs="Times New Roman"/>
          <w:sz w:val="24"/>
          <w:szCs w:val="24"/>
        </w:rPr>
        <w:t>ng,</w:t>
      </w:r>
      <w:r>
        <w:rPr>
          <w:rFonts w:ascii="Times New Roman" w:hAnsi="Times New Roman" w:cs="Times New Roman"/>
          <w:sz w:val="24"/>
          <w:szCs w:val="24"/>
        </w:rPr>
        <w:t xml:space="preserve"> the architect of Duke’s commercial business model,</w:t>
      </w:r>
      <w:r w:rsidR="00B123A3">
        <w:rPr>
          <w:rFonts w:ascii="Times New Roman" w:hAnsi="Times New Roman" w:cs="Times New Roman"/>
          <w:sz w:val="24"/>
          <w:szCs w:val="24"/>
        </w:rPr>
        <w:t xml:space="preserve"> Duke’s model is </w:t>
      </w:r>
      <w:r>
        <w:rPr>
          <w:rFonts w:ascii="Times New Roman" w:hAnsi="Times New Roman" w:cs="Times New Roman"/>
          <w:sz w:val="24"/>
          <w:szCs w:val="24"/>
        </w:rPr>
        <w:t xml:space="preserve">much more suitable as a tool in this proceeding because it is </w:t>
      </w:r>
      <w:r w:rsidR="00F27E74">
        <w:rPr>
          <w:rFonts w:ascii="Times New Roman" w:hAnsi="Times New Roman" w:cs="Times New Roman"/>
          <w:sz w:val="24"/>
          <w:szCs w:val="24"/>
        </w:rPr>
        <w:t xml:space="preserve">specific to Duke, and is used for a number of </w:t>
      </w:r>
      <w:r w:rsidR="00B46BB2" w:rsidRPr="00B46BB2">
        <w:rPr>
          <w:rFonts w:ascii="Times New Roman" w:hAnsi="Times New Roman" w:cs="Times New Roman"/>
          <w:i/>
          <w:sz w:val="24"/>
          <w:szCs w:val="24"/>
        </w:rPr>
        <w:t>actual business</w:t>
      </w:r>
      <w:r w:rsidR="00B46BB2">
        <w:rPr>
          <w:rFonts w:ascii="Times New Roman" w:hAnsi="Times New Roman" w:cs="Times New Roman"/>
          <w:sz w:val="24"/>
          <w:szCs w:val="24"/>
        </w:rPr>
        <w:t xml:space="preserve"> </w:t>
      </w:r>
      <w:r w:rsidR="00F27E74">
        <w:rPr>
          <w:rFonts w:ascii="Times New Roman" w:hAnsi="Times New Roman" w:cs="Times New Roman"/>
          <w:sz w:val="24"/>
          <w:szCs w:val="24"/>
        </w:rPr>
        <w:t>purposes- budgeting, planning, and transacting business of Duke on a daily basis.</w:t>
      </w:r>
      <w:r w:rsidR="00F27E74">
        <w:rPr>
          <w:rStyle w:val="FootnoteReference"/>
          <w:rFonts w:ascii="Times New Roman" w:hAnsi="Times New Roman" w:cs="Times New Roman"/>
          <w:sz w:val="24"/>
          <w:szCs w:val="24"/>
        </w:rPr>
        <w:footnoteReference w:id="204"/>
      </w:r>
      <w:r w:rsidR="00F27E74">
        <w:rPr>
          <w:rFonts w:ascii="Times New Roman" w:hAnsi="Times New Roman" w:cs="Times New Roman"/>
          <w:sz w:val="24"/>
          <w:szCs w:val="24"/>
        </w:rPr>
        <w:t xml:space="preserve">  </w:t>
      </w:r>
      <w:r w:rsidR="00B46BB2">
        <w:rPr>
          <w:rFonts w:ascii="Times New Roman" w:hAnsi="Times New Roman" w:cs="Times New Roman"/>
          <w:sz w:val="24"/>
          <w:szCs w:val="24"/>
        </w:rPr>
        <w:t xml:space="preserve">Duke uses the CBM for </w:t>
      </w:r>
      <w:r w:rsidR="00B46BB2">
        <w:rPr>
          <w:rFonts w:ascii="Times New Roman" w:hAnsi="Times New Roman" w:cs="Times New Roman"/>
          <w:sz w:val="24"/>
          <w:szCs w:val="24"/>
        </w:rPr>
        <w:lastRenderedPageBreak/>
        <w:t xml:space="preserve">both DECAM and DEO. </w:t>
      </w:r>
      <w:r>
        <w:rPr>
          <w:rStyle w:val="FootnoteReference"/>
          <w:rFonts w:ascii="Times New Roman" w:hAnsi="Times New Roman" w:cs="Times New Roman"/>
          <w:sz w:val="24"/>
          <w:szCs w:val="24"/>
        </w:rPr>
        <w:footnoteReference w:id="205"/>
      </w:r>
      <w:r w:rsidR="00B46BB2">
        <w:rPr>
          <w:rFonts w:ascii="Times New Roman" w:hAnsi="Times New Roman" w:cs="Times New Roman"/>
          <w:sz w:val="24"/>
          <w:szCs w:val="24"/>
        </w:rPr>
        <w:t xml:space="preserve">  </w:t>
      </w:r>
      <w:r w:rsidR="00113C18">
        <w:rPr>
          <w:rFonts w:ascii="Times New Roman" w:hAnsi="Times New Roman" w:cs="Times New Roman"/>
          <w:sz w:val="24"/>
          <w:szCs w:val="24"/>
        </w:rPr>
        <w:t>Dr.</w:t>
      </w:r>
      <w:r w:rsidR="00F27E74">
        <w:rPr>
          <w:rFonts w:ascii="Times New Roman" w:hAnsi="Times New Roman" w:cs="Times New Roman"/>
          <w:sz w:val="24"/>
          <w:szCs w:val="24"/>
        </w:rPr>
        <w:t xml:space="preserve"> Zh</w:t>
      </w:r>
      <w:r w:rsidR="00113C18">
        <w:rPr>
          <w:rFonts w:ascii="Times New Roman" w:hAnsi="Times New Roman" w:cs="Times New Roman"/>
          <w:sz w:val="24"/>
          <w:szCs w:val="24"/>
        </w:rPr>
        <w:t>a</w:t>
      </w:r>
      <w:r w:rsidR="00F27E74">
        <w:rPr>
          <w:rFonts w:ascii="Times New Roman" w:hAnsi="Times New Roman" w:cs="Times New Roman"/>
          <w:sz w:val="24"/>
          <w:szCs w:val="24"/>
        </w:rPr>
        <w:t>ng indicated the daily runs of the CBM are necessary</w:t>
      </w:r>
      <w:r w:rsidR="00113C18">
        <w:rPr>
          <w:rStyle w:val="FootnoteReference"/>
          <w:rFonts w:ascii="Times New Roman" w:hAnsi="Times New Roman" w:cs="Times New Roman"/>
          <w:sz w:val="24"/>
          <w:szCs w:val="24"/>
        </w:rPr>
        <w:footnoteReference w:id="206"/>
      </w:r>
      <w:r w:rsidR="00F27E74">
        <w:rPr>
          <w:rFonts w:ascii="Times New Roman" w:hAnsi="Times New Roman" w:cs="Times New Roman"/>
          <w:sz w:val="24"/>
          <w:szCs w:val="24"/>
        </w:rPr>
        <w:t xml:space="preserve"> because the information produced is actually transacted on and “we are very careful about that.”</w:t>
      </w:r>
      <w:r w:rsidR="00F27E74">
        <w:rPr>
          <w:rStyle w:val="FootnoteReference"/>
          <w:rFonts w:ascii="Times New Roman" w:hAnsi="Times New Roman" w:cs="Times New Roman"/>
          <w:sz w:val="24"/>
          <w:szCs w:val="24"/>
        </w:rPr>
        <w:footnoteReference w:id="207"/>
      </w:r>
      <w:r w:rsidR="00F27E74">
        <w:rPr>
          <w:rFonts w:ascii="Times New Roman" w:hAnsi="Times New Roman" w:cs="Times New Roman"/>
          <w:sz w:val="24"/>
          <w:szCs w:val="24"/>
        </w:rPr>
        <w:t xml:space="preserve">    </w:t>
      </w:r>
    </w:p>
    <w:p w:rsidR="00133DF9" w:rsidRDefault="00113C18" w:rsidP="00523FDC">
      <w:pPr>
        <w:ind w:firstLine="720"/>
        <w:rPr>
          <w:rFonts w:ascii="Times New Roman" w:hAnsi="Times New Roman" w:cs="Times New Roman"/>
          <w:sz w:val="24"/>
          <w:szCs w:val="24"/>
        </w:rPr>
      </w:pPr>
      <w:r>
        <w:rPr>
          <w:rFonts w:ascii="Times New Roman" w:hAnsi="Times New Roman" w:cs="Times New Roman"/>
          <w:sz w:val="24"/>
          <w:szCs w:val="24"/>
        </w:rPr>
        <w:t>Dr. Zhang</w:t>
      </w:r>
      <w:r w:rsidR="00133DF9">
        <w:rPr>
          <w:rFonts w:ascii="Times New Roman" w:hAnsi="Times New Roman" w:cs="Times New Roman"/>
          <w:sz w:val="24"/>
          <w:szCs w:val="24"/>
        </w:rPr>
        <w:t xml:space="preserve"> </w:t>
      </w:r>
      <w:r>
        <w:rPr>
          <w:rFonts w:ascii="Times New Roman" w:hAnsi="Times New Roman" w:cs="Times New Roman"/>
          <w:sz w:val="24"/>
          <w:szCs w:val="24"/>
        </w:rPr>
        <w:t>further testified that the model was developed over a number of years, starting in 1999.  The model went through internal evaluation and validation in 2001 and 2002.</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Further validation and testing of the model by external parties were undertaken at numerous times after the model began to be used</w:t>
      </w:r>
      <w:r w:rsidR="00133DF9">
        <w:rPr>
          <w:rFonts w:ascii="Times New Roman" w:hAnsi="Times New Roman" w:cs="Times New Roman"/>
          <w:sz w:val="24"/>
          <w:szCs w:val="24"/>
        </w:rPr>
        <w:t xml:space="preserve"> by the utility</w:t>
      </w:r>
      <w:r>
        <w:rPr>
          <w:rFonts w:ascii="Times New Roman" w:hAnsi="Times New Roman" w:cs="Times New Roman"/>
          <w:sz w:val="24"/>
          <w:szCs w:val="24"/>
        </w:rPr>
        <w:t xml:space="preserve"> in 2002.</w:t>
      </w:r>
      <w:r w:rsidR="007231C8">
        <w:rPr>
          <w:rStyle w:val="FootnoteReference"/>
          <w:rFonts w:ascii="Times New Roman" w:hAnsi="Times New Roman" w:cs="Times New Roman"/>
          <w:sz w:val="24"/>
          <w:szCs w:val="24"/>
        </w:rPr>
        <w:footnoteReference w:id="209"/>
      </w:r>
      <w:r w:rsidR="007231C8">
        <w:rPr>
          <w:rFonts w:ascii="Times New Roman" w:hAnsi="Times New Roman" w:cs="Times New Roman"/>
          <w:sz w:val="24"/>
          <w:szCs w:val="24"/>
        </w:rPr>
        <w:t xml:space="preserve">  Dr. Zhang further </w:t>
      </w:r>
      <w:r w:rsidR="00E73768">
        <w:rPr>
          <w:rFonts w:ascii="Times New Roman" w:hAnsi="Times New Roman" w:cs="Times New Roman"/>
          <w:sz w:val="24"/>
          <w:szCs w:val="24"/>
        </w:rPr>
        <w:t>testified “</w:t>
      </w:r>
      <w:r>
        <w:rPr>
          <w:rFonts w:ascii="Times New Roman" w:hAnsi="Times New Roman" w:cs="Times New Roman"/>
          <w:sz w:val="24"/>
          <w:szCs w:val="24"/>
        </w:rPr>
        <w:t xml:space="preserve">There is a continuation of improvement every day along the lines as things move, as we see new technology, as we see </w:t>
      </w:r>
      <w:r w:rsidR="00B46BB2">
        <w:rPr>
          <w:rFonts w:ascii="Times New Roman" w:hAnsi="Times New Roman" w:cs="Times New Roman"/>
          <w:sz w:val="24"/>
          <w:szCs w:val="24"/>
        </w:rPr>
        <w:t>different t</w:t>
      </w:r>
      <w:r>
        <w:rPr>
          <w:rFonts w:ascii="Times New Roman" w:hAnsi="Times New Roman" w:cs="Times New Roman"/>
          <w:sz w:val="24"/>
          <w:szCs w:val="24"/>
        </w:rPr>
        <w:t>ypes of regula</w:t>
      </w:r>
      <w:r w:rsidR="00B46BB2">
        <w:rPr>
          <w:rFonts w:ascii="Times New Roman" w:hAnsi="Times New Roman" w:cs="Times New Roman"/>
          <w:sz w:val="24"/>
          <w:szCs w:val="24"/>
        </w:rPr>
        <w:t>t</w:t>
      </w:r>
      <w:r>
        <w:rPr>
          <w:rFonts w:ascii="Times New Roman" w:hAnsi="Times New Roman" w:cs="Times New Roman"/>
          <w:sz w:val="24"/>
          <w:szCs w:val="24"/>
        </w:rPr>
        <w:t xml:space="preserve">ions, </w:t>
      </w:r>
      <w:r w:rsidR="00B46BB2">
        <w:rPr>
          <w:rFonts w:ascii="Times New Roman" w:hAnsi="Times New Roman" w:cs="Times New Roman"/>
          <w:sz w:val="24"/>
          <w:szCs w:val="24"/>
        </w:rPr>
        <w:t>so</w:t>
      </w:r>
      <w:r>
        <w:rPr>
          <w:rFonts w:ascii="Times New Roman" w:hAnsi="Times New Roman" w:cs="Times New Roman"/>
          <w:sz w:val="24"/>
          <w:szCs w:val="24"/>
        </w:rPr>
        <w:t xml:space="preserve"> there</w:t>
      </w:r>
      <w:r w:rsidR="00B46BB2">
        <w:rPr>
          <w:rFonts w:ascii="Times New Roman" w:hAnsi="Times New Roman" w:cs="Times New Roman"/>
          <w:sz w:val="24"/>
          <w:szCs w:val="24"/>
        </w:rPr>
        <w:t>’s</w:t>
      </w:r>
      <w:r>
        <w:rPr>
          <w:rFonts w:ascii="Times New Roman" w:hAnsi="Times New Roman" w:cs="Times New Roman"/>
          <w:sz w:val="24"/>
          <w:szCs w:val="24"/>
        </w:rPr>
        <w:t xml:space="preserve"> further improvement along the way.”</w:t>
      </w:r>
      <w:r>
        <w:rPr>
          <w:rStyle w:val="FootnoteReference"/>
          <w:rFonts w:ascii="Times New Roman" w:hAnsi="Times New Roman" w:cs="Times New Roman"/>
          <w:sz w:val="24"/>
          <w:szCs w:val="24"/>
        </w:rPr>
        <w:footnoteReference w:id="210"/>
      </w:r>
      <w:r w:rsidR="00B46B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4A9C" w:rsidRDefault="00133DF9" w:rsidP="00523FDC">
      <w:pPr>
        <w:ind w:firstLine="720"/>
        <w:rPr>
          <w:rFonts w:ascii="Times New Roman" w:hAnsi="Times New Roman" w:cs="Times New Roman"/>
          <w:sz w:val="24"/>
          <w:szCs w:val="24"/>
        </w:rPr>
      </w:pPr>
      <w:r>
        <w:rPr>
          <w:rFonts w:ascii="Times New Roman" w:hAnsi="Times New Roman" w:cs="Times New Roman"/>
          <w:sz w:val="24"/>
          <w:szCs w:val="24"/>
        </w:rPr>
        <w:t>In comparison</w:t>
      </w:r>
      <w:r w:rsidR="00D10AB5">
        <w:rPr>
          <w:rFonts w:ascii="Times New Roman" w:hAnsi="Times New Roman" w:cs="Times New Roman"/>
          <w:sz w:val="24"/>
          <w:szCs w:val="24"/>
        </w:rPr>
        <w:t>,</w:t>
      </w:r>
      <w:r w:rsidR="00515900">
        <w:rPr>
          <w:rFonts w:ascii="Times New Roman" w:hAnsi="Times New Roman" w:cs="Times New Roman"/>
          <w:sz w:val="24"/>
          <w:szCs w:val="24"/>
        </w:rPr>
        <w:t xml:space="preserve"> </w:t>
      </w:r>
      <w:r w:rsidR="00DB4580">
        <w:rPr>
          <w:rFonts w:ascii="Times New Roman" w:hAnsi="Times New Roman" w:cs="Times New Roman"/>
          <w:sz w:val="24"/>
          <w:szCs w:val="24"/>
        </w:rPr>
        <w:t xml:space="preserve">Mr. </w:t>
      </w:r>
      <w:proofErr w:type="spellStart"/>
      <w:r w:rsidR="00DB4580">
        <w:rPr>
          <w:rFonts w:ascii="Times New Roman" w:hAnsi="Times New Roman" w:cs="Times New Roman"/>
          <w:sz w:val="24"/>
          <w:szCs w:val="24"/>
        </w:rPr>
        <w:t>Luciani’s</w:t>
      </w:r>
      <w:proofErr w:type="spellEnd"/>
      <w:r w:rsidR="00DB4580">
        <w:rPr>
          <w:rFonts w:ascii="Times New Roman" w:hAnsi="Times New Roman" w:cs="Times New Roman"/>
          <w:sz w:val="24"/>
          <w:szCs w:val="24"/>
        </w:rPr>
        <w:t xml:space="preserve"> </w:t>
      </w:r>
      <w:r>
        <w:rPr>
          <w:rFonts w:ascii="Times New Roman" w:hAnsi="Times New Roman" w:cs="Times New Roman"/>
          <w:sz w:val="24"/>
          <w:szCs w:val="24"/>
        </w:rPr>
        <w:t xml:space="preserve">revenue calculation </w:t>
      </w:r>
      <w:r w:rsidR="00D10AB5">
        <w:rPr>
          <w:rFonts w:ascii="Times New Roman" w:hAnsi="Times New Roman" w:cs="Times New Roman"/>
          <w:sz w:val="24"/>
          <w:szCs w:val="24"/>
        </w:rPr>
        <w:t xml:space="preserve">(which is not a recommendation) </w:t>
      </w:r>
      <w:r>
        <w:rPr>
          <w:rFonts w:ascii="Times New Roman" w:hAnsi="Times New Roman" w:cs="Times New Roman"/>
          <w:sz w:val="24"/>
          <w:szCs w:val="24"/>
        </w:rPr>
        <w:t xml:space="preserve">comes from </w:t>
      </w:r>
      <w:r w:rsidR="00D10AB5">
        <w:rPr>
          <w:rFonts w:ascii="Times New Roman" w:hAnsi="Times New Roman" w:cs="Times New Roman"/>
          <w:sz w:val="24"/>
          <w:szCs w:val="24"/>
        </w:rPr>
        <w:t>a</w:t>
      </w:r>
      <w:r>
        <w:rPr>
          <w:rFonts w:ascii="Times New Roman" w:hAnsi="Times New Roman" w:cs="Times New Roman"/>
          <w:sz w:val="24"/>
          <w:szCs w:val="24"/>
        </w:rPr>
        <w:t xml:space="preserve"> </w:t>
      </w:r>
      <w:r w:rsidR="00DB4580">
        <w:rPr>
          <w:rFonts w:ascii="Times New Roman" w:hAnsi="Times New Roman" w:cs="Times New Roman"/>
          <w:sz w:val="24"/>
          <w:szCs w:val="24"/>
        </w:rPr>
        <w:t>generic cost production model</w:t>
      </w:r>
      <w:r w:rsidR="00B123A3">
        <w:rPr>
          <w:rFonts w:ascii="Times New Roman" w:hAnsi="Times New Roman" w:cs="Times New Roman"/>
          <w:sz w:val="24"/>
          <w:szCs w:val="24"/>
        </w:rPr>
        <w:t>,</w:t>
      </w:r>
      <w:r w:rsidR="005A4111">
        <w:rPr>
          <w:rStyle w:val="FootnoteReference"/>
          <w:rFonts w:ascii="Times New Roman" w:hAnsi="Times New Roman" w:cs="Times New Roman"/>
          <w:sz w:val="24"/>
          <w:szCs w:val="24"/>
        </w:rPr>
        <w:footnoteReference w:id="211"/>
      </w:r>
      <w:r w:rsidR="00DB4580">
        <w:rPr>
          <w:rFonts w:ascii="Times New Roman" w:hAnsi="Times New Roman" w:cs="Times New Roman"/>
          <w:sz w:val="24"/>
          <w:szCs w:val="24"/>
        </w:rPr>
        <w:t xml:space="preserve"> </w:t>
      </w:r>
      <w:r w:rsidR="00C87FB5">
        <w:rPr>
          <w:rFonts w:ascii="Times New Roman" w:hAnsi="Times New Roman" w:cs="Times New Roman"/>
          <w:sz w:val="24"/>
          <w:szCs w:val="24"/>
        </w:rPr>
        <w:t xml:space="preserve">which </w:t>
      </w:r>
      <w:r w:rsidR="00D10AB5">
        <w:rPr>
          <w:rFonts w:ascii="Times New Roman" w:hAnsi="Times New Roman" w:cs="Times New Roman"/>
          <w:sz w:val="24"/>
          <w:szCs w:val="24"/>
        </w:rPr>
        <w:t>is not necessarily used to transact business but is used to simulate a plant operator’s profit maximizing strategy.</w:t>
      </w:r>
      <w:r w:rsidR="00D10AB5">
        <w:rPr>
          <w:rStyle w:val="FootnoteReference"/>
          <w:rFonts w:ascii="Times New Roman" w:hAnsi="Times New Roman" w:cs="Times New Roman"/>
          <w:sz w:val="24"/>
          <w:szCs w:val="24"/>
        </w:rPr>
        <w:footnoteReference w:id="212"/>
      </w:r>
      <w:r w:rsidR="00D10AB5">
        <w:rPr>
          <w:rFonts w:ascii="Times New Roman" w:hAnsi="Times New Roman" w:cs="Times New Roman"/>
          <w:sz w:val="24"/>
          <w:szCs w:val="24"/>
        </w:rPr>
        <w:t xml:space="preserve">  Under Mr. </w:t>
      </w:r>
      <w:proofErr w:type="spellStart"/>
      <w:r w:rsidR="00D10AB5">
        <w:rPr>
          <w:rFonts w:ascii="Times New Roman" w:hAnsi="Times New Roman" w:cs="Times New Roman"/>
          <w:sz w:val="24"/>
          <w:szCs w:val="24"/>
        </w:rPr>
        <w:t>Luciani’s</w:t>
      </w:r>
      <w:proofErr w:type="spellEnd"/>
      <w:r w:rsidR="00D10AB5">
        <w:rPr>
          <w:rFonts w:ascii="Times New Roman" w:hAnsi="Times New Roman" w:cs="Times New Roman"/>
          <w:sz w:val="24"/>
          <w:szCs w:val="24"/>
        </w:rPr>
        <w:t xml:space="preserve"> model the </w:t>
      </w:r>
      <w:r w:rsidR="00DB4580">
        <w:rPr>
          <w:rFonts w:ascii="Times New Roman" w:hAnsi="Times New Roman" w:cs="Times New Roman"/>
          <w:sz w:val="24"/>
          <w:szCs w:val="24"/>
        </w:rPr>
        <w:t xml:space="preserve">net energy margins </w:t>
      </w:r>
      <w:r w:rsidR="00D10AB5">
        <w:rPr>
          <w:rFonts w:ascii="Times New Roman" w:hAnsi="Times New Roman" w:cs="Times New Roman"/>
          <w:sz w:val="24"/>
          <w:szCs w:val="24"/>
        </w:rPr>
        <w:t xml:space="preserve">are </w:t>
      </w:r>
    </w:p>
    <w:p w:rsidR="00C94A9C" w:rsidRDefault="00C94A9C">
      <w:pPr>
        <w:rPr>
          <w:rFonts w:ascii="Times New Roman" w:hAnsi="Times New Roman" w:cs="Times New Roman"/>
          <w:sz w:val="24"/>
          <w:szCs w:val="24"/>
        </w:rPr>
      </w:pPr>
      <w:r>
        <w:rPr>
          <w:rFonts w:ascii="Times New Roman" w:hAnsi="Times New Roman" w:cs="Times New Roman"/>
          <w:sz w:val="24"/>
          <w:szCs w:val="24"/>
        </w:rPr>
        <w:br w:type="page"/>
      </w:r>
    </w:p>
    <w:p w:rsidR="00D10AB5" w:rsidRDefault="00D10AB5" w:rsidP="00C94A9C">
      <w:pPr>
        <w:rPr>
          <w:rFonts w:ascii="Times New Roman" w:hAnsi="Times New Roman" w:cs="Times New Roman"/>
          <w:sz w:val="24"/>
          <w:szCs w:val="24"/>
        </w:rPr>
      </w:pPr>
      <w:proofErr w:type="gramStart"/>
      <w:r>
        <w:rPr>
          <w:rFonts w:ascii="Times New Roman" w:hAnsi="Times New Roman" w:cs="Times New Roman"/>
          <w:sz w:val="24"/>
          <w:szCs w:val="24"/>
        </w:rPr>
        <w:lastRenderedPageBreak/>
        <w:t>significantly</w:t>
      </w:r>
      <w:proofErr w:type="gramEnd"/>
      <w:r>
        <w:rPr>
          <w:rFonts w:ascii="Times New Roman" w:hAnsi="Times New Roman" w:cs="Times New Roman"/>
          <w:sz w:val="24"/>
          <w:szCs w:val="24"/>
        </w:rPr>
        <w:t xml:space="preserve"> lower (by $35 million) than that </w:t>
      </w:r>
      <w:r w:rsidR="00DB4580">
        <w:rPr>
          <w:rFonts w:ascii="Times New Roman" w:hAnsi="Times New Roman" w:cs="Times New Roman"/>
          <w:sz w:val="24"/>
          <w:szCs w:val="24"/>
        </w:rPr>
        <w:t>produced by Duke’s specific commercial business model (based on the June 27, 2012 run).</w:t>
      </w:r>
      <w:r w:rsidR="00DB4580">
        <w:rPr>
          <w:rStyle w:val="FootnoteReference"/>
          <w:rFonts w:ascii="Times New Roman" w:hAnsi="Times New Roman" w:cs="Times New Roman"/>
          <w:sz w:val="24"/>
          <w:szCs w:val="24"/>
        </w:rPr>
        <w:footnoteReference w:id="213"/>
      </w:r>
      <w:r w:rsidR="00DB4580">
        <w:rPr>
          <w:rFonts w:ascii="Times New Roman" w:hAnsi="Times New Roman" w:cs="Times New Roman"/>
          <w:sz w:val="24"/>
          <w:szCs w:val="24"/>
        </w:rPr>
        <w:t xml:space="preserve"> </w:t>
      </w:r>
    </w:p>
    <w:p w:rsidR="00B123A3" w:rsidRDefault="00152830" w:rsidP="00523FDC">
      <w:pPr>
        <w:ind w:firstLine="720"/>
        <w:rPr>
          <w:rFonts w:ascii="Times New Roman" w:hAnsi="Times New Roman" w:cs="Times New Roman"/>
          <w:sz w:val="24"/>
          <w:szCs w:val="24"/>
        </w:rPr>
      </w:pPr>
      <w:r>
        <w:rPr>
          <w:rFonts w:ascii="Times New Roman" w:hAnsi="Times New Roman" w:cs="Times New Roman"/>
          <w:sz w:val="24"/>
          <w:szCs w:val="24"/>
        </w:rPr>
        <w:t xml:space="preserve">And while Mr. </w:t>
      </w:r>
      <w:proofErr w:type="spellStart"/>
      <w:r>
        <w:rPr>
          <w:rFonts w:ascii="Times New Roman" w:hAnsi="Times New Roman" w:cs="Times New Roman"/>
          <w:sz w:val="24"/>
          <w:szCs w:val="24"/>
        </w:rPr>
        <w:t>Luciani’s</w:t>
      </w:r>
      <w:proofErr w:type="spellEnd"/>
      <w:r>
        <w:rPr>
          <w:rFonts w:ascii="Times New Roman" w:hAnsi="Times New Roman" w:cs="Times New Roman"/>
          <w:sz w:val="24"/>
          <w:szCs w:val="24"/>
        </w:rPr>
        <w:t xml:space="preserve"> analysis was the latest and freshest of all </w:t>
      </w:r>
      <w:r w:rsidR="00D10AB5">
        <w:rPr>
          <w:rFonts w:ascii="Times New Roman" w:hAnsi="Times New Roman" w:cs="Times New Roman"/>
          <w:sz w:val="24"/>
          <w:szCs w:val="24"/>
        </w:rPr>
        <w:t xml:space="preserve">energy margin </w:t>
      </w:r>
      <w:r>
        <w:rPr>
          <w:rFonts w:ascii="Times New Roman" w:hAnsi="Times New Roman" w:cs="Times New Roman"/>
          <w:sz w:val="24"/>
          <w:szCs w:val="24"/>
        </w:rPr>
        <w:t xml:space="preserve">analysis, Mr. </w:t>
      </w:r>
      <w:proofErr w:type="spellStart"/>
      <w:r>
        <w:rPr>
          <w:rFonts w:ascii="Times New Roman" w:hAnsi="Times New Roman" w:cs="Times New Roman"/>
          <w:sz w:val="24"/>
          <w:szCs w:val="24"/>
        </w:rPr>
        <w:t>Luciani</w:t>
      </w:r>
      <w:proofErr w:type="spellEnd"/>
      <w:r>
        <w:rPr>
          <w:rFonts w:ascii="Times New Roman" w:hAnsi="Times New Roman" w:cs="Times New Roman"/>
          <w:sz w:val="24"/>
          <w:szCs w:val="24"/>
        </w:rPr>
        <w:t xml:space="preserve"> himself expressed reservations over the end product he produced given the fact that he was unable to conduct discovery.</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Mr. </w:t>
      </w:r>
      <w:proofErr w:type="spellStart"/>
      <w:r>
        <w:rPr>
          <w:rFonts w:ascii="Times New Roman" w:hAnsi="Times New Roman" w:cs="Times New Roman"/>
          <w:sz w:val="24"/>
          <w:szCs w:val="24"/>
        </w:rPr>
        <w:t>Luciani</w:t>
      </w:r>
      <w:proofErr w:type="spellEnd"/>
      <w:r>
        <w:rPr>
          <w:rFonts w:ascii="Times New Roman" w:hAnsi="Times New Roman" w:cs="Times New Roman"/>
          <w:sz w:val="24"/>
          <w:szCs w:val="24"/>
        </w:rPr>
        <w:t xml:space="preserve"> also expressed his concern that the utility knows more about the plants than he does for purposes of producing energy margins, and that </w:t>
      </w:r>
      <w:r w:rsidR="001754BD">
        <w:rPr>
          <w:rFonts w:ascii="Times New Roman" w:hAnsi="Times New Roman" w:cs="Times New Roman"/>
          <w:sz w:val="24"/>
          <w:szCs w:val="24"/>
        </w:rPr>
        <w:t>Duke</w:t>
      </w:r>
      <w:r>
        <w:rPr>
          <w:rFonts w:ascii="Times New Roman" w:hAnsi="Times New Roman" w:cs="Times New Roman"/>
          <w:sz w:val="24"/>
          <w:szCs w:val="24"/>
        </w:rPr>
        <w:t xml:space="preserve"> is privy to more data than he is able to access publicly.</w:t>
      </w:r>
      <w:r>
        <w:rPr>
          <w:rStyle w:val="FootnoteReference"/>
          <w:rFonts w:ascii="Times New Roman" w:hAnsi="Times New Roman" w:cs="Times New Roman"/>
          <w:sz w:val="24"/>
          <w:szCs w:val="24"/>
        </w:rPr>
        <w:footnoteReference w:id="215"/>
      </w:r>
      <w:r w:rsidR="00C94A9C">
        <w:rPr>
          <w:rFonts w:ascii="Times New Roman" w:hAnsi="Times New Roman" w:cs="Times New Roman"/>
          <w:sz w:val="24"/>
          <w:szCs w:val="24"/>
        </w:rPr>
        <w:t xml:space="preserve">  </w:t>
      </w:r>
      <w:r w:rsidR="005A4111">
        <w:rPr>
          <w:rFonts w:ascii="Times New Roman" w:hAnsi="Times New Roman" w:cs="Times New Roman"/>
          <w:sz w:val="24"/>
          <w:szCs w:val="24"/>
        </w:rPr>
        <w:t>A</w:t>
      </w:r>
      <w:r w:rsidR="00D10AB5">
        <w:rPr>
          <w:rFonts w:ascii="Times New Roman" w:hAnsi="Times New Roman" w:cs="Times New Roman"/>
          <w:sz w:val="24"/>
          <w:szCs w:val="24"/>
        </w:rPr>
        <w:t>d</w:t>
      </w:r>
      <w:r w:rsidR="005A4111">
        <w:rPr>
          <w:rFonts w:ascii="Times New Roman" w:hAnsi="Times New Roman" w:cs="Times New Roman"/>
          <w:sz w:val="24"/>
          <w:szCs w:val="24"/>
        </w:rPr>
        <w:t xml:space="preserve">ditionally, Mr. </w:t>
      </w:r>
      <w:proofErr w:type="spellStart"/>
      <w:r w:rsidR="005A4111">
        <w:rPr>
          <w:rFonts w:ascii="Times New Roman" w:hAnsi="Times New Roman" w:cs="Times New Roman"/>
          <w:sz w:val="24"/>
          <w:szCs w:val="24"/>
        </w:rPr>
        <w:t>Luciani</w:t>
      </w:r>
      <w:proofErr w:type="spellEnd"/>
      <w:r w:rsidR="005A4111">
        <w:rPr>
          <w:rFonts w:ascii="Times New Roman" w:hAnsi="Times New Roman" w:cs="Times New Roman"/>
          <w:sz w:val="24"/>
          <w:szCs w:val="24"/>
        </w:rPr>
        <w:t xml:space="preserve"> noted that if he would have had more time, he would have tried to explore the differences between his assumptions and Duke’s.</w:t>
      </w:r>
      <w:r w:rsidR="005A4111">
        <w:rPr>
          <w:rStyle w:val="FootnoteReference"/>
          <w:rFonts w:ascii="Times New Roman" w:hAnsi="Times New Roman" w:cs="Times New Roman"/>
          <w:sz w:val="24"/>
          <w:szCs w:val="24"/>
        </w:rPr>
        <w:footnoteReference w:id="216"/>
      </w:r>
      <w:r w:rsidR="005A4111">
        <w:rPr>
          <w:rFonts w:ascii="Times New Roman" w:hAnsi="Times New Roman" w:cs="Times New Roman"/>
          <w:sz w:val="24"/>
          <w:szCs w:val="24"/>
        </w:rPr>
        <w:t xml:space="preserve"> </w:t>
      </w:r>
      <w:r w:rsidR="00C27A9F">
        <w:rPr>
          <w:rFonts w:ascii="Times New Roman" w:hAnsi="Times New Roman" w:cs="Times New Roman"/>
          <w:sz w:val="24"/>
          <w:szCs w:val="24"/>
        </w:rPr>
        <w:t xml:space="preserve"> </w:t>
      </w:r>
      <w:r w:rsidR="005A41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4580" w:rsidRDefault="00B123A3" w:rsidP="00523FDC">
      <w:pPr>
        <w:ind w:firstLine="720"/>
        <w:rPr>
          <w:rFonts w:ascii="Times New Roman" w:hAnsi="Times New Roman" w:cs="Times New Roman"/>
          <w:sz w:val="24"/>
          <w:szCs w:val="24"/>
        </w:rPr>
      </w:pPr>
      <w:r>
        <w:rPr>
          <w:rFonts w:ascii="Times New Roman" w:hAnsi="Times New Roman" w:cs="Times New Roman"/>
          <w:sz w:val="24"/>
          <w:szCs w:val="24"/>
        </w:rPr>
        <w:t>Notably, i</w:t>
      </w:r>
      <w:r w:rsidR="00DE600F">
        <w:rPr>
          <w:rFonts w:ascii="Times New Roman" w:hAnsi="Times New Roman" w:cs="Times New Roman"/>
          <w:sz w:val="24"/>
          <w:szCs w:val="24"/>
        </w:rPr>
        <w:t xml:space="preserve">f the PUCO were to adopt Mr. </w:t>
      </w:r>
      <w:proofErr w:type="spellStart"/>
      <w:r w:rsidR="00DE600F">
        <w:rPr>
          <w:rFonts w:ascii="Times New Roman" w:hAnsi="Times New Roman" w:cs="Times New Roman"/>
          <w:sz w:val="24"/>
          <w:szCs w:val="24"/>
        </w:rPr>
        <w:t>Luciani’s</w:t>
      </w:r>
      <w:proofErr w:type="spellEnd"/>
      <w:r w:rsidR="00DE600F">
        <w:rPr>
          <w:rFonts w:ascii="Times New Roman" w:hAnsi="Times New Roman" w:cs="Times New Roman"/>
          <w:sz w:val="24"/>
          <w:szCs w:val="24"/>
        </w:rPr>
        <w:t xml:space="preserve"> revenue </w:t>
      </w:r>
      <w:r w:rsidR="00333F1E">
        <w:rPr>
          <w:rFonts w:ascii="Times New Roman" w:hAnsi="Times New Roman" w:cs="Times New Roman"/>
          <w:sz w:val="24"/>
          <w:szCs w:val="24"/>
        </w:rPr>
        <w:t>calculation</w:t>
      </w:r>
      <w:r w:rsidR="00DE600F">
        <w:rPr>
          <w:rFonts w:ascii="Times New Roman" w:hAnsi="Times New Roman" w:cs="Times New Roman"/>
          <w:sz w:val="24"/>
          <w:szCs w:val="24"/>
        </w:rPr>
        <w:t xml:space="preserve">, and </w:t>
      </w:r>
      <w:r w:rsidR="00152830">
        <w:rPr>
          <w:rFonts w:ascii="Times New Roman" w:hAnsi="Times New Roman" w:cs="Times New Roman"/>
          <w:sz w:val="24"/>
          <w:szCs w:val="24"/>
        </w:rPr>
        <w:t xml:space="preserve">set the rate of return at 9.5% or higher, </w:t>
      </w:r>
      <w:r w:rsidR="00333F1E">
        <w:rPr>
          <w:rFonts w:ascii="Times New Roman" w:hAnsi="Times New Roman" w:cs="Times New Roman"/>
          <w:sz w:val="24"/>
          <w:szCs w:val="24"/>
        </w:rPr>
        <w:t>the result is that the adjusted capacity rate for Duke would be higher than the rate Duke has requested in its application.</w:t>
      </w:r>
      <w:r w:rsidR="00333F1E">
        <w:rPr>
          <w:rStyle w:val="FootnoteReference"/>
          <w:rFonts w:ascii="Times New Roman" w:hAnsi="Times New Roman" w:cs="Times New Roman"/>
          <w:sz w:val="24"/>
          <w:szCs w:val="24"/>
        </w:rPr>
        <w:footnoteReference w:id="217"/>
      </w:r>
      <w:r w:rsidR="00333F1E">
        <w:rPr>
          <w:rFonts w:ascii="Times New Roman" w:hAnsi="Times New Roman" w:cs="Times New Roman"/>
          <w:sz w:val="24"/>
          <w:szCs w:val="24"/>
        </w:rPr>
        <w:t xml:space="preserve"> </w:t>
      </w:r>
      <w:r w:rsidR="00C94A9C">
        <w:rPr>
          <w:rFonts w:ascii="Times New Roman" w:hAnsi="Times New Roman" w:cs="Times New Roman"/>
          <w:sz w:val="24"/>
          <w:szCs w:val="24"/>
        </w:rPr>
        <w:t xml:space="preserve"> </w:t>
      </w:r>
      <w:r w:rsidR="00C27A9F">
        <w:rPr>
          <w:rFonts w:ascii="Times New Roman" w:hAnsi="Times New Roman" w:cs="Times New Roman"/>
          <w:sz w:val="24"/>
          <w:szCs w:val="24"/>
        </w:rPr>
        <w:t xml:space="preserve">In other words if the </w:t>
      </w:r>
      <w:r w:rsidR="005460B2">
        <w:rPr>
          <w:rFonts w:ascii="Times New Roman" w:hAnsi="Times New Roman" w:cs="Times New Roman"/>
          <w:sz w:val="24"/>
          <w:szCs w:val="24"/>
        </w:rPr>
        <w:t xml:space="preserve">PUCO </w:t>
      </w:r>
      <w:r w:rsidR="00C27A9F">
        <w:rPr>
          <w:rFonts w:ascii="Times New Roman" w:hAnsi="Times New Roman" w:cs="Times New Roman"/>
          <w:sz w:val="24"/>
          <w:szCs w:val="24"/>
        </w:rPr>
        <w:t xml:space="preserve">were to adopt the revenue requirement calculation of Mr. </w:t>
      </w:r>
      <w:proofErr w:type="spellStart"/>
      <w:r w:rsidR="00C27A9F">
        <w:rPr>
          <w:rFonts w:ascii="Times New Roman" w:hAnsi="Times New Roman" w:cs="Times New Roman"/>
          <w:sz w:val="24"/>
          <w:szCs w:val="24"/>
        </w:rPr>
        <w:t>Luciani</w:t>
      </w:r>
      <w:proofErr w:type="spellEnd"/>
      <w:r w:rsidR="00C27A9F">
        <w:rPr>
          <w:rFonts w:ascii="Times New Roman" w:hAnsi="Times New Roman" w:cs="Times New Roman"/>
          <w:sz w:val="24"/>
          <w:szCs w:val="24"/>
        </w:rPr>
        <w:t xml:space="preserve">, which includes the $35 million lower net energy margins, and order a rate of return at 9.5% or higher, it would </w:t>
      </w:r>
      <w:r w:rsidR="00227511">
        <w:rPr>
          <w:rFonts w:ascii="Times New Roman" w:hAnsi="Times New Roman" w:cs="Times New Roman"/>
          <w:sz w:val="24"/>
          <w:szCs w:val="24"/>
        </w:rPr>
        <w:t xml:space="preserve">be giving </w:t>
      </w:r>
      <w:r w:rsidR="00C27A9F">
        <w:rPr>
          <w:rFonts w:ascii="Times New Roman" w:hAnsi="Times New Roman" w:cs="Times New Roman"/>
          <w:sz w:val="24"/>
          <w:szCs w:val="24"/>
        </w:rPr>
        <w:t>Duke more money than it requested.</w:t>
      </w:r>
    </w:p>
    <w:p w:rsidR="00F105D3" w:rsidRPr="00840741" w:rsidRDefault="00C27A9F" w:rsidP="00F105D3">
      <w:pPr>
        <w:ind w:firstLine="720"/>
        <w:rPr>
          <w:rFonts w:ascii="Times New Roman" w:hAnsi="Times New Roman" w:cs="Times New Roman"/>
          <w:sz w:val="24"/>
          <w:szCs w:val="24"/>
        </w:rPr>
      </w:pPr>
      <w:r w:rsidRPr="00840741">
        <w:rPr>
          <w:rFonts w:ascii="Times New Roman" w:hAnsi="Times New Roman" w:cs="Times New Roman"/>
          <w:sz w:val="24"/>
          <w:szCs w:val="24"/>
        </w:rPr>
        <w:t xml:space="preserve">But the </w:t>
      </w:r>
      <w:r w:rsidR="00F105D3" w:rsidRPr="00840741">
        <w:rPr>
          <w:rFonts w:ascii="Times New Roman" w:hAnsi="Times New Roman" w:cs="Times New Roman"/>
          <w:sz w:val="24"/>
          <w:szCs w:val="24"/>
        </w:rPr>
        <w:t>PUCO has repeatedly held that the rate relief to which a utility is entitled is capped by the amount requested through its application.</w:t>
      </w:r>
      <w:r w:rsidR="00F105D3" w:rsidRPr="00840741">
        <w:rPr>
          <w:rStyle w:val="FootnoteReference"/>
          <w:rFonts w:ascii="Times New Roman" w:hAnsi="Times New Roman" w:cs="Times New Roman"/>
          <w:sz w:val="24"/>
          <w:szCs w:val="24"/>
        </w:rPr>
        <w:footnoteReference w:id="218"/>
      </w:r>
      <w:r w:rsidR="00F105D3" w:rsidRPr="00840741">
        <w:rPr>
          <w:rFonts w:ascii="Times New Roman" w:hAnsi="Times New Roman" w:cs="Times New Roman"/>
          <w:sz w:val="24"/>
          <w:szCs w:val="24"/>
        </w:rPr>
        <w:t xml:space="preserve">  It has applied this policy </w:t>
      </w:r>
      <w:r w:rsidR="00F105D3" w:rsidRPr="00840741">
        <w:rPr>
          <w:rFonts w:ascii="Times New Roman" w:hAnsi="Times New Roman" w:cs="Times New Roman"/>
          <w:sz w:val="24"/>
          <w:szCs w:val="24"/>
        </w:rPr>
        <w:lastRenderedPageBreak/>
        <w:t>even though a greater revenue deficiency has been demonstrated.</w:t>
      </w:r>
      <w:r w:rsidR="00F105D3" w:rsidRPr="00840741">
        <w:rPr>
          <w:rStyle w:val="FootnoteReference"/>
          <w:rFonts w:ascii="Times New Roman" w:hAnsi="Times New Roman" w:cs="Times New Roman"/>
          <w:sz w:val="24"/>
          <w:szCs w:val="24"/>
        </w:rPr>
        <w:footnoteReference w:id="219"/>
      </w:r>
      <w:r w:rsidR="00F105D3" w:rsidRPr="00840741">
        <w:rPr>
          <w:rFonts w:ascii="Times New Roman" w:hAnsi="Times New Roman" w:cs="Times New Roman"/>
          <w:sz w:val="24"/>
          <w:szCs w:val="24"/>
        </w:rPr>
        <w:t xml:space="preserve">  Indeed, in following this precedent, the </w:t>
      </w:r>
      <w:r w:rsidR="005460B2">
        <w:rPr>
          <w:rFonts w:ascii="Times New Roman" w:hAnsi="Times New Roman" w:cs="Times New Roman"/>
          <w:sz w:val="24"/>
          <w:szCs w:val="24"/>
        </w:rPr>
        <w:t>PUCO</w:t>
      </w:r>
      <w:r w:rsidR="005460B2" w:rsidRPr="00840741">
        <w:rPr>
          <w:rFonts w:ascii="Times New Roman" w:hAnsi="Times New Roman" w:cs="Times New Roman"/>
          <w:sz w:val="24"/>
          <w:szCs w:val="24"/>
        </w:rPr>
        <w:t xml:space="preserve"> </w:t>
      </w:r>
      <w:r w:rsidR="00F105D3" w:rsidRPr="00840741">
        <w:rPr>
          <w:rFonts w:ascii="Times New Roman" w:hAnsi="Times New Roman" w:cs="Times New Roman"/>
          <w:sz w:val="24"/>
          <w:szCs w:val="24"/>
        </w:rPr>
        <w:t>has, on occasion, adopted negative returns on equity.</w:t>
      </w:r>
      <w:r w:rsidR="00F105D3" w:rsidRPr="00840741">
        <w:rPr>
          <w:rStyle w:val="FootnoteReference"/>
          <w:rFonts w:ascii="Times New Roman" w:hAnsi="Times New Roman" w:cs="Times New Roman"/>
          <w:sz w:val="24"/>
          <w:szCs w:val="24"/>
        </w:rPr>
        <w:footnoteReference w:id="220"/>
      </w:r>
      <w:r w:rsidR="00F105D3" w:rsidRPr="00840741">
        <w:rPr>
          <w:rFonts w:ascii="Times New Roman" w:hAnsi="Times New Roman" w:cs="Times New Roman"/>
          <w:sz w:val="24"/>
          <w:szCs w:val="24"/>
        </w:rPr>
        <w:t xml:space="preserve">  In one case, after discussing the precedent that the rate relief can be no greater than that requested, the Commission adopted a negative 48.57% rate of return, finding it to be “fair and reasonable for purposes of this case.”</w:t>
      </w:r>
      <w:r w:rsidR="00F105D3" w:rsidRPr="00840741">
        <w:rPr>
          <w:rStyle w:val="FootnoteReference"/>
          <w:rFonts w:ascii="Times New Roman" w:hAnsi="Times New Roman" w:cs="Times New Roman"/>
          <w:sz w:val="24"/>
          <w:szCs w:val="24"/>
        </w:rPr>
        <w:footnoteReference w:id="221"/>
      </w:r>
      <w:r w:rsidR="00F105D3" w:rsidRPr="00840741">
        <w:rPr>
          <w:rFonts w:ascii="Times New Roman" w:hAnsi="Times New Roman" w:cs="Times New Roman"/>
          <w:sz w:val="24"/>
          <w:szCs w:val="24"/>
        </w:rPr>
        <w:t xml:space="preserve">  </w:t>
      </w:r>
    </w:p>
    <w:p w:rsidR="00833D6F" w:rsidRPr="00840741" w:rsidRDefault="00F105D3" w:rsidP="00F105D3">
      <w:pPr>
        <w:ind w:firstLine="720"/>
        <w:rPr>
          <w:rFonts w:ascii="Times New Roman" w:hAnsi="Times New Roman" w:cs="Times New Roman"/>
          <w:sz w:val="24"/>
          <w:szCs w:val="24"/>
        </w:rPr>
      </w:pPr>
      <w:r w:rsidRPr="00840741">
        <w:rPr>
          <w:rFonts w:ascii="Times New Roman" w:hAnsi="Times New Roman" w:cs="Times New Roman"/>
          <w:sz w:val="24"/>
          <w:szCs w:val="24"/>
        </w:rPr>
        <w:t xml:space="preserve">The rationale supporting these PUCO decisions is that potential </w:t>
      </w:r>
      <w:proofErr w:type="spellStart"/>
      <w:r w:rsidRPr="00840741">
        <w:rPr>
          <w:rFonts w:ascii="Times New Roman" w:hAnsi="Times New Roman" w:cs="Times New Roman"/>
          <w:sz w:val="24"/>
          <w:szCs w:val="24"/>
        </w:rPr>
        <w:t>intervenors</w:t>
      </w:r>
      <w:proofErr w:type="spellEnd"/>
      <w:r w:rsidRPr="00840741">
        <w:rPr>
          <w:rFonts w:ascii="Times New Roman" w:hAnsi="Times New Roman" w:cs="Times New Roman"/>
          <w:sz w:val="24"/>
          <w:szCs w:val="24"/>
        </w:rPr>
        <w:t xml:space="preserve"> are entitled to know the stakes in deciding whether to oppose a rate request.</w:t>
      </w:r>
      <w:r w:rsidRPr="00840741">
        <w:rPr>
          <w:rStyle w:val="FootnoteReference"/>
          <w:rFonts w:ascii="Times New Roman" w:hAnsi="Times New Roman" w:cs="Times New Roman"/>
          <w:sz w:val="24"/>
          <w:szCs w:val="24"/>
        </w:rPr>
        <w:footnoteReference w:id="222"/>
      </w:r>
      <w:r w:rsidRPr="00840741">
        <w:rPr>
          <w:rFonts w:ascii="Times New Roman" w:hAnsi="Times New Roman" w:cs="Times New Roman"/>
          <w:sz w:val="24"/>
          <w:szCs w:val="24"/>
        </w:rPr>
        <w:t xml:space="preserve">  T</w:t>
      </w:r>
      <w:r w:rsidR="007231C8">
        <w:rPr>
          <w:rFonts w:ascii="Times New Roman" w:hAnsi="Times New Roman" w:cs="Times New Roman"/>
          <w:sz w:val="24"/>
          <w:szCs w:val="24"/>
        </w:rPr>
        <w:t>h</w:t>
      </w:r>
      <w:r w:rsidRPr="00840741">
        <w:rPr>
          <w:rFonts w:ascii="Times New Roman" w:hAnsi="Times New Roman" w:cs="Times New Roman"/>
          <w:sz w:val="24"/>
          <w:szCs w:val="24"/>
        </w:rPr>
        <w:t xml:space="preserve">e stakes cannot be known where the amount requested is a moving target.   </w:t>
      </w:r>
      <w:r w:rsidR="00833D6F" w:rsidRPr="00840741">
        <w:rPr>
          <w:rFonts w:ascii="Times New Roman" w:hAnsi="Times New Roman" w:cs="Times New Roman"/>
          <w:sz w:val="24"/>
          <w:szCs w:val="24"/>
        </w:rPr>
        <w:t>And here the notice issue is all the more egregious because Duke failed to give any notice at all.</w:t>
      </w:r>
      <w:r w:rsidR="00227511">
        <w:rPr>
          <w:rStyle w:val="FootnoteReference"/>
          <w:rFonts w:ascii="Times New Roman" w:hAnsi="Times New Roman" w:cs="Times New Roman"/>
          <w:sz w:val="24"/>
          <w:szCs w:val="24"/>
        </w:rPr>
        <w:footnoteReference w:id="223"/>
      </w:r>
      <w:r w:rsidR="00833D6F" w:rsidRPr="00840741">
        <w:rPr>
          <w:rFonts w:ascii="Times New Roman" w:hAnsi="Times New Roman" w:cs="Times New Roman"/>
          <w:sz w:val="24"/>
          <w:szCs w:val="24"/>
        </w:rPr>
        <w:t xml:space="preserve"> </w:t>
      </w:r>
    </w:p>
    <w:p w:rsidR="00484E7F" w:rsidRPr="00840741" w:rsidRDefault="00833D6F" w:rsidP="00167774">
      <w:pPr>
        <w:ind w:firstLine="720"/>
        <w:rPr>
          <w:rFonts w:ascii="Times New Roman" w:hAnsi="Times New Roman" w:cs="Times New Roman"/>
          <w:sz w:val="24"/>
          <w:szCs w:val="24"/>
        </w:rPr>
      </w:pPr>
      <w:r w:rsidRPr="00840741">
        <w:rPr>
          <w:rFonts w:ascii="Times New Roman" w:hAnsi="Times New Roman" w:cs="Times New Roman"/>
          <w:sz w:val="24"/>
          <w:szCs w:val="24"/>
        </w:rPr>
        <w:t xml:space="preserve">Limiting the rate increase to the level </w:t>
      </w:r>
      <w:r w:rsidR="00227511">
        <w:rPr>
          <w:rFonts w:ascii="Times New Roman" w:hAnsi="Times New Roman" w:cs="Times New Roman"/>
          <w:sz w:val="24"/>
          <w:szCs w:val="24"/>
        </w:rPr>
        <w:t xml:space="preserve">a utility </w:t>
      </w:r>
      <w:r w:rsidRPr="00840741">
        <w:rPr>
          <w:rFonts w:ascii="Times New Roman" w:hAnsi="Times New Roman" w:cs="Times New Roman"/>
          <w:sz w:val="24"/>
          <w:szCs w:val="24"/>
        </w:rPr>
        <w:t xml:space="preserve">requested in its application is a longstanding policy of the PUCO.  As the </w:t>
      </w:r>
      <w:r w:rsidR="005460B2">
        <w:rPr>
          <w:rFonts w:ascii="Times New Roman" w:hAnsi="Times New Roman" w:cs="Times New Roman"/>
          <w:sz w:val="24"/>
          <w:szCs w:val="24"/>
        </w:rPr>
        <w:t>PUCO</w:t>
      </w:r>
      <w:r w:rsidR="005460B2" w:rsidRPr="00840741">
        <w:rPr>
          <w:rFonts w:ascii="Times New Roman" w:hAnsi="Times New Roman" w:cs="Times New Roman"/>
          <w:sz w:val="24"/>
          <w:szCs w:val="24"/>
        </w:rPr>
        <w:t xml:space="preserve"> </w:t>
      </w:r>
      <w:r w:rsidRPr="00840741">
        <w:rPr>
          <w:rFonts w:ascii="Times New Roman" w:hAnsi="Times New Roman" w:cs="Times New Roman"/>
          <w:sz w:val="24"/>
          <w:szCs w:val="24"/>
        </w:rPr>
        <w:t xml:space="preserve">has noted it raises issues about the sufficiency of notice that the Ohio Supreme Court has passed on.  For instance in a 1982 </w:t>
      </w:r>
      <w:r w:rsidRPr="00840741">
        <w:rPr>
          <w:rFonts w:ascii="Times New Roman" w:hAnsi="Times New Roman" w:cs="Times New Roman"/>
          <w:sz w:val="24"/>
          <w:szCs w:val="24"/>
        </w:rPr>
        <w:lastRenderedPageBreak/>
        <w:t>Columbia Gas Case</w:t>
      </w:r>
      <w:r w:rsidR="007231C8">
        <w:rPr>
          <w:rFonts w:ascii="Times New Roman" w:hAnsi="Times New Roman" w:cs="Times New Roman"/>
          <w:sz w:val="24"/>
          <w:szCs w:val="24"/>
        </w:rPr>
        <w:t>,</w:t>
      </w:r>
      <w:r w:rsidR="00484E7F" w:rsidRPr="00840741">
        <w:rPr>
          <w:rStyle w:val="FootnoteReference"/>
          <w:rFonts w:ascii="Times New Roman" w:hAnsi="Times New Roman" w:cs="Times New Roman"/>
          <w:sz w:val="24"/>
          <w:szCs w:val="24"/>
        </w:rPr>
        <w:footnoteReference w:id="224"/>
      </w:r>
      <w:r w:rsidRPr="00840741">
        <w:rPr>
          <w:rFonts w:ascii="Times New Roman" w:hAnsi="Times New Roman" w:cs="Times New Roman"/>
          <w:sz w:val="24"/>
          <w:szCs w:val="24"/>
        </w:rPr>
        <w:t xml:space="preserve"> the </w:t>
      </w:r>
      <w:r w:rsidR="005460B2">
        <w:rPr>
          <w:rFonts w:ascii="Times New Roman" w:hAnsi="Times New Roman" w:cs="Times New Roman"/>
          <w:sz w:val="24"/>
          <w:szCs w:val="24"/>
        </w:rPr>
        <w:t>PUCO</w:t>
      </w:r>
      <w:r w:rsidR="005460B2" w:rsidRPr="00840741">
        <w:rPr>
          <w:rFonts w:ascii="Times New Roman" w:hAnsi="Times New Roman" w:cs="Times New Roman"/>
          <w:sz w:val="24"/>
          <w:szCs w:val="24"/>
        </w:rPr>
        <w:t xml:space="preserve"> </w:t>
      </w:r>
      <w:r w:rsidRPr="00840741">
        <w:rPr>
          <w:rFonts w:ascii="Times New Roman" w:hAnsi="Times New Roman" w:cs="Times New Roman"/>
          <w:sz w:val="24"/>
          <w:szCs w:val="24"/>
        </w:rPr>
        <w:t xml:space="preserve">discussed a proposal to give the utility an amount higher than was requested.  </w:t>
      </w:r>
      <w:proofErr w:type="spellStart"/>
      <w:r w:rsidRPr="00840741">
        <w:rPr>
          <w:rFonts w:ascii="Times New Roman" w:hAnsi="Times New Roman" w:cs="Times New Roman"/>
          <w:sz w:val="24"/>
          <w:szCs w:val="24"/>
        </w:rPr>
        <w:t>Intervenors</w:t>
      </w:r>
      <w:proofErr w:type="spellEnd"/>
      <w:r w:rsidRPr="00840741">
        <w:rPr>
          <w:rFonts w:ascii="Times New Roman" w:hAnsi="Times New Roman" w:cs="Times New Roman"/>
          <w:sz w:val="24"/>
          <w:szCs w:val="24"/>
        </w:rPr>
        <w:t xml:space="preserve"> there argued that the rate relief was limited by the level which the utility requested in its application. </w:t>
      </w:r>
      <w:r w:rsidR="00484E7F" w:rsidRPr="00840741">
        <w:rPr>
          <w:rStyle w:val="FootnoteReference"/>
          <w:rFonts w:ascii="Times New Roman" w:hAnsi="Times New Roman" w:cs="Times New Roman"/>
          <w:sz w:val="24"/>
          <w:szCs w:val="24"/>
        </w:rPr>
        <w:footnoteReference w:id="225"/>
      </w:r>
      <w:r w:rsidRPr="00840741">
        <w:rPr>
          <w:rFonts w:ascii="Times New Roman" w:hAnsi="Times New Roman" w:cs="Times New Roman"/>
          <w:sz w:val="24"/>
          <w:szCs w:val="24"/>
        </w:rPr>
        <w:t xml:space="preserve"> </w:t>
      </w:r>
      <w:r w:rsidR="00C94A9C">
        <w:rPr>
          <w:rFonts w:ascii="Times New Roman" w:hAnsi="Times New Roman" w:cs="Times New Roman"/>
          <w:sz w:val="24"/>
          <w:szCs w:val="24"/>
        </w:rPr>
        <w:t xml:space="preserve"> </w:t>
      </w:r>
      <w:r w:rsidR="00484E7F" w:rsidRPr="00840741">
        <w:rPr>
          <w:rFonts w:ascii="Times New Roman" w:hAnsi="Times New Roman" w:cs="Times New Roman"/>
          <w:sz w:val="24"/>
          <w:szCs w:val="24"/>
        </w:rPr>
        <w:t>Noting that</w:t>
      </w:r>
      <w:r w:rsidRPr="00840741">
        <w:rPr>
          <w:rFonts w:ascii="Times New Roman" w:hAnsi="Times New Roman" w:cs="Times New Roman"/>
          <w:sz w:val="24"/>
          <w:szCs w:val="24"/>
        </w:rPr>
        <w:t xml:space="preserve"> the arguments of </w:t>
      </w:r>
      <w:proofErr w:type="spellStart"/>
      <w:r w:rsidRPr="00840741">
        <w:rPr>
          <w:rFonts w:ascii="Times New Roman" w:hAnsi="Times New Roman" w:cs="Times New Roman"/>
          <w:sz w:val="24"/>
          <w:szCs w:val="24"/>
        </w:rPr>
        <w:t>intervenors</w:t>
      </w:r>
      <w:proofErr w:type="spellEnd"/>
      <w:r w:rsidRPr="00840741">
        <w:rPr>
          <w:rFonts w:ascii="Times New Roman" w:hAnsi="Times New Roman" w:cs="Times New Roman"/>
          <w:sz w:val="24"/>
          <w:szCs w:val="24"/>
        </w:rPr>
        <w:t xml:space="preserve"> were</w:t>
      </w:r>
      <w:r w:rsidR="00484E7F" w:rsidRPr="00840741">
        <w:rPr>
          <w:rFonts w:ascii="Times New Roman" w:hAnsi="Times New Roman" w:cs="Times New Roman"/>
          <w:sz w:val="24"/>
          <w:szCs w:val="24"/>
        </w:rPr>
        <w:t xml:space="preserve"> based on sufficiency of notice, the PUCO ruled </w:t>
      </w:r>
      <w:r w:rsidRPr="00840741">
        <w:rPr>
          <w:rFonts w:ascii="Times New Roman" w:hAnsi="Times New Roman" w:cs="Times New Roman"/>
          <w:sz w:val="24"/>
          <w:szCs w:val="24"/>
        </w:rPr>
        <w:t>that</w:t>
      </w:r>
      <w:r w:rsidR="00484E7F" w:rsidRPr="00840741">
        <w:rPr>
          <w:rFonts w:ascii="Times New Roman" w:hAnsi="Times New Roman" w:cs="Times New Roman"/>
          <w:sz w:val="24"/>
          <w:szCs w:val="24"/>
        </w:rPr>
        <w:t xml:space="preserve"> under </w:t>
      </w:r>
      <w:r w:rsidRPr="00840741">
        <w:rPr>
          <w:rFonts w:ascii="Times New Roman" w:hAnsi="Times New Roman" w:cs="Times New Roman"/>
          <w:sz w:val="24"/>
          <w:szCs w:val="24"/>
        </w:rPr>
        <w:t>Ohio Supreme Court precedent</w:t>
      </w:r>
      <w:r w:rsidR="00484E7F" w:rsidRPr="00840741">
        <w:rPr>
          <w:rFonts w:ascii="Times New Roman" w:hAnsi="Times New Roman" w:cs="Times New Roman"/>
          <w:sz w:val="24"/>
          <w:szCs w:val="24"/>
        </w:rPr>
        <w:t xml:space="preserve">, a notice problem was raised that precluded it from granting relief greater than what the utility requested:  </w:t>
      </w:r>
    </w:p>
    <w:p w:rsidR="00484E7F" w:rsidRPr="00840741" w:rsidRDefault="00CF746E" w:rsidP="00167774">
      <w:pPr>
        <w:pStyle w:val="NormalWeb"/>
        <w:spacing w:before="0" w:beforeAutospacing="0" w:after="0" w:afterAutospacing="0"/>
        <w:ind w:left="1440" w:right="720"/>
      </w:pPr>
      <w:hyperlink r:id="rId24" w:history="1">
        <w:proofErr w:type="gramStart"/>
        <w:r w:rsidR="00484E7F" w:rsidRPr="00C23155">
          <w:rPr>
            <w:rStyle w:val="Hyperlink"/>
            <w:color w:val="auto"/>
          </w:rPr>
          <w:t>Office of Consumers' Counsel v. Pub.</w:t>
        </w:r>
        <w:proofErr w:type="gramEnd"/>
        <w:r w:rsidR="00484E7F" w:rsidRPr="00C23155">
          <w:rPr>
            <w:rStyle w:val="Hyperlink"/>
            <w:color w:val="auto"/>
          </w:rPr>
          <w:t xml:space="preserve"> Util. Comm., 67 Ohio St. 2d 153 (1981),</w:t>
        </w:r>
      </w:hyperlink>
      <w:r w:rsidR="00484E7F" w:rsidRPr="00840741">
        <w:t xml:space="preserve"> which Columbia cites in support of its position, contains language which seems to indicate that this case </w:t>
      </w:r>
      <w:r w:rsidR="00484E7F" w:rsidRPr="00840741">
        <w:rPr>
          <w:rStyle w:val="ssun"/>
          <w:u w:val="single"/>
        </w:rPr>
        <w:t>does</w:t>
      </w:r>
      <w:r w:rsidR="00484E7F" w:rsidRPr="00840741">
        <w:t xml:space="preserve"> raise a notice problem. </w:t>
      </w:r>
      <w:r w:rsidR="001754BD">
        <w:t xml:space="preserve"> </w:t>
      </w:r>
      <w:r w:rsidR="00484E7F" w:rsidRPr="00840741">
        <w:t xml:space="preserve">The Court found that a notice provision was not inadequate simply because it did not mention the cancellation of four nuclear units which occurred after the notice was published and, in so finding, stated that the decision to terminate the plants did not alter the substance and prayer of the application because the company </w:t>
      </w:r>
      <w:r w:rsidR="00515900" w:rsidRPr="00840741">
        <w:t>‘</w:t>
      </w:r>
      <w:r w:rsidR="00484E7F" w:rsidRPr="00840741">
        <w:t>did not request additional rate relief when it revised its original application to reflect the terminated plant expenditures.</w:t>
      </w:r>
      <w:r w:rsidR="00515900" w:rsidRPr="00840741">
        <w:t>’</w:t>
      </w:r>
      <w:r w:rsidR="00484E7F" w:rsidRPr="00840741">
        <w:t xml:space="preserve"> at 160.</w:t>
      </w:r>
    </w:p>
    <w:p w:rsidR="00484E7F" w:rsidRPr="00E73768" w:rsidRDefault="00484E7F" w:rsidP="00167774">
      <w:pPr>
        <w:pStyle w:val="NormalWeb"/>
        <w:ind w:left="1440" w:right="720"/>
      </w:pPr>
      <w:r w:rsidRPr="00840741">
        <w:t xml:space="preserve">Columbia argues that a Commission decision accepting the </w:t>
      </w:r>
      <w:proofErr w:type="spellStart"/>
      <w:r w:rsidRPr="00840741">
        <w:t>intervenors</w:t>
      </w:r>
      <w:proofErr w:type="spellEnd"/>
      <w:r w:rsidRPr="00840741">
        <w:t xml:space="preserve">' position would encourage companies to file for increases which are substantially more than what is required to provide a fair and reasonable return. </w:t>
      </w:r>
      <w:r w:rsidR="001754BD">
        <w:t xml:space="preserve"> </w:t>
      </w:r>
      <w:r w:rsidRPr="00840741">
        <w:t xml:space="preserve">This, the company argues, would defeat the purpose of providing </w:t>
      </w:r>
      <w:r w:rsidR="00515900" w:rsidRPr="00840741">
        <w:t>‘</w:t>
      </w:r>
      <w:r w:rsidRPr="00840741">
        <w:t>the sort of notice upon which parties can rely in the course of making decisions about a case</w:t>
      </w:r>
      <w:r w:rsidR="00515900" w:rsidRPr="00840741">
        <w:t>’</w:t>
      </w:r>
      <w:r w:rsidRPr="00840741">
        <w:t xml:space="preserve"> (COH Reply Brief, at 12). </w:t>
      </w:r>
      <w:r w:rsidR="001754BD">
        <w:t xml:space="preserve"> </w:t>
      </w:r>
      <w:r w:rsidRPr="00840741">
        <w:t>But how much more defeating of that purpose would</w:t>
      </w:r>
      <w:r w:rsidRPr="00840741">
        <w:rPr>
          <w:rStyle w:val="sspagshow"/>
        </w:rPr>
        <w:t> [52] </w:t>
      </w:r>
      <w:r w:rsidRPr="00840741">
        <w:t xml:space="preserve"> it be to permit a company to continually amend upward its request. </w:t>
      </w:r>
      <w:r w:rsidR="001754BD">
        <w:t xml:space="preserve"> </w:t>
      </w:r>
      <w:r w:rsidRPr="00840741">
        <w:t xml:space="preserve">As the Commission stated in </w:t>
      </w:r>
      <w:hyperlink r:id="rId25" w:history="1">
        <w:r w:rsidRPr="00C23155">
          <w:rPr>
            <w:rStyle w:val="Hyperlink"/>
            <w:color w:val="auto"/>
          </w:rPr>
          <w:t>Toledo Edison Co</w:t>
        </w:r>
      </w:hyperlink>
      <w:r w:rsidRPr="00E73768">
        <w:rPr>
          <w:rStyle w:val="ssun"/>
        </w:rPr>
        <w:t>.,</w:t>
      </w:r>
      <w:r w:rsidRPr="00E73768">
        <w:t xml:space="preserve"> Case No. 82-372-EL-AIR (Opinion and Order, April 9, 1981):</w:t>
      </w:r>
    </w:p>
    <w:p w:rsidR="00484E7F" w:rsidRPr="00E73768" w:rsidRDefault="00484E7F" w:rsidP="00167774">
      <w:pPr>
        <w:pStyle w:val="NormalWeb"/>
        <w:ind w:left="1440" w:right="720"/>
      </w:pPr>
      <w:r w:rsidRPr="00E73768">
        <w:t xml:space="preserve">. . . to hold that a company is entitled to an increase greater than that requested through the noticed rates would create the possibility that a company could reduce interventions in its rate case by the simple expedient of understating its published request, </w:t>
      </w:r>
      <w:r w:rsidRPr="00E73768">
        <w:lastRenderedPageBreak/>
        <w:t>then spring a greatly increased rate request on the Commission at hearing.</w:t>
      </w:r>
    </w:p>
    <w:p w:rsidR="00484E7F" w:rsidRPr="00840741" w:rsidRDefault="00484E7F" w:rsidP="00167774">
      <w:pPr>
        <w:pStyle w:val="NormalWeb"/>
        <w:ind w:left="1440" w:right="720"/>
      </w:pPr>
      <w:r w:rsidRPr="00E73768">
        <w:t xml:space="preserve">Although, as the Commission implied in the </w:t>
      </w:r>
      <w:r w:rsidRPr="00E73768">
        <w:rPr>
          <w:rStyle w:val="ssun"/>
        </w:rPr>
        <w:t>Toledo</w:t>
      </w:r>
      <w:r w:rsidRPr="00E73768">
        <w:t xml:space="preserve"> case, there may be circumstances presented in which an increase may be authorized which is greater than that which had been requested, the Commission has no responsibility to do so for a company with the sophistication and regulatory experience of </w:t>
      </w:r>
      <w:hyperlink r:id="rId26" w:history="1">
        <w:r w:rsidRPr="00C23155">
          <w:rPr>
            <w:rStyle w:val="Hyperlink"/>
            <w:color w:val="auto"/>
          </w:rPr>
          <w:t>Columbia Gas of Ohio</w:t>
        </w:r>
      </w:hyperlink>
      <w:r w:rsidRPr="00E73768">
        <w:t xml:space="preserve">, Inc., </w:t>
      </w:r>
      <w:r w:rsidRPr="00840741">
        <w:t xml:space="preserve">where there was no clear error in the original filing. </w:t>
      </w:r>
      <w:r w:rsidR="001754BD">
        <w:t xml:space="preserve"> </w:t>
      </w:r>
      <w:r w:rsidRPr="00840741">
        <w:t>We believe that the rate relief authorized in this case should be no greater than that which the company requested in its application.</w:t>
      </w:r>
    </w:p>
    <w:p w:rsidR="0018487D" w:rsidRPr="00840741" w:rsidRDefault="00515900" w:rsidP="00515900">
      <w:pPr>
        <w:ind w:firstLine="720"/>
        <w:rPr>
          <w:rFonts w:ascii="Times New Roman" w:hAnsi="Times New Roman" w:cs="Times New Roman"/>
          <w:i/>
          <w:sz w:val="24"/>
          <w:szCs w:val="24"/>
        </w:rPr>
      </w:pPr>
      <w:r w:rsidRPr="00840741">
        <w:rPr>
          <w:rFonts w:ascii="Times New Roman" w:hAnsi="Times New Roman" w:cs="Times New Roman"/>
          <w:sz w:val="24"/>
          <w:szCs w:val="24"/>
        </w:rPr>
        <w:t xml:space="preserve">Here, similar to Columbia Gas, Duke is a sophisticated utility with considerable regulatory experience. </w:t>
      </w:r>
      <w:r w:rsidR="00167774">
        <w:rPr>
          <w:rFonts w:ascii="Times New Roman" w:hAnsi="Times New Roman" w:cs="Times New Roman"/>
          <w:sz w:val="24"/>
          <w:szCs w:val="24"/>
        </w:rPr>
        <w:t xml:space="preserve"> </w:t>
      </w:r>
      <w:r w:rsidRPr="00840741">
        <w:rPr>
          <w:rFonts w:ascii="Times New Roman" w:hAnsi="Times New Roman" w:cs="Times New Roman"/>
          <w:sz w:val="24"/>
          <w:szCs w:val="24"/>
        </w:rPr>
        <w:t>Nor were there clear errors in their original filing.  T</w:t>
      </w:r>
      <w:r w:rsidR="00F105D3" w:rsidRPr="00840741">
        <w:rPr>
          <w:rFonts w:ascii="Times New Roman" w:hAnsi="Times New Roman" w:cs="Times New Roman"/>
          <w:sz w:val="24"/>
          <w:szCs w:val="24"/>
        </w:rPr>
        <w:t xml:space="preserve">he PUCO should, thus, follow its well-established precedent and limit any revenue requirement to no more than that requested in Duke’s application.  </w:t>
      </w:r>
    </w:p>
    <w:p w:rsidR="00962879" w:rsidRPr="00016E0D" w:rsidRDefault="00C94A9C" w:rsidP="00C94A9C">
      <w:pPr>
        <w:pStyle w:val="Heading2"/>
      </w:pPr>
      <w:bookmarkStart w:id="34" w:name="_Toc362950009"/>
      <w:r>
        <w:t>J.</w:t>
      </w:r>
      <w:r>
        <w:tab/>
      </w:r>
      <w:r w:rsidR="00990134" w:rsidRPr="00016E0D">
        <w:t xml:space="preserve">The PUCO </w:t>
      </w:r>
      <w:r w:rsidRPr="00016E0D">
        <w:t>Should Not Use Actual Data To Calculate A New Revenue Requirement Each Year.</w:t>
      </w:r>
      <w:bookmarkEnd w:id="34"/>
      <w:r w:rsidRPr="00016E0D">
        <w:t xml:space="preserve">  </w:t>
      </w:r>
      <w:r w:rsidRPr="00016E0D">
        <w:tab/>
      </w:r>
    </w:p>
    <w:p w:rsidR="00120896" w:rsidRDefault="00990134" w:rsidP="00500F0E">
      <w:pPr>
        <w:ind w:firstLine="720"/>
        <w:rPr>
          <w:rStyle w:val="ssrfcpassagedeactivated"/>
          <w:rFonts w:ascii="Times New Roman" w:hAnsi="Times New Roman" w:cs="Times New Roman"/>
          <w:sz w:val="24"/>
          <w:szCs w:val="24"/>
        </w:rPr>
      </w:pPr>
      <w:r>
        <w:rPr>
          <w:rStyle w:val="ssrfcpassagedeactivated"/>
          <w:rFonts w:ascii="Times New Roman" w:hAnsi="Times New Roman" w:cs="Times New Roman"/>
          <w:sz w:val="24"/>
          <w:szCs w:val="24"/>
        </w:rPr>
        <w:t xml:space="preserve">Duke suggests that an option for the PUCO to consider is </w:t>
      </w:r>
      <w:r w:rsidR="004B2176">
        <w:rPr>
          <w:rStyle w:val="ssrfcpassagedeactivated"/>
          <w:rFonts w:ascii="Times New Roman" w:hAnsi="Times New Roman" w:cs="Times New Roman"/>
          <w:sz w:val="24"/>
          <w:szCs w:val="24"/>
        </w:rPr>
        <w:t>that the PUCO could choose to use actual data, calculating a new revenue requirement each year to measure the difference between the cost of providing FRR capacity service and the actual revenue collected from PJM for such service.</w:t>
      </w:r>
      <w:r w:rsidR="004B2176">
        <w:rPr>
          <w:rStyle w:val="FootnoteReference"/>
          <w:rFonts w:ascii="Times New Roman" w:hAnsi="Times New Roman" w:cs="Times New Roman"/>
          <w:sz w:val="24"/>
          <w:szCs w:val="24"/>
        </w:rPr>
        <w:footnoteReference w:id="226"/>
      </w:r>
      <w:r w:rsidR="004B2176">
        <w:rPr>
          <w:rStyle w:val="ssrfcpassagedeactivated"/>
          <w:rFonts w:ascii="Times New Roman" w:hAnsi="Times New Roman" w:cs="Times New Roman"/>
          <w:sz w:val="24"/>
          <w:szCs w:val="24"/>
        </w:rPr>
        <w:t xml:space="preserve">  But as OCC Witness Hornby testified, this is not reasonable.</w:t>
      </w:r>
      <w:r w:rsidR="00BF6F62">
        <w:rPr>
          <w:rStyle w:val="FootnoteReference"/>
          <w:rFonts w:ascii="Times New Roman" w:hAnsi="Times New Roman" w:cs="Times New Roman"/>
          <w:sz w:val="24"/>
          <w:szCs w:val="24"/>
        </w:rPr>
        <w:footnoteReference w:id="227"/>
      </w:r>
      <w:r w:rsidR="004B2176">
        <w:rPr>
          <w:rStyle w:val="ssrfcpassagedeactivated"/>
          <w:rFonts w:ascii="Times New Roman" w:hAnsi="Times New Roman" w:cs="Times New Roman"/>
          <w:sz w:val="24"/>
          <w:szCs w:val="24"/>
        </w:rPr>
        <w:t xml:space="preserve">  </w:t>
      </w:r>
      <w:r w:rsidR="00BF6F62">
        <w:rPr>
          <w:rStyle w:val="ssrfcpassagedeactivated"/>
          <w:rFonts w:ascii="Times New Roman" w:hAnsi="Times New Roman" w:cs="Times New Roman"/>
          <w:sz w:val="24"/>
          <w:szCs w:val="24"/>
        </w:rPr>
        <w:t xml:space="preserve">Mr. Hornby testified that a true-up gives </w:t>
      </w:r>
      <w:r w:rsidR="001754BD">
        <w:rPr>
          <w:rStyle w:val="ssrfcpassagedeactivated"/>
          <w:rFonts w:ascii="Times New Roman" w:hAnsi="Times New Roman" w:cs="Times New Roman"/>
          <w:sz w:val="24"/>
          <w:szCs w:val="24"/>
        </w:rPr>
        <w:t xml:space="preserve">Duke </w:t>
      </w:r>
      <w:r w:rsidR="00BF6F62">
        <w:rPr>
          <w:rStyle w:val="ssrfcpassagedeactivated"/>
          <w:rFonts w:ascii="Times New Roman" w:hAnsi="Times New Roman" w:cs="Times New Roman"/>
          <w:sz w:val="24"/>
          <w:szCs w:val="24"/>
        </w:rPr>
        <w:t>a guarantee of collecting this amount.</w:t>
      </w:r>
      <w:r w:rsidR="00BF6F62">
        <w:rPr>
          <w:rStyle w:val="FootnoteReference"/>
          <w:rFonts w:ascii="Times New Roman" w:hAnsi="Times New Roman" w:cs="Times New Roman"/>
          <w:sz w:val="24"/>
          <w:szCs w:val="24"/>
        </w:rPr>
        <w:footnoteReference w:id="228"/>
      </w:r>
      <w:r w:rsidR="00BF6F62">
        <w:rPr>
          <w:rStyle w:val="ssrfcpassagedeactivated"/>
          <w:rFonts w:ascii="Times New Roman" w:hAnsi="Times New Roman" w:cs="Times New Roman"/>
          <w:sz w:val="24"/>
          <w:szCs w:val="24"/>
        </w:rPr>
        <w:t xml:space="preserve"> </w:t>
      </w:r>
      <w:r w:rsidR="00167774">
        <w:rPr>
          <w:rStyle w:val="ssrfcpassagedeactivated"/>
          <w:rFonts w:ascii="Times New Roman" w:hAnsi="Times New Roman" w:cs="Times New Roman"/>
          <w:sz w:val="24"/>
          <w:szCs w:val="24"/>
        </w:rPr>
        <w:t xml:space="preserve"> </w:t>
      </w:r>
      <w:r w:rsidR="00BF6F62">
        <w:rPr>
          <w:rStyle w:val="ssrfcpassagedeactivated"/>
          <w:rFonts w:ascii="Times New Roman" w:hAnsi="Times New Roman" w:cs="Times New Roman"/>
          <w:sz w:val="24"/>
          <w:szCs w:val="24"/>
        </w:rPr>
        <w:t>Under generally accepted ratemaking, a utility is given an opportunity to collect its costs and earn a reasonable return—it is not give a guarantee of dollar for dollar recovery.</w:t>
      </w:r>
      <w:r w:rsidR="00BF6F62">
        <w:rPr>
          <w:rStyle w:val="FootnoteReference"/>
          <w:rFonts w:ascii="Times New Roman" w:hAnsi="Times New Roman" w:cs="Times New Roman"/>
          <w:sz w:val="24"/>
          <w:szCs w:val="24"/>
        </w:rPr>
        <w:footnoteReference w:id="229"/>
      </w:r>
      <w:r w:rsidR="00BF6F62">
        <w:rPr>
          <w:rStyle w:val="ssrfcpassagedeactivated"/>
          <w:rFonts w:ascii="Times New Roman" w:hAnsi="Times New Roman" w:cs="Times New Roman"/>
          <w:sz w:val="24"/>
          <w:szCs w:val="24"/>
        </w:rPr>
        <w:t xml:space="preserve">  Mr. Hornby also noted that collection with no true-up is consistent </w:t>
      </w:r>
      <w:r w:rsidR="00BF6F62">
        <w:rPr>
          <w:rStyle w:val="ssrfcpassagedeactivated"/>
          <w:rFonts w:ascii="Times New Roman" w:hAnsi="Times New Roman" w:cs="Times New Roman"/>
          <w:sz w:val="24"/>
          <w:szCs w:val="24"/>
        </w:rPr>
        <w:lastRenderedPageBreak/>
        <w:t xml:space="preserve">with the PUCO’s treatment </w:t>
      </w:r>
      <w:r w:rsidR="00227511">
        <w:rPr>
          <w:rStyle w:val="ssrfcpassagedeactivated"/>
          <w:rFonts w:ascii="Times New Roman" w:hAnsi="Times New Roman" w:cs="Times New Roman"/>
          <w:sz w:val="24"/>
          <w:szCs w:val="24"/>
        </w:rPr>
        <w:t>of</w:t>
      </w:r>
      <w:r w:rsidR="00BC575D">
        <w:rPr>
          <w:rStyle w:val="ssrfcpassagedeactivated"/>
          <w:rFonts w:ascii="Times New Roman" w:hAnsi="Times New Roman" w:cs="Times New Roman"/>
          <w:sz w:val="24"/>
          <w:szCs w:val="24"/>
        </w:rPr>
        <w:t xml:space="preserve"> the Rate Stability Rider </w:t>
      </w:r>
      <w:r w:rsidR="00227511" w:rsidRPr="00903C73">
        <w:rPr>
          <w:rStyle w:val="ssrfcpassagedeactivated"/>
          <w:rFonts w:ascii="Times New Roman" w:hAnsi="Times New Roman" w:cs="Times New Roman"/>
          <w:sz w:val="24"/>
          <w:szCs w:val="24"/>
        </w:rPr>
        <w:t>i</w:t>
      </w:r>
      <w:r w:rsidR="00227511">
        <w:rPr>
          <w:rStyle w:val="ssrfcpassagedeactivated"/>
          <w:rFonts w:ascii="Times New Roman" w:hAnsi="Times New Roman" w:cs="Times New Roman"/>
          <w:sz w:val="24"/>
          <w:szCs w:val="24"/>
        </w:rPr>
        <w:t>n the AEP Ohio ESP proceeding.</w:t>
      </w:r>
      <w:r w:rsidR="00227511">
        <w:rPr>
          <w:rStyle w:val="FootnoteReference"/>
          <w:rFonts w:ascii="Times New Roman" w:hAnsi="Times New Roman" w:cs="Times New Roman"/>
          <w:sz w:val="24"/>
          <w:szCs w:val="24"/>
        </w:rPr>
        <w:footnoteReference w:id="230"/>
      </w:r>
      <w:r w:rsidR="00BF6F62">
        <w:rPr>
          <w:rStyle w:val="ssrfcpassagedeactivated"/>
          <w:rFonts w:ascii="Times New Roman" w:hAnsi="Times New Roman" w:cs="Times New Roman"/>
          <w:sz w:val="24"/>
          <w:szCs w:val="24"/>
        </w:rPr>
        <w:t xml:space="preserve">  </w:t>
      </w:r>
    </w:p>
    <w:p w:rsidR="009872D1" w:rsidRDefault="00016E0D" w:rsidP="00FB4463">
      <w:pPr>
        <w:pStyle w:val="Heading2"/>
      </w:pPr>
      <w:bookmarkStart w:id="35" w:name="_Toc362950010"/>
      <w:r>
        <w:rPr>
          <w:rStyle w:val="ssrfcpassagedeactivated"/>
          <w:rFonts w:ascii="Times New Roman" w:hAnsi="Times New Roman" w:cs="Times New Roman"/>
          <w:szCs w:val="24"/>
        </w:rPr>
        <w:t>K.</w:t>
      </w:r>
      <w:r w:rsidR="009872D1">
        <w:rPr>
          <w:rStyle w:val="ssrfcpassagedeactivated"/>
          <w:rFonts w:ascii="Times New Roman" w:hAnsi="Times New Roman" w:cs="Times New Roman"/>
          <w:szCs w:val="24"/>
        </w:rPr>
        <w:tab/>
      </w:r>
      <w:r w:rsidR="009872D1" w:rsidRPr="00E019B7">
        <w:t xml:space="preserve">Duke Erred In Calculating </w:t>
      </w:r>
      <w:r w:rsidR="00F20D1E" w:rsidRPr="00E019B7">
        <w:t xml:space="preserve">Its </w:t>
      </w:r>
      <w:r w:rsidR="009872D1" w:rsidRPr="00E019B7">
        <w:t>Proposed R</w:t>
      </w:r>
      <w:r w:rsidR="009872D1">
        <w:t xml:space="preserve">eturn On Equity </w:t>
      </w:r>
      <w:r w:rsidR="00F20D1E" w:rsidRPr="00E019B7">
        <w:t xml:space="preserve">On </w:t>
      </w:r>
      <w:r w:rsidR="009872D1" w:rsidRPr="00E019B7">
        <w:t xml:space="preserve">Only </w:t>
      </w:r>
      <w:r w:rsidR="00F20D1E" w:rsidRPr="00E019B7">
        <w:t xml:space="preserve">The </w:t>
      </w:r>
      <w:r w:rsidR="009872D1">
        <w:t xml:space="preserve">Operations </w:t>
      </w:r>
      <w:r w:rsidR="00F20D1E">
        <w:t xml:space="preserve">Of The </w:t>
      </w:r>
      <w:r w:rsidR="009872D1">
        <w:t xml:space="preserve">Generation Portion </w:t>
      </w:r>
      <w:r w:rsidR="00F20D1E">
        <w:t xml:space="preserve">Of </w:t>
      </w:r>
      <w:r w:rsidR="001754BD">
        <w:t>Duke</w:t>
      </w:r>
      <w:r w:rsidR="00F20D1E" w:rsidRPr="00E019B7">
        <w:t>.</w:t>
      </w:r>
      <w:bookmarkEnd w:id="35"/>
    </w:p>
    <w:p w:rsidR="009872D1" w:rsidRDefault="009872D1" w:rsidP="009872D1">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Duke contends that its Return on Equity (“ROE”) should be calculated on the operations of the generation portion of </w:t>
      </w:r>
      <w:r w:rsidR="001754BD">
        <w:rPr>
          <w:rFonts w:ascii="Times New Roman" w:hAnsi="Times New Roman" w:cs="Times New Roman"/>
          <w:sz w:val="24"/>
          <w:szCs w:val="24"/>
        </w:rPr>
        <w:t>Duke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Duke reasons that the projected returns on equity for the legacy generation segment of Duke are the only assets that should be considered by the PUCO because these assets are dedicated to providing FRR capacity service.</w:t>
      </w:r>
      <w:r>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  But if the PUCO decides Duke is entitled to some compensation for generation capacity above what was agreed to in the Duke ESP Stipulation (FZCP prices), the financial integrity consideration and the return on equity and cost of capital determination must be based on Duke </w:t>
      </w:r>
      <w:r>
        <w:rPr>
          <w:rFonts w:ascii="Times New Roman" w:hAnsi="Times New Roman" w:cs="Times New Roman"/>
          <w:i/>
          <w:iCs/>
          <w:sz w:val="24"/>
          <w:szCs w:val="24"/>
        </w:rPr>
        <w:t>as a whole</w:t>
      </w:r>
      <w:r>
        <w:rPr>
          <w:rFonts w:ascii="Times New Roman" w:hAnsi="Times New Roman" w:cs="Times New Roman"/>
          <w:sz w:val="24"/>
          <w:szCs w:val="24"/>
        </w:rPr>
        <w:t>, and not just on the generation assets of Duke. OCC has already set forth the various reasons why this treatment would be appropriate.</w:t>
      </w:r>
      <w:r>
        <w:rPr>
          <w:rStyle w:val="FootnoteReference"/>
          <w:rFonts w:ascii="Times New Roman" w:hAnsi="Times New Roman" w:cs="Times New Roman"/>
          <w:sz w:val="24"/>
          <w:szCs w:val="24"/>
        </w:rPr>
        <w:footnoteReference w:id="233"/>
      </w:r>
      <w:r>
        <w:rPr>
          <w:rFonts w:ascii="Times New Roman" w:hAnsi="Times New Roman" w:cs="Times New Roman"/>
          <w:sz w:val="24"/>
          <w:szCs w:val="24"/>
        </w:rPr>
        <w:t xml:space="preserve">  </w:t>
      </w:r>
    </w:p>
    <w:p w:rsidR="009872D1" w:rsidRPr="00863DEF" w:rsidRDefault="009872D1" w:rsidP="009872D1">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Duke has not carried through with its intention indicated in the PUCO-approved ESP Stipulation to transfer the generation assets out of Duke Energy Ohio.</w:t>
      </w:r>
      <w:r>
        <w:rPr>
          <w:rStyle w:val="FootnoteReference"/>
          <w:rFonts w:ascii="Times New Roman" w:hAnsi="Times New Roman" w:cs="Times New Roman"/>
          <w:sz w:val="24"/>
          <w:szCs w:val="24"/>
        </w:rPr>
        <w:footnoteReference w:id="234"/>
      </w:r>
      <w:r>
        <w:rPr>
          <w:rFonts w:ascii="Times New Roman" w:hAnsi="Times New Roman" w:cs="Times New Roman"/>
          <w:sz w:val="24"/>
          <w:szCs w:val="24"/>
        </w:rPr>
        <w:t xml:space="preserve">  Therefore, </w:t>
      </w:r>
      <w:r>
        <w:rPr>
          <w:rFonts w:ascii="Times New Roman" w:hAnsi="Times New Roman" w:cs="Times New Roman"/>
          <w:sz w:val="24"/>
          <w:szCs w:val="24"/>
        </w:rPr>
        <w:lastRenderedPageBreak/>
        <w:t>there has been no legal separation of the generation assets and there is no legal or operational entity that owns the generation assets of Duke Energy Ohio.</w:t>
      </w:r>
      <w:r>
        <w:rPr>
          <w:rStyle w:val="FootnoteReference"/>
          <w:rFonts w:ascii="Times New Roman" w:hAnsi="Times New Roman" w:cs="Times New Roman"/>
          <w:sz w:val="24"/>
          <w:szCs w:val="24"/>
        </w:rPr>
        <w:footnoteReference w:id="235"/>
      </w:r>
    </w:p>
    <w:p w:rsidR="009872D1" w:rsidRPr="00D97D40" w:rsidRDefault="009872D1" w:rsidP="009872D1">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In addition</w:t>
      </w:r>
      <w:r w:rsidR="00E73768">
        <w:rPr>
          <w:rFonts w:ascii="Times New Roman" w:hAnsi="Times New Roman" w:cs="Times New Roman"/>
          <w:sz w:val="24"/>
          <w:szCs w:val="24"/>
        </w:rPr>
        <w:t>, Duke</w:t>
      </w:r>
      <w:r>
        <w:rPr>
          <w:rFonts w:ascii="Times New Roman" w:hAnsi="Times New Roman" w:cs="Times New Roman"/>
          <w:sz w:val="24"/>
          <w:szCs w:val="24"/>
        </w:rPr>
        <w:t xml:space="preserve"> is requesting a traditional revenue requirement (i.e. rate base-rate of return) rate making approach to determine its capacity charges associated </w:t>
      </w:r>
      <w:r w:rsidR="00B3116B">
        <w:rPr>
          <w:rFonts w:ascii="Times New Roman" w:hAnsi="Times New Roman" w:cs="Times New Roman"/>
          <w:sz w:val="24"/>
          <w:szCs w:val="24"/>
        </w:rPr>
        <w:t xml:space="preserve">with </w:t>
      </w:r>
      <w:r>
        <w:rPr>
          <w:rFonts w:ascii="Times New Roman" w:hAnsi="Times New Roman" w:cs="Times New Roman"/>
          <w:sz w:val="24"/>
          <w:szCs w:val="24"/>
        </w:rPr>
        <w:t xml:space="preserve">its FRR obligation to PJM. </w:t>
      </w:r>
      <w:r w:rsidR="00F20D1E">
        <w:rPr>
          <w:rFonts w:ascii="Times New Roman" w:hAnsi="Times New Roman" w:cs="Times New Roman"/>
          <w:sz w:val="24"/>
          <w:szCs w:val="24"/>
        </w:rPr>
        <w:t xml:space="preserve"> </w:t>
      </w:r>
      <w:r>
        <w:rPr>
          <w:rFonts w:ascii="Times New Roman" w:hAnsi="Times New Roman" w:cs="Times New Roman"/>
          <w:sz w:val="24"/>
          <w:szCs w:val="24"/>
        </w:rPr>
        <w:t>As such, this approach is effectively asking the PUCO to treat Duke’s generation assets as a regulated entity.</w:t>
      </w:r>
      <w:r>
        <w:rPr>
          <w:rStyle w:val="FootnoteReference"/>
          <w:rFonts w:ascii="Times New Roman" w:hAnsi="Times New Roman" w:cs="Times New Roman"/>
          <w:sz w:val="24"/>
          <w:szCs w:val="24"/>
        </w:rPr>
        <w:footnoteReference w:id="236"/>
      </w:r>
      <w:r>
        <w:rPr>
          <w:rFonts w:ascii="Times New Roman" w:hAnsi="Times New Roman" w:cs="Times New Roman"/>
          <w:sz w:val="16"/>
          <w:szCs w:val="16"/>
        </w:rPr>
        <w:t xml:space="preserve">  </w:t>
      </w:r>
      <w:r>
        <w:rPr>
          <w:rFonts w:ascii="Times New Roman" w:hAnsi="Times New Roman" w:cs="Times New Roman"/>
          <w:sz w:val="24"/>
          <w:szCs w:val="24"/>
        </w:rPr>
        <w:t xml:space="preserve">If Duke’s request is approved, these generation assets will not be subject to competitive market pricing and hence will face less risk than independent power producers. </w:t>
      </w:r>
      <w:r w:rsidR="00F20D1E">
        <w:rPr>
          <w:rFonts w:ascii="Times New Roman" w:hAnsi="Times New Roman" w:cs="Times New Roman"/>
          <w:sz w:val="24"/>
          <w:szCs w:val="24"/>
        </w:rPr>
        <w:t xml:space="preserve"> </w:t>
      </w:r>
      <w:r>
        <w:rPr>
          <w:rFonts w:ascii="Times New Roman" w:hAnsi="Times New Roman" w:cs="Times New Roman"/>
          <w:sz w:val="24"/>
          <w:szCs w:val="24"/>
        </w:rPr>
        <w:t>As a result, the appropriate entity to use for evaluating the ROE and cost of capital is Duke.</w:t>
      </w:r>
      <w:r>
        <w:rPr>
          <w:rStyle w:val="FootnoteReference"/>
          <w:rFonts w:ascii="Times New Roman" w:hAnsi="Times New Roman" w:cs="Times New Roman"/>
          <w:sz w:val="24"/>
          <w:szCs w:val="24"/>
        </w:rPr>
        <w:footnoteReference w:id="237"/>
      </w:r>
    </w:p>
    <w:p w:rsidR="009872D1" w:rsidRDefault="009872D1" w:rsidP="009872D1">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Finally, investors of Duke are looking at the risks of Duke Energy Ohio as an </w:t>
      </w:r>
      <w:r>
        <w:rPr>
          <w:rFonts w:ascii="Times New Roman" w:hAnsi="Times New Roman" w:cs="Times New Roman"/>
          <w:i/>
          <w:iCs/>
          <w:sz w:val="24"/>
          <w:szCs w:val="24"/>
        </w:rPr>
        <w:t>integrated entity</w:t>
      </w:r>
      <w:r>
        <w:rPr>
          <w:rFonts w:ascii="Times New Roman" w:hAnsi="Times New Roman" w:cs="Times New Roman"/>
          <w:sz w:val="24"/>
          <w:szCs w:val="24"/>
        </w:rPr>
        <w:t xml:space="preserve">. </w:t>
      </w:r>
      <w:r w:rsidR="00167774">
        <w:rPr>
          <w:rFonts w:ascii="Times New Roman" w:hAnsi="Times New Roman" w:cs="Times New Roman"/>
          <w:sz w:val="24"/>
          <w:szCs w:val="24"/>
        </w:rPr>
        <w:t xml:space="preserve"> </w:t>
      </w:r>
      <w:r>
        <w:rPr>
          <w:rFonts w:ascii="Times New Roman" w:hAnsi="Times New Roman" w:cs="Times New Roman"/>
          <w:sz w:val="24"/>
          <w:szCs w:val="24"/>
        </w:rPr>
        <w:t>At this time, given there is no corporate separation, they do not evaluate the risks of the generation portion of the business separately from the transmission and distribution business.</w:t>
      </w:r>
      <w:r>
        <w:rPr>
          <w:rStyle w:val="FootnoteReference"/>
          <w:rFonts w:ascii="Times New Roman" w:hAnsi="Times New Roman" w:cs="Times New Roman"/>
          <w:sz w:val="24"/>
          <w:szCs w:val="24"/>
        </w:rPr>
        <w:footnoteReference w:id="238"/>
      </w:r>
      <w:r>
        <w:rPr>
          <w:rFonts w:ascii="Times New Roman" w:hAnsi="Times New Roman" w:cs="Times New Roman"/>
          <w:sz w:val="16"/>
          <w:szCs w:val="16"/>
        </w:rPr>
        <w:t xml:space="preserve"> </w:t>
      </w:r>
      <w:r w:rsidR="00167774">
        <w:rPr>
          <w:rFonts w:ascii="Times New Roman" w:hAnsi="Times New Roman" w:cs="Times New Roman"/>
          <w:sz w:val="16"/>
          <w:szCs w:val="16"/>
        </w:rPr>
        <w:t xml:space="preserve"> </w:t>
      </w:r>
      <w:r>
        <w:rPr>
          <w:rFonts w:ascii="Times New Roman" w:hAnsi="Times New Roman" w:cs="Times New Roman"/>
          <w:sz w:val="24"/>
          <w:szCs w:val="24"/>
        </w:rPr>
        <w:t>Indeed the PUCO has found it improper to attempt to identify different levels of risk associated with the different services provided by a regulated electric utility as the investor must invest in the utility as a whole.</w:t>
      </w:r>
      <w:r>
        <w:rPr>
          <w:rStyle w:val="FootnoteReference"/>
          <w:rFonts w:ascii="Times New Roman" w:hAnsi="Times New Roman" w:cs="Times New Roman"/>
          <w:sz w:val="24"/>
          <w:szCs w:val="24"/>
        </w:rPr>
        <w:footnoteReference w:id="239"/>
      </w:r>
    </w:p>
    <w:p w:rsidR="009872D1" w:rsidRDefault="00016E0D" w:rsidP="00FB4463">
      <w:pPr>
        <w:pStyle w:val="Heading2"/>
      </w:pPr>
      <w:bookmarkStart w:id="36" w:name="_Toc362950011"/>
      <w:r>
        <w:t>L</w:t>
      </w:r>
      <w:r w:rsidR="009872D1">
        <w:t>.</w:t>
      </w:r>
      <w:r w:rsidR="009872D1" w:rsidRPr="00E019B7">
        <w:tab/>
        <w:t>Duke</w:t>
      </w:r>
      <w:r w:rsidR="009872D1">
        <w:t xml:space="preserve">’s Proposed ROE </w:t>
      </w:r>
      <w:r w:rsidR="00F20D1E">
        <w:t xml:space="preserve">If 11.15% </w:t>
      </w:r>
      <w:proofErr w:type="gramStart"/>
      <w:r w:rsidR="00F20D1E">
        <w:t>Is</w:t>
      </w:r>
      <w:proofErr w:type="gramEnd"/>
      <w:r w:rsidR="00F20D1E">
        <w:t xml:space="preserve"> </w:t>
      </w:r>
      <w:r w:rsidR="009872D1">
        <w:t xml:space="preserve">Not Supported </w:t>
      </w:r>
      <w:r w:rsidR="00F20D1E">
        <w:t xml:space="preserve">By </w:t>
      </w:r>
      <w:r w:rsidR="009872D1">
        <w:t>Dr</w:t>
      </w:r>
      <w:r w:rsidR="00F20D1E">
        <w:t xml:space="preserve">. </w:t>
      </w:r>
      <w:r w:rsidR="009872D1">
        <w:t xml:space="preserve">Vander </w:t>
      </w:r>
      <w:proofErr w:type="spellStart"/>
      <w:r w:rsidR="009872D1">
        <w:t>Weide’s</w:t>
      </w:r>
      <w:proofErr w:type="spellEnd"/>
      <w:r w:rsidR="009872D1">
        <w:t xml:space="preserve"> Equity Cost Rate Study</w:t>
      </w:r>
      <w:r w:rsidR="00F20D1E" w:rsidRPr="00E019B7">
        <w:t>.</w:t>
      </w:r>
      <w:bookmarkEnd w:id="36"/>
    </w:p>
    <w:p w:rsidR="009872D1" w:rsidRDefault="009872D1" w:rsidP="00F20D1E">
      <w:pPr>
        <w:pStyle w:val="answer0"/>
        <w:tabs>
          <w:tab w:val="left" w:pos="720"/>
        </w:tabs>
        <w:ind w:left="0" w:firstLine="0"/>
        <w:jc w:val="left"/>
      </w:pPr>
      <w:r>
        <w:tab/>
        <w:t xml:space="preserve">Duke contends that its proposed ROE of 11.15% is supported by Dr. Vander </w:t>
      </w:r>
      <w:proofErr w:type="spellStart"/>
      <w:r>
        <w:t>Weide’s</w:t>
      </w:r>
      <w:proofErr w:type="spellEnd"/>
      <w:r>
        <w:t xml:space="preserve"> equity cost rate studies.  However, Dr. Vander </w:t>
      </w:r>
      <w:proofErr w:type="spellStart"/>
      <w:r>
        <w:t>Weide</w:t>
      </w:r>
      <w:proofErr w:type="spellEnd"/>
      <w:r>
        <w:t xml:space="preserve"> justified this figure using a </w:t>
      </w:r>
      <w:r>
        <w:lastRenderedPageBreak/>
        <w:t xml:space="preserve">proxy group </w:t>
      </w:r>
      <w:r w:rsidR="005460B2">
        <w:t>of pipeline</w:t>
      </w:r>
      <w:r>
        <w:t xml:space="preserve"> companies.  These pipeline companies are all Master Limited Partnerships (“MLPs”).  MLPs represent a much different business entity than Duke.</w:t>
      </w:r>
      <w:r w:rsidRPr="007E10C9">
        <w:rPr>
          <w:rStyle w:val="FootnoteReference"/>
        </w:rPr>
        <w:t xml:space="preserve"> </w:t>
      </w:r>
      <w:r>
        <w:rPr>
          <w:rStyle w:val="FootnoteReference"/>
        </w:rPr>
        <w:footnoteReference w:id="240"/>
      </w:r>
      <w:r>
        <w:t xml:space="preserve">  Further, these equity cost rate results for these companies are highly variable and unbelievable.  To this end, Dr. Vander </w:t>
      </w:r>
      <w:proofErr w:type="spellStart"/>
      <w:r>
        <w:t>Weide</w:t>
      </w:r>
      <w:proofErr w:type="spellEnd"/>
      <w:r>
        <w:t xml:space="preserve"> eliminated 36% of his equity cost rate results in order to justify his reported equity cost rate of 12.6%.</w:t>
      </w:r>
      <w:r>
        <w:rPr>
          <w:rStyle w:val="FootnoteReference"/>
        </w:rPr>
        <w:footnoteReference w:id="241"/>
      </w:r>
      <w:r>
        <w:t xml:space="preserve">  </w:t>
      </w:r>
    </w:p>
    <w:p w:rsidR="00E73768" w:rsidRDefault="009872D1" w:rsidP="00F20D1E">
      <w:pPr>
        <w:pStyle w:val="answer0"/>
        <w:tabs>
          <w:tab w:val="left" w:pos="720"/>
        </w:tabs>
        <w:ind w:left="0" w:firstLine="0"/>
        <w:jc w:val="left"/>
      </w:pPr>
      <w:r>
        <w:tab/>
        <w:t xml:space="preserve">In addition, Dr. Vander </w:t>
      </w:r>
      <w:proofErr w:type="spellStart"/>
      <w:r>
        <w:t>Weide’s</w:t>
      </w:r>
      <w:proofErr w:type="spellEnd"/>
      <w:r>
        <w:t xml:space="preserve"> equity cost rate results for his group of electric utilities are inflated.  This inflation is primarily due to:  (1) the use of the overly optimistic and upwardly-biased projected EPS growth rates of Wall Street analysts in his Discounted Cash Flow approach; (2) excessive base interest rates and market risk premiums used in his Risk Premium and CAPM approaches; and (3) the addition of an unwarranted flotation cost adjustment to his equity cost rate results.</w:t>
      </w:r>
      <w:r>
        <w:rPr>
          <w:rStyle w:val="FootnoteReference"/>
        </w:rPr>
        <w:footnoteReference w:id="242"/>
      </w:r>
      <w:r>
        <w:t xml:space="preserve"> </w:t>
      </w:r>
    </w:p>
    <w:p w:rsidR="00E73768" w:rsidRDefault="00E73768" w:rsidP="00F20D1E">
      <w:pPr>
        <w:pStyle w:val="answer0"/>
        <w:tabs>
          <w:tab w:val="left" w:pos="720"/>
        </w:tabs>
        <w:ind w:left="0" w:firstLine="0"/>
        <w:jc w:val="left"/>
      </w:pPr>
      <w:r>
        <w:tab/>
      </w:r>
      <w:r w:rsidR="002C20A1">
        <w:t xml:space="preserve">In contrast, </w:t>
      </w:r>
      <w:r w:rsidRPr="00E73768">
        <w:t xml:space="preserve">OCC witness Dr. </w:t>
      </w:r>
      <w:proofErr w:type="spellStart"/>
      <w:r w:rsidRPr="00E73768">
        <w:t>Woolridge</w:t>
      </w:r>
      <w:proofErr w:type="spellEnd"/>
      <w:r w:rsidRPr="00E73768">
        <w:t xml:space="preserve"> performed an equity cost rate study on Dr. Vander</w:t>
      </w:r>
      <w:r w:rsidR="00F20D1E">
        <w:t xml:space="preserve"> </w:t>
      </w:r>
      <w:proofErr w:type="spellStart"/>
      <w:r w:rsidRPr="00E73768">
        <w:t>Weide’s</w:t>
      </w:r>
      <w:proofErr w:type="spellEnd"/>
      <w:r w:rsidRPr="00E73768">
        <w:t xml:space="preserve"> proxy group of twenty-four electric utilities and employed the DCF and CAPM</w:t>
      </w:r>
      <w:r w:rsidR="00F20D1E">
        <w:t xml:space="preserve"> </w:t>
      </w:r>
      <w:r w:rsidRPr="00E73768">
        <w:t>approaches.</w:t>
      </w:r>
      <w:r>
        <w:rPr>
          <w:rStyle w:val="FootnoteReference"/>
        </w:rPr>
        <w:footnoteReference w:id="243"/>
      </w:r>
      <w:r w:rsidRPr="00E73768">
        <w:t xml:space="preserve"> </w:t>
      </w:r>
      <w:r w:rsidR="00F20D1E">
        <w:t xml:space="preserve"> </w:t>
      </w:r>
      <w:r w:rsidRPr="00E73768">
        <w:t xml:space="preserve">After performing this analysis, Dr. </w:t>
      </w:r>
      <w:proofErr w:type="spellStart"/>
      <w:r w:rsidRPr="00E73768">
        <w:t>Woolridge</w:t>
      </w:r>
      <w:proofErr w:type="spellEnd"/>
      <w:r w:rsidRPr="00E73768">
        <w:t xml:space="preserve"> determined an equity cost</w:t>
      </w:r>
      <w:r w:rsidR="005460B2">
        <w:t xml:space="preserve"> </w:t>
      </w:r>
      <w:r w:rsidRPr="00E73768">
        <w:t>rate range of 7.5% to 8.9%, and he used 8.75% as a point estimate ROE.</w:t>
      </w:r>
      <w:r>
        <w:rPr>
          <w:rStyle w:val="FootnoteReference"/>
        </w:rPr>
        <w:footnoteReference w:id="244"/>
      </w:r>
      <w:r w:rsidRPr="00E73768">
        <w:t xml:space="preserve"> </w:t>
      </w:r>
      <w:r w:rsidR="00F20D1E">
        <w:t xml:space="preserve"> </w:t>
      </w:r>
      <w:r>
        <w:t xml:space="preserve">In arriving at </w:t>
      </w:r>
      <w:r w:rsidRPr="00E73768">
        <w:t xml:space="preserve">this figure, Dr. </w:t>
      </w:r>
      <w:proofErr w:type="spellStart"/>
      <w:r w:rsidRPr="00E73768">
        <w:t>Woolridge</w:t>
      </w:r>
      <w:proofErr w:type="spellEnd"/>
      <w:r w:rsidRPr="00E73768">
        <w:t xml:space="preserve"> emphasized that current interest rates and capital costs</w:t>
      </w:r>
      <w:r>
        <w:t xml:space="preserve"> </w:t>
      </w:r>
      <w:r w:rsidRPr="00E73768">
        <w:t>are a</w:t>
      </w:r>
      <w:r>
        <w:t xml:space="preserve"> </w:t>
      </w:r>
      <w:r w:rsidRPr="00E73768">
        <w:t>historically low levels.</w:t>
      </w:r>
      <w:r>
        <w:rPr>
          <w:rStyle w:val="FootnoteReference"/>
        </w:rPr>
        <w:footnoteReference w:id="245"/>
      </w:r>
      <w:r w:rsidRPr="00E73768">
        <w:t xml:space="preserve"> </w:t>
      </w:r>
      <w:r w:rsidR="00F20D1E">
        <w:t xml:space="preserve"> </w:t>
      </w:r>
      <w:r w:rsidRPr="00E73768">
        <w:t>If the PUCO grants the Duke’s Application, it should receive</w:t>
      </w:r>
      <w:r>
        <w:t xml:space="preserve"> </w:t>
      </w:r>
      <w:r w:rsidRPr="00E73768">
        <w:t>no more than an 8.75% ROE</w:t>
      </w:r>
      <w:r w:rsidR="005460B2">
        <w:t>,</w:t>
      </w:r>
      <w:r>
        <w:t xml:space="preserve"> per Dr. </w:t>
      </w:r>
      <w:proofErr w:type="spellStart"/>
      <w:r>
        <w:t>Woolridge’s</w:t>
      </w:r>
      <w:proofErr w:type="spellEnd"/>
      <w:r>
        <w:t xml:space="preserve"> recommendation</w:t>
      </w:r>
      <w:r w:rsidRPr="00E73768">
        <w:t>.</w:t>
      </w:r>
    </w:p>
    <w:p w:rsidR="009872D1" w:rsidRDefault="009872D1" w:rsidP="00F13FC1">
      <w:pPr>
        <w:pStyle w:val="answer0"/>
        <w:tabs>
          <w:tab w:val="left" w:pos="720"/>
        </w:tabs>
        <w:ind w:left="0" w:firstLine="0"/>
        <w:jc w:val="left"/>
      </w:pPr>
      <w:r>
        <w:lastRenderedPageBreak/>
        <w:tab/>
        <w:t xml:space="preserve">Duke’s proposed ROE of 11.15% is not supported.  It is not supported by the AEP Ohio Capacity Case decision, as that decision is not applicable to or appropriate for Duke. </w:t>
      </w:r>
      <w:r w:rsidR="00F2393A">
        <w:t xml:space="preserve"> </w:t>
      </w:r>
      <w:r>
        <w:t>It is also not supported by Dr. Vander</w:t>
      </w:r>
      <w:r w:rsidR="00F20D1E">
        <w:t xml:space="preserve"> </w:t>
      </w:r>
      <w:proofErr w:type="spellStart"/>
      <w:r w:rsidR="00F20D1E">
        <w:t>Weide’s</w:t>
      </w:r>
      <w:proofErr w:type="spellEnd"/>
      <w:r w:rsidR="00F20D1E">
        <w:t xml:space="preserve"> equity cost rate study.  </w:t>
      </w:r>
      <w:r w:rsidRPr="00010C40">
        <w:t>The PUCO should</w:t>
      </w:r>
      <w:r>
        <w:t xml:space="preserve"> find that Duke is not entitled </w:t>
      </w:r>
      <w:r w:rsidRPr="00010C40">
        <w:t xml:space="preserve">to any additional compensation above the FZCP in providing capacity to the </w:t>
      </w:r>
      <w:r w:rsidR="00047434">
        <w:t>marketers</w:t>
      </w:r>
      <w:r w:rsidRPr="00010C40">
        <w:t xml:space="preserve"> within its service territory.</w:t>
      </w:r>
      <w:r>
        <w:t xml:space="preserve">  However, if the PUCO grants Duke’s Application, it should receive no more than an 8.75 ROE.</w:t>
      </w:r>
      <w:r>
        <w:rPr>
          <w:rStyle w:val="FootnoteReference"/>
        </w:rPr>
        <w:footnoteReference w:id="246"/>
      </w:r>
    </w:p>
    <w:p w:rsidR="00D308F6" w:rsidRPr="00193CEF" w:rsidRDefault="009872D1" w:rsidP="00F20D1E">
      <w:pPr>
        <w:pStyle w:val="answer0"/>
        <w:tabs>
          <w:tab w:val="left" w:pos="720"/>
        </w:tabs>
        <w:spacing w:line="240" w:lineRule="auto"/>
        <w:ind w:left="0" w:firstLine="0"/>
        <w:rPr>
          <w:rStyle w:val="ssrfcpassagedeactivated"/>
        </w:rPr>
      </w:pPr>
      <w:r>
        <w:tab/>
      </w:r>
    </w:p>
    <w:p w:rsidR="00B42279" w:rsidRPr="00B42279" w:rsidRDefault="00B42279" w:rsidP="00D308F6">
      <w:pPr>
        <w:pStyle w:val="Heading1"/>
      </w:pPr>
      <w:bookmarkStart w:id="37" w:name="_Toc362950012"/>
      <w:r w:rsidRPr="00B42279">
        <w:t>CONCLUSION</w:t>
      </w:r>
      <w:bookmarkEnd w:id="37"/>
    </w:p>
    <w:p w:rsidR="00B42279" w:rsidRPr="00B42279" w:rsidRDefault="00B42279" w:rsidP="00B42279">
      <w:pPr>
        <w:ind w:firstLine="720"/>
        <w:rPr>
          <w:rFonts w:ascii="Times New Roman" w:hAnsi="Times New Roman" w:cs="Times New Roman"/>
          <w:sz w:val="24"/>
          <w:szCs w:val="24"/>
        </w:rPr>
      </w:pPr>
      <w:r w:rsidRPr="00B42279">
        <w:rPr>
          <w:rFonts w:ascii="Times New Roman" w:hAnsi="Times New Roman" w:cs="Times New Roman"/>
          <w:sz w:val="24"/>
          <w:szCs w:val="24"/>
        </w:rPr>
        <w:t>The PUCO should reject outright Duke’s bold proposal to collect an additional $729 million (plus interest) from customers to compensate it for its embedded cost of capacity.  If the PUCO rules that Duke is entitled to collect its embedded cost of capacity, it should determine that $729 million (plus interest) is not a just and reasonable revenue requirement.  Rather, it should conclude that Duke has vastly overstated its revenue requirement by seeking unlawful retroactive rate increases, failing to credit consumers for ESSC revenues they have been paying since January 1, 2012, and making nume</w:t>
      </w:r>
      <w:r w:rsidR="00C839E2">
        <w:rPr>
          <w:rFonts w:ascii="Times New Roman" w:hAnsi="Times New Roman" w:cs="Times New Roman"/>
          <w:sz w:val="24"/>
          <w:szCs w:val="24"/>
        </w:rPr>
        <w:t>rous errors in its schedules.</w:t>
      </w:r>
    </w:p>
    <w:p w:rsidR="00B42279" w:rsidRDefault="00B42279" w:rsidP="00B42279">
      <w:pPr>
        <w:ind w:left="3960" w:firstLine="360"/>
        <w:rPr>
          <w:rFonts w:ascii="Times New Roman" w:hAnsi="Times New Roman" w:cs="Times New Roman"/>
          <w:sz w:val="24"/>
          <w:szCs w:val="24"/>
        </w:rPr>
      </w:pPr>
    </w:p>
    <w:p w:rsidR="00D308F6" w:rsidRDefault="00D308F6">
      <w:pPr>
        <w:rPr>
          <w:rFonts w:ascii="Times New Roman" w:hAnsi="Times New Roman" w:cs="Times New Roman"/>
          <w:sz w:val="24"/>
          <w:szCs w:val="24"/>
        </w:rPr>
      </w:pPr>
      <w:r>
        <w:rPr>
          <w:rFonts w:ascii="Times New Roman" w:hAnsi="Times New Roman" w:cs="Times New Roman"/>
          <w:sz w:val="24"/>
          <w:szCs w:val="24"/>
        </w:rPr>
        <w:br w:type="page"/>
      </w:r>
    </w:p>
    <w:p w:rsidR="00B42279" w:rsidRPr="00B42279" w:rsidRDefault="00B42279" w:rsidP="00B42279">
      <w:pPr>
        <w:ind w:left="3960" w:firstLine="360"/>
        <w:rPr>
          <w:rFonts w:ascii="Times New Roman" w:hAnsi="Times New Roman" w:cs="Times New Roman"/>
          <w:sz w:val="24"/>
          <w:szCs w:val="24"/>
        </w:rPr>
      </w:pPr>
      <w:r w:rsidRPr="00B42279">
        <w:rPr>
          <w:rFonts w:ascii="Times New Roman" w:hAnsi="Times New Roman" w:cs="Times New Roman"/>
          <w:sz w:val="24"/>
          <w:szCs w:val="24"/>
        </w:rPr>
        <w:lastRenderedPageBreak/>
        <w:t>Respectfully submitted,</w:t>
      </w:r>
      <w:r w:rsidRPr="00B42279">
        <w:rPr>
          <w:rFonts w:ascii="Times New Roman" w:hAnsi="Times New Roman" w:cs="Times New Roman"/>
          <w:sz w:val="24"/>
          <w:szCs w:val="24"/>
        </w:rPr>
        <w:tab/>
      </w:r>
    </w:p>
    <w:p w:rsidR="00B42279" w:rsidRPr="00B42279" w:rsidRDefault="00B42279" w:rsidP="00B42279">
      <w:pPr>
        <w:spacing w:line="240" w:lineRule="auto"/>
        <w:ind w:left="4320"/>
        <w:rPr>
          <w:rFonts w:ascii="Times New Roman" w:hAnsi="Times New Roman" w:cs="Times New Roman"/>
          <w:sz w:val="24"/>
          <w:szCs w:val="24"/>
        </w:rPr>
      </w:pPr>
      <w:r w:rsidRPr="00B42279">
        <w:rPr>
          <w:rFonts w:ascii="Times New Roman" w:hAnsi="Times New Roman" w:cs="Times New Roman"/>
          <w:sz w:val="24"/>
          <w:szCs w:val="24"/>
        </w:rPr>
        <w:t>BRUCE J. WESTON</w:t>
      </w:r>
    </w:p>
    <w:p w:rsidR="00B42279" w:rsidRPr="00B42279" w:rsidRDefault="00B42279" w:rsidP="00B42279">
      <w:pPr>
        <w:spacing w:line="240" w:lineRule="auto"/>
        <w:ind w:left="4320"/>
        <w:rPr>
          <w:rFonts w:ascii="Times New Roman" w:hAnsi="Times New Roman" w:cs="Times New Roman"/>
          <w:sz w:val="24"/>
          <w:szCs w:val="24"/>
        </w:rPr>
      </w:pPr>
      <w:r w:rsidRPr="00B42279">
        <w:rPr>
          <w:rFonts w:ascii="Times New Roman" w:hAnsi="Times New Roman" w:cs="Times New Roman"/>
          <w:sz w:val="24"/>
          <w:szCs w:val="24"/>
        </w:rPr>
        <w:t>OHIO CONSUMERS’ COUNSEL</w:t>
      </w:r>
    </w:p>
    <w:p w:rsidR="00B42279" w:rsidRPr="00B42279" w:rsidRDefault="00B42279" w:rsidP="00B42279">
      <w:pPr>
        <w:spacing w:line="240" w:lineRule="auto"/>
        <w:ind w:left="4320"/>
        <w:rPr>
          <w:rFonts w:ascii="Times New Roman" w:hAnsi="Times New Roman" w:cs="Times New Roman"/>
          <w:sz w:val="24"/>
          <w:szCs w:val="24"/>
        </w:rPr>
      </w:pP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B42279">
        <w:rPr>
          <w:rFonts w:ascii="Times New Roman" w:hAnsi="Times New Roman" w:cs="Times New Roman"/>
          <w:i/>
          <w:iCs/>
          <w:sz w:val="24"/>
          <w:szCs w:val="24"/>
          <w:u w:val="single"/>
        </w:rPr>
        <w:t>/s/ Maureen R. Grady</w:t>
      </w:r>
      <w:r w:rsidRPr="00B42279">
        <w:rPr>
          <w:rFonts w:ascii="Times New Roman" w:hAnsi="Times New Roman" w:cs="Times New Roman"/>
          <w:sz w:val="24"/>
          <w:szCs w:val="24"/>
        </w:rPr>
        <w:t>________________</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B42279">
        <w:rPr>
          <w:rFonts w:ascii="Times New Roman" w:hAnsi="Times New Roman" w:cs="Times New Roman"/>
          <w:sz w:val="24"/>
          <w:szCs w:val="24"/>
        </w:rPr>
        <w:t>Maureen R. Grady, Counsel of Record</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B42279">
        <w:rPr>
          <w:rFonts w:ascii="Times New Roman" w:hAnsi="Times New Roman" w:cs="Times New Roman"/>
          <w:sz w:val="24"/>
          <w:szCs w:val="24"/>
        </w:rPr>
        <w:t>Kyle L. Kern</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rPr>
          <w:rFonts w:ascii="Times New Roman" w:hAnsi="Times New Roman" w:cs="Times New Roman"/>
          <w:sz w:val="24"/>
          <w:szCs w:val="24"/>
        </w:rPr>
      </w:pPr>
      <w:r w:rsidRPr="00B42279">
        <w:rPr>
          <w:rFonts w:ascii="Times New Roman" w:hAnsi="Times New Roman" w:cs="Times New Roman"/>
          <w:sz w:val="24"/>
          <w:szCs w:val="24"/>
        </w:rPr>
        <w:t xml:space="preserve">Assistant Consumers’ Counsel </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b/>
          <w:bCs/>
          <w:color w:val="000000"/>
          <w:sz w:val="24"/>
          <w:szCs w:val="24"/>
        </w:rPr>
      </w:pP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b/>
          <w:bCs/>
          <w:color w:val="000000"/>
          <w:sz w:val="24"/>
          <w:szCs w:val="24"/>
        </w:rPr>
      </w:pPr>
      <w:r w:rsidRPr="00B42279">
        <w:rPr>
          <w:rFonts w:ascii="Times New Roman" w:hAnsi="Times New Roman" w:cs="Times New Roman"/>
          <w:b/>
          <w:bCs/>
          <w:color w:val="000000"/>
          <w:sz w:val="24"/>
          <w:szCs w:val="24"/>
        </w:rPr>
        <w:t>Office of the Ohio Consumers’ Counsel</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B42279">
        <w:rPr>
          <w:rFonts w:ascii="Times New Roman" w:hAnsi="Times New Roman" w:cs="Times New Roman"/>
          <w:color w:val="000000"/>
          <w:sz w:val="24"/>
          <w:szCs w:val="24"/>
        </w:rPr>
        <w:t>10 West Broad Street, Suite 1800</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B42279">
        <w:rPr>
          <w:rFonts w:ascii="Times New Roman" w:hAnsi="Times New Roman" w:cs="Times New Roman"/>
          <w:color w:val="000000"/>
          <w:sz w:val="24"/>
          <w:szCs w:val="24"/>
        </w:rPr>
        <w:t>Columbus, Ohio 43215-3485</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B42279">
        <w:rPr>
          <w:rFonts w:ascii="Times New Roman" w:hAnsi="Times New Roman" w:cs="Times New Roman"/>
          <w:color w:val="000000"/>
          <w:sz w:val="24"/>
          <w:szCs w:val="24"/>
        </w:rPr>
        <w:t>Telephone:  (Grady) (614) 466-9567</w:t>
      </w:r>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00"/>
          <w:sz w:val="24"/>
          <w:szCs w:val="24"/>
        </w:rPr>
      </w:pPr>
      <w:r w:rsidRPr="00B42279">
        <w:rPr>
          <w:rFonts w:ascii="Times New Roman" w:hAnsi="Times New Roman" w:cs="Times New Roman"/>
          <w:color w:val="000000"/>
          <w:sz w:val="24"/>
          <w:szCs w:val="24"/>
        </w:rPr>
        <w:t>Telephone:  (Kern) (614) 466-9585</w:t>
      </w:r>
    </w:p>
    <w:p w:rsidR="00B42279" w:rsidRPr="00B42279" w:rsidRDefault="00CF746E"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320"/>
        <w:rPr>
          <w:rFonts w:ascii="Times New Roman" w:hAnsi="Times New Roman" w:cs="Times New Roman"/>
          <w:color w:val="0000FF"/>
          <w:sz w:val="24"/>
          <w:szCs w:val="24"/>
        </w:rPr>
      </w:pPr>
      <w:hyperlink r:id="rId27" w:history="1">
        <w:r w:rsidR="00B42279" w:rsidRPr="00B42279">
          <w:rPr>
            <w:rStyle w:val="Hyperlink"/>
            <w:rFonts w:ascii="Times New Roman" w:hAnsi="Times New Roman" w:cs="Times New Roman"/>
            <w:sz w:val="24"/>
            <w:szCs w:val="24"/>
          </w:rPr>
          <w:t>grady@occ.state.oh.us</w:t>
        </w:r>
      </w:hyperlink>
    </w:p>
    <w:p w:rsidR="00B42279" w:rsidRPr="00B42279" w:rsidRDefault="00B42279" w:rsidP="00B4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FF"/>
          <w:sz w:val="24"/>
          <w:szCs w:val="24"/>
        </w:rPr>
      </w:pPr>
      <w:r w:rsidRPr="00B42279">
        <w:rPr>
          <w:rFonts w:ascii="Times New Roman" w:hAnsi="Times New Roman" w:cs="Times New Roman"/>
          <w:sz w:val="24"/>
          <w:szCs w:val="24"/>
        </w:rPr>
        <w:tab/>
      </w:r>
      <w:r w:rsidRPr="00B42279">
        <w:rPr>
          <w:rFonts w:ascii="Times New Roman" w:hAnsi="Times New Roman" w:cs="Times New Roman"/>
          <w:sz w:val="24"/>
          <w:szCs w:val="24"/>
        </w:rPr>
        <w:tab/>
      </w:r>
      <w:r w:rsidRPr="00B42279">
        <w:rPr>
          <w:rFonts w:ascii="Times New Roman" w:hAnsi="Times New Roman" w:cs="Times New Roman"/>
          <w:sz w:val="24"/>
          <w:szCs w:val="24"/>
        </w:rPr>
        <w:tab/>
      </w:r>
      <w:r w:rsidRPr="00B42279">
        <w:rPr>
          <w:rFonts w:ascii="Times New Roman" w:hAnsi="Times New Roman" w:cs="Times New Roman"/>
          <w:sz w:val="24"/>
          <w:szCs w:val="24"/>
        </w:rPr>
        <w:tab/>
        <w:t xml:space="preserve">           </w:t>
      </w:r>
      <w:hyperlink r:id="rId28" w:history="1">
        <w:r w:rsidRPr="00B42279">
          <w:rPr>
            <w:rStyle w:val="Hyperlink"/>
            <w:rFonts w:ascii="Times New Roman" w:hAnsi="Times New Roman" w:cs="Times New Roman"/>
            <w:sz w:val="24"/>
            <w:szCs w:val="24"/>
          </w:rPr>
          <w:t>kern@occ.state.oh.us</w:t>
        </w:r>
      </w:hyperlink>
    </w:p>
    <w:p w:rsidR="00B42279" w:rsidRPr="00B42279" w:rsidRDefault="00B42279" w:rsidP="00B42279">
      <w:pPr>
        <w:spacing w:line="240" w:lineRule="auto"/>
        <w:ind w:left="4320"/>
        <w:rPr>
          <w:rFonts w:ascii="Times New Roman" w:hAnsi="Times New Roman" w:cs="Times New Roman"/>
          <w:sz w:val="24"/>
          <w:szCs w:val="24"/>
        </w:rPr>
      </w:pPr>
    </w:p>
    <w:p w:rsidR="005C001B" w:rsidRPr="00B42279" w:rsidRDefault="0083026B" w:rsidP="00B42279">
      <w:pPr>
        <w:spacing w:line="240" w:lineRule="auto"/>
        <w:ind w:firstLine="720"/>
        <w:rPr>
          <w:rFonts w:ascii="Times New Roman" w:hAnsi="Times New Roman" w:cs="Times New Roman"/>
          <w:i/>
          <w:sz w:val="24"/>
          <w:szCs w:val="24"/>
        </w:rPr>
      </w:pPr>
      <w:r w:rsidRPr="00B42279">
        <w:rPr>
          <w:rFonts w:ascii="Times New Roman" w:hAnsi="Times New Roman" w:cs="Times New Roman"/>
          <w:sz w:val="24"/>
          <w:szCs w:val="24"/>
        </w:rPr>
        <w:tab/>
      </w:r>
      <w:r w:rsidRPr="00B42279">
        <w:rPr>
          <w:rFonts w:ascii="Times New Roman" w:hAnsi="Times New Roman" w:cs="Times New Roman"/>
          <w:sz w:val="24"/>
          <w:szCs w:val="24"/>
        </w:rPr>
        <w:tab/>
      </w:r>
      <w:r w:rsidR="005C001B" w:rsidRPr="00B42279">
        <w:rPr>
          <w:rFonts w:ascii="Times New Roman" w:hAnsi="Times New Roman" w:cs="Times New Roman"/>
          <w:i/>
          <w:sz w:val="24"/>
          <w:szCs w:val="24"/>
        </w:rPr>
        <w:t xml:space="preserve"> </w:t>
      </w:r>
    </w:p>
    <w:p w:rsidR="0083026B" w:rsidRDefault="0083026B" w:rsidP="00B42279">
      <w:pPr>
        <w:spacing w:line="240" w:lineRule="auto"/>
        <w:rPr>
          <w:rFonts w:ascii="Times New Roman" w:hAnsi="Times New Roman" w:cs="Times New Roman"/>
          <w:sz w:val="24"/>
          <w:szCs w:val="24"/>
        </w:rPr>
      </w:pPr>
    </w:p>
    <w:p w:rsidR="00B42279" w:rsidRDefault="00B42279" w:rsidP="00B42279">
      <w:pPr>
        <w:spacing w:line="240" w:lineRule="auto"/>
        <w:rPr>
          <w:rFonts w:ascii="Times New Roman" w:hAnsi="Times New Roman" w:cs="Times New Roman"/>
          <w:sz w:val="24"/>
          <w:szCs w:val="24"/>
        </w:rPr>
      </w:pPr>
    </w:p>
    <w:p w:rsidR="00B42279" w:rsidRDefault="00B42279" w:rsidP="00B42279">
      <w:pPr>
        <w:spacing w:line="240" w:lineRule="auto"/>
        <w:rPr>
          <w:rFonts w:ascii="Times New Roman" w:hAnsi="Times New Roman" w:cs="Times New Roman"/>
          <w:sz w:val="24"/>
          <w:szCs w:val="24"/>
        </w:rPr>
      </w:pPr>
    </w:p>
    <w:p w:rsidR="00B42279" w:rsidRDefault="00B42279">
      <w:pPr>
        <w:rPr>
          <w:rFonts w:ascii="Times New Roman" w:hAnsi="Times New Roman" w:cs="Times New Roman"/>
          <w:sz w:val="24"/>
          <w:szCs w:val="24"/>
        </w:rPr>
      </w:pPr>
      <w:r>
        <w:rPr>
          <w:rFonts w:ascii="Times New Roman" w:hAnsi="Times New Roman" w:cs="Times New Roman"/>
          <w:sz w:val="24"/>
          <w:szCs w:val="24"/>
        </w:rPr>
        <w:br w:type="page"/>
      </w:r>
    </w:p>
    <w:p w:rsidR="00B42279" w:rsidRDefault="00B42279" w:rsidP="00B42279">
      <w:pPr>
        <w:pStyle w:val="ANSWER"/>
        <w:spacing w:line="240" w:lineRule="auto"/>
        <w:ind w:left="720"/>
        <w:jc w:val="center"/>
        <w:rPr>
          <w:b/>
          <w:szCs w:val="24"/>
          <w:u w:val="single"/>
        </w:rPr>
      </w:pPr>
      <w:r w:rsidRPr="00B42279">
        <w:rPr>
          <w:b/>
          <w:szCs w:val="24"/>
          <w:u w:val="single"/>
        </w:rPr>
        <w:lastRenderedPageBreak/>
        <w:t>CERTIFICATE OF SERVICE</w:t>
      </w:r>
    </w:p>
    <w:p w:rsidR="00F20D1E" w:rsidRPr="00B42279" w:rsidRDefault="00F20D1E" w:rsidP="00B42279">
      <w:pPr>
        <w:pStyle w:val="ANSWER"/>
        <w:spacing w:line="240" w:lineRule="auto"/>
        <w:ind w:left="720"/>
        <w:jc w:val="center"/>
        <w:rPr>
          <w:b/>
          <w:szCs w:val="24"/>
          <w:u w:val="single"/>
        </w:rPr>
      </w:pPr>
    </w:p>
    <w:p w:rsidR="00B42279" w:rsidRPr="00B42279" w:rsidRDefault="00B42279" w:rsidP="00B42279">
      <w:pPr>
        <w:rPr>
          <w:rFonts w:ascii="Times New Roman" w:hAnsi="Times New Roman" w:cs="Times New Roman"/>
          <w:sz w:val="24"/>
          <w:szCs w:val="24"/>
        </w:rPr>
      </w:pPr>
      <w:r w:rsidRPr="00B42279">
        <w:rPr>
          <w:rFonts w:ascii="Times New Roman" w:hAnsi="Times New Roman" w:cs="Times New Roman"/>
          <w:sz w:val="24"/>
          <w:szCs w:val="24"/>
        </w:rPr>
        <w:tab/>
        <w:t xml:space="preserve">I hereby certify that a copy of the foregoing </w:t>
      </w:r>
      <w:r w:rsidR="00F20D1E">
        <w:rPr>
          <w:rFonts w:ascii="Times New Roman" w:hAnsi="Times New Roman" w:cs="Times New Roman"/>
          <w:sz w:val="24"/>
          <w:szCs w:val="24"/>
        </w:rPr>
        <w:t xml:space="preserve">Reply </w:t>
      </w:r>
      <w:r w:rsidRPr="00B42279">
        <w:rPr>
          <w:rFonts w:ascii="Times New Roman" w:hAnsi="Times New Roman" w:cs="Times New Roman"/>
          <w:sz w:val="24"/>
          <w:szCs w:val="24"/>
        </w:rPr>
        <w:t xml:space="preserve">Brief has been served electronically upon those persons listed below this </w:t>
      </w:r>
      <w:r>
        <w:rPr>
          <w:rFonts w:ascii="Times New Roman" w:hAnsi="Times New Roman" w:cs="Times New Roman"/>
          <w:sz w:val="24"/>
          <w:szCs w:val="24"/>
        </w:rPr>
        <w:t>30</w:t>
      </w:r>
      <w:r w:rsidRPr="00B42279">
        <w:rPr>
          <w:rFonts w:ascii="Times New Roman" w:hAnsi="Times New Roman" w:cs="Times New Roman"/>
          <w:sz w:val="24"/>
          <w:szCs w:val="24"/>
          <w:vertAlign w:val="superscript"/>
        </w:rPr>
        <w:t>th</w:t>
      </w:r>
      <w:r w:rsidRPr="00B42279">
        <w:rPr>
          <w:rFonts w:ascii="Times New Roman" w:hAnsi="Times New Roman" w:cs="Times New Roman"/>
          <w:sz w:val="24"/>
          <w:szCs w:val="24"/>
        </w:rPr>
        <w:t xml:space="preserve"> day of Ju</w:t>
      </w:r>
      <w:r>
        <w:rPr>
          <w:rFonts w:ascii="Times New Roman" w:hAnsi="Times New Roman" w:cs="Times New Roman"/>
          <w:sz w:val="24"/>
          <w:szCs w:val="24"/>
        </w:rPr>
        <w:t>ly</w:t>
      </w:r>
      <w:r w:rsidRPr="00B42279">
        <w:rPr>
          <w:rFonts w:ascii="Times New Roman" w:hAnsi="Times New Roman" w:cs="Times New Roman"/>
          <w:sz w:val="24"/>
          <w:szCs w:val="24"/>
        </w:rPr>
        <w:t xml:space="preserve"> 2013.</w:t>
      </w:r>
    </w:p>
    <w:p w:rsidR="00B42279" w:rsidRPr="00B42279" w:rsidRDefault="00B42279" w:rsidP="00B42279">
      <w:pPr>
        <w:rPr>
          <w:rFonts w:ascii="Times New Roman" w:hAnsi="Times New Roman" w:cs="Times New Roman"/>
          <w:sz w:val="24"/>
          <w:szCs w:val="24"/>
        </w:rPr>
      </w:pPr>
    </w:p>
    <w:p w:rsidR="00B42279" w:rsidRPr="00B42279" w:rsidRDefault="00B42279" w:rsidP="00B42279">
      <w:pPr>
        <w:tabs>
          <w:tab w:val="left" w:pos="4320"/>
        </w:tabs>
        <w:spacing w:line="240" w:lineRule="auto"/>
        <w:rPr>
          <w:rFonts w:ascii="Times New Roman" w:hAnsi="Times New Roman" w:cs="Times New Roman"/>
          <w:sz w:val="24"/>
          <w:szCs w:val="24"/>
        </w:rPr>
      </w:pPr>
      <w:r w:rsidRPr="00B42279">
        <w:rPr>
          <w:rFonts w:ascii="Times New Roman" w:hAnsi="Times New Roman" w:cs="Times New Roman"/>
          <w:sz w:val="24"/>
          <w:szCs w:val="24"/>
        </w:rPr>
        <w:tab/>
      </w:r>
      <w:r w:rsidRPr="00B42279">
        <w:rPr>
          <w:rFonts w:ascii="Times New Roman" w:hAnsi="Times New Roman" w:cs="Times New Roman"/>
          <w:i/>
          <w:sz w:val="24"/>
          <w:szCs w:val="24"/>
          <w:u w:val="single"/>
        </w:rPr>
        <w:t>/s/ Maureen R. Grady</w:t>
      </w:r>
      <w:r w:rsidRPr="00B42279">
        <w:rPr>
          <w:rFonts w:ascii="Times New Roman" w:hAnsi="Times New Roman" w:cs="Times New Roman"/>
          <w:sz w:val="24"/>
          <w:szCs w:val="24"/>
        </w:rPr>
        <w:t>_________</w:t>
      </w:r>
    </w:p>
    <w:p w:rsidR="00B42279" w:rsidRPr="00B42279" w:rsidRDefault="00B42279" w:rsidP="00B42279">
      <w:pPr>
        <w:tabs>
          <w:tab w:val="left" w:pos="4320"/>
        </w:tabs>
        <w:spacing w:line="240" w:lineRule="auto"/>
        <w:rPr>
          <w:rFonts w:ascii="Times New Roman" w:hAnsi="Times New Roman" w:cs="Times New Roman"/>
          <w:sz w:val="24"/>
          <w:szCs w:val="24"/>
        </w:rPr>
      </w:pPr>
      <w:r w:rsidRPr="00B42279">
        <w:rPr>
          <w:rFonts w:ascii="Times New Roman" w:hAnsi="Times New Roman" w:cs="Times New Roman"/>
          <w:sz w:val="24"/>
          <w:szCs w:val="24"/>
        </w:rPr>
        <w:tab/>
        <w:t>Maureen R. Grady</w:t>
      </w:r>
    </w:p>
    <w:p w:rsidR="00B42279" w:rsidRPr="00B42279" w:rsidRDefault="00B42279" w:rsidP="00B42279">
      <w:pPr>
        <w:tabs>
          <w:tab w:val="left" w:pos="4320"/>
        </w:tabs>
        <w:spacing w:line="240" w:lineRule="auto"/>
        <w:rPr>
          <w:rFonts w:ascii="Times New Roman" w:hAnsi="Times New Roman" w:cs="Times New Roman"/>
          <w:sz w:val="24"/>
          <w:szCs w:val="24"/>
        </w:rPr>
      </w:pPr>
      <w:r w:rsidRPr="00B42279">
        <w:rPr>
          <w:rFonts w:ascii="Times New Roman" w:hAnsi="Times New Roman" w:cs="Times New Roman"/>
          <w:sz w:val="24"/>
          <w:szCs w:val="24"/>
        </w:rPr>
        <w:tab/>
        <w:t>Assistant Consumers’ Counsel</w:t>
      </w:r>
    </w:p>
    <w:p w:rsidR="00B42279" w:rsidRPr="00B42279" w:rsidRDefault="00B42279" w:rsidP="00B42279">
      <w:pPr>
        <w:tabs>
          <w:tab w:val="left" w:pos="4320"/>
        </w:tabs>
        <w:jc w:val="center"/>
        <w:rPr>
          <w:rFonts w:ascii="Times New Roman" w:hAnsi="Times New Roman" w:cs="Times New Roman"/>
          <w:b/>
          <w:sz w:val="24"/>
          <w:szCs w:val="24"/>
          <w:u w:val="single"/>
        </w:rPr>
      </w:pPr>
    </w:p>
    <w:p w:rsidR="00B42279" w:rsidRPr="00B42279" w:rsidRDefault="00B42279" w:rsidP="00B42279">
      <w:pPr>
        <w:tabs>
          <w:tab w:val="left" w:pos="4320"/>
        </w:tabs>
        <w:spacing w:line="240" w:lineRule="auto"/>
        <w:jc w:val="center"/>
        <w:rPr>
          <w:rFonts w:ascii="Times New Roman" w:hAnsi="Times New Roman" w:cs="Times New Roman"/>
          <w:b/>
          <w:sz w:val="24"/>
          <w:szCs w:val="24"/>
          <w:u w:val="single"/>
        </w:rPr>
      </w:pPr>
      <w:r w:rsidRPr="00B42279">
        <w:rPr>
          <w:rFonts w:ascii="Times New Roman" w:hAnsi="Times New Roman" w:cs="Times New Roman"/>
          <w:b/>
          <w:sz w:val="24"/>
          <w:szCs w:val="24"/>
          <w:u w:val="single"/>
        </w:rPr>
        <w:t>PARTIES SERVED</w:t>
      </w:r>
    </w:p>
    <w:p w:rsidR="00B42279" w:rsidRPr="00B42279" w:rsidRDefault="00B42279" w:rsidP="00B42279">
      <w:pPr>
        <w:spacing w:line="240" w:lineRule="auto"/>
        <w:jc w:val="center"/>
        <w:rPr>
          <w:rFonts w:ascii="Times New Roman" w:hAnsi="Times New Roman" w:cs="Times New Roman"/>
          <w:b/>
          <w:bCs/>
          <w:sz w:val="24"/>
          <w:szCs w:val="24"/>
          <w:u w:val="single"/>
        </w:rPr>
      </w:pPr>
    </w:p>
    <w:tbl>
      <w:tblPr>
        <w:tblW w:w="0" w:type="auto"/>
        <w:tblLook w:val="00A0" w:firstRow="1" w:lastRow="0" w:firstColumn="1" w:lastColumn="0" w:noHBand="0" w:noVBand="0"/>
      </w:tblPr>
      <w:tblGrid>
        <w:gridCol w:w="4428"/>
        <w:gridCol w:w="4428"/>
      </w:tblGrid>
      <w:tr w:rsidR="00B42279" w:rsidRPr="00B42279" w:rsidTr="009872D1">
        <w:tc>
          <w:tcPr>
            <w:tcW w:w="4428" w:type="dxa"/>
          </w:tcPr>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29" w:history="1">
              <w:r w:rsidR="00B42279" w:rsidRPr="00B42279">
                <w:rPr>
                  <w:rFonts w:ascii="Times New Roman" w:hAnsi="Times New Roman" w:cs="Times New Roman"/>
                  <w:color w:val="0000FF"/>
                  <w:sz w:val="24"/>
                  <w:szCs w:val="24"/>
                  <w:u w:val="single"/>
                </w:rPr>
                <w:t>John.jones@puc.state.oh.us</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0" w:history="1">
              <w:r w:rsidR="00B42279" w:rsidRPr="00B42279">
                <w:rPr>
                  <w:rFonts w:ascii="Times New Roman" w:hAnsi="Times New Roman" w:cs="Times New Roman"/>
                  <w:color w:val="0000FF"/>
                  <w:sz w:val="24"/>
                  <w:szCs w:val="24"/>
                  <w:u w:val="single"/>
                </w:rPr>
                <w:t>Steven.beeler@puc.state.oh.us</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1" w:history="1">
              <w:r w:rsidR="00B42279" w:rsidRPr="00B42279">
                <w:rPr>
                  <w:rFonts w:ascii="Times New Roman" w:hAnsi="Times New Roman" w:cs="Times New Roman"/>
                  <w:color w:val="0000FF"/>
                  <w:sz w:val="24"/>
                  <w:szCs w:val="24"/>
                  <w:u w:val="single"/>
                </w:rPr>
                <w:t>sam@mwncmh.com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2" w:history="1">
              <w:r w:rsidR="00B42279" w:rsidRPr="00B42279">
                <w:rPr>
                  <w:rFonts w:ascii="Times New Roman" w:hAnsi="Times New Roman" w:cs="Times New Roman"/>
                  <w:color w:val="0000FF"/>
                  <w:sz w:val="24"/>
                  <w:szCs w:val="24"/>
                  <w:u w:val="single"/>
                </w:rPr>
                <w:t>fdarr@mwncmh.com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3" w:history="1">
              <w:r w:rsidR="00B42279" w:rsidRPr="00B42279">
                <w:rPr>
                  <w:rFonts w:ascii="Times New Roman" w:hAnsi="Times New Roman" w:cs="Times New Roman"/>
                  <w:color w:val="0000FF"/>
                  <w:sz w:val="24"/>
                  <w:szCs w:val="24"/>
                  <w:u w:val="single"/>
                </w:rPr>
                <w:t>joliker@mwncmh.com</w:t>
              </w:r>
            </w:hyperlink>
          </w:p>
          <w:p w:rsidR="00B42279" w:rsidRPr="00B42279" w:rsidRDefault="00CF746E" w:rsidP="00B42279">
            <w:pPr>
              <w:spacing w:line="240" w:lineRule="auto"/>
              <w:rPr>
                <w:rFonts w:ascii="Times New Roman" w:hAnsi="Times New Roman" w:cs="Times New Roman"/>
                <w:sz w:val="24"/>
                <w:szCs w:val="24"/>
              </w:rPr>
            </w:pPr>
            <w:hyperlink r:id="rId34" w:history="1">
              <w:r w:rsidR="00B42279" w:rsidRPr="00B42279">
                <w:rPr>
                  <w:rFonts w:ascii="Times New Roman" w:hAnsi="Times New Roman" w:cs="Times New Roman"/>
                  <w:color w:val="0000FF"/>
                  <w:sz w:val="24"/>
                  <w:szCs w:val="24"/>
                  <w:u w:val="single"/>
                </w:rPr>
                <w:t>mpritchard@mwncmh.com</w:t>
              </w:r>
            </w:hyperlink>
          </w:p>
          <w:p w:rsidR="00B42279" w:rsidRPr="00B42279" w:rsidRDefault="00CF746E" w:rsidP="00B42279">
            <w:pPr>
              <w:spacing w:line="240" w:lineRule="auto"/>
              <w:rPr>
                <w:rFonts w:ascii="Times New Roman" w:hAnsi="Times New Roman" w:cs="Times New Roman"/>
                <w:color w:val="0000FF"/>
                <w:sz w:val="24"/>
                <w:szCs w:val="24"/>
              </w:rPr>
            </w:pPr>
            <w:hyperlink r:id="rId35" w:history="1">
              <w:r w:rsidR="00B42279" w:rsidRPr="00B42279">
                <w:rPr>
                  <w:rFonts w:ascii="Times New Roman" w:hAnsi="Times New Roman" w:cs="Times New Roman"/>
                  <w:color w:val="0000FF"/>
                  <w:sz w:val="24"/>
                  <w:szCs w:val="24"/>
                  <w:u w:val="single"/>
                </w:rPr>
                <w:t>cmooney2@columbus.rr.com</w:t>
              </w:r>
            </w:hyperlink>
          </w:p>
          <w:p w:rsidR="00B42279" w:rsidRPr="00B42279" w:rsidRDefault="00CF746E" w:rsidP="00B42279">
            <w:pPr>
              <w:spacing w:line="240" w:lineRule="auto"/>
              <w:rPr>
                <w:rFonts w:ascii="Times New Roman" w:hAnsi="Times New Roman" w:cs="Times New Roman"/>
                <w:color w:val="0000FF"/>
                <w:sz w:val="24"/>
                <w:szCs w:val="24"/>
              </w:rPr>
            </w:pPr>
            <w:hyperlink r:id="rId36" w:history="1">
              <w:r w:rsidR="00B42279" w:rsidRPr="00B42279">
                <w:rPr>
                  <w:rFonts w:ascii="Times New Roman" w:hAnsi="Times New Roman" w:cs="Times New Roman"/>
                  <w:color w:val="0000FF"/>
                  <w:sz w:val="24"/>
                  <w:szCs w:val="24"/>
                  <w:u w:val="single"/>
                </w:rPr>
                <w:t>dhart@douglasehart.com</w:t>
              </w:r>
            </w:hyperlink>
          </w:p>
          <w:p w:rsidR="00B42279" w:rsidRPr="00B42279" w:rsidRDefault="00CF746E" w:rsidP="00B42279">
            <w:pPr>
              <w:spacing w:line="240" w:lineRule="auto"/>
              <w:rPr>
                <w:rFonts w:ascii="Times New Roman" w:hAnsi="Times New Roman" w:cs="Times New Roman"/>
                <w:sz w:val="24"/>
                <w:szCs w:val="24"/>
              </w:rPr>
            </w:pPr>
            <w:hyperlink r:id="rId37" w:history="1">
              <w:r w:rsidR="00B42279" w:rsidRPr="00B42279">
                <w:rPr>
                  <w:rFonts w:ascii="Times New Roman" w:hAnsi="Times New Roman" w:cs="Times New Roman"/>
                  <w:color w:val="0000FF"/>
                  <w:sz w:val="24"/>
                  <w:szCs w:val="24"/>
                  <w:u w:val="single"/>
                </w:rPr>
                <w:t>haydenm@firstenergycorp.com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8" w:history="1">
              <w:r w:rsidR="00B42279" w:rsidRPr="00B42279">
                <w:rPr>
                  <w:rFonts w:ascii="Times New Roman" w:hAnsi="Times New Roman" w:cs="Times New Roman"/>
                  <w:color w:val="0000FF"/>
                  <w:sz w:val="24"/>
                  <w:szCs w:val="24"/>
                  <w:u w:val="single"/>
                </w:rPr>
                <w:t>jlang@calfee.com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39" w:history="1">
              <w:r w:rsidR="00B42279" w:rsidRPr="00B42279">
                <w:rPr>
                  <w:rFonts w:ascii="Times New Roman" w:hAnsi="Times New Roman" w:cs="Times New Roman"/>
                  <w:color w:val="0000FF"/>
                  <w:sz w:val="24"/>
                  <w:szCs w:val="24"/>
                  <w:u w:val="single"/>
                </w:rPr>
                <w:t>lmcbride@calfee.com</w:t>
              </w:r>
            </w:hyperlink>
          </w:p>
          <w:p w:rsidR="00B42279" w:rsidRPr="00B42279" w:rsidRDefault="00CF746E" w:rsidP="00B42279">
            <w:pPr>
              <w:spacing w:line="240" w:lineRule="auto"/>
              <w:rPr>
                <w:rFonts w:ascii="Times New Roman" w:hAnsi="Times New Roman" w:cs="Times New Roman"/>
                <w:color w:val="0000FF"/>
                <w:sz w:val="24"/>
                <w:szCs w:val="24"/>
                <w:u w:val="single"/>
              </w:rPr>
            </w:pPr>
            <w:hyperlink r:id="rId40" w:history="1">
              <w:r w:rsidR="00B42279" w:rsidRPr="00B42279">
                <w:rPr>
                  <w:rFonts w:ascii="Times New Roman" w:hAnsi="Times New Roman" w:cs="Times New Roman"/>
                  <w:color w:val="0000FF"/>
                  <w:sz w:val="24"/>
                  <w:szCs w:val="24"/>
                  <w:u w:val="single"/>
                </w:rPr>
                <w:t>talexander@calfee.com</w:t>
              </w:r>
            </w:hyperlink>
          </w:p>
          <w:p w:rsidR="00B42279" w:rsidRPr="00B42279" w:rsidRDefault="00CF746E" w:rsidP="00B42279">
            <w:pPr>
              <w:spacing w:line="240" w:lineRule="auto"/>
              <w:rPr>
                <w:rFonts w:ascii="Times New Roman" w:hAnsi="Times New Roman" w:cs="Times New Roman"/>
                <w:color w:val="0000FF"/>
                <w:sz w:val="24"/>
                <w:szCs w:val="24"/>
                <w:u w:val="single"/>
              </w:rPr>
            </w:pPr>
            <w:hyperlink r:id="rId41" w:history="1">
              <w:r w:rsidR="00B42279" w:rsidRPr="00B42279">
                <w:rPr>
                  <w:rFonts w:ascii="Times New Roman" w:hAnsi="Times New Roman" w:cs="Times New Roman"/>
                  <w:color w:val="0000FF"/>
                  <w:sz w:val="24"/>
                  <w:szCs w:val="24"/>
                  <w:u w:val="single"/>
                </w:rPr>
                <w:t>bojko@carpenterlipps.com</w:t>
              </w:r>
            </w:hyperlink>
          </w:p>
          <w:p w:rsidR="00B42279" w:rsidRPr="00B42279" w:rsidRDefault="00CF746E" w:rsidP="00B42279">
            <w:pPr>
              <w:spacing w:line="240" w:lineRule="auto"/>
              <w:rPr>
                <w:rFonts w:ascii="Times New Roman" w:hAnsi="Times New Roman" w:cs="Times New Roman"/>
                <w:color w:val="0000FF"/>
                <w:sz w:val="24"/>
                <w:szCs w:val="24"/>
                <w:u w:val="single"/>
              </w:rPr>
            </w:pPr>
            <w:hyperlink r:id="rId42" w:history="1">
              <w:r w:rsidR="00B42279" w:rsidRPr="00B42279">
                <w:rPr>
                  <w:rFonts w:ascii="Times New Roman" w:hAnsi="Times New Roman" w:cs="Times New Roman"/>
                  <w:color w:val="0000FF"/>
                  <w:sz w:val="24"/>
                  <w:szCs w:val="24"/>
                  <w:u w:val="single"/>
                </w:rPr>
                <w:t>mohler@carpenterlipps.com</w:t>
              </w:r>
            </w:hyperlink>
          </w:p>
          <w:p w:rsidR="00B42279" w:rsidRPr="00B42279" w:rsidRDefault="00CF746E" w:rsidP="00B42279">
            <w:pPr>
              <w:spacing w:line="240" w:lineRule="auto"/>
              <w:rPr>
                <w:rFonts w:ascii="Times New Roman" w:hAnsi="Times New Roman" w:cs="Times New Roman"/>
                <w:sz w:val="24"/>
                <w:szCs w:val="24"/>
              </w:rPr>
            </w:pPr>
            <w:hyperlink r:id="rId43" w:history="1">
              <w:r w:rsidR="00B42279" w:rsidRPr="00B42279">
                <w:rPr>
                  <w:rFonts w:ascii="Times New Roman" w:hAnsi="Times New Roman" w:cs="Times New Roman"/>
                  <w:color w:val="0000FF"/>
                  <w:sz w:val="24"/>
                  <w:szCs w:val="24"/>
                  <w:u w:val="single"/>
                </w:rPr>
                <w:t>joseph.strines@DPLINC.com</w:t>
              </w:r>
            </w:hyperlink>
          </w:p>
          <w:p w:rsidR="00B42279" w:rsidRPr="00B42279" w:rsidRDefault="00CF746E" w:rsidP="00B42279">
            <w:pPr>
              <w:spacing w:line="240" w:lineRule="auto"/>
              <w:rPr>
                <w:rFonts w:ascii="Times New Roman" w:hAnsi="Times New Roman" w:cs="Times New Roman"/>
                <w:sz w:val="24"/>
                <w:szCs w:val="24"/>
              </w:rPr>
            </w:pPr>
            <w:hyperlink r:id="rId44" w:history="1">
              <w:r w:rsidR="00B42279" w:rsidRPr="00B42279">
                <w:rPr>
                  <w:rFonts w:ascii="Times New Roman" w:hAnsi="Times New Roman" w:cs="Times New Roman"/>
                  <w:color w:val="0000FF"/>
                  <w:sz w:val="24"/>
                  <w:szCs w:val="24"/>
                  <w:u w:val="single"/>
                </w:rPr>
                <w:t>judi.sobecki@DPLINC.com</w:t>
              </w:r>
            </w:hyperlink>
          </w:p>
          <w:p w:rsidR="00B42279" w:rsidRPr="00B42279" w:rsidRDefault="00CF746E" w:rsidP="00B42279">
            <w:pPr>
              <w:spacing w:line="240" w:lineRule="auto"/>
              <w:rPr>
                <w:rFonts w:ascii="Times New Roman" w:hAnsi="Times New Roman" w:cs="Times New Roman"/>
                <w:sz w:val="24"/>
                <w:szCs w:val="24"/>
              </w:rPr>
            </w:pPr>
            <w:hyperlink r:id="rId45" w:history="1">
              <w:r w:rsidR="00B42279" w:rsidRPr="00B42279">
                <w:rPr>
                  <w:rFonts w:ascii="Times New Roman" w:hAnsi="Times New Roman" w:cs="Times New Roman"/>
                  <w:color w:val="0000FF"/>
                  <w:sz w:val="24"/>
                  <w:szCs w:val="24"/>
                  <w:u w:val="single"/>
                </w:rPr>
                <w:t>randall.griffin@DPLINC.com</w:t>
              </w:r>
            </w:hyperlink>
          </w:p>
          <w:p w:rsidR="00B42279" w:rsidRPr="00B42279" w:rsidRDefault="00CF746E" w:rsidP="00B42279">
            <w:pPr>
              <w:spacing w:line="240" w:lineRule="auto"/>
              <w:rPr>
                <w:rFonts w:ascii="Times New Roman" w:hAnsi="Times New Roman" w:cs="Times New Roman"/>
                <w:sz w:val="24"/>
                <w:szCs w:val="24"/>
              </w:rPr>
            </w:pPr>
            <w:hyperlink r:id="rId46" w:history="1">
              <w:r w:rsidR="00B42279" w:rsidRPr="00B42279">
                <w:rPr>
                  <w:rFonts w:ascii="Times New Roman" w:hAnsi="Times New Roman" w:cs="Times New Roman"/>
                  <w:color w:val="0000FF"/>
                  <w:sz w:val="24"/>
                  <w:szCs w:val="24"/>
                  <w:u w:val="single"/>
                </w:rPr>
                <w:t>Devin.parram@puc.state.oh.us</w:t>
              </w:r>
            </w:hyperlink>
          </w:p>
          <w:p w:rsidR="00B42279" w:rsidRPr="00B42279" w:rsidRDefault="00CF746E" w:rsidP="00B42279">
            <w:pPr>
              <w:spacing w:line="240" w:lineRule="auto"/>
              <w:rPr>
                <w:rFonts w:ascii="Times New Roman" w:hAnsi="Times New Roman" w:cs="Times New Roman"/>
                <w:sz w:val="24"/>
                <w:szCs w:val="24"/>
              </w:rPr>
            </w:pPr>
            <w:hyperlink r:id="rId47" w:history="1">
              <w:r w:rsidR="00B42279" w:rsidRPr="00B42279">
                <w:rPr>
                  <w:rFonts w:ascii="Times New Roman" w:hAnsi="Times New Roman" w:cs="Times New Roman"/>
                  <w:color w:val="0000FF"/>
                  <w:sz w:val="24"/>
                  <w:szCs w:val="24"/>
                  <w:u w:val="single"/>
                </w:rPr>
                <w:t>dakutik@jonesday.com</w:t>
              </w:r>
            </w:hyperlink>
          </w:p>
          <w:p w:rsidR="00B42279" w:rsidRPr="00B42279" w:rsidRDefault="00CF746E" w:rsidP="00B42279">
            <w:pPr>
              <w:spacing w:line="240" w:lineRule="auto"/>
              <w:rPr>
                <w:rFonts w:ascii="Times New Roman" w:hAnsi="Times New Roman" w:cs="Times New Roman"/>
                <w:sz w:val="24"/>
                <w:szCs w:val="24"/>
              </w:rPr>
            </w:pPr>
            <w:hyperlink r:id="rId48" w:history="1">
              <w:r w:rsidR="00B42279" w:rsidRPr="00B42279">
                <w:rPr>
                  <w:rFonts w:ascii="Times New Roman" w:hAnsi="Times New Roman" w:cs="Times New Roman"/>
                  <w:color w:val="0000FF"/>
                  <w:sz w:val="24"/>
                  <w:szCs w:val="24"/>
                  <w:u w:val="single"/>
                </w:rPr>
                <w:t>aehaedt@jonesday.com</w:t>
              </w:r>
            </w:hyperlink>
          </w:p>
          <w:p w:rsidR="00B42279" w:rsidRPr="00B42279" w:rsidRDefault="00B42279" w:rsidP="00B42279">
            <w:pPr>
              <w:spacing w:line="240" w:lineRule="auto"/>
              <w:rPr>
                <w:rFonts w:ascii="Times New Roman" w:hAnsi="Times New Roman" w:cs="Times New Roman"/>
                <w:color w:val="0000FF"/>
                <w:sz w:val="24"/>
                <w:szCs w:val="24"/>
                <w:u w:val="single"/>
              </w:rPr>
            </w:pPr>
            <w:r w:rsidRPr="00B42279">
              <w:rPr>
                <w:rFonts w:ascii="Times New Roman" w:hAnsi="Times New Roman" w:cs="Times New Roman"/>
                <w:sz w:val="24"/>
                <w:szCs w:val="24"/>
              </w:rPr>
              <w:fldChar w:fldCharType="begin"/>
            </w:r>
            <w:r w:rsidR="00D23328">
              <w:rPr>
                <w:rFonts w:ascii="Times New Roman" w:hAnsi="Times New Roman" w:cs="Times New Roman"/>
                <w:sz w:val="24"/>
                <w:szCs w:val="24"/>
              </w:rPr>
              <w:instrText>HYPERLINK "mailto:jbentine@amppartners.org"</w:instrText>
            </w:r>
            <w:r w:rsidRPr="00B42279">
              <w:rPr>
                <w:rFonts w:ascii="Times New Roman" w:hAnsi="Times New Roman" w:cs="Times New Roman"/>
                <w:sz w:val="24"/>
                <w:szCs w:val="24"/>
              </w:rPr>
              <w:fldChar w:fldCharType="separate"/>
            </w:r>
            <w:r w:rsidRPr="00B42279">
              <w:rPr>
                <w:rFonts w:ascii="Times New Roman" w:hAnsi="Times New Roman" w:cs="Times New Roman"/>
                <w:color w:val="0000FF"/>
                <w:sz w:val="24"/>
                <w:szCs w:val="24"/>
                <w:u w:val="single"/>
              </w:rPr>
              <w:t>jbentine@amppartners.org</w:t>
            </w:r>
          </w:p>
          <w:p w:rsidR="00B42279" w:rsidRPr="00B42279" w:rsidRDefault="00B42279" w:rsidP="00B42279">
            <w:pPr>
              <w:spacing w:line="240" w:lineRule="auto"/>
              <w:rPr>
                <w:rFonts w:ascii="Times New Roman" w:hAnsi="Times New Roman" w:cs="Times New Roman"/>
                <w:sz w:val="24"/>
                <w:szCs w:val="24"/>
              </w:rPr>
            </w:pPr>
            <w:r w:rsidRPr="00B42279">
              <w:rPr>
                <w:rFonts w:ascii="Times New Roman" w:hAnsi="Times New Roman" w:cs="Times New Roman"/>
                <w:sz w:val="24"/>
                <w:szCs w:val="24"/>
              </w:rPr>
              <w:fldChar w:fldCharType="end"/>
            </w:r>
            <w:hyperlink r:id="rId49" w:history="1">
              <w:r w:rsidRPr="00B42279">
                <w:rPr>
                  <w:rFonts w:ascii="Times New Roman" w:hAnsi="Times New Roman" w:cs="Times New Roman"/>
                  <w:color w:val="0000FF"/>
                  <w:sz w:val="24"/>
                  <w:szCs w:val="24"/>
                  <w:u w:val="single"/>
                </w:rPr>
                <w:t>jouett.brenzel@cinbell.com</w:t>
              </w:r>
            </w:hyperlink>
          </w:p>
          <w:p w:rsidR="00B42279" w:rsidRPr="00B42279" w:rsidRDefault="00CF746E" w:rsidP="00B42279">
            <w:pPr>
              <w:spacing w:line="240" w:lineRule="auto"/>
              <w:rPr>
                <w:rFonts w:ascii="Times New Roman" w:hAnsi="Times New Roman" w:cs="Times New Roman"/>
                <w:sz w:val="24"/>
                <w:szCs w:val="24"/>
              </w:rPr>
            </w:pPr>
            <w:hyperlink r:id="rId50" w:history="1">
              <w:r w:rsidR="00B42279" w:rsidRPr="00B42279">
                <w:rPr>
                  <w:rFonts w:ascii="Times New Roman" w:hAnsi="Times New Roman" w:cs="Times New Roman"/>
                  <w:color w:val="0000FF"/>
                  <w:sz w:val="24"/>
                  <w:szCs w:val="24"/>
                  <w:u w:val="single"/>
                </w:rPr>
                <w:t>mjsatterwhite@aep.com</w:t>
              </w:r>
            </w:hyperlink>
          </w:p>
          <w:p w:rsidR="00B42279" w:rsidRPr="00B42279" w:rsidRDefault="00CF746E" w:rsidP="00B42279">
            <w:pPr>
              <w:spacing w:line="240" w:lineRule="auto"/>
              <w:rPr>
                <w:rFonts w:ascii="Times New Roman" w:hAnsi="Times New Roman" w:cs="Times New Roman"/>
                <w:sz w:val="24"/>
                <w:szCs w:val="24"/>
              </w:rPr>
            </w:pPr>
            <w:hyperlink r:id="rId51" w:history="1">
              <w:r w:rsidR="00B42279" w:rsidRPr="00B42279">
                <w:rPr>
                  <w:rFonts w:ascii="Times New Roman" w:hAnsi="Times New Roman" w:cs="Times New Roman"/>
                  <w:color w:val="0000FF"/>
                  <w:sz w:val="24"/>
                  <w:szCs w:val="24"/>
                  <w:u w:val="single"/>
                </w:rPr>
                <w:t>kosterkamp@ralaw.com</w:t>
              </w:r>
            </w:hyperlink>
          </w:p>
          <w:p w:rsidR="00B42279" w:rsidRPr="00B42279" w:rsidRDefault="00CF746E" w:rsidP="00B42279">
            <w:pPr>
              <w:spacing w:line="240" w:lineRule="auto"/>
              <w:rPr>
                <w:rFonts w:ascii="Times New Roman" w:hAnsi="Times New Roman" w:cs="Times New Roman"/>
                <w:sz w:val="24"/>
                <w:szCs w:val="24"/>
              </w:rPr>
            </w:pPr>
            <w:hyperlink r:id="rId52" w:history="1">
              <w:r w:rsidR="00B42279" w:rsidRPr="00B42279">
                <w:rPr>
                  <w:rFonts w:ascii="Times New Roman" w:hAnsi="Times New Roman" w:cs="Times New Roman"/>
                  <w:color w:val="0000FF"/>
                  <w:sz w:val="24"/>
                  <w:szCs w:val="24"/>
                  <w:u w:val="single"/>
                </w:rPr>
                <w:t>asonderman@keglerbrown.com</w:t>
              </w:r>
            </w:hyperlink>
          </w:p>
          <w:p w:rsidR="00B42279" w:rsidRPr="00B42279" w:rsidRDefault="00CF746E" w:rsidP="00B42279">
            <w:pPr>
              <w:spacing w:line="240" w:lineRule="auto"/>
              <w:rPr>
                <w:rFonts w:ascii="Times New Roman" w:hAnsi="Times New Roman" w:cs="Times New Roman"/>
                <w:sz w:val="24"/>
                <w:szCs w:val="24"/>
              </w:rPr>
            </w:pPr>
            <w:hyperlink r:id="rId53" w:history="1">
              <w:r w:rsidR="00B42279" w:rsidRPr="00B42279">
                <w:rPr>
                  <w:rFonts w:ascii="Times New Roman" w:hAnsi="Times New Roman" w:cs="Times New Roman"/>
                  <w:color w:val="0000FF"/>
                  <w:sz w:val="24"/>
                  <w:szCs w:val="24"/>
                  <w:u w:val="single"/>
                </w:rPr>
                <w:t>mkimbrough@keglerbrown.com</w:t>
              </w:r>
            </w:hyperlink>
          </w:p>
          <w:p w:rsidR="00B42279" w:rsidRPr="00B42279" w:rsidRDefault="00CF746E" w:rsidP="00B42279">
            <w:pPr>
              <w:spacing w:line="240" w:lineRule="auto"/>
              <w:rPr>
                <w:rFonts w:ascii="Times New Roman" w:hAnsi="Times New Roman" w:cs="Times New Roman"/>
                <w:sz w:val="24"/>
                <w:szCs w:val="24"/>
              </w:rPr>
            </w:pPr>
            <w:hyperlink r:id="rId54" w:history="1">
              <w:r w:rsidR="00B42279" w:rsidRPr="00B42279">
                <w:rPr>
                  <w:rFonts w:ascii="Times New Roman" w:hAnsi="Times New Roman" w:cs="Times New Roman"/>
                  <w:color w:val="0000FF"/>
                  <w:sz w:val="24"/>
                  <w:szCs w:val="24"/>
                  <w:u w:val="single"/>
                </w:rPr>
                <w:t>wmassey@cov.com</w:t>
              </w:r>
            </w:hyperlink>
          </w:p>
          <w:p w:rsidR="00B42279" w:rsidRPr="00B42279" w:rsidRDefault="00CF746E" w:rsidP="00B42279">
            <w:pPr>
              <w:spacing w:line="240" w:lineRule="auto"/>
              <w:rPr>
                <w:rFonts w:ascii="Times New Roman" w:hAnsi="Times New Roman" w:cs="Times New Roman"/>
                <w:sz w:val="24"/>
                <w:szCs w:val="24"/>
              </w:rPr>
            </w:pPr>
            <w:hyperlink r:id="rId55" w:history="1">
              <w:r w:rsidR="00B42279" w:rsidRPr="00B42279">
                <w:rPr>
                  <w:rFonts w:ascii="Times New Roman" w:hAnsi="Times New Roman" w:cs="Times New Roman"/>
                  <w:color w:val="0000FF"/>
                  <w:sz w:val="24"/>
                  <w:szCs w:val="24"/>
                  <w:u w:val="single"/>
                </w:rPr>
                <w:t>asonderman@keglerbrown.com</w:t>
              </w:r>
            </w:hyperlink>
          </w:p>
          <w:p w:rsidR="00B42279" w:rsidRPr="00B42279" w:rsidRDefault="00CF746E" w:rsidP="00B42279">
            <w:pPr>
              <w:spacing w:line="240" w:lineRule="auto"/>
              <w:rPr>
                <w:rFonts w:ascii="Times New Roman" w:hAnsi="Times New Roman" w:cs="Times New Roman"/>
                <w:b/>
                <w:bCs/>
                <w:sz w:val="24"/>
                <w:szCs w:val="24"/>
                <w:u w:val="single"/>
              </w:rPr>
            </w:pPr>
            <w:hyperlink r:id="rId56" w:history="1">
              <w:r w:rsidR="00B42279" w:rsidRPr="00B42279">
                <w:rPr>
                  <w:rFonts w:ascii="Times New Roman" w:hAnsi="Times New Roman" w:cs="Times New Roman"/>
                  <w:color w:val="0000FF"/>
                  <w:sz w:val="24"/>
                  <w:szCs w:val="24"/>
                  <w:u w:val="single"/>
                </w:rPr>
                <w:t>mkimbrough@keglerbrown.com</w:t>
              </w:r>
            </w:hyperlink>
          </w:p>
        </w:tc>
        <w:tc>
          <w:tcPr>
            <w:tcW w:w="4428" w:type="dxa"/>
          </w:tcPr>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57" w:history="1">
              <w:r w:rsidR="00B42279" w:rsidRPr="00B42279">
                <w:rPr>
                  <w:rFonts w:ascii="Times New Roman" w:hAnsi="Times New Roman" w:cs="Times New Roman"/>
                  <w:color w:val="0000FF"/>
                  <w:sz w:val="24"/>
                  <w:szCs w:val="24"/>
                  <w:u w:val="single"/>
                </w:rPr>
                <w:t>Amy.spiller@duke-energy.com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58" w:history="1">
              <w:r w:rsidR="00B42279" w:rsidRPr="00B42279">
                <w:rPr>
                  <w:rFonts w:ascii="Times New Roman" w:hAnsi="Times New Roman" w:cs="Times New Roman"/>
                  <w:color w:val="0000FF"/>
                  <w:sz w:val="24"/>
                  <w:szCs w:val="24"/>
                  <w:u w:val="single"/>
                </w:rPr>
                <w:t>Jeanne.kingery@duke-energy.com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59" w:history="1">
              <w:r w:rsidR="00B42279" w:rsidRPr="00B42279">
                <w:rPr>
                  <w:rFonts w:ascii="Times New Roman" w:hAnsi="Times New Roman" w:cs="Times New Roman"/>
                  <w:color w:val="0000FF"/>
                  <w:sz w:val="24"/>
                  <w:szCs w:val="24"/>
                  <w:u w:val="single"/>
                </w:rPr>
                <w:t>Elizabeth.watts@duke-energy.com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60" w:history="1">
              <w:r w:rsidR="00B42279" w:rsidRPr="00B42279">
                <w:rPr>
                  <w:rFonts w:ascii="Times New Roman" w:hAnsi="Times New Roman" w:cs="Times New Roman"/>
                  <w:color w:val="0000FF"/>
                  <w:sz w:val="24"/>
                  <w:szCs w:val="24"/>
                  <w:u w:val="single"/>
                </w:rPr>
                <w:t>Rocco.DAscenzo@duke-energy.com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61" w:history="1">
              <w:r w:rsidR="00B42279" w:rsidRPr="00B42279">
                <w:rPr>
                  <w:rFonts w:ascii="Times New Roman" w:hAnsi="Times New Roman" w:cs="Times New Roman"/>
                  <w:color w:val="0000FF"/>
                  <w:sz w:val="24"/>
                  <w:szCs w:val="24"/>
                  <w:u w:val="single"/>
                </w:rPr>
                <w:t>dboehm@BKLlawfirm.com</w:t>
              </w:r>
            </w:hyperlink>
          </w:p>
          <w:p w:rsidR="00B42279" w:rsidRDefault="00CF746E" w:rsidP="00B42279">
            <w:pPr>
              <w:autoSpaceDE w:val="0"/>
              <w:autoSpaceDN w:val="0"/>
              <w:adjustRightInd w:val="0"/>
              <w:spacing w:line="240" w:lineRule="auto"/>
              <w:rPr>
                <w:rFonts w:ascii="Times New Roman" w:hAnsi="Times New Roman" w:cs="Times New Roman"/>
                <w:color w:val="0000FF"/>
                <w:sz w:val="24"/>
                <w:szCs w:val="24"/>
                <w:u w:val="single"/>
              </w:rPr>
            </w:pPr>
            <w:hyperlink r:id="rId62" w:history="1">
              <w:r w:rsidR="00B42279" w:rsidRPr="00B42279">
                <w:rPr>
                  <w:rFonts w:ascii="Times New Roman" w:hAnsi="Times New Roman" w:cs="Times New Roman"/>
                  <w:color w:val="0000FF"/>
                  <w:sz w:val="24"/>
                  <w:szCs w:val="24"/>
                  <w:u w:val="single"/>
                </w:rPr>
                <w:t>mkurtz@BKLlawfirm.com</w:t>
              </w:r>
            </w:hyperlink>
          </w:p>
          <w:p w:rsidR="00F2393A" w:rsidRDefault="00F2393A" w:rsidP="00B42279">
            <w:pPr>
              <w:autoSpaceDE w:val="0"/>
              <w:autoSpaceDN w:val="0"/>
              <w:adjustRightInd w:val="0"/>
              <w:spacing w:line="240" w:lineRule="auto"/>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jkylercohn@BKLlawfirm.com</w:t>
            </w:r>
          </w:p>
          <w:p w:rsidR="00B42279" w:rsidRPr="00B42279" w:rsidRDefault="00CF746E" w:rsidP="00B42279">
            <w:pPr>
              <w:spacing w:line="240" w:lineRule="auto"/>
              <w:rPr>
                <w:rFonts w:ascii="Times New Roman" w:hAnsi="Times New Roman" w:cs="Times New Roman"/>
                <w:sz w:val="24"/>
                <w:szCs w:val="24"/>
              </w:rPr>
            </w:pPr>
            <w:hyperlink r:id="rId63" w:history="1">
              <w:r w:rsidR="00B42279" w:rsidRPr="00B42279">
                <w:rPr>
                  <w:rFonts w:ascii="Times New Roman" w:hAnsi="Times New Roman" w:cs="Times New Roman"/>
                  <w:color w:val="0000FF"/>
                  <w:sz w:val="24"/>
                  <w:szCs w:val="24"/>
                  <w:u w:val="single"/>
                </w:rPr>
                <w:t>tobrien@bricker.com</w:t>
              </w:r>
            </w:hyperlink>
          </w:p>
          <w:p w:rsidR="00B42279" w:rsidRPr="00B42279" w:rsidRDefault="00CF746E" w:rsidP="00B42279">
            <w:pPr>
              <w:autoSpaceDE w:val="0"/>
              <w:autoSpaceDN w:val="0"/>
              <w:adjustRightInd w:val="0"/>
              <w:spacing w:line="240" w:lineRule="auto"/>
              <w:rPr>
                <w:rFonts w:ascii="Times New Roman" w:hAnsi="Times New Roman" w:cs="Times New Roman"/>
                <w:color w:val="0000FF"/>
                <w:sz w:val="24"/>
                <w:szCs w:val="24"/>
              </w:rPr>
            </w:pPr>
            <w:hyperlink r:id="rId64" w:history="1">
              <w:r w:rsidR="00B42279" w:rsidRPr="00B42279">
                <w:rPr>
                  <w:rFonts w:ascii="Times New Roman" w:hAnsi="Times New Roman" w:cs="Times New Roman"/>
                  <w:color w:val="0000FF"/>
                  <w:sz w:val="24"/>
                  <w:szCs w:val="24"/>
                  <w:u w:val="single"/>
                </w:rPr>
                <w:t>tsiwo@bricker.com</w:t>
              </w:r>
            </w:hyperlink>
          </w:p>
          <w:p w:rsidR="00B42279" w:rsidRPr="00B42279" w:rsidRDefault="00CF746E" w:rsidP="00B42279">
            <w:pPr>
              <w:spacing w:line="240" w:lineRule="auto"/>
              <w:rPr>
                <w:rFonts w:ascii="Times New Roman" w:hAnsi="Times New Roman" w:cs="Times New Roman"/>
                <w:color w:val="0000FF"/>
                <w:sz w:val="24"/>
                <w:szCs w:val="24"/>
              </w:rPr>
            </w:pPr>
            <w:hyperlink r:id="rId65" w:history="1">
              <w:r w:rsidR="00B42279" w:rsidRPr="00B42279">
                <w:rPr>
                  <w:rFonts w:ascii="Times New Roman" w:hAnsi="Times New Roman" w:cs="Times New Roman"/>
                  <w:color w:val="0000FF"/>
                  <w:sz w:val="24"/>
                  <w:szCs w:val="24"/>
                  <w:u w:val="single"/>
                </w:rPr>
                <w:t>mwarnock@bricker.com</w:t>
              </w:r>
            </w:hyperlink>
          </w:p>
          <w:p w:rsidR="00B42279" w:rsidRPr="00B42279" w:rsidRDefault="00CF746E" w:rsidP="00B42279">
            <w:pPr>
              <w:autoSpaceDE w:val="0"/>
              <w:autoSpaceDN w:val="0"/>
              <w:adjustRightInd w:val="0"/>
              <w:spacing w:line="240" w:lineRule="auto"/>
              <w:rPr>
                <w:rFonts w:ascii="Times New Roman" w:hAnsi="Times New Roman" w:cs="Times New Roman"/>
                <w:sz w:val="24"/>
                <w:szCs w:val="24"/>
              </w:rPr>
            </w:pPr>
            <w:hyperlink r:id="rId66" w:history="1">
              <w:r w:rsidR="00B42279" w:rsidRPr="00B42279">
                <w:rPr>
                  <w:rFonts w:ascii="Times New Roman" w:hAnsi="Times New Roman" w:cs="Times New Roman"/>
                  <w:color w:val="0000FF"/>
                  <w:sz w:val="24"/>
                  <w:szCs w:val="24"/>
                  <w:u w:val="single"/>
                </w:rPr>
                <w:t>jejadwin@aep.com</w:t>
              </w:r>
            </w:hyperlink>
          </w:p>
          <w:p w:rsidR="00B42279" w:rsidRPr="00B42279" w:rsidRDefault="00CF746E" w:rsidP="00B42279">
            <w:pPr>
              <w:spacing w:line="240" w:lineRule="auto"/>
              <w:rPr>
                <w:rFonts w:ascii="Times New Roman" w:hAnsi="Times New Roman" w:cs="Times New Roman"/>
                <w:sz w:val="24"/>
                <w:szCs w:val="24"/>
              </w:rPr>
            </w:pPr>
            <w:hyperlink r:id="rId67" w:history="1">
              <w:r w:rsidR="00B42279" w:rsidRPr="00B42279">
                <w:rPr>
                  <w:rFonts w:ascii="Times New Roman" w:hAnsi="Times New Roman" w:cs="Times New Roman"/>
                  <w:color w:val="0000FF"/>
                  <w:sz w:val="24"/>
                  <w:szCs w:val="24"/>
                  <w:u w:val="single"/>
                </w:rPr>
                <w:t>yalami@aep.com</w:t>
              </w:r>
            </w:hyperlink>
          </w:p>
          <w:p w:rsidR="00B42279" w:rsidRPr="00B42279" w:rsidRDefault="00CF746E" w:rsidP="00B42279">
            <w:pPr>
              <w:spacing w:line="240" w:lineRule="auto"/>
              <w:rPr>
                <w:rFonts w:ascii="Times New Roman" w:hAnsi="Times New Roman" w:cs="Times New Roman"/>
                <w:color w:val="0000FF"/>
                <w:sz w:val="24"/>
                <w:szCs w:val="24"/>
                <w:u w:val="single"/>
              </w:rPr>
            </w:pPr>
            <w:hyperlink r:id="rId68" w:history="1">
              <w:r w:rsidR="00B42279" w:rsidRPr="00B42279">
                <w:rPr>
                  <w:rFonts w:ascii="Times New Roman" w:hAnsi="Times New Roman" w:cs="Times New Roman"/>
                  <w:color w:val="0000FF"/>
                  <w:sz w:val="24"/>
                  <w:szCs w:val="24"/>
                  <w:u w:val="single"/>
                </w:rPr>
                <w:t>mhpetricoff@vorys.com</w:t>
              </w:r>
            </w:hyperlink>
          </w:p>
          <w:p w:rsidR="00B42279" w:rsidRPr="00B42279" w:rsidRDefault="00CF746E" w:rsidP="00B42279">
            <w:pPr>
              <w:spacing w:line="240" w:lineRule="auto"/>
              <w:rPr>
                <w:rFonts w:ascii="Times New Roman" w:hAnsi="Times New Roman" w:cs="Times New Roman"/>
                <w:sz w:val="24"/>
                <w:szCs w:val="24"/>
              </w:rPr>
            </w:pPr>
            <w:hyperlink r:id="rId69" w:history="1">
              <w:r w:rsidR="00B42279" w:rsidRPr="00B42279">
                <w:rPr>
                  <w:rFonts w:ascii="Times New Roman" w:hAnsi="Times New Roman" w:cs="Times New Roman"/>
                  <w:color w:val="0000FF"/>
                  <w:sz w:val="24"/>
                  <w:szCs w:val="24"/>
                  <w:u w:val="single"/>
                </w:rPr>
                <w:t>smhoward@vorys.com</w:t>
              </w:r>
            </w:hyperlink>
          </w:p>
          <w:p w:rsidR="00B42279" w:rsidRPr="00B42279" w:rsidRDefault="00CF746E" w:rsidP="00B42279">
            <w:pPr>
              <w:spacing w:line="240" w:lineRule="auto"/>
              <w:rPr>
                <w:rFonts w:ascii="Times New Roman" w:hAnsi="Times New Roman" w:cs="Times New Roman"/>
                <w:sz w:val="24"/>
                <w:szCs w:val="24"/>
              </w:rPr>
            </w:pPr>
            <w:hyperlink r:id="rId70" w:history="1">
              <w:r w:rsidR="00B42279" w:rsidRPr="00B42279">
                <w:rPr>
                  <w:rFonts w:ascii="Times New Roman" w:hAnsi="Times New Roman" w:cs="Times New Roman"/>
                  <w:color w:val="0000FF"/>
                  <w:sz w:val="24"/>
                  <w:szCs w:val="24"/>
                  <w:u w:val="single"/>
                </w:rPr>
                <w:t>stnourse@aep.com</w:t>
              </w:r>
            </w:hyperlink>
          </w:p>
          <w:p w:rsidR="00B42279" w:rsidRPr="00B42279" w:rsidRDefault="00CF746E" w:rsidP="00B42279">
            <w:pPr>
              <w:spacing w:line="240" w:lineRule="auto"/>
              <w:rPr>
                <w:rFonts w:ascii="Times New Roman" w:hAnsi="Times New Roman" w:cs="Times New Roman"/>
                <w:color w:val="0000FF"/>
                <w:sz w:val="24"/>
                <w:szCs w:val="24"/>
                <w:u w:val="single"/>
              </w:rPr>
            </w:pPr>
            <w:hyperlink r:id="rId71" w:history="1">
              <w:r w:rsidR="00B42279" w:rsidRPr="00B42279">
                <w:rPr>
                  <w:rFonts w:ascii="Times New Roman" w:hAnsi="Times New Roman" w:cs="Times New Roman"/>
                  <w:color w:val="0000FF"/>
                  <w:sz w:val="24"/>
                  <w:szCs w:val="24"/>
                  <w:u w:val="single"/>
                </w:rPr>
                <w:t>Rdc_law@swbell.net</w:t>
              </w:r>
            </w:hyperlink>
          </w:p>
          <w:p w:rsidR="00B42279" w:rsidRPr="00B42279" w:rsidRDefault="00CF746E" w:rsidP="00B42279">
            <w:pPr>
              <w:widowControl w:val="0"/>
              <w:autoSpaceDE w:val="0"/>
              <w:autoSpaceDN w:val="0"/>
              <w:adjustRightInd w:val="0"/>
              <w:spacing w:line="240" w:lineRule="auto"/>
              <w:rPr>
                <w:rFonts w:ascii="Times New Roman" w:hAnsi="Times New Roman" w:cs="Times New Roman"/>
                <w:sz w:val="24"/>
                <w:szCs w:val="24"/>
              </w:rPr>
            </w:pPr>
            <w:hyperlink r:id="rId72" w:history="1">
              <w:r w:rsidR="00B42279" w:rsidRPr="00B42279">
                <w:rPr>
                  <w:rFonts w:ascii="Times New Roman" w:hAnsi="Times New Roman" w:cs="Times New Roman"/>
                  <w:color w:val="0000FF"/>
                  <w:sz w:val="24"/>
                  <w:szCs w:val="24"/>
                  <w:u w:val="single"/>
                </w:rPr>
                <w:t>dakutik@jonesday.com</w:t>
              </w:r>
            </w:hyperlink>
          </w:p>
          <w:p w:rsidR="00B42279" w:rsidRPr="00B42279" w:rsidRDefault="00CF746E" w:rsidP="00B42279">
            <w:pPr>
              <w:widowControl w:val="0"/>
              <w:spacing w:line="240" w:lineRule="auto"/>
              <w:rPr>
                <w:rFonts w:ascii="Times New Roman" w:hAnsi="Times New Roman" w:cs="Times New Roman"/>
                <w:sz w:val="24"/>
                <w:szCs w:val="24"/>
              </w:rPr>
            </w:pPr>
            <w:hyperlink r:id="rId73" w:history="1">
              <w:r w:rsidR="00B42279" w:rsidRPr="00B42279">
                <w:rPr>
                  <w:rFonts w:ascii="Times New Roman" w:hAnsi="Times New Roman" w:cs="Times New Roman"/>
                  <w:color w:val="0000FF"/>
                  <w:sz w:val="24"/>
                  <w:szCs w:val="24"/>
                  <w:u w:val="single"/>
                </w:rPr>
                <w:t>lfloyd@jonesday.com</w:t>
              </w:r>
            </w:hyperlink>
          </w:p>
          <w:p w:rsidR="00B42279" w:rsidRPr="00B42279" w:rsidRDefault="00B42279" w:rsidP="00B42279">
            <w:pPr>
              <w:spacing w:line="240" w:lineRule="auto"/>
              <w:rPr>
                <w:rFonts w:ascii="Times New Roman" w:hAnsi="Times New Roman" w:cs="Times New Roman"/>
                <w:color w:val="0000FF"/>
                <w:sz w:val="24"/>
                <w:szCs w:val="24"/>
              </w:rPr>
            </w:pPr>
          </w:p>
          <w:p w:rsidR="00B42279" w:rsidRPr="00B42279" w:rsidRDefault="00CF746E" w:rsidP="00B42279">
            <w:pPr>
              <w:spacing w:line="240" w:lineRule="auto"/>
              <w:rPr>
                <w:rFonts w:ascii="Times New Roman" w:hAnsi="Times New Roman" w:cs="Times New Roman"/>
                <w:sz w:val="24"/>
                <w:szCs w:val="24"/>
              </w:rPr>
            </w:pPr>
            <w:hyperlink r:id="rId74" w:history="1">
              <w:r w:rsidR="00B42279" w:rsidRPr="00B42279">
                <w:rPr>
                  <w:rFonts w:ascii="Times New Roman" w:hAnsi="Times New Roman" w:cs="Times New Roman"/>
                  <w:color w:val="0000FF"/>
                  <w:sz w:val="24"/>
                  <w:szCs w:val="24"/>
                  <w:u w:val="single"/>
                </w:rPr>
                <w:t>Gary.A.Jeffries@dom.com</w:t>
              </w:r>
            </w:hyperlink>
          </w:p>
          <w:p w:rsidR="00B42279" w:rsidRPr="00B42279" w:rsidRDefault="00CF746E" w:rsidP="00B42279">
            <w:pPr>
              <w:tabs>
                <w:tab w:val="left" w:pos="4320"/>
              </w:tabs>
              <w:spacing w:line="240" w:lineRule="auto"/>
              <w:rPr>
                <w:rFonts w:ascii="Times New Roman" w:hAnsi="Times New Roman" w:cs="Times New Roman"/>
                <w:sz w:val="24"/>
                <w:szCs w:val="24"/>
              </w:rPr>
            </w:pPr>
            <w:hyperlink r:id="rId75" w:history="1">
              <w:r w:rsidR="00B42279" w:rsidRPr="00B42279">
                <w:rPr>
                  <w:rFonts w:ascii="Times New Roman" w:hAnsi="Times New Roman" w:cs="Times New Roman"/>
                  <w:color w:val="0000FF"/>
                  <w:sz w:val="24"/>
                  <w:szCs w:val="24"/>
                  <w:u w:val="single"/>
                </w:rPr>
                <w:t>aaragona@eimerstahl.com</w:t>
              </w:r>
            </w:hyperlink>
          </w:p>
          <w:p w:rsidR="00B42279" w:rsidRPr="00B42279" w:rsidRDefault="00CF746E" w:rsidP="00B42279">
            <w:pPr>
              <w:spacing w:line="240" w:lineRule="auto"/>
              <w:rPr>
                <w:rFonts w:ascii="Times New Roman" w:hAnsi="Times New Roman" w:cs="Times New Roman"/>
                <w:sz w:val="24"/>
                <w:szCs w:val="24"/>
              </w:rPr>
            </w:pPr>
            <w:hyperlink r:id="rId76" w:history="1">
              <w:r w:rsidR="00B42279" w:rsidRPr="00B42279">
                <w:rPr>
                  <w:rFonts w:ascii="Times New Roman" w:hAnsi="Times New Roman" w:cs="Times New Roman"/>
                  <w:color w:val="0000FF"/>
                  <w:sz w:val="24"/>
                  <w:szCs w:val="24"/>
                  <w:u w:val="single"/>
                </w:rPr>
                <w:t>dstahl@eimerstahl.com</w:t>
              </w:r>
            </w:hyperlink>
          </w:p>
          <w:p w:rsidR="00B42279" w:rsidRPr="00B42279" w:rsidRDefault="00CF746E" w:rsidP="00B42279">
            <w:pPr>
              <w:tabs>
                <w:tab w:val="left" w:pos="4320"/>
              </w:tabs>
              <w:spacing w:line="240" w:lineRule="auto"/>
              <w:rPr>
                <w:rFonts w:ascii="Times New Roman" w:hAnsi="Times New Roman" w:cs="Times New Roman"/>
                <w:sz w:val="24"/>
                <w:szCs w:val="24"/>
              </w:rPr>
            </w:pPr>
            <w:hyperlink r:id="rId77" w:history="1">
              <w:r w:rsidR="00B42279" w:rsidRPr="00B42279">
                <w:rPr>
                  <w:rFonts w:ascii="Times New Roman" w:hAnsi="Times New Roman" w:cs="Times New Roman"/>
                  <w:color w:val="0000FF"/>
                  <w:sz w:val="24"/>
                  <w:szCs w:val="24"/>
                  <w:u w:val="single"/>
                </w:rPr>
                <w:t>ssolberg@eimerstahl.com</w:t>
              </w:r>
            </w:hyperlink>
          </w:p>
          <w:p w:rsidR="00B42279" w:rsidRPr="00B42279" w:rsidRDefault="00CF746E" w:rsidP="00B42279">
            <w:pPr>
              <w:spacing w:line="240" w:lineRule="auto"/>
              <w:rPr>
                <w:rFonts w:ascii="Times New Roman" w:hAnsi="Times New Roman" w:cs="Times New Roman"/>
                <w:b/>
                <w:bCs/>
                <w:sz w:val="24"/>
                <w:szCs w:val="24"/>
                <w:u w:val="single"/>
              </w:rPr>
            </w:pPr>
            <w:hyperlink r:id="rId78" w:history="1">
              <w:r w:rsidR="00B42279" w:rsidRPr="00B42279">
                <w:rPr>
                  <w:rFonts w:ascii="Times New Roman" w:hAnsi="Times New Roman" w:cs="Times New Roman"/>
                  <w:color w:val="0000FF"/>
                  <w:sz w:val="24"/>
                  <w:szCs w:val="24"/>
                  <w:u w:val="single"/>
                </w:rPr>
                <w:t>BarthRoyer@aol.com</w:t>
              </w:r>
            </w:hyperlink>
          </w:p>
          <w:p w:rsidR="00B42279" w:rsidRPr="00B42279" w:rsidRDefault="00B42279" w:rsidP="00B42279">
            <w:pPr>
              <w:spacing w:line="240" w:lineRule="auto"/>
              <w:jc w:val="center"/>
              <w:rPr>
                <w:rFonts w:ascii="Times New Roman" w:hAnsi="Times New Roman" w:cs="Times New Roman"/>
                <w:b/>
                <w:bCs/>
                <w:sz w:val="24"/>
                <w:szCs w:val="24"/>
                <w:u w:val="single"/>
              </w:rPr>
            </w:pPr>
          </w:p>
          <w:p w:rsidR="00B42279" w:rsidRPr="00B42279" w:rsidRDefault="00CF746E" w:rsidP="00B42279">
            <w:pPr>
              <w:widowControl w:val="0"/>
              <w:spacing w:line="240" w:lineRule="auto"/>
              <w:rPr>
                <w:rFonts w:ascii="Times New Roman" w:hAnsi="Times New Roman" w:cs="Times New Roman"/>
                <w:sz w:val="24"/>
                <w:szCs w:val="24"/>
              </w:rPr>
            </w:pPr>
            <w:hyperlink r:id="rId79" w:history="1">
              <w:r w:rsidR="00B42279" w:rsidRPr="00B42279">
                <w:rPr>
                  <w:rFonts w:ascii="Times New Roman" w:hAnsi="Times New Roman" w:cs="Times New Roman"/>
                  <w:color w:val="0000FF"/>
                  <w:sz w:val="24"/>
                  <w:szCs w:val="24"/>
                  <w:u w:val="single"/>
                </w:rPr>
                <w:t>Christine.pirik@puc.state.oh.us</w:t>
              </w:r>
            </w:hyperlink>
          </w:p>
          <w:p w:rsidR="00B42279" w:rsidRPr="00B42279" w:rsidRDefault="00CF746E" w:rsidP="00B42279">
            <w:pPr>
              <w:spacing w:line="240" w:lineRule="auto"/>
              <w:rPr>
                <w:rFonts w:ascii="Times New Roman" w:hAnsi="Times New Roman" w:cs="Times New Roman"/>
                <w:b/>
                <w:bCs/>
                <w:sz w:val="24"/>
                <w:szCs w:val="24"/>
                <w:u w:val="single"/>
              </w:rPr>
            </w:pPr>
            <w:hyperlink r:id="rId80" w:history="1">
              <w:r w:rsidR="00B42279" w:rsidRPr="00B42279">
                <w:rPr>
                  <w:rFonts w:ascii="Times New Roman" w:hAnsi="Times New Roman" w:cs="Times New Roman"/>
                  <w:color w:val="0000FF"/>
                  <w:sz w:val="24"/>
                  <w:szCs w:val="24"/>
                  <w:u w:val="single"/>
                </w:rPr>
                <w:t>Katie.stenman@puc.state.oh.us</w:t>
              </w:r>
            </w:hyperlink>
          </w:p>
          <w:p w:rsidR="00B42279" w:rsidRPr="00B42279" w:rsidRDefault="00B42279" w:rsidP="00B42279">
            <w:pPr>
              <w:spacing w:line="240" w:lineRule="auto"/>
              <w:jc w:val="center"/>
              <w:rPr>
                <w:rFonts w:ascii="Times New Roman" w:hAnsi="Times New Roman" w:cs="Times New Roman"/>
                <w:b/>
                <w:bCs/>
                <w:sz w:val="24"/>
                <w:szCs w:val="24"/>
                <w:u w:val="single"/>
              </w:rPr>
            </w:pPr>
          </w:p>
          <w:p w:rsidR="00B42279" w:rsidRPr="00B42279" w:rsidRDefault="00B42279" w:rsidP="00B42279">
            <w:pPr>
              <w:spacing w:line="240" w:lineRule="auto"/>
              <w:jc w:val="center"/>
              <w:rPr>
                <w:rFonts w:ascii="Times New Roman" w:hAnsi="Times New Roman" w:cs="Times New Roman"/>
                <w:b/>
                <w:bCs/>
                <w:sz w:val="24"/>
                <w:szCs w:val="24"/>
                <w:u w:val="single"/>
              </w:rPr>
            </w:pPr>
          </w:p>
        </w:tc>
      </w:tr>
    </w:tbl>
    <w:p w:rsidR="00B42279" w:rsidRPr="00B42279" w:rsidRDefault="00B42279" w:rsidP="00B42279">
      <w:pPr>
        <w:spacing w:line="240" w:lineRule="auto"/>
        <w:rPr>
          <w:rFonts w:ascii="Times New Roman" w:hAnsi="Times New Roman" w:cs="Times New Roman"/>
          <w:sz w:val="24"/>
          <w:szCs w:val="24"/>
        </w:rPr>
      </w:pPr>
    </w:p>
    <w:p w:rsidR="00B42279" w:rsidRPr="00B42279" w:rsidRDefault="00B42279" w:rsidP="00B42279">
      <w:pPr>
        <w:spacing w:line="240" w:lineRule="auto"/>
        <w:rPr>
          <w:rFonts w:ascii="Times New Roman" w:hAnsi="Times New Roman" w:cs="Times New Roman"/>
          <w:sz w:val="24"/>
          <w:szCs w:val="24"/>
        </w:rPr>
      </w:pPr>
    </w:p>
    <w:sectPr w:rsidR="00B42279" w:rsidRPr="00B42279" w:rsidSect="005C7CC6">
      <w:headerReference w:type="even" r:id="rId81"/>
      <w:headerReference w:type="default" r:id="rId82"/>
      <w:footerReference w:type="default" r:id="rId83"/>
      <w:headerReference w:type="first" r:id="rId8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6E" w:rsidRDefault="00CF746E" w:rsidP="00992029">
      <w:pPr>
        <w:spacing w:line="240" w:lineRule="auto"/>
      </w:pPr>
      <w:r>
        <w:separator/>
      </w:r>
    </w:p>
  </w:endnote>
  <w:endnote w:type="continuationSeparator" w:id="0">
    <w:p w:rsidR="00CF746E" w:rsidRDefault="00CF746E" w:rsidP="00992029">
      <w:pPr>
        <w:spacing w:line="240" w:lineRule="auto"/>
      </w:pPr>
      <w:r>
        <w:continuationSeparator/>
      </w:r>
    </w:p>
  </w:endnote>
  <w:endnote w:type="continuationNotice" w:id="1">
    <w:p w:rsidR="00CF746E" w:rsidRDefault="00CF74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35587"/>
      <w:docPartObj>
        <w:docPartGallery w:val="Page Numbers (Bottom of Page)"/>
        <w:docPartUnique/>
      </w:docPartObj>
    </w:sdtPr>
    <w:sdtEndPr>
      <w:rPr>
        <w:noProof/>
      </w:rPr>
    </w:sdtEndPr>
    <w:sdtContent>
      <w:p w:rsidR="0016684F" w:rsidRDefault="0016684F">
        <w:pPr>
          <w:pStyle w:val="Footer"/>
          <w:jc w:val="center"/>
        </w:pPr>
        <w:r w:rsidRPr="003F0ADB">
          <w:rPr>
            <w:rFonts w:ascii="Times New Roman" w:hAnsi="Times New Roman" w:cs="Times New Roman"/>
            <w:sz w:val="24"/>
            <w:szCs w:val="24"/>
          </w:rPr>
          <w:fldChar w:fldCharType="begin"/>
        </w:r>
        <w:r w:rsidRPr="003F0ADB">
          <w:rPr>
            <w:rFonts w:ascii="Times New Roman" w:hAnsi="Times New Roman" w:cs="Times New Roman"/>
            <w:sz w:val="24"/>
            <w:szCs w:val="24"/>
          </w:rPr>
          <w:instrText xml:space="preserve"> PAGE   \* MERGEFORMAT </w:instrText>
        </w:r>
        <w:r w:rsidRPr="003F0ADB">
          <w:rPr>
            <w:rFonts w:ascii="Times New Roman" w:hAnsi="Times New Roman" w:cs="Times New Roman"/>
            <w:sz w:val="24"/>
            <w:szCs w:val="24"/>
          </w:rPr>
          <w:fldChar w:fldCharType="separate"/>
        </w:r>
        <w:r w:rsidR="00530C78">
          <w:rPr>
            <w:rFonts w:ascii="Times New Roman" w:hAnsi="Times New Roman" w:cs="Times New Roman"/>
            <w:noProof/>
            <w:sz w:val="24"/>
            <w:szCs w:val="24"/>
          </w:rPr>
          <w:t>iii</w:t>
        </w:r>
        <w:r w:rsidRPr="003F0ADB">
          <w:rPr>
            <w:rFonts w:ascii="Times New Roman" w:hAnsi="Times New Roman" w:cs="Times New Roman"/>
            <w:noProof/>
            <w:sz w:val="24"/>
            <w:szCs w:val="24"/>
          </w:rPr>
          <w:fldChar w:fldCharType="end"/>
        </w:r>
      </w:p>
    </w:sdtContent>
  </w:sdt>
  <w:p w:rsidR="0016684F" w:rsidRDefault="001668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53684"/>
      <w:docPartObj>
        <w:docPartGallery w:val="Page Numbers (Bottom of Page)"/>
        <w:docPartUnique/>
      </w:docPartObj>
    </w:sdtPr>
    <w:sdtEndPr>
      <w:rPr>
        <w:rFonts w:ascii="Times New Roman" w:hAnsi="Times New Roman" w:cs="Times New Roman"/>
        <w:noProof/>
        <w:sz w:val="24"/>
        <w:szCs w:val="24"/>
      </w:rPr>
    </w:sdtEndPr>
    <w:sdtContent>
      <w:p w:rsidR="0016684F" w:rsidRPr="00B06092" w:rsidRDefault="0016684F">
        <w:pPr>
          <w:pStyle w:val="Footer"/>
          <w:jc w:val="center"/>
          <w:rPr>
            <w:rFonts w:ascii="Times New Roman" w:hAnsi="Times New Roman" w:cs="Times New Roman"/>
            <w:sz w:val="24"/>
            <w:szCs w:val="24"/>
          </w:rPr>
        </w:pPr>
        <w:r w:rsidRPr="00B06092">
          <w:rPr>
            <w:rFonts w:ascii="Times New Roman" w:hAnsi="Times New Roman" w:cs="Times New Roman"/>
            <w:sz w:val="24"/>
            <w:szCs w:val="24"/>
          </w:rPr>
          <w:fldChar w:fldCharType="begin"/>
        </w:r>
        <w:r w:rsidRPr="00B06092">
          <w:rPr>
            <w:rFonts w:ascii="Times New Roman" w:hAnsi="Times New Roman" w:cs="Times New Roman"/>
            <w:sz w:val="24"/>
            <w:szCs w:val="24"/>
          </w:rPr>
          <w:instrText xml:space="preserve"> PAGE   \* MERGEFORMAT </w:instrText>
        </w:r>
        <w:r w:rsidRPr="00B06092">
          <w:rPr>
            <w:rFonts w:ascii="Times New Roman" w:hAnsi="Times New Roman" w:cs="Times New Roman"/>
            <w:sz w:val="24"/>
            <w:szCs w:val="24"/>
          </w:rPr>
          <w:fldChar w:fldCharType="separate"/>
        </w:r>
        <w:r w:rsidR="00530C78">
          <w:rPr>
            <w:rFonts w:ascii="Times New Roman" w:hAnsi="Times New Roman" w:cs="Times New Roman"/>
            <w:noProof/>
            <w:sz w:val="24"/>
            <w:szCs w:val="24"/>
          </w:rPr>
          <w:t>67</w:t>
        </w:r>
        <w:r w:rsidRPr="00B06092">
          <w:rPr>
            <w:rFonts w:ascii="Times New Roman" w:hAnsi="Times New Roman" w:cs="Times New Roman"/>
            <w:noProof/>
            <w:sz w:val="24"/>
            <w:szCs w:val="24"/>
          </w:rPr>
          <w:fldChar w:fldCharType="end"/>
        </w:r>
      </w:p>
    </w:sdtContent>
  </w:sdt>
  <w:p w:rsidR="0016684F" w:rsidRDefault="0016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6E" w:rsidRDefault="00CF746E" w:rsidP="00992029">
      <w:pPr>
        <w:spacing w:line="240" w:lineRule="auto"/>
      </w:pPr>
      <w:r>
        <w:separator/>
      </w:r>
    </w:p>
  </w:footnote>
  <w:footnote w:type="continuationSeparator" w:id="0">
    <w:p w:rsidR="00CF746E" w:rsidRDefault="00CF746E" w:rsidP="00992029">
      <w:pPr>
        <w:spacing w:line="240" w:lineRule="auto"/>
      </w:pPr>
      <w:r>
        <w:continuationSeparator/>
      </w:r>
    </w:p>
  </w:footnote>
  <w:footnote w:type="continuationNotice" w:id="1">
    <w:p w:rsidR="00CF746E" w:rsidRDefault="00CF746E">
      <w:pPr>
        <w:spacing w:line="240" w:lineRule="auto"/>
      </w:pPr>
    </w:p>
  </w:footnote>
  <w:footnote w:id="2">
    <w:p w:rsidR="0016684F" w:rsidRPr="00731C91" w:rsidRDefault="0016684F" w:rsidP="00DC1061">
      <w:pPr>
        <w:pStyle w:val="FootnoteText"/>
        <w:spacing w:after="12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Duke Application at 4, 8, 10.</w:t>
      </w:r>
      <w:proofErr w:type="gramEnd"/>
    </w:p>
  </w:footnote>
  <w:footnote w:id="3">
    <w:p w:rsidR="0016684F" w:rsidRPr="00D308F6" w:rsidRDefault="0016684F" w:rsidP="00DC1061">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w:t>
      </w:r>
      <w:r w:rsidRPr="00D308F6">
        <w:rPr>
          <w:rFonts w:ascii="Times New Roman" w:hAnsi="Times New Roman" w:cs="Times New Roman"/>
          <w:i/>
        </w:rPr>
        <w:t>In the Matter of the Application of Duke Energy Ohio for Authority to establish a Standard Service Offer Pursuant to Section 4928.143, Revised Code, in the Form of an Electric Security Plan, Accounting Modifications and Tariffs for Generation Service</w:t>
      </w:r>
      <w:r w:rsidRPr="00D308F6">
        <w:rPr>
          <w:rFonts w:ascii="Times New Roman" w:hAnsi="Times New Roman" w:cs="Times New Roman"/>
        </w:rPr>
        <w:t xml:space="preserve">, Case No. 11-3549-EL-SSO), et al., (“Duke ESP”), Stipulation and Recommendation (Oct. 24, 2011), approved, Opinion and Order (Nov. 22, 2011).  </w:t>
      </w:r>
    </w:p>
  </w:footnote>
  <w:footnote w:id="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R.C. 4928.38.</w:t>
      </w:r>
      <w:proofErr w:type="gramEnd"/>
    </w:p>
  </w:footnote>
  <w:footnote w:id="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i/>
        </w:rPr>
        <w:footnoteRef/>
      </w:r>
      <w:r w:rsidRPr="00D308F6">
        <w:rPr>
          <w:rFonts w:ascii="Times New Roman" w:hAnsi="Times New Roman" w:cs="Times New Roman"/>
          <w:i/>
        </w:rPr>
        <w:t xml:space="preserve"> In the Matter of the Application of the Cincinnati Gas &amp; Electric Company for Approval of its Electric Transition Plan and for Authorization to Collect Transition Revenues, Approval of Tariff Changes and New Tariffs, Authority to Modify Current Accounting Procedures, and Approval to Transfer its Generating Assets to an Exempt </w:t>
      </w:r>
      <w:r>
        <w:rPr>
          <w:rFonts w:ascii="Times New Roman" w:hAnsi="Times New Roman" w:cs="Times New Roman"/>
          <w:i/>
        </w:rPr>
        <w:t>W</w:t>
      </w:r>
      <w:r w:rsidRPr="00D308F6">
        <w:rPr>
          <w:rFonts w:ascii="Times New Roman" w:hAnsi="Times New Roman" w:cs="Times New Roman"/>
          <w:i/>
        </w:rPr>
        <w:t>holesale Generator</w:t>
      </w:r>
      <w:r w:rsidRPr="00D308F6">
        <w:rPr>
          <w:rFonts w:ascii="Times New Roman" w:hAnsi="Times New Roman" w:cs="Times New Roman"/>
        </w:rPr>
        <w:t>, Case Nos. 99-1658-EL-ETP, et al., Opinion and Order at 55(approving a market development period for five years).</w:t>
      </w:r>
    </w:p>
  </w:footnote>
  <w:footnote w:id="6">
    <w:p w:rsidR="0016684F" w:rsidRPr="00D308F6" w:rsidRDefault="0016684F" w:rsidP="00D308F6">
      <w:pPr>
        <w:pStyle w:val="FootnoteText"/>
        <w:tabs>
          <w:tab w:val="left" w:pos="720"/>
          <w:tab w:val="decimal" w:leader="dot" w:pos="9360"/>
        </w:tabs>
        <w:spacing w:after="120"/>
        <w:rPr>
          <w:rFonts w:ascii="Times New Roman" w:hAnsi="Times New Roman" w:cs="Times New Roman"/>
          <w:b/>
        </w:rPr>
      </w:pPr>
      <w:r w:rsidRPr="00D308F6">
        <w:rPr>
          <w:rStyle w:val="FootnoteReference"/>
          <w:rFonts w:ascii="Times New Roman" w:hAnsi="Times New Roman" w:cs="Times New Roman"/>
          <w:b/>
        </w:rPr>
        <w:footnoteRef/>
      </w:r>
      <w:r w:rsidRPr="00D308F6">
        <w:rPr>
          <w:rFonts w:ascii="Times New Roman" w:hAnsi="Times New Roman" w:cs="Times New Roman"/>
          <w:i/>
        </w:rPr>
        <w:t xml:space="preserve"> </w:t>
      </w:r>
      <w:proofErr w:type="spellStart"/>
      <w:r w:rsidRPr="00D308F6">
        <w:rPr>
          <w:rFonts w:ascii="Times New Roman" w:hAnsi="Times New Roman" w:cs="Times New Roman"/>
          <w:i/>
        </w:rPr>
        <w:t>Keco</w:t>
      </w:r>
      <w:proofErr w:type="spellEnd"/>
      <w:r w:rsidRPr="00D308F6">
        <w:rPr>
          <w:rFonts w:ascii="Times New Roman" w:hAnsi="Times New Roman" w:cs="Times New Roman"/>
          <w:i/>
        </w:rPr>
        <w:t xml:space="preserve"> Indus. Inc. v. Cincinnati &amp; Suburban Bell Tel. Co</w:t>
      </w:r>
      <w:r w:rsidRPr="00D308F6">
        <w:rPr>
          <w:rFonts w:ascii="Times New Roman" w:hAnsi="Times New Roman" w:cs="Times New Roman"/>
        </w:rPr>
        <w:t xml:space="preserve">. (1957), 166 Ohio St. 254, 2 O.O.2d 85, 141 N.E.2d 465; </w:t>
      </w:r>
      <w:r w:rsidRPr="00D308F6">
        <w:rPr>
          <w:rFonts w:ascii="Times New Roman" w:hAnsi="Times New Roman" w:cs="Times New Roman"/>
          <w:i/>
        </w:rPr>
        <w:t xml:space="preserve">Lucas County </w:t>
      </w:r>
      <w:proofErr w:type="spellStart"/>
      <w:r w:rsidRPr="00D308F6">
        <w:rPr>
          <w:rFonts w:ascii="Times New Roman" w:hAnsi="Times New Roman" w:cs="Times New Roman"/>
          <w:i/>
        </w:rPr>
        <w:t>Comm’rs</w:t>
      </w:r>
      <w:proofErr w:type="spellEnd"/>
      <w:r w:rsidRPr="00D308F6">
        <w:rPr>
          <w:rFonts w:ascii="Times New Roman" w:hAnsi="Times New Roman" w:cs="Times New Roman"/>
          <w:i/>
        </w:rPr>
        <w:t xml:space="preserve">. </w:t>
      </w:r>
      <w:proofErr w:type="gramStart"/>
      <w:r w:rsidRPr="00D308F6">
        <w:rPr>
          <w:rFonts w:ascii="Times New Roman" w:hAnsi="Times New Roman" w:cs="Times New Roman"/>
          <w:i/>
        </w:rPr>
        <w:t>v</w:t>
      </w:r>
      <w:proofErr w:type="gramEnd"/>
      <w:r w:rsidRPr="00D308F6">
        <w:rPr>
          <w:rFonts w:ascii="Times New Roman" w:hAnsi="Times New Roman" w:cs="Times New Roman"/>
          <w:i/>
        </w:rPr>
        <w:t>. Pub. Util. Comm.</w:t>
      </w:r>
      <w:r w:rsidRPr="00D308F6">
        <w:rPr>
          <w:rFonts w:ascii="Times New Roman" w:hAnsi="Times New Roman" w:cs="Times New Roman"/>
        </w:rPr>
        <w:t xml:space="preserve"> (1997), </w:t>
      </w:r>
      <w:proofErr w:type="gramStart"/>
      <w:r w:rsidRPr="00D308F6">
        <w:rPr>
          <w:rFonts w:ascii="Times New Roman" w:hAnsi="Times New Roman" w:cs="Times New Roman"/>
        </w:rPr>
        <w:t>80 Ohio St.3d 344,</w:t>
      </w:r>
      <w:proofErr w:type="gramEnd"/>
      <w:r w:rsidRPr="00D308F6">
        <w:rPr>
          <w:rFonts w:ascii="Times New Roman" w:hAnsi="Times New Roman" w:cs="Times New Roman"/>
        </w:rPr>
        <w:t xml:space="preserve"> 686 N.E.2d 501. </w:t>
      </w:r>
    </w:p>
  </w:footnote>
  <w:footnote w:id="7">
    <w:p w:rsidR="0016684F" w:rsidRPr="00B3116B" w:rsidRDefault="0016684F" w:rsidP="00AA0C4C">
      <w:pPr>
        <w:pStyle w:val="FootnoteText"/>
        <w:spacing w:after="120"/>
        <w:rPr>
          <w:rFonts w:ascii="Times New Roman" w:hAnsi="Times New Roman"/>
        </w:rPr>
      </w:pPr>
      <w:r w:rsidRPr="00B3116B">
        <w:rPr>
          <w:rStyle w:val="FootnoteReference"/>
          <w:rFonts w:ascii="Times New Roman" w:hAnsi="Times New Roman"/>
        </w:rPr>
        <w:footnoteRef/>
      </w:r>
      <w:r w:rsidRPr="00B3116B">
        <w:rPr>
          <w:rFonts w:ascii="Times New Roman" w:hAnsi="Times New Roman"/>
        </w:rPr>
        <w:t xml:space="preserve"> Signatory Parties include: Office of the Ohio Consumers’ Counsel, the Ohio Energy Group, the City of Cincinnati, </w:t>
      </w:r>
      <w:proofErr w:type="gramStart"/>
      <w:r w:rsidRPr="00B3116B">
        <w:rPr>
          <w:rFonts w:ascii="Times New Roman" w:hAnsi="Times New Roman"/>
        </w:rPr>
        <w:t>the</w:t>
      </w:r>
      <w:proofErr w:type="gramEnd"/>
      <w:r w:rsidRPr="00B3116B">
        <w:rPr>
          <w:rFonts w:ascii="Times New Roman" w:hAnsi="Times New Roman"/>
        </w:rPr>
        <w:t xml:space="preserve"> Ohio Partners for Affordable Energy, Greater Cincinnati Health Council, Ohio</w:t>
      </w:r>
      <w:r w:rsidRPr="00AF13B7">
        <w:t xml:space="preserve"> </w:t>
      </w:r>
      <w:r w:rsidRPr="00B3116B">
        <w:rPr>
          <w:rFonts w:ascii="Times New Roman" w:hAnsi="Times New Roman"/>
        </w:rPr>
        <w:t xml:space="preserve">Manufacturers’ Association, The Kroger Company, Industrial Energy Users-Ohio, Cincinnati Bell, Inc. and Wal-Mart Stores East LP and Sam’s East Inc.  </w:t>
      </w:r>
    </w:p>
  </w:footnote>
  <w:footnote w:id="8">
    <w:p w:rsidR="0016684F" w:rsidRPr="00B3116B" w:rsidRDefault="0016684F" w:rsidP="00FB4463">
      <w:pPr>
        <w:pStyle w:val="FootnoteText"/>
        <w:spacing w:after="120"/>
        <w:rPr>
          <w:rFonts w:ascii="Times New Roman" w:hAnsi="Times New Roman"/>
        </w:rPr>
      </w:pPr>
      <w:r w:rsidRPr="00B3116B">
        <w:rPr>
          <w:rStyle w:val="FootnoteReference"/>
          <w:rFonts w:ascii="Times New Roman" w:hAnsi="Times New Roman"/>
        </w:rPr>
        <w:footnoteRef/>
      </w:r>
      <w:r w:rsidRPr="00B3116B">
        <w:rPr>
          <w:rFonts w:ascii="Times New Roman" w:hAnsi="Times New Roman"/>
        </w:rPr>
        <w:t xml:space="preserve"> See Duke </w:t>
      </w:r>
      <w:r>
        <w:rPr>
          <w:rFonts w:ascii="Times New Roman" w:hAnsi="Times New Roman"/>
        </w:rPr>
        <w:t xml:space="preserve">Initial </w:t>
      </w:r>
      <w:r w:rsidRPr="00B3116B">
        <w:rPr>
          <w:rFonts w:ascii="Times New Roman" w:hAnsi="Times New Roman"/>
        </w:rPr>
        <w:t xml:space="preserve">Brief at </w:t>
      </w:r>
      <w:r>
        <w:rPr>
          <w:rFonts w:ascii="Times New Roman" w:hAnsi="Times New Roman"/>
        </w:rPr>
        <w:t>39</w:t>
      </w:r>
      <w:r w:rsidRPr="00B3116B">
        <w:rPr>
          <w:rFonts w:ascii="Times New Roman" w:hAnsi="Times New Roman"/>
        </w:rPr>
        <w:t>.</w:t>
      </w:r>
    </w:p>
  </w:footnote>
  <w:footnote w:id="9">
    <w:p w:rsidR="0016684F" w:rsidRPr="0058204D" w:rsidRDefault="0016684F" w:rsidP="00FB4463">
      <w:pPr>
        <w:pStyle w:val="FootnoteText"/>
        <w:spacing w:after="120"/>
        <w:rPr>
          <w:rFonts w:ascii="Times New Roman" w:hAnsi="Times New Roman" w:cs="Times New Roman"/>
        </w:rPr>
      </w:pPr>
      <w:r w:rsidRPr="00A22C90">
        <w:rPr>
          <w:rStyle w:val="FootnoteReference"/>
          <w:rFonts w:ascii="Times New Roman" w:hAnsi="Times New Roman" w:cs="Times New Roman"/>
        </w:rPr>
        <w:footnoteRef/>
      </w:r>
      <w:r w:rsidRPr="0058204D">
        <w:rPr>
          <w:rFonts w:ascii="Times New Roman" w:hAnsi="Times New Roman" w:cs="Times New Roman"/>
        </w:rPr>
        <w:t xml:space="preserve"> See Duke</w:t>
      </w:r>
      <w:r>
        <w:rPr>
          <w:rFonts w:ascii="Times New Roman" w:hAnsi="Times New Roman" w:cs="Times New Roman"/>
        </w:rPr>
        <w:t xml:space="preserve"> Initial </w:t>
      </w:r>
      <w:r w:rsidRPr="0058204D">
        <w:rPr>
          <w:rFonts w:ascii="Times New Roman" w:hAnsi="Times New Roman" w:cs="Times New Roman"/>
        </w:rPr>
        <w:t>Brief at 39-43.</w:t>
      </w:r>
    </w:p>
  </w:footnote>
  <w:footnote w:id="10">
    <w:p w:rsidR="0016684F" w:rsidRPr="004B6F9A" w:rsidRDefault="0016684F" w:rsidP="00FB4463">
      <w:pPr>
        <w:pStyle w:val="FootnoteText"/>
        <w:spacing w:after="120"/>
        <w:rPr>
          <w:rFonts w:ascii="Times New Roman" w:hAnsi="Times New Roman" w:cs="Times New Roman"/>
        </w:rPr>
      </w:pPr>
      <w:r w:rsidRPr="00E73768">
        <w:rPr>
          <w:rStyle w:val="FootnoteReference"/>
          <w:rFonts w:ascii="Times New Roman" w:hAnsi="Times New Roman" w:cs="Times New Roman"/>
        </w:rPr>
        <w:footnoteRef/>
      </w:r>
      <w:r w:rsidRPr="00E73768">
        <w:rPr>
          <w:rFonts w:ascii="Times New Roman" w:hAnsi="Times New Roman" w:cs="Times New Roman"/>
        </w:rPr>
        <w:t xml:space="preserve"> </w:t>
      </w:r>
      <w:proofErr w:type="gramStart"/>
      <w:r w:rsidRPr="00E73768">
        <w:rPr>
          <w:rFonts w:ascii="Times New Roman" w:hAnsi="Times New Roman" w:cs="Times New Roman"/>
        </w:rPr>
        <w:t xml:space="preserve">Duke </w:t>
      </w:r>
      <w:r>
        <w:rPr>
          <w:rFonts w:ascii="Times New Roman" w:hAnsi="Times New Roman" w:cs="Times New Roman"/>
        </w:rPr>
        <w:t xml:space="preserve">Initial </w:t>
      </w:r>
      <w:r w:rsidRPr="00E73768">
        <w:rPr>
          <w:rFonts w:ascii="Times New Roman" w:hAnsi="Times New Roman" w:cs="Times New Roman"/>
        </w:rPr>
        <w:t>Brief at 39.</w:t>
      </w:r>
      <w:proofErr w:type="gramEnd"/>
    </w:p>
  </w:footnote>
  <w:footnote w:id="11">
    <w:p w:rsidR="0016684F" w:rsidRPr="004B6F9A" w:rsidRDefault="0016684F" w:rsidP="00FB4463">
      <w:pPr>
        <w:pStyle w:val="FootnoteText"/>
        <w:spacing w:after="120"/>
        <w:rPr>
          <w:rFonts w:ascii="Times New Roman" w:hAnsi="Times New Roman" w:cs="Times New Roman"/>
        </w:rPr>
      </w:pPr>
      <w:r w:rsidRPr="004B6F9A">
        <w:rPr>
          <w:rStyle w:val="FootnoteReference"/>
          <w:rFonts w:ascii="Times New Roman" w:hAnsi="Times New Roman" w:cs="Times New Roman"/>
        </w:rPr>
        <w:footnoteRef/>
      </w:r>
      <w:r w:rsidRPr="004B6F9A">
        <w:rPr>
          <w:rFonts w:ascii="Times New Roman" w:hAnsi="Times New Roman" w:cs="Times New Roman"/>
        </w:rPr>
        <w:t xml:space="preserve"> </w:t>
      </w:r>
      <w:proofErr w:type="gramStart"/>
      <w:r w:rsidRPr="004B6F9A">
        <w:rPr>
          <w:rFonts w:ascii="Times New Roman" w:hAnsi="Times New Roman" w:cs="Times New Roman"/>
        </w:rPr>
        <w:t xml:space="preserve">Duke </w:t>
      </w:r>
      <w:r>
        <w:rPr>
          <w:rFonts w:ascii="Times New Roman" w:hAnsi="Times New Roman" w:cs="Times New Roman"/>
        </w:rPr>
        <w:t xml:space="preserve">Initial </w:t>
      </w:r>
      <w:r w:rsidRPr="004B6F9A">
        <w:rPr>
          <w:rFonts w:ascii="Times New Roman" w:hAnsi="Times New Roman" w:cs="Times New Roman"/>
        </w:rPr>
        <w:t>Brief at 41.</w:t>
      </w:r>
      <w:proofErr w:type="gramEnd"/>
    </w:p>
  </w:footnote>
  <w:footnote w:id="12">
    <w:p w:rsidR="0016684F" w:rsidRPr="00051081" w:rsidRDefault="0016684F" w:rsidP="0030712C">
      <w:pPr>
        <w:pStyle w:val="FootnoteText"/>
        <w:tabs>
          <w:tab w:val="left" w:pos="4770"/>
        </w:tabs>
        <w:spacing w:after="120"/>
        <w:rPr>
          <w:rFonts w:ascii="Times New Roman" w:hAnsi="Times New Roman"/>
        </w:rPr>
      </w:pPr>
      <w:r w:rsidRPr="00051081">
        <w:rPr>
          <w:rStyle w:val="FootnoteReference"/>
          <w:rFonts w:ascii="Times New Roman" w:hAnsi="Times New Roman"/>
        </w:rPr>
        <w:footnoteRef/>
      </w:r>
      <w:r w:rsidRPr="00051081">
        <w:rPr>
          <w:rFonts w:ascii="Times New Roman" w:hAnsi="Times New Roman"/>
        </w:rPr>
        <w:t xml:space="preserve"> </w:t>
      </w:r>
      <w:proofErr w:type="gramStart"/>
      <w:r w:rsidRPr="005E2F6E">
        <w:rPr>
          <w:rFonts w:ascii="Times New Roman" w:hAnsi="Times New Roman"/>
        </w:rPr>
        <w:t xml:space="preserve">Duke </w:t>
      </w:r>
      <w:r>
        <w:rPr>
          <w:rFonts w:ascii="Times New Roman" w:hAnsi="Times New Roman"/>
        </w:rPr>
        <w:t xml:space="preserve">Initial </w:t>
      </w:r>
      <w:r w:rsidRPr="005E2F6E">
        <w:rPr>
          <w:rFonts w:ascii="Times New Roman" w:hAnsi="Times New Roman"/>
        </w:rPr>
        <w:t>Brief at 41</w:t>
      </w:r>
      <w:r>
        <w:rPr>
          <w:rFonts w:ascii="Times New Roman" w:hAnsi="Times New Roman"/>
          <w:i/>
        </w:rPr>
        <w:t>.</w:t>
      </w:r>
      <w:proofErr w:type="gramEnd"/>
      <w:r>
        <w:rPr>
          <w:rFonts w:ascii="Times New Roman" w:hAnsi="Times New Roman"/>
          <w:i/>
        </w:rPr>
        <w:t xml:space="preserve">  </w:t>
      </w:r>
      <w:r w:rsidRPr="00051081">
        <w:rPr>
          <w:rFonts w:ascii="Times New Roman" w:hAnsi="Times New Roman"/>
        </w:rPr>
        <w:t>Duke also relies upon these cases to support the following: “</w:t>
      </w:r>
      <w:proofErr w:type="gramStart"/>
      <w:r w:rsidRPr="00051081">
        <w:rPr>
          <w:rFonts w:ascii="Times New Roman" w:hAnsi="Times New Roman"/>
        </w:rPr>
        <w:t>‘An</w:t>
      </w:r>
      <w:proofErr w:type="gramEnd"/>
      <w:r w:rsidRPr="00051081">
        <w:rPr>
          <w:rFonts w:ascii="Times New Roman" w:hAnsi="Times New Roman"/>
        </w:rPr>
        <w:t xml:space="preserve"> issue is not actually litigated … if it is subject of a stipulation between the parties.’” </w:t>
      </w:r>
      <w:proofErr w:type="gramStart"/>
      <w:r w:rsidRPr="005E2F6E">
        <w:rPr>
          <w:rFonts w:ascii="Times New Roman" w:hAnsi="Times New Roman"/>
        </w:rPr>
        <w:t xml:space="preserve">Duke </w:t>
      </w:r>
      <w:r>
        <w:rPr>
          <w:rFonts w:ascii="Times New Roman" w:hAnsi="Times New Roman"/>
        </w:rPr>
        <w:t xml:space="preserve">Initial </w:t>
      </w:r>
      <w:r w:rsidRPr="005E2F6E">
        <w:rPr>
          <w:rFonts w:ascii="Times New Roman" w:hAnsi="Times New Roman"/>
        </w:rPr>
        <w:t>Brief at 43</w:t>
      </w:r>
      <w:r w:rsidRPr="00051081">
        <w:rPr>
          <w:rFonts w:ascii="Times New Roman" w:hAnsi="Times New Roman"/>
        </w:rPr>
        <w:t>.</w:t>
      </w:r>
      <w:proofErr w:type="gramEnd"/>
    </w:p>
  </w:footnote>
  <w:footnote w:id="13">
    <w:p w:rsidR="0016684F" w:rsidRPr="00051081" w:rsidRDefault="0016684F" w:rsidP="0030712C">
      <w:pPr>
        <w:pStyle w:val="FootnoteText"/>
        <w:spacing w:after="120"/>
        <w:rPr>
          <w:rFonts w:ascii="Times New Roman" w:hAnsi="Times New Roman"/>
        </w:rPr>
      </w:pPr>
      <w:r w:rsidRPr="00051081">
        <w:rPr>
          <w:rStyle w:val="FootnoteReference"/>
          <w:rFonts w:ascii="Times New Roman" w:hAnsi="Times New Roman"/>
        </w:rPr>
        <w:footnoteRef/>
      </w:r>
      <w:r w:rsidRPr="00051081">
        <w:rPr>
          <w:rFonts w:ascii="Times New Roman" w:hAnsi="Times New Roman"/>
        </w:rPr>
        <w:t xml:space="preserve"> </w:t>
      </w:r>
      <w:proofErr w:type="spellStart"/>
      <w:proofErr w:type="gramStart"/>
      <w:r w:rsidRPr="00051081">
        <w:rPr>
          <w:rFonts w:ascii="Times New Roman" w:hAnsi="Times New Roman"/>
          <w:i/>
        </w:rPr>
        <w:t>Kirkhart</w:t>
      </w:r>
      <w:proofErr w:type="spellEnd"/>
      <w:r w:rsidRPr="00051081">
        <w:rPr>
          <w:rFonts w:ascii="Times New Roman" w:hAnsi="Times New Roman"/>
          <w:i/>
        </w:rPr>
        <w:t xml:space="preserve"> v. </w:t>
      </w:r>
      <w:proofErr w:type="spellStart"/>
      <w:r w:rsidRPr="00051081">
        <w:rPr>
          <w:rFonts w:ascii="Times New Roman" w:hAnsi="Times New Roman"/>
          <w:i/>
        </w:rPr>
        <w:t>Keiper</w:t>
      </w:r>
      <w:proofErr w:type="spellEnd"/>
      <w:r w:rsidRPr="00051081">
        <w:rPr>
          <w:rFonts w:ascii="Times New Roman" w:hAnsi="Times New Roman"/>
          <w:i/>
        </w:rPr>
        <w:t xml:space="preserve"> </w:t>
      </w:r>
      <w:r w:rsidRPr="00051081">
        <w:rPr>
          <w:rFonts w:ascii="Times New Roman" w:hAnsi="Times New Roman"/>
        </w:rPr>
        <w:t>(2004), 101 Ohio St. 3d 377, 378 (citation omitted).</w:t>
      </w:r>
      <w:proofErr w:type="gramEnd"/>
    </w:p>
  </w:footnote>
  <w:footnote w:id="14">
    <w:p w:rsidR="0016684F" w:rsidRPr="00C246F1" w:rsidRDefault="0016684F" w:rsidP="0030712C">
      <w:pPr>
        <w:pStyle w:val="FootnoteText"/>
        <w:spacing w:after="120"/>
        <w:rPr>
          <w:rFonts w:ascii="Times New Roman" w:hAnsi="Times New Roman"/>
        </w:rPr>
      </w:pPr>
      <w:r w:rsidRPr="00051081">
        <w:rPr>
          <w:rStyle w:val="FootnoteReference"/>
          <w:rFonts w:ascii="Times New Roman" w:hAnsi="Times New Roman"/>
        </w:rPr>
        <w:footnoteRef/>
      </w:r>
      <w:r w:rsidRPr="00051081">
        <w:rPr>
          <w:rFonts w:ascii="Times New Roman" w:hAnsi="Times New Roman"/>
        </w:rPr>
        <w:t xml:space="preserve"> </w:t>
      </w:r>
      <w:r w:rsidRPr="002313EA">
        <w:rPr>
          <w:rFonts w:ascii="Times New Roman" w:hAnsi="Times New Roman"/>
          <w:i/>
        </w:rPr>
        <w:t>Davis</w:t>
      </w:r>
      <w:r w:rsidRPr="008B498E">
        <w:rPr>
          <w:rFonts w:ascii="Times New Roman" w:hAnsi="Times New Roman"/>
        </w:rPr>
        <w:t xml:space="preserve"> (2008), 120 Ohio St. 3d 386, 394</w:t>
      </w:r>
      <w:r w:rsidRPr="0027655D">
        <w:rPr>
          <w:rFonts w:ascii="Times New Roman" w:hAnsi="Times New Roman"/>
          <w:i/>
        </w:rPr>
        <w:t xml:space="preserve"> </w:t>
      </w:r>
      <w:r w:rsidRPr="00051081">
        <w:rPr>
          <w:rFonts w:ascii="Times New Roman" w:hAnsi="Times New Roman"/>
        </w:rPr>
        <w:t xml:space="preserve">(“because we did not actually decide FCPDO’s post incorporation status in either </w:t>
      </w:r>
      <w:r w:rsidRPr="00051081">
        <w:rPr>
          <w:rFonts w:ascii="Times New Roman" w:hAnsi="Times New Roman"/>
          <w:i/>
        </w:rPr>
        <w:t>Van Dyke</w:t>
      </w:r>
      <w:r w:rsidRPr="00051081">
        <w:rPr>
          <w:rFonts w:ascii="Times New Roman" w:hAnsi="Times New Roman"/>
        </w:rPr>
        <w:t xml:space="preserve"> or </w:t>
      </w:r>
      <w:r w:rsidRPr="00051081">
        <w:rPr>
          <w:rFonts w:ascii="Times New Roman" w:hAnsi="Times New Roman"/>
          <w:i/>
        </w:rPr>
        <w:t>Mallory</w:t>
      </w:r>
      <w:r w:rsidRPr="00051081">
        <w:rPr>
          <w:rFonts w:ascii="Times New Roman" w:hAnsi="Times New Roman"/>
        </w:rPr>
        <w:t>, PERB abused its discretion in holding that appellees were collaterally estopped from raising their claims.”).</w:t>
      </w:r>
      <w:r w:rsidRPr="00C246F1">
        <w:rPr>
          <w:rFonts w:ascii="Times New Roman" w:hAnsi="Times New Roman"/>
        </w:rPr>
        <w:t xml:space="preserve"> </w:t>
      </w:r>
    </w:p>
  </w:footnote>
  <w:footnote w:id="15">
    <w:p w:rsidR="0016684F" w:rsidRPr="00C246F1" w:rsidRDefault="0016684F" w:rsidP="0030712C">
      <w:pPr>
        <w:pStyle w:val="FootnoteText"/>
        <w:spacing w:after="120"/>
      </w:pPr>
      <w:r w:rsidRPr="00C246F1">
        <w:rPr>
          <w:rStyle w:val="FootnoteReference"/>
          <w:rFonts w:ascii="Times New Roman" w:hAnsi="Times New Roman"/>
        </w:rPr>
        <w:footnoteRef/>
      </w:r>
      <w:r w:rsidRPr="00C246F1">
        <w:rPr>
          <w:rFonts w:ascii="Times New Roman" w:hAnsi="Times New Roman"/>
        </w:rPr>
        <w:t xml:space="preserve"> </w:t>
      </w:r>
      <w:proofErr w:type="gramStart"/>
      <w:r>
        <w:rPr>
          <w:rFonts w:ascii="Times New Roman" w:hAnsi="Times New Roman"/>
          <w:i/>
        </w:rPr>
        <w:t xml:space="preserve">Davis </w:t>
      </w:r>
      <w:r w:rsidRPr="00C246F1">
        <w:rPr>
          <w:rFonts w:ascii="Times New Roman" w:hAnsi="Times New Roman"/>
        </w:rPr>
        <w:t>at 393.</w:t>
      </w:r>
      <w:proofErr w:type="gramEnd"/>
    </w:p>
  </w:footnote>
  <w:footnote w:id="16">
    <w:p w:rsidR="0016684F" w:rsidRPr="00C246F1" w:rsidRDefault="0016684F" w:rsidP="0030712C">
      <w:pPr>
        <w:pStyle w:val="FootnoteText"/>
        <w:spacing w:after="120"/>
        <w:rPr>
          <w:rFonts w:ascii="Times New Roman" w:hAnsi="Times New Roman"/>
          <w:u w:val="single"/>
        </w:rPr>
      </w:pPr>
      <w:r w:rsidRPr="00C246F1">
        <w:rPr>
          <w:rStyle w:val="FootnoteReference"/>
          <w:rFonts w:ascii="Times New Roman" w:hAnsi="Times New Roman"/>
        </w:rPr>
        <w:footnoteRef/>
      </w:r>
      <w:r w:rsidRPr="00C246F1">
        <w:rPr>
          <w:rFonts w:ascii="Times New Roman" w:hAnsi="Times New Roman"/>
        </w:rPr>
        <w:t xml:space="preserve"> </w:t>
      </w:r>
      <w:proofErr w:type="gramStart"/>
      <w:r>
        <w:rPr>
          <w:rFonts w:ascii="Times New Roman" w:hAnsi="Times New Roman"/>
          <w:i/>
        </w:rPr>
        <w:t xml:space="preserve">Davis </w:t>
      </w:r>
      <w:r w:rsidRPr="00C246F1">
        <w:rPr>
          <w:rFonts w:ascii="Times New Roman" w:hAnsi="Times New Roman"/>
        </w:rPr>
        <w:t>at 393.</w:t>
      </w:r>
      <w:proofErr w:type="gramEnd"/>
      <w:r w:rsidRPr="00C246F1">
        <w:rPr>
          <w:rFonts w:ascii="Times New Roman" w:hAnsi="Times New Roman"/>
        </w:rPr>
        <w:t xml:space="preserve"> (</w:t>
      </w:r>
      <w:proofErr w:type="gramStart"/>
      <w:r w:rsidRPr="00C246F1">
        <w:rPr>
          <w:rFonts w:ascii="Times New Roman" w:hAnsi="Times New Roman"/>
        </w:rPr>
        <w:t>citing</w:t>
      </w:r>
      <w:proofErr w:type="gramEnd"/>
      <w:r w:rsidRPr="00C246F1">
        <w:rPr>
          <w:rFonts w:ascii="Times New Roman" w:hAnsi="Times New Roman"/>
        </w:rPr>
        <w:t xml:space="preserve"> </w:t>
      </w:r>
      <w:r w:rsidRPr="00C246F1">
        <w:rPr>
          <w:rFonts w:ascii="Times New Roman" w:hAnsi="Times New Roman"/>
          <w:i/>
        </w:rPr>
        <w:t xml:space="preserve">Thompson v. Wing </w:t>
      </w:r>
      <w:r w:rsidRPr="00C246F1">
        <w:rPr>
          <w:rFonts w:ascii="Times New Roman" w:hAnsi="Times New Roman"/>
        </w:rPr>
        <w:t>(1994), 70 Ohio St. 3d 176, 185).</w:t>
      </w:r>
    </w:p>
  </w:footnote>
  <w:footnote w:id="17">
    <w:p w:rsidR="0016684F" w:rsidRPr="00C246F1" w:rsidRDefault="0016684F" w:rsidP="0030712C">
      <w:pPr>
        <w:pStyle w:val="FootnoteText"/>
        <w:spacing w:after="120"/>
      </w:pPr>
      <w:r w:rsidRPr="00C246F1">
        <w:rPr>
          <w:rStyle w:val="FootnoteReference"/>
          <w:rFonts w:ascii="Times New Roman" w:hAnsi="Times New Roman"/>
        </w:rPr>
        <w:footnoteRef/>
      </w:r>
      <w:r w:rsidRPr="00C246F1">
        <w:rPr>
          <w:rFonts w:ascii="Times New Roman" w:hAnsi="Times New Roman"/>
        </w:rPr>
        <w:t xml:space="preserve"> </w:t>
      </w:r>
      <w:r>
        <w:rPr>
          <w:rFonts w:ascii="Times New Roman" w:hAnsi="Times New Roman"/>
          <w:i/>
        </w:rPr>
        <w:t xml:space="preserve">Davis </w:t>
      </w:r>
      <w:r w:rsidRPr="00C246F1">
        <w:rPr>
          <w:rFonts w:ascii="Times New Roman" w:hAnsi="Times New Roman"/>
        </w:rPr>
        <w:t xml:space="preserve">at 394 (“failure to raise or contest the issue in </w:t>
      </w:r>
      <w:r w:rsidRPr="00C246F1">
        <w:rPr>
          <w:rFonts w:ascii="Times New Roman" w:hAnsi="Times New Roman"/>
          <w:i/>
        </w:rPr>
        <w:t>Van Dyke</w:t>
      </w:r>
      <w:r w:rsidRPr="00C246F1">
        <w:rPr>
          <w:rFonts w:ascii="Times New Roman" w:hAnsi="Times New Roman"/>
        </w:rPr>
        <w:t xml:space="preserve"> and </w:t>
      </w:r>
      <w:r w:rsidRPr="00C246F1">
        <w:rPr>
          <w:rFonts w:ascii="Times New Roman" w:hAnsi="Times New Roman"/>
          <w:i/>
        </w:rPr>
        <w:t>Mallory</w:t>
      </w:r>
      <w:r w:rsidRPr="00C246F1">
        <w:rPr>
          <w:rFonts w:ascii="Times New Roman" w:hAnsi="Times New Roman"/>
        </w:rPr>
        <w:t xml:space="preserve"> was tantamount to a stipulation in those cases”).</w:t>
      </w:r>
    </w:p>
  </w:footnote>
  <w:footnote w:id="18">
    <w:p w:rsidR="0016684F" w:rsidRPr="005D5675" w:rsidRDefault="0016684F" w:rsidP="0030712C">
      <w:pPr>
        <w:pStyle w:val="FootnoteText"/>
        <w:spacing w:after="120"/>
        <w:rPr>
          <w:rFonts w:ascii="Times New Roman" w:hAnsi="Times New Roman"/>
          <w:sz w:val="24"/>
          <w:szCs w:val="24"/>
        </w:rPr>
      </w:pPr>
      <w:r w:rsidRPr="00C246F1">
        <w:rPr>
          <w:rStyle w:val="FootnoteReference"/>
          <w:rFonts w:ascii="Times New Roman" w:hAnsi="Times New Roman"/>
        </w:rPr>
        <w:footnoteRef/>
      </w:r>
      <w:r>
        <w:rPr>
          <w:rFonts w:ascii="Times New Roman" w:hAnsi="Times New Roman"/>
        </w:rPr>
        <w:t xml:space="preserve"> Id.</w:t>
      </w:r>
    </w:p>
  </w:footnote>
  <w:footnote w:id="19">
    <w:p w:rsidR="0016684F" w:rsidRPr="00C246F1" w:rsidRDefault="0016684F" w:rsidP="0030712C">
      <w:pPr>
        <w:pStyle w:val="FootnoteText"/>
        <w:spacing w:after="120"/>
      </w:pPr>
      <w:r w:rsidRPr="00C246F1">
        <w:rPr>
          <w:rStyle w:val="FootnoteReference"/>
          <w:rFonts w:ascii="Times New Roman" w:hAnsi="Times New Roman"/>
        </w:rPr>
        <w:footnoteRef/>
      </w:r>
      <w:r w:rsidRPr="00C246F1">
        <w:rPr>
          <w:rFonts w:ascii="Times New Roman" w:hAnsi="Times New Roman"/>
        </w:rPr>
        <w:t xml:space="preserve"> </w:t>
      </w:r>
      <w:proofErr w:type="gramStart"/>
      <w:r>
        <w:rPr>
          <w:rFonts w:ascii="Times New Roman" w:hAnsi="Times New Roman"/>
          <w:i/>
        </w:rPr>
        <w:t xml:space="preserve">Davis </w:t>
      </w:r>
      <w:r w:rsidRPr="0027655D">
        <w:rPr>
          <w:rFonts w:ascii="Times New Roman" w:hAnsi="Times New Roman"/>
        </w:rPr>
        <w:t>at 394</w:t>
      </w:r>
      <w:r>
        <w:rPr>
          <w:rFonts w:ascii="Times New Roman" w:hAnsi="Times New Roman"/>
          <w:i/>
        </w:rPr>
        <w:t>.</w:t>
      </w:r>
      <w:proofErr w:type="gramEnd"/>
      <w:r w:rsidRPr="00C246F1">
        <w:rPr>
          <w:rFonts w:ascii="Times New Roman" w:hAnsi="Times New Roman"/>
          <w:i/>
        </w:rPr>
        <w:t xml:space="preserve"> </w:t>
      </w:r>
      <w:r w:rsidRPr="00C246F1">
        <w:rPr>
          <w:rFonts w:ascii="Times New Roman" w:hAnsi="Times New Roman"/>
        </w:rPr>
        <w:t xml:space="preserve">(citing </w:t>
      </w:r>
      <w:r w:rsidRPr="00C246F1">
        <w:rPr>
          <w:rFonts w:ascii="Times New Roman" w:hAnsi="Times New Roman"/>
          <w:i/>
        </w:rPr>
        <w:t>Goodson v. McDonough Power Equip.</w:t>
      </w:r>
      <w:r w:rsidRPr="00C246F1">
        <w:rPr>
          <w:rFonts w:ascii="Times New Roman" w:hAnsi="Times New Roman"/>
        </w:rPr>
        <w:t xml:space="preserve"> (1983), 2 Ohio St. 3d 193, 201)(Emphasis added).</w:t>
      </w:r>
    </w:p>
  </w:footnote>
  <w:footnote w:id="20">
    <w:p w:rsidR="0016684F" w:rsidRPr="00C246F1" w:rsidRDefault="0016684F" w:rsidP="0030712C">
      <w:pPr>
        <w:pStyle w:val="FootnoteText"/>
        <w:spacing w:after="120"/>
        <w:rPr>
          <w:rFonts w:ascii="Times New Roman" w:hAnsi="Times New Roman"/>
        </w:rPr>
      </w:pPr>
      <w:r w:rsidRPr="00C246F1">
        <w:rPr>
          <w:rStyle w:val="FootnoteReference"/>
          <w:rFonts w:ascii="Times New Roman" w:hAnsi="Times New Roman"/>
        </w:rPr>
        <w:footnoteRef/>
      </w:r>
      <w:r w:rsidRPr="00C246F1">
        <w:rPr>
          <w:rFonts w:ascii="Times New Roman" w:hAnsi="Times New Roman"/>
        </w:rPr>
        <w:t xml:space="preserve"> </w:t>
      </w:r>
      <w:r w:rsidRPr="0027655D">
        <w:rPr>
          <w:rFonts w:ascii="Times New Roman" w:hAnsi="Times New Roman"/>
          <w:i/>
        </w:rPr>
        <w:t xml:space="preserve">Ohio Consumers' </w:t>
      </w:r>
      <w:proofErr w:type="gramStart"/>
      <w:r w:rsidRPr="0027655D">
        <w:rPr>
          <w:rFonts w:ascii="Times New Roman" w:hAnsi="Times New Roman"/>
          <w:i/>
        </w:rPr>
        <w:t xml:space="preserve">Counsel </w:t>
      </w:r>
      <w:r>
        <w:rPr>
          <w:rFonts w:ascii="Times New Roman" w:hAnsi="Times New Roman"/>
          <w:i/>
        </w:rPr>
        <w:t xml:space="preserve"> </w:t>
      </w:r>
      <w:r w:rsidRPr="0027655D">
        <w:rPr>
          <w:rFonts w:ascii="Times New Roman" w:hAnsi="Times New Roman"/>
          <w:i/>
        </w:rPr>
        <w:t>v</w:t>
      </w:r>
      <w:proofErr w:type="gramEnd"/>
      <w:r w:rsidRPr="0027655D">
        <w:rPr>
          <w:rFonts w:ascii="Times New Roman" w:hAnsi="Times New Roman"/>
          <w:i/>
        </w:rPr>
        <w:t>. P</w:t>
      </w:r>
      <w:r>
        <w:rPr>
          <w:rFonts w:ascii="Times New Roman" w:hAnsi="Times New Roman"/>
          <w:i/>
        </w:rPr>
        <w:t>ub. Util. Comm.</w:t>
      </w:r>
      <w:r w:rsidRPr="0027655D">
        <w:rPr>
          <w:rFonts w:ascii="Times New Roman" w:hAnsi="Times New Roman"/>
          <w:i/>
        </w:rPr>
        <w:t xml:space="preserve"> </w:t>
      </w:r>
      <w:r w:rsidRPr="00F75697">
        <w:rPr>
          <w:rFonts w:ascii="Times New Roman" w:hAnsi="Times New Roman"/>
        </w:rPr>
        <w:t>(2007), 114 Ohio St.3d 340, 342 (“Collateral estoppel has been applied to commission proceedings.”)</w:t>
      </w:r>
      <w:r w:rsidRPr="0027655D">
        <w:rPr>
          <w:rFonts w:ascii="Times New Roman" w:hAnsi="Times New Roman"/>
          <w:i/>
        </w:rPr>
        <w:t xml:space="preserve"> </w:t>
      </w:r>
      <w:r w:rsidRPr="00C246F1">
        <w:rPr>
          <w:rFonts w:ascii="Times New Roman" w:hAnsi="Times New Roman"/>
        </w:rPr>
        <w:t>[</w:t>
      </w:r>
      <w:proofErr w:type="spellStart"/>
      <w:r w:rsidRPr="00C246F1">
        <w:rPr>
          <w:rFonts w:ascii="Times New Roman" w:hAnsi="Times New Roman"/>
          <w:i/>
        </w:rPr>
        <w:t>Holzemar</w:t>
      </w:r>
      <w:proofErr w:type="spellEnd"/>
      <w:r w:rsidRPr="00C246F1">
        <w:rPr>
          <w:rFonts w:ascii="Times New Roman" w:hAnsi="Times New Roman"/>
        </w:rPr>
        <w:t>, 96 Ohio St. 3d at 133 (“‘an existing final judgment or decree between the parties to litigation is conclusive as to all claims which were or might have been litigated in a first lawsuit.’”)(</w:t>
      </w:r>
      <w:proofErr w:type="gramStart"/>
      <w:r w:rsidRPr="00C246F1">
        <w:rPr>
          <w:rFonts w:ascii="Times New Roman" w:hAnsi="Times New Roman"/>
        </w:rPr>
        <w:t>citation</w:t>
      </w:r>
      <w:proofErr w:type="gramEnd"/>
      <w:r w:rsidRPr="00C246F1">
        <w:rPr>
          <w:rFonts w:ascii="Times New Roman" w:hAnsi="Times New Roman"/>
        </w:rPr>
        <w:t xml:space="preserve"> omitted).</w:t>
      </w:r>
      <w:r>
        <w:rPr>
          <w:rFonts w:ascii="Times New Roman" w:hAnsi="Times New Roman"/>
        </w:rPr>
        <w:t>]</w:t>
      </w:r>
    </w:p>
  </w:footnote>
  <w:footnote w:id="21">
    <w:p w:rsidR="0016684F" w:rsidRPr="00F75697" w:rsidRDefault="0016684F" w:rsidP="0030712C">
      <w:pPr>
        <w:pStyle w:val="FootnoteText"/>
        <w:spacing w:after="120"/>
        <w:rPr>
          <w:rFonts w:ascii="Times New Roman" w:hAnsi="Times New Roman"/>
        </w:rPr>
      </w:pPr>
      <w:r w:rsidRPr="00C246F1">
        <w:rPr>
          <w:rStyle w:val="FootnoteReference"/>
          <w:rFonts w:ascii="Times New Roman" w:hAnsi="Times New Roman"/>
        </w:rPr>
        <w:footnoteRef/>
      </w:r>
      <w:r w:rsidRPr="00C246F1">
        <w:rPr>
          <w:rFonts w:ascii="Times New Roman" w:hAnsi="Times New Roman"/>
        </w:rPr>
        <w:t xml:space="preserve"> </w:t>
      </w:r>
      <w:r w:rsidRPr="00F75697">
        <w:rPr>
          <w:rFonts w:ascii="Times New Roman" w:hAnsi="Times New Roman"/>
          <w:i/>
        </w:rPr>
        <w:t xml:space="preserve">Davis </w:t>
      </w:r>
      <w:r w:rsidRPr="00F75697">
        <w:rPr>
          <w:rFonts w:ascii="Times New Roman" w:hAnsi="Times New Roman"/>
        </w:rPr>
        <w:t>(2008), 120 Ohio St.3d 386, 394 (“‘an absolute due process prerequisite to the application of collateral estoppel is that the party asserting the preclusion must prove that the identical issue was actually litigated, directly determined, and essential to the judgment in the prior action’”).</w:t>
      </w:r>
    </w:p>
  </w:footnote>
  <w:footnote w:id="22">
    <w:p w:rsidR="0016684F" w:rsidRPr="00F75697" w:rsidRDefault="0016684F" w:rsidP="0030712C">
      <w:pPr>
        <w:pStyle w:val="FootnoteText"/>
        <w:spacing w:after="120"/>
        <w:rPr>
          <w:rFonts w:ascii="Times New Roman" w:hAnsi="Times New Roman" w:cs="Times New Roman"/>
        </w:rPr>
      </w:pPr>
      <w:r w:rsidRPr="00F75697">
        <w:rPr>
          <w:rStyle w:val="FootnoteReference"/>
          <w:rFonts w:ascii="Times New Roman" w:hAnsi="Times New Roman" w:cs="Times New Roman"/>
        </w:rPr>
        <w:footnoteRef/>
      </w:r>
      <w:r w:rsidRPr="00F75697">
        <w:rPr>
          <w:rFonts w:ascii="Times New Roman" w:hAnsi="Times New Roman" w:cs="Times New Roman"/>
        </w:rPr>
        <w:t xml:space="preserve"> </w:t>
      </w:r>
      <w:proofErr w:type="gramStart"/>
      <w:r w:rsidRPr="00F75697">
        <w:rPr>
          <w:rFonts w:ascii="Times New Roman" w:hAnsi="Times New Roman" w:cs="Times New Roman"/>
        </w:rPr>
        <w:t>103 Ohio St.3d at 365.</w:t>
      </w:r>
      <w:proofErr w:type="gramEnd"/>
    </w:p>
  </w:footnote>
  <w:footnote w:id="23">
    <w:p w:rsidR="0016684F" w:rsidRPr="00F75697" w:rsidRDefault="0016684F" w:rsidP="0030712C">
      <w:pPr>
        <w:autoSpaceDE w:val="0"/>
        <w:autoSpaceDN w:val="0"/>
        <w:adjustRightInd w:val="0"/>
        <w:spacing w:after="120" w:line="240" w:lineRule="auto"/>
        <w:rPr>
          <w:rFonts w:ascii="Times New Roman" w:hAnsi="Times New Roman" w:cs="Times New Roman"/>
          <w:sz w:val="20"/>
          <w:szCs w:val="20"/>
        </w:rPr>
      </w:pPr>
      <w:r w:rsidRPr="00F75697">
        <w:rPr>
          <w:rStyle w:val="FootnoteReference"/>
          <w:rFonts w:ascii="Times New Roman" w:hAnsi="Times New Roman" w:cs="Times New Roman"/>
          <w:sz w:val="20"/>
          <w:szCs w:val="20"/>
        </w:rPr>
        <w:footnoteRef/>
      </w:r>
      <w:r w:rsidRPr="00F75697">
        <w:rPr>
          <w:rFonts w:ascii="Times New Roman" w:hAnsi="Times New Roman" w:cs="Times New Roman"/>
          <w:sz w:val="20"/>
          <w:szCs w:val="20"/>
        </w:rPr>
        <w:t xml:space="preserve"> See Direct Testimony of </w:t>
      </w:r>
      <w:proofErr w:type="spellStart"/>
      <w:r w:rsidRPr="00F75697">
        <w:rPr>
          <w:rFonts w:ascii="Times New Roman" w:hAnsi="Times New Roman" w:cs="Times New Roman"/>
          <w:sz w:val="20"/>
          <w:szCs w:val="20"/>
        </w:rPr>
        <w:t>Wathen</w:t>
      </w:r>
      <w:proofErr w:type="spellEnd"/>
      <w:r w:rsidRPr="00F75697">
        <w:rPr>
          <w:rFonts w:ascii="Times New Roman" w:hAnsi="Times New Roman" w:cs="Times New Roman"/>
          <w:sz w:val="20"/>
          <w:szCs w:val="20"/>
        </w:rPr>
        <w:t xml:space="preserve"> at 4-10 (June 20. 2011</w:t>
      </w:r>
      <w:proofErr w:type="gramStart"/>
      <w:r w:rsidRPr="00F75697">
        <w:rPr>
          <w:rFonts w:ascii="Times New Roman" w:hAnsi="Times New Roman" w:cs="Times New Roman"/>
          <w:sz w:val="20"/>
          <w:szCs w:val="20"/>
        </w:rPr>
        <w:t>)(</w:t>
      </w:r>
      <w:proofErr w:type="gramEnd"/>
      <w:r w:rsidRPr="00F75697">
        <w:rPr>
          <w:rFonts w:ascii="Times New Roman" w:hAnsi="Times New Roman" w:cs="Times New Roman"/>
          <w:sz w:val="20"/>
          <w:szCs w:val="20"/>
        </w:rPr>
        <w:t xml:space="preserve">describing the formula for the original Rider RC as being derived through a traditional ratemaking revenue requirement). Rider RC, under the stipulation, changed from a cost based calculation to a calculation derived from wholesale capacity based on RPM. See Stipulation at Attachment B, Exhibit 1, </w:t>
      </w:r>
      <w:proofErr w:type="gramStart"/>
      <w:r w:rsidRPr="00F75697">
        <w:rPr>
          <w:rFonts w:ascii="Times New Roman" w:hAnsi="Times New Roman" w:cs="Times New Roman"/>
          <w:sz w:val="20"/>
          <w:szCs w:val="20"/>
        </w:rPr>
        <w:t>page</w:t>
      </w:r>
      <w:proofErr w:type="gramEnd"/>
      <w:r w:rsidRPr="00F75697">
        <w:rPr>
          <w:rFonts w:ascii="Times New Roman" w:hAnsi="Times New Roman" w:cs="Times New Roman"/>
          <w:sz w:val="20"/>
          <w:szCs w:val="20"/>
        </w:rPr>
        <w:t xml:space="preserve"> 2.</w:t>
      </w:r>
    </w:p>
  </w:footnote>
  <w:footnote w:id="24">
    <w:p w:rsidR="0016684F" w:rsidRPr="00F75697" w:rsidRDefault="0016684F" w:rsidP="0030712C">
      <w:pPr>
        <w:pStyle w:val="FootnoteText"/>
        <w:spacing w:after="120"/>
        <w:rPr>
          <w:rFonts w:ascii="Times New Roman" w:hAnsi="Times New Roman" w:cs="Times New Roman"/>
        </w:rPr>
      </w:pPr>
      <w:r w:rsidRPr="00F75697">
        <w:rPr>
          <w:rStyle w:val="FootnoteReference"/>
          <w:rFonts w:ascii="Times New Roman" w:hAnsi="Times New Roman" w:cs="Times New Roman"/>
        </w:rPr>
        <w:footnoteRef/>
      </w:r>
      <w:r w:rsidRPr="00F75697">
        <w:rPr>
          <w:rFonts w:ascii="Times New Roman" w:hAnsi="Times New Roman" w:cs="Times New Roman"/>
        </w:rPr>
        <w:t xml:space="preserve"> See Application at ¶15.</w:t>
      </w:r>
    </w:p>
  </w:footnote>
  <w:footnote w:id="25">
    <w:p w:rsidR="0016684F" w:rsidRPr="004B6F9A" w:rsidRDefault="0016684F" w:rsidP="0030712C">
      <w:pPr>
        <w:autoSpaceDE w:val="0"/>
        <w:autoSpaceDN w:val="0"/>
        <w:adjustRightInd w:val="0"/>
        <w:spacing w:after="120" w:line="240" w:lineRule="auto"/>
        <w:rPr>
          <w:rFonts w:ascii="Times New Roman" w:hAnsi="Times New Roman" w:cs="Times New Roman"/>
          <w:sz w:val="13"/>
          <w:szCs w:val="13"/>
        </w:rPr>
      </w:pPr>
      <w:r>
        <w:rPr>
          <w:rStyle w:val="FootnoteReference"/>
        </w:rPr>
        <w:footnoteRef/>
      </w:r>
      <w:r>
        <w:t xml:space="preserve"> </w:t>
      </w:r>
      <w:r>
        <w:rPr>
          <w:rFonts w:ascii="Times New Roman" w:hAnsi="Times New Roman" w:cs="Times New Roman"/>
          <w:i/>
          <w:iCs/>
          <w:sz w:val="19"/>
          <w:szCs w:val="19"/>
        </w:rPr>
        <w:t xml:space="preserve">American Home Products Corporation v. Roger W. Tracy </w:t>
      </w:r>
      <w:r>
        <w:rPr>
          <w:rFonts w:ascii="Times New Roman" w:hAnsi="Times New Roman" w:cs="Times New Roman"/>
          <w:sz w:val="19"/>
          <w:szCs w:val="19"/>
        </w:rPr>
        <w:t>(2003), 152 Ohio App.3d 267 (Ct. Apps., 10</w:t>
      </w:r>
      <w:r w:rsidRPr="004B6F9A">
        <w:rPr>
          <w:rFonts w:ascii="Times New Roman" w:hAnsi="Times New Roman" w:cs="Times New Roman"/>
          <w:sz w:val="13"/>
          <w:szCs w:val="13"/>
          <w:vertAlign w:val="superscript"/>
        </w:rPr>
        <w:t>th</w:t>
      </w:r>
      <w:r>
        <w:rPr>
          <w:rFonts w:ascii="Times New Roman" w:hAnsi="Times New Roman" w:cs="Times New Roman"/>
          <w:sz w:val="13"/>
          <w:szCs w:val="13"/>
        </w:rPr>
        <w:t xml:space="preserve"> </w:t>
      </w:r>
      <w:r>
        <w:rPr>
          <w:rFonts w:ascii="Times New Roman" w:hAnsi="Times New Roman" w:cs="Times New Roman"/>
          <w:sz w:val="19"/>
          <w:szCs w:val="19"/>
        </w:rPr>
        <w:t xml:space="preserve">Dist., 2003); </w:t>
      </w:r>
      <w:r>
        <w:rPr>
          <w:rFonts w:ascii="Times New Roman" w:hAnsi="Times New Roman" w:cs="Times New Roman"/>
          <w:i/>
          <w:iCs/>
          <w:sz w:val="19"/>
          <w:szCs w:val="19"/>
        </w:rPr>
        <w:t xml:space="preserve">Ron Thomas, Sr. v. </w:t>
      </w:r>
      <w:proofErr w:type="gramStart"/>
      <w:r>
        <w:rPr>
          <w:rFonts w:ascii="Times New Roman" w:hAnsi="Times New Roman" w:cs="Times New Roman"/>
          <w:i/>
          <w:iCs/>
          <w:sz w:val="19"/>
          <w:szCs w:val="19"/>
        </w:rPr>
        <w:t>Restaurant  Developers</w:t>
      </w:r>
      <w:proofErr w:type="gramEnd"/>
      <w:r>
        <w:rPr>
          <w:rFonts w:ascii="Times New Roman" w:hAnsi="Times New Roman" w:cs="Times New Roman"/>
          <w:i/>
          <w:iCs/>
          <w:sz w:val="19"/>
          <w:szCs w:val="19"/>
        </w:rPr>
        <w:t xml:space="preserve"> Corp</w:t>
      </w:r>
      <w:r>
        <w:rPr>
          <w:rFonts w:ascii="Times New Roman" w:hAnsi="Times New Roman" w:cs="Times New Roman"/>
          <w:sz w:val="19"/>
          <w:szCs w:val="19"/>
        </w:rPr>
        <w:t>. (1997), 1997 Ohio App. LEXIS 3062.</w:t>
      </w:r>
    </w:p>
  </w:footnote>
  <w:footnote w:id="26">
    <w:p w:rsidR="0016684F" w:rsidRDefault="0016684F" w:rsidP="0030712C">
      <w:pPr>
        <w:pStyle w:val="FootnoteText"/>
        <w:spacing w:after="120"/>
      </w:pPr>
      <w:r>
        <w:rPr>
          <w:rStyle w:val="FootnoteReference"/>
        </w:rPr>
        <w:footnoteRef/>
      </w:r>
      <w:r>
        <w:t xml:space="preserve"> </w:t>
      </w:r>
      <w:proofErr w:type="gramStart"/>
      <w:r>
        <w:rPr>
          <w:rFonts w:ascii="Times New Roman" w:hAnsi="Times New Roman" w:cs="Times New Roman"/>
          <w:i/>
          <w:iCs/>
          <w:sz w:val="19"/>
          <w:szCs w:val="19"/>
        </w:rPr>
        <w:t xml:space="preserve">Covington and Cincinnati Bridge Co. v. Sargent </w:t>
      </w:r>
      <w:r>
        <w:rPr>
          <w:rFonts w:ascii="Times New Roman" w:hAnsi="Times New Roman" w:cs="Times New Roman"/>
          <w:sz w:val="19"/>
          <w:szCs w:val="19"/>
        </w:rPr>
        <w:t>(1875), 27 Ohio St. 233, 237-38.</w:t>
      </w:r>
      <w:proofErr w:type="gramEnd"/>
    </w:p>
  </w:footnote>
  <w:footnote w:id="27">
    <w:p w:rsidR="0016684F" w:rsidRPr="004B6F9A" w:rsidRDefault="0016684F" w:rsidP="0030712C">
      <w:pPr>
        <w:pStyle w:val="FootnoteText"/>
        <w:spacing w:after="120"/>
        <w:rPr>
          <w:rFonts w:ascii="Times New Roman" w:hAnsi="Times New Roman" w:cs="Times New Roman"/>
        </w:rPr>
      </w:pPr>
      <w:r w:rsidRPr="004B6F9A">
        <w:rPr>
          <w:rStyle w:val="FootnoteReference"/>
          <w:rFonts w:ascii="Times New Roman" w:hAnsi="Times New Roman" w:cs="Times New Roman"/>
        </w:rPr>
        <w:footnoteRef/>
      </w:r>
      <w:r w:rsidRPr="004B6F9A">
        <w:rPr>
          <w:rFonts w:ascii="Times New Roman" w:hAnsi="Times New Roman" w:cs="Times New Roman"/>
        </w:rPr>
        <w:t xml:space="preserve"> See Duke </w:t>
      </w:r>
      <w:r>
        <w:rPr>
          <w:rFonts w:ascii="Times New Roman" w:hAnsi="Times New Roman" w:cs="Times New Roman"/>
        </w:rPr>
        <w:t xml:space="preserve">Initial </w:t>
      </w:r>
      <w:r w:rsidRPr="004B6F9A">
        <w:rPr>
          <w:rFonts w:ascii="Times New Roman" w:hAnsi="Times New Roman" w:cs="Times New Roman"/>
        </w:rPr>
        <w:t>Brief at 41.</w:t>
      </w:r>
    </w:p>
  </w:footnote>
  <w:footnote w:id="28">
    <w:p w:rsidR="0016684F" w:rsidRPr="004B6F9A" w:rsidRDefault="0016684F" w:rsidP="0030712C">
      <w:pPr>
        <w:pStyle w:val="FootnoteText"/>
        <w:spacing w:after="120"/>
        <w:rPr>
          <w:rFonts w:ascii="Times New Roman" w:hAnsi="Times New Roman" w:cs="Times New Roman"/>
        </w:rPr>
      </w:pPr>
      <w:r w:rsidRPr="00970BF9">
        <w:rPr>
          <w:rStyle w:val="FootnoteReference"/>
          <w:rFonts w:ascii="Times New Roman" w:hAnsi="Times New Roman" w:cs="Times New Roman"/>
        </w:rPr>
        <w:footnoteRef/>
      </w:r>
      <w:r w:rsidRPr="00970BF9">
        <w:rPr>
          <w:rFonts w:ascii="Times New Roman" w:hAnsi="Times New Roman" w:cs="Times New Roman"/>
        </w:rPr>
        <w:t xml:space="preserve"> See OCC Initial Brief at 8-13; Entry on Rehearing at ¶77.</w:t>
      </w:r>
    </w:p>
  </w:footnote>
  <w:footnote w:id="29">
    <w:p w:rsidR="0016684F" w:rsidRPr="00863DEF" w:rsidRDefault="0016684F" w:rsidP="0030712C">
      <w:pPr>
        <w:pStyle w:val="FootnoteText"/>
        <w:spacing w:after="120"/>
        <w:rPr>
          <w:rFonts w:ascii="Times New Roman" w:hAnsi="Times New Roman" w:cs="Times New Roman"/>
        </w:rPr>
      </w:pPr>
      <w:r w:rsidRPr="00863DEF">
        <w:rPr>
          <w:rStyle w:val="FootnoteReference"/>
          <w:rFonts w:ascii="Times New Roman" w:hAnsi="Times New Roman" w:cs="Times New Roman"/>
        </w:rPr>
        <w:footnoteRef/>
      </w:r>
      <w:r w:rsidRPr="00863DEF">
        <w:rPr>
          <w:rFonts w:ascii="Times New Roman" w:hAnsi="Times New Roman" w:cs="Times New Roman"/>
        </w:rPr>
        <w:t xml:space="preserve"> </w:t>
      </w:r>
      <w:proofErr w:type="gramStart"/>
      <w:r w:rsidRPr="00863DEF">
        <w:rPr>
          <w:rFonts w:ascii="Times New Roman" w:hAnsi="Times New Roman" w:cs="Times New Roman"/>
          <w:i/>
          <w:iCs/>
          <w:sz w:val="19"/>
          <w:szCs w:val="19"/>
        </w:rPr>
        <w:t>Superior’ Brand Meats, Inc. v. Lindley</w:t>
      </w:r>
      <w:r w:rsidRPr="00863DEF">
        <w:rPr>
          <w:rFonts w:ascii="Times New Roman" w:hAnsi="Times New Roman" w:cs="Times New Roman"/>
          <w:sz w:val="19"/>
          <w:szCs w:val="19"/>
        </w:rPr>
        <w:t>, 62 Ohio St.2d 133 (syllabus).</w:t>
      </w:r>
      <w:proofErr w:type="gramEnd"/>
    </w:p>
  </w:footnote>
  <w:footnote w:id="30">
    <w:p w:rsidR="0016684F" w:rsidRPr="00863DEF" w:rsidRDefault="0016684F" w:rsidP="0030712C">
      <w:pPr>
        <w:autoSpaceDE w:val="0"/>
        <w:autoSpaceDN w:val="0"/>
        <w:adjustRightInd w:val="0"/>
        <w:spacing w:after="120" w:line="240" w:lineRule="auto"/>
        <w:rPr>
          <w:rFonts w:ascii="Times New Roman" w:hAnsi="Times New Roman" w:cs="Times New Roman"/>
          <w:sz w:val="19"/>
          <w:szCs w:val="19"/>
        </w:rPr>
      </w:pPr>
      <w:r w:rsidRPr="00863DEF">
        <w:rPr>
          <w:rStyle w:val="FootnoteReference"/>
          <w:rFonts w:ascii="Times New Roman" w:hAnsi="Times New Roman" w:cs="Times New Roman"/>
        </w:rPr>
        <w:footnoteRef/>
      </w:r>
      <w:r w:rsidRPr="00863DEF">
        <w:rPr>
          <w:rFonts w:ascii="Times New Roman" w:hAnsi="Times New Roman" w:cs="Times New Roman"/>
        </w:rPr>
        <w:t xml:space="preserve"> </w:t>
      </w:r>
      <w:proofErr w:type="gramStart"/>
      <w:r w:rsidRPr="00863DEF">
        <w:rPr>
          <w:rFonts w:ascii="Times New Roman" w:hAnsi="Times New Roman" w:cs="Times New Roman"/>
          <w:i/>
          <w:iCs/>
          <w:sz w:val="19"/>
          <w:szCs w:val="19"/>
        </w:rPr>
        <w:t>Ohio Consumers’ Counsel v. Pub.</w:t>
      </w:r>
      <w:proofErr w:type="gramEnd"/>
      <w:r w:rsidRPr="00863DEF">
        <w:rPr>
          <w:rFonts w:ascii="Times New Roman" w:hAnsi="Times New Roman" w:cs="Times New Roman"/>
          <w:i/>
          <w:iCs/>
          <w:sz w:val="19"/>
          <w:szCs w:val="19"/>
        </w:rPr>
        <w:t xml:space="preserve"> Util. Comm</w:t>
      </w:r>
      <w:r w:rsidRPr="00863DEF">
        <w:rPr>
          <w:rFonts w:ascii="Times New Roman" w:hAnsi="Times New Roman" w:cs="Times New Roman"/>
          <w:sz w:val="19"/>
          <w:szCs w:val="19"/>
        </w:rPr>
        <w:t xml:space="preserve">., 111 Ohio St.3d 384, 2006-Ohio-5853 at ¶19 (quoting </w:t>
      </w:r>
      <w:r w:rsidRPr="00863DEF">
        <w:rPr>
          <w:rFonts w:ascii="Times New Roman" w:hAnsi="Times New Roman" w:cs="Times New Roman"/>
          <w:i/>
          <w:iCs/>
          <w:sz w:val="19"/>
          <w:szCs w:val="19"/>
        </w:rPr>
        <w:t xml:space="preserve">Ohio Domestic Violence Network v. Pub. </w:t>
      </w:r>
      <w:proofErr w:type="gramStart"/>
      <w:r w:rsidRPr="00863DEF">
        <w:rPr>
          <w:rFonts w:ascii="Times New Roman" w:hAnsi="Times New Roman" w:cs="Times New Roman"/>
          <w:i/>
          <w:iCs/>
          <w:sz w:val="19"/>
          <w:szCs w:val="19"/>
        </w:rPr>
        <w:t xml:space="preserve">Util. Comm. </w:t>
      </w:r>
      <w:r w:rsidRPr="00863DEF">
        <w:rPr>
          <w:rFonts w:ascii="Times New Roman" w:hAnsi="Times New Roman" w:cs="Times New Roman"/>
          <w:sz w:val="19"/>
          <w:szCs w:val="19"/>
        </w:rPr>
        <w:t xml:space="preserve">(1994), 70 Ohio St.3d 311, 315); </w:t>
      </w:r>
      <w:r w:rsidRPr="00863DEF">
        <w:rPr>
          <w:rFonts w:ascii="Times New Roman" w:hAnsi="Times New Roman" w:cs="Times New Roman"/>
          <w:i/>
          <w:iCs/>
          <w:sz w:val="19"/>
          <w:szCs w:val="19"/>
        </w:rPr>
        <w:t>Office of Consumers’ Counsel v. Pub.</w:t>
      </w:r>
      <w:proofErr w:type="gramEnd"/>
      <w:r w:rsidRPr="00863DEF">
        <w:rPr>
          <w:rFonts w:ascii="Times New Roman" w:hAnsi="Times New Roman" w:cs="Times New Roman"/>
          <w:i/>
          <w:iCs/>
          <w:sz w:val="19"/>
          <w:szCs w:val="19"/>
        </w:rPr>
        <w:t xml:space="preserve"> Util. Comm. </w:t>
      </w:r>
      <w:r w:rsidRPr="00863DEF">
        <w:rPr>
          <w:rFonts w:ascii="Times New Roman" w:hAnsi="Times New Roman" w:cs="Times New Roman"/>
          <w:sz w:val="19"/>
          <w:szCs w:val="19"/>
        </w:rPr>
        <w:t xml:space="preserve">(1994), </w:t>
      </w:r>
      <w:proofErr w:type="gramStart"/>
      <w:r w:rsidRPr="00863DEF">
        <w:rPr>
          <w:rFonts w:ascii="Times New Roman" w:hAnsi="Times New Roman" w:cs="Times New Roman"/>
          <w:sz w:val="19"/>
          <w:szCs w:val="19"/>
        </w:rPr>
        <w:t>70 Ohio St.3d 244</w:t>
      </w:r>
      <w:proofErr w:type="gramEnd"/>
      <w:r w:rsidRPr="00863DEF">
        <w:rPr>
          <w:rFonts w:ascii="Times New Roman" w:hAnsi="Times New Roman" w:cs="Times New Roman"/>
          <w:sz w:val="19"/>
          <w:szCs w:val="19"/>
        </w:rPr>
        <w:t>.</w:t>
      </w:r>
    </w:p>
  </w:footnote>
  <w:footnote w:id="31">
    <w:p w:rsidR="0016684F" w:rsidRPr="00863DEF" w:rsidRDefault="0016684F" w:rsidP="0030712C">
      <w:pPr>
        <w:pStyle w:val="FootnoteText"/>
        <w:spacing w:after="120"/>
        <w:rPr>
          <w:rFonts w:ascii="Times New Roman" w:hAnsi="Times New Roman" w:cs="Times New Roman"/>
        </w:rPr>
      </w:pPr>
      <w:r w:rsidRPr="00863DEF">
        <w:rPr>
          <w:rStyle w:val="FootnoteReference"/>
          <w:rFonts w:ascii="Times New Roman" w:hAnsi="Times New Roman" w:cs="Times New Roman"/>
        </w:rPr>
        <w:footnoteRef/>
      </w:r>
      <w:r w:rsidRPr="00863DEF">
        <w:rPr>
          <w:rFonts w:ascii="Times New Roman" w:hAnsi="Times New Roman" w:cs="Times New Roman"/>
        </w:rPr>
        <w:t xml:space="preserve"> </w:t>
      </w:r>
      <w:proofErr w:type="gramStart"/>
      <w:r w:rsidRPr="00863DEF">
        <w:rPr>
          <w:rFonts w:ascii="Times New Roman" w:hAnsi="Times New Roman" w:cs="Times New Roman"/>
          <w:i/>
          <w:iCs/>
          <w:sz w:val="19"/>
          <w:szCs w:val="19"/>
        </w:rPr>
        <w:t xml:space="preserve">Scott v. East Cleveland </w:t>
      </w:r>
      <w:r w:rsidRPr="00863DEF">
        <w:rPr>
          <w:rFonts w:ascii="Times New Roman" w:hAnsi="Times New Roman" w:cs="Times New Roman"/>
          <w:sz w:val="19"/>
          <w:szCs w:val="19"/>
        </w:rPr>
        <w:t>(1984), 16 Ohio App. 3d 429, 476 (Ct. App.).</w:t>
      </w:r>
      <w:proofErr w:type="gramEnd"/>
    </w:p>
  </w:footnote>
  <w:footnote w:id="32">
    <w:p w:rsidR="0016684F" w:rsidRPr="00B506E9" w:rsidRDefault="0016684F" w:rsidP="00413BEF">
      <w:pPr>
        <w:pStyle w:val="FootnoteText"/>
        <w:spacing w:after="120"/>
        <w:rPr>
          <w:rFonts w:ascii="Times New Roman" w:hAnsi="Times New Roman" w:cs="Times New Roman"/>
        </w:rPr>
      </w:pPr>
      <w:r w:rsidRPr="00B506E9">
        <w:rPr>
          <w:rStyle w:val="FootnoteReference"/>
          <w:rFonts w:ascii="Times New Roman" w:hAnsi="Times New Roman" w:cs="Times New Roman"/>
        </w:rPr>
        <w:footnoteRef/>
      </w:r>
      <w:r w:rsidRPr="00B506E9">
        <w:rPr>
          <w:rFonts w:ascii="Times New Roman" w:hAnsi="Times New Roman" w:cs="Times New Roman"/>
        </w:rPr>
        <w:t xml:space="preserve"> </w:t>
      </w:r>
      <w:proofErr w:type="gramStart"/>
      <w:r w:rsidRPr="00B506E9">
        <w:rPr>
          <w:rFonts w:ascii="Times New Roman" w:hAnsi="Times New Roman" w:cs="Times New Roman"/>
        </w:rPr>
        <w:t xml:space="preserve">Duke </w:t>
      </w:r>
      <w:r>
        <w:rPr>
          <w:rFonts w:ascii="Times New Roman" w:hAnsi="Times New Roman" w:cs="Times New Roman"/>
        </w:rPr>
        <w:t xml:space="preserve">Initial </w:t>
      </w:r>
      <w:r w:rsidRPr="00B506E9">
        <w:rPr>
          <w:rFonts w:ascii="Times New Roman" w:hAnsi="Times New Roman" w:cs="Times New Roman"/>
        </w:rPr>
        <w:t>Brief at 38.</w:t>
      </w:r>
      <w:proofErr w:type="gramEnd"/>
    </w:p>
  </w:footnote>
  <w:footnote w:id="33">
    <w:p w:rsidR="0016684F" w:rsidRDefault="0016684F" w:rsidP="00413BEF">
      <w:pPr>
        <w:pStyle w:val="FootnoteText"/>
        <w:spacing w:after="120"/>
      </w:pPr>
      <w:r w:rsidRPr="00B506E9">
        <w:rPr>
          <w:rStyle w:val="FootnoteReference"/>
          <w:rFonts w:ascii="Times New Roman" w:hAnsi="Times New Roman" w:cs="Times New Roman"/>
        </w:rPr>
        <w:footnoteRef/>
      </w:r>
      <w:r w:rsidRPr="00B506E9">
        <w:rPr>
          <w:rFonts w:ascii="Times New Roman" w:hAnsi="Times New Roman" w:cs="Times New Roman"/>
        </w:rPr>
        <w:t xml:space="preserve"> </w:t>
      </w:r>
      <w:r>
        <w:rPr>
          <w:rFonts w:ascii="Times New Roman" w:hAnsi="Times New Roman" w:cs="Times New Roman"/>
        </w:rPr>
        <w:t>Id.</w:t>
      </w:r>
    </w:p>
  </w:footnote>
  <w:footnote w:id="34">
    <w:p w:rsidR="0016684F" w:rsidRPr="00713D3A" w:rsidRDefault="0016684F" w:rsidP="00413BEF">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w:t>
      </w:r>
      <w:proofErr w:type="gramStart"/>
      <w:r>
        <w:rPr>
          <w:rFonts w:ascii="Times New Roman" w:hAnsi="Times New Roman" w:cs="Times New Roman"/>
        </w:rPr>
        <w:t xml:space="preserve">Id. </w:t>
      </w:r>
      <w:r w:rsidRPr="00713D3A">
        <w:rPr>
          <w:rFonts w:ascii="Times New Roman" w:hAnsi="Times New Roman" w:cs="Times New Roman"/>
        </w:rPr>
        <w:t>at 39.</w:t>
      </w:r>
      <w:proofErr w:type="gramEnd"/>
    </w:p>
  </w:footnote>
  <w:footnote w:id="35">
    <w:p w:rsidR="0016684F" w:rsidRPr="00713D3A" w:rsidRDefault="0016684F" w:rsidP="00413BEF">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w:t>
      </w:r>
      <w:proofErr w:type="gramStart"/>
      <w:r w:rsidRPr="00713D3A">
        <w:rPr>
          <w:rFonts w:ascii="Times New Roman" w:hAnsi="Times New Roman" w:cs="Times New Roman"/>
        </w:rPr>
        <w:t>FERC Docket No.</w:t>
      </w:r>
      <w:proofErr w:type="gramEnd"/>
      <w:r w:rsidRPr="00713D3A">
        <w:rPr>
          <w:rFonts w:ascii="Times New Roman" w:hAnsi="Times New Roman" w:cs="Times New Roman"/>
        </w:rPr>
        <w:t xml:space="preserve"> ER10-1562 (June 25, 2010).</w:t>
      </w:r>
    </w:p>
  </w:footnote>
  <w:footnote w:id="36">
    <w:p w:rsidR="0016684F" w:rsidRPr="00713D3A" w:rsidRDefault="0016684F" w:rsidP="00413BEF">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w:t>
      </w:r>
      <w:proofErr w:type="gramStart"/>
      <w:r w:rsidRPr="00713D3A">
        <w:rPr>
          <w:rFonts w:ascii="Times New Roman" w:hAnsi="Times New Roman" w:cs="Times New Roman"/>
        </w:rPr>
        <w:t>FERC Docket No.</w:t>
      </w:r>
      <w:proofErr w:type="gramEnd"/>
      <w:r w:rsidRPr="00713D3A">
        <w:rPr>
          <w:rFonts w:ascii="Times New Roman" w:hAnsi="Times New Roman" w:cs="Times New Roman"/>
        </w:rPr>
        <w:t xml:space="preserve"> ER10-2254 (August 16, 2010).</w:t>
      </w:r>
    </w:p>
  </w:footnote>
  <w:footnote w:id="37">
    <w:p w:rsidR="0016684F" w:rsidRPr="00713D3A" w:rsidRDefault="0016684F" w:rsidP="00413BEF">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PUCO Case No. 11-2641-EL-RDR, et al., Stipulation and Recommendation (April 26, 2011).</w:t>
      </w:r>
    </w:p>
  </w:footnote>
  <w:footnote w:id="38">
    <w:p w:rsidR="0016684F" w:rsidRPr="00713D3A" w:rsidRDefault="0016684F" w:rsidP="00413BEF">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PUCO Case No. 11</w:t>
      </w:r>
      <w:r>
        <w:rPr>
          <w:rFonts w:ascii="Times New Roman" w:hAnsi="Times New Roman" w:cs="Times New Roman"/>
        </w:rPr>
        <w:t>-3</w:t>
      </w:r>
      <w:r w:rsidRPr="00713D3A">
        <w:rPr>
          <w:rFonts w:ascii="Times New Roman" w:hAnsi="Times New Roman" w:cs="Times New Roman"/>
        </w:rPr>
        <w:t>549-EL-SSO, Application, (June 20, 2011).</w:t>
      </w:r>
    </w:p>
  </w:footnote>
  <w:footnote w:id="39">
    <w:p w:rsidR="0016684F" w:rsidRDefault="0016684F" w:rsidP="00413BEF">
      <w:pPr>
        <w:pStyle w:val="FootnoteText"/>
        <w:spacing w:after="120"/>
      </w:pPr>
      <w:r>
        <w:rPr>
          <w:rStyle w:val="FootnoteReference"/>
        </w:rPr>
        <w:footnoteRef/>
      </w:r>
      <w:r>
        <w:t xml:space="preserve"> </w:t>
      </w:r>
      <w:r w:rsidRPr="00713D3A">
        <w:rPr>
          <w:rFonts w:ascii="Times New Roman" w:hAnsi="Times New Roman" w:cs="Times New Roman"/>
        </w:rPr>
        <w:t>PUCO Case No. 11</w:t>
      </w:r>
      <w:r>
        <w:rPr>
          <w:rFonts w:ascii="Times New Roman" w:hAnsi="Times New Roman" w:cs="Times New Roman"/>
        </w:rPr>
        <w:t>-3</w:t>
      </w:r>
      <w:r w:rsidRPr="00713D3A">
        <w:rPr>
          <w:rFonts w:ascii="Times New Roman" w:hAnsi="Times New Roman" w:cs="Times New Roman"/>
        </w:rPr>
        <w:t xml:space="preserve">549-EL-SSO, </w:t>
      </w:r>
      <w:r>
        <w:rPr>
          <w:rFonts w:ascii="Times New Roman" w:hAnsi="Times New Roman" w:cs="Times New Roman"/>
        </w:rPr>
        <w:t>Stipulation and Recommendation</w:t>
      </w:r>
      <w:r w:rsidRPr="00713D3A">
        <w:rPr>
          <w:rFonts w:ascii="Times New Roman" w:hAnsi="Times New Roman" w:cs="Times New Roman"/>
        </w:rPr>
        <w:t>, (</w:t>
      </w:r>
      <w:r>
        <w:rPr>
          <w:rFonts w:ascii="Times New Roman" w:hAnsi="Times New Roman" w:cs="Times New Roman"/>
        </w:rPr>
        <w:t>October 24</w:t>
      </w:r>
      <w:r w:rsidRPr="00713D3A">
        <w:rPr>
          <w:rFonts w:ascii="Times New Roman" w:hAnsi="Times New Roman" w:cs="Times New Roman"/>
        </w:rPr>
        <w:t>, 2011)</w:t>
      </w:r>
      <w:r>
        <w:rPr>
          <w:rFonts w:ascii="Times New Roman" w:hAnsi="Times New Roman" w:cs="Times New Roman"/>
        </w:rPr>
        <w:t>.</w:t>
      </w:r>
    </w:p>
  </w:footnote>
  <w:footnote w:id="40">
    <w:p w:rsidR="0016684F" w:rsidRPr="00CD1AE9" w:rsidRDefault="0016684F" w:rsidP="00413BEF">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proofErr w:type="gramStart"/>
      <w:r w:rsidRPr="00CD1AE9">
        <w:rPr>
          <w:rFonts w:ascii="Times New Roman" w:hAnsi="Times New Roman" w:cs="Times New Roman"/>
        </w:rPr>
        <w:t>Duke</w:t>
      </w:r>
      <w:r>
        <w:rPr>
          <w:rFonts w:ascii="Times New Roman" w:hAnsi="Times New Roman" w:cs="Times New Roman"/>
        </w:rPr>
        <w:t xml:space="preserve"> Initial</w:t>
      </w:r>
      <w:r w:rsidRPr="00CD1AE9">
        <w:rPr>
          <w:rFonts w:ascii="Times New Roman" w:hAnsi="Times New Roman" w:cs="Times New Roman"/>
        </w:rPr>
        <w:t xml:space="preserve"> Brief at 30.</w:t>
      </w:r>
      <w:proofErr w:type="gramEnd"/>
    </w:p>
  </w:footnote>
  <w:footnote w:id="41">
    <w:p w:rsidR="0016684F" w:rsidRPr="00CD1AE9" w:rsidRDefault="0016684F" w:rsidP="00413BEF">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r>
        <w:rPr>
          <w:rFonts w:ascii="Times New Roman" w:hAnsi="Times New Roman" w:cs="Times New Roman"/>
        </w:rPr>
        <w:t>Id</w:t>
      </w:r>
      <w:r w:rsidRPr="00CD1AE9">
        <w:rPr>
          <w:rFonts w:ascii="Times New Roman" w:hAnsi="Times New Roman" w:cs="Times New Roman"/>
        </w:rPr>
        <w:t>.</w:t>
      </w:r>
    </w:p>
  </w:footnote>
  <w:footnote w:id="42">
    <w:p w:rsidR="0016684F" w:rsidRPr="00CD1AE9" w:rsidRDefault="0016684F" w:rsidP="00413BEF">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proofErr w:type="gramStart"/>
      <w:r w:rsidRPr="00CD1AE9">
        <w:rPr>
          <w:rFonts w:ascii="Times New Roman" w:hAnsi="Times New Roman" w:cs="Times New Roman"/>
        </w:rPr>
        <w:t>Duke Brief at 32.</w:t>
      </w:r>
      <w:proofErr w:type="gramEnd"/>
    </w:p>
  </w:footnote>
  <w:footnote w:id="43">
    <w:p w:rsidR="0016684F" w:rsidRPr="00FE479B" w:rsidRDefault="0016684F" w:rsidP="00413BEF">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r>
        <w:rPr>
          <w:rFonts w:ascii="Times New Roman" w:hAnsi="Times New Roman" w:cs="Times New Roman"/>
        </w:rPr>
        <w:t>Id.</w:t>
      </w:r>
    </w:p>
  </w:footnote>
  <w:footnote w:id="44">
    <w:p w:rsidR="0016684F" w:rsidRPr="00FE479B"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OCC Ex. 1 at 51.</w:t>
      </w:r>
    </w:p>
  </w:footnote>
  <w:footnote w:id="45">
    <w:p w:rsidR="0016684F" w:rsidRPr="00E665F5" w:rsidRDefault="0016684F" w:rsidP="00413BEF">
      <w:pPr>
        <w:pStyle w:val="FootnoteText"/>
        <w:spacing w:after="120"/>
        <w:rPr>
          <w:rFonts w:ascii="Times New Roman" w:hAnsi="Times New Roman" w:cs="Times New Roman"/>
        </w:rPr>
      </w:pPr>
      <w:r w:rsidRPr="00E665F5">
        <w:rPr>
          <w:rStyle w:val="FootnoteReference"/>
          <w:rFonts w:ascii="Times New Roman" w:hAnsi="Times New Roman" w:cs="Times New Roman"/>
        </w:rPr>
        <w:footnoteRef/>
      </w:r>
      <w:r w:rsidRPr="00E665F5">
        <w:rPr>
          <w:rFonts w:ascii="Times New Roman" w:hAnsi="Times New Roman" w:cs="Times New Roman"/>
        </w:rPr>
        <w:t xml:space="preserve"> </w:t>
      </w:r>
      <w:proofErr w:type="gramStart"/>
      <w:r w:rsidRPr="00E665F5">
        <w:rPr>
          <w:rFonts w:ascii="Times New Roman" w:hAnsi="Times New Roman" w:cs="Times New Roman"/>
        </w:rPr>
        <w:t>AEP Ohio ESP Order at 52.</w:t>
      </w:r>
      <w:proofErr w:type="gramEnd"/>
    </w:p>
  </w:footnote>
  <w:footnote w:id="46">
    <w:p w:rsidR="0016684F" w:rsidRPr="00E665F5" w:rsidRDefault="0016684F" w:rsidP="00413BEF">
      <w:pPr>
        <w:pStyle w:val="FootnoteText"/>
        <w:spacing w:after="120"/>
        <w:rPr>
          <w:rFonts w:ascii="Times New Roman" w:hAnsi="Times New Roman" w:cs="Times New Roman"/>
        </w:rPr>
      </w:pPr>
      <w:r w:rsidRPr="00E665F5">
        <w:rPr>
          <w:rStyle w:val="FootnoteReference"/>
          <w:rFonts w:ascii="Times New Roman" w:hAnsi="Times New Roman" w:cs="Times New Roman"/>
        </w:rPr>
        <w:footnoteRef/>
      </w:r>
      <w:r w:rsidRPr="00E665F5">
        <w:rPr>
          <w:rFonts w:ascii="Times New Roman" w:hAnsi="Times New Roman" w:cs="Times New Roman"/>
        </w:rPr>
        <w:t xml:space="preserve"> </w:t>
      </w:r>
      <w:r>
        <w:rPr>
          <w:rFonts w:ascii="Times New Roman" w:hAnsi="Times New Roman" w:cs="Times New Roman"/>
        </w:rPr>
        <w:t>Id.</w:t>
      </w:r>
      <w:r w:rsidRPr="00E665F5">
        <w:rPr>
          <w:rFonts w:ascii="Times New Roman" w:hAnsi="Times New Roman" w:cs="Times New Roman"/>
        </w:rPr>
        <w:t xml:space="preserve"> (</w:t>
      </w:r>
      <w:r>
        <w:rPr>
          <w:rFonts w:ascii="Times New Roman" w:hAnsi="Times New Roman" w:cs="Times New Roman"/>
        </w:rPr>
        <w:t>E</w:t>
      </w:r>
      <w:r w:rsidRPr="00E665F5">
        <w:rPr>
          <w:rFonts w:ascii="Times New Roman" w:hAnsi="Times New Roman" w:cs="Times New Roman"/>
        </w:rPr>
        <w:t>mphasis added).</w:t>
      </w:r>
    </w:p>
  </w:footnote>
  <w:footnote w:id="47">
    <w:p w:rsidR="0016684F" w:rsidRDefault="0016684F" w:rsidP="00413BEF">
      <w:pPr>
        <w:pStyle w:val="FootnoteText"/>
        <w:spacing w:after="120"/>
      </w:pPr>
      <w:r w:rsidRPr="00E665F5">
        <w:rPr>
          <w:rStyle w:val="FootnoteReference"/>
          <w:rFonts w:ascii="Times New Roman" w:hAnsi="Times New Roman" w:cs="Times New Roman"/>
        </w:rPr>
        <w:footnoteRef/>
      </w:r>
      <w:r>
        <w:rPr>
          <w:rFonts w:ascii="Times New Roman" w:hAnsi="Times New Roman" w:cs="Times New Roman"/>
        </w:rPr>
        <w:t xml:space="preserve"> Id.</w:t>
      </w:r>
    </w:p>
  </w:footnote>
  <w:footnote w:id="48">
    <w:p w:rsidR="0016684F" w:rsidRPr="00FE479B"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w:t>
      </w:r>
      <w:r>
        <w:rPr>
          <w:rFonts w:ascii="Times New Roman" w:hAnsi="Times New Roman" w:cs="Times New Roman"/>
        </w:rPr>
        <w:t>Id.</w:t>
      </w:r>
    </w:p>
  </w:footnote>
  <w:footnote w:id="49">
    <w:p w:rsidR="0016684F" w:rsidRPr="00FE479B"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w:t>
      </w:r>
      <w:proofErr w:type="gramStart"/>
      <w:r w:rsidRPr="00FE479B">
        <w:rPr>
          <w:rFonts w:ascii="Times New Roman" w:hAnsi="Times New Roman" w:cs="Times New Roman"/>
        </w:rPr>
        <w:t>October 17 Entry on Rehearing at 10.</w:t>
      </w:r>
      <w:proofErr w:type="gramEnd"/>
    </w:p>
  </w:footnote>
  <w:footnote w:id="50">
    <w:p w:rsidR="0016684F" w:rsidRPr="00FE479B"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w:t>
      </w:r>
      <w:r>
        <w:rPr>
          <w:rFonts w:ascii="Times New Roman" w:hAnsi="Times New Roman" w:cs="Times New Roman"/>
        </w:rPr>
        <w:t>Id</w:t>
      </w:r>
      <w:r w:rsidRPr="00FE479B">
        <w:rPr>
          <w:rFonts w:ascii="Times New Roman" w:hAnsi="Times New Roman" w:cs="Times New Roman"/>
        </w:rPr>
        <w:t>.</w:t>
      </w:r>
    </w:p>
  </w:footnote>
  <w:footnote w:id="51">
    <w:p w:rsidR="0016684F" w:rsidRPr="00FE479B"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w:t>
      </w:r>
      <w:proofErr w:type="gramStart"/>
      <w:r>
        <w:rPr>
          <w:rFonts w:ascii="Times New Roman" w:hAnsi="Times New Roman" w:cs="Times New Roman"/>
        </w:rPr>
        <w:t xml:space="preserve">Id. at </w:t>
      </w:r>
      <w:r w:rsidRPr="00FE479B">
        <w:rPr>
          <w:rFonts w:ascii="Times New Roman" w:hAnsi="Times New Roman" w:cs="Times New Roman"/>
        </w:rPr>
        <w:t>11.</w:t>
      </w:r>
      <w:proofErr w:type="gramEnd"/>
    </w:p>
  </w:footnote>
  <w:footnote w:id="52">
    <w:p w:rsidR="0016684F" w:rsidRPr="005A47CC" w:rsidRDefault="0016684F" w:rsidP="00413BEF">
      <w:pPr>
        <w:pStyle w:val="FootnoteText"/>
        <w:spacing w:after="120"/>
        <w:rPr>
          <w:rFonts w:ascii="Times New Roman" w:hAnsi="Times New Roman" w:cs="Times New Roman"/>
        </w:rPr>
      </w:pPr>
      <w:r w:rsidRPr="00FE479B">
        <w:rPr>
          <w:rStyle w:val="FootnoteReference"/>
          <w:rFonts w:ascii="Times New Roman" w:hAnsi="Times New Roman" w:cs="Times New Roman"/>
        </w:rPr>
        <w:footnoteRef/>
      </w:r>
      <w:r w:rsidRPr="00FE479B">
        <w:rPr>
          <w:rFonts w:ascii="Times New Roman" w:hAnsi="Times New Roman" w:cs="Times New Roman"/>
        </w:rPr>
        <w:t xml:space="preserve"> </w:t>
      </w:r>
      <w:r>
        <w:rPr>
          <w:rFonts w:ascii="Times New Roman" w:hAnsi="Times New Roman" w:cs="Times New Roman"/>
        </w:rPr>
        <w:t>Id.</w:t>
      </w:r>
    </w:p>
  </w:footnote>
  <w:footnote w:id="53">
    <w:p w:rsidR="0016684F" w:rsidRPr="005A47CC" w:rsidRDefault="0016684F" w:rsidP="00413BEF">
      <w:pPr>
        <w:pStyle w:val="FootnoteText"/>
        <w:spacing w:after="120"/>
        <w:rPr>
          <w:rFonts w:ascii="Times New Roman" w:hAnsi="Times New Roman" w:cs="Times New Roman"/>
        </w:rPr>
      </w:pPr>
      <w:r w:rsidRPr="005A47CC">
        <w:rPr>
          <w:rStyle w:val="FootnoteReference"/>
          <w:rFonts w:ascii="Times New Roman" w:hAnsi="Times New Roman" w:cs="Times New Roman"/>
        </w:rPr>
        <w:footnoteRef/>
      </w:r>
      <w:r w:rsidRPr="005A47CC">
        <w:rPr>
          <w:rFonts w:ascii="Times New Roman" w:hAnsi="Times New Roman" w:cs="Times New Roman"/>
        </w:rPr>
        <w:t xml:space="preserve"> </w:t>
      </w:r>
      <w:r>
        <w:rPr>
          <w:rFonts w:ascii="Times New Roman" w:hAnsi="Times New Roman" w:cs="Times New Roman"/>
        </w:rPr>
        <w:t>Id.</w:t>
      </w:r>
    </w:p>
  </w:footnote>
  <w:footnote w:id="54">
    <w:p w:rsidR="0016684F" w:rsidRDefault="0016684F" w:rsidP="00413BEF">
      <w:pPr>
        <w:pStyle w:val="FootnoteText"/>
        <w:spacing w:after="120"/>
      </w:pPr>
      <w:r w:rsidRPr="005A47CC">
        <w:rPr>
          <w:rStyle w:val="FootnoteReference"/>
          <w:rFonts w:ascii="Times New Roman" w:hAnsi="Times New Roman" w:cs="Times New Roman"/>
        </w:rPr>
        <w:footnoteRef/>
      </w:r>
      <w:r w:rsidRPr="005A47CC">
        <w:rPr>
          <w:rFonts w:ascii="Times New Roman" w:hAnsi="Times New Roman" w:cs="Times New Roman"/>
        </w:rPr>
        <w:t xml:space="preserve"> </w:t>
      </w:r>
      <w:r>
        <w:rPr>
          <w:rFonts w:ascii="Times New Roman" w:hAnsi="Times New Roman" w:cs="Times New Roman"/>
        </w:rPr>
        <w:t>Id. at</w:t>
      </w:r>
      <w:r w:rsidRPr="005A47CC">
        <w:rPr>
          <w:rFonts w:ascii="Times New Roman" w:hAnsi="Times New Roman" w:cs="Times New Roman"/>
        </w:rPr>
        <w:t xml:space="preserve"> 11-12</w:t>
      </w:r>
      <w:r>
        <w:rPr>
          <w:rFonts w:ascii="Times New Roman" w:hAnsi="Times New Roman" w:cs="Times New Roman"/>
        </w:rPr>
        <w:t>.</w:t>
      </w:r>
    </w:p>
  </w:footnote>
  <w:footnote w:id="55">
    <w:p w:rsidR="0016684F" w:rsidRPr="00704436" w:rsidRDefault="0016684F" w:rsidP="00413BEF">
      <w:pPr>
        <w:pStyle w:val="FootnoteText"/>
        <w:spacing w:after="120"/>
        <w:rPr>
          <w:rFonts w:ascii="Times New Roman" w:hAnsi="Times New Roman" w:cs="Times New Roman"/>
        </w:rPr>
      </w:pPr>
      <w:r w:rsidRPr="00EA732B">
        <w:rPr>
          <w:rStyle w:val="FootnoteReference"/>
          <w:rFonts w:ascii="Times New Roman" w:hAnsi="Times New Roman" w:cs="Times New Roman"/>
        </w:rPr>
        <w:footnoteRef/>
      </w:r>
      <w:r w:rsidRPr="00EA732B">
        <w:rPr>
          <w:rFonts w:ascii="Times New Roman" w:hAnsi="Times New Roman" w:cs="Times New Roman"/>
        </w:rPr>
        <w:t xml:space="preserve"> </w:t>
      </w:r>
      <w:r>
        <w:rPr>
          <w:rFonts w:ascii="Times New Roman" w:hAnsi="Times New Roman" w:cs="Times New Roman"/>
        </w:rPr>
        <w:t>Case No. 10-2929-El-UNC, Entry (December 8, 2010).</w:t>
      </w:r>
    </w:p>
  </w:footnote>
  <w:footnote w:id="5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3.</w:t>
      </w:r>
      <w:proofErr w:type="gramEnd"/>
      <w:r w:rsidRPr="00D308F6">
        <w:rPr>
          <w:rFonts w:ascii="Times New Roman" w:hAnsi="Times New Roman" w:cs="Times New Roman"/>
        </w:rPr>
        <w:t xml:space="preserve">  </w:t>
      </w:r>
    </w:p>
  </w:footnote>
  <w:footnote w:id="5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rPr>
        <w:t xml:space="preserve"> Id.</w:t>
      </w:r>
    </w:p>
  </w:footnote>
  <w:footnote w:id="5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Duke continues to assert that FRR capacity service is a generation service but “non-competitive” generation and thus not subject to regulation under R.C. Chapter 4928.  As explained in detail in OCC’s Initial Brief at 15-17, the PUCO expressly found “it unnecessary to determine whether capacity service is considered a competitive or non-competitive service under Chapter 4928, Revised Code.”  (</w:t>
      </w:r>
      <w:proofErr w:type="gramStart"/>
      <w:r w:rsidRPr="00D308F6">
        <w:rPr>
          <w:rFonts w:ascii="Times New Roman" w:hAnsi="Times New Roman" w:cs="Times New Roman"/>
        </w:rPr>
        <w:t>citing</w:t>
      </w:r>
      <w:proofErr w:type="gramEnd"/>
      <w:r w:rsidRPr="00D308F6">
        <w:rPr>
          <w:rFonts w:ascii="Times New Roman" w:hAnsi="Times New Roman" w:cs="Times New Roman"/>
        </w:rPr>
        <w:t xml:space="preserve"> to OCC Ex. 1 at 13).</w:t>
      </w:r>
    </w:p>
  </w:footnote>
  <w:footnote w:id="5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8.</w:t>
      </w:r>
      <w:proofErr w:type="gramEnd"/>
      <w:r w:rsidRPr="00D308F6">
        <w:rPr>
          <w:rFonts w:ascii="Times New Roman" w:hAnsi="Times New Roman" w:cs="Times New Roman"/>
        </w:rPr>
        <w:t xml:space="preserve">  </w:t>
      </w:r>
    </w:p>
  </w:footnote>
  <w:footnote w:id="6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3.</w:t>
      </w:r>
      <w:proofErr w:type="gramEnd"/>
      <w:r w:rsidRPr="00D308F6">
        <w:rPr>
          <w:rFonts w:ascii="Times New Roman" w:hAnsi="Times New Roman" w:cs="Times New Roman"/>
        </w:rPr>
        <w:t xml:space="preserve">  </w:t>
      </w:r>
    </w:p>
  </w:footnote>
  <w:footnote w:id="6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1.</w:t>
      </w:r>
      <w:proofErr w:type="gramEnd"/>
      <w:r w:rsidRPr="00D308F6">
        <w:rPr>
          <w:rFonts w:ascii="Times New Roman" w:hAnsi="Times New Roman" w:cs="Times New Roman"/>
        </w:rPr>
        <w:t xml:space="preserve">  </w:t>
      </w:r>
    </w:p>
  </w:footnote>
  <w:footnote w:id="62">
    <w:p w:rsidR="0016684F" w:rsidRPr="00D308F6" w:rsidRDefault="0016684F" w:rsidP="00091A23">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w:t>
      </w:r>
      <w:proofErr w:type="gramStart"/>
      <w:r w:rsidRPr="00D308F6">
        <w:rPr>
          <w:rFonts w:ascii="Times New Roman" w:hAnsi="Times New Roman" w:cs="Times New Roman"/>
          <w:sz w:val="20"/>
          <w:szCs w:val="20"/>
        </w:rPr>
        <w:t>See</w:t>
      </w:r>
      <w:r w:rsidRPr="00D308F6">
        <w:rPr>
          <w:rFonts w:ascii="Times New Roman" w:hAnsi="Times New Roman" w:cs="Times New Roman"/>
          <w:i/>
          <w:sz w:val="20"/>
          <w:szCs w:val="20"/>
        </w:rPr>
        <w:t xml:space="preserve"> Utility Serv. Partners, Inc. v. Pub.</w:t>
      </w:r>
      <w:proofErr w:type="gramEnd"/>
      <w:r w:rsidRPr="00D308F6">
        <w:rPr>
          <w:rFonts w:ascii="Times New Roman" w:hAnsi="Times New Roman" w:cs="Times New Roman"/>
          <w:i/>
          <w:sz w:val="20"/>
          <w:szCs w:val="20"/>
        </w:rPr>
        <w:t xml:space="preserve"> </w:t>
      </w:r>
      <w:proofErr w:type="gramStart"/>
      <w:r w:rsidRPr="00D308F6">
        <w:rPr>
          <w:rFonts w:ascii="Times New Roman" w:hAnsi="Times New Roman" w:cs="Times New Roman"/>
          <w:i/>
          <w:sz w:val="20"/>
          <w:szCs w:val="20"/>
        </w:rPr>
        <w:t xml:space="preserve">Util. Comm., </w:t>
      </w:r>
      <w:r w:rsidRPr="00D308F6">
        <w:rPr>
          <w:rFonts w:ascii="Times New Roman" w:hAnsi="Times New Roman" w:cs="Times New Roman"/>
          <w:sz w:val="20"/>
          <w:szCs w:val="20"/>
        </w:rPr>
        <w:t>124 Ohio St.3d 284 at ¶12;</w:t>
      </w:r>
      <w:r w:rsidRPr="00D308F6">
        <w:rPr>
          <w:rFonts w:ascii="Times New Roman" w:hAnsi="Times New Roman" w:cs="Times New Roman"/>
          <w:i/>
          <w:sz w:val="20"/>
          <w:szCs w:val="20"/>
        </w:rPr>
        <w:t xml:space="preserve"> Cincinnati N.O. &amp; T.P. Ry. Co. v. Pub.</w:t>
      </w:r>
      <w:proofErr w:type="gramEnd"/>
      <w:r w:rsidRPr="00D308F6">
        <w:rPr>
          <w:rFonts w:ascii="Times New Roman" w:hAnsi="Times New Roman" w:cs="Times New Roman"/>
          <w:i/>
          <w:sz w:val="20"/>
          <w:szCs w:val="20"/>
        </w:rPr>
        <w:t xml:space="preserve"> Util. Comm., </w:t>
      </w:r>
      <w:proofErr w:type="gramStart"/>
      <w:r w:rsidRPr="00D308F6">
        <w:rPr>
          <w:rFonts w:ascii="Times New Roman" w:hAnsi="Times New Roman" w:cs="Times New Roman"/>
          <w:sz w:val="20"/>
          <w:szCs w:val="20"/>
        </w:rPr>
        <w:t>31 Ohio St.2d 81,</w:t>
      </w:r>
      <w:proofErr w:type="gramEnd"/>
      <w:r w:rsidRPr="00D308F6">
        <w:rPr>
          <w:rFonts w:ascii="Times New Roman" w:hAnsi="Times New Roman" w:cs="Times New Roman"/>
          <w:sz w:val="20"/>
          <w:szCs w:val="20"/>
        </w:rPr>
        <w:t xml:space="preserve"> 86.  </w:t>
      </w:r>
    </w:p>
  </w:footnote>
  <w:footnote w:id="6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i/>
        </w:rPr>
        <w:t>Columbus S. Power Co. v. Pub.</w:t>
      </w:r>
      <w:proofErr w:type="gramEnd"/>
      <w:r w:rsidRPr="00D308F6">
        <w:rPr>
          <w:rFonts w:ascii="Times New Roman" w:hAnsi="Times New Roman" w:cs="Times New Roman"/>
          <w:i/>
        </w:rPr>
        <w:t xml:space="preserve"> Util. Comm</w:t>
      </w:r>
      <w:r w:rsidRPr="00D308F6">
        <w:rPr>
          <w:rFonts w:ascii="Times New Roman" w:hAnsi="Times New Roman" w:cs="Times New Roman"/>
        </w:rPr>
        <w:t>.</w:t>
      </w:r>
      <w:r>
        <w:rPr>
          <w:rFonts w:ascii="Times New Roman" w:hAnsi="Times New Roman" w:cs="Times New Roman"/>
        </w:rPr>
        <w:t xml:space="preserve"> </w:t>
      </w:r>
      <w:r w:rsidRPr="00D308F6">
        <w:rPr>
          <w:rFonts w:ascii="Times New Roman" w:hAnsi="Times New Roman" w:cs="Times New Roman"/>
        </w:rPr>
        <w:t xml:space="preserve">(1933), </w:t>
      </w:r>
      <w:proofErr w:type="gramStart"/>
      <w:r w:rsidRPr="00D308F6">
        <w:rPr>
          <w:rFonts w:ascii="Times New Roman" w:hAnsi="Times New Roman" w:cs="Times New Roman"/>
        </w:rPr>
        <w:t>67 Ohio St.3d 535</w:t>
      </w:r>
      <w:proofErr w:type="gramEnd"/>
      <w:r w:rsidRPr="00D308F6">
        <w:rPr>
          <w:rFonts w:ascii="Times New Roman" w:hAnsi="Times New Roman" w:cs="Times New Roman"/>
        </w:rPr>
        <w:t>.</w:t>
      </w:r>
    </w:p>
  </w:footnote>
  <w:footnote w:id="6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OCC Initial Brief at 46-49.</w:t>
      </w:r>
    </w:p>
  </w:footnote>
  <w:footnote w:id="6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Commission Review of the Capacity Charges of Ohio Power Company and Columbus Southern Power Company</w:t>
      </w:r>
      <w:r w:rsidRPr="00D308F6">
        <w:rPr>
          <w:rFonts w:ascii="Times New Roman" w:hAnsi="Times New Roman" w:cs="Times New Roman"/>
        </w:rPr>
        <w:t>, Case No. 10-2929-EL-UNC, Entry at ¶4 (Dec. 8, 2010).</w:t>
      </w:r>
    </w:p>
  </w:footnote>
  <w:footnote w:id="6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The PUCO found that AEP </w:t>
      </w:r>
      <w:r>
        <w:rPr>
          <w:rFonts w:ascii="Times New Roman" w:hAnsi="Times New Roman" w:cs="Times New Roman"/>
        </w:rPr>
        <w:t xml:space="preserve">Ohio </w:t>
      </w:r>
      <w:r w:rsidRPr="00D308F6">
        <w:rPr>
          <w:rFonts w:ascii="Times New Roman" w:hAnsi="Times New Roman" w:cs="Times New Roman"/>
        </w:rPr>
        <w:t xml:space="preserve">was already recovering capacity costs through the provider of last resort charges approved under the ESP.  Id.  This finding was affirmed in the PUCO’s October 17, 2012 Entry on Rehearing at ¶¶28-31.   </w:t>
      </w:r>
    </w:p>
  </w:footnote>
  <w:footnote w:id="6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Rehearing was granted in response to numerous parties’ assertions that the PUCO lacked jurisdiction to establish rates under the general supervisory sections of the Code.   </w:t>
      </w:r>
    </w:p>
  </w:footnote>
  <w:footnote w:id="6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i/>
        </w:rPr>
        <w:footnoteRef/>
      </w:r>
      <w:r w:rsidRPr="00D308F6">
        <w:rPr>
          <w:rFonts w:ascii="Times New Roman" w:hAnsi="Times New Roman" w:cs="Times New Roman"/>
          <w:i/>
        </w:rPr>
        <w:t xml:space="preserve"> In the Matter of the Commission Review of the Capacity Charges of Ohio Power Company and Columbus Southern Power Company</w:t>
      </w:r>
      <w:r w:rsidRPr="00D308F6">
        <w:rPr>
          <w:rFonts w:ascii="Times New Roman" w:hAnsi="Times New Roman" w:cs="Times New Roman"/>
        </w:rPr>
        <w:t>, Case No. 10-2929-EL-UNC, Entry at ¶27, 35</w:t>
      </w:r>
      <w:r>
        <w:rPr>
          <w:rFonts w:ascii="Times New Roman" w:hAnsi="Times New Roman" w:cs="Times New Roman"/>
        </w:rPr>
        <w:t>,</w:t>
      </w:r>
      <w:r w:rsidRPr="00D308F6">
        <w:rPr>
          <w:rFonts w:ascii="Times New Roman" w:hAnsi="Times New Roman" w:cs="Times New Roman"/>
        </w:rPr>
        <w:t xml:space="preserve"> 71, 134  (Oct. 17, 2012).</w:t>
      </w:r>
    </w:p>
  </w:footnote>
  <w:footnote w:id="6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i/>
        </w:rPr>
        <w:t xml:space="preserve"> </w:t>
      </w:r>
      <w:r w:rsidRPr="00D308F6">
        <w:rPr>
          <w:rFonts w:ascii="Times New Roman" w:hAnsi="Times New Roman" w:cs="Times New Roman"/>
          <w:i/>
        </w:rPr>
        <w:t>In the Matter of the Commission Review of the Capacity Charges of Ohio Power Company and Columbus Southern Power Company</w:t>
      </w:r>
      <w:r w:rsidRPr="00D308F6">
        <w:rPr>
          <w:rFonts w:ascii="Times New Roman" w:hAnsi="Times New Roman" w:cs="Times New Roman"/>
        </w:rPr>
        <w:t>, Case No. 10-2929-EL-UNC, Entry at ¶21 (Dec. 12, 2012).</w:t>
      </w:r>
    </w:p>
  </w:footnote>
  <w:footnote w:id="7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hyperlink r:id="rId1" w:history="1">
        <w:proofErr w:type="gramStart"/>
        <w:r w:rsidRPr="00D308F6">
          <w:rPr>
            <w:rStyle w:val="Hyperlink"/>
            <w:rFonts w:ascii="Times New Roman" w:hAnsi="Times New Roman" w:cs="Times New Roman"/>
            <w:i/>
            <w:iCs/>
            <w:color w:val="auto"/>
          </w:rPr>
          <w:t>Columbus S. Power Co. v. Pub.</w:t>
        </w:r>
        <w:proofErr w:type="gramEnd"/>
        <w:r w:rsidRPr="00D308F6">
          <w:rPr>
            <w:rStyle w:val="Hyperlink"/>
            <w:rFonts w:ascii="Times New Roman" w:hAnsi="Times New Roman" w:cs="Times New Roman"/>
            <w:i/>
            <w:iCs/>
            <w:color w:val="auto"/>
          </w:rPr>
          <w:t xml:space="preserve"> Util. Comm</w:t>
        </w:r>
        <w:r w:rsidRPr="00D308F6">
          <w:rPr>
            <w:rStyle w:val="Hyperlink"/>
            <w:rFonts w:ascii="Times New Roman" w:hAnsi="Times New Roman" w:cs="Times New Roman"/>
            <w:color w:val="auto"/>
          </w:rPr>
          <w:t>. (1993), 67 Ohio St.3d 535, 620 N.E.2d 835</w:t>
        </w:r>
      </w:hyperlink>
      <w:r w:rsidRPr="00D308F6">
        <w:rPr>
          <w:rFonts w:ascii="Times New Roman" w:hAnsi="Times New Roman" w:cs="Times New Roman"/>
        </w:rPr>
        <w:t xml:space="preserve">;   </w:t>
      </w:r>
      <w:hyperlink r:id="rId2" w:history="1">
        <w:r w:rsidRPr="00D308F6">
          <w:rPr>
            <w:rStyle w:val="Hyperlink"/>
            <w:rFonts w:ascii="Times New Roman" w:hAnsi="Times New Roman" w:cs="Times New Roman"/>
            <w:i/>
            <w:iCs/>
            <w:color w:val="auto"/>
          </w:rPr>
          <w:t>Pike Natural Gas Co. v. Pub. Util. Comm</w:t>
        </w:r>
        <w:r w:rsidRPr="00D308F6">
          <w:rPr>
            <w:rStyle w:val="Hyperlink"/>
            <w:rFonts w:ascii="Times New Roman" w:hAnsi="Times New Roman" w:cs="Times New Roman"/>
            <w:color w:val="auto"/>
          </w:rPr>
          <w:t>. (1981), 68 Ohio St.2d 181, 22 Ohio Op.3d 410, 429 N.E.2d 444</w:t>
        </w:r>
      </w:hyperlink>
      <w:r w:rsidRPr="00D308F6">
        <w:rPr>
          <w:rStyle w:val="Hyperlink"/>
          <w:rFonts w:ascii="Times New Roman" w:hAnsi="Times New Roman" w:cs="Times New Roman"/>
          <w:color w:val="auto"/>
        </w:rPr>
        <w:t xml:space="preserve">; </w:t>
      </w:r>
      <w:hyperlink r:id="rId3" w:history="1">
        <w:r w:rsidRPr="00D308F6">
          <w:rPr>
            <w:rStyle w:val="Hyperlink"/>
            <w:rFonts w:ascii="Times New Roman" w:hAnsi="Times New Roman" w:cs="Times New Roman"/>
            <w:i/>
            <w:iCs/>
            <w:color w:val="auto"/>
          </w:rPr>
          <w:t>Consumers' Counsel v. Pub. Util. Comm.</w:t>
        </w:r>
        <w:r w:rsidRPr="00D308F6">
          <w:rPr>
            <w:rStyle w:val="Hyperlink"/>
            <w:rFonts w:ascii="Times New Roman" w:hAnsi="Times New Roman" w:cs="Times New Roman"/>
            <w:color w:val="auto"/>
          </w:rPr>
          <w:t xml:space="preserve"> (1981), 67 Ohio St.2d 153, 21 Ohio Op.3d 96, 423 N.E.2d 820</w:t>
        </w:r>
      </w:hyperlink>
      <w:r w:rsidRPr="00D308F6">
        <w:rPr>
          <w:rFonts w:ascii="Times New Roman" w:hAnsi="Times New Roman" w:cs="Times New Roman"/>
        </w:rPr>
        <w:t xml:space="preserve">; and </w:t>
      </w:r>
      <w:hyperlink r:id="rId4" w:history="1">
        <w:r w:rsidRPr="00D308F6">
          <w:rPr>
            <w:rStyle w:val="Hyperlink"/>
            <w:rFonts w:ascii="Times New Roman" w:hAnsi="Times New Roman" w:cs="Times New Roman"/>
            <w:i/>
            <w:iCs/>
            <w:color w:val="auto"/>
          </w:rPr>
          <w:t>Dayton Communications Corp. v. Pub. Util. Comm</w:t>
        </w:r>
        <w:r w:rsidRPr="00D308F6">
          <w:rPr>
            <w:rStyle w:val="Hyperlink"/>
            <w:rFonts w:ascii="Times New Roman" w:hAnsi="Times New Roman" w:cs="Times New Roman"/>
            <w:color w:val="auto"/>
          </w:rPr>
          <w:t xml:space="preserve">. (1980), </w:t>
        </w:r>
        <w:proofErr w:type="gramStart"/>
        <w:r w:rsidRPr="00D308F6">
          <w:rPr>
            <w:rStyle w:val="Hyperlink"/>
            <w:rFonts w:ascii="Times New Roman" w:hAnsi="Times New Roman" w:cs="Times New Roman"/>
            <w:color w:val="auto"/>
          </w:rPr>
          <w:t>64 Ohio St.2d 302,</w:t>
        </w:r>
        <w:proofErr w:type="gramEnd"/>
        <w:r w:rsidRPr="00D308F6">
          <w:rPr>
            <w:rStyle w:val="Hyperlink"/>
            <w:rFonts w:ascii="Times New Roman" w:hAnsi="Times New Roman" w:cs="Times New Roman"/>
            <w:color w:val="auto"/>
          </w:rPr>
          <w:t xml:space="preserve"> 18 Ohio Op.3d 478, 414 N.E.2d 1051</w:t>
        </w:r>
      </w:hyperlink>
      <w:r w:rsidRPr="00D308F6">
        <w:rPr>
          <w:rStyle w:val="Hyperlink"/>
          <w:rFonts w:ascii="Times New Roman" w:hAnsi="Times New Roman" w:cs="Times New Roman"/>
        </w:rPr>
        <w:t>.</w:t>
      </w:r>
    </w:p>
  </w:footnote>
  <w:footnote w:id="7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See, e.g., 1960 OAG No. 1842 (1960).</w:t>
      </w:r>
      <w:proofErr w:type="gramEnd"/>
    </w:p>
  </w:footnote>
  <w:footnote w:id="72">
    <w:p w:rsidR="0016684F" w:rsidRPr="00D308F6" w:rsidRDefault="0016684F" w:rsidP="009872D1">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w:t>
      </w:r>
      <w:proofErr w:type="gramStart"/>
      <w:r w:rsidRPr="00D308F6">
        <w:rPr>
          <w:rFonts w:ascii="Times New Roman" w:hAnsi="Times New Roman" w:cs="Times New Roman"/>
          <w:i/>
          <w:sz w:val="20"/>
          <w:szCs w:val="20"/>
        </w:rPr>
        <w:t>IEU Ohio v. Pub.</w:t>
      </w:r>
      <w:proofErr w:type="gramEnd"/>
      <w:r w:rsidRPr="00D308F6">
        <w:rPr>
          <w:rFonts w:ascii="Times New Roman" w:hAnsi="Times New Roman" w:cs="Times New Roman"/>
          <w:i/>
          <w:sz w:val="20"/>
          <w:szCs w:val="20"/>
        </w:rPr>
        <w:t xml:space="preserve"> </w:t>
      </w:r>
      <w:proofErr w:type="gramStart"/>
      <w:r w:rsidRPr="00D308F6">
        <w:rPr>
          <w:rFonts w:ascii="Times New Roman" w:hAnsi="Times New Roman" w:cs="Times New Roman"/>
          <w:i/>
          <w:sz w:val="20"/>
          <w:szCs w:val="20"/>
        </w:rPr>
        <w:t>Util. Comm.</w:t>
      </w:r>
      <w:r w:rsidRPr="009A6675">
        <w:rPr>
          <w:rFonts w:ascii="Times New Roman" w:hAnsi="Times New Roman" w:cs="Times New Roman"/>
          <w:sz w:val="20"/>
          <w:szCs w:val="20"/>
        </w:rPr>
        <w:t>,</w:t>
      </w:r>
      <w:r w:rsidRPr="00D308F6">
        <w:rPr>
          <w:rFonts w:ascii="Times New Roman" w:hAnsi="Times New Roman" w:cs="Times New Roman"/>
          <w:i/>
          <w:sz w:val="20"/>
          <w:szCs w:val="20"/>
        </w:rPr>
        <w:t xml:space="preserve"> </w:t>
      </w:r>
      <w:r w:rsidRPr="00D308F6">
        <w:rPr>
          <w:rFonts w:ascii="Times New Roman" w:hAnsi="Times New Roman" w:cs="Times New Roman"/>
          <w:sz w:val="20"/>
          <w:szCs w:val="20"/>
        </w:rPr>
        <w:t>117 Ohio St.3d 486, 490</w:t>
      </w:r>
      <w:r>
        <w:rPr>
          <w:rFonts w:ascii="Times New Roman" w:hAnsi="Times New Roman" w:cs="Times New Roman"/>
          <w:sz w:val="20"/>
          <w:szCs w:val="20"/>
        </w:rPr>
        <w:t>, 2008-Ohio 990.</w:t>
      </w:r>
      <w:proofErr w:type="gramEnd"/>
    </w:p>
  </w:footnote>
  <w:footnote w:id="7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7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Id. </w:t>
      </w:r>
      <w:r w:rsidRPr="009A6675">
        <w:rPr>
          <w:rFonts w:ascii="Times New Roman" w:hAnsi="Times New Roman" w:cs="Times New Roman"/>
        </w:rPr>
        <w:t>at 491.</w:t>
      </w:r>
      <w:proofErr w:type="gramEnd"/>
      <w:r w:rsidRPr="00D308F6">
        <w:rPr>
          <w:rFonts w:ascii="Times New Roman" w:hAnsi="Times New Roman" w:cs="Times New Roman"/>
        </w:rPr>
        <w:t xml:space="preserve"> </w:t>
      </w:r>
    </w:p>
  </w:footnote>
  <w:footnote w:id="7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Id., citing to </w:t>
      </w:r>
      <w:r w:rsidRPr="00D308F6">
        <w:rPr>
          <w:rFonts w:ascii="Times New Roman" w:hAnsi="Times New Roman" w:cs="Times New Roman"/>
          <w:i/>
        </w:rPr>
        <w:t>Ohio Consumers’ Counsel v. Pub.</w:t>
      </w:r>
      <w:proofErr w:type="gramEnd"/>
      <w:r w:rsidRPr="00D308F6">
        <w:rPr>
          <w:rFonts w:ascii="Times New Roman" w:hAnsi="Times New Roman" w:cs="Times New Roman"/>
          <w:i/>
        </w:rPr>
        <w:t xml:space="preserve"> Util. Comm., </w:t>
      </w:r>
      <w:r w:rsidRPr="00D308F6">
        <w:rPr>
          <w:rFonts w:ascii="Times New Roman" w:hAnsi="Times New Roman" w:cs="Times New Roman"/>
        </w:rPr>
        <w:t xml:space="preserve">109 Ohio </w:t>
      </w:r>
      <w:proofErr w:type="gramStart"/>
      <w:r w:rsidRPr="00D308F6">
        <w:rPr>
          <w:rFonts w:ascii="Times New Roman" w:hAnsi="Times New Roman" w:cs="Times New Roman"/>
        </w:rPr>
        <w:t>St.3d  328</w:t>
      </w:r>
      <w:proofErr w:type="gramEnd"/>
      <w:r w:rsidRPr="00D308F6">
        <w:rPr>
          <w:rFonts w:ascii="Times New Roman" w:hAnsi="Times New Roman" w:cs="Times New Roman"/>
        </w:rPr>
        <w:t>, 2006-</w:t>
      </w:r>
      <w:r>
        <w:rPr>
          <w:rFonts w:ascii="Times New Roman" w:hAnsi="Times New Roman" w:cs="Times New Roman"/>
        </w:rPr>
        <w:t>Ohio-</w:t>
      </w:r>
      <w:r w:rsidRPr="00D308F6">
        <w:rPr>
          <w:rFonts w:ascii="Times New Roman" w:hAnsi="Times New Roman" w:cs="Times New Roman"/>
        </w:rPr>
        <w:t>2110, ¶38.</w:t>
      </w:r>
    </w:p>
  </w:footnote>
  <w:footnote w:id="7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51.</w:t>
      </w:r>
      <w:proofErr w:type="gramEnd"/>
      <w:r w:rsidRPr="00D308F6">
        <w:rPr>
          <w:rFonts w:ascii="Times New Roman" w:hAnsi="Times New Roman" w:cs="Times New Roman"/>
        </w:rPr>
        <w:t xml:space="preserve">  </w:t>
      </w:r>
    </w:p>
  </w:footnote>
  <w:footnote w:id="7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7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Commission Review of the Capacity Charges of Ohio Power Company and Columbus Southern Power Company</w:t>
      </w:r>
      <w:r w:rsidRPr="00D308F6">
        <w:rPr>
          <w:rFonts w:ascii="Times New Roman" w:hAnsi="Times New Roman" w:cs="Times New Roman"/>
        </w:rPr>
        <w:t>, Case No. 10-2929-EL-UNC, Entry at ¶27, 35</w:t>
      </w:r>
      <w:r>
        <w:rPr>
          <w:rFonts w:ascii="Times New Roman" w:hAnsi="Times New Roman" w:cs="Times New Roman"/>
        </w:rPr>
        <w:t>,</w:t>
      </w:r>
      <w:r w:rsidRPr="00D308F6">
        <w:rPr>
          <w:rFonts w:ascii="Times New Roman" w:hAnsi="Times New Roman" w:cs="Times New Roman"/>
        </w:rPr>
        <w:t xml:space="preserve"> 71, 134,  (Oct. 17, 2012).</w:t>
      </w:r>
    </w:p>
  </w:footnote>
  <w:footnote w:id="7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e.g</w:t>
      </w:r>
      <w:r w:rsidRPr="00D308F6">
        <w:rPr>
          <w:rFonts w:ascii="Times New Roman" w:hAnsi="Times New Roman" w:cs="Times New Roman"/>
          <w:i/>
        </w:rPr>
        <w:t>., In the Matter of the Self Complaint of Paramount Natural Gas Company Concerning Its Existing Tariff Provisions Regarding Charges for Installing a Positive Shut off Dri</w:t>
      </w:r>
      <w:r w:rsidRPr="00D308F6">
        <w:rPr>
          <w:rFonts w:ascii="Times New Roman" w:hAnsi="Times New Roman" w:cs="Times New Roman"/>
        </w:rPr>
        <w:t>p, Case No. 98-1590-AGA-SLF, Entry at ¶4 (Dec. 3, 1998</w:t>
      </w:r>
      <w:r w:rsidRPr="00D308F6">
        <w:rPr>
          <w:rFonts w:ascii="Times New Roman" w:hAnsi="Times New Roman" w:cs="Times New Roman"/>
          <w:i/>
        </w:rPr>
        <w:t xml:space="preserve">); In the Matter of the Self-Complaint of the </w:t>
      </w:r>
      <w:proofErr w:type="spellStart"/>
      <w:r w:rsidRPr="00D308F6">
        <w:rPr>
          <w:rFonts w:ascii="Times New Roman" w:hAnsi="Times New Roman" w:cs="Times New Roman"/>
          <w:i/>
        </w:rPr>
        <w:t>Ottoville</w:t>
      </w:r>
      <w:proofErr w:type="spellEnd"/>
      <w:r w:rsidRPr="00D308F6">
        <w:rPr>
          <w:rFonts w:ascii="Times New Roman" w:hAnsi="Times New Roman" w:cs="Times New Roman"/>
          <w:i/>
        </w:rPr>
        <w:t xml:space="preserve"> Mutual Telephone Company Concerning Certain of Its Rates and Charges</w:t>
      </w:r>
      <w:r w:rsidRPr="00D308F6">
        <w:rPr>
          <w:rFonts w:ascii="Times New Roman" w:hAnsi="Times New Roman" w:cs="Times New Roman"/>
        </w:rPr>
        <w:t>, Case No. 89-1424-TP-SLF, Entry at ¶5 (Dec. 19, 1989).</w:t>
      </w:r>
    </w:p>
  </w:footnote>
  <w:footnote w:id="80">
    <w:p w:rsidR="0016684F" w:rsidRPr="00D308F6" w:rsidRDefault="0016684F" w:rsidP="00091A23">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Pr>
          <w:rFonts w:ascii="Times New Roman" w:hAnsi="Times New Roman" w:cs="Times New Roman"/>
          <w:i/>
          <w:sz w:val="20"/>
          <w:szCs w:val="20"/>
        </w:rPr>
        <w:t xml:space="preserve"> </w:t>
      </w:r>
      <w:r w:rsidRPr="00D308F6">
        <w:rPr>
          <w:rFonts w:ascii="Times New Roman" w:hAnsi="Times New Roman" w:cs="Times New Roman"/>
          <w:i/>
          <w:sz w:val="20"/>
          <w:szCs w:val="20"/>
        </w:rPr>
        <w:t>I</w:t>
      </w:r>
      <w:r w:rsidRPr="00D308F6">
        <w:rPr>
          <w:rFonts w:ascii="Times New Roman" w:eastAsia="Times New Roman" w:hAnsi="Times New Roman" w:cs="Times New Roman"/>
          <w:i/>
          <w:sz w:val="20"/>
          <w:szCs w:val="20"/>
        </w:rPr>
        <w:t>n the Matter of the Self-Complaint of Suburban Natural Gas Company Concerning its Existing Tariff Provisions</w:t>
      </w:r>
      <w:r w:rsidRPr="00D308F6">
        <w:rPr>
          <w:rFonts w:ascii="Times New Roman" w:eastAsia="Times New Roman" w:hAnsi="Times New Roman" w:cs="Times New Roman"/>
          <w:sz w:val="20"/>
          <w:szCs w:val="20"/>
        </w:rPr>
        <w:t xml:space="preserve">, Case No. 11-5846-GA-SLF, Opinion and Order at 6 (Aug. 15, 2012). </w:t>
      </w:r>
    </w:p>
  </w:footnote>
  <w:footnote w:id="8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w:t>
      </w:r>
    </w:p>
  </w:footnote>
  <w:footnote w:id="8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83">
    <w:p w:rsidR="0016684F" w:rsidRPr="00D308F6" w:rsidRDefault="0016684F" w:rsidP="00091A23">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See</w:t>
      </w:r>
      <w:r w:rsidRPr="00D308F6">
        <w:rPr>
          <w:rFonts w:ascii="Times New Roman" w:hAnsi="Times New Roman" w:cs="Times New Roman"/>
          <w:i/>
          <w:sz w:val="20"/>
          <w:szCs w:val="20"/>
        </w:rPr>
        <w:t>, In the Matter of the Self-Complaint of Akron Thermal Limited Partnership</w:t>
      </w:r>
      <w:r w:rsidRPr="00D308F6">
        <w:rPr>
          <w:rFonts w:ascii="Times New Roman" w:hAnsi="Times New Roman" w:cs="Times New Roman"/>
          <w:sz w:val="20"/>
          <w:szCs w:val="20"/>
        </w:rPr>
        <w:t xml:space="preserve">, Case No. 04-1298-HT-SLF, Finding and Order (Nov. 3, 2004), where the </w:t>
      </w:r>
      <w:r>
        <w:rPr>
          <w:rFonts w:ascii="Times New Roman" w:hAnsi="Times New Roman" w:cs="Times New Roman"/>
          <w:sz w:val="20"/>
          <w:szCs w:val="20"/>
        </w:rPr>
        <w:t>PUCO</w:t>
      </w:r>
      <w:r w:rsidRPr="00D308F6">
        <w:rPr>
          <w:rFonts w:ascii="Times New Roman" w:hAnsi="Times New Roman" w:cs="Times New Roman"/>
          <w:sz w:val="20"/>
          <w:szCs w:val="20"/>
        </w:rPr>
        <w:t xml:space="preserve"> approved a fuel cost surcharge rider, subject to refund, and only pending the determination of a base rate case of the company; </w:t>
      </w:r>
      <w:r w:rsidRPr="00D308F6">
        <w:rPr>
          <w:rFonts w:ascii="Times New Roman" w:hAnsi="Times New Roman" w:cs="Times New Roman"/>
          <w:i/>
          <w:sz w:val="20"/>
          <w:szCs w:val="20"/>
        </w:rPr>
        <w:t>In the Matter of the Self-Complaint of Paramount Natural Gas Company Concerning its Existing Tariff Provisions Regarding Charges for Installing a Positive Shut Off Drip</w:t>
      </w:r>
      <w:r w:rsidRPr="00D308F6">
        <w:rPr>
          <w:rFonts w:ascii="Times New Roman" w:hAnsi="Times New Roman" w:cs="Times New Roman"/>
          <w:sz w:val="20"/>
          <w:szCs w:val="20"/>
        </w:rPr>
        <w:t>, Case No. 98-1590-GA-SLF, Finding and Order (Jan. 14,1999), where the</w:t>
      </w:r>
      <w:r>
        <w:rPr>
          <w:rFonts w:ascii="Times New Roman" w:hAnsi="Times New Roman" w:cs="Times New Roman"/>
          <w:sz w:val="20"/>
          <w:szCs w:val="20"/>
        </w:rPr>
        <w:t xml:space="preserve"> PUCO</w:t>
      </w:r>
      <w:r w:rsidRPr="00D308F6">
        <w:rPr>
          <w:rFonts w:ascii="Times New Roman" w:hAnsi="Times New Roman" w:cs="Times New Roman"/>
          <w:sz w:val="20"/>
          <w:szCs w:val="20"/>
        </w:rPr>
        <w:t xml:space="preserve"> approved a charge applicable solely to those customers requiring installation of a positive shut-off drip device; </w:t>
      </w:r>
      <w:r w:rsidRPr="00D308F6">
        <w:rPr>
          <w:rFonts w:ascii="Times New Roman" w:hAnsi="Times New Roman" w:cs="Times New Roman"/>
          <w:i/>
          <w:sz w:val="20"/>
          <w:szCs w:val="20"/>
        </w:rPr>
        <w:t>In the Matter of the Self-Complaint of Columbia Gas of Ohio, Inc. Concerning Certain of its Existing Tariff Provisions</w:t>
      </w:r>
      <w:r w:rsidRPr="00D308F6">
        <w:rPr>
          <w:rFonts w:ascii="Times New Roman" w:hAnsi="Times New Roman" w:cs="Times New Roman"/>
          <w:sz w:val="20"/>
          <w:szCs w:val="20"/>
        </w:rPr>
        <w:t>, Case No. 93-1569-GA-SLF, Entry (Dec. 7,1995), where the Commission approved the transfer and exchange of certain facilities between Suburban and Columbia, but without any cost to customers; and</w:t>
      </w:r>
      <w:r>
        <w:rPr>
          <w:rFonts w:ascii="Times New Roman" w:hAnsi="Times New Roman" w:cs="Times New Roman"/>
          <w:sz w:val="20"/>
          <w:szCs w:val="20"/>
        </w:rPr>
        <w:t xml:space="preserve"> </w:t>
      </w:r>
      <w:r w:rsidRPr="00D308F6">
        <w:rPr>
          <w:rFonts w:ascii="Times New Roman" w:hAnsi="Times New Roman" w:cs="Times New Roman"/>
          <w:sz w:val="20"/>
          <w:szCs w:val="20"/>
        </w:rPr>
        <w:t xml:space="preserve"> </w:t>
      </w:r>
      <w:r w:rsidRPr="00D308F6">
        <w:rPr>
          <w:rFonts w:ascii="Times New Roman" w:hAnsi="Times New Roman" w:cs="Times New Roman"/>
          <w:i/>
          <w:sz w:val="20"/>
          <w:szCs w:val="20"/>
        </w:rPr>
        <w:t>In the Matter of the Application of Ohio Gas Company to Establish a Charge for Bad Checks and a Charge for Reconnection of Service After Regular Business Hours,</w:t>
      </w:r>
      <w:r w:rsidRPr="00D308F6">
        <w:rPr>
          <w:rFonts w:ascii="Times New Roman" w:hAnsi="Times New Roman" w:cs="Times New Roman"/>
          <w:sz w:val="20"/>
          <w:szCs w:val="20"/>
        </w:rPr>
        <w:t xml:space="preserve"> Case No. 87-2068-GA-SLF, Entry (Jan. 10, 1989), where the Commission approved a $10.00 charge to be applied to customers who issue checks or other instruments backed by insufficient funds.  </w:t>
      </w:r>
    </w:p>
  </w:footnote>
  <w:footnote w:id="8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e.g</w:t>
      </w:r>
      <w:r w:rsidRPr="00D308F6">
        <w:rPr>
          <w:rFonts w:ascii="Times New Roman" w:hAnsi="Times New Roman" w:cs="Times New Roman"/>
          <w:i/>
        </w:rPr>
        <w:t>., In the Matter of Phase II of the Commission’s Investigation into the Regulatory Framework for Competitive Telecommunications Services in Ohio</w:t>
      </w:r>
      <w:r w:rsidRPr="00D308F6">
        <w:rPr>
          <w:rFonts w:ascii="Times New Roman" w:hAnsi="Times New Roman" w:cs="Times New Roman"/>
        </w:rPr>
        <w:t>, Case No. 86-1144-TP-COI, Finding and Order at 25-26  (Aug. 2, 1988).</w:t>
      </w:r>
    </w:p>
  </w:footnote>
  <w:footnote w:id="8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i/>
        </w:rPr>
        <w:footnoteRef/>
      </w:r>
      <w:r w:rsidRPr="00D308F6">
        <w:rPr>
          <w:rFonts w:ascii="Times New Roman" w:hAnsi="Times New Roman" w:cs="Times New Roman"/>
          <w:i/>
        </w:rPr>
        <w:t xml:space="preserve"> In the Matter of the Self-Complaint of the </w:t>
      </w:r>
      <w:proofErr w:type="spellStart"/>
      <w:r w:rsidRPr="00D308F6">
        <w:rPr>
          <w:rFonts w:ascii="Times New Roman" w:hAnsi="Times New Roman" w:cs="Times New Roman"/>
          <w:i/>
        </w:rPr>
        <w:t>Ottoville</w:t>
      </w:r>
      <w:proofErr w:type="spellEnd"/>
      <w:r w:rsidRPr="00D308F6">
        <w:rPr>
          <w:rFonts w:ascii="Times New Roman" w:hAnsi="Times New Roman" w:cs="Times New Roman"/>
          <w:i/>
        </w:rPr>
        <w:t xml:space="preserve"> Mutual Telephone Company Concerning Certain of Its Rates and Charges</w:t>
      </w:r>
      <w:r w:rsidRPr="00D308F6">
        <w:rPr>
          <w:rFonts w:ascii="Times New Roman" w:hAnsi="Times New Roman" w:cs="Times New Roman"/>
        </w:rPr>
        <w:t>, Case No. 89-1424-TP-SLF, Entry at 4 (Dec. 19, 1989).</w:t>
      </w:r>
    </w:p>
  </w:footnote>
  <w:footnote w:id="8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Duke continues to assert that FRR capacity service is a generation service but “non-competitive” generation and thus not subject to regulation under R.C. Chapter 4928.  As explained in detail in OCC’s Initial Brief at 15-17, the PUCO expressly found “it unnecessary to determine whether capacity service is considered a competitive or non-competitive service under Chapter 4928, Revised Code.”  (</w:t>
      </w:r>
      <w:proofErr w:type="gramStart"/>
      <w:r w:rsidRPr="00D308F6">
        <w:rPr>
          <w:rFonts w:ascii="Times New Roman" w:hAnsi="Times New Roman" w:cs="Times New Roman"/>
        </w:rPr>
        <w:t>citing</w:t>
      </w:r>
      <w:proofErr w:type="gramEnd"/>
      <w:r w:rsidRPr="00D308F6">
        <w:rPr>
          <w:rFonts w:ascii="Times New Roman" w:hAnsi="Times New Roman" w:cs="Times New Roman"/>
        </w:rPr>
        <w:t xml:space="preserve"> to OCC Ex. 1 at 13).</w:t>
      </w:r>
    </w:p>
  </w:footnote>
  <w:footnote w:id="87">
    <w:p w:rsidR="0016684F" w:rsidRPr="00D308F6" w:rsidRDefault="0016684F" w:rsidP="00091A23">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See, e.g., </w:t>
      </w:r>
      <w:r w:rsidRPr="00D308F6">
        <w:rPr>
          <w:rFonts w:ascii="Times New Roman" w:hAnsi="Times New Roman" w:cs="Times New Roman"/>
          <w:i/>
          <w:sz w:val="20"/>
          <w:szCs w:val="20"/>
        </w:rPr>
        <w:t>Dayton  St. Trans. Co. v. DP&amp;L</w:t>
      </w:r>
      <w:r>
        <w:rPr>
          <w:rFonts w:ascii="Times New Roman" w:hAnsi="Times New Roman" w:cs="Times New Roman"/>
          <w:i/>
          <w:sz w:val="20"/>
          <w:szCs w:val="20"/>
        </w:rPr>
        <w:t xml:space="preserve"> </w:t>
      </w:r>
      <w:r w:rsidRPr="009A6675">
        <w:rPr>
          <w:rFonts w:ascii="Times New Roman" w:hAnsi="Times New Roman" w:cs="Times New Roman"/>
          <w:sz w:val="20"/>
          <w:szCs w:val="20"/>
        </w:rPr>
        <w:t>(1937)</w:t>
      </w:r>
      <w:r>
        <w:rPr>
          <w:rFonts w:ascii="Times New Roman" w:hAnsi="Times New Roman" w:cs="Times New Roman"/>
          <w:i/>
          <w:sz w:val="20"/>
          <w:szCs w:val="20"/>
        </w:rPr>
        <w:t xml:space="preserve"> </w:t>
      </w:r>
      <w:r>
        <w:rPr>
          <w:rFonts w:ascii="Times New Roman" w:hAnsi="Times New Roman" w:cs="Times New Roman"/>
          <w:sz w:val="20"/>
          <w:szCs w:val="20"/>
        </w:rPr>
        <w:t>, 57 Ohio App. 299</w:t>
      </w:r>
      <w:r w:rsidRPr="00D308F6">
        <w:rPr>
          <w:rFonts w:ascii="Times New Roman" w:hAnsi="Times New Roman" w:cs="Times New Roman"/>
          <w:sz w:val="20"/>
          <w:szCs w:val="20"/>
        </w:rPr>
        <w:t xml:space="preserve">; </w:t>
      </w:r>
      <w:r w:rsidRPr="00D308F6">
        <w:rPr>
          <w:rFonts w:ascii="Times New Roman" w:hAnsi="Times New Roman" w:cs="Times New Roman"/>
          <w:i/>
          <w:sz w:val="20"/>
          <w:szCs w:val="20"/>
        </w:rPr>
        <w:t>Cleveland Tel. Co. v. Cleveland</w:t>
      </w:r>
      <w:r>
        <w:rPr>
          <w:rFonts w:ascii="Times New Roman" w:hAnsi="Times New Roman" w:cs="Times New Roman"/>
          <w:i/>
          <w:sz w:val="20"/>
          <w:szCs w:val="20"/>
        </w:rPr>
        <w:t xml:space="preserve"> </w:t>
      </w:r>
      <w:r w:rsidRPr="009A6675">
        <w:rPr>
          <w:rFonts w:ascii="Times New Roman" w:hAnsi="Times New Roman" w:cs="Times New Roman"/>
          <w:sz w:val="20"/>
          <w:szCs w:val="20"/>
        </w:rPr>
        <w:t>(1918),</w:t>
      </w:r>
      <w:r w:rsidRPr="00D308F6">
        <w:rPr>
          <w:rFonts w:ascii="Times New Roman" w:hAnsi="Times New Roman" w:cs="Times New Roman"/>
          <w:sz w:val="20"/>
          <w:szCs w:val="20"/>
        </w:rPr>
        <w:t xml:space="preserve"> 98 Ohio St. 358</w:t>
      </w:r>
      <w:r>
        <w:rPr>
          <w:rFonts w:ascii="Times New Roman" w:hAnsi="Times New Roman" w:cs="Times New Roman"/>
          <w:sz w:val="20"/>
          <w:szCs w:val="20"/>
        </w:rPr>
        <w:t>.</w:t>
      </w:r>
    </w:p>
  </w:footnote>
  <w:footnote w:id="88">
    <w:p w:rsidR="0016684F" w:rsidRPr="00D308F6" w:rsidRDefault="0016684F" w:rsidP="00D308F6">
      <w:pPr>
        <w:spacing w:after="120" w:line="240" w:lineRule="auto"/>
        <w:rPr>
          <w:rFonts w:ascii="Times New Roman" w:hAnsi="Times New Roman" w:cs="Times New Roman"/>
          <w:sz w:val="20"/>
          <w:szCs w:val="20"/>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w:t>
      </w:r>
      <w:r w:rsidRPr="00D308F6">
        <w:rPr>
          <w:rFonts w:ascii="Times New Roman" w:hAnsi="Times New Roman" w:cs="Times New Roman"/>
          <w:i/>
          <w:sz w:val="20"/>
          <w:szCs w:val="20"/>
        </w:rPr>
        <w:t>Union Gas &amp; Electric Co</w:t>
      </w:r>
      <w:r>
        <w:rPr>
          <w:rFonts w:ascii="Times New Roman" w:hAnsi="Times New Roman" w:cs="Times New Roman"/>
          <w:sz w:val="20"/>
          <w:szCs w:val="20"/>
        </w:rPr>
        <w:t>. (1913),</w:t>
      </w:r>
      <w:r w:rsidRPr="00D308F6">
        <w:rPr>
          <w:rFonts w:ascii="Times New Roman" w:hAnsi="Times New Roman" w:cs="Times New Roman"/>
          <w:sz w:val="20"/>
          <w:szCs w:val="20"/>
        </w:rPr>
        <w:t xml:space="preserve"> 14 Ohio N.P. (</w:t>
      </w:r>
      <w:proofErr w:type="spellStart"/>
      <w:r w:rsidRPr="00D308F6">
        <w:rPr>
          <w:rFonts w:ascii="Times New Roman" w:hAnsi="Times New Roman" w:cs="Times New Roman"/>
          <w:sz w:val="20"/>
          <w:szCs w:val="20"/>
        </w:rPr>
        <w:t>n.s</w:t>
      </w:r>
      <w:proofErr w:type="spellEnd"/>
      <w:r w:rsidRPr="00D308F6">
        <w:rPr>
          <w:rFonts w:ascii="Times New Roman" w:hAnsi="Times New Roman" w:cs="Times New Roman"/>
          <w:sz w:val="20"/>
          <w:szCs w:val="20"/>
        </w:rPr>
        <w:t>.), 31 Ohio Dec. 567</w:t>
      </w:r>
      <w:r>
        <w:rPr>
          <w:rFonts w:ascii="Times New Roman" w:hAnsi="Times New Roman" w:cs="Times New Roman"/>
          <w:sz w:val="20"/>
          <w:szCs w:val="20"/>
        </w:rPr>
        <w:t>.</w:t>
      </w:r>
    </w:p>
    <w:p w:rsidR="0016684F" w:rsidRPr="00D308F6" w:rsidRDefault="0016684F" w:rsidP="00D308F6">
      <w:pPr>
        <w:spacing w:after="120" w:line="240" w:lineRule="auto"/>
        <w:ind w:left="2880"/>
        <w:rPr>
          <w:rFonts w:ascii="Times New Roman" w:hAnsi="Times New Roman" w:cs="Times New Roman"/>
          <w:sz w:val="20"/>
          <w:szCs w:val="20"/>
        </w:rPr>
      </w:pPr>
    </w:p>
    <w:p w:rsidR="0016684F" w:rsidRPr="00D308F6" w:rsidRDefault="0016684F" w:rsidP="00D308F6">
      <w:pPr>
        <w:pStyle w:val="FootnoteText"/>
        <w:spacing w:after="120"/>
        <w:rPr>
          <w:rFonts w:ascii="Times New Roman" w:hAnsi="Times New Roman" w:cs="Times New Roman"/>
        </w:rPr>
      </w:pPr>
    </w:p>
  </w:footnote>
  <w:footnote w:id="8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Commission Review of the Capacity Charges of Ohio Power Company and Columbus Southern Power Company</w:t>
      </w:r>
      <w:r w:rsidRPr="00D308F6">
        <w:rPr>
          <w:rFonts w:ascii="Times New Roman" w:hAnsi="Times New Roman" w:cs="Times New Roman"/>
        </w:rPr>
        <w:t xml:space="preserve">, Case No. 10-2929-EL-UNC, Entry on Rehearing at ¶71 (Oct. 17, 2012).  </w:t>
      </w:r>
    </w:p>
  </w:footnote>
  <w:footnote w:id="90">
    <w:p w:rsidR="0016684F" w:rsidRPr="00E45180" w:rsidRDefault="0016684F" w:rsidP="009872D1">
      <w:pPr>
        <w:pStyle w:val="FootnoteText"/>
        <w:spacing w:after="120"/>
        <w:rPr>
          <w:rFonts w:ascii="Times New Roman" w:hAnsi="Times New Roman" w:cs="Times New Roman"/>
        </w:rPr>
      </w:pPr>
      <w:r w:rsidRPr="00E45180">
        <w:rPr>
          <w:rStyle w:val="FootnoteReference"/>
          <w:rFonts w:ascii="Times New Roman" w:hAnsi="Times New Roman" w:cs="Times New Roman"/>
        </w:rPr>
        <w:footnoteRef/>
      </w:r>
      <w:r w:rsidRPr="00E45180">
        <w:rPr>
          <w:rFonts w:ascii="Times New Roman" w:hAnsi="Times New Roman" w:cs="Times New Roman"/>
        </w:rPr>
        <w:t xml:space="preserve"> </w:t>
      </w:r>
      <w:proofErr w:type="gramStart"/>
      <w:r w:rsidRPr="00E45180">
        <w:rPr>
          <w:rFonts w:ascii="Times New Roman" w:hAnsi="Times New Roman" w:cs="Times New Roman"/>
        </w:rPr>
        <w:t xml:space="preserve">Duke </w:t>
      </w:r>
      <w:r>
        <w:rPr>
          <w:rFonts w:ascii="Times New Roman" w:hAnsi="Times New Roman" w:cs="Times New Roman"/>
        </w:rPr>
        <w:t xml:space="preserve">Initial </w:t>
      </w:r>
      <w:r w:rsidRPr="00E45180">
        <w:rPr>
          <w:rFonts w:ascii="Times New Roman" w:hAnsi="Times New Roman" w:cs="Times New Roman"/>
        </w:rPr>
        <w:t>Brief at 3.</w:t>
      </w:r>
      <w:proofErr w:type="gramEnd"/>
    </w:p>
  </w:footnote>
  <w:footnote w:id="91">
    <w:p w:rsidR="0016684F" w:rsidRPr="00E45180" w:rsidRDefault="0016684F" w:rsidP="009872D1">
      <w:pPr>
        <w:pStyle w:val="FootnoteText"/>
        <w:spacing w:after="120"/>
        <w:rPr>
          <w:rFonts w:ascii="Times New Roman" w:hAnsi="Times New Roman" w:cs="Times New Roman"/>
        </w:rPr>
      </w:pPr>
      <w:r w:rsidRPr="00E45180">
        <w:rPr>
          <w:rStyle w:val="FootnoteReference"/>
          <w:rFonts w:ascii="Times New Roman" w:hAnsi="Times New Roman" w:cs="Times New Roman"/>
        </w:rPr>
        <w:footnoteRef/>
      </w:r>
      <w:r w:rsidRPr="00E45180">
        <w:rPr>
          <w:rFonts w:ascii="Times New Roman" w:hAnsi="Times New Roman" w:cs="Times New Roman"/>
        </w:rPr>
        <w:t xml:space="preserve"> See IEU Ex. 9, and </w:t>
      </w:r>
      <w:r>
        <w:rPr>
          <w:rFonts w:ascii="Times New Roman" w:hAnsi="Times New Roman" w:cs="Times New Roman"/>
        </w:rPr>
        <w:t xml:space="preserve">Direct Testimony of Duke witness </w:t>
      </w:r>
      <w:r w:rsidRPr="00E45180">
        <w:rPr>
          <w:rFonts w:ascii="Times New Roman" w:hAnsi="Times New Roman" w:cs="Times New Roman"/>
        </w:rPr>
        <w:t xml:space="preserve">B. Keith </w:t>
      </w:r>
      <w:proofErr w:type="gramStart"/>
      <w:r w:rsidRPr="00E45180">
        <w:rPr>
          <w:rFonts w:ascii="Times New Roman" w:hAnsi="Times New Roman" w:cs="Times New Roman"/>
        </w:rPr>
        <w:t>Trent  at</w:t>
      </w:r>
      <w:proofErr w:type="gramEnd"/>
      <w:r>
        <w:rPr>
          <w:rFonts w:ascii="Times New Roman" w:hAnsi="Times New Roman" w:cs="Times New Roman"/>
        </w:rPr>
        <w:t xml:space="preserve"> </w:t>
      </w:r>
      <w:r w:rsidRPr="00E45180">
        <w:rPr>
          <w:rFonts w:ascii="Times New Roman" w:hAnsi="Times New Roman" w:cs="Times New Roman"/>
        </w:rPr>
        <w:t xml:space="preserve"> 9, Schedule 8.1, Section D.8 of the Reliability Assura</w:t>
      </w:r>
      <w:r>
        <w:rPr>
          <w:rFonts w:ascii="Times New Roman" w:hAnsi="Times New Roman" w:cs="Times New Roman"/>
        </w:rPr>
        <w:t>nce Agreement</w:t>
      </w:r>
      <w:r w:rsidRPr="00E45180">
        <w:rPr>
          <w:rFonts w:ascii="Times New Roman" w:hAnsi="Times New Roman" w:cs="Times New Roman"/>
        </w:rPr>
        <w:t>.</w:t>
      </w:r>
    </w:p>
  </w:footnote>
  <w:footnote w:id="92">
    <w:p w:rsidR="0016684F" w:rsidRPr="001839A5" w:rsidRDefault="0016684F" w:rsidP="009872D1">
      <w:pPr>
        <w:pStyle w:val="FootnoteText"/>
        <w:spacing w:after="120"/>
        <w:rPr>
          <w:rFonts w:ascii="Times New Roman" w:hAnsi="Times New Roman" w:cs="Times New Roman"/>
        </w:rPr>
      </w:pPr>
      <w:r w:rsidRPr="001839A5">
        <w:rPr>
          <w:rStyle w:val="FootnoteReference"/>
          <w:rFonts w:ascii="Times New Roman" w:hAnsi="Times New Roman" w:cs="Times New Roman"/>
        </w:rPr>
        <w:footnoteRef/>
      </w:r>
      <w:r w:rsidRPr="001839A5">
        <w:rPr>
          <w:rFonts w:ascii="Times New Roman" w:hAnsi="Times New Roman" w:cs="Times New Roman"/>
        </w:rPr>
        <w:t xml:space="preserve"> IEU Ex. 9.</w:t>
      </w:r>
    </w:p>
  </w:footnote>
  <w:footnote w:id="93">
    <w:p w:rsidR="0016684F" w:rsidRPr="001839A5" w:rsidRDefault="0016684F" w:rsidP="009872D1">
      <w:pPr>
        <w:pStyle w:val="FootnoteText"/>
        <w:spacing w:after="120"/>
        <w:rPr>
          <w:rFonts w:ascii="Times New Roman" w:hAnsi="Times New Roman" w:cs="Times New Roman"/>
        </w:rPr>
      </w:pPr>
      <w:r w:rsidRPr="001839A5">
        <w:rPr>
          <w:rStyle w:val="FootnoteReference"/>
          <w:rFonts w:ascii="Times New Roman" w:hAnsi="Times New Roman" w:cs="Times New Roman"/>
        </w:rPr>
        <w:footnoteRef/>
      </w:r>
      <w:r w:rsidRPr="001839A5">
        <w:rPr>
          <w:rFonts w:ascii="Times New Roman" w:hAnsi="Times New Roman" w:cs="Times New Roman"/>
        </w:rPr>
        <w:t xml:space="preserve"> </w:t>
      </w:r>
      <w:r>
        <w:rPr>
          <w:rFonts w:ascii="Times New Roman" w:hAnsi="Times New Roman" w:cs="Times New Roman"/>
        </w:rPr>
        <w:t>IEU Ex. 9.</w:t>
      </w:r>
    </w:p>
  </w:footnote>
  <w:footnote w:id="94">
    <w:p w:rsidR="0016684F" w:rsidRPr="001839A5" w:rsidRDefault="0016684F" w:rsidP="009872D1">
      <w:pPr>
        <w:pStyle w:val="FootnoteText"/>
        <w:spacing w:after="120"/>
        <w:rPr>
          <w:rFonts w:ascii="Times New Roman" w:hAnsi="Times New Roman" w:cs="Times New Roman"/>
        </w:rPr>
      </w:pPr>
      <w:r w:rsidRPr="001839A5">
        <w:rPr>
          <w:rStyle w:val="FootnoteReference"/>
          <w:rFonts w:ascii="Times New Roman" w:hAnsi="Times New Roman" w:cs="Times New Roman"/>
        </w:rPr>
        <w:footnoteRef/>
      </w:r>
      <w:r w:rsidRPr="001839A5">
        <w:rPr>
          <w:rFonts w:ascii="Times New Roman" w:hAnsi="Times New Roman" w:cs="Times New Roman"/>
        </w:rPr>
        <w:t xml:space="preserve"> Duke </w:t>
      </w:r>
      <w:r>
        <w:rPr>
          <w:rFonts w:ascii="Times New Roman" w:hAnsi="Times New Roman" w:cs="Times New Roman"/>
        </w:rPr>
        <w:t xml:space="preserve">Initial </w:t>
      </w:r>
      <w:r w:rsidRPr="001839A5">
        <w:rPr>
          <w:rFonts w:ascii="Times New Roman" w:hAnsi="Times New Roman" w:cs="Times New Roman"/>
        </w:rPr>
        <w:t>Brief at 8-9.</w:t>
      </w:r>
    </w:p>
  </w:footnote>
  <w:footnote w:id="95">
    <w:p w:rsidR="0016684F" w:rsidRPr="00FB644B" w:rsidRDefault="0016684F" w:rsidP="009872D1">
      <w:pPr>
        <w:pStyle w:val="FootnoteText"/>
        <w:spacing w:after="120"/>
        <w:rPr>
          <w:rFonts w:ascii="Times New Roman" w:hAnsi="Times New Roman" w:cs="Times New Roman"/>
        </w:rPr>
      </w:pPr>
      <w:r w:rsidRPr="00FB644B">
        <w:rPr>
          <w:rStyle w:val="FootnoteReference"/>
          <w:rFonts w:ascii="Times New Roman" w:hAnsi="Times New Roman" w:cs="Times New Roman"/>
        </w:rPr>
        <w:footnoteRef/>
      </w:r>
      <w:r w:rsidRPr="00FB644B">
        <w:rPr>
          <w:rFonts w:ascii="Times New Roman" w:hAnsi="Times New Roman" w:cs="Times New Roman"/>
        </w:rPr>
        <w:t xml:space="preserve"> See, for example, OCC </w:t>
      </w:r>
      <w:r>
        <w:rPr>
          <w:rFonts w:ascii="Times New Roman" w:hAnsi="Times New Roman" w:cs="Times New Roman"/>
        </w:rPr>
        <w:t xml:space="preserve">Initial </w:t>
      </w:r>
      <w:r w:rsidRPr="00FB644B">
        <w:rPr>
          <w:rFonts w:ascii="Times New Roman" w:hAnsi="Times New Roman" w:cs="Times New Roman"/>
        </w:rPr>
        <w:t>Brief at 19, Kroger</w:t>
      </w:r>
      <w:r>
        <w:rPr>
          <w:rFonts w:ascii="Times New Roman" w:hAnsi="Times New Roman" w:cs="Times New Roman"/>
        </w:rPr>
        <w:t xml:space="preserve"> </w:t>
      </w:r>
      <w:proofErr w:type="gramStart"/>
      <w:r>
        <w:rPr>
          <w:rFonts w:ascii="Times New Roman" w:hAnsi="Times New Roman" w:cs="Times New Roman"/>
        </w:rPr>
        <w:t xml:space="preserve">Initial  </w:t>
      </w:r>
      <w:r w:rsidRPr="00FB644B">
        <w:rPr>
          <w:rFonts w:ascii="Times New Roman" w:hAnsi="Times New Roman" w:cs="Times New Roman"/>
        </w:rPr>
        <w:t>Brief</w:t>
      </w:r>
      <w:proofErr w:type="gramEnd"/>
      <w:r w:rsidRPr="00FB644B">
        <w:rPr>
          <w:rFonts w:ascii="Times New Roman" w:hAnsi="Times New Roman" w:cs="Times New Roman"/>
        </w:rPr>
        <w:t xml:space="preserve"> at 4-24, OEG</w:t>
      </w:r>
      <w:r>
        <w:rPr>
          <w:rFonts w:ascii="Times New Roman" w:hAnsi="Times New Roman" w:cs="Times New Roman"/>
        </w:rPr>
        <w:t xml:space="preserve"> Initial </w:t>
      </w:r>
      <w:r w:rsidRPr="00FB644B">
        <w:rPr>
          <w:rFonts w:ascii="Times New Roman" w:hAnsi="Times New Roman" w:cs="Times New Roman"/>
        </w:rPr>
        <w:t xml:space="preserve"> Brief at 5, RESA and IGS </w:t>
      </w:r>
      <w:r>
        <w:rPr>
          <w:rFonts w:ascii="Times New Roman" w:hAnsi="Times New Roman" w:cs="Times New Roman"/>
        </w:rPr>
        <w:t xml:space="preserve">Initial </w:t>
      </w:r>
      <w:r w:rsidRPr="00FB644B">
        <w:rPr>
          <w:rFonts w:ascii="Times New Roman" w:hAnsi="Times New Roman" w:cs="Times New Roman"/>
        </w:rPr>
        <w:t>Brief</w:t>
      </w:r>
      <w:r>
        <w:rPr>
          <w:rFonts w:ascii="Times New Roman" w:hAnsi="Times New Roman" w:cs="Times New Roman"/>
        </w:rPr>
        <w:t>s</w:t>
      </w:r>
      <w:r w:rsidRPr="00FB644B">
        <w:rPr>
          <w:rFonts w:ascii="Times New Roman" w:hAnsi="Times New Roman" w:cs="Times New Roman"/>
        </w:rPr>
        <w:t xml:space="preserve"> at 10, PUCO Staff </w:t>
      </w:r>
      <w:r>
        <w:rPr>
          <w:rFonts w:ascii="Times New Roman" w:hAnsi="Times New Roman" w:cs="Times New Roman"/>
        </w:rPr>
        <w:t xml:space="preserve">Initial </w:t>
      </w:r>
      <w:r w:rsidRPr="00FB644B">
        <w:rPr>
          <w:rFonts w:ascii="Times New Roman" w:hAnsi="Times New Roman" w:cs="Times New Roman"/>
        </w:rPr>
        <w:t>Brief at 12.</w:t>
      </w:r>
    </w:p>
  </w:footnote>
  <w:footnote w:id="96">
    <w:p w:rsidR="0016684F" w:rsidRPr="00FB644B" w:rsidRDefault="0016684F" w:rsidP="009872D1">
      <w:pPr>
        <w:pStyle w:val="FootnoteText"/>
        <w:spacing w:after="120"/>
        <w:rPr>
          <w:rFonts w:ascii="Times New Roman" w:hAnsi="Times New Roman" w:cs="Times New Roman"/>
        </w:rPr>
      </w:pPr>
      <w:r w:rsidRPr="00FB644B">
        <w:rPr>
          <w:rStyle w:val="FootnoteReference"/>
          <w:rFonts w:ascii="Times New Roman" w:hAnsi="Times New Roman" w:cs="Times New Roman"/>
        </w:rPr>
        <w:footnoteRef/>
      </w:r>
      <w:r w:rsidRPr="00FB644B">
        <w:rPr>
          <w:rFonts w:ascii="Times New Roman" w:hAnsi="Times New Roman" w:cs="Times New Roman"/>
        </w:rPr>
        <w:t xml:space="preserve"> </w:t>
      </w:r>
      <w:proofErr w:type="gramStart"/>
      <w:r w:rsidRPr="00FB644B">
        <w:rPr>
          <w:rFonts w:ascii="Times New Roman" w:hAnsi="Times New Roman" w:cs="Times New Roman"/>
        </w:rPr>
        <w:t>PUCO Staf</w:t>
      </w:r>
      <w:r>
        <w:rPr>
          <w:rFonts w:ascii="Times New Roman" w:hAnsi="Times New Roman" w:cs="Times New Roman"/>
        </w:rPr>
        <w:t>f Initial</w:t>
      </w:r>
      <w:r w:rsidRPr="00FB644B">
        <w:rPr>
          <w:rFonts w:ascii="Times New Roman" w:hAnsi="Times New Roman" w:cs="Times New Roman"/>
        </w:rPr>
        <w:t xml:space="preserve"> Brief at 6.</w:t>
      </w:r>
      <w:proofErr w:type="gramEnd"/>
    </w:p>
  </w:footnote>
  <w:footnote w:id="97">
    <w:p w:rsidR="0016684F" w:rsidRPr="00FB644B" w:rsidRDefault="0016684F" w:rsidP="009872D1">
      <w:pPr>
        <w:pStyle w:val="FootnoteText"/>
        <w:spacing w:after="120"/>
        <w:rPr>
          <w:rFonts w:ascii="Times New Roman" w:hAnsi="Times New Roman" w:cs="Times New Roman"/>
        </w:rPr>
      </w:pPr>
      <w:r w:rsidRPr="00FB644B">
        <w:rPr>
          <w:rStyle w:val="FootnoteReference"/>
          <w:rFonts w:ascii="Times New Roman" w:hAnsi="Times New Roman" w:cs="Times New Roman"/>
        </w:rPr>
        <w:footnoteRef/>
      </w:r>
      <w:r w:rsidRPr="00FB644B">
        <w:rPr>
          <w:rFonts w:ascii="Times New Roman" w:hAnsi="Times New Roman" w:cs="Times New Roman"/>
        </w:rPr>
        <w:t xml:space="preserve"> See Duke </w:t>
      </w:r>
      <w:r>
        <w:rPr>
          <w:rFonts w:ascii="Times New Roman" w:hAnsi="Times New Roman" w:cs="Times New Roman"/>
        </w:rPr>
        <w:t xml:space="preserve">Initial </w:t>
      </w:r>
      <w:r w:rsidRPr="00FB644B">
        <w:rPr>
          <w:rFonts w:ascii="Times New Roman" w:hAnsi="Times New Roman" w:cs="Times New Roman"/>
        </w:rPr>
        <w:t>Brief at 30.</w:t>
      </w:r>
    </w:p>
  </w:footnote>
  <w:footnote w:id="98">
    <w:p w:rsidR="0016684F" w:rsidRPr="000C27EF" w:rsidRDefault="0016684F" w:rsidP="009872D1">
      <w:pPr>
        <w:pStyle w:val="FootnoteText"/>
        <w:spacing w:after="120"/>
        <w:rPr>
          <w:rFonts w:ascii="Times New Roman" w:hAnsi="Times New Roman" w:cs="Times New Roman"/>
        </w:rPr>
      </w:pPr>
      <w:r w:rsidRPr="00FB644B">
        <w:rPr>
          <w:rStyle w:val="FootnoteReference"/>
          <w:rFonts w:ascii="Times New Roman" w:hAnsi="Times New Roman" w:cs="Times New Roman"/>
        </w:rPr>
        <w:footnoteRef/>
      </w:r>
      <w:r w:rsidRPr="00FB644B">
        <w:rPr>
          <w:rFonts w:ascii="Times New Roman" w:hAnsi="Times New Roman" w:cs="Times New Roman"/>
        </w:rPr>
        <w:t xml:space="preserve"> </w:t>
      </w:r>
      <w:proofErr w:type="gramStart"/>
      <w:r w:rsidRPr="00FB644B">
        <w:rPr>
          <w:rFonts w:ascii="Times New Roman" w:hAnsi="Times New Roman" w:cs="Times New Roman"/>
        </w:rPr>
        <w:t xml:space="preserve">Duke </w:t>
      </w:r>
      <w:r>
        <w:rPr>
          <w:rFonts w:ascii="Times New Roman" w:hAnsi="Times New Roman" w:cs="Times New Roman"/>
        </w:rPr>
        <w:t xml:space="preserve">Initial </w:t>
      </w:r>
      <w:r w:rsidRPr="00FB644B">
        <w:rPr>
          <w:rFonts w:ascii="Times New Roman" w:hAnsi="Times New Roman" w:cs="Times New Roman"/>
        </w:rPr>
        <w:t>Brief at 33.</w:t>
      </w:r>
      <w:proofErr w:type="gramEnd"/>
    </w:p>
  </w:footnote>
  <w:footnote w:id="99">
    <w:p w:rsidR="0016684F" w:rsidRPr="00D308F6" w:rsidRDefault="0016684F" w:rsidP="0064367D">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i/>
        </w:rPr>
        <w:t xml:space="preserve"> </w:t>
      </w:r>
      <w:r w:rsidRPr="00D308F6">
        <w:rPr>
          <w:rFonts w:ascii="Times New Roman" w:hAnsi="Times New Roman" w:cs="Times New Roman"/>
          <w:i/>
        </w:rPr>
        <w:t>In the Matter of the Commission Review of the Capacity Charges of Ohio Power Company and Columbus Southern Power Company</w:t>
      </w:r>
      <w:r w:rsidRPr="00D308F6">
        <w:rPr>
          <w:rFonts w:ascii="Times New Roman" w:hAnsi="Times New Roman" w:cs="Times New Roman"/>
        </w:rPr>
        <w:t>, Case No. 10-2929-EL-UNC, Entry on Rehear</w:t>
      </w:r>
      <w:r>
        <w:rPr>
          <w:rFonts w:ascii="Times New Roman" w:hAnsi="Times New Roman" w:cs="Times New Roman"/>
        </w:rPr>
        <w:t xml:space="preserve">ing at ¶71 (Oct. 17, 2012). </w:t>
      </w:r>
    </w:p>
  </w:footnote>
  <w:footnote w:id="100">
    <w:p w:rsidR="0016684F" w:rsidRPr="00D308F6" w:rsidRDefault="0016684F" w:rsidP="0064367D">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OCC Initial Brief at 19-20.  </w:t>
      </w:r>
    </w:p>
  </w:footnote>
  <w:footnote w:id="101">
    <w:p w:rsidR="0016684F" w:rsidRPr="002D4594" w:rsidRDefault="0016684F" w:rsidP="009872D1">
      <w:pPr>
        <w:pStyle w:val="FootnoteText"/>
        <w:spacing w:after="120"/>
        <w:rPr>
          <w:rFonts w:ascii="Times New Roman" w:hAnsi="Times New Roman" w:cs="Times New Roman"/>
        </w:rPr>
      </w:pPr>
      <w:r w:rsidRPr="00E87E39">
        <w:rPr>
          <w:rStyle w:val="FootnoteReference"/>
          <w:rFonts w:ascii="Times New Roman" w:hAnsi="Times New Roman" w:cs="Times New Roman"/>
        </w:rPr>
        <w:footnoteRef/>
      </w:r>
      <w:r w:rsidRPr="00E87E39">
        <w:rPr>
          <w:rFonts w:ascii="Times New Roman" w:hAnsi="Times New Roman" w:cs="Times New Roman"/>
        </w:rPr>
        <w:t xml:space="preserve"> IEU Ex. 9.</w:t>
      </w:r>
    </w:p>
  </w:footnote>
  <w:footnote w:id="102">
    <w:p w:rsidR="0016684F" w:rsidRPr="002D4594" w:rsidRDefault="0016684F" w:rsidP="009872D1">
      <w:pPr>
        <w:pStyle w:val="FootnoteText"/>
        <w:spacing w:after="120"/>
        <w:rPr>
          <w:rFonts w:ascii="Times New Roman" w:hAnsi="Times New Roman" w:cs="Times New Roman"/>
        </w:rPr>
      </w:pPr>
      <w:r w:rsidRPr="002D4594">
        <w:rPr>
          <w:rStyle w:val="FootnoteReference"/>
          <w:rFonts w:ascii="Times New Roman" w:hAnsi="Times New Roman" w:cs="Times New Roman"/>
        </w:rPr>
        <w:footnoteRef/>
      </w:r>
      <w:r w:rsidRPr="002D4594">
        <w:rPr>
          <w:rFonts w:ascii="Times New Roman" w:hAnsi="Times New Roman" w:cs="Times New Roman"/>
        </w:rPr>
        <w:t xml:space="preserve"> </w:t>
      </w:r>
      <w:proofErr w:type="gramStart"/>
      <w:r w:rsidRPr="002D4594">
        <w:rPr>
          <w:rFonts w:ascii="Times New Roman" w:hAnsi="Times New Roman" w:cs="Times New Roman"/>
        </w:rPr>
        <w:t>PUCO Staff Brief at 12.</w:t>
      </w:r>
      <w:proofErr w:type="gramEnd"/>
    </w:p>
  </w:footnote>
  <w:footnote w:id="103">
    <w:p w:rsidR="0016684F" w:rsidRPr="002D4594" w:rsidRDefault="0016684F" w:rsidP="009872D1">
      <w:pPr>
        <w:pStyle w:val="FootnoteText"/>
        <w:spacing w:after="120"/>
        <w:rPr>
          <w:rFonts w:ascii="Times New Roman" w:hAnsi="Times New Roman" w:cs="Times New Roman"/>
        </w:rPr>
      </w:pPr>
      <w:r w:rsidRPr="002D4594">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OEG</w:t>
      </w:r>
      <w:r w:rsidRPr="002D4594">
        <w:rPr>
          <w:rFonts w:ascii="Times New Roman" w:hAnsi="Times New Roman" w:cs="Times New Roman"/>
        </w:rPr>
        <w:t xml:space="preserve"> Brief at 2.</w:t>
      </w:r>
      <w:proofErr w:type="gramEnd"/>
    </w:p>
  </w:footnote>
  <w:footnote w:id="104">
    <w:p w:rsidR="0016684F" w:rsidRPr="00524BD2" w:rsidRDefault="0016684F" w:rsidP="009872D1">
      <w:pPr>
        <w:pStyle w:val="FootnoteText"/>
        <w:spacing w:after="120"/>
        <w:rPr>
          <w:rFonts w:ascii="Times New Roman" w:hAnsi="Times New Roman" w:cs="Times New Roman"/>
        </w:rPr>
      </w:pPr>
      <w:r w:rsidRPr="00524BD2">
        <w:rPr>
          <w:rStyle w:val="FootnoteReference"/>
          <w:rFonts w:ascii="Times New Roman" w:hAnsi="Times New Roman" w:cs="Times New Roman"/>
        </w:rPr>
        <w:footnoteRef/>
      </w:r>
      <w:r w:rsidRPr="00524BD2">
        <w:rPr>
          <w:rFonts w:ascii="Times New Roman" w:hAnsi="Times New Roman" w:cs="Times New Roman"/>
        </w:rPr>
        <w:t xml:space="preserve"> See, e.g.,  </w:t>
      </w:r>
      <w:r w:rsidRPr="00524BD2">
        <w:rPr>
          <w:rFonts w:ascii="Times New Roman" w:hAnsi="Times New Roman" w:cs="Times New Roman"/>
          <w:i/>
        </w:rPr>
        <w:t>In the Matter of the 1995 Electric Long Term Forecast Report of the Cincinnati Gas &amp; Electric Company</w:t>
      </w:r>
      <w:r w:rsidRPr="00524BD2">
        <w:rPr>
          <w:rFonts w:ascii="Times New Roman" w:hAnsi="Times New Roman" w:cs="Times New Roman"/>
        </w:rPr>
        <w:t>, Case No. 95-203-EL-FOR et al., Opinion and Order at  49-50 (Dec. 19, 1996).</w:t>
      </w:r>
    </w:p>
  </w:footnote>
  <w:footnote w:id="105">
    <w:p w:rsidR="0016684F" w:rsidRPr="00524BD2" w:rsidRDefault="0016684F" w:rsidP="009872D1">
      <w:pPr>
        <w:pStyle w:val="FootnoteText"/>
        <w:spacing w:after="120"/>
        <w:rPr>
          <w:rFonts w:ascii="Times New Roman" w:hAnsi="Times New Roman" w:cs="Times New Roman"/>
        </w:rPr>
      </w:pPr>
      <w:r w:rsidRPr="00524BD2">
        <w:rPr>
          <w:rStyle w:val="FootnoteReference"/>
          <w:rFonts w:ascii="Times New Roman" w:hAnsi="Times New Roman" w:cs="Times New Roman"/>
        </w:rPr>
        <w:footnoteRef/>
      </w:r>
      <w:r w:rsidRPr="00524BD2">
        <w:rPr>
          <w:rFonts w:ascii="Times New Roman" w:hAnsi="Times New Roman" w:cs="Times New Roman"/>
        </w:rPr>
        <w:t xml:space="preserve"> </w:t>
      </w:r>
      <w:proofErr w:type="gramStart"/>
      <w:r w:rsidRPr="00524BD2">
        <w:rPr>
          <w:rFonts w:ascii="Times New Roman" w:hAnsi="Times New Roman" w:cs="Times New Roman"/>
        </w:rPr>
        <w:t xml:space="preserve">Duke </w:t>
      </w:r>
      <w:r>
        <w:rPr>
          <w:rFonts w:ascii="Times New Roman" w:hAnsi="Times New Roman" w:cs="Times New Roman"/>
        </w:rPr>
        <w:t xml:space="preserve">Initial </w:t>
      </w:r>
      <w:r w:rsidRPr="00524BD2">
        <w:rPr>
          <w:rFonts w:ascii="Times New Roman" w:hAnsi="Times New Roman" w:cs="Times New Roman"/>
        </w:rPr>
        <w:t>Brief at 34.</w:t>
      </w:r>
      <w:proofErr w:type="gramEnd"/>
    </w:p>
  </w:footnote>
  <w:footnote w:id="10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17.</w:t>
      </w:r>
      <w:proofErr w:type="gramEnd"/>
      <w:r w:rsidRPr="00D308F6">
        <w:rPr>
          <w:rFonts w:ascii="Times New Roman" w:hAnsi="Times New Roman" w:cs="Times New Roman"/>
        </w:rPr>
        <w:t xml:space="preserve"> </w:t>
      </w:r>
    </w:p>
  </w:footnote>
  <w:footnote w:id="10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at 17-18.</w:t>
      </w:r>
    </w:p>
  </w:footnote>
  <w:footnote w:id="10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Id. at 20.</w:t>
      </w:r>
      <w:proofErr w:type="gramEnd"/>
    </w:p>
  </w:footnote>
  <w:footnote w:id="109">
    <w:p w:rsidR="0016684F" w:rsidRPr="00D308F6" w:rsidRDefault="0016684F" w:rsidP="00D308F6">
      <w:pPr>
        <w:pStyle w:val="FootnoteText"/>
        <w:spacing w:after="120"/>
        <w:rPr>
          <w:rFonts w:ascii="Times New Roman" w:hAnsi="Times New Roman" w:cs="Times New Roman"/>
        </w:rPr>
      </w:pPr>
      <w:r w:rsidRPr="002C20A1">
        <w:rPr>
          <w:rStyle w:val="FootnoteReference"/>
          <w:rFonts w:ascii="Times New Roman" w:hAnsi="Times New Roman"/>
        </w:rPr>
        <w:footnoteRef/>
      </w:r>
      <w:r>
        <w:rPr>
          <w:rFonts w:ascii="Times New Roman" w:hAnsi="Times New Roman"/>
        </w:rPr>
        <w:t xml:space="preserve"> </w:t>
      </w:r>
      <w:r w:rsidRPr="002C20A1">
        <w:rPr>
          <w:rFonts w:ascii="Times New Roman" w:hAnsi="Times New Roman"/>
        </w:rPr>
        <w:t xml:space="preserve">Even if one were to accept Duke’s </w:t>
      </w:r>
      <w:proofErr w:type="gramStart"/>
      <w:r w:rsidRPr="002C20A1">
        <w:rPr>
          <w:rFonts w:ascii="Times New Roman" w:hAnsi="Times New Roman"/>
        </w:rPr>
        <w:t>doom</w:t>
      </w:r>
      <w:proofErr w:type="gramEnd"/>
      <w:r w:rsidRPr="002C20A1">
        <w:rPr>
          <w:rFonts w:ascii="Times New Roman" w:hAnsi="Times New Roman"/>
        </w:rPr>
        <w:t xml:space="preserve"> and gloom predictions for its generating assets (which OCC does not)   slightly negative returns on equity for a discrete period of time do not necessarily equate to a constitutional taking.  Indeed this Commission has on several occasions ordered low or negative rates of return.  For instance in the Ohio Cumberland Gas Company 2002 rate case, the Commission approved an overall rate of return of 1.55%.    </w:t>
      </w:r>
      <w:r w:rsidRPr="002C20A1">
        <w:rPr>
          <w:rFonts w:ascii="Times New Roman" w:hAnsi="Times New Roman"/>
          <w:i/>
        </w:rPr>
        <w:t>In the Matter of the Application of Ohio Cumberland Gas Company for an Increase in Rates</w:t>
      </w:r>
      <w:r w:rsidRPr="002C20A1">
        <w:rPr>
          <w:rFonts w:ascii="Times New Roman" w:hAnsi="Times New Roman"/>
        </w:rPr>
        <w:t xml:space="preserve">, Case No. 02-1200-GA-AIR, Opinion  at 4 (Jan. 23, 2003.  And in an earlier case, in 1987, the PUCO determined that a negative 48.57 overall rate of return was “fair and reasonable.”  </w:t>
      </w:r>
      <w:r w:rsidRPr="002C20A1">
        <w:rPr>
          <w:rFonts w:ascii="Times New Roman" w:hAnsi="Times New Roman"/>
          <w:i/>
        </w:rPr>
        <w:t xml:space="preserve">In the Matter of the Application of the West </w:t>
      </w:r>
      <w:proofErr w:type="spellStart"/>
      <w:r w:rsidRPr="002C20A1">
        <w:rPr>
          <w:rFonts w:ascii="Times New Roman" w:hAnsi="Times New Roman"/>
          <w:i/>
        </w:rPr>
        <w:t>Millgrove</w:t>
      </w:r>
      <w:proofErr w:type="spellEnd"/>
      <w:r w:rsidRPr="002C20A1">
        <w:rPr>
          <w:rFonts w:ascii="Times New Roman" w:hAnsi="Times New Roman"/>
          <w:i/>
        </w:rPr>
        <w:t xml:space="preserve"> Gas Company for an Increase in Rates and Charges</w:t>
      </w:r>
      <w:r w:rsidRPr="002C20A1">
        <w:rPr>
          <w:rFonts w:ascii="Times New Roman" w:hAnsi="Times New Roman"/>
        </w:rPr>
        <w:t xml:space="preserve">, Case No. 87-671-GA-AIR, Opinion and Order at 6-7 (Dec. 23, 1987).  </w:t>
      </w:r>
      <w:r w:rsidRPr="00D308F6">
        <w:rPr>
          <w:rFonts w:ascii="Times New Roman" w:hAnsi="Times New Roman" w:cs="Times New Roman"/>
        </w:rPr>
        <w:t xml:space="preserve"> </w:t>
      </w:r>
    </w:p>
  </w:footnote>
  <w:footnote w:id="11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R.C. Title 49.</w:t>
      </w:r>
    </w:p>
  </w:footnote>
  <w:footnote w:id="11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w:t>
      </w:r>
    </w:p>
  </w:footnote>
  <w:footnote w:id="11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R.C. Title 49, which articulates the duties of the PUCO.</w:t>
      </w:r>
    </w:p>
  </w:footnote>
  <w:footnote w:id="11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w:t>
      </w:r>
      <w:r w:rsidRPr="00D308F6">
        <w:rPr>
          <w:rFonts w:ascii="Times New Roman" w:hAnsi="Times New Roman" w:cs="Times New Roman"/>
          <w:i/>
        </w:rPr>
        <w:t>Allstate Ins. Co. v. Cleveland Elec. Illuminating Co.</w:t>
      </w:r>
      <w:r w:rsidRPr="00D308F6">
        <w:rPr>
          <w:rFonts w:ascii="Times New Roman" w:hAnsi="Times New Roman" w:cs="Times New Roman"/>
        </w:rPr>
        <w:t xml:space="preserve"> (2008), 119 Ohio St.3d 301, 302, 893 N.E.2d 824; </w:t>
      </w:r>
      <w:r w:rsidRPr="00D308F6">
        <w:rPr>
          <w:rFonts w:ascii="Times New Roman" w:hAnsi="Times New Roman" w:cs="Times New Roman"/>
          <w:i/>
        </w:rPr>
        <w:t>East Gas Ohio Company v. Pub. Util. Comm.</w:t>
      </w:r>
      <w:r w:rsidRPr="00D308F6">
        <w:rPr>
          <w:rFonts w:ascii="Times New Roman" w:hAnsi="Times New Roman" w:cs="Times New Roman"/>
        </w:rPr>
        <w:t>, 137 Ohio St. 225, 238, 28 N.E.2d 599 (1940) (holding that</w:t>
      </w:r>
      <w:r w:rsidRPr="00D308F6">
        <w:rPr>
          <w:rFonts w:ascii="Times New Roman" w:hAnsi="Times New Roman" w:cs="Times New Roman"/>
          <w:color w:val="333333"/>
          <w:shd w:val="clear" w:color="auto" w:fill="FFFFFF"/>
        </w:rPr>
        <w:t xml:space="preserve"> the constitutionality of statutes is the province of the courts not the Commission</w:t>
      </w:r>
      <w:r w:rsidRPr="00D308F6">
        <w:rPr>
          <w:rFonts w:ascii="Times New Roman" w:hAnsi="Times New Roman" w:cs="Times New Roman"/>
        </w:rPr>
        <w:t>.)</w:t>
      </w:r>
    </w:p>
  </w:footnote>
  <w:footnote w:id="11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Allstate Ins. Co. v. Cleveland Elec. Illuminating Co.</w:t>
      </w:r>
      <w:r w:rsidRPr="00D308F6">
        <w:rPr>
          <w:rFonts w:ascii="Times New Roman" w:hAnsi="Times New Roman" w:cs="Times New Roman"/>
        </w:rPr>
        <w:t xml:space="preserve"> (2008</w:t>
      </w:r>
      <w:proofErr w:type="gramStart"/>
      <w:r w:rsidRPr="00D308F6">
        <w:rPr>
          <w:rFonts w:ascii="Times New Roman" w:hAnsi="Times New Roman" w:cs="Times New Roman"/>
        </w:rPr>
        <w:t>) ,</w:t>
      </w:r>
      <w:proofErr w:type="gramEnd"/>
      <w:r w:rsidRPr="00D308F6">
        <w:rPr>
          <w:rFonts w:ascii="Times New Roman" w:hAnsi="Times New Roman" w:cs="Times New Roman"/>
        </w:rPr>
        <w:t xml:space="preserve"> 119 Ohio St.3d 301, 302, 893 N.E.2d 824 (Citation omitted) (Emphasis added).</w:t>
      </w:r>
    </w:p>
  </w:footnote>
  <w:footnote w:id="11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w:t>
      </w:r>
      <w:r w:rsidRPr="00D308F6">
        <w:rPr>
          <w:rFonts w:ascii="Times New Roman" w:hAnsi="Times New Roman" w:cs="Times New Roman"/>
          <w:i/>
        </w:rPr>
        <w:t xml:space="preserve">Herrick v. </w:t>
      </w:r>
      <w:proofErr w:type="spellStart"/>
      <w:r w:rsidRPr="00D308F6">
        <w:rPr>
          <w:rFonts w:ascii="Times New Roman" w:hAnsi="Times New Roman" w:cs="Times New Roman"/>
          <w:i/>
        </w:rPr>
        <w:t>Kosydar</w:t>
      </w:r>
      <w:proofErr w:type="spellEnd"/>
      <w:r w:rsidRPr="00D308F6">
        <w:rPr>
          <w:rFonts w:ascii="Times New Roman" w:hAnsi="Times New Roman" w:cs="Times New Roman"/>
        </w:rPr>
        <w:t xml:space="preserve"> (1975), 44 Ohio St.2d 128, generally.</w:t>
      </w:r>
    </w:p>
  </w:footnote>
  <w:footnote w:id="116">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Application of the Cincinnati Gas &amp; Electric Company</w:t>
      </w:r>
      <w:r w:rsidRPr="00D308F6">
        <w:rPr>
          <w:rFonts w:ascii="Times New Roman" w:hAnsi="Times New Roman" w:cs="Times New Roman"/>
        </w:rPr>
        <w:t xml:space="preserve">, </w:t>
      </w:r>
      <w:proofErr w:type="gramStart"/>
      <w:r w:rsidRPr="00D308F6">
        <w:rPr>
          <w:rFonts w:ascii="Times New Roman" w:hAnsi="Times New Roman" w:cs="Times New Roman"/>
        </w:rPr>
        <w:t>Case  No</w:t>
      </w:r>
      <w:proofErr w:type="gramEnd"/>
      <w:r w:rsidRPr="00D308F6">
        <w:rPr>
          <w:rFonts w:ascii="Times New Roman" w:hAnsi="Times New Roman" w:cs="Times New Roman"/>
        </w:rPr>
        <w:t xml:space="preserve">. 72-415-Y, 1975 Ohio PUC LEXIS 1, at *35-36 (October 17, 1975); </w:t>
      </w: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Complaint of WorldCom Inc.</w:t>
      </w:r>
      <w:r w:rsidRPr="00D308F6">
        <w:rPr>
          <w:rFonts w:ascii="Times New Roman" w:hAnsi="Times New Roman" w:cs="Times New Roman"/>
        </w:rPr>
        <w:t>, Case No. 03-324-AU-PWC, 2003 Ohio PUC LEXIS 368, at * 12 (August 19, 2003);</w:t>
      </w:r>
      <w:r w:rsidRPr="00D308F6">
        <w:rPr>
          <w:rFonts w:ascii="Times New Roman" w:hAnsi="Times New Roman" w:cs="Times New Roman"/>
          <w:i/>
        </w:rPr>
        <w:t xml:space="preserve"> In the Matter of the Complaint of the City of Reynoldsburg</w:t>
      </w:r>
      <w:r w:rsidRPr="00D308F6">
        <w:rPr>
          <w:rFonts w:ascii="Times New Roman" w:hAnsi="Times New Roman" w:cs="Times New Roman"/>
        </w:rPr>
        <w:t xml:space="preserve">, Case No.  </w:t>
      </w:r>
      <w:proofErr w:type="gramStart"/>
      <w:r w:rsidRPr="00D308F6">
        <w:rPr>
          <w:rFonts w:ascii="Times New Roman" w:hAnsi="Times New Roman" w:cs="Times New Roman"/>
        </w:rPr>
        <w:t xml:space="preserve">08-846-EL-CSS, 2011 Ohio PUC LEXIS 429, at *36 (April 5, 2011); </w:t>
      </w:r>
      <w:r w:rsidRPr="00D308F6">
        <w:rPr>
          <w:rFonts w:ascii="Times New Roman" w:hAnsi="Times New Roman" w:cs="Times New Roman"/>
          <w:i/>
        </w:rPr>
        <w:t xml:space="preserve">Monongahela Power Co. v. </w:t>
      </w:r>
      <w:proofErr w:type="spellStart"/>
      <w:r w:rsidRPr="00D308F6">
        <w:rPr>
          <w:rFonts w:ascii="Times New Roman" w:hAnsi="Times New Roman" w:cs="Times New Roman"/>
          <w:i/>
        </w:rPr>
        <w:t>Schriber</w:t>
      </w:r>
      <w:proofErr w:type="spellEnd"/>
      <w:r w:rsidRPr="00D308F6">
        <w:rPr>
          <w:rFonts w:ascii="Times New Roman" w:hAnsi="Times New Roman" w:cs="Times New Roman"/>
        </w:rPr>
        <w:t xml:space="preserve"> (S.D. Ohio 2004), 322 F. Supp.2d 902, 911.</w:t>
      </w:r>
      <w:proofErr w:type="gramEnd"/>
      <w:r w:rsidRPr="00D308F6">
        <w:rPr>
          <w:rFonts w:ascii="Times New Roman" w:hAnsi="Times New Roman" w:cs="Times New Roman"/>
        </w:rPr>
        <w:t xml:space="preserve">  </w:t>
      </w:r>
    </w:p>
  </w:footnote>
  <w:footnote w:id="117">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Complaint of WorldCom Inc.</w:t>
      </w:r>
      <w:r w:rsidRPr="00D308F6">
        <w:rPr>
          <w:rFonts w:ascii="Times New Roman" w:hAnsi="Times New Roman" w:cs="Times New Roman"/>
        </w:rPr>
        <w:t>, Case No. 03-324-AU-PWC, 2003 Ohio PUC LEXIS 368, at * 12 (August 19, 2003)</w:t>
      </w:r>
      <w:r>
        <w:rPr>
          <w:rFonts w:ascii="Times New Roman" w:hAnsi="Times New Roman" w:cs="Times New Roman"/>
        </w:rPr>
        <w:t>.</w:t>
      </w:r>
    </w:p>
  </w:footnote>
  <w:footnote w:id="118">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Complaint of the City of Reynoldsburg</w:t>
      </w:r>
      <w:r w:rsidRPr="00D308F6">
        <w:rPr>
          <w:rFonts w:ascii="Times New Roman" w:hAnsi="Times New Roman" w:cs="Times New Roman"/>
        </w:rPr>
        <w:t>, Case No. 08-846-EL-CSS, 2011 Ohio PUC LEXIS 429, at *36 (April 5, 2011).</w:t>
      </w:r>
    </w:p>
  </w:footnote>
  <w:footnote w:id="119">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i/>
        </w:rPr>
        <w:footnoteRef/>
      </w:r>
      <w:r w:rsidRPr="00D308F6">
        <w:rPr>
          <w:rFonts w:ascii="Times New Roman" w:hAnsi="Times New Roman" w:cs="Times New Roman"/>
          <w:i/>
        </w:rPr>
        <w:t xml:space="preserve"> In the Matter of the  Application of Columbus Southern Power Company and Ohio Power Company for Administration of the Significantly Excessive Earnings Test under Section 4928.143(F), Revised Code, and Rule 4901:1-35-10, Ohio Administrative Code</w:t>
      </w:r>
      <w:r w:rsidRPr="00D308F6">
        <w:rPr>
          <w:rFonts w:ascii="Times New Roman" w:hAnsi="Times New Roman" w:cs="Times New Roman"/>
        </w:rPr>
        <w:t>,  Case No. 10-1261-EL-UNC, Opinion and Order at 9 (January 11, 2011).</w:t>
      </w:r>
    </w:p>
  </w:footnote>
  <w:footnote w:id="120">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Application of the Cincinnati Gas &amp; Electric Company</w:t>
      </w:r>
      <w:r w:rsidRPr="00D308F6">
        <w:rPr>
          <w:rFonts w:ascii="Times New Roman" w:hAnsi="Times New Roman" w:cs="Times New Roman"/>
        </w:rPr>
        <w:t xml:space="preserve">,  Case  No. 72-415-Y, 1975 Ohio PUC LEXIS </w:t>
      </w:r>
      <w:r>
        <w:rPr>
          <w:rFonts w:ascii="Times New Roman" w:hAnsi="Times New Roman" w:cs="Times New Roman"/>
        </w:rPr>
        <w:t>1, at *35-36 (October 17, 1975).</w:t>
      </w:r>
    </w:p>
  </w:footnote>
  <w:footnote w:id="121">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22">
    <w:p w:rsidR="0016684F" w:rsidRPr="00D308F6" w:rsidRDefault="0016684F" w:rsidP="000B7B0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at *3-4.</w:t>
      </w:r>
    </w:p>
  </w:footnote>
  <w:footnote w:id="12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w:t>
      </w:r>
    </w:p>
  </w:footnote>
  <w:footnote w:id="12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Id. at *35.</w:t>
      </w:r>
      <w:proofErr w:type="gramEnd"/>
    </w:p>
  </w:footnote>
  <w:footnote w:id="12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w:t>
      </w:r>
    </w:p>
  </w:footnote>
  <w:footnote w:id="12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B77184">
        <w:rPr>
          <w:rFonts w:ascii="Times New Roman" w:hAnsi="Times New Roman" w:cs="Times New Roman"/>
        </w:rPr>
        <w:t>Id</w:t>
      </w:r>
      <w:r w:rsidRPr="00DE57EA">
        <w:rPr>
          <w:rFonts w:ascii="Times New Roman" w:hAnsi="Times New Roman" w:cs="Times New Roman"/>
        </w:rPr>
        <w:t>.,</w:t>
      </w:r>
      <w:r w:rsidRPr="00D308F6">
        <w:rPr>
          <w:rFonts w:ascii="Times New Roman" w:hAnsi="Times New Roman" w:cs="Times New Roman"/>
        </w:rPr>
        <w:t xml:space="preserve"> citing </w:t>
      </w:r>
      <w:r w:rsidRPr="00D308F6">
        <w:rPr>
          <w:rFonts w:ascii="Times New Roman" w:hAnsi="Times New Roman" w:cs="Times New Roman"/>
          <w:i/>
        </w:rPr>
        <w:t>Smyth v. Ames</w:t>
      </w:r>
      <w:r w:rsidRPr="00D308F6">
        <w:rPr>
          <w:rFonts w:ascii="Times New Roman" w:hAnsi="Times New Roman" w:cs="Times New Roman"/>
        </w:rPr>
        <w:t xml:space="preserve">, 169 U.S. 466, 457 (1898); </w:t>
      </w:r>
      <w:r w:rsidRPr="00D308F6">
        <w:rPr>
          <w:rFonts w:ascii="Times New Roman" w:hAnsi="Times New Roman" w:cs="Times New Roman"/>
          <w:i/>
        </w:rPr>
        <w:t>Bluefield Water Works and Service Co. v. Pub.</w:t>
      </w:r>
      <w:proofErr w:type="gramEnd"/>
      <w:r w:rsidRPr="00D308F6">
        <w:rPr>
          <w:rFonts w:ascii="Times New Roman" w:hAnsi="Times New Roman" w:cs="Times New Roman"/>
          <w:i/>
        </w:rPr>
        <w:t xml:space="preserve"> </w:t>
      </w:r>
      <w:proofErr w:type="gramStart"/>
      <w:r w:rsidRPr="00D308F6">
        <w:rPr>
          <w:rFonts w:ascii="Times New Roman" w:hAnsi="Times New Roman" w:cs="Times New Roman"/>
          <w:i/>
        </w:rPr>
        <w:t>Util. Comm.</w:t>
      </w:r>
      <w:r w:rsidRPr="00D308F6">
        <w:rPr>
          <w:rFonts w:ascii="Times New Roman" w:hAnsi="Times New Roman" w:cs="Times New Roman"/>
        </w:rPr>
        <w:t xml:space="preserve">, 262 U.S. 679, 690; 43 S. Ct. 675; 67 L. Ed. 1176 (1923); </w:t>
      </w:r>
      <w:r w:rsidRPr="00D308F6">
        <w:rPr>
          <w:rFonts w:ascii="Times New Roman" w:hAnsi="Times New Roman" w:cs="Times New Roman"/>
          <w:i/>
        </w:rPr>
        <w:t xml:space="preserve">Duquesne Light Co. v. </w:t>
      </w:r>
      <w:proofErr w:type="spellStart"/>
      <w:r w:rsidRPr="00D308F6">
        <w:rPr>
          <w:rFonts w:ascii="Times New Roman" w:hAnsi="Times New Roman" w:cs="Times New Roman"/>
          <w:i/>
        </w:rPr>
        <w:t>Barasch</w:t>
      </w:r>
      <w:proofErr w:type="spellEnd"/>
      <w:r w:rsidRPr="00D308F6">
        <w:rPr>
          <w:rFonts w:ascii="Times New Roman" w:hAnsi="Times New Roman" w:cs="Times New Roman"/>
        </w:rPr>
        <w:t>, 488 U.S. 299, 310; 109 S. Ct. 609; 102 L. Ed. 2d 646 (1989).</w:t>
      </w:r>
      <w:proofErr w:type="gramEnd"/>
    </w:p>
  </w:footnote>
  <w:footnote w:id="12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Initial Brief of</w:t>
      </w:r>
      <w:r w:rsidRPr="00D308F6">
        <w:rPr>
          <w:rFonts w:ascii="Times New Roman" w:hAnsi="Times New Roman" w:cs="Times New Roman"/>
          <w:i/>
        </w:rPr>
        <w:t xml:space="preserve"> </w:t>
      </w:r>
      <w:r w:rsidRPr="00D308F6">
        <w:rPr>
          <w:rFonts w:ascii="Times New Roman" w:hAnsi="Times New Roman" w:cs="Times New Roman"/>
        </w:rPr>
        <w:t xml:space="preserve">OCC </w:t>
      </w:r>
      <w:r w:rsidRPr="00335948">
        <w:rPr>
          <w:rFonts w:ascii="Times New Roman" w:hAnsi="Times New Roman" w:cs="Times New Roman"/>
        </w:rPr>
        <w:t>at 44-46.</w:t>
      </w:r>
    </w:p>
  </w:footnote>
  <w:footnote w:id="12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R.C. 4928.398; OCC Initial Brief at 49-50.  </w:t>
      </w:r>
    </w:p>
  </w:footnote>
  <w:footnote w:id="12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i/>
        </w:rPr>
        <w:t>Market Street Railway Co. v. Railway Comm.</w:t>
      </w:r>
      <w:proofErr w:type="gramEnd"/>
      <w:r w:rsidRPr="00D308F6">
        <w:rPr>
          <w:rFonts w:ascii="Times New Roman" w:hAnsi="Times New Roman" w:cs="Times New Roman"/>
          <w:i/>
        </w:rPr>
        <w:t xml:space="preserve"> </w:t>
      </w:r>
      <w:proofErr w:type="gramStart"/>
      <w:r w:rsidRPr="00D308F6">
        <w:rPr>
          <w:rFonts w:ascii="Times New Roman" w:hAnsi="Times New Roman" w:cs="Times New Roman"/>
          <w:i/>
        </w:rPr>
        <w:t>Of Cal.</w:t>
      </w:r>
      <w:r w:rsidRPr="00D308F6">
        <w:rPr>
          <w:rFonts w:ascii="Times New Roman" w:hAnsi="Times New Roman" w:cs="Times New Roman"/>
        </w:rPr>
        <w:t>, 324 U.S. 548.</w:t>
      </w:r>
      <w:proofErr w:type="gramEnd"/>
      <w:r w:rsidRPr="00D308F6">
        <w:rPr>
          <w:rFonts w:ascii="Times New Roman" w:hAnsi="Times New Roman" w:cs="Times New Roman"/>
        </w:rPr>
        <w:t xml:space="preserve"> </w:t>
      </w:r>
      <w:proofErr w:type="gramStart"/>
      <w:r w:rsidRPr="00D308F6">
        <w:rPr>
          <w:rFonts w:ascii="Times New Roman" w:hAnsi="Times New Roman" w:cs="Times New Roman"/>
        </w:rPr>
        <w:t>554; 65 S. Ct. 770; 89 L. Ed. 1171 (1945).</w:t>
      </w:r>
      <w:proofErr w:type="gramEnd"/>
    </w:p>
  </w:footnote>
  <w:footnote w:id="13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w:t>
      </w:r>
    </w:p>
  </w:footnote>
  <w:footnote w:id="13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Id</w:t>
      </w:r>
      <w:r>
        <w:rPr>
          <w:rFonts w:ascii="Times New Roman" w:hAnsi="Times New Roman" w:cs="Times New Roman"/>
        </w:rPr>
        <w:t>.</w:t>
      </w:r>
      <w:r w:rsidRPr="00D308F6">
        <w:rPr>
          <w:rFonts w:ascii="Times New Roman" w:hAnsi="Times New Roman" w:cs="Times New Roman"/>
        </w:rPr>
        <w:t xml:space="preserve"> at 566.</w:t>
      </w:r>
      <w:proofErr w:type="gramEnd"/>
    </w:p>
  </w:footnote>
  <w:footnote w:id="13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3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Id. at 567</w:t>
      </w:r>
      <w:r>
        <w:rPr>
          <w:rFonts w:ascii="Times New Roman" w:hAnsi="Times New Roman" w:cs="Times New Roman"/>
        </w:rPr>
        <w:t>.</w:t>
      </w:r>
      <w:proofErr w:type="gramEnd"/>
    </w:p>
  </w:footnote>
  <w:footnote w:id="13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35">
    <w:p w:rsidR="0016684F" w:rsidRPr="008728FF" w:rsidRDefault="0016684F" w:rsidP="00D03179">
      <w:pPr>
        <w:pStyle w:val="FootnoteText"/>
        <w:spacing w:after="120"/>
        <w:rPr>
          <w:rFonts w:ascii="Times New Roman" w:hAnsi="Times New Roman" w:cs="Times New Roman"/>
        </w:rPr>
      </w:pPr>
      <w:r w:rsidRPr="008728FF">
        <w:rPr>
          <w:rStyle w:val="FootnoteReference"/>
          <w:rFonts w:ascii="Times New Roman" w:hAnsi="Times New Roman" w:cs="Times New Roman"/>
        </w:rPr>
        <w:footnoteRef/>
      </w:r>
      <w:r w:rsidRPr="008728FF">
        <w:rPr>
          <w:rFonts w:ascii="Times New Roman" w:hAnsi="Times New Roman" w:cs="Times New Roman"/>
        </w:rPr>
        <w:t xml:space="preserve"> </w:t>
      </w:r>
      <w:proofErr w:type="gramStart"/>
      <w:r w:rsidRPr="008728FF">
        <w:rPr>
          <w:rFonts w:ascii="Times New Roman" w:hAnsi="Times New Roman" w:cs="Times New Roman"/>
        </w:rPr>
        <w:t xml:space="preserve">Duke </w:t>
      </w:r>
      <w:r>
        <w:rPr>
          <w:rFonts w:ascii="Times New Roman" w:hAnsi="Times New Roman" w:cs="Times New Roman"/>
        </w:rPr>
        <w:t xml:space="preserve">Initial </w:t>
      </w:r>
      <w:r w:rsidRPr="008728FF">
        <w:rPr>
          <w:rFonts w:ascii="Times New Roman" w:hAnsi="Times New Roman" w:cs="Times New Roman"/>
        </w:rPr>
        <w:t>Brief at 20.</w:t>
      </w:r>
      <w:proofErr w:type="gramEnd"/>
    </w:p>
  </w:footnote>
  <w:footnote w:id="136">
    <w:p w:rsidR="0016684F" w:rsidRPr="008728FF" w:rsidRDefault="0016684F" w:rsidP="00D03179">
      <w:pPr>
        <w:pStyle w:val="FootnoteText"/>
        <w:spacing w:after="120"/>
        <w:rPr>
          <w:rFonts w:ascii="Times New Roman" w:hAnsi="Times New Roman" w:cs="Times New Roman"/>
        </w:rPr>
      </w:pPr>
      <w:r w:rsidRPr="008728FF">
        <w:rPr>
          <w:rStyle w:val="FootnoteReference"/>
          <w:rFonts w:ascii="Times New Roman" w:hAnsi="Times New Roman" w:cs="Times New Roman"/>
        </w:rPr>
        <w:footnoteRef/>
      </w:r>
      <w:r w:rsidRPr="008728FF">
        <w:rPr>
          <w:rFonts w:ascii="Times New Roman" w:hAnsi="Times New Roman" w:cs="Times New Roman"/>
        </w:rPr>
        <w:t xml:space="preserve"> </w:t>
      </w:r>
      <w:r>
        <w:rPr>
          <w:rFonts w:ascii="Times New Roman" w:hAnsi="Times New Roman" w:cs="Times New Roman"/>
        </w:rPr>
        <w:t>Id.</w:t>
      </w:r>
    </w:p>
  </w:footnote>
  <w:footnote w:id="137">
    <w:p w:rsidR="0016684F" w:rsidRPr="00B307C9" w:rsidRDefault="0016684F" w:rsidP="00D03179">
      <w:pPr>
        <w:pStyle w:val="FootnoteText"/>
        <w:spacing w:after="120"/>
        <w:rPr>
          <w:rFonts w:ascii="Times New Roman" w:hAnsi="Times New Roman" w:cs="Times New Roman"/>
        </w:rPr>
      </w:pPr>
      <w:r w:rsidRPr="00B307C9">
        <w:rPr>
          <w:rStyle w:val="FootnoteReference"/>
          <w:rFonts w:ascii="Times New Roman" w:hAnsi="Times New Roman" w:cs="Times New Roman"/>
        </w:rPr>
        <w:footnoteRef/>
      </w:r>
      <w:r w:rsidRPr="00B307C9">
        <w:rPr>
          <w:rFonts w:ascii="Times New Roman" w:hAnsi="Times New Roman" w:cs="Times New Roman"/>
        </w:rPr>
        <w:t xml:space="preserve"> For example, see OEG</w:t>
      </w:r>
      <w:r>
        <w:rPr>
          <w:rFonts w:ascii="Times New Roman" w:hAnsi="Times New Roman" w:cs="Times New Roman"/>
        </w:rPr>
        <w:t xml:space="preserve"> Initial</w:t>
      </w:r>
      <w:r w:rsidRPr="00B307C9">
        <w:rPr>
          <w:rFonts w:ascii="Times New Roman" w:hAnsi="Times New Roman" w:cs="Times New Roman"/>
        </w:rPr>
        <w:t xml:space="preserve"> Brief at 16, Kroger </w:t>
      </w:r>
      <w:r>
        <w:rPr>
          <w:rFonts w:ascii="Times New Roman" w:hAnsi="Times New Roman" w:cs="Times New Roman"/>
        </w:rPr>
        <w:t xml:space="preserve">Initial </w:t>
      </w:r>
      <w:r w:rsidRPr="00B307C9">
        <w:rPr>
          <w:rFonts w:ascii="Times New Roman" w:hAnsi="Times New Roman" w:cs="Times New Roman"/>
        </w:rPr>
        <w:t xml:space="preserve">Brief at 6, 27, FES </w:t>
      </w:r>
      <w:r>
        <w:rPr>
          <w:rFonts w:ascii="Times New Roman" w:hAnsi="Times New Roman" w:cs="Times New Roman"/>
        </w:rPr>
        <w:t xml:space="preserve">Initial </w:t>
      </w:r>
      <w:r w:rsidRPr="00B307C9">
        <w:rPr>
          <w:rFonts w:ascii="Times New Roman" w:hAnsi="Times New Roman" w:cs="Times New Roman"/>
        </w:rPr>
        <w:t xml:space="preserve">Brief at 14, IEU </w:t>
      </w:r>
      <w:r>
        <w:rPr>
          <w:rFonts w:ascii="Times New Roman" w:hAnsi="Times New Roman" w:cs="Times New Roman"/>
        </w:rPr>
        <w:t xml:space="preserve">Initial </w:t>
      </w:r>
      <w:r w:rsidRPr="00B307C9">
        <w:rPr>
          <w:rFonts w:ascii="Times New Roman" w:hAnsi="Times New Roman" w:cs="Times New Roman"/>
        </w:rPr>
        <w:t>Brief at 48.</w:t>
      </w:r>
    </w:p>
  </w:footnote>
  <w:footnote w:id="138">
    <w:p w:rsidR="0016684F" w:rsidRPr="00B307C9" w:rsidRDefault="0016684F" w:rsidP="00D03179">
      <w:pPr>
        <w:pStyle w:val="FootnoteText"/>
        <w:spacing w:after="120"/>
        <w:rPr>
          <w:rFonts w:ascii="Times New Roman" w:hAnsi="Times New Roman" w:cs="Times New Roman"/>
        </w:rPr>
      </w:pPr>
      <w:r w:rsidRPr="00EA732B">
        <w:rPr>
          <w:rStyle w:val="FootnoteReference"/>
          <w:rFonts w:ascii="Times New Roman" w:hAnsi="Times New Roman" w:cs="Times New Roman"/>
        </w:rPr>
        <w:footnoteRef/>
      </w:r>
      <w:r w:rsidRPr="00EA732B">
        <w:rPr>
          <w:rFonts w:ascii="Times New Roman" w:hAnsi="Times New Roman" w:cs="Times New Roman"/>
        </w:rPr>
        <w:t xml:space="preserve"> OCC </w:t>
      </w:r>
      <w:r>
        <w:rPr>
          <w:rFonts w:ascii="Times New Roman" w:hAnsi="Times New Roman" w:cs="Times New Roman"/>
        </w:rPr>
        <w:t xml:space="preserve">Initial </w:t>
      </w:r>
      <w:r w:rsidRPr="00EA732B">
        <w:rPr>
          <w:rFonts w:ascii="Times New Roman" w:hAnsi="Times New Roman" w:cs="Times New Roman"/>
        </w:rPr>
        <w:t>Brief at 8-13.</w:t>
      </w:r>
    </w:p>
  </w:footnote>
  <w:footnote w:id="139">
    <w:p w:rsidR="0016684F" w:rsidRPr="00EA732B" w:rsidRDefault="0016684F" w:rsidP="00D03179">
      <w:pPr>
        <w:pStyle w:val="FootnoteText"/>
        <w:spacing w:after="120"/>
        <w:rPr>
          <w:rFonts w:ascii="Times New Roman" w:hAnsi="Times New Roman" w:cs="Times New Roman"/>
        </w:rPr>
      </w:pPr>
      <w:r w:rsidRPr="00EA732B">
        <w:rPr>
          <w:rStyle w:val="FootnoteReference"/>
          <w:rFonts w:ascii="Times New Roman" w:hAnsi="Times New Roman" w:cs="Times New Roman"/>
        </w:rPr>
        <w:footnoteRef/>
      </w:r>
      <w:r w:rsidRPr="00EA732B">
        <w:rPr>
          <w:rFonts w:ascii="Times New Roman" w:hAnsi="Times New Roman" w:cs="Times New Roman"/>
        </w:rPr>
        <w:t xml:space="preserve"> </w:t>
      </w:r>
      <w:proofErr w:type="gramStart"/>
      <w:r w:rsidRPr="00EA732B">
        <w:rPr>
          <w:rFonts w:ascii="Times New Roman" w:hAnsi="Times New Roman" w:cs="Times New Roman"/>
        </w:rPr>
        <w:t xml:space="preserve">OCC </w:t>
      </w:r>
      <w:r>
        <w:rPr>
          <w:rFonts w:ascii="Times New Roman" w:hAnsi="Times New Roman" w:cs="Times New Roman"/>
        </w:rPr>
        <w:t xml:space="preserve">Initial </w:t>
      </w:r>
      <w:r w:rsidRPr="00EA732B">
        <w:rPr>
          <w:rFonts w:ascii="Times New Roman" w:hAnsi="Times New Roman" w:cs="Times New Roman"/>
        </w:rPr>
        <w:t>Brief at 27.</w:t>
      </w:r>
      <w:proofErr w:type="gramEnd"/>
    </w:p>
  </w:footnote>
  <w:footnote w:id="140">
    <w:p w:rsidR="0016684F" w:rsidRPr="008728FF" w:rsidRDefault="0016684F" w:rsidP="00D03179">
      <w:pPr>
        <w:pStyle w:val="FootnoteText"/>
        <w:spacing w:after="120"/>
        <w:rPr>
          <w:rFonts w:ascii="Times New Roman" w:hAnsi="Times New Roman" w:cs="Times New Roman"/>
        </w:rPr>
      </w:pPr>
      <w:r w:rsidRPr="00EA732B">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Id.</w:t>
      </w:r>
      <w:r w:rsidRPr="00EA732B">
        <w:rPr>
          <w:rFonts w:ascii="Times New Roman" w:hAnsi="Times New Roman" w:cs="Times New Roman"/>
        </w:rPr>
        <w:t xml:space="preserve"> at</w:t>
      </w:r>
      <w:r>
        <w:rPr>
          <w:rFonts w:ascii="Times New Roman" w:hAnsi="Times New Roman" w:cs="Times New Roman"/>
        </w:rPr>
        <w:t xml:space="preserve"> </w:t>
      </w:r>
      <w:r w:rsidRPr="00EA732B">
        <w:rPr>
          <w:rFonts w:ascii="Times New Roman" w:hAnsi="Times New Roman" w:cs="Times New Roman"/>
        </w:rPr>
        <w:t>25.</w:t>
      </w:r>
      <w:proofErr w:type="gramEnd"/>
    </w:p>
  </w:footnote>
  <w:footnote w:id="141">
    <w:p w:rsidR="0016684F" w:rsidRPr="00CC385F" w:rsidRDefault="0016684F" w:rsidP="00D03179">
      <w:pPr>
        <w:pStyle w:val="FootnoteText"/>
        <w:spacing w:after="120"/>
        <w:rPr>
          <w:rFonts w:ascii="Times New Roman" w:hAnsi="Times New Roman" w:cs="Times New Roman"/>
        </w:rPr>
      </w:pPr>
      <w:r w:rsidRPr="00CC385F">
        <w:rPr>
          <w:rStyle w:val="FootnoteReference"/>
          <w:rFonts w:ascii="Times New Roman" w:hAnsi="Times New Roman" w:cs="Times New Roman"/>
        </w:rPr>
        <w:footnoteRef/>
      </w:r>
      <w:r w:rsidRPr="00CC385F">
        <w:rPr>
          <w:rFonts w:ascii="Times New Roman" w:hAnsi="Times New Roman" w:cs="Times New Roman"/>
        </w:rPr>
        <w:t xml:space="preserve"> </w:t>
      </w:r>
      <w:r>
        <w:rPr>
          <w:rFonts w:ascii="Times New Roman" w:hAnsi="Times New Roman" w:cs="Times New Roman"/>
        </w:rPr>
        <w:t>See Direct Testimony of Duke witness B. Keith Trent at 21.  100% of Duke’s load shops because</w:t>
      </w:r>
      <w:r w:rsidRPr="00CC385F">
        <w:rPr>
          <w:rFonts w:ascii="Times New Roman" w:hAnsi="Times New Roman" w:cs="Times New Roman"/>
        </w:rPr>
        <w:t xml:space="preserve"> Duke bid out 100% of its Standard Service Offer service.</w:t>
      </w:r>
      <w:r>
        <w:rPr>
          <w:rFonts w:ascii="Times New Roman" w:hAnsi="Times New Roman" w:cs="Times New Roman"/>
        </w:rPr>
        <w:t xml:space="preserve">  </w:t>
      </w:r>
      <w:r w:rsidRPr="00D613A1">
        <w:rPr>
          <w:rFonts w:ascii="Times New Roman" w:hAnsi="Times New Roman" w:cs="Times New Roman"/>
        </w:rPr>
        <w:t xml:space="preserve">All </w:t>
      </w:r>
      <w:r>
        <w:rPr>
          <w:rFonts w:ascii="Times New Roman" w:hAnsi="Times New Roman" w:cs="Times New Roman"/>
        </w:rPr>
        <w:t xml:space="preserve">of Duke’s </w:t>
      </w:r>
      <w:r w:rsidRPr="00D613A1">
        <w:rPr>
          <w:rFonts w:ascii="Times New Roman" w:hAnsi="Times New Roman" w:cs="Times New Roman"/>
        </w:rPr>
        <w:t>SSO customers are served by alte</w:t>
      </w:r>
      <w:r>
        <w:rPr>
          <w:rFonts w:ascii="Times New Roman" w:hAnsi="Times New Roman" w:cs="Times New Roman"/>
        </w:rPr>
        <w:t>rnate LSEs</w:t>
      </w:r>
      <w:r w:rsidRPr="00D613A1">
        <w:rPr>
          <w:rFonts w:ascii="Times New Roman" w:hAnsi="Times New Roman" w:cs="Times New Roman"/>
        </w:rPr>
        <w:t>.</w:t>
      </w:r>
      <w:r>
        <w:rPr>
          <w:rFonts w:ascii="Times New Roman" w:hAnsi="Times New Roman" w:cs="Times New Roman"/>
        </w:rPr>
        <w:t xml:space="preserve">  (Direct Testimony of Duke witness B. Keith Trent at 21).</w:t>
      </w:r>
    </w:p>
  </w:footnote>
  <w:footnote w:id="142">
    <w:p w:rsidR="0016684F" w:rsidRPr="00CC385F" w:rsidRDefault="0016684F" w:rsidP="00D03179">
      <w:pPr>
        <w:pStyle w:val="FootnoteText"/>
        <w:spacing w:after="120"/>
        <w:rPr>
          <w:rFonts w:ascii="Times New Roman" w:hAnsi="Times New Roman" w:cs="Times New Roman"/>
        </w:rPr>
      </w:pPr>
      <w:r w:rsidRPr="00CC385F">
        <w:rPr>
          <w:rStyle w:val="FootnoteReference"/>
          <w:rFonts w:ascii="Times New Roman" w:hAnsi="Times New Roman" w:cs="Times New Roman"/>
        </w:rPr>
        <w:footnoteRef/>
      </w:r>
      <w:r w:rsidRPr="00CC385F">
        <w:rPr>
          <w:rFonts w:ascii="Times New Roman" w:hAnsi="Times New Roman" w:cs="Times New Roman"/>
        </w:rPr>
        <w:t xml:space="preserve"> Case No. 10-</w:t>
      </w:r>
      <w:r>
        <w:rPr>
          <w:rFonts w:ascii="Times New Roman" w:hAnsi="Times New Roman" w:cs="Times New Roman"/>
        </w:rPr>
        <w:t>2</w:t>
      </w:r>
      <w:r w:rsidRPr="00CC385F">
        <w:rPr>
          <w:rFonts w:ascii="Times New Roman" w:hAnsi="Times New Roman" w:cs="Times New Roman"/>
        </w:rPr>
        <w:t xml:space="preserve">929-EL-UNC, Direct Testimony of </w:t>
      </w:r>
      <w:r>
        <w:rPr>
          <w:rFonts w:ascii="Times New Roman" w:hAnsi="Times New Roman" w:cs="Times New Roman"/>
        </w:rPr>
        <w:t xml:space="preserve">AEP Ohio witness </w:t>
      </w:r>
      <w:r w:rsidRPr="00CC385F">
        <w:rPr>
          <w:rFonts w:ascii="Times New Roman" w:hAnsi="Times New Roman" w:cs="Times New Roman"/>
        </w:rPr>
        <w:t>William</w:t>
      </w:r>
      <w:r>
        <w:rPr>
          <w:rFonts w:ascii="Times New Roman" w:hAnsi="Times New Roman" w:cs="Times New Roman"/>
        </w:rPr>
        <w:t xml:space="preserve"> A. </w:t>
      </w:r>
      <w:r w:rsidRPr="00CC385F">
        <w:rPr>
          <w:rFonts w:ascii="Times New Roman" w:hAnsi="Times New Roman" w:cs="Times New Roman"/>
        </w:rPr>
        <w:t xml:space="preserve"> Allen at 5</w:t>
      </w:r>
      <w:r>
        <w:rPr>
          <w:rFonts w:ascii="Times New Roman" w:hAnsi="Times New Roman" w:cs="Times New Roman"/>
        </w:rPr>
        <w:t xml:space="preserve"> (March 23, 2012)</w:t>
      </w:r>
      <w:r w:rsidRPr="00CC385F">
        <w:rPr>
          <w:rFonts w:ascii="Times New Roman" w:hAnsi="Times New Roman" w:cs="Times New Roman"/>
        </w:rPr>
        <w:t>.</w:t>
      </w:r>
    </w:p>
  </w:footnote>
  <w:footnote w:id="143">
    <w:p w:rsidR="0016684F" w:rsidRPr="0014796E" w:rsidRDefault="0016684F" w:rsidP="00D03179">
      <w:pPr>
        <w:pStyle w:val="FootnoteText"/>
        <w:spacing w:after="120"/>
        <w:rPr>
          <w:rFonts w:ascii="Times New Roman" w:hAnsi="Times New Roman" w:cs="Times New Roman"/>
        </w:rPr>
      </w:pPr>
      <w:r w:rsidRPr="00B307C9">
        <w:rPr>
          <w:rStyle w:val="FootnoteReference"/>
          <w:rFonts w:ascii="Times New Roman" w:hAnsi="Times New Roman" w:cs="Times New Roman"/>
        </w:rPr>
        <w:footnoteRef/>
      </w:r>
      <w:r w:rsidRPr="00B307C9">
        <w:rPr>
          <w:rFonts w:ascii="Times New Roman" w:hAnsi="Times New Roman" w:cs="Times New Roman"/>
        </w:rPr>
        <w:t xml:space="preserve"> AEP Ohio’s Standard Service Offer customers are already paying AEP Ohio for capacity through standard offer rates. However, the PUCO failed to recognize that they (customers) are already paying AEP Ohio for capacity in the AEP Ohio Capacity Case.  OCC contends that requiring non-shopping customers to pay capacity deferrals for the discount provided to </w:t>
      </w:r>
      <w:r>
        <w:rPr>
          <w:rFonts w:ascii="Times New Roman" w:hAnsi="Times New Roman" w:cs="Times New Roman"/>
        </w:rPr>
        <w:t>marketers</w:t>
      </w:r>
      <w:r w:rsidRPr="00B307C9">
        <w:rPr>
          <w:rFonts w:ascii="Times New Roman" w:hAnsi="Times New Roman" w:cs="Times New Roman"/>
        </w:rPr>
        <w:t xml:space="preserve"> will, under the mechanism devised by the PUCO, eventually force customers to pay twice for capacity.  </w:t>
      </w:r>
      <w:r>
        <w:rPr>
          <w:rFonts w:ascii="Times New Roman" w:hAnsi="Times New Roman" w:cs="Times New Roman"/>
        </w:rPr>
        <w:t>OCC contends that th</w:t>
      </w:r>
      <w:r w:rsidRPr="00B307C9">
        <w:rPr>
          <w:rFonts w:ascii="Times New Roman" w:hAnsi="Times New Roman" w:cs="Times New Roman"/>
        </w:rPr>
        <w:t>is result is unjust and unreasonable</w:t>
      </w:r>
      <w:r>
        <w:rPr>
          <w:rFonts w:ascii="Times New Roman" w:hAnsi="Times New Roman" w:cs="Times New Roman"/>
        </w:rPr>
        <w:t>,</w:t>
      </w:r>
      <w:r w:rsidRPr="00B307C9">
        <w:rPr>
          <w:rFonts w:ascii="Times New Roman" w:hAnsi="Times New Roman" w:cs="Times New Roman"/>
        </w:rPr>
        <w:t xml:space="preserve"> and</w:t>
      </w:r>
      <w:r>
        <w:rPr>
          <w:rFonts w:ascii="Times New Roman" w:hAnsi="Times New Roman" w:cs="Times New Roman"/>
        </w:rPr>
        <w:t xml:space="preserve"> it</w:t>
      </w:r>
      <w:r w:rsidRPr="00B307C9">
        <w:rPr>
          <w:rFonts w:ascii="Times New Roman" w:hAnsi="Times New Roman" w:cs="Times New Roman"/>
        </w:rPr>
        <w:t xml:space="preserve"> is under appeal at the Ohio Supreme Court in Case No. 13-228.</w:t>
      </w:r>
    </w:p>
  </w:footnote>
  <w:footnote w:id="144">
    <w:p w:rsidR="0016684F" w:rsidRPr="0014796E" w:rsidRDefault="0016684F" w:rsidP="00D03179">
      <w:pPr>
        <w:pStyle w:val="FootnoteText"/>
        <w:spacing w:after="120"/>
        <w:rPr>
          <w:rFonts w:ascii="Times New Roman" w:hAnsi="Times New Roman" w:cs="Times New Roman"/>
        </w:rPr>
      </w:pPr>
      <w:r w:rsidRPr="008728FF">
        <w:rPr>
          <w:rStyle w:val="FootnoteReference"/>
          <w:rFonts w:ascii="Times New Roman" w:hAnsi="Times New Roman" w:cs="Times New Roman"/>
        </w:rPr>
        <w:footnoteRef/>
      </w:r>
      <w:r w:rsidRPr="008728FF">
        <w:rPr>
          <w:rFonts w:ascii="Times New Roman" w:hAnsi="Times New Roman" w:cs="Times New Roman"/>
        </w:rPr>
        <w:t xml:space="preserve"> </w:t>
      </w:r>
      <w:proofErr w:type="gramStart"/>
      <w:r w:rsidRPr="008728FF">
        <w:rPr>
          <w:rFonts w:ascii="Times New Roman" w:hAnsi="Times New Roman" w:cs="Times New Roman"/>
        </w:rPr>
        <w:t xml:space="preserve">OCC </w:t>
      </w:r>
      <w:r>
        <w:rPr>
          <w:rFonts w:ascii="Times New Roman" w:hAnsi="Times New Roman" w:cs="Times New Roman"/>
        </w:rPr>
        <w:t xml:space="preserve">Initial </w:t>
      </w:r>
      <w:r w:rsidRPr="008728FF">
        <w:rPr>
          <w:rFonts w:ascii="Times New Roman" w:hAnsi="Times New Roman" w:cs="Times New Roman"/>
        </w:rPr>
        <w:t>Brief at 25.</w:t>
      </w:r>
      <w:proofErr w:type="gramEnd"/>
    </w:p>
  </w:footnote>
  <w:footnote w:id="145">
    <w:p w:rsidR="0016684F" w:rsidRPr="00B307C9" w:rsidRDefault="0016684F" w:rsidP="00D03179">
      <w:pPr>
        <w:pStyle w:val="FootnoteText"/>
        <w:spacing w:after="120"/>
        <w:rPr>
          <w:rFonts w:ascii="Times New Roman" w:hAnsi="Times New Roman" w:cs="Times New Roman"/>
        </w:rPr>
      </w:pPr>
      <w:r w:rsidRPr="00B307C9">
        <w:rPr>
          <w:rStyle w:val="FootnoteReference"/>
          <w:rFonts w:ascii="Times New Roman" w:hAnsi="Times New Roman" w:cs="Times New Roman"/>
        </w:rPr>
        <w:footnoteRef/>
      </w:r>
      <w:r w:rsidRPr="00B307C9">
        <w:rPr>
          <w:rFonts w:ascii="Times New Roman" w:hAnsi="Times New Roman" w:cs="Times New Roman"/>
        </w:rPr>
        <w:t xml:space="preserve"> </w:t>
      </w:r>
      <w:proofErr w:type="gramStart"/>
      <w:r>
        <w:rPr>
          <w:rFonts w:ascii="Times New Roman" w:hAnsi="Times New Roman" w:cs="Times New Roman"/>
        </w:rPr>
        <w:t xml:space="preserve">Id. </w:t>
      </w:r>
      <w:r w:rsidRPr="00B307C9">
        <w:rPr>
          <w:rFonts w:ascii="Times New Roman" w:hAnsi="Times New Roman" w:cs="Times New Roman"/>
        </w:rPr>
        <w:t>at 26.</w:t>
      </w:r>
      <w:proofErr w:type="gramEnd"/>
    </w:p>
  </w:footnote>
  <w:footnote w:id="146">
    <w:p w:rsidR="0016684F" w:rsidRPr="00B307C9" w:rsidRDefault="0016684F" w:rsidP="00D03179">
      <w:pPr>
        <w:pStyle w:val="FootnoteText"/>
        <w:spacing w:after="120"/>
        <w:rPr>
          <w:rFonts w:ascii="Times New Roman" w:hAnsi="Times New Roman" w:cs="Times New Roman"/>
        </w:rPr>
      </w:pPr>
      <w:r w:rsidRPr="00B307C9">
        <w:rPr>
          <w:rStyle w:val="FootnoteReference"/>
          <w:rFonts w:ascii="Times New Roman" w:hAnsi="Times New Roman" w:cs="Times New Roman"/>
        </w:rPr>
        <w:footnoteRef/>
      </w:r>
      <w:r w:rsidRPr="00B307C9">
        <w:rPr>
          <w:rFonts w:ascii="Times New Roman" w:hAnsi="Times New Roman" w:cs="Times New Roman"/>
        </w:rPr>
        <w:t xml:space="preserve"> Note the table in OEG’s Brief summarizing major distinctions between AEP Ohio and Duke, at 17.</w:t>
      </w:r>
    </w:p>
  </w:footnote>
  <w:footnote w:id="147">
    <w:p w:rsidR="0016684F" w:rsidRPr="004B6F9A" w:rsidRDefault="0016684F" w:rsidP="00D03179">
      <w:pPr>
        <w:pStyle w:val="FootnoteText"/>
        <w:spacing w:after="120"/>
        <w:rPr>
          <w:rFonts w:ascii="Times New Roman" w:hAnsi="Times New Roman" w:cs="Times New Roman"/>
        </w:rPr>
      </w:pPr>
      <w:r w:rsidRPr="00EA732B">
        <w:rPr>
          <w:rStyle w:val="FootnoteReference"/>
          <w:rFonts w:ascii="Times New Roman" w:hAnsi="Times New Roman" w:cs="Times New Roman"/>
        </w:rPr>
        <w:footnoteRef/>
      </w:r>
      <w:r w:rsidRPr="00EA732B">
        <w:rPr>
          <w:rFonts w:ascii="Times New Roman" w:hAnsi="Times New Roman" w:cs="Times New Roman"/>
        </w:rPr>
        <w:t xml:space="preserve"> </w:t>
      </w:r>
      <w:proofErr w:type="gramStart"/>
      <w:r w:rsidRPr="00EA732B">
        <w:rPr>
          <w:rFonts w:ascii="Times New Roman" w:hAnsi="Times New Roman" w:cs="Times New Roman"/>
        </w:rPr>
        <w:t>Duke Brief at 36.</w:t>
      </w:r>
      <w:proofErr w:type="gramEnd"/>
    </w:p>
  </w:footnote>
  <w:footnote w:id="148">
    <w:p w:rsidR="0016684F" w:rsidRPr="008C3E37" w:rsidRDefault="0016684F" w:rsidP="00D03179">
      <w:pPr>
        <w:pStyle w:val="FootnoteText"/>
        <w:spacing w:after="120"/>
        <w:rPr>
          <w:rFonts w:ascii="Times New Roman" w:hAnsi="Times New Roman" w:cs="Times New Roman"/>
        </w:rPr>
      </w:pPr>
      <w:r w:rsidRPr="008C3E37">
        <w:rPr>
          <w:rStyle w:val="FootnoteReference"/>
          <w:rFonts w:ascii="Times New Roman" w:hAnsi="Times New Roman" w:cs="Times New Roman"/>
        </w:rPr>
        <w:footnoteRef/>
      </w:r>
      <w:r w:rsidRPr="008C3E37">
        <w:rPr>
          <w:rFonts w:ascii="Times New Roman" w:hAnsi="Times New Roman" w:cs="Times New Roman"/>
        </w:rPr>
        <w:t xml:space="preserve"> OCC Ex. 3, Entry on Rehearing, page 32, at ¶77.</w:t>
      </w:r>
    </w:p>
  </w:footnote>
  <w:footnote w:id="149">
    <w:p w:rsidR="0016684F" w:rsidRPr="008C3E37" w:rsidRDefault="0016684F" w:rsidP="00D03179">
      <w:pPr>
        <w:pStyle w:val="FootnoteText"/>
        <w:spacing w:after="120"/>
        <w:rPr>
          <w:rFonts w:ascii="Times New Roman" w:hAnsi="Times New Roman" w:cs="Times New Roman"/>
        </w:rPr>
      </w:pPr>
      <w:r w:rsidRPr="008C3E37">
        <w:rPr>
          <w:rStyle w:val="FootnoteReference"/>
          <w:rFonts w:ascii="Times New Roman" w:hAnsi="Times New Roman" w:cs="Times New Roman"/>
        </w:rPr>
        <w:footnoteRef/>
      </w:r>
      <w:r w:rsidRPr="008C3E37">
        <w:rPr>
          <w:rFonts w:ascii="Times New Roman" w:hAnsi="Times New Roman" w:cs="Times New Roman"/>
        </w:rPr>
        <w:t xml:space="preserve"> IEU Ex. 9</w:t>
      </w:r>
      <w:r>
        <w:rPr>
          <w:rFonts w:ascii="Times New Roman" w:hAnsi="Times New Roman" w:cs="Times New Roman"/>
        </w:rPr>
        <w:t>.</w:t>
      </w:r>
    </w:p>
  </w:footnote>
  <w:footnote w:id="150">
    <w:p w:rsidR="0016684F" w:rsidRPr="008C3E37" w:rsidRDefault="0016684F" w:rsidP="00D03179">
      <w:pPr>
        <w:pStyle w:val="FootnoteText"/>
        <w:spacing w:after="120"/>
        <w:rPr>
          <w:rFonts w:ascii="Times New Roman" w:hAnsi="Times New Roman" w:cs="Times New Roman"/>
        </w:rPr>
      </w:pPr>
      <w:r w:rsidRPr="008C3E37">
        <w:rPr>
          <w:rStyle w:val="FootnoteReference"/>
          <w:rFonts w:ascii="Times New Roman" w:hAnsi="Times New Roman" w:cs="Times New Roman"/>
        </w:rPr>
        <w:footnoteRef/>
      </w:r>
      <w:r>
        <w:rPr>
          <w:rFonts w:ascii="Times New Roman" w:hAnsi="Times New Roman" w:cs="Times New Roman"/>
        </w:rPr>
        <w:t xml:space="preserve"> See Case No. 11-346-EL-SSO, Opinion and Order at 36 (Aug. 8, 2012).</w:t>
      </w:r>
    </w:p>
  </w:footnote>
  <w:footnote w:id="151">
    <w:p w:rsidR="0016684F" w:rsidRDefault="0016684F" w:rsidP="00D03179">
      <w:pPr>
        <w:pStyle w:val="FootnoteText"/>
        <w:spacing w:after="120"/>
      </w:pPr>
      <w:r w:rsidRPr="008C3E37">
        <w:rPr>
          <w:rStyle w:val="FootnoteReference"/>
          <w:rFonts w:ascii="Times New Roman" w:hAnsi="Times New Roman" w:cs="Times New Roman"/>
        </w:rPr>
        <w:footnoteRef/>
      </w:r>
      <w:r w:rsidRPr="008C3E37">
        <w:rPr>
          <w:rFonts w:ascii="Times New Roman" w:hAnsi="Times New Roman" w:cs="Times New Roman"/>
        </w:rPr>
        <w:t xml:space="preserve"> Direct Testimony of OCC witness David J. </w:t>
      </w:r>
      <w:proofErr w:type="spellStart"/>
      <w:r w:rsidRPr="008C3E37">
        <w:rPr>
          <w:rFonts w:ascii="Times New Roman" w:hAnsi="Times New Roman" w:cs="Times New Roman"/>
        </w:rPr>
        <w:t>Effron</w:t>
      </w:r>
      <w:proofErr w:type="spellEnd"/>
      <w:r w:rsidRPr="008C3E37">
        <w:rPr>
          <w:rFonts w:ascii="Times New Roman" w:hAnsi="Times New Roman" w:cs="Times New Roman"/>
        </w:rPr>
        <w:t xml:space="preserve"> at 6.</w:t>
      </w:r>
    </w:p>
  </w:footnote>
  <w:footnote w:id="152">
    <w:p w:rsidR="0016684F" w:rsidRPr="00CD1AE9" w:rsidRDefault="0016684F" w:rsidP="00D03179">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proofErr w:type="gramStart"/>
      <w:r w:rsidRPr="00CD1AE9">
        <w:rPr>
          <w:rFonts w:ascii="Times New Roman" w:hAnsi="Times New Roman" w:cs="Times New Roman"/>
        </w:rPr>
        <w:t>See Case No. 11-346-EL-SSO</w:t>
      </w:r>
      <w:r>
        <w:rPr>
          <w:rFonts w:ascii="Times New Roman" w:hAnsi="Times New Roman" w:cs="Times New Roman"/>
        </w:rPr>
        <w:t>, Opinion and Order</w:t>
      </w:r>
      <w:r w:rsidRPr="00CD1AE9">
        <w:rPr>
          <w:rFonts w:ascii="Times New Roman" w:hAnsi="Times New Roman" w:cs="Times New Roman"/>
        </w:rPr>
        <w:t xml:space="preserve"> at 36</w:t>
      </w:r>
      <w:r>
        <w:rPr>
          <w:rFonts w:ascii="Times New Roman" w:hAnsi="Times New Roman" w:cs="Times New Roman"/>
        </w:rPr>
        <w:t xml:space="preserve"> (Aug.8, 2012)</w:t>
      </w:r>
      <w:r w:rsidRPr="00CD1AE9">
        <w:rPr>
          <w:rFonts w:ascii="Times New Roman" w:hAnsi="Times New Roman" w:cs="Times New Roman"/>
        </w:rPr>
        <w:t>.</w:t>
      </w:r>
      <w:proofErr w:type="gramEnd"/>
    </w:p>
  </w:footnote>
  <w:footnote w:id="153">
    <w:p w:rsidR="0016684F" w:rsidRPr="00CD1AE9" w:rsidRDefault="0016684F" w:rsidP="00D03179">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Duke Initial Brief at 31</w:t>
      </w:r>
      <w:r w:rsidRPr="00CD1AE9">
        <w:rPr>
          <w:rFonts w:ascii="Times New Roman" w:hAnsi="Times New Roman" w:cs="Times New Roman"/>
        </w:rPr>
        <w:t>.</w:t>
      </w:r>
      <w:proofErr w:type="gramEnd"/>
    </w:p>
  </w:footnote>
  <w:footnote w:id="154">
    <w:p w:rsidR="0016684F" w:rsidRDefault="0016684F" w:rsidP="00D03179">
      <w:pPr>
        <w:pStyle w:val="FootnoteText"/>
        <w:spacing w:after="120"/>
      </w:pPr>
      <w:r w:rsidRPr="00CD1AE9">
        <w:rPr>
          <w:rStyle w:val="FootnoteReference"/>
          <w:rFonts w:ascii="Times New Roman" w:hAnsi="Times New Roman" w:cs="Times New Roman"/>
        </w:rPr>
        <w:footnoteRef/>
      </w:r>
      <w:r w:rsidRPr="00CD1AE9">
        <w:rPr>
          <w:rFonts w:ascii="Times New Roman" w:hAnsi="Times New Roman" w:cs="Times New Roman"/>
        </w:rPr>
        <w:t xml:space="preserve"> Duke </w:t>
      </w:r>
      <w:r>
        <w:rPr>
          <w:rFonts w:ascii="Times New Roman" w:hAnsi="Times New Roman" w:cs="Times New Roman"/>
        </w:rPr>
        <w:t>Ex. 1 at 1.</w:t>
      </w:r>
    </w:p>
  </w:footnote>
  <w:footnote w:id="155">
    <w:p w:rsidR="0016684F" w:rsidRPr="00CD1AE9" w:rsidRDefault="0016684F" w:rsidP="00D03179">
      <w:pPr>
        <w:pStyle w:val="FootnoteText"/>
        <w:spacing w:after="120"/>
        <w:rPr>
          <w:rFonts w:ascii="Times New Roman" w:hAnsi="Times New Roman" w:cs="Times New Roman"/>
        </w:rPr>
      </w:pPr>
      <w:r w:rsidRPr="00CD1AE9">
        <w:rPr>
          <w:rStyle w:val="FootnoteReference"/>
          <w:rFonts w:ascii="Times New Roman" w:hAnsi="Times New Roman" w:cs="Times New Roman"/>
        </w:rPr>
        <w:footnoteRef/>
      </w:r>
      <w:r w:rsidRPr="00CD1AE9">
        <w:rPr>
          <w:rFonts w:ascii="Times New Roman" w:hAnsi="Times New Roman" w:cs="Times New Roman"/>
        </w:rPr>
        <w:t xml:space="preserve"> </w:t>
      </w:r>
      <w:proofErr w:type="gramStart"/>
      <w:r w:rsidRPr="00CD1AE9">
        <w:rPr>
          <w:rFonts w:ascii="Times New Roman" w:hAnsi="Times New Roman" w:cs="Times New Roman"/>
        </w:rPr>
        <w:t xml:space="preserve">Duke </w:t>
      </w:r>
      <w:r>
        <w:rPr>
          <w:rFonts w:ascii="Times New Roman" w:hAnsi="Times New Roman" w:cs="Times New Roman"/>
        </w:rPr>
        <w:t xml:space="preserve">Initial </w:t>
      </w:r>
      <w:r w:rsidRPr="00CD1AE9">
        <w:rPr>
          <w:rFonts w:ascii="Times New Roman" w:hAnsi="Times New Roman" w:cs="Times New Roman"/>
        </w:rPr>
        <w:t>Brief at 16.</w:t>
      </w:r>
      <w:proofErr w:type="gramEnd"/>
    </w:p>
  </w:footnote>
  <w:footnote w:id="15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45.</w:t>
      </w:r>
      <w:proofErr w:type="gramEnd"/>
      <w:r w:rsidRPr="00D308F6">
        <w:rPr>
          <w:rFonts w:ascii="Times New Roman" w:hAnsi="Times New Roman" w:cs="Times New Roman"/>
        </w:rPr>
        <w:t xml:space="preserve">  </w:t>
      </w:r>
    </w:p>
  </w:footnote>
  <w:footnote w:id="15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5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59">
    <w:p w:rsidR="0016684F" w:rsidRPr="00947A3D"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rPr>
        <w:t xml:space="preserve"> </w:t>
      </w:r>
      <w:r w:rsidRPr="00D308F6">
        <w:rPr>
          <w:rFonts w:ascii="Times New Roman" w:hAnsi="Times New Roman" w:cs="Times New Roman"/>
        </w:rPr>
        <w:t xml:space="preserve">The limitations placed upon governmental action by the federal and state equal protections clauses are essentially the same.  </w:t>
      </w:r>
      <w:r w:rsidRPr="00D308F6">
        <w:rPr>
          <w:rFonts w:ascii="Times New Roman" w:hAnsi="Times New Roman" w:cs="Times New Roman"/>
          <w:b/>
        </w:rPr>
        <w:t xml:space="preserve"> </w:t>
      </w:r>
      <w:proofErr w:type="spellStart"/>
      <w:r w:rsidRPr="007C6E59">
        <w:rPr>
          <w:rStyle w:val="ssit"/>
          <w:rFonts w:ascii="Times New Roman" w:hAnsi="Times New Roman" w:cs="Times New Roman"/>
          <w:i/>
        </w:rPr>
        <w:t>McCrone</w:t>
      </w:r>
      <w:proofErr w:type="spellEnd"/>
      <w:r w:rsidRPr="007C6E59">
        <w:rPr>
          <w:rStyle w:val="ssit"/>
          <w:rFonts w:ascii="Times New Roman" w:hAnsi="Times New Roman" w:cs="Times New Roman"/>
          <w:i/>
        </w:rPr>
        <w:t xml:space="preserve"> v. </w:t>
      </w:r>
      <w:proofErr w:type="spellStart"/>
      <w:r w:rsidRPr="007C6E59">
        <w:rPr>
          <w:rStyle w:val="ssit"/>
          <w:rFonts w:ascii="Times New Roman" w:hAnsi="Times New Roman" w:cs="Times New Roman"/>
          <w:i/>
        </w:rPr>
        <w:t>Bank</w:t>
      </w:r>
      <w:proofErr w:type="spellEnd"/>
      <w:r w:rsidRPr="007C6E59">
        <w:rPr>
          <w:rStyle w:val="ssit"/>
          <w:rFonts w:ascii="Times New Roman" w:hAnsi="Times New Roman" w:cs="Times New Roman"/>
          <w:i/>
        </w:rPr>
        <w:t xml:space="preserve"> One Corp</w:t>
      </w:r>
      <w:r w:rsidRPr="00B3116B">
        <w:rPr>
          <w:rStyle w:val="ssit"/>
          <w:rFonts w:ascii="Times New Roman" w:hAnsi="Times New Roman" w:cs="Times New Roman"/>
          <w:i/>
          <w:u w:val="single"/>
        </w:rPr>
        <w:t>.</w:t>
      </w:r>
      <w:r w:rsidRPr="007C6E59">
        <w:rPr>
          <w:rStyle w:val="ssit"/>
          <w:rFonts w:ascii="Times New Roman" w:hAnsi="Times New Roman" w:cs="Times New Roman"/>
          <w:i/>
        </w:rPr>
        <w:t>,</w:t>
      </w:r>
      <w:r w:rsidRPr="00B3116B">
        <w:t xml:space="preserve"> </w:t>
      </w:r>
      <w:proofErr w:type="gramStart"/>
      <w:r w:rsidRPr="00947A3D">
        <w:rPr>
          <w:rFonts w:ascii="Times New Roman" w:hAnsi="Times New Roman" w:cs="Times New Roman"/>
        </w:rPr>
        <w:t>107 Ohio St.3d 272, 2005-Ohio-6505</w:t>
      </w:r>
      <w:proofErr w:type="gramEnd"/>
      <w:r w:rsidRPr="00947A3D">
        <w:rPr>
          <w:rFonts w:ascii="Times New Roman" w:hAnsi="Times New Roman" w:cs="Times New Roman"/>
        </w:rPr>
        <w:t>, 839 N.E.2d 1, ¶ 7</w:t>
      </w:r>
      <w:r w:rsidRPr="00947A3D">
        <w:rPr>
          <w:rStyle w:val="ssrfcpassagedeactivated"/>
          <w:rFonts w:ascii="Times New Roman" w:hAnsi="Times New Roman" w:cs="Times New Roman"/>
        </w:rPr>
        <w:t xml:space="preserve">. </w:t>
      </w:r>
      <w:r w:rsidRPr="00947A3D">
        <w:rPr>
          <w:rFonts w:ascii="Times New Roman" w:hAnsi="Times New Roman" w:cs="Times New Roman"/>
        </w:rPr>
        <w:t xml:space="preserve"> </w:t>
      </w:r>
    </w:p>
  </w:footnote>
  <w:footnote w:id="16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spellStart"/>
      <w:proofErr w:type="gramStart"/>
      <w:r>
        <w:rPr>
          <w:rFonts w:ascii="Times New Roman" w:hAnsi="Times New Roman" w:cs="Times New Roman"/>
          <w:i/>
        </w:rPr>
        <w:t>Nordinger</w:t>
      </w:r>
      <w:proofErr w:type="spellEnd"/>
      <w:r w:rsidRPr="00D308F6">
        <w:rPr>
          <w:rFonts w:ascii="Times New Roman" w:hAnsi="Times New Roman" w:cs="Times New Roman"/>
          <w:i/>
        </w:rPr>
        <w:t xml:space="preserve"> v. Hahn</w:t>
      </w:r>
      <w:r w:rsidRPr="00D308F6">
        <w:rPr>
          <w:rFonts w:ascii="Times New Roman" w:hAnsi="Times New Roman" w:cs="Times New Roman"/>
        </w:rPr>
        <w:t xml:space="preserve"> (1992), 112 S. Ct. 2326, 120 L. Ed.2d 1.</w:t>
      </w:r>
      <w:proofErr w:type="gramEnd"/>
    </w:p>
  </w:footnote>
  <w:footnote w:id="16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45.</w:t>
      </w:r>
      <w:proofErr w:type="gramEnd"/>
      <w:r w:rsidRPr="00D308F6">
        <w:rPr>
          <w:rFonts w:ascii="Times New Roman" w:hAnsi="Times New Roman" w:cs="Times New Roman"/>
        </w:rPr>
        <w:t xml:space="preserve">  </w:t>
      </w:r>
    </w:p>
  </w:footnote>
  <w:footnote w:id="16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i/>
        </w:rPr>
        <w:footnoteRef/>
      </w:r>
      <w:r w:rsidRPr="00D308F6">
        <w:rPr>
          <w:rFonts w:ascii="Times New Roman" w:hAnsi="Times New Roman" w:cs="Times New Roman"/>
          <w:i/>
        </w:rPr>
        <w:t xml:space="preserve"> </w:t>
      </w:r>
      <w:proofErr w:type="gramStart"/>
      <w:r w:rsidRPr="00D308F6">
        <w:rPr>
          <w:rFonts w:ascii="Times New Roman" w:hAnsi="Times New Roman" w:cs="Times New Roman"/>
          <w:i/>
        </w:rPr>
        <w:t>Dandridge v. Williams</w:t>
      </w:r>
      <w:r>
        <w:rPr>
          <w:rFonts w:ascii="Times New Roman" w:hAnsi="Times New Roman" w:cs="Times New Roman"/>
          <w:i/>
        </w:rPr>
        <w:t xml:space="preserve"> </w:t>
      </w:r>
      <w:r w:rsidRPr="00335948">
        <w:rPr>
          <w:rFonts w:ascii="Times New Roman" w:hAnsi="Times New Roman" w:cs="Times New Roman"/>
        </w:rPr>
        <w:t>(1970),</w:t>
      </w:r>
      <w:r w:rsidRPr="00D308F6">
        <w:rPr>
          <w:rFonts w:ascii="Times New Roman" w:hAnsi="Times New Roman" w:cs="Times New Roman"/>
        </w:rPr>
        <w:t xml:space="preserve"> 397 U.S. 471, 485</w:t>
      </w:r>
      <w:r>
        <w:rPr>
          <w:rFonts w:ascii="Times New Roman" w:hAnsi="Times New Roman" w:cs="Times New Roman"/>
        </w:rPr>
        <w:t>, 90 S. Ct. 1153, 25 L.Ed.2d 491.</w:t>
      </w:r>
      <w:proofErr w:type="gramEnd"/>
      <w:r>
        <w:rPr>
          <w:rFonts w:ascii="Times New Roman" w:hAnsi="Times New Roman" w:cs="Times New Roman"/>
        </w:rPr>
        <w:t xml:space="preserve"> </w:t>
      </w:r>
      <w:r w:rsidRPr="00D308F6">
        <w:rPr>
          <w:rFonts w:ascii="Times New Roman" w:hAnsi="Times New Roman" w:cs="Times New Roman"/>
        </w:rPr>
        <w:t xml:space="preserve">  </w:t>
      </w:r>
    </w:p>
  </w:footnote>
  <w:footnote w:id="16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OCC Initial Brief at 21-28.</w:t>
      </w:r>
    </w:p>
  </w:footnote>
  <w:footnote w:id="16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Joint Motion to Dismiss at 2-10.</w:t>
      </w:r>
      <w:proofErr w:type="gramEnd"/>
    </w:p>
  </w:footnote>
  <w:footnote w:id="16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Pr>
          <w:rFonts w:ascii="Times New Roman" w:hAnsi="Times New Roman" w:cs="Times New Roman"/>
        </w:rPr>
        <w:t>Id.</w:t>
      </w:r>
      <w:r w:rsidRPr="00D308F6">
        <w:rPr>
          <w:rFonts w:ascii="Times New Roman" w:hAnsi="Times New Roman" w:cs="Times New Roman"/>
        </w:rPr>
        <w:t xml:space="preserve"> at 2-7.  </w:t>
      </w:r>
    </w:p>
  </w:footnote>
  <w:footnote w:id="166">
    <w:p w:rsidR="0016684F" w:rsidRPr="00D308F6" w:rsidRDefault="0016684F" w:rsidP="00947A3D">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w:t>
      </w:r>
      <w:r w:rsidRPr="00D308F6">
        <w:rPr>
          <w:rFonts w:ascii="Times New Roman" w:eastAsia="Times New Roman" w:hAnsi="Times New Roman" w:cs="Times New Roman"/>
          <w:sz w:val="20"/>
          <w:szCs w:val="20"/>
        </w:rPr>
        <w:t xml:space="preserve">See Duke Energy Ohio, Inc., Docket Nos. </w:t>
      </w:r>
      <w:proofErr w:type="gramStart"/>
      <w:r w:rsidRPr="00D308F6">
        <w:rPr>
          <w:rFonts w:ascii="Times New Roman" w:eastAsia="Times New Roman" w:hAnsi="Times New Roman" w:cs="Times New Roman"/>
          <w:sz w:val="20"/>
          <w:szCs w:val="20"/>
        </w:rPr>
        <w:t>ER10-1562-000, ER10-2254-000.</w:t>
      </w:r>
      <w:proofErr w:type="gramEnd"/>
      <w:r w:rsidRPr="00D308F6">
        <w:rPr>
          <w:rFonts w:ascii="Times New Roman" w:eastAsia="Times New Roman" w:hAnsi="Times New Roman" w:cs="Times New Roman"/>
          <w:sz w:val="20"/>
          <w:szCs w:val="20"/>
        </w:rPr>
        <w:t xml:space="preserve"> </w:t>
      </w:r>
    </w:p>
  </w:footnote>
  <w:footnote w:id="167">
    <w:p w:rsidR="0016684F" w:rsidRPr="00D308F6" w:rsidRDefault="0016684F" w:rsidP="00D229FC">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sidRPr="00D308F6">
        <w:rPr>
          <w:rFonts w:ascii="Times New Roman" w:hAnsi="Times New Roman" w:cs="Times New Roman"/>
          <w:sz w:val="20"/>
          <w:szCs w:val="20"/>
        </w:rPr>
        <w:t xml:space="preserve"> </w:t>
      </w:r>
      <w:r w:rsidRPr="00D308F6">
        <w:rPr>
          <w:rFonts w:ascii="Times New Roman" w:eastAsia="Times New Roman" w:hAnsi="Times New Roman" w:cs="Times New Roman"/>
          <w:i/>
          <w:sz w:val="20"/>
          <w:szCs w:val="20"/>
        </w:rPr>
        <w:t>In the Matter of the Application of Duke Energy Ohio, Inc. for Approval of the Establishment of Rider BTR and Rider RTO and Associated Tariffs</w:t>
      </w:r>
      <w:r w:rsidRPr="00D308F6">
        <w:rPr>
          <w:rFonts w:ascii="Times New Roman" w:eastAsia="Times New Roman" w:hAnsi="Times New Roman" w:cs="Times New Roman"/>
          <w:sz w:val="20"/>
          <w:szCs w:val="20"/>
        </w:rPr>
        <w:t>, Case No. 11-2641 et al.</w:t>
      </w:r>
    </w:p>
  </w:footnote>
  <w:footnote w:id="168">
    <w:p w:rsidR="0016684F" w:rsidRPr="00EC4808" w:rsidRDefault="0016684F" w:rsidP="002F32AF">
      <w:pPr>
        <w:pStyle w:val="FootnoteText"/>
        <w:spacing w:after="120"/>
        <w:rPr>
          <w:rFonts w:ascii="Times New Roman" w:hAnsi="Times New Roman" w:cs="Times New Roman"/>
        </w:rPr>
      </w:pPr>
      <w:r w:rsidRPr="00EC4808">
        <w:rPr>
          <w:rStyle w:val="FootnoteReference"/>
          <w:rFonts w:ascii="Times New Roman" w:hAnsi="Times New Roman" w:cs="Times New Roman"/>
        </w:rPr>
        <w:footnoteRef/>
      </w:r>
      <w:r w:rsidRPr="00EC4808">
        <w:rPr>
          <w:rFonts w:ascii="Times New Roman" w:hAnsi="Times New Roman" w:cs="Times New Roman"/>
        </w:rPr>
        <w:t xml:space="preserve"> </w:t>
      </w:r>
      <w:proofErr w:type="gramStart"/>
      <w:r w:rsidRPr="00EC4808">
        <w:rPr>
          <w:rFonts w:ascii="Times New Roman" w:hAnsi="Times New Roman" w:cs="Times New Roman"/>
        </w:rPr>
        <w:t xml:space="preserve">Duke </w:t>
      </w:r>
      <w:r>
        <w:rPr>
          <w:rFonts w:ascii="Times New Roman" w:hAnsi="Times New Roman" w:cs="Times New Roman"/>
        </w:rPr>
        <w:t xml:space="preserve">Initial </w:t>
      </w:r>
      <w:r w:rsidRPr="00EC4808">
        <w:rPr>
          <w:rFonts w:ascii="Times New Roman" w:hAnsi="Times New Roman" w:cs="Times New Roman"/>
        </w:rPr>
        <w:t xml:space="preserve">Brief at </w:t>
      </w:r>
      <w:r>
        <w:rPr>
          <w:rFonts w:ascii="Times New Roman" w:hAnsi="Times New Roman" w:cs="Times New Roman"/>
        </w:rPr>
        <w:t>23.</w:t>
      </w:r>
      <w:proofErr w:type="gramEnd"/>
    </w:p>
  </w:footnote>
  <w:footnote w:id="169">
    <w:p w:rsidR="0016684F" w:rsidRPr="001358F7" w:rsidRDefault="0016684F" w:rsidP="002F32AF">
      <w:pPr>
        <w:pStyle w:val="FootnoteText"/>
        <w:rPr>
          <w:rFonts w:ascii="Times New Roman" w:hAnsi="Times New Roman" w:cs="Times New Roman"/>
        </w:rPr>
      </w:pPr>
      <w:r w:rsidRPr="001358F7">
        <w:rPr>
          <w:rStyle w:val="FootnoteReference"/>
          <w:rFonts w:ascii="Times New Roman" w:hAnsi="Times New Roman" w:cs="Times New Roman"/>
        </w:rPr>
        <w:footnoteRef/>
      </w:r>
      <w:r>
        <w:rPr>
          <w:rFonts w:ascii="Times New Roman" w:hAnsi="Times New Roman" w:cs="Times New Roman"/>
        </w:rPr>
        <w:t xml:space="preserve"> Id</w:t>
      </w:r>
      <w:r w:rsidRPr="001358F7">
        <w:rPr>
          <w:rFonts w:ascii="Times New Roman" w:hAnsi="Times New Roman" w:cs="Times New Roman"/>
        </w:rPr>
        <w:t>.</w:t>
      </w:r>
    </w:p>
  </w:footnote>
  <w:footnote w:id="17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50.</w:t>
      </w:r>
      <w:proofErr w:type="gramEnd"/>
      <w:r w:rsidRPr="00D308F6">
        <w:rPr>
          <w:rFonts w:ascii="Times New Roman" w:hAnsi="Times New Roman" w:cs="Times New Roman"/>
        </w:rPr>
        <w:t xml:space="preserve">  </w:t>
      </w:r>
    </w:p>
  </w:footnote>
  <w:footnote w:id="171">
    <w:p w:rsidR="0016684F" w:rsidRPr="00D308F6" w:rsidRDefault="0016684F" w:rsidP="00947A3D">
      <w:pPr>
        <w:spacing w:after="120" w:line="240" w:lineRule="auto"/>
        <w:rPr>
          <w:rFonts w:ascii="Times New Roman" w:hAnsi="Times New Roman" w:cs="Times New Roman"/>
        </w:rPr>
      </w:pPr>
      <w:r w:rsidRPr="00D308F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D308F6">
        <w:rPr>
          <w:rFonts w:ascii="Times New Roman" w:hAnsi="Times New Roman" w:cs="Times New Roman"/>
          <w:sz w:val="20"/>
          <w:szCs w:val="20"/>
        </w:rPr>
        <w:t xml:space="preserve">This is an implicit acknowledgement that Duke’s application is an effort to improve on the settlement in </w:t>
      </w:r>
      <w:r w:rsidRPr="00D308F6">
        <w:rPr>
          <w:rFonts w:ascii="Times New Roman" w:hAnsi="Times New Roman" w:cs="Times New Roman"/>
          <w:bCs/>
          <w:iCs/>
          <w:sz w:val="20"/>
          <w:szCs w:val="20"/>
        </w:rPr>
        <w:t xml:space="preserve">Case No. </w:t>
      </w:r>
      <w:r w:rsidRPr="00D308F6">
        <w:rPr>
          <w:rFonts w:ascii="Times New Roman" w:hAnsi="Times New Roman" w:cs="Times New Roman"/>
          <w:sz w:val="20"/>
          <w:szCs w:val="20"/>
        </w:rPr>
        <w:t>11-3549-EL-SSO, et al. after it saw the Commission’s order in the AEP capacity case.</w:t>
      </w:r>
    </w:p>
  </w:footnote>
  <w:footnote w:id="17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Duke Initial Brief at 48-49.</w:t>
      </w:r>
    </w:p>
  </w:footnote>
  <w:footnote w:id="17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Pr>
          <w:rFonts w:ascii="Times New Roman" w:hAnsi="Times New Roman" w:cs="Times New Roman"/>
        </w:rPr>
        <w:t xml:space="preserve">Id. </w:t>
      </w:r>
      <w:r w:rsidRPr="00D308F6">
        <w:rPr>
          <w:rFonts w:ascii="Times New Roman" w:hAnsi="Times New Roman" w:cs="Times New Roman"/>
        </w:rPr>
        <w:t>at 48.</w:t>
      </w:r>
      <w:proofErr w:type="gramEnd"/>
      <w:r w:rsidRPr="00D308F6">
        <w:rPr>
          <w:rFonts w:ascii="Times New Roman" w:hAnsi="Times New Roman" w:cs="Times New Roman"/>
        </w:rPr>
        <w:t xml:space="preserve">  </w:t>
      </w:r>
    </w:p>
  </w:footnote>
  <w:footnote w:id="17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Pr>
          <w:rFonts w:ascii="Times New Roman" w:hAnsi="Times New Roman" w:cs="Times New Roman"/>
        </w:rPr>
        <w:t xml:space="preserve">Id. </w:t>
      </w:r>
      <w:r w:rsidRPr="00D308F6">
        <w:rPr>
          <w:rFonts w:ascii="Times New Roman" w:hAnsi="Times New Roman" w:cs="Times New Roman"/>
        </w:rPr>
        <w:t>at 48-49.</w:t>
      </w:r>
    </w:p>
  </w:footnote>
  <w:footnote w:id="17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Pr>
          <w:rFonts w:ascii="Times New Roman" w:hAnsi="Times New Roman" w:cs="Times New Roman"/>
        </w:rPr>
        <w:t>Id. at</w:t>
      </w:r>
      <w:r w:rsidRPr="00D308F6">
        <w:rPr>
          <w:rFonts w:ascii="Times New Roman" w:hAnsi="Times New Roman" w:cs="Times New Roman"/>
        </w:rPr>
        <w:t xml:space="preserve"> 49.</w:t>
      </w:r>
      <w:proofErr w:type="gramEnd"/>
      <w:r w:rsidRPr="00D308F6">
        <w:rPr>
          <w:rFonts w:ascii="Times New Roman" w:hAnsi="Times New Roman" w:cs="Times New Roman"/>
        </w:rPr>
        <w:t xml:space="preserve">  </w:t>
      </w:r>
    </w:p>
  </w:footnote>
  <w:footnote w:id="176">
    <w:p w:rsidR="0016684F" w:rsidRPr="00C94A9C" w:rsidRDefault="0016684F" w:rsidP="00C94A9C">
      <w:pPr>
        <w:pStyle w:val="FootnoteText"/>
        <w:spacing w:after="120"/>
        <w:rPr>
          <w:rFonts w:ascii="Times New Roman" w:hAnsi="Times New Roman" w:cs="Times New Roman"/>
        </w:rPr>
      </w:pPr>
      <w:r w:rsidRPr="00C94A9C">
        <w:rPr>
          <w:rStyle w:val="FootnoteReference"/>
          <w:rFonts w:ascii="Times New Roman" w:hAnsi="Times New Roman" w:cs="Times New Roman"/>
        </w:rPr>
        <w:footnoteRef/>
      </w:r>
      <w:r w:rsidRPr="00C94A9C">
        <w:rPr>
          <w:rFonts w:ascii="Times New Roman" w:hAnsi="Times New Roman" w:cs="Times New Roman"/>
        </w:rPr>
        <w:t xml:space="preserve"> </w:t>
      </w:r>
      <w:proofErr w:type="gramStart"/>
      <w:r w:rsidRPr="00C94A9C">
        <w:rPr>
          <w:rFonts w:ascii="Times New Roman" w:hAnsi="Times New Roman" w:cs="Times New Roman"/>
        </w:rPr>
        <w:t>FAS 71, ¶9.</w:t>
      </w:r>
      <w:proofErr w:type="gramEnd"/>
      <w:r w:rsidRPr="00C94A9C">
        <w:rPr>
          <w:rFonts w:ascii="Times New Roman" w:hAnsi="Times New Roman" w:cs="Times New Roman"/>
        </w:rPr>
        <w:t xml:space="preserve">  </w:t>
      </w:r>
    </w:p>
  </w:footnote>
  <w:footnote w:id="177">
    <w:p w:rsidR="0016684F" w:rsidRPr="00D308F6" w:rsidRDefault="0016684F" w:rsidP="00C94A9C">
      <w:pPr>
        <w:pStyle w:val="FootnoteText"/>
        <w:spacing w:after="120"/>
        <w:rPr>
          <w:rFonts w:ascii="Times New Roman" w:hAnsi="Times New Roman" w:cs="Times New Roman"/>
          <w:color w:val="000000"/>
        </w:rPr>
      </w:pPr>
      <w:r w:rsidRPr="00D308F6">
        <w:rPr>
          <w:rStyle w:val="FootnoteTextChar"/>
          <w:rFonts w:ascii="Times New Roman" w:hAnsi="Times New Roman" w:cs="Times New Roman"/>
          <w:color w:val="000000"/>
          <w:vertAlign w:val="superscript"/>
        </w:rPr>
        <w:footnoteRef/>
      </w:r>
      <w:r w:rsidRPr="00D308F6">
        <w:rPr>
          <w:rFonts w:ascii="Times New Roman" w:hAnsi="Times New Roman" w:cs="Times New Roman"/>
          <w:color w:val="000000"/>
        </w:rPr>
        <w:t xml:space="preserve"> </w:t>
      </w:r>
      <w:r w:rsidRPr="00D308F6">
        <w:rPr>
          <w:rFonts w:ascii="Times New Roman" w:hAnsi="Times New Roman" w:cs="Times New Roman"/>
          <w:i/>
          <w:color w:val="000000"/>
        </w:rPr>
        <w:t>See</w:t>
      </w:r>
      <w:r w:rsidRPr="00D308F6">
        <w:rPr>
          <w:rFonts w:ascii="Times New Roman" w:hAnsi="Times New Roman" w:cs="Times New Roman"/>
          <w:color w:val="000000"/>
        </w:rPr>
        <w:t xml:space="preserve"> </w:t>
      </w:r>
      <w:r w:rsidRPr="00D308F6">
        <w:rPr>
          <w:rFonts w:ascii="Times New Roman" w:hAnsi="Times New Roman" w:cs="Times New Roman"/>
          <w:i/>
          <w:iCs/>
          <w:color w:val="000000"/>
        </w:rPr>
        <w:t>Ohio Consumers’ Counsel v. Pub. Util. Comm.,</w:t>
      </w:r>
      <w:r w:rsidRPr="00D308F6">
        <w:rPr>
          <w:rFonts w:ascii="Times New Roman" w:hAnsi="Times New Roman" w:cs="Times New Roman"/>
          <w:color w:val="000000"/>
        </w:rPr>
        <w:t xml:space="preserve"> 111 Ohio St.3d 384, 2006-Ohio-5853, 856 N.E.2d 940, </w:t>
      </w:r>
      <w:r w:rsidRPr="00D308F6">
        <w:rPr>
          <w:rFonts w:ascii="Times New Roman" w:hAnsi="Times New Roman" w:cs="Times New Roman"/>
          <w:i/>
          <w:color w:val="000000"/>
        </w:rPr>
        <w:t>generally</w:t>
      </w:r>
      <w:r w:rsidRPr="00D308F6">
        <w:rPr>
          <w:rFonts w:ascii="Times New Roman" w:hAnsi="Times New Roman" w:cs="Times New Roman"/>
          <w:color w:val="000000"/>
        </w:rPr>
        <w:t>,</w:t>
      </w:r>
      <w:r w:rsidRPr="00D308F6">
        <w:rPr>
          <w:rFonts w:ascii="Times New Roman" w:hAnsi="Times New Roman" w:cs="Times New Roman"/>
          <w:bCs/>
          <w:i/>
        </w:rPr>
        <w:t xml:space="preserve"> see also</w:t>
      </w:r>
      <w:r w:rsidRPr="00D308F6">
        <w:rPr>
          <w:rFonts w:ascii="Times New Roman" w:hAnsi="Times New Roman" w:cs="Times New Roman"/>
          <w:bCs/>
        </w:rPr>
        <w:t xml:space="preserve">, </w:t>
      </w:r>
      <w:r w:rsidRPr="00D308F6">
        <w:rPr>
          <w:rFonts w:ascii="Times New Roman" w:hAnsi="Times New Roman" w:cs="Times New Roman"/>
          <w:bCs/>
          <w:i/>
        </w:rPr>
        <w:t>OCC v. PUC of Ohio</w:t>
      </w:r>
      <w:r w:rsidRPr="00D308F6">
        <w:rPr>
          <w:rFonts w:ascii="Times New Roman" w:hAnsi="Times New Roman" w:cs="Times New Roman"/>
          <w:bCs/>
        </w:rPr>
        <w:t xml:space="preserve">, 16 Ohio St.3d 21 at fn1, 475 N.E.2d 786, (1985), where this Court held: “[w]e are compelled to recognize that accounting changes have a substantial practical impact on ratemaking. </w:t>
      </w:r>
      <w:r>
        <w:rPr>
          <w:rFonts w:ascii="Times New Roman" w:hAnsi="Times New Roman" w:cs="Times New Roman"/>
          <w:bCs/>
        </w:rPr>
        <w:t xml:space="preserve"> </w:t>
      </w:r>
      <w:r w:rsidRPr="00D308F6">
        <w:rPr>
          <w:rFonts w:ascii="Times New Roman" w:hAnsi="Times New Roman" w:cs="Times New Roman"/>
          <w:bCs/>
        </w:rPr>
        <w:t xml:space="preserve">Although the station connections expenses resulted from events occurring within the test-year period, characterization of those expenses after the test-year period has the practical effect of manipulating a test-year component after the test year and effectively creates a test-year loophole. </w:t>
      </w:r>
      <w:r>
        <w:rPr>
          <w:rFonts w:ascii="Times New Roman" w:hAnsi="Times New Roman" w:cs="Times New Roman"/>
          <w:bCs/>
        </w:rPr>
        <w:t xml:space="preserve"> </w:t>
      </w:r>
      <w:r w:rsidRPr="00D308F6">
        <w:rPr>
          <w:rFonts w:ascii="Times New Roman" w:hAnsi="Times New Roman" w:cs="Times New Roman"/>
          <w:bCs/>
        </w:rPr>
        <w:t>This demonstrates how inextricably accounting methodologies are linked to the rates consumers may be compelled to pay.”</w:t>
      </w:r>
      <w:r w:rsidRPr="00D308F6">
        <w:rPr>
          <w:rFonts w:ascii="Times New Roman" w:hAnsi="Times New Roman" w:cs="Times New Roman"/>
          <w:color w:val="000000"/>
        </w:rPr>
        <w:t xml:space="preserve"> </w:t>
      </w:r>
    </w:p>
  </w:footnote>
  <w:footnote w:id="178">
    <w:p w:rsidR="0016684F" w:rsidRPr="00D308F6" w:rsidRDefault="0016684F" w:rsidP="00C94A9C">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Application at ¶2a (footnote omitted) at ¶8, ¶19.</w:t>
      </w:r>
      <w:proofErr w:type="gramEnd"/>
      <w:r w:rsidRPr="00D308F6">
        <w:rPr>
          <w:rFonts w:ascii="Times New Roman" w:hAnsi="Times New Roman" w:cs="Times New Roman"/>
        </w:rPr>
        <w:t xml:space="preserve"> </w:t>
      </w:r>
    </w:p>
  </w:footnote>
  <w:footnote w:id="179">
    <w:p w:rsidR="0016684F" w:rsidRPr="00D308F6" w:rsidRDefault="0016684F" w:rsidP="00C94A9C">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Id. at ¶14.</w:t>
      </w:r>
      <w:proofErr w:type="gramEnd"/>
    </w:p>
  </w:footnote>
  <w:footnote w:id="180">
    <w:p w:rsidR="0016684F" w:rsidRPr="00D308F6" w:rsidRDefault="0016684F" w:rsidP="00C94A9C">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Duke Application at ¶17.  </w:t>
      </w:r>
    </w:p>
  </w:footnote>
  <w:footnote w:id="18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re: Columbus Southern Power Co.,</w:t>
      </w:r>
      <w:r w:rsidRPr="00D308F6">
        <w:rPr>
          <w:rFonts w:ascii="Times New Roman" w:hAnsi="Times New Roman" w:cs="Times New Roman"/>
        </w:rPr>
        <w:t xml:space="preserve"> 128 Ohio St.3d 512, </w:t>
      </w:r>
      <w:r>
        <w:rPr>
          <w:rFonts w:ascii="Times New Roman" w:hAnsi="Times New Roman" w:cs="Times New Roman"/>
        </w:rPr>
        <w:t xml:space="preserve">515, </w:t>
      </w:r>
      <w:r w:rsidRPr="00D308F6">
        <w:rPr>
          <w:rFonts w:ascii="Times New Roman" w:hAnsi="Times New Roman" w:cs="Times New Roman"/>
        </w:rPr>
        <w:t xml:space="preserve">2011-Ohio </w:t>
      </w:r>
      <w:r w:rsidRPr="00C94A9C">
        <w:rPr>
          <w:rFonts w:ascii="Times New Roman" w:hAnsi="Times New Roman" w:cs="Times New Roman"/>
        </w:rPr>
        <w:t>1788, ¶</w:t>
      </w:r>
      <w:r>
        <w:rPr>
          <w:rFonts w:ascii="Times New Roman" w:hAnsi="Times New Roman" w:cs="Times New Roman"/>
        </w:rPr>
        <w:t>11</w:t>
      </w:r>
      <w:r w:rsidRPr="00C94A9C">
        <w:rPr>
          <w:rFonts w:ascii="Times New Roman" w:hAnsi="Times New Roman" w:cs="Times New Roman"/>
        </w:rPr>
        <w:t>.</w:t>
      </w:r>
    </w:p>
  </w:footnote>
  <w:footnote w:id="18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i/>
        </w:rPr>
        <w:t>Columbus v. Pub.</w:t>
      </w:r>
      <w:proofErr w:type="gramEnd"/>
      <w:r w:rsidRPr="00D308F6">
        <w:rPr>
          <w:rFonts w:ascii="Times New Roman" w:hAnsi="Times New Roman" w:cs="Times New Roman"/>
          <w:i/>
        </w:rPr>
        <w:t xml:space="preserve"> Util. Comm</w:t>
      </w:r>
      <w:r w:rsidRPr="00D308F6">
        <w:rPr>
          <w:rFonts w:ascii="Times New Roman" w:hAnsi="Times New Roman" w:cs="Times New Roman"/>
        </w:rPr>
        <w:t xml:space="preserve">. (1921), 103 Ohio St. 79, 135, 133 N.E. 800.  </w:t>
      </w:r>
    </w:p>
  </w:footnote>
  <w:footnote w:id="18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50.</w:t>
      </w:r>
      <w:proofErr w:type="gramEnd"/>
      <w:r w:rsidRPr="00D308F6">
        <w:rPr>
          <w:rFonts w:ascii="Times New Roman" w:hAnsi="Times New Roman" w:cs="Times New Roman"/>
        </w:rPr>
        <w:t xml:space="preserve">  </w:t>
      </w:r>
    </w:p>
  </w:footnote>
  <w:footnote w:id="18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8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Application of Columbus Southern Power Company and Ohio Power Company for Authority to Establish a Standard Service Offer Pursuant to section 4928.143, Revised Code, in the Form of an Electric Security Plan</w:t>
      </w:r>
      <w:r w:rsidRPr="00D308F6">
        <w:rPr>
          <w:rFonts w:ascii="Times New Roman" w:hAnsi="Times New Roman" w:cs="Times New Roman"/>
        </w:rPr>
        <w:t xml:space="preserve">, Case No. 11-346-EL-SSO et al.  </w:t>
      </w:r>
      <w:proofErr w:type="gramStart"/>
      <w:r w:rsidRPr="00D308F6">
        <w:rPr>
          <w:rFonts w:ascii="Times New Roman" w:hAnsi="Times New Roman" w:cs="Times New Roman"/>
        </w:rPr>
        <w:t>Entry on Rehearing at ¶28 (Jan. 30, 2013).</w:t>
      </w:r>
      <w:proofErr w:type="gramEnd"/>
      <w:r w:rsidRPr="00D308F6">
        <w:rPr>
          <w:rFonts w:ascii="Times New Roman" w:hAnsi="Times New Roman" w:cs="Times New Roman"/>
        </w:rPr>
        <w:t xml:space="preserve">  </w:t>
      </w:r>
    </w:p>
  </w:footnote>
  <w:footnote w:id="18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OCC Initial Brief at 24-25.  </w:t>
      </w:r>
    </w:p>
  </w:footnote>
  <w:footnote w:id="18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discussion supra.  </w:t>
      </w:r>
    </w:p>
  </w:footnote>
  <w:footnote w:id="18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60.</w:t>
      </w:r>
      <w:proofErr w:type="gramEnd"/>
      <w:r w:rsidRPr="00D308F6">
        <w:rPr>
          <w:rFonts w:ascii="Times New Roman" w:hAnsi="Times New Roman" w:cs="Times New Roman"/>
        </w:rPr>
        <w:t xml:space="preserve"> </w:t>
      </w:r>
    </w:p>
  </w:footnote>
  <w:footnote w:id="18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Tr. IV-public, at page 882.</w:t>
      </w:r>
      <w:proofErr w:type="gramEnd"/>
    </w:p>
  </w:footnote>
  <w:footnote w:id="19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Tr. V-public, at page 884.</w:t>
      </w:r>
      <w:proofErr w:type="gramEnd"/>
      <w:r w:rsidRPr="00D308F6">
        <w:rPr>
          <w:rFonts w:ascii="Times New Roman" w:hAnsi="Times New Roman" w:cs="Times New Roman"/>
        </w:rPr>
        <w:t xml:space="preserve">  </w:t>
      </w:r>
    </w:p>
  </w:footnote>
  <w:footnote w:id="19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Direct Testimony of Duke </w:t>
      </w:r>
      <w:proofErr w:type="gramStart"/>
      <w:r w:rsidRPr="00D308F6">
        <w:rPr>
          <w:rFonts w:ascii="Times New Roman" w:hAnsi="Times New Roman" w:cs="Times New Roman"/>
        </w:rPr>
        <w:t>witness</w:t>
      </w:r>
      <w:proofErr w:type="gramEnd"/>
      <w:r w:rsidRPr="00D308F6">
        <w:rPr>
          <w:rFonts w:ascii="Times New Roman" w:hAnsi="Times New Roman" w:cs="Times New Roman"/>
        </w:rPr>
        <w:t xml:space="preserve"> Julie M. </w:t>
      </w:r>
      <w:proofErr w:type="spellStart"/>
      <w:r w:rsidRPr="00D308F6">
        <w:rPr>
          <w:rFonts w:ascii="Times New Roman" w:hAnsi="Times New Roman" w:cs="Times New Roman"/>
        </w:rPr>
        <w:t>Cannell</w:t>
      </w:r>
      <w:proofErr w:type="spellEnd"/>
      <w:r w:rsidRPr="00D308F6">
        <w:rPr>
          <w:rFonts w:ascii="Times New Roman" w:hAnsi="Times New Roman" w:cs="Times New Roman"/>
        </w:rPr>
        <w:t xml:space="preserve"> at 19; Direct Testimony of Duke witness Stephen G. </w:t>
      </w:r>
      <w:proofErr w:type="spellStart"/>
      <w:r w:rsidRPr="00D308F6">
        <w:rPr>
          <w:rFonts w:ascii="Times New Roman" w:hAnsi="Times New Roman" w:cs="Times New Roman"/>
        </w:rPr>
        <w:t>DeMay</w:t>
      </w:r>
      <w:proofErr w:type="spellEnd"/>
      <w:r w:rsidRPr="00D308F6">
        <w:rPr>
          <w:rFonts w:ascii="Times New Roman" w:hAnsi="Times New Roman" w:cs="Times New Roman"/>
        </w:rPr>
        <w:t xml:space="preserve"> at 5; Direct Testimony of Duke witness William Don </w:t>
      </w:r>
      <w:proofErr w:type="spellStart"/>
      <w:r w:rsidRPr="00D308F6">
        <w:rPr>
          <w:rFonts w:ascii="Times New Roman" w:hAnsi="Times New Roman" w:cs="Times New Roman"/>
        </w:rPr>
        <w:t>Wathen</w:t>
      </w:r>
      <w:proofErr w:type="spellEnd"/>
      <w:r w:rsidRPr="00D308F6">
        <w:rPr>
          <w:rFonts w:ascii="Times New Roman" w:hAnsi="Times New Roman" w:cs="Times New Roman"/>
        </w:rPr>
        <w:t xml:space="preserve"> at 19.  </w:t>
      </w:r>
    </w:p>
  </w:footnote>
  <w:footnote w:id="19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Direct Testimony of Duke witness B. Keith Trent at 11.  </w:t>
      </w:r>
    </w:p>
  </w:footnote>
  <w:footnote w:id="19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9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9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19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64.</w:t>
      </w:r>
      <w:proofErr w:type="gramEnd"/>
      <w:r w:rsidRPr="00D308F6">
        <w:rPr>
          <w:rFonts w:ascii="Times New Roman" w:hAnsi="Times New Roman" w:cs="Times New Roman"/>
        </w:rPr>
        <w:t xml:space="preserve">  The forecasted energy margin was derived from the June 28, 2012 commercial business model run.  </w:t>
      </w:r>
    </w:p>
  </w:footnote>
  <w:footnote w:id="19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57.</w:t>
      </w:r>
      <w:proofErr w:type="gramEnd"/>
      <w:r w:rsidRPr="00D308F6">
        <w:rPr>
          <w:rFonts w:ascii="Times New Roman" w:hAnsi="Times New Roman" w:cs="Times New Roman"/>
        </w:rPr>
        <w:t xml:space="preserve">  </w:t>
      </w:r>
    </w:p>
  </w:footnote>
  <w:footnote w:id="19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Duke </w:t>
      </w:r>
      <w:r>
        <w:rPr>
          <w:rFonts w:ascii="Times New Roman" w:hAnsi="Times New Roman" w:cs="Times New Roman"/>
        </w:rPr>
        <w:t xml:space="preserve">Initial </w:t>
      </w:r>
      <w:r w:rsidRPr="00D308F6">
        <w:rPr>
          <w:rFonts w:ascii="Times New Roman" w:hAnsi="Times New Roman" w:cs="Times New Roman"/>
        </w:rPr>
        <w:t>Brief at 58.</w:t>
      </w:r>
      <w:proofErr w:type="gramEnd"/>
      <w:r w:rsidRPr="00D308F6">
        <w:rPr>
          <w:rFonts w:ascii="Times New Roman" w:hAnsi="Times New Roman" w:cs="Times New Roman"/>
        </w:rPr>
        <w:t xml:space="preserve">  </w:t>
      </w:r>
    </w:p>
  </w:footnote>
  <w:footnote w:id="19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OCC Initial Brief at 86-90; 96-105. </w:t>
      </w:r>
    </w:p>
  </w:footnote>
  <w:footnote w:id="20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Direct Testimony of Duke </w:t>
      </w:r>
      <w:proofErr w:type="gramStart"/>
      <w:r w:rsidRPr="00D308F6">
        <w:rPr>
          <w:rFonts w:ascii="Times New Roman" w:hAnsi="Times New Roman" w:cs="Times New Roman"/>
        </w:rPr>
        <w:t>witness</w:t>
      </w:r>
      <w:proofErr w:type="gramEnd"/>
      <w:r w:rsidRPr="00D308F6">
        <w:rPr>
          <w:rFonts w:ascii="Times New Roman" w:hAnsi="Times New Roman" w:cs="Times New Roman"/>
        </w:rPr>
        <w:t xml:space="preserve"> </w:t>
      </w:r>
      <w:proofErr w:type="spellStart"/>
      <w:r w:rsidRPr="00D308F6">
        <w:rPr>
          <w:rFonts w:ascii="Times New Roman" w:hAnsi="Times New Roman" w:cs="Times New Roman"/>
        </w:rPr>
        <w:t>Wathen</w:t>
      </w:r>
      <w:proofErr w:type="spellEnd"/>
      <w:r w:rsidRPr="00D308F6">
        <w:rPr>
          <w:rFonts w:ascii="Times New Roman" w:hAnsi="Times New Roman" w:cs="Times New Roman"/>
        </w:rPr>
        <w:t xml:space="preserve"> at 9-10; 12-13.  </w:t>
      </w:r>
    </w:p>
  </w:footnote>
  <w:footnote w:id="20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Pr>
          <w:rFonts w:ascii="Times New Roman" w:hAnsi="Times New Roman" w:cs="Times New Roman"/>
        </w:rPr>
        <w:t>See OCC Initial Brief, footnote 347.</w:t>
      </w:r>
    </w:p>
  </w:footnote>
  <w:footnote w:id="20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Tr. IV-public, page 913.  </w:t>
      </w:r>
    </w:p>
  </w:footnote>
  <w:footnote w:id="20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Direct Testimony of PUCO Staff witness Ralph L. </w:t>
      </w:r>
      <w:proofErr w:type="spellStart"/>
      <w:r w:rsidRPr="00D308F6">
        <w:rPr>
          <w:rFonts w:ascii="Times New Roman" w:hAnsi="Times New Roman" w:cs="Times New Roman"/>
        </w:rPr>
        <w:t>Luciani</w:t>
      </w:r>
      <w:proofErr w:type="spellEnd"/>
      <w:r w:rsidRPr="00D308F6">
        <w:rPr>
          <w:rFonts w:ascii="Times New Roman" w:hAnsi="Times New Roman" w:cs="Times New Roman"/>
        </w:rPr>
        <w:t xml:space="preserve"> at </w:t>
      </w:r>
      <w:r>
        <w:rPr>
          <w:rFonts w:ascii="Times New Roman" w:hAnsi="Times New Roman" w:cs="Times New Roman"/>
        </w:rPr>
        <w:t xml:space="preserve">3 (“Staff does not support the institution of a cost-based capacity rate for Duke Energy Ohio”). </w:t>
      </w:r>
      <w:r w:rsidRPr="00D308F6">
        <w:rPr>
          <w:rFonts w:ascii="Times New Roman" w:hAnsi="Times New Roman" w:cs="Times New Roman"/>
        </w:rPr>
        <w:t xml:space="preserve">  Indeed </w:t>
      </w:r>
      <w:r>
        <w:rPr>
          <w:rFonts w:ascii="Times New Roman" w:hAnsi="Times New Roman" w:cs="Times New Roman"/>
        </w:rPr>
        <w:t xml:space="preserve">the PUCO </w:t>
      </w:r>
      <w:r w:rsidRPr="00D308F6">
        <w:rPr>
          <w:rFonts w:ascii="Times New Roman" w:hAnsi="Times New Roman" w:cs="Times New Roman"/>
        </w:rPr>
        <w:t xml:space="preserve">Staff did not even mention </w:t>
      </w:r>
      <w:proofErr w:type="spellStart"/>
      <w:r w:rsidRPr="00D308F6">
        <w:rPr>
          <w:rFonts w:ascii="Times New Roman" w:hAnsi="Times New Roman" w:cs="Times New Roman"/>
        </w:rPr>
        <w:t>Luciani’s</w:t>
      </w:r>
      <w:proofErr w:type="spellEnd"/>
      <w:r w:rsidRPr="00D308F6">
        <w:rPr>
          <w:rFonts w:ascii="Times New Roman" w:hAnsi="Times New Roman" w:cs="Times New Roman"/>
        </w:rPr>
        <w:t xml:space="preserve"> analysis in its Initial Brief.  </w:t>
      </w:r>
    </w:p>
  </w:footnote>
  <w:footnote w:id="20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Tr. V-public, page 1085.  </w:t>
      </w:r>
    </w:p>
  </w:footnote>
  <w:footnote w:id="205">
    <w:p w:rsidR="0016684F" w:rsidRPr="00D308F6" w:rsidRDefault="0016684F" w:rsidP="00D308F6">
      <w:pPr>
        <w:pStyle w:val="FootnoteText"/>
        <w:spacing w:after="120"/>
        <w:ind w:left="720" w:hanging="7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rPr>
        <w:t xml:space="preserve"> </w:t>
      </w:r>
      <w:proofErr w:type="gramStart"/>
      <w:r w:rsidRPr="00D308F6">
        <w:rPr>
          <w:rFonts w:ascii="Times New Roman" w:hAnsi="Times New Roman" w:cs="Times New Roman"/>
        </w:rPr>
        <w:t xml:space="preserve">Tr. V-public, </w:t>
      </w:r>
      <w:r>
        <w:rPr>
          <w:rFonts w:ascii="Times New Roman" w:hAnsi="Times New Roman" w:cs="Times New Roman"/>
        </w:rPr>
        <w:t xml:space="preserve">at </w:t>
      </w:r>
      <w:r w:rsidRPr="00D308F6">
        <w:rPr>
          <w:rFonts w:ascii="Times New Roman" w:hAnsi="Times New Roman" w:cs="Times New Roman"/>
        </w:rPr>
        <w:t>page 1107.</w:t>
      </w:r>
      <w:proofErr w:type="gramEnd"/>
    </w:p>
  </w:footnote>
  <w:footnote w:id="20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Dr. Zhang indicated that sometimes runs are done more than daily.  </w:t>
      </w:r>
      <w:proofErr w:type="gramStart"/>
      <w:r w:rsidRPr="00D308F6">
        <w:rPr>
          <w:rFonts w:ascii="Times New Roman" w:hAnsi="Times New Roman" w:cs="Times New Roman"/>
        </w:rPr>
        <w:t xml:space="preserve">Tr. V-public, </w:t>
      </w:r>
      <w:r>
        <w:rPr>
          <w:rFonts w:ascii="Times New Roman" w:hAnsi="Times New Roman" w:cs="Times New Roman"/>
        </w:rPr>
        <w:t xml:space="preserve">at </w:t>
      </w:r>
      <w:r w:rsidRPr="00D308F6">
        <w:rPr>
          <w:rFonts w:ascii="Times New Roman" w:hAnsi="Times New Roman" w:cs="Times New Roman"/>
        </w:rPr>
        <w:t>page</w:t>
      </w:r>
      <w:r>
        <w:rPr>
          <w:rFonts w:ascii="Times New Roman" w:hAnsi="Times New Roman" w:cs="Times New Roman"/>
        </w:rPr>
        <w:t xml:space="preserve"> </w:t>
      </w:r>
      <w:r w:rsidRPr="00D308F6">
        <w:rPr>
          <w:rFonts w:ascii="Times New Roman" w:hAnsi="Times New Roman" w:cs="Times New Roman"/>
        </w:rPr>
        <w:t>1089.</w:t>
      </w:r>
      <w:proofErr w:type="gramEnd"/>
      <w:r w:rsidRPr="00D308F6">
        <w:rPr>
          <w:rFonts w:ascii="Times New Roman" w:hAnsi="Times New Roman" w:cs="Times New Roman"/>
        </w:rPr>
        <w:t xml:space="preserve">  </w:t>
      </w:r>
    </w:p>
  </w:footnote>
  <w:footnote w:id="20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V-public, </w:t>
      </w:r>
      <w:r>
        <w:rPr>
          <w:rFonts w:ascii="Times New Roman" w:hAnsi="Times New Roman" w:cs="Times New Roman"/>
        </w:rPr>
        <w:t xml:space="preserve">at </w:t>
      </w:r>
      <w:r w:rsidRPr="00D308F6">
        <w:rPr>
          <w:rFonts w:ascii="Times New Roman" w:hAnsi="Times New Roman" w:cs="Times New Roman"/>
        </w:rPr>
        <w:t>page 1085.</w:t>
      </w:r>
      <w:proofErr w:type="gramEnd"/>
      <w:r w:rsidRPr="00D308F6">
        <w:rPr>
          <w:rFonts w:ascii="Times New Roman" w:hAnsi="Times New Roman" w:cs="Times New Roman"/>
        </w:rPr>
        <w:t xml:space="preserve">  </w:t>
      </w:r>
    </w:p>
  </w:footnote>
  <w:footnote w:id="20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V-public, </w:t>
      </w:r>
      <w:r>
        <w:rPr>
          <w:rFonts w:ascii="Times New Roman" w:hAnsi="Times New Roman" w:cs="Times New Roman"/>
        </w:rPr>
        <w:t xml:space="preserve">at </w:t>
      </w:r>
      <w:r w:rsidRPr="00D308F6">
        <w:rPr>
          <w:rFonts w:ascii="Times New Roman" w:hAnsi="Times New Roman" w:cs="Times New Roman"/>
        </w:rPr>
        <w:t>page 1106</w:t>
      </w:r>
      <w:r>
        <w:rPr>
          <w:rFonts w:ascii="Times New Roman" w:hAnsi="Times New Roman" w:cs="Times New Roman"/>
        </w:rPr>
        <w:t>.</w:t>
      </w:r>
      <w:proofErr w:type="gramEnd"/>
    </w:p>
  </w:footnote>
  <w:footnote w:id="20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21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Tr. V-public,</w:t>
      </w:r>
      <w:r>
        <w:rPr>
          <w:rFonts w:ascii="Times New Roman" w:hAnsi="Times New Roman" w:cs="Times New Roman"/>
        </w:rPr>
        <w:t xml:space="preserve"> at</w:t>
      </w:r>
      <w:r w:rsidRPr="00D308F6">
        <w:rPr>
          <w:rFonts w:ascii="Times New Roman" w:hAnsi="Times New Roman" w:cs="Times New Roman"/>
        </w:rPr>
        <w:t xml:space="preserve"> page 1107.</w:t>
      </w:r>
      <w:proofErr w:type="gramEnd"/>
      <w:r w:rsidRPr="00D308F6">
        <w:rPr>
          <w:rFonts w:ascii="Times New Roman" w:hAnsi="Times New Roman" w:cs="Times New Roman"/>
        </w:rPr>
        <w:t xml:space="preserve">  </w:t>
      </w:r>
    </w:p>
  </w:footnote>
  <w:footnote w:id="21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Mr. </w:t>
      </w:r>
      <w:proofErr w:type="spellStart"/>
      <w:r w:rsidRPr="00D308F6">
        <w:rPr>
          <w:rFonts w:ascii="Times New Roman" w:hAnsi="Times New Roman" w:cs="Times New Roman"/>
        </w:rPr>
        <w:t>Luciani’s</w:t>
      </w:r>
      <w:proofErr w:type="spellEnd"/>
      <w:r w:rsidRPr="00D308F6">
        <w:rPr>
          <w:rFonts w:ascii="Times New Roman" w:hAnsi="Times New Roman" w:cs="Times New Roman"/>
        </w:rPr>
        <w:t xml:space="preserve"> model is the eastern interconnection model which includes much more than Duke specific plants.  </w:t>
      </w:r>
      <w:proofErr w:type="gramStart"/>
      <w:r w:rsidRPr="00D308F6">
        <w:rPr>
          <w:rFonts w:ascii="Times New Roman" w:hAnsi="Times New Roman" w:cs="Times New Roman"/>
        </w:rPr>
        <w:t>Tr. IX-public at 2406.</w:t>
      </w:r>
      <w:proofErr w:type="gramEnd"/>
      <w:r w:rsidRPr="00D308F6">
        <w:rPr>
          <w:rFonts w:ascii="Times New Roman" w:hAnsi="Times New Roman" w:cs="Times New Roman"/>
        </w:rPr>
        <w:t xml:space="preserve">  Mr. </w:t>
      </w:r>
      <w:proofErr w:type="spellStart"/>
      <w:r w:rsidRPr="00D308F6">
        <w:rPr>
          <w:rFonts w:ascii="Times New Roman" w:hAnsi="Times New Roman" w:cs="Times New Roman"/>
        </w:rPr>
        <w:t>Luciani’s</w:t>
      </w:r>
      <w:proofErr w:type="spellEnd"/>
      <w:r w:rsidRPr="00D308F6">
        <w:rPr>
          <w:rFonts w:ascii="Times New Roman" w:hAnsi="Times New Roman" w:cs="Times New Roman"/>
        </w:rPr>
        <w:t xml:space="preserve"> model uses a standard PROMOD data set.  </w:t>
      </w:r>
      <w:proofErr w:type="gramStart"/>
      <w:r w:rsidRPr="00D308F6">
        <w:rPr>
          <w:rFonts w:ascii="Times New Roman" w:hAnsi="Times New Roman" w:cs="Times New Roman"/>
        </w:rPr>
        <w:t xml:space="preserve">Tr. IX-public, </w:t>
      </w:r>
      <w:r>
        <w:rPr>
          <w:rFonts w:ascii="Times New Roman" w:hAnsi="Times New Roman" w:cs="Times New Roman"/>
        </w:rPr>
        <w:t xml:space="preserve">at page </w:t>
      </w:r>
      <w:r w:rsidRPr="00D308F6">
        <w:rPr>
          <w:rFonts w:ascii="Times New Roman" w:hAnsi="Times New Roman" w:cs="Times New Roman"/>
        </w:rPr>
        <w:t>2407.</w:t>
      </w:r>
      <w:proofErr w:type="gramEnd"/>
      <w:r w:rsidRPr="00D308F6">
        <w:rPr>
          <w:rFonts w:ascii="Times New Roman" w:hAnsi="Times New Roman" w:cs="Times New Roman"/>
        </w:rPr>
        <w:t xml:space="preserve">  </w:t>
      </w:r>
    </w:p>
  </w:footnote>
  <w:footnote w:id="21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IX-public, </w:t>
      </w:r>
      <w:r>
        <w:rPr>
          <w:rFonts w:ascii="Times New Roman" w:hAnsi="Times New Roman" w:cs="Times New Roman"/>
        </w:rPr>
        <w:t xml:space="preserve">at </w:t>
      </w:r>
      <w:r w:rsidRPr="00D308F6">
        <w:rPr>
          <w:rFonts w:ascii="Times New Roman" w:hAnsi="Times New Roman" w:cs="Times New Roman"/>
        </w:rPr>
        <w:t>page 2408.</w:t>
      </w:r>
      <w:proofErr w:type="gramEnd"/>
      <w:r w:rsidRPr="00D308F6">
        <w:rPr>
          <w:rFonts w:ascii="Times New Roman" w:hAnsi="Times New Roman" w:cs="Times New Roman"/>
        </w:rPr>
        <w:t xml:space="preserve">  </w:t>
      </w:r>
    </w:p>
  </w:footnote>
  <w:footnote w:id="21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Direct Testimony of Staff witness Ralph L. </w:t>
      </w:r>
      <w:proofErr w:type="spellStart"/>
      <w:r w:rsidRPr="00D308F6">
        <w:rPr>
          <w:rFonts w:ascii="Times New Roman" w:hAnsi="Times New Roman" w:cs="Times New Roman"/>
        </w:rPr>
        <w:t>Luciani</w:t>
      </w:r>
      <w:proofErr w:type="spellEnd"/>
      <w:r w:rsidRPr="00D308F6">
        <w:rPr>
          <w:rFonts w:ascii="Times New Roman" w:hAnsi="Times New Roman" w:cs="Times New Roman"/>
        </w:rPr>
        <w:t xml:space="preserve"> at 11-12.  </w:t>
      </w:r>
    </w:p>
  </w:footnote>
  <w:footnote w:id="21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IX-public, </w:t>
      </w:r>
      <w:r>
        <w:rPr>
          <w:rFonts w:ascii="Times New Roman" w:hAnsi="Times New Roman" w:cs="Times New Roman"/>
        </w:rPr>
        <w:t xml:space="preserve">at </w:t>
      </w:r>
      <w:r w:rsidRPr="00D308F6">
        <w:rPr>
          <w:rFonts w:ascii="Times New Roman" w:hAnsi="Times New Roman" w:cs="Times New Roman"/>
        </w:rPr>
        <w:t>page 2398.</w:t>
      </w:r>
      <w:proofErr w:type="gramEnd"/>
    </w:p>
  </w:footnote>
  <w:footnote w:id="21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IX-public, </w:t>
      </w:r>
      <w:r>
        <w:rPr>
          <w:rFonts w:ascii="Times New Roman" w:hAnsi="Times New Roman" w:cs="Times New Roman"/>
        </w:rPr>
        <w:t xml:space="preserve">at </w:t>
      </w:r>
      <w:r w:rsidRPr="00D308F6">
        <w:rPr>
          <w:rFonts w:ascii="Times New Roman" w:hAnsi="Times New Roman" w:cs="Times New Roman"/>
        </w:rPr>
        <w:t>page 2399-2402.</w:t>
      </w:r>
      <w:proofErr w:type="gramEnd"/>
      <w:r w:rsidRPr="00D308F6">
        <w:rPr>
          <w:rFonts w:ascii="Times New Roman" w:hAnsi="Times New Roman" w:cs="Times New Roman"/>
        </w:rPr>
        <w:t xml:space="preserve">  </w:t>
      </w:r>
    </w:p>
  </w:footnote>
  <w:footnote w:id="21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 xml:space="preserve">Tr. IX-public, </w:t>
      </w:r>
      <w:r>
        <w:rPr>
          <w:rFonts w:ascii="Times New Roman" w:hAnsi="Times New Roman" w:cs="Times New Roman"/>
        </w:rPr>
        <w:t xml:space="preserve">at </w:t>
      </w:r>
      <w:r w:rsidRPr="00D308F6">
        <w:rPr>
          <w:rFonts w:ascii="Times New Roman" w:hAnsi="Times New Roman" w:cs="Times New Roman"/>
        </w:rPr>
        <w:t>page 2426.</w:t>
      </w:r>
      <w:proofErr w:type="gramEnd"/>
      <w:r w:rsidRPr="00D308F6">
        <w:rPr>
          <w:rFonts w:ascii="Times New Roman" w:hAnsi="Times New Roman" w:cs="Times New Roman"/>
        </w:rPr>
        <w:t xml:space="preserve">  </w:t>
      </w:r>
    </w:p>
  </w:footnote>
  <w:footnote w:id="21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Tr. IX</w:t>
      </w:r>
      <w:r>
        <w:rPr>
          <w:rFonts w:ascii="Times New Roman" w:hAnsi="Times New Roman" w:cs="Times New Roman"/>
        </w:rPr>
        <w:t>-</w:t>
      </w:r>
      <w:r w:rsidRPr="00D308F6">
        <w:rPr>
          <w:rFonts w:ascii="Times New Roman" w:hAnsi="Times New Roman" w:cs="Times New Roman"/>
        </w:rPr>
        <w:t>public,</w:t>
      </w:r>
      <w:r>
        <w:rPr>
          <w:rFonts w:ascii="Times New Roman" w:hAnsi="Times New Roman" w:cs="Times New Roman"/>
        </w:rPr>
        <w:t xml:space="preserve"> at</w:t>
      </w:r>
      <w:r w:rsidRPr="00D308F6">
        <w:rPr>
          <w:rFonts w:ascii="Times New Roman" w:hAnsi="Times New Roman" w:cs="Times New Roman"/>
        </w:rPr>
        <w:t xml:space="preserve"> page 2343.</w:t>
      </w:r>
      <w:proofErr w:type="gramEnd"/>
      <w:r w:rsidRPr="00D308F6">
        <w:rPr>
          <w:rFonts w:ascii="Times New Roman" w:hAnsi="Times New Roman" w:cs="Times New Roman"/>
        </w:rPr>
        <w:t xml:space="preserve">  </w:t>
      </w:r>
    </w:p>
  </w:footnote>
  <w:footnote w:id="21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e.g., </w:t>
      </w:r>
      <w:r w:rsidRPr="00D308F6">
        <w:rPr>
          <w:rFonts w:ascii="Times New Roman" w:hAnsi="Times New Roman" w:cs="Times New Roman"/>
          <w:i/>
        </w:rPr>
        <w:t>Arrowhead Hills Utilities Corp.</w:t>
      </w:r>
      <w:r w:rsidRPr="00D308F6">
        <w:rPr>
          <w:rFonts w:ascii="Times New Roman" w:hAnsi="Times New Roman" w:cs="Times New Roman"/>
        </w:rPr>
        <w:t>, Case No. 88-279-WW-AIR</w:t>
      </w:r>
      <w:r>
        <w:rPr>
          <w:rFonts w:ascii="Times New Roman" w:hAnsi="Times New Roman" w:cs="Times New Roman"/>
        </w:rPr>
        <w:t xml:space="preserve">, Opinion and Order </w:t>
      </w:r>
      <w:r w:rsidRPr="00D308F6">
        <w:rPr>
          <w:rFonts w:ascii="Times New Roman" w:hAnsi="Times New Roman" w:cs="Times New Roman"/>
        </w:rPr>
        <w:t xml:space="preserve"> (Dec. 20, 1988); </w:t>
      </w:r>
      <w:r w:rsidRPr="00D308F6">
        <w:rPr>
          <w:rFonts w:ascii="Times New Roman" w:hAnsi="Times New Roman" w:cs="Times New Roman"/>
          <w:i/>
        </w:rPr>
        <w:t>Columbia Gas of Ohio</w:t>
      </w:r>
      <w:r w:rsidRPr="00D308F6">
        <w:rPr>
          <w:rFonts w:ascii="Times New Roman" w:hAnsi="Times New Roman" w:cs="Times New Roman"/>
        </w:rPr>
        <w:t>, Case No. 82-1151-GA-AIR</w:t>
      </w:r>
      <w:r>
        <w:rPr>
          <w:rFonts w:ascii="Times New Roman" w:hAnsi="Times New Roman" w:cs="Times New Roman"/>
        </w:rPr>
        <w:t xml:space="preserve">, Opinion and Order </w:t>
      </w:r>
      <w:r w:rsidRPr="00D308F6">
        <w:rPr>
          <w:rFonts w:ascii="Times New Roman" w:hAnsi="Times New Roman" w:cs="Times New Roman"/>
        </w:rPr>
        <w:t xml:space="preserve"> (Nov. 9, 1983); </w:t>
      </w:r>
      <w:r w:rsidRPr="00D308F6">
        <w:rPr>
          <w:rFonts w:ascii="Times New Roman" w:hAnsi="Times New Roman" w:cs="Times New Roman"/>
          <w:i/>
        </w:rPr>
        <w:t>Toledo Edison Company</w:t>
      </w:r>
      <w:r w:rsidRPr="00D308F6">
        <w:rPr>
          <w:rFonts w:ascii="Times New Roman" w:hAnsi="Times New Roman" w:cs="Times New Roman"/>
        </w:rPr>
        <w:t>, Case No. 80-377-EL-AIR</w:t>
      </w:r>
      <w:r>
        <w:rPr>
          <w:rFonts w:ascii="Times New Roman" w:hAnsi="Times New Roman" w:cs="Times New Roman"/>
        </w:rPr>
        <w:t>, Opinion and Order</w:t>
      </w:r>
      <w:r w:rsidRPr="00D308F6">
        <w:rPr>
          <w:rFonts w:ascii="Times New Roman" w:hAnsi="Times New Roman" w:cs="Times New Roman"/>
        </w:rPr>
        <w:t xml:space="preserve"> (Apr. 9, 1981). </w:t>
      </w:r>
    </w:p>
  </w:footnote>
  <w:footnote w:id="21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Pr>
          <w:rFonts w:ascii="Times New Roman" w:hAnsi="Times New Roman" w:cs="Times New Roman"/>
        </w:rPr>
        <w:t xml:space="preserve"> </w:t>
      </w:r>
      <w:r w:rsidRPr="00D308F6">
        <w:rPr>
          <w:rFonts w:ascii="Times New Roman" w:hAnsi="Times New Roman" w:cs="Times New Roman"/>
        </w:rPr>
        <w:t xml:space="preserve">See </w:t>
      </w:r>
      <w:r w:rsidRPr="00D308F6">
        <w:rPr>
          <w:rFonts w:ascii="Times New Roman" w:hAnsi="Times New Roman" w:cs="Times New Roman"/>
          <w:i/>
        </w:rPr>
        <w:t xml:space="preserve">In the Matter of the </w:t>
      </w:r>
      <w:proofErr w:type="spellStart"/>
      <w:r w:rsidRPr="00D308F6">
        <w:rPr>
          <w:rFonts w:ascii="Times New Roman" w:hAnsi="Times New Roman" w:cs="Times New Roman"/>
          <w:i/>
        </w:rPr>
        <w:t>Norlick</w:t>
      </w:r>
      <w:proofErr w:type="spellEnd"/>
      <w:r w:rsidRPr="00D308F6">
        <w:rPr>
          <w:rFonts w:ascii="Times New Roman" w:hAnsi="Times New Roman" w:cs="Times New Roman"/>
          <w:i/>
        </w:rPr>
        <w:t xml:space="preserve"> Place Water Company for an Increase in Rates and Charges</w:t>
      </w:r>
      <w:r w:rsidRPr="00D308F6">
        <w:rPr>
          <w:rFonts w:ascii="Times New Roman" w:hAnsi="Times New Roman" w:cs="Times New Roman"/>
        </w:rPr>
        <w:t xml:space="preserve">, Case No. 90-1507-WW-AIR, Opinion and Order at 7 (May 23, 1991)(citing to </w:t>
      </w:r>
      <w:r w:rsidRPr="00D308F6">
        <w:rPr>
          <w:rFonts w:ascii="Times New Roman" w:hAnsi="Times New Roman" w:cs="Times New Roman"/>
          <w:i/>
        </w:rPr>
        <w:t>Arrowhead Hills Utilities Corporation</w:t>
      </w:r>
      <w:r w:rsidRPr="00D308F6">
        <w:rPr>
          <w:rFonts w:ascii="Times New Roman" w:hAnsi="Times New Roman" w:cs="Times New Roman"/>
        </w:rPr>
        <w:t xml:space="preserve">, Case No. 88-279-WW-AIR (Dec. 20, 1988); </w:t>
      </w:r>
      <w:r w:rsidRPr="00D308F6">
        <w:rPr>
          <w:rFonts w:ascii="Times New Roman" w:hAnsi="Times New Roman" w:cs="Times New Roman"/>
          <w:i/>
        </w:rPr>
        <w:t>Columbia Gas of Ohio</w:t>
      </w:r>
      <w:r w:rsidRPr="00D308F6">
        <w:rPr>
          <w:rFonts w:ascii="Times New Roman" w:hAnsi="Times New Roman" w:cs="Times New Roman"/>
        </w:rPr>
        <w:t xml:space="preserve">, Case No. 82-1151-GA-AIR (Nov. 9, 1983); </w:t>
      </w:r>
      <w:r w:rsidRPr="00D308F6">
        <w:rPr>
          <w:rFonts w:ascii="Times New Roman" w:hAnsi="Times New Roman" w:cs="Times New Roman"/>
          <w:i/>
        </w:rPr>
        <w:t>Toledo Edison Company</w:t>
      </w:r>
      <w:r w:rsidRPr="00D308F6">
        <w:rPr>
          <w:rFonts w:ascii="Times New Roman" w:hAnsi="Times New Roman" w:cs="Times New Roman"/>
        </w:rPr>
        <w:t xml:space="preserve">, Case No. 80-377-EL-AIR (Apr. 9., 1981); </w:t>
      </w:r>
      <w:r w:rsidRPr="00D308F6">
        <w:rPr>
          <w:rFonts w:ascii="Times New Roman" w:hAnsi="Times New Roman" w:cs="Times New Roman"/>
          <w:i/>
        </w:rPr>
        <w:t>In the Matter of the Cleveland Electric Illuminating Company</w:t>
      </w:r>
      <w:r w:rsidRPr="00D308F6">
        <w:rPr>
          <w:rFonts w:ascii="Times New Roman" w:hAnsi="Times New Roman" w:cs="Times New Roman"/>
        </w:rPr>
        <w:t xml:space="preserve">, Case No. 81-41-HT-AIR, Opinion and Order at 39-41 (Jan. 13, 1982)(citing to </w:t>
      </w:r>
      <w:r w:rsidRPr="00D308F6">
        <w:rPr>
          <w:rFonts w:ascii="Times New Roman" w:hAnsi="Times New Roman" w:cs="Times New Roman"/>
          <w:i/>
        </w:rPr>
        <w:t>Ohio Power Company</w:t>
      </w:r>
      <w:r w:rsidRPr="00D308F6">
        <w:rPr>
          <w:rFonts w:ascii="Times New Roman" w:hAnsi="Times New Roman" w:cs="Times New Roman"/>
        </w:rPr>
        <w:t xml:space="preserve">, Case No. 80-367-EL-AIR, Opinion and Order (Apr. 1, 1981) ; </w:t>
      </w:r>
      <w:r w:rsidRPr="00D308F6">
        <w:rPr>
          <w:rFonts w:ascii="Times New Roman" w:hAnsi="Times New Roman" w:cs="Times New Roman"/>
          <w:i/>
        </w:rPr>
        <w:t>Ohio Water Service</w:t>
      </w:r>
      <w:r w:rsidRPr="00D308F6">
        <w:rPr>
          <w:rFonts w:ascii="Times New Roman" w:hAnsi="Times New Roman" w:cs="Times New Roman"/>
        </w:rPr>
        <w:t xml:space="preserve">, Case No. 85-841-WW-AIR, Opinion and Order at 8-9 (June 3, 1986).  </w:t>
      </w:r>
    </w:p>
  </w:footnote>
  <w:footnote w:id="22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 xml:space="preserve">In the Matter of the Application of The West </w:t>
      </w:r>
      <w:proofErr w:type="spellStart"/>
      <w:r w:rsidRPr="00D308F6">
        <w:rPr>
          <w:rFonts w:ascii="Times New Roman" w:hAnsi="Times New Roman" w:cs="Times New Roman"/>
          <w:i/>
        </w:rPr>
        <w:t>Millgrove</w:t>
      </w:r>
      <w:proofErr w:type="spellEnd"/>
      <w:r w:rsidRPr="00D308F6">
        <w:rPr>
          <w:rFonts w:ascii="Times New Roman" w:hAnsi="Times New Roman" w:cs="Times New Roman"/>
          <w:i/>
        </w:rPr>
        <w:t xml:space="preserve"> Gas Company for an Increase in Rates and Charges</w:t>
      </w:r>
      <w:r w:rsidRPr="00D308F6">
        <w:rPr>
          <w:rFonts w:ascii="Times New Roman" w:hAnsi="Times New Roman" w:cs="Times New Roman"/>
        </w:rPr>
        <w:t xml:space="preserve">, Case No. 87-671-GA-AIR, Opinion and Order at 6-7 (Dec. 23, 1987); </w:t>
      </w:r>
      <w:r w:rsidRPr="00D308F6">
        <w:rPr>
          <w:rFonts w:ascii="Times New Roman" w:hAnsi="Times New Roman" w:cs="Times New Roman"/>
          <w:i/>
        </w:rPr>
        <w:t>In the Matter of the Application of Arrowhead Hills Utilities Corporation for an Increase in Rates and Charges</w:t>
      </w:r>
      <w:r w:rsidRPr="00D308F6">
        <w:rPr>
          <w:rFonts w:ascii="Times New Roman" w:hAnsi="Times New Roman" w:cs="Times New Roman"/>
        </w:rPr>
        <w:t xml:space="preserve">, Case No. 88-279-WW-AIR, Opinion and Order at 7-8 (Dec. 20, 1988).  </w:t>
      </w:r>
    </w:p>
  </w:footnote>
  <w:footnote w:id="221">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 xml:space="preserve">In the Matter of the Application of the West </w:t>
      </w:r>
      <w:proofErr w:type="spellStart"/>
      <w:r w:rsidRPr="00D308F6">
        <w:rPr>
          <w:rFonts w:ascii="Times New Roman" w:hAnsi="Times New Roman" w:cs="Times New Roman"/>
          <w:i/>
        </w:rPr>
        <w:t>Millgrove</w:t>
      </w:r>
      <w:proofErr w:type="spellEnd"/>
      <w:r w:rsidRPr="00D308F6">
        <w:rPr>
          <w:rFonts w:ascii="Times New Roman" w:hAnsi="Times New Roman" w:cs="Times New Roman"/>
          <w:i/>
        </w:rPr>
        <w:t xml:space="preserve"> Gas Company for an Increase in Rates and Charges</w:t>
      </w:r>
      <w:r w:rsidRPr="00D308F6">
        <w:rPr>
          <w:rFonts w:ascii="Times New Roman" w:hAnsi="Times New Roman" w:cs="Times New Roman"/>
        </w:rPr>
        <w:t xml:space="preserve">, Case No. 87-671-GA-AIR, Opinion and Order at 6-7 (Dec. 23, 1987); accord </w:t>
      </w:r>
      <w:r w:rsidRPr="00D308F6">
        <w:rPr>
          <w:rFonts w:ascii="Times New Roman" w:hAnsi="Times New Roman" w:cs="Times New Roman"/>
          <w:i/>
        </w:rPr>
        <w:t>, In the Matter of the Application of Arrowhead Hills Utilities Corporation for an Increase in Rates and Charges</w:t>
      </w:r>
      <w:r w:rsidRPr="00D308F6">
        <w:rPr>
          <w:rFonts w:ascii="Times New Roman" w:hAnsi="Times New Roman" w:cs="Times New Roman"/>
        </w:rPr>
        <w:t xml:space="preserve">, Case No. 88-279-WW-AIR, Opinion and Order at 7-8 (Dec. 20, 1988) (adopting a negative 3.27% return on equity as “fair and reasonable”).  </w:t>
      </w:r>
    </w:p>
  </w:footnote>
  <w:footnote w:id="222">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Application of Columbia Gas of Ohio, Inc.,</w:t>
      </w:r>
      <w:r w:rsidRPr="00D308F6">
        <w:rPr>
          <w:rFonts w:ascii="Times New Roman" w:hAnsi="Times New Roman" w:cs="Times New Roman"/>
        </w:rPr>
        <w:t xml:space="preserve"> Case No. 84-67-GA-AIR, Opinion and Order at 56 (May 21, 1985).  </w:t>
      </w:r>
    </w:p>
  </w:footnote>
  <w:footnote w:id="223">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See OCC Initial Brief at 46.</w:t>
      </w:r>
    </w:p>
  </w:footnote>
  <w:footnote w:id="224">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r w:rsidRPr="00D308F6">
        <w:rPr>
          <w:rFonts w:ascii="Times New Roman" w:hAnsi="Times New Roman" w:cs="Times New Roman"/>
          <w:i/>
        </w:rPr>
        <w:t>In the Matter of the Application of Columbia Gas of Ohio, Inc.,</w:t>
      </w:r>
      <w:r w:rsidRPr="00D308F6">
        <w:rPr>
          <w:rFonts w:ascii="Times New Roman" w:hAnsi="Times New Roman" w:cs="Times New Roman"/>
        </w:rPr>
        <w:t xml:space="preserve"> Case No. 82-1151-GA-AIR, Opinion and Order at 51-52 (Nov. 9, 1983).  </w:t>
      </w:r>
    </w:p>
  </w:footnote>
  <w:footnote w:id="225">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226">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w:t>
      </w:r>
      <w:proofErr w:type="gramStart"/>
      <w:r w:rsidRPr="00D308F6">
        <w:rPr>
          <w:rFonts w:ascii="Times New Roman" w:hAnsi="Times New Roman" w:cs="Times New Roman"/>
        </w:rPr>
        <w:t>Duke Initial Brief at 58.</w:t>
      </w:r>
      <w:proofErr w:type="gramEnd"/>
      <w:r w:rsidRPr="00D308F6">
        <w:rPr>
          <w:rFonts w:ascii="Times New Roman" w:hAnsi="Times New Roman" w:cs="Times New Roman"/>
        </w:rPr>
        <w:t xml:space="preserve">  </w:t>
      </w:r>
    </w:p>
  </w:footnote>
  <w:footnote w:id="227">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OCC witness J. Richard Hornby at 37. </w:t>
      </w:r>
    </w:p>
  </w:footnote>
  <w:footnote w:id="228">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229">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w:t>
      </w:r>
    </w:p>
  </w:footnote>
  <w:footnote w:id="230">
    <w:p w:rsidR="0016684F" w:rsidRPr="00D308F6" w:rsidRDefault="0016684F" w:rsidP="00D308F6">
      <w:pPr>
        <w:pStyle w:val="FootnoteText"/>
        <w:spacing w:after="120"/>
        <w:rPr>
          <w:rFonts w:ascii="Times New Roman" w:hAnsi="Times New Roman" w:cs="Times New Roman"/>
        </w:rPr>
      </w:pPr>
      <w:r w:rsidRPr="00D308F6">
        <w:rPr>
          <w:rStyle w:val="FootnoteReference"/>
          <w:rFonts w:ascii="Times New Roman" w:hAnsi="Times New Roman" w:cs="Times New Roman"/>
        </w:rPr>
        <w:footnoteRef/>
      </w:r>
      <w:r w:rsidRPr="00D308F6">
        <w:rPr>
          <w:rFonts w:ascii="Times New Roman" w:hAnsi="Times New Roman" w:cs="Times New Roman"/>
        </w:rPr>
        <w:t xml:space="preserve"> Id; see </w:t>
      </w:r>
      <w:r w:rsidRPr="00D308F6">
        <w:rPr>
          <w:rFonts w:ascii="Times New Roman" w:hAnsi="Times New Roman" w:cs="Times New Roman"/>
          <w:i/>
        </w:rPr>
        <w:t>In the Matter of the Application of Columbus Southern Power Company for Authority to Establish a Standard Service Offer Pursuant to Section 4928.143, Revised Code, in the Form of an Electric Security Plan</w:t>
      </w:r>
      <w:r w:rsidRPr="00D308F6">
        <w:rPr>
          <w:rFonts w:ascii="Times New Roman" w:hAnsi="Times New Roman" w:cs="Times New Roman"/>
        </w:rPr>
        <w:t xml:space="preserve">, Case No. 11-346-EL-SSO, et al., Opinion and Order at 32; 35-37.   </w:t>
      </w:r>
    </w:p>
  </w:footnote>
  <w:footnote w:id="231">
    <w:p w:rsidR="0016684F" w:rsidRPr="00863DEF" w:rsidRDefault="0016684F" w:rsidP="009872D1">
      <w:pPr>
        <w:pStyle w:val="FootnoteText"/>
        <w:spacing w:after="120"/>
        <w:rPr>
          <w:rFonts w:ascii="Times New Roman" w:hAnsi="Times New Roman" w:cs="Times New Roman"/>
        </w:rPr>
      </w:pPr>
      <w:r w:rsidRPr="00713D3A">
        <w:rPr>
          <w:rStyle w:val="FootnoteReference"/>
          <w:rFonts w:ascii="Times New Roman" w:hAnsi="Times New Roman" w:cs="Times New Roman"/>
        </w:rPr>
        <w:footnoteRef/>
      </w:r>
      <w:r w:rsidRPr="00713D3A">
        <w:rPr>
          <w:rFonts w:ascii="Times New Roman" w:hAnsi="Times New Roman" w:cs="Times New Roman"/>
        </w:rPr>
        <w:t xml:space="preserve"> </w:t>
      </w:r>
      <w:proofErr w:type="gramStart"/>
      <w:r w:rsidRPr="00713D3A">
        <w:rPr>
          <w:rFonts w:ascii="Times New Roman" w:hAnsi="Times New Roman" w:cs="Times New Roman"/>
        </w:rPr>
        <w:t>Duke Brief at 54.</w:t>
      </w:r>
      <w:proofErr w:type="gramEnd"/>
      <w:r w:rsidRPr="00713D3A">
        <w:rPr>
          <w:rFonts w:ascii="Times New Roman" w:hAnsi="Times New Roman" w:cs="Times New Roman"/>
        </w:rPr>
        <w:t xml:space="preserve">  </w:t>
      </w:r>
      <w:proofErr w:type="gramStart"/>
      <w:r w:rsidRPr="00713D3A">
        <w:rPr>
          <w:rFonts w:ascii="Times New Roman" w:hAnsi="Times New Roman" w:cs="Times New Roman"/>
        </w:rPr>
        <w:t>Note that on page 56 of its Brief Duke erroneously asserts that the PUCO has “now ruled that such capacity services are not competitive retail electric services.”</w:t>
      </w:r>
      <w:proofErr w:type="gramEnd"/>
      <w:r w:rsidRPr="00713D3A">
        <w:rPr>
          <w:rFonts w:ascii="Times New Roman" w:hAnsi="Times New Roman" w:cs="Times New Roman"/>
        </w:rPr>
        <w:t xml:space="preserve">  This assertion is inaccurate and wrong as the PUCO has not made a determination as to whether capacity service is “competitive” or “noncompetitive.”  See OCC Ex. 1 at 13.</w:t>
      </w:r>
    </w:p>
  </w:footnote>
  <w:footnote w:id="232">
    <w:p w:rsidR="0016684F" w:rsidRPr="00E36CDA" w:rsidRDefault="0016684F" w:rsidP="009872D1">
      <w:pPr>
        <w:pStyle w:val="FootnoteText"/>
        <w:spacing w:after="120"/>
        <w:rPr>
          <w:rFonts w:ascii="Times New Roman" w:hAnsi="Times New Roman" w:cs="Times New Roman"/>
        </w:rPr>
      </w:pPr>
      <w:r w:rsidRPr="00E36CDA">
        <w:rPr>
          <w:rStyle w:val="FootnoteReference"/>
          <w:rFonts w:ascii="Times New Roman" w:hAnsi="Times New Roman" w:cs="Times New Roman"/>
        </w:rPr>
        <w:footnoteRef/>
      </w:r>
      <w:r w:rsidRPr="00E36CDA">
        <w:rPr>
          <w:rFonts w:ascii="Times New Roman" w:hAnsi="Times New Roman" w:cs="Times New Roman"/>
        </w:rPr>
        <w:t xml:space="preserve"> </w:t>
      </w:r>
      <w:proofErr w:type="gramStart"/>
      <w:r w:rsidRPr="00E36CDA">
        <w:rPr>
          <w:rFonts w:ascii="Times New Roman" w:hAnsi="Times New Roman" w:cs="Times New Roman"/>
        </w:rPr>
        <w:t>Duke Brief at 56.</w:t>
      </w:r>
      <w:proofErr w:type="gramEnd"/>
    </w:p>
  </w:footnote>
  <w:footnote w:id="233">
    <w:p w:rsidR="0016684F" w:rsidRDefault="0016684F" w:rsidP="009872D1">
      <w:pPr>
        <w:pStyle w:val="FootnoteText"/>
        <w:spacing w:after="120"/>
      </w:pPr>
      <w:r w:rsidRPr="00CA0190">
        <w:rPr>
          <w:rStyle w:val="FootnoteReference"/>
          <w:rFonts w:ascii="Times New Roman" w:hAnsi="Times New Roman" w:cs="Times New Roman"/>
        </w:rPr>
        <w:footnoteRef/>
      </w:r>
      <w:r w:rsidRPr="00CA0190">
        <w:rPr>
          <w:rFonts w:ascii="Times New Roman" w:hAnsi="Times New Roman" w:cs="Times New Roman"/>
        </w:rPr>
        <w:t xml:space="preserve"> OCC Brief at 77-79.</w:t>
      </w:r>
    </w:p>
  </w:footnote>
  <w:footnote w:id="234">
    <w:p w:rsidR="0016684F" w:rsidRPr="00E36CDA" w:rsidRDefault="0016684F" w:rsidP="009872D1">
      <w:pPr>
        <w:autoSpaceDE w:val="0"/>
        <w:autoSpaceDN w:val="0"/>
        <w:adjustRightInd w:val="0"/>
        <w:spacing w:line="240" w:lineRule="auto"/>
        <w:rPr>
          <w:rFonts w:ascii="Times New Roman" w:hAnsi="Times New Roman" w:cs="Times New Roman"/>
          <w:i/>
          <w:iCs/>
          <w:sz w:val="20"/>
          <w:szCs w:val="20"/>
        </w:rPr>
      </w:pPr>
      <w:r w:rsidRPr="00E36CDA">
        <w:rPr>
          <w:rStyle w:val="FootnoteReference"/>
          <w:rFonts w:ascii="Times New Roman" w:hAnsi="Times New Roman" w:cs="Times New Roman"/>
        </w:rPr>
        <w:footnoteRef/>
      </w:r>
      <w:r w:rsidRPr="00E36CDA">
        <w:rPr>
          <w:rFonts w:ascii="Times New Roman" w:hAnsi="Times New Roman" w:cs="Times New Roman"/>
        </w:rPr>
        <w:t xml:space="preserve"> </w:t>
      </w:r>
      <w:r w:rsidRPr="00E36CDA">
        <w:rPr>
          <w:rFonts w:ascii="Times New Roman" w:hAnsi="Times New Roman" w:cs="Times New Roman"/>
          <w:i/>
          <w:iCs/>
          <w:sz w:val="20"/>
          <w:szCs w:val="20"/>
        </w:rPr>
        <w:t>In the Matter of Application of Duke Energy Ohio, Inc. for Authority to Establish a Standard Service</w:t>
      </w:r>
    </w:p>
    <w:p w:rsidR="0016684F" w:rsidRPr="00E36CDA" w:rsidRDefault="0016684F" w:rsidP="009872D1">
      <w:pPr>
        <w:autoSpaceDE w:val="0"/>
        <w:autoSpaceDN w:val="0"/>
        <w:adjustRightInd w:val="0"/>
        <w:spacing w:line="240" w:lineRule="auto"/>
        <w:rPr>
          <w:rFonts w:ascii="Times New Roman" w:hAnsi="Times New Roman" w:cs="Times New Roman"/>
          <w:i/>
          <w:iCs/>
          <w:sz w:val="20"/>
          <w:szCs w:val="20"/>
        </w:rPr>
      </w:pPr>
      <w:r w:rsidRPr="00E36CDA">
        <w:rPr>
          <w:rFonts w:ascii="Times New Roman" w:hAnsi="Times New Roman" w:cs="Times New Roman"/>
          <w:i/>
          <w:iCs/>
          <w:sz w:val="20"/>
          <w:szCs w:val="20"/>
        </w:rPr>
        <w:t>Offer Pursuant to Section 4928.143, Revised Code, in the Form of an Electric Security Plan, Accounting</w:t>
      </w:r>
    </w:p>
    <w:p w:rsidR="0016684F" w:rsidRPr="000312A2" w:rsidRDefault="0016684F" w:rsidP="009872D1">
      <w:pPr>
        <w:autoSpaceDE w:val="0"/>
        <w:autoSpaceDN w:val="0"/>
        <w:adjustRightInd w:val="0"/>
        <w:spacing w:after="120" w:line="240" w:lineRule="auto"/>
        <w:rPr>
          <w:rFonts w:ascii="Times New Roman" w:hAnsi="Times New Roman" w:cs="Times New Roman"/>
          <w:sz w:val="20"/>
          <w:szCs w:val="20"/>
        </w:rPr>
      </w:pPr>
      <w:r w:rsidRPr="00E36CDA">
        <w:rPr>
          <w:rFonts w:ascii="Times New Roman" w:hAnsi="Times New Roman" w:cs="Times New Roman"/>
          <w:i/>
          <w:iCs/>
          <w:sz w:val="20"/>
          <w:szCs w:val="20"/>
        </w:rPr>
        <w:t>Modifications, and Tariffs for Generation Service</w:t>
      </w:r>
      <w:r w:rsidRPr="00E36CDA">
        <w:rPr>
          <w:rFonts w:ascii="Times New Roman" w:hAnsi="Times New Roman" w:cs="Times New Roman"/>
          <w:sz w:val="20"/>
          <w:szCs w:val="20"/>
        </w:rPr>
        <w:t>, Case No. 11-3549-EL-SSO, et al., Opinion and Order at</w:t>
      </w:r>
      <w:r>
        <w:rPr>
          <w:rFonts w:ascii="Times New Roman" w:hAnsi="Times New Roman" w:cs="Times New Roman"/>
          <w:sz w:val="20"/>
          <w:szCs w:val="20"/>
        </w:rPr>
        <w:t xml:space="preserve"> </w:t>
      </w:r>
      <w:r w:rsidRPr="00E36CDA">
        <w:rPr>
          <w:rFonts w:ascii="Times New Roman" w:hAnsi="Times New Roman" w:cs="Times New Roman"/>
          <w:sz w:val="20"/>
          <w:szCs w:val="20"/>
        </w:rPr>
        <w:t>29-31 (Nov. 22, 2011).</w:t>
      </w:r>
    </w:p>
  </w:footnote>
  <w:footnote w:id="235">
    <w:p w:rsidR="0016684F" w:rsidRDefault="0016684F" w:rsidP="009872D1">
      <w:pPr>
        <w:pStyle w:val="FootnoteText"/>
        <w:spacing w:after="120"/>
      </w:pPr>
      <w:r w:rsidRPr="00E36CDA">
        <w:rPr>
          <w:rStyle w:val="FootnoteReference"/>
          <w:rFonts w:ascii="Times New Roman" w:hAnsi="Times New Roman" w:cs="Times New Roman"/>
        </w:rPr>
        <w:footnoteRef/>
      </w:r>
      <w:r w:rsidRPr="00E36CDA">
        <w:rPr>
          <w:rFonts w:ascii="Times New Roman" w:hAnsi="Times New Roman" w:cs="Times New Roman"/>
        </w:rPr>
        <w:t xml:space="preserve"> </w:t>
      </w:r>
      <w:r>
        <w:rPr>
          <w:rFonts w:ascii="Times New Roman" w:hAnsi="Times New Roman" w:cs="Times New Roman"/>
        </w:rPr>
        <w:t xml:space="preserve">Direct Testimony of OCC witness Dr. J. Randall </w:t>
      </w:r>
      <w:proofErr w:type="spellStart"/>
      <w:r>
        <w:rPr>
          <w:rFonts w:ascii="Times New Roman" w:hAnsi="Times New Roman" w:cs="Times New Roman"/>
        </w:rPr>
        <w:t>Woolridge</w:t>
      </w:r>
      <w:proofErr w:type="spellEnd"/>
      <w:r>
        <w:rPr>
          <w:rFonts w:ascii="Times New Roman" w:hAnsi="Times New Roman" w:cs="Times New Roman"/>
        </w:rPr>
        <w:t xml:space="preserve"> at 12.</w:t>
      </w:r>
    </w:p>
  </w:footnote>
  <w:footnote w:id="236">
    <w:p w:rsidR="0016684F" w:rsidRPr="00E36CDA" w:rsidRDefault="0016684F" w:rsidP="009872D1">
      <w:pPr>
        <w:pStyle w:val="FootnoteText"/>
        <w:spacing w:after="120"/>
        <w:rPr>
          <w:rFonts w:ascii="Times New Roman" w:hAnsi="Times New Roman" w:cs="Times New Roman"/>
        </w:rPr>
      </w:pPr>
      <w:r w:rsidRPr="00E36CDA">
        <w:rPr>
          <w:rStyle w:val="FootnoteReference"/>
          <w:rFonts w:ascii="Times New Roman" w:hAnsi="Times New Roman" w:cs="Times New Roman"/>
        </w:rPr>
        <w:footnoteRef/>
      </w:r>
      <w:r>
        <w:rPr>
          <w:rFonts w:ascii="Times New Roman" w:hAnsi="Times New Roman" w:cs="Times New Roman"/>
        </w:rPr>
        <w:t xml:space="preserve"> Id.</w:t>
      </w:r>
    </w:p>
  </w:footnote>
  <w:footnote w:id="237">
    <w:p w:rsidR="0016684F" w:rsidRDefault="0016684F" w:rsidP="009872D1">
      <w:pPr>
        <w:pStyle w:val="FootnoteText"/>
        <w:spacing w:after="120"/>
      </w:pPr>
      <w:r w:rsidRPr="00E36CDA">
        <w:rPr>
          <w:rStyle w:val="FootnoteReference"/>
          <w:rFonts w:ascii="Times New Roman" w:hAnsi="Times New Roman" w:cs="Times New Roman"/>
        </w:rPr>
        <w:footnoteRef/>
      </w:r>
      <w:r w:rsidRPr="00E36CDA">
        <w:rPr>
          <w:rFonts w:ascii="Times New Roman" w:hAnsi="Times New Roman" w:cs="Times New Roman"/>
        </w:rPr>
        <w:t xml:space="preserve"> </w:t>
      </w:r>
      <w:r>
        <w:rPr>
          <w:rFonts w:ascii="Times New Roman" w:hAnsi="Times New Roman" w:cs="Times New Roman"/>
        </w:rPr>
        <w:t>Id.</w:t>
      </w:r>
    </w:p>
  </w:footnote>
  <w:footnote w:id="238">
    <w:p w:rsidR="0016684F" w:rsidRPr="000312A2" w:rsidRDefault="0016684F" w:rsidP="009872D1">
      <w:pPr>
        <w:pStyle w:val="FootnoteText"/>
        <w:spacing w:after="120"/>
        <w:rPr>
          <w:rFonts w:ascii="Times New Roman" w:hAnsi="Times New Roman" w:cs="Times New Roman"/>
        </w:rPr>
      </w:pPr>
      <w:r w:rsidRPr="001932AC">
        <w:rPr>
          <w:rStyle w:val="FootnoteReference"/>
          <w:rFonts w:ascii="Times New Roman" w:hAnsi="Times New Roman" w:cs="Times New Roman"/>
        </w:rPr>
        <w:footnoteRef/>
      </w:r>
      <w:r w:rsidRPr="001932AC">
        <w:rPr>
          <w:rFonts w:ascii="Times New Roman" w:hAnsi="Times New Roman" w:cs="Times New Roman"/>
        </w:rPr>
        <w:t xml:space="preserve"> </w:t>
      </w:r>
      <w:r>
        <w:rPr>
          <w:rFonts w:ascii="Times New Roman" w:hAnsi="Times New Roman" w:cs="Times New Roman"/>
        </w:rPr>
        <w:t>Id.</w:t>
      </w:r>
    </w:p>
  </w:footnote>
  <w:footnote w:id="239">
    <w:p w:rsidR="0016684F" w:rsidRDefault="0016684F" w:rsidP="009872D1">
      <w:pPr>
        <w:autoSpaceDE w:val="0"/>
        <w:autoSpaceDN w:val="0"/>
        <w:adjustRightInd w:val="0"/>
        <w:spacing w:line="240" w:lineRule="auto"/>
        <w:rPr>
          <w:rFonts w:ascii="Times New Roman" w:hAnsi="Times New Roman" w:cs="Times New Roman"/>
          <w:sz w:val="20"/>
          <w:szCs w:val="20"/>
        </w:rPr>
      </w:pPr>
      <w:r w:rsidRPr="000312A2">
        <w:rPr>
          <w:rStyle w:val="FootnoteReference"/>
          <w:rFonts w:ascii="Times New Roman" w:hAnsi="Times New Roman" w:cs="Times New Roman"/>
        </w:rPr>
        <w:footnoteRef/>
      </w:r>
      <w:r w:rsidRPr="000312A2">
        <w:rPr>
          <w:rFonts w:ascii="Times New Roman" w:hAnsi="Times New Roman" w:cs="Times New Roman"/>
        </w:rPr>
        <w:t xml:space="preserve"> </w:t>
      </w:r>
      <w:r w:rsidRPr="000312A2">
        <w:rPr>
          <w:rFonts w:ascii="Times New Roman" w:hAnsi="Times New Roman" w:cs="Times New Roman"/>
          <w:sz w:val="20"/>
          <w:szCs w:val="20"/>
        </w:rPr>
        <w:t>See</w:t>
      </w:r>
      <w:r>
        <w:rPr>
          <w:rFonts w:ascii="Times New Roman" w:hAnsi="Times New Roman" w:cs="Times New Roman"/>
          <w:sz w:val="20"/>
          <w:szCs w:val="20"/>
        </w:rPr>
        <w:t xml:space="preserve">, e.g., </w:t>
      </w:r>
      <w:r>
        <w:rPr>
          <w:rFonts w:ascii="Times New Roman" w:hAnsi="Times New Roman" w:cs="Times New Roman"/>
          <w:i/>
          <w:iCs/>
          <w:sz w:val="20"/>
          <w:szCs w:val="20"/>
        </w:rPr>
        <w:t>In the Matter of the Application of Dayton Power &amp; Light Co.</w:t>
      </w:r>
      <w:r>
        <w:rPr>
          <w:rFonts w:ascii="Times New Roman" w:hAnsi="Times New Roman" w:cs="Times New Roman"/>
          <w:sz w:val="20"/>
          <w:szCs w:val="20"/>
        </w:rPr>
        <w:t>, Case No. 83-193-EL-CMR,</w:t>
      </w:r>
    </w:p>
    <w:p w:rsidR="0016684F" w:rsidRDefault="0016684F" w:rsidP="009872D1">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Opinion and Order at 13 (Nov.6, 1984); </w:t>
      </w:r>
      <w:r>
        <w:rPr>
          <w:rFonts w:ascii="Times New Roman" w:hAnsi="Times New Roman" w:cs="Times New Roman"/>
          <w:i/>
          <w:iCs/>
          <w:sz w:val="20"/>
          <w:szCs w:val="20"/>
        </w:rPr>
        <w:t>In re: Dayton Power &amp; Light</w:t>
      </w:r>
      <w:r>
        <w:rPr>
          <w:rFonts w:ascii="Times New Roman" w:hAnsi="Times New Roman" w:cs="Times New Roman"/>
          <w:sz w:val="20"/>
          <w:szCs w:val="20"/>
        </w:rPr>
        <w:t>, Case No. 83-777-GA-AIR, Opinion</w:t>
      </w:r>
    </w:p>
    <w:p w:rsidR="0016684F" w:rsidRDefault="0016684F" w:rsidP="009872D1">
      <w:pPr>
        <w:pStyle w:val="FootnoteText"/>
      </w:pPr>
      <w:proofErr w:type="gramStart"/>
      <w:r>
        <w:rPr>
          <w:rFonts w:ascii="Times New Roman" w:hAnsi="Times New Roman" w:cs="Times New Roman"/>
        </w:rPr>
        <w:t>and</w:t>
      </w:r>
      <w:proofErr w:type="gramEnd"/>
      <w:r>
        <w:rPr>
          <w:rFonts w:ascii="Times New Roman" w:hAnsi="Times New Roman" w:cs="Times New Roman"/>
        </w:rPr>
        <w:t xml:space="preserve"> Order at 47-49 (Aug. 7, 1984).</w:t>
      </w:r>
    </w:p>
  </w:footnote>
  <w:footnote w:id="240">
    <w:p w:rsidR="0016684F" w:rsidRDefault="0016684F" w:rsidP="009872D1">
      <w:pPr>
        <w:pStyle w:val="FootnoteText"/>
        <w:spacing w:after="120"/>
      </w:pPr>
      <w:r w:rsidRPr="00E36CDA">
        <w:rPr>
          <w:rStyle w:val="FootnoteReference"/>
          <w:rFonts w:ascii="Times New Roman" w:hAnsi="Times New Roman" w:cs="Times New Roman"/>
        </w:rPr>
        <w:footnoteRef/>
      </w:r>
      <w:r w:rsidRPr="00E36CDA">
        <w:rPr>
          <w:rFonts w:ascii="Times New Roman" w:hAnsi="Times New Roman" w:cs="Times New Roman"/>
        </w:rPr>
        <w:t xml:space="preserve"> Direct Testimony of OCC witness Dr. J. Randall </w:t>
      </w:r>
      <w:proofErr w:type="spellStart"/>
      <w:r w:rsidRPr="00E36CDA">
        <w:rPr>
          <w:rFonts w:ascii="Times New Roman" w:hAnsi="Times New Roman" w:cs="Times New Roman"/>
        </w:rPr>
        <w:t>Woolridge</w:t>
      </w:r>
      <w:proofErr w:type="spellEnd"/>
      <w:r w:rsidRPr="00E36CDA">
        <w:rPr>
          <w:rFonts w:ascii="Times New Roman" w:hAnsi="Times New Roman" w:cs="Times New Roman"/>
        </w:rPr>
        <w:t xml:space="preserve"> at </w:t>
      </w:r>
      <w:r>
        <w:rPr>
          <w:rFonts w:ascii="Times New Roman" w:hAnsi="Times New Roman" w:cs="Times New Roman"/>
        </w:rPr>
        <w:t>67</w:t>
      </w:r>
      <w:r w:rsidRPr="00E36CDA">
        <w:rPr>
          <w:rFonts w:ascii="Times New Roman" w:hAnsi="Times New Roman" w:cs="Times New Roman"/>
        </w:rPr>
        <w:t>.</w:t>
      </w:r>
    </w:p>
  </w:footnote>
  <w:footnote w:id="241">
    <w:p w:rsidR="0016684F" w:rsidRDefault="0016684F" w:rsidP="009872D1">
      <w:pPr>
        <w:pStyle w:val="FootnoteText"/>
        <w:spacing w:after="120"/>
      </w:pPr>
      <w:r w:rsidRPr="00E36CDA">
        <w:rPr>
          <w:rStyle w:val="FootnoteReference"/>
          <w:rFonts w:ascii="Times New Roman" w:hAnsi="Times New Roman" w:cs="Times New Roman"/>
        </w:rPr>
        <w:footnoteRef/>
      </w:r>
      <w:r>
        <w:rPr>
          <w:rFonts w:ascii="Times New Roman" w:hAnsi="Times New Roman" w:cs="Times New Roman"/>
        </w:rPr>
        <w:t xml:space="preserve"> Id.</w:t>
      </w:r>
    </w:p>
  </w:footnote>
  <w:footnote w:id="242">
    <w:p w:rsidR="0016684F" w:rsidRPr="00B3116B" w:rsidRDefault="0016684F" w:rsidP="005460B2">
      <w:pPr>
        <w:pStyle w:val="FootnoteText"/>
        <w:spacing w:after="120"/>
        <w:rPr>
          <w:rFonts w:ascii="Times New Roman" w:hAnsi="Times New Roman"/>
        </w:rPr>
      </w:pPr>
      <w:r w:rsidRPr="005460B2">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Id. </w:t>
      </w:r>
      <w:r w:rsidRPr="00C23155">
        <w:rPr>
          <w:rFonts w:ascii="Times New Roman" w:hAnsi="Times New Roman" w:cs="Times New Roman"/>
        </w:rPr>
        <w:t>a</w:t>
      </w:r>
      <w:r>
        <w:rPr>
          <w:rFonts w:ascii="Times New Roman" w:hAnsi="Times New Roman" w:cs="Times New Roman"/>
        </w:rPr>
        <w:t xml:space="preserve">t </w:t>
      </w:r>
      <w:r w:rsidRPr="00C23155">
        <w:rPr>
          <w:rFonts w:ascii="Times New Roman" w:hAnsi="Times New Roman" w:cs="Times New Roman"/>
        </w:rPr>
        <w:t>68.</w:t>
      </w:r>
      <w:proofErr w:type="gramEnd"/>
    </w:p>
  </w:footnote>
  <w:footnote w:id="243">
    <w:p w:rsidR="0016684F" w:rsidRPr="00C23155" w:rsidRDefault="0016684F" w:rsidP="00C23155">
      <w:pPr>
        <w:pStyle w:val="FootnoteText"/>
        <w:spacing w:after="120"/>
        <w:rPr>
          <w:rFonts w:ascii="Times New Roman" w:hAnsi="Times New Roman" w:cs="Times New Roman"/>
        </w:rPr>
      </w:pPr>
      <w:r w:rsidRPr="00C23155">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Id. a</w:t>
      </w:r>
      <w:r w:rsidRPr="005460B2">
        <w:rPr>
          <w:rFonts w:ascii="Times New Roman" w:hAnsi="Times New Roman" w:cs="Times New Roman"/>
        </w:rPr>
        <w:t>t 15.</w:t>
      </w:r>
      <w:proofErr w:type="gramEnd"/>
    </w:p>
  </w:footnote>
  <w:footnote w:id="244">
    <w:p w:rsidR="0016684F" w:rsidRPr="00C23155" w:rsidRDefault="0016684F" w:rsidP="00C23155">
      <w:pPr>
        <w:pStyle w:val="FootnoteText"/>
        <w:spacing w:after="120"/>
        <w:rPr>
          <w:rFonts w:ascii="Times New Roman" w:hAnsi="Times New Roman" w:cs="Times New Roman"/>
        </w:rPr>
      </w:pPr>
      <w:r w:rsidRPr="00C23155">
        <w:rPr>
          <w:rStyle w:val="FootnoteReference"/>
          <w:rFonts w:ascii="Times New Roman" w:hAnsi="Times New Roman" w:cs="Times New Roman"/>
        </w:rPr>
        <w:footnoteRef/>
      </w:r>
      <w:r w:rsidRPr="00C23155">
        <w:rPr>
          <w:rFonts w:ascii="Times New Roman" w:hAnsi="Times New Roman" w:cs="Times New Roman"/>
        </w:rPr>
        <w:t xml:space="preserve"> </w:t>
      </w:r>
      <w:r>
        <w:rPr>
          <w:rFonts w:ascii="Times New Roman" w:hAnsi="Times New Roman" w:cs="Times New Roman"/>
        </w:rPr>
        <w:t>Id.</w:t>
      </w:r>
    </w:p>
  </w:footnote>
  <w:footnote w:id="245">
    <w:p w:rsidR="0016684F" w:rsidRPr="00C23155" w:rsidRDefault="0016684F" w:rsidP="00C23155">
      <w:pPr>
        <w:pStyle w:val="FootnoteText"/>
        <w:spacing w:after="120"/>
        <w:rPr>
          <w:rFonts w:ascii="Times New Roman" w:hAnsi="Times New Roman" w:cs="Times New Roman"/>
        </w:rPr>
      </w:pPr>
      <w:r w:rsidRPr="00C23155">
        <w:rPr>
          <w:rStyle w:val="FootnoteReference"/>
          <w:rFonts w:ascii="Times New Roman" w:hAnsi="Times New Roman" w:cs="Times New Roman"/>
        </w:rPr>
        <w:footnoteRef/>
      </w:r>
      <w:r>
        <w:rPr>
          <w:rFonts w:ascii="Times New Roman" w:hAnsi="Times New Roman" w:cs="Times New Roman"/>
        </w:rPr>
        <w:t xml:space="preserve"> Id.</w:t>
      </w:r>
    </w:p>
  </w:footnote>
  <w:footnote w:id="246">
    <w:p w:rsidR="0016684F" w:rsidRPr="00010C40" w:rsidRDefault="0016684F" w:rsidP="00B3116B">
      <w:pPr>
        <w:pStyle w:val="FootnoteText"/>
        <w:spacing w:after="120"/>
        <w:rPr>
          <w:rFonts w:ascii="Times New Roman" w:hAnsi="Times New Roman" w:cs="Times New Roman"/>
        </w:rPr>
      </w:pPr>
      <w:r w:rsidRPr="005460B2">
        <w:rPr>
          <w:rStyle w:val="FootnoteReference"/>
          <w:rFonts w:ascii="Times New Roman" w:hAnsi="Times New Roman" w:cs="Times New Roman"/>
        </w:rPr>
        <w:footnoteRef/>
      </w:r>
      <w:r w:rsidRPr="005460B2">
        <w:rPr>
          <w:rFonts w:ascii="Times New Roman" w:hAnsi="Times New Roman" w:cs="Times New Roman"/>
        </w:rPr>
        <w:t xml:space="preserve"> </w:t>
      </w:r>
      <w:r>
        <w:rPr>
          <w:rFonts w:ascii="Times New Roman" w:hAnsi="Times New Roman" w:cs="Times New Roman"/>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F" w:rsidRDefault="00922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4F" w:rsidRDefault="0016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E24FA"/>
    <w:lvl w:ilvl="0">
      <w:start w:val="1"/>
      <w:numFmt w:val="decimal"/>
      <w:lvlText w:val="%1."/>
      <w:lvlJc w:val="left"/>
      <w:pPr>
        <w:tabs>
          <w:tab w:val="num" w:pos="1800"/>
        </w:tabs>
        <w:ind w:left="1800" w:hanging="360"/>
      </w:pPr>
    </w:lvl>
  </w:abstractNum>
  <w:abstractNum w:abstractNumId="1">
    <w:nsid w:val="FFFFFF80"/>
    <w:multiLevelType w:val="singleLevel"/>
    <w:tmpl w:val="F076742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D1A8B0C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86A4D60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396DD62"/>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D20A80E2"/>
    <w:lvl w:ilvl="0">
      <w:start w:val="1"/>
      <w:numFmt w:val="bullet"/>
      <w:lvlText w:val=""/>
      <w:lvlJc w:val="left"/>
      <w:pPr>
        <w:tabs>
          <w:tab w:val="num" w:pos="360"/>
        </w:tabs>
        <w:ind w:left="360" w:hanging="360"/>
      </w:pPr>
      <w:rPr>
        <w:rFonts w:ascii="Symbol" w:hAnsi="Symbol" w:hint="default"/>
      </w:rPr>
    </w:lvl>
  </w:abstractNum>
  <w:abstractNum w:abstractNumId="6">
    <w:nsid w:val="02035241"/>
    <w:multiLevelType w:val="hybridMultilevel"/>
    <w:tmpl w:val="1662F242"/>
    <w:lvl w:ilvl="0" w:tplc="29AAA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23AA7"/>
    <w:multiLevelType w:val="hybridMultilevel"/>
    <w:tmpl w:val="8A2EB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AF3A7E"/>
    <w:multiLevelType w:val="hybridMultilevel"/>
    <w:tmpl w:val="2604D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3DB301C"/>
    <w:multiLevelType w:val="hybridMultilevel"/>
    <w:tmpl w:val="6A06C072"/>
    <w:lvl w:ilvl="0" w:tplc="8AA4608C">
      <w:start w:val="4"/>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2F22C9"/>
    <w:multiLevelType w:val="hybridMultilevel"/>
    <w:tmpl w:val="1E7A9CE2"/>
    <w:lvl w:ilvl="0" w:tplc="C3CC1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053AC1"/>
    <w:multiLevelType w:val="hybridMultilevel"/>
    <w:tmpl w:val="2AB6E032"/>
    <w:lvl w:ilvl="0" w:tplc="8B42E4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FC43C7"/>
    <w:multiLevelType w:val="hybridMultilevel"/>
    <w:tmpl w:val="1674B7D6"/>
    <w:lvl w:ilvl="0" w:tplc="4300E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6011BB"/>
    <w:multiLevelType w:val="hybridMultilevel"/>
    <w:tmpl w:val="4DD6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FC7D1E"/>
    <w:multiLevelType w:val="hybridMultilevel"/>
    <w:tmpl w:val="5386B052"/>
    <w:lvl w:ilvl="0" w:tplc="BE3CA9B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BF61C62">
      <w:start w:val="1"/>
      <w:numFmt w:val="low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5613CF"/>
    <w:multiLevelType w:val="hybridMultilevel"/>
    <w:tmpl w:val="4A702212"/>
    <w:lvl w:ilvl="0" w:tplc="8738FDE8">
      <w:start w:val="1"/>
      <w:numFmt w:val="upperRoman"/>
      <w:pStyle w:val="Heading1"/>
      <w:lvlText w:val="%1."/>
      <w:lvlJc w:val="left"/>
      <w:pPr>
        <w:ind w:left="1080" w:hanging="72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4EB6"/>
    <w:multiLevelType w:val="hybridMultilevel"/>
    <w:tmpl w:val="7444B930"/>
    <w:lvl w:ilvl="0" w:tplc="D582966E">
      <w:start w:val="10"/>
      <w:numFmt w:val="upperLetter"/>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420D52"/>
    <w:multiLevelType w:val="hybridMultilevel"/>
    <w:tmpl w:val="4D6A6CA6"/>
    <w:lvl w:ilvl="0" w:tplc="5158F584">
      <w:start w:val="1"/>
      <w:numFmt w:val="decimal"/>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6E213D9"/>
    <w:multiLevelType w:val="hybridMultilevel"/>
    <w:tmpl w:val="582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C2439"/>
    <w:multiLevelType w:val="hybridMultilevel"/>
    <w:tmpl w:val="99A8401C"/>
    <w:lvl w:ilvl="0" w:tplc="8C481046">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17A2B"/>
    <w:multiLevelType w:val="hybridMultilevel"/>
    <w:tmpl w:val="17626F46"/>
    <w:lvl w:ilvl="0" w:tplc="7E1A433E">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CD1552"/>
    <w:multiLevelType w:val="hybridMultilevel"/>
    <w:tmpl w:val="7EC81EB0"/>
    <w:lvl w:ilvl="0" w:tplc="A10A9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F42C2"/>
    <w:multiLevelType w:val="hybridMultilevel"/>
    <w:tmpl w:val="2AB6E032"/>
    <w:lvl w:ilvl="0" w:tplc="8B42E4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29006B"/>
    <w:multiLevelType w:val="hybridMultilevel"/>
    <w:tmpl w:val="64663740"/>
    <w:lvl w:ilvl="0" w:tplc="004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CD0C1A"/>
    <w:multiLevelType w:val="hybridMultilevel"/>
    <w:tmpl w:val="2DF8047C"/>
    <w:lvl w:ilvl="0" w:tplc="F6A6E7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BED69F0"/>
    <w:multiLevelType w:val="hybridMultilevel"/>
    <w:tmpl w:val="D9A657F8"/>
    <w:lvl w:ilvl="0" w:tplc="7362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534F19"/>
    <w:multiLevelType w:val="hybridMultilevel"/>
    <w:tmpl w:val="F5566F86"/>
    <w:lvl w:ilvl="0" w:tplc="45DA0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EB069A"/>
    <w:multiLevelType w:val="hybridMultilevel"/>
    <w:tmpl w:val="B748E5F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nsid w:val="6AF86F3B"/>
    <w:multiLevelType w:val="hybridMultilevel"/>
    <w:tmpl w:val="18306EB4"/>
    <w:lvl w:ilvl="0" w:tplc="A0D44CF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36A3F"/>
    <w:multiLevelType w:val="hybridMultilevel"/>
    <w:tmpl w:val="F4B67E70"/>
    <w:lvl w:ilvl="0" w:tplc="BE3CA9B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F8C82BE">
      <w:start w:val="1"/>
      <w:numFmt w:val="lowerLetter"/>
      <w:lvlText w:val="%4."/>
      <w:lvlJc w:val="left"/>
      <w:pPr>
        <w:ind w:left="3600" w:hanging="360"/>
      </w:pPr>
      <w:rPr>
        <w:rFonts w:asciiTheme="minorHAnsi" w:eastAsiaTheme="minorHAnsi" w:hAnsiTheme="minorHAnsi" w:cstheme="minorBidi"/>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092D9E"/>
    <w:multiLevelType w:val="hybridMultilevel"/>
    <w:tmpl w:val="95CE8E4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B665B"/>
    <w:multiLevelType w:val="hybridMultilevel"/>
    <w:tmpl w:val="F14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F7602"/>
    <w:multiLevelType w:val="hybridMultilevel"/>
    <w:tmpl w:val="3E2A4AF8"/>
    <w:lvl w:ilvl="0" w:tplc="01FC73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CB03582"/>
    <w:multiLevelType w:val="hybridMultilevel"/>
    <w:tmpl w:val="1662F242"/>
    <w:lvl w:ilvl="0" w:tplc="29AAA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6139DB"/>
    <w:multiLevelType w:val="hybridMultilevel"/>
    <w:tmpl w:val="D422BA20"/>
    <w:lvl w:ilvl="0" w:tplc="6924FE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F94C23"/>
    <w:multiLevelType w:val="hybridMultilevel"/>
    <w:tmpl w:val="5C082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9"/>
  </w:num>
  <w:num w:numId="3">
    <w:abstractNumId w:val="14"/>
  </w:num>
  <w:num w:numId="4">
    <w:abstractNumId w:val="30"/>
  </w:num>
  <w:num w:numId="5">
    <w:abstractNumId w:val="17"/>
  </w:num>
  <w:num w:numId="6">
    <w:abstractNumId w:val="26"/>
  </w:num>
  <w:num w:numId="7">
    <w:abstractNumId w:val="10"/>
  </w:num>
  <w:num w:numId="8">
    <w:abstractNumId w:val="18"/>
  </w:num>
  <w:num w:numId="9">
    <w:abstractNumId w:val="13"/>
  </w:num>
  <w:num w:numId="10">
    <w:abstractNumId w:val="33"/>
  </w:num>
  <w:num w:numId="11">
    <w:abstractNumId w:val="6"/>
  </w:num>
  <w:num w:numId="12">
    <w:abstractNumId w:val="20"/>
  </w:num>
  <w:num w:numId="13">
    <w:abstractNumId w:val="22"/>
  </w:num>
  <w:num w:numId="14">
    <w:abstractNumId w:val="9"/>
  </w:num>
  <w:num w:numId="15">
    <w:abstractNumId w:val="21"/>
  </w:num>
  <w:num w:numId="16">
    <w:abstractNumId w:val="0"/>
  </w:num>
  <w:num w:numId="17">
    <w:abstractNumId w:val="19"/>
  </w:num>
  <w:num w:numId="18">
    <w:abstractNumId w:val="31"/>
  </w:num>
  <w:num w:numId="19">
    <w:abstractNumId w:val="27"/>
  </w:num>
  <w:num w:numId="20">
    <w:abstractNumId w:val="7"/>
  </w:num>
  <w:num w:numId="21">
    <w:abstractNumId w:val="15"/>
  </w:num>
  <w:num w:numId="22">
    <w:abstractNumId w:val="28"/>
  </w:num>
  <w:num w:numId="23">
    <w:abstractNumId w:val="5"/>
  </w:num>
  <w:num w:numId="24">
    <w:abstractNumId w:val="34"/>
  </w:num>
  <w:num w:numId="25">
    <w:abstractNumId w:val="12"/>
  </w:num>
  <w:num w:numId="26">
    <w:abstractNumId w:val="23"/>
  </w:num>
  <w:num w:numId="27">
    <w:abstractNumId w:val="12"/>
    <w:lvlOverride w:ilvl="0">
      <w:startOverride w:val="1"/>
    </w:lvlOverride>
  </w:num>
  <w:num w:numId="28">
    <w:abstractNumId w:val="24"/>
  </w:num>
  <w:num w:numId="29">
    <w:abstractNumId w:val="8"/>
  </w:num>
  <w:num w:numId="30">
    <w:abstractNumId w:val="25"/>
  </w:num>
  <w:num w:numId="31">
    <w:abstractNumId w:val="32"/>
  </w:num>
  <w:num w:numId="32">
    <w:abstractNumId w:val="35"/>
  </w:num>
  <w:num w:numId="33">
    <w:abstractNumId w:val="16"/>
  </w:num>
  <w:num w:numId="34">
    <w:abstractNumId w:val="4"/>
  </w:num>
  <w:num w:numId="35">
    <w:abstractNumId w:val="3"/>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5B"/>
    <w:rsid w:val="00010DCB"/>
    <w:rsid w:val="00016E0D"/>
    <w:rsid w:val="000176B6"/>
    <w:rsid w:val="00024562"/>
    <w:rsid w:val="00034F4F"/>
    <w:rsid w:val="00035CF2"/>
    <w:rsid w:val="00037721"/>
    <w:rsid w:val="00041C55"/>
    <w:rsid w:val="00043FCB"/>
    <w:rsid w:val="00047434"/>
    <w:rsid w:val="00047DEF"/>
    <w:rsid w:val="00050EB4"/>
    <w:rsid w:val="000519B9"/>
    <w:rsid w:val="00056036"/>
    <w:rsid w:val="0006671B"/>
    <w:rsid w:val="00066FF8"/>
    <w:rsid w:val="00070B45"/>
    <w:rsid w:val="0007184D"/>
    <w:rsid w:val="0008318D"/>
    <w:rsid w:val="00085274"/>
    <w:rsid w:val="00091A23"/>
    <w:rsid w:val="00092A41"/>
    <w:rsid w:val="00095B9B"/>
    <w:rsid w:val="000A4B6C"/>
    <w:rsid w:val="000A5925"/>
    <w:rsid w:val="000B1234"/>
    <w:rsid w:val="000B1C99"/>
    <w:rsid w:val="000B4CAA"/>
    <w:rsid w:val="000B4D0C"/>
    <w:rsid w:val="000B4D65"/>
    <w:rsid w:val="000B6F9B"/>
    <w:rsid w:val="000B7B06"/>
    <w:rsid w:val="000D2A77"/>
    <w:rsid w:val="00107A28"/>
    <w:rsid w:val="00110718"/>
    <w:rsid w:val="001124FC"/>
    <w:rsid w:val="00113577"/>
    <w:rsid w:val="00113C18"/>
    <w:rsid w:val="00113E13"/>
    <w:rsid w:val="00120896"/>
    <w:rsid w:val="001243A0"/>
    <w:rsid w:val="00132564"/>
    <w:rsid w:val="001332D2"/>
    <w:rsid w:val="00133DF9"/>
    <w:rsid w:val="00152830"/>
    <w:rsid w:val="0015793C"/>
    <w:rsid w:val="001608F4"/>
    <w:rsid w:val="0016684F"/>
    <w:rsid w:val="00167774"/>
    <w:rsid w:val="001754BD"/>
    <w:rsid w:val="001845A0"/>
    <w:rsid w:val="0018487D"/>
    <w:rsid w:val="0019239C"/>
    <w:rsid w:val="00193CEF"/>
    <w:rsid w:val="001B293D"/>
    <w:rsid w:val="001C1FE1"/>
    <w:rsid w:val="001D232D"/>
    <w:rsid w:val="001E3D30"/>
    <w:rsid w:val="001E7113"/>
    <w:rsid w:val="001F0886"/>
    <w:rsid w:val="00203DD3"/>
    <w:rsid w:val="002162D0"/>
    <w:rsid w:val="00216AED"/>
    <w:rsid w:val="002240A1"/>
    <w:rsid w:val="00227511"/>
    <w:rsid w:val="002313EA"/>
    <w:rsid w:val="00234F3B"/>
    <w:rsid w:val="00240972"/>
    <w:rsid w:val="00283350"/>
    <w:rsid w:val="00287B31"/>
    <w:rsid w:val="0029400F"/>
    <w:rsid w:val="00295050"/>
    <w:rsid w:val="002A64E3"/>
    <w:rsid w:val="002B3970"/>
    <w:rsid w:val="002C20A1"/>
    <w:rsid w:val="002C28D1"/>
    <w:rsid w:val="002C4B60"/>
    <w:rsid w:val="002C6F14"/>
    <w:rsid w:val="002E5564"/>
    <w:rsid w:val="002E62BB"/>
    <w:rsid w:val="002E6946"/>
    <w:rsid w:val="002F32AF"/>
    <w:rsid w:val="002F50B3"/>
    <w:rsid w:val="002F530A"/>
    <w:rsid w:val="002F67F9"/>
    <w:rsid w:val="00301E05"/>
    <w:rsid w:val="00303AB0"/>
    <w:rsid w:val="00306820"/>
    <w:rsid w:val="0030712C"/>
    <w:rsid w:val="003153DD"/>
    <w:rsid w:val="00322FEC"/>
    <w:rsid w:val="003261AC"/>
    <w:rsid w:val="00333F1E"/>
    <w:rsid w:val="00335948"/>
    <w:rsid w:val="0033627C"/>
    <w:rsid w:val="003550B2"/>
    <w:rsid w:val="00357C02"/>
    <w:rsid w:val="00383769"/>
    <w:rsid w:val="003A5C82"/>
    <w:rsid w:val="003C2848"/>
    <w:rsid w:val="003C3F9F"/>
    <w:rsid w:val="003C489B"/>
    <w:rsid w:val="003C4E34"/>
    <w:rsid w:val="003F0ADB"/>
    <w:rsid w:val="003F1967"/>
    <w:rsid w:val="004025A4"/>
    <w:rsid w:val="004052AC"/>
    <w:rsid w:val="00413BEF"/>
    <w:rsid w:val="004158E1"/>
    <w:rsid w:val="00420104"/>
    <w:rsid w:val="00431E1D"/>
    <w:rsid w:val="00440346"/>
    <w:rsid w:val="00450885"/>
    <w:rsid w:val="00464E03"/>
    <w:rsid w:val="00467375"/>
    <w:rsid w:val="0047571D"/>
    <w:rsid w:val="00475829"/>
    <w:rsid w:val="00476D28"/>
    <w:rsid w:val="00484E7F"/>
    <w:rsid w:val="00491F1C"/>
    <w:rsid w:val="004B2176"/>
    <w:rsid w:val="004B416C"/>
    <w:rsid w:val="004B44E6"/>
    <w:rsid w:val="004B5B8F"/>
    <w:rsid w:val="004B729B"/>
    <w:rsid w:val="004C6149"/>
    <w:rsid w:val="004C6CB0"/>
    <w:rsid w:val="004E062C"/>
    <w:rsid w:val="004E3B4B"/>
    <w:rsid w:val="004E7959"/>
    <w:rsid w:val="00500377"/>
    <w:rsid w:val="00500F0E"/>
    <w:rsid w:val="0050193E"/>
    <w:rsid w:val="005032AA"/>
    <w:rsid w:val="005035CA"/>
    <w:rsid w:val="00515900"/>
    <w:rsid w:val="00523FDC"/>
    <w:rsid w:val="00530C78"/>
    <w:rsid w:val="00540C51"/>
    <w:rsid w:val="00542633"/>
    <w:rsid w:val="005460B2"/>
    <w:rsid w:val="005611DC"/>
    <w:rsid w:val="00565EA2"/>
    <w:rsid w:val="00573E06"/>
    <w:rsid w:val="0058204D"/>
    <w:rsid w:val="005823AD"/>
    <w:rsid w:val="005A1C96"/>
    <w:rsid w:val="005A4111"/>
    <w:rsid w:val="005A55D8"/>
    <w:rsid w:val="005B3AA7"/>
    <w:rsid w:val="005C001B"/>
    <w:rsid w:val="005C3CC6"/>
    <w:rsid w:val="005C5FA2"/>
    <w:rsid w:val="005C7CC6"/>
    <w:rsid w:val="005D2FBA"/>
    <w:rsid w:val="005D34E5"/>
    <w:rsid w:val="005D3B09"/>
    <w:rsid w:val="005E3003"/>
    <w:rsid w:val="005F7F0D"/>
    <w:rsid w:val="0061003F"/>
    <w:rsid w:val="00613B57"/>
    <w:rsid w:val="006257C4"/>
    <w:rsid w:val="00627E12"/>
    <w:rsid w:val="0063450E"/>
    <w:rsid w:val="0064367D"/>
    <w:rsid w:val="00656B90"/>
    <w:rsid w:val="00657D32"/>
    <w:rsid w:val="0066782D"/>
    <w:rsid w:val="00676837"/>
    <w:rsid w:val="00696C2D"/>
    <w:rsid w:val="006A5804"/>
    <w:rsid w:val="006A7B6C"/>
    <w:rsid w:val="006B2E3B"/>
    <w:rsid w:val="006C3D28"/>
    <w:rsid w:val="006F46D2"/>
    <w:rsid w:val="006F7C6A"/>
    <w:rsid w:val="0070663A"/>
    <w:rsid w:val="00707A81"/>
    <w:rsid w:val="00713329"/>
    <w:rsid w:val="007231C8"/>
    <w:rsid w:val="00731C91"/>
    <w:rsid w:val="0074385C"/>
    <w:rsid w:val="00744E26"/>
    <w:rsid w:val="00750C68"/>
    <w:rsid w:val="00754B9A"/>
    <w:rsid w:val="00755121"/>
    <w:rsid w:val="007705A5"/>
    <w:rsid w:val="00770BDF"/>
    <w:rsid w:val="00771B11"/>
    <w:rsid w:val="00780852"/>
    <w:rsid w:val="00784D04"/>
    <w:rsid w:val="007875D6"/>
    <w:rsid w:val="00794F85"/>
    <w:rsid w:val="007A5863"/>
    <w:rsid w:val="007B4368"/>
    <w:rsid w:val="007C1220"/>
    <w:rsid w:val="007C21DF"/>
    <w:rsid w:val="007C5854"/>
    <w:rsid w:val="007C6E59"/>
    <w:rsid w:val="007C7D6C"/>
    <w:rsid w:val="007D0C6F"/>
    <w:rsid w:val="007D6E27"/>
    <w:rsid w:val="007E11CB"/>
    <w:rsid w:val="007E57D0"/>
    <w:rsid w:val="007F0E24"/>
    <w:rsid w:val="007F1F9D"/>
    <w:rsid w:val="00822CB8"/>
    <w:rsid w:val="0083026B"/>
    <w:rsid w:val="008328F2"/>
    <w:rsid w:val="00833D6F"/>
    <w:rsid w:val="00835369"/>
    <w:rsid w:val="00837BFC"/>
    <w:rsid w:val="00840741"/>
    <w:rsid w:val="0085528F"/>
    <w:rsid w:val="00866816"/>
    <w:rsid w:val="00877304"/>
    <w:rsid w:val="008811FE"/>
    <w:rsid w:val="0088264C"/>
    <w:rsid w:val="00885374"/>
    <w:rsid w:val="008A2A70"/>
    <w:rsid w:val="008A390C"/>
    <w:rsid w:val="008A5654"/>
    <w:rsid w:val="008B498E"/>
    <w:rsid w:val="008C09CB"/>
    <w:rsid w:val="008C4142"/>
    <w:rsid w:val="008D0C67"/>
    <w:rsid w:val="008D547A"/>
    <w:rsid w:val="008E5C25"/>
    <w:rsid w:val="00903C73"/>
    <w:rsid w:val="00914DC9"/>
    <w:rsid w:val="0091510D"/>
    <w:rsid w:val="0092204F"/>
    <w:rsid w:val="009223BB"/>
    <w:rsid w:val="0092355A"/>
    <w:rsid w:val="00937735"/>
    <w:rsid w:val="00937E74"/>
    <w:rsid w:val="00947A3D"/>
    <w:rsid w:val="00956AB9"/>
    <w:rsid w:val="00962879"/>
    <w:rsid w:val="00966812"/>
    <w:rsid w:val="00970BF9"/>
    <w:rsid w:val="009813BD"/>
    <w:rsid w:val="009872D1"/>
    <w:rsid w:val="00990134"/>
    <w:rsid w:val="00992029"/>
    <w:rsid w:val="009933E4"/>
    <w:rsid w:val="009A41E1"/>
    <w:rsid w:val="009A6675"/>
    <w:rsid w:val="009B09A5"/>
    <w:rsid w:val="009C1018"/>
    <w:rsid w:val="009D0F4D"/>
    <w:rsid w:val="009D4132"/>
    <w:rsid w:val="00A0501F"/>
    <w:rsid w:val="00A06516"/>
    <w:rsid w:val="00A22C90"/>
    <w:rsid w:val="00A35126"/>
    <w:rsid w:val="00A53C94"/>
    <w:rsid w:val="00A6180F"/>
    <w:rsid w:val="00A64013"/>
    <w:rsid w:val="00A7267F"/>
    <w:rsid w:val="00A84B44"/>
    <w:rsid w:val="00A9133F"/>
    <w:rsid w:val="00A919CA"/>
    <w:rsid w:val="00A92CE5"/>
    <w:rsid w:val="00A92DA2"/>
    <w:rsid w:val="00A955A2"/>
    <w:rsid w:val="00AA0C4C"/>
    <w:rsid w:val="00AA3FEE"/>
    <w:rsid w:val="00AB1675"/>
    <w:rsid w:val="00AB1A99"/>
    <w:rsid w:val="00AB5243"/>
    <w:rsid w:val="00AC0C24"/>
    <w:rsid w:val="00AD1A77"/>
    <w:rsid w:val="00AE16C2"/>
    <w:rsid w:val="00B01429"/>
    <w:rsid w:val="00B0369E"/>
    <w:rsid w:val="00B04198"/>
    <w:rsid w:val="00B057A8"/>
    <w:rsid w:val="00B06092"/>
    <w:rsid w:val="00B07EED"/>
    <w:rsid w:val="00B123A3"/>
    <w:rsid w:val="00B1557C"/>
    <w:rsid w:val="00B3116B"/>
    <w:rsid w:val="00B35A4C"/>
    <w:rsid w:val="00B42279"/>
    <w:rsid w:val="00B46BB2"/>
    <w:rsid w:val="00B5531D"/>
    <w:rsid w:val="00B569AC"/>
    <w:rsid w:val="00B653F6"/>
    <w:rsid w:val="00B77184"/>
    <w:rsid w:val="00B87614"/>
    <w:rsid w:val="00BA0150"/>
    <w:rsid w:val="00BA1078"/>
    <w:rsid w:val="00BA4BBB"/>
    <w:rsid w:val="00BB1337"/>
    <w:rsid w:val="00BB5D3D"/>
    <w:rsid w:val="00BC575D"/>
    <w:rsid w:val="00BF23A6"/>
    <w:rsid w:val="00BF6F62"/>
    <w:rsid w:val="00BF7063"/>
    <w:rsid w:val="00C175E9"/>
    <w:rsid w:val="00C23155"/>
    <w:rsid w:val="00C26AB0"/>
    <w:rsid w:val="00C27A9F"/>
    <w:rsid w:val="00C307A8"/>
    <w:rsid w:val="00C37104"/>
    <w:rsid w:val="00C43F24"/>
    <w:rsid w:val="00C44987"/>
    <w:rsid w:val="00C4596D"/>
    <w:rsid w:val="00C5012A"/>
    <w:rsid w:val="00C56066"/>
    <w:rsid w:val="00C6545B"/>
    <w:rsid w:val="00C74FF2"/>
    <w:rsid w:val="00C807E5"/>
    <w:rsid w:val="00C839E2"/>
    <w:rsid w:val="00C87226"/>
    <w:rsid w:val="00C8761F"/>
    <w:rsid w:val="00C87FB5"/>
    <w:rsid w:val="00C92741"/>
    <w:rsid w:val="00C94A9C"/>
    <w:rsid w:val="00CB5445"/>
    <w:rsid w:val="00CB59FA"/>
    <w:rsid w:val="00CE2887"/>
    <w:rsid w:val="00CF31C0"/>
    <w:rsid w:val="00CF5DAB"/>
    <w:rsid w:val="00CF746E"/>
    <w:rsid w:val="00D01ABC"/>
    <w:rsid w:val="00D03179"/>
    <w:rsid w:val="00D10AB5"/>
    <w:rsid w:val="00D119A1"/>
    <w:rsid w:val="00D229FC"/>
    <w:rsid w:val="00D23328"/>
    <w:rsid w:val="00D2688C"/>
    <w:rsid w:val="00D308F6"/>
    <w:rsid w:val="00D31B12"/>
    <w:rsid w:val="00D371FA"/>
    <w:rsid w:val="00D45FD3"/>
    <w:rsid w:val="00D4650A"/>
    <w:rsid w:val="00D47068"/>
    <w:rsid w:val="00D55C89"/>
    <w:rsid w:val="00D66828"/>
    <w:rsid w:val="00D72EDD"/>
    <w:rsid w:val="00D82E05"/>
    <w:rsid w:val="00D8706A"/>
    <w:rsid w:val="00D93DFD"/>
    <w:rsid w:val="00DA4483"/>
    <w:rsid w:val="00DB4580"/>
    <w:rsid w:val="00DB472C"/>
    <w:rsid w:val="00DB52CF"/>
    <w:rsid w:val="00DC1061"/>
    <w:rsid w:val="00DD23A0"/>
    <w:rsid w:val="00DD5BA4"/>
    <w:rsid w:val="00DD7788"/>
    <w:rsid w:val="00DE24AC"/>
    <w:rsid w:val="00DE3C63"/>
    <w:rsid w:val="00DE57EA"/>
    <w:rsid w:val="00DE600F"/>
    <w:rsid w:val="00DF2E5E"/>
    <w:rsid w:val="00DF3ABF"/>
    <w:rsid w:val="00E00CAA"/>
    <w:rsid w:val="00E15C9C"/>
    <w:rsid w:val="00E24873"/>
    <w:rsid w:val="00E2624D"/>
    <w:rsid w:val="00E353E3"/>
    <w:rsid w:val="00E42D98"/>
    <w:rsid w:val="00E509B4"/>
    <w:rsid w:val="00E65485"/>
    <w:rsid w:val="00E65DD0"/>
    <w:rsid w:val="00E71CDD"/>
    <w:rsid w:val="00E7234B"/>
    <w:rsid w:val="00E730C9"/>
    <w:rsid w:val="00E73768"/>
    <w:rsid w:val="00E750E9"/>
    <w:rsid w:val="00E7601D"/>
    <w:rsid w:val="00E768A0"/>
    <w:rsid w:val="00E814D4"/>
    <w:rsid w:val="00E86090"/>
    <w:rsid w:val="00EA6A68"/>
    <w:rsid w:val="00EA7E55"/>
    <w:rsid w:val="00EB14FA"/>
    <w:rsid w:val="00EB5604"/>
    <w:rsid w:val="00EC5CD3"/>
    <w:rsid w:val="00EC74F6"/>
    <w:rsid w:val="00ED1CEC"/>
    <w:rsid w:val="00ED5E88"/>
    <w:rsid w:val="00ED645E"/>
    <w:rsid w:val="00EE2104"/>
    <w:rsid w:val="00EE2B03"/>
    <w:rsid w:val="00EF6152"/>
    <w:rsid w:val="00F105D3"/>
    <w:rsid w:val="00F12692"/>
    <w:rsid w:val="00F13FC1"/>
    <w:rsid w:val="00F20D1E"/>
    <w:rsid w:val="00F2393A"/>
    <w:rsid w:val="00F27E74"/>
    <w:rsid w:val="00F32614"/>
    <w:rsid w:val="00F67420"/>
    <w:rsid w:val="00F73C36"/>
    <w:rsid w:val="00F75697"/>
    <w:rsid w:val="00FB4463"/>
    <w:rsid w:val="00FE0AC6"/>
    <w:rsid w:val="00FE4FC5"/>
    <w:rsid w:val="00FF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32"/>
  </w:style>
  <w:style w:type="paragraph" w:styleId="Heading1">
    <w:name w:val="heading 1"/>
    <w:basedOn w:val="Normal"/>
    <w:next w:val="Normal"/>
    <w:link w:val="Heading1Char"/>
    <w:autoRedefine/>
    <w:uiPriority w:val="9"/>
    <w:qFormat/>
    <w:rsid w:val="00FB4463"/>
    <w:pPr>
      <w:keepNext/>
      <w:keepLines/>
      <w:numPr>
        <w:numId w:val="21"/>
      </w:numPr>
      <w:spacing w:after="240" w:line="240" w:lineRule="auto"/>
      <w:ind w:left="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B4463"/>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FB4463"/>
    <w:pPr>
      <w:keepNext/>
      <w:keepLines/>
      <w:spacing w:after="240" w:line="240" w:lineRule="auto"/>
      <w:ind w:left="2160" w:right="720" w:hanging="720"/>
      <w:outlineLvl w:val="2"/>
    </w:pPr>
    <w:rPr>
      <w:rFonts w:ascii="Times New Roman Bold" w:eastAsiaTheme="majorEastAsia" w:hAnsi="Times New Roman Bold" w:cs="Times New Roman"/>
      <w:b/>
      <w:bCs/>
      <w:sz w:val="24"/>
      <w:szCs w:val="24"/>
    </w:rPr>
  </w:style>
  <w:style w:type="paragraph" w:styleId="Heading4">
    <w:name w:val="heading 4"/>
    <w:basedOn w:val="Normal"/>
    <w:next w:val="Normal"/>
    <w:link w:val="Heading4Char"/>
    <w:autoRedefine/>
    <w:qFormat/>
    <w:rsid w:val="00FB4463"/>
    <w:pPr>
      <w:keepNext/>
      <w:spacing w:after="240" w:line="240" w:lineRule="auto"/>
      <w:ind w:left="2880" w:hanging="720"/>
      <w:outlineLvl w:val="3"/>
    </w:pPr>
    <w:rPr>
      <w:rFonts w:ascii="Times New Roman Bold" w:eastAsia="Calibri" w:hAnsi="Times New Roman Bold" w:cs="Times New Roman"/>
      <w:b/>
      <w:bCs/>
      <w:sz w:val="24"/>
      <w:szCs w:val="24"/>
    </w:rPr>
  </w:style>
  <w:style w:type="paragraph" w:styleId="Heading5">
    <w:name w:val="heading 5"/>
    <w:basedOn w:val="Normal"/>
    <w:next w:val="Normal"/>
    <w:link w:val="Heading5Char"/>
    <w:autoRedefine/>
    <w:uiPriority w:val="9"/>
    <w:unhideWhenUsed/>
    <w:qFormat/>
    <w:rsid w:val="00FB4463"/>
    <w:pPr>
      <w:keepNext/>
      <w:keepLines/>
      <w:spacing w:after="240" w:line="240" w:lineRule="auto"/>
      <w:ind w:left="3600" w:hanging="72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A8"/>
    <w:pPr>
      <w:ind w:left="720"/>
      <w:contextualSpacing/>
    </w:p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Footnote Text Ch"/>
    <w:basedOn w:val="Normal"/>
    <w:link w:val="FootnoteTextChar"/>
    <w:unhideWhenUsed/>
    <w:rsid w:val="00992029"/>
    <w:pPr>
      <w:spacing w:line="240" w:lineRule="auto"/>
    </w:pPr>
    <w:rPr>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Footnote Text Ch Char"/>
    <w:basedOn w:val="DefaultParagraphFont"/>
    <w:link w:val="FootnoteText"/>
    <w:rsid w:val="00992029"/>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nhideWhenUsed/>
    <w:rsid w:val="00992029"/>
    <w:rPr>
      <w:vertAlign w:val="superscript"/>
    </w:rPr>
  </w:style>
  <w:style w:type="character" w:styleId="Hyperlink">
    <w:name w:val="Hyperlink"/>
    <w:basedOn w:val="DefaultParagraphFont"/>
    <w:uiPriority w:val="99"/>
    <w:rsid w:val="007705A5"/>
    <w:rPr>
      <w:strike w:val="0"/>
      <w:dstrike w:val="0"/>
      <w:color w:val="004B91"/>
      <w:u w:val="none"/>
      <w:effect w:val="none"/>
    </w:rPr>
  </w:style>
  <w:style w:type="paragraph" w:styleId="BalloonText">
    <w:name w:val="Balloon Text"/>
    <w:basedOn w:val="Normal"/>
    <w:link w:val="BalloonTextChar"/>
    <w:uiPriority w:val="99"/>
    <w:semiHidden/>
    <w:unhideWhenUsed/>
    <w:rsid w:val="00A84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44"/>
    <w:rPr>
      <w:rFonts w:ascii="Tahoma" w:hAnsi="Tahoma" w:cs="Tahoma"/>
      <w:sz w:val="16"/>
      <w:szCs w:val="16"/>
    </w:rPr>
  </w:style>
  <w:style w:type="paragraph" w:styleId="Header">
    <w:name w:val="header"/>
    <w:basedOn w:val="Normal"/>
    <w:link w:val="HeaderChar"/>
    <w:uiPriority w:val="99"/>
    <w:unhideWhenUsed/>
    <w:rsid w:val="00A84B44"/>
    <w:pPr>
      <w:tabs>
        <w:tab w:val="center" w:pos="4680"/>
        <w:tab w:val="right" w:pos="9360"/>
      </w:tabs>
      <w:spacing w:line="240" w:lineRule="auto"/>
    </w:pPr>
  </w:style>
  <w:style w:type="character" w:customStyle="1" w:styleId="HeaderChar">
    <w:name w:val="Header Char"/>
    <w:basedOn w:val="DefaultParagraphFont"/>
    <w:link w:val="Header"/>
    <w:uiPriority w:val="99"/>
    <w:rsid w:val="00A84B44"/>
  </w:style>
  <w:style w:type="paragraph" w:styleId="Footer">
    <w:name w:val="footer"/>
    <w:basedOn w:val="Normal"/>
    <w:link w:val="FooterChar"/>
    <w:uiPriority w:val="99"/>
    <w:unhideWhenUsed/>
    <w:rsid w:val="00A84B44"/>
    <w:pPr>
      <w:tabs>
        <w:tab w:val="center" w:pos="4680"/>
        <w:tab w:val="right" w:pos="9360"/>
      </w:tabs>
      <w:spacing w:line="240" w:lineRule="auto"/>
    </w:pPr>
  </w:style>
  <w:style w:type="character" w:customStyle="1" w:styleId="FooterChar">
    <w:name w:val="Footer Char"/>
    <w:basedOn w:val="DefaultParagraphFont"/>
    <w:link w:val="Footer"/>
    <w:uiPriority w:val="99"/>
    <w:rsid w:val="00A84B44"/>
  </w:style>
  <w:style w:type="character" w:customStyle="1" w:styleId="Heading4Char">
    <w:name w:val="Heading 4 Char"/>
    <w:basedOn w:val="DefaultParagraphFont"/>
    <w:link w:val="Heading4"/>
    <w:rsid w:val="00FB4463"/>
    <w:rPr>
      <w:rFonts w:ascii="Times New Roman Bold" w:eastAsia="Calibri" w:hAnsi="Times New Roman Bold" w:cs="Times New Roman"/>
      <w:b/>
      <w:bCs/>
      <w:sz w:val="24"/>
      <w:szCs w:val="24"/>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ocked/>
    <w:rsid w:val="00DE3C63"/>
    <w:rPr>
      <w:lang w:val="en-US" w:eastAsia="en-US" w:bidi="ar-SA"/>
    </w:rPr>
  </w:style>
  <w:style w:type="character" w:customStyle="1" w:styleId="ssrfcpassagedeactivated">
    <w:name w:val="ss_rfcpassage_deactivated"/>
    <w:basedOn w:val="DefaultParagraphFont"/>
    <w:rsid w:val="00750C68"/>
  </w:style>
  <w:style w:type="character" w:customStyle="1" w:styleId="ssit">
    <w:name w:val="ss_it"/>
    <w:basedOn w:val="DefaultParagraphFont"/>
    <w:rsid w:val="00750C68"/>
  </w:style>
  <w:style w:type="character" w:customStyle="1" w:styleId="sh2536451215">
    <w:name w:val="sh_2536451215"/>
    <w:basedOn w:val="DefaultParagraphFont"/>
    <w:rsid w:val="00750C68"/>
  </w:style>
  <w:style w:type="character" w:customStyle="1" w:styleId="ssib">
    <w:name w:val="ss_ib"/>
    <w:basedOn w:val="DefaultParagraphFont"/>
    <w:rsid w:val="00EC74F6"/>
  </w:style>
  <w:style w:type="character" w:customStyle="1" w:styleId="sspagshow">
    <w:name w:val="ss_pag_show"/>
    <w:basedOn w:val="DefaultParagraphFont"/>
    <w:rsid w:val="00EC74F6"/>
  </w:style>
  <w:style w:type="paragraph" w:styleId="BodyText">
    <w:name w:val="Body Text"/>
    <w:basedOn w:val="Normal"/>
    <w:link w:val="BodyTextChar"/>
    <w:rsid w:val="009223BB"/>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9223BB"/>
    <w:rPr>
      <w:rFonts w:ascii="Arial" w:eastAsia="Times New Roman" w:hAnsi="Arial" w:cs="Times New Roman"/>
      <w:spacing w:val="-5"/>
      <w:sz w:val="20"/>
      <w:szCs w:val="20"/>
    </w:rPr>
  </w:style>
  <w:style w:type="character" w:customStyle="1" w:styleId="FootnoteTextChar3">
    <w:name w:val="Footnote Text Char3"/>
    <w:aliases w:val="Footnote Text Char1 Char,Footnote Text Char Char Char,Footnote Text Char1 Char Char1 Char,Footnote Text Char Char Char Char Char,Footnote Text Char2 Char Char Char Char1 Char,Footnote Text Char1 Char Char1 Char Char Char Char,fn Char"/>
    <w:uiPriority w:val="99"/>
    <w:semiHidden/>
    <w:locked/>
    <w:rsid w:val="00113E13"/>
    <w:rPr>
      <w:lang w:val="en-US" w:eastAsia="en-US" w:bidi="ar-SA"/>
    </w:rPr>
  </w:style>
  <w:style w:type="paragraph" w:styleId="NormalWeb">
    <w:name w:val="Normal (Web)"/>
    <w:basedOn w:val="Normal"/>
    <w:uiPriority w:val="99"/>
    <w:semiHidden/>
    <w:unhideWhenUsed/>
    <w:rsid w:val="00484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un">
    <w:name w:val="ss_un"/>
    <w:basedOn w:val="DefaultParagraphFont"/>
    <w:rsid w:val="00484E7F"/>
  </w:style>
  <w:style w:type="paragraph" w:styleId="HTMLPreformatted">
    <w:name w:val="HTML Preformatted"/>
    <w:aliases w:val=" Char,Char"/>
    <w:basedOn w:val="Normal"/>
    <w:link w:val="HTMLPreformattedChar"/>
    <w:rsid w:val="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85528F"/>
    <w:rPr>
      <w:rFonts w:ascii="Courier New" w:eastAsia="Courier New" w:hAnsi="Courier New" w:cs="Courier New"/>
      <w:sz w:val="20"/>
      <w:szCs w:val="20"/>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rsid w:val="0085528F"/>
    <w:rPr>
      <w:lang w:val="en-US" w:eastAsia="en-US" w:bidi="ar-SA"/>
    </w:rPr>
  </w:style>
  <w:style w:type="character" w:styleId="CommentReference">
    <w:name w:val="annotation reference"/>
    <w:uiPriority w:val="99"/>
    <w:rsid w:val="0085528F"/>
    <w:rPr>
      <w:sz w:val="16"/>
      <w:szCs w:val="16"/>
    </w:rPr>
  </w:style>
  <w:style w:type="paragraph" w:styleId="CommentText">
    <w:name w:val="annotation text"/>
    <w:basedOn w:val="Normal"/>
    <w:link w:val="CommentTextChar"/>
    <w:uiPriority w:val="99"/>
    <w:rsid w:val="0085528F"/>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5528F"/>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2E62BB"/>
    <w:pPr>
      <w:tabs>
        <w:tab w:val="left" w:pos="720"/>
        <w:tab w:val="decimal" w:leader="dot" w:pos="8640"/>
      </w:tabs>
      <w:spacing w:after="240" w:line="240" w:lineRule="auto"/>
      <w:ind w:left="720" w:hanging="720"/>
    </w:pPr>
    <w:rPr>
      <w:rFonts w:ascii="Times New Roman" w:eastAsia="Times New Roman" w:hAnsi="Times New Roman" w:cs="Times New Roman"/>
      <w:caps/>
      <w:sz w:val="24"/>
      <w:szCs w:val="24"/>
    </w:rPr>
  </w:style>
  <w:style w:type="character" w:customStyle="1" w:styleId="Heading1Char">
    <w:name w:val="Heading 1 Char"/>
    <w:basedOn w:val="DefaultParagraphFont"/>
    <w:link w:val="Heading1"/>
    <w:uiPriority w:val="9"/>
    <w:rsid w:val="00FB4463"/>
    <w:rPr>
      <w:rFonts w:ascii="Times New Roman Bold" w:eastAsiaTheme="majorEastAsia" w:hAnsi="Times New Roman Bold" w:cstheme="majorBidi"/>
      <w:b/>
      <w:bCs/>
      <w:caps/>
      <w:sz w:val="24"/>
      <w:szCs w:val="28"/>
    </w:rPr>
  </w:style>
  <w:style w:type="paragraph" w:customStyle="1" w:styleId="ANSWER">
    <w:name w:val="ANSWER"/>
    <w:basedOn w:val="Normal"/>
    <w:rsid w:val="00B42279"/>
    <w:pPr>
      <w:ind w:left="1008" w:hanging="720"/>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FB4463"/>
    <w:rPr>
      <w:rFonts w:ascii="Times New Roman Bold" w:eastAsiaTheme="majorEastAsia" w:hAnsi="Times New Roman Bold" w:cs="Times New Roman"/>
      <w:b/>
      <w:bCs/>
      <w:sz w:val="24"/>
      <w:szCs w:val="24"/>
    </w:rPr>
  </w:style>
  <w:style w:type="character" w:customStyle="1" w:styleId="Heading2Char">
    <w:name w:val="Heading 2 Char"/>
    <w:basedOn w:val="DefaultParagraphFont"/>
    <w:link w:val="Heading2"/>
    <w:uiPriority w:val="9"/>
    <w:rsid w:val="00FB4463"/>
    <w:rPr>
      <w:rFonts w:ascii="Times New Roman Bold" w:eastAsiaTheme="majorEastAsia" w:hAnsi="Times New Roman Bold" w:cstheme="majorBidi"/>
      <w:b/>
      <w:bCs/>
      <w:sz w:val="24"/>
      <w:szCs w:val="26"/>
    </w:rPr>
  </w:style>
  <w:style w:type="character" w:customStyle="1" w:styleId="Heading5Char">
    <w:name w:val="Heading 5 Char"/>
    <w:basedOn w:val="DefaultParagraphFont"/>
    <w:link w:val="Heading5"/>
    <w:uiPriority w:val="9"/>
    <w:rsid w:val="00FB4463"/>
    <w:rPr>
      <w:rFonts w:ascii="Times New Roman" w:eastAsiaTheme="majorEastAsia" w:hAnsi="Times New Roman" w:cstheme="majorBidi"/>
      <w:b/>
      <w:sz w:val="24"/>
    </w:rPr>
  </w:style>
  <w:style w:type="paragraph" w:styleId="TOC2">
    <w:name w:val="toc 2"/>
    <w:basedOn w:val="Normal"/>
    <w:next w:val="Normal"/>
    <w:autoRedefine/>
    <w:uiPriority w:val="39"/>
    <w:unhideWhenUsed/>
    <w:qFormat/>
    <w:rsid w:val="002E62BB"/>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2E62BB"/>
    <w:pPr>
      <w:spacing w:after="240" w:line="240" w:lineRule="auto"/>
      <w:ind w:left="2880" w:hanging="720"/>
    </w:pPr>
    <w:rPr>
      <w:rFonts w:ascii="Times New Roman" w:hAnsi="Times New Roman"/>
      <w:sz w:val="24"/>
    </w:rPr>
  </w:style>
  <w:style w:type="paragraph" w:styleId="TOC4">
    <w:name w:val="toc 4"/>
    <w:basedOn w:val="Normal"/>
    <w:next w:val="Normal"/>
    <w:autoRedefine/>
    <w:uiPriority w:val="39"/>
    <w:semiHidden/>
    <w:unhideWhenUsed/>
    <w:qFormat/>
    <w:rsid w:val="002E62BB"/>
    <w:pPr>
      <w:spacing w:after="240" w:line="240" w:lineRule="auto"/>
      <w:ind w:left="3600" w:hanging="720"/>
    </w:pPr>
    <w:rPr>
      <w:rFonts w:ascii="Times New Roman" w:hAnsi="Times New Roman"/>
      <w:sz w:val="24"/>
    </w:rPr>
  </w:style>
  <w:style w:type="paragraph" w:styleId="TOC5">
    <w:name w:val="toc 5"/>
    <w:basedOn w:val="Normal"/>
    <w:next w:val="Normal"/>
    <w:autoRedefine/>
    <w:uiPriority w:val="39"/>
    <w:unhideWhenUsed/>
    <w:qFormat/>
    <w:rsid w:val="002E62BB"/>
    <w:pPr>
      <w:spacing w:after="240" w:line="240" w:lineRule="auto"/>
      <w:ind w:left="4320" w:hanging="720"/>
    </w:pPr>
    <w:rPr>
      <w:rFonts w:ascii="Times New Roman" w:hAnsi="Times New Roman"/>
      <w:sz w:val="24"/>
    </w:rPr>
  </w:style>
  <w:style w:type="paragraph" w:customStyle="1" w:styleId="answer0">
    <w:name w:val="answer"/>
    <w:basedOn w:val="Normal"/>
    <w:link w:val="answerChar"/>
    <w:uiPriority w:val="99"/>
    <w:rsid w:val="009872D1"/>
    <w:pPr>
      <w:suppressAutoHyphens/>
      <w:ind w:left="720" w:hanging="720"/>
      <w:jc w:val="both"/>
    </w:pPr>
    <w:rPr>
      <w:rFonts w:ascii="Times New Roman" w:eastAsia="Times New Roman" w:hAnsi="Times New Roman" w:cs="Times New Roman"/>
      <w:sz w:val="24"/>
      <w:szCs w:val="24"/>
    </w:rPr>
  </w:style>
  <w:style w:type="character" w:customStyle="1" w:styleId="answerChar">
    <w:name w:val="answer Char"/>
    <w:link w:val="answer0"/>
    <w:uiPriority w:val="99"/>
    <w:locked/>
    <w:rsid w:val="009872D1"/>
    <w:rPr>
      <w:rFonts w:ascii="Times New Roman" w:eastAsia="Times New Roman" w:hAnsi="Times New Roman" w:cs="Times New Roman"/>
      <w:sz w:val="24"/>
      <w:szCs w:val="24"/>
    </w:rPr>
  </w:style>
  <w:style w:type="paragraph" w:styleId="NoSpacing">
    <w:name w:val="No Spacing"/>
    <w:uiPriority w:val="1"/>
    <w:qFormat/>
    <w:rsid w:val="0064367D"/>
    <w:pPr>
      <w:spacing w:line="240" w:lineRule="auto"/>
    </w:pPr>
  </w:style>
  <w:style w:type="paragraph" w:styleId="CommentSubject">
    <w:name w:val="annotation subject"/>
    <w:basedOn w:val="CommentText"/>
    <w:next w:val="CommentText"/>
    <w:link w:val="CommentSubjectChar"/>
    <w:uiPriority w:val="99"/>
    <w:semiHidden/>
    <w:unhideWhenUsed/>
    <w:rsid w:val="00E00CA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0CAA"/>
    <w:rPr>
      <w:rFonts w:ascii="Times New Roman" w:eastAsia="Times New Roman" w:hAnsi="Times New Roman" w:cs="Times New Roman"/>
      <w:b/>
      <w:bCs/>
      <w:sz w:val="20"/>
      <w:szCs w:val="20"/>
    </w:rPr>
  </w:style>
  <w:style w:type="paragraph" w:styleId="Revision">
    <w:name w:val="Revision"/>
    <w:hidden/>
    <w:uiPriority w:val="99"/>
    <w:semiHidden/>
    <w:rsid w:val="00C2315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32"/>
  </w:style>
  <w:style w:type="paragraph" w:styleId="Heading1">
    <w:name w:val="heading 1"/>
    <w:basedOn w:val="Normal"/>
    <w:next w:val="Normal"/>
    <w:link w:val="Heading1Char"/>
    <w:autoRedefine/>
    <w:uiPriority w:val="9"/>
    <w:qFormat/>
    <w:rsid w:val="00FB4463"/>
    <w:pPr>
      <w:keepNext/>
      <w:keepLines/>
      <w:numPr>
        <w:numId w:val="21"/>
      </w:numPr>
      <w:spacing w:after="240" w:line="240" w:lineRule="auto"/>
      <w:ind w:left="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B4463"/>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FB4463"/>
    <w:pPr>
      <w:keepNext/>
      <w:keepLines/>
      <w:spacing w:after="240" w:line="240" w:lineRule="auto"/>
      <w:ind w:left="2160" w:right="720" w:hanging="720"/>
      <w:outlineLvl w:val="2"/>
    </w:pPr>
    <w:rPr>
      <w:rFonts w:ascii="Times New Roman Bold" w:eastAsiaTheme="majorEastAsia" w:hAnsi="Times New Roman Bold" w:cs="Times New Roman"/>
      <w:b/>
      <w:bCs/>
      <w:sz w:val="24"/>
      <w:szCs w:val="24"/>
    </w:rPr>
  </w:style>
  <w:style w:type="paragraph" w:styleId="Heading4">
    <w:name w:val="heading 4"/>
    <w:basedOn w:val="Normal"/>
    <w:next w:val="Normal"/>
    <w:link w:val="Heading4Char"/>
    <w:autoRedefine/>
    <w:qFormat/>
    <w:rsid w:val="00FB4463"/>
    <w:pPr>
      <w:keepNext/>
      <w:spacing w:after="240" w:line="240" w:lineRule="auto"/>
      <w:ind w:left="2880" w:hanging="720"/>
      <w:outlineLvl w:val="3"/>
    </w:pPr>
    <w:rPr>
      <w:rFonts w:ascii="Times New Roman Bold" w:eastAsia="Calibri" w:hAnsi="Times New Roman Bold" w:cs="Times New Roman"/>
      <w:b/>
      <w:bCs/>
      <w:sz w:val="24"/>
      <w:szCs w:val="24"/>
    </w:rPr>
  </w:style>
  <w:style w:type="paragraph" w:styleId="Heading5">
    <w:name w:val="heading 5"/>
    <w:basedOn w:val="Normal"/>
    <w:next w:val="Normal"/>
    <w:link w:val="Heading5Char"/>
    <w:autoRedefine/>
    <w:uiPriority w:val="9"/>
    <w:unhideWhenUsed/>
    <w:qFormat/>
    <w:rsid w:val="00FB4463"/>
    <w:pPr>
      <w:keepNext/>
      <w:keepLines/>
      <w:spacing w:after="240" w:line="240" w:lineRule="auto"/>
      <w:ind w:left="3600" w:hanging="72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A8"/>
    <w:pPr>
      <w:ind w:left="720"/>
      <w:contextualSpacing/>
    </w:p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Footnote Text Ch"/>
    <w:basedOn w:val="Normal"/>
    <w:link w:val="FootnoteTextChar"/>
    <w:unhideWhenUsed/>
    <w:rsid w:val="00992029"/>
    <w:pPr>
      <w:spacing w:line="240" w:lineRule="auto"/>
    </w:pPr>
    <w:rPr>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Footnote Text Ch Char"/>
    <w:basedOn w:val="DefaultParagraphFont"/>
    <w:link w:val="FootnoteText"/>
    <w:rsid w:val="00992029"/>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nhideWhenUsed/>
    <w:rsid w:val="00992029"/>
    <w:rPr>
      <w:vertAlign w:val="superscript"/>
    </w:rPr>
  </w:style>
  <w:style w:type="character" w:styleId="Hyperlink">
    <w:name w:val="Hyperlink"/>
    <w:basedOn w:val="DefaultParagraphFont"/>
    <w:uiPriority w:val="99"/>
    <w:rsid w:val="007705A5"/>
    <w:rPr>
      <w:strike w:val="0"/>
      <w:dstrike w:val="0"/>
      <w:color w:val="004B91"/>
      <w:u w:val="none"/>
      <w:effect w:val="none"/>
    </w:rPr>
  </w:style>
  <w:style w:type="paragraph" w:styleId="BalloonText">
    <w:name w:val="Balloon Text"/>
    <w:basedOn w:val="Normal"/>
    <w:link w:val="BalloonTextChar"/>
    <w:uiPriority w:val="99"/>
    <w:semiHidden/>
    <w:unhideWhenUsed/>
    <w:rsid w:val="00A84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44"/>
    <w:rPr>
      <w:rFonts w:ascii="Tahoma" w:hAnsi="Tahoma" w:cs="Tahoma"/>
      <w:sz w:val="16"/>
      <w:szCs w:val="16"/>
    </w:rPr>
  </w:style>
  <w:style w:type="paragraph" w:styleId="Header">
    <w:name w:val="header"/>
    <w:basedOn w:val="Normal"/>
    <w:link w:val="HeaderChar"/>
    <w:uiPriority w:val="99"/>
    <w:unhideWhenUsed/>
    <w:rsid w:val="00A84B44"/>
    <w:pPr>
      <w:tabs>
        <w:tab w:val="center" w:pos="4680"/>
        <w:tab w:val="right" w:pos="9360"/>
      </w:tabs>
      <w:spacing w:line="240" w:lineRule="auto"/>
    </w:pPr>
  </w:style>
  <w:style w:type="character" w:customStyle="1" w:styleId="HeaderChar">
    <w:name w:val="Header Char"/>
    <w:basedOn w:val="DefaultParagraphFont"/>
    <w:link w:val="Header"/>
    <w:uiPriority w:val="99"/>
    <w:rsid w:val="00A84B44"/>
  </w:style>
  <w:style w:type="paragraph" w:styleId="Footer">
    <w:name w:val="footer"/>
    <w:basedOn w:val="Normal"/>
    <w:link w:val="FooterChar"/>
    <w:uiPriority w:val="99"/>
    <w:unhideWhenUsed/>
    <w:rsid w:val="00A84B44"/>
    <w:pPr>
      <w:tabs>
        <w:tab w:val="center" w:pos="4680"/>
        <w:tab w:val="right" w:pos="9360"/>
      </w:tabs>
      <w:spacing w:line="240" w:lineRule="auto"/>
    </w:pPr>
  </w:style>
  <w:style w:type="character" w:customStyle="1" w:styleId="FooterChar">
    <w:name w:val="Footer Char"/>
    <w:basedOn w:val="DefaultParagraphFont"/>
    <w:link w:val="Footer"/>
    <w:uiPriority w:val="99"/>
    <w:rsid w:val="00A84B44"/>
  </w:style>
  <w:style w:type="character" w:customStyle="1" w:styleId="Heading4Char">
    <w:name w:val="Heading 4 Char"/>
    <w:basedOn w:val="DefaultParagraphFont"/>
    <w:link w:val="Heading4"/>
    <w:rsid w:val="00FB4463"/>
    <w:rPr>
      <w:rFonts w:ascii="Times New Roman Bold" w:eastAsia="Calibri" w:hAnsi="Times New Roman Bold" w:cs="Times New Roman"/>
      <w:b/>
      <w:bCs/>
      <w:sz w:val="24"/>
      <w:szCs w:val="24"/>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ocked/>
    <w:rsid w:val="00DE3C63"/>
    <w:rPr>
      <w:lang w:val="en-US" w:eastAsia="en-US" w:bidi="ar-SA"/>
    </w:rPr>
  </w:style>
  <w:style w:type="character" w:customStyle="1" w:styleId="ssrfcpassagedeactivated">
    <w:name w:val="ss_rfcpassage_deactivated"/>
    <w:basedOn w:val="DefaultParagraphFont"/>
    <w:rsid w:val="00750C68"/>
  </w:style>
  <w:style w:type="character" w:customStyle="1" w:styleId="ssit">
    <w:name w:val="ss_it"/>
    <w:basedOn w:val="DefaultParagraphFont"/>
    <w:rsid w:val="00750C68"/>
  </w:style>
  <w:style w:type="character" w:customStyle="1" w:styleId="sh2536451215">
    <w:name w:val="sh_2536451215"/>
    <w:basedOn w:val="DefaultParagraphFont"/>
    <w:rsid w:val="00750C68"/>
  </w:style>
  <w:style w:type="character" w:customStyle="1" w:styleId="ssib">
    <w:name w:val="ss_ib"/>
    <w:basedOn w:val="DefaultParagraphFont"/>
    <w:rsid w:val="00EC74F6"/>
  </w:style>
  <w:style w:type="character" w:customStyle="1" w:styleId="sspagshow">
    <w:name w:val="ss_pag_show"/>
    <w:basedOn w:val="DefaultParagraphFont"/>
    <w:rsid w:val="00EC74F6"/>
  </w:style>
  <w:style w:type="paragraph" w:styleId="BodyText">
    <w:name w:val="Body Text"/>
    <w:basedOn w:val="Normal"/>
    <w:link w:val="BodyTextChar"/>
    <w:rsid w:val="009223BB"/>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9223BB"/>
    <w:rPr>
      <w:rFonts w:ascii="Arial" w:eastAsia="Times New Roman" w:hAnsi="Arial" w:cs="Times New Roman"/>
      <w:spacing w:val="-5"/>
      <w:sz w:val="20"/>
      <w:szCs w:val="20"/>
    </w:rPr>
  </w:style>
  <w:style w:type="character" w:customStyle="1" w:styleId="FootnoteTextChar3">
    <w:name w:val="Footnote Text Char3"/>
    <w:aliases w:val="Footnote Text Char1 Char,Footnote Text Char Char Char,Footnote Text Char1 Char Char1 Char,Footnote Text Char Char Char Char Char,Footnote Text Char2 Char Char Char Char1 Char,Footnote Text Char1 Char Char1 Char Char Char Char,fn Char"/>
    <w:uiPriority w:val="99"/>
    <w:semiHidden/>
    <w:locked/>
    <w:rsid w:val="00113E13"/>
    <w:rPr>
      <w:lang w:val="en-US" w:eastAsia="en-US" w:bidi="ar-SA"/>
    </w:rPr>
  </w:style>
  <w:style w:type="paragraph" w:styleId="NormalWeb">
    <w:name w:val="Normal (Web)"/>
    <w:basedOn w:val="Normal"/>
    <w:uiPriority w:val="99"/>
    <w:semiHidden/>
    <w:unhideWhenUsed/>
    <w:rsid w:val="00484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un">
    <w:name w:val="ss_un"/>
    <w:basedOn w:val="DefaultParagraphFont"/>
    <w:rsid w:val="00484E7F"/>
  </w:style>
  <w:style w:type="paragraph" w:styleId="HTMLPreformatted">
    <w:name w:val="HTML Preformatted"/>
    <w:aliases w:val=" Char,Char"/>
    <w:basedOn w:val="Normal"/>
    <w:link w:val="HTMLPreformattedChar"/>
    <w:rsid w:val="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85528F"/>
    <w:rPr>
      <w:rFonts w:ascii="Courier New" w:eastAsia="Courier New" w:hAnsi="Courier New" w:cs="Courier New"/>
      <w:sz w:val="20"/>
      <w:szCs w:val="20"/>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rsid w:val="0085528F"/>
    <w:rPr>
      <w:lang w:val="en-US" w:eastAsia="en-US" w:bidi="ar-SA"/>
    </w:rPr>
  </w:style>
  <w:style w:type="character" w:styleId="CommentReference">
    <w:name w:val="annotation reference"/>
    <w:uiPriority w:val="99"/>
    <w:rsid w:val="0085528F"/>
    <w:rPr>
      <w:sz w:val="16"/>
      <w:szCs w:val="16"/>
    </w:rPr>
  </w:style>
  <w:style w:type="paragraph" w:styleId="CommentText">
    <w:name w:val="annotation text"/>
    <w:basedOn w:val="Normal"/>
    <w:link w:val="CommentTextChar"/>
    <w:uiPriority w:val="99"/>
    <w:rsid w:val="0085528F"/>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5528F"/>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2E62BB"/>
    <w:pPr>
      <w:tabs>
        <w:tab w:val="left" w:pos="720"/>
        <w:tab w:val="decimal" w:leader="dot" w:pos="8640"/>
      </w:tabs>
      <w:spacing w:after="240" w:line="240" w:lineRule="auto"/>
      <w:ind w:left="720" w:hanging="720"/>
    </w:pPr>
    <w:rPr>
      <w:rFonts w:ascii="Times New Roman" w:eastAsia="Times New Roman" w:hAnsi="Times New Roman" w:cs="Times New Roman"/>
      <w:caps/>
      <w:sz w:val="24"/>
      <w:szCs w:val="24"/>
    </w:rPr>
  </w:style>
  <w:style w:type="character" w:customStyle="1" w:styleId="Heading1Char">
    <w:name w:val="Heading 1 Char"/>
    <w:basedOn w:val="DefaultParagraphFont"/>
    <w:link w:val="Heading1"/>
    <w:uiPriority w:val="9"/>
    <w:rsid w:val="00FB4463"/>
    <w:rPr>
      <w:rFonts w:ascii="Times New Roman Bold" w:eastAsiaTheme="majorEastAsia" w:hAnsi="Times New Roman Bold" w:cstheme="majorBidi"/>
      <w:b/>
      <w:bCs/>
      <w:caps/>
      <w:sz w:val="24"/>
      <w:szCs w:val="28"/>
    </w:rPr>
  </w:style>
  <w:style w:type="paragraph" w:customStyle="1" w:styleId="ANSWER">
    <w:name w:val="ANSWER"/>
    <w:basedOn w:val="Normal"/>
    <w:rsid w:val="00B42279"/>
    <w:pPr>
      <w:ind w:left="1008" w:hanging="720"/>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FB4463"/>
    <w:rPr>
      <w:rFonts w:ascii="Times New Roman Bold" w:eastAsiaTheme="majorEastAsia" w:hAnsi="Times New Roman Bold" w:cs="Times New Roman"/>
      <w:b/>
      <w:bCs/>
      <w:sz w:val="24"/>
      <w:szCs w:val="24"/>
    </w:rPr>
  </w:style>
  <w:style w:type="character" w:customStyle="1" w:styleId="Heading2Char">
    <w:name w:val="Heading 2 Char"/>
    <w:basedOn w:val="DefaultParagraphFont"/>
    <w:link w:val="Heading2"/>
    <w:uiPriority w:val="9"/>
    <w:rsid w:val="00FB4463"/>
    <w:rPr>
      <w:rFonts w:ascii="Times New Roman Bold" w:eastAsiaTheme="majorEastAsia" w:hAnsi="Times New Roman Bold" w:cstheme="majorBidi"/>
      <w:b/>
      <w:bCs/>
      <w:sz w:val="24"/>
      <w:szCs w:val="26"/>
    </w:rPr>
  </w:style>
  <w:style w:type="character" w:customStyle="1" w:styleId="Heading5Char">
    <w:name w:val="Heading 5 Char"/>
    <w:basedOn w:val="DefaultParagraphFont"/>
    <w:link w:val="Heading5"/>
    <w:uiPriority w:val="9"/>
    <w:rsid w:val="00FB4463"/>
    <w:rPr>
      <w:rFonts w:ascii="Times New Roman" w:eastAsiaTheme="majorEastAsia" w:hAnsi="Times New Roman" w:cstheme="majorBidi"/>
      <w:b/>
      <w:sz w:val="24"/>
    </w:rPr>
  </w:style>
  <w:style w:type="paragraph" w:styleId="TOC2">
    <w:name w:val="toc 2"/>
    <w:basedOn w:val="Normal"/>
    <w:next w:val="Normal"/>
    <w:autoRedefine/>
    <w:uiPriority w:val="39"/>
    <w:unhideWhenUsed/>
    <w:qFormat/>
    <w:rsid w:val="002E62BB"/>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2E62BB"/>
    <w:pPr>
      <w:spacing w:after="240" w:line="240" w:lineRule="auto"/>
      <w:ind w:left="2880" w:hanging="720"/>
    </w:pPr>
    <w:rPr>
      <w:rFonts w:ascii="Times New Roman" w:hAnsi="Times New Roman"/>
      <w:sz w:val="24"/>
    </w:rPr>
  </w:style>
  <w:style w:type="paragraph" w:styleId="TOC4">
    <w:name w:val="toc 4"/>
    <w:basedOn w:val="Normal"/>
    <w:next w:val="Normal"/>
    <w:autoRedefine/>
    <w:uiPriority w:val="39"/>
    <w:semiHidden/>
    <w:unhideWhenUsed/>
    <w:qFormat/>
    <w:rsid w:val="002E62BB"/>
    <w:pPr>
      <w:spacing w:after="240" w:line="240" w:lineRule="auto"/>
      <w:ind w:left="3600" w:hanging="720"/>
    </w:pPr>
    <w:rPr>
      <w:rFonts w:ascii="Times New Roman" w:hAnsi="Times New Roman"/>
      <w:sz w:val="24"/>
    </w:rPr>
  </w:style>
  <w:style w:type="paragraph" w:styleId="TOC5">
    <w:name w:val="toc 5"/>
    <w:basedOn w:val="Normal"/>
    <w:next w:val="Normal"/>
    <w:autoRedefine/>
    <w:uiPriority w:val="39"/>
    <w:unhideWhenUsed/>
    <w:qFormat/>
    <w:rsid w:val="002E62BB"/>
    <w:pPr>
      <w:spacing w:after="240" w:line="240" w:lineRule="auto"/>
      <w:ind w:left="4320" w:hanging="720"/>
    </w:pPr>
    <w:rPr>
      <w:rFonts w:ascii="Times New Roman" w:hAnsi="Times New Roman"/>
      <w:sz w:val="24"/>
    </w:rPr>
  </w:style>
  <w:style w:type="paragraph" w:customStyle="1" w:styleId="answer0">
    <w:name w:val="answer"/>
    <w:basedOn w:val="Normal"/>
    <w:link w:val="answerChar"/>
    <w:uiPriority w:val="99"/>
    <w:rsid w:val="009872D1"/>
    <w:pPr>
      <w:suppressAutoHyphens/>
      <w:ind w:left="720" w:hanging="720"/>
      <w:jc w:val="both"/>
    </w:pPr>
    <w:rPr>
      <w:rFonts w:ascii="Times New Roman" w:eastAsia="Times New Roman" w:hAnsi="Times New Roman" w:cs="Times New Roman"/>
      <w:sz w:val="24"/>
      <w:szCs w:val="24"/>
    </w:rPr>
  </w:style>
  <w:style w:type="character" w:customStyle="1" w:styleId="answerChar">
    <w:name w:val="answer Char"/>
    <w:link w:val="answer0"/>
    <w:uiPriority w:val="99"/>
    <w:locked/>
    <w:rsid w:val="009872D1"/>
    <w:rPr>
      <w:rFonts w:ascii="Times New Roman" w:eastAsia="Times New Roman" w:hAnsi="Times New Roman" w:cs="Times New Roman"/>
      <w:sz w:val="24"/>
      <w:szCs w:val="24"/>
    </w:rPr>
  </w:style>
  <w:style w:type="paragraph" w:styleId="NoSpacing">
    <w:name w:val="No Spacing"/>
    <w:uiPriority w:val="1"/>
    <w:qFormat/>
    <w:rsid w:val="0064367D"/>
    <w:pPr>
      <w:spacing w:line="240" w:lineRule="auto"/>
    </w:pPr>
  </w:style>
  <w:style w:type="paragraph" w:styleId="CommentSubject">
    <w:name w:val="annotation subject"/>
    <w:basedOn w:val="CommentText"/>
    <w:next w:val="CommentText"/>
    <w:link w:val="CommentSubjectChar"/>
    <w:uiPriority w:val="99"/>
    <w:semiHidden/>
    <w:unhideWhenUsed/>
    <w:rsid w:val="00E00CA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0CAA"/>
    <w:rPr>
      <w:rFonts w:ascii="Times New Roman" w:eastAsia="Times New Roman" w:hAnsi="Times New Roman" w:cs="Times New Roman"/>
      <w:b/>
      <w:bCs/>
      <w:sz w:val="20"/>
      <w:szCs w:val="20"/>
    </w:rPr>
  </w:style>
  <w:style w:type="paragraph" w:styleId="Revision">
    <w:name w:val="Revision"/>
    <w:hidden/>
    <w:uiPriority w:val="99"/>
    <w:semiHidden/>
    <w:rsid w:val="00C231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5183">
      <w:bodyDiv w:val="1"/>
      <w:marLeft w:val="0"/>
      <w:marRight w:val="0"/>
      <w:marTop w:val="0"/>
      <w:marBottom w:val="0"/>
      <w:divBdr>
        <w:top w:val="none" w:sz="0" w:space="0" w:color="auto"/>
        <w:left w:val="none" w:sz="0" w:space="0" w:color="auto"/>
        <w:bottom w:val="none" w:sz="0" w:space="0" w:color="auto"/>
        <w:right w:val="none" w:sz="0" w:space="0" w:color="auto"/>
      </w:divBdr>
      <w:divsChild>
        <w:div w:id="482281627">
          <w:marLeft w:val="0"/>
          <w:marRight w:val="0"/>
          <w:marTop w:val="0"/>
          <w:marBottom w:val="0"/>
          <w:divBdr>
            <w:top w:val="none" w:sz="0" w:space="0" w:color="auto"/>
            <w:left w:val="none" w:sz="0" w:space="0" w:color="auto"/>
            <w:bottom w:val="none" w:sz="0" w:space="0" w:color="auto"/>
            <w:right w:val="none" w:sz="0" w:space="0" w:color="auto"/>
          </w:divBdr>
        </w:div>
        <w:div w:id="742727387">
          <w:marLeft w:val="0"/>
          <w:marRight w:val="0"/>
          <w:marTop w:val="0"/>
          <w:marBottom w:val="0"/>
          <w:divBdr>
            <w:top w:val="none" w:sz="0" w:space="0" w:color="auto"/>
            <w:left w:val="none" w:sz="0" w:space="0" w:color="auto"/>
            <w:bottom w:val="none" w:sz="0" w:space="0" w:color="auto"/>
            <w:right w:val="none" w:sz="0" w:space="0" w:color="auto"/>
          </w:divBdr>
        </w:div>
        <w:div w:id="1522428458">
          <w:marLeft w:val="0"/>
          <w:marRight w:val="0"/>
          <w:marTop w:val="0"/>
          <w:marBottom w:val="0"/>
          <w:divBdr>
            <w:top w:val="none" w:sz="0" w:space="0" w:color="auto"/>
            <w:left w:val="none" w:sz="0" w:space="0" w:color="auto"/>
            <w:bottom w:val="none" w:sz="0" w:space="0" w:color="auto"/>
            <w:right w:val="none" w:sz="0" w:space="0" w:color="auto"/>
          </w:divBdr>
        </w:div>
        <w:div w:id="1929734335">
          <w:marLeft w:val="0"/>
          <w:marRight w:val="0"/>
          <w:marTop w:val="0"/>
          <w:marBottom w:val="0"/>
          <w:divBdr>
            <w:top w:val="none" w:sz="0" w:space="0" w:color="auto"/>
            <w:left w:val="none" w:sz="0" w:space="0" w:color="auto"/>
            <w:bottom w:val="none" w:sz="0" w:space="0" w:color="auto"/>
            <w:right w:val="none" w:sz="0" w:space="0" w:color="auto"/>
          </w:divBdr>
        </w:div>
        <w:div w:id="198468625">
          <w:marLeft w:val="0"/>
          <w:marRight w:val="0"/>
          <w:marTop w:val="0"/>
          <w:marBottom w:val="0"/>
          <w:divBdr>
            <w:top w:val="none" w:sz="0" w:space="0" w:color="auto"/>
            <w:left w:val="none" w:sz="0" w:space="0" w:color="auto"/>
            <w:bottom w:val="none" w:sz="0" w:space="0" w:color="auto"/>
            <w:right w:val="none" w:sz="0" w:space="0" w:color="auto"/>
          </w:divBdr>
        </w:div>
      </w:divsChild>
    </w:div>
    <w:div w:id="213546431">
      <w:bodyDiv w:val="1"/>
      <w:marLeft w:val="0"/>
      <w:marRight w:val="0"/>
      <w:marTop w:val="0"/>
      <w:marBottom w:val="0"/>
      <w:divBdr>
        <w:top w:val="none" w:sz="0" w:space="0" w:color="auto"/>
        <w:left w:val="none" w:sz="0" w:space="0" w:color="auto"/>
        <w:bottom w:val="none" w:sz="0" w:space="0" w:color="auto"/>
        <w:right w:val="none" w:sz="0" w:space="0" w:color="auto"/>
      </w:divBdr>
      <w:divsChild>
        <w:div w:id="944965337">
          <w:marLeft w:val="0"/>
          <w:marRight w:val="0"/>
          <w:marTop w:val="0"/>
          <w:marBottom w:val="0"/>
          <w:divBdr>
            <w:top w:val="none" w:sz="0" w:space="0" w:color="auto"/>
            <w:left w:val="none" w:sz="0" w:space="0" w:color="auto"/>
            <w:bottom w:val="none" w:sz="0" w:space="0" w:color="auto"/>
            <w:right w:val="none" w:sz="0" w:space="0" w:color="auto"/>
          </w:divBdr>
        </w:div>
        <w:div w:id="1043362699">
          <w:marLeft w:val="0"/>
          <w:marRight w:val="0"/>
          <w:marTop w:val="0"/>
          <w:marBottom w:val="0"/>
          <w:divBdr>
            <w:top w:val="none" w:sz="0" w:space="0" w:color="auto"/>
            <w:left w:val="none" w:sz="0" w:space="0" w:color="auto"/>
            <w:bottom w:val="none" w:sz="0" w:space="0" w:color="auto"/>
            <w:right w:val="none" w:sz="0" w:space="0" w:color="auto"/>
          </w:divBdr>
        </w:div>
        <w:div w:id="947202007">
          <w:marLeft w:val="0"/>
          <w:marRight w:val="0"/>
          <w:marTop w:val="0"/>
          <w:marBottom w:val="0"/>
          <w:divBdr>
            <w:top w:val="none" w:sz="0" w:space="0" w:color="auto"/>
            <w:left w:val="none" w:sz="0" w:space="0" w:color="auto"/>
            <w:bottom w:val="none" w:sz="0" w:space="0" w:color="auto"/>
            <w:right w:val="none" w:sz="0" w:space="0" w:color="auto"/>
          </w:divBdr>
        </w:div>
        <w:div w:id="119494851">
          <w:marLeft w:val="0"/>
          <w:marRight w:val="0"/>
          <w:marTop w:val="0"/>
          <w:marBottom w:val="0"/>
          <w:divBdr>
            <w:top w:val="none" w:sz="0" w:space="0" w:color="auto"/>
            <w:left w:val="none" w:sz="0" w:space="0" w:color="auto"/>
            <w:bottom w:val="none" w:sz="0" w:space="0" w:color="auto"/>
            <w:right w:val="none" w:sz="0" w:space="0" w:color="auto"/>
          </w:divBdr>
        </w:div>
        <w:div w:id="1417050390">
          <w:marLeft w:val="0"/>
          <w:marRight w:val="0"/>
          <w:marTop w:val="0"/>
          <w:marBottom w:val="0"/>
          <w:divBdr>
            <w:top w:val="none" w:sz="0" w:space="0" w:color="auto"/>
            <w:left w:val="none" w:sz="0" w:space="0" w:color="auto"/>
            <w:bottom w:val="none" w:sz="0" w:space="0" w:color="auto"/>
            <w:right w:val="none" w:sz="0" w:space="0" w:color="auto"/>
          </w:divBdr>
        </w:div>
        <w:div w:id="1519732169">
          <w:marLeft w:val="0"/>
          <w:marRight w:val="0"/>
          <w:marTop w:val="0"/>
          <w:marBottom w:val="0"/>
          <w:divBdr>
            <w:top w:val="none" w:sz="0" w:space="0" w:color="auto"/>
            <w:left w:val="none" w:sz="0" w:space="0" w:color="auto"/>
            <w:bottom w:val="none" w:sz="0" w:space="0" w:color="auto"/>
            <w:right w:val="none" w:sz="0" w:space="0" w:color="auto"/>
          </w:divBdr>
        </w:div>
        <w:div w:id="1493109323">
          <w:marLeft w:val="0"/>
          <w:marRight w:val="0"/>
          <w:marTop w:val="0"/>
          <w:marBottom w:val="0"/>
          <w:divBdr>
            <w:top w:val="none" w:sz="0" w:space="0" w:color="auto"/>
            <w:left w:val="none" w:sz="0" w:space="0" w:color="auto"/>
            <w:bottom w:val="none" w:sz="0" w:space="0" w:color="auto"/>
            <w:right w:val="none" w:sz="0" w:space="0" w:color="auto"/>
          </w:divBdr>
        </w:div>
        <w:div w:id="1509833963">
          <w:marLeft w:val="0"/>
          <w:marRight w:val="0"/>
          <w:marTop w:val="0"/>
          <w:marBottom w:val="0"/>
          <w:divBdr>
            <w:top w:val="none" w:sz="0" w:space="0" w:color="auto"/>
            <w:left w:val="none" w:sz="0" w:space="0" w:color="auto"/>
            <w:bottom w:val="none" w:sz="0" w:space="0" w:color="auto"/>
            <w:right w:val="none" w:sz="0" w:space="0" w:color="auto"/>
          </w:divBdr>
        </w:div>
        <w:div w:id="666714407">
          <w:marLeft w:val="0"/>
          <w:marRight w:val="0"/>
          <w:marTop w:val="0"/>
          <w:marBottom w:val="0"/>
          <w:divBdr>
            <w:top w:val="none" w:sz="0" w:space="0" w:color="auto"/>
            <w:left w:val="none" w:sz="0" w:space="0" w:color="auto"/>
            <w:bottom w:val="none" w:sz="0" w:space="0" w:color="auto"/>
            <w:right w:val="none" w:sz="0" w:space="0" w:color="auto"/>
          </w:divBdr>
        </w:div>
        <w:div w:id="542061731">
          <w:marLeft w:val="0"/>
          <w:marRight w:val="0"/>
          <w:marTop w:val="0"/>
          <w:marBottom w:val="0"/>
          <w:divBdr>
            <w:top w:val="none" w:sz="0" w:space="0" w:color="auto"/>
            <w:left w:val="none" w:sz="0" w:space="0" w:color="auto"/>
            <w:bottom w:val="none" w:sz="0" w:space="0" w:color="auto"/>
            <w:right w:val="none" w:sz="0" w:space="0" w:color="auto"/>
          </w:divBdr>
        </w:div>
        <w:div w:id="1522627610">
          <w:marLeft w:val="0"/>
          <w:marRight w:val="0"/>
          <w:marTop w:val="0"/>
          <w:marBottom w:val="0"/>
          <w:divBdr>
            <w:top w:val="none" w:sz="0" w:space="0" w:color="auto"/>
            <w:left w:val="none" w:sz="0" w:space="0" w:color="auto"/>
            <w:bottom w:val="none" w:sz="0" w:space="0" w:color="auto"/>
            <w:right w:val="none" w:sz="0" w:space="0" w:color="auto"/>
          </w:divBdr>
        </w:div>
        <w:div w:id="755906982">
          <w:marLeft w:val="0"/>
          <w:marRight w:val="0"/>
          <w:marTop w:val="0"/>
          <w:marBottom w:val="0"/>
          <w:divBdr>
            <w:top w:val="none" w:sz="0" w:space="0" w:color="auto"/>
            <w:left w:val="none" w:sz="0" w:space="0" w:color="auto"/>
            <w:bottom w:val="none" w:sz="0" w:space="0" w:color="auto"/>
            <w:right w:val="none" w:sz="0" w:space="0" w:color="auto"/>
          </w:divBdr>
        </w:div>
        <w:div w:id="1023285011">
          <w:marLeft w:val="0"/>
          <w:marRight w:val="0"/>
          <w:marTop w:val="0"/>
          <w:marBottom w:val="0"/>
          <w:divBdr>
            <w:top w:val="none" w:sz="0" w:space="0" w:color="auto"/>
            <w:left w:val="none" w:sz="0" w:space="0" w:color="auto"/>
            <w:bottom w:val="none" w:sz="0" w:space="0" w:color="auto"/>
            <w:right w:val="none" w:sz="0" w:space="0" w:color="auto"/>
          </w:divBdr>
        </w:div>
        <w:div w:id="1140852550">
          <w:marLeft w:val="0"/>
          <w:marRight w:val="0"/>
          <w:marTop w:val="0"/>
          <w:marBottom w:val="0"/>
          <w:divBdr>
            <w:top w:val="none" w:sz="0" w:space="0" w:color="auto"/>
            <w:left w:val="none" w:sz="0" w:space="0" w:color="auto"/>
            <w:bottom w:val="none" w:sz="0" w:space="0" w:color="auto"/>
            <w:right w:val="none" w:sz="0" w:space="0" w:color="auto"/>
          </w:divBdr>
        </w:div>
        <w:div w:id="369501274">
          <w:marLeft w:val="0"/>
          <w:marRight w:val="0"/>
          <w:marTop w:val="0"/>
          <w:marBottom w:val="0"/>
          <w:divBdr>
            <w:top w:val="none" w:sz="0" w:space="0" w:color="auto"/>
            <w:left w:val="none" w:sz="0" w:space="0" w:color="auto"/>
            <w:bottom w:val="none" w:sz="0" w:space="0" w:color="auto"/>
            <w:right w:val="none" w:sz="0" w:space="0" w:color="auto"/>
          </w:divBdr>
        </w:div>
        <w:div w:id="490413398">
          <w:marLeft w:val="0"/>
          <w:marRight w:val="0"/>
          <w:marTop w:val="0"/>
          <w:marBottom w:val="0"/>
          <w:divBdr>
            <w:top w:val="none" w:sz="0" w:space="0" w:color="auto"/>
            <w:left w:val="none" w:sz="0" w:space="0" w:color="auto"/>
            <w:bottom w:val="none" w:sz="0" w:space="0" w:color="auto"/>
            <w:right w:val="none" w:sz="0" w:space="0" w:color="auto"/>
          </w:divBdr>
        </w:div>
        <w:div w:id="1795824778">
          <w:marLeft w:val="0"/>
          <w:marRight w:val="0"/>
          <w:marTop w:val="0"/>
          <w:marBottom w:val="0"/>
          <w:divBdr>
            <w:top w:val="none" w:sz="0" w:space="0" w:color="auto"/>
            <w:left w:val="none" w:sz="0" w:space="0" w:color="auto"/>
            <w:bottom w:val="none" w:sz="0" w:space="0" w:color="auto"/>
            <w:right w:val="none" w:sz="0" w:space="0" w:color="auto"/>
          </w:divBdr>
        </w:div>
        <w:div w:id="1511525662">
          <w:marLeft w:val="0"/>
          <w:marRight w:val="0"/>
          <w:marTop w:val="0"/>
          <w:marBottom w:val="0"/>
          <w:divBdr>
            <w:top w:val="none" w:sz="0" w:space="0" w:color="auto"/>
            <w:left w:val="none" w:sz="0" w:space="0" w:color="auto"/>
            <w:bottom w:val="none" w:sz="0" w:space="0" w:color="auto"/>
            <w:right w:val="none" w:sz="0" w:space="0" w:color="auto"/>
          </w:divBdr>
        </w:div>
        <w:div w:id="986281777">
          <w:marLeft w:val="0"/>
          <w:marRight w:val="0"/>
          <w:marTop w:val="0"/>
          <w:marBottom w:val="0"/>
          <w:divBdr>
            <w:top w:val="none" w:sz="0" w:space="0" w:color="auto"/>
            <w:left w:val="none" w:sz="0" w:space="0" w:color="auto"/>
            <w:bottom w:val="none" w:sz="0" w:space="0" w:color="auto"/>
            <w:right w:val="none" w:sz="0" w:space="0" w:color="auto"/>
          </w:divBdr>
        </w:div>
        <w:div w:id="884951843">
          <w:marLeft w:val="0"/>
          <w:marRight w:val="0"/>
          <w:marTop w:val="0"/>
          <w:marBottom w:val="0"/>
          <w:divBdr>
            <w:top w:val="none" w:sz="0" w:space="0" w:color="auto"/>
            <w:left w:val="none" w:sz="0" w:space="0" w:color="auto"/>
            <w:bottom w:val="none" w:sz="0" w:space="0" w:color="auto"/>
            <w:right w:val="none" w:sz="0" w:space="0" w:color="auto"/>
          </w:divBdr>
        </w:div>
        <w:div w:id="718168509">
          <w:marLeft w:val="0"/>
          <w:marRight w:val="0"/>
          <w:marTop w:val="0"/>
          <w:marBottom w:val="0"/>
          <w:divBdr>
            <w:top w:val="none" w:sz="0" w:space="0" w:color="auto"/>
            <w:left w:val="none" w:sz="0" w:space="0" w:color="auto"/>
            <w:bottom w:val="none" w:sz="0" w:space="0" w:color="auto"/>
            <w:right w:val="none" w:sz="0" w:space="0" w:color="auto"/>
          </w:divBdr>
        </w:div>
        <w:div w:id="1127432552">
          <w:marLeft w:val="0"/>
          <w:marRight w:val="0"/>
          <w:marTop w:val="0"/>
          <w:marBottom w:val="0"/>
          <w:divBdr>
            <w:top w:val="none" w:sz="0" w:space="0" w:color="auto"/>
            <w:left w:val="none" w:sz="0" w:space="0" w:color="auto"/>
            <w:bottom w:val="none" w:sz="0" w:space="0" w:color="auto"/>
            <w:right w:val="none" w:sz="0" w:space="0" w:color="auto"/>
          </w:divBdr>
        </w:div>
        <w:div w:id="1013842681">
          <w:marLeft w:val="0"/>
          <w:marRight w:val="0"/>
          <w:marTop w:val="0"/>
          <w:marBottom w:val="0"/>
          <w:divBdr>
            <w:top w:val="none" w:sz="0" w:space="0" w:color="auto"/>
            <w:left w:val="none" w:sz="0" w:space="0" w:color="auto"/>
            <w:bottom w:val="none" w:sz="0" w:space="0" w:color="auto"/>
            <w:right w:val="none" w:sz="0" w:space="0" w:color="auto"/>
          </w:divBdr>
        </w:div>
        <w:div w:id="216820933">
          <w:marLeft w:val="0"/>
          <w:marRight w:val="0"/>
          <w:marTop w:val="0"/>
          <w:marBottom w:val="0"/>
          <w:divBdr>
            <w:top w:val="none" w:sz="0" w:space="0" w:color="auto"/>
            <w:left w:val="none" w:sz="0" w:space="0" w:color="auto"/>
            <w:bottom w:val="none" w:sz="0" w:space="0" w:color="auto"/>
            <w:right w:val="none" w:sz="0" w:space="0" w:color="auto"/>
          </w:divBdr>
        </w:div>
        <w:div w:id="1922719756">
          <w:marLeft w:val="0"/>
          <w:marRight w:val="0"/>
          <w:marTop w:val="0"/>
          <w:marBottom w:val="0"/>
          <w:divBdr>
            <w:top w:val="none" w:sz="0" w:space="0" w:color="auto"/>
            <w:left w:val="none" w:sz="0" w:space="0" w:color="auto"/>
            <w:bottom w:val="none" w:sz="0" w:space="0" w:color="auto"/>
            <w:right w:val="none" w:sz="0" w:space="0" w:color="auto"/>
          </w:divBdr>
        </w:div>
        <w:div w:id="1298028763">
          <w:marLeft w:val="0"/>
          <w:marRight w:val="0"/>
          <w:marTop w:val="0"/>
          <w:marBottom w:val="0"/>
          <w:divBdr>
            <w:top w:val="none" w:sz="0" w:space="0" w:color="auto"/>
            <w:left w:val="none" w:sz="0" w:space="0" w:color="auto"/>
            <w:bottom w:val="none" w:sz="0" w:space="0" w:color="auto"/>
            <w:right w:val="none" w:sz="0" w:space="0" w:color="auto"/>
          </w:divBdr>
        </w:div>
        <w:div w:id="1604805858">
          <w:marLeft w:val="0"/>
          <w:marRight w:val="0"/>
          <w:marTop w:val="0"/>
          <w:marBottom w:val="0"/>
          <w:divBdr>
            <w:top w:val="none" w:sz="0" w:space="0" w:color="auto"/>
            <w:left w:val="none" w:sz="0" w:space="0" w:color="auto"/>
            <w:bottom w:val="none" w:sz="0" w:space="0" w:color="auto"/>
            <w:right w:val="none" w:sz="0" w:space="0" w:color="auto"/>
          </w:divBdr>
        </w:div>
        <w:div w:id="1464344618">
          <w:marLeft w:val="0"/>
          <w:marRight w:val="0"/>
          <w:marTop w:val="0"/>
          <w:marBottom w:val="0"/>
          <w:divBdr>
            <w:top w:val="none" w:sz="0" w:space="0" w:color="auto"/>
            <w:left w:val="none" w:sz="0" w:space="0" w:color="auto"/>
            <w:bottom w:val="none" w:sz="0" w:space="0" w:color="auto"/>
            <w:right w:val="none" w:sz="0" w:space="0" w:color="auto"/>
          </w:divBdr>
        </w:div>
        <w:div w:id="2040427706">
          <w:marLeft w:val="0"/>
          <w:marRight w:val="0"/>
          <w:marTop w:val="0"/>
          <w:marBottom w:val="0"/>
          <w:divBdr>
            <w:top w:val="none" w:sz="0" w:space="0" w:color="auto"/>
            <w:left w:val="none" w:sz="0" w:space="0" w:color="auto"/>
            <w:bottom w:val="none" w:sz="0" w:space="0" w:color="auto"/>
            <w:right w:val="none" w:sz="0" w:space="0" w:color="auto"/>
          </w:divBdr>
        </w:div>
        <w:div w:id="922110349">
          <w:marLeft w:val="0"/>
          <w:marRight w:val="0"/>
          <w:marTop w:val="0"/>
          <w:marBottom w:val="0"/>
          <w:divBdr>
            <w:top w:val="none" w:sz="0" w:space="0" w:color="auto"/>
            <w:left w:val="none" w:sz="0" w:space="0" w:color="auto"/>
            <w:bottom w:val="none" w:sz="0" w:space="0" w:color="auto"/>
            <w:right w:val="none" w:sz="0" w:space="0" w:color="auto"/>
          </w:divBdr>
        </w:div>
        <w:div w:id="1182474733">
          <w:marLeft w:val="0"/>
          <w:marRight w:val="0"/>
          <w:marTop w:val="0"/>
          <w:marBottom w:val="0"/>
          <w:divBdr>
            <w:top w:val="none" w:sz="0" w:space="0" w:color="auto"/>
            <w:left w:val="none" w:sz="0" w:space="0" w:color="auto"/>
            <w:bottom w:val="none" w:sz="0" w:space="0" w:color="auto"/>
            <w:right w:val="none" w:sz="0" w:space="0" w:color="auto"/>
          </w:divBdr>
        </w:div>
        <w:div w:id="207034271">
          <w:marLeft w:val="0"/>
          <w:marRight w:val="0"/>
          <w:marTop w:val="0"/>
          <w:marBottom w:val="0"/>
          <w:divBdr>
            <w:top w:val="none" w:sz="0" w:space="0" w:color="auto"/>
            <w:left w:val="none" w:sz="0" w:space="0" w:color="auto"/>
            <w:bottom w:val="none" w:sz="0" w:space="0" w:color="auto"/>
            <w:right w:val="none" w:sz="0" w:space="0" w:color="auto"/>
          </w:divBdr>
        </w:div>
        <w:div w:id="1275477824">
          <w:marLeft w:val="0"/>
          <w:marRight w:val="0"/>
          <w:marTop w:val="0"/>
          <w:marBottom w:val="0"/>
          <w:divBdr>
            <w:top w:val="none" w:sz="0" w:space="0" w:color="auto"/>
            <w:left w:val="none" w:sz="0" w:space="0" w:color="auto"/>
            <w:bottom w:val="none" w:sz="0" w:space="0" w:color="auto"/>
            <w:right w:val="none" w:sz="0" w:space="0" w:color="auto"/>
          </w:divBdr>
        </w:div>
        <w:div w:id="546528221">
          <w:marLeft w:val="0"/>
          <w:marRight w:val="0"/>
          <w:marTop w:val="0"/>
          <w:marBottom w:val="0"/>
          <w:divBdr>
            <w:top w:val="none" w:sz="0" w:space="0" w:color="auto"/>
            <w:left w:val="none" w:sz="0" w:space="0" w:color="auto"/>
            <w:bottom w:val="none" w:sz="0" w:space="0" w:color="auto"/>
            <w:right w:val="none" w:sz="0" w:space="0" w:color="auto"/>
          </w:divBdr>
        </w:div>
        <w:div w:id="1292202663">
          <w:marLeft w:val="0"/>
          <w:marRight w:val="0"/>
          <w:marTop w:val="0"/>
          <w:marBottom w:val="0"/>
          <w:divBdr>
            <w:top w:val="none" w:sz="0" w:space="0" w:color="auto"/>
            <w:left w:val="none" w:sz="0" w:space="0" w:color="auto"/>
            <w:bottom w:val="none" w:sz="0" w:space="0" w:color="auto"/>
            <w:right w:val="none" w:sz="0" w:space="0" w:color="auto"/>
          </w:divBdr>
        </w:div>
        <w:div w:id="443967304">
          <w:marLeft w:val="0"/>
          <w:marRight w:val="0"/>
          <w:marTop w:val="0"/>
          <w:marBottom w:val="0"/>
          <w:divBdr>
            <w:top w:val="none" w:sz="0" w:space="0" w:color="auto"/>
            <w:left w:val="none" w:sz="0" w:space="0" w:color="auto"/>
            <w:bottom w:val="none" w:sz="0" w:space="0" w:color="auto"/>
            <w:right w:val="none" w:sz="0" w:space="0" w:color="auto"/>
          </w:divBdr>
        </w:div>
        <w:div w:id="1429623185">
          <w:marLeft w:val="0"/>
          <w:marRight w:val="0"/>
          <w:marTop w:val="0"/>
          <w:marBottom w:val="0"/>
          <w:divBdr>
            <w:top w:val="none" w:sz="0" w:space="0" w:color="auto"/>
            <w:left w:val="none" w:sz="0" w:space="0" w:color="auto"/>
            <w:bottom w:val="none" w:sz="0" w:space="0" w:color="auto"/>
            <w:right w:val="none" w:sz="0" w:space="0" w:color="auto"/>
          </w:divBdr>
        </w:div>
        <w:div w:id="1089230931">
          <w:marLeft w:val="0"/>
          <w:marRight w:val="0"/>
          <w:marTop w:val="0"/>
          <w:marBottom w:val="0"/>
          <w:divBdr>
            <w:top w:val="none" w:sz="0" w:space="0" w:color="auto"/>
            <w:left w:val="none" w:sz="0" w:space="0" w:color="auto"/>
            <w:bottom w:val="none" w:sz="0" w:space="0" w:color="auto"/>
            <w:right w:val="none" w:sz="0" w:space="0" w:color="auto"/>
          </w:divBdr>
        </w:div>
        <w:div w:id="361790101">
          <w:marLeft w:val="0"/>
          <w:marRight w:val="0"/>
          <w:marTop w:val="0"/>
          <w:marBottom w:val="0"/>
          <w:divBdr>
            <w:top w:val="none" w:sz="0" w:space="0" w:color="auto"/>
            <w:left w:val="none" w:sz="0" w:space="0" w:color="auto"/>
            <w:bottom w:val="none" w:sz="0" w:space="0" w:color="auto"/>
            <w:right w:val="none" w:sz="0" w:space="0" w:color="auto"/>
          </w:divBdr>
        </w:div>
        <w:div w:id="1196701494">
          <w:marLeft w:val="0"/>
          <w:marRight w:val="0"/>
          <w:marTop w:val="0"/>
          <w:marBottom w:val="0"/>
          <w:divBdr>
            <w:top w:val="none" w:sz="0" w:space="0" w:color="auto"/>
            <w:left w:val="none" w:sz="0" w:space="0" w:color="auto"/>
            <w:bottom w:val="none" w:sz="0" w:space="0" w:color="auto"/>
            <w:right w:val="none" w:sz="0" w:space="0" w:color="auto"/>
          </w:divBdr>
        </w:div>
        <w:div w:id="529875127">
          <w:marLeft w:val="0"/>
          <w:marRight w:val="0"/>
          <w:marTop w:val="0"/>
          <w:marBottom w:val="0"/>
          <w:divBdr>
            <w:top w:val="none" w:sz="0" w:space="0" w:color="auto"/>
            <w:left w:val="none" w:sz="0" w:space="0" w:color="auto"/>
            <w:bottom w:val="none" w:sz="0" w:space="0" w:color="auto"/>
            <w:right w:val="none" w:sz="0" w:space="0" w:color="auto"/>
          </w:divBdr>
        </w:div>
        <w:div w:id="1214854322">
          <w:marLeft w:val="0"/>
          <w:marRight w:val="0"/>
          <w:marTop w:val="0"/>
          <w:marBottom w:val="0"/>
          <w:divBdr>
            <w:top w:val="none" w:sz="0" w:space="0" w:color="auto"/>
            <w:left w:val="none" w:sz="0" w:space="0" w:color="auto"/>
            <w:bottom w:val="none" w:sz="0" w:space="0" w:color="auto"/>
            <w:right w:val="none" w:sz="0" w:space="0" w:color="auto"/>
          </w:divBdr>
        </w:div>
        <w:div w:id="560870496">
          <w:marLeft w:val="0"/>
          <w:marRight w:val="0"/>
          <w:marTop w:val="0"/>
          <w:marBottom w:val="0"/>
          <w:divBdr>
            <w:top w:val="none" w:sz="0" w:space="0" w:color="auto"/>
            <w:left w:val="none" w:sz="0" w:space="0" w:color="auto"/>
            <w:bottom w:val="none" w:sz="0" w:space="0" w:color="auto"/>
            <w:right w:val="none" w:sz="0" w:space="0" w:color="auto"/>
          </w:divBdr>
        </w:div>
        <w:div w:id="1853639076">
          <w:marLeft w:val="0"/>
          <w:marRight w:val="0"/>
          <w:marTop w:val="0"/>
          <w:marBottom w:val="0"/>
          <w:divBdr>
            <w:top w:val="none" w:sz="0" w:space="0" w:color="auto"/>
            <w:left w:val="none" w:sz="0" w:space="0" w:color="auto"/>
            <w:bottom w:val="none" w:sz="0" w:space="0" w:color="auto"/>
            <w:right w:val="none" w:sz="0" w:space="0" w:color="auto"/>
          </w:divBdr>
        </w:div>
        <w:div w:id="1068110901">
          <w:marLeft w:val="0"/>
          <w:marRight w:val="0"/>
          <w:marTop w:val="0"/>
          <w:marBottom w:val="0"/>
          <w:divBdr>
            <w:top w:val="none" w:sz="0" w:space="0" w:color="auto"/>
            <w:left w:val="none" w:sz="0" w:space="0" w:color="auto"/>
            <w:bottom w:val="none" w:sz="0" w:space="0" w:color="auto"/>
            <w:right w:val="none" w:sz="0" w:space="0" w:color="auto"/>
          </w:divBdr>
        </w:div>
        <w:div w:id="1053580041">
          <w:marLeft w:val="0"/>
          <w:marRight w:val="0"/>
          <w:marTop w:val="0"/>
          <w:marBottom w:val="0"/>
          <w:divBdr>
            <w:top w:val="none" w:sz="0" w:space="0" w:color="auto"/>
            <w:left w:val="none" w:sz="0" w:space="0" w:color="auto"/>
            <w:bottom w:val="none" w:sz="0" w:space="0" w:color="auto"/>
            <w:right w:val="none" w:sz="0" w:space="0" w:color="auto"/>
          </w:divBdr>
        </w:div>
        <w:div w:id="364520263">
          <w:marLeft w:val="0"/>
          <w:marRight w:val="0"/>
          <w:marTop w:val="0"/>
          <w:marBottom w:val="0"/>
          <w:divBdr>
            <w:top w:val="none" w:sz="0" w:space="0" w:color="auto"/>
            <w:left w:val="none" w:sz="0" w:space="0" w:color="auto"/>
            <w:bottom w:val="none" w:sz="0" w:space="0" w:color="auto"/>
            <w:right w:val="none" w:sz="0" w:space="0" w:color="auto"/>
          </w:divBdr>
        </w:div>
        <w:div w:id="1898853120">
          <w:marLeft w:val="0"/>
          <w:marRight w:val="0"/>
          <w:marTop w:val="0"/>
          <w:marBottom w:val="0"/>
          <w:divBdr>
            <w:top w:val="none" w:sz="0" w:space="0" w:color="auto"/>
            <w:left w:val="none" w:sz="0" w:space="0" w:color="auto"/>
            <w:bottom w:val="none" w:sz="0" w:space="0" w:color="auto"/>
            <w:right w:val="none" w:sz="0" w:space="0" w:color="auto"/>
          </w:divBdr>
        </w:div>
        <w:div w:id="558979162">
          <w:marLeft w:val="0"/>
          <w:marRight w:val="0"/>
          <w:marTop w:val="0"/>
          <w:marBottom w:val="0"/>
          <w:divBdr>
            <w:top w:val="none" w:sz="0" w:space="0" w:color="auto"/>
            <w:left w:val="none" w:sz="0" w:space="0" w:color="auto"/>
            <w:bottom w:val="none" w:sz="0" w:space="0" w:color="auto"/>
            <w:right w:val="none" w:sz="0" w:space="0" w:color="auto"/>
          </w:divBdr>
        </w:div>
        <w:div w:id="136001062">
          <w:marLeft w:val="0"/>
          <w:marRight w:val="0"/>
          <w:marTop w:val="0"/>
          <w:marBottom w:val="0"/>
          <w:divBdr>
            <w:top w:val="none" w:sz="0" w:space="0" w:color="auto"/>
            <w:left w:val="none" w:sz="0" w:space="0" w:color="auto"/>
            <w:bottom w:val="none" w:sz="0" w:space="0" w:color="auto"/>
            <w:right w:val="none" w:sz="0" w:space="0" w:color="auto"/>
          </w:divBdr>
        </w:div>
        <w:div w:id="1562330258">
          <w:marLeft w:val="0"/>
          <w:marRight w:val="0"/>
          <w:marTop w:val="0"/>
          <w:marBottom w:val="0"/>
          <w:divBdr>
            <w:top w:val="none" w:sz="0" w:space="0" w:color="auto"/>
            <w:left w:val="none" w:sz="0" w:space="0" w:color="auto"/>
            <w:bottom w:val="none" w:sz="0" w:space="0" w:color="auto"/>
            <w:right w:val="none" w:sz="0" w:space="0" w:color="auto"/>
          </w:divBdr>
        </w:div>
        <w:div w:id="836581517">
          <w:marLeft w:val="0"/>
          <w:marRight w:val="0"/>
          <w:marTop w:val="0"/>
          <w:marBottom w:val="0"/>
          <w:divBdr>
            <w:top w:val="none" w:sz="0" w:space="0" w:color="auto"/>
            <w:left w:val="none" w:sz="0" w:space="0" w:color="auto"/>
            <w:bottom w:val="none" w:sz="0" w:space="0" w:color="auto"/>
            <w:right w:val="none" w:sz="0" w:space="0" w:color="auto"/>
          </w:divBdr>
        </w:div>
        <w:div w:id="341247980">
          <w:marLeft w:val="0"/>
          <w:marRight w:val="0"/>
          <w:marTop w:val="0"/>
          <w:marBottom w:val="0"/>
          <w:divBdr>
            <w:top w:val="none" w:sz="0" w:space="0" w:color="auto"/>
            <w:left w:val="none" w:sz="0" w:space="0" w:color="auto"/>
            <w:bottom w:val="none" w:sz="0" w:space="0" w:color="auto"/>
            <w:right w:val="none" w:sz="0" w:space="0" w:color="auto"/>
          </w:divBdr>
        </w:div>
        <w:div w:id="2123572748">
          <w:marLeft w:val="0"/>
          <w:marRight w:val="0"/>
          <w:marTop w:val="0"/>
          <w:marBottom w:val="0"/>
          <w:divBdr>
            <w:top w:val="none" w:sz="0" w:space="0" w:color="auto"/>
            <w:left w:val="none" w:sz="0" w:space="0" w:color="auto"/>
            <w:bottom w:val="none" w:sz="0" w:space="0" w:color="auto"/>
            <w:right w:val="none" w:sz="0" w:space="0" w:color="auto"/>
          </w:divBdr>
        </w:div>
        <w:div w:id="940726859">
          <w:marLeft w:val="0"/>
          <w:marRight w:val="0"/>
          <w:marTop w:val="0"/>
          <w:marBottom w:val="0"/>
          <w:divBdr>
            <w:top w:val="none" w:sz="0" w:space="0" w:color="auto"/>
            <w:left w:val="none" w:sz="0" w:space="0" w:color="auto"/>
            <w:bottom w:val="none" w:sz="0" w:space="0" w:color="auto"/>
            <w:right w:val="none" w:sz="0" w:space="0" w:color="auto"/>
          </w:divBdr>
        </w:div>
        <w:div w:id="390814359">
          <w:marLeft w:val="0"/>
          <w:marRight w:val="0"/>
          <w:marTop w:val="0"/>
          <w:marBottom w:val="0"/>
          <w:divBdr>
            <w:top w:val="none" w:sz="0" w:space="0" w:color="auto"/>
            <w:left w:val="none" w:sz="0" w:space="0" w:color="auto"/>
            <w:bottom w:val="none" w:sz="0" w:space="0" w:color="auto"/>
            <w:right w:val="none" w:sz="0" w:space="0" w:color="auto"/>
          </w:divBdr>
        </w:div>
        <w:div w:id="1656373965">
          <w:marLeft w:val="0"/>
          <w:marRight w:val="0"/>
          <w:marTop w:val="0"/>
          <w:marBottom w:val="0"/>
          <w:divBdr>
            <w:top w:val="none" w:sz="0" w:space="0" w:color="auto"/>
            <w:left w:val="none" w:sz="0" w:space="0" w:color="auto"/>
            <w:bottom w:val="none" w:sz="0" w:space="0" w:color="auto"/>
            <w:right w:val="none" w:sz="0" w:space="0" w:color="auto"/>
          </w:divBdr>
        </w:div>
        <w:div w:id="1515413878">
          <w:marLeft w:val="0"/>
          <w:marRight w:val="0"/>
          <w:marTop w:val="0"/>
          <w:marBottom w:val="0"/>
          <w:divBdr>
            <w:top w:val="none" w:sz="0" w:space="0" w:color="auto"/>
            <w:left w:val="none" w:sz="0" w:space="0" w:color="auto"/>
            <w:bottom w:val="none" w:sz="0" w:space="0" w:color="auto"/>
            <w:right w:val="none" w:sz="0" w:space="0" w:color="auto"/>
          </w:divBdr>
        </w:div>
        <w:div w:id="531042875">
          <w:marLeft w:val="0"/>
          <w:marRight w:val="0"/>
          <w:marTop w:val="0"/>
          <w:marBottom w:val="0"/>
          <w:divBdr>
            <w:top w:val="none" w:sz="0" w:space="0" w:color="auto"/>
            <w:left w:val="none" w:sz="0" w:space="0" w:color="auto"/>
            <w:bottom w:val="none" w:sz="0" w:space="0" w:color="auto"/>
            <w:right w:val="none" w:sz="0" w:space="0" w:color="auto"/>
          </w:divBdr>
        </w:div>
        <w:div w:id="2128960211">
          <w:marLeft w:val="0"/>
          <w:marRight w:val="0"/>
          <w:marTop w:val="0"/>
          <w:marBottom w:val="0"/>
          <w:divBdr>
            <w:top w:val="none" w:sz="0" w:space="0" w:color="auto"/>
            <w:left w:val="none" w:sz="0" w:space="0" w:color="auto"/>
            <w:bottom w:val="none" w:sz="0" w:space="0" w:color="auto"/>
            <w:right w:val="none" w:sz="0" w:space="0" w:color="auto"/>
          </w:divBdr>
        </w:div>
        <w:div w:id="1869945635">
          <w:marLeft w:val="0"/>
          <w:marRight w:val="0"/>
          <w:marTop w:val="0"/>
          <w:marBottom w:val="0"/>
          <w:divBdr>
            <w:top w:val="none" w:sz="0" w:space="0" w:color="auto"/>
            <w:left w:val="none" w:sz="0" w:space="0" w:color="auto"/>
            <w:bottom w:val="none" w:sz="0" w:space="0" w:color="auto"/>
            <w:right w:val="none" w:sz="0" w:space="0" w:color="auto"/>
          </w:divBdr>
        </w:div>
        <w:div w:id="224145818">
          <w:marLeft w:val="0"/>
          <w:marRight w:val="0"/>
          <w:marTop w:val="0"/>
          <w:marBottom w:val="0"/>
          <w:divBdr>
            <w:top w:val="none" w:sz="0" w:space="0" w:color="auto"/>
            <w:left w:val="none" w:sz="0" w:space="0" w:color="auto"/>
            <w:bottom w:val="none" w:sz="0" w:space="0" w:color="auto"/>
            <w:right w:val="none" w:sz="0" w:space="0" w:color="auto"/>
          </w:divBdr>
        </w:div>
        <w:div w:id="2106227124">
          <w:marLeft w:val="0"/>
          <w:marRight w:val="0"/>
          <w:marTop w:val="0"/>
          <w:marBottom w:val="0"/>
          <w:divBdr>
            <w:top w:val="none" w:sz="0" w:space="0" w:color="auto"/>
            <w:left w:val="none" w:sz="0" w:space="0" w:color="auto"/>
            <w:bottom w:val="none" w:sz="0" w:space="0" w:color="auto"/>
            <w:right w:val="none" w:sz="0" w:space="0" w:color="auto"/>
          </w:divBdr>
        </w:div>
        <w:div w:id="240138365">
          <w:marLeft w:val="0"/>
          <w:marRight w:val="0"/>
          <w:marTop w:val="0"/>
          <w:marBottom w:val="0"/>
          <w:divBdr>
            <w:top w:val="none" w:sz="0" w:space="0" w:color="auto"/>
            <w:left w:val="none" w:sz="0" w:space="0" w:color="auto"/>
            <w:bottom w:val="none" w:sz="0" w:space="0" w:color="auto"/>
            <w:right w:val="none" w:sz="0" w:space="0" w:color="auto"/>
          </w:divBdr>
        </w:div>
        <w:div w:id="831067507">
          <w:marLeft w:val="0"/>
          <w:marRight w:val="0"/>
          <w:marTop w:val="0"/>
          <w:marBottom w:val="0"/>
          <w:divBdr>
            <w:top w:val="none" w:sz="0" w:space="0" w:color="auto"/>
            <w:left w:val="none" w:sz="0" w:space="0" w:color="auto"/>
            <w:bottom w:val="none" w:sz="0" w:space="0" w:color="auto"/>
            <w:right w:val="none" w:sz="0" w:space="0" w:color="auto"/>
          </w:divBdr>
        </w:div>
        <w:div w:id="1969510901">
          <w:marLeft w:val="0"/>
          <w:marRight w:val="0"/>
          <w:marTop w:val="0"/>
          <w:marBottom w:val="0"/>
          <w:divBdr>
            <w:top w:val="none" w:sz="0" w:space="0" w:color="auto"/>
            <w:left w:val="none" w:sz="0" w:space="0" w:color="auto"/>
            <w:bottom w:val="none" w:sz="0" w:space="0" w:color="auto"/>
            <w:right w:val="none" w:sz="0" w:space="0" w:color="auto"/>
          </w:divBdr>
        </w:div>
        <w:div w:id="531966780">
          <w:marLeft w:val="0"/>
          <w:marRight w:val="0"/>
          <w:marTop w:val="0"/>
          <w:marBottom w:val="0"/>
          <w:divBdr>
            <w:top w:val="none" w:sz="0" w:space="0" w:color="auto"/>
            <w:left w:val="none" w:sz="0" w:space="0" w:color="auto"/>
            <w:bottom w:val="none" w:sz="0" w:space="0" w:color="auto"/>
            <w:right w:val="none" w:sz="0" w:space="0" w:color="auto"/>
          </w:divBdr>
        </w:div>
        <w:div w:id="882982528">
          <w:marLeft w:val="0"/>
          <w:marRight w:val="0"/>
          <w:marTop w:val="0"/>
          <w:marBottom w:val="0"/>
          <w:divBdr>
            <w:top w:val="none" w:sz="0" w:space="0" w:color="auto"/>
            <w:left w:val="none" w:sz="0" w:space="0" w:color="auto"/>
            <w:bottom w:val="none" w:sz="0" w:space="0" w:color="auto"/>
            <w:right w:val="none" w:sz="0" w:space="0" w:color="auto"/>
          </w:divBdr>
        </w:div>
        <w:div w:id="1295991401">
          <w:marLeft w:val="0"/>
          <w:marRight w:val="0"/>
          <w:marTop w:val="0"/>
          <w:marBottom w:val="0"/>
          <w:divBdr>
            <w:top w:val="none" w:sz="0" w:space="0" w:color="auto"/>
            <w:left w:val="none" w:sz="0" w:space="0" w:color="auto"/>
            <w:bottom w:val="none" w:sz="0" w:space="0" w:color="auto"/>
            <w:right w:val="none" w:sz="0" w:space="0" w:color="auto"/>
          </w:divBdr>
        </w:div>
        <w:div w:id="1641694817">
          <w:marLeft w:val="0"/>
          <w:marRight w:val="0"/>
          <w:marTop w:val="0"/>
          <w:marBottom w:val="0"/>
          <w:divBdr>
            <w:top w:val="none" w:sz="0" w:space="0" w:color="auto"/>
            <w:left w:val="none" w:sz="0" w:space="0" w:color="auto"/>
            <w:bottom w:val="none" w:sz="0" w:space="0" w:color="auto"/>
            <w:right w:val="none" w:sz="0" w:space="0" w:color="auto"/>
          </w:divBdr>
        </w:div>
        <w:div w:id="273708635">
          <w:marLeft w:val="0"/>
          <w:marRight w:val="0"/>
          <w:marTop w:val="0"/>
          <w:marBottom w:val="0"/>
          <w:divBdr>
            <w:top w:val="none" w:sz="0" w:space="0" w:color="auto"/>
            <w:left w:val="none" w:sz="0" w:space="0" w:color="auto"/>
            <w:bottom w:val="none" w:sz="0" w:space="0" w:color="auto"/>
            <w:right w:val="none" w:sz="0" w:space="0" w:color="auto"/>
          </w:divBdr>
        </w:div>
        <w:div w:id="520319701">
          <w:marLeft w:val="0"/>
          <w:marRight w:val="0"/>
          <w:marTop w:val="0"/>
          <w:marBottom w:val="0"/>
          <w:divBdr>
            <w:top w:val="none" w:sz="0" w:space="0" w:color="auto"/>
            <w:left w:val="none" w:sz="0" w:space="0" w:color="auto"/>
            <w:bottom w:val="none" w:sz="0" w:space="0" w:color="auto"/>
            <w:right w:val="none" w:sz="0" w:space="0" w:color="auto"/>
          </w:divBdr>
        </w:div>
        <w:div w:id="2003852198">
          <w:marLeft w:val="0"/>
          <w:marRight w:val="0"/>
          <w:marTop w:val="0"/>
          <w:marBottom w:val="0"/>
          <w:divBdr>
            <w:top w:val="none" w:sz="0" w:space="0" w:color="auto"/>
            <w:left w:val="none" w:sz="0" w:space="0" w:color="auto"/>
            <w:bottom w:val="none" w:sz="0" w:space="0" w:color="auto"/>
            <w:right w:val="none" w:sz="0" w:space="0" w:color="auto"/>
          </w:divBdr>
        </w:div>
      </w:divsChild>
    </w:div>
    <w:div w:id="664743516">
      <w:bodyDiv w:val="1"/>
      <w:marLeft w:val="0"/>
      <w:marRight w:val="0"/>
      <w:marTop w:val="0"/>
      <w:marBottom w:val="0"/>
      <w:divBdr>
        <w:top w:val="none" w:sz="0" w:space="0" w:color="auto"/>
        <w:left w:val="none" w:sz="0" w:space="0" w:color="auto"/>
        <w:bottom w:val="none" w:sz="0" w:space="0" w:color="auto"/>
        <w:right w:val="none" w:sz="0" w:space="0" w:color="auto"/>
      </w:divBdr>
      <w:divsChild>
        <w:div w:id="1801263982">
          <w:marLeft w:val="0"/>
          <w:marRight w:val="0"/>
          <w:marTop w:val="0"/>
          <w:marBottom w:val="0"/>
          <w:divBdr>
            <w:top w:val="none" w:sz="0" w:space="0" w:color="auto"/>
            <w:left w:val="none" w:sz="0" w:space="0" w:color="auto"/>
            <w:bottom w:val="none" w:sz="0" w:space="0" w:color="auto"/>
            <w:right w:val="none" w:sz="0" w:space="0" w:color="auto"/>
          </w:divBdr>
        </w:div>
        <w:div w:id="1643729178">
          <w:marLeft w:val="0"/>
          <w:marRight w:val="0"/>
          <w:marTop w:val="0"/>
          <w:marBottom w:val="0"/>
          <w:divBdr>
            <w:top w:val="none" w:sz="0" w:space="0" w:color="auto"/>
            <w:left w:val="none" w:sz="0" w:space="0" w:color="auto"/>
            <w:bottom w:val="none" w:sz="0" w:space="0" w:color="auto"/>
            <w:right w:val="none" w:sz="0" w:space="0" w:color="auto"/>
          </w:divBdr>
        </w:div>
        <w:div w:id="2136605514">
          <w:marLeft w:val="0"/>
          <w:marRight w:val="0"/>
          <w:marTop w:val="0"/>
          <w:marBottom w:val="0"/>
          <w:divBdr>
            <w:top w:val="none" w:sz="0" w:space="0" w:color="auto"/>
            <w:left w:val="none" w:sz="0" w:space="0" w:color="auto"/>
            <w:bottom w:val="none" w:sz="0" w:space="0" w:color="auto"/>
            <w:right w:val="none" w:sz="0" w:space="0" w:color="auto"/>
          </w:divBdr>
        </w:div>
        <w:div w:id="949748782">
          <w:marLeft w:val="0"/>
          <w:marRight w:val="0"/>
          <w:marTop w:val="0"/>
          <w:marBottom w:val="0"/>
          <w:divBdr>
            <w:top w:val="none" w:sz="0" w:space="0" w:color="auto"/>
            <w:left w:val="none" w:sz="0" w:space="0" w:color="auto"/>
            <w:bottom w:val="none" w:sz="0" w:space="0" w:color="auto"/>
            <w:right w:val="none" w:sz="0" w:space="0" w:color="auto"/>
          </w:divBdr>
        </w:div>
        <w:div w:id="1856648303">
          <w:marLeft w:val="0"/>
          <w:marRight w:val="0"/>
          <w:marTop w:val="0"/>
          <w:marBottom w:val="0"/>
          <w:divBdr>
            <w:top w:val="none" w:sz="0" w:space="0" w:color="auto"/>
            <w:left w:val="none" w:sz="0" w:space="0" w:color="auto"/>
            <w:bottom w:val="none" w:sz="0" w:space="0" w:color="auto"/>
            <w:right w:val="none" w:sz="0" w:space="0" w:color="auto"/>
          </w:divBdr>
        </w:div>
        <w:div w:id="585067800">
          <w:marLeft w:val="0"/>
          <w:marRight w:val="0"/>
          <w:marTop w:val="0"/>
          <w:marBottom w:val="0"/>
          <w:divBdr>
            <w:top w:val="none" w:sz="0" w:space="0" w:color="auto"/>
            <w:left w:val="none" w:sz="0" w:space="0" w:color="auto"/>
            <w:bottom w:val="none" w:sz="0" w:space="0" w:color="auto"/>
            <w:right w:val="none" w:sz="0" w:space="0" w:color="auto"/>
          </w:divBdr>
        </w:div>
        <w:div w:id="1590652117">
          <w:marLeft w:val="0"/>
          <w:marRight w:val="0"/>
          <w:marTop w:val="0"/>
          <w:marBottom w:val="0"/>
          <w:divBdr>
            <w:top w:val="none" w:sz="0" w:space="0" w:color="auto"/>
            <w:left w:val="none" w:sz="0" w:space="0" w:color="auto"/>
            <w:bottom w:val="none" w:sz="0" w:space="0" w:color="auto"/>
            <w:right w:val="none" w:sz="0" w:space="0" w:color="auto"/>
          </w:divBdr>
        </w:div>
        <w:div w:id="1423987219">
          <w:marLeft w:val="0"/>
          <w:marRight w:val="0"/>
          <w:marTop w:val="0"/>
          <w:marBottom w:val="0"/>
          <w:divBdr>
            <w:top w:val="none" w:sz="0" w:space="0" w:color="auto"/>
            <w:left w:val="none" w:sz="0" w:space="0" w:color="auto"/>
            <w:bottom w:val="none" w:sz="0" w:space="0" w:color="auto"/>
            <w:right w:val="none" w:sz="0" w:space="0" w:color="auto"/>
          </w:divBdr>
        </w:div>
        <w:div w:id="1247956093">
          <w:marLeft w:val="0"/>
          <w:marRight w:val="0"/>
          <w:marTop w:val="0"/>
          <w:marBottom w:val="0"/>
          <w:divBdr>
            <w:top w:val="none" w:sz="0" w:space="0" w:color="auto"/>
            <w:left w:val="none" w:sz="0" w:space="0" w:color="auto"/>
            <w:bottom w:val="none" w:sz="0" w:space="0" w:color="auto"/>
            <w:right w:val="none" w:sz="0" w:space="0" w:color="auto"/>
          </w:divBdr>
        </w:div>
        <w:div w:id="2041514475">
          <w:marLeft w:val="0"/>
          <w:marRight w:val="0"/>
          <w:marTop w:val="0"/>
          <w:marBottom w:val="0"/>
          <w:divBdr>
            <w:top w:val="none" w:sz="0" w:space="0" w:color="auto"/>
            <w:left w:val="none" w:sz="0" w:space="0" w:color="auto"/>
            <w:bottom w:val="none" w:sz="0" w:space="0" w:color="auto"/>
            <w:right w:val="none" w:sz="0" w:space="0" w:color="auto"/>
          </w:divBdr>
        </w:div>
        <w:div w:id="2044791878">
          <w:marLeft w:val="0"/>
          <w:marRight w:val="0"/>
          <w:marTop w:val="0"/>
          <w:marBottom w:val="0"/>
          <w:divBdr>
            <w:top w:val="none" w:sz="0" w:space="0" w:color="auto"/>
            <w:left w:val="none" w:sz="0" w:space="0" w:color="auto"/>
            <w:bottom w:val="none" w:sz="0" w:space="0" w:color="auto"/>
            <w:right w:val="none" w:sz="0" w:space="0" w:color="auto"/>
          </w:divBdr>
        </w:div>
        <w:div w:id="1783182776">
          <w:marLeft w:val="0"/>
          <w:marRight w:val="0"/>
          <w:marTop w:val="0"/>
          <w:marBottom w:val="0"/>
          <w:divBdr>
            <w:top w:val="none" w:sz="0" w:space="0" w:color="auto"/>
            <w:left w:val="none" w:sz="0" w:space="0" w:color="auto"/>
            <w:bottom w:val="none" w:sz="0" w:space="0" w:color="auto"/>
            <w:right w:val="none" w:sz="0" w:space="0" w:color="auto"/>
          </w:divBdr>
        </w:div>
        <w:div w:id="1798907457">
          <w:marLeft w:val="0"/>
          <w:marRight w:val="0"/>
          <w:marTop w:val="0"/>
          <w:marBottom w:val="0"/>
          <w:divBdr>
            <w:top w:val="none" w:sz="0" w:space="0" w:color="auto"/>
            <w:left w:val="none" w:sz="0" w:space="0" w:color="auto"/>
            <w:bottom w:val="none" w:sz="0" w:space="0" w:color="auto"/>
            <w:right w:val="none" w:sz="0" w:space="0" w:color="auto"/>
          </w:divBdr>
        </w:div>
        <w:div w:id="353578167">
          <w:marLeft w:val="0"/>
          <w:marRight w:val="0"/>
          <w:marTop w:val="0"/>
          <w:marBottom w:val="0"/>
          <w:divBdr>
            <w:top w:val="none" w:sz="0" w:space="0" w:color="auto"/>
            <w:left w:val="none" w:sz="0" w:space="0" w:color="auto"/>
            <w:bottom w:val="none" w:sz="0" w:space="0" w:color="auto"/>
            <w:right w:val="none" w:sz="0" w:space="0" w:color="auto"/>
          </w:divBdr>
        </w:div>
        <w:div w:id="1853184771">
          <w:marLeft w:val="0"/>
          <w:marRight w:val="0"/>
          <w:marTop w:val="0"/>
          <w:marBottom w:val="0"/>
          <w:divBdr>
            <w:top w:val="none" w:sz="0" w:space="0" w:color="auto"/>
            <w:left w:val="none" w:sz="0" w:space="0" w:color="auto"/>
            <w:bottom w:val="none" w:sz="0" w:space="0" w:color="auto"/>
            <w:right w:val="none" w:sz="0" w:space="0" w:color="auto"/>
          </w:divBdr>
        </w:div>
        <w:div w:id="432669750">
          <w:marLeft w:val="0"/>
          <w:marRight w:val="0"/>
          <w:marTop w:val="0"/>
          <w:marBottom w:val="0"/>
          <w:divBdr>
            <w:top w:val="none" w:sz="0" w:space="0" w:color="auto"/>
            <w:left w:val="none" w:sz="0" w:space="0" w:color="auto"/>
            <w:bottom w:val="none" w:sz="0" w:space="0" w:color="auto"/>
            <w:right w:val="none" w:sz="0" w:space="0" w:color="auto"/>
          </w:divBdr>
        </w:div>
        <w:div w:id="70856876">
          <w:marLeft w:val="0"/>
          <w:marRight w:val="0"/>
          <w:marTop w:val="0"/>
          <w:marBottom w:val="0"/>
          <w:divBdr>
            <w:top w:val="none" w:sz="0" w:space="0" w:color="auto"/>
            <w:left w:val="none" w:sz="0" w:space="0" w:color="auto"/>
            <w:bottom w:val="none" w:sz="0" w:space="0" w:color="auto"/>
            <w:right w:val="none" w:sz="0" w:space="0" w:color="auto"/>
          </w:divBdr>
        </w:div>
        <w:div w:id="987393563">
          <w:marLeft w:val="0"/>
          <w:marRight w:val="0"/>
          <w:marTop w:val="0"/>
          <w:marBottom w:val="0"/>
          <w:divBdr>
            <w:top w:val="none" w:sz="0" w:space="0" w:color="auto"/>
            <w:left w:val="none" w:sz="0" w:space="0" w:color="auto"/>
            <w:bottom w:val="none" w:sz="0" w:space="0" w:color="auto"/>
            <w:right w:val="none" w:sz="0" w:space="0" w:color="auto"/>
          </w:divBdr>
        </w:div>
        <w:div w:id="634873655">
          <w:marLeft w:val="0"/>
          <w:marRight w:val="0"/>
          <w:marTop w:val="0"/>
          <w:marBottom w:val="0"/>
          <w:divBdr>
            <w:top w:val="none" w:sz="0" w:space="0" w:color="auto"/>
            <w:left w:val="none" w:sz="0" w:space="0" w:color="auto"/>
            <w:bottom w:val="none" w:sz="0" w:space="0" w:color="auto"/>
            <w:right w:val="none" w:sz="0" w:space="0" w:color="auto"/>
          </w:divBdr>
        </w:div>
        <w:div w:id="1445494152">
          <w:marLeft w:val="0"/>
          <w:marRight w:val="0"/>
          <w:marTop w:val="0"/>
          <w:marBottom w:val="0"/>
          <w:divBdr>
            <w:top w:val="none" w:sz="0" w:space="0" w:color="auto"/>
            <w:left w:val="none" w:sz="0" w:space="0" w:color="auto"/>
            <w:bottom w:val="none" w:sz="0" w:space="0" w:color="auto"/>
            <w:right w:val="none" w:sz="0" w:space="0" w:color="auto"/>
          </w:divBdr>
        </w:div>
        <w:div w:id="141702403">
          <w:marLeft w:val="0"/>
          <w:marRight w:val="0"/>
          <w:marTop w:val="0"/>
          <w:marBottom w:val="0"/>
          <w:divBdr>
            <w:top w:val="none" w:sz="0" w:space="0" w:color="auto"/>
            <w:left w:val="none" w:sz="0" w:space="0" w:color="auto"/>
            <w:bottom w:val="none" w:sz="0" w:space="0" w:color="auto"/>
            <w:right w:val="none" w:sz="0" w:space="0" w:color="auto"/>
          </w:divBdr>
        </w:div>
        <w:div w:id="1304198607">
          <w:marLeft w:val="0"/>
          <w:marRight w:val="0"/>
          <w:marTop w:val="0"/>
          <w:marBottom w:val="0"/>
          <w:divBdr>
            <w:top w:val="none" w:sz="0" w:space="0" w:color="auto"/>
            <w:left w:val="none" w:sz="0" w:space="0" w:color="auto"/>
            <w:bottom w:val="none" w:sz="0" w:space="0" w:color="auto"/>
            <w:right w:val="none" w:sz="0" w:space="0" w:color="auto"/>
          </w:divBdr>
        </w:div>
        <w:div w:id="368185967">
          <w:marLeft w:val="0"/>
          <w:marRight w:val="0"/>
          <w:marTop w:val="0"/>
          <w:marBottom w:val="0"/>
          <w:divBdr>
            <w:top w:val="none" w:sz="0" w:space="0" w:color="auto"/>
            <w:left w:val="none" w:sz="0" w:space="0" w:color="auto"/>
            <w:bottom w:val="none" w:sz="0" w:space="0" w:color="auto"/>
            <w:right w:val="none" w:sz="0" w:space="0" w:color="auto"/>
          </w:divBdr>
        </w:div>
      </w:divsChild>
    </w:div>
    <w:div w:id="1252543600">
      <w:bodyDiv w:val="1"/>
      <w:marLeft w:val="0"/>
      <w:marRight w:val="0"/>
      <w:marTop w:val="0"/>
      <w:marBottom w:val="0"/>
      <w:divBdr>
        <w:top w:val="none" w:sz="0" w:space="0" w:color="auto"/>
        <w:left w:val="none" w:sz="0" w:space="0" w:color="auto"/>
        <w:bottom w:val="none" w:sz="0" w:space="0" w:color="auto"/>
        <w:right w:val="none" w:sz="0" w:space="0" w:color="auto"/>
      </w:divBdr>
      <w:divsChild>
        <w:div w:id="1451587900">
          <w:marLeft w:val="0"/>
          <w:marRight w:val="0"/>
          <w:marTop w:val="0"/>
          <w:marBottom w:val="0"/>
          <w:divBdr>
            <w:top w:val="none" w:sz="0" w:space="0" w:color="auto"/>
            <w:left w:val="none" w:sz="0" w:space="0" w:color="auto"/>
            <w:bottom w:val="none" w:sz="0" w:space="0" w:color="auto"/>
            <w:right w:val="none" w:sz="0" w:space="0" w:color="auto"/>
          </w:divBdr>
        </w:div>
        <w:div w:id="777024348">
          <w:marLeft w:val="0"/>
          <w:marRight w:val="0"/>
          <w:marTop w:val="0"/>
          <w:marBottom w:val="0"/>
          <w:divBdr>
            <w:top w:val="none" w:sz="0" w:space="0" w:color="auto"/>
            <w:left w:val="none" w:sz="0" w:space="0" w:color="auto"/>
            <w:bottom w:val="none" w:sz="0" w:space="0" w:color="auto"/>
            <w:right w:val="none" w:sz="0" w:space="0" w:color="auto"/>
          </w:divBdr>
        </w:div>
        <w:div w:id="851837199">
          <w:marLeft w:val="0"/>
          <w:marRight w:val="0"/>
          <w:marTop w:val="0"/>
          <w:marBottom w:val="0"/>
          <w:divBdr>
            <w:top w:val="none" w:sz="0" w:space="0" w:color="auto"/>
            <w:left w:val="none" w:sz="0" w:space="0" w:color="auto"/>
            <w:bottom w:val="none" w:sz="0" w:space="0" w:color="auto"/>
            <w:right w:val="none" w:sz="0" w:space="0" w:color="auto"/>
          </w:divBdr>
        </w:div>
        <w:div w:id="370738425">
          <w:marLeft w:val="0"/>
          <w:marRight w:val="0"/>
          <w:marTop w:val="0"/>
          <w:marBottom w:val="0"/>
          <w:divBdr>
            <w:top w:val="none" w:sz="0" w:space="0" w:color="auto"/>
            <w:left w:val="none" w:sz="0" w:space="0" w:color="auto"/>
            <w:bottom w:val="none" w:sz="0" w:space="0" w:color="auto"/>
            <w:right w:val="none" w:sz="0" w:space="0" w:color="auto"/>
          </w:divBdr>
        </w:div>
      </w:divsChild>
    </w:div>
    <w:div w:id="1320427109">
      <w:bodyDiv w:val="1"/>
      <w:marLeft w:val="0"/>
      <w:marRight w:val="0"/>
      <w:marTop w:val="0"/>
      <w:marBottom w:val="0"/>
      <w:divBdr>
        <w:top w:val="none" w:sz="0" w:space="0" w:color="auto"/>
        <w:left w:val="none" w:sz="0" w:space="0" w:color="auto"/>
        <w:bottom w:val="none" w:sz="0" w:space="0" w:color="auto"/>
        <w:right w:val="none" w:sz="0" w:space="0" w:color="auto"/>
      </w:divBdr>
      <w:divsChild>
        <w:div w:id="1150370593">
          <w:marLeft w:val="0"/>
          <w:marRight w:val="0"/>
          <w:marTop w:val="0"/>
          <w:marBottom w:val="0"/>
          <w:divBdr>
            <w:top w:val="none" w:sz="0" w:space="0" w:color="auto"/>
            <w:left w:val="none" w:sz="0" w:space="0" w:color="auto"/>
            <w:bottom w:val="none" w:sz="0" w:space="0" w:color="auto"/>
            <w:right w:val="none" w:sz="0" w:space="0" w:color="auto"/>
          </w:divBdr>
        </w:div>
        <w:div w:id="1618171004">
          <w:marLeft w:val="0"/>
          <w:marRight w:val="0"/>
          <w:marTop w:val="0"/>
          <w:marBottom w:val="0"/>
          <w:divBdr>
            <w:top w:val="none" w:sz="0" w:space="0" w:color="auto"/>
            <w:left w:val="none" w:sz="0" w:space="0" w:color="auto"/>
            <w:bottom w:val="none" w:sz="0" w:space="0" w:color="auto"/>
            <w:right w:val="none" w:sz="0" w:space="0" w:color="auto"/>
          </w:divBdr>
        </w:div>
        <w:div w:id="1255821767">
          <w:marLeft w:val="0"/>
          <w:marRight w:val="0"/>
          <w:marTop w:val="0"/>
          <w:marBottom w:val="0"/>
          <w:divBdr>
            <w:top w:val="none" w:sz="0" w:space="0" w:color="auto"/>
            <w:left w:val="none" w:sz="0" w:space="0" w:color="auto"/>
            <w:bottom w:val="none" w:sz="0" w:space="0" w:color="auto"/>
            <w:right w:val="none" w:sz="0" w:space="0" w:color="auto"/>
          </w:divBdr>
        </w:div>
      </w:divsChild>
    </w:div>
    <w:div w:id="1754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advance.lexis.com/GoToContentView?requestid=b38022d4-f4b4-d171-3f0b-d629783867e&amp;crid=6c528b50-9fd3-ae55-e1c6-cda35a90e176" TargetMode="External"/><Relationship Id="rId39" Type="http://schemas.openxmlformats.org/officeDocument/2006/relationships/hyperlink" Target="mailto:lmcbride@calfee.com" TargetMode="External"/><Relationship Id="rId21" Type="http://schemas.openxmlformats.org/officeDocument/2006/relationships/hyperlink" Target="https://advance.lexis.com/GoToContentView?requestid=1db4424-74a4-5c92-e0f8-53568c15aea2,df0cb32f-94f2-1d33-c7b7-e8756fa248c,b587e68a-7a05-7eef-46ac-c584526d5569&amp;crid=404d173d-c056-e017-e355-a169793ff743" TargetMode="External"/><Relationship Id="rId34" Type="http://schemas.openxmlformats.org/officeDocument/2006/relationships/hyperlink" Target="mailto:mpritchard@mwncmh.com" TargetMode="External"/><Relationship Id="rId42" Type="http://schemas.openxmlformats.org/officeDocument/2006/relationships/hyperlink" Target="mailto:mohler@carpenterlipps.com" TargetMode="External"/><Relationship Id="rId47" Type="http://schemas.openxmlformats.org/officeDocument/2006/relationships/hyperlink" Target="mailto:dakutik@jonesday.com" TargetMode="External"/><Relationship Id="rId50" Type="http://schemas.openxmlformats.org/officeDocument/2006/relationships/hyperlink" Target="mailto:mjsatterwhite@aep.com" TargetMode="External"/><Relationship Id="rId55" Type="http://schemas.openxmlformats.org/officeDocument/2006/relationships/hyperlink" Target="mailto:asonderman@keglerbrown.com" TargetMode="External"/><Relationship Id="rId63" Type="http://schemas.openxmlformats.org/officeDocument/2006/relationships/hyperlink" Target="mailto:tobrien@bricker.com" TargetMode="External"/><Relationship Id="rId68" Type="http://schemas.openxmlformats.org/officeDocument/2006/relationships/hyperlink" Target="mailto:mhpetricoff@vorys.com" TargetMode="External"/><Relationship Id="rId76" Type="http://schemas.openxmlformats.org/officeDocument/2006/relationships/hyperlink" Target="mailto:dstahl@eimerstahl.com" TargetMode="Externa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mailto:Rdc_law@swbell.net"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John.jones@puc.state.oh.us" TargetMode="External"/><Relationship Id="rId11" Type="http://schemas.openxmlformats.org/officeDocument/2006/relationships/header" Target="header2.xml"/><Relationship Id="rId24" Type="http://schemas.openxmlformats.org/officeDocument/2006/relationships/hyperlink" Target="https://advance.lexis.com/GoToContentView?requestid=b38022d4-f4b4-d171-3f0b-d629783867e&amp;crid=6c528b50-9fd3-ae55-e1c6-cda35a90e176" TargetMode="External"/><Relationship Id="rId32" Type="http://schemas.openxmlformats.org/officeDocument/2006/relationships/hyperlink" Target="mailto:fdarr@mwncmh.com" TargetMode="External"/><Relationship Id="rId37" Type="http://schemas.openxmlformats.org/officeDocument/2006/relationships/hyperlink" Target="mailto:haydenm@firstenergycorp.com" TargetMode="External"/><Relationship Id="rId40" Type="http://schemas.openxmlformats.org/officeDocument/2006/relationships/hyperlink" Target="mailto:talexander@calfee.com" TargetMode="External"/><Relationship Id="rId45" Type="http://schemas.openxmlformats.org/officeDocument/2006/relationships/hyperlink" Target="mailto:randall.griffin@DPLINC.com" TargetMode="External"/><Relationship Id="rId53" Type="http://schemas.openxmlformats.org/officeDocument/2006/relationships/hyperlink" Target="mailto:mkimbrough@keglerbrown.com" TargetMode="External"/><Relationship Id="rId58" Type="http://schemas.openxmlformats.org/officeDocument/2006/relationships/hyperlink" Target="mailto:Jeanne.kingery@duke-energy.com" TargetMode="External"/><Relationship Id="rId66" Type="http://schemas.openxmlformats.org/officeDocument/2006/relationships/hyperlink" Target="mailto:jejadwin@aep.com" TargetMode="External"/><Relationship Id="rId74" Type="http://schemas.openxmlformats.org/officeDocument/2006/relationships/hyperlink" Target="mailto:Gary.A.Jeffries@dom.com" TargetMode="External"/><Relationship Id="rId79" Type="http://schemas.openxmlformats.org/officeDocument/2006/relationships/hyperlink" Target="mailto:Christine.pirik@puc.state.oh.us" TargetMode="External"/><Relationship Id="rId5" Type="http://schemas.openxmlformats.org/officeDocument/2006/relationships/webSettings" Target="webSettings.xml"/><Relationship Id="rId61" Type="http://schemas.openxmlformats.org/officeDocument/2006/relationships/hyperlink" Target="mailto:dboehm@BKLlawfirm.com" TargetMode="External"/><Relationship Id="rId82" Type="http://schemas.openxmlformats.org/officeDocument/2006/relationships/header" Target="header8.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ern@occ.state.oh.us" TargetMode="External"/><Relationship Id="rId14" Type="http://schemas.openxmlformats.org/officeDocument/2006/relationships/header" Target="header3.xml"/><Relationship Id="rId22" Type="http://schemas.openxmlformats.org/officeDocument/2006/relationships/hyperlink" Target="https://advance.lexis.com/GoToContentView?requestid=1db4424-74a4-5c92-e0f8-53568c15aea2,df0cb32f-94f2-1d33-c7b7-e8756fa248c,3645c45-3582-8587-df1b-58f6f35dc648&amp;crid=8e2993-38a2-d2c6-3966-3a9f1a4a1fe" TargetMode="External"/><Relationship Id="rId27" Type="http://schemas.openxmlformats.org/officeDocument/2006/relationships/hyperlink" Target="mailto:grady@occ.state.oh.us" TargetMode="External"/><Relationship Id="rId30" Type="http://schemas.openxmlformats.org/officeDocument/2006/relationships/hyperlink" Target="mailto:Steven.beeler@puc.state.oh.us" TargetMode="External"/><Relationship Id="rId35" Type="http://schemas.openxmlformats.org/officeDocument/2006/relationships/hyperlink" Target="mailto:cmooney2@columbus.rr.com" TargetMode="External"/><Relationship Id="rId43" Type="http://schemas.openxmlformats.org/officeDocument/2006/relationships/hyperlink" Target="mailto:joseph.strines@DPLINC.com" TargetMode="External"/><Relationship Id="rId48" Type="http://schemas.openxmlformats.org/officeDocument/2006/relationships/hyperlink" Target="mailto:aehaedt@jonesday.com" TargetMode="External"/><Relationship Id="rId56" Type="http://schemas.openxmlformats.org/officeDocument/2006/relationships/hyperlink" Target="mailto:mkimbrough@keglerbrown.com" TargetMode="External"/><Relationship Id="rId64" Type="http://schemas.openxmlformats.org/officeDocument/2006/relationships/hyperlink" Target="mailto:tsiwo@bricker.com" TargetMode="External"/><Relationship Id="rId69" Type="http://schemas.openxmlformats.org/officeDocument/2006/relationships/hyperlink" Target="mailto:smhoward@vorys.com" TargetMode="External"/><Relationship Id="rId77" Type="http://schemas.openxmlformats.org/officeDocument/2006/relationships/hyperlink" Target="mailto:ssolberg@eimerstahl.com" TargetMode="External"/><Relationship Id="rId8" Type="http://schemas.openxmlformats.org/officeDocument/2006/relationships/hyperlink" Target="mailto:grady@occ.state.oh.us" TargetMode="External"/><Relationship Id="rId51" Type="http://schemas.openxmlformats.org/officeDocument/2006/relationships/hyperlink" Target="mailto:kosterkamp@ralaw.com" TargetMode="External"/><Relationship Id="rId72" Type="http://schemas.openxmlformats.org/officeDocument/2006/relationships/hyperlink" Target="mailto:dakutik@jonesday.com" TargetMode="External"/><Relationship Id="rId80" Type="http://schemas.openxmlformats.org/officeDocument/2006/relationships/hyperlink" Target="mailto:Katie.stenman@puc.state.oh.us"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advance.lexis.com/GoToContentView?requestid=b38022d4-f4b4-d171-3f0b-d629783867e&amp;crid=6c528b50-9fd3-ae55-e1c6-cda35a90e176" TargetMode="External"/><Relationship Id="rId33" Type="http://schemas.openxmlformats.org/officeDocument/2006/relationships/hyperlink" Target="mailto:joliker@mwncmh.com" TargetMode="External"/><Relationship Id="rId38" Type="http://schemas.openxmlformats.org/officeDocument/2006/relationships/hyperlink" Target="mailto:jlang@calfee.com" TargetMode="External"/><Relationship Id="rId46" Type="http://schemas.openxmlformats.org/officeDocument/2006/relationships/hyperlink" Target="mailto:Devin.parram@puc.state.oh.us" TargetMode="External"/><Relationship Id="rId59" Type="http://schemas.openxmlformats.org/officeDocument/2006/relationships/hyperlink" Target="mailto:Elizabeth.watts@duke-energy.com" TargetMode="External"/><Relationship Id="rId67" Type="http://schemas.openxmlformats.org/officeDocument/2006/relationships/hyperlink" Target="mailto:yalami@aep.com" TargetMode="External"/><Relationship Id="rId20" Type="http://schemas.openxmlformats.org/officeDocument/2006/relationships/hyperlink" Target="https://advance.lexis.com/GoToContentView?requestid=e5a58b46-7feb-2db3-7805-c1f1dbfe5ed,710a93bf-ba5a-d50c-f1db-8e58d475e14,670cd741-694f-c280-d4f-5460223affec&amp;crid=2496e66-582b-e432-4a27-e59575b2997" TargetMode="External"/><Relationship Id="rId41" Type="http://schemas.openxmlformats.org/officeDocument/2006/relationships/hyperlink" Target="mailto:bojko@carpenterlipps.com" TargetMode="External"/><Relationship Id="rId54" Type="http://schemas.openxmlformats.org/officeDocument/2006/relationships/hyperlink" Target="mailto:wmassey@cov.com" TargetMode="External"/><Relationship Id="rId62" Type="http://schemas.openxmlformats.org/officeDocument/2006/relationships/hyperlink" Target="mailto:mkurtz@BKLlawfirm.com" TargetMode="External"/><Relationship Id="rId70" Type="http://schemas.openxmlformats.org/officeDocument/2006/relationships/hyperlink" Target="mailto:stnourse@aep.com" TargetMode="External"/><Relationship Id="rId75" Type="http://schemas.openxmlformats.org/officeDocument/2006/relationships/hyperlink" Target="mailto:aaragona@eimerstahl.com" TargetMode="Externa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dvance.lexis.com/GoToContentView?requestid=1db4424-74a4-5c92-e0f8-53568c15aea2,df0cb32f-94f2-1d33-c7b7-e8756fa248c,3645c45-3582-8587-df1b-58f6f35dc648&amp;crid=8e2993-38a2-d2c6-3966-3a9f1a4a1fe" TargetMode="External"/><Relationship Id="rId28" Type="http://schemas.openxmlformats.org/officeDocument/2006/relationships/hyperlink" Target="mailto:kern@occ.state.oh.us" TargetMode="External"/><Relationship Id="rId36" Type="http://schemas.openxmlformats.org/officeDocument/2006/relationships/hyperlink" Target="mailto:dhart@douglasehart.com" TargetMode="External"/><Relationship Id="rId49" Type="http://schemas.openxmlformats.org/officeDocument/2006/relationships/hyperlink" Target="mailto:jouett.brenzel@cinbell.com" TargetMode="External"/><Relationship Id="rId57" Type="http://schemas.openxmlformats.org/officeDocument/2006/relationships/hyperlink" Target="mailto:Amy.spiller@duke-energy.com" TargetMode="External"/><Relationship Id="rId10" Type="http://schemas.openxmlformats.org/officeDocument/2006/relationships/header" Target="header1.xml"/><Relationship Id="rId31" Type="http://schemas.openxmlformats.org/officeDocument/2006/relationships/hyperlink" Target="mailto:sam@mwncmh.com" TargetMode="External"/><Relationship Id="rId44" Type="http://schemas.openxmlformats.org/officeDocument/2006/relationships/hyperlink" Target="mailto:judi.sobecki@DPLINC.com" TargetMode="External"/><Relationship Id="rId52" Type="http://schemas.openxmlformats.org/officeDocument/2006/relationships/hyperlink" Target="mailto:asonderman@keglerbrown.com" TargetMode="External"/><Relationship Id="rId60" Type="http://schemas.openxmlformats.org/officeDocument/2006/relationships/hyperlink" Target="mailto:Rocco.DAscenzo@duke-energy.com" TargetMode="External"/><Relationship Id="rId65" Type="http://schemas.openxmlformats.org/officeDocument/2006/relationships/hyperlink" Target="mailto:mwarnock@bricker.com" TargetMode="External"/><Relationship Id="rId73" Type="http://schemas.openxmlformats.org/officeDocument/2006/relationships/hyperlink" Target="mailto:lfloyd@jonesday.com" TargetMode="External"/><Relationship Id="rId78" Type="http://schemas.openxmlformats.org/officeDocument/2006/relationships/hyperlink" Target="mailto:BarthRoyer@aol.com" TargetMode="External"/><Relationship Id="rId81" Type="http://schemas.openxmlformats.org/officeDocument/2006/relationships/header" Target="header7.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xis.com/research/buttonTFLink?_m=2caecc43769918e809a471b925092f7e&amp;_xfercite=%3ccite%20cc%3d%22USA%22%3e%3c%21%5bCDATA%5b85%20Ohio%20St.%203d%2087%5d%5d%3e%3c%2fcite%3e&amp;_butType=3&amp;_butStat=2&amp;_butNum=21&amp;_butInline=1&amp;_butinfo=%3ccite%20cc%3d%22USA%22%3e%3c%21%5bCDATA%5b67%20Ohio%20St.%202d%20153%5d%5d%3e%3c%2fcite%3e&amp;_fmtstr=FULL&amp;docnum=9&amp;_startdoc=1&amp;wchp=dGLzVzb-zSkAA&amp;_md5=db4716cef36b79d327178e4dd3dc7403" TargetMode="External"/><Relationship Id="rId2" Type="http://schemas.openxmlformats.org/officeDocument/2006/relationships/hyperlink" Target="http://www.lexis.com/research/buttonTFLink?_m=2caecc43769918e809a471b925092f7e&amp;_xfercite=%3ccite%20cc%3d%22USA%22%3e%3c%21%5bCDATA%5b85%20Ohio%20St.%203d%2087%5d%5d%3e%3c%2fcite%3e&amp;_butType=3&amp;_butStat=2&amp;_butNum=20&amp;_butInline=1&amp;_butinfo=%3ccite%20cc%3d%22USA%22%3e%3c%21%5bCDATA%5b68%20Ohio%20St.%202d%20181%5d%5d%3e%3c%2fcite%3e&amp;_fmtstr=FULL&amp;docnum=9&amp;_startdoc=1&amp;wchp=dGLzVzb-zSkAA&amp;_md5=101156eedd3d07426a7537c6709ad664" TargetMode="External"/><Relationship Id="rId1" Type="http://schemas.openxmlformats.org/officeDocument/2006/relationships/hyperlink" Target="http://www.lexis.com/research/buttonTFLink?_m=2caecc43769918e809a471b925092f7e&amp;_xfercite=%3ccite%20cc%3d%22USA%22%3e%3c%21%5bCDATA%5b85%20Ohio%20St.%203d%2087%5d%5d%3e%3c%2fcite%3e&amp;_butType=3&amp;_butStat=2&amp;_butNum=19&amp;_butInline=1&amp;_butinfo=%3ccite%20cc%3d%22USA%22%3e%3c%21%5bCDATA%5b67%20Ohio%20St.%203d%20535%5d%5d%3e%3c%2fcite%3e&amp;_fmtstr=FULL&amp;docnum=9&amp;_startdoc=1&amp;wchp=dGLzVzb-zSkAA&amp;_md5=1303e20b6d94578faa48e138f3e8da7d" TargetMode="External"/><Relationship Id="rId4" Type="http://schemas.openxmlformats.org/officeDocument/2006/relationships/hyperlink" Target="http://www.lexis.com/research/buttonTFLink?_m=2caecc43769918e809a471b925092f7e&amp;_xfercite=%3ccite%20cc%3d%22USA%22%3e%3c%21%5bCDATA%5b85%20Ohio%20St.%203d%2087%5d%5d%3e%3c%2fcite%3e&amp;_butType=3&amp;_butStat=2&amp;_butNum=22&amp;_butInline=1&amp;_butinfo=%3ccite%20cc%3d%22USA%22%3e%3c%21%5bCDATA%5b64%20Ohio%20St.%202d%20302%5d%5d%3e%3c%2fcite%3e&amp;_fmtstr=FULL&amp;docnum=9&amp;_startdoc=1&amp;wchp=dGLzVzb-zSkAA&amp;_md5=ebd928f14f22af5b923609a6b3d6a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16252</Words>
  <Characters>92642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108677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2013-07-22T18:09:00Z</cp:lastPrinted>
  <dcterms:created xsi:type="dcterms:W3CDTF">2013-07-30T17:03:00Z</dcterms:created>
  <dcterms:modified xsi:type="dcterms:W3CDTF">2013-07-30T17:06:00Z</dcterms:modified>
  <cp:contentStatus> </cp:contentStatus>
</cp:coreProperties>
</file>