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C2C9D" w:rsidRPr="006C1EEE" w:rsidP="00EC2C9D" w14:paraId="5B8E19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6C1EEE">
        <w:rPr>
          <w:rFonts w:ascii="Times New Roman" w:eastAsia="Calibri" w:hAnsi="Times New Roman" w:cs="Times New Roman"/>
          <w:b/>
          <w:bCs/>
          <w:sz w:val="24"/>
          <w:szCs w:val="24"/>
        </w:rPr>
        <w:t>BEFORE</w:t>
      </w:r>
    </w:p>
    <w:p w:rsidR="00EC2C9D" w:rsidRPr="006C1EEE" w:rsidP="00EC2C9D" w14:paraId="756C205D" w14:textId="7792D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C1EEE">
        <w:rPr>
          <w:rFonts w:ascii="Times New Roman" w:eastAsia="Calibri" w:hAnsi="Times New Roman" w:cs="Times New Roman"/>
          <w:b/>
          <w:bCs/>
          <w:sz w:val="24"/>
          <w:szCs w:val="24"/>
        </w:rPr>
        <w:t>THE PUBLIC UTILITIES COMMISSION OF OHIO</w:t>
      </w:r>
    </w:p>
    <w:p w:rsidR="008F66FC" w:rsidRPr="006C1EEE" w:rsidP="008F66FC" w14:paraId="410884AD"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6BC836B8" w14:textId="77777777" w:rsidTr="00BC51AE">
        <w:tblPrEx>
          <w:tblW w:w="9092" w:type="dxa"/>
          <w:tblLook w:val="01E0"/>
        </w:tblPrEx>
        <w:trPr>
          <w:trHeight w:val="807"/>
        </w:trPr>
        <w:tc>
          <w:tcPr>
            <w:tcW w:w="4332" w:type="dxa"/>
            <w:shd w:val="clear" w:color="auto" w:fill="auto"/>
          </w:tcPr>
          <w:p w:rsidR="008F66FC" w:rsidRPr="006C1EEE" w:rsidP="00BC51AE" w14:paraId="7ED6BE5B"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 xml:space="preserve">In the Matter of Application of </w:t>
            </w:r>
          </w:p>
          <w:p w:rsidR="008F66FC" w:rsidRPr="006C1EEE" w:rsidP="00BC51AE" w14:paraId="0F519D47"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Ohio Power Company for a Waiver</w:t>
            </w:r>
          </w:p>
          <w:p w:rsidR="008F66FC" w:rsidRPr="006C1EEE" w:rsidP="00BC51AE" w14:paraId="490B55C7"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of Rule 4901:1-10-33(C)(13), Ohio Administrative Code.</w:t>
            </w:r>
          </w:p>
        </w:tc>
        <w:tc>
          <w:tcPr>
            <w:tcW w:w="360" w:type="dxa"/>
            <w:shd w:val="clear" w:color="auto" w:fill="auto"/>
          </w:tcPr>
          <w:p w:rsidR="008F66FC" w:rsidRPr="006C1EEE" w:rsidP="00BC51AE" w14:paraId="52E69AD8"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p w:rsidR="008F66FC" w:rsidRPr="006C1EEE" w:rsidP="00BC51AE" w14:paraId="73CF2B5B"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p w:rsidR="008F66FC" w:rsidRPr="006C1EEE" w:rsidP="00BC51AE" w14:paraId="6DBF288F"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p w:rsidR="008F66FC" w:rsidRPr="006C1EEE" w:rsidP="00BC51AE" w14:paraId="5983E25F"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tc>
        <w:tc>
          <w:tcPr>
            <w:tcW w:w="4400" w:type="dxa"/>
            <w:shd w:val="clear" w:color="auto" w:fill="auto"/>
          </w:tcPr>
          <w:p w:rsidR="008F66FC" w:rsidRPr="006C1EEE" w:rsidP="00BC51AE" w14:paraId="33902A0F" w14:textId="77777777">
            <w:pPr>
              <w:pStyle w:val="HTMLPreformatted"/>
              <w:rPr>
                <w:rFonts w:ascii="Times New Roman" w:hAnsi="Times New Roman" w:cs="Times New Roman"/>
                <w:sz w:val="24"/>
                <w:szCs w:val="24"/>
              </w:rPr>
            </w:pPr>
          </w:p>
          <w:p w:rsidR="008F66FC" w:rsidRPr="006C1EEE" w:rsidP="00BC51AE" w14:paraId="3CAA493B"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Case No. 19-1389-EL-WVR</w:t>
            </w:r>
          </w:p>
        </w:tc>
      </w:tr>
    </w:tbl>
    <w:p w:rsidR="008F66FC" w:rsidRPr="006C1EEE" w:rsidP="00EC2C9D" w14:paraId="2032975E"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EC2C9D" w:rsidRPr="006C1EEE" w:rsidP="00EC2C9D" w14:paraId="2B7DB112" w14:textId="77777777">
      <w:pPr>
        <w:autoSpaceDE w:val="0"/>
        <w:autoSpaceDN w:val="0"/>
        <w:adjustRightInd w:val="0"/>
        <w:spacing w:after="0" w:line="240" w:lineRule="auto"/>
        <w:rPr>
          <w:rFonts w:ascii="Times New Roman" w:eastAsia="Calibri" w:hAnsi="Times New Roman" w:cs="Times New Roman"/>
          <w:sz w:val="24"/>
          <w:szCs w:val="24"/>
        </w:rPr>
      </w:pPr>
    </w:p>
    <w:p w:rsidR="00EC2C9D" w:rsidRPr="006C1EEE" w:rsidP="00EC2C9D" w14:paraId="0FFEDC4E" w14:textId="77777777">
      <w:pPr>
        <w:widowControl w:val="0"/>
        <w:spacing w:after="0" w:line="240" w:lineRule="auto"/>
        <w:jc w:val="center"/>
        <w:rPr>
          <w:rFonts w:ascii="Times New Roman" w:hAnsi="Times New Roman" w:cs="Times New Roman"/>
          <w:b/>
          <w:sz w:val="24"/>
          <w:szCs w:val="24"/>
        </w:rPr>
      </w:pPr>
      <w:r w:rsidRPr="006C1EEE">
        <w:rPr>
          <w:rFonts w:ascii="Times New Roman" w:hAnsi="Times New Roman" w:cs="Times New Roman"/>
          <w:b/>
          <w:sz w:val="24"/>
          <w:szCs w:val="24"/>
        </w:rPr>
        <w:t xml:space="preserve">APPLICATION FOR REHEARING </w:t>
      </w:r>
    </w:p>
    <w:p w:rsidR="00EC2C9D" w:rsidRPr="006C1EEE" w:rsidP="00EC2C9D" w14:paraId="3F564ADE" w14:textId="77777777">
      <w:pPr>
        <w:widowControl w:val="0"/>
        <w:spacing w:after="0" w:line="240" w:lineRule="auto"/>
        <w:jc w:val="center"/>
        <w:rPr>
          <w:rFonts w:ascii="Times New Roman" w:hAnsi="Times New Roman" w:cs="Times New Roman"/>
          <w:b/>
          <w:sz w:val="24"/>
          <w:szCs w:val="24"/>
        </w:rPr>
      </w:pPr>
      <w:r w:rsidRPr="006C1EEE">
        <w:rPr>
          <w:rFonts w:ascii="Times New Roman" w:hAnsi="Times New Roman" w:cs="Times New Roman"/>
          <w:b/>
          <w:sz w:val="24"/>
          <w:szCs w:val="24"/>
        </w:rPr>
        <w:t>BY</w:t>
      </w:r>
    </w:p>
    <w:p w:rsidR="00EC2C9D" w:rsidRPr="006C1EEE" w:rsidP="00EC2C9D" w14:paraId="6C82F8C4" w14:textId="77777777">
      <w:pPr>
        <w:widowControl w:val="0"/>
        <w:spacing w:after="0" w:line="240" w:lineRule="auto"/>
        <w:jc w:val="center"/>
        <w:rPr>
          <w:rFonts w:ascii="Times New Roman" w:hAnsi="Times New Roman" w:cs="Times New Roman"/>
          <w:b/>
          <w:bCs/>
          <w:sz w:val="24"/>
          <w:szCs w:val="24"/>
        </w:rPr>
      </w:pPr>
      <w:r w:rsidRPr="006C1EEE">
        <w:rPr>
          <w:rFonts w:ascii="Times New Roman" w:hAnsi="Times New Roman" w:cs="Times New Roman"/>
          <w:b/>
          <w:sz w:val="24"/>
          <w:szCs w:val="24"/>
        </w:rPr>
        <w:t>THE OFFICE OF THE OHIO CONSUMERS’ COUNSEL</w:t>
      </w:r>
    </w:p>
    <w:p w:rsidR="00EC2C9D" w:rsidRPr="006C1EEE" w:rsidP="00EC2C9D" w14:paraId="778E7A6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EC2C9D" w:rsidRPr="006C1EEE" w:rsidP="00EC2C9D" w14:paraId="2FFA9D5B" w14:textId="77777777">
      <w:pPr>
        <w:pStyle w:val="Heading1"/>
        <w:numPr>
          <w:ilvl w:val="0"/>
          <w:numId w:val="0"/>
        </w:numPr>
        <w:rPr>
          <w:rFonts w:eastAsia="Times New Roman"/>
        </w:rPr>
      </w:pPr>
      <w:bookmarkStart w:id="1" w:name="_Toc534639762"/>
    </w:p>
    <w:bookmarkEnd w:id="1"/>
    <w:p w:rsidR="008F66FC" w:rsidRPr="006C1EEE" w14:paraId="389CF019" w14:textId="77777777">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When the </w:t>
      </w:r>
      <w:r w:rsidRPr="006C1EEE" w:rsidR="00327C02">
        <w:rPr>
          <w:rFonts w:ascii="Times New Roman" w:hAnsi="Times New Roman" w:cs="Times New Roman"/>
          <w:sz w:val="24"/>
          <w:szCs w:val="24"/>
        </w:rPr>
        <w:t>Public Utilities Commission of Ohio (“</w:t>
      </w:r>
      <w:r w:rsidRPr="006C1EEE">
        <w:rPr>
          <w:rFonts w:ascii="Times New Roman" w:hAnsi="Times New Roman" w:cs="Times New Roman"/>
          <w:sz w:val="24"/>
          <w:szCs w:val="24"/>
        </w:rPr>
        <w:t>PUCO</w:t>
      </w:r>
      <w:r w:rsidRPr="006C1EEE" w:rsidR="00327C02">
        <w:rPr>
          <w:rFonts w:ascii="Times New Roman" w:hAnsi="Times New Roman" w:cs="Times New Roman"/>
          <w:sz w:val="24"/>
          <w:szCs w:val="24"/>
        </w:rPr>
        <w:t>”)</w:t>
      </w:r>
      <w:r w:rsidRPr="006C1EEE">
        <w:rPr>
          <w:rFonts w:ascii="Times New Roman" w:hAnsi="Times New Roman" w:cs="Times New Roman"/>
          <w:sz w:val="24"/>
          <w:szCs w:val="24"/>
        </w:rPr>
        <w:t xml:space="preserve"> approved AEP’s request to shorten the time that customers have to pay their bills (going from 21 days to 1</w:t>
      </w:r>
      <w:r w:rsidRPr="006C1EEE" w:rsidR="00AC5A3C">
        <w:rPr>
          <w:rFonts w:ascii="Times New Roman" w:hAnsi="Times New Roman" w:cs="Times New Roman"/>
          <w:sz w:val="24"/>
          <w:szCs w:val="24"/>
        </w:rPr>
        <w:t>4</w:t>
      </w:r>
      <w:r w:rsidRPr="006C1EEE">
        <w:rPr>
          <w:rFonts w:ascii="Times New Roman" w:hAnsi="Times New Roman" w:cs="Times New Roman"/>
          <w:sz w:val="24"/>
          <w:szCs w:val="24"/>
        </w:rPr>
        <w:t xml:space="preserve"> days), the PUCO failed to consider how its decision impacted other consumer protections, including disconnection notice requirements. And the PUCO brushed aside OCC </w:t>
      </w:r>
      <w:r w:rsidRPr="006C1EEE" w:rsidR="007856EE">
        <w:rPr>
          <w:rFonts w:ascii="Times New Roman" w:hAnsi="Times New Roman" w:cs="Times New Roman"/>
          <w:sz w:val="24"/>
          <w:szCs w:val="24"/>
        </w:rPr>
        <w:t>C</w:t>
      </w:r>
      <w:r w:rsidRPr="006C1EEE">
        <w:rPr>
          <w:rFonts w:ascii="Times New Roman" w:hAnsi="Times New Roman" w:cs="Times New Roman"/>
          <w:sz w:val="24"/>
          <w:szCs w:val="24"/>
        </w:rPr>
        <w:t xml:space="preserve">omments that AEP </w:t>
      </w:r>
      <w:r w:rsidRPr="006C1EEE" w:rsidR="002948E7">
        <w:rPr>
          <w:rFonts w:ascii="Times New Roman" w:hAnsi="Times New Roman" w:cs="Times New Roman"/>
          <w:sz w:val="24"/>
          <w:szCs w:val="24"/>
        </w:rPr>
        <w:t>could</w:t>
      </w:r>
      <w:r w:rsidRPr="006C1EEE">
        <w:rPr>
          <w:rFonts w:ascii="Times New Roman" w:hAnsi="Times New Roman" w:cs="Times New Roman"/>
          <w:sz w:val="24"/>
          <w:szCs w:val="24"/>
        </w:rPr>
        <w:t xml:space="preserve"> modify its purchase agreements with the marketers based on the additional delay that is associated with out-of-state billing, ultimately impacting consumers.</w:t>
      </w:r>
      <w:r>
        <w:rPr>
          <w:rStyle w:val="FootnoteReference"/>
          <w:rFonts w:ascii="Times New Roman" w:hAnsi="Times New Roman" w:cs="Times New Roman"/>
          <w:sz w:val="24"/>
          <w:szCs w:val="24"/>
        </w:rPr>
        <w:footnoteReference w:id="2"/>
      </w:r>
      <w:r w:rsidRPr="006C1EEE">
        <w:rPr>
          <w:rFonts w:ascii="Times New Roman" w:hAnsi="Times New Roman" w:cs="Times New Roman"/>
          <w:sz w:val="24"/>
          <w:szCs w:val="24"/>
        </w:rPr>
        <w:t xml:space="preserve"> </w:t>
      </w:r>
      <w:r w:rsidRPr="006C1EEE" w:rsidR="00861F76">
        <w:rPr>
          <w:rFonts w:ascii="Times New Roman" w:hAnsi="Times New Roman" w:cs="Times New Roman"/>
          <w:sz w:val="24"/>
          <w:szCs w:val="24"/>
        </w:rPr>
        <w:t xml:space="preserve"> </w:t>
      </w:r>
    </w:p>
    <w:p w:rsidR="00425669" w:rsidRPr="006C1EEE" w:rsidP="00B950D8" w14:paraId="799D62BB" w14:textId="02CB8B0D">
      <w:pPr>
        <w:spacing w:after="0" w:line="480" w:lineRule="auto"/>
        <w:ind w:firstLine="360"/>
        <w:rPr>
          <w:rFonts w:ascii="Times New Roman" w:eastAsia="Times New Roman" w:hAnsi="Times New Roman" w:cs="Times New Roman"/>
          <w:sz w:val="24"/>
          <w:szCs w:val="24"/>
        </w:rPr>
      </w:pPr>
      <w:r w:rsidRPr="006C1EEE">
        <w:rPr>
          <w:rFonts w:ascii="Times New Roman" w:eastAsia="Times New Roman" w:hAnsi="Times New Roman" w:cs="Times New Roman"/>
          <w:sz w:val="24"/>
          <w:szCs w:val="24"/>
        </w:rPr>
        <w:t>T</w:t>
      </w:r>
      <w:r w:rsidRPr="006C1EEE" w:rsidR="004F3A17">
        <w:rPr>
          <w:rFonts w:ascii="Times New Roman" w:eastAsia="Times New Roman" w:hAnsi="Times New Roman" w:cs="Times New Roman"/>
          <w:sz w:val="24"/>
          <w:szCs w:val="24"/>
        </w:rPr>
        <w:t xml:space="preserve">he PUCO’s Entry is </w:t>
      </w:r>
      <w:r w:rsidRPr="006C1EEE" w:rsidR="00C82C20">
        <w:rPr>
          <w:rFonts w:ascii="Times New Roman" w:eastAsia="Times New Roman" w:hAnsi="Times New Roman" w:cs="Times New Roman"/>
          <w:sz w:val="24"/>
          <w:szCs w:val="24"/>
        </w:rPr>
        <w:t xml:space="preserve">unlawful </w:t>
      </w:r>
      <w:r w:rsidRPr="006C1EEE" w:rsidR="004F3A17">
        <w:rPr>
          <w:rFonts w:ascii="Times New Roman" w:eastAsia="Times New Roman" w:hAnsi="Times New Roman" w:cs="Times New Roman"/>
          <w:sz w:val="24"/>
          <w:szCs w:val="24"/>
        </w:rPr>
        <w:t>in the following respects:</w:t>
      </w:r>
    </w:p>
    <w:p w:rsidR="005F4E0B" w:rsidRPr="006C1EEE" w:rsidP="005F4E0B" w14:paraId="034746EC" w14:textId="7DB54E20">
      <w:pPr>
        <w:spacing w:line="240" w:lineRule="auto"/>
        <w:ind w:left="90"/>
        <w:rPr>
          <w:rFonts w:ascii="Times New Roman" w:hAnsi="Times New Roman" w:cs="Times New Roman"/>
          <w:sz w:val="24"/>
          <w:szCs w:val="24"/>
        </w:rPr>
      </w:pPr>
      <w:r w:rsidRPr="006C1EEE">
        <w:rPr>
          <w:rFonts w:ascii="Times New Roman" w:hAnsi="Times New Roman" w:cs="Times New Roman"/>
          <w:b/>
          <w:bCs/>
          <w:sz w:val="24"/>
          <w:szCs w:val="24"/>
        </w:rPr>
        <w:t>Assignment of Error 1:</w:t>
      </w:r>
      <w:r w:rsidRPr="006C1EEE">
        <w:rPr>
          <w:rFonts w:ascii="Times New Roman" w:hAnsi="Times New Roman" w:cs="Times New Roman"/>
          <w:sz w:val="24"/>
          <w:szCs w:val="24"/>
        </w:rPr>
        <w:t xml:space="preserve"> The PUCO’s Order is unlawful because it fails to address </w:t>
      </w:r>
      <w:r w:rsidRPr="006C1EEE" w:rsidR="00CD6A31">
        <w:rPr>
          <w:rFonts w:ascii="Times New Roman" w:hAnsi="Times New Roman" w:cs="Times New Roman"/>
          <w:sz w:val="24"/>
          <w:szCs w:val="24"/>
        </w:rPr>
        <w:t xml:space="preserve">delivery delays involving </w:t>
      </w:r>
      <w:r w:rsidRPr="006C1EEE">
        <w:rPr>
          <w:rFonts w:ascii="Times New Roman" w:hAnsi="Times New Roman" w:cs="Times New Roman"/>
          <w:sz w:val="24"/>
          <w:szCs w:val="24"/>
        </w:rPr>
        <w:t xml:space="preserve">AEP bills </w:t>
      </w:r>
      <w:r w:rsidRPr="006C1EEE" w:rsidR="00BE5299">
        <w:rPr>
          <w:rFonts w:ascii="Times New Roman" w:hAnsi="Times New Roman" w:cs="Times New Roman"/>
          <w:sz w:val="24"/>
          <w:szCs w:val="24"/>
        </w:rPr>
        <w:t>mailed</w:t>
      </w:r>
      <w:r w:rsidRPr="006C1EEE">
        <w:rPr>
          <w:rFonts w:ascii="Times New Roman" w:hAnsi="Times New Roman" w:cs="Times New Roman"/>
          <w:sz w:val="24"/>
          <w:szCs w:val="24"/>
        </w:rPr>
        <w:t xml:space="preserve"> from out</w:t>
      </w:r>
      <w:r w:rsidRPr="006C1EEE" w:rsidR="004725A7">
        <w:rPr>
          <w:rFonts w:ascii="Times New Roman" w:hAnsi="Times New Roman" w:cs="Times New Roman"/>
          <w:sz w:val="24"/>
          <w:szCs w:val="24"/>
        </w:rPr>
        <w:t>-</w:t>
      </w:r>
      <w:r w:rsidRPr="006C1EEE">
        <w:rPr>
          <w:rFonts w:ascii="Times New Roman" w:hAnsi="Times New Roman" w:cs="Times New Roman"/>
          <w:sz w:val="24"/>
          <w:szCs w:val="24"/>
        </w:rPr>
        <w:t>of</w:t>
      </w:r>
      <w:r w:rsidRPr="006C1EEE" w:rsidR="004725A7">
        <w:rPr>
          <w:rFonts w:ascii="Times New Roman" w:hAnsi="Times New Roman" w:cs="Times New Roman"/>
          <w:sz w:val="24"/>
          <w:szCs w:val="24"/>
        </w:rPr>
        <w:t>-</w:t>
      </w:r>
      <w:r w:rsidRPr="006C1EEE">
        <w:rPr>
          <w:rFonts w:ascii="Times New Roman" w:hAnsi="Times New Roman" w:cs="Times New Roman"/>
          <w:sz w:val="24"/>
          <w:szCs w:val="24"/>
        </w:rPr>
        <w:t xml:space="preserve">state that </w:t>
      </w:r>
      <w:r w:rsidRPr="006C1EEE" w:rsidR="0040153E">
        <w:rPr>
          <w:rFonts w:ascii="Times New Roman" w:hAnsi="Times New Roman" w:cs="Times New Roman"/>
          <w:sz w:val="24"/>
          <w:szCs w:val="24"/>
        </w:rPr>
        <w:t xml:space="preserve"> </w:t>
      </w:r>
      <w:r w:rsidRPr="006C1EEE">
        <w:rPr>
          <w:rFonts w:ascii="Times New Roman" w:hAnsi="Times New Roman" w:cs="Times New Roman"/>
          <w:sz w:val="24"/>
          <w:szCs w:val="24"/>
        </w:rPr>
        <w:t xml:space="preserve">include disconnection notices </w:t>
      </w:r>
      <w:r w:rsidRPr="006C1EEE" w:rsidR="00CD6A31">
        <w:rPr>
          <w:rFonts w:ascii="Times New Roman" w:hAnsi="Times New Roman" w:cs="Times New Roman"/>
          <w:sz w:val="24"/>
          <w:szCs w:val="24"/>
        </w:rPr>
        <w:t xml:space="preserve">thus </w:t>
      </w:r>
      <w:r w:rsidRPr="006C1EEE">
        <w:rPr>
          <w:rFonts w:ascii="Times New Roman" w:hAnsi="Times New Roman" w:cs="Times New Roman"/>
          <w:sz w:val="24"/>
          <w:szCs w:val="24"/>
        </w:rPr>
        <w:t>may not provide customers with the full 14-day advance notice required by R.C. 4933.12</w:t>
      </w:r>
      <w:r w:rsidRPr="006C1EEE" w:rsidR="005A45B7">
        <w:rPr>
          <w:rFonts w:ascii="Times New Roman" w:hAnsi="Times New Roman" w:cs="Times New Roman"/>
          <w:sz w:val="24"/>
          <w:szCs w:val="24"/>
        </w:rPr>
        <w:t>2</w:t>
      </w:r>
      <w:r w:rsidRPr="006C1EEE" w:rsidR="004725A7">
        <w:rPr>
          <w:rFonts w:ascii="Times New Roman" w:hAnsi="Times New Roman" w:cs="Times New Roman"/>
          <w:sz w:val="24"/>
          <w:szCs w:val="24"/>
        </w:rPr>
        <w:t>. The PUCO’s Order also</w:t>
      </w:r>
      <w:r w:rsidRPr="006C1EEE">
        <w:rPr>
          <w:rFonts w:ascii="Times New Roman" w:hAnsi="Times New Roman" w:cs="Times New Roman"/>
          <w:sz w:val="24"/>
          <w:szCs w:val="24"/>
        </w:rPr>
        <w:t xml:space="preserve"> does not set forth reasons for the PUCO’s decision</w:t>
      </w:r>
      <w:r w:rsidRPr="006C1EEE" w:rsidR="004725A7">
        <w:rPr>
          <w:rFonts w:ascii="Times New Roman" w:hAnsi="Times New Roman" w:cs="Times New Roman"/>
          <w:sz w:val="24"/>
          <w:szCs w:val="24"/>
        </w:rPr>
        <w:t xml:space="preserve">, thereby </w:t>
      </w:r>
      <w:r w:rsidRPr="006C1EEE">
        <w:rPr>
          <w:rFonts w:ascii="Times New Roman" w:hAnsi="Times New Roman" w:cs="Times New Roman"/>
          <w:sz w:val="24"/>
          <w:szCs w:val="24"/>
        </w:rPr>
        <w:t>violat</w:t>
      </w:r>
      <w:r w:rsidRPr="006C1EEE" w:rsidR="004725A7">
        <w:rPr>
          <w:rFonts w:ascii="Times New Roman" w:hAnsi="Times New Roman" w:cs="Times New Roman"/>
          <w:sz w:val="24"/>
          <w:szCs w:val="24"/>
        </w:rPr>
        <w:t>ing</w:t>
      </w:r>
      <w:r w:rsidRPr="006C1EEE">
        <w:rPr>
          <w:rFonts w:ascii="Times New Roman" w:hAnsi="Times New Roman" w:cs="Times New Roman"/>
          <w:sz w:val="24"/>
          <w:szCs w:val="24"/>
        </w:rPr>
        <w:t xml:space="preserve"> R.C. 4903.09 and Ohio Supreme Court precedent.</w:t>
      </w:r>
    </w:p>
    <w:p w:rsidR="00273EE7" w:rsidRPr="006C1EEE" w:rsidP="005F4E0B" w14:paraId="4A635DAA" w14:textId="77777777">
      <w:pPr>
        <w:spacing w:line="240" w:lineRule="auto"/>
        <w:ind w:left="90"/>
        <w:rPr>
          <w:rFonts w:ascii="Times New Roman" w:hAnsi="Times New Roman" w:cs="Times New Roman"/>
          <w:sz w:val="24"/>
          <w:szCs w:val="24"/>
        </w:rPr>
        <w:sectPr w:rsidSect="00425669">
          <w:footerReference w:type="default" r:id="rId6"/>
          <w:pgSz w:w="12240" w:h="15840"/>
          <w:pgMar w:top="1440" w:right="1800" w:bottom="1440" w:left="1800" w:header="720" w:footer="720" w:gutter="0"/>
          <w:pgNumType w:start="2"/>
          <w:cols w:space="720"/>
          <w:docGrid w:linePitch="360"/>
        </w:sectPr>
      </w:pPr>
    </w:p>
    <w:p w:rsidR="00EC2C9D" w:rsidRPr="006C1EEE" w:rsidP="005F4E0B" w14:paraId="0D0E51DC" w14:textId="3F1061BD">
      <w:pPr>
        <w:spacing w:line="240" w:lineRule="auto"/>
        <w:ind w:left="90"/>
        <w:rPr>
          <w:rFonts w:ascii="Times New Roman" w:eastAsia="Times New Roman" w:hAnsi="Times New Roman" w:cs="Times New Roman"/>
          <w:sz w:val="24"/>
          <w:szCs w:val="24"/>
        </w:rPr>
      </w:pPr>
      <w:r w:rsidRPr="006C1EEE">
        <w:rPr>
          <w:rFonts w:ascii="Times New Roman" w:eastAsia="Times New Roman" w:hAnsi="Times New Roman" w:cs="Times New Roman"/>
          <w:b/>
          <w:bCs/>
          <w:sz w:val="24"/>
          <w:szCs w:val="24"/>
        </w:rPr>
        <w:t>Assignment of Error No. 2</w:t>
      </w:r>
      <w:r w:rsidRPr="006C1EEE" w:rsidR="00F44363">
        <w:rPr>
          <w:rFonts w:ascii="Times New Roman" w:eastAsia="Times New Roman" w:hAnsi="Times New Roman" w:cs="Times New Roman"/>
          <w:b/>
          <w:bCs/>
          <w:sz w:val="24"/>
          <w:szCs w:val="24"/>
        </w:rPr>
        <w:t>:</w:t>
      </w:r>
      <w:r w:rsidRPr="006C1EEE">
        <w:rPr>
          <w:rFonts w:ascii="Times New Roman" w:eastAsia="Times New Roman" w:hAnsi="Times New Roman" w:cs="Times New Roman"/>
          <w:sz w:val="24"/>
          <w:szCs w:val="24"/>
        </w:rPr>
        <w:t xml:space="preserve"> The PUCO’s Order </w:t>
      </w:r>
      <w:r w:rsidRPr="006C1EEE" w:rsidR="00A467A2">
        <w:rPr>
          <w:rFonts w:ascii="Times New Roman" w:eastAsia="Times New Roman" w:hAnsi="Times New Roman" w:cs="Times New Roman"/>
          <w:sz w:val="24"/>
          <w:szCs w:val="24"/>
        </w:rPr>
        <w:t xml:space="preserve">is unlawful because it failed to address alternatives to the waiver that were proposed by OCC involving AEP modifying its </w:t>
      </w:r>
      <w:r w:rsidRPr="006C1EEE" w:rsidR="004725A7">
        <w:rPr>
          <w:rFonts w:ascii="Times New Roman" w:eastAsia="Times New Roman" w:hAnsi="Times New Roman" w:cs="Times New Roman"/>
          <w:sz w:val="24"/>
          <w:szCs w:val="24"/>
        </w:rPr>
        <w:t xml:space="preserve">purchase </w:t>
      </w:r>
      <w:r w:rsidRPr="006C1EEE" w:rsidR="00A467A2">
        <w:rPr>
          <w:rFonts w:ascii="Times New Roman" w:eastAsia="Times New Roman" w:hAnsi="Times New Roman" w:cs="Times New Roman"/>
          <w:sz w:val="24"/>
          <w:szCs w:val="24"/>
        </w:rPr>
        <w:t>agreements related to payment of marketer receivables</w:t>
      </w:r>
      <w:r w:rsidRPr="006C1EEE" w:rsidR="0061529D">
        <w:rPr>
          <w:rFonts w:ascii="Times New Roman" w:eastAsia="Times New Roman" w:hAnsi="Times New Roman" w:cs="Times New Roman"/>
          <w:sz w:val="24"/>
          <w:szCs w:val="24"/>
        </w:rPr>
        <w:t xml:space="preserve"> </w:t>
      </w:r>
      <w:r w:rsidRPr="006C1EEE" w:rsidR="00A467A2">
        <w:rPr>
          <w:rFonts w:ascii="Times New Roman" w:eastAsia="Times New Roman" w:hAnsi="Times New Roman" w:cs="Times New Roman"/>
          <w:sz w:val="24"/>
          <w:szCs w:val="24"/>
        </w:rPr>
        <w:t>to account for the additional delay associated with out-of-state billing.</w:t>
      </w:r>
      <w:r w:rsidRPr="006C1EEE" w:rsidR="007C6320">
        <w:rPr>
          <w:rFonts w:ascii="Times New Roman" w:eastAsia="Times New Roman" w:hAnsi="Times New Roman" w:cs="Times New Roman"/>
          <w:sz w:val="24"/>
          <w:szCs w:val="24"/>
        </w:rPr>
        <w:t xml:space="preserve"> This violates R.C. 4903.09 and Ohio Supreme Court precedent.</w:t>
      </w:r>
    </w:p>
    <w:p w:rsidR="00EC2C9D" w:rsidRPr="006C1EEE" w:rsidP="008F66FC" w14:paraId="7499F026" w14:textId="77777777">
      <w:pPr>
        <w:spacing w:after="0" w:line="240" w:lineRule="auto"/>
        <w:rPr>
          <w:rFonts w:ascii="Times New Roman" w:eastAsia="Times New Roman" w:hAnsi="Times New Roman" w:cs="Times New Roman"/>
          <w:sz w:val="24"/>
          <w:szCs w:val="24"/>
        </w:rPr>
      </w:pPr>
    </w:p>
    <w:p w:rsidR="00EC2C9D" w:rsidRPr="006C1EEE" w:rsidP="00EC2C9D" w14:paraId="509EC8FB" w14:textId="77777777">
      <w:pPr>
        <w:widowControl w:val="0"/>
        <w:spacing w:after="0" w:line="480" w:lineRule="auto"/>
        <w:ind w:firstLine="720"/>
        <w:contextualSpacing/>
        <w:rPr>
          <w:rFonts w:ascii="Times New Roman" w:hAnsi="Times New Roman" w:cs="Times New Roman"/>
          <w:sz w:val="24"/>
          <w:szCs w:val="24"/>
        </w:rPr>
      </w:pPr>
      <w:r w:rsidRPr="006C1EEE">
        <w:rPr>
          <w:rFonts w:ascii="Times New Roman" w:hAnsi="Times New Roman" w:cs="Times New Roman"/>
          <w:sz w:val="24"/>
          <w:szCs w:val="24"/>
        </w:rPr>
        <w:t>The reasons in support of this application for rehearing are set forth in the accompanying Memorandum in Support. The PUCO should grant rehearing and abrogate or modify its Order as proposed by OCC.</w:t>
      </w:r>
    </w:p>
    <w:p w:rsidR="0040153E" w:rsidRPr="006C1EEE" w:rsidP="00092EA9" w14:paraId="3028A5F0" w14:textId="77777777">
      <w:pPr>
        <w:autoSpaceDE w:val="0"/>
        <w:autoSpaceDN w:val="0"/>
        <w:adjustRightInd w:val="0"/>
        <w:spacing w:after="0" w:line="240" w:lineRule="auto"/>
        <w:ind w:left="3600"/>
        <w:rPr>
          <w:rFonts w:ascii="Times New Roman" w:hAnsi="Times New Roman" w:cs="Times New Roman"/>
          <w:sz w:val="24"/>
          <w:szCs w:val="24"/>
        </w:rPr>
      </w:pPr>
    </w:p>
    <w:p w:rsidR="0040153E" w:rsidRPr="006C1EEE" w:rsidP="00092EA9" w14:paraId="25820FA0" w14:textId="77777777">
      <w:pPr>
        <w:autoSpaceDE w:val="0"/>
        <w:autoSpaceDN w:val="0"/>
        <w:adjustRightInd w:val="0"/>
        <w:spacing w:after="0" w:line="240" w:lineRule="auto"/>
        <w:ind w:left="3600"/>
        <w:rPr>
          <w:rFonts w:ascii="Times New Roman" w:hAnsi="Times New Roman" w:cs="Times New Roman"/>
          <w:sz w:val="24"/>
          <w:szCs w:val="24"/>
        </w:rPr>
      </w:pPr>
    </w:p>
    <w:p w:rsidR="00EC2C9D" w:rsidRPr="006C1EEE" w:rsidP="00092EA9" w14:paraId="391232D6" w14:textId="2272B477">
      <w:pPr>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Respectfully submitted,</w:t>
      </w:r>
    </w:p>
    <w:p w:rsidR="00EC2C9D" w:rsidRPr="006C1EEE" w:rsidP="00092EA9" w14:paraId="0A34FBCF" w14:textId="77777777">
      <w:pPr>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ab/>
      </w:r>
      <w:r w:rsidRPr="006C1EEE">
        <w:rPr>
          <w:rFonts w:ascii="Times New Roman" w:hAnsi="Times New Roman" w:cs="Times New Roman"/>
          <w:sz w:val="24"/>
          <w:szCs w:val="24"/>
        </w:rPr>
        <w:tab/>
      </w:r>
      <w:r w:rsidRPr="006C1EEE">
        <w:rPr>
          <w:rFonts w:ascii="Times New Roman" w:hAnsi="Times New Roman" w:cs="Times New Roman"/>
          <w:sz w:val="24"/>
          <w:szCs w:val="24"/>
        </w:rPr>
        <w:tab/>
      </w:r>
      <w:r w:rsidRPr="006C1EEE">
        <w:rPr>
          <w:rFonts w:ascii="Times New Roman" w:hAnsi="Times New Roman" w:cs="Times New Roman"/>
          <w:sz w:val="24"/>
          <w:szCs w:val="24"/>
        </w:rPr>
        <w:tab/>
      </w:r>
      <w:r w:rsidRPr="006C1EEE">
        <w:rPr>
          <w:rFonts w:ascii="Times New Roman" w:hAnsi="Times New Roman" w:cs="Times New Roman"/>
          <w:sz w:val="24"/>
          <w:szCs w:val="24"/>
        </w:rPr>
        <w:tab/>
      </w:r>
    </w:p>
    <w:p w:rsidR="00EC2C9D" w:rsidRPr="006C1EEE" w:rsidP="00092EA9" w14:paraId="2DACF34A" w14:textId="77777777">
      <w:pPr>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Bruce Weston (0016973)</w:t>
      </w:r>
    </w:p>
    <w:p w:rsidR="00EC2C9D" w:rsidRPr="006C1EEE" w:rsidP="00092EA9" w14:paraId="5EFE3579" w14:textId="244E390F">
      <w:pPr>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Ohio Consumers’ Counsel</w:t>
      </w:r>
    </w:p>
    <w:p w:rsidR="00EC2C9D" w:rsidRPr="006C1EEE" w:rsidP="00092EA9" w14:paraId="595649C2" w14:textId="77777777">
      <w:pPr>
        <w:tabs>
          <w:tab w:val="left" w:pos="4320"/>
        </w:tabs>
        <w:spacing w:after="0" w:line="240" w:lineRule="auto"/>
        <w:ind w:left="3600"/>
        <w:rPr>
          <w:rFonts w:ascii="Times New Roman" w:hAnsi="Times New Roman" w:cs="Times New Roman"/>
          <w:sz w:val="24"/>
          <w:szCs w:val="24"/>
        </w:rPr>
      </w:pPr>
    </w:p>
    <w:p w:rsidR="00EC2C9D" w:rsidRPr="006C1EEE" w:rsidP="00092EA9" w14:paraId="5E587968" w14:textId="67EFADD8">
      <w:pPr>
        <w:tabs>
          <w:tab w:val="left" w:pos="4320"/>
        </w:tabs>
        <w:spacing w:after="0" w:line="240" w:lineRule="auto"/>
        <w:ind w:left="3600"/>
        <w:rPr>
          <w:rFonts w:ascii="Times New Roman" w:hAnsi="Times New Roman" w:cs="Times New Roman"/>
          <w:i/>
          <w:sz w:val="24"/>
          <w:szCs w:val="24"/>
          <w:u w:val="single"/>
        </w:rPr>
      </w:pPr>
      <w:r w:rsidRPr="006C1EEE">
        <w:rPr>
          <w:rFonts w:ascii="Times New Roman" w:hAnsi="Times New Roman" w:cs="Times New Roman"/>
          <w:i/>
          <w:sz w:val="24"/>
          <w:szCs w:val="24"/>
          <w:u w:val="single"/>
        </w:rPr>
        <w:t xml:space="preserve"> </w:t>
      </w:r>
      <w:r w:rsidRPr="006C1EEE" w:rsidR="0024085F">
        <w:rPr>
          <w:rFonts w:ascii="Times New Roman" w:hAnsi="Times New Roman" w:cs="Times New Roman"/>
          <w:i/>
          <w:sz w:val="24"/>
          <w:szCs w:val="24"/>
          <w:u w:val="single"/>
        </w:rPr>
        <w:t>Amy Botschner O’Brien</w:t>
      </w:r>
    </w:p>
    <w:p w:rsidR="00EC2C9D" w:rsidRPr="006C1EEE" w:rsidP="00092EA9" w14:paraId="03367422" w14:textId="41148299">
      <w:pPr>
        <w:tabs>
          <w:tab w:val="left" w:pos="4320"/>
        </w:tabs>
        <w:spacing w:after="0" w:line="240" w:lineRule="auto"/>
        <w:ind w:left="3600" w:right="-180"/>
        <w:rPr>
          <w:rFonts w:ascii="Times New Roman" w:hAnsi="Times New Roman" w:cs="Times New Roman"/>
          <w:sz w:val="24"/>
          <w:szCs w:val="24"/>
        </w:rPr>
      </w:pPr>
      <w:r w:rsidRPr="006C1EEE">
        <w:rPr>
          <w:rFonts w:ascii="Times New Roman" w:hAnsi="Times New Roman" w:cs="Times New Roman"/>
          <w:sz w:val="24"/>
          <w:szCs w:val="24"/>
        </w:rPr>
        <w:t>Amy Botschner O’Brien (074423)</w:t>
      </w:r>
    </w:p>
    <w:p w:rsidR="00C37F66" w:rsidRPr="006C1EEE" w:rsidP="00092EA9" w14:paraId="4AE2FC7A" w14:textId="2C024D48">
      <w:pPr>
        <w:tabs>
          <w:tab w:val="left" w:pos="4320"/>
        </w:tabs>
        <w:spacing w:after="0" w:line="240" w:lineRule="auto"/>
        <w:ind w:left="3600" w:right="-180"/>
        <w:rPr>
          <w:rFonts w:ascii="Times New Roman" w:hAnsi="Times New Roman" w:cs="Times New Roman"/>
          <w:sz w:val="24"/>
          <w:szCs w:val="24"/>
        </w:rPr>
      </w:pPr>
      <w:r w:rsidRPr="006C1EEE">
        <w:rPr>
          <w:rFonts w:ascii="Times New Roman" w:hAnsi="Times New Roman" w:cs="Times New Roman"/>
          <w:sz w:val="24"/>
          <w:szCs w:val="24"/>
        </w:rPr>
        <w:t>Counsel of Record</w:t>
      </w:r>
    </w:p>
    <w:p w:rsidR="00EC2C9D" w:rsidRPr="006C1EEE" w:rsidP="00092EA9" w14:paraId="5BBE7B82" w14:textId="526D052B">
      <w:pPr>
        <w:tabs>
          <w:tab w:val="left" w:pos="4320"/>
        </w:tabs>
        <w:spacing w:after="0" w:line="240" w:lineRule="auto"/>
        <w:ind w:left="3600" w:right="-180"/>
        <w:rPr>
          <w:rFonts w:ascii="Times New Roman" w:hAnsi="Times New Roman" w:cs="Times New Roman"/>
          <w:sz w:val="24"/>
          <w:szCs w:val="24"/>
        </w:rPr>
      </w:pPr>
      <w:r w:rsidRPr="006C1EEE">
        <w:rPr>
          <w:rFonts w:ascii="Times New Roman" w:hAnsi="Times New Roman" w:cs="Times New Roman"/>
          <w:sz w:val="24"/>
          <w:szCs w:val="24"/>
        </w:rPr>
        <w:t>Assistant Consumers’ Counsel</w:t>
      </w:r>
    </w:p>
    <w:p w:rsidR="0024085F" w:rsidRPr="006C1EEE" w:rsidP="00092EA9" w14:paraId="3B6C150B" w14:textId="77777777">
      <w:pPr>
        <w:tabs>
          <w:tab w:val="left" w:pos="4320"/>
        </w:tabs>
        <w:spacing w:after="0" w:line="240" w:lineRule="auto"/>
        <w:ind w:left="3600" w:right="-180"/>
        <w:rPr>
          <w:rFonts w:ascii="Times New Roman" w:hAnsi="Times New Roman" w:cs="Times New Roman"/>
          <w:sz w:val="24"/>
          <w:szCs w:val="24"/>
        </w:rPr>
      </w:pPr>
    </w:p>
    <w:p w:rsidR="00EC2C9D" w:rsidRPr="006C1EEE" w:rsidP="00092EA9" w14:paraId="3595179F" w14:textId="77777777">
      <w:pPr>
        <w:spacing w:after="0" w:line="240" w:lineRule="auto"/>
        <w:ind w:left="3600"/>
        <w:rPr>
          <w:rFonts w:ascii="Times New Roman" w:hAnsi="Times New Roman" w:cs="Times New Roman"/>
          <w:b/>
          <w:bCs/>
          <w:sz w:val="24"/>
          <w:szCs w:val="24"/>
        </w:rPr>
      </w:pPr>
      <w:r w:rsidRPr="006C1EEE">
        <w:rPr>
          <w:rFonts w:ascii="Times New Roman" w:hAnsi="Times New Roman" w:cs="Times New Roman"/>
          <w:b/>
          <w:bCs/>
          <w:sz w:val="24"/>
          <w:szCs w:val="24"/>
        </w:rPr>
        <w:t>Office of the Ohio Consumers’ Counsel</w:t>
      </w:r>
    </w:p>
    <w:p w:rsidR="00EC2C9D" w:rsidRPr="006C1EEE" w:rsidP="00092EA9" w14:paraId="33B81018" w14:textId="77777777">
      <w:pPr>
        <w:pStyle w:val="PlainText"/>
        <w:ind w:left="3600"/>
        <w:rPr>
          <w:rFonts w:ascii="Times New Roman" w:hAnsi="Times New Roman" w:cs="Times New Roman"/>
          <w:sz w:val="24"/>
          <w:szCs w:val="24"/>
        </w:rPr>
      </w:pPr>
      <w:r w:rsidRPr="006C1EEE">
        <w:rPr>
          <w:rFonts w:ascii="Times New Roman" w:hAnsi="Times New Roman" w:cs="Times New Roman"/>
          <w:sz w:val="24"/>
          <w:szCs w:val="24"/>
        </w:rPr>
        <w:t>65 East State Street, 7th Floor</w:t>
      </w:r>
    </w:p>
    <w:p w:rsidR="00EC2C9D" w:rsidRPr="006C1EEE" w:rsidP="00092EA9" w14:paraId="374E40AF" w14:textId="77777777">
      <w:pPr>
        <w:pStyle w:val="PlainText"/>
        <w:ind w:left="3600"/>
        <w:rPr>
          <w:rFonts w:ascii="Times New Roman" w:hAnsi="Times New Roman" w:cs="Times New Roman"/>
          <w:sz w:val="24"/>
          <w:szCs w:val="24"/>
        </w:rPr>
      </w:pPr>
      <w:r w:rsidRPr="006C1EEE">
        <w:rPr>
          <w:rFonts w:ascii="Times New Roman" w:hAnsi="Times New Roman" w:cs="Times New Roman"/>
          <w:sz w:val="24"/>
          <w:szCs w:val="24"/>
        </w:rPr>
        <w:t>Columbus, Ohio 43215-4213</w:t>
      </w:r>
    </w:p>
    <w:p w:rsidR="00EC2C9D" w:rsidRPr="006C1EEE" w:rsidP="00092EA9" w14:paraId="50145CDB" w14:textId="0E4953B3">
      <w:pPr>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 xml:space="preserve">Telephone: </w:t>
      </w:r>
      <w:r w:rsidRPr="006C1EEE" w:rsidR="0024085F">
        <w:rPr>
          <w:rFonts w:ascii="Times New Roman" w:hAnsi="Times New Roman" w:cs="Times New Roman"/>
          <w:sz w:val="24"/>
          <w:szCs w:val="24"/>
        </w:rPr>
        <w:t>Botschner O’Brien</w:t>
      </w:r>
      <w:r w:rsidRPr="006C1EEE">
        <w:rPr>
          <w:rFonts w:ascii="Times New Roman" w:hAnsi="Times New Roman" w:cs="Times New Roman"/>
          <w:sz w:val="24"/>
          <w:szCs w:val="24"/>
        </w:rPr>
        <w:t xml:space="preserve"> (614) 466-95</w:t>
      </w:r>
      <w:r w:rsidRPr="006C1EEE" w:rsidR="0024085F">
        <w:rPr>
          <w:rFonts w:ascii="Times New Roman" w:hAnsi="Times New Roman" w:cs="Times New Roman"/>
          <w:sz w:val="24"/>
          <w:szCs w:val="24"/>
        </w:rPr>
        <w:t>75</w:t>
      </w:r>
    </w:p>
    <w:p w:rsidR="00092EA9" w:rsidRPr="006C1EEE" w:rsidP="00092EA9" w14:paraId="389B24F5" w14:textId="77777777">
      <w:pPr>
        <w:spacing w:after="0" w:line="240" w:lineRule="auto"/>
        <w:ind w:left="3600"/>
        <w:rPr>
          <w:rFonts w:ascii="Times New Roman" w:hAnsi="Times New Roman" w:cs="Times New Roman"/>
          <w:sz w:val="24"/>
          <w:szCs w:val="24"/>
        </w:rPr>
      </w:pPr>
      <w:hyperlink r:id="rId7" w:history="1">
        <w:r w:rsidRPr="006C1EEE" w:rsidR="0024085F">
          <w:rPr>
            <w:rStyle w:val="Hyperlink"/>
            <w:rFonts w:ascii="Times New Roman" w:hAnsi="Times New Roman" w:cs="Times New Roman"/>
            <w:sz w:val="24"/>
            <w:szCs w:val="24"/>
          </w:rPr>
          <w:t>Amy.botschner.obrien@occ.ohio.gov</w:t>
        </w:r>
      </w:hyperlink>
      <w:r w:rsidRPr="006C1EEE" w:rsidR="00EC2C9D">
        <w:rPr>
          <w:rFonts w:ascii="Times New Roman" w:hAnsi="Times New Roman" w:cs="Times New Roman"/>
          <w:sz w:val="24"/>
          <w:szCs w:val="24"/>
        </w:rPr>
        <w:t xml:space="preserve"> </w:t>
      </w:r>
    </w:p>
    <w:p w:rsidR="00EC2C9D" w:rsidRPr="006C1EEE" w:rsidP="00092EA9" w14:paraId="63DDE10F" w14:textId="73E17880">
      <w:pPr>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(willing to accept service by e-mail)</w:t>
      </w:r>
    </w:p>
    <w:p w:rsidR="009F4D19" w:rsidRPr="006C1EEE" w:rsidP="00092EA9" w14:paraId="58D77EB8" w14:textId="77777777">
      <w:pPr>
        <w:spacing w:after="0" w:line="240" w:lineRule="auto"/>
        <w:ind w:left="3600"/>
        <w:rPr>
          <w:rFonts w:ascii="Times New Roman" w:hAnsi="Times New Roman" w:cs="Times New Roman"/>
          <w:sz w:val="24"/>
          <w:szCs w:val="24"/>
        </w:rPr>
        <w:sectPr w:rsidSect="00425669">
          <w:footerReference w:type="default" r:id="rId8"/>
          <w:pgSz w:w="12240" w:h="15840"/>
          <w:pgMar w:top="1440" w:right="1800" w:bottom="1440" w:left="1800" w:header="720" w:footer="720" w:gutter="0"/>
          <w:pgNumType w:start="2"/>
          <w:cols w:space="720"/>
          <w:docGrid w:linePitch="360"/>
        </w:sectPr>
      </w:pPr>
    </w:p>
    <w:p w:rsidR="00401DBB" w:rsidRPr="006C1EEE" w:rsidP="00401DBB" w14:paraId="5CF743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C1EEE">
        <w:rPr>
          <w:rFonts w:ascii="Times New Roman" w:eastAsia="Calibri" w:hAnsi="Times New Roman" w:cs="Times New Roman"/>
          <w:b/>
          <w:bCs/>
          <w:sz w:val="24"/>
          <w:szCs w:val="24"/>
        </w:rPr>
        <w:t>BEFORE</w:t>
      </w:r>
    </w:p>
    <w:p w:rsidR="00401DBB" w:rsidRPr="006C1EEE" w:rsidP="00401DBB" w14:paraId="14E700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C1EEE">
        <w:rPr>
          <w:rFonts w:ascii="Times New Roman" w:eastAsia="Calibri" w:hAnsi="Times New Roman" w:cs="Times New Roman"/>
          <w:b/>
          <w:bCs/>
          <w:sz w:val="24"/>
          <w:szCs w:val="24"/>
        </w:rPr>
        <w:t>THE PUBLIC UTILITIES COMMISSION OF OHIO</w:t>
      </w:r>
    </w:p>
    <w:p w:rsidR="00401DBB" w:rsidRPr="006C1EEE" w:rsidP="00401DBB" w14:paraId="7D06CE72"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0FC774A6" w14:textId="77777777" w:rsidTr="00BC51AE">
        <w:tblPrEx>
          <w:tblW w:w="9092" w:type="dxa"/>
          <w:tblLook w:val="01E0"/>
        </w:tblPrEx>
        <w:trPr>
          <w:trHeight w:val="807"/>
        </w:trPr>
        <w:tc>
          <w:tcPr>
            <w:tcW w:w="4332" w:type="dxa"/>
            <w:shd w:val="clear" w:color="auto" w:fill="auto"/>
          </w:tcPr>
          <w:p w:rsidR="00401DBB" w:rsidRPr="006C1EEE" w:rsidP="00BC51AE" w14:paraId="092AEE9E"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 xml:space="preserve">In the Matter of Application of </w:t>
            </w:r>
          </w:p>
          <w:p w:rsidR="00401DBB" w:rsidRPr="006C1EEE" w:rsidP="00BC51AE" w14:paraId="4F10D8F9"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Ohio Power Company for a Waiver</w:t>
            </w:r>
          </w:p>
          <w:p w:rsidR="00401DBB" w:rsidRPr="006C1EEE" w:rsidP="00BC51AE" w14:paraId="54609D6D"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of Rule 4901:1-10-33(C)(13), Ohio Administrative Code.</w:t>
            </w:r>
          </w:p>
        </w:tc>
        <w:tc>
          <w:tcPr>
            <w:tcW w:w="360" w:type="dxa"/>
            <w:shd w:val="clear" w:color="auto" w:fill="auto"/>
          </w:tcPr>
          <w:p w:rsidR="00401DBB" w:rsidRPr="006C1EEE" w:rsidP="00BC51AE" w14:paraId="198437B1"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p w:rsidR="00401DBB" w:rsidRPr="006C1EEE" w:rsidP="00BC51AE" w14:paraId="005933A8"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p w:rsidR="00401DBB" w:rsidRPr="006C1EEE" w:rsidP="00BC51AE" w14:paraId="791F69E7"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p w:rsidR="00401DBB" w:rsidRPr="006C1EEE" w:rsidP="00BC51AE" w14:paraId="452EB3C3"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w:t>
            </w:r>
          </w:p>
        </w:tc>
        <w:tc>
          <w:tcPr>
            <w:tcW w:w="4400" w:type="dxa"/>
            <w:shd w:val="clear" w:color="auto" w:fill="auto"/>
          </w:tcPr>
          <w:p w:rsidR="00401DBB" w:rsidRPr="006C1EEE" w:rsidP="00BC51AE" w14:paraId="2BB316D5" w14:textId="77777777">
            <w:pPr>
              <w:pStyle w:val="HTMLPreformatted"/>
              <w:rPr>
                <w:rFonts w:ascii="Times New Roman" w:hAnsi="Times New Roman" w:cs="Times New Roman"/>
                <w:sz w:val="24"/>
                <w:szCs w:val="24"/>
              </w:rPr>
            </w:pPr>
          </w:p>
          <w:p w:rsidR="00401DBB" w:rsidRPr="006C1EEE" w:rsidP="00BC51AE" w14:paraId="107FBECD" w14:textId="77777777">
            <w:pPr>
              <w:pStyle w:val="HTMLPreformatted"/>
              <w:rPr>
                <w:rFonts w:ascii="Times New Roman" w:hAnsi="Times New Roman" w:cs="Times New Roman"/>
                <w:sz w:val="24"/>
                <w:szCs w:val="24"/>
              </w:rPr>
            </w:pPr>
            <w:r w:rsidRPr="006C1EEE">
              <w:rPr>
                <w:rFonts w:ascii="Times New Roman" w:hAnsi="Times New Roman" w:cs="Times New Roman"/>
                <w:sz w:val="24"/>
                <w:szCs w:val="24"/>
              </w:rPr>
              <w:t>Case No. 19-1389-EL-WVR</w:t>
            </w:r>
          </w:p>
        </w:tc>
      </w:tr>
    </w:tbl>
    <w:p w:rsidR="00BA470A" w:rsidRPr="006C1EEE" w:rsidP="00EC2C9D" w14:paraId="67329C2F" w14:textId="1B9E9B2E">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EC2C9D" w:rsidRPr="006C1EEE" w:rsidP="00EC2C9D" w14:paraId="185CEE17" w14:textId="77777777">
      <w:pPr>
        <w:autoSpaceDE w:val="0"/>
        <w:autoSpaceDN w:val="0"/>
        <w:adjustRightInd w:val="0"/>
        <w:spacing w:after="0" w:line="240" w:lineRule="auto"/>
        <w:rPr>
          <w:rFonts w:ascii="Times New Roman" w:eastAsia="Calibri" w:hAnsi="Times New Roman" w:cs="Times New Roman"/>
          <w:sz w:val="24"/>
          <w:szCs w:val="24"/>
        </w:rPr>
      </w:pPr>
    </w:p>
    <w:p w:rsidR="00EC2C9D" w:rsidRPr="006C1EEE" w:rsidP="00EC2C9D" w14:paraId="4026A5A6" w14:textId="77777777">
      <w:pPr>
        <w:widowControl w:val="0"/>
        <w:spacing w:after="0" w:line="240" w:lineRule="auto"/>
        <w:jc w:val="center"/>
        <w:rPr>
          <w:rFonts w:ascii="Times New Roman" w:hAnsi="Times New Roman" w:cs="Times New Roman"/>
          <w:b/>
          <w:bCs/>
          <w:sz w:val="24"/>
          <w:szCs w:val="24"/>
        </w:rPr>
      </w:pPr>
      <w:r w:rsidRPr="006C1EEE">
        <w:rPr>
          <w:rFonts w:ascii="Times New Roman" w:hAnsi="Times New Roman" w:cs="Times New Roman"/>
          <w:b/>
          <w:sz w:val="24"/>
          <w:szCs w:val="24"/>
        </w:rPr>
        <w:t xml:space="preserve">MEMORANDUM IN SUPPORT </w:t>
      </w:r>
    </w:p>
    <w:p w:rsidR="00EC2C9D" w:rsidRPr="006C1EEE" w:rsidP="00EC2C9D" w14:paraId="25AD9B1C"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EC2C9D" w:rsidRPr="006C1EEE" w:rsidP="00401DBB" w14:paraId="102457CB" w14:textId="77777777">
      <w:pPr>
        <w:pStyle w:val="Heading1"/>
        <w:numPr>
          <w:ilvl w:val="0"/>
          <w:numId w:val="0"/>
        </w:numPr>
        <w:rPr>
          <w:rFonts w:eastAsia="Times New Roman"/>
        </w:rPr>
      </w:pPr>
    </w:p>
    <w:p w:rsidR="00EC2C9D" w:rsidRPr="006C1EEE" w:rsidP="00EC2C9D" w14:paraId="5D48B952" w14:textId="04F5215F">
      <w:pPr>
        <w:pStyle w:val="Heading1"/>
      </w:pPr>
      <w:bookmarkStart w:id="2" w:name="_Toc43476842"/>
      <w:bookmarkStart w:id="3" w:name="_Toc45628651"/>
      <w:r w:rsidRPr="006C1EEE">
        <w:t>INTRODUCTION</w:t>
      </w:r>
      <w:bookmarkEnd w:id="2"/>
      <w:bookmarkEnd w:id="3"/>
      <w:r w:rsidRPr="006C1EEE">
        <w:t xml:space="preserve"> </w:t>
      </w:r>
    </w:p>
    <w:p w:rsidR="00BE5299" w:rsidRPr="006C1EEE" w:rsidP="00EC2C9D" w14:paraId="3330FDB7" w14:textId="0C5EAEE1">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AEP sought a waiver of the </w:t>
      </w:r>
      <w:r w:rsidRPr="006C1EEE" w:rsidR="006B1EA4">
        <w:rPr>
          <w:rFonts w:ascii="Times New Roman" w:hAnsi="Times New Roman" w:cs="Times New Roman"/>
          <w:sz w:val="24"/>
          <w:szCs w:val="24"/>
        </w:rPr>
        <w:t xml:space="preserve">PUCO </w:t>
      </w:r>
      <w:r w:rsidRPr="006C1EEE">
        <w:rPr>
          <w:rFonts w:ascii="Times New Roman" w:hAnsi="Times New Roman" w:cs="Times New Roman"/>
          <w:sz w:val="24"/>
          <w:szCs w:val="24"/>
        </w:rPr>
        <w:t xml:space="preserve">rule requiring </w:t>
      </w:r>
      <w:r w:rsidRPr="006C1EEE" w:rsidR="009A5105">
        <w:rPr>
          <w:rFonts w:ascii="Times New Roman" w:hAnsi="Times New Roman" w:cs="Times New Roman"/>
          <w:sz w:val="24"/>
          <w:szCs w:val="24"/>
        </w:rPr>
        <w:t xml:space="preserve">that </w:t>
      </w:r>
      <w:r w:rsidRPr="006C1EEE">
        <w:rPr>
          <w:rFonts w:ascii="Times New Roman" w:hAnsi="Times New Roman" w:cs="Times New Roman"/>
          <w:sz w:val="24"/>
          <w:szCs w:val="24"/>
        </w:rPr>
        <w:t>bills mailed from out-of-state (in this case, Nebraska) be a</w:t>
      </w:r>
      <w:r w:rsidRPr="006C1EEE" w:rsidR="009A5105">
        <w:rPr>
          <w:rFonts w:ascii="Times New Roman" w:hAnsi="Times New Roman" w:cs="Times New Roman"/>
          <w:sz w:val="24"/>
          <w:szCs w:val="24"/>
        </w:rPr>
        <w:t>fforded 21 days for customer payment.</w:t>
      </w:r>
      <w:r>
        <w:rPr>
          <w:rStyle w:val="FootnoteReference"/>
          <w:rFonts w:ascii="Times New Roman" w:hAnsi="Times New Roman" w:cs="Times New Roman"/>
          <w:sz w:val="24"/>
          <w:szCs w:val="24"/>
        </w:rPr>
        <w:footnoteReference w:id="3"/>
      </w:r>
      <w:r w:rsidRPr="006C1EEE" w:rsidR="009A5105">
        <w:rPr>
          <w:rFonts w:ascii="Times New Roman" w:hAnsi="Times New Roman" w:cs="Times New Roman"/>
          <w:sz w:val="24"/>
          <w:szCs w:val="24"/>
        </w:rPr>
        <w:t xml:space="preserve"> The </w:t>
      </w:r>
      <w:r w:rsidRPr="006C1EEE" w:rsidR="007E1388">
        <w:rPr>
          <w:rFonts w:ascii="Times New Roman" w:hAnsi="Times New Roman" w:cs="Times New Roman"/>
          <w:sz w:val="24"/>
          <w:szCs w:val="24"/>
        </w:rPr>
        <w:t xml:space="preserve">PUCO </w:t>
      </w:r>
      <w:r w:rsidRPr="006C1EEE" w:rsidR="009A5105">
        <w:rPr>
          <w:rFonts w:ascii="Times New Roman" w:hAnsi="Times New Roman" w:cs="Times New Roman"/>
          <w:sz w:val="24"/>
          <w:szCs w:val="24"/>
        </w:rPr>
        <w:t>allow</w:t>
      </w:r>
      <w:r w:rsidRPr="006C1EEE" w:rsidR="007E1388">
        <w:rPr>
          <w:rFonts w:ascii="Times New Roman" w:hAnsi="Times New Roman" w:cs="Times New Roman"/>
          <w:sz w:val="24"/>
          <w:szCs w:val="24"/>
        </w:rPr>
        <w:t>ed</w:t>
      </w:r>
      <w:r w:rsidRPr="006C1EEE" w:rsidR="00327C02">
        <w:rPr>
          <w:rFonts w:ascii="Times New Roman" w:hAnsi="Times New Roman" w:cs="Times New Roman"/>
          <w:sz w:val="24"/>
          <w:szCs w:val="24"/>
        </w:rPr>
        <w:t xml:space="preserve"> </w:t>
      </w:r>
      <w:r w:rsidRPr="006C1EEE" w:rsidR="009A5105">
        <w:rPr>
          <w:rFonts w:ascii="Times New Roman" w:hAnsi="Times New Roman" w:cs="Times New Roman"/>
          <w:sz w:val="24"/>
          <w:szCs w:val="24"/>
        </w:rPr>
        <w:t xml:space="preserve">AEP to shorten the allotted time for consumers to pay their bill under the PUCO’s rules by </w:t>
      </w:r>
      <w:r w:rsidRPr="006C1EEE" w:rsidR="00327C02">
        <w:rPr>
          <w:rFonts w:ascii="Times New Roman" w:hAnsi="Times New Roman" w:cs="Times New Roman"/>
          <w:sz w:val="24"/>
          <w:szCs w:val="24"/>
        </w:rPr>
        <w:t>s</w:t>
      </w:r>
      <w:r w:rsidRPr="006C1EEE" w:rsidR="00125349">
        <w:rPr>
          <w:rFonts w:ascii="Times New Roman" w:hAnsi="Times New Roman" w:cs="Times New Roman"/>
          <w:sz w:val="24"/>
          <w:szCs w:val="24"/>
        </w:rPr>
        <w:t>even</w:t>
      </w:r>
      <w:r w:rsidRPr="006C1EEE" w:rsidR="00327C02">
        <w:rPr>
          <w:rFonts w:ascii="Times New Roman" w:hAnsi="Times New Roman" w:cs="Times New Roman"/>
          <w:sz w:val="24"/>
          <w:szCs w:val="24"/>
        </w:rPr>
        <w:t xml:space="preserve"> </w:t>
      </w:r>
      <w:r w:rsidRPr="006C1EEE" w:rsidR="009A5105">
        <w:rPr>
          <w:rFonts w:ascii="Times New Roman" w:hAnsi="Times New Roman" w:cs="Times New Roman"/>
          <w:sz w:val="24"/>
          <w:szCs w:val="24"/>
        </w:rPr>
        <w:t>days due to AEP’s billing operations move to Omaha, Nebraska. Both the Office of the Ohio Consumers’ Counsel (“OCC”) and the PUCO Staff opposed AEP’s waiver request</w:t>
      </w:r>
      <w:r w:rsidRPr="006C1EEE" w:rsidR="00F81531">
        <w:rPr>
          <w:rFonts w:ascii="Times New Roman" w:hAnsi="Times New Roman" w:cs="Times New Roman"/>
          <w:sz w:val="24"/>
          <w:szCs w:val="24"/>
        </w:rPr>
        <w:t xml:space="preserve">, for similar reasons. </w:t>
      </w:r>
    </w:p>
    <w:p w:rsidR="005F4E0B" w:rsidRPr="006C1EEE" w:rsidP="00EC2C9D" w14:paraId="3FE5BEA8" w14:textId="7826AACD">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OCC </w:t>
      </w:r>
      <w:r w:rsidRPr="006C1EEE" w:rsidR="007C6320">
        <w:rPr>
          <w:rFonts w:ascii="Times New Roman" w:hAnsi="Times New Roman" w:cs="Times New Roman"/>
          <w:sz w:val="24"/>
          <w:szCs w:val="24"/>
        </w:rPr>
        <w:t xml:space="preserve">and the PUCO Staff </w:t>
      </w:r>
      <w:r w:rsidRPr="006C1EEE" w:rsidR="00327C02">
        <w:rPr>
          <w:rFonts w:ascii="Times New Roman" w:hAnsi="Times New Roman" w:cs="Times New Roman"/>
          <w:sz w:val="24"/>
          <w:szCs w:val="24"/>
        </w:rPr>
        <w:t xml:space="preserve">individually </w:t>
      </w:r>
      <w:r w:rsidRPr="006C1EEE" w:rsidR="002D7F7A">
        <w:rPr>
          <w:rFonts w:ascii="Times New Roman" w:hAnsi="Times New Roman" w:cs="Times New Roman"/>
          <w:sz w:val="24"/>
          <w:szCs w:val="24"/>
        </w:rPr>
        <w:t>recommended</w:t>
      </w:r>
      <w:r w:rsidRPr="006C1EEE" w:rsidR="007C6320">
        <w:rPr>
          <w:rFonts w:ascii="Times New Roman" w:hAnsi="Times New Roman" w:cs="Times New Roman"/>
          <w:sz w:val="24"/>
          <w:szCs w:val="24"/>
        </w:rPr>
        <w:t xml:space="preserve"> that</w:t>
      </w:r>
      <w:r w:rsidRPr="006C1EEE">
        <w:rPr>
          <w:rFonts w:ascii="Times New Roman" w:hAnsi="Times New Roman" w:cs="Times New Roman"/>
          <w:sz w:val="24"/>
          <w:szCs w:val="24"/>
        </w:rPr>
        <w:t xml:space="preserve"> residential customers be afforded the full 21 days to pay their bills </w:t>
      </w:r>
      <w:r w:rsidRPr="006C1EEE" w:rsidR="002D7F7A">
        <w:rPr>
          <w:rFonts w:ascii="Times New Roman" w:hAnsi="Times New Roman" w:cs="Times New Roman"/>
          <w:sz w:val="24"/>
          <w:szCs w:val="24"/>
        </w:rPr>
        <w:t>mailed</w:t>
      </w:r>
      <w:r w:rsidRPr="006C1EEE">
        <w:rPr>
          <w:rFonts w:ascii="Times New Roman" w:hAnsi="Times New Roman" w:cs="Times New Roman"/>
          <w:sz w:val="24"/>
          <w:szCs w:val="24"/>
        </w:rPr>
        <w:t xml:space="preserve"> from out</w:t>
      </w:r>
      <w:r w:rsidRPr="006C1EEE" w:rsidR="00D310BD">
        <w:rPr>
          <w:rFonts w:ascii="Times New Roman" w:hAnsi="Times New Roman" w:cs="Times New Roman"/>
          <w:sz w:val="24"/>
          <w:szCs w:val="24"/>
        </w:rPr>
        <w:t>-</w:t>
      </w:r>
      <w:r w:rsidRPr="006C1EEE">
        <w:rPr>
          <w:rFonts w:ascii="Times New Roman" w:hAnsi="Times New Roman" w:cs="Times New Roman"/>
          <w:sz w:val="24"/>
          <w:szCs w:val="24"/>
        </w:rPr>
        <w:t>of</w:t>
      </w:r>
      <w:r w:rsidRPr="006C1EEE" w:rsidR="00D310BD">
        <w:rPr>
          <w:rFonts w:ascii="Times New Roman" w:hAnsi="Times New Roman" w:cs="Times New Roman"/>
          <w:sz w:val="24"/>
          <w:szCs w:val="24"/>
        </w:rPr>
        <w:t>-</w:t>
      </w:r>
      <w:r w:rsidRPr="006C1EEE">
        <w:rPr>
          <w:rFonts w:ascii="Times New Roman" w:hAnsi="Times New Roman" w:cs="Times New Roman"/>
          <w:sz w:val="24"/>
          <w:szCs w:val="24"/>
        </w:rPr>
        <w:t xml:space="preserve">state. </w:t>
      </w:r>
      <w:r w:rsidRPr="006C1EEE" w:rsidR="00F81531">
        <w:rPr>
          <w:rFonts w:ascii="Times New Roman" w:hAnsi="Times New Roman" w:cs="Times New Roman"/>
          <w:sz w:val="24"/>
          <w:szCs w:val="24"/>
        </w:rPr>
        <w:t xml:space="preserve">Given well-documented concerns about delayed mail delivery associated with </w:t>
      </w:r>
      <w:r w:rsidRPr="006C1EEE" w:rsidR="002D7F7A">
        <w:rPr>
          <w:rFonts w:ascii="Times New Roman" w:hAnsi="Times New Roman" w:cs="Times New Roman"/>
          <w:sz w:val="24"/>
          <w:szCs w:val="24"/>
        </w:rPr>
        <w:t>AEP’s bill processing</w:t>
      </w:r>
      <w:r w:rsidRPr="006C1EEE" w:rsidR="00F81531">
        <w:rPr>
          <w:rFonts w:ascii="Times New Roman" w:hAnsi="Times New Roman" w:cs="Times New Roman"/>
          <w:sz w:val="24"/>
          <w:szCs w:val="24"/>
        </w:rPr>
        <w:t xml:space="preserve"> move to Nebraska</w:t>
      </w:r>
      <w:r w:rsidRPr="006C1EEE" w:rsidR="003A04CB">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6C1EEE" w:rsidR="003A04CB">
        <w:rPr>
          <w:rFonts w:ascii="Times New Roman" w:hAnsi="Times New Roman" w:cs="Times New Roman"/>
          <w:sz w:val="24"/>
          <w:szCs w:val="24"/>
        </w:rPr>
        <w:t xml:space="preserve"> and the financial crisis consumers find themselves in as a result of the global pandemic,</w:t>
      </w:r>
      <w:r>
        <w:rPr>
          <w:rStyle w:val="FootnoteReference"/>
          <w:rFonts w:ascii="Times New Roman" w:hAnsi="Times New Roman" w:cs="Times New Roman"/>
          <w:sz w:val="24"/>
          <w:szCs w:val="24"/>
        </w:rPr>
        <w:footnoteReference w:id="5"/>
      </w:r>
      <w:r w:rsidRPr="006C1EEE" w:rsidR="003A04CB">
        <w:rPr>
          <w:rFonts w:ascii="Times New Roman" w:hAnsi="Times New Roman" w:cs="Times New Roman"/>
          <w:sz w:val="24"/>
          <w:szCs w:val="24"/>
        </w:rPr>
        <w:t xml:space="preserve"> now </w:t>
      </w:r>
      <w:r w:rsidRPr="006C1EEE" w:rsidR="00D310BD">
        <w:rPr>
          <w:rFonts w:ascii="Times New Roman" w:hAnsi="Times New Roman" w:cs="Times New Roman"/>
          <w:sz w:val="24"/>
          <w:szCs w:val="24"/>
        </w:rPr>
        <w:t>is</w:t>
      </w:r>
      <w:r w:rsidRPr="006C1EEE" w:rsidR="003A04CB">
        <w:rPr>
          <w:rFonts w:ascii="Times New Roman" w:hAnsi="Times New Roman" w:cs="Times New Roman"/>
          <w:sz w:val="24"/>
          <w:szCs w:val="24"/>
        </w:rPr>
        <w:t xml:space="preserve"> not the time to abandon </w:t>
      </w:r>
      <w:r w:rsidRPr="006C1EEE" w:rsidR="007C6320">
        <w:rPr>
          <w:rFonts w:ascii="Times New Roman" w:hAnsi="Times New Roman" w:cs="Times New Roman"/>
          <w:sz w:val="24"/>
          <w:szCs w:val="24"/>
        </w:rPr>
        <w:t>this</w:t>
      </w:r>
      <w:r w:rsidRPr="006C1EEE" w:rsidR="003A04CB">
        <w:rPr>
          <w:rFonts w:ascii="Times New Roman" w:hAnsi="Times New Roman" w:cs="Times New Roman"/>
          <w:sz w:val="24"/>
          <w:szCs w:val="24"/>
        </w:rPr>
        <w:t xml:space="preserve"> important consumer protection regulation</w:t>
      </w:r>
      <w:r w:rsidRPr="006C1EEE" w:rsidR="002948E7">
        <w:rPr>
          <w:rFonts w:ascii="Times New Roman" w:hAnsi="Times New Roman" w:cs="Times New Roman"/>
          <w:sz w:val="24"/>
          <w:szCs w:val="24"/>
        </w:rPr>
        <w:t xml:space="preserve"> that constitutes a minimum billing standard in th</w:t>
      </w:r>
      <w:r w:rsidRPr="006C1EEE" w:rsidR="004725A7">
        <w:rPr>
          <w:rFonts w:ascii="Times New Roman" w:hAnsi="Times New Roman" w:cs="Times New Roman"/>
          <w:sz w:val="24"/>
          <w:szCs w:val="24"/>
        </w:rPr>
        <w:t>e State.</w:t>
      </w:r>
      <w:r w:rsidRPr="006C1EEE" w:rsidR="003A04CB">
        <w:rPr>
          <w:rFonts w:ascii="Times New Roman" w:hAnsi="Times New Roman" w:cs="Times New Roman"/>
          <w:sz w:val="24"/>
          <w:szCs w:val="24"/>
        </w:rPr>
        <w:t xml:space="preserve"> </w:t>
      </w:r>
      <w:r w:rsidRPr="006C1EEE">
        <w:rPr>
          <w:rFonts w:ascii="Times New Roman" w:hAnsi="Times New Roman" w:cs="Times New Roman"/>
          <w:sz w:val="24"/>
          <w:szCs w:val="24"/>
        </w:rPr>
        <w:t>The PUCO should have denied the waiver</w:t>
      </w:r>
      <w:r w:rsidRPr="006C1EEE" w:rsidR="00327C02">
        <w:rPr>
          <w:rFonts w:ascii="Times New Roman" w:hAnsi="Times New Roman" w:cs="Times New Roman"/>
          <w:sz w:val="24"/>
          <w:szCs w:val="24"/>
        </w:rPr>
        <w:t>,</w:t>
      </w:r>
      <w:r w:rsidRPr="006C1EEE" w:rsidR="007E1388">
        <w:rPr>
          <w:rFonts w:ascii="Times New Roman" w:hAnsi="Times New Roman" w:cs="Times New Roman"/>
          <w:sz w:val="24"/>
          <w:szCs w:val="24"/>
        </w:rPr>
        <w:t xml:space="preserve"> but did not.  This rehearing request is made because in granting the waiver the PUCO failed to address arguments OCC made against the waiver. </w:t>
      </w:r>
      <w:r w:rsidRPr="006C1EEE">
        <w:rPr>
          <w:rFonts w:ascii="Times New Roman" w:hAnsi="Times New Roman" w:cs="Times New Roman"/>
          <w:sz w:val="24"/>
          <w:szCs w:val="24"/>
        </w:rPr>
        <w:t xml:space="preserve"> </w:t>
      </w:r>
    </w:p>
    <w:p w:rsidR="00EC2C9D" w:rsidRPr="006C1EEE" w:rsidP="00EC2C9D" w14:paraId="6FE69BD7" w14:textId="424F2AE9">
      <w:pPr>
        <w:pStyle w:val="Heading1"/>
      </w:pPr>
      <w:bookmarkStart w:id="4" w:name="_Toc43476844"/>
      <w:bookmarkStart w:id="5" w:name="_Toc45628653"/>
      <w:r w:rsidRPr="006C1EEE">
        <w:rPr>
          <w:bCs/>
        </w:rPr>
        <w:t>Matters for reconsideration</w:t>
      </w:r>
      <w:bookmarkEnd w:id="4"/>
      <w:r w:rsidRPr="006C1EEE">
        <w:rPr>
          <w:bCs/>
        </w:rPr>
        <w:t xml:space="preserve"> </w:t>
      </w:r>
      <w:r w:rsidRPr="006C1EEE" w:rsidR="00345170">
        <w:rPr>
          <w:bCs/>
        </w:rPr>
        <w:t>FOR CONSUMER PROTECTION</w:t>
      </w:r>
      <w:bookmarkEnd w:id="5"/>
    </w:p>
    <w:p w:rsidR="005F4E0B" w:rsidRPr="006C1EEE" w:rsidP="005F4E0B" w14:paraId="7DF6B840" w14:textId="45B75035">
      <w:pPr>
        <w:pStyle w:val="Heading2"/>
        <w:rPr>
          <w:rFonts w:cs="Times New Roman"/>
          <w:szCs w:val="24"/>
        </w:rPr>
      </w:pPr>
      <w:bookmarkStart w:id="6" w:name="_Toc45628654"/>
      <w:r w:rsidRPr="006C1EEE">
        <w:rPr>
          <w:rFonts w:cs="Times New Roman"/>
          <w:szCs w:val="24"/>
        </w:rPr>
        <w:t xml:space="preserve">Assignment of Error 1: The PUCO’s Order is unlawful because it fails to address </w:t>
      </w:r>
      <w:r w:rsidRPr="006C1EEE" w:rsidR="00B235C8">
        <w:rPr>
          <w:rFonts w:cs="Times New Roman"/>
          <w:szCs w:val="24"/>
        </w:rPr>
        <w:t xml:space="preserve">delivery delays involving </w:t>
      </w:r>
      <w:r w:rsidRPr="006C1EEE">
        <w:rPr>
          <w:rFonts w:cs="Times New Roman"/>
          <w:szCs w:val="24"/>
        </w:rPr>
        <w:t>AEP bills mailed from out</w:t>
      </w:r>
      <w:r w:rsidRPr="006C1EEE" w:rsidR="0040153E">
        <w:rPr>
          <w:rFonts w:cs="Times New Roman"/>
          <w:szCs w:val="24"/>
        </w:rPr>
        <w:t>-</w:t>
      </w:r>
      <w:r w:rsidRPr="006C1EEE">
        <w:rPr>
          <w:rFonts w:cs="Times New Roman"/>
          <w:szCs w:val="24"/>
        </w:rPr>
        <w:t>of</w:t>
      </w:r>
      <w:r w:rsidRPr="006C1EEE" w:rsidR="0040153E">
        <w:rPr>
          <w:rFonts w:cs="Times New Roman"/>
          <w:szCs w:val="24"/>
        </w:rPr>
        <w:t>-</w:t>
      </w:r>
      <w:r w:rsidRPr="006C1EEE">
        <w:rPr>
          <w:rFonts w:cs="Times New Roman"/>
          <w:szCs w:val="24"/>
        </w:rPr>
        <w:t xml:space="preserve">state that include disconnection notices </w:t>
      </w:r>
      <w:r w:rsidRPr="006C1EEE" w:rsidR="00B235C8">
        <w:rPr>
          <w:rFonts w:cs="Times New Roman"/>
          <w:szCs w:val="24"/>
        </w:rPr>
        <w:t xml:space="preserve">thus </w:t>
      </w:r>
      <w:r w:rsidRPr="006C1EEE">
        <w:rPr>
          <w:rFonts w:cs="Times New Roman"/>
          <w:szCs w:val="24"/>
        </w:rPr>
        <w:t>may not provide customers with the full 14-day advance notice required by R.C. 4933.12</w:t>
      </w:r>
      <w:r w:rsidRPr="006C1EEE" w:rsidR="005A45B7">
        <w:rPr>
          <w:rFonts w:cs="Times New Roman"/>
          <w:szCs w:val="24"/>
        </w:rPr>
        <w:t>2</w:t>
      </w:r>
      <w:r w:rsidRPr="006C1EEE" w:rsidR="00B235C8">
        <w:rPr>
          <w:rFonts w:cs="Times New Roman"/>
          <w:szCs w:val="24"/>
        </w:rPr>
        <w:t>.  The PUCO’s Order also</w:t>
      </w:r>
      <w:r w:rsidRPr="006C1EEE">
        <w:rPr>
          <w:rFonts w:cs="Times New Roman"/>
          <w:szCs w:val="24"/>
        </w:rPr>
        <w:t xml:space="preserve"> does not set forth reasons for the PUCO’s decision</w:t>
      </w:r>
      <w:r w:rsidRPr="006C1EEE" w:rsidR="000956D1">
        <w:rPr>
          <w:rFonts w:cs="Times New Roman"/>
          <w:szCs w:val="24"/>
        </w:rPr>
        <w:t xml:space="preserve"> thereby</w:t>
      </w:r>
      <w:r w:rsidRPr="006C1EEE">
        <w:rPr>
          <w:rFonts w:cs="Times New Roman"/>
          <w:szCs w:val="24"/>
        </w:rPr>
        <w:t xml:space="preserve"> violat</w:t>
      </w:r>
      <w:r w:rsidRPr="006C1EEE" w:rsidR="000956D1">
        <w:rPr>
          <w:rFonts w:cs="Times New Roman"/>
          <w:szCs w:val="24"/>
        </w:rPr>
        <w:t>ing</w:t>
      </w:r>
      <w:r w:rsidRPr="006C1EEE">
        <w:rPr>
          <w:rFonts w:cs="Times New Roman"/>
          <w:szCs w:val="24"/>
        </w:rPr>
        <w:t xml:space="preserve"> R.C. 4903.09 and Ohio Supreme Court precedent.</w:t>
      </w:r>
      <w:bookmarkEnd w:id="6"/>
    </w:p>
    <w:p w:rsidR="00650122" w:rsidRPr="006C1EEE" w:rsidP="00650122" w14:paraId="32EF3C17" w14:textId="151FFCF0">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OCC argued that AEP Ohio may need to adjust the disconnection timeline to account for </w:t>
      </w:r>
      <w:r w:rsidRPr="006C1EEE" w:rsidR="000956D1">
        <w:rPr>
          <w:rFonts w:ascii="Times New Roman" w:hAnsi="Times New Roman" w:cs="Times New Roman"/>
          <w:sz w:val="24"/>
          <w:szCs w:val="24"/>
        </w:rPr>
        <w:t>potential</w:t>
      </w:r>
      <w:r w:rsidRPr="006C1EEE">
        <w:rPr>
          <w:rFonts w:ascii="Times New Roman" w:hAnsi="Times New Roman" w:cs="Times New Roman"/>
          <w:sz w:val="24"/>
          <w:szCs w:val="24"/>
        </w:rPr>
        <w:t xml:space="preserve"> </w:t>
      </w:r>
      <w:r w:rsidRPr="006C1EEE" w:rsidR="008F781C">
        <w:rPr>
          <w:rFonts w:ascii="Times New Roman" w:hAnsi="Times New Roman" w:cs="Times New Roman"/>
          <w:sz w:val="24"/>
          <w:szCs w:val="24"/>
        </w:rPr>
        <w:t xml:space="preserve">mail delivery </w:t>
      </w:r>
      <w:r w:rsidRPr="006C1EEE">
        <w:rPr>
          <w:rFonts w:ascii="Times New Roman" w:hAnsi="Times New Roman" w:cs="Times New Roman"/>
          <w:sz w:val="24"/>
          <w:szCs w:val="24"/>
        </w:rPr>
        <w:t xml:space="preserve">delay or mail the 14-day notice separately from the </w:t>
      </w:r>
      <w:r w:rsidRPr="006C1EEE" w:rsidR="008F781C">
        <w:rPr>
          <w:rFonts w:ascii="Times New Roman" w:hAnsi="Times New Roman" w:cs="Times New Roman"/>
          <w:sz w:val="24"/>
          <w:szCs w:val="24"/>
        </w:rPr>
        <w:t xml:space="preserve">electric </w:t>
      </w:r>
      <w:r w:rsidRPr="006C1EEE">
        <w:rPr>
          <w:rFonts w:ascii="Times New Roman" w:hAnsi="Times New Roman" w:cs="Times New Roman"/>
          <w:sz w:val="24"/>
          <w:szCs w:val="24"/>
        </w:rPr>
        <w:t>bill</w:t>
      </w:r>
      <w:r w:rsidRPr="006C1EEE" w:rsidR="005A45B7">
        <w:rPr>
          <w:rFonts w:ascii="Times New Roman" w:hAnsi="Times New Roman" w:cs="Times New Roman"/>
          <w:sz w:val="24"/>
          <w:szCs w:val="24"/>
        </w:rPr>
        <w:t xml:space="preserve"> in order to comply with </w:t>
      </w:r>
      <w:r w:rsidRPr="006C1EEE" w:rsidR="00565EB1">
        <w:rPr>
          <w:rFonts w:ascii="Times New Roman" w:hAnsi="Times New Roman" w:cs="Times New Roman"/>
          <w:sz w:val="24"/>
          <w:szCs w:val="24"/>
        </w:rPr>
        <w:t>Ohio law</w:t>
      </w:r>
      <w:r w:rsidRPr="006C1EE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6C1EEE">
        <w:rPr>
          <w:rFonts w:ascii="Times New Roman" w:hAnsi="Times New Roman" w:cs="Times New Roman"/>
          <w:sz w:val="24"/>
          <w:szCs w:val="24"/>
        </w:rPr>
        <w:t xml:space="preserve">  But the PUCO did not listen and failed to address OCC’s arguments.  That’s unlawful under R.C. 4903.09 and Ohio Supreme Court precedent.</w:t>
      </w:r>
    </w:p>
    <w:p w:rsidR="00650122" w:rsidRPr="006C1EEE" w:rsidP="00650122" w14:paraId="1EE10C82" w14:textId="50D56026">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By law, the PUCO is required to file a written opinion "setting forth the </w:t>
      </w:r>
      <w:r w:rsidRPr="006C1EEE">
        <w:rPr>
          <w:rFonts w:ascii="Times New Roman" w:hAnsi="Times New Roman" w:cs="Times New Roman"/>
          <w:sz w:val="24"/>
          <w:szCs w:val="24"/>
          <w:u w:val="single"/>
        </w:rPr>
        <w:t>reasons</w:t>
      </w:r>
      <w:r w:rsidRPr="006C1EEE">
        <w:rPr>
          <w:rFonts w:ascii="Times New Roman" w:hAnsi="Times New Roman" w:cs="Times New Roman"/>
          <w:sz w:val="24"/>
          <w:szCs w:val="24"/>
        </w:rPr>
        <w:t xml:space="preserve"> prompting the decisions arrived at."</w:t>
      </w:r>
      <w:r>
        <w:rPr>
          <w:rStyle w:val="FootnoteReference"/>
          <w:rFonts w:ascii="Times New Roman" w:hAnsi="Times New Roman" w:cs="Times New Roman"/>
          <w:sz w:val="24"/>
          <w:szCs w:val="24"/>
        </w:rPr>
        <w:footnoteReference w:id="7"/>
      </w:r>
      <w:r w:rsidRPr="006C1EEE">
        <w:rPr>
          <w:rFonts w:ascii="Times New Roman" w:hAnsi="Times New Roman" w:cs="Times New Roman"/>
          <w:sz w:val="24"/>
          <w:szCs w:val="24"/>
        </w:rPr>
        <w:t xml:space="preserve"> As interpreted by the Ohio Supreme Court</w:t>
      </w:r>
      <w:r w:rsidRPr="006C1EEE" w:rsidR="00327C02">
        <w:rPr>
          <w:rFonts w:ascii="Times New Roman" w:hAnsi="Times New Roman" w:cs="Times New Roman"/>
          <w:sz w:val="24"/>
          <w:szCs w:val="24"/>
        </w:rPr>
        <w:t xml:space="preserve"> (“Court”)</w:t>
      </w:r>
      <w:r w:rsidRPr="006C1EEE">
        <w:rPr>
          <w:rFonts w:ascii="Times New Roman" w:hAnsi="Times New Roman" w:cs="Times New Roman"/>
          <w:sz w:val="24"/>
          <w:szCs w:val="24"/>
        </w:rPr>
        <w:t>, this means that PUCO orders must be sufficiently detailed "to enable the court to make its review as to lawfulness and reasonableness."</w:t>
      </w:r>
      <w:r>
        <w:rPr>
          <w:rStyle w:val="FootnoteReference"/>
          <w:rFonts w:ascii="Times New Roman" w:hAnsi="Times New Roman" w:cs="Times New Roman"/>
          <w:sz w:val="24"/>
          <w:szCs w:val="24"/>
        </w:rPr>
        <w:footnoteReference w:id="8"/>
      </w:r>
    </w:p>
    <w:p w:rsidR="00650122" w:rsidRPr="006C1EEE" w:rsidP="00650122" w14:paraId="3AA99C03" w14:textId="4BFA1BB7">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In </w:t>
      </w:r>
      <w:r w:rsidRPr="006C1EEE">
        <w:rPr>
          <w:rFonts w:ascii="Times New Roman" w:hAnsi="Times New Roman" w:cs="Times New Roman"/>
          <w:i/>
          <w:sz w:val="24"/>
          <w:szCs w:val="24"/>
        </w:rPr>
        <w:t>In re Application of Columbus Southern Power Co.</w:t>
      </w:r>
      <w:r w:rsidRPr="006C1EEE">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6C1EEE">
        <w:rPr>
          <w:rFonts w:ascii="Times New Roman" w:hAnsi="Times New Roman" w:cs="Times New Roman"/>
          <w:sz w:val="24"/>
          <w:szCs w:val="24"/>
        </w:rPr>
        <w:t xml:space="preserve"> the utility argued that the PUCO failed to address its arguments regarding the proper application of the significantly excessive earnings test. The</w:t>
      </w:r>
      <w:r w:rsidRPr="006C1EEE" w:rsidR="00534A56">
        <w:rPr>
          <w:rFonts w:ascii="Times New Roman" w:hAnsi="Times New Roman" w:cs="Times New Roman"/>
          <w:sz w:val="24"/>
          <w:szCs w:val="24"/>
        </w:rPr>
        <w:t>re, the</w:t>
      </w:r>
      <w:r w:rsidRPr="006C1EEE">
        <w:rPr>
          <w:rFonts w:ascii="Times New Roman" w:hAnsi="Times New Roman" w:cs="Times New Roman"/>
          <w:sz w:val="24"/>
          <w:szCs w:val="24"/>
        </w:rPr>
        <w:t xml:space="preserve"> Court held that the PUCO is required to respond to parties' arguments and explain why it agrees or disagrees with them: "The commission never offered a response to AEP's claims and thus failed to explain its decision. This was error."</w:t>
      </w:r>
      <w:r>
        <w:rPr>
          <w:rStyle w:val="FootnoteReference"/>
          <w:rFonts w:ascii="Times New Roman" w:hAnsi="Times New Roman" w:cs="Times New Roman"/>
          <w:sz w:val="24"/>
          <w:szCs w:val="24"/>
        </w:rPr>
        <w:footnoteReference w:id="10"/>
      </w:r>
      <w:r w:rsidRPr="006C1EEE">
        <w:rPr>
          <w:rFonts w:ascii="Times New Roman" w:hAnsi="Times New Roman" w:cs="Times New Roman"/>
          <w:sz w:val="24"/>
          <w:szCs w:val="24"/>
        </w:rPr>
        <w:t xml:space="preserve"> </w:t>
      </w:r>
    </w:p>
    <w:p w:rsidR="00650122" w:rsidRPr="006C1EEE" w:rsidP="00650122" w14:paraId="122EE4F3" w14:textId="7012B236">
      <w:pPr>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A similar error occurred in this Order where the PUCO noted but never addressed OCC’s arguments. </w:t>
      </w:r>
      <w:r w:rsidRPr="006C1EEE" w:rsidR="0059679D">
        <w:rPr>
          <w:rFonts w:ascii="Times New Roman" w:hAnsi="Times New Roman" w:cs="Times New Roman"/>
          <w:sz w:val="24"/>
          <w:szCs w:val="24"/>
        </w:rPr>
        <w:t xml:space="preserve">OCC argued in Comments that </w:t>
      </w:r>
      <w:r w:rsidRPr="006C1EEE" w:rsidR="00267489">
        <w:rPr>
          <w:rFonts w:ascii="Times New Roman" w:hAnsi="Times New Roman" w:cs="Times New Roman"/>
          <w:sz w:val="24"/>
          <w:szCs w:val="24"/>
        </w:rPr>
        <w:t xml:space="preserve">AEP Ohio, </w:t>
      </w:r>
      <w:r w:rsidRPr="006C1EEE" w:rsidR="007E1388">
        <w:rPr>
          <w:rFonts w:ascii="Times New Roman" w:hAnsi="Times New Roman" w:cs="Times New Roman"/>
          <w:sz w:val="24"/>
          <w:szCs w:val="24"/>
        </w:rPr>
        <w:t xml:space="preserve">under </w:t>
      </w:r>
      <w:r w:rsidRPr="006C1EEE" w:rsidR="00267489">
        <w:rPr>
          <w:rFonts w:ascii="Times New Roman" w:hAnsi="Times New Roman" w:cs="Times New Roman"/>
          <w:sz w:val="24"/>
          <w:szCs w:val="24"/>
        </w:rPr>
        <w:t xml:space="preserve"> R.C. 4933.12</w:t>
      </w:r>
      <w:r w:rsidRPr="006C1EEE" w:rsidR="005A45B7">
        <w:rPr>
          <w:rFonts w:ascii="Times New Roman" w:hAnsi="Times New Roman" w:cs="Times New Roman"/>
          <w:sz w:val="24"/>
          <w:szCs w:val="24"/>
        </w:rPr>
        <w:t>2</w:t>
      </w:r>
      <w:r w:rsidRPr="006C1EEE" w:rsidR="00267489">
        <w:rPr>
          <w:rFonts w:ascii="Times New Roman" w:hAnsi="Times New Roman" w:cs="Times New Roman"/>
          <w:sz w:val="24"/>
          <w:szCs w:val="24"/>
        </w:rPr>
        <w:t xml:space="preserve"> and Ohio Adm.Code 4901:1-18-06(A), must provide customers with a minimum 14-day notice prior to disconnecting </w:t>
      </w:r>
      <w:r w:rsidRPr="006C1EEE" w:rsidR="00783BE3">
        <w:rPr>
          <w:rFonts w:ascii="Times New Roman" w:hAnsi="Times New Roman" w:cs="Times New Roman"/>
          <w:sz w:val="24"/>
          <w:szCs w:val="24"/>
        </w:rPr>
        <w:t xml:space="preserve">electric </w:t>
      </w:r>
      <w:r w:rsidRPr="006C1EEE" w:rsidR="00267489">
        <w:rPr>
          <w:rFonts w:ascii="Times New Roman" w:hAnsi="Times New Roman" w:cs="Times New Roman"/>
          <w:sz w:val="24"/>
          <w:szCs w:val="24"/>
        </w:rPr>
        <w:t>service for non-payment.</w:t>
      </w:r>
      <w:r>
        <w:rPr>
          <w:rStyle w:val="FootnoteReference"/>
          <w:rFonts w:ascii="Times New Roman" w:hAnsi="Times New Roman" w:cs="Times New Roman"/>
          <w:sz w:val="24"/>
          <w:szCs w:val="24"/>
        </w:rPr>
        <w:footnoteReference w:id="11"/>
      </w:r>
      <w:r w:rsidRPr="006C1EEE" w:rsidR="004725A7">
        <w:rPr>
          <w:rFonts w:ascii="Times New Roman" w:hAnsi="Times New Roman" w:cs="Times New Roman"/>
          <w:sz w:val="24"/>
          <w:szCs w:val="24"/>
        </w:rPr>
        <w:t xml:space="preserve"> </w:t>
      </w:r>
      <w:r w:rsidRPr="006C1EEE" w:rsidR="007E1388">
        <w:rPr>
          <w:rFonts w:ascii="Times New Roman" w:hAnsi="Times New Roman" w:cs="Times New Roman"/>
          <w:sz w:val="24"/>
          <w:szCs w:val="24"/>
        </w:rPr>
        <w:t>AEP mails the 14-day notice along with the customer bill</w:t>
      </w:r>
      <w:r w:rsidRPr="006C1EEE" w:rsidR="004725A7">
        <w:rPr>
          <w:rFonts w:ascii="Times New Roman" w:hAnsi="Times New Roman" w:cs="Times New Roman"/>
          <w:sz w:val="24"/>
          <w:szCs w:val="24"/>
        </w:rPr>
        <w:t>, so</w:t>
      </w:r>
      <w:r w:rsidRPr="006C1EEE" w:rsidR="007E1388">
        <w:rPr>
          <w:rFonts w:ascii="Times New Roman" w:hAnsi="Times New Roman" w:cs="Times New Roman"/>
          <w:sz w:val="24"/>
          <w:szCs w:val="24"/>
        </w:rPr>
        <w:t xml:space="preserve"> if there is a delay in receiving the ou</w:t>
      </w:r>
      <w:r w:rsidRPr="006C1EEE" w:rsidR="004725A7">
        <w:rPr>
          <w:rFonts w:ascii="Times New Roman" w:hAnsi="Times New Roman" w:cs="Times New Roman"/>
          <w:sz w:val="24"/>
          <w:szCs w:val="24"/>
        </w:rPr>
        <w:t>t-of-state</w:t>
      </w:r>
      <w:r w:rsidRPr="006C1EEE" w:rsidR="007E1388">
        <w:rPr>
          <w:rFonts w:ascii="Times New Roman" w:hAnsi="Times New Roman" w:cs="Times New Roman"/>
          <w:sz w:val="24"/>
          <w:szCs w:val="24"/>
        </w:rPr>
        <w:t xml:space="preserve"> bill, customers may be denied the 14</w:t>
      </w:r>
      <w:r w:rsidRPr="006C1EEE" w:rsidR="00327C02">
        <w:rPr>
          <w:rFonts w:ascii="Times New Roman" w:hAnsi="Times New Roman" w:cs="Times New Roman"/>
          <w:sz w:val="24"/>
          <w:szCs w:val="24"/>
        </w:rPr>
        <w:t>-</w:t>
      </w:r>
      <w:r w:rsidRPr="006C1EEE" w:rsidR="007E1388">
        <w:rPr>
          <w:rFonts w:ascii="Times New Roman" w:hAnsi="Times New Roman" w:cs="Times New Roman"/>
          <w:sz w:val="24"/>
          <w:szCs w:val="24"/>
        </w:rPr>
        <w:t>day notice protection</w:t>
      </w:r>
      <w:r w:rsidRPr="006C1EEE" w:rsidR="008F781C">
        <w:rPr>
          <w:rFonts w:ascii="Times New Roman" w:hAnsi="Times New Roman" w:cs="Times New Roman"/>
          <w:sz w:val="24"/>
          <w:szCs w:val="24"/>
        </w:rPr>
        <w:t xml:space="preserve"> </w:t>
      </w:r>
      <w:r w:rsidRPr="006C1EEE" w:rsidR="00565EB1">
        <w:rPr>
          <w:rFonts w:ascii="Times New Roman" w:hAnsi="Times New Roman" w:cs="Times New Roman"/>
          <w:sz w:val="24"/>
          <w:szCs w:val="24"/>
        </w:rPr>
        <w:t xml:space="preserve">required </w:t>
      </w:r>
      <w:r w:rsidRPr="006C1EEE" w:rsidR="008F781C">
        <w:rPr>
          <w:rFonts w:ascii="Times New Roman" w:hAnsi="Times New Roman" w:cs="Times New Roman"/>
          <w:sz w:val="24"/>
          <w:szCs w:val="24"/>
        </w:rPr>
        <w:t>under</w:t>
      </w:r>
      <w:r w:rsidRPr="006C1EEE" w:rsidR="00AE3D29">
        <w:rPr>
          <w:rFonts w:ascii="Times New Roman" w:hAnsi="Times New Roman" w:cs="Times New Roman"/>
          <w:sz w:val="24"/>
          <w:szCs w:val="24"/>
        </w:rPr>
        <w:t xml:space="preserve"> </w:t>
      </w:r>
      <w:r w:rsidRPr="006C1EEE" w:rsidR="00565EB1">
        <w:rPr>
          <w:rFonts w:ascii="Times New Roman" w:hAnsi="Times New Roman" w:cs="Times New Roman"/>
          <w:sz w:val="24"/>
          <w:szCs w:val="24"/>
        </w:rPr>
        <w:t>Ohio law</w:t>
      </w:r>
      <w:r w:rsidRPr="006C1EEE" w:rsidR="00AE3D29">
        <w:rPr>
          <w:rFonts w:ascii="Times New Roman" w:hAnsi="Times New Roman" w:cs="Times New Roman"/>
          <w:sz w:val="24"/>
          <w:szCs w:val="24"/>
        </w:rPr>
        <w:t xml:space="preserve"> and </w:t>
      </w:r>
      <w:r w:rsidRPr="006C1EEE" w:rsidR="00565EB1">
        <w:rPr>
          <w:rFonts w:ascii="Times New Roman" w:hAnsi="Times New Roman" w:cs="Times New Roman"/>
          <w:sz w:val="24"/>
          <w:szCs w:val="24"/>
        </w:rPr>
        <w:t xml:space="preserve">the </w:t>
      </w:r>
      <w:r w:rsidRPr="006C1EEE" w:rsidR="00AE3D29">
        <w:rPr>
          <w:rFonts w:ascii="Times New Roman" w:hAnsi="Times New Roman" w:cs="Times New Roman"/>
          <w:sz w:val="24"/>
          <w:szCs w:val="24"/>
        </w:rPr>
        <w:t>PUCO’s rules</w:t>
      </w:r>
      <w:r w:rsidRPr="006C1EEE" w:rsidR="007E1388">
        <w:rPr>
          <w:rFonts w:ascii="Times New Roman" w:hAnsi="Times New Roman" w:cs="Times New Roman"/>
          <w:sz w:val="24"/>
          <w:szCs w:val="24"/>
        </w:rPr>
        <w:t xml:space="preserve">. </w:t>
      </w:r>
      <w:r w:rsidRPr="006C1EEE" w:rsidR="00296143">
        <w:rPr>
          <w:rFonts w:ascii="Times New Roman" w:hAnsi="Times New Roman" w:cs="Times New Roman"/>
          <w:sz w:val="24"/>
          <w:szCs w:val="24"/>
        </w:rPr>
        <w:t xml:space="preserve">The delay may </w:t>
      </w:r>
      <w:r w:rsidRPr="006C1EEE" w:rsidR="00267489">
        <w:rPr>
          <w:rFonts w:ascii="Times New Roman" w:hAnsi="Times New Roman" w:cs="Times New Roman"/>
          <w:sz w:val="24"/>
          <w:szCs w:val="24"/>
        </w:rPr>
        <w:t xml:space="preserve">adversely affect the amount of time that consumers have to respond to the </w:t>
      </w:r>
      <w:r w:rsidRPr="006C1EEE" w:rsidR="000956D1">
        <w:rPr>
          <w:rFonts w:ascii="Times New Roman" w:hAnsi="Times New Roman" w:cs="Times New Roman"/>
          <w:sz w:val="24"/>
          <w:szCs w:val="24"/>
        </w:rPr>
        <w:t xml:space="preserve">disconnection </w:t>
      </w:r>
      <w:r w:rsidRPr="006C1EEE" w:rsidR="00267489">
        <w:rPr>
          <w:rFonts w:ascii="Times New Roman" w:hAnsi="Times New Roman" w:cs="Times New Roman"/>
          <w:sz w:val="24"/>
          <w:szCs w:val="24"/>
        </w:rPr>
        <w:t>notice prior to their service being terminated.</w:t>
      </w:r>
      <w:r>
        <w:rPr>
          <w:rStyle w:val="FootnoteReference"/>
          <w:rFonts w:ascii="Times New Roman" w:hAnsi="Times New Roman" w:cs="Times New Roman"/>
          <w:sz w:val="24"/>
          <w:szCs w:val="24"/>
        </w:rPr>
        <w:footnoteReference w:id="12"/>
      </w:r>
      <w:r w:rsidRPr="006C1EEE" w:rsidR="00267489">
        <w:rPr>
          <w:rFonts w:ascii="Times New Roman" w:hAnsi="Times New Roman" w:cs="Times New Roman"/>
          <w:sz w:val="24"/>
          <w:szCs w:val="24"/>
        </w:rPr>
        <w:t xml:space="preserve"> </w:t>
      </w:r>
      <w:r w:rsidRPr="006C1EEE">
        <w:rPr>
          <w:rFonts w:ascii="Times New Roman" w:hAnsi="Times New Roman" w:cs="Times New Roman"/>
          <w:sz w:val="24"/>
          <w:szCs w:val="24"/>
        </w:rPr>
        <w:t xml:space="preserve">The Order </w:t>
      </w:r>
      <w:r w:rsidRPr="006C1EEE" w:rsidR="00267489">
        <w:rPr>
          <w:rFonts w:ascii="Times New Roman" w:hAnsi="Times New Roman" w:cs="Times New Roman"/>
          <w:sz w:val="24"/>
          <w:szCs w:val="24"/>
        </w:rPr>
        <w:t>noted but never addressed OCC’s argument.</w:t>
      </w:r>
      <w:r>
        <w:rPr>
          <w:rStyle w:val="FootnoteReference"/>
          <w:rFonts w:ascii="Times New Roman" w:hAnsi="Times New Roman" w:cs="Times New Roman"/>
          <w:sz w:val="24"/>
          <w:szCs w:val="24"/>
        </w:rPr>
        <w:footnoteReference w:id="13"/>
      </w:r>
    </w:p>
    <w:p w:rsidR="00267489" w:rsidRPr="006C1EEE" w:rsidP="00267489" w14:paraId="37E86078" w14:textId="05C00BCF">
      <w:pPr>
        <w:autoSpaceDE w:val="0"/>
        <w:autoSpaceDN w:val="0"/>
        <w:adjustRightInd w:val="0"/>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 xml:space="preserve">After all, it only makes sense that Ohioans should not suffer the consequences of delay in receiving important notices because of an AEP </w:t>
      </w:r>
      <w:r w:rsidRPr="006C1EEE" w:rsidR="00327C02">
        <w:rPr>
          <w:rFonts w:ascii="Times New Roman" w:hAnsi="Times New Roman" w:cs="Times New Roman"/>
          <w:sz w:val="24"/>
          <w:szCs w:val="24"/>
        </w:rPr>
        <w:t>expense</w:t>
      </w:r>
      <w:r w:rsidRPr="006C1EEE" w:rsidR="0057127D">
        <w:rPr>
          <w:rFonts w:ascii="Times New Roman" w:hAnsi="Times New Roman" w:cs="Times New Roman"/>
          <w:sz w:val="24"/>
          <w:szCs w:val="24"/>
        </w:rPr>
        <w:t>-</w:t>
      </w:r>
      <w:r w:rsidRPr="006C1EEE" w:rsidR="00327C02">
        <w:rPr>
          <w:rFonts w:ascii="Times New Roman" w:hAnsi="Times New Roman" w:cs="Times New Roman"/>
          <w:sz w:val="24"/>
          <w:szCs w:val="24"/>
        </w:rPr>
        <w:t xml:space="preserve">saving </w:t>
      </w:r>
      <w:r w:rsidRPr="006C1EEE">
        <w:rPr>
          <w:rFonts w:ascii="Times New Roman" w:hAnsi="Times New Roman" w:cs="Times New Roman"/>
          <w:sz w:val="24"/>
          <w:szCs w:val="24"/>
        </w:rPr>
        <w:t xml:space="preserve">decision (that financially benefits only itself) to relocate its bill processing and distribution center to Nebraska. </w:t>
      </w:r>
    </w:p>
    <w:p w:rsidR="00267489" w:rsidRPr="006C1EEE" w:rsidP="00C421BF" w14:paraId="1C875D68" w14:textId="2461771A">
      <w:pPr>
        <w:autoSpaceDE w:val="0"/>
        <w:autoSpaceDN w:val="0"/>
        <w:adjustRightInd w:val="0"/>
        <w:spacing w:after="0" w:line="480" w:lineRule="auto"/>
        <w:ind w:firstLine="720"/>
        <w:rPr>
          <w:rFonts w:ascii="Times New Roman" w:hAnsi="Times New Roman" w:cs="Times New Roman"/>
          <w:sz w:val="24"/>
          <w:szCs w:val="24"/>
        </w:rPr>
      </w:pPr>
      <w:r w:rsidRPr="006C1EEE">
        <w:rPr>
          <w:rFonts w:ascii="Times New Roman" w:hAnsi="Times New Roman" w:cs="Times New Roman"/>
          <w:sz w:val="24"/>
          <w:szCs w:val="24"/>
        </w:rPr>
        <w:t>The PUCO approved AEP’s waiver request without considering OCC</w:t>
      </w:r>
      <w:r w:rsidRPr="006C1EEE" w:rsidR="00BC6934">
        <w:rPr>
          <w:rFonts w:ascii="Times New Roman" w:hAnsi="Times New Roman" w:cs="Times New Roman"/>
          <w:sz w:val="24"/>
          <w:szCs w:val="24"/>
        </w:rPr>
        <w:t>’s</w:t>
      </w:r>
      <w:r w:rsidRPr="006C1EEE">
        <w:rPr>
          <w:rFonts w:ascii="Times New Roman" w:hAnsi="Times New Roman" w:cs="Times New Roman"/>
          <w:sz w:val="24"/>
          <w:szCs w:val="24"/>
        </w:rPr>
        <w:t xml:space="preserve"> </w:t>
      </w:r>
      <w:r w:rsidRPr="006C1EEE" w:rsidR="00565EB1">
        <w:rPr>
          <w:rFonts w:ascii="Times New Roman" w:hAnsi="Times New Roman" w:cs="Times New Roman"/>
          <w:sz w:val="24"/>
          <w:szCs w:val="24"/>
        </w:rPr>
        <w:t>C</w:t>
      </w:r>
      <w:r w:rsidRPr="006C1EEE">
        <w:rPr>
          <w:rFonts w:ascii="Times New Roman" w:hAnsi="Times New Roman" w:cs="Times New Roman"/>
          <w:sz w:val="24"/>
          <w:szCs w:val="24"/>
        </w:rPr>
        <w:t>omments</w:t>
      </w:r>
      <w:r w:rsidRPr="006C1EEE" w:rsidR="00296143">
        <w:rPr>
          <w:rFonts w:ascii="Times New Roman" w:hAnsi="Times New Roman" w:cs="Times New Roman"/>
          <w:sz w:val="24"/>
          <w:szCs w:val="24"/>
        </w:rPr>
        <w:t>.</w:t>
      </w:r>
      <w:r w:rsidRPr="006C1EEE" w:rsidR="008F781C">
        <w:rPr>
          <w:rFonts w:ascii="Times New Roman" w:hAnsi="Times New Roman" w:cs="Times New Roman"/>
          <w:sz w:val="24"/>
          <w:szCs w:val="24"/>
        </w:rPr>
        <w:t xml:space="preserve"> </w:t>
      </w:r>
      <w:r w:rsidRPr="006C1EEE" w:rsidR="00BC6934">
        <w:rPr>
          <w:rFonts w:ascii="Times New Roman" w:hAnsi="Times New Roman" w:cs="Times New Roman"/>
          <w:sz w:val="24"/>
          <w:szCs w:val="24"/>
        </w:rPr>
        <w:t xml:space="preserve">The PUCO </w:t>
      </w:r>
      <w:r w:rsidRPr="006C1EEE" w:rsidR="009A2465">
        <w:rPr>
          <w:rFonts w:ascii="Times New Roman" w:hAnsi="Times New Roman" w:cs="Times New Roman"/>
          <w:sz w:val="24"/>
          <w:szCs w:val="24"/>
        </w:rPr>
        <w:t>erred by not addressing</w:t>
      </w:r>
      <w:r w:rsidRPr="006C1EEE" w:rsidR="00BC6934">
        <w:rPr>
          <w:rFonts w:ascii="Times New Roman" w:hAnsi="Times New Roman" w:cs="Times New Roman"/>
          <w:sz w:val="24"/>
          <w:szCs w:val="24"/>
        </w:rPr>
        <w:t xml:space="preserve"> this issue. Simply noting the argument </w:t>
      </w:r>
      <w:r w:rsidRPr="006C1EEE" w:rsidR="009A2465">
        <w:rPr>
          <w:rFonts w:ascii="Times New Roman" w:hAnsi="Times New Roman" w:cs="Times New Roman"/>
          <w:sz w:val="24"/>
          <w:szCs w:val="24"/>
        </w:rPr>
        <w:t xml:space="preserve">in the Order </w:t>
      </w:r>
      <w:r w:rsidRPr="006C1EEE" w:rsidR="00BC6934">
        <w:rPr>
          <w:rFonts w:ascii="Times New Roman" w:hAnsi="Times New Roman" w:cs="Times New Roman"/>
          <w:sz w:val="24"/>
          <w:szCs w:val="24"/>
        </w:rPr>
        <w:t xml:space="preserve">provides no insight into the PUCO’s decision-making and does not comply with R.C. 4903.09 or Ohio Supreme Court precedent. </w:t>
      </w:r>
      <w:r w:rsidRPr="006C1EEE">
        <w:rPr>
          <w:rFonts w:ascii="Times New Roman" w:hAnsi="Times New Roman" w:cs="Times New Roman"/>
          <w:sz w:val="24"/>
          <w:szCs w:val="24"/>
        </w:rPr>
        <w:t xml:space="preserve">The PUCO should grant rehearing and consider the impact that the waiver has on </w:t>
      </w:r>
      <w:r w:rsidRPr="006C1EEE" w:rsidR="009A2465">
        <w:rPr>
          <w:rFonts w:ascii="Times New Roman" w:hAnsi="Times New Roman" w:cs="Times New Roman"/>
          <w:sz w:val="24"/>
          <w:szCs w:val="24"/>
        </w:rPr>
        <w:t xml:space="preserve">Ohio law </w:t>
      </w:r>
      <w:r w:rsidRPr="006C1EEE">
        <w:rPr>
          <w:rFonts w:ascii="Times New Roman" w:hAnsi="Times New Roman" w:cs="Times New Roman"/>
          <w:sz w:val="24"/>
          <w:szCs w:val="24"/>
        </w:rPr>
        <w:t xml:space="preserve">ensuring that </w:t>
      </w:r>
      <w:r w:rsidRPr="006C1EEE" w:rsidR="00783BE3">
        <w:rPr>
          <w:rFonts w:ascii="Times New Roman" w:hAnsi="Times New Roman" w:cs="Times New Roman"/>
          <w:sz w:val="24"/>
          <w:szCs w:val="24"/>
        </w:rPr>
        <w:t>residential c</w:t>
      </w:r>
      <w:r w:rsidRPr="006C1EEE">
        <w:rPr>
          <w:rFonts w:ascii="Times New Roman" w:hAnsi="Times New Roman" w:cs="Times New Roman"/>
          <w:sz w:val="24"/>
          <w:szCs w:val="24"/>
        </w:rPr>
        <w:t>ustomers have no less than 14 days advance notice prior to services being disconnected</w:t>
      </w:r>
      <w:r w:rsidRPr="006C1EEE" w:rsidR="00783BE3">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6C1EEE">
        <w:rPr>
          <w:rFonts w:ascii="Times New Roman" w:hAnsi="Times New Roman" w:cs="Times New Roman"/>
          <w:sz w:val="24"/>
          <w:szCs w:val="24"/>
        </w:rPr>
        <w:t xml:space="preserve">          </w:t>
      </w:r>
    </w:p>
    <w:p w:rsidR="006D4FE8" w:rsidRPr="006C1EEE" w:rsidP="00C5307A" w14:paraId="79C03015" w14:textId="4D6AAF8C">
      <w:pPr>
        <w:pStyle w:val="Heading2"/>
        <w:spacing w:after="0"/>
        <w:rPr>
          <w:rFonts w:eastAsia="Times New Roman" w:cs="Times New Roman"/>
          <w:szCs w:val="24"/>
        </w:rPr>
      </w:pPr>
      <w:bookmarkStart w:id="7" w:name="_Toc45628655"/>
      <w:r w:rsidRPr="006C1EEE">
        <w:rPr>
          <w:rFonts w:eastAsia="Times New Roman" w:cs="Times New Roman"/>
          <w:szCs w:val="24"/>
        </w:rPr>
        <w:t xml:space="preserve">Assignment of Error No. 2: The PUCO’s Order </w:t>
      </w:r>
      <w:r w:rsidRPr="006C1EEE" w:rsidR="0061529D">
        <w:rPr>
          <w:rFonts w:eastAsia="Times New Roman" w:cs="Times New Roman"/>
          <w:szCs w:val="24"/>
        </w:rPr>
        <w:t xml:space="preserve">is unlawful because it failed to address alternatives to the waiver that were proposed by OCC involving AEP modifying its </w:t>
      </w:r>
      <w:r w:rsidRPr="006C1EEE" w:rsidR="008F781C">
        <w:rPr>
          <w:rFonts w:eastAsia="Times New Roman" w:cs="Times New Roman"/>
          <w:szCs w:val="24"/>
        </w:rPr>
        <w:t xml:space="preserve">purchase </w:t>
      </w:r>
      <w:r w:rsidRPr="006C1EEE" w:rsidR="0061529D">
        <w:rPr>
          <w:rFonts w:eastAsia="Times New Roman" w:cs="Times New Roman"/>
          <w:szCs w:val="24"/>
        </w:rPr>
        <w:t>agreements related to payment of marketer receivables to account for the additional delay associated with out-of-state billing. This violates R.C. 4903.09 and Ohio Supreme Court precedent.</w:t>
      </w:r>
      <w:bookmarkEnd w:id="7"/>
    </w:p>
    <w:p w:rsidR="006D4FE8" w:rsidRPr="006C1EEE" w:rsidP="006D4FE8" w14:paraId="25C03D82" w14:textId="5B046E67">
      <w:pPr>
        <w:spacing w:after="0" w:line="240" w:lineRule="auto"/>
        <w:rPr>
          <w:rFonts w:ascii="Times New Roman" w:eastAsia="Times New Roman" w:hAnsi="Times New Roman" w:cs="Times New Roman"/>
          <w:b/>
          <w:bCs/>
          <w:sz w:val="24"/>
          <w:szCs w:val="24"/>
        </w:rPr>
      </w:pPr>
    </w:p>
    <w:p w:rsidR="006B3E74" w:rsidP="00401DBB" w14:paraId="0FB12D37" w14:textId="77777777">
      <w:pPr>
        <w:spacing w:after="0" w:line="480" w:lineRule="auto"/>
        <w:rPr>
          <w:rFonts w:ascii="Times New Roman" w:eastAsia="Times New Roman" w:hAnsi="Times New Roman" w:cs="Times New Roman"/>
          <w:sz w:val="24"/>
          <w:szCs w:val="24"/>
        </w:rPr>
      </w:pPr>
      <w:r w:rsidRPr="006C1EEE">
        <w:rPr>
          <w:rFonts w:ascii="Times New Roman" w:eastAsia="Times New Roman" w:hAnsi="Times New Roman" w:cs="Times New Roman"/>
          <w:b/>
          <w:bCs/>
          <w:sz w:val="24"/>
          <w:szCs w:val="24"/>
        </w:rPr>
        <w:tab/>
      </w:r>
      <w:r w:rsidRPr="006C1EEE" w:rsidR="00AD3A6A">
        <w:rPr>
          <w:rFonts w:ascii="Times New Roman" w:eastAsia="Times New Roman" w:hAnsi="Times New Roman" w:cs="Times New Roman"/>
          <w:sz w:val="24"/>
          <w:szCs w:val="24"/>
        </w:rPr>
        <w:t>The PUCO granted AEP</w:t>
      </w:r>
      <w:r w:rsidRPr="006C1EEE" w:rsidR="007C7AD9">
        <w:rPr>
          <w:rFonts w:ascii="Times New Roman" w:eastAsia="Times New Roman" w:hAnsi="Times New Roman" w:cs="Times New Roman"/>
          <w:sz w:val="24"/>
          <w:szCs w:val="24"/>
        </w:rPr>
        <w:t>’s</w:t>
      </w:r>
      <w:r w:rsidRPr="006C1EEE" w:rsidR="00AD3A6A">
        <w:rPr>
          <w:rFonts w:ascii="Times New Roman" w:eastAsia="Times New Roman" w:hAnsi="Times New Roman" w:cs="Times New Roman"/>
          <w:sz w:val="24"/>
          <w:szCs w:val="24"/>
        </w:rPr>
        <w:t xml:space="preserve"> waiver without consideration of OCC’s recommendations explaining why the waiver was</w:t>
      </w:r>
      <w:r w:rsidRPr="006C1EEE" w:rsidR="00721CC7">
        <w:rPr>
          <w:rFonts w:ascii="Times New Roman" w:eastAsia="Times New Roman" w:hAnsi="Times New Roman" w:cs="Times New Roman"/>
          <w:sz w:val="24"/>
          <w:szCs w:val="24"/>
        </w:rPr>
        <w:t xml:space="preserve"> </w:t>
      </w:r>
      <w:r w:rsidRPr="006C1EEE" w:rsidR="007C7AD9">
        <w:rPr>
          <w:rFonts w:ascii="Times New Roman" w:eastAsia="Times New Roman" w:hAnsi="Times New Roman" w:cs="Times New Roman"/>
          <w:sz w:val="24"/>
          <w:szCs w:val="24"/>
        </w:rPr>
        <w:t>unnecessary</w:t>
      </w:r>
      <w:r w:rsidRPr="006C1EEE" w:rsidR="00AD3A6A">
        <w:rPr>
          <w:rFonts w:ascii="Times New Roman" w:eastAsia="Times New Roman" w:hAnsi="Times New Roman" w:cs="Times New Roman"/>
          <w:sz w:val="24"/>
          <w:szCs w:val="24"/>
        </w:rPr>
        <w:t>.</w:t>
      </w:r>
      <w:r w:rsidRPr="006C1EEE" w:rsidR="00AD3A6A">
        <w:rPr>
          <w:rFonts w:ascii="Times New Roman" w:eastAsia="Times New Roman" w:hAnsi="Times New Roman" w:cs="Times New Roman"/>
          <w:b/>
          <w:bCs/>
          <w:sz w:val="24"/>
          <w:szCs w:val="24"/>
        </w:rPr>
        <w:t xml:space="preserve"> </w:t>
      </w:r>
      <w:r w:rsidRPr="006C1EEE" w:rsidR="00AE3D29">
        <w:rPr>
          <w:rFonts w:ascii="Times New Roman" w:eastAsia="Times New Roman" w:hAnsi="Times New Roman" w:cs="Times New Roman"/>
          <w:sz w:val="24"/>
          <w:szCs w:val="24"/>
        </w:rPr>
        <w:t xml:space="preserve">AEP bolstered its waiver request saying that changes to the 21-day due date will impact the timing for when AEP will pay marketers for the charges it collects on their behalf. </w:t>
      </w:r>
      <w:r w:rsidRPr="006C1EEE">
        <w:rPr>
          <w:rFonts w:ascii="Times New Roman" w:eastAsia="Times New Roman" w:hAnsi="Times New Roman" w:cs="Times New Roman"/>
          <w:sz w:val="24"/>
          <w:szCs w:val="24"/>
        </w:rPr>
        <w:t>AEP claimed that if the waiver is not approved, the payment of marketer receivables will also be delayed when the utility provides consolidated billing.</w:t>
      </w:r>
      <w:r>
        <w:rPr>
          <w:rStyle w:val="FootnoteReference"/>
          <w:rFonts w:ascii="Times New Roman" w:eastAsia="Times New Roman" w:hAnsi="Times New Roman" w:cs="Times New Roman"/>
          <w:sz w:val="24"/>
          <w:szCs w:val="24"/>
        </w:rPr>
        <w:footnoteReference w:id="15"/>
      </w:r>
      <w:r w:rsidRPr="006C1EEE">
        <w:rPr>
          <w:rFonts w:ascii="Times New Roman" w:eastAsia="Times New Roman" w:hAnsi="Times New Roman" w:cs="Times New Roman"/>
          <w:sz w:val="24"/>
          <w:szCs w:val="24"/>
        </w:rPr>
        <w:t xml:space="preserve"> </w:t>
      </w:r>
      <w:r w:rsidRPr="006C1EEE" w:rsidR="007C7AD9">
        <w:rPr>
          <w:rFonts w:ascii="Times New Roman" w:eastAsia="Times New Roman" w:hAnsi="Times New Roman" w:cs="Times New Roman"/>
          <w:sz w:val="24"/>
          <w:szCs w:val="24"/>
        </w:rPr>
        <w:t xml:space="preserve">But </w:t>
      </w:r>
      <w:r w:rsidRPr="006C1EEE" w:rsidR="00AE3D29">
        <w:rPr>
          <w:rFonts w:ascii="Times New Roman" w:eastAsia="Times New Roman" w:hAnsi="Times New Roman" w:cs="Times New Roman"/>
          <w:sz w:val="24"/>
          <w:szCs w:val="24"/>
        </w:rPr>
        <w:t xml:space="preserve">AEP did not quantify this financial impact on marketers. Nor did AEP provide any information on the costs that it expects to save by waiving the minimum </w:t>
      </w:r>
      <w:r w:rsidRPr="006C1EEE">
        <w:rPr>
          <w:rFonts w:ascii="Times New Roman" w:eastAsia="Times New Roman" w:hAnsi="Times New Roman" w:cs="Times New Roman"/>
          <w:sz w:val="24"/>
          <w:szCs w:val="24"/>
        </w:rPr>
        <w:t>billing</w:t>
      </w:r>
      <w:r w:rsidRPr="006C1EEE" w:rsidR="00AE3D29">
        <w:rPr>
          <w:rFonts w:ascii="Times New Roman" w:eastAsia="Times New Roman" w:hAnsi="Times New Roman" w:cs="Times New Roman"/>
          <w:sz w:val="24"/>
          <w:szCs w:val="24"/>
        </w:rPr>
        <w:t xml:space="preserve"> standards wh</w:t>
      </w:r>
      <w:r w:rsidRPr="006C1EEE" w:rsidR="00565EB1">
        <w:rPr>
          <w:rFonts w:ascii="Times New Roman" w:eastAsia="Times New Roman" w:hAnsi="Times New Roman" w:cs="Times New Roman"/>
          <w:sz w:val="24"/>
          <w:szCs w:val="24"/>
        </w:rPr>
        <w:t>en</w:t>
      </w:r>
      <w:r w:rsidRPr="006C1EEE" w:rsidR="00AE3D29">
        <w:rPr>
          <w:rFonts w:ascii="Times New Roman" w:eastAsia="Times New Roman" w:hAnsi="Times New Roman" w:cs="Times New Roman"/>
          <w:sz w:val="24"/>
          <w:szCs w:val="24"/>
        </w:rPr>
        <w:t xml:space="preserve"> </w:t>
      </w:r>
      <w:r w:rsidRPr="006C1EEE" w:rsidR="00AD3A6A">
        <w:rPr>
          <w:rFonts w:ascii="Times New Roman" w:eastAsia="Times New Roman" w:hAnsi="Times New Roman" w:cs="Times New Roman"/>
          <w:sz w:val="24"/>
          <w:szCs w:val="24"/>
        </w:rPr>
        <w:t>mailing</w:t>
      </w:r>
      <w:r w:rsidRPr="006C1EEE" w:rsidR="00AE3D29">
        <w:rPr>
          <w:rFonts w:ascii="Times New Roman" w:eastAsia="Times New Roman" w:hAnsi="Times New Roman" w:cs="Times New Roman"/>
          <w:sz w:val="24"/>
          <w:szCs w:val="24"/>
        </w:rPr>
        <w:t xml:space="preserve"> bills from out-of-state. AEP provided no cost benefit analysis to evaluate if the move to Nebraska is worth the costs. </w:t>
      </w:r>
    </w:p>
    <w:p w:rsidR="0013682A" w:rsidRPr="006C1EEE" w:rsidP="006B3E74" w14:paraId="6AF5C458" w14:textId="0AEAF1CA">
      <w:pPr>
        <w:spacing w:after="0" w:line="480" w:lineRule="auto"/>
        <w:ind w:firstLine="720"/>
        <w:rPr>
          <w:rFonts w:ascii="Times New Roman" w:eastAsia="Times New Roman" w:hAnsi="Times New Roman" w:cs="Times New Roman"/>
          <w:sz w:val="24"/>
          <w:szCs w:val="24"/>
        </w:rPr>
      </w:pPr>
      <w:r w:rsidRPr="006C1EEE">
        <w:rPr>
          <w:rFonts w:ascii="Times New Roman" w:eastAsia="Times New Roman" w:hAnsi="Times New Roman" w:cs="Times New Roman"/>
          <w:sz w:val="24"/>
          <w:szCs w:val="24"/>
        </w:rPr>
        <w:t xml:space="preserve">Rather than seek the waiver, </w:t>
      </w:r>
      <w:r w:rsidRPr="006C1EEE" w:rsidR="00156C29">
        <w:rPr>
          <w:rFonts w:ascii="Times New Roman" w:eastAsia="Times New Roman" w:hAnsi="Times New Roman" w:cs="Times New Roman"/>
          <w:sz w:val="24"/>
          <w:szCs w:val="24"/>
        </w:rPr>
        <w:t xml:space="preserve">AEP could and should modify the purchase arrangements if the relocation has an impact on the marketers. The responsibility </w:t>
      </w:r>
      <w:r w:rsidRPr="006C1EEE">
        <w:rPr>
          <w:rFonts w:ascii="Times New Roman" w:eastAsia="Times New Roman" w:hAnsi="Times New Roman" w:cs="Times New Roman"/>
          <w:sz w:val="24"/>
          <w:szCs w:val="24"/>
        </w:rPr>
        <w:t xml:space="preserve">for any associated costs and risks </w:t>
      </w:r>
      <w:r w:rsidRPr="006C1EEE" w:rsidR="00156C29">
        <w:rPr>
          <w:rFonts w:ascii="Times New Roman" w:eastAsia="Times New Roman" w:hAnsi="Times New Roman" w:cs="Times New Roman"/>
          <w:sz w:val="24"/>
          <w:szCs w:val="24"/>
        </w:rPr>
        <w:t xml:space="preserve">should be on AEP and not its customers. AEP should have </w:t>
      </w:r>
      <w:r w:rsidRPr="006C1EEE">
        <w:rPr>
          <w:rFonts w:ascii="Times New Roman" w:eastAsia="Times New Roman" w:hAnsi="Times New Roman" w:cs="Times New Roman"/>
          <w:sz w:val="24"/>
          <w:szCs w:val="24"/>
        </w:rPr>
        <w:t xml:space="preserve">anticipated this marketer issue and </w:t>
      </w:r>
      <w:r w:rsidRPr="006C1EEE" w:rsidR="00156C29">
        <w:rPr>
          <w:rFonts w:ascii="Times New Roman" w:eastAsia="Times New Roman" w:hAnsi="Times New Roman" w:cs="Times New Roman"/>
          <w:sz w:val="24"/>
          <w:szCs w:val="24"/>
        </w:rPr>
        <w:t xml:space="preserve">planned </w:t>
      </w:r>
      <w:r w:rsidRPr="006C1EEE">
        <w:rPr>
          <w:rFonts w:ascii="Times New Roman" w:eastAsia="Times New Roman" w:hAnsi="Times New Roman" w:cs="Times New Roman"/>
          <w:sz w:val="24"/>
          <w:szCs w:val="24"/>
        </w:rPr>
        <w:t xml:space="preserve">for </w:t>
      </w:r>
      <w:r w:rsidRPr="006C1EEE" w:rsidR="0090544C">
        <w:rPr>
          <w:rFonts w:ascii="Times New Roman" w:eastAsia="Times New Roman" w:hAnsi="Times New Roman" w:cs="Times New Roman"/>
          <w:sz w:val="24"/>
          <w:szCs w:val="24"/>
        </w:rPr>
        <w:t>it</w:t>
      </w:r>
      <w:r w:rsidRPr="006C1EEE" w:rsidR="00156C29">
        <w:rPr>
          <w:rFonts w:ascii="Times New Roman" w:eastAsia="Times New Roman" w:hAnsi="Times New Roman" w:cs="Times New Roman"/>
          <w:sz w:val="24"/>
          <w:szCs w:val="24"/>
        </w:rPr>
        <w:t xml:space="preserve"> </w:t>
      </w:r>
      <w:r w:rsidRPr="006C1EEE" w:rsidR="0046618E">
        <w:rPr>
          <w:rFonts w:ascii="Times New Roman" w:eastAsia="Times New Roman" w:hAnsi="Times New Roman" w:cs="Times New Roman"/>
          <w:sz w:val="24"/>
          <w:szCs w:val="24"/>
        </w:rPr>
        <w:t>with the Nebraska billing relocation</w:t>
      </w:r>
      <w:r w:rsidRPr="006C1EEE">
        <w:rPr>
          <w:rFonts w:ascii="Times New Roman" w:eastAsia="Times New Roman" w:hAnsi="Times New Roman" w:cs="Times New Roman"/>
          <w:sz w:val="24"/>
          <w:szCs w:val="24"/>
        </w:rPr>
        <w:t xml:space="preserve"> instead of seeking a waiver of </w:t>
      </w:r>
      <w:r w:rsidR="006B3E74">
        <w:rPr>
          <w:rFonts w:ascii="Times New Roman" w:eastAsia="Times New Roman" w:hAnsi="Times New Roman" w:cs="Times New Roman"/>
          <w:sz w:val="24"/>
          <w:szCs w:val="24"/>
        </w:rPr>
        <w:t xml:space="preserve">the </w:t>
      </w:r>
      <w:r w:rsidRPr="006C1EEE">
        <w:rPr>
          <w:rFonts w:ascii="Times New Roman" w:eastAsia="Times New Roman" w:hAnsi="Times New Roman" w:cs="Times New Roman"/>
          <w:sz w:val="24"/>
          <w:szCs w:val="24"/>
        </w:rPr>
        <w:t>PUCO’s rules</w:t>
      </w:r>
      <w:r w:rsidRPr="006C1EEE" w:rsidR="00156C29">
        <w:rPr>
          <w:rFonts w:ascii="Times New Roman" w:eastAsia="Times New Roman" w:hAnsi="Times New Roman" w:cs="Times New Roman"/>
          <w:sz w:val="24"/>
          <w:szCs w:val="24"/>
        </w:rPr>
        <w:t>.</w:t>
      </w:r>
      <w:r w:rsidRPr="006C1EEE">
        <w:rPr>
          <w:rFonts w:ascii="Times New Roman" w:eastAsia="Times New Roman" w:hAnsi="Times New Roman" w:cs="Times New Roman"/>
          <w:sz w:val="24"/>
          <w:szCs w:val="24"/>
        </w:rPr>
        <w:t xml:space="preserve">  </w:t>
      </w:r>
    </w:p>
    <w:p w:rsidR="0090544C" w:rsidRPr="006C1EEE" w:rsidP="0090544C" w14:paraId="2DCB2B3A" w14:textId="77777777">
      <w:pPr>
        <w:autoSpaceDE w:val="0"/>
        <w:autoSpaceDN w:val="0"/>
        <w:adjustRightInd w:val="0"/>
        <w:spacing w:after="0" w:line="480" w:lineRule="auto"/>
        <w:ind w:firstLine="720"/>
        <w:rPr>
          <w:rFonts w:ascii="Times New Roman" w:eastAsia="Calibri" w:hAnsi="Times New Roman" w:cs="Times New Roman"/>
          <w:sz w:val="24"/>
          <w:szCs w:val="24"/>
        </w:rPr>
      </w:pPr>
      <w:r w:rsidRPr="006C1EEE">
        <w:rPr>
          <w:rFonts w:ascii="Times New Roman" w:eastAsia="Calibri" w:hAnsi="Times New Roman" w:cs="Times New Roman"/>
          <w:sz w:val="24"/>
          <w:szCs w:val="24"/>
        </w:rPr>
        <w:t>OCC’s Comments explained that AEP could modify these agreements as necessary to coincide with its decision to process and mail bills from Nebraska.</w:t>
      </w:r>
      <w:r>
        <w:rPr>
          <w:rStyle w:val="FootnoteReference"/>
          <w:rFonts w:ascii="Times New Roman" w:eastAsia="Calibri" w:hAnsi="Times New Roman" w:cs="Times New Roman"/>
          <w:sz w:val="24"/>
          <w:szCs w:val="24"/>
        </w:rPr>
        <w:footnoteReference w:id="16"/>
      </w:r>
      <w:r w:rsidRPr="006C1EEE">
        <w:rPr>
          <w:rFonts w:ascii="Times New Roman" w:eastAsia="Calibri" w:hAnsi="Times New Roman" w:cs="Times New Roman"/>
          <w:sz w:val="24"/>
          <w:szCs w:val="24"/>
        </w:rPr>
        <w:t xml:space="preserve"> After all, the 21-day due date for bills that are rendered from out-of-state is required by the PUCO’s minimum electric service standards.</w:t>
      </w:r>
      <w:r>
        <w:rPr>
          <w:rStyle w:val="FootnoteReference"/>
          <w:rFonts w:ascii="Times New Roman" w:eastAsia="Calibri" w:hAnsi="Times New Roman" w:cs="Times New Roman"/>
          <w:sz w:val="24"/>
          <w:szCs w:val="24"/>
        </w:rPr>
        <w:footnoteReference w:id="17"/>
      </w:r>
      <w:r w:rsidRPr="006C1EEE">
        <w:rPr>
          <w:rFonts w:ascii="Times New Roman" w:eastAsia="Calibri" w:hAnsi="Times New Roman" w:cs="Times New Roman"/>
          <w:sz w:val="24"/>
          <w:szCs w:val="24"/>
        </w:rPr>
        <w:t xml:space="preserve"> </w:t>
      </w:r>
    </w:p>
    <w:p w:rsidR="00534A56" w:rsidRPr="006C1EEE" w:rsidP="00401DBB" w14:paraId="638A07FC" w14:textId="24DC4614">
      <w:pPr>
        <w:spacing w:after="0" w:line="480" w:lineRule="auto"/>
        <w:ind w:firstLine="720"/>
        <w:rPr>
          <w:rFonts w:ascii="Times New Roman" w:eastAsia="Calibri" w:hAnsi="Times New Roman" w:cs="Times New Roman"/>
          <w:sz w:val="24"/>
          <w:szCs w:val="24"/>
        </w:rPr>
      </w:pPr>
      <w:r w:rsidRPr="006C1EEE">
        <w:rPr>
          <w:rFonts w:ascii="Times New Roman" w:eastAsia="Calibri" w:hAnsi="Times New Roman" w:cs="Times New Roman"/>
          <w:sz w:val="24"/>
          <w:szCs w:val="24"/>
        </w:rPr>
        <w:t>In approving the AEP waiver, the PUCO un</w:t>
      </w:r>
      <w:r w:rsidRPr="006C1EEE" w:rsidR="00DE6411">
        <w:rPr>
          <w:rFonts w:ascii="Times New Roman" w:eastAsia="Calibri" w:hAnsi="Times New Roman" w:cs="Times New Roman"/>
          <w:sz w:val="24"/>
          <w:szCs w:val="24"/>
        </w:rPr>
        <w:t>lawfully</w:t>
      </w:r>
      <w:r w:rsidRPr="006C1EEE">
        <w:rPr>
          <w:rFonts w:ascii="Times New Roman" w:eastAsia="Calibri" w:hAnsi="Times New Roman" w:cs="Times New Roman"/>
          <w:sz w:val="24"/>
          <w:szCs w:val="24"/>
        </w:rPr>
        <w:t xml:space="preserve"> failed to consider </w:t>
      </w:r>
      <w:r w:rsidRPr="006C1EEE" w:rsidR="00AD3A6A">
        <w:rPr>
          <w:rFonts w:ascii="Times New Roman" w:eastAsia="Calibri" w:hAnsi="Times New Roman" w:cs="Times New Roman"/>
          <w:sz w:val="24"/>
          <w:szCs w:val="24"/>
        </w:rPr>
        <w:t>recommendations</w:t>
      </w:r>
      <w:r w:rsidRPr="006C1EEE">
        <w:rPr>
          <w:rFonts w:ascii="Times New Roman" w:eastAsia="Calibri" w:hAnsi="Times New Roman" w:cs="Times New Roman"/>
          <w:sz w:val="24"/>
          <w:szCs w:val="24"/>
        </w:rPr>
        <w:t xml:space="preserve"> made by OCC that AEP could modify it</w:t>
      </w:r>
      <w:r w:rsidRPr="006C1EEE" w:rsidR="00CD6A31">
        <w:rPr>
          <w:rFonts w:ascii="Times New Roman" w:eastAsia="Calibri" w:hAnsi="Times New Roman" w:cs="Times New Roman"/>
          <w:sz w:val="24"/>
          <w:szCs w:val="24"/>
        </w:rPr>
        <w:t>s</w:t>
      </w:r>
      <w:r w:rsidRPr="006C1EEE">
        <w:rPr>
          <w:rFonts w:ascii="Times New Roman" w:eastAsia="Calibri" w:hAnsi="Times New Roman" w:cs="Times New Roman"/>
          <w:sz w:val="24"/>
          <w:szCs w:val="24"/>
        </w:rPr>
        <w:t xml:space="preserve"> purchase agreements with marketers to account for the expected payment delay when bills are rendered from out</w:t>
      </w:r>
      <w:r w:rsidRPr="006C1EEE" w:rsidR="002D7F7A">
        <w:rPr>
          <w:rFonts w:ascii="Times New Roman" w:eastAsia="Calibri" w:hAnsi="Times New Roman" w:cs="Times New Roman"/>
          <w:sz w:val="24"/>
          <w:szCs w:val="24"/>
        </w:rPr>
        <w:t>-</w:t>
      </w:r>
      <w:r w:rsidRPr="006C1EEE">
        <w:rPr>
          <w:rFonts w:ascii="Times New Roman" w:eastAsia="Calibri" w:hAnsi="Times New Roman" w:cs="Times New Roman"/>
          <w:sz w:val="24"/>
          <w:szCs w:val="24"/>
        </w:rPr>
        <w:t>of</w:t>
      </w:r>
      <w:r w:rsidRPr="006C1EEE" w:rsidR="002D7F7A">
        <w:rPr>
          <w:rFonts w:ascii="Times New Roman" w:eastAsia="Calibri" w:hAnsi="Times New Roman" w:cs="Times New Roman"/>
          <w:sz w:val="24"/>
          <w:szCs w:val="24"/>
        </w:rPr>
        <w:t>-</w:t>
      </w:r>
      <w:r w:rsidRPr="006C1EEE">
        <w:rPr>
          <w:rFonts w:ascii="Times New Roman" w:eastAsia="Calibri" w:hAnsi="Times New Roman" w:cs="Times New Roman"/>
          <w:sz w:val="24"/>
          <w:szCs w:val="24"/>
        </w:rPr>
        <w:t>state.</w:t>
      </w:r>
      <w:r>
        <w:rPr>
          <w:rStyle w:val="FootnoteReference"/>
          <w:rFonts w:ascii="Times New Roman" w:eastAsia="Calibri" w:hAnsi="Times New Roman" w:cs="Times New Roman"/>
          <w:sz w:val="24"/>
          <w:szCs w:val="24"/>
        </w:rPr>
        <w:footnoteReference w:id="18"/>
      </w:r>
      <w:r w:rsidRPr="006C1EEE">
        <w:rPr>
          <w:rFonts w:ascii="Times New Roman" w:eastAsia="Calibri" w:hAnsi="Times New Roman" w:cs="Times New Roman"/>
          <w:sz w:val="24"/>
          <w:szCs w:val="24"/>
        </w:rPr>
        <w:t xml:space="preserve"> </w:t>
      </w:r>
      <w:r w:rsidRPr="006C1EEE" w:rsidR="00DE6411">
        <w:rPr>
          <w:rFonts w:ascii="Times New Roman" w:eastAsia="Calibri" w:hAnsi="Times New Roman" w:cs="Times New Roman"/>
          <w:sz w:val="24"/>
          <w:szCs w:val="24"/>
        </w:rPr>
        <w:t>OCC pointed out that while AEP may be able to reduce its own expenses, the out-of-state billing shifts costs onto others.</w:t>
      </w:r>
      <w:r>
        <w:rPr>
          <w:rStyle w:val="FootnoteReference"/>
          <w:rFonts w:ascii="Times New Roman" w:eastAsia="Calibri" w:hAnsi="Times New Roman" w:cs="Times New Roman"/>
          <w:sz w:val="24"/>
          <w:szCs w:val="24"/>
        </w:rPr>
        <w:footnoteReference w:id="19"/>
      </w:r>
      <w:r w:rsidRPr="006C1EEE" w:rsidR="00DE6411">
        <w:rPr>
          <w:rFonts w:ascii="Times New Roman" w:eastAsia="Calibri" w:hAnsi="Times New Roman" w:cs="Times New Roman"/>
          <w:sz w:val="24"/>
          <w:szCs w:val="24"/>
        </w:rPr>
        <w:t xml:space="preserve"> For example, any delay by AEP in paying marketers for their receivables will have a financial impact on the marketer. And this financial impact </w:t>
      </w:r>
      <w:r w:rsidRPr="006C1EEE" w:rsidR="00CD6A31">
        <w:rPr>
          <w:rFonts w:ascii="Times New Roman" w:eastAsia="Calibri" w:hAnsi="Times New Roman" w:cs="Times New Roman"/>
          <w:sz w:val="24"/>
          <w:szCs w:val="24"/>
        </w:rPr>
        <w:t>will likely</w:t>
      </w:r>
      <w:r w:rsidRPr="006C1EEE" w:rsidR="00562201">
        <w:rPr>
          <w:rFonts w:ascii="Times New Roman" w:eastAsia="Calibri" w:hAnsi="Times New Roman" w:cs="Times New Roman"/>
          <w:sz w:val="24"/>
          <w:szCs w:val="24"/>
        </w:rPr>
        <w:t xml:space="preserve"> </w:t>
      </w:r>
      <w:r w:rsidRPr="006C1EEE" w:rsidR="007C4093">
        <w:rPr>
          <w:rFonts w:ascii="Times New Roman" w:eastAsia="Calibri" w:hAnsi="Times New Roman" w:cs="Times New Roman"/>
          <w:sz w:val="24"/>
          <w:szCs w:val="24"/>
        </w:rPr>
        <w:t xml:space="preserve">be </w:t>
      </w:r>
      <w:r w:rsidRPr="006C1EEE" w:rsidR="00DE6411">
        <w:rPr>
          <w:rFonts w:ascii="Times New Roman" w:eastAsia="Calibri" w:hAnsi="Times New Roman" w:cs="Times New Roman"/>
          <w:sz w:val="24"/>
          <w:szCs w:val="24"/>
        </w:rPr>
        <w:t xml:space="preserve">ultimately passed along to </w:t>
      </w:r>
      <w:r w:rsidRPr="006C1EEE" w:rsidR="00AE0318">
        <w:rPr>
          <w:rFonts w:ascii="Times New Roman" w:eastAsia="Calibri" w:hAnsi="Times New Roman" w:cs="Times New Roman"/>
          <w:sz w:val="24"/>
          <w:szCs w:val="24"/>
        </w:rPr>
        <w:t xml:space="preserve">residential </w:t>
      </w:r>
      <w:r w:rsidRPr="006C1EEE" w:rsidR="00DE6411">
        <w:rPr>
          <w:rFonts w:ascii="Times New Roman" w:eastAsia="Calibri" w:hAnsi="Times New Roman" w:cs="Times New Roman"/>
          <w:sz w:val="24"/>
          <w:szCs w:val="24"/>
        </w:rPr>
        <w:t>consumers in the form of higher supplier rates.</w:t>
      </w:r>
      <w:r>
        <w:rPr>
          <w:rStyle w:val="FootnoteReference"/>
          <w:rFonts w:ascii="Times New Roman" w:eastAsia="Calibri" w:hAnsi="Times New Roman" w:cs="Times New Roman"/>
          <w:sz w:val="24"/>
          <w:szCs w:val="24"/>
        </w:rPr>
        <w:footnoteReference w:id="20"/>
      </w:r>
      <w:r w:rsidRPr="006C1EEE" w:rsidR="00DE6411">
        <w:rPr>
          <w:rFonts w:ascii="Times New Roman" w:eastAsia="Calibri" w:hAnsi="Times New Roman" w:cs="Times New Roman"/>
          <w:sz w:val="24"/>
          <w:szCs w:val="24"/>
        </w:rPr>
        <w:t xml:space="preserve"> </w:t>
      </w:r>
    </w:p>
    <w:p w:rsidR="00602653" w:rsidRPr="006C1EEE" w:rsidP="00534A56" w14:paraId="0E40EF02" w14:textId="77777777">
      <w:pPr>
        <w:spacing w:after="0" w:line="480" w:lineRule="auto"/>
        <w:ind w:firstLine="720"/>
        <w:rPr>
          <w:rFonts w:ascii="Times New Roman" w:hAnsi="Times New Roman" w:cs="Times New Roman"/>
          <w:sz w:val="24"/>
          <w:szCs w:val="24"/>
        </w:rPr>
      </w:pPr>
      <w:r w:rsidRPr="006C1EEE">
        <w:rPr>
          <w:rFonts w:ascii="Times New Roman" w:eastAsia="Calibri" w:hAnsi="Times New Roman" w:cs="Times New Roman"/>
          <w:sz w:val="24"/>
          <w:szCs w:val="24"/>
        </w:rPr>
        <w:t xml:space="preserve">The PUCO noted but never addressed OCC’s arguments on this issue. </w:t>
      </w:r>
      <w:r w:rsidRPr="006C1EEE">
        <w:rPr>
          <w:rFonts w:ascii="Times New Roman" w:hAnsi="Times New Roman" w:cs="Times New Roman"/>
          <w:sz w:val="24"/>
          <w:szCs w:val="24"/>
        </w:rPr>
        <w:t>The Order fails to explain the PUCO's reasons for disregarding OCC's argument that AEP can modify its purchase agreements with the marketers based on the additional delay that is associated with out-of-state billing.</w:t>
      </w:r>
      <w:r>
        <w:rPr>
          <w:rStyle w:val="FootnoteReference"/>
          <w:rFonts w:ascii="Times New Roman" w:hAnsi="Times New Roman" w:cs="Times New Roman"/>
          <w:sz w:val="24"/>
          <w:szCs w:val="24"/>
        </w:rPr>
        <w:footnoteReference w:id="21"/>
      </w:r>
      <w:r w:rsidRPr="006C1EEE">
        <w:rPr>
          <w:rFonts w:ascii="Times New Roman" w:hAnsi="Times New Roman" w:cs="Times New Roman"/>
          <w:sz w:val="24"/>
          <w:szCs w:val="24"/>
        </w:rPr>
        <w:t xml:space="preserve"> This lack of explanation was unlawful and violates R.C. 4903.09 and Ohio Supreme Court precedent.</w:t>
      </w:r>
    </w:p>
    <w:p w:rsidR="00534A56" w:rsidRPr="006C1EEE" w:rsidP="00534A56" w14:paraId="5D742E79" w14:textId="70911098">
      <w:pPr>
        <w:spacing w:after="0" w:line="480" w:lineRule="auto"/>
        <w:ind w:firstLine="720"/>
        <w:rPr>
          <w:rFonts w:ascii="Times New Roman" w:hAnsi="Times New Roman" w:cs="Times New Roman"/>
          <w:sz w:val="24"/>
          <w:szCs w:val="24"/>
        </w:rPr>
      </w:pPr>
      <w:r w:rsidRPr="006C1EEE">
        <w:rPr>
          <w:rFonts w:ascii="Times New Roman" w:eastAsia="Calibri" w:hAnsi="Times New Roman" w:cs="Times New Roman"/>
          <w:sz w:val="24"/>
          <w:szCs w:val="24"/>
        </w:rPr>
        <w:t>T</w:t>
      </w:r>
      <w:r w:rsidRPr="006C1EEE" w:rsidR="00013695">
        <w:rPr>
          <w:rFonts w:ascii="Times New Roman" w:eastAsia="Calibri" w:hAnsi="Times New Roman" w:cs="Times New Roman"/>
          <w:sz w:val="24"/>
          <w:szCs w:val="24"/>
        </w:rPr>
        <w:t xml:space="preserve">he </w:t>
      </w:r>
      <w:r w:rsidRPr="006C1EEE" w:rsidR="00013695">
        <w:rPr>
          <w:rFonts w:ascii="Times New Roman" w:hAnsi="Times New Roman" w:cs="Times New Roman"/>
          <w:sz w:val="24"/>
          <w:szCs w:val="24"/>
        </w:rPr>
        <w:t>Court has held that under R.C. 4903.09, the PUCO is required to respond to parties' arguments and explain why it agrees or disagrees with them.</w:t>
      </w:r>
      <w:r>
        <w:rPr>
          <w:rStyle w:val="FootnoteReference"/>
          <w:rFonts w:ascii="Times New Roman" w:hAnsi="Times New Roman" w:cs="Times New Roman"/>
          <w:sz w:val="24"/>
          <w:szCs w:val="24"/>
        </w:rPr>
        <w:footnoteReference w:id="22"/>
      </w:r>
      <w:r w:rsidRPr="006C1EEE" w:rsidR="00013695">
        <w:rPr>
          <w:rFonts w:ascii="Times New Roman" w:hAnsi="Times New Roman" w:cs="Times New Roman"/>
          <w:sz w:val="24"/>
          <w:szCs w:val="24"/>
        </w:rPr>
        <w:t xml:space="preserve"> That was not done here.</w:t>
      </w:r>
      <w:r w:rsidRPr="006C1EEE" w:rsidR="00013695">
        <w:rPr>
          <w:rFonts w:ascii="Times New Roman" w:eastAsia="Calibri" w:hAnsi="Times New Roman" w:cs="Times New Roman"/>
          <w:sz w:val="24"/>
          <w:szCs w:val="24"/>
        </w:rPr>
        <w:t xml:space="preserve"> </w:t>
      </w:r>
      <w:r w:rsidRPr="006C1EEE" w:rsidR="0061529D">
        <w:rPr>
          <w:rFonts w:ascii="Times New Roman" w:eastAsia="Calibri" w:hAnsi="Times New Roman" w:cs="Times New Roman"/>
          <w:sz w:val="24"/>
          <w:szCs w:val="24"/>
        </w:rPr>
        <w:t xml:space="preserve">The PUCO should grant rehearing for the purpose of considering </w:t>
      </w:r>
      <w:r w:rsidRPr="006C1EEE" w:rsidR="00AD3A6A">
        <w:rPr>
          <w:rFonts w:ascii="Times New Roman" w:eastAsia="Calibri" w:hAnsi="Times New Roman" w:cs="Times New Roman"/>
          <w:sz w:val="24"/>
          <w:szCs w:val="24"/>
        </w:rPr>
        <w:t xml:space="preserve">the </w:t>
      </w:r>
      <w:r w:rsidRPr="006C1EEE" w:rsidR="0061529D">
        <w:rPr>
          <w:rFonts w:ascii="Times New Roman" w:eastAsia="Calibri" w:hAnsi="Times New Roman" w:cs="Times New Roman"/>
          <w:sz w:val="24"/>
          <w:szCs w:val="24"/>
        </w:rPr>
        <w:t xml:space="preserve">alternatives to the waiver </w:t>
      </w:r>
      <w:r w:rsidRPr="006C1EEE" w:rsidR="008C3F50">
        <w:rPr>
          <w:rFonts w:ascii="Times New Roman" w:eastAsia="Calibri" w:hAnsi="Times New Roman" w:cs="Times New Roman"/>
          <w:sz w:val="24"/>
          <w:szCs w:val="24"/>
        </w:rPr>
        <w:t xml:space="preserve">that </w:t>
      </w:r>
      <w:r w:rsidRPr="006C1EEE" w:rsidR="00AD3A6A">
        <w:rPr>
          <w:rFonts w:ascii="Times New Roman" w:eastAsia="Calibri" w:hAnsi="Times New Roman" w:cs="Times New Roman"/>
          <w:sz w:val="24"/>
          <w:szCs w:val="24"/>
        </w:rPr>
        <w:t xml:space="preserve">OCC recommended </w:t>
      </w:r>
      <w:r w:rsidRPr="006C1EEE" w:rsidR="0061529D">
        <w:rPr>
          <w:rFonts w:ascii="Times New Roman" w:eastAsia="Calibri" w:hAnsi="Times New Roman" w:cs="Times New Roman"/>
          <w:sz w:val="24"/>
          <w:szCs w:val="24"/>
        </w:rPr>
        <w:t>such as having AEP modify its marketer agreements to account for the 21-day due date</w:t>
      </w:r>
      <w:r w:rsidRPr="006C1EEE" w:rsidR="00D310BD">
        <w:rPr>
          <w:rFonts w:ascii="Times New Roman" w:eastAsia="Calibri" w:hAnsi="Times New Roman" w:cs="Times New Roman"/>
          <w:sz w:val="24"/>
          <w:szCs w:val="24"/>
        </w:rPr>
        <w:t>,</w:t>
      </w:r>
      <w:r w:rsidRPr="006C1EEE" w:rsidR="0061529D">
        <w:rPr>
          <w:rFonts w:ascii="Times New Roman" w:eastAsia="Calibri" w:hAnsi="Times New Roman" w:cs="Times New Roman"/>
          <w:sz w:val="24"/>
          <w:szCs w:val="24"/>
        </w:rPr>
        <w:t xml:space="preserve"> consistent with </w:t>
      </w:r>
      <w:r w:rsidRPr="006C1EEE" w:rsidR="00562201">
        <w:rPr>
          <w:rFonts w:ascii="Times New Roman" w:eastAsia="Calibri" w:hAnsi="Times New Roman" w:cs="Times New Roman"/>
          <w:sz w:val="24"/>
          <w:szCs w:val="24"/>
        </w:rPr>
        <w:t xml:space="preserve">the PUCO’s </w:t>
      </w:r>
      <w:r w:rsidRPr="006C1EEE" w:rsidR="0061529D">
        <w:rPr>
          <w:rFonts w:ascii="Times New Roman" w:eastAsia="Calibri" w:hAnsi="Times New Roman" w:cs="Times New Roman"/>
          <w:sz w:val="24"/>
          <w:szCs w:val="24"/>
        </w:rPr>
        <w:t xml:space="preserve">minimum </w:t>
      </w:r>
      <w:r w:rsidRPr="006C1EEE" w:rsidR="00C10AAF">
        <w:rPr>
          <w:rFonts w:ascii="Times New Roman" w:eastAsia="Calibri" w:hAnsi="Times New Roman" w:cs="Times New Roman"/>
          <w:sz w:val="24"/>
          <w:szCs w:val="24"/>
        </w:rPr>
        <w:t xml:space="preserve">electric </w:t>
      </w:r>
      <w:r w:rsidRPr="006C1EEE" w:rsidR="0061529D">
        <w:rPr>
          <w:rFonts w:ascii="Times New Roman" w:eastAsia="Calibri" w:hAnsi="Times New Roman" w:cs="Times New Roman"/>
          <w:sz w:val="24"/>
          <w:szCs w:val="24"/>
        </w:rPr>
        <w:t>service standards</w:t>
      </w:r>
      <w:r w:rsidRPr="006C1EEE" w:rsidR="00562201">
        <w:rPr>
          <w:rFonts w:ascii="Times New Roman" w:eastAsia="Calibri" w:hAnsi="Times New Roman" w:cs="Times New Roman"/>
          <w:sz w:val="24"/>
          <w:szCs w:val="24"/>
        </w:rPr>
        <w:t>.</w:t>
      </w:r>
      <w:r w:rsidRPr="006C1EEE" w:rsidR="00013695">
        <w:rPr>
          <w:rFonts w:ascii="Times New Roman" w:hAnsi="Times New Roman" w:cs="Times New Roman"/>
          <w:sz w:val="24"/>
          <w:szCs w:val="24"/>
        </w:rPr>
        <w:t xml:space="preserve"> </w:t>
      </w:r>
    </w:p>
    <w:p w:rsidR="008427A3" w:rsidRPr="006C1EEE" w:rsidP="00B23017" w14:paraId="193AA41E" w14:textId="71E20AC5">
      <w:pPr>
        <w:pStyle w:val="Heading1"/>
      </w:pPr>
      <w:bookmarkStart w:id="8" w:name="_Toc45628657"/>
      <w:r w:rsidRPr="006C1EEE">
        <w:t>CONCLUSION</w:t>
      </w:r>
      <w:bookmarkEnd w:id="8"/>
    </w:p>
    <w:p w:rsidR="00401DBB" w:rsidRPr="006C1EEE" w14:paraId="62EE29CD" w14:textId="15D3A4F2">
      <w:pPr>
        <w:autoSpaceDE w:val="0"/>
        <w:autoSpaceDN w:val="0"/>
        <w:adjustRightInd w:val="0"/>
        <w:spacing w:after="0" w:line="480" w:lineRule="auto"/>
        <w:rPr>
          <w:rFonts w:ascii="Times New Roman" w:hAnsi="Times New Roman" w:cs="Times New Roman"/>
          <w:sz w:val="24"/>
          <w:szCs w:val="24"/>
        </w:rPr>
      </w:pPr>
      <w:r w:rsidRPr="006C1EEE">
        <w:rPr>
          <w:rFonts w:ascii="Times New Roman" w:hAnsi="Times New Roman" w:cs="Times New Roman"/>
          <w:sz w:val="24"/>
          <w:szCs w:val="24"/>
        </w:rPr>
        <w:tab/>
      </w:r>
      <w:r w:rsidRPr="006C1EEE" w:rsidR="00BB7683">
        <w:rPr>
          <w:rFonts w:ascii="Times New Roman" w:hAnsi="Times New Roman" w:cs="Times New Roman"/>
          <w:sz w:val="24"/>
          <w:szCs w:val="24"/>
        </w:rPr>
        <w:t>OCC raised additional concerns, explained in this application for rehearing, that were not addressed by the PUCO.</w:t>
      </w:r>
      <w:r w:rsidRPr="006C1EEE" w:rsidR="00BB7683">
        <w:rPr>
          <w:rFonts w:ascii="Times New Roman" w:hAnsi="Times New Roman" w:cs="Times New Roman"/>
          <w:b/>
          <w:bCs/>
          <w:sz w:val="24"/>
          <w:szCs w:val="24"/>
        </w:rPr>
        <w:t xml:space="preserve"> </w:t>
      </w:r>
      <w:r w:rsidRPr="006C1EEE">
        <w:rPr>
          <w:rFonts w:ascii="Times New Roman" w:hAnsi="Times New Roman" w:cs="Times New Roman"/>
          <w:sz w:val="24"/>
          <w:szCs w:val="24"/>
        </w:rPr>
        <w:t xml:space="preserve">The </w:t>
      </w:r>
      <w:r w:rsidRPr="006C1EEE" w:rsidR="00650122">
        <w:rPr>
          <w:rFonts w:ascii="Times New Roman" w:hAnsi="Times New Roman" w:cs="Times New Roman"/>
          <w:sz w:val="24"/>
          <w:szCs w:val="24"/>
        </w:rPr>
        <w:t xml:space="preserve">Order is unlawful because it does not </w:t>
      </w:r>
      <w:r w:rsidRPr="006C1EEE" w:rsidR="00D310BD">
        <w:rPr>
          <w:rFonts w:ascii="Times New Roman" w:hAnsi="Times New Roman" w:cs="Times New Roman"/>
          <w:sz w:val="24"/>
          <w:szCs w:val="24"/>
        </w:rPr>
        <w:t>address these additional concerns, as</w:t>
      </w:r>
      <w:r w:rsidRPr="006C1EEE" w:rsidR="00650122">
        <w:rPr>
          <w:rFonts w:ascii="Times New Roman" w:hAnsi="Times New Roman" w:cs="Times New Roman"/>
          <w:sz w:val="24"/>
          <w:szCs w:val="24"/>
        </w:rPr>
        <w:t xml:space="preserve"> required by R.C. 4903.09 and Ohio Supreme Court precedent.</w:t>
      </w:r>
      <w:r w:rsidRPr="006C1EEE" w:rsidR="00D310BD">
        <w:rPr>
          <w:rFonts w:ascii="Times New Roman" w:hAnsi="Times New Roman" w:cs="Times New Roman"/>
          <w:sz w:val="24"/>
          <w:szCs w:val="24"/>
        </w:rPr>
        <w:t xml:space="preserve"> </w:t>
      </w:r>
      <w:r w:rsidRPr="006C1EEE" w:rsidR="00650122">
        <w:rPr>
          <w:rFonts w:ascii="Times New Roman" w:hAnsi="Times New Roman" w:cs="Times New Roman"/>
          <w:sz w:val="24"/>
          <w:szCs w:val="24"/>
        </w:rPr>
        <w:t xml:space="preserve">The PUCO should grant rehearing </w:t>
      </w:r>
      <w:r w:rsidRPr="006C1EEE">
        <w:rPr>
          <w:rFonts w:ascii="Times New Roman" w:hAnsi="Times New Roman" w:cs="Times New Roman"/>
          <w:sz w:val="24"/>
          <w:szCs w:val="24"/>
        </w:rPr>
        <w:t xml:space="preserve">and </w:t>
      </w:r>
      <w:r w:rsidRPr="006C1EEE" w:rsidR="001311F6">
        <w:rPr>
          <w:rFonts w:ascii="Times New Roman" w:hAnsi="Times New Roman" w:cs="Times New Roman"/>
          <w:sz w:val="24"/>
          <w:szCs w:val="24"/>
        </w:rPr>
        <w:t>abrogate</w:t>
      </w:r>
      <w:r w:rsidRPr="006C1EEE">
        <w:rPr>
          <w:rFonts w:ascii="Times New Roman" w:hAnsi="Times New Roman" w:cs="Times New Roman"/>
          <w:sz w:val="24"/>
          <w:szCs w:val="24"/>
        </w:rPr>
        <w:t xml:space="preserve"> its Finding and Order</w:t>
      </w:r>
      <w:r w:rsidRPr="006C1EEE" w:rsidR="001311F6">
        <w:rPr>
          <w:rFonts w:ascii="Times New Roman" w:hAnsi="Times New Roman" w:cs="Times New Roman"/>
          <w:sz w:val="24"/>
          <w:szCs w:val="24"/>
        </w:rPr>
        <w:t>.</w:t>
      </w:r>
      <w:r w:rsidRPr="006C1EEE">
        <w:rPr>
          <w:rFonts w:ascii="Times New Roman" w:hAnsi="Times New Roman" w:cs="Times New Roman"/>
          <w:sz w:val="24"/>
          <w:szCs w:val="24"/>
        </w:rPr>
        <w:t xml:space="preserve"> </w:t>
      </w:r>
    </w:p>
    <w:p w:rsidR="00401DBB" w:rsidRPr="006C1EEE" w:rsidP="00401DBB" w14:paraId="09ED48F6" w14:textId="77777777">
      <w:pPr>
        <w:autoSpaceDE w:val="0"/>
        <w:autoSpaceDN w:val="0"/>
        <w:adjustRightInd w:val="0"/>
        <w:spacing w:after="0" w:line="480" w:lineRule="auto"/>
        <w:rPr>
          <w:rFonts w:ascii="Times New Roman" w:hAnsi="Times New Roman" w:cs="Times New Roman"/>
          <w:sz w:val="24"/>
          <w:szCs w:val="24"/>
        </w:rPr>
      </w:pPr>
    </w:p>
    <w:p w:rsidR="00A25658" w:rsidRPr="006C1EEE" w:rsidP="00401DBB" w14:paraId="66FF49DE" w14:textId="2F495A57">
      <w:pPr>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Respectfully submitted,</w:t>
      </w:r>
    </w:p>
    <w:p w:rsidR="00AA4E94" w:rsidRPr="006C1EEE" w:rsidP="00401DBB" w14:paraId="2FFC5220" w14:textId="77777777">
      <w:pPr>
        <w:pStyle w:val="Footer"/>
        <w:tabs>
          <w:tab w:val="left" w:pos="3960"/>
        </w:tabs>
        <w:ind w:left="3600"/>
        <w:rPr>
          <w:rFonts w:ascii="Times New Roman" w:hAnsi="Times New Roman" w:cs="Times New Roman"/>
          <w:sz w:val="24"/>
          <w:szCs w:val="24"/>
        </w:rPr>
      </w:pPr>
    </w:p>
    <w:p w:rsidR="00A25658" w:rsidRPr="006C1EEE" w:rsidP="00401DBB" w14:paraId="6AC1C7D3" w14:textId="28773FCB">
      <w:pPr>
        <w:pStyle w:val="Footer"/>
        <w:tabs>
          <w:tab w:val="left" w:pos="3960"/>
        </w:tabs>
        <w:ind w:left="3600"/>
        <w:rPr>
          <w:rFonts w:ascii="Times New Roman" w:hAnsi="Times New Roman" w:cs="Times New Roman"/>
          <w:sz w:val="24"/>
          <w:szCs w:val="24"/>
        </w:rPr>
      </w:pPr>
      <w:r w:rsidRPr="006C1EEE">
        <w:rPr>
          <w:rFonts w:ascii="Times New Roman" w:hAnsi="Times New Roman" w:cs="Times New Roman"/>
          <w:sz w:val="24"/>
          <w:szCs w:val="24"/>
        </w:rPr>
        <w:t>Bruce Weston (0016973)</w:t>
      </w:r>
    </w:p>
    <w:p w:rsidR="00A25658" w:rsidRPr="006C1EEE" w:rsidP="00401DBB" w14:paraId="271BE55C" w14:textId="5A6EDAF6">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Ohio Consumers’ Counsel</w:t>
      </w:r>
    </w:p>
    <w:p w:rsidR="00A25658" w:rsidRPr="006C1EEE" w:rsidP="00401DBB" w14:paraId="743ACFFD" w14:textId="77777777">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ab/>
      </w:r>
    </w:p>
    <w:p w:rsidR="00A25658" w:rsidRPr="006C1EEE" w:rsidP="00401DBB" w14:paraId="0F4A0763" w14:textId="69D2FEA2">
      <w:pPr>
        <w:tabs>
          <w:tab w:val="left" w:pos="3960"/>
        </w:tabs>
        <w:spacing w:after="0" w:line="240" w:lineRule="auto"/>
        <w:ind w:left="3600"/>
        <w:rPr>
          <w:rFonts w:ascii="Times New Roman" w:hAnsi="Times New Roman" w:cs="Times New Roman"/>
          <w:sz w:val="24"/>
          <w:szCs w:val="24"/>
          <w:u w:val="single"/>
        </w:rPr>
      </w:pPr>
      <w:r w:rsidRPr="006C1EEE">
        <w:rPr>
          <w:rFonts w:ascii="Times New Roman" w:hAnsi="Times New Roman" w:cs="Times New Roman"/>
          <w:sz w:val="24"/>
          <w:szCs w:val="24"/>
          <w:u w:val="single"/>
        </w:rPr>
        <w:t xml:space="preserve">/s/ </w:t>
      </w:r>
      <w:r w:rsidRPr="006C1EEE">
        <w:rPr>
          <w:rFonts w:ascii="Times New Roman" w:hAnsi="Times New Roman" w:cs="Times New Roman"/>
          <w:i/>
          <w:iCs/>
          <w:sz w:val="24"/>
          <w:szCs w:val="24"/>
          <w:u w:val="single"/>
        </w:rPr>
        <w:t>Amy Botschner O’Brien</w:t>
      </w:r>
      <w:r w:rsidRPr="006C1EEE">
        <w:rPr>
          <w:rFonts w:ascii="Times New Roman" w:hAnsi="Times New Roman" w:cs="Times New Roman"/>
          <w:i/>
          <w:iCs/>
          <w:sz w:val="24"/>
          <w:szCs w:val="24"/>
          <w:u w:val="single"/>
        </w:rPr>
        <w:tab/>
      </w:r>
    </w:p>
    <w:p w:rsidR="00A25658" w:rsidRPr="006C1EEE" w:rsidP="00401DBB" w14:paraId="260A18CA" w14:textId="77777777">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Amy Botschner O’Brien (0074423)</w:t>
      </w:r>
    </w:p>
    <w:p w:rsidR="00A25658" w:rsidRPr="006C1EEE" w:rsidP="00401DBB" w14:paraId="6C65BD38" w14:textId="77777777">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Counsel of Record</w:t>
      </w:r>
    </w:p>
    <w:p w:rsidR="00A25658" w:rsidRPr="006C1EEE" w:rsidP="00401DBB" w14:paraId="16190442" w14:textId="5E7F82F0">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Assistant Consumers’ Counsel</w:t>
      </w:r>
    </w:p>
    <w:p w:rsidR="00401DBB" w:rsidRPr="006C1EEE" w:rsidP="00401DBB" w14:paraId="53796382" w14:textId="77777777">
      <w:pPr>
        <w:tabs>
          <w:tab w:val="left" w:pos="3960"/>
        </w:tabs>
        <w:spacing w:after="0" w:line="240" w:lineRule="auto"/>
        <w:ind w:left="3600"/>
        <w:rPr>
          <w:rFonts w:ascii="Times New Roman" w:hAnsi="Times New Roman" w:cs="Times New Roman"/>
          <w:b/>
          <w:bCs/>
          <w:sz w:val="24"/>
          <w:szCs w:val="24"/>
        </w:rPr>
      </w:pPr>
    </w:p>
    <w:p w:rsidR="00A25658" w:rsidRPr="006C1EEE" w:rsidP="00401DBB" w14:paraId="1BDC213A" w14:textId="4E955F64">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b/>
          <w:bCs/>
          <w:sz w:val="24"/>
          <w:szCs w:val="24"/>
        </w:rPr>
        <w:t>Office of the Ohio Consumers’ Counsel</w:t>
      </w:r>
    </w:p>
    <w:p w:rsidR="00A25658" w:rsidRPr="006C1EEE" w:rsidP="00401DBB" w14:paraId="66F37015" w14:textId="12258651">
      <w:pPr>
        <w:tabs>
          <w:tab w:val="left" w:pos="3960"/>
        </w:tabs>
        <w:spacing w:after="0" w:line="240" w:lineRule="auto"/>
        <w:ind w:left="3600"/>
        <w:rPr>
          <w:rFonts w:ascii="Times New Roman" w:hAnsi="Times New Roman" w:cs="Times New Roman"/>
          <w:b/>
          <w:sz w:val="24"/>
          <w:szCs w:val="24"/>
        </w:rPr>
      </w:pPr>
      <w:r w:rsidRPr="006C1EEE">
        <w:rPr>
          <w:rFonts w:ascii="Times New Roman" w:hAnsi="Times New Roman" w:cs="Times New Roman"/>
          <w:sz w:val="24"/>
          <w:szCs w:val="24"/>
        </w:rPr>
        <w:t>65 East State Street, 7th Floor</w:t>
      </w:r>
    </w:p>
    <w:p w:rsidR="00A25658" w:rsidRPr="006C1EEE" w:rsidP="00401DBB" w14:paraId="241FB072" w14:textId="449E8A99">
      <w:pPr>
        <w:tabs>
          <w:tab w:val="left" w:pos="3960"/>
        </w:tabs>
        <w:spacing w:after="0" w:line="240" w:lineRule="auto"/>
        <w:ind w:left="3600"/>
        <w:rPr>
          <w:rFonts w:ascii="Times New Roman" w:hAnsi="Times New Roman" w:cs="Times New Roman"/>
          <w:b/>
          <w:sz w:val="24"/>
          <w:szCs w:val="24"/>
        </w:rPr>
      </w:pPr>
      <w:r w:rsidRPr="006C1EEE">
        <w:rPr>
          <w:rFonts w:ascii="Times New Roman" w:hAnsi="Times New Roman" w:cs="Times New Roman"/>
          <w:sz w:val="24"/>
          <w:szCs w:val="24"/>
        </w:rPr>
        <w:t>Columbus, Ohio 43215</w:t>
      </w:r>
    </w:p>
    <w:p w:rsidR="00A25658" w:rsidRPr="006C1EEE" w:rsidP="00401DBB" w14:paraId="6EC0BE95" w14:textId="77777777">
      <w:pPr>
        <w:tabs>
          <w:tab w:val="left" w:pos="3960"/>
        </w:tabs>
        <w:autoSpaceDE w:val="0"/>
        <w:autoSpaceDN w:val="0"/>
        <w:adjustRightInd w:val="0"/>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Telephone [Botschner O’Brien]: (614) 466-9575</w:t>
      </w:r>
    </w:p>
    <w:p w:rsidR="00A25658" w:rsidRPr="006C1EEE" w:rsidP="00401DBB" w14:paraId="735C4AAB" w14:textId="3256FF85">
      <w:pPr>
        <w:tabs>
          <w:tab w:val="left" w:pos="3960"/>
        </w:tabs>
        <w:spacing w:after="0" w:line="240" w:lineRule="auto"/>
        <w:ind w:left="3600"/>
        <w:rPr>
          <w:rStyle w:val="Hyperlink"/>
          <w:rFonts w:ascii="Times New Roman" w:hAnsi="Times New Roman" w:cs="Times New Roman"/>
          <w:sz w:val="24"/>
          <w:szCs w:val="24"/>
        </w:rPr>
      </w:pPr>
      <w:hyperlink r:id="rId7" w:history="1">
        <w:r w:rsidRPr="006C1EEE" w:rsidR="00401DBB">
          <w:rPr>
            <w:rStyle w:val="Hyperlink"/>
            <w:rFonts w:ascii="Times New Roman" w:hAnsi="Times New Roman" w:cs="Times New Roman"/>
            <w:sz w:val="24"/>
            <w:szCs w:val="24"/>
          </w:rPr>
          <w:t>amy.botschner.obrien@occ.ohio.gov</w:t>
        </w:r>
      </w:hyperlink>
    </w:p>
    <w:p w:rsidR="00A25658" w:rsidRPr="006C1EEE" w:rsidP="00401DBB" w14:paraId="36A97BBB" w14:textId="628DDF6C">
      <w:pPr>
        <w:tabs>
          <w:tab w:val="left" w:pos="3960"/>
        </w:tabs>
        <w:spacing w:after="0" w:line="240" w:lineRule="auto"/>
        <w:ind w:left="3600"/>
        <w:rPr>
          <w:rFonts w:ascii="Times New Roman" w:hAnsi="Times New Roman" w:cs="Times New Roman"/>
          <w:sz w:val="24"/>
          <w:szCs w:val="24"/>
        </w:rPr>
      </w:pPr>
      <w:r w:rsidRPr="006C1EEE">
        <w:rPr>
          <w:rFonts w:ascii="Times New Roman" w:hAnsi="Times New Roman" w:cs="Times New Roman"/>
          <w:sz w:val="24"/>
          <w:szCs w:val="24"/>
        </w:rPr>
        <w:t>(willing to accept service by e-mail)</w:t>
      </w:r>
    </w:p>
    <w:p w:rsidR="00AA4E94" w:rsidRPr="006C1EEE" w:rsidP="00401DBB" w14:paraId="2FD2B68E" w14:textId="41B235D6">
      <w:pPr>
        <w:tabs>
          <w:tab w:val="left" w:pos="3960"/>
        </w:tabs>
        <w:spacing w:after="0" w:line="240" w:lineRule="auto"/>
        <w:ind w:firstLine="360"/>
        <w:rPr>
          <w:rFonts w:ascii="Times New Roman" w:hAnsi="Times New Roman" w:cs="Times New Roman"/>
          <w:sz w:val="24"/>
          <w:szCs w:val="24"/>
        </w:rPr>
      </w:pPr>
    </w:p>
    <w:p w:rsidR="00AA4E94" w:rsidRPr="006C1EEE" w:rsidP="00AA4E94" w14:paraId="5DE60F7A" w14:textId="77777777">
      <w:pPr>
        <w:tabs>
          <w:tab w:val="left" w:pos="3960"/>
        </w:tabs>
        <w:spacing w:after="0" w:line="240" w:lineRule="auto"/>
        <w:ind w:firstLine="360"/>
        <w:rPr>
          <w:rFonts w:ascii="Times New Roman" w:hAnsi="Times New Roman" w:cs="Times New Roman"/>
          <w:sz w:val="24"/>
          <w:szCs w:val="24"/>
        </w:rPr>
        <w:sectPr w:rsidSect="009F4D19">
          <w:headerReference w:type="default" r:id="rId9"/>
          <w:footerReference w:type="default" r:id="rId10"/>
          <w:pgSz w:w="12240" w:h="15840"/>
          <w:pgMar w:top="1440" w:right="1440" w:bottom="1440" w:left="1440" w:header="720" w:footer="720" w:gutter="0"/>
          <w:pgNumType w:start="1"/>
          <w:cols w:space="720"/>
          <w:docGrid w:linePitch="360"/>
        </w:sectPr>
      </w:pPr>
    </w:p>
    <w:p w:rsidR="00AA4E94" w:rsidRPr="006C1EEE" w:rsidP="00AA4E94" w14:paraId="5DEC98D4" w14:textId="6305F15F">
      <w:pPr>
        <w:spacing w:after="0" w:line="240" w:lineRule="auto"/>
        <w:jc w:val="center"/>
        <w:rPr>
          <w:rFonts w:ascii="Times New Roman" w:hAnsi="Times New Roman" w:cs="Times New Roman"/>
          <w:b/>
          <w:bCs/>
          <w:sz w:val="24"/>
          <w:szCs w:val="24"/>
          <w:u w:val="single"/>
        </w:rPr>
      </w:pPr>
      <w:r w:rsidRPr="006C1EEE">
        <w:rPr>
          <w:rFonts w:ascii="Times New Roman" w:hAnsi="Times New Roman" w:cs="Times New Roman"/>
          <w:b/>
          <w:bCs/>
          <w:sz w:val="24"/>
          <w:szCs w:val="24"/>
          <w:u w:val="single"/>
        </w:rPr>
        <w:t>CERTIFICATE OF SERVICE</w:t>
      </w:r>
    </w:p>
    <w:p w:rsidR="00AA4E94" w:rsidRPr="006C1EEE" w:rsidP="00AA4E94" w14:paraId="7609B794" w14:textId="77777777">
      <w:pPr>
        <w:spacing w:after="0" w:line="240" w:lineRule="auto"/>
        <w:jc w:val="center"/>
        <w:rPr>
          <w:rFonts w:ascii="Times New Roman" w:hAnsi="Times New Roman" w:cs="Times New Roman"/>
          <w:b/>
          <w:bCs/>
          <w:sz w:val="24"/>
          <w:szCs w:val="24"/>
          <w:u w:val="single"/>
        </w:rPr>
      </w:pPr>
    </w:p>
    <w:p w:rsidR="00AA4E94" w:rsidRPr="006C1EEE" w:rsidP="00AA4E94" w14:paraId="58AFF13A" w14:textId="661F9FE3">
      <w:pPr>
        <w:spacing w:after="0" w:line="480" w:lineRule="auto"/>
        <w:rPr>
          <w:rFonts w:ascii="Times New Roman" w:hAnsi="Times New Roman" w:cs="Times New Roman"/>
          <w:sz w:val="24"/>
          <w:szCs w:val="24"/>
        </w:rPr>
      </w:pPr>
      <w:r w:rsidRPr="006C1EEE">
        <w:rPr>
          <w:rFonts w:ascii="Times New Roman" w:hAnsi="Times New Roman" w:cs="Times New Roman"/>
          <w:sz w:val="24"/>
          <w:szCs w:val="24"/>
        </w:rPr>
        <w:tab/>
        <w:t xml:space="preserve">I hereby certify that a copy of this Application for Rehearing was served on the persons stated below </w:t>
      </w:r>
      <w:r w:rsidRPr="006C1EEE">
        <w:rPr>
          <w:rFonts w:ascii="Times New Roman" w:hAnsi="Times New Roman" w:cs="Times New Roman"/>
          <w:iCs/>
          <w:sz w:val="24"/>
          <w:szCs w:val="24"/>
        </w:rPr>
        <w:t xml:space="preserve">via </w:t>
      </w:r>
      <w:r w:rsidRPr="006C1EEE">
        <w:rPr>
          <w:rFonts w:ascii="Times New Roman" w:hAnsi="Times New Roman" w:cs="Times New Roman"/>
          <w:sz w:val="24"/>
          <w:szCs w:val="24"/>
        </w:rPr>
        <w:t xml:space="preserve">electronic transmission, this </w:t>
      </w:r>
      <w:r w:rsidRPr="006C1EEE" w:rsidR="0078733F">
        <w:rPr>
          <w:rFonts w:ascii="Times New Roman" w:hAnsi="Times New Roman" w:cs="Times New Roman"/>
          <w:sz w:val="24"/>
          <w:szCs w:val="24"/>
        </w:rPr>
        <w:t>6</w:t>
      </w:r>
      <w:r w:rsidRPr="006C1EEE">
        <w:rPr>
          <w:rFonts w:ascii="Times New Roman" w:hAnsi="Times New Roman" w:cs="Times New Roman"/>
          <w:sz w:val="24"/>
          <w:szCs w:val="24"/>
          <w:vertAlign w:val="superscript"/>
        </w:rPr>
        <w:t>th</w:t>
      </w:r>
      <w:r w:rsidRPr="006C1EEE">
        <w:rPr>
          <w:rFonts w:ascii="Times New Roman" w:hAnsi="Times New Roman" w:cs="Times New Roman"/>
          <w:sz w:val="24"/>
          <w:szCs w:val="24"/>
        </w:rPr>
        <w:t xml:space="preserve"> day of </w:t>
      </w:r>
      <w:r w:rsidRPr="006C1EEE" w:rsidR="0078733F">
        <w:rPr>
          <w:rFonts w:ascii="Times New Roman" w:hAnsi="Times New Roman" w:cs="Times New Roman"/>
          <w:sz w:val="24"/>
          <w:szCs w:val="24"/>
        </w:rPr>
        <w:t xml:space="preserve">November </w:t>
      </w:r>
      <w:r w:rsidRPr="006C1EEE">
        <w:rPr>
          <w:rFonts w:ascii="Times New Roman" w:hAnsi="Times New Roman" w:cs="Times New Roman"/>
          <w:sz w:val="24"/>
          <w:szCs w:val="24"/>
        </w:rPr>
        <w:t>2020.</w:t>
      </w:r>
    </w:p>
    <w:p w:rsidR="00AA4E94" w:rsidRPr="006C1EEE" w:rsidP="00AA4E94" w14:paraId="70C633B4" w14:textId="77777777">
      <w:pPr>
        <w:spacing w:after="0" w:line="240" w:lineRule="auto"/>
        <w:rPr>
          <w:rFonts w:ascii="Times New Roman" w:hAnsi="Times New Roman" w:cs="Times New Roman"/>
          <w:sz w:val="24"/>
          <w:szCs w:val="24"/>
        </w:rPr>
      </w:pPr>
    </w:p>
    <w:p w:rsidR="00AA4E94" w:rsidRPr="006C1EEE" w:rsidP="00AA4E94" w14:paraId="7EBA8755" w14:textId="77777777">
      <w:pPr>
        <w:tabs>
          <w:tab w:val="left" w:pos="3960"/>
        </w:tabs>
        <w:spacing w:after="0" w:line="240" w:lineRule="auto"/>
        <w:rPr>
          <w:rFonts w:ascii="Times New Roman" w:hAnsi="Times New Roman" w:cs="Times New Roman"/>
          <w:sz w:val="24"/>
          <w:szCs w:val="24"/>
          <w:u w:val="single"/>
        </w:rPr>
      </w:pPr>
      <w:r w:rsidRPr="006C1EEE">
        <w:rPr>
          <w:rFonts w:ascii="Times New Roman" w:hAnsi="Times New Roman" w:cs="Times New Roman"/>
          <w:sz w:val="24"/>
          <w:szCs w:val="24"/>
        </w:rPr>
        <w:tab/>
      </w:r>
      <w:r w:rsidRPr="006C1EEE">
        <w:rPr>
          <w:rFonts w:ascii="Times New Roman" w:hAnsi="Times New Roman" w:cs="Times New Roman"/>
          <w:sz w:val="24"/>
          <w:szCs w:val="24"/>
        </w:rPr>
        <w:tab/>
      </w:r>
      <w:r w:rsidRPr="006C1EEE">
        <w:rPr>
          <w:rFonts w:ascii="Times New Roman" w:hAnsi="Times New Roman" w:cs="Times New Roman"/>
          <w:sz w:val="24"/>
          <w:szCs w:val="24"/>
          <w:u w:val="single"/>
        </w:rPr>
        <w:t xml:space="preserve">s/ </w:t>
      </w:r>
      <w:r w:rsidRPr="006C1EEE">
        <w:rPr>
          <w:rFonts w:ascii="Times New Roman" w:hAnsi="Times New Roman" w:cs="Times New Roman"/>
          <w:i/>
          <w:iCs/>
          <w:sz w:val="24"/>
          <w:szCs w:val="24"/>
          <w:u w:val="single"/>
        </w:rPr>
        <w:t>Amy Botschner O’Brien</w:t>
      </w:r>
      <w:r w:rsidRPr="006C1EEE">
        <w:rPr>
          <w:rFonts w:ascii="Times New Roman" w:hAnsi="Times New Roman" w:cs="Times New Roman"/>
          <w:i/>
          <w:iCs/>
          <w:sz w:val="24"/>
          <w:szCs w:val="24"/>
          <w:u w:val="single"/>
        </w:rPr>
        <w:tab/>
      </w:r>
    </w:p>
    <w:p w:rsidR="00AA4E94" w:rsidRPr="006C1EEE" w:rsidP="00AA4E94" w14:paraId="54E6CD53" w14:textId="77777777">
      <w:pPr>
        <w:tabs>
          <w:tab w:val="left" w:pos="4320"/>
        </w:tabs>
        <w:spacing w:after="0" w:line="240" w:lineRule="auto"/>
        <w:rPr>
          <w:rFonts w:ascii="Times New Roman" w:hAnsi="Times New Roman" w:cs="Times New Roman"/>
          <w:sz w:val="24"/>
          <w:szCs w:val="24"/>
        </w:rPr>
      </w:pPr>
      <w:r w:rsidRPr="006C1EEE">
        <w:rPr>
          <w:rFonts w:ascii="Times New Roman" w:hAnsi="Times New Roman" w:cs="Times New Roman"/>
          <w:sz w:val="24"/>
          <w:szCs w:val="24"/>
        </w:rPr>
        <w:tab/>
        <w:t>Amy Botschner O’Brien</w:t>
      </w:r>
    </w:p>
    <w:p w:rsidR="00AA4E94" w:rsidRPr="006C1EEE" w:rsidP="00AA4E94" w14:paraId="355FD653" w14:textId="77777777">
      <w:pPr>
        <w:tabs>
          <w:tab w:val="left" w:pos="4320"/>
        </w:tabs>
        <w:spacing w:after="0" w:line="240" w:lineRule="auto"/>
        <w:rPr>
          <w:rFonts w:ascii="Times New Roman" w:hAnsi="Times New Roman" w:cs="Times New Roman"/>
          <w:sz w:val="24"/>
          <w:szCs w:val="24"/>
        </w:rPr>
      </w:pPr>
      <w:r w:rsidRPr="006C1EEE">
        <w:rPr>
          <w:rFonts w:ascii="Times New Roman" w:hAnsi="Times New Roman" w:cs="Times New Roman"/>
          <w:sz w:val="24"/>
          <w:szCs w:val="24"/>
        </w:rPr>
        <w:tab/>
        <w:t>Assistant Consumers’ Counsel</w:t>
      </w:r>
    </w:p>
    <w:p w:rsidR="00AA4E94" w:rsidRPr="006C1EEE" w:rsidP="00AA4E94" w14:paraId="38ADFA94" w14:textId="77777777">
      <w:pPr>
        <w:pStyle w:val="CommentSubject"/>
        <w:rPr>
          <w:szCs w:val="24"/>
        </w:rPr>
      </w:pPr>
    </w:p>
    <w:p w:rsidR="00AA4E94" w:rsidRPr="006C1EEE" w:rsidP="00AA4E94" w14:paraId="0572E419" w14:textId="77777777">
      <w:pPr>
        <w:spacing w:after="0" w:line="240" w:lineRule="auto"/>
        <w:rPr>
          <w:rFonts w:ascii="Times New Roman" w:hAnsi="Times New Roman" w:cs="Times New Roman"/>
          <w:sz w:val="24"/>
          <w:szCs w:val="24"/>
        </w:rPr>
      </w:pPr>
    </w:p>
    <w:p w:rsidR="00AA4E94" w:rsidRPr="006C1EEE" w:rsidP="00AA4E94" w14:paraId="23A54EE0" w14:textId="77777777">
      <w:pPr>
        <w:spacing w:after="0" w:line="240" w:lineRule="auto"/>
        <w:rPr>
          <w:rFonts w:ascii="Times New Roman" w:hAnsi="Times New Roman" w:cs="Times New Roman"/>
          <w:sz w:val="24"/>
          <w:szCs w:val="24"/>
        </w:rPr>
      </w:pPr>
      <w:r w:rsidRPr="006C1EEE">
        <w:rPr>
          <w:rFonts w:ascii="Times New Roman" w:hAnsi="Times New Roman" w:cs="Times New Roman"/>
          <w:sz w:val="24"/>
          <w:szCs w:val="24"/>
        </w:rPr>
        <w:t>The PUCO’s e-filing system will electronically serve notice of the filing of this document on the following parties:</w:t>
      </w:r>
    </w:p>
    <w:p w:rsidR="00AA4E94" w:rsidRPr="006C1EEE" w:rsidP="00AA4E94" w14:paraId="17CFBF45" w14:textId="77777777">
      <w:pPr>
        <w:pStyle w:val="CommentText"/>
        <w:spacing w:after="0"/>
        <w:rPr>
          <w:rFonts w:ascii="Times New Roman" w:hAnsi="Times New Roman" w:cs="Times New Roman"/>
          <w:sz w:val="24"/>
          <w:szCs w:val="24"/>
        </w:rPr>
      </w:pPr>
    </w:p>
    <w:p w:rsidR="00401DBB" w:rsidRPr="006C1EEE" w:rsidP="00401DBB" w14:paraId="46B1A960" w14:textId="77777777">
      <w:pPr>
        <w:pStyle w:val="CommentText"/>
        <w:jc w:val="center"/>
        <w:rPr>
          <w:rFonts w:ascii="Times New Roman" w:hAnsi="Times New Roman" w:cs="Times New Roman"/>
          <w:b/>
          <w:sz w:val="24"/>
          <w:szCs w:val="24"/>
          <w:u w:val="single"/>
        </w:rPr>
      </w:pPr>
      <w:r w:rsidRPr="006C1EEE">
        <w:rPr>
          <w:rFonts w:ascii="Times New Roman" w:hAnsi="Times New Roman" w:cs="Times New Roman"/>
          <w:b/>
          <w:sz w:val="24"/>
          <w:szCs w:val="24"/>
          <w:u w:val="single"/>
        </w:rPr>
        <w:t>SERVICE LIST</w:t>
      </w:r>
    </w:p>
    <w:p w:rsidR="00401DBB" w:rsidRPr="006C1EEE" w:rsidP="00401DBB" w14:paraId="28BBAC81" w14:textId="77777777">
      <w:pPr>
        <w:pStyle w:val="CommentText"/>
        <w:jc w:val="center"/>
        <w:rPr>
          <w:rFonts w:ascii="Times New Roman" w:hAnsi="Times New Roman" w:cs="Times New Roman"/>
          <w:b/>
          <w:sz w:val="24"/>
          <w:szCs w:val="24"/>
          <w:u w:val="single"/>
        </w:rPr>
      </w:pPr>
    </w:p>
    <w:tbl>
      <w:tblPr>
        <w:tblW w:w="0" w:type="auto"/>
        <w:tblLook w:val="04A0"/>
      </w:tblPr>
      <w:tblGrid>
        <w:gridCol w:w="4428"/>
        <w:gridCol w:w="4428"/>
      </w:tblGrid>
      <w:tr w14:paraId="578DC1CB" w14:textId="77777777" w:rsidTr="00BC51AE">
        <w:tblPrEx>
          <w:tblW w:w="0" w:type="auto"/>
          <w:tblLook w:val="04A0"/>
        </w:tblPrEx>
        <w:tc>
          <w:tcPr>
            <w:tcW w:w="4428" w:type="dxa"/>
            <w:shd w:val="clear" w:color="auto" w:fill="auto"/>
          </w:tcPr>
          <w:p w:rsidR="00401DBB" w:rsidRPr="006C1EEE" w:rsidP="00BC51AE" w14:paraId="42D5A888" w14:textId="77777777">
            <w:pPr>
              <w:pStyle w:val="BodyText"/>
              <w:rPr>
                <w:rStyle w:val="Hyperlink"/>
                <w:szCs w:val="24"/>
              </w:rPr>
            </w:pPr>
            <w:hyperlink r:id="rId11" w:history="1">
              <w:r w:rsidRPr="006C1EEE" w:rsidR="00013695">
                <w:rPr>
                  <w:rStyle w:val="Hyperlink"/>
                  <w:szCs w:val="24"/>
                </w:rPr>
                <w:t>j</w:t>
              </w:r>
              <w:r w:rsidRPr="006C1EEE" w:rsidR="00013695">
                <w:rPr>
                  <w:rStyle w:val="Hyperlink"/>
                  <w:rFonts w:eastAsia="Calibri"/>
                  <w:szCs w:val="24"/>
                </w:rPr>
                <w:t>ohn.jones@ohioattorneygeneral.gov</w:t>
              </w:r>
            </w:hyperlink>
          </w:p>
          <w:p w:rsidR="00401DBB" w:rsidRPr="006C1EEE" w:rsidP="00BC51AE" w14:paraId="19AF30D1" w14:textId="77777777">
            <w:pPr>
              <w:pStyle w:val="BodyText"/>
              <w:rPr>
                <w:rStyle w:val="Hyperlink"/>
                <w:szCs w:val="24"/>
              </w:rPr>
            </w:pPr>
            <w:hyperlink r:id="rId12" w:history="1">
              <w:r w:rsidRPr="006C1EEE" w:rsidR="00013695">
                <w:rPr>
                  <w:rStyle w:val="Hyperlink"/>
                  <w:rFonts w:eastAsia="Calibri"/>
                  <w:szCs w:val="24"/>
                </w:rPr>
                <w:t>cmooney@opae.org</w:t>
              </w:r>
            </w:hyperlink>
          </w:p>
          <w:p w:rsidR="00401DBB" w:rsidRPr="006C1EEE" w:rsidP="00BC51AE" w14:paraId="70F0795F" w14:textId="77777777">
            <w:pPr>
              <w:pStyle w:val="BodyText"/>
              <w:rPr>
                <w:szCs w:val="24"/>
              </w:rPr>
            </w:pPr>
          </w:p>
          <w:p w:rsidR="00401DBB" w:rsidRPr="006C1EEE" w:rsidP="00BC51AE" w14:paraId="546D1B3C" w14:textId="77777777">
            <w:pPr>
              <w:pStyle w:val="BodyText"/>
              <w:rPr>
                <w:szCs w:val="24"/>
              </w:rPr>
            </w:pPr>
          </w:p>
          <w:p w:rsidR="00401DBB" w:rsidRPr="006C1EEE" w:rsidP="00BC51AE" w14:paraId="78BAB206" w14:textId="77777777">
            <w:pPr>
              <w:pStyle w:val="BodyText"/>
              <w:rPr>
                <w:szCs w:val="24"/>
              </w:rPr>
            </w:pPr>
            <w:r w:rsidRPr="006C1EEE">
              <w:rPr>
                <w:rFonts w:eastAsia="Calibri"/>
                <w:szCs w:val="24"/>
              </w:rPr>
              <w:t>Attorney Examiner:</w:t>
            </w:r>
          </w:p>
          <w:p w:rsidR="00401DBB" w:rsidRPr="006C1EEE" w:rsidP="00BC51AE" w14:paraId="2D4C793B" w14:textId="77777777">
            <w:pPr>
              <w:pStyle w:val="BodyText"/>
              <w:rPr>
                <w:szCs w:val="24"/>
              </w:rPr>
            </w:pPr>
          </w:p>
          <w:p w:rsidR="00401DBB" w:rsidRPr="006C1EEE" w:rsidP="00BC51AE" w14:paraId="69D39962" w14:textId="77777777">
            <w:pPr>
              <w:pStyle w:val="BodyText"/>
              <w:rPr>
                <w:szCs w:val="24"/>
              </w:rPr>
            </w:pPr>
            <w:hyperlink r:id="rId13" w:history="1">
              <w:r w:rsidRPr="006C1EEE" w:rsidR="00013695">
                <w:rPr>
                  <w:rStyle w:val="Hyperlink"/>
                  <w:szCs w:val="24"/>
                </w:rPr>
                <w:t>a</w:t>
              </w:r>
              <w:r w:rsidRPr="006C1EEE" w:rsidR="00013695">
                <w:rPr>
                  <w:rStyle w:val="Hyperlink"/>
                  <w:rFonts w:eastAsia="Calibri"/>
                  <w:szCs w:val="24"/>
                </w:rPr>
                <w:t>nna.sanyal@puco.ohio.gov</w:t>
              </w:r>
            </w:hyperlink>
          </w:p>
          <w:p w:rsidR="00401DBB" w:rsidRPr="006C1EEE" w:rsidP="00BC51AE" w14:paraId="75B03358" w14:textId="77777777">
            <w:pPr>
              <w:pStyle w:val="BodyText"/>
              <w:rPr>
                <w:szCs w:val="24"/>
              </w:rPr>
            </w:pPr>
          </w:p>
        </w:tc>
        <w:tc>
          <w:tcPr>
            <w:tcW w:w="4428" w:type="dxa"/>
            <w:shd w:val="clear" w:color="auto" w:fill="auto"/>
          </w:tcPr>
          <w:p w:rsidR="00401DBB" w:rsidRPr="006C1EEE" w:rsidP="00C37F66" w14:paraId="03AEA2A5" w14:textId="77777777">
            <w:pPr>
              <w:pStyle w:val="BodyText"/>
              <w:ind w:left="2034"/>
              <w:rPr>
                <w:szCs w:val="24"/>
              </w:rPr>
            </w:pPr>
            <w:hyperlink r:id="rId14" w:history="1">
              <w:r w:rsidRPr="006C1EEE" w:rsidR="00013695">
                <w:rPr>
                  <w:rStyle w:val="Hyperlink"/>
                  <w:rFonts w:eastAsia="Calibri"/>
                  <w:szCs w:val="24"/>
                </w:rPr>
                <w:t>stnourse@aep.com</w:t>
              </w:r>
            </w:hyperlink>
          </w:p>
          <w:p w:rsidR="00401DBB" w:rsidRPr="006C1EEE" w:rsidP="00C37F66" w14:paraId="5DA2482A" w14:textId="77777777">
            <w:pPr>
              <w:pStyle w:val="BodyText"/>
              <w:ind w:left="2034"/>
              <w:rPr>
                <w:szCs w:val="24"/>
              </w:rPr>
            </w:pPr>
            <w:hyperlink r:id="rId15" w:history="1">
              <w:r w:rsidRPr="006C1EEE" w:rsidR="00013695">
                <w:rPr>
                  <w:rStyle w:val="Hyperlink"/>
                  <w:rFonts w:eastAsia="Calibri"/>
                  <w:szCs w:val="24"/>
                </w:rPr>
                <w:t>cmblend@aep.com</w:t>
              </w:r>
            </w:hyperlink>
          </w:p>
          <w:p w:rsidR="00401DBB" w:rsidRPr="006C1EEE" w:rsidP="00BC51AE" w14:paraId="35B76440" w14:textId="77777777">
            <w:pPr>
              <w:pStyle w:val="BodyText"/>
              <w:rPr>
                <w:szCs w:val="24"/>
              </w:rPr>
            </w:pPr>
          </w:p>
        </w:tc>
      </w:tr>
    </w:tbl>
    <w:p w:rsidR="00AA4E94" w:rsidRPr="006C1EEE" w:rsidP="00AA4E94" w14:paraId="1AC3D468"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14:paraId="376752EB" w14:textId="77777777" w:rsidTr="009A530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AA4E94" w:rsidRPr="006C1EEE" w:rsidP="00AA4E94" w14:paraId="6A9ED39B" w14:textId="77777777">
            <w:pPr>
              <w:pStyle w:val="CommentText"/>
              <w:spacing w:after="0"/>
              <w:rPr>
                <w:b/>
                <w:sz w:val="24"/>
                <w:szCs w:val="24"/>
                <w:u w:val="single"/>
              </w:rPr>
            </w:pPr>
          </w:p>
        </w:tc>
        <w:tc>
          <w:tcPr>
            <w:tcW w:w="4788" w:type="dxa"/>
          </w:tcPr>
          <w:p w:rsidR="00AA4E94" w:rsidRPr="006C1EEE" w:rsidP="00AA4E94" w14:paraId="60299C8A" w14:textId="77777777">
            <w:pPr>
              <w:pStyle w:val="CommentText"/>
              <w:spacing w:after="0"/>
              <w:ind w:left="972"/>
              <w:rPr>
                <w:b/>
                <w:sz w:val="24"/>
                <w:szCs w:val="24"/>
                <w:u w:val="single"/>
              </w:rPr>
            </w:pPr>
          </w:p>
        </w:tc>
      </w:tr>
    </w:tbl>
    <w:p w:rsidR="00AA4E94" w:rsidRPr="006C1EEE" w:rsidP="00AA4E94" w14:paraId="6CC81AD2" w14:textId="2E53BF7E">
      <w:pPr>
        <w:tabs>
          <w:tab w:val="left" w:pos="3960"/>
        </w:tabs>
        <w:spacing w:after="0" w:line="240" w:lineRule="auto"/>
        <w:ind w:firstLine="360"/>
        <w:rPr>
          <w:rFonts w:ascii="Times New Roman" w:hAnsi="Times New Roman" w:cs="Times New Roman"/>
          <w:sz w:val="24"/>
          <w:szCs w:val="24"/>
        </w:rPr>
      </w:pPr>
    </w:p>
    <w:sectPr w:rsidSect="00AA4E94">
      <w:head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2849708"/>
      <w:docPartObj>
        <w:docPartGallery w:val="Page Numbers (Bottom of Page)"/>
        <w:docPartUnique/>
      </w:docPartObj>
    </w:sdtPr>
    <w:sdtEndPr>
      <w:rPr>
        <w:noProof/>
      </w:rPr>
    </w:sdtEndPr>
    <w:sdtContent>
      <w:p w:rsidR="00273EE7" w14:paraId="248BB93E" w14:textId="119C3FF1">
        <w:pPr>
          <w:pStyle w:val="Footer"/>
          <w:jc w:val="center"/>
        </w:pPr>
      </w:p>
    </w:sdtContent>
  </w:sdt>
  <w:p w:rsidR="008F66FC" w:rsidRPr="004B562E" w14:paraId="3AB3A8C3" w14:textId="7777777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0826028"/>
      <w:docPartObj>
        <w:docPartGallery w:val="Page Numbers (Bottom of Page)"/>
        <w:docPartUnique/>
      </w:docPartObj>
    </w:sdtPr>
    <w:sdtEndPr>
      <w:rPr>
        <w:rFonts w:ascii="Times New Roman" w:hAnsi="Times New Roman" w:cs="Times New Roman"/>
        <w:noProof/>
        <w:sz w:val="24"/>
        <w:szCs w:val="24"/>
      </w:rPr>
    </w:sdtEndPr>
    <w:sdtContent>
      <w:p w:rsidR="00273EE7" w:rsidRPr="00273EE7" w14:paraId="31EB5A5F" w14:textId="77777777">
        <w:pPr>
          <w:pStyle w:val="Footer"/>
          <w:jc w:val="center"/>
          <w:rPr>
            <w:rFonts w:ascii="Times New Roman" w:hAnsi="Times New Roman" w:cs="Times New Roman"/>
            <w:sz w:val="24"/>
            <w:szCs w:val="24"/>
          </w:rPr>
        </w:pPr>
        <w:r w:rsidRPr="00273EE7">
          <w:rPr>
            <w:rFonts w:ascii="Times New Roman" w:hAnsi="Times New Roman" w:cs="Times New Roman"/>
            <w:sz w:val="24"/>
            <w:szCs w:val="24"/>
          </w:rPr>
          <w:fldChar w:fldCharType="begin"/>
        </w:r>
        <w:r w:rsidRPr="00273EE7">
          <w:rPr>
            <w:rFonts w:ascii="Times New Roman" w:hAnsi="Times New Roman" w:cs="Times New Roman"/>
            <w:sz w:val="24"/>
            <w:szCs w:val="24"/>
          </w:rPr>
          <w:instrText xml:space="preserve"> PAGE   \* MERGEFORMAT </w:instrText>
        </w:r>
        <w:r w:rsidRPr="00273EE7">
          <w:rPr>
            <w:rFonts w:ascii="Times New Roman" w:hAnsi="Times New Roman" w:cs="Times New Roman"/>
            <w:sz w:val="24"/>
            <w:szCs w:val="24"/>
          </w:rPr>
          <w:fldChar w:fldCharType="separate"/>
        </w:r>
        <w:r w:rsidRPr="00273EE7">
          <w:rPr>
            <w:rFonts w:ascii="Times New Roman" w:hAnsi="Times New Roman" w:cs="Times New Roman"/>
            <w:noProof/>
            <w:sz w:val="24"/>
            <w:szCs w:val="24"/>
          </w:rPr>
          <w:t>2</w:t>
        </w:r>
        <w:r w:rsidRPr="00273EE7">
          <w:rPr>
            <w:rFonts w:ascii="Times New Roman" w:hAnsi="Times New Roman" w:cs="Times New Roman"/>
            <w:noProof/>
            <w:sz w:val="24"/>
            <w:szCs w:val="24"/>
          </w:rPr>
          <w:fldChar w:fldCharType="end"/>
        </w:r>
      </w:p>
    </w:sdtContent>
  </w:sdt>
  <w:p w:rsidR="00273EE7" w:rsidRPr="004B562E" w14:paraId="2CF6C2CF"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0408971"/>
      <w:docPartObj>
        <w:docPartGallery w:val="Page Numbers (Bottom of Page)"/>
        <w:docPartUnique/>
      </w:docPartObj>
    </w:sdtPr>
    <w:sdtEndPr>
      <w:rPr>
        <w:rFonts w:ascii="Times New Roman" w:hAnsi="Times New Roman" w:cs="Times New Roman"/>
        <w:noProof/>
        <w:sz w:val="24"/>
        <w:szCs w:val="24"/>
      </w:rPr>
    </w:sdtEndPr>
    <w:sdtContent>
      <w:p w:rsidR="00425669" w:rsidRPr="00425669" w14:paraId="5D27FF38" w14:textId="77777777">
        <w:pPr>
          <w:pStyle w:val="Footer"/>
          <w:jc w:val="center"/>
          <w:rPr>
            <w:rFonts w:ascii="Times New Roman" w:hAnsi="Times New Roman" w:cs="Times New Roman"/>
            <w:sz w:val="24"/>
            <w:szCs w:val="24"/>
          </w:rPr>
        </w:pPr>
        <w:r w:rsidRPr="00425669">
          <w:rPr>
            <w:rFonts w:ascii="Times New Roman" w:hAnsi="Times New Roman" w:cs="Times New Roman"/>
            <w:sz w:val="24"/>
            <w:szCs w:val="24"/>
          </w:rPr>
          <w:fldChar w:fldCharType="begin"/>
        </w:r>
        <w:r w:rsidRPr="00425669">
          <w:rPr>
            <w:rFonts w:ascii="Times New Roman" w:hAnsi="Times New Roman" w:cs="Times New Roman"/>
            <w:sz w:val="24"/>
            <w:szCs w:val="24"/>
          </w:rPr>
          <w:instrText xml:space="preserve"> PAGE   \* MERGEFORMAT </w:instrText>
        </w:r>
        <w:r w:rsidRPr="00425669">
          <w:rPr>
            <w:rFonts w:ascii="Times New Roman" w:hAnsi="Times New Roman" w:cs="Times New Roman"/>
            <w:sz w:val="24"/>
            <w:szCs w:val="24"/>
          </w:rPr>
          <w:fldChar w:fldCharType="separate"/>
        </w:r>
        <w:r w:rsidRPr="00425669">
          <w:rPr>
            <w:rFonts w:ascii="Times New Roman" w:hAnsi="Times New Roman" w:cs="Times New Roman"/>
            <w:noProof/>
            <w:sz w:val="24"/>
            <w:szCs w:val="24"/>
          </w:rPr>
          <w:t>2</w:t>
        </w:r>
        <w:r w:rsidRPr="00425669">
          <w:rPr>
            <w:rFonts w:ascii="Times New Roman" w:hAnsi="Times New Roman" w:cs="Times New Roman"/>
            <w:noProof/>
            <w:sz w:val="24"/>
            <w:szCs w:val="24"/>
          </w:rPr>
          <w:fldChar w:fldCharType="end"/>
        </w:r>
      </w:p>
    </w:sdtContent>
  </w:sdt>
  <w:p w:rsidR="00425669" w:rsidRPr="004B562E" w14:paraId="6276F2DD" w14:textId="7777777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677B" w:rsidP="00EC2C9D" w14:paraId="228F999A" w14:textId="77777777">
      <w:pPr>
        <w:spacing w:after="0" w:line="240" w:lineRule="auto"/>
      </w:pPr>
      <w:r>
        <w:separator/>
      </w:r>
    </w:p>
  </w:footnote>
  <w:footnote w:type="continuationSeparator" w:id="1">
    <w:p w:rsidR="00BA677B" w:rsidP="00EC2C9D" w14:paraId="198D5108" w14:textId="77777777">
      <w:pPr>
        <w:spacing w:after="0" w:line="240" w:lineRule="auto"/>
      </w:pPr>
      <w:r>
        <w:continuationSeparator/>
      </w:r>
    </w:p>
  </w:footnote>
  <w:footnote w:id="2">
    <w:p w:rsidR="001B3AE7" w:rsidRPr="00C37F66" w:rsidP="00C37F66" w14:paraId="3D67FCB6" w14:textId="1E878C6B">
      <w:pPr>
        <w:pStyle w:val="FootnoteText"/>
        <w:spacing w:after="120"/>
        <w:rPr>
          <w:rFonts w:cs="Times New Roman"/>
        </w:rPr>
      </w:pPr>
      <w:r w:rsidRPr="00C37F66">
        <w:rPr>
          <w:rStyle w:val="FootnoteReference"/>
          <w:rFonts w:cs="Times New Roman"/>
        </w:rPr>
        <w:footnoteRef/>
      </w:r>
      <w:r w:rsidRPr="00C37F66" w:rsidR="00273EE7">
        <w:rPr>
          <w:rFonts w:cs="Times New Roman"/>
        </w:rPr>
        <w:t xml:space="preserve"> </w:t>
      </w:r>
      <w:r w:rsidRPr="00C37F66" w:rsidR="00715ACB">
        <w:rPr>
          <w:rFonts w:cs="Times New Roman"/>
        </w:rPr>
        <w:t>Comments Opposing AEP’s Waiver Shortening the Time Customers Have to Pay Their Electric Bill by the Office of the Ohio Consumers’ Counsel (“OCC Comments”) at 5-7 (Sept. 25, 2020);</w:t>
      </w:r>
      <w:r w:rsidRPr="00C37F66">
        <w:rPr>
          <w:rFonts w:cs="Times New Roman"/>
        </w:rPr>
        <w:t xml:space="preserve"> </w:t>
      </w:r>
      <w:r w:rsidRPr="00C37F66" w:rsidR="00715ACB">
        <w:rPr>
          <w:rFonts w:cs="Times New Roman"/>
          <w:i/>
          <w:iCs/>
        </w:rPr>
        <w:t>In the Matter of the Application of Ohio Power Company for a Waiver of Ohio Adm.Code 4901:1-10-33(C)(13)</w:t>
      </w:r>
      <w:r w:rsidRPr="00C37F66" w:rsidR="00715ACB">
        <w:rPr>
          <w:rFonts w:cs="Times New Roman"/>
        </w:rPr>
        <w:t>, Case No. 19-1389-EL-WVR, Second Finding and Order (“Order”) at 5 (Oct. 7, 2020)</w:t>
      </w:r>
      <w:r w:rsidRPr="00C37F66">
        <w:rPr>
          <w:rFonts w:cs="Times New Roman"/>
        </w:rPr>
        <w:t>.</w:t>
      </w:r>
    </w:p>
  </w:footnote>
  <w:footnote w:id="3">
    <w:p w:rsidR="00F81531" w:rsidRPr="00C37F66" w:rsidP="00C37F66" w14:paraId="6AD7A194" w14:textId="4ECDB09B">
      <w:pPr>
        <w:pStyle w:val="FootnoteText"/>
        <w:spacing w:after="120"/>
        <w:rPr>
          <w:rFonts w:cs="Times New Roman"/>
        </w:rPr>
      </w:pPr>
      <w:r w:rsidRPr="00C37F66">
        <w:rPr>
          <w:rStyle w:val="FootnoteReference"/>
          <w:rFonts w:cs="Times New Roman"/>
        </w:rPr>
        <w:footnoteRef/>
      </w:r>
      <w:r w:rsidRPr="00C37F66">
        <w:rPr>
          <w:rFonts w:cs="Times New Roman"/>
        </w:rPr>
        <w:t xml:space="preserve"> Ohio Adm.Code 4901:1-10</w:t>
      </w:r>
      <w:r w:rsidRPr="00C37F66" w:rsidR="00125349">
        <w:rPr>
          <w:rFonts w:cs="Times New Roman"/>
        </w:rPr>
        <w:t>-</w:t>
      </w:r>
      <w:r w:rsidRPr="00C37F66">
        <w:rPr>
          <w:rFonts w:cs="Times New Roman"/>
        </w:rPr>
        <w:t>22(B)(10) and 4901:1-10-33(C)(13).</w:t>
      </w:r>
    </w:p>
  </w:footnote>
  <w:footnote w:id="4">
    <w:p w:rsidR="003A04CB" w:rsidRPr="00C37F66" w:rsidP="00C37F66" w14:paraId="674CE258" w14:textId="6F5B8C49">
      <w:pPr>
        <w:spacing w:after="120" w:line="240" w:lineRule="auto"/>
        <w:rPr>
          <w:rFonts w:ascii="Times New Roman" w:hAnsi="Times New Roman" w:cs="Times New Roman"/>
          <w:sz w:val="20"/>
          <w:szCs w:val="20"/>
        </w:rPr>
      </w:pPr>
      <w:r w:rsidRPr="00C37F66">
        <w:rPr>
          <w:rStyle w:val="FootnoteReference"/>
          <w:rFonts w:ascii="Times New Roman" w:hAnsi="Times New Roman" w:cs="Times New Roman"/>
          <w:sz w:val="20"/>
          <w:szCs w:val="20"/>
        </w:rPr>
        <w:footnoteRef/>
      </w:r>
      <w:r w:rsidRPr="00C37F66">
        <w:rPr>
          <w:rFonts w:ascii="Times New Roman" w:hAnsi="Times New Roman" w:cs="Times New Roman"/>
          <w:sz w:val="20"/>
          <w:szCs w:val="20"/>
        </w:rPr>
        <w:t xml:space="preserve"> </w:t>
      </w:r>
      <w:hyperlink r:id="rId1" w:history="1">
        <w:r w:rsidRPr="00C37F66">
          <w:rPr>
            <w:rStyle w:val="Hyperlink"/>
            <w:rFonts w:ascii="Times New Roman" w:hAnsi="Times New Roman" w:cs="Times New Roman"/>
            <w:sz w:val="20"/>
            <w:szCs w:val="20"/>
          </w:rPr>
          <w:t>https://www.ttnews.com/articles/usps-grapples-financial-crisis-mail-delays-continue</w:t>
        </w:r>
      </w:hyperlink>
      <w:r w:rsidRPr="00C37F66" w:rsidR="00125349">
        <w:rPr>
          <w:rStyle w:val="Hyperlink"/>
          <w:rFonts w:ascii="Times New Roman" w:hAnsi="Times New Roman" w:cs="Times New Roman"/>
          <w:sz w:val="20"/>
          <w:szCs w:val="20"/>
        </w:rPr>
        <w:t xml:space="preserve">; </w:t>
      </w:r>
      <w:hyperlink r:id="rId2" w:history="1">
        <w:r w:rsidRPr="00C37F66" w:rsidR="00125349">
          <w:rPr>
            <w:rStyle w:val="Hyperlink"/>
            <w:rFonts w:ascii="Times New Roman" w:hAnsi="Times New Roman" w:cs="Times New Roman"/>
            <w:sz w:val="20"/>
            <w:szCs w:val="20"/>
          </w:rPr>
          <w:t>https://www.cincinnati.com/story/news/2020/09/25/mail-delivery-across-ohio-lags-post-offices-standards-data-shows/3522456001/</w:t>
        </w:r>
      </w:hyperlink>
    </w:p>
  </w:footnote>
  <w:footnote w:id="5">
    <w:p w:rsidR="005900F5" w:rsidRPr="00C37F66" w:rsidP="00C37F66" w14:paraId="795E39B2" w14:textId="77777777">
      <w:pPr>
        <w:spacing w:after="120" w:line="240" w:lineRule="auto"/>
        <w:rPr>
          <w:rFonts w:ascii="Times New Roman" w:hAnsi="Times New Roman" w:cs="Times New Roman"/>
          <w:sz w:val="20"/>
          <w:szCs w:val="20"/>
        </w:rPr>
      </w:pPr>
      <w:r w:rsidRPr="00C37F66">
        <w:rPr>
          <w:rStyle w:val="FootnoteReference"/>
          <w:rFonts w:ascii="Times New Roman" w:hAnsi="Times New Roman" w:cs="Times New Roman"/>
          <w:sz w:val="20"/>
          <w:szCs w:val="20"/>
        </w:rPr>
        <w:footnoteRef/>
      </w:r>
      <w:r w:rsidRPr="00C37F66">
        <w:rPr>
          <w:rFonts w:ascii="Times New Roman" w:hAnsi="Times New Roman" w:cs="Times New Roman"/>
          <w:sz w:val="20"/>
          <w:szCs w:val="20"/>
        </w:rPr>
        <w:t xml:space="preserve"> </w:t>
      </w:r>
      <w:hyperlink r:id="rId3" w:history="1">
        <w:r w:rsidRPr="00C37F66" w:rsidR="009A2C23">
          <w:rPr>
            <w:rStyle w:val="Hyperlink"/>
            <w:rFonts w:ascii="Times New Roman" w:hAnsi="Times New Roman" w:cs="Times New Roman"/>
            <w:sz w:val="20"/>
            <w:szCs w:val="20"/>
          </w:rPr>
          <w:t>https://www.nytimes.com/2020/04/15/opinion/coronavirus-stimulus-check-payment.html</w:t>
        </w:r>
      </w:hyperlink>
      <w:r w:rsidRPr="00C37F66">
        <w:rPr>
          <w:rStyle w:val="Hyperlink"/>
          <w:rFonts w:ascii="Times New Roman" w:hAnsi="Times New Roman" w:cs="Times New Roman"/>
          <w:sz w:val="20"/>
          <w:szCs w:val="20"/>
        </w:rPr>
        <w:t xml:space="preserve">; </w:t>
      </w:r>
      <w:hyperlink r:id="rId4" w:history="1">
        <w:r w:rsidRPr="00C37F66">
          <w:rPr>
            <w:rStyle w:val="Hyperlink"/>
            <w:rFonts w:ascii="Times New Roman" w:hAnsi="Times New Roman" w:cs="Times New Roman"/>
            <w:sz w:val="20"/>
            <w:szCs w:val="20"/>
          </w:rPr>
          <w:t>https://www.dispatch.com/story/news/2020/09/25/hunger-among-ohio-families-increasing-covid-19-pandemic-persists/3519850001/</w:t>
        </w:r>
      </w:hyperlink>
    </w:p>
    <w:p w:rsidR="005900F5" w:rsidRPr="00C37F66" w:rsidP="00C37F66" w14:paraId="2ED855A8" w14:textId="77777777">
      <w:pPr>
        <w:spacing w:after="120" w:line="240" w:lineRule="auto"/>
        <w:rPr>
          <w:rFonts w:ascii="Times New Roman" w:hAnsi="Times New Roman" w:cs="Times New Roman"/>
          <w:sz w:val="20"/>
          <w:szCs w:val="20"/>
        </w:rPr>
      </w:pPr>
    </w:p>
    <w:p w:rsidR="003A04CB" w:rsidRPr="00C37F66" w:rsidP="00C37F66" w14:paraId="2C1254D2" w14:textId="3C5AC867">
      <w:pPr>
        <w:pStyle w:val="FootnoteText"/>
        <w:spacing w:after="120"/>
        <w:rPr>
          <w:rFonts w:cs="Times New Roman"/>
        </w:rPr>
      </w:pPr>
    </w:p>
  </w:footnote>
  <w:footnote w:id="6">
    <w:p w:rsidR="007E1388" w:rsidRPr="00C37F66" w:rsidP="00C37F66" w14:paraId="2A488517" w14:textId="2621B126">
      <w:pPr>
        <w:pStyle w:val="FootnoteText"/>
        <w:spacing w:after="120"/>
        <w:rPr>
          <w:rFonts w:cs="Times New Roman"/>
        </w:rPr>
      </w:pPr>
      <w:r w:rsidRPr="00C37F66">
        <w:rPr>
          <w:rStyle w:val="FootnoteReference"/>
          <w:rFonts w:cs="Times New Roman"/>
        </w:rPr>
        <w:footnoteRef/>
      </w:r>
      <w:r w:rsidRPr="00C37F66" w:rsidR="00C37F66">
        <w:rPr>
          <w:rFonts w:cs="Times New Roman"/>
        </w:rPr>
        <w:t xml:space="preserve"> </w:t>
      </w:r>
      <w:r w:rsidRPr="00C37F66" w:rsidR="00715ACB">
        <w:rPr>
          <w:rFonts w:cs="Times New Roman"/>
        </w:rPr>
        <w:t>OCC Comments a</w:t>
      </w:r>
      <w:r w:rsidRPr="00C37F66">
        <w:rPr>
          <w:rFonts w:cs="Times New Roman"/>
        </w:rPr>
        <w:t xml:space="preserve">t 5-6; </w:t>
      </w:r>
      <w:r w:rsidRPr="00C37F66">
        <w:rPr>
          <w:rFonts w:cs="Times New Roman"/>
          <w:i/>
          <w:iCs/>
        </w:rPr>
        <w:t>see</w:t>
      </w:r>
      <w:r w:rsidRPr="00C37F66">
        <w:rPr>
          <w:rFonts w:cs="Times New Roman"/>
        </w:rPr>
        <w:t xml:space="preserve"> </w:t>
      </w:r>
      <w:r w:rsidRPr="00C37F66" w:rsidR="005A45B7">
        <w:rPr>
          <w:rFonts w:cs="Times New Roman"/>
        </w:rPr>
        <w:t>R.C. 4933.122</w:t>
      </w:r>
      <w:r w:rsidRPr="00C37F66">
        <w:rPr>
          <w:rFonts w:cs="Times New Roman"/>
        </w:rPr>
        <w:t>.</w:t>
      </w:r>
    </w:p>
  </w:footnote>
  <w:footnote w:id="7">
    <w:p w:rsidR="00650122" w:rsidRPr="00C37F66" w:rsidP="00C37F66" w14:paraId="601A3AED" w14:textId="77777777">
      <w:pPr>
        <w:pStyle w:val="FootnoteText"/>
        <w:spacing w:after="120"/>
        <w:rPr>
          <w:rFonts w:cs="Times New Roman"/>
        </w:rPr>
      </w:pPr>
      <w:r w:rsidRPr="00C37F66">
        <w:rPr>
          <w:rStyle w:val="FootnoteReference"/>
          <w:rFonts w:eastAsiaTheme="minorEastAsia" w:cs="Times New Roman"/>
        </w:rPr>
        <w:footnoteRef/>
      </w:r>
      <w:r w:rsidRPr="00C37F66">
        <w:rPr>
          <w:rFonts w:cs="Times New Roman"/>
        </w:rPr>
        <w:t xml:space="preserve"> R.C. 4903.09 (emphasis added).</w:t>
      </w:r>
    </w:p>
  </w:footnote>
  <w:footnote w:id="8">
    <w:p w:rsidR="00650122" w:rsidRPr="00C37F66" w:rsidP="00C37F66" w14:paraId="69537062" w14:textId="77777777">
      <w:pPr>
        <w:pStyle w:val="FootnoteText"/>
        <w:spacing w:after="120"/>
        <w:rPr>
          <w:rFonts w:cs="Times New Roman"/>
        </w:rPr>
      </w:pPr>
      <w:r w:rsidRPr="00C37F66">
        <w:rPr>
          <w:rStyle w:val="FootnoteReference"/>
          <w:rFonts w:eastAsiaTheme="minorEastAsia" w:cs="Times New Roman"/>
        </w:rPr>
        <w:footnoteRef/>
      </w:r>
      <w:r w:rsidRPr="00C37F66">
        <w:rPr>
          <w:rFonts w:cs="Times New Roman"/>
        </w:rPr>
        <w:t xml:space="preserve"> </w:t>
      </w:r>
      <w:r w:rsidRPr="00C37F66">
        <w:rPr>
          <w:rFonts w:cs="Times New Roman"/>
          <w:i/>
        </w:rPr>
        <w:t>MCI Telecom. Corp. v. PUCO</w:t>
      </w:r>
      <w:r w:rsidRPr="00C37F66">
        <w:rPr>
          <w:rFonts w:cs="Times New Roman"/>
        </w:rPr>
        <w:t>, 32 Ohio St. 3d 306, 312 (1987).</w:t>
      </w:r>
    </w:p>
  </w:footnote>
  <w:footnote w:id="9">
    <w:p w:rsidR="00650122" w:rsidRPr="00C37F66" w:rsidP="00C37F66" w14:paraId="410B5B15" w14:textId="77777777">
      <w:pPr>
        <w:pStyle w:val="FootnoteText"/>
        <w:spacing w:after="120"/>
        <w:rPr>
          <w:rFonts w:cs="Times New Roman"/>
        </w:rPr>
      </w:pPr>
      <w:r w:rsidRPr="00C37F66">
        <w:rPr>
          <w:rStyle w:val="FootnoteReference"/>
          <w:rFonts w:eastAsiaTheme="minorEastAsia" w:cs="Times New Roman"/>
        </w:rPr>
        <w:footnoteRef/>
      </w:r>
      <w:r w:rsidRPr="00C37F66">
        <w:rPr>
          <w:rFonts w:cs="Times New Roman"/>
        </w:rPr>
        <w:t xml:space="preserve"> 147 Ohio St. 3d 439 (2016).</w:t>
      </w:r>
    </w:p>
  </w:footnote>
  <w:footnote w:id="10">
    <w:p w:rsidR="00650122" w:rsidRPr="00C37F66" w:rsidP="00C37F66" w14:paraId="6BB21BA7" w14:textId="77777777">
      <w:pPr>
        <w:pStyle w:val="FootnoteText"/>
        <w:spacing w:after="120"/>
        <w:rPr>
          <w:rFonts w:cs="Times New Roman"/>
        </w:rPr>
      </w:pPr>
      <w:r w:rsidRPr="00C37F66">
        <w:rPr>
          <w:rStyle w:val="FootnoteReference"/>
          <w:rFonts w:eastAsiaTheme="minorEastAsia" w:cs="Times New Roman"/>
        </w:rPr>
        <w:footnoteRef/>
      </w:r>
      <w:r w:rsidRPr="00C37F66">
        <w:rPr>
          <w:rFonts w:cs="Times New Roman"/>
        </w:rPr>
        <w:t xml:space="preserve"> </w:t>
      </w:r>
      <w:r w:rsidRPr="00C37F66">
        <w:rPr>
          <w:rFonts w:cs="Times New Roman"/>
          <w:i/>
        </w:rPr>
        <w:t>Id.</w:t>
      </w:r>
      <w:r w:rsidRPr="00C37F66">
        <w:rPr>
          <w:rFonts w:cs="Times New Roman"/>
        </w:rPr>
        <w:t xml:space="preserve"> ¶ 66.</w:t>
      </w:r>
    </w:p>
  </w:footnote>
  <w:footnote w:id="11">
    <w:p w:rsidR="00267489" w:rsidRPr="00C37F66" w:rsidP="00C37F66" w14:paraId="4DDC6AFC" w14:textId="2505E112">
      <w:pPr>
        <w:pStyle w:val="FootnoteText"/>
        <w:spacing w:after="120"/>
        <w:rPr>
          <w:rFonts w:cs="Times New Roman"/>
        </w:rPr>
      </w:pPr>
      <w:r w:rsidRPr="00C37F66">
        <w:rPr>
          <w:rStyle w:val="FootnoteReference"/>
          <w:rFonts w:cs="Times New Roman"/>
        </w:rPr>
        <w:footnoteRef/>
      </w:r>
      <w:r w:rsidRPr="00C37F66">
        <w:rPr>
          <w:rFonts w:cs="Times New Roman"/>
        </w:rPr>
        <w:t xml:space="preserve"> OCC Comments at 5-6.</w:t>
      </w:r>
    </w:p>
  </w:footnote>
  <w:footnote w:id="12">
    <w:p w:rsidR="00267489" w:rsidRPr="00C37F66" w:rsidP="00C37F66" w14:paraId="65C43FB8" w14:textId="42827713">
      <w:pPr>
        <w:pStyle w:val="FootnoteText"/>
        <w:spacing w:after="120"/>
        <w:rPr>
          <w:rFonts w:cs="Times New Roman"/>
        </w:rPr>
      </w:pPr>
      <w:r w:rsidRPr="00C37F66">
        <w:rPr>
          <w:rStyle w:val="FootnoteReference"/>
          <w:rFonts w:cs="Times New Roman"/>
        </w:rPr>
        <w:footnoteRef/>
      </w:r>
      <w:r w:rsidRPr="00C37F66">
        <w:rPr>
          <w:rFonts w:cs="Times New Roman"/>
        </w:rPr>
        <w:t xml:space="preserve"> </w:t>
      </w:r>
      <w:r w:rsidRPr="00C37F66" w:rsidR="00715ACB">
        <w:rPr>
          <w:rFonts w:cs="Times New Roman"/>
          <w:i/>
          <w:iCs/>
        </w:rPr>
        <w:t>Id</w:t>
      </w:r>
      <w:r w:rsidRPr="00C37F66" w:rsidR="00715ACB">
        <w:rPr>
          <w:rFonts w:cs="Times New Roman"/>
        </w:rPr>
        <w:t>.</w:t>
      </w:r>
    </w:p>
  </w:footnote>
  <w:footnote w:id="13">
    <w:p w:rsidR="00267489" w:rsidRPr="00C37F66" w:rsidP="00C37F66" w14:paraId="7BCBB2B0" w14:textId="7595D68B">
      <w:pPr>
        <w:pStyle w:val="FootnoteText"/>
        <w:spacing w:after="120"/>
        <w:rPr>
          <w:rFonts w:cs="Times New Roman"/>
        </w:rPr>
      </w:pPr>
      <w:r w:rsidRPr="00C37F66">
        <w:rPr>
          <w:rStyle w:val="FootnoteReference"/>
          <w:rFonts w:cs="Times New Roman"/>
        </w:rPr>
        <w:footnoteRef/>
      </w:r>
      <w:r w:rsidRPr="00C37F66" w:rsidR="00C37F66">
        <w:rPr>
          <w:rFonts w:cs="Times New Roman"/>
        </w:rPr>
        <w:t xml:space="preserve"> </w:t>
      </w:r>
      <w:r w:rsidRPr="00C37F66">
        <w:rPr>
          <w:rFonts w:cs="Times New Roman"/>
        </w:rPr>
        <w:t>Order at 5.</w:t>
      </w:r>
    </w:p>
  </w:footnote>
  <w:footnote w:id="14">
    <w:p w:rsidR="00783BE3" w14:paraId="4A22E71A" w14:textId="248993B4">
      <w:pPr>
        <w:pStyle w:val="FootnoteText"/>
      </w:pPr>
      <w:r>
        <w:rPr>
          <w:rStyle w:val="FootnoteReference"/>
        </w:rPr>
        <w:footnoteRef/>
      </w:r>
      <w:r>
        <w:t xml:space="preserve"> </w:t>
      </w:r>
      <w:r w:rsidR="0046618E">
        <w:t>R.C. 4933.122.</w:t>
      </w:r>
    </w:p>
  </w:footnote>
  <w:footnote w:id="15">
    <w:p w:rsidR="0013682A" w:rsidRPr="00C37F66" w:rsidP="00C37F66" w14:paraId="162D47BE" w14:textId="393186F1">
      <w:pPr>
        <w:pStyle w:val="FootnoteText"/>
        <w:spacing w:after="120"/>
        <w:rPr>
          <w:rFonts w:cs="Times New Roman"/>
        </w:rPr>
      </w:pPr>
      <w:r w:rsidRPr="00C37F66">
        <w:rPr>
          <w:rStyle w:val="FootnoteReference"/>
          <w:rFonts w:cs="Times New Roman"/>
        </w:rPr>
        <w:footnoteRef/>
      </w:r>
      <w:r w:rsidRPr="00C37F66">
        <w:rPr>
          <w:rFonts w:cs="Times New Roman"/>
        </w:rPr>
        <w:t xml:space="preserve"> AEP Nebraska Waiver Motion at 3; AEP Reply Comments at 3.</w:t>
      </w:r>
    </w:p>
  </w:footnote>
  <w:footnote w:id="16">
    <w:p w:rsidR="0090544C" w:rsidRPr="00C37F66" w:rsidP="0090544C" w14:paraId="66461334" w14:textId="77777777">
      <w:pPr>
        <w:pStyle w:val="FootnoteText"/>
        <w:spacing w:after="120"/>
        <w:rPr>
          <w:rFonts w:cs="Times New Roman"/>
        </w:rPr>
      </w:pPr>
      <w:r w:rsidRPr="00C37F66">
        <w:rPr>
          <w:rStyle w:val="FootnoteReference"/>
          <w:rFonts w:cs="Times New Roman"/>
        </w:rPr>
        <w:footnoteRef/>
      </w:r>
      <w:r w:rsidRPr="00C37F66">
        <w:rPr>
          <w:rFonts w:cs="Times New Roman"/>
        </w:rPr>
        <w:t xml:space="preserve"> OCC Comments at 6-7.</w:t>
      </w:r>
    </w:p>
  </w:footnote>
  <w:footnote w:id="17">
    <w:p w:rsidR="0090544C" w:rsidRPr="00C37F66" w:rsidP="0090544C" w14:paraId="295BA881" w14:textId="77777777">
      <w:pPr>
        <w:pStyle w:val="FootnoteText"/>
        <w:spacing w:after="120"/>
        <w:rPr>
          <w:rFonts w:cs="Times New Roman"/>
        </w:rPr>
      </w:pPr>
      <w:r w:rsidRPr="00C37F66">
        <w:rPr>
          <w:rStyle w:val="FootnoteReference"/>
          <w:rFonts w:cs="Times New Roman"/>
        </w:rPr>
        <w:footnoteRef/>
      </w:r>
      <w:r w:rsidRPr="00C37F66">
        <w:rPr>
          <w:rFonts w:cs="Times New Roman"/>
        </w:rPr>
        <w:t xml:space="preserve"> Ohio Adm. Code 4901:1-10-22(B)(10) and 4901:1-10-33(C)(13). </w:t>
      </w:r>
    </w:p>
  </w:footnote>
  <w:footnote w:id="18">
    <w:p w:rsidR="008C3F50" w:rsidRPr="00C37F66" w:rsidP="00C37F66" w14:paraId="0D3096EF" w14:textId="6ED2D32F">
      <w:pPr>
        <w:pStyle w:val="FootnoteText"/>
        <w:spacing w:after="120"/>
        <w:rPr>
          <w:rFonts w:cs="Times New Roman"/>
        </w:rPr>
      </w:pPr>
      <w:r w:rsidRPr="00C37F66">
        <w:rPr>
          <w:rStyle w:val="FootnoteReference"/>
          <w:rFonts w:cs="Times New Roman"/>
        </w:rPr>
        <w:footnoteRef/>
      </w:r>
      <w:r w:rsidRPr="00C37F66">
        <w:rPr>
          <w:rFonts w:cs="Times New Roman"/>
        </w:rPr>
        <w:t xml:space="preserve"> </w:t>
      </w:r>
      <w:r w:rsidRPr="00C37F66">
        <w:rPr>
          <w:rFonts w:cs="Times New Roman"/>
          <w:i/>
          <w:iCs/>
        </w:rPr>
        <w:t>See</w:t>
      </w:r>
      <w:r w:rsidRPr="00C37F66">
        <w:rPr>
          <w:rFonts w:cs="Times New Roman"/>
        </w:rPr>
        <w:t xml:space="preserve">, R.C. 4903.09; OCC Comments at 6-7; Order at 5-6. </w:t>
      </w:r>
    </w:p>
  </w:footnote>
  <w:footnote w:id="19">
    <w:p w:rsidR="00DE6411" w:rsidRPr="00C37F66" w:rsidP="00C37F66" w14:paraId="6AE3017E" w14:textId="5E375EB4">
      <w:pPr>
        <w:pStyle w:val="FootnoteText"/>
        <w:spacing w:after="120"/>
        <w:rPr>
          <w:rFonts w:cs="Times New Roman"/>
        </w:rPr>
      </w:pPr>
      <w:r w:rsidRPr="00C37F66">
        <w:rPr>
          <w:rStyle w:val="FootnoteReference"/>
          <w:rFonts w:cs="Times New Roman"/>
        </w:rPr>
        <w:footnoteRef/>
      </w:r>
      <w:r w:rsidRPr="00C37F66">
        <w:rPr>
          <w:rFonts w:cs="Times New Roman"/>
        </w:rPr>
        <w:t xml:space="preserve"> OCC Comments at 6-7. </w:t>
      </w:r>
    </w:p>
  </w:footnote>
  <w:footnote w:id="20">
    <w:p w:rsidR="00DE6411" w:rsidRPr="00C37F66" w:rsidP="00C37F66" w14:paraId="38157F0D" w14:textId="72CF412F">
      <w:pPr>
        <w:pStyle w:val="FootnoteText"/>
        <w:spacing w:after="120"/>
        <w:rPr>
          <w:rFonts w:cs="Times New Roman"/>
        </w:rPr>
      </w:pPr>
      <w:r w:rsidRPr="00C37F66">
        <w:rPr>
          <w:rStyle w:val="FootnoteReference"/>
          <w:rFonts w:cs="Times New Roman"/>
        </w:rPr>
        <w:footnoteRef/>
      </w:r>
      <w:r w:rsidRPr="00C37F66">
        <w:rPr>
          <w:rFonts w:cs="Times New Roman"/>
        </w:rPr>
        <w:t xml:space="preserve"> </w:t>
      </w:r>
      <w:r w:rsidRPr="00C37F66">
        <w:rPr>
          <w:rFonts w:cs="Times New Roman"/>
          <w:i/>
          <w:iCs/>
        </w:rPr>
        <w:t>Id</w:t>
      </w:r>
      <w:r w:rsidRPr="00C37F66">
        <w:rPr>
          <w:rFonts w:cs="Times New Roman"/>
        </w:rPr>
        <w:t>.</w:t>
      </w:r>
    </w:p>
  </w:footnote>
  <w:footnote w:id="21">
    <w:p w:rsidR="00602653" w:rsidRPr="00C37F66" w:rsidP="00602653" w14:paraId="7C6DA42F" w14:textId="77777777">
      <w:pPr>
        <w:pStyle w:val="FootnoteText"/>
        <w:spacing w:after="120"/>
        <w:rPr>
          <w:rFonts w:cs="Times New Roman"/>
        </w:rPr>
      </w:pPr>
      <w:r w:rsidRPr="00C37F66">
        <w:rPr>
          <w:rStyle w:val="FootnoteReference"/>
          <w:rFonts w:cs="Times New Roman"/>
        </w:rPr>
        <w:footnoteRef/>
      </w:r>
      <w:r w:rsidRPr="00C37F66">
        <w:rPr>
          <w:rFonts w:cs="Times New Roman"/>
        </w:rPr>
        <w:t xml:space="preserve"> Order at 5; OCC Comments at 6-7.</w:t>
      </w:r>
    </w:p>
  </w:footnote>
  <w:footnote w:id="22">
    <w:p w:rsidR="00534A56" w:rsidRPr="00C37F66" w:rsidP="00C37F66" w14:paraId="48FF2483" w14:textId="35D86451">
      <w:pPr>
        <w:pStyle w:val="FootnoteText"/>
        <w:spacing w:after="120"/>
        <w:rPr>
          <w:rFonts w:cs="Times New Roman"/>
        </w:rPr>
      </w:pPr>
      <w:r w:rsidRPr="00C37F66">
        <w:rPr>
          <w:rStyle w:val="FootnoteReference"/>
          <w:rFonts w:cs="Times New Roman"/>
        </w:rPr>
        <w:footnoteRef/>
      </w:r>
      <w:r w:rsidRPr="00C37F66">
        <w:rPr>
          <w:rFonts w:cs="Times New Roman"/>
        </w:rPr>
        <w:t xml:space="preserve"> </w:t>
      </w:r>
      <w:r w:rsidRPr="00C37F66">
        <w:rPr>
          <w:rFonts w:cs="Times New Roman"/>
          <w:i/>
          <w:iCs/>
        </w:rPr>
        <w:t>See</w:t>
      </w:r>
      <w:r w:rsidRPr="00C37F66">
        <w:rPr>
          <w:rFonts w:cs="Times New Roman"/>
        </w:rPr>
        <w:t xml:space="preserve">, </w:t>
      </w:r>
      <w:r w:rsidRPr="00C37F66">
        <w:rPr>
          <w:rFonts w:cs="Times New Roman"/>
          <w:i/>
        </w:rPr>
        <w:t>In re Application of Columbus Southern Power Co</w:t>
      </w:r>
      <w:r w:rsidRPr="00C37F66" w:rsidR="00943DFC">
        <w:rPr>
          <w:rFonts w:cs="Times New Roman"/>
          <w:i/>
        </w:rPr>
        <w:t xml:space="preserve">., </w:t>
      </w:r>
      <w:r w:rsidRPr="00C37F66">
        <w:rPr>
          <w:rFonts w:cs="Times New Roman"/>
        </w:rPr>
        <w:t>147 Ohio St. 3d 439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302" w14:paraId="748263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5302" w14:paraId="6F8569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E7030CF"/>
    <w:multiLevelType w:val="hybridMultilevel"/>
    <w:tmpl w:val="CA9421E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9D"/>
    <w:rsid w:val="00002F77"/>
    <w:rsid w:val="00013695"/>
    <w:rsid w:val="000337E1"/>
    <w:rsid w:val="000638C5"/>
    <w:rsid w:val="000837D4"/>
    <w:rsid w:val="00087245"/>
    <w:rsid w:val="00092EA9"/>
    <w:rsid w:val="000956D1"/>
    <w:rsid w:val="000A35A1"/>
    <w:rsid w:val="000B426C"/>
    <w:rsid w:val="000C01F5"/>
    <w:rsid w:val="000D61AD"/>
    <w:rsid w:val="000E6459"/>
    <w:rsid w:val="000F4D8D"/>
    <w:rsid w:val="00120981"/>
    <w:rsid w:val="00125349"/>
    <w:rsid w:val="00126C0E"/>
    <w:rsid w:val="001311F6"/>
    <w:rsid w:val="001346E4"/>
    <w:rsid w:val="0013682A"/>
    <w:rsid w:val="00142E58"/>
    <w:rsid w:val="00147A74"/>
    <w:rsid w:val="00156C29"/>
    <w:rsid w:val="0017171A"/>
    <w:rsid w:val="001A33C1"/>
    <w:rsid w:val="001B3AE7"/>
    <w:rsid w:val="001E1D8D"/>
    <w:rsid w:val="001E7F23"/>
    <w:rsid w:val="001F0E75"/>
    <w:rsid w:val="00203650"/>
    <w:rsid w:val="00204C21"/>
    <w:rsid w:val="00223D76"/>
    <w:rsid w:val="00236031"/>
    <w:rsid w:val="0024085F"/>
    <w:rsid w:val="0024767E"/>
    <w:rsid w:val="00262B85"/>
    <w:rsid w:val="00267489"/>
    <w:rsid w:val="00271A0B"/>
    <w:rsid w:val="00273EE7"/>
    <w:rsid w:val="002948E7"/>
    <w:rsid w:val="00296143"/>
    <w:rsid w:val="002A6144"/>
    <w:rsid w:val="002C2758"/>
    <w:rsid w:val="002C6ADD"/>
    <w:rsid w:val="002D799F"/>
    <w:rsid w:val="002D7C61"/>
    <w:rsid w:val="002D7F7A"/>
    <w:rsid w:val="002E1257"/>
    <w:rsid w:val="002E2DF0"/>
    <w:rsid w:val="00327C02"/>
    <w:rsid w:val="00335BB3"/>
    <w:rsid w:val="00345170"/>
    <w:rsid w:val="00360992"/>
    <w:rsid w:val="003A04CB"/>
    <w:rsid w:val="003B54E0"/>
    <w:rsid w:val="003E21A2"/>
    <w:rsid w:val="0040153E"/>
    <w:rsid w:val="00401DBB"/>
    <w:rsid w:val="00412B62"/>
    <w:rsid w:val="00425669"/>
    <w:rsid w:val="00452F1C"/>
    <w:rsid w:val="00465D5D"/>
    <w:rsid w:val="0046618E"/>
    <w:rsid w:val="004725A7"/>
    <w:rsid w:val="0048526D"/>
    <w:rsid w:val="00486EF6"/>
    <w:rsid w:val="00492235"/>
    <w:rsid w:val="004B562E"/>
    <w:rsid w:val="004C19D1"/>
    <w:rsid w:val="004C406B"/>
    <w:rsid w:val="004C6E4D"/>
    <w:rsid w:val="004F3A17"/>
    <w:rsid w:val="005007E7"/>
    <w:rsid w:val="00534A56"/>
    <w:rsid w:val="00560C6E"/>
    <w:rsid w:val="00562201"/>
    <w:rsid w:val="00565EB1"/>
    <w:rsid w:val="0057127D"/>
    <w:rsid w:val="00573A13"/>
    <w:rsid w:val="005900F5"/>
    <w:rsid w:val="0059679D"/>
    <w:rsid w:val="005A45B7"/>
    <w:rsid w:val="005F4E0B"/>
    <w:rsid w:val="006001BE"/>
    <w:rsid w:val="00602653"/>
    <w:rsid w:val="0061529D"/>
    <w:rsid w:val="00631FA4"/>
    <w:rsid w:val="0063254F"/>
    <w:rsid w:val="0063465F"/>
    <w:rsid w:val="00650122"/>
    <w:rsid w:val="00677622"/>
    <w:rsid w:val="00691193"/>
    <w:rsid w:val="006B1572"/>
    <w:rsid w:val="006B1EA4"/>
    <w:rsid w:val="006B3E74"/>
    <w:rsid w:val="006C1EEE"/>
    <w:rsid w:val="006D10FD"/>
    <w:rsid w:val="006D4FE8"/>
    <w:rsid w:val="006F1F88"/>
    <w:rsid w:val="00715ACB"/>
    <w:rsid w:val="00721CC7"/>
    <w:rsid w:val="00722E65"/>
    <w:rsid w:val="0073026C"/>
    <w:rsid w:val="0073410D"/>
    <w:rsid w:val="00750D35"/>
    <w:rsid w:val="00760B55"/>
    <w:rsid w:val="0077019B"/>
    <w:rsid w:val="0077173F"/>
    <w:rsid w:val="00774FC4"/>
    <w:rsid w:val="00783BE3"/>
    <w:rsid w:val="007856EE"/>
    <w:rsid w:val="0078733F"/>
    <w:rsid w:val="007A3CED"/>
    <w:rsid w:val="007B73C2"/>
    <w:rsid w:val="007C4093"/>
    <w:rsid w:val="007C6320"/>
    <w:rsid w:val="007C7AD9"/>
    <w:rsid w:val="007D166E"/>
    <w:rsid w:val="007E1388"/>
    <w:rsid w:val="007F4E7E"/>
    <w:rsid w:val="008310E4"/>
    <w:rsid w:val="0084156B"/>
    <w:rsid w:val="008427A3"/>
    <w:rsid w:val="00851D75"/>
    <w:rsid w:val="0085419F"/>
    <w:rsid w:val="00861F76"/>
    <w:rsid w:val="0087103F"/>
    <w:rsid w:val="00882E32"/>
    <w:rsid w:val="008A7DF5"/>
    <w:rsid w:val="008B22F9"/>
    <w:rsid w:val="008C3F50"/>
    <w:rsid w:val="008C5943"/>
    <w:rsid w:val="008C61CE"/>
    <w:rsid w:val="008D53A0"/>
    <w:rsid w:val="008F66FC"/>
    <w:rsid w:val="008F781C"/>
    <w:rsid w:val="0090544C"/>
    <w:rsid w:val="00931C6E"/>
    <w:rsid w:val="00940D6A"/>
    <w:rsid w:val="00943DFC"/>
    <w:rsid w:val="009566E8"/>
    <w:rsid w:val="00975448"/>
    <w:rsid w:val="00980AF8"/>
    <w:rsid w:val="00985A78"/>
    <w:rsid w:val="00991D08"/>
    <w:rsid w:val="009A2465"/>
    <w:rsid w:val="009A24AF"/>
    <w:rsid w:val="009A2C23"/>
    <w:rsid w:val="009A5105"/>
    <w:rsid w:val="009A5302"/>
    <w:rsid w:val="009A6282"/>
    <w:rsid w:val="009A7342"/>
    <w:rsid w:val="009A789F"/>
    <w:rsid w:val="009C27EE"/>
    <w:rsid w:val="009C4BF7"/>
    <w:rsid w:val="009D25D7"/>
    <w:rsid w:val="009F3819"/>
    <w:rsid w:val="009F4D19"/>
    <w:rsid w:val="00A11670"/>
    <w:rsid w:val="00A14D92"/>
    <w:rsid w:val="00A25658"/>
    <w:rsid w:val="00A467A2"/>
    <w:rsid w:val="00A62AFE"/>
    <w:rsid w:val="00A642BC"/>
    <w:rsid w:val="00A65EF7"/>
    <w:rsid w:val="00A70BC8"/>
    <w:rsid w:val="00A74631"/>
    <w:rsid w:val="00A74E69"/>
    <w:rsid w:val="00AA1788"/>
    <w:rsid w:val="00AA2F94"/>
    <w:rsid w:val="00AA4E94"/>
    <w:rsid w:val="00AB5471"/>
    <w:rsid w:val="00AC3190"/>
    <w:rsid w:val="00AC543E"/>
    <w:rsid w:val="00AC5A3C"/>
    <w:rsid w:val="00AD368F"/>
    <w:rsid w:val="00AD3A6A"/>
    <w:rsid w:val="00AE0318"/>
    <w:rsid w:val="00AE3D29"/>
    <w:rsid w:val="00AF48D5"/>
    <w:rsid w:val="00AF634E"/>
    <w:rsid w:val="00B1565A"/>
    <w:rsid w:val="00B23017"/>
    <w:rsid w:val="00B235C8"/>
    <w:rsid w:val="00B635F6"/>
    <w:rsid w:val="00B86007"/>
    <w:rsid w:val="00B950D8"/>
    <w:rsid w:val="00BA470A"/>
    <w:rsid w:val="00BA677B"/>
    <w:rsid w:val="00BB6EFF"/>
    <w:rsid w:val="00BB7683"/>
    <w:rsid w:val="00BC3B64"/>
    <w:rsid w:val="00BC4C4B"/>
    <w:rsid w:val="00BC51AE"/>
    <w:rsid w:val="00BC5833"/>
    <w:rsid w:val="00BC6934"/>
    <w:rsid w:val="00BD40EB"/>
    <w:rsid w:val="00BE5299"/>
    <w:rsid w:val="00BF0E2C"/>
    <w:rsid w:val="00BF384B"/>
    <w:rsid w:val="00C06F3A"/>
    <w:rsid w:val="00C10AAF"/>
    <w:rsid w:val="00C223CD"/>
    <w:rsid w:val="00C26403"/>
    <w:rsid w:val="00C37F66"/>
    <w:rsid w:val="00C41149"/>
    <w:rsid w:val="00C421BF"/>
    <w:rsid w:val="00C5307A"/>
    <w:rsid w:val="00C57DBA"/>
    <w:rsid w:val="00C65130"/>
    <w:rsid w:val="00C753F4"/>
    <w:rsid w:val="00C82C20"/>
    <w:rsid w:val="00C92532"/>
    <w:rsid w:val="00C94A32"/>
    <w:rsid w:val="00CC50EA"/>
    <w:rsid w:val="00CD6A31"/>
    <w:rsid w:val="00D00227"/>
    <w:rsid w:val="00D310BD"/>
    <w:rsid w:val="00D4535D"/>
    <w:rsid w:val="00D46712"/>
    <w:rsid w:val="00D717B9"/>
    <w:rsid w:val="00D87D17"/>
    <w:rsid w:val="00DA75DE"/>
    <w:rsid w:val="00DB29FB"/>
    <w:rsid w:val="00DC7B2E"/>
    <w:rsid w:val="00DE5E27"/>
    <w:rsid w:val="00DE6411"/>
    <w:rsid w:val="00DF6AEB"/>
    <w:rsid w:val="00E349CB"/>
    <w:rsid w:val="00E454EF"/>
    <w:rsid w:val="00E66115"/>
    <w:rsid w:val="00E761E8"/>
    <w:rsid w:val="00E9529A"/>
    <w:rsid w:val="00EC2C9D"/>
    <w:rsid w:val="00ED3E69"/>
    <w:rsid w:val="00ED5FC9"/>
    <w:rsid w:val="00EE6099"/>
    <w:rsid w:val="00F44363"/>
    <w:rsid w:val="00F50536"/>
    <w:rsid w:val="00F5601E"/>
    <w:rsid w:val="00F6219F"/>
    <w:rsid w:val="00F731E2"/>
    <w:rsid w:val="00F81531"/>
    <w:rsid w:val="00F85C5A"/>
    <w:rsid w:val="00F85DDA"/>
    <w:rsid w:val="00F93F19"/>
    <w:rsid w:val="00F97E53"/>
    <w:rsid w:val="00FE69E5"/>
    <w:rsid w:val="00FF09AF"/>
    <w:rsid w:val="00FF2BAE"/>
    <w:rsid w:val="00FF5D87"/>
    <w:rsid w:val="00FF6077"/>
    <w:rsid w:val="00FF7704"/>
    <w:rsid w:val="00FF7C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9D"/>
    <w:pPr>
      <w:spacing w:after="200" w:line="276" w:lineRule="auto"/>
    </w:pPr>
  </w:style>
  <w:style w:type="paragraph" w:styleId="Heading1">
    <w:name w:val="heading 1"/>
    <w:basedOn w:val="Normal"/>
    <w:next w:val="Normal"/>
    <w:link w:val="Heading1Char"/>
    <w:autoRedefine/>
    <w:uiPriority w:val="9"/>
    <w:qFormat/>
    <w:rsid w:val="00EC2C9D"/>
    <w:pPr>
      <w:keepNext/>
      <w:keepLines/>
      <w:numPr>
        <w:numId w:val="1"/>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uiPriority w:val="9"/>
    <w:unhideWhenUsed/>
    <w:qFormat/>
    <w:rsid w:val="00BA470A"/>
    <w:pPr>
      <w:keepNext/>
      <w:keepLines/>
      <w:spacing w:after="240" w:line="240" w:lineRule="auto"/>
      <w:ind w:left="720"/>
      <w:outlineLvl w:val="1"/>
    </w:pPr>
    <w:rPr>
      <w:rFonts w:ascii="Times New Roman" w:hAnsi="Times New Roman"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C9D"/>
    <w:rPr>
      <w:rFonts w:ascii="Times New Roman" w:hAnsi="Times New Roman" w:eastAsiaTheme="majorEastAsia" w:cs="Times New Roman"/>
      <w:b/>
      <w:caps/>
      <w:sz w:val="24"/>
      <w:szCs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EC2C9D"/>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EC2C9D"/>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EC2C9D"/>
    <w:rPr>
      <w:vertAlign w:val="superscript"/>
    </w:rPr>
  </w:style>
  <w:style w:type="paragraph" w:styleId="Header">
    <w:name w:val="header"/>
    <w:basedOn w:val="Normal"/>
    <w:link w:val="HeaderChar"/>
    <w:uiPriority w:val="99"/>
    <w:unhideWhenUsed/>
    <w:rsid w:val="00EC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9D"/>
  </w:style>
  <w:style w:type="paragraph" w:styleId="Footer">
    <w:name w:val="footer"/>
    <w:basedOn w:val="Normal"/>
    <w:link w:val="FooterChar"/>
    <w:uiPriority w:val="99"/>
    <w:unhideWhenUsed/>
    <w:rsid w:val="00EC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9D"/>
  </w:style>
  <w:style w:type="character" w:styleId="Hyperlink">
    <w:name w:val="Hyperlink"/>
    <w:basedOn w:val="DefaultParagraphFont"/>
    <w:uiPriority w:val="99"/>
    <w:unhideWhenUsed/>
    <w:rsid w:val="00EC2C9D"/>
    <w:rPr>
      <w:color w:val="0077CC"/>
      <w:u w:val="single"/>
    </w:rPr>
  </w:style>
  <w:style w:type="character" w:styleId="CommentReference">
    <w:name w:val="annotation reference"/>
    <w:basedOn w:val="DefaultParagraphFont"/>
    <w:uiPriority w:val="99"/>
    <w:semiHidden/>
    <w:unhideWhenUsed/>
    <w:rsid w:val="00EC2C9D"/>
    <w:rPr>
      <w:sz w:val="16"/>
      <w:szCs w:val="16"/>
    </w:rPr>
  </w:style>
  <w:style w:type="paragraph" w:styleId="CommentText">
    <w:name w:val="annotation text"/>
    <w:basedOn w:val="Normal"/>
    <w:link w:val="CommentTextChar"/>
    <w:unhideWhenUsed/>
    <w:rsid w:val="00EC2C9D"/>
    <w:pPr>
      <w:spacing w:line="240" w:lineRule="auto"/>
    </w:pPr>
    <w:rPr>
      <w:sz w:val="20"/>
      <w:szCs w:val="20"/>
    </w:rPr>
  </w:style>
  <w:style w:type="character" w:customStyle="1" w:styleId="CommentTextChar">
    <w:name w:val="Comment Text Char"/>
    <w:basedOn w:val="DefaultParagraphFont"/>
    <w:link w:val="CommentText"/>
    <w:rsid w:val="00EC2C9D"/>
    <w:rPr>
      <w:sz w:val="20"/>
      <w:szCs w:val="20"/>
    </w:rPr>
  </w:style>
  <w:style w:type="paragraph" w:styleId="PlainText">
    <w:name w:val="Plain Text"/>
    <w:basedOn w:val="Normal"/>
    <w:link w:val="PlainTextChar"/>
    <w:uiPriority w:val="99"/>
    <w:semiHidden/>
    <w:unhideWhenUsed/>
    <w:rsid w:val="00EC2C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2C9D"/>
    <w:rPr>
      <w:rFonts w:ascii="Calibri" w:hAnsi="Calibri"/>
      <w:szCs w:val="21"/>
    </w:rPr>
  </w:style>
  <w:style w:type="paragraph" w:styleId="NormalWeb">
    <w:name w:val="Normal (Web)"/>
    <w:basedOn w:val="Normal"/>
    <w:uiPriority w:val="99"/>
    <w:unhideWhenUsed/>
    <w:rsid w:val="00EC2C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9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085F"/>
    <w:rPr>
      <w:color w:val="605E5C"/>
      <w:shd w:val="clear" w:color="auto" w:fill="E1DFDD"/>
    </w:rPr>
  </w:style>
  <w:style w:type="paragraph" w:styleId="ListParagraph">
    <w:name w:val="List Paragraph"/>
    <w:basedOn w:val="Normal"/>
    <w:uiPriority w:val="34"/>
    <w:qFormat/>
    <w:rsid w:val="000B426C"/>
    <w:pPr>
      <w:spacing w:after="160" w:line="256" w:lineRule="auto"/>
      <w:ind w:left="720"/>
      <w:contextualSpacing/>
    </w:pPr>
  </w:style>
  <w:style w:type="paragraph" w:styleId="BodyText">
    <w:name w:val="Body Text"/>
    <w:basedOn w:val="Normal"/>
    <w:link w:val="BodyTextChar"/>
    <w:rsid w:val="00AA4E9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4E9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AA4E94"/>
    <w:pPr>
      <w:spacing w:after="0"/>
    </w:pPr>
    <w:rPr>
      <w:rFonts w:ascii="Times New Roman" w:eastAsia="Times New Roman" w:hAnsi="Times New Roman" w:cs="Times New Roman"/>
      <w:sz w:val="24"/>
    </w:rPr>
  </w:style>
  <w:style w:type="character" w:customStyle="1" w:styleId="CommentSubjectChar">
    <w:name w:val="Comment Subject Char"/>
    <w:basedOn w:val="CommentTextChar"/>
    <w:link w:val="CommentSubject"/>
    <w:semiHidden/>
    <w:rsid w:val="00AA4E94"/>
    <w:rPr>
      <w:rFonts w:ascii="Times New Roman" w:eastAsia="Times New Roman" w:hAnsi="Times New Roman" w:cs="Times New Roman"/>
      <w:sz w:val="24"/>
      <w:szCs w:val="20"/>
    </w:rPr>
  </w:style>
  <w:style w:type="table" w:styleId="TableGrid">
    <w:name w:val="Table Grid"/>
    <w:basedOn w:val="TableNormal"/>
    <w:rsid w:val="00AA4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470A"/>
    <w:rPr>
      <w:rFonts w:ascii="Times New Roman" w:hAnsi="Times New Roman" w:eastAsiaTheme="majorEastAsia" w:cstheme="majorBidi"/>
      <w:b/>
      <w:sz w:val="24"/>
      <w:szCs w:val="26"/>
    </w:rPr>
  </w:style>
  <w:style w:type="paragraph" w:styleId="TOC1">
    <w:name w:val="toc 1"/>
    <w:basedOn w:val="Normal"/>
    <w:next w:val="Normal"/>
    <w:autoRedefine/>
    <w:uiPriority w:val="39"/>
    <w:unhideWhenUsed/>
    <w:rsid w:val="00C223CD"/>
    <w:pPr>
      <w:widowControl w:val="0"/>
      <w:tabs>
        <w:tab w:val="left" w:pos="720"/>
        <w:tab w:val="decimal" w:leader="dot" w:pos="9360"/>
      </w:tabs>
      <w:spacing w:after="240" w:line="240" w:lineRule="auto"/>
    </w:pPr>
    <w:rPr>
      <w:rFonts w:ascii="Times New Roman" w:hAnsi="Times New Roman"/>
      <w:caps/>
      <w:sz w:val="24"/>
    </w:rPr>
  </w:style>
  <w:style w:type="paragraph" w:styleId="TOC2">
    <w:name w:val="toc 2"/>
    <w:basedOn w:val="Normal"/>
    <w:next w:val="Normal"/>
    <w:autoRedefine/>
    <w:uiPriority w:val="39"/>
    <w:unhideWhenUsed/>
    <w:rsid w:val="00C223CD"/>
    <w:pPr>
      <w:tabs>
        <w:tab w:val="left" w:pos="720"/>
        <w:tab w:val="decimal" w:leader="dot" w:pos="9360"/>
      </w:tabs>
      <w:spacing w:after="100"/>
      <w:ind w:left="220"/>
    </w:pPr>
    <w:rPr>
      <w:rFonts w:ascii="Times New Roman" w:hAnsi="Times New Roman"/>
      <w:sz w:val="24"/>
    </w:rPr>
  </w:style>
  <w:style w:type="character" w:customStyle="1" w:styleId="sssh">
    <w:name w:val="ss_sh"/>
    <w:basedOn w:val="DefaultParagraphFont"/>
    <w:rsid w:val="00C41149"/>
  </w:style>
  <w:style w:type="paragraph" w:styleId="BodyTextIndent3">
    <w:name w:val="Body Text Indent 3"/>
    <w:basedOn w:val="Normal"/>
    <w:link w:val="BodyTextIndent3Char"/>
    <w:uiPriority w:val="99"/>
    <w:semiHidden/>
    <w:unhideWhenUsed/>
    <w:rsid w:val="006501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0122"/>
    <w:rPr>
      <w:sz w:val="16"/>
      <w:szCs w:val="16"/>
    </w:rPr>
  </w:style>
  <w:style w:type="paragraph" w:styleId="HTMLPreformatted">
    <w:name w:val="HTML Preformatted"/>
    <w:basedOn w:val="Normal"/>
    <w:link w:val="HTMLPreformattedChar"/>
    <w:rsid w:val="008F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F66FC"/>
    <w:rPr>
      <w:rFonts w:ascii="Courier New" w:eastAsia="Courier New" w:hAnsi="Courier New" w:cs="Courier New"/>
      <w:sz w:val="20"/>
      <w:szCs w:val="20"/>
    </w:rPr>
  </w:style>
  <w:style w:type="character" w:customStyle="1" w:styleId="UnresolvedMention2">
    <w:name w:val="Unresolved Mention2"/>
    <w:basedOn w:val="DefaultParagraphFont"/>
    <w:uiPriority w:val="99"/>
    <w:rsid w:val="00401DBB"/>
    <w:rPr>
      <w:color w:val="605E5C"/>
      <w:shd w:val="clear" w:color="auto" w:fill="E1DFDD"/>
    </w:rPr>
  </w:style>
  <w:style w:type="paragraph" w:styleId="Revision">
    <w:name w:val="Revision"/>
    <w:hidden/>
    <w:uiPriority w:val="99"/>
    <w:semiHidden/>
    <w:rsid w:val="008F7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ohn.jones@ohioattorneygeneral.gov" TargetMode="External" /><Relationship Id="rId12" Type="http://schemas.openxmlformats.org/officeDocument/2006/relationships/hyperlink" Target="mailto:cmooney@opae.org" TargetMode="External" /><Relationship Id="rId13" Type="http://schemas.openxmlformats.org/officeDocument/2006/relationships/hyperlink" Target="mailto:anna.sanyal@puco.ohio.gov" TargetMode="External" /><Relationship Id="rId14" Type="http://schemas.openxmlformats.org/officeDocument/2006/relationships/hyperlink" Target="mailto:stnourse@aep.com" TargetMode="External" /><Relationship Id="rId15" Type="http://schemas.openxmlformats.org/officeDocument/2006/relationships/hyperlink" Target="mailto:cmblend@aep.com" TargetMode="Externa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my.botschner.obrien@occ.ohio.gov" TargetMode="External" /><Relationship Id="rId8" Type="http://schemas.openxmlformats.org/officeDocument/2006/relationships/footer" Target="footer2.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tnews.com/articles/usps-grapples-financial-crisis-mail-delays-continue" TargetMode="External" /><Relationship Id="rId2" Type="http://schemas.openxmlformats.org/officeDocument/2006/relationships/hyperlink" Target="https://www.cincinnati.com/story/news/2020/09/25/mail-delivery-across-ohio-lags-post-offices-standards-data-shows/3522456001/" TargetMode="External" /><Relationship Id="rId3" Type="http://schemas.openxmlformats.org/officeDocument/2006/relationships/hyperlink" Target="https://www.nytimes.com/2020/04/15/opinion/coronavirus-stimulus-check-payment.html" TargetMode="External" /><Relationship Id="rId4" Type="http://schemas.openxmlformats.org/officeDocument/2006/relationships/hyperlink" Target="https://www.dispatch.com/story/news/2020/09/25/hunger-among-ohio-families-increasing-covid-19-pandemic-persists/35198500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6487-686E-48A5-B2C0-A7A07FDD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AEP billing waiver/final/Deb formatted 19-1389  (00148359.DOCX;1)</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2020-11-06T21:11:02Z</dcterms:created>
  <dcterms:modified xsi:type="dcterms:W3CDTF">2020-11-06T21:11:02Z</dcterms:modified>
</cp:coreProperties>
</file>