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0A4D2C" w:rsidRPr="00A329C2" w:rsidP="000A4D2C" w14:paraId="67250EB5" w14:textId="77777777">
      <w:pPr>
        <w:pStyle w:val="HTMLPreformatted"/>
        <w:jc w:val="center"/>
        <w:rPr>
          <w:rFonts w:ascii="Times New Roman" w:hAnsi="Times New Roman" w:cs="Times New Roman"/>
          <w:b/>
          <w:bCs/>
          <w:sz w:val="24"/>
          <w:szCs w:val="24"/>
        </w:rPr>
      </w:pPr>
      <w:bookmarkStart w:id="0" w:name="_GoBack"/>
      <w:bookmarkEnd w:id="0"/>
      <w:r w:rsidRPr="00A329C2">
        <w:rPr>
          <w:rFonts w:ascii="Times New Roman" w:hAnsi="Times New Roman" w:cs="Times New Roman"/>
          <w:b/>
          <w:bCs/>
          <w:sz w:val="24"/>
          <w:szCs w:val="24"/>
        </w:rPr>
        <w:t>BEFORE</w:t>
      </w:r>
    </w:p>
    <w:p w:rsidR="000A4D2C" w:rsidRPr="00A329C2" w:rsidP="000A4D2C" w14:paraId="13B22061" w14:textId="77777777">
      <w:pPr>
        <w:pStyle w:val="HTMLPreformatted"/>
        <w:jc w:val="center"/>
        <w:rPr>
          <w:rFonts w:ascii="Times New Roman" w:hAnsi="Times New Roman" w:cs="Times New Roman"/>
          <w:b/>
          <w:bCs/>
          <w:sz w:val="24"/>
          <w:szCs w:val="24"/>
        </w:rPr>
      </w:pPr>
      <w:r w:rsidRPr="00A329C2">
        <w:rPr>
          <w:rFonts w:ascii="Times New Roman" w:hAnsi="Times New Roman" w:cs="Times New Roman"/>
          <w:b/>
          <w:bCs/>
          <w:sz w:val="24"/>
          <w:szCs w:val="24"/>
        </w:rPr>
        <w:t>THE PUBLIC UTILITIES COMMISSION OF OHIO</w:t>
      </w:r>
    </w:p>
    <w:p w:rsidR="000A4D2C" w:rsidRPr="00A329C2" w:rsidP="000A4D2C" w14:paraId="3390EEEC" w14:textId="77777777">
      <w:pPr>
        <w:pStyle w:val="HTMLPreformatted"/>
        <w:jc w:val="center"/>
        <w:rPr>
          <w:rFonts w:ascii="Times New Roman" w:hAnsi="Times New Roman" w:cs="Times New Roman"/>
          <w:b/>
          <w:bCs/>
          <w:sz w:val="24"/>
          <w:szCs w:val="24"/>
        </w:rPr>
      </w:pPr>
    </w:p>
    <w:tbl>
      <w:tblPr>
        <w:tblW w:w="9366" w:type="dxa"/>
        <w:tblInd w:w="-106" w:type="dxa"/>
        <w:tblLook w:val="01E0"/>
      </w:tblPr>
      <w:tblGrid>
        <w:gridCol w:w="4606"/>
        <w:gridCol w:w="360"/>
        <w:gridCol w:w="4400"/>
      </w:tblGrid>
      <w:tr w14:paraId="6B084E0F" w14:textId="77777777" w:rsidTr="000A4D2C">
        <w:tblPrEx>
          <w:tblW w:w="9366" w:type="dxa"/>
          <w:tblInd w:w="-106" w:type="dxa"/>
          <w:tblLook w:val="01E0"/>
        </w:tblPrEx>
        <w:trPr>
          <w:trHeight w:val="807"/>
        </w:trPr>
        <w:tc>
          <w:tcPr>
            <w:tcW w:w="4606" w:type="dxa"/>
          </w:tcPr>
          <w:p w:rsidR="000A4D2C" w:rsidRPr="00937F57" w:rsidP="000A4D2C" w14:paraId="5A2AAABA"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 xml:space="preserve">In the Matter of the Application of </w:t>
            </w:r>
          </w:p>
          <w:p w:rsidR="000A4D2C" w:rsidRPr="00937F57" w:rsidP="000A4D2C" w14:paraId="31E476FD"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the Dayton Power and Light Company for</w:t>
            </w:r>
          </w:p>
          <w:p w:rsidR="000A4D2C" w:rsidRPr="00937F57" w:rsidP="000A4D2C" w14:paraId="24B5A473"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Approval of its Electric Security Plan.</w:t>
            </w:r>
          </w:p>
          <w:p w:rsidR="000A4D2C" w:rsidRPr="00937F57" w:rsidP="000A4D2C" w14:paraId="67728FC4" w14:textId="77777777">
            <w:pPr>
              <w:pStyle w:val="HTMLPreformatted"/>
              <w:rPr>
                <w:rFonts w:ascii="Times New Roman" w:hAnsi="Times New Roman" w:cs="Times New Roman"/>
                <w:sz w:val="24"/>
                <w:szCs w:val="24"/>
              </w:rPr>
            </w:pPr>
          </w:p>
          <w:p w:rsidR="000A4D2C" w:rsidRPr="00937F57" w:rsidP="000A4D2C" w14:paraId="310230B0"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In the Matter of the Application of the Dayton Power and Light Company for Approval of Revised Tariffs.</w:t>
            </w:r>
          </w:p>
          <w:p w:rsidR="000A4D2C" w:rsidRPr="00937F57" w:rsidP="000A4D2C" w14:paraId="3C12ABA6" w14:textId="77777777">
            <w:pPr>
              <w:pStyle w:val="HTMLPreformatted"/>
              <w:rPr>
                <w:rFonts w:ascii="Times New Roman" w:hAnsi="Times New Roman" w:cs="Times New Roman"/>
                <w:sz w:val="24"/>
                <w:szCs w:val="24"/>
              </w:rPr>
            </w:pPr>
          </w:p>
          <w:p w:rsidR="000A4D2C" w:rsidRPr="00937F57" w:rsidP="000A4D2C" w14:paraId="334FE5BC"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In the Matter of the Application of the Dayton Power and Light Company for Approval of Certain Accounting Authority Pursuant to Ohio Rev. Code § 4905.13.</w:t>
            </w:r>
          </w:p>
        </w:tc>
        <w:tc>
          <w:tcPr>
            <w:tcW w:w="360" w:type="dxa"/>
            <w:hideMark/>
          </w:tcPr>
          <w:p w:rsidR="000A4D2C" w:rsidRPr="00937F57" w:rsidP="000A4D2C" w14:paraId="1B2D1C64"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w:t>
            </w:r>
          </w:p>
          <w:p w:rsidR="000A4D2C" w:rsidRPr="00937F57" w:rsidP="000A4D2C" w14:paraId="2CA6D98F"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w:t>
            </w:r>
          </w:p>
          <w:p w:rsidR="000A4D2C" w:rsidRPr="00937F57" w:rsidP="000A4D2C" w14:paraId="17F50364"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w:t>
            </w:r>
          </w:p>
          <w:p w:rsidR="000A4D2C" w:rsidRPr="00937F57" w:rsidP="000A4D2C" w14:paraId="2D8FCEE6"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w:t>
            </w:r>
          </w:p>
          <w:p w:rsidR="000A4D2C" w:rsidRPr="00937F57" w:rsidP="000A4D2C" w14:paraId="0101108B"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w:t>
            </w:r>
          </w:p>
          <w:p w:rsidR="000A4D2C" w:rsidRPr="00937F57" w:rsidP="000A4D2C" w14:paraId="20E466CF"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w:t>
            </w:r>
          </w:p>
          <w:p w:rsidR="000A4D2C" w:rsidRPr="00937F57" w:rsidP="000A4D2C" w14:paraId="7548E385"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w:t>
            </w:r>
          </w:p>
          <w:p w:rsidR="000A4D2C" w:rsidRPr="00937F57" w:rsidP="000A4D2C" w14:paraId="084D663C"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w:t>
            </w:r>
          </w:p>
          <w:p w:rsidR="000A4D2C" w:rsidRPr="00937F57" w:rsidP="000A4D2C" w14:paraId="1C57BFE0"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w:t>
            </w:r>
          </w:p>
          <w:p w:rsidR="000A4D2C" w:rsidRPr="00937F57" w:rsidP="000A4D2C" w14:paraId="6D68B111"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w:t>
            </w:r>
          </w:p>
          <w:p w:rsidR="000A4D2C" w:rsidRPr="00937F57" w:rsidP="000A4D2C" w14:paraId="645DB7F5"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w:t>
            </w:r>
          </w:p>
          <w:p w:rsidR="000A4D2C" w:rsidRPr="00937F57" w:rsidP="000A4D2C" w14:paraId="7A6729A9"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w:t>
            </w:r>
          </w:p>
        </w:tc>
        <w:tc>
          <w:tcPr>
            <w:tcW w:w="4400" w:type="dxa"/>
          </w:tcPr>
          <w:p w:rsidR="000A4D2C" w:rsidRPr="00937F57" w:rsidP="000A4D2C" w14:paraId="62B63BAB" w14:textId="77777777">
            <w:pPr>
              <w:pStyle w:val="HTMLPreformatted"/>
              <w:rPr>
                <w:rFonts w:ascii="Times New Roman" w:hAnsi="Times New Roman" w:cs="Times New Roman"/>
                <w:sz w:val="24"/>
                <w:szCs w:val="24"/>
              </w:rPr>
            </w:pPr>
          </w:p>
          <w:p w:rsidR="000A4D2C" w:rsidRPr="00937F57" w:rsidP="000A4D2C" w14:paraId="041BF1F5" w14:textId="02D011D8">
            <w:pPr>
              <w:pStyle w:val="HTMLPreformatted"/>
              <w:rPr>
                <w:rFonts w:ascii="Times New Roman" w:hAnsi="Times New Roman" w:cs="Times New Roman"/>
                <w:sz w:val="24"/>
                <w:szCs w:val="24"/>
              </w:rPr>
            </w:pPr>
            <w:r w:rsidRPr="00937F57">
              <w:rPr>
                <w:rFonts w:ascii="Times New Roman" w:hAnsi="Times New Roman" w:cs="Times New Roman"/>
                <w:sz w:val="24"/>
                <w:szCs w:val="24"/>
              </w:rPr>
              <w:t>Case No. 16-395-EL-SSO</w:t>
            </w:r>
          </w:p>
          <w:p w:rsidR="000A4D2C" w:rsidRPr="00937F57" w:rsidP="000A4D2C" w14:paraId="3F1DE785" w14:textId="77777777">
            <w:pPr>
              <w:pStyle w:val="HTMLPreformatted"/>
              <w:rPr>
                <w:rFonts w:ascii="Times New Roman" w:hAnsi="Times New Roman" w:cs="Times New Roman"/>
                <w:sz w:val="24"/>
                <w:szCs w:val="24"/>
              </w:rPr>
            </w:pPr>
          </w:p>
          <w:p w:rsidR="000A4D2C" w:rsidRPr="00937F57" w:rsidP="000A4D2C" w14:paraId="7947B6E6" w14:textId="77777777">
            <w:pPr>
              <w:pStyle w:val="HTMLPreformatted"/>
              <w:rPr>
                <w:rFonts w:ascii="Times New Roman" w:hAnsi="Times New Roman" w:cs="Times New Roman"/>
                <w:sz w:val="24"/>
                <w:szCs w:val="24"/>
              </w:rPr>
            </w:pPr>
          </w:p>
          <w:p w:rsidR="000A4D2C" w:rsidRPr="00937F57" w:rsidP="000A4D2C" w14:paraId="4F4090BC" w14:textId="77777777">
            <w:pPr>
              <w:pStyle w:val="HTMLPreformatted"/>
              <w:rPr>
                <w:rFonts w:ascii="Times New Roman" w:hAnsi="Times New Roman" w:cs="Times New Roman"/>
                <w:sz w:val="24"/>
                <w:szCs w:val="24"/>
              </w:rPr>
            </w:pPr>
          </w:p>
          <w:p w:rsidR="000A4D2C" w:rsidRPr="00937F57" w:rsidP="000A4D2C" w14:paraId="7AFD6DCF" w14:textId="034948EA">
            <w:pPr>
              <w:pStyle w:val="HTMLPreformatted"/>
              <w:rPr>
                <w:rFonts w:ascii="Times New Roman" w:hAnsi="Times New Roman" w:cs="Times New Roman"/>
                <w:sz w:val="24"/>
                <w:szCs w:val="24"/>
              </w:rPr>
            </w:pPr>
            <w:r w:rsidRPr="00937F57">
              <w:rPr>
                <w:rFonts w:ascii="Times New Roman" w:hAnsi="Times New Roman" w:cs="Times New Roman"/>
                <w:sz w:val="24"/>
                <w:szCs w:val="24"/>
              </w:rPr>
              <w:t>Case No. 16-396-EL-ATA</w:t>
            </w:r>
          </w:p>
          <w:p w:rsidR="000A4D2C" w:rsidRPr="00937F57" w:rsidP="000A4D2C" w14:paraId="676AA585" w14:textId="77777777">
            <w:pPr>
              <w:pStyle w:val="HTMLPreformatted"/>
              <w:rPr>
                <w:rFonts w:ascii="Times New Roman" w:hAnsi="Times New Roman" w:cs="Times New Roman"/>
                <w:sz w:val="24"/>
                <w:szCs w:val="24"/>
              </w:rPr>
            </w:pPr>
          </w:p>
          <w:p w:rsidR="000A4D2C" w:rsidRPr="00937F57" w:rsidP="000A4D2C" w14:paraId="015CBAF5" w14:textId="77777777">
            <w:pPr>
              <w:pStyle w:val="HTMLPreformatted"/>
              <w:rPr>
                <w:rFonts w:ascii="Times New Roman" w:hAnsi="Times New Roman" w:cs="Times New Roman"/>
                <w:sz w:val="24"/>
                <w:szCs w:val="24"/>
              </w:rPr>
            </w:pPr>
          </w:p>
          <w:p w:rsidR="000A4D2C" w:rsidRPr="00937F57" w:rsidP="000A4D2C" w14:paraId="5D7D0219" w14:textId="77777777">
            <w:pPr>
              <w:pStyle w:val="HTMLPreformatted"/>
              <w:rPr>
                <w:rFonts w:ascii="Times New Roman" w:hAnsi="Times New Roman" w:cs="Times New Roman"/>
                <w:sz w:val="24"/>
                <w:szCs w:val="24"/>
              </w:rPr>
            </w:pPr>
          </w:p>
          <w:p w:rsidR="000A4D2C" w:rsidRPr="00937F57" w:rsidP="000A4D2C" w14:paraId="1FC662A9" w14:textId="2D7EEA64">
            <w:pPr>
              <w:pStyle w:val="HTMLPreformatted"/>
              <w:rPr>
                <w:rFonts w:ascii="Times New Roman" w:hAnsi="Times New Roman" w:cs="Times New Roman"/>
                <w:sz w:val="24"/>
                <w:szCs w:val="24"/>
              </w:rPr>
            </w:pPr>
            <w:r w:rsidRPr="00937F57">
              <w:rPr>
                <w:rFonts w:ascii="Times New Roman" w:hAnsi="Times New Roman" w:cs="Times New Roman"/>
                <w:sz w:val="24"/>
                <w:szCs w:val="24"/>
              </w:rPr>
              <w:t>Case No. 16-397-EL-AAM</w:t>
            </w:r>
          </w:p>
          <w:p w:rsidR="000A4D2C" w:rsidRPr="00937F57" w:rsidP="000A4D2C" w14:paraId="18C3A9B7" w14:textId="77777777">
            <w:pPr>
              <w:pStyle w:val="HTMLPreformatted"/>
              <w:rPr>
                <w:rFonts w:ascii="Times New Roman" w:hAnsi="Times New Roman" w:cs="Times New Roman"/>
                <w:sz w:val="24"/>
                <w:szCs w:val="24"/>
              </w:rPr>
            </w:pPr>
          </w:p>
          <w:p w:rsidR="000A4D2C" w:rsidRPr="00937F57" w:rsidP="000A4D2C" w14:paraId="25528D6D" w14:textId="77777777">
            <w:pPr>
              <w:pStyle w:val="HTMLPreformatted"/>
              <w:rPr>
                <w:rFonts w:ascii="Times New Roman" w:hAnsi="Times New Roman" w:cs="Times New Roman"/>
                <w:sz w:val="24"/>
                <w:szCs w:val="24"/>
              </w:rPr>
            </w:pPr>
          </w:p>
        </w:tc>
      </w:tr>
    </w:tbl>
    <w:p w:rsidR="000A4D2C" w:rsidRPr="00A329C2" w:rsidP="000A4D2C" w14:paraId="38A78FE2" w14:textId="77777777">
      <w:pPr>
        <w:pStyle w:val="HTMLPreformatted"/>
        <w:pBdr>
          <w:bottom w:val="single" w:sz="12" w:space="1" w:color="auto"/>
        </w:pBdr>
        <w:rPr>
          <w:rFonts w:ascii="Times New Roman" w:hAnsi="Times New Roman" w:cs="Times New Roman"/>
          <w:b/>
          <w:bCs/>
          <w:sz w:val="24"/>
          <w:szCs w:val="24"/>
        </w:rPr>
      </w:pPr>
    </w:p>
    <w:p w:rsidR="000A4D2C" w:rsidRPr="00A329C2" w:rsidP="000A4D2C" w14:paraId="0F47A373" w14:textId="77777777">
      <w:pPr>
        <w:pStyle w:val="HTMLPreformatted"/>
        <w:rPr>
          <w:rFonts w:ascii="Times New Roman" w:hAnsi="Times New Roman" w:cs="Times New Roman"/>
          <w:b/>
          <w:bCs/>
          <w:i/>
          <w:sz w:val="24"/>
          <w:szCs w:val="24"/>
        </w:rPr>
      </w:pPr>
    </w:p>
    <w:p w:rsidR="000A4D2C" w:rsidRPr="00A329C2" w:rsidP="000A4D2C" w14:paraId="4A563E28" w14:textId="61BD85A8">
      <w:pPr>
        <w:pStyle w:val="HTMLPreformatted"/>
        <w:pBdr>
          <w:bottom w:val="single" w:sz="12" w:space="1" w:color="auto"/>
        </w:pBdr>
        <w:jc w:val="center"/>
        <w:rPr>
          <w:rFonts w:ascii="Times New Roman" w:hAnsi="Times New Roman" w:cs="Times New Roman"/>
          <w:b/>
          <w:bCs/>
          <w:sz w:val="24"/>
          <w:szCs w:val="24"/>
        </w:rPr>
      </w:pPr>
      <w:r>
        <w:rPr>
          <w:rFonts w:ascii="Times New Roman" w:hAnsi="Times New Roman" w:cs="Times New Roman"/>
          <w:b/>
          <w:bCs/>
          <w:sz w:val="24"/>
          <w:szCs w:val="24"/>
        </w:rPr>
        <w:t>MEMORANDUM CONTRA APPLICATION FOR REHEARING OF INTERSTATE GAS SUPPLY, INC.</w:t>
      </w:r>
    </w:p>
    <w:p w:rsidR="000A4D2C" w:rsidRPr="00A329C2" w:rsidP="000A4D2C" w14:paraId="699B5407" w14:textId="77777777">
      <w:pPr>
        <w:pStyle w:val="HTMLPreformatted"/>
        <w:pBdr>
          <w:bottom w:val="single" w:sz="12" w:space="1" w:color="auto"/>
        </w:pBdr>
        <w:jc w:val="center"/>
        <w:rPr>
          <w:rFonts w:ascii="Times New Roman" w:hAnsi="Times New Roman" w:cs="Times New Roman"/>
          <w:b/>
          <w:bCs/>
          <w:sz w:val="24"/>
          <w:szCs w:val="24"/>
        </w:rPr>
      </w:pPr>
      <w:r w:rsidRPr="00A329C2">
        <w:rPr>
          <w:rFonts w:ascii="Times New Roman" w:hAnsi="Times New Roman" w:cs="Times New Roman"/>
          <w:b/>
          <w:bCs/>
          <w:sz w:val="24"/>
          <w:szCs w:val="24"/>
        </w:rPr>
        <w:t xml:space="preserve">BY </w:t>
      </w:r>
    </w:p>
    <w:p w:rsidR="000A4D2C" w:rsidRPr="00A329C2" w:rsidP="000A4D2C" w14:paraId="06F38609" w14:textId="77777777">
      <w:pPr>
        <w:pStyle w:val="HTMLPreformatted"/>
        <w:pBdr>
          <w:bottom w:val="single" w:sz="12" w:space="1" w:color="auto"/>
        </w:pBdr>
        <w:jc w:val="center"/>
        <w:rPr>
          <w:rFonts w:ascii="Times New Roman" w:hAnsi="Times New Roman" w:cs="Times New Roman"/>
          <w:b/>
          <w:bCs/>
          <w:sz w:val="24"/>
          <w:szCs w:val="24"/>
        </w:rPr>
      </w:pPr>
      <w:r w:rsidRPr="00A329C2">
        <w:rPr>
          <w:rFonts w:ascii="Times New Roman" w:hAnsi="Times New Roman" w:cs="Times New Roman"/>
          <w:b/>
          <w:bCs/>
          <w:sz w:val="24"/>
          <w:szCs w:val="24"/>
        </w:rPr>
        <w:t>THE OFFICE OF THE OHIO CONSUMERS' COUNSEL</w:t>
      </w:r>
    </w:p>
    <w:p w:rsidR="000A4D2C" w:rsidRPr="00A329C2" w:rsidP="000A4D2C" w14:paraId="4769B38D" w14:textId="77777777">
      <w:pPr>
        <w:pStyle w:val="HTMLPreformatted"/>
        <w:pBdr>
          <w:bottom w:val="single" w:sz="12" w:space="1" w:color="auto"/>
        </w:pBdr>
        <w:jc w:val="center"/>
        <w:rPr>
          <w:rFonts w:ascii="Times New Roman" w:hAnsi="Times New Roman" w:cs="Times New Roman"/>
          <w:b/>
          <w:bCs/>
          <w:sz w:val="24"/>
          <w:szCs w:val="24"/>
        </w:rPr>
      </w:pPr>
    </w:p>
    <w:p w:rsidR="000A4D2C" w:rsidRPr="00A329C2" w:rsidP="000A4D2C" w14:paraId="3D1A0F79" w14:textId="77777777">
      <w:pPr>
        <w:rPr>
          <w:rFonts w:eastAsia="Courier New" w:cs="Times New Roman"/>
          <w:b/>
          <w:bCs/>
          <w:szCs w:val="24"/>
        </w:rPr>
      </w:pPr>
    </w:p>
    <w:p w:rsidR="000A4D2C" w:rsidP="000A4D2C" w14:paraId="2BD07A56" w14:textId="77777777">
      <w:pPr>
        <w:spacing w:line="240" w:lineRule="auto"/>
        <w:ind w:left="4320"/>
        <w:rPr>
          <w:rFonts w:cs="Times New Roman"/>
          <w:szCs w:val="24"/>
        </w:rPr>
      </w:pPr>
      <w:bookmarkStart w:id="1" w:name="_Hlk5112441"/>
    </w:p>
    <w:bookmarkEnd w:id="1"/>
    <w:p w:rsidR="000A4D2C" w:rsidP="000A4D2C" w14:paraId="77F205DD" w14:textId="77777777">
      <w:pPr>
        <w:tabs>
          <w:tab w:val="left" w:pos="4320"/>
        </w:tabs>
        <w:overflowPunct w:val="0"/>
        <w:autoSpaceDE w:val="0"/>
        <w:autoSpaceDN w:val="0"/>
        <w:adjustRightInd w:val="0"/>
        <w:spacing w:line="240" w:lineRule="auto"/>
        <w:ind w:left="4320"/>
        <w:textAlignment w:val="baseline"/>
        <w:rPr>
          <w:rFonts w:eastAsia="Times New Roman" w:cs="Times New Roman"/>
          <w:szCs w:val="24"/>
        </w:rPr>
      </w:pPr>
    </w:p>
    <w:p w:rsidR="000A4D2C" w:rsidP="000A4D2C" w14:paraId="1AD7DA36" w14:textId="77777777">
      <w:pPr>
        <w:tabs>
          <w:tab w:val="left" w:pos="4320"/>
        </w:tabs>
        <w:overflowPunct w:val="0"/>
        <w:autoSpaceDE w:val="0"/>
        <w:autoSpaceDN w:val="0"/>
        <w:adjustRightInd w:val="0"/>
        <w:spacing w:line="240" w:lineRule="auto"/>
        <w:ind w:left="4320"/>
        <w:textAlignment w:val="baseline"/>
        <w:rPr>
          <w:rFonts w:eastAsia="Times New Roman" w:cs="Times New Roman"/>
          <w:szCs w:val="24"/>
        </w:rPr>
      </w:pPr>
    </w:p>
    <w:p w:rsidR="000A4D2C" w:rsidP="000A4D2C" w14:paraId="65DB04E2" w14:textId="77777777">
      <w:pPr>
        <w:tabs>
          <w:tab w:val="left" w:pos="4320"/>
        </w:tabs>
        <w:overflowPunct w:val="0"/>
        <w:autoSpaceDE w:val="0"/>
        <w:autoSpaceDN w:val="0"/>
        <w:adjustRightInd w:val="0"/>
        <w:spacing w:line="240" w:lineRule="auto"/>
        <w:ind w:left="4320"/>
        <w:textAlignment w:val="baseline"/>
        <w:rPr>
          <w:rFonts w:eastAsia="Times New Roman" w:cs="Times New Roman"/>
          <w:szCs w:val="24"/>
        </w:rPr>
      </w:pPr>
    </w:p>
    <w:p w:rsidR="000A4D2C" w:rsidRPr="00517C65" w:rsidP="000A4D2C" w14:paraId="1E5745F1" w14:textId="77777777">
      <w:pPr>
        <w:tabs>
          <w:tab w:val="left" w:pos="4320"/>
        </w:tabs>
        <w:overflowPunct w:val="0"/>
        <w:autoSpaceDE w:val="0"/>
        <w:autoSpaceDN w:val="0"/>
        <w:adjustRightInd w:val="0"/>
        <w:spacing w:line="240" w:lineRule="auto"/>
        <w:ind w:left="4320"/>
        <w:textAlignment w:val="baseline"/>
        <w:rPr>
          <w:rFonts w:eastAsia="Times New Roman" w:cs="Times New Roman"/>
          <w:szCs w:val="24"/>
        </w:rPr>
      </w:pPr>
      <w:r w:rsidRPr="00517C65">
        <w:rPr>
          <w:rFonts w:eastAsia="Times New Roman" w:cs="Times New Roman"/>
          <w:szCs w:val="24"/>
        </w:rPr>
        <w:t>Bruce Weston (0016973)</w:t>
      </w:r>
    </w:p>
    <w:p w:rsidR="000A4D2C" w:rsidRPr="00517C65" w:rsidP="000A4D2C" w14:paraId="15230159" w14:textId="77777777">
      <w:pPr>
        <w:tabs>
          <w:tab w:val="left" w:pos="4320"/>
        </w:tabs>
        <w:spacing w:line="240" w:lineRule="auto"/>
        <w:ind w:left="4320"/>
        <w:rPr>
          <w:rFonts w:eastAsia="Times New Roman" w:cs="Times New Roman"/>
          <w:szCs w:val="24"/>
        </w:rPr>
      </w:pPr>
      <w:r w:rsidRPr="00517C65">
        <w:rPr>
          <w:rFonts w:eastAsia="Times New Roman" w:cs="Times New Roman"/>
          <w:szCs w:val="24"/>
        </w:rPr>
        <w:t>Ohio Consumers’ Counsel</w:t>
      </w:r>
    </w:p>
    <w:p w:rsidR="000A4D2C" w:rsidRPr="00517C65" w:rsidP="000A4D2C" w14:paraId="7AF78227" w14:textId="77777777">
      <w:pPr>
        <w:tabs>
          <w:tab w:val="left" w:pos="4320"/>
        </w:tabs>
        <w:spacing w:line="240" w:lineRule="auto"/>
        <w:ind w:left="4320"/>
        <w:rPr>
          <w:rFonts w:eastAsia="Times New Roman" w:cs="Times New Roman"/>
          <w:szCs w:val="24"/>
        </w:rPr>
      </w:pPr>
      <w:r w:rsidRPr="00517C65">
        <w:rPr>
          <w:rFonts w:eastAsia="Times New Roman" w:cs="Times New Roman"/>
          <w:szCs w:val="24"/>
        </w:rPr>
        <w:tab/>
      </w:r>
    </w:p>
    <w:p w:rsidR="000A4D2C" w:rsidRPr="00517C65" w:rsidP="000A4D2C" w14:paraId="044915AC" w14:textId="77777777">
      <w:pPr>
        <w:tabs>
          <w:tab w:val="left" w:pos="4320"/>
        </w:tabs>
        <w:spacing w:line="240" w:lineRule="auto"/>
        <w:ind w:left="4320"/>
        <w:rPr>
          <w:rFonts w:eastAsia="Times New Roman" w:cs="Times New Roman"/>
          <w:szCs w:val="24"/>
        </w:rPr>
      </w:pPr>
      <w:r w:rsidRPr="00517C65">
        <w:rPr>
          <w:rFonts w:eastAsia="Times New Roman" w:cs="Times New Roman"/>
          <w:szCs w:val="24"/>
        </w:rPr>
        <w:t>William J. Michael, (0070921)</w:t>
      </w:r>
    </w:p>
    <w:p w:rsidR="000A4D2C" w:rsidRPr="00517C65" w:rsidP="000A4D2C" w14:paraId="02D11292" w14:textId="77777777">
      <w:pPr>
        <w:tabs>
          <w:tab w:val="left" w:pos="4320"/>
        </w:tabs>
        <w:spacing w:line="240" w:lineRule="auto"/>
        <w:ind w:left="4320"/>
        <w:rPr>
          <w:rFonts w:eastAsia="Times New Roman" w:cs="Times New Roman"/>
          <w:szCs w:val="24"/>
        </w:rPr>
      </w:pPr>
      <w:r w:rsidRPr="00517C65">
        <w:rPr>
          <w:rFonts w:eastAsia="Times New Roman" w:cs="Times New Roman"/>
          <w:szCs w:val="24"/>
        </w:rPr>
        <w:t>Counsel of Record</w:t>
      </w:r>
    </w:p>
    <w:p w:rsidR="000A4D2C" w:rsidRPr="00517C65" w:rsidP="000A4D2C" w14:paraId="29C22F86" w14:textId="77777777">
      <w:pPr>
        <w:tabs>
          <w:tab w:val="left" w:pos="4320"/>
        </w:tabs>
        <w:spacing w:line="240" w:lineRule="auto"/>
        <w:ind w:left="4320"/>
        <w:rPr>
          <w:rFonts w:eastAsia="Times New Roman" w:cs="Times New Roman"/>
          <w:szCs w:val="24"/>
        </w:rPr>
      </w:pPr>
      <w:r>
        <w:rPr>
          <w:rFonts w:eastAsia="Times New Roman" w:cs="Times New Roman"/>
          <w:szCs w:val="24"/>
        </w:rPr>
        <w:t>Ambrosia E. Logsdon</w:t>
      </w:r>
      <w:r w:rsidRPr="00517C65">
        <w:rPr>
          <w:rFonts w:eastAsia="Times New Roman" w:cs="Times New Roman"/>
          <w:szCs w:val="24"/>
        </w:rPr>
        <w:t xml:space="preserve"> (00</w:t>
      </w:r>
      <w:r>
        <w:rPr>
          <w:rFonts w:eastAsia="Times New Roman" w:cs="Times New Roman"/>
          <w:szCs w:val="24"/>
        </w:rPr>
        <w:t>96598</w:t>
      </w:r>
      <w:r w:rsidRPr="00517C65">
        <w:rPr>
          <w:rFonts w:eastAsia="Times New Roman" w:cs="Times New Roman"/>
          <w:szCs w:val="24"/>
        </w:rPr>
        <w:t>)</w:t>
      </w:r>
    </w:p>
    <w:p w:rsidR="000A4D2C" w:rsidRPr="00517C65" w:rsidP="000A4D2C" w14:paraId="19A60246" w14:textId="77777777">
      <w:pPr>
        <w:tabs>
          <w:tab w:val="left" w:pos="4320"/>
        </w:tabs>
        <w:spacing w:line="240" w:lineRule="auto"/>
        <w:ind w:left="4320"/>
        <w:rPr>
          <w:rFonts w:eastAsia="Times New Roman" w:cs="Times New Roman"/>
          <w:szCs w:val="24"/>
        </w:rPr>
      </w:pPr>
      <w:r w:rsidRPr="00517C65">
        <w:rPr>
          <w:rFonts w:eastAsia="Times New Roman" w:cs="Times New Roman"/>
          <w:szCs w:val="24"/>
        </w:rPr>
        <w:t>Assistant Consumers’ Counsel</w:t>
      </w:r>
    </w:p>
    <w:p w:rsidR="000A4D2C" w:rsidRPr="00517C65" w:rsidP="000A4D2C" w14:paraId="10B1F2B4" w14:textId="77777777">
      <w:pPr>
        <w:tabs>
          <w:tab w:val="left" w:pos="4320"/>
        </w:tabs>
        <w:spacing w:line="240" w:lineRule="auto"/>
        <w:ind w:left="4320"/>
        <w:rPr>
          <w:rFonts w:eastAsia="Times New Roman" w:cs="Times New Roman"/>
          <w:szCs w:val="24"/>
        </w:rPr>
      </w:pPr>
      <w:r w:rsidRPr="00517C65">
        <w:rPr>
          <w:rFonts w:eastAsia="Times New Roman" w:cs="Times New Roman"/>
          <w:szCs w:val="24"/>
        </w:rPr>
        <w:tab/>
      </w:r>
    </w:p>
    <w:p w:rsidR="000A4D2C" w:rsidRPr="00517C65" w:rsidP="000A4D2C" w14:paraId="15B88A82" w14:textId="77777777">
      <w:pPr>
        <w:spacing w:line="240" w:lineRule="auto"/>
        <w:ind w:left="4320"/>
        <w:rPr>
          <w:rFonts w:eastAsia="Times New Roman" w:cs="Times New Roman"/>
          <w:b/>
          <w:szCs w:val="24"/>
        </w:rPr>
      </w:pPr>
      <w:r w:rsidRPr="00517C65">
        <w:rPr>
          <w:rFonts w:eastAsia="Times New Roman" w:cs="Times New Roman"/>
          <w:b/>
          <w:szCs w:val="24"/>
        </w:rPr>
        <w:t>Office of the Ohio Consumers’ Counsel</w:t>
      </w:r>
    </w:p>
    <w:p w:rsidR="000A4D2C" w:rsidRPr="00517C65" w:rsidP="000A4D2C" w14:paraId="63A649A8" w14:textId="77777777">
      <w:pPr>
        <w:spacing w:line="240" w:lineRule="auto"/>
        <w:ind w:left="4320"/>
        <w:rPr>
          <w:rFonts w:eastAsia="Times New Roman" w:cs="Times New Roman"/>
          <w:szCs w:val="24"/>
        </w:rPr>
      </w:pPr>
      <w:r>
        <w:rPr>
          <w:rFonts w:eastAsia="Times New Roman" w:cs="Times New Roman"/>
          <w:szCs w:val="24"/>
        </w:rPr>
        <w:t>65 East State Street, 7</w:t>
      </w:r>
      <w:r w:rsidRPr="00955A38">
        <w:rPr>
          <w:rFonts w:eastAsia="Times New Roman" w:cs="Times New Roman"/>
          <w:szCs w:val="24"/>
        </w:rPr>
        <w:t>th</w:t>
      </w:r>
      <w:r>
        <w:rPr>
          <w:rFonts w:eastAsia="Times New Roman" w:cs="Times New Roman"/>
          <w:szCs w:val="24"/>
        </w:rPr>
        <w:t xml:space="preserve"> Floor</w:t>
      </w:r>
    </w:p>
    <w:p w:rsidR="000A4D2C" w:rsidRPr="00517C65" w:rsidP="000A4D2C" w14:paraId="7D64A737" w14:textId="77777777">
      <w:pPr>
        <w:spacing w:line="240" w:lineRule="auto"/>
        <w:ind w:left="4320"/>
        <w:rPr>
          <w:rFonts w:eastAsia="Times New Roman" w:cs="Times New Roman"/>
          <w:b/>
          <w:szCs w:val="24"/>
        </w:rPr>
      </w:pPr>
      <w:r w:rsidRPr="00517C65">
        <w:rPr>
          <w:rFonts w:eastAsia="Times New Roman" w:cs="Times New Roman"/>
          <w:szCs w:val="24"/>
        </w:rPr>
        <w:t>Columbus, Ohio 43215</w:t>
      </w:r>
    </w:p>
    <w:p w:rsidR="000A4D2C" w:rsidRPr="00517C65" w:rsidP="000A4D2C" w14:paraId="196FEC7B" w14:textId="77777777">
      <w:pPr>
        <w:spacing w:line="240" w:lineRule="auto"/>
        <w:ind w:left="4320"/>
        <w:rPr>
          <w:rFonts w:eastAsia="Times New Roman" w:cs="Times New Roman"/>
          <w:szCs w:val="24"/>
        </w:rPr>
      </w:pPr>
      <w:r w:rsidRPr="00517C65">
        <w:rPr>
          <w:rFonts w:eastAsia="Times New Roman" w:cs="Times New Roman"/>
          <w:szCs w:val="24"/>
        </w:rPr>
        <w:t>Telephone: [Michael] (614) 466-1291</w:t>
      </w:r>
    </w:p>
    <w:p w:rsidR="000A4D2C" w:rsidRPr="00517C65" w:rsidP="000A4D2C" w14:paraId="75CFFC21" w14:textId="77777777">
      <w:pPr>
        <w:spacing w:line="240" w:lineRule="auto"/>
        <w:ind w:left="4320"/>
        <w:rPr>
          <w:rFonts w:eastAsia="Times New Roman" w:cs="Times New Roman"/>
          <w:szCs w:val="24"/>
        </w:rPr>
      </w:pPr>
      <w:r w:rsidRPr="00517C65">
        <w:rPr>
          <w:rFonts w:eastAsia="Times New Roman" w:cs="Times New Roman"/>
          <w:szCs w:val="24"/>
        </w:rPr>
        <w:t>Telephone: [</w:t>
      </w:r>
      <w:r>
        <w:rPr>
          <w:rFonts w:eastAsia="Times New Roman" w:cs="Times New Roman"/>
          <w:szCs w:val="24"/>
        </w:rPr>
        <w:t>Logsdon</w:t>
      </w:r>
      <w:r w:rsidRPr="00517C65">
        <w:rPr>
          <w:rFonts w:eastAsia="Times New Roman" w:cs="Times New Roman"/>
          <w:szCs w:val="24"/>
        </w:rPr>
        <w:t xml:space="preserve">] (614) </w:t>
      </w:r>
      <w:r>
        <w:rPr>
          <w:rFonts w:eastAsia="Times New Roman" w:cs="Times New Roman"/>
          <w:szCs w:val="24"/>
        </w:rPr>
        <w:t>466-1292</w:t>
      </w:r>
    </w:p>
    <w:p w:rsidR="000A4D2C" w:rsidRPr="006C3E00" w:rsidP="000A4D2C" w14:paraId="470868D6" w14:textId="77777777">
      <w:pPr>
        <w:spacing w:line="240" w:lineRule="auto"/>
        <w:ind w:left="4320"/>
        <w:rPr>
          <w:rFonts w:eastAsia="Times New Roman" w:cs="Times New Roman"/>
          <w:color w:val="0000FF"/>
          <w:szCs w:val="24"/>
          <w:u w:val="single"/>
        </w:rPr>
      </w:pPr>
      <w:hyperlink r:id="rId6" w:history="1">
        <w:r w:rsidRPr="006C3E00">
          <w:rPr>
            <w:rStyle w:val="Hyperlink"/>
            <w:rFonts w:eastAsia="Times New Roman" w:cs="Times New Roman"/>
            <w:color w:val="0000FF"/>
            <w:szCs w:val="24"/>
          </w:rPr>
          <w:t>william.michael@occ.ohio.gov</w:t>
        </w:r>
      </w:hyperlink>
    </w:p>
    <w:p w:rsidR="000A4D2C" w:rsidRPr="006C3E00" w:rsidP="000A4D2C" w14:paraId="28AAB47B" w14:textId="791D41D0">
      <w:pPr>
        <w:spacing w:line="240" w:lineRule="auto"/>
        <w:ind w:left="4320"/>
        <w:rPr>
          <w:rFonts w:eastAsia="Times New Roman" w:cs="Times New Roman"/>
          <w:color w:val="0000FF"/>
          <w:szCs w:val="24"/>
          <w:u w:val="single"/>
        </w:rPr>
      </w:pPr>
      <w:hyperlink r:id="rId7" w:history="1">
        <w:r w:rsidRPr="006C3E00">
          <w:rPr>
            <w:rStyle w:val="Hyperlink"/>
            <w:rFonts w:eastAsia="Times New Roman" w:cs="Times New Roman"/>
            <w:color w:val="0000FF"/>
            <w:szCs w:val="24"/>
          </w:rPr>
          <w:t>ambrosia.logsdon@occ.ohi</w:t>
        </w:r>
      </w:hyperlink>
      <w:r w:rsidR="006C3E00">
        <w:rPr>
          <w:rStyle w:val="Hyperlink"/>
          <w:rFonts w:eastAsia="Times New Roman" w:cs="Times New Roman"/>
          <w:color w:val="0000FF"/>
          <w:szCs w:val="24"/>
        </w:rPr>
        <w:t>o.gov</w:t>
      </w:r>
    </w:p>
    <w:p w:rsidR="000A4D2C" w:rsidP="000A4D2C" w14:paraId="37DAAB40" w14:textId="5EDC479B">
      <w:pPr>
        <w:spacing w:line="240" w:lineRule="auto"/>
        <w:rPr>
          <w:rFonts w:eastAsia="Times New Roman" w:cs="Times New Roman"/>
          <w:szCs w:val="24"/>
        </w:rPr>
      </w:pPr>
      <w:r>
        <w:rPr>
          <w:rFonts w:eastAsia="Times New Roman" w:cs="Times New Roman"/>
          <w:szCs w:val="24"/>
        </w:rPr>
        <w:t>January</w:t>
      </w:r>
      <w:r w:rsidRPr="00084D2A">
        <w:rPr>
          <w:rFonts w:eastAsia="Times New Roman" w:cs="Times New Roman"/>
          <w:szCs w:val="24"/>
        </w:rPr>
        <w:t xml:space="preserve"> </w:t>
      </w:r>
      <w:r>
        <w:rPr>
          <w:rFonts w:eastAsia="Times New Roman" w:cs="Times New Roman"/>
          <w:szCs w:val="24"/>
        </w:rPr>
        <w:t>2</w:t>
      </w:r>
      <w:r w:rsidRPr="00084D2A">
        <w:rPr>
          <w:rFonts w:eastAsia="Times New Roman" w:cs="Times New Roman"/>
          <w:szCs w:val="24"/>
        </w:rPr>
        <w:t>, 20</w:t>
      </w:r>
      <w:r>
        <w:rPr>
          <w:rFonts w:eastAsia="Times New Roman" w:cs="Times New Roman"/>
          <w:szCs w:val="24"/>
        </w:rPr>
        <w:t>20</w:t>
      </w:r>
      <w:r w:rsidRPr="00084D2A">
        <w:rPr>
          <w:rFonts w:eastAsia="Times New Roman" w:cs="Times New Roman"/>
          <w:color w:val="0563C1" w:themeColor="hyperlink"/>
          <w:szCs w:val="24"/>
        </w:rPr>
        <w:tab/>
      </w:r>
      <w:r w:rsidRPr="00084D2A">
        <w:rPr>
          <w:rFonts w:eastAsia="Times New Roman" w:cs="Times New Roman"/>
          <w:color w:val="0563C1" w:themeColor="hyperlink"/>
          <w:szCs w:val="24"/>
        </w:rPr>
        <w:tab/>
      </w:r>
      <w:r w:rsidRPr="00084D2A">
        <w:rPr>
          <w:rFonts w:eastAsia="Times New Roman" w:cs="Times New Roman"/>
          <w:color w:val="0563C1" w:themeColor="hyperlink"/>
          <w:szCs w:val="24"/>
        </w:rPr>
        <w:tab/>
      </w:r>
      <w:r w:rsidRPr="00084D2A">
        <w:rPr>
          <w:rFonts w:eastAsia="Times New Roman" w:cs="Times New Roman"/>
          <w:color w:val="0563C1" w:themeColor="hyperlink"/>
          <w:szCs w:val="24"/>
        </w:rPr>
        <w:tab/>
      </w:r>
      <w:r w:rsidRPr="00517C65">
        <w:rPr>
          <w:rFonts w:eastAsia="Times New Roman" w:cs="Times New Roman"/>
          <w:szCs w:val="24"/>
        </w:rPr>
        <w:t>(</w:t>
      </w:r>
      <w:r>
        <w:rPr>
          <w:rFonts w:eastAsia="Times New Roman" w:cs="Times New Roman"/>
          <w:szCs w:val="24"/>
        </w:rPr>
        <w:t>w</w:t>
      </w:r>
      <w:r w:rsidRPr="00517C65">
        <w:rPr>
          <w:rFonts w:eastAsia="Times New Roman" w:cs="Times New Roman"/>
          <w:szCs w:val="24"/>
        </w:rPr>
        <w:t>ill</w:t>
      </w:r>
      <w:r>
        <w:rPr>
          <w:rFonts w:eastAsia="Times New Roman" w:cs="Times New Roman"/>
          <w:szCs w:val="24"/>
        </w:rPr>
        <w:t>ing to</w:t>
      </w:r>
      <w:r w:rsidRPr="00517C65">
        <w:rPr>
          <w:rFonts w:eastAsia="Times New Roman" w:cs="Times New Roman"/>
          <w:szCs w:val="24"/>
        </w:rPr>
        <w:t xml:space="preserve"> accept service </w:t>
      </w:r>
      <w:r>
        <w:rPr>
          <w:rFonts w:eastAsia="Times New Roman" w:cs="Times New Roman"/>
          <w:szCs w:val="24"/>
        </w:rPr>
        <w:t>by</w:t>
      </w:r>
      <w:r w:rsidRPr="00517C65">
        <w:rPr>
          <w:rFonts w:eastAsia="Times New Roman" w:cs="Times New Roman"/>
          <w:szCs w:val="24"/>
        </w:rPr>
        <w:t xml:space="preserve"> e</w:t>
      </w:r>
      <w:r>
        <w:rPr>
          <w:rFonts w:eastAsia="Times New Roman" w:cs="Times New Roman"/>
          <w:szCs w:val="24"/>
        </w:rPr>
        <w:t>-</w:t>
      </w:r>
      <w:r w:rsidRPr="00517C65">
        <w:rPr>
          <w:rFonts w:eastAsia="Times New Roman" w:cs="Times New Roman"/>
          <w:szCs w:val="24"/>
        </w:rPr>
        <w:t>mail)</w:t>
      </w:r>
    </w:p>
    <w:p w:rsidR="000A4D2C" w:rsidP="000A4D2C" w14:paraId="5AE8848C" w14:textId="77777777">
      <w:pPr>
        <w:spacing w:line="240" w:lineRule="auto"/>
        <w:rPr>
          <w:rFonts w:eastAsia="Times New Roman" w:cs="Times New Roman"/>
          <w:szCs w:val="24"/>
        </w:rPr>
      </w:pPr>
    </w:p>
    <w:p w:rsidR="000A4D2C" w:rsidP="000A4D2C" w14:paraId="2531E7F2" w14:textId="77777777">
      <w:pPr>
        <w:spacing w:line="240" w:lineRule="auto"/>
        <w:rPr>
          <w:rFonts w:eastAsia="Times New Roman" w:cs="Times New Roman"/>
          <w:szCs w:val="24"/>
        </w:rPr>
        <w:sectPr w:rsidSect="000A4D2C">
          <w:footerReference w:type="default" r:id="rId8"/>
          <w:pgSz w:w="12240" w:h="15840"/>
          <w:pgMar w:top="1440" w:right="1800" w:bottom="1440" w:left="1800" w:header="720" w:footer="720" w:gutter="0"/>
          <w:pgNumType w:fmt="lowerRoman" w:start="1"/>
          <w:cols w:space="720"/>
          <w:docGrid w:linePitch="360"/>
        </w:sectPr>
      </w:pPr>
    </w:p>
    <w:p w:rsidR="000A4D2C" w:rsidRPr="004A6AD6" w:rsidP="000A4D2C" w14:paraId="069BF6C6" w14:textId="77777777">
      <w:pPr>
        <w:spacing w:line="240" w:lineRule="auto"/>
        <w:jc w:val="center"/>
        <w:rPr>
          <w:rFonts w:cs="Times New Roman"/>
          <w:b/>
          <w:bCs/>
          <w:szCs w:val="24"/>
          <w:u w:val="single"/>
        </w:rPr>
      </w:pPr>
      <w:r w:rsidRPr="004A6AD6">
        <w:rPr>
          <w:rFonts w:cs="Times New Roman"/>
          <w:b/>
          <w:bCs/>
          <w:szCs w:val="24"/>
          <w:u w:val="single"/>
        </w:rPr>
        <w:t>TABLE OF CONTENTS</w:t>
      </w:r>
    </w:p>
    <w:p w:rsidR="000A4D2C" w:rsidRPr="004A6AD6" w:rsidP="000A4D2C" w14:paraId="2856C4D3" w14:textId="77777777">
      <w:pPr>
        <w:spacing w:line="240" w:lineRule="auto"/>
        <w:jc w:val="right"/>
        <w:rPr>
          <w:rFonts w:cs="Times New Roman"/>
          <w:b/>
          <w:bCs/>
          <w:szCs w:val="24"/>
        </w:rPr>
      </w:pPr>
      <w:r w:rsidRPr="004A6AD6">
        <w:rPr>
          <w:rFonts w:cs="Times New Roman"/>
          <w:b/>
          <w:bCs/>
          <w:szCs w:val="24"/>
        </w:rPr>
        <w:t>PAGE</w:t>
      </w:r>
    </w:p>
    <w:p w:rsidR="00AC70FC" w:rsidP="000A4D2C" w14:paraId="31BFB3E2" w14:textId="77777777">
      <w:pPr>
        <w:pStyle w:val="HTMLPreformatted"/>
        <w:jc w:val="center"/>
        <w:rPr>
          <w:rFonts w:ascii="Times New Roman" w:hAnsi="Times New Roman" w:cs="Times New Roman"/>
          <w:b/>
          <w:bCs/>
          <w:sz w:val="24"/>
          <w:szCs w:val="24"/>
        </w:rPr>
      </w:pPr>
    </w:p>
    <w:p w:rsidR="009F721B" w14:paraId="15A15DCD" w14:textId="58853688">
      <w:pPr>
        <w:pStyle w:val="TOC1"/>
        <w:rPr>
          <w:rFonts w:asciiTheme="minorHAnsi" w:eastAsiaTheme="minorEastAsia" w:hAnsiTheme="minorHAnsi"/>
          <w:caps w:val="0"/>
          <w:noProof/>
          <w:sz w:val="22"/>
        </w:rPr>
      </w:pPr>
      <w:r>
        <w:rPr>
          <w:rFonts w:cs="Times New Roman"/>
          <w:b/>
          <w:bCs/>
          <w:caps w:val="0"/>
          <w:szCs w:val="24"/>
        </w:rPr>
        <w:fldChar w:fldCharType="begin"/>
      </w:r>
      <w:r>
        <w:rPr>
          <w:rFonts w:cs="Times New Roman"/>
          <w:b/>
          <w:bCs/>
          <w:caps w:val="0"/>
          <w:szCs w:val="24"/>
        </w:rPr>
        <w:instrText xml:space="preserve"> TOC \o "1-3" \h \z \u </w:instrText>
      </w:r>
      <w:r>
        <w:rPr>
          <w:rFonts w:cs="Times New Roman"/>
          <w:b/>
          <w:bCs/>
          <w:caps w:val="0"/>
          <w:szCs w:val="24"/>
        </w:rPr>
        <w:fldChar w:fldCharType="separate"/>
      </w:r>
      <w:hyperlink w:anchor="_Toc28874848" w:history="1">
        <w:r w:rsidRPr="001D72D4">
          <w:rPr>
            <w:rStyle w:val="Hyperlink"/>
            <w:rFonts w:cs="Times New Roman"/>
            <w:noProof/>
          </w:rPr>
          <w:t>I.</w:t>
        </w:r>
        <w:r>
          <w:rPr>
            <w:rFonts w:asciiTheme="minorHAnsi" w:eastAsiaTheme="minorEastAsia" w:hAnsiTheme="minorHAnsi"/>
            <w:caps w:val="0"/>
            <w:noProof/>
            <w:sz w:val="22"/>
          </w:rPr>
          <w:tab/>
        </w:r>
        <w:r w:rsidRPr="001D72D4">
          <w:rPr>
            <w:rStyle w:val="Hyperlink"/>
            <w:rFonts w:cs="Times New Roman"/>
            <w:noProof/>
          </w:rPr>
          <w:t>INTRODUCTION</w:t>
        </w:r>
        <w:r>
          <w:rPr>
            <w:noProof/>
            <w:webHidden/>
          </w:rPr>
          <w:tab/>
        </w:r>
        <w:r>
          <w:rPr>
            <w:noProof/>
            <w:webHidden/>
          </w:rPr>
          <w:fldChar w:fldCharType="begin"/>
        </w:r>
        <w:r>
          <w:rPr>
            <w:noProof/>
            <w:webHidden/>
          </w:rPr>
          <w:instrText xml:space="preserve"> PAGEREF _Toc28874848 \h </w:instrText>
        </w:r>
        <w:r>
          <w:rPr>
            <w:noProof/>
            <w:webHidden/>
          </w:rPr>
          <w:fldChar w:fldCharType="separate"/>
        </w:r>
        <w:r>
          <w:rPr>
            <w:noProof/>
            <w:webHidden/>
          </w:rPr>
          <w:t>1</w:t>
        </w:r>
        <w:r>
          <w:rPr>
            <w:noProof/>
            <w:webHidden/>
          </w:rPr>
          <w:fldChar w:fldCharType="end"/>
        </w:r>
      </w:hyperlink>
    </w:p>
    <w:p w:rsidR="009F721B" w14:paraId="6A983B77" w14:textId="20BBE478">
      <w:pPr>
        <w:pStyle w:val="TOC1"/>
        <w:rPr>
          <w:rFonts w:asciiTheme="minorHAnsi" w:eastAsiaTheme="minorEastAsia" w:hAnsiTheme="minorHAnsi"/>
          <w:caps w:val="0"/>
          <w:noProof/>
          <w:sz w:val="22"/>
        </w:rPr>
      </w:pPr>
      <w:hyperlink w:anchor="_Toc28874849" w:history="1">
        <w:r w:rsidRPr="001D72D4">
          <w:rPr>
            <w:rStyle w:val="Hyperlink"/>
            <w:noProof/>
          </w:rPr>
          <w:t>II.</w:t>
        </w:r>
        <w:r>
          <w:rPr>
            <w:rFonts w:asciiTheme="minorHAnsi" w:eastAsiaTheme="minorEastAsia" w:hAnsiTheme="minorHAnsi"/>
            <w:caps w:val="0"/>
            <w:noProof/>
            <w:sz w:val="22"/>
          </w:rPr>
          <w:tab/>
        </w:r>
        <w:r w:rsidRPr="001D72D4">
          <w:rPr>
            <w:rStyle w:val="Hyperlink"/>
            <w:noProof/>
          </w:rPr>
          <w:t>Background</w:t>
        </w:r>
        <w:r>
          <w:rPr>
            <w:noProof/>
            <w:webHidden/>
          </w:rPr>
          <w:tab/>
        </w:r>
        <w:r>
          <w:rPr>
            <w:noProof/>
            <w:webHidden/>
          </w:rPr>
          <w:fldChar w:fldCharType="begin"/>
        </w:r>
        <w:r>
          <w:rPr>
            <w:noProof/>
            <w:webHidden/>
          </w:rPr>
          <w:instrText xml:space="preserve"> PAGEREF _Toc28874849 \h </w:instrText>
        </w:r>
        <w:r>
          <w:rPr>
            <w:noProof/>
            <w:webHidden/>
          </w:rPr>
          <w:fldChar w:fldCharType="separate"/>
        </w:r>
        <w:r>
          <w:rPr>
            <w:noProof/>
            <w:webHidden/>
          </w:rPr>
          <w:t>2</w:t>
        </w:r>
        <w:r>
          <w:rPr>
            <w:noProof/>
            <w:webHidden/>
          </w:rPr>
          <w:fldChar w:fldCharType="end"/>
        </w:r>
      </w:hyperlink>
    </w:p>
    <w:p w:rsidR="009F721B" w14:paraId="6D2E34B2" w14:textId="263A3964">
      <w:pPr>
        <w:pStyle w:val="TOC1"/>
        <w:rPr>
          <w:rFonts w:asciiTheme="minorHAnsi" w:eastAsiaTheme="minorEastAsia" w:hAnsiTheme="minorHAnsi"/>
          <w:caps w:val="0"/>
          <w:noProof/>
          <w:sz w:val="22"/>
        </w:rPr>
      </w:pPr>
      <w:hyperlink w:anchor="_Toc28874850" w:history="1">
        <w:r w:rsidRPr="001D72D4">
          <w:rPr>
            <w:rStyle w:val="Hyperlink"/>
            <w:rFonts w:eastAsia="Times New Roman" w:cs="Times New Roman"/>
            <w:noProof/>
          </w:rPr>
          <w:t>III.</w:t>
        </w:r>
        <w:r>
          <w:rPr>
            <w:rFonts w:asciiTheme="minorHAnsi" w:eastAsiaTheme="minorEastAsia" w:hAnsiTheme="minorHAnsi"/>
            <w:caps w:val="0"/>
            <w:noProof/>
            <w:sz w:val="22"/>
          </w:rPr>
          <w:tab/>
        </w:r>
        <w:r w:rsidRPr="001D72D4">
          <w:rPr>
            <w:rStyle w:val="Hyperlink"/>
            <w:rFonts w:eastAsia="Times New Roman" w:cs="Times New Roman"/>
            <w:noProof/>
          </w:rPr>
          <w:t xml:space="preserve">STANDARD </w:t>
        </w:r>
        <w:r w:rsidRPr="001D72D4">
          <w:rPr>
            <w:rStyle w:val="Hyperlink"/>
            <w:rFonts w:cs="Times New Roman"/>
            <w:noProof/>
          </w:rPr>
          <w:t>OF</w:t>
        </w:r>
        <w:r w:rsidRPr="001D72D4">
          <w:rPr>
            <w:rStyle w:val="Hyperlink"/>
            <w:rFonts w:eastAsia="Times New Roman" w:cs="Times New Roman"/>
            <w:noProof/>
          </w:rPr>
          <w:t xml:space="preserve"> REVIEW</w:t>
        </w:r>
        <w:r>
          <w:rPr>
            <w:noProof/>
            <w:webHidden/>
          </w:rPr>
          <w:tab/>
        </w:r>
        <w:r>
          <w:rPr>
            <w:noProof/>
            <w:webHidden/>
          </w:rPr>
          <w:fldChar w:fldCharType="begin"/>
        </w:r>
        <w:r>
          <w:rPr>
            <w:noProof/>
            <w:webHidden/>
          </w:rPr>
          <w:instrText xml:space="preserve"> PAGEREF _Toc28874850 \h </w:instrText>
        </w:r>
        <w:r>
          <w:rPr>
            <w:noProof/>
            <w:webHidden/>
          </w:rPr>
          <w:fldChar w:fldCharType="separate"/>
        </w:r>
        <w:r>
          <w:rPr>
            <w:noProof/>
            <w:webHidden/>
          </w:rPr>
          <w:t>4</w:t>
        </w:r>
        <w:r>
          <w:rPr>
            <w:noProof/>
            <w:webHidden/>
          </w:rPr>
          <w:fldChar w:fldCharType="end"/>
        </w:r>
      </w:hyperlink>
    </w:p>
    <w:p w:rsidR="009F721B" w14:paraId="20A88328" w14:textId="63EE1C79">
      <w:pPr>
        <w:pStyle w:val="TOC1"/>
        <w:rPr>
          <w:rFonts w:asciiTheme="minorHAnsi" w:eastAsiaTheme="minorEastAsia" w:hAnsiTheme="minorHAnsi"/>
          <w:caps w:val="0"/>
          <w:noProof/>
          <w:sz w:val="22"/>
        </w:rPr>
      </w:pPr>
      <w:hyperlink w:anchor="_Toc28874851" w:history="1">
        <w:r w:rsidRPr="001D72D4">
          <w:rPr>
            <w:rStyle w:val="Hyperlink"/>
            <w:rFonts w:eastAsia="Times New Roman" w:cs="Times New Roman"/>
            <w:noProof/>
          </w:rPr>
          <w:t>IV.</w:t>
        </w:r>
        <w:r>
          <w:rPr>
            <w:rFonts w:asciiTheme="minorHAnsi" w:eastAsiaTheme="minorEastAsia" w:hAnsiTheme="minorHAnsi"/>
            <w:caps w:val="0"/>
            <w:noProof/>
            <w:sz w:val="22"/>
          </w:rPr>
          <w:tab/>
        </w:r>
        <w:r w:rsidRPr="001D72D4">
          <w:rPr>
            <w:rStyle w:val="Hyperlink"/>
            <w:rFonts w:cs="Times New Roman"/>
            <w:noProof/>
          </w:rPr>
          <w:t>RECOMMENDATIONS</w:t>
        </w:r>
        <w:r>
          <w:rPr>
            <w:noProof/>
            <w:webHidden/>
          </w:rPr>
          <w:tab/>
        </w:r>
        <w:r>
          <w:rPr>
            <w:noProof/>
            <w:webHidden/>
          </w:rPr>
          <w:fldChar w:fldCharType="begin"/>
        </w:r>
        <w:r>
          <w:rPr>
            <w:noProof/>
            <w:webHidden/>
          </w:rPr>
          <w:instrText xml:space="preserve"> PAGEREF _Toc28874851 \h </w:instrText>
        </w:r>
        <w:r>
          <w:rPr>
            <w:noProof/>
            <w:webHidden/>
          </w:rPr>
          <w:fldChar w:fldCharType="separate"/>
        </w:r>
        <w:r>
          <w:rPr>
            <w:noProof/>
            <w:webHidden/>
          </w:rPr>
          <w:t>5</w:t>
        </w:r>
        <w:r>
          <w:rPr>
            <w:noProof/>
            <w:webHidden/>
          </w:rPr>
          <w:fldChar w:fldCharType="end"/>
        </w:r>
      </w:hyperlink>
    </w:p>
    <w:p w:rsidR="009F721B" w14:paraId="7BBC5DFC" w14:textId="1A00631B">
      <w:pPr>
        <w:pStyle w:val="TOC2"/>
        <w:rPr>
          <w:rFonts w:asciiTheme="minorHAnsi" w:eastAsiaTheme="minorEastAsia" w:hAnsiTheme="minorHAnsi"/>
          <w:noProof/>
          <w:sz w:val="22"/>
        </w:rPr>
      </w:pPr>
      <w:hyperlink w:anchor="_Toc28874852" w:history="1">
        <w:r w:rsidRPr="001D72D4">
          <w:rPr>
            <w:rStyle w:val="Hyperlink"/>
            <w:noProof/>
          </w:rPr>
          <w:t>To protect consumers, the PUCO should reject IGS’s rehearing application about its proposal to establish a collection mechanism to charge DP&amp;L’s standard service offer customers more.</w:t>
        </w:r>
        <w:r>
          <w:rPr>
            <w:noProof/>
            <w:webHidden/>
          </w:rPr>
          <w:tab/>
        </w:r>
        <w:r>
          <w:rPr>
            <w:noProof/>
            <w:webHidden/>
          </w:rPr>
          <w:fldChar w:fldCharType="begin"/>
        </w:r>
        <w:r>
          <w:rPr>
            <w:noProof/>
            <w:webHidden/>
          </w:rPr>
          <w:instrText xml:space="preserve"> PAGEREF _Toc28874852 \h </w:instrText>
        </w:r>
        <w:r>
          <w:rPr>
            <w:noProof/>
            <w:webHidden/>
          </w:rPr>
          <w:fldChar w:fldCharType="separate"/>
        </w:r>
        <w:r>
          <w:rPr>
            <w:noProof/>
            <w:webHidden/>
          </w:rPr>
          <w:t>5</w:t>
        </w:r>
        <w:r>
          <w:rPr>
            <w:noProof/>
            <w:webHidden/>
          </w:rPr>
          <w:fldChar w:fldCharType="end"/>
        </w:r>
      </w:hyperlink>
    </w:p>
    <w:p w:rsidR="009F721B" w14:paraId="046E7F31" w14:textId="17EE4B78">
      <w:pPr>
        <w:pStyle w:val="TOC3"/>
        <w:tabs>
          <w:tab w:val="left" w:pos="2160"/>
        </w:tabs>
        <w:rPr>
          <w:rFonts w:asciiTheme="minorHAnsi" w:eastAsiaTheme="minorEastAsia" w:hAnsiTheme="minorHAnsi"/>
          <w:noProof/>
          <w:sz w:val="22"/>
        </w:rPr>
      </w:pPr>
      <w:hyperlink w:anchor="_Toc28874853" w:history="1">
        <w:r w:rsidRPr="001D72D4">
          <w:rPr>
            <w:rStyle w:val="Hyperlink"/>
            <w:noProof/>
          </w:rPr>
          <w:t>A.</w:t>
        </w:r>
        <w:r>
          <w:rPr>
            <w:rFonts w:asciiTheme="minorHAnsi" w:eastAsiaTheme="minorEastAsia" w:hAnsiTheme="minorHAnsi"/>
            <w:noProof/>
            <w:sz w:val="22"/>
          </w:rPr>
          <w:tab/>
        </w:r>
        <w:r w:rsidRPr="001D72D4">
          <w:rPr>
            <w:rStyle w:val="Hyperlink"/>
            <w:noProof/>
          </w:rPr>
          <w:t>IGS’s proposal to increase DP&amp;L’s standard offer rate harms customers and is not in the public interest.</w:t>
        </w:r>
        <w:r>
          <w:rPr>
            <w:noProof/>
            <w:webHidden/>
          </w:rPr>
          <w:tab/>
        </w:r>
        <w:r>
          <w:rPr>
            <w:noProof/>
            <w:webHidden/>
          </w:rPr>
          <w:fldChar w:fldCharType="begin"/>
        </w:r>
        <w:r>
          <w:rPr>
            <w:noProof/>
            <w:webHidden/>
          </w:rPr>
          <w:instrText xml:space="preserve"> PAGEREF _Toc28874853 \h </w:instrText>
        </w:r>
        <w:r>
          <w:rPr>
            <w:noProof/>
            <w:webHidden/>
          </w:rPr>
          <w:fldChar w:fldCharType="separate"/>
        </w:r>
        <w:r>
          <w:rPr>
            <w:noProof/>
            <w:webHidden/>
          </w:rPr>
          <w:t>6</w:t>
        </w:r>
        <w:r>
          <w:rPr>
            <w:noProof/>
            <w:webHidden/>
          </w:rPr>
          <w:fldChar w:fldCharType="end"/>
        </w:r>
      </w:hyperlink>
    </w:p>
    <w:p w:rsidR="009F721B" w14:paraId="1E122AFB" w14:textId="33A0A197">
      <w:pPr>
        <w:pStyle w:val="TOC3"/>
        <w:tabs>
          <w:tab w:val="left" w:pos="2160"/>
        </w:tabs>
        <w:rPr>
          <w:rFonts w:asciiTheme="minorHAnsi" w:eastAsiaTheme="minorEastAsia" w:hAnsiTheme="minorHAnsi"/>
          <w:noProof/>
          <w:sz w:val="22"/>
        </w:rPr>
      </w:pPr>
      <w:hyperlink w:anchor="_Toc28874854" w:history="1">
        <w:r w:rsidRPr="001D72D4">
          <w:rPr>
            <w:rStyle w:val="Hyperlink"/>
            <w:noProof/>
          </w:rPr>
          <w:t>B.</w:t>
        </w:r>
        <w:r>
          <w:rPr>
            <w:rFonts w:asciiTheme="minorHAnsi" w:eastAsiaTheme="minorEastAsia" w:hAnsiTheme="minorHAnsi"/>
            <w:noProof/>
            <w:sz w:val="22"/>
          </w:rPr>
          <w:tab/>
        </w:r>
        <w:r w:rsidRPr="001D72D4">
          <w:rPr>
            <w:rStyle w:val="Hyperlink"/>
            <w:noProof/>
          </w:rPr>
          <w:t>IGS’s proposal to increase the standard offer rate violates the important regulatory principle of cost causation (where those who cause costs, pay costs), thus harming consumers.</w:t>
        </w:r>
        <w:r>
          <w:rPr>
            <w:noProof/>
            <w:webHidden/>
          </w:rPr>
          <w:tab/>
        </w:r>
        <w:r>
          <w:rPr>
            <w:noProof/>
            <w:webHidden/>
          </w:rPr>
          <w:fldChar w:fldCharType="begin"/>
        </w:r>
        <w:r>
          <w:rPr>
            <w:noProof/>
            <w:webHidden/>
          </w:rPr>
          <w:instrText xml:space="preserve"> PAGEREF _Toc28874854 \h </w:instrText>
        </w:r>
        <w:r>
          <w:rPr>
            <w:noProof/>
            <w:webHidden/>
          </w:rPr>
          <w:fldChar w:fldCharType="separate"/>
        </w:r>
        <w:r>
          <w:rPr>
            <w:noProof/>
            <w:webHidden/>
          </w:rPr>
          <w:t>9</w:t>
        </w:r>
        <w:r>
          <w:rPr>
            <w:noProof/>
            <w:webHidden/>
          </w:rPr>
          <w:fldChar w:fldCharType="end"/>
        </w:r>
      </w:hyperlink>
    </w:p>
    <w:p w:rsidR="009F721B" w14:paraId="3A07B128" w14:textId="6AE92DDF">
      <w:pPr>
        <w:pStyle w:val="TOC1"/>
        <w:rPr>
          <w:rFonts w:asciiTheme="minorHAnsi" w:eastAsiaTheme="minorEastAsia" w:hAnsiTheme="minorHAnsi"/>
          <w:caps w:val="0"/>
          <w:noProof/>
          <w:sz w:val="22"/>
        </w:rPr>
      </w:pPr>
      <w:hyperlink w:anchor="_Toc28874855" w:history="1">
        <w:r w:rsidRPr="001D72D4">
          <w:rPr>
            <w:rStyle w:val="Hyperlink"/>
            <w:rFonts w:eastAsia="Times New Roman" w:cs="Times New Roman"/>
            <w:noProof/>
          </w:rPr>
          <w:t>V.</w:t>
        </w:r>
        <w:r>
          <w:rPr>
            <w:rFonts w:asciiTheme="minorHAnsi" w:eastAsiaTheme="minorEastAsia" w:hAnsiTheme="minorHAnsi"/>
            <w:caps w:val="0"/>
            <w:noProof/>
            <w:sz w:val="22"/>
          </w:rPr>
          <w:tab/>
        </w:r>
        <w:r w:rsidRPr="001D72D4">
          <w:rPr>
            <w:rStyle w:val="Hyperlink"/>
            <w:rFonts w:eastAsia="Times New Roman" w:cs="Times New Roman"/>
            <w:noProof/>
          </w:rPr>
          <w:t>CONCLUSION</w:t>
        </w:r>
        <w:r>
          <w:rPr>
            <w:noProof/>
            <w:webHidden/>
          </w:rPr>
          <w:tab/>
        </w:r>
        <w:r>
          <w:rPr>
            <w:noProof/>
            <w:webHidden/>
          </w:rPr>
          <w:fldChar w:fldCharType="begin"/>
        </w:r>
        <w:r>
          <w:rPr>
            <w:noProof/>
            <w:webHidden/>
          </w:rPr>
          <w:instrText xml:space="preserve"> PAGEREF _Toc28874855 \h </w:instrText>
        </w:r>
        <w:r>
          <w:rPr>
            <w:noProof/>
            <w:webHidden/>
          </w:rPr>
          <w:fldChar w:fldCharType="separate"/>
        </w:r>
        <w:r>
          <w:rPr>
            <w:noProof/>
            <w:webHidden/>
          </w:rPr>
          <w:t>10</w:t>
        </w:r>
        <w:r>
          <w:rPr>
            <w:noProof/>
            <w:webHidden/>
          </w:rPr>
          <w:fldChar w:fldCharType="end"/>
        </w:r>
      </w:hyperlink>
    </w:p>
    <w:p w:rsidR="00F703A1" w:rsidP="000A4D2C" w14:paraId="050C1E09" w14:textId="5B7E4170">
      <w:pPr>
        <w:pStyle w:val="HTMLPreformatted"/>
        <w:jc w:val="center"/>
        <w:rPr>
          <w:rFonts w:ascii="Times New Roman" w:hAnsi="Times New Roman" w:cs="Times New Roman"/>
          <w:b/>
          <w:bCs/>
          <w:sz w:val="24"/>
          <w:szCs w:val="24"/>
        </w:rPr>
        <w:sectPr w:rsidSect="000A4D2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fmt="lowerRoman" w:start="1"/>
          <w:cols w:space="720"/>
          <w:docGrid w:linePitch="360"/>
        </w:sectPr>
      </w:pPr>
      <w:r>
        <w:rPr>
          <w:rFonts w:ascii="Times New Roman" w:hAnsi="Times New Roman" w:eastAsiaTheme="minorHAnsi" w:cs="Times New Roman"/>
          <w:b/>
          <w:bCs/>
          <w:caps/>
          <w:sz w:val="24"/>
          <w:szCs w:val="24"/>
        </w:rPr>
        <w:fldChar w:fldCharType="end"/>
      </w:r>
    </w:p>
    <w:p w:rsidR="000A4D2C" w:rsidRPr="00A329C2" w:rsidP="000A4D2C" w14:paraId="3CE8E9E7" w14:textId="77777777">
      <w:pPr>
        <w:pStyle w:val="HTMLPreformatted"/>
        <w:jc w:val="center"/>
        <w:rPr>
          <w:rFonts w:ascii="Times New Roman" w:hAnsi="Times New Roman" w:cs="Times New Roman"/>
          <w:b/>
          <w:bCs/>
          <w:sz w:val="24"/>
          <w:szCs w:val="24"/>
        </w:rPr>
      </w:pPr>
      <w:r w:rsidRPr="00A329C2">
        <w:rPr>
          <w:rFonts w:ascii="Times New Roman" w:hAnsi="Times New Roman" w:cs="Times New Roman"/>
          <w:b/>
          <w:bCs/>
          <w:sz w:val="24"/>
          <w:szCs w:val="24"/>
        </w:rPr>
        <w:t>BEFORE</w:t>
      </w:r>
    </w:p>
    <w:p w:rsidR="000A4D2C" w:rsidRPr="00A329C2" w:rsidP="000A4D2C" w14:paraId="4E622A52" w14:textId="77777777">
      <w:pPr>
        <w:pStyle w:val="HTMLPreformatted"/>
        <w:jc w:val="center"/>
        <w:rPr>
          <w:rFonts w:ascii="Times New Roman" w:hAnsi="Times New Roman" w:cs="Times New Roman"/>
          <w:b/>
          <w:bCs/>
          <w:sz w:val="24"/>
          <w:szCs w:val="24"/>
        </w:rPr>
      </w:pPr>
      <w:r w:rsidRPr="00A329C2">
        <w:rPr>
          <w:rFonts w:ascii="Times New Roman" w:hAnsi="Times New Roman" w:cs="Times New Roman"/>
          <w:b/>
          <w:bCs/>
          <w:sz w:val="24"/>
          <w:szCs w:val="24"/>
        </w:rPr>
        <w:t>THE PUBLIC UTILITIES COMMISSION OF OHIO</w:t>
      </w:r>
    </w:p>
    <w:p w:rsidR="000A4D2C" w:rsidRPr="00A329C2" w:rsidP="000A4D2C" w14:paraId="26FE58BE" w14:textId="77777777">
      <w:pPr>
        <w:pStyle w:val="HTMLPreformatted"/>
        <w:jc w:val="center"/>
        <w:rPr>
          <w:rFonts w:ascii="Times New Roman" w:hAnsi="Times New Roman" w:cs="Times New Roman"/>
          <w:b/>
          <w:bCs/>
          <w:sz w:val="24"/>
          <w:szCs w:val="24"/>
        </w:rPr>
      </w:pPr>
    </w:p>
    <w:tbl>
      <w:tblPr>
        <w:tblW w:w="9366" w:type="dxa"/>
        <w:tblInd w:w="-106" w:type="dxa"/>
        <w:tblLook w:val="01E0"/>
      </w:tblPr>
      <w:tblGrid>
        <w:gridCol w:w="4606"/>
        <w:gridCol w:w="360"/>
        <w:gridCol w:w="4400"/>
      </w:tblGrid>
      <w:tr w14:paraId="2BAF9D9E" w14:textId="77777777" w:rsidTr="000A4D2C">
        <w:tblPrEx>
          <w:tblW w:w="9366" w:type="dxa"/>
          <w:tblInd w:w="-106" w:type="dxa"/>
          <w:tblLook w:val="01E0"/>
        </w:tblPrEx>
        <w:trPr>
          <w:trHeight w:val="807"/>
        </w:trPr>
        <w:tc>
          <w:tcPr>
            <w:tcW w:w="4606" w:type="dxa"/>
          </w:tcPr>
          <w:p w:rsidR="000A4D2C" w:rsidRPr="00937F57" w:rsidP="000A4D2C" w14:paraId="069F3968"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 xml:space="preserve">In the Matter of the Application of </w:t>
            </w:r>
          </w:p>
          <w:p w:rsidR="000A4D2C" w:rsidRPr="00937F57" w:rsidP="000A4D2C" w14:paraId="256A1018"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the Dayton Power and Light Company for</w:t>
            </w:r>
          </w:p>
          <w:p w:rsidR="000A4D2C" w:rsidRPr="00937F57" w:rsidP="000A4D2C" w14:paraId="70F81CDE"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Approval of its Electric Security Plan.</w:t>
            </w:r>
          </w:p>
          <w:p w:rsidR="000A4D2C" w:rsidRPr="00937F57" w:rsidP="000A4D2C" w14:paraId="79785AAB" w14:textId="77777777">
            <w:pPr>
              <w:pStyle w:val="HTMLPreformatted"/>
              <w:rPr>
                <w:rFonts w:ascii="Times New Roman" w:hAnsi="Times New Roman" w:cs="Times New Roman"/>
                <w:sz w:val="24"/>
                <w:szCs w:val="24"/>
              </w:rPr>
            </w:pPr>
          </w:p>
          <w:p w:rsidR="000A4D2C" w:rsidRPr="00937F57" w:rsidP="000A4D2C" w14:paraId="193B533A"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In the Matter of the Application of the Dayton Power and Light Company for Approval of Revised Tariffs.</w:t>
            </w:r>
          </w:p>
          <w:p w:rsidR="000A4D2C" w:rsidRPr="00937F57" w:rsidP="000A4D2C" w14:paraId="13F48A5A" w14:textId="77777777">
            <w:pPr>
              <w:pStyle w:val="HTMLPreformatted"/>
              <w:rPr>
                <w:rFonts w:ascii="Times New Roman" w:hAnsi="Times New Roman" w:cs="Times New Roman"/>
                <w:sz w:val="24"/>
                <w:szCs w:val="24"/>
              </w:rPr>
            </w:pPr>
          </w:p>
          <w:p w:rsidR="000A4D2C" w:rsidRPr="00937F57" w:rsidP="000A4D2C" w14:paraId="276C4D9A"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In the Matter of the Application of the Dayton Power and Light Company for Approval of Certain Accounting Authority Pursuant to Ohio Rev. Code § 4905.13.</w:t>
            </w:r>
          </w:p>
        </w:tc>
        <w:tc>
          <w:tcPr>
            <w:tcW w:w="360" w:type="dxa"/>
            <w:hideMark/>
          </w:tcPr>
          <w:p w:rsidR="000A4D2C" w:rsidRPr="00937F57" w:rsidP="000A4D2C" w14:paraId="00E9DB8D"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w:t>
            </w:r>
          </w:p>
          <w:p w:rsidR="000A4D2C" w:rsidRPr="00937F57" w:rsidP="000A4D2C" w14:paraId="26985218"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w:t>
            </w:r>
          </w:p>
          <w:p w:rsidR="000A4D2C" w:rsidRPr="00937F57" w:rsidP="000A4D2C" w14:paraId="3C921A18"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w:t>
            </w:r>
          </w:p>
          <w:p w:rsidR="000A4D2C" w:rsidRPr="00937F57" w:rsidP="000A4D2C" w14:paraId="4BFFD29D"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w:t>
            </w:r>
          </w:p>
          <w:p w:rsidR="000A4D2C" w:rsidRPr="00937F57" w:rsidP="000A4D2C" w14:paraId="303FA28F"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w:t>
            </w:r>
          </w:p>
          <w:p w:rsidR="000A4D2C" w:rsidRPr="00937F57" w:rsidP="000A4D2C" w14:paraId="144C1368"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w:t>
            </w:r>
          </w:p>
          <w:p w:rsidR="000A4D2C" w:rsidRPr="00937F57" w:rsidP="000A4D2C" w14:paraId="45912CE3"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w:t>
            </w:r>
          </w:p>
          <w:p w:rsidR="000A4D2C" w:rsidRPr="00937F57" w:rsidP="000A4D2C" w14:paraId="6D73CB77"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w:t>
            </w:r>
          </w:p>
          <w:p w:rsidR="000A4D2C" w:rsidRPr="00937F57" w:rsidP="000A4D2C" w14:paraId="0E518D9E"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w:t>
            </w:r>
          </w:p>
          <w:p w:rsidR="000A4D2C" w:rsidRPr="00937F57" w:rsidP="000A4D2C" w14:paraId="69B2A3C3"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w:t>
            </w:r>
          </w:p>
          <w:p w:rsidR="000A4D2C" w:rsidRPr="00937F57" w:rsidP="000A4D2C" w14:paraId="054166FB"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w:t>
            </w:r>
          </w:p>
          <w:p w:rsidR="000A4D2C" w:rsidRPr="00937F57" w:rsidP="000A4D2C" w14:paraId="39185751" w14:textId="77777777">
            <w:pPr>
              <w:pStyle w:val="HTMLPreformatted"/>
              <w:rPr>
                <w:rFonts w:ascii="Times New Roman" w:hAnsi="Times New Roman" w:cs="Times New Roman"/>
                <w:sz w:val="24"/>
                <w:szCs w:val="24"/>
              </w:rPr>
            </w:pPr>
            <w:r w:rsidRPr="00937F57">
              <w:rPr>
                <w:rFonts w:ascii="Times New Roman" w:hAnsi="Times New Roman" w:cs="Times New Roman"/>
                <w:sz w:val="24"/>
                <w:szCs w:val="24"/>
              </w:rPr>
              <w:t>)</w:t>
            </w:r>
          </w:p>
        </w:tc>
        <w:tc>
          <w:tcPr>
            <w:tcW w:w="4400" w:type="dxa"/>
          </w:tcPr>
          <w:p w:rsidR="000A4D2C" w:rsidRPr="00937F57" w:rsidP="000A4D2C" w14:paraId="75DA97BD" w14:textId="77777777">
            <w:pPr>
              <w:pStyle w:val="HTMLPreformatted"/>
              <w:rPr>
                <w:rFonts w:ascii="Times New Roman" w:hAnsi="Times New Roman" w:cs="Times New Roman"/>
                <w:sz w:val="24"/>
                <w:szCs w:val="24"/>
              </w:rPr>
            </w:pPr>
          </w:p>
          <w:p w:rsidR="000A4D2C" w:rsidRPr="00937F57" w:rsidP="000A4D2C" w14:paraId="5DFC1B47" w14:textId="5C32E807">
            <w:pPr>
              <w:pStyle w:val="HTMLPreformatted"/>
              <w:rPr>
                <w:rFonts w:ascii="Times New Roman" w:hAnsi="Times New Roman" w:cs="Times New Roman"/>
                <w:sz w:val="24"/>
                <w:szCs w:val="24"/>
              </w:rPr>
            </w:pPr>
            <w:r w:rsidRPr="00937F57">
              <w:rPr>
                <w:rFonts w:ascii="Times New Roman" w:hAnsi="Times New Roman" w:cs="Times New Roman"/>
                <w:sz w:val="24"/>
                <w:szCs w:val="24"/>
              </w:rPr>
              <w:t>Case No. 16-395-EL-SSO</w:t>
            </w:r>
          </w:p>
          <w:p w:rsidR="000A4D2C" w:rsidRPr="00937F57" w:rsidP="000A4D2C" w14:paraId="2BAF691B" w14:textId="77777777">
            <w:pPr>
              <w:pStyle w:val="HTMLPreformatted"/>
              <w:rPr>
                <w:rFonts w:ascii="Times New Roman" w:hAnsi="Times New Roman" w:cs="Times New Roman"/>
                <w:sz w:val="24"/>
                <w:szCs w:val="24"/>
              </w:rPr>
            </w:pPr>
          </w:p>
          <w:p w:rsidR="000A4D2C" w:rsidRPr="00937F57" w:rsidP="000A4D2C" w14:paraId="03600362" w14:textId="77777777">
            <w:pPr>
              <w:pStyle w:val="HTMLPreformatted"/>
              <w:rPr>
                <w:rFonts w:ascii="Times New Roman" w:hAnsi="Times New Roman" w:cs="Times New Roman"/>
                <w:sz w:val="24"/>
                <w:szCs w:val="24"/>
              </w:rPr>
            </w:pPr>
          </w:p>
          <w:p w:rsidR="000A4D2C" w:rsidRPr="00937F57" w:rsidP="000A4D2C" w14:paraId="156E8086" w14:textId="77777777">
            <w:pPr>
              <w:pStyle w:val="HTMLPreformatted"/>
              <w:rPr>
                <w:rFonts w:ascii="Times New Roman" w:hAnsi="Times New Roman" w:cs="Times New Roman"/>
                <w:sz w:val="24"/>
                <w:szCs w:val="24"/>
              </w:rPr>
            </w:pPr>
          </w:p>
          <w:p w:rsidR="000A4D2C" w:rsidRPr="00937F57" w:rsidP="000A4D2C" w14:paraId="4B4557D1" w14:textId="27FC4BE8">
            <w:pPr>
              <w:pStyle w:val="HTMLPreformatted"/>
              <w:rPr>
                <w:rFonts w:ascii="Times New Roman" w:hAnsi="Times New Roman" w:cs="Times New Roman"/>
                <w:sz w:val="24"/>
                <w:szCs w:val="24"/>
              </w:rPr>
            </w:pPr>
            <w:r w:rsidRPr="00937F57">
              <w:rPr>
                <w:rFonts w:ascii="Times New Roman" w:hAnsi="Times New Roman" w:cs="Times New Roman"/>
                <w:sz w:val="24"/>
                <w:szCs w:val="24"/>
              </w:rPr>
              <w:t>Case No. 16-396-EL-ATA</w:t>
            </w:r>
          </w:p>
          <w:p w:rsidR="000A4D2C" w:rsidRPr="00937F57" w:rsidP="000A4D2C" w14:paraId="3E46BD2D" w14:textId="77777777">
            <w:pPr>
              <w:pStyle w:val="HTMLPreformatted"/>
              <w:rPr>
                <w:rFonts w:ascii="Times New Roman" w:hAnsi="Times New Roman" w:cs="Times New Roman"/>
                <w:sz w:val="24"/>
                <w:szCs w:val="24"/>
              </w:rPr>
            </w:pPr>
          </w:p>
          <w:p w:rsidR="000A4D2C" w:rsidRPr="00937F57" w:rsidP="000A4D2C" w14:paraId="3AD42F6E" w14:textId="77777777">
            <w:pPr>
              <w:pStyle w:val="HTMLPreformatted"/>
              <w:rPr>
                <w:rFonts w:ascii="Times New Roman" w:hAnsi="Times New Roman" w:cs="Times New Roman"/>
                <w:sz w:val="24"/>
                <w:szCs w:val="24"/>
              </w:rPr>
            </w:pPr>
          </w:p>
          <w:p w:rsidR="000A4D2C" w:rsidRPr="00937F57" w:rsidP="000A4D2C" w14:paraId="792C5EC2" w14:textId="77777777">
            <w:pPr>
              <w:pStyle w:val="HTMLPreformatted"/>
              <w:rPr>
                <w:rFonts w:ascii="Times New Roman" w:hAnsi="Times New Roman" w:cs="Times New Roman"/>
                <w:sz w:val="24"/>
                <w:szCs w:val="24"/>
              </w:rPr>
            </w:pPr>
          </w:p>
          <w:p w:rsidR="000A4D2C" w:rsidRPr="00937F57" w:rsidP="000A4D2C" w14:paraId="363C237A" w14:textId="14F8C452">
            <w:pPr>
              <w:pStyle w:val="HTMLPreformatted"/>
              <w:rPr>
                <w:rFonts w:ascii="Times New Roman" w:hAnsi="Times New Roman" w:cs="Times New Roman"/>
                <w:sz w:val="24"/>
                <w:szCs w:val="24"/>
              </w:rPr>
            </w:pPr>
            <w:r w:rsidRPr="00937F57">
              <w:rPr>
                <w:rFonts w:ascii="Times New Roman" w:hAnsi="Times New Roman" w:cs="Times New Roman"/>
                <w:sz w:val="24"/>
                <w:szCs w:val="24"/>
              </w:rPr>
              <w:t>Case No. 16-397-EL-AAM</w:t>
            </w:r>
          </w:p>
          <w:p w:rsidR="000A4D2C" w:rsidRPr="00937F57" w:rsidP="000A4D2C" w14:paraId="3C29C17C" w14:textId="77777777">
            <w:pPr>
              <w:pStyle w:val="HTMLPreformatted"/>
              <w:rPr>
                <w:rFonts w:ascii="Times New Roman" w:hAnsi="Times New Roman" w:cs="Times New Roman"/>
                <w:sz w:val="24"/>
                <w:szCs w:val="24"/>
              </w:rPr>
            </w:pPr>
          </w:p>
          <w:p w:rsidR="000A4D2C" w:rsidRPr="00937F57" w:rsidP="000A4D2C" w14:paraId="28F0746F" w14:textId="77777777">
            <w:pPr>
              <w:pStyle w:val="HTMLPreformatted"/>
              <w:rPr>
                <w:rFonts w:ascii="Times New Roman" w:hAnsi="Times New Roman" w:cs="Times New Roman"/>
                <w:sz w:val="24"/>
                <w:szCs w:val="24"/>
              </w:rPr>
            </w:pPr>
          </w:p>
        </w:tc>
      </w:tr>
    </w:tbl>
    <w:p w:rsidR="000A4D2C" w:rsidRPr="00A329C2" w:rsidP="000A4D2C" w14:paraId="0B3E8155" w14:textId="77777777">
      <w:pPr>
        <w:pStyle w:val="HTMLPreformatted"/>
        <w:pBdr>
          <w:bottom w:val="single" w:sz="12" w:space="1" w:color="auto"/>
        </w:pBdr>
        <w:rPr>
          <w:rFonts w:ascii="Times New Roman" w:hAnsi="Times New Roman" w:cs="Times New Roman"/>
          <w:b/>
          <w:bCs/>
          <w:sz w:val="24"/>
          <w:szCs w:val="24"/>
        </w:rPr>
      </w:pPr>
    </w:p>
    <w:p w:rsidR="000A4D2C" w:rsidRPr="00A329C2" w:rsidP="000A4D2C" w14:paraId="77F43F91" w14:textId="77777777">
      <w:pPr>
        <w:pStyle w:val="HTMLPreformatted"/>
        <w:rPr>
          <w:rFonts w:ascii="Times New Roman" w:hAnsi="Times New Roman" w:cs="Times New Roman"/>
          <w:b/>
          <w:bCs/>
          <w:i/>
          <w:sz w:val="24"/>
          <w:szCs w:val="24"/>
        </w:rPr>
      </w:pPr>
    </w:p>
    <w:p w:rsidR="002B4FFC" w:rsidRPr="00A329C2" w:rsidP="002B4FFC" w14:paraId="42572073" w14:textId="77777777">
      <w:pPr>
        <w:pStyle w:val="HTMLPreformatted"/>
        <w:pBdr>
          <w:bottom w:val="single" w:sz="12" w:space="1" w:color="auto"/>
        </w:pBdr>
        <w:jc w:val="center"/>
        <w:rPr>
          <w:rFonts w:ascii="Times New Roman" w:hAnsi="Times New Roman" w:cs="Times New Roman"/>
          <w:b/>
          <w:bCs/>
          <w:sz w:val="24"/>
          <w:szCs w:val="24"/>
        </w:rPr>
      </w:pPr>
      <w:r>
        <w:rPr>
          <w:rFonts w:ascii="Times New Roman" w:hAnsi="Times New Roman" w:cs="Times New Roman"/>
          <w:b/>
          <w:bCs/>
          <w:sz w:val="24"/>
          <w:szCs w:val="24"/>
        </w:rPr>
        <w:t>MEMORANDUM CONTRA APPLICATION FOR REHEARING OF INTERSTATE GAS SUPPLY, INC.</w:t>
      </w:r>
    </w:p>
    <w:p w:rsidR="002B4FFC" w:rsidRPr="00A329C2" w:rsidP="002B4FFC" w14:paraId="2384AC2D" w14:textId="77777777">
      <w:pPr>
        <w:pStyle w:val="HTMLPreformatted"/>
        <w:pBdr>
          <w:bottom w:val="single" w:sz="12" w:space="1" w:color="auto"/>
        </w:pBdr>
        <w:jc w:val="center"/>
        <w:rPr>
          <w:rFonts w:ascii="Times New Roman" w:hAnsi="Times New Roman" w:cs="Times New Roman"/>
          <w:b/>
          <w:bCs/>
          <w:sz w:val="24"/>
          <w:szCs w:val="24"/>
        </w:rPr>
      </w:pPr>
      <w:r w:rsidRPr="00A329C2">
        <w:rPr>
          <w:rFonts w:ascii="Times New Roman" w:hAnsi="Times New Roman" w:cs="Times New Roman"/>
          <w:b/>
          <w:bCs/>
          <w:sz w:val="24"/>
          <w:szCs w:val="24"/>
        </w:rPr>
        <w:t xml:space="preserve">BY </w:t>
      </w:r>
    </w:p>
    <w:p w:rsidR="002B4FFC" w:rsidRPr="00A329C2" w:rsidP="002B4FFC" w14:paraId="33CE105E" w14:textId="77777777">
      <w:pPr>
        <w:pStyle w:val="HTMLPreformatted"/>
        <w:pBdr>
          <w:bottom w:val="single" w:sz="12" w:space="1" w:color="auto"/>
        </w:pBdr>
        <w:jc w:val="center"/>
        <w:rPr>
          <w:rFonts w:ascii="Times New Roman" w:hAnsi="Times New Roman" w:cs="Times New Roman"/>
          <w:b/>
          <w:bCs/>
          <w:sz w:val="24"/>
          <w:szCs w:val="24"/>
        </w:rPr>
      </w:pPr>
      <w:r w:rsidRPr="00A329C2">
        <w:rPr>
          <w:rFonts w:ascii="Times New Roman" w:hAnsi="Times New Roman" w:cs="Times New Roman"/>
          <w:b/>
          <w:bCs/>
          <w:sz w:val="24"/>
          <w:szCs w:val="24"/>
        </w:rPr>
        <w:t>THE OFFICE OF THE OHIO CONSUMERS' COUNSEL</w:t>
      </w:r>
    </w:p>
    <w:p w:rsidR="000A4D2C" w:rsidRPr="00A329C2" w:rsidP="000A4D2C" w14:paraId="53BBFABF" w14:textId="77777777">
      <w:pPr>
        <w:pStyle w:val="HTMLPreformatted"/>
        <w:pBdr>
          <w:bottom w:val="single" w:sz="12" w:space="1" w:color="auto"/>
        </w:pBdr>
        <w:rPr>
          <w:rFonts w:ascii="Times New Roman" w:hAnsi="Times New Roman" w:cs="Times New Roman"/>
          <w:b/>
          <w:bCs/>
          <w:sz w:val="24"/>
          <w:szCs w:val="24"/>
        </w:rPr>
      </w:pPr>
    </w:p>
    <w:p w:rsidR="000A4D2C" w:rsidRPr="00A329C2" w:rsidP="000A4D2C" w14:paraId="6D8F59C2" w14:textId="77777777">
      <w:pPr>
        <w:spacing w:line="240" w:lineRule="auto"/>
        <w:rPr>
          <w:rFonts w:cs="Times New Roman"/>
        </w:rPr>
      </w:pPr>
    </w:p>
    <w:p w:rsidR="000A4D2C" w:rsidRPr="00A329C2" w:rsidP="000A4D2C" w14:paraId="2F7368A7" w14:textId="77777777">
      <w:pPr>
        <w:pStyle w:val="Heading1"/>
        <w:rPr>
          <w:rFonts w:cs="Times New Roman"/>
        </w:rPr>
      </w:pPr>
      <w:bookmarkStart w:id="2" w:name="_Toc8387995"/>
      <w:bookmarkStart w:id="3" w:name="_Toc28262247"/>
      <w:bookmarkStart w:id="4" w:name="_Toc28262603"/>
      <w:bookmarkStart w:id="5" w:name="_Toc28262680"/>
      <w:bookmarkStart w:id="6" w:name="_Toc28262968"/>
      <w:bookmarkStart w:id="7" w:name="_Toc28265319"/>
      <w:bookmarkStart w:id="8" w:name="_Toc28265589"/>
      <w:bookmarkStart w:id="9" w:name="_Toc28874848"/>
      <w:r w:rsidRPr="00A329C2">
        <w:rPr>
          <w:rFonts w:cs="Times New Roman"/>
        </w:rPr>
        <w:t>I.</w:t>
      </w:r>
      <w:r w:rsidRPr="00A329C2">
        <w:rPr>
          <w:rFonts w:cs="Times New Roman"/>
        </w:rPr>
        <w:tab/>
        <w:t>INTRODUCTION</w:t>
      </w:r>
      <w:bookmarkEnd w:id="2"/>
      <w:bookmarkEnd w:id="3"/>
      <w:bookmarkEnd w:id="4"/>
      <w:bookmarkEnd w:id="5"/>
      <w:bookmarkEnd w:id="6"/>
      <w:bookmarkEnd w:id="7"/>
      <w:bookmarkEnd w:id="8"/>
      <w:bookmarkEnd w:id="9"/>
    </w:p>
    <w:p w:rsidR="003E6CB0" w:rsidP="000A4D2C" w14:paraId="1218CC34" w14:textId="71D41896">
      <w:pPr>
        <w:ind w:firstLine="720"/>
      </w:pPr>
      <w:r>
        <w:t xml:space="preserve">IGS is proposing to increase the price that consumers pay for DP&amp;L’s standard offer for electric generation service. That was a bad idea when </w:t>
      </w:r>
      <w:r w:rsidR="006428AA">
        <w:t>IGS first</w:t>
      </w:r>
      <w:r>
        <w:t xml:space="preserve"> proposed it.</w:t>
      </w:r>
      <w:r w:rsidR="009F721B">
        <w:t xml:space="preserve"> </w:t>
      </w:r>
      <w:r>
        <w:t xml:space="preserve">And it’s an equally bad idea </w:t>
      </w:r>
      <w:r w:rsidR="006428AA">
        <w:t>now, on rehearing</w:t>
      </w:r>
      <w:r>
        <w:t>.</w:t>
      </w:r>
      <w:r w:rsidR="00653812">
        <w:t xml:space="preserve"> </w:t>
      </w:r>
      <w:r>
        <w:t>Wisely, t</w:t>
      </w:r>
      <w:r w:rsidR="00653812">
        <w:t xml:space="preserve">he PUCO already rejected </w:t>
      </w:r>
      <w:r w:rsidR="006428AA">
        <w:t>IGS</w:t>
      </w:r>
      <w:r w:rsidR="00653812">
        <w:t>’s proposal.</w:t>
      </w:r>
      <w:r w:rsidR="009F721B">
        <w:t xml:space="preserve"> </w:t>
      </w:r>
      <w:r>
        <w:t xml:space="preserve">And now, for protection of Dayton-area consumers, the PUCO should reject the same proposal </w:t>
      </w:r>
      <w:r w:rsidR="006428AA">
        <w:t>on rehearing</w:t>
      </w:r>
      <w:r>
        <w:t xml:space="preserve">. </w:t>
      </w:r>
    </w:p>
    <w:p w:rsidR="00E03167" w:rsidP="00E03167" w14:paraId="06EF5DCB" w14:textId="7D71434E">
      <w:pPr>
        <w:ind w:firstLine="720"/>
      </w:pPr>
      <w:r>
        <w:t>IGS</w:t>
      </w:r>
      <w:r w:rsidR="00362204">
        <w:t xml:space="preserve"> would accomplish this price hike by shifting certain distribution costs to consumers </w:t>
      </w:r>
      <w:r w:rsidR="00910987">
        <w:t>who buy</w:t>
      </w:r>
      <w:r w:rsidR="00362204">
        <w:t xml:space="preserve"> DP&amp;L’s standard offer</w:t>
      </w:r>
      <w:r w:rsidR="00C550B7">
        <w:t xml:space="preserve"> for electric generation</w:t>
      </w:r>
      <w:r w:rsidR="00362204">
        <w:t xml:space="preserve">. </w:t>
      </w:r>
      <w:r>
        <w:t>I</w:t>
      </w:r>
      <w:r w:rsidR="00362204">
        <w:t xml:space="preserve">ncreasing </w:t>
      </w:r>
      <w:r>
        <w:t>DP&amp;L’s competitive standard offer (that IGS has to compete against</w:t>
      </w:r>
      <w:r w:rsidR="00C550B7">
        <w:t xml:space="preserve"> to win customers</w:t>
      </w:r>
      <w:r>
        <w:t>) obviously works for IGS.</w:t>
      </w:r>
      <w:r w:rsidR="00362204">
        <w:t xml:space="preserve"> But </w:t>
      </w:r>
      <w:r>
        <w:t xml:space="preserve">it doesn’t work for Dayton-area consumers. </w:t>
      </w:r>
    </w:p>
    <w:p w:rsidR="000A4D2C" w:rsidP="00910987" w14:paraId="3F33A54B" w14:textId="17D5EEE1">
      <w:pPr>
        <w:ind w:firstLine="720"/>
      </w:pPr>
      <w:r>
        <w:t>The S</w:t>
      </w:r>
      <w:r w:rsidR="00C240F5">
        <w:t xml:space="preserve">tandard </w:t>
      </w:r>
      <w:r>
        <w:t>O</w:t>
      </w:r>
      <w:r w:rsidR="00C240F5">
        <w:t>ffer</w:t>
      </w:r>
      <w:r>
        <w:t xml:space="preserve"> is available to all consumers, all the time, no matter what, and is used as a default service</w:t>
      </w:r>
      <w:r w:rsidR="00E03167">
        <w:t xml:space="preserve"> that is always available</w:t>
      </w:r>
      <w:r>
        <w:t>.</w:t>
      </w:r>
      <w:r w:rsidR="00955A38">
        <w:t xml:space="preserve"> </w:t>
      </w:r>
      <w:r>
        <w:t>The S</w:t>
      </w:r>
      <w:r w:rsidR="00C240F5">
        <w:t xml:space="preserve">tandard </w:t>
      </w:r>
      <w:r>
        <w:t>O</w:t>
      </w:r>
      <w:r w:rsidR="00C240F5">
        <w:t>ffer</w:t>
      </w:r>
      <w:r>
        <w:t xml:space="preserve"> is also use</w:t>
      </w:r>
      <w:r w:rsidR="00E03167">
        <w:t>ful to consumers</w:t>
      </w:r>
      <w:r>
        <w:t xml:space="preserve"> as </w:t>
      </w:r>
      <w:r w:rsidR="00E03167">
        <w:t>the</w:t>
      </w:r>
      <w:r>
        <w:t xml:space="preserve"> rate </w:t>
      </w:r>
      <w:r w:rsidR="00E03167">
        <w:t xml:space="preserve">they can use </w:t>
      </w:r>
      <w:r>
        <w:t>to compare offers made by marketers</w:t>
      </w:r>
      <w:r w:rsidR="00362204">
        <w:t xml:space="preserve"> like IGS</w:t>
      </w:r>
      <w:r>
        <w:t>.</w:t>
      </w:r>
      <w:r w:rsidR="00955A38">
        <w:t xml:space="preserve"> </w:t>
      </w:r>
      <w:r>
        <w:t>OCC’s expert witness, Mr. Ross Willis, testified that the S</w:t>
      </w:r>
      <w:r w:rsidR="00C240F5">
        <w:t xml:space="preserve">tandard </w:t>
      </w:r>
      <w:r>
        <w:t>O</w:t>
      </w:r>
      <w:r w:rsidR="00C240F5">
        <w:t>ffer</w:t>
      </w:r>
      <w:r>
        <w:t xml:space="preserve"> benefits all consumers.</w:t>
      </w:r>
      <w:r w:rsidR="00955A38">
        <w:t xml:space="preserve"> </w:t>
      </w:r>
      <w:r>
        <w:t>A</w:t>
      </w:r>
      <w:r w:rsidR="006428AA">
        <w:t xml:space="preserve">ccording to Mr. Willis, </w:t>
      </w:r>
      <w:r>
        <w:t xml:space="preserve">all consumers should </w:t>
      </w:r>
      <w:r w:rsidR="00DF5069">
        <w:t>bear</w:t>
      </w:r>
      <w:r w:rsidR="00842EA3">
        <w:t xml:space="preserve"> any distribution-related</w:t>
      </w:r>
      <w:r w:rsidR="00DF5069">
        <w:t xml:space="preserve"> costs for providing it.</w:t>
      </w:r>
      <w:r w:rsidR="009F721B">
        <w:t xml:space="preserve"> </w:t>
      </w:r>
      <w:r w:rsidR="00E03167">
        <w:t>Notably, the PUCO already rejected IGS’s proposal</w:t>
      </w:r>
      <w:r w:rsidR="00C550B7">
        <w:t>,</w:t>
      </w:r>
      <w:r w:rsidR="00E03167">
        <w:t xml:space="preserve"> in its Supplemental Opinion and Order. </w:t>
      </w:r>
      <w:r>
        <w:t xml:space="preserve">IGS has given the PUCO no reason </w:t>
      </w:r>
      <w:r w:rsidR="005C4B9C">
        <w:t xml:space="preserve">now </w:t>
      </w:r>
      <w:r>
        <w:t xml:space="preserve">to depart from </w:t>
      </w:r>
      <w:r w:rsidR="001D1180">
        <w:t xml:space="preserve">its </w:t>
      </w:r>
      <w:r>
        <w:t>determination.</w:t>
      </w:r>
      <w:r w:rsidR="00955A38">
        <w:t xml:space="preserve"> </w:t>
      </w:r>
      <w:r>
        <w:t xml:space="preserve">Therefore, the PUCO should reject IGS’s Application for Rehearing. </w:t>
      </w:r>
    </w:p>
    <w:p w:rsidR="000A4D2C" w:rsidP="000A4D2C" w14:paraId="3B58F2A8" w14:textId="77777777">
      <w:pPr>
        <w:spacing w:line="240" w:lineRule="auto"/>
        <w:ind w:firstLine="720"/>
      </w:pPr>
    </w:p>
    <w:p w:rsidR="000A4D2C" w:rsidRPr="00084D2A" w:rsidP="000A4D2C" w14:paraId="5E61EAA6" w14:textId="77777777">
      <w:pPr>
        <w:pStyle w:val="Heading1"/>
      </w:pPr>
      <w:bookmarkStart w:id="10" w:name="_Toc8387996"/>
      <w:bookmarkStart w:id="11" w:name="_Toc28262248"/>
      <w:bookmarkStart w:id="12" w:name="_Toc28262604"/>
      <w:bookmarkStart w:id="13" w:name="_Toc28262681"/>
      <w:bookmarkStart w:id="14" w:name="_Toc28262969"/>
      <w:bookmarkStart w:id="15" w:name="_Toc28265320"/>
      <w:bookmarkStart w:id="16" w:name="_Toc28265590"/>
      <w:bookmarkStart w:id="17" w:name="_Toc28874849"/>
      <w:r>
        <w:t>II.</w:t>
      </w:r>
      <w:r>
        <w:tab/>
        <w:t>Background</w:t>
      </w:r>
      <w:bookmarkEnd w:id="10"/>
      <w:bookmarkEnd w:id="11"/>
      <w:bookmarkEnd w:id="12"/>
      <w:bookmarkEnd w:id="13"/>
      <w:bookmarkEnd w:id="14"/>
      <w:bookmarkEnd w:id="15"/>
      <w:bookmarkEnd w:id="16"/>
      <w:bookmarkEnd w:id="17"/>
    </w:p>
    <w:p w:rsidR="000A4D2C" w:rsidP="000A4D2C" w14:paraId="0D434E42" w14:textId="6A728D65">
      <w:pPr>
        <w:ind w:firstLine="720"/>
        <w:rPr>
          <w:vertAlign w:val="superscript"/>
        </w:rPr>
      </w:pPr>
      <w:r w:rsidRPr="000706C9">
        <w:t>On March 14, 2017, several parties</w:t>
      </w:r>
      <w:r>
        <w:t xml:space="preserve">, including IGS, </w:t>
      </w:r>
      <w:r w:rsidRPr="000706C9">
        <w:t xml:space="preserve">submitted </w:t>
      </w:r>
      <w:r>
        <w:t>an</w:t>
      </w:r>
      <w:r w:rsidRPr="000706C9">
        <w:t xml:space="preserve"> Amended Stipulation (“</w:t>
      </w:r>
      <w:r>
        <w:t>Settlement</w:t>
      </w:r>
      <w:r w:rsidRPr="000706C9">
        <w:t xml:space="preserve">”) for approval to </w:t>
      </w:r>
      <w:r>
        <w:t>the PUCO</w:t>
      </w:r>
      <w:r w:rsidRPr="000706C9">
        <w:t>.</w:t>
      </w:r>
      <w:r>
        <w:rPr>
          <w:rStyle w:val="FootnoteReference"/>
        </w:rPr>
        <w:footnoteReference w:id="2"/>
      </w:r>
      <w:r w:rsidR="00955A38">
        <w:t xml:space="preserve"> </w:t>
      </w:r>
      <w:r>
        <w:t>The PUCO modified and approved the Settlement.</w:t>
      </w:r>
      <w:r w:rsidR="00955A38">
        <w:t xml:space="preserve"> </w:t>
      </w:r>
      <w:r>
        <w:t>Several parties, including OCC, sought rehearing on the PUCO’s modification of the Settlement but the PUCO denied them.</w:t>
      </w:r>
      <w:r>
        <w:rPr>
          <w:rStyle w:val="FootnoteReference"/>
        </w:rPr>
        <w:footnoteReference w:id="3"/>
      </w:r>
      <w:r w:rsidRPr="005B6D90">
        <w:rPr>
          <w:vertAlign w:val="superscript"/>
        </w:rPr>
        <w:t xml:space="preserve"> </w:t>
      </w:r>
    </w:p>
    <w:p w:rsidR="000A4D2C" w:rsidRPr="00590545" w:rsidP="000A4D2C" w14:paraId="1C542747" w14:textId="7051CD71">
      <w:pPr>
        <w:ind w:firstLine="720"/>
      </w:pPr>
      <w:r>
        <w:t>On October 19, 2018, and under Provision XI(5) of the Settlement, IGS filed a Notice of Withdrawal from the Amended Stipulation and Recommendation.</w:t>
      </w:r>
      <w:r>
        <w:rPr>
          <w:vertAlign w:val="superscript"/>
        </w:rPr>
        <w:footnoteReference w:id="4"/>
      </w:r>
      <w:r>
        <w:t xml:space="preserve"> IGS argued that the PUCO modification to the Settlement (making the OVEC subsidy rider non-bypassable) was material and undermined the benefit of the bargain for IGS.</w:t>
      </w:r>
      <w:r>
        <w:rPr>
          <w:rStyle w:val="FootnoteReference"/>
        </w:rPr>
        <w:footnoteReference w:id="5"/>
      </w:r>
      <w:r>
        <w:t xml:space="preserve"> After withdrawing, IGS submitted the Supplemental Direct Testimony of Matthew White on February 12, 2019.</w:t>
      </w:r>
      <w:r>
        <w:rPr>
          <w:rStyle w:val="FootnoteReference"/>
        </w:rPr>
        <w:footnoteReference w:id="6"/>
      </w:r>
    </w:p>
    <w:p w:rsidR="000A4D2C" w:rsidP="000A4D2C" w14:paraId="637399DF" w14:textId="60367B9D">
      <w:pPr>
        <w:ind w:firstLine="720"/>
      </w:pPr>
      <w:r>
        <w:t>IGS’s testimony present</w:t>
      </w:r>
      <w:r w:rsidR="003E6CB0">
        <w:t>ed</w:t>
      </w:r>
      <w:r>
        <w:t xml:space="preserve"> two potential modifications to the Settlement. In the first, notwithstanding that the PUCO itself modified the Settlement to make the </w:t>
      </w:r>
      <w:r w:rsidR="007C1380">
        <w:t>OVEC subsidy rider</w:t>
      </w:r>
      <w:r>
        <w:t xml:space="preserve"> non-bypassable, IGS urge</w:t>
      </w:r>
      <w:r w:rsidR="007C1380">
        <w:t>d</w:t>
      </w:r>
      <w:r>
        <w:t xml:space="preserve"> the PUCO to make the Rider bypassable. This would enable customers of marketer providers (50% of total customers shop in DP&amp;L service territory</w:t>
      </w:r>
      <w:r>
        <w:rPr>
          <w:rStyle w:val="FootnoteReference"/>
        </w:rPr>
        <w:footnoteReference w:id="7"/>
      </w:r>
      <w:r>
        <w:t xml:space="preserve">) such as IGS to avoid the charges, while forcing DP&amp;L’s standard </w:t>
      </w:r>
      <w:r w:rsidR="005C4B9C">
        <w:t xml:space="preserve">service </w:t>
      </w:r>
      <w:r>
        <w:t>offer customers to pay more, as IGS admitted.</w:t>
      </w:r>
      <w:r>
        <w:rPr>
          <w:rStyle w:val="FootnoteReference"/>
        </w:rPr>
        <w:footnoteReference w:id="8"/>
      </w:r>
      <w:r w:rsidR="00955A38">
        <w:t xml:space="preserve"> </w:t>
      </w:r>
      <w:r>
        <w:t>This effectively allows marketers like IGS to have more head room to make a profit. IGS also argue</w:t>
      </w:r>
      <w:r w:rsidR="007C1380">
        <w:t>d</w:t>
      </w:r>
      <w:r>
        <w:t xml:space="preserve"> that a non-bypassable rider </w:t>
      </w:r>
      <w:r w:rsidRPr="00F11416">
        <w:t>would a</w:t>
      </w:r>
      <w:r w:rsidRPr="005B6D90">
        <w:t xml:space="preserve">llow DP&amp;L to </w:t>
      </w:r>
      <w:r>
        <w:t xml:space="preserve">collect </w:t>
      </w:r>
      <w:r w:rsidRPr="005B6D90">
        <w:t xml:space="preserve">generation-related revenue that it cannot otherwise </w:t>
      </w:r>
      <w:r>
        <w:t>collect</w:t>
      </w:r>
      <w:r w:rsidRPr="005B6D90">
        <w:t xml:space="preserve"> from the competitive market.</w:t>
      </w:r>
      <w:r>
        <w:rPr>
          <w:rStyle w:val="FootnoteReference"/>
        </w:rPr>
        <w:footnoteReference w:id="9"/>
      </w:r>
      <w:r>
        <w:t xml:space="preserve"> Finally, IGS argue</w:t>
      </w:r>
      <w:r w:rsidR="00C940F5">
        <w:t>d</w:t>
      </w:r>
      <w:r>
        <w:t xml:space="preserve"> that denying this cost recovery would prevent shopping customers from paying an “anticompetitive subsidy” for generation costs through distribution charges</w:t>
      </w:r>
      <w:r w:rsidRPr="00F11416">
        <w:t>.</w:t>
      </w:r>
      <w:r>
        <w:rPr>
          <w:vertAlign w:val="superscript"/>
        </w:rPr>
        <w:footnoteReference w:id="10"/>
      </w:r>
      <w:r w:rsidR="00955A38">
        <w:t xml:space="preserve"> </w:t>
      </w:r>
      <w:r>
        <w:t>On rehearing, IGS no longer pursues th</w:t>
      </w:r>
      <w:r w:rsidR="007C1380">
        <w:t>ese</w:t>
      </w:r>
      <w:r>
        <w:t xml:space="preserve"> argument</w:t>
      </w:r>
      <w:r w:rsidR="007C1380">
        <w:t>s</w:t>
      </w:r>
      <w:r>
        <w:t>.</w:t>
      </w:r>
      <w:r>
        <w:rPr>
          <w:rStyle w:val="FootnoteReference"/>
        </w:rPr>
        <w:footnoteReference w:id="11"/>
      </w:r>
    </w:p>
    <w:p w:rsidR="000A4D2C" w:rsidP="000A4D2C" w14:paraId="64E2DA00" w14:textId="43F2BFAB">
      <w:pPr>
        <w:ind w:firstLine="720"/>
      </w:pPr>
      <w:r>
        <w:t>IGS’s second proposal – which it does raise on rehearing</w:t>
      </w:r>
      <w:r>
        <w:rPr>
          <w:rStyle w:val="FootnoteReference"/>
        </w:rPr>
        <w:footnoteReference w:id="12"/>
      </w:r>
      <w:r>
        <w:t xml:space="preserve"> – is to unbundle costs associated with standard service offer rates by creating two new riders.</w:t>
      </w:r>
      <w:r w:rsidRPr="009A55E0">
        <w:rPr>
          <w:rStyle w:val="FootnoteReference"/>
        </w:rPr>
        <w:t xml:space="preserve"> </w:t>
      </w:r>
      <w:r>
        <w:rPr>
          <w:rStyle w:val="FootnoteReference"/>
        </w:rPr>
        <w:footnoteReference w:id="13"/>
      </w:r>
      <w:r>
        <w:t xml:space="preserve"> The first is a credit rider allowing all customers to avoid distribution costs that IGS claims are solely related to DP&amp;L’s standard </w:t>
      </w:r>
      <w:r w:rsidR="005C4B9C">
        <w:t xml:space="preserve">service </w:t>
      </w:r>
      <w:r>
        <w:t>offer.</w:t>
      </w:r>
      <w:r>
        <w:rPr>
          <w:rStyle w:val="FootnoteReference"/>
        </w:rPr>
        <w:footnoteReference w:id="14"/>
      </w:r>
      <w:r>
        <w:t xml:space="preserve"> The second would be paid only by SSO customers, and the total negative revenue requirement under the first rider would be the same as the total positive revenue requirement under the second rider.</w:t>
      </w:r>
      <w:r>
        <w:rPr>
          <w:rStyle w:val="FootnoteReference"/>
        </w:rPr>
        <w:footnoteReference w:id="15"/>
      </w:r>
      <w:r w:rsidR="00955A38">
        <w:t xml:space="preserve"> </w:t>
      </w:r>
      <w:r w:rsidR="003E6CB0">
        <w:t>In its Supplemental Opinion and Order, the PUCO rejected IGS’s proposal because it had already been litigated and rejected in DP&amp;L’s rate case.</w:t>
      </w:r>
      <w:r>
        <w:rPr>
          <w:rStyle w:val="FootnoteReference"/>
        </w:rPr>
        <w:footnoteReference w:id="16"/>
      </w:r>
    </w:p>
    <w:p w:rsidR="000A4D2C" w:rsidP="000A4D2C" w14:paraId="6DD2119B" w14:textId="77777777">
      <w:pPr>
        <w:spacing w:line="240" w:lineRule="auto"/>
        <w:ind w:firstLine="720"/>
      </w:pPr>
    </w:p>
    <w:p w:rsidR="000A4D2C" w:rsidRPr="00A329C2" w:rsidP="000A4D2C" w14:paraId="2EFA5ED2" w14:textId="77777777">
      <w:pPr>
        <w:pStyle w:val="Heading1"/>
        <w:rPr>
          <w:rFonts w:eastAsia="Times New Roman" w:cs="Times New Roman"/>
        </w:rPr>
      </w:pPr>
      <w:bookmarkStart w:id="18" w:name="_Toc8387997"/>
      <w:bookmarkStart w:id="19" w:name="_Toc28262249"/>
      <w:bookmarkStart w:id="20" w:name="_Toc28262605"/>
      <w:bookmarkStart w:id="21" w:name="_Toc28262682"/>
      <w:bookmarkStart w:id="22" w:name="_Toc28262970"/>
      <w:bookmarkStart w:id="23" w:name="_Toc28265321"/>
      <w:bookmarkStart w:id="24" w:name="_Toc28265591"/>
      <w:bookmarkStart w:id="25" w:name="_Toc28874850"/>
      <w:r w:rsidRPr="00A329C2">
        <w:rPr>
          <w:rFonts w:eastAsia="Times New Roman" w:cs="Times New Roman"/>
        </w:rPr>
        <w:t>II</w:t>
      </w:r>
      <w:r>
        <w:rPr>
          <w:rFonts w:eastAsia="Times New Roman" w:cs="Times New Roman"/>
        </w:rPr>
        <w:t>I</w:t>
      </w:r>
      <w:r w:rsidRPr="00A329C2">
        <w:rPr>
          <w:rFonts w:eastAsia="Times New Roman" w:cs="Times New Roman"/>
        </w:rPr>
        <w:t>.</w:t>
      </w:r>
      <w:r w:rsidRPr="00A329C2">
        <w:rPr>
          <w:rFonts w:eastAsia="Times New Roman" w:cs="Times New Roman"/>
        </w:rPr>
        <w:tab/>
        <w:t xml:space="preserve">STANDARD </w:t>
      </w:r>
      <w:r w:rsidRPr="00A329C2">
        <w:rPr>
          <w:rFonts w:cs="Times New Roman"/>
        </w:rPr>
        <w:t>OF</w:t>
      </w:r>
      <w:r w:rsidRPr="00A329C2">
        <w:rPr>
          <w:rFonts w:eastAsia="Times New Roman" w:cs="Times New Roman"/>
        </w:rPr>
        <w:t xml:space="preserve"> REVIEW</w:t>
      </w:r>
      <w:bookmarkEnd w:id="18"/>
      <w:bookmarkEnd w:id="19"/>
      <w:bookmarkEnd w:id="20"/>
      <w:bookmarkEnd w:id="21"/>
      <w:bookmarkEnd w:id="22"/>
      <w:bookmarkEnd w:id="23"/>
      <w:bookmarkEnd w:id="24"/>
      <w:bookmarkEnd w:id="25"/>
    </w:p>
    <w:p w:rsidR="007129D9" w:rsidP="007129D9" w14:paraId="04CD3817" w14:textId="5E76436E">
      <w:pPr>
        <w:pStyle w:val="BodyText"/>
        <w:spacing w:line="480" w:lineRule="auto"/>
        <w:ind w:left="119" w:right="156" w:firstLine="720"/>
      </w:pPr>
      <w:r>
        <w:t xml:space="preserve">Applications for rehearing are governed by R.C. 4903.10. The statute allows that, within 30 days after issuance of a PUCO order “any party who has entered an appearance in person or by counsel in the proceeding may apply for rehearing in respect to any matters determined in the proceeding.” </w:t>
      </w:r>
    </w:p>
    <w:p w:rsidR="007129D9" w:rsidP="007129D9" w14:paraId="4FED8C11" w14:textId="77777777">
      <w:pPr>
        <w:pStyle w:val="BodyText"/>
        <w:spacing w:before="9" w:line="480" w:lineRule="auto"/>
        <w:ind w:left="119" w:right="402" w:firstLine="720"/>
      </w:pPr>
      <w:r>
        <w:t>R.C. 4903.10 requires that an application for rehearing must be “in writing and shall set forth specifically the ground or grounds on which the applicant considers the order to be unreasonable or unlawful.” Additionally, Ohio Adm. Code 4901-1-35(A) states: “An application for rehearing must be accompanied by a memorandum in support, which shall be filed no later than the application for rehearing.”</w:t>
      </w:r>
    </w:p>
    <w:p w:rsidR="007129D9" w:rsidP="007129D9" w14:paraId="67234D7A" w14:textId="77777777">
      <w:pPr>
        <w:pStyle w:val="BodyText"/>
        <w:spacing w:before="10" w:line="480" w:lineRule="auto"/>
        <w:ind w:left="120" w:right="98" w:firstLine="720"/>
      </w:pPr>
      <w:r>
        <w:t>In considering an application for rehearing, R.C. 4903.10 provides that “the commission may grant and hold such rehearing on the matter specified in such application, if in its judgment sufficient reason therefor is made to appear.” The statute also provides: “[i]f, after such rehearing, the commission is of the opinion that the original order or any part thereof is in any respect unjust or unwarranted, or should be changed, the commission may abrogate or modify the same; otherwise such order shall be affirmed.”</w:t>
      </w:r>
    </w:p>
    <w:p w:rsidR="007129D9" w:rsidP="007129D9" w14:paraId="50603156" w14:textId="611082FF">
      <w:pPr>
        <w:pStyle w:val="BodyText"/>
        <w:spacing w:before="10" w:line="480" w:lineRule="auto"/>
        <w:ind w:left="120" w:right="135" w:firstLine="720"/>
        <w:jc w:val="both"/>
      </w:pPr>
      <w:r>
        <w:t>IGS has failed to meet the statutory standard for modifying the Supplemental Opinion and Order.</w:t>
      </w:r>
      <w:r w:rsidR="00955A38">
        <w:t xml:space="preserve"> </w:t>
      </w:r>
      <w:r>
        <w:t>To protect consumers, Application for Rehearing should be rejected.</w:t>
      </w:r>
    </w:p>
    <w:p w:rsidR="000A4D2C" w:rsidP="000A4D2C" w14:paraId="5B5EF22F" w14:textId="700506B8">
      <w:pPr>
        <w:suppressLineNumbers/>
        <w:spacing w:line="240" w:lineRule="auto"/>
        <w:ind w:firstLine="720"/>
      </w:pPr>
      <w:bookmarkStart w:id="26" w:name="_Hlk7542425"/>
    </w:p>
    <w:p w:rsidR="000A4D2C" w:rsidRPr="00A329C2" w:rsidP="000A4D2C" w14:paraId="647DE64A" w14:textId="77777777">
      <w:pPr>
        <w:pStyle w:val="Heading1"/>
        <w:rPr>
          <w:rFonts w:eastAsia="Times New Roman" w:cs="Times New Roman"/>
        </w:rPr>
      </w:pPr>
      <w:bookmarkStart w:id="27" w:name="_Toc8387998"/>
      <w:bookmarkStart w:id="28" w:name="_Toc28262250"/>
      <w:bookmarkStart w:id="29" w:name="_Toc28262606"/>
      <w:bookmarkStart w:id="30" w:name="_Toc28262683"/>
      <w:bookmarkStart w:id="31" w:name="_Toc28262971"/>
      <w:bookmarkStart w:id="32" w:name="_Toc28265322"/>
      <w:bookmarkStart w:id="33" w:name="_Toc28265592"/>
      <w:bookmarkStart w:id="34" w:name="_Toc28874851"/>
      <w:bookmarkEnd w:id="26"/>
      <w:r w:rsidRPr="00A329C2">
        <w:rPr>
          <w:rFonts w:eastAsia="Times New Roman" w:cs="Times New Roman"/>
        </w:rPr>
        <w:t>I</w:t>
      </w:r>
      <w:r>
        <w:rPr>
          <w:rFonts w:eastAsia="Times New Roman" w:cs="Times New Roman"/>
        </w:rPr>
        <w:t>V</w:t>
      </w:r>
      <w:r w:rsidRPr="00A329C2">
        <w:rPr>
          <w:rFonts w:eastAsia="Times New Roman" w:cs="Times New Roman"/>
        </w:rPr>
        <w:t>.</w:t>
      </w:r>
      <w:r w:rsidRPr="00A329C2">
        <w:rPr>
          <w:rFonts w:eastAsia="Times New Roman" w:cs="Times New Roman"/>
        </w:rPr>
        <w:tab/>
      </w:r>
      <w:r w:rsidRPr="00A329C2">
        <w:rPr>
          <w:rFonts w:cs="Times New Roman"/>
        </w:rPr>
        <w:t>RECOMMENDATIONS</w:t>
      </w:r>
      <w:bookmarkEnd w:id="27"/>
      <w:bookmarkEnd w:id="28"/>
      <w:bookmarkEnd w:id="29"/>
      <w:bookmarkEnd w:id="30"/>
      <w:bookmarkEnd w:id="31"/>
      <w:bookmarkEnd w:id="32"/>
      <w:bookmarkEnd w:id="33"/>
      <w:bookmarkEnd w:id="34"/>
    </w:p>
    <w:p w:rsidR="000A4D2C" w:rsidRPr="00C2050C" w:rsidP="007C1380" w14:paraId="5DF9179A" w14:textId="02DB514E">
      <w:pPr>
        <w:pStyle w:val="Heading2"/>
        <w:ind w:left="720" w:firstLine="0"/>
      </w:pPr>
      <w:bookmarkStart w:id="35" w:name="_Toc28262251"/>
      <w:bookmarkStart w:id="36" w:name="_Toc28262607"/>
      <w:bookmarkStart w:id="37" w:name="_Toc28262684"/>
      <w:bookmarkStart w:id="38" w:name="_Toc28262972"/>
      <w:bookmarkStart w:id="39" w:name="_Toc28265323"/>
      <w:bookmarkStart w:id="40" w:name="_Toc28265593"/>
      <w:bookmarkStart w:id="41" w:name="_Toc8388000"/>
      <w:bookmarkStart w:id="42" w:name="_Toc28874852"/>
      <w:r w:rsidRPr="00C2050C">
        <w:t>To protect consumers, t</w:t>
      </w:r>
      <w:r w:rsidRPr="00C2050C" w:rsidR="007129D9">
        <w:t>he</w:t>
      </w:r>
      <w:r w:rsidRPr="00C2050C">
        <w:t xml:space="preserve"> PUCO should reject IGS’s </w:t>
      </w:r>
      <w:r w:rsidR="00C550B7">
        <w:t>rehearing</w:t>
      </w:r>
      <w:r w:rsidR="006428AA">
        <w:t xml:space="preserve"> application</w:t>
      </w:r>
      <w:r w:rsidR="00C550B7">
        <w:t xml:space="preserve"> </w:t>
      </w:r>
      <w:bookmarkStart w:id="43" w:name="_Toc28262252"/>
      <w:bookmarkStart w:id="44" w:name="_Toc28262608"/>
      <w:bookmarkStart w:id="45" w:name="_Toc28262685"/>
      <w:bookmarkStart w:id="46" w:name="_Toc28262973"/>
      <w:bookmarkStart w:id="47" w:name="_Toc28265324"/>
      <w:bookmarkStart w:id="48" w:name="_Toc28265594"/>
      <w:bookmarkEnd w:id="35"/>
      <w:bookmarkEnd w:id="36"/>
      <w:bookmarkEnd w:id="37"/>
      <w:bookmarkEnd w:id="38"/>
      <w:bookmarkEnd w:id="39"/>
      <w:bookmarkEnd w:id="40"/>
      <w:r w:rsidR="006428AA">
        <w:t xml:space="preserve">about its </w:t>
      </w:r>
      <w:r w:rsidRPr="00C2050C">
        <w:t xml:space="preserve">proposal to establish a </w:t>
      </w:r>
      <w:r w:rsidR="00CD24B8">
        <w:t xml:space="preserve">collection </w:t>
      </w:r>
      <w:r w:rsidRPr="00C2050C">
        <w:t>mechanism to</w:t>
      </w:r>
      <w:bookmarkEnd w:id="43"/>
      <w:bookmarkEnd w:id="44"/>
      <w:bookmarkEnd w:id="45"/>
      <w:bookmarkEnd w:id="46"/>
      <w:bookmarkEnd w:id="47"/>
      <w:bookmarkEnd w:id="48"/>
      <w:r w:rsidR="00C2050C">
        <w:t xml:space="preserve"> </w:t>
      </w:r>
      <w:bookmarkStart w:id="49" w:name="_Toc28262253"/>
      <w:bookmarkStart w:id="50" w:name="_Toc28262609"/>
      <w:bookmarkStart w:id="51" w:name="_Toc28262686"/>
      <w:bookmarkStart w:id="52" w:name="_Toc28262974"/>
      <w:bookmarkStart w:id="53" w:name="_Toc28265325"/>
      <w:bookmarkStart w:id="54" w:name="_Toc28265595"/>
      <w:r w:rsidR="006428AA">
        <w:t>charge</w:t>
      </w:r>
      <w:r w:rsidRPr="00C2050C">
        <w:t xml:space="preserve"> DP&amp;L’s</w:t>
      </w:r>
      <w:r w:rsidRPr="00C2050C">
        <w:t xml:space="preserve"> </w:t>
      </w:r>
      <w:r w:rsidRPr="00C2050C">
        <w:t xml:space="preserve">standard service offer </w:t>
      </w:r>
      <w:r w:rsidR="006428AA">
        <w:t>customers more</w:t>
      </w:r>
      <w:r w:rsidRPr="00C2050C">
        <w:t>.</w:t>
      </w:r>
      <w:bookmarkEnd w:id="41"/>
      <w:bookmarkEnd w:id="49"/>
      <w:bookmarkEnd w:id="50"/>
      <w:bookmarkEnd w:id="51"/>
      <w:bookmarkEnd w:id="52"/>
      <w:bookmarkEnd w:id="53"/>
      <w:bookmarkEnd w:id="54"/>
      <w:bookmarkEnd w:id="42"/>
    </w:p>
    <w:p w:rsidR="003E6CB0" w:rsidP="003E6CB0" w14:paraId="4BD327B0" w14:textId="2A4008BC">
      <w:pPr>
        <w:ind w:firstLine="720"/>
      </w:pPr>
      <w:r>
        <w:t>In its Supplemental Opinion and Order, the PUCO rejected IGS’s proposal because it had already been litigated and rejected in DP&amp;L’s rate case.</w:t>
      </w:r>
      <w:r>
        <w:rPr>
          <w:rStyle w:val="FootnoteReference"/>
        </w:rPr>
        <w:footnoteReference w:id="17"/>
      </w:r>
      <w:r w:rsidR="00955A38">
        <w:t xml:space="preserve"> </w:t>
      </w:r>
      <w:r w:rsidR="00C550B7">
        <w:t>IGS didn’t</w:t>
      </w:r>
      <w:r>
        <w:t xml:space="preserve"> show in its Application for Rehearing why the PUCO’s Supplemental Opinion and Order was wrong</w:t>
      </w:r>
      <w:r w:rsidR="001D1180">
        <w:t xml:space="preserve"> (</w:t>
      </w:r>
      <w:r w:rsidR="00C550B7">
        <w:t>which would be difficult given that the Order is right</w:t>
      </w:r>
      <w:r w:rsidR="001D1180">
        <w:t>)</w:t>
      </w:r>
      <w:r w:rsidR="00C550B7">
        <w:t>. Instead,</w:t>
      </w:r>
      <w:r>
        <w:t xml:space="preserve"> IGS attempts to relitigate the</w:t>
      </w:r>
      <w:r w:rsidR="00C550B7">
        <w:t xml:space="preserve"> DP&amp;L</w:t>
      </w:r>
      <w:r>
        <w:t xml:space="preserve"> rate case yet again.</w:t>
      </w:r>
      <w:r>
        <w:rPr>
          <w:rStyle w:val="FootnoteReference"/>
        </w:rPr>
        <w:footnoteReference w:id="18"/>
      </w:r>
      <w:r w:rsidR="00955A38">
        <w:t xml:space="preserve"> </w:t>
      </w:r>
      <w:r w:rsidR="00C550B7">
        <w:t>IGS</w:t>
      </w:r>
      <w:r>
        <w:t xml:space="preserve"> has given the PUCO no reason to depart from its Supplemental Opinion and Order.</w:t>
      </w:r>
      <w:r w:rsidR="00955A38">
        <w:t xml:space="preserve"> </w:t>
      </w:r>
      <w:r>
        <w:t>The PUCO should not.</w:t>
      </w:r>
      <w:r w:rsidR="00955A38">
        <w:t xml:space="preserve"> </w:t>
      </w:r>
      <w:r>
        <w:t xml:space="preserve">It should reject </w:t>
      </w:r>
      <w:r w:rsidR="00F622C7">
        <w:t xml:space="preserve">IGS’s Application for Rehearing because IGS’s proposal </w:t>
      </w:r>
      <w:r w:rsidR="00075619">
        <w:t>h</w:t>
      </w:r>
      <w:r w:rsidR="00F622C7">
        <w:t>as already been litigated and rejected in DP&amp;L’s rate case.</w:t>
      </w:r>
    </w:p>
    <w:p w:rsidR="007129D9" w:rsidRPr="007129D9" w:rsidP="00F622C7" w14:paraId="1BF7A295" w14:textId="41DEDD5D">
      <w:pPr>
        <w:ind w:firstLine="720"/>
      </w:pPr>
      <w:r>
        <w:t xml:space="preserve">Further, </w:t>
      </w:r>
      <w:r w:rsidR="00F622C7">
        <w:t>OCC has pointed out throughout this proceeding</w:t>
      </w:r>
      <w:r w:rsidR="001D1180">
        <w:t xml:space="preserve"> that </w:t>
      </w:r>
      <w:r w:rsidR="00F622C7">
        <w:t>there are substantive reasons for rejecting IGS’s proposal</w:t>
      </w:r>
      <w:r w:rsidR="001D1180">
        <w:t xml:space="preserve"> (in addition to procedural reasons)</w:t>
      </w:r>
      <w:r w:rsidR="00F622C7">
        <w:t>.</w:t>
      </w:r>
      <w:r w:rsidR="00955A38">
        <w:t xml:space="preserve"> </w:t>
      </w:r>
      <w:r w:rsidR="00F622C7">
        <w:t>IGS does not even address th</w:t>
      </w:r>
      <w:r w:rsidR="001D1180">
        <w:t>ose reasons</w:t>
      </w:r>
      <w:r w:rsidR="00F622C7">
        <w:t xml:space="preserve"> in its Application for Rehearing.</w:t>
      </w:r>
      <w:r w:rsidR="00955A38">
        <w:t xml:space="preserve"> </w:t>
      </w:r>
      <w:r w:rsidR="00F622C7">
        <w:t xml:space="preserve">Put simply, the </w:t>
      </w:r>
      <w:r>
        <w:t xml:space="preserve">standard offer </w:t>
      </w:r>
      <w:r w:rsidR="00F622C7">
        <w:t>is available to all consumers, all the time, no matter what, and is used as a default service.</w:t>
      </w:r>
      <w:r w:rsidR="00955A38">
        <w:t xml:space="preserve"> </w:t>
      </w:r>
      <w:r w:rsidR="00F622C7">
        <w:t xml:space="preserve">The </w:t>
      </w:r>
      <w:r>
        <w:t xml:space="preserve">standard offer </w:t>
      </w:r>
      <w:r w:rsidR="00F622C7">
        <w:t>is also used</w:t>
      </w:r>
      <w:r w:rsidR="001D1180">
        <w:t xml:space="preserve"> by consumers</w:t>
      </w:r>
      <w:r w:rsidR="00F622C7">
        <w:t xml:space="preserve"> as a </w:t>
      </w:r>
      <w:r w:rsidR="00C940F5">
        <w:t xml:space="preserve">price </w:t>
      </w:r>
      <w:r w:rsidR="00F622C7">
        <w:t>to compare offers made by marketers</w:t>
      </w:r>
      <w:r>
        <w:t>, to learn if a marketer’s offer is competitive with the standard offer</w:t>
      </w:r>
      <w:r w:rsidR="00F622C7">
        <w:t>.</w:t>
      </w:r>
      <w:r w:rsidR="00955A38">
        <w:t xml:space="preserve"> </w:t>
      </w:r>
      <w:r w:rsidR="00F622C7">
        <w:t>OCC’s expert witness, Mr. Ross Willis, testified that the SSO benefits all consumers.</w:t>
      </w:r>
      <w:r w:rsidR="00955A38">
        <w:t xml:space="preserve"> </w:t>
      </w:r>
      <w:r w:rsidR="00F622C7">
        <w:t>Therefore, all consumers should bear costs for providing it.</w:t>
      </w:r>
      <w:r w:rsidR="00955A38">
        <w:t xml:space="preserve"> </w:t>
      </w:r>
    </w:p>
    <w:p w:rsidR="000A4D2C" w:rsidP="00F9185D" w14:paraId="380B4497" w14:textId="7E127200">
      <w:pPr>
        <w:pStyle w:val="Heading3"/>
        <w:numPr>
          <w:ilvl w:val="0"/>
          <w:numId w:val="0"/>
        </w:numPr>
        <w:ind w:left="2160" w:right="0" w:hanging="720"/>
      </w:pPr>
      <w:bookmarkStart w:id="55" w:name="_Toc28262254"/>
      <w:bookmarkStart w:id="56" w:name="_Toc28262610"/>
      <w:bookmarkStart w:id="57" w:name="_Toc28262687"/>
      <w:bookmarkStart w:id="58" w:name="_Toc28262975"/>
      <w:bookmarkStart w:id="59" w:name="_Toc28265326"/>
      <w:bookmarkStart w:id="60" w:name="_Toc28265596"/>
      <w:bookmarkStart w:id="61" w:name="_Toc28874853"/>
      <w:r>
        <w:t>A</w:t>
      </w:r>
      <w:r>
        <w:t>.</w:t>
      </w:r>
      <w:r>
        <w:tab/>
        <w:t xml:space="preserve">IGS’s proposal </w:t>
      </w:r>
      <w:r w:rsidR="006F53F0">
        <w:t xml:space="preserve">to increase </w:t>
      </w:r>
      <w:r w:rsidR="00C550B7">
        <w:t>DP&amp;L’s</w:t>
      </w:r>
      <w:r w:rsidR="006F53F0">
        <w:t xml:space="preserve"> standard offer rate </w:t>
      </w:r>
      <w:r>
        <w:t>harms customers and is not in the public interest.</w:t>
      </w:r>
      <w:bookmarkEnd w:id="55"/>
      <w:bookmarkEnd w:id="56"/>
      <w:bookmarkEnd w:id="57"/>
      <w:bookmarkEnd w:id="58"/>
      <w:bookmarkEnd w:id="59"/>
      <w:bookmarkEnd w:id="60"/>
      <w:bookmarkEnd w:id="61"/>
    </w:p>
    <w:p w:rsidR="000F2E3D" w:rsidP="000A4D2C" w14:paraId="447D6CB0" w14:textId="1DF6134C">
      <w:pPr>
        <w:ind w:firstLine="720"/>
        <w:contextualSpacing/>
      </w:pPr>
      <w:r>
        <w:t xml:space="preserve">The PUCO should </w:t>
      </w:r>
      <w:r w:rsidR="00C550B7">
        <w:t xml:space="preserve">reject IGS’s proposal to </w:t>
      </w:r>
      <w:r>
        <w:t xml:space="preserve">establish a </w:t>
      </w:r>
      <w:r w:rsidR="00B15911">
        <w:t xml:space="preserve">collection </w:t>
      </w:r>
      <w:r>
        <w:t xml:space="preserve">mechanism to </w:t>
      </w:r>
      <w:r w:rsidR="00B15911">
        <w:t xml:space="preserve">charge </w:t>
      </w:r>
      <w:r w:rsidR="00C550B7">
        <w:t>DP&amp;L</w:t>
      </w:r>
      <w:r w:rsidR="00B15911">
        <w:t xml:space="preserve"> customers more for the standard service offer.</w:t>
      </w:r>
      <w:r>
        <w:rPr>
          <w:rStyle w:val="FootnoteReference"/>
        </w:rPr>
        <w:footnoteReference w:id="19"/>
      </w:r>
      <w:r>
        <w:t xml:space="preserve"> Doing so </w:t>
      </w:r>
      <w:r w:rsidR="006428AA">
        <w:t xml:space="preserve">harms customers and </w:t>
      </w:r>
      <w:r>
        <w:t xml:space="preserve">is </w:t>
      </w:r>
      <w:r w:rsidR="001D1180">
        <w:t>against</w:t>
      </w:r>
      <w:r>
        <w:t xml:space="preserve"> the public interest. </w:t>
      </w:r>
    </w:p>
    <w:p w:rsidR="000A4D2C" w:rsidP="000A4D2C" w14:paraId="23531FF0" w14:textId="2F7F740A">
      <w:pPr>
        <w:ind w:firstLine="720"/>
        <w:contextualSpacing/>
      </w:pPr>
      <w:r>
        <w:t xml:space="preserve">As OCC witness Willis explained in his testimony, all customers, </w:t>
      </w:r>
      <w:r w:rsidR="009D7153">
        <w:t>both</w:t>
      </w:r>
      <w:r w:rsidR="0096282E">
        <w:t xml:space="preserve"> DP&amp;L customers and marketer customers</w:t>
      </w:r>
      <w:r>
        <w:t>, receive benefits from the existence of the Utility’s default or standard service offer.</w:t>
      </w:r>
      <w:r>
        <w:rPr>
          <w:rStyle w:val="FootnoteReference"/>
        </w:rPr>
        <w:footnoteReference w:id="20"/>
      </w:r>
      <w:r>
        <w:t xml:space="preserve"> Therefore, it is </w:t>
      </w:r>
      <w:r w:rsidR="0096282E">
        <w:t xml:space="preserve">reasonable </w:t>
      </w:r>
      <w:r>
        <w:t>and in the public interest that all customers share in the costs.</w:t>
      </w:r>
    </w:p>
    <w:p w:rsidR="000A4D2C" w:rsidP="000A4D2C" w14:paraId="46FCEDD0" w14:textId="4EC1DB2F">
      <w:pPr>
        <w:ind w:firstLine="720"/>
        <w:contextualSpacing/>
      </w:pPr>
      <w:r>
        <w:t xml:space="preserve">As justification for </w:t>
      </w:r>
      <w:r w:rsidR="00B15911">
        <w:t>its proposal</w:t>
      </w:r>
      <w:r>
        <w:t xml:space="preserve">, IGS claims that it and the Retail Energy Supply Association (“RESA”) identified approximately $12 million in </w:t>
      </w:r>
      <w:r w:rsidR="0096282E">
        <w:t>standard offer</w:t>
      </w:r>
      <w:r>
        <w:t>-related costs included in the most recent base distribution rate case (Case No. 15-1830-EL-AIR) that are allegedly borne by marketer customers.</w:t>
      </w:r>
      <w:r>
        <w:rPr>
          <w:rStyle w:val="FootnoteReference"/>
        </w:rPr>
        <w:footnoteReference w:id="21"/>
      </w:r>
      <w:r>
        <w:t xml:space="preserve"> However, </w:t>
      </w:r>
      <w:r w:rsidR="00685544">
        <w:t xml:space="preserve">as explained in more detail later, </w:t>
      </w:r>
      <w:r>
        <w:t>according to OCC Expert Witness Willis, this is merely a</w:t>
      </w:r>
      <w:r w:rsidR="00B15911">
        <w:t>n</w:t>
      </w:r>
      <w:r>
        <w:t xml:space="preserve"> attempt by IGS to push </w:t>
      </w:r>
      <w:r w:rsidR="00685544">
        <w:t xml:space="preserve">its </w:t>
      </w:r>
      <w:r>
        <w:t xml:space="preserve">costs onto </w:t>
      </w:r>
      <w:r w:rsidR="00BC49E4">
        <w:t>standard offer</w:t>
      </w:r>
      <w:r>
        <w:t xml:space="preserve"> customers.</w:t>
      </w:r>
      <w:r>
        <w:rPr>
          <w:rStyle w:val="FootnoteReference"/>
        </w:rPr>
        <w:footnoteReference w:id="22"/>
      </w:r>
      <w:r>
        <w:t xml:space="preserve"> This result </w:t>
      </w:r>
      <w:r w:rsidR="009D7153">
        <w:t xml:space="preserve">would </w:t>
      </w:r>
      <w:r>
        <w:t>harm default customers and is not in the public interest.</w:t>
      </w:r>
    </w:p>
    <w:p w:rsidR="000A4D2C" w:rsidP="000A4D2C" w14:paraId="703C242B" w14:textId="36C2A30A">
      <w:pPr>
        <w:ind w:firstLine="720"/>
        <w:contextualSpacing/>
      </w:pPr>
      <w:r>
        <w:t xml:space="preserve">OCC Witness Willis testified that the actual net effect of </w:t>
      </w:r>
      <w:r w:rsidR="00EC5024">
        <w:t>IGS’s proposal</w:t>
      </w:r>
      <w:r>
        <w:t xml:space="preserve"> is that millions of dollars per year would be shifted from customers</w:t>
      </w:r>
      <w:r w:rsidR="0080059B">
        <w:t xml:space="preserve"> of marketers like IGS</w:t>
      </w:r>
      <w:r w:rsidR="00372224">
        <w:t xml:space="preserve"> to customers of DP&amp;L.</w:t>
      </w:r>
      <w:r w:rsidR="009F721B">
        <w:t xml:space="preserve"> </w:t>
      </w:r>
      <w:r w:rsidR="00372224">
        <w:t>IGS would</w:t>
      </w:r>
      <w:r w:rsidR="0080059B">
        <w:t xml:space="preserve"> </w:t>
      </w:r>
      <w:r>
        <w:t xml:space="preserve">lower </w:t>
      </w:r>
      <w:r w:rsidR="00BF1512">
        <w:t xml:space="preserve">the </w:t>
      </w:r>
      <w:r>
        <w:t>electric bills</w:t>
      </w:r>
      <w:r w:rsidR="0080059B">
        <w:t xml:space="preserve"> </w:t>
      </w:r>
      <w:r w:rsidR="00372224">
        <w:t>of its and other marketers’</w:t>
      </w:r>
      <w:r w:rsidR="00BF1512">
        <w:t xml:space="preserve"> customers</w:t>
      </w:r>
      <w:r>
        <w:t xml:space="preserve"> </w:t>
      </w:r>
      <w:r w:rsidR="00372224">
        <w:t xml:space="preserve">while raising the electric bills of </w:t>
      </w:r>
      <w:r>
        <w:t>DP&amp;L</w:t>
      </w:r>
      <w:r w:rsidR="009D7153">
        <w:t>’</w:t>
      </w:r>
      <w:r w:rsidR="00372224">
        <w:t>s</w:t>
      </w:r>
      <w:r>
        <w:t xml:space="preserve"> standard service offer customers.</w:t>
      </w:r>
      <w:r>
        <w:rPr>
          <w:rStyle w:val="FootnoteReference"/>
        </w:rPr>
        <w:footnoteReference w:id="23"/>
      </w:r>
      <w:r w:rsidRPr="00013045">
        <w:t xml:space="preserve"> </w:t>
      </w:r>
      <w:r>
        <w:t xml:space="preserve">Further, </w:t>
      </w:r>
      <w:r w:rsidR="009D7153">
        <w:t xml:space="preserve">as </w:t>
      </w:r>
      <w:r>
        <w:t xml:space="preserve">Mr. Willis emphasizes, </w:t>
      </w:r>
      <w:r w:rsidR="009D7153">
        <w:t xml:space="preserve">IGS’s proposal </w:t>
      </w:r>
      <w:r>
        <w:t xml:space="preserve">is harmful to customers paying the standard </w:t>
      </w:r>
      <w:r w:rsidR="00685544">
        <w:t xml:space="preserve">service </w:t>
      </w:r>
      <w:r>
        <w:t xml:space="preserve">offer and </w:t>
      </w:r>
      <w:r w:rsidR="009D7153">
        <w:t xml:space="preserve">it </w:t>
      </w:r>
      <w:r>
        <w:t>is not in the public interest.</w:t>
      </w:r>
      <w:r>
        <w:rPr>
          <w:rStyle w:val="FootnoteReference"/>
        </w:rPr>
        <w:footnoteReference w:id="24"/>
      </w:r>
      <w:r>
        <w:t xml:space="preserve"> As Mr. Willis concludes, DP&amp;L’s </w:t>
      </w:r>
      <w:r w:rsidR="00947CC2">
        <w:t>distribution</w:t>
      </w:r>
      <w:r>
        <w:t xml:space="preserve"> </w:t>
      </w:r>
      <w:r w:rsidR="00B15911">
        <w:t>costs should not be shifted from all customers to just standard offer customers</w:t>
      </w:r>
      <w:r>
        <w:t>, as IGS proposes.</w:t>
      </w:r>
      <w:r>
        <w:rPr>
          <w:rStyle w:val="FootnoteReference"/>
        </w:rPr>
        <w:footnoteReference w:id="25"/>
      </w:r>
    </w:p>
    <w:p w:rsidR="000A4D2C" w:rsidP="000A4D2C" w14:paraId="4E447D22" w14:textId="5D559368">
      <w:pPr>
        <w:ind w:firstLine="720"/>
        <w:contextualSpacing/>
      </w:pPr>
      <w:r>
        <w:t xml:space="preserve">OCC Witness Willis testifies that </w:t>
      </w:r>
      <w:r w:rsidRPr="00A00085">
        <w:t>D</w:t>
      </w:r>
      <w:r>
        <w:t>P&amp;L</w:t>
      </w:r>
      <w:r w:rsidRPr="00A00085">
        <w:t xml:space="preserve">'s competitively bid standard service offer </w:t>
      </w:r>
      <w:r>
        <w:t xml:space="preserve">provides several benefits </w:t>
      </w:r>
      <w:r w:rsidRPr="00A00085">
        <w:t xml:space="preserve">to both </w:t>
      </w:r>
      <w:r>
        <w:t>marketer</w:t>
      </w:r>
      <w:r w:rsidRPr="00A00085">
        <w:t xml:space="preserve"> and </w:t>
      </w:r>
      <w:r>
        <w:t>DP&amp;L</w:t>
      </w:r>
      <w:r w:rsidRPr="00A00085">
        <w:t xml:space="preserve"> customers.</w:t>
      </w:r>
      <w:r>
        <w:rPr>
          <w:rStyle w:val="FootnoteReference"/>
        </w:rPr>
        <w:footnoteReference w:id="26"/>
      </w:r>
      <w:r w:rsidRPr="00A00085">
        <w:t xml:space="preserve"> </w:t>
      </w:r>
      <w:r>
        <w:t xml:space="preserve">One benefit, Mr. Willis explains, is the </w:t>
      </w:r>
      <w:r w:rsidRPr="00A00085">
        <w:t>distribution utility's obligation to stand ready to serve in the event of a supplier default</w:t>
      </w:r>
      <w:r>
        <w:t>, which</w:t>
      </w:r>
      <w:r w:rsidRPr="00A00085">
        <w:t xml:space="preserve"> has been characterized as a provider of last resort.</w:t>
      </w:r>
      <w:r>
        <w:rPr>
          <w:rStyle w:val="FootnoteReference"/>
        </w:rPr>
        <w:footnoteReference w:id="27"/>
      </w:r>
      <w:r>
        <w:t xml:space="preserve"> OCC </w:t>
      </w:r>
      <w:r w:rsidR="007C1380">
        <w:t>W</w:t>
      </w:r>
      <w:r>
        <w:t xml:space="preserve">itness Willis further explains that this obligation ensures </w:t>
      </w:r>
      <w:r w:rsidRPr="00A00085">
        <w:t xml:space="preserve">the standard service </w:t>
      </w:r>
      <w:r>
        <w:t>offer is available to all customers, all the time, no matter what.</w:t>
      </w:r>
      <w:r>
        <w:rPr>
          <w:rStyle w:val="FootnoteReference"/>
        </w:rPr>
        <w:footnoteReference w:id="28"/>
      </w:r>
      <w:r w:rsidR="00955A38">
        <w:t xml:space="preserve"> </w:t>
      </w:r>
      <w:r>
        <w:t>In other words, it</w:t>
      </w:r>
      <w:r w:rsidRPr="00A00085">
        <w:t xml:space="preserve"> provides a safety net for all customers.</w:t>
      </w:r>
      <w:r w:rsidR="00955A38">
        <w:t xml:space="preserve"> </w:t>
      </w:r>
      <w:r w:rsidRPr="00A00085">
        <w:t>If a customer's supplier fails to provide service, the customer receives</w:t>
      </w:r>
      <w:r>
        <w:t xml:space="preserve"> the standard service offer as a</w:t>
      </w:r>
      <w:r w:rsidRPr="00A00085">
        <w:t xml:space="preserve"> default service from the electric distribution utility in that service territory.</w:t>
      </w:r>
      <w:r>
        <w:rPr>
          <w:rStyle w:val="FootnoteReference"/>
        </w:rPr>
        <w:footnoteReference w:id="29"/>
      </w:r>
      <w:r>
        <w:t xml:space="preserve"> Therefore, as Mr. Willis concluded in his testimony, a</w:t>
      </w:r>
      <w:r w:rsidRPr="00A00085">
        <w:t>ll costs that D</w:t>
      </w:r>
      <w:r>
        <w:t>P&amp;L</w:t>
      </w:r>
      <w:r w:rsidRPr="00A00085">
        <w:t xml:space="preserve"> incurs to provide services to or on behalf of </w:t>
      </w:r>
      <w:r>
        <w:t>marketer customers</w:t>
      </w:r>
      <w:r w:rsidRPr="00A00085">
        <w:t xml:space="preserve"> and </w:t>
      </w:r>
      <w:r>
        <w:t>DP&amp;L standard service offer</w:t>
      </w:r>
      <w:r w:rsidRPr="00A00085">
        <w:t xml:space="preserve"> customers are appropriately assigned to the distribution function of D</w:t>
      </w:r>
      <w:r>
        <w:t>P&amp;L</w:t>
      </w:r>
      <w:r w:rsidR="00947CC2">
        <w:t>.</w:t>
      </w:r>
      <w:r w:rsidR="009F721B">
        <w:t xml:space="preserve"> </w:t>
      </w:r>
      <w:r w:rsidR="00947CC2">
        <w:t xml:space="preserve">DP&amp;L’s distribution </w:t>
      </w:r>
      <w:r w:rsidR="009D7153">
        <w:t>service</w:t>
      </w:r>
      <w:r w:rsidR="00947CC2">
        <w:t xml:space="preserve"> costs should not be paid only by one</w:t>
      </w:r>
      <w:r w:rsidR="0058131B">
        <w:t xml:space="preserve"> </w:t>
      </w:r>
      <w:r w:rsidR="00685544">
        <w:t>subsection</w:t>
      </w:r>
      <w:r w:rsidR="00685544">
        <w:t xml:space="preserve"> </w:t>
      </w:r>
      <w:r w:rsidR="0058131B">
        <w:t>of customers</w:t>
      </w:r>
      <w:r w:rsidR="00947CC2">
        <w:t>, as IGS proposes</w:t>
      </w:r>
      <w:r w:rsidR="0058131B">
        <w:t xml:space="preserve">. </w:t>
      </w:r>
    </w:p>
    <w:p w:rsidR="000A4D2C" w:rsidP="000A4D2C" w14:paraId="34815067" w14:textId="2AB96B1D">
      <w:pPr>
        <w:ind w:firstLine="720"/>
        <w:contextualSpacing/>
      </w:pPr>
      <w:r>
        <w:t>A second benefit provided by OCC Witness Willis is that DP&amp;L</w:t>
      </w:r>
      <w:r w:rsidRPr="00A00085">
        <w:t xml:space="preserve"> customers can receive electric service that is competitively bid</w:t>
      </w:r>
      <w:r>
        <w:t xml:space="preserve"> (i.e., the standard service offer)</w:t>
      </w:r>
      <w:r w:rsidRPr="00A00085">
        <w:t xml:space="preserve"> without need</w:t>
      </w:r>
      <w:r>
        <w:t>ing</w:t>
      </w:r>
      <w:r w:rsidRPr="00A00085">
        <w:t xml:space="preserve"> to engage in the time</w:t>
      </w:r>
      <w:r>
        <w:t>-</w:t>
      </w:r>
      <w:r w:rsidRPr="00A00085">
        <w:t>consuming</w:t>
      </w:r>
      <w:r>
        <w:t xml:space="preserve"> and</w:t>
      </w:r>
      <w:r w:rsidRPr="00A00085">
        <w:t xml:space="preserve"> sometimes confusing process of selecting an alternative supplier.</w:t>
      </w:r>
      <w:r>
        <w:rPr>
          <w:rStyle w:val="FootnoteReference"/>
        </w:rPr>
        <w:footnoteReference w:id="30"/>
      </w:r>
      <w:r w:rsidR="00955A38">
        <w:t xml:space="preserve"> </w:t>
      </w:r>
      <w:r>
        <w:t>Mr. Willis testified that the standard service offer also provides the benefit of a competitive price-to-compare that all customers can use to evaluate marketer offers when deciding whether to shop for their generation.</w:t>
      </w:r>
      <w:r>
        <w:rPr>
          <w:rStyle w:val="FootnoteReference"/>
        </w:rPr>
        <w:footnoteReference w:id="31"/>
      </w:r>
      <w:r>
        <w:t xml:space="preserve"> Marketer</w:t>
      </w:r>
      <w:r w:rsidRPr="00A00085">
        <w:t xml:space="preserve"> customers </w:t>
      </w:r>
      <w:r>
        <w:t xml:space="preserve">can receive that same </w:t>
      </w:r>
      <w:r w:rsidRPr="00A00085">
        <w:t>benefit</w:t>
      </w:r>
      <w:r>
        <w:t xml:space="preserve"> even when they consider competitive choices (i.e. they are not required to shop</w:t>
      </w:r>
      <w:r w:rsidR="007C1380">
        <w:t>; i</w:t>
      </w:r>
      <w:r>
        <w:t>f they want default service, it’s there).</w:t>
      </w:r>
      <w:r>
        <w:rPr>
          <w:rStyle w:val="FootnoteReference"/>
        </w:rPr>
        <w:footnoteReference w:id="32"/>
      </w:r>
      <w:r>
        <w:t xml:space="preserve"> </w:t>
      </w:r>
    </w:p>
    <w:p w:rsidR="000A4D2C" w:rsidP="000A4D2C" w14:paraId="5FF64B18" w14:textId="77777777">
      <w:pPr>
        <w:ind w:firstLine="720"/>
        <w:contextualSpacing/>
      </w:pPr>
      <w:r>
        <w:t>Mr. Willis also emphasized that although shopping, marketer customers still benefit</w:t>
      </w:r>
      <w:r w:rsidRPr="00A00085">
        <w:t xml:space="preserve"> from the standard service offer because they have a safety net in case the supplier they have chosen defaults.</w:t>
      </w:r>
      <w:r>
        <w:rPr>
          <w:rStyle w:val="FootnoteReference"/>
        </w:rPr>
        <w:footnoteReference w:id="33"/>
      </w:r>
      <w:r>
        <w:t xml:space="preserve"> The safety net provides that they will be placed on the default standard service offer if this happens, so they will not be without service.</w:t>
      </w:r>
      <w:r>
        <w:rPr>
          <w:rStyle w:val="FootnoteReference"/>
        </w:rPr>
        <w:footnoteReference w:id="34"/>
      </w:r>
      <w:r>
        <w:t xml:space="preserve"> This is a benefit that all customers have, but under IGS’s proposal, the shopping customers would not have to pay for it.</w:t>
      </w:r>
      <w:r>
        <w:rPr>
          <w:rStyle w:val="FootnoteReference"/>
        </w:rPr>
        <w:footnoteReference w:id="35"/>
      </w:r>
    </w:p>
    <w:p w:rsidR="000A4D2C" w:rsidP="000A4D2C" w14:paraId="06ABC318" w14:textId="3DA317DD">
      <w:pPr>
        <w:ind w:firstLine="720"/>
        <w:contextualSpacing/>
      </w:pPr>
      <w:r>
        <w:t>OCC Expert Witness Willis concluded that all customers benefit from standard offer service,</w:t>
      </w:r>
      <w:r w:rsidRPr="00A00085">
        <w:t xml:space="preserve"> </w:t>
      </w:r>
      <w:r>
        <w:t xml:space="preserve">therefore </w:t>
      </w:r>
      <w:r w:rsidRPr="00A00085">
        <w:t>all customers should share in the costs of providing and administering the standard service offer.</w:t>
      </w:r>
      <w:r>
        <w:rPr>
          <w:rStyle w:val="FootnoteReference"/>
        </w:rPr>
        <w:footnoteReference w:id="36"/>
      </w:r>
      <w:r w:rsidR="00955A38">
        <w:t xml:space="preserve"> </w:t>
      </w:r>
      <w:r>
        <w:t xml:space="preserve">This approach </w:t>
      </w:r>
      <w:r w:rsidR="00947CC2">
        <w:t>is</w:t>
      </w:r>
      <w:r>
        <w:t xml:space="preserve"> more in the public interest</w:t>
      </w:r>
      <w:r w:rsidR="00947CC2">
        <w:t xml:space="preserve"> tha</w:t>
      </w:r>
      <w:r w:rsidR="007C1380">
        <w:t>n</w:t>
      </w:r>
      <w:r w:rsidR="00947CC2">
        <w:t xml:space="preserve"> IGS’s proposal, where only a subset of customers would pay standard service offer costs</w:t>
      </w:r>
      <w:r>
        <w:t>.</w:t>
      </w:r>
      <w:r>
        <w:rPr>
          <w:rStyle w:val="FootnoteReference"/>
        </w:rPr>
        <w:footnoteReference w:id="37"/>
      </w:r>
      <w:r w:rsidR="00955A38">
        <w:t xml:space="preserve"> </w:t>
      </w:r>
      <w:r>
        <w:t>Therefore, the</w:t>
      </w:r>
      <w:r w:rsidRPr="00CE3E20">
        <w:t xml:space="preserve"> PUCO should deny IGS’s proposal to </w:t>
      </w:r>
      <w:r>
        <w:t xml:space="preserve">unbundle costs associated with standard service offer rates. </w:t>
      </w:r>
    </w:p>
    <w:p w:rsidR="000A4D2C" w:rsidP="00A52FDD" w14:paraId="06682E5D" w14:textId="02E97BDE">
      <w:pPr>
        <w:pStyle w:val="Heading3"/>
        <w:numPr>
          <w:ilvl w:val="0"/>
          <w:numId w:val="0"/>
        </w:numPr>
        <w:ind w:left="2160" w:right="0" w:hanging="720"/>
      </w:pPr>
      <w:bookmarkStart w:id="62" w:name="_Toc28262255"/>
      <w:bookmarkStart w:id="63" w:name="_Toc28262611"/>
      <w:bookmarkStart w:id="64" w:name="_Toc28262688"/>
      <w:bookmarkStart w:id="65" w:name="_Toc28262976"/>
      <w:bookmarkStart w:id="66" w:name="_Toc28265327"/>
      <w:bookmarkStart w:id="67" w:name="_Toc28265597"/>
      <w:bookmarkStart w:id="68" w:name="_Toc28874854"/>
      <w:r>
        <w:t>B</w:t>
      </w:r>
      <w:r>
        <w:t>.</w:t>
      </w:r>
      <w:r>
        <w:tab/>
        <w:t xml:space="preserve">IGS’s proposal </w:t>
      </w:r>
      <w:r w:rsidR="006F53F0">
        <w:t xml:space="preserve">to increase the standard offer rate </w:t>
      </w:r>
      <w:r>
        <w:t>violates the important regulatory principle of cost causation</w:t>
      </w:r>
      <w:r w:rsidR="00372224">
        <w:t xml:space="preserve"> (where those who cause costs, pay costs)</w:t>
      </w:r>
      <w:r w:rsidR="00DF5069">
        <w:t>, thus harming consumers</w:t>
      </w:r>
      <w:r>
        <w:t>.</w:t>
      </w:r>
      <w:bookmarkEnd w:id="62"/>
      <w:bookmarkEnd w:id="63"/>
      <w:bookmarkEnd w:id="64"/>
      <w:bookmarkEnd w:id="65"/>
      <w:bookmarkEnd w:id="66"/>
      <w:bookmarkEnd w:id="67"/>
      <w:bookmarkEnd w:id="68"/>
    </w:p>
    <w:p w:rsidR="000A4D2C" w:rsidP="000A4D2C" w14:paraId="65C75390" w14:textId="452A90BE">
      <w:pPr>
        <w:suppressLineNumbers/>
        <w:ind w:firstLine="720"/>
      </w:pPr>
      <w:r>
        <w:t>IGS’s proposal violates the regulatory principle of cost causation.</w:t>
      </w:r>
      <w:r w:rsidR="00955A38">
        <w:t xml:space="preserve"> </w:t>
      </w:r>
      <w:r>
        <w:t xml:space="preserve">The proposal shifts certain costs onto </w:t>
      </w:r>
      <w:r w:rsidR="00372224">
        <w:t>DP&amp;L’s standard offer</w:t>
      </w:r>
      <w:r>
        <w:t xml:space="preserve"> customers (and away from </w:t>
      </w:r>
      <w:r w:rsidR="00372224">
        <w:t xml:space="preserve">marketer </w:t>
      </w:r>
      <w:r>
        <w:t>customers)</w:t>
      </w:r>
      <w:r w:rsidR="00947CC2">
        <w:t>.</w:t>
      </w:r>
      <w:r>
        <w:t xml:space="preserve"> </w:t>
      </w:r>
      <w:r w:rsidR="009D7153">
        <w:t>Under IGS’s proposal, m</w:t>
      </w:r>
      <w:r>
        <w:t>arketer</w:t>
      </w:r>
      <w:r w:rsidR="009D7153">
        <w:t xml:space="preserve"> </w:t>
      </w:r>
      <w:r>
        <w:t xml:space="preserve">customers </w:t>
      </w:r>
      <w:r w:rsidR="00947CC2">
        <w:t xml:space="preserve">would </w:t>
      </w:r>
      <w:r w:rsidR="009D7153">
        <w:t>continue</w:t>
      </w:r>
      <w:r w:rsidR="00947CC2">
        <w:t xml:space="preserve"> </w:t>
      </w:r>
      <w:r>
        <w:t xml:space="preserve">receiving the same benefit of </w:t>
      </w:r>
      <w:r w:rsidR="009D7153">
        <w:t xml:space="preserve">standard-offer </w:t>
      </w:r>
      <w:r>
        <w:t xml:space="preserve">service as a </w:t>
      </w:r>
      <w:r w:rsidR="009D7153">
        <w:t xml:space="preserve">default </w:t>
      </w:r>
      <w:r>
        <w:t xml:space="preserve">safety </w:t>
      </w:r>
      <w:r w:rsidR="00F55FE9">
        <w:t>net and</w:t>
      </w:r>
      <w:r>
        <w:t xml:space="preserve"> </w:t>
      </w:r>
      <w:r w:rsidR="00947CC2">
        <w:t xml:space="preserve">would still be </w:t>
      </w:r>
      <w:r>
        <w:t xml:space="preserve">part of the cost causation of default </w:t>
      </w:r>
      <w:r w:rsidR="00060E81">
        <w:t xml:space="preserve">(standard offer) </w:t>
      </w:r>
      <w:r>
        <w:t>service</w:t>
      </w:r>
      <w:r w:rsidR="00060E81">
        <w:t>.</w:t>
      </w:r>
      <w:r>
        <w:t xml:space="preserve"> </w:t>
      </w:r>
      <w:r w:rsidR="00060E81">
        <w:t>B</w:t>
      </w:r>
      <w:r>
        <w:t xml:space="preserve">ut </w:t>
      </w:r>
      <w:r w:rsidR="00060E81">
        <w:t xml:space="preserve">IGS would have its customers and other marketer customers avoid </w:t>
      </w:r>
      <w:r>
        <w:t>paying for it.</w:t>
      </w:r>
      <w:r w:rsidR="00060E81">
        <w:t xml:space="preserve"> That is wrong.</w:t>
      </w:r>
    </w:p>
    <w:p w:rsidR="000A4D2C" w:rsidP="000A4D2C" w14:paraId="2ADDBAD8" w14:textId="34D7572C">
      <w:pPr>
        <w:ind w:firstLine="720"/>
      </w:pPr>
      <w:r>
        <w:t xml:space="preserve">IGS’s proposal violates the principle of cost causation because only the standard </w:t>
      </w:r>
      <w:r w:rsidR="0058131B">
        <w:t xml:space="preserve">service </w:t>
      </w:r>
      <w:r>
        <w:t>offer customers will be paying for it</w:t>
      </w:r>
      <w:r w:rsidRPr="00372224" w:rsidR="00372224">
        <w:t xml:space="preserve"> </w:t>
      </w:r>
      <w:r w:rsidR="00372224">
        <w:t>despite all customers having the benefit of default service</w:t>
      </w:r>
      <w:r>
        <w:t>.</w:t>
      </w:r>
      <w:r w:rsidR="00955A38">
        <w:t xml:space="preserve"> </w:t>
      </w:r>
      <w:r>
        <w:t xml:space="preserve">IGS’s proposals would only benefit marketers generally, and IGS specifically. By increasing DP&amp;L’s rate against which IGS competes for customers, IGS’s proposals </w:t>
      </w:r>
      <w:r w:rsidR="00060E81">
        <w:t>c</w:t>
      </w:r>
      <w:r>
        <w:t xml:space="preserve">ould create increased margins that make competing against DP&amp;L’s standard offer easier (and more profitable) for the marketers. Therefore, the PUCO should reject IGS’s proposal. </w:t>
      </w:r>
    </w:p>
    <w:p w:rsidR="000A4D2C" w:rsidP="000A4D2C" w14:paraId="1755A9CB" w14:textId="77777777">
      <w:pPr>
        <w:spacing w:line="240" w:lineRule="auto"/>
        <w:ind w:firstLine="720"/>
      </w:pPr>
    </w:p>
    <w:p w:rsidR="000A4D2C" w:rsidRPr="00A329C2" w:rsidP="000A4D2C" w14:paraId="4C5F8280" w14:textId="4EEA1615">
      <w:pPr>
        <w:pStyle w:val="Heading1"/>
        <w:rPr>
          <w:rFonts w:cs="Times New Roman"/>
        </w:rPr>
      </w:pPr>
      <w:bookmarkStart w:id="69" w:name="_Toc8388001"/>
      <w:bookmarkStart w:id="70" w:name="_Toc28262256"/>
      <w:bookmarkStart w:id="71" w:name="_Toc28262612"/>
      <w:bookmarkStart w:id="72" w:name="_Toc28262689"/>
      <w:bookmarkStart w:id="73" w:name="_Toc28262977"/>
      <w:bookmarkStart w:id="74" w:name="_Toc28265328"/>
      <w:bookmarkStart w:id="75" w:name="_Toc28265598"/>
      <w:bookmarkStart w:id="76" w:name="_Toc28874855"/>
      <w:r w:rsidRPr="00A329C2">
        <w:rPr>
          <w:rFonts w:eastAsia="Times New Roman" w:cs="Times New Roman"/>
        </w:rPr>
        <w:t>V.</w:t>
      </w:r>
      <w:r w:rsidRPr="00A329C2">
        <w:rPr>
          <w:rFonts w:eastAsia="Times New Roman" w:cs="Times New Roman"/>
        </w:rPr>
        <w:tab/>
        <w:t>CONCLUSION</w:t>
      </w:r>
      <w:bookmarkEnd w:id="69"/>
      <w:bookmarkEnd w:id="70"/>
      <w:bookmarkEnd w:id="71"/>
      <w:bookmarkEnd w:id="72"/>
      <w:bookmarkEnd w:id="73"/>
      <w:bookmarkEnd w:id="74"/>
      <w:bookmarkEnd w:id="75"/>
      <w:bookmarkEnd w:id="76"/>
    </w:p>
    <w:p w:rsidR="00372224" w:rsidP="000A4D2C" w14:paraId="5B7801C0" w14:textId="56F72A52">
      <w:pPr>
        <w:ind w:firstLine="720"/>
        <w:contextualSpacing/>
      </w:pPr>
      <w:r>
        <w:t xml:space="preserve">To protect the public interest, </w:t>
      </w:r>
      <w:r w:rsidR="00D709A8">
        <w:t>IGS’s Application for Rehearing</w:t>
      </w:r>
      <w:r>
        <w:t xml:space="preserve"> </w:t>
      </w:r>
      <w:r w:rsidR="00D709A8">
        <w:t>should be rejected</w:t>
      </w:r>
      <w:r>
        <w:t xml:space="preserve">. IGS is attempting, yet again, to litigate issues from </w:t>
      </w:r>
      <w:r w:rsidR="00060E81">
        <w:t xml:space="preserve">a </w:t>
      </w:r>
      <w:r>
        <w:t>past DP&amp;L rate case.</w:t>
      </w:r>
      <w:r w:rsidR="00955A38">
        <w:t xml:space="preserve"> </w:t>
      </w:r>
      <w:r w:rsidR="00D709A8">
        <w:t xml:space="preserve">As the PUCO correctly found in its Supplemental Opinion and Order, IGS should not be allowed </w:t>
      </w:r>
      <w:r w:rsidR="00060E81">
        <w:t xml:space="preserve">another bite at the apple </w:t>
      </w:r>
      <w:r w:rsidR="00D709A8">
        <w:t xml:space="preserve">to relitigate </w:t>
      </w:r>
      <w:r w:rsidR="006F53F0">
        <w:t xml:space="preserve">these same </w:t>
      </w:r>
      <w:r w:rsidR="00D709A8">
        <w:t>issues from DP&amp;L’s rate case.</w:t>
      </w:r>
      <w:r w:rsidR="00955A38">
        <w:t xml:space="preserve"> </w:t>
      </w:r>
    </w:p>
    <w:p w:rsidR="000A4D2C" w:rsidRPr="00A329C2" w:rsidP="000A4D2C" w14:paraId="4BAED6BF" w14:textId="3AF795CF">
      <w:pPr>
        <w:ind w:firstLine="720"/>
        <w:contextualSpacing/>
        <w:rPr>
          <w:rFonts w:cs="Times New Roman"/>
          <w:szCs w:val="24"/>
        </w:rPr>
      </w:pPr>
      <w:r>
        <w:t xml:space="preserve">Additionally, </w:t>
      </w:r>
      <w:r w:rsidR="00372224">
        <w:t xml:space="preserve">there are substantive reasons to reject IGS’s </w:t>
      </w:r>
      <w:r w:rsidR="007129D9">
        <w:t>Application for Rehearing</w:t>
      </w:r>
      <w:r w:rsidR="00372224">
        <w:t>, as explained above.</w:t>
      </w:r>
      <w:r w:rsidR="007129D9">
        <w:t xml:space="preserve"> </w:t>
      </w:r>
      <w:r w:rsidR="00372224">
        <w:t xml:space="preserve">But </w:t>
      </w:r>
      <w:r w:rsidR="007129D9">
        <w:t xml:space="preserve">IGS does not address </w:t>
      </w:r>
      <w:r w:rsidR="00DF5069">
        <w:t>th</w:t>
      </w:r>
      <w:r w:rsidR="00372224">
        <w:t>ose</w:t>
      </w:r>
      <w:r w:rsidR="00DF5069">
        <w:t xml:space="preserve"> substantive reasons </w:t>
      </w:r>
      <w:r w:rsidR="00372224">
        <w:t>that favor</w:t>
      </w:r>
      <w:r w:rsidR="006F53F0">
        <w:t xml:space="preserve"> </w:t>
      </w:r>
      <w:r w:rsidR="00F62BC1">
        <w:t>rejecting</w:t>
      </w:r>
      <w:r w:rsidR="00DF5069">
        <w:t xml:space="preserve"> its proposal</w:t>
      </w:r>
      <w:r w:rsidR="006F53F0">
        <w:t xml:space="preserve"> to increase the standard offer rate that customers pay</w:t>
      </w:r>
      <w:r w:rsidR="000443EC">
        <w:t>.</w:t>
      </w:r>
      <w:r w:rsidR="00955A38">
        <w:t xml:space="preserve"> </w:t>
      </w:r>
      <w:r w:rsidR="00DF5069">
        <w:t>IGS’s Application for Rehearing should be denied</w:t>
      </w:r>
      <w:r w:rsidR="00372224">
        <w:t>.</w:t>
      </w:r>
      <w:r>
        <w:t xml:space="preserve"> </w:t>
      </w:r>
    </w:p>
    <w:p w:rsidR="000A4D2C" w:rsidP="000A4D2C" w14:paraId="0D7136EE" w14:textId="77777777">
      <w:pPr>
        <w:spacing w:line="240" w:lineRule="auto"/>
        <w:ind w:left="4320"/>
        <w:rPr>
          <w:rFonts w:cs="Times New Roman"/>
          <w:szCs w:val="24"/>
        </w:rPr>
      </w:pPr>
    </w:p>
    <w:p w:rsidR="000A4D2C" w:rsidP="000A4D2C" w14:paraId="4B54FE42" w14:textId="77777777">
      <w:pPr>
        <w:spacing w:line="240" w:lineRule="auto"/>
        <w:ind w:left="4320"/>
        <w:rPr>
          <w:rFonts w:cs="Times New Roman"/>
          <w:szCs w:val="24"/>
        </w:rPr>
      </w:pPr>
      <w:r>
        <w:rPr>
          <w:rFonts w:cs="Times New Roman"/>
          <w:szCs w:val="24"/>
        </w:rPr>
        <w:t>Respectfully submitted,</w:t>
      </w:r>
    </w:p>
    <w:p w:rsidR="000A4D2C" w:rsidP="000A4D2C" w14:paraId="16AB13DA" w14:textId="77777777">
      <w:pPr>
        <w:spacing w:line="240" w:lineRule="auto"/>
        <w:ind w:left="4320"/>
        <w:rPr>
          <w:rFonts w:cs="Times New Roman"/>
          <w:szCs w:val="24"/>
        </w:rPr>
      </w:pPr>
    </w:p>
    <w:p w:rsidR="000A4D2C" w:rsidRPr="00517C65" w:rsidP="000A4D2C" w14:paraId="3C255EEC" w14:textId="77777777">
      <w:pPr>
        <w:tabs>
          <w:tab w:val="left" w:pos="4320"/>
        </w:tabs>
        <w:overflowPunct w:val="0"/>
        <w:autoSpaceDE w:val="0"/>
        <w:autoSpaceDN w:val="0"/>
        <w:adjustRightInd w:val="0"/>
        <w:spacing w:line="240" w:lineRule="auto"/>
        <w:ind w:left="4320"/>
        <w:textAlignment w:val="baseline"/>
        <w:rPr>
          <w:rFonts w:eastAsia="Times New Roman" w:cs="Times New Roman"/>
          <w:szCs w:val="24"/>
        </w:rPr>
      </w:pPr>
      <w:r w:rsidRPr="00517C65">
        <w:rPr>
          <w:rFonts w:eastAsia="Times New Roman" w:cs="Times New Roman"/>
          <w:szCs w:val="24"/>
        </w:rPr>
        <w:t>Bruce Weston (0016973)</w:t>
      </w:r>
    </w:p>
    <w:p w:rsidR="000A4D2C" w:rsidRPr="00517C65" w:rsidP="000A4D2C" w14:paraId="00B75D94" w14:textId="77777777">
      <w:pPr>
        <w:tabs>
          <w:tab w:val="left" w:pos="4320"/>
        </w:tabs>
        <w:spacing w:line="240" w:lineRule="auto"/>
        <w:ind w:left="4320"/>
        <w:rPr>
          <w:rFonts w:eastAsia="Times New Roman" w:cs="Times New Roman"/>
          <w:szCs w:val="24"/>
        </w:rPr>
      </w:pPr>
      <w:r w:rsidRPr="00517C65">
        <w:rPr>
          <w:rFonts w:eastAsia="Times New Roman" w:cs="Times New Roman"/>
          <w:szCs w:val="24"/>
        </w:rPr>
        <w:t>Ohio Consumers’ Counsel</w:t>
      </w:r>
    </w:p>
    <w:p w:rsidR="000A4D2C" w:rsidRPr="00517C65" w:rsidP="000A4D2C" w14:paraId="158DA214" w14:textId="77777777">
      <w:pPr>
        <w:tabs>
          <w:tab w:val="left" w:pos="4320"/>
        </w:tabs>
        <w:spacing w:line="240" w:lineRule="auto"/>
        <w:ind w:left="4320"/>
        <w:rPr>
          <w:rFonts w:eastAsia="Times New Roman" w:cs="Times New Roman"/>
          <w:szCs w:val="24"/>
        </w:rPr>
      </w:pPr>
      <w:r w:rsidRPr="00517C65">
        <w:rPr>
          <w:rFonts w:eastAsia="Times New Roman" w:cs="Times New Roman"/>
          <w:szCs w:val="24"/>
        </w:rPr>
        <w:tab/>
      </w:r>
    </w:p>
    <w:p w:rsidR="000A4D2C" w:rsidRPr="00084D2A" w:rsidP="000A4D2C" w14:paraId="758F8C4A" w14:textId="1F51CB9A">
      <w:pPr>
        <w:tabs>
          <w:tab w:val="left" w:pos="4320"/>
        </w:tabs>
        <w:spacing w:line="240" w:lineRule="auto"/>
        <w:ind w:left="4320"/>
        <w:rPr>
          <w:rFonts w:eastAsia="Times New Roman" w:cs="Times New Roman"/>
          <w:i/>
          <w:szCs w:val="24"/>
          <w:u w:val="single"/>
        </w:rPr>
      </w:pPr>
      <w:r>
        <w:rPr>
          <w:rFonts w:eastAsia="Times New Roman" w:cs="Times New Roman"/>
          <w:i/>
          <w:szCs w:val="24"/>
          <w:u w:val="single"/>
        </w:rPr>
        <w:t>/s/ William J. Michael</w:t>
      </w:r>
      <w:r w:rsidR="00955A38">
        <w:rPr>
          <w:rFonts w:eastAsia="Times New Roman" w:cs="Times New Roman"/>
          <w:i/>
          <w:szCs w:val="24"/>
          <w:u w:val="single"/>
        </w:rPr>
        <w:tab/>
      </w:r>
      <w:r w:rsidR="00955A38">
        <w:rPr>
          <w:rFonts w:eastAsia="Times New Roman" w:cs="Times New Roman"/>
          <w:i/>
          <w:szCs w:val="24"/>
          <w:u w:val="single"/>
        </w:rPr>
        <w:tab/>
      </w:r>
    </w:p>
    <w:p w:rsidR="000A4D2C" w:rsidRPr="00517C65" w:rsidP="000A4D2C" w14:paraId="1F05F2FA" w14:textId="77777777">
      <w:pPr>
        <w:tabs>
          <w:tab w:val="left" w:pos="4320"/>
        </w:tabs>
        <w:spacing w:line="240" w:lineRule="auto"/>
        <w:ind w:left="4320"/>
        <w:rPr>
          <w:rFonts w:eastAsia="Times New Roman" w:cs="Times New Roman"/>
          <w:szCs w:val="24"/>
        </w:rPr>
      </w:pPr>
      <w:r w:rsidRPr="00517C65">
        <w:rPr>
          <w:rFonts w:eastAsia="Times New Roman" w:cs="Times New Roman"/>
          <w:szCs w:val="24"/>
        </w:rPr>
        <w:t>William J. Michael, (0070921)</w:t>
      </w:r>
    </w:p>
    <w:p w:rsidR="000A4D2C" w:rsidRPr="00517C65" w:rsidP="000A4D2C" w14:paraId="424714E5" w14:textId="77777777">
      <w:pPr>
        <w:tabs>
          <w:tab w:val="left" w:pos="4320"/>
        </w:tabs>
        <w:spacing w:line="240" w:lineRule="auto"/>
        <w:ind w:left="4320"/>
        <w:rPr>
          <w:rFonts w:eastAsia="Times New Roman" w:cs="Times New Roman"/>
          <w:szCs w:val="24"/>
        </w:rPr>
      </w:pPr>
      <w:r w:rsidRPr="00517C65">
        <w:rPr>
          <w:rFonts w:eastAsia="Times New Roman" w:cs="Times New Roman"/>
          <w:szCs w:val="24"/>
        </w:rPr>
        <w:t>Counsel of Record</w:t>
      </w:r>
    </w:p>
    <w:p w:rsidR="000A4D2C" w:rsidRPr="00517C65" w:rsidP="000A4D2C" w14:paraId="3BF9783F" w14:textId="77777777">
      <w:pPr>
        <w:tabs>
          <w:tab w:val="left" w:pos="4320"/>
        </w:tabs>
        <w:spacing w:line="240" w:lineRule="auto"/>
        <w:ind w:left="4320"/>
        <w:rPr>
          <w:rFonts w:eastAsia="Times New Roman" w:cs="Times New Roman"/>
          <w:szCs w:val="24"/>
        </w:rPr>
      </w:pPr>
      <w:r>
        <w:rPr>
          <w:rFonts w:eastAsia="Times New Roman" w:cs="Times New Roman"/>
          <w:szCs w:val="24"/>
        </w:rPr>
        <w:t>Ambrosia E. Logsdon</w:t>
      </w:r>
      <w:r w:rsidRPr="00517C65">
        <w:rPr>
          <w:rFonts w:eastAsia="Times New Roman" w:cs="Times New Roman"/>
          <w:szCs w:val="24"/>
        </w:rPr>
        <w:t xml:space="preserve"> (00</w:t>
      </w:r>
      <w:r>
        <w:rPr>
          <w:rFonts w:eastAsia="Times New Roman" w:cs="Times New Roman"/>
          <w:szCs w:val="24"/>
        </w:rPr>
        <w:t>96598</w:t>
      </w:r>
      <w:r w:rsidRPr="00517C65">
        <w:rPr>
          <w:rFonts w:eastAsia="Times New Roman" w:cs="Times New Roman"/>
          <w:szCs w:val="24"/>
        </w:rPr>
        <w:t>)</w:t>
      </w:r>
    </w:p>
    <w:p w:rsidR="000A4D2C" w:rsidRPr="00517C65" w:rsidP="000A4D2C" w14:paraId="6C86E7AB" w14:textId="77777777">
      <w:pPr>
        <w:tabs>
          <w:tab w:val="left" w:pos="4320"/>
        </w:tabs>
        <w:spacing w:line="240" w:lineRule="auto"/>
        <w:ind w:left="4320"/>
        <w:rPr>
          <w:rFonts w:eastAsia="Times New Roman" w:cs="Times New Roman"/>
          <w:szCs w:val="24"/>
        </w:rPr>
      </w:pPr>
      <w:r w:rsidRPr="00517C65">
        <w:rPr>
          <w:rFonts w:eastAsia="Times New Roman" w:cs="Times New Roman"/>
          <w:szCs w:val="24"/>
        </w:rPr>
        <w:t>Assistant Consumers’ Counsel</w:t>
      </w:r>
    </w:p>
    <w:p w:rsidR="000A4D2C" w:rsidRPr="00517C65" w:rsidP="000A4D2C" w14:paraId="0E7282B6" w14:textId="77777777">
      <w:pPr>
        <w:tabs>
          <w:tab w:val="left" w:pos="4320"/>
        </w:tabs>
        <w:spacing w:line="240" w:lineRule="auto"/>
        <w:ind w:left="4320"/>
        <w:rPr>
          <w:rFonts w:eastAsia="Times New Roman" w:cs="Times New Roman"/>
          <w:szCs w:val="24"/>
        </w:rPr>
      </w:pPr>
      <w:r w:rsidRPr="00517C65">
        <w:rPr>
          <w:rFonts w:eastAsia="Times New Roman" w:cs="Times New Roman"/>
          <w:szCs w:val="24"/>
        </w:rPr>
        <w:tab/>
      </w:r>
    </w:p>
    <w:p w:rsidR="000A4D2C" w:rsidRPr="00517C65" w:rsidP="000A4D2C" w14:paraId="5A0D2FB2" w14:textId="77777777">
      <w:pPr>
        <w:spacing w:line="240" w:lineRule="auto"/>
        <w:ind w:left="4320"/>
        <w:rPr>
          <w:rFonts w:eastAsia="Times New Roman" w:cs="Times New Roman"/>
          <w:b/>
          <w:szCs w:val="24"/>
        </w:rPr>
      </w:pPr>
      <w:r w:rsidRPr="00517C65">
        <w:rPr>
          <w:rFonts w:eastAsia="Times New Roman" w:cs="Times New Roman"/>
          <w:b/>
          <w:szCs w:val="24"/>
        </w:rPr>
        <w:t>Office of the Ohio Consumers’ Counsel</w:t>
      </w:r>
    </w:p>
    <w:p w:rsidR="000A4D2C" w:rsidRPr="00517C65" w:rsidP="000A4D2C" w14:paraId="46EBA69E" w14:textId="77777777">
      <w:pPr>
        <w:spacing w:line="240" w:lineRule="auto"/>
        <w:ind w:left="4320"/>
        <w:rPr>
          <w:rFonts w:eastAsia="Times New Roman" w:cs="Times New Roman"/>
          <w:szCs w:val="24"/>
        </w:rPr>
      </w:pPr>
      <w:r>
        <w:rPr>
          <w:rFonts w:eastAsia="Times New Roman" w:cs="Times New Roman"/>
          <w:szCs w:val="24"/>
        </w:rPr>
        <w:t>65 East State Street, 7</w:t>
      </w:r>
      <w:r w:rsidRPr="00955A38">
        <w:rPr>
          <w:rFonts w:eastAsia="Times New Roman" w:cs="Times New Roman"/>
          <w:szCs w:val="24"/>
        </w:rPr>
        <w:t>th</w:t>
      </w:r>
      <w:r>
        <w:rPr>
          <w:rFonts w:eastAsia="Times New Roman" w:cs="Times New Roman"/>
          <w:szCs w:val="24"/>
        </w:rPr>
        <w:t xml:space="preserve"> Floor</w:t>
      </w:r>
    </w:p>
    <w:p w:rsidR="000A4D2C" w:rsidRPr="00517C65" w:rsidP="000A4D2C" w14:paraId="5963C4E7" w14:textId="77777777">
      <w:pPr>
        <w:spacing w:line="240" w:lineRule="auto"/>
        <w:ind w:left="4320"/>
        <w:rPr>
          <w:rFonts w:eastAsia="Times New Roman" w:cs="Times New Roman"/>
          <w:b/>
          <w:szCs w:val="24"/>
        </w:rPr>
      </w:pPr>
      <w:r w:rsidRPr="00517C65">
        <w:rPr>
          <w:rFonts w:eastAsia="Times New Roman" w:cs="Times New Roman"/>
          <w:szCs w:val="24"/>
        </w:rPr>
        <w:t>Columbus, Ohio 43215</w:t>
      </w:r>
    </w:p>
    <w:p w:rsidR="000A4D2C" w:rsidRPr="00517C65" w:rsidP="000A4D2C" w14:paraId="6385B306" w14:textId="77777777">
      <w:pPr>
        <w:spacing w:line="240" w:lineRule="auto"/>
        <w:ind w:left="4320"/>
        <w:rPr>
          <w:rFonts w:eastAsia="Times New Roman" w:cs="Times New Roman"/>
          <w:szCs w:val="24"/>
        </w:rPr>
      </w:pPr>
      <w:r w:rsidRPr="00517C65">
        <w:rPr>
          <w:rFonts w:eastAsia="Times New Roman" w:cs="Times New Roman"/>
          <w:szCs w:val="24"/>
        </w:rPr>
        <w:t>Telephone: [Michael] (614) 466-1291</w:t>
      </w:r>
    </w:p>
    <w:p w:rsidR="000A4D2C" w:rsidRPr="00517C65" w:rsidP="000A4D2C" w14:paraId="1B31D69B" w14:textId="77777777">
      <w:pPr>
        <w:spacing w:line="240" w:lineRule="auto"/>
        <w:ind w:left="4320"/>
        <w:rPr>
          <w:rFonts w:eastAsia="Times New Roman" w:cs="Times New Roman"/>
          <w:szCs w:val="24"/>
        </w:rPr>
      </w:pPr>
      <w:r w:rsidRPr="00517C65">
        <w:rPr>
          <w:rFonts w:eastAsia="Times New Roman" w:cs="Times New Roman"/>
          <w:szCs w:val="24"/>
        </w:rPr>
        <w:t>Telephone: [</w:t>
      </w:r>
      <w:r>
        <w:rPr>
          <w:rFonts w:eastAsia="Times New Roman" w:cs="Times New Roman"/>
          <w:szCs w:val="24"/>
        </w:rPr>
        <w:t>Logsdon</w:t>
      </w:r>
      <w:r w:rsidRPr="00517C65">
        <w:rPr>
          <w:rFonts w:eastAsia="Times New Roman" w:cs="Times New Roman"/>
          <w:szCs w:val="24"/>
        </w:rPr>
        <w:t xml:space="preserve">] (614) </w:t>
      </w:r>
      <w:r>
        <w:rPr>
          <w:rFonts w:eastAsia="Times New Roman" w:cs="Times New Roman"/>
          <w:szCs w:val="24"/>
        </w:rPr>
        <w:t>466-1292</w:t>
      </w:r>
    </w:p>
    <w:p w:rsidR="000A4D2C" w:rsidRPr="006C3E00" w:rsidP="000A4D2C" w14:paraId="6202C196" w14:textId="77777777">
      <w:pPr>
        <w:spacing w:line="240" w:lineRule="auto"/>
        <w:ind w:left="4320"/>
        <w:rPr>
          <w:rFonts w:eastAsia="Times New Roman" w:cs="Times New Roman"/>
          <w:color w:val="0000FF"/>
          <w:szCs w:val="24"/>
          <w:u w:val="single"/>
        </w:rPr>
      </w:pPr>
      <w:hyperlink r:id="rId6" w:history="1">
        <w:r w:rsidRPr="006C3E00">
          <w:rPr>
            <w:rStyle w:val="Hyperlink"/>
            <w:rFonts w:eastAsia="Times New Roman" w:cs="Times New Roman"/>
            <w:color w:val="0000FF"/>
            <w:szCs w:val="24"/>
          </w:rPr>
          <w:t>william.michael@occ.ohio.gov</w:t>
        </w:r>
      </w:hyperlink>
    </w:p>
    <w:p w:rsidR="000A4D2C" w:rsidRPr="006C3E00" w:rsidP="000A4D2C" w14:paraId="1EC98A0F" w14:textId="77777777">
      <w:pPr>
        <w:spacing w:line="240" w:lineRule="auto"/>
        <w:ind w:left="4320"/>
        <w:rPr>
          <w:rFonts w:eastAsia="Times New Roman" w:cs="Times New Roman"/>
          <w:color w:val="0000FF"/>
          <w:szCs w:val="24"/>
        </w:rPr>
      </w:pPr>
      <w:r w:rsidRPr="006C3E00">
        <w:rPr>
          <w:rFonts w:eastAsia="Times New Roman" w:cs="Times New Roman"/>
          <w:color w:val="0000FF"/>
          <w:szCs w:val="24"/>
          <w:u w:val="single"/>
        </w:rPr>
        <w:t>ambrosia.logsdon@occ.ohio.gov</w:t>
      </w:r>
    </w:p>
    <w:p w:rsidR="00970FBC" w:rsidP="00970FBC" w14:paraId="37F8C502" w14:textId="0EB12B27">
      <w:pPr>
        <w:spacing w:line="240" w:lineRule="auto"/>
        <w:rPr>
          <w:rFonts w:eastAsia="Times New Roman" w:cs="Times New Roman"/>
          <w:szCs w:val="24"/>
        </w:rPr>
      </w:pPr>
      <w:r>
        <w:rPr>
          <w:rFonts w:eastAsia="Times New Roman" w:cs="Times New Roman"/>
          <w:szCs w:val="24"/>
        </w:rPr>
        <w:tab/>
      </w:r>
      <w:r w:rsidRPr="00517C65">
        <w:rPr>
          <w:rFonts w:eastAsia="Times New Roman" w:cs="Times New Roman"/>
          <w:szCs w:val="24"/>
        </w:rPr>
        <w:tab/>
      </w:r>
      <w:r w:rsidRPr="00517C65">
        <w:rPr>
          <w:rFonts w:eastAsia="Times New Roman" w:cs="Times New Roman"/>
          <w:szCs w:val="24"/>
        </w:rPr>
        <w:tab/>
      </w:r>
      <w:r w:rsidRPr="00517C65">
        <w:rPr>
          <w:rFonts w:eastAsia="Times New Roman" w:cs="Times New Roman"/>
          <w:szCs w:val="24"/>
        </w:rPr>
        <w:tab/>
      </w:r>
      <w:r w:rsidRPr="00517C65">
        <w:rPr>
          <w:rFonts w:eastAsia="Times New Roman" w:cs="Times New Roman"/>
          <w:szCs w:val="24"/>
        </w:rPr>
        <w:tab/>
      </w:r>
      <w:r w:rsidR="00955A38">
        <w:rPr>
          <w:rFonts w:eastAsia="Times New Roman" w:cs="Times New Roman"/>
          <w:szCs w:val="24"/>
        </w:rPr>
        <w:tab/>
      </w:r>
      <w:r w:rsidRPr="00517C65">
        <w:rPr>
          <w:rFonts w:eastAsia="Times New Roman" w:cs="Times New Roman"/>
          <w:szCs w:val="24"/>
        </w:rPr>
        <w:t>(</w:t>
      </w:r>
      <w:r w:rsidR="00955A38">
        <w:rPr>
          <w:rFonts w:eastAsia="Times New Roman" w:cs="Times New Roman"/>
          <w:szCs w:val="24"/>
        </w:rPr>
        <w:t>w</w:t>
      </w:r>
      <w:r w:rsidRPr="00517C65">
        <w:rPr>
          <w:rFonts w:eastAsia="Times New Roman" w:cs="Times New Roman"/>
          <w:szCs w:val="24"/>
        </w:rPr>
        <w:t>ill</w:t>
      </w:r>
      <w:r w:rsidR="00955A38">
        <w:rPr>
          <w:rFonts w:eastAsia="Times New Roman" w:cs="Times New Roman"/>
          <w:szCs w:val="24"/>
        </w:rPr>
        <w:t>ing to</w:t>
      </w:r>
      <w:r w:rsidRPr="00517C65">
        <w:rPr>
          <w:rFonts w:eastAsia="Times New Roman" w:cs="Times New Roman"/>
          <w:szCs w:val="24"/>
        </w:rPr>
        <w:t xml:space="preserve"> accept service </w:t>
      </w:r>
      <w:r w:rsidR="00955A38">
        <w:rPr>
          <w:rFonts w:eastAsia="Times New Roman" w:cs="Times New Roman"/>
          <w:szCs w:val="24"/>
        </w:rPr>
        <w:t>by</w:t>
      </w:r>
      <w:r w:rsidRPr="00517C65">
        <w:rPr>
          <w:rFonts w:eastAsia="Times New Roman" w:cs="Times New Roman"/>
          <w:szCs w:val="24"/>
        </w:rPr>
        <w:t xml:space="preserve"> e</w:t>
      </w:r>
      <w:r w:rsidR="00955A38">
        <w:rPr>
          <w:rFonts w:eastAsia="Times New Roman" w:cs="Times New Roman"/>
          <w:szCs w:val="24"/>
        </w:rPr>
        <w:t>-</w:t>
      </w:r>
      <w:r w:rsidRPr="00517C65">
        <w:rPr>
          <w:rFonts w:eastAsia="Times New Roman" w:cs="Times New Roman"/>
          <w:szCs w:val="24"/>
        </w:rPr>
        <w:t>mail)</w:t>
      </w:r>
    </w:p>
    <w:p w:rsidR="00970FBC" w14:paraId="7551B562" w14:textId="77777777">
      <w:pPr>
        <w:spacing w:after="160" w:line="259" w:lineRule="auto"/>
        <w:rPr>
          <w:rFonts w:eastAsia="Times New Roman" w:cs="Times New Roman"/>
          <w:szCs w:val="24"/>
        </w:rPr>
      </w:pPr>
      <w:r>
        <w:rPr>
          <w:rFonts w:eastAsia="Times New Roman" w:cs="Times New Roman"/>
          <w:szCs w:val="24"/>
        </w:rPr>
        <w:br w:type="page"/>
      </w:r>
    </w:p>
    <w:p w:rsidR="000A4D2C" w:rsidP="00970FBC" w14:paraId="18D9C989" w14:textId="5AA879A5">
      <w:pPr>
        <w:spacing w:line="240" w:lineRule="auto"/>
        <w:jc w:val="center"/>
        <w:rPr>
          <w:rFonts w:cs="Times New Roman"/>
          <w:b/>
          <w:bCs/>
          <w:color w:val="000000"/>
          <w:u w:val="single"/>
        </w:rPr>
      </w:pPr>
      <w:r w:rsidRPr="00A329C2">
        <w:rPr>
          <w:rFonts w:cs="Times New Roman"/>
          <w:b/>
          <w:bCs/>
          <w:color w:val="000000"/>
          <w:u w:val="single"/>
        </w:rPr>
        <w:t>CERTIFICATE OF SERVICE</w:t>
      </w:r>
    </w:p>
    <w:p w:rsidR="00970FBC" w:rsidRPr="00A329C2" w:rsidP="00970FBC" w14:paraId="0C4F9153" w14:textId="77777777">
      <w:pPr>
        <w:spacing w:line="240" w:lineRule="auto"/>
        <w:jc w:val="center"/>
        <w:rPr>
          <w:rFonts w:cs="Times New Roman"/>
          <w:b/>
          <w:bCs/>
          <w:color w:val="000000"/>
          <w:u w:val="single"/>
        </w:rPr>
      </w:pPr>
    </w:p>
    <w:p w:rsidR="000A4D2C" w:rsidRPr="00A329C2" w:rsidP="000A4D2C" w14:paraId="76153D2C" w14:textId="11CCD7B6">
      <w:pPr>
        <w:autoSpaceDE w:val="0"/>
        <w:autoSpaceDN w:val="0"/>
        <w:adjustRightInd w:val="0"/>
        <w:ind w:firstLine="720"/>
        <w:contextualSpacing/>
        <w:rPr>
          <w:rFonts w:cs="Times New Roman"/>
          <w:color w:val="000000"/>
        </w:rPr>
      </w:pPr>
      <w:r w:rsidRPr="00A329C2">
        <w:rPr>
          <w:rFonts w:cs="Times New Roman"/>
          <w:color w:val="000000"/>
        </w:rPr>
        <w:t xml:space="preserve">I hereby certify that a true and accurate copy of the </w:t>
      </w:r>
      <w:r w:rsidR="00F6264A">
        <w:rPr>
          <w:rFonts w:cs="Times New Roman"/>
          <w:color w:val="000000"/>
        </w:rPr>
        <w:t>Memorandum Contra Application for Rehearing of Interstate Gas Supply, Inc.</w:t>
      </w:r>
      <w:r w:rsidRPr="00A329C2">
        <w:rPr>
          <w:rFonts w:cs="Times New Roman"/>
          <w:color w:val="000000"/>
        </w:rPr>
        <w:t xml:space="preserve"> </w:t>
      </w:r>
      <w:r w:rsidRPr="00A329C2">
        <w:rPr>
          <w:rFonts w:cs="Times New Roman"/>
          <w:iCs/>
          <w:color w:val="000000"/>
        </w:rPr>
        <w:t>was</w:t>
      </w:r>
      <w:r w:rsidRPr="00A329C2">
        <w:rPr>
          <w:rFonts w:cs="Times New Roman"/>
          <w:color w:val="000000"/>
        </w:rPr>
        <w:t xml:space="preserve"> served upon the following parties via electronic transmission this</w:t>
      </w:r>
      <w:r>
        <w:rPr>
          <w:rFonts w:cs="Times New Roman"/>
          <w:color w:val="000000"/>
        </w:rPr>
        <w:t xml:space="preserve"> </w:t>
      </w:r>
      <w:r w:rsidR="00F6264A">
        <w:rPr>
          <w:rFonts w:cs="Times New Roman"/>
          <w:color w:val="000000"/>
        </w:rPr>
        <w:t>2nd</w:t>
      </w:r>
      <w:r w:rsidRPr="00A329C2">
        <w:rPr>
          <w:rFonts w:cs="Times New Roman"/>
          <w:color w:val="000000"/>
        </w:rPr>
        <w:t xml:space="preserve"> day of </w:t>
      </w:r>
      <w:r w:rsidR="00F6264A">
        <w:rPr>
          <w:rFonts w:cs="Times New Roman"/>
          <w:color w:val="000000"/>
        </w:rPr>
        <w:t>January</w:t>
      </w:r>
      <w:r w:rsidRPr="00A329C2">
        <w:rPr>
          <w:rFonts w:cs="Times New Roman"/>
          <w:color w:val="000000"/>
        </w:rPr>
        <w:t xml:space="preserve"> 20</w:t>
      </w:r>
      <w:r w:rsidR="00F6264A">
        <w:rPr>
          <w:rFonts w:cs="Times New Roman"/>
          <w:color w:val="000000"/>
        </w:rPr>
        <w:t>20</w:t>
      </w:r>
      <w:r w:rsidRPr="00A329C2">
        <w:rPr>
          <w:rFonts w:cs="Times New Roman"/>
          <w:color w:val="000000"/>
        </w:rPr>
        <w:t>.</w:t>
      </w:r>
    </w:p>
    <w:p w:rsidR="000A4D2C" w:rsidRPr="00A329C2" w:rsidP="000A4D2C" w14:paraId="27D8A7DD" w14:textId="7F8A840F">
      <w:pPr>
        <w:autoSpaceDE w:val="0"/>
        <w:autoSpaceDN w:val="0"/>
        <w:adjustRightInd w:val="0"/>
        <w:spacing w:line="240" w:lineRule="auto"/>
        <w:rPr>
          <w:rFonts w:cs="Times New Roman"/>
          <w:i/>
          <w:color w:val="000000"/>
          <w:u w:val="single"/>
        </w:rPr>
      </w:pPr>
      <w:r w:rsidRPr="00A329C2">
        <w:rPr>
          <w:rFonts w:cs="Times New Roman"/>
          <w:color w:val="000000"/>
        </w:rPr>
        <w:tab/>
      </w:r>
      <w:r w:rsidRPr="00A329C2">
        <w:rPr>
          <w:rFonts w:cs="Times New Roman"/>
          <w:color w:val="000000"/>
        </w:rPr>
        <w:tab/>
      </w:r>
      <w:r w:rsidRPr="00A329C2">
        <w:rPr>
          <w:rFonts w:cs="Times New Roman"/>
          <w:color w:val="000000"/>
        </w:rPr>
        <w:tab/>
      </w:r>
      <w:r w:rsidRPr="00A329C2">
        <w:rPr>
          <w:rFonts w:cs="Times New Roman"/>
          <w:color w:val="000000"/>
        </w:rPr>
        <w:tab/>
      </w:r>
      <w:r w:rsidRPr="00A329C2">
        <w:rPr>
          <w:rFonts w:cs="Times New Roman"/>
          <w:color w:val="000000"/>
        </w:rPr>
        <w:tab/>
      </w:r>
      <w:r w:rsidRPr="00A329C2">
        <w:rPr>
          <w:rFonts w:cs="Times New Roman"/>
          <w:color w:val="000000"/>
        </w:rPr>
        <w:tab/>
      </w:r>
      <w:r w:rsidRPr="00A329C2">
        <w:rPr>
          <w:rFonts w:cs="Times New Roman"/>
          <w:color w:val="000000"/>
        </w:rPr>
        <w:tab/>
      </w:r>
      <w:r w:rsidRPr="00A329C2">
        <w:rPr>
          <w:rFonts w:cs="Times New Roman"/>
          <w:i/>
          <w:color w:val="000000"/>
          <w:u w:val="single"/>
        </w:rPr>
        <w:t>/s/ William J. Michael</w:t>
      </w:r>
      <w:r w:rsidR="00F6264A">
        <w:rPr>
          <w:rFonts w:cs="Times New Roman"/>
          <w:i/>
          <w:color w:val="000000"/>
          <w:u w:val="single"/>
        </w:rPr>
        <w:tab/>
      </w:r>
      <w:r w:rsidR="00F6264A">
        <w:rPr>
          <w:rFonts w:cs="Times New Roman"/>
          <w:i/>
          <w:color w:val="000000"/>
          <w:u w:val="single"/>
        </w:rPr>
        <w:tab/>
      </w:r>
    </w:p>
    <w:p w:rsidR="000A4D2C" w:rsidRPr="00A329C2" w:rsidP="000A4D2C" w14:paraId="3DAC8BE6" w14:textId="77777777">
      <w:pPr>
        <w:autoSpaceDE w:val="0"/>
        <w:autoSpaceDN w:val="0"/>
        <w:adjustRightInd w:val="0"/>
        <w:spacing w:line="240" w:lineRule="auto"/>
        <w:rPr>
          <w:rFonts w:cs="Times New Roman"/>
          <w:color w:val="000000"/>
        </w:rPr>
      </w:pPr>
      <w:r w:rsidRPr="00A329C2">
        <w:rPr>
          <w:rFonts w:cs="Times New Roman"/>
          <w:color w:val="000000"/>
        </w:rPr>
        <w:tab/>
      </w:r>
      <w:r w:rsidRPr="00A329C2">
        <w:rPr>
          <w:rFonts w:cs="Times New Roman"/>
          <w:color w:val="000000"/>
        </w:rPr>
        <w:tab/>
      </w:r>
      <w:r w:rsidRPr="00A329C2">
        <w:rPr>
          <w:rFonts w:cs="Times New Roman"/>
          <w:color w:val="000000"/>
        </w:rPr>
        <w:tab/>
      </w:r>
      <w:r w:rsidRPr="00A329C2">
        <w:rPr>
          <w:rFonts w:cs="Times New Roman"/>
          <w:color w:val="000000"/>
        </w:rPr>
        <w:tab/>
      </w:r>
      <w:r w:rsidRPr="00A329C2">
        <w:rPr>
          <w:rFonts w:cs="Times New Roman"/>
          <w:color w:val="000000"/>
        </w:rPr>
        <w:tab/>
      </w:r>
      <w:r w:rsidRPr="00A329C2">
        <w:rPr>
          <w:rFonts w:cs="Times New Roman"/>
          <w:color w:val="000000"/>
        </w:rPr>
        <w:tab/>
      </w:r>
      <w:r w:rsidRPr="00A329C2">
        <w:rPr>
          <w:rFonts w:cs="Times New Roman"/>
          <w:color w:val="000000"/>
        </w:rPr>
        <w:tab/>
        <w:t>William J. Michael</w:t>
      </w:r>
    </w:p>
    <w:p w:rsidR="000A4D2C" w:rsidP="000A4D2C" w14:paraId="1F7FBC64" w14:textId="51C1A57C">
      <w:pPr>
        <w:autoSpaceDE w:val="0"/>
        <w:autoSpaceDN w:val="0"/>
        <w:adjustRightInd w:val="0"/>
        <w:spacing w:line="240" w:lineRule="auto"/>
        <w:rPr>
          <w:rFonts w:cs="Times New Roman"/>
          <w:color w:val="000000"/>
        </w:rPr>
      </w:pPr>
      <w:r w:rsidRPr="00A329C2">
        <w:rPr>
          <w:rFonts w:cs="Times New Roman"/>
          <w:color w:val="000000"/>
        </w:rPr>
        <w:tab/>
      </w:r>
      <w:r w:rsidRPr="00A329C2">
        <w:rPr>
          <w:rFonts w:cs="Times New Roman"/>
          <w:color w:val="000000"/>
        </w:rPr>
        <w:tab/>
      </w:r>
      <w:r w:rsidRPr="00A329C2">
        <w:rPr>
          <w:rFonts w:cs="Times New Roman"/>
          <w:color w:val="000000"/>
        </w:rPr>
        <w:tab/>
      </w:r>
      <w:r w:rsidRPr="00A329C2">
        <w:rPr>
          <w:rFonts w:cs="Times New Roman"/>
          <w:color w:val="000000"/>
        </w:rPr>
        <w:tab/>
      </w:r>
      <w:r w:rsidRPr="00A329C2">
        <w:rPr>
          <w:rFonts w:cs="Times New Roman"/>
          <w:color w:val="000000"/>
        </w:rPr>
        <w:tab/>
      </w:r>
      <w:r w:rsidRPr="00A329C2">
        <w:rPr>
          <w:rFonts w:cs="Times New Roman"/>
          <w:color w:val="000000"/>
        </w:rPr>
        <w:tab/>
      </w:r>
      <w:r w:rsidRPr="00A329C2">
        <w:rPr>
          <w:rFonts w:cs="Times New Roman"/>
          <w:color w:val="000000"/>
        </w:rPr>
        <w:tab/>
        <w:t>Assistant Consumers’ Counsel</w:t>
      </w:r>
    </w:p>
    <w:p w:rsidR="006C3E00" w:rsidRPr="00A329C2" w:rsidP="000A4D2C" w14:paraId="0CF669A1" w14:textId="77777777">
      <w:pPr>
        <w:autoSpaceDE w:val="0"/>
        <w:autoSpaceDN w:val="0"/>
        <w:adjustRightInd w:val="0"/>
        <w:spacing w:line="240" w:lineRule="auto"/>
        <w:rPr>
          <w:rFonts w:cs="Times New Roman"/>
          <w:color w:val="000000"/>
        </w:rPr>
      </w:pPr>
    </w:p>
    <w:p w:rsidR="008D4CE2" w:rsidP="006C3E00" w14:paraId="3F1E9C43" w14:textId="77777777">
      <w:pPr>
        <w:spacing w:line="240" w:lineRule="auto"/>
      </w:pPr>
      <w:r>
        <w:t>The PUCO’s e-filing system will electronically serve notice of the filing of this document on the following parties:</w:t>
      </w:r>
    </w:p>
    <w:p w:rsidR="000A4D2C" w:rsidRPr="007318B0" w:rsidP="008D4CE2" w14:paraId="11E58BA4" w14:textId="64B32368">
      <w:pPr>
        <w:jc w:val="center"/>
        <w:rPr>
          <w:rFonts w:eastAsia="Times New Roman" w:cs="Times New Roman"/>
          <w:b/>
          <w:color w:val="000000"/>
          <w:sz w:val="22"/>
          <w:u w:val="single"/>
        </w:rPr>
      </w:pPr>
      <w:r w:rsidRPr="007318B0">
        <w:rPr>
          <w:b/>
          <w:bCs/>
          <w:u w:val="single"/>
        </w:rPr>
        <w:t>SERVICE 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2"/>
        <w:gridCol w:w="4208"/>
      </w:tblGrid>
      <w:tr w14:paraId="739C0E85" w14:textId="77777777" w:rsidTr="000A4D2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20" w:type="dxa"/>
          </w:tcPr>
          <w:p w:rsidR="000A4D2C" w:rsidRPr="00CC14D9" w:rsidP="000A4D2C" w14:paraId="2E2ABECA" w14:textId="77777777">
            <w:pPr>
              <w:adjustRightInd w:val="0"/>
              <w:spacing w:line="240" w:lineRule="auto"/>
              <w:rPr>
                <w:rFonts w:cs="Times New Roman"/>
                <w:color w:val="0000FF"/>
                <w:sz w:val="22"/>
              </w:rPr>
            </w:pPr>
            <w:hyperlink r:id="rId15" w:history="1">
              <w:r w:rsidRPr="00CC14D9">
                <w:rPr>
                  <w:rStyle w:val="Hyperlink"/>
                  <w:rFonts w:cs="Times New Roman"/>
                  <w:color w:val="0000FF"/>
                  <w:sz w:val="22"/>
                </w:rPr>
                <w:t>Thomas.mcnamee@ohioattorneygeneral.gov</w:t>
              </w:r>
            </w:hyperlink>
          </w:p>
          <w:p w:rsidR="000A4D2C" w:rsidRPr="00CC14D9" w:rsidP="000A4D2C" w14:paraId="38E6054E" w14:textId="77777777">
            <w:pPr>
              <w:adjustRightInd w:val="0"/>
              <w:spacing w:line="240" w:lineRule="auto"/>
              <w:rPr>
                <w:rFonts w:cs="Times New Roman"/>
                <w:color w:val="0000FF"/>
                <w:sz w:val="22"/>
              </w:rPr>
            </w:pPr>
            <w:hyperlink r:id="rId16" w:history="1">
              <w:r w:rsidRPr="00CC14D9">
                <w:rPr>
                  <w:rStyle w:val="Hyperlink"/>
                  <w:rFonts w:cs="Times New Roman"/>
                  <w:color w:val="0000FF"/>
                  <w:sz w:val="22"/>
                </w:rPr>
                <w:t>dboehm@bkllawfirm.com</w:t>
              </w:r>
            </w:hyperlink>
          </w:p>
          <w:p w:rsidR="000A4D2C" w:rsidRPr="00CC14D9" w:rsidP="000A4D2C" w14:paraId="6B664478" w14:textId="77777777">
            <w:pPr>
              <w:adjustRightInd w:val="0"/>
              <w:spacing w:line="240" w:lineRule="auto"/>
              <w:rPr>
                <w:rFonts w:cs="Times New Roman"/>
                <w:color w:val="0000FF"/>
                <w:sz w:val="22"/>
              </w:rPr>
            </w:pPr>
            <w:hyperlink r:id="rId17" w:history="1">
              <w:r w:rsidRPr="00CC14D9">
                <w:rPr>
                  <w:rStyle w:val="Hyperlink"/>
                  <w:rFonts w:cs="Times New Roman"/>
                  <w:color w:val="0000FF"/>
                  <w:sz w:val="22"/>
                </w:rPr>
                <w:t>mkurtz@bkllawfirm.com</w:t>
              </w:r>
            </w:hyperlink>
          </w:p>
          <w:p w:rsidR="000A4D2C" w:rsidRPr="00CC14D9" w:rsidP="000A4D2C" w14:paraId="4D5DA634" w14:textId="77777777">
            <w:pPr>
              <w:adjustRightInd w:val="0"/>
              <w:spacing w:line="240" w:lineRule="auto"/>
              <w:rPr>
                <w:rFonts w:cs="Times New Roman"/>
                <w:color w:val="0000FF"/>
                <w:sz w:val="22"/>
              </w:rPr>
            </w:pPr>
            <w:hyperlink r:id="rId18" w:history="1">
              <w:r w:rsidRPr="00CC14D9">
                <w:rPr>
                  <w:rStyle w:val="Hyperlink"/>
                  <w:rFonts w:cs="Times New Roman"/>
                  <w:color w:val="0000FF"/>
                  <w:sz w:val="22"/>
                </w:rPr>
                <w:t>jkylercohn@bkllawfirm.com</w:t>
              </w:r>
            </w:hyperlink>
          </w:p>
          <w:p w:rsidR="000A4D2C" w:rsidRPr="00CC14D9" w:rsidP="000A4D2C" w14:paraId="1CBE076A" w14:textId="77777777">
            <w:pPr>
              <w:adjustRightInd w:val="0"/>
              <w:spacing w:line="240" w:lineRule="auto"/>
              <w:rPr>
                <w:rFonts w:cs="Times New Roman"/>
                <w:color w:val="0000FF"/>
                <w:sz w:val="22"/>
              </w:rPr>
            </w:pPr>
            <w:hyperlink r:id="rId19" w:history="1">
              <w:r w:rsidRPr="00CC14D9">
                <w:rPr>
                  <w:rStyle w:val="Hyperlink"/>
                  <w:rFonts w:cs="Times New Roman"/>
                  <w:color w:val="0000FF"/>
                  <w:sz w:val="22"/>
                </w:rPr>
                <w:t>kboehm@bkllawfirm.com</w:t>
              </w:r>
            </w:hyperlink>
          </w:p>
          <w:p w:rsidR="000A4D2C" w:rsidRPr="00CC14D9" w:rsidP="000A4D2C" w14:paraId="412F1DE9" w14:textId="77777777">
            <w:pPr>
              <w:adjustRightInd w:val="0"/>
              <w:spacing w:line="240" w:lineRule="auto"/>
              <w:rPr>
                <w:rFonts w:cs="Times New Roman"/>
                <w:color w:val="0000FF"/>
                <w:sz w:val="22"/>
              </w:rPr>
            </w:pPr>
            <w:hyperlink r:id="rId20" w:history="1">
              <w:r w:rsidRPr="00CC14D9">
                <w:rPr>
                  <w:rStyle w:val="Hyperlink"/>
                  <w:rFonts w:cs="Times New Roman"/>
                  <w:color w:val="0000FF"/>
                  <w:sz w:val="22"/>
                </w:rPr>
                <w:t>fdarr@mwncmh.com</w:t>
              </w:r>
            </w:hyperlink>
          </w:p>
          <w:p w:rsidR="000A4D2C" w:rsidRPr="00CC14D9" w:rsidP="000A4D2C" w14:paraId="479B5A85" w14:textId="77777777">
            <w:pPr>
              <w:adjustRightInd w:val="0"/>
              <w:spacing w:line="240" w:lineRule="auto"/>
              <w:rPr>
                <w:rFonts w:cs="Times New Roman"/>
                <w:color w:val="0000FF"/>
                <w:sz w:val="22"/>
              </w:rPr>
            </w:pPr>
            <w:hyperlink r:id="rId21" w:history="1">
              <w:r w:rsidRPr="00CC14D9">
                <w:rPr>
                  <w:rStyle w:val="Hyperlink"/>
                  <w:rFonts w:cs="Times New Roman"/>
                  <w:color w:val="0000FF"/>
                  <w:sz w:val="22"/>
                </w:rPr>
                <w:t>mpritchard@mwncmh.com</w:t>
              </w:r>
            </w:hyperlink>
          </w:p>
          <w:p w:rsidR="000A4D2C" w:rsidRPr="00CC14D9" w:rsidP="000A4D2C" w14:paraId="2DEC8938" w14:textId="77777777">
            <w:pPr>
              <w:adjustRightInd w:val="0"/>
              <w:spacing w:line="240" w:lineRule="auto"/>
              <w:rPr>
                <w:rFonts w:cs="Times New Roman"/>
                <w:color w:val="0000FF"/>
                <w:sz w:val="22"/>
              </w:rPr>
            </w:pPr>
            <w:hyperlink r:id="rId22" w:history="1">
              <w:r w:rsidRPr="00CC14D9">
                <w:rPr>
                  <w:rStyle w:val="Hyperlink"/>
                  <w:rFonts w:cs="Times New Roman"/>
                  <w:color w:val="0000FF"/>
                  <w:sz w:val="22"/>
                </w:rPr>
                <w:t>mjsettineri@vorys.com</w:t>
              </w:r>
            </w:hyperlink>
          </w:p>
          <w:p w:rsidR="000A4D2C" w:rsidRPr="00CC14D9" w:rsidP="000A4D2C" w14:paraId="6658E835" w14:textId="77777777">
            <w:pPr>
              <w:adjustRightInd w:val="0"/>
              <w:spacing w:line="240" w:lineRule="auto"/>
              <w:rPr>
                <w:rFonts w:cs="Times New Roman"/>
                <w:color w:val="0000FF"/>
                <w:sz w:val="22"/>
              </w:rPr>
            </w:pPr>
            <w:hyperlink r:id="rId23" w:history="1">
              <w:r w:rsidRPr="00CC14D9">
                <w:rPr>
                  <w:rStyle w:val="Hyperlink"/>
                  <w:rFonts w:cs="Times New Roman"/>
                  <w:color w:val="0000FF"/>
                  <w:sz w:val="22"/>
                </w:rPr>
                <w:t>glpetrucci@vorys.com</w:t>
              </w:r>
            </w:hyperlink>
          </w:p>
          <w:p w:rsidR="000A4D2C" w:rsidRPr="00CC14D9" w:rsidP="000A4D2C" w14:paraId="7BD1224D" w14:textId="77777777">
            <w:pPr>
              <w:adjustRightInd w:val="0"/>
              <w:spacing w:line="240" w:lineRule="auto"/>
              <w:rPr>
                <w:rFonts w:cs="Times New Roman"/>
                <w:color w:val="0000FF"/>
                <w:sz w:val="22"/>
              </w:rPr>
            </w:pPr>
            <w:hyperlink r:id="rId24" w:history="1">
              <w:r w:rsidRPr="00CC14D9">
                <w:rPr>
                  <w:rStyle w:val="Hyperlink"/>
                  <w:rFonts w:cs="Times New Roman"/>
                  <w:color w:val="0000FF"/>
                  <w:sz w:val="22"/>
                </w:rPr>
                <w:t>ibatikov@vorys.com</w:t>
              </w:r>
            </w:hyperlink>
          </w:p>
          <w:p w:rsidR="000A4D2C" w:rsidRPr="00CC14D9" w:rsidP="000A4D2C" w14:paraId="211DD724" w14:textId="77777777">
            <w:pPr>
              <w:adjustRightInd w:val="0"/>
              <w:spacing w:line="240" w:lineRule="auto"/>
              <w:rPr>
                <w:rFonts w:cs="Times New Roman"/>
                <w:color w:val="0000FF"/>
                <w:sz w:val="22"/>
              </w:rPr>
            </w:pPr>
            <w:hyperlink r:id="rId25" w:history="1">
              <w:r w:rsidRPr="00CC14D9">
                <w:rPr>
                  <w:rStyle w:val="Hyperlink"/>
                  <w:rFonts w:cs="Times New Roman"/>
                  <w:color w:val="0000FF"/>
                  <w:sz w:val="22"/>
                </w:rPr>
                <w:t>wasieck@vorys.com</w:t>
              </w:r>
            </w:hyperlink>
          </w:p>
          <w:p w:rsidR="000A4D2C" w:rsidRPr="00CC14D9" w:rsidP="000A4D2C" w14:paraId="10D33A9A" w14:textId="77777777">
            <w:pPr>
              <w:adjustRightInd w:val="0"/>
              <w:spacing w:line="240" w:lineRule="auto"/>
              <w:rPr>
                <w:rFonts w:cs="Times New Roman"/>
                <w:color w:val="0000FF"/>
                <w:sz w:val="22"/>
              </w:rPr>
            </w:pPr>
            <w:hyperlink r:id="rId26" w:history="1">
              <w:r w:rsidRPr="00CC14D9">
                <w:rPr>
                  <w:rStyle w:val="Hyperlink"/>
                  <w:rFonts w:cs="Times New Roman"/>
                  <w:color w:val="0000FF"/>
                  <w:sz w:val="22"/>
                </w:rPr>
                <w:t>mleppla@theoec.org</w:t>
              </w:r>
            </w:hyperlink>
          </w:p>
          <w:p w:rsidR="000A4D2C" w:rsidRPr="00CC14D9" w:rsidP="000A4D2C" w14:paraId="127BD41B" w14:textId="77777777">
            <w:pPr>
              <w:adjustRightInd w:val="0"/>
              <w:spacing w:line="240" w:lineRule="auto"/>
              <w:rPr>
                <w:rFonts w:cs="Times New Roman"/>
                <w:color w:val="0000FF"/>
                <w:sz w:val="22"/>
              </w:rPr>
            </w:pPr>
            <w:hyperlink r:id="rId27" w:history="1">
              <w:r w:rsidRPr="00CC14D9">
                <w:rPr>
                  <w:rStyle w:val="Hyperlink"/>
                  <w:rFonts w:cs="Times New Roman"/>
                  <w:color w:val="0000FF"/>
                  <w:sz w:val="22"/>
                </w:rPr>
                <w:t>cmooney@ohiopartners.org</w:t>
              </w:r>
            </w:hyperlink>
          </w:p>
          <w:p w:rsidR="000A4D2C" w:rsidRPr="00CC14D9" w:rsidP="000A4D2C" w14:paraId="3384BF17" w14:textId="77777777">
            <w:pPr>
              <w:adjustRightInd w:val="0"/>
              <w:spacing w:line="240" w:lineRule="auto"/>
              <w:rPr>
                <w:rFonts w:cs="Times New Roman"/>
                <w:color w:val="0000FF"/>
                <w:sz w:val="22"/>
              </w:rPr>
            </w:pPr>
            <w:hyperlink r:id="rId28" w:history="1">
              <w:r w:rsidRPr="00CC14D9">
                <w:rPr>
                  <w:rStyle w:val="Hyperlink"/>
                  <w:rFonts w:cs="Times New Roman"/>
                  <w:color w:val="0000FF"/>
                  <w:sz w:val="22"/>
                </w:rPr>
                <w:t>joliker@igsenergy.com</w:t>
              </w:r>
            </w:hyperlink>
          </w:p>
          <w:p w:rsidR="000A4D2C" w:rsidRPr="00CC14D9" w:rsidP="000A4D2C" w14:paraId="06A3A070" w14:textId="77777777">
            <w:pPr>
              <w:adjustRightInd w:val="0"/>
              <w:spacing w:line="240" w:lineRule="auto"/>
              <w:rPr>
                <w:rFonts w:cs="Times New Roman"/>
                <w:color w:val="0000FF"/>
                <w:sz w:val="22"/>
              </w:rPr>
            </w:pPr>
            <w:hyperlink r:id="rId29" w:history="1">
              <w:r w:rsidRPr="00CC14D9">
                <w:rPr>
                  <w:rStyle w:val="Hyperlink"/>
                  <w:rFonts w:cs="Times New Roman"/>
                  <w:color w:val="0000FF"/>
                  <w:sz w:val="22"/>
                </w:rPr>
                <w:t>mswhite@igsenergy.com</w:t>
              </w:r>
            </w:hyperlink>
          </w:p>
          <w:p w:rsidR="000A4D2C" w:rsidRPr="00CC14D9" w:rsidP="000A4D2C" w14:paraId="4E4E9C50" w14:textId="77777777">
            <w:pPr>
              <w:adjustRightInd w:val="0"/>
              <w:spacing w:line="240" w:lineRule="auto"/>
              <w:rPr>
                <w:rFonts w:cs="Times New Roman"/>
                <w:color w:val="0000FF"/>
                <w:sz w:val="22"/>
              </w:rPr>
            </w:pPr>
            <w:hyperlink r:id="rId30" w:history="1">
              <w:r w:rsidRPr="00CC14D9">
                <w:rPr>
                  <w:rStyle w:val="Hyperlink"/>
                  <w:rFonts w:cs="Times New Roman"/>
                  <w:color w:val="0000FF"/>
                  <w:sz w:val="22"/>
                </w:rPr>
                <w:t>ebetterton@igsenergy.com</w:t>
              </w:r>
            </w:hyperlink>
          </w:p>
          <w:p w:rsidR="000A4D2C" w:rsidRPr="00CC14D9" w:rsidP="000A4D2C" w14:paraId="38CF88AC" w14:textId="77777777">
            <w:pPr>
              <w:adjustRightInd w:val="0"/>
              <w:spacing w:line="240" w:lineRule="auto"/>
              <w:rPr>
                <w:rFonts w:cs="Times New Roman"/>
                <w:color w:val="0000FF"/>
                <w:sz w:val="22"/>
              </w:rPr>
            </w:pPr>
            <w:hyperlink r:id="rId31" w:history="1">
              <w:r w:rsidRPr="00CC14D9">
                <w:rPr>
                  <w:rStyle w:val="Hyperlink"/>
                  <w:rFonts w:cs="Times New Roman"/>
                  <w:color w:val="0000FF"/>
                  <w:sz w:val="22"/>
                </w:rPr>
                <w:t>Slesser@calfee.com</w:t>
              </w:r>
            </w:hyperlink>
          </w:p>
          <w:p w:rsidR="000A4D2C" w:rsidRPr="00CC14D9" w:rsidP="000A4D2C" w14:paraId="0CBAFFA3" w14:textId="77777777">
            <w:pPr>
              <w:adjustRightInd w:val="0"/>
              <w:spacing w:line="240" w:lineRule="auto"/>
              <w:rPr>
                <w:rFonts w:cs="Times New Roman"/>
                <w:color w:val="0000FF"/>
                <w:sz w:val="22"/>
              </w:rPr>
            </w:pPr>
            <w:hyperlink r:id="rId32" w:history="1">
              <w:r w:rsidRPr="00CC14D9">
                <w:rPr>
                  <w:rStyle w:val="Hyperlink"/>
                  <w:rFonts w:cs="Times New Roman"/>
                  <w:color w:val="0000FF"/>
                  <w:sz w:val="22"/>
                </w:rPr>
                <w:t>jlang@calfee.com</w:t>
              </w:r>
            </w:hyperlink>
          </w:p>
          <w:p w:rsidR="000A4D2C" w:rsidRPr="00CC14D9" w:rsidP="000A4D2C" w14:paraId="7CEDB8D3" w14:textId="77777777">
            <w:pPr>
              <w:adjustRightInd w:val="0"/>
              <w:spacing w:line="240" w:lineRule="auto"/>
              <w:rPr>
                <w:rFonts w:cs="Times New Roman"/>
                <w:color w:val="0000FF"/>
                <w:sz w:val="22"/>
              </w:rPr>
            </w:pPr>
            <w:hyperlink r:id="rId33" w:history="1">
              <w:r w:rsidRPr="00CC14D9">
                <w:rPr>
                  <w:rStyle w:val="Hyperlink"/>
                  <w:rFonts w:cs="Times New Roman"/>
                  <w:color w:val="0000FF"/>
                  <w:sz w:val="22"/>
                </w:rPr>
                <w:t>talexander@calfee.com</w:t>
              </w:r>
            </w:hyperlink>
          </w:p>
          <w:p w:rsidR="000A4D2C" w:rsidRPr="00CC14D9" w:rsidP="000A4D2C" w14:paraId="46D861BA" w14:textId="77777777">
            <w:pPr>
              <w:adjustRightInd w:val="0"/>
              <w:spacing w:line="240" w:lineRule="auto"/>
              <w:rPr>
                <w:rFonts w:cs="Times New Roman"/>
                <w:color w:val="0000FF"/>
                <w:sz w:val="22"/>
              </w:rPr>
            </w:pPr>
            <w:hyperlink r:id="rId34" w:history="1">
              <w:r w:rsidRPr="00CC14D9">
                <w:rPr>
                  <w:rStyle w:val="Hyperlink"/>
                  <w:rFonts w:cs="Times New Roman"/>
                  <w:color w:val="0000FF"/>
                  <w:sz w:val="22"/>
                </w:rPr>
                <w:t>mkeaney@calfee.com</w:t>
              </w:r>
            </w:hyperlink>
          </w:p>
          <w:p w:rsidR="000A4D2C" w:rsidRPr="00CC14D9" w:rsidP="000A4D2C" w14:paraId="7629E5C6" w14:textId="77777777">
            <w:pPr>
              <w:adjustRightInd w:val="0"/>
              <w:spacing w:line="240" w:lineRule="auto"/>
              <w:rPr>
                <w:rFonts w:cs="Times New Roman"/>
                <w:color w:val="0000FF"/>
                <w:sz w:val="22"/>
              </w:rPr>
            </w:pPr>
            <w:hyperlink r:id="rId31" w:history="1">
              <w:r w:rsidRPr="00CC14D9">
                <w:rPr>
                  <w:rStyle w:val="Hyperlink"/>
                  <w:rFonts w:cs="Times New Roman"/>
                  <w:color w:val="0000FF"/>
                  <w:sz w:val="22"/>
                </w:rPr>
                <w:t>slesser@calfee.com</w:t>
              </w:r>
            </w:hyperlink>
          </w:p>
          <w:p w:rsidR="000A4D2C" w:rsidRPr="00CC14D9" w:rsidP="000A4D2C" w14:paraId="4060C887" w14:textId="77777777">
            <w:pPr>
              <w:adjustRightInd w:val="0"/>
              <w:spacing w:line="240" w:lineRule="auto"/>
              <w:rPr>
                <w:rFonts w:cs="Times New Roman"/>
                <w:color w:val="0000FF"/>
                <w:sz w:val="22"/>
              </w:rPr>
            </w:pPr>
            <w:hyperlink r:id="rId35" w:history="1">
              <w:r w:rsidRPr="00CC14D9">
                <w:rPr>
                  <w:rStyle w:val="Hyperlink"/>
                  <w:rFonts w:cs="Times New Roman"/>
                  <w:color w:val="0000FF"/>
                  <w:sz w:val="22"/>
                </w:rPr>
                <w:t>elizabeth.watts@duke-energy.com</w:t>
              </w:r>
            </w:hyperlink>
          </w:p>
          <w:p w:rsidR="000A4D2C" w:rsidRPr="00CC14D9" w:rsidP="000A4D2C" w14:paraId="5BF9B696" w14:textId="77777777">
            <w:pPr>
              <w:adjustRightInd w:val="0"/>
              <w:spacing w:line="240" w:lineRule="auto"/>
              <w:rPr>
                <w:rFonts w:cs="Times New Roman"/>
                <w:color w:val="0000FF"/>
                <w:sz w:val="22"/>
              </w:rPr>
            </w:pPr>
            <w:hyperlink r:id="rId36" w:history="1">
              <w:r w:rsidRPr="00CC14D9">
                <w:rPr>
                  <w:rStyle w:val="Hyperlink"/>
                  <w:rFonts w:cs="Times New Roman"/>
                  <w:color w:val="0000FF"/>
                  <w:sz w:val="22"/>
                </w:rPr>
                <w:t>jeanne.kingery@duke-energy.com</w:t>
              </w:r>
            </w:hyperlink>
          </w:p>
          <w:p w:rsidR="000A4D2C" w:rsidRPr="00CC14D9" w:rsidP="000A4D2C" w14:paraId="15DE86A4" w14:textId="77777777">
            <w:pPr>
              <w:adjustRightInd w:val="0"/>
              <w:spacing w:line="240" w:lineRule="auto"/>
              <w:rPr>
                <w:rFonts w:cs="Times New Roman"/>
                <w:color w:val="0000FF"/>
                <w:sz w:val="22"/>
              </w:rPr>
            </w:pPr>
            <w:hyperlink r:id="rId37" w:history="1">
              <w:r w:rsidRPr="00CC14D9">
                <w:rPr>
                  <w:rStyle w:val="Hyperlink"/>
                  <w:rFonts w:cs="Times New Roman"/>
                  <w:color w:val="0000FF"/>
                  <w:sz w:val="22"/>
                </w:rPr>
                <w:t>gthomas@gtpowergroup.com</w:t>
              </w:r>
            </w:hyperlink>
          </w:p>
          <w:p w:rsidR="000A4D2C" w:rsidRPr="00CC14D9" w:rsidP="000A4D2C" w14:paraId="14DFF582" w14:textId="77777777">
            <w:pPr>
              <w:adjustRightInd w:val="0"/>
              <w:spacing w:line="240" w:lineRule="auto"/>
              <w:rPr>
                <w:rFonts w:cs="Times New Roman"/>
                <w:color w:val="0000FF"/>
                <w:sz w:val="22"/>
              </w:rPr>
            </w:pPr>
            <w:hyperlink r:id="rId38" w:history="1">
              <w:r w:rsidRPr="00CC14D9">
                <w:rPr>
                  <w:rStyle w:val="Hyperlink"/>
                  <w:rFonts w:cs="Times New Roman"/>
                  <w:color w:val="0000FF"/>
                  <w:sz w:val="22"/>
                </w:rPr>
                <w:t>stheodore@epsa.org</w:t>
              </w:r>
            </w:hyperlink>
          </w:p>
          <w:p w:rsidR="000A4D2C" w:rsidRPr="00CC14D9" w:rsidP="000A4D2C" w14:paraId="6EDA2AFB" w14:textId="77777777">
            <w:pPr>
              <w:adjustRightInd w:val="0"/>
              <w:spacing w:line="240" w:lineRule="auto"/>
              <w:rPr>
                <w:rFonts w:cs="Times New Roman"/>
                <w:color w:val="0000FF"/>
                <w:sz w:val="22"/>
              </w:rPr>
            </w:pPr>
            <w:hyperlink r:id="rId39" w:history="1">
              <w:r w:rsidRPr="00CC14D9">
                <w:rPr>
                  <w:rStyle w:val="Hyperlink"/>
                  <w:rFonts w:cs="Times New Roman"/>
                  <w:color w:val="0000FF"/>
                  <w:sz w:val="22"/>
                </w:rPr>
                <w:t>laurac@chappelleconsulting.net</w:t>
              </w:r>
            </w:hyperlink>
          </w:p>
          <w:p w:rsidR="000A4D2C" w:rsidRPr="00CC14D9" w:rsidP="000A4D2C" w14:paraId="42AFC636" w14:textId="77777777">
            <w:pPr>
              <w:adjustRightInd w:val="0"/>
              <w:spacing w:line="240" w:lineRule="auto"/>
              <w:rPr>
                <w:rFonts w:cs="Times New Roman"/>
                <w:color w:val="0000FF"/>
                <w:sz w:val="22"/>
              </w:rPr>
            </w:pPr>
            <w:hyperlink r:id="rId40" w:history="1">
              <w:r w:rsidRPr="00CC14D9">
                <w:rPr>
                  <w:rStyle w:val="Hyperlink"/>
                  <w:rFonts w:cs="Times New Roman"/>
                  <w:color w:val="0000FF"/>
                  <w:sz w:val="22"/>
                </w:rPr>
                <w:t>jdoll@djflawfirm.com</w:t>
              </w:r>
            </w:hyperlink>
          </w:p>
          <w:p w:rsidR="000A4D2C" w:rsidRPr="007318B0" w:rsidP="000A4D2C" w14:paraId="6C53D62A" w14:textId="77777777">
            <w:pPr>
              <w:adjustRightInd w:val="0"/>
              <w:spacing w:line="240" w:lineRule="auto"/>
              <w:rPr>
                <w:rFonts w:cs="Times New Roman"/>
                <w:sz w:val="22"/>
              </w:rPr>
            </w:pPr>
            <w:r w:rsidRPr="007318B0">
              <w:rPr>
                <w:rFonts w:cs="Times New Roman"/>
                <w:sz w:val="22"/>
              </w:rPr>
              <w:t xml:space="preserve"> </w:t>
            </w:r>
          </w:p>
          <w:p w:rsidR="000A4D2C" w:rsidRPr="007318B0" w:rsidP="000A4D2C" w14:paraId="66D81671" w14:textId="77777777">
            <w:pPr>
              <w:adjustRightInd w:val="0"/>
              <w:spacing w:line="240" w:lineRule="auto"/>
              <w:rPr>
                <w:rFonts w:cs="Times New Roman"/>
                <w:sz w:val="22"/>
              </w:rPr>
            </w:pPr>
            <w:r w:rsidRPr="007318B0">
              <w:rPr>
                <w:rFonts w:cs="Times New Roman"/>
                <w:sz w:val="22"/>
              </w:rPr>
              <w:t>Attorney Examiners:</w:t>
            </w:r>
          </w:p>
          <w:p w:rsidR="000A4D2C" w:rsidRPr="00CC14D9" w:rsidP="000A4D2C" w14:paraId="177A523F" w14:textId="77777777">
            <w:pPr>
              <w:adjustRightInd w:val="0"/>
              <w:spacing w:line="240" w:lineRule="auto"/>
              <w:rPr>
                <w:rFonts w:cs="Times New Roman"/>
                <w:color w:val="0000FF"/>
                <w:sz w:val="22"/>
              </w:rPr>
            </w:pPr>
            <w:hyperlink r:id="rId41" w:history="1">
              <w:r w:rsidRPr="00CC14D9">
                <w:rPr>
                  <w:rStyle w:val="Hyperlink"/>
                  <w:rFonts w:cs="Times New Roman"/>
                  <w:color w:val="0000FF"/>
                  <w:sz w:val="22"/>
                </w:rPr>
                <w:t>gregory.price@puco.ohio.gov</w:t>
              </w:r>
            </w:hyperlink>
          </w:p>
          <w:p w:rsidR="00CC14D9" w:rsidRPr="007318B0" w:rsidP="008D4CE2" w14:paraId="28908642" w14:textId="50345D3A">
            <w:pPr>
              <w:adjustRightInd w:val="0"/>
              <w:spacing w:line="240" w:lineRule="auto"/>
              <w:rPr>
                <w:rFonts w:cs="Times New Roman"/>
                <w:sz w:val="22"/>
              </w:rPr>
            </w:pPr>
            <w:hyperlink r:id="rId42" w:history="1">
              <w:r w:rsidRPr="00CC14D9" w:rsidR="000A4D2C">
                <w:rPr>
                  <w:rStyle w:val="Hyperlink"/>
                  <w:rFonts w:cs="Times New Roman"/>
                  <w:color w:val="0000FF"/>
                  <w:sz w:val="22"/>
                </w:rPr>
                <w:t>patricia.schabo@puco.ohio.gov</w:t>
              </w:r>
            </w:hyperlink>
            <w:r w:rsidR="009F721B">
              <w:rPr>
                <w:rFonts w:cs="Times New Roman"/>
                <w:color w:val="0000FF"/>
                <w:sz w:val="22"/>
              </w:rPr>
              <w:t xml:space="preserve"> </w:t>
            </w:r>
          </w:p>
        </w:tc>
        <w:tc>
          <w:tcPr>
            <w:tcW w:w="4640" w:type="dxa"/>
          </w:tcPr>
          <w:p w:rsidR="000A4D2C" w:rsidRPr="00CC14D9" w:rsidP="000A4D2C" w14:paraId="4B7B605A" w14:textId="77777777">
            <w:pPr>
              <w:adjustRightInd w:val="0"/>
              <w:spacing w:line="240" w:lineRule="auto"/>
              <w:rPr>
                <w:rFonts w:cs="Times New Roman"/>
                <w:color w:val="0000FF"/>
                <w:sz w:val="22"/>
              </w:rPr>
            </w:pPr>
            <w:hyperlink r:id="rId43" w:history="1">
              <w:r w:rsidRPr="00CC14D9">
                <w:rPr>
                  <w:rStyle w:val="Hyperlink"/>
                  <w:rFonts w:cs="Times New Roman"/>
                  <w:color w:val="0000FF"/>
                  <w:sz w:val="22"/>
                </w:rPr>
                <w:t>michael.schuler@aes.com</w:t>
              </w:r>
            </w:hyperlink>
          </w:p>
          <w:p w:rsidR="000A4D2C" w:rsidRPr="00CC14D9" w:rsidP="000A4D2C" w14:paraId="572C3662" w14:textId="77777777">
            <w:pPr>
              <w:adjustRightInd w:val="0"/>
              <w:spacing w:line="240" w:lineRule="auto"/>
              <w:rPr>
                <w:rFonts w:cs="Times New Roman"/>
                <w:color w:val="0000FF"/>
                <w:sz w:val="22"/>
              </w:rPr>
            </w:pPr>
            <w:hyperlink r:id="rId44" w:history="1">
              <w:r w:rsidRPr="00CC14D9">
                <w:rPr>
                  <w:rStyle w:val="Hyperlink"/>
                  <w:rFonts w:cs="Times New Roman"/>
                  <w:color w:val="0000FF"/>
                  <w:sz w:val="22"/>
                </w:rPr>
                <w:t>djireland@ficlaw.com</w:t>
              </w:r>
            </w:hyperlink>
          </w:p>
          <w:p w:rsidR="000A4D2C" w:rsidRPr="00CC14D9" w:rsidP="000A4D2C" w14:paraId="562F37B3" w14:textId="77777777">
            <w:pPr>
              <w:adjustRightInd w:val="0"/>
              <w:spacing w:line="240" w:lineRule="auto"/>
              <w:rPr>
                <w:rFonts w:cs="Times New Roman"/>
                <w:color w:val="0000FF"/>
                <w:sz w:val="22"/>
              </w:rPr>
            </w:pPr>
            <w:hyperlink r:id="rId45" w:history="1">
              <w:r w:rsidRPr="00CC14D9">
                <w:rPr>
                  <w:rStyle w:val="Hyperlink"/>
                  <w:rFonts w:cs="Times New Roman"/>
                  <w:color w:val="0000FF"/>
                  <w:sz w:val="22"/>
                </w:rPr>
                <w:t>jsharkey@ficlaw.com</w:t>
              </w:r>
            </w:hyperlink>
          </w:p>
          <w:p w:rsidR="000A4D2C" w:rsidRPr="00CC14D9" w:rsidP="000A4D2C" w14:paraId="6C78AFA8" w14:textId="77777777">
            <w:pPr>
              <w:adjustRightInd w:val="0"/>
              <w:spacing w:line="240" w:lineRule="auto"/>
              <w:rPr>
                <w:rFonts w:cs="Times New Roman"/>
                <w:color w:val="0000FF"/>
                <w:sz w:val="22"/>
              </w:rPr>
            </w:pPr>
            <w:hyperlink r:id="rId46" w:history="1">
              <w:r w:rsidRPr="00CC14D9">
                <w:rPr>
                  <w:rStyle w:val="Hyperlink"/>
                  <w:rFonts w:cs="Times New Roman"/>
                  <w:color w:val="0000FF"/>
                  <w:sz w:val="22"/>
                </w:rPr>
                <w:t>mfleisher@elpc.org</w:t>
              </w:r>
            </w:hyperlink>
          </w:p>
          <w:p w:rsidR="000A4D2C" w:rsidRPr="00CC14D9" w:rsidP="000A4D2C" w14:paraId="6CF7B3DE" w14:textId="77777777">
            <w:pPr>
              <w:adjustRightInd w:val="0"/>
              <w:spacing w:line="240" w:lineRule="auto"/>
              <w:rPr>
                <w:rFonts w:cs="Times New Roman"/>
                <w:color w:val="0000FF"/>
                <w:sz w:val="22"/>
              </w:rPr>
            </w:pPr>
            <w:hyperlink r:id="rId47" w:history="1">
              <w:r w:rsidRPr="00CC14D9">
                <w:rPr>
                  <w:rStyle w:val="Hyperlink"/>
                  <w:rFonts w:cs="Times New Roman"/>
                  <w:color w:val="0000FF"/>
                  <w:sz w:val="22"/>
                </w:rPr>
                <w:t>kfield@elpc.org</w:t>
              </w:r>
            </w:hyperlink>
          </w:p>
          <w:p w:rsidR="000A4D2C" w:rsidRPr="00CC14D9" w:rsidP="000A4D2C" w14:paraId="75BC44F4" w14:textId="77777777">
            <w:pPr>
              <w:adjustRightInd w:val="0"/>
              <w:spacing w:line="240" w:lineRule="auto"/>
              <w:rPr>
                <w:rFonts w:cs="Times New Roman"/>
                <w:color w:val="0000FF"/>
                <w:sz w:val="22"/>
              </w:rPr>
            </w:pPr>
            <w:hyperlink r:id="rId48" w:history="1">
              <w:r w:rsidRPr="00CC14D9">
                <w:rPr>
                  <w:rStyle w:val="Hyperlink"/>
                  <w:rFonts w:cs="Times New Roman"/>
                  <w:color w:val="0000FF"/>
                  <w:sz w:val="22"/>
                </w:rPr>
                <w:t>jeffrey.mayes@monitoringanalytics.com</w:t>
              </w:r>
            </w:hyperlink>
          </w:p>
          <w:p w:rsidR="000A4D2C" w:rsidRPr="00CC14D9" w:rsidP="000A4D2C" w14:paraId="52AE47D7" w14:textId="77777777">
            <w:pPr>
              <w:adjustRightInd w:val="0"/>
              <w:spacing w:line="240" w:lineRule="auto"/>
              <w:rPr>
                <w:rFonts w:cs="Times New Roman"/>
                <w:color w:val="0000FF"/>
                <w:sz w:val="22"/>
              </w:rPr>
            </w:pPr>
            <w:hyperlink r:id="rId49" w:history="1">
              <w:r w:rsidRPr="00CC14D9">
                <w:rPr>
                  <w:rStyle w:val="Hyperlink"/>
                  <w:rFonts w:cs="Times New Roman"/>
                  <w:color w:val="0000FF"/>
                  <w:sz w:val="22"/>
                </w:rPr>
                <w:t>evelyn.robinson@pjm.com</w:t>
              </w:r>
            </w:hyperlink>
          </w:p>
          <w:p w:rsidR="000A4D2C" w:rsidRPr="00CC14D9" w:rsidP="000A4D2C" w14:paraId="0306DF0C" w14:textId="77777777">
            <w:pPr>
              <w:adjustRightInd w:val="0"/>
              <w:spacing w:line="240" w:lineRule="auto"/>
              <w:rPr>
                <w:rFonts w:cs="Times New Roman"/>
                <w:color w:val="0000FF"/>
                <w:sz w:val="22"/>
              </w:rPr>
            </w:pPr>
            <w:hyperlink r:id="rId50" w:history="1">
              <w:r w:rsidRPr="00CC14D9">
                <w:rPr>
                  <w:rStyle w:val="Hyperlink"/>
                  <w:rFonts w:cs="Times New Roman"/>
                  <w:color w:val="0000FF"/>
                  <w:sz w:val="22"/>
                </w:rPr>
                <w:t>schmidt@sppgrp.com</w:t>
              </w:r>
            </w:hyperlink>
          </w:p>
          <w:p w:rsidR="000A4D2C" w:rsidRPr="00CC14D9" w:rsidP="000A4D2C" w14:paraId="39A77DF7" w14:textId="77777777">
            <w:pPr>
              <w:adjustRightInd w:val="0"/>
              <w:spacing w:line="240" w:lineRule="auto"/>
              <w:rPr>
                <w:rFonts w:cs="Times New Roman"/>
                <w:color w:val="0000FF"/>
                <w:sz w:val="22"/>
              </w:rPr>
            </w:pPr>
            <w:hyperlink r:id="rId51" w:history="1">
              <w:r w:rsidRPr="00CC14D9">
                <w:rPr>
                  <w:rStyle w:val="Hyperlink"/>
                  <w:rFonts w:cs="Times New Roman"/>
                  <w:color w:val="0000FF"/>
                  <w:sz w:val="22"/>
                </w:rPr>
                <w:t>rsahli@columbus.rr.com</w:t>
              </w:r>
            </w:hyperlink>
          </w:p>
          <w:p w:rsidR="000A4D2C" w:rsidRPr="00CC14D9" w:rsidP="000A4D2C" w14:paraId="699845D2" w14:textId="77777777">
            <w:pPr>
              <w:adjustRightInd w:val="0"/>
              <w:spacing w:line="240" w:lineRule="auto"/>
              <w:rPr>
                <w:rFonts w:cs="Times New Roman"/>
                <w:color w:val="0000FF"/>
                <w:sz w:val="22"/>
              </w:rPr>
            </w:pPr>
            <w:hyperlink r:id="rId52" w:history="1">
              <w:r w:rsidRPr="00CC14D9">
                <w:rPr>
                  <w:rStyle w:val="Hyperlink"/>
                  <w:rFonts w:cs="Times New Roman"/>
                  <w:color w:val="0000FF"/>
                  <w:sz w:val="22"/>
                </w:rPr>
                <w:t>tony.mendoza@sierraclub.org</w:t>
              </w:r>
            </w:hyperlink>
          </w:p>
          <w:p w:rsidR="000A4D2C" w:rsidRPr="00CC14D9" w:rsidP="000A4D2C" w14:paraId="11BB7903" w14:textId="77777777">
            <w:pPr>
              <w:adjustRightInd w:val="0"/>
              <w:spacing w:line="240" w:lineRule="auto"/>
              <w:rPr>
                <w:rFonts w:cs="Times New Roman"/>
                <w:color w:val="0000FF"/>
                <w:sz w:val="22"/>
              </w:rPr>
            </w:pPr>
            <w:hyperlink r:id="rId53" w:history="1">
              <w:r w:rsidRPr="00CC14D9">
                <w:rPr>
                  <w:rStyle w:val="Hyperlink"/>
                  <w:rFonts w:cs="Times New Roman"/>
                  <w:color w:val="0000FF"/>
                  <w:sz w:val="22"/>
                </w:rPr>
                <w:t>kristin.henry@sierraclub.org</w:t>
              </w:r>
            </w:hyperlink>
          </w:p>
          <w:p w:rsidR="000A4D2C" w:rsidRPr="00CC14D9" w:rsidP="000A4D2C" w14:paraId="601E14E5" w14:textId="77777777">
            <w:pPr>
              <w:adjustRightInd w:val="0"/>
              <w:spacing w:line="240" w:lineRule="auto"/>
              <w:rPr>
                <w:rFonts w:cs="Times New Roman"/>
                <w:color w:val="0000FF"/>
                <w:sz w:val="22"/>
              </w:rPr>
            </w:pPr>
            <w:hyperlink r:id="rId54" w:history="1">
              <w:r w:rsidRPr="00CC14D9">
                <w:rPr>
                  <w:rStyle w:val="Hyperlink"/>
                  <w:rFonts w:cs="Times New Roman"/>
                  <w:color w:val="0000FF"/>
                  <w:sz w:val="22"/>
                </w:rPr>
                <w:t>mdortch@kravitzllc.com</w:t>
              </w:r>
            </w:hyperlink>
          </w:p>
          <w:p w:rsidR="000A4D2C" w:rsidRPr="00CC14D9" w:rsidP="000A4D2C" w14:paraId="7D1486DB" w14:textId="77777777">
            <w:pPr>
              <w:adjustRightInd w:val="0"/>
              <w:spacing w:line="240" w:lineRule="auto"/>
              <w:rPr>
                <w:rFonts w:cs="Times New Roman"/>
                <w:color w:val="0000FF"/>
                <w:sz w:val="22"/>
              </w:rPr>
            </w:pPr>
            <w:hyperlink r:id="rId55" w:history="1">
              <w:r w:rsidRPr="00CC14D9">
                <w:rPr>
                  <w:rStyle w:val="Hyperlink"/>
                  <w:rFonts w:cs="Times New Roman"/>
                  <w:color w:val="0000FF"/>
                  <w:sz w:val="22"/>
                </w:rPr>
                <w:t>rparsons@kravitzllc.com</w:t>
              </w:r>
            </w:hyperlink>
          </w:p>
          <w:p w:rsidR="000A4D2C" w:rsidRPr="00CC14D9" w:rsidP="000A4D2C" w14:paraId="17866E75" w14:textId="77777777">
            <w:pPr>
              <w:adjustRightInd w:val="0"/>
              <w:spacing w:line="240" w:lineRule="auto"/>
              <w:rPr>
                <w:rFonts w:cs="Times New Roman"/>
                <w:color w:val="0000FF"/>
                <w:sz w:val="22"/>
              </w:rPr>
            </w:pPr>
            <w:hyperlink r:id="rId56" w:history="1">
              <w:r w:rsidRPr="00CC14D9">
                <w:rPr>
                  <w:rStyle w:val="Hyperlink"/>
                  <w:rFonts w:cs="Times New Roman"/>
                  <w:color w:val="0000FF"/>
                  <w:sz w:val="22"/>
                </w:rPr>
                <w:t>Bojko@carpenterlipps.com</w:t>
              </w:r>
            </w:hyperlink>
          </w:p>
          <w:p w:rsidR="000A4D2C" w:rsidRPr="00CC14D9" w:rsidP="000A4D2C" w14:paraId="1B482B63" w14:textId="77777777">
            <w:pPr>
              <w:adjustRightInd w:val="0"/>
              <w:spacing w:line="240" w:lineRule="auto"/>
              <w:rPr>
                <w:rFonts w:cs="Times New Roman"/>
                <w:color w:val="0000FF"/>
                <w:sz w:val="22"/>
              </w:rPr>
            </w:pPr>
            <w:hyperlink r:id="rId57" w:history="1">
              <w:r w:rsidRPr="00CC14D9">
                <w:rPr>
                  <w:rStyle w:val="Hyperlink"/>
                  <w:rFonts w:cs="Times New Roman"/>
                  <w:color w:val="0000FF"/>
                  <w:sz w:val="22"/>
                </w:rPr>
                <w:t>perko@carpenterlipps.com</w:t>
              </w:r>
            </w:hyperlink>
          </w:p>
          <w:p w:rsidR="000A4D2C" w:rsidRPr="00CC14D9" w:rsidP="000A4D2C" w14:paraId="3AB5473D" w14:textId="77777777">
            <w:pPr>
              <w:adjustRightInd w:val="0"/>
              <w:spacing w:line="240" w:lineRule="auto"/>
              <w:rPr>
                <w:rFonts w:cs="Times New Roman"/>
                <w:color w:val="0000FF"/>
                <w:sz w:val="22"/>
              </w:rPr>
            </w:pPr>
            <w:hyperlink r:id="rId58" w:history="1">
              <w:r w:rsidRPr="00CC14D9">
                <w:rPr>
                  <w:rStyle w:val="Hyperlink"/>
                  <w:rFonts w:cs="Times New Roman"/>
                  <w:color w:val="0000FF"/>
                  <w:sz w:val="22"/>
                </w:rPr>
                <w:t>Ghiloni@carpenterlipps.com</w:t>
              </w:r>
            </w:hyperlink>
          </w:p>
          <w:p w:rsidR="000A4D2C" w:rsidRPr="00CC14D9" w:rsidP="000A4D2C" w14:paraId="577AB392" w14:textId="77777777">
            <w:pPr>
              <w:adjustRightInd w:val="0"/>
              <w:spacing w:line="240" w:lineRule="auto"/>
              <w:rPr>
                <w:rFonts w:cs="Times New Roman"/>
                <w:color w:val="0000FF"/>
                <w:sz w:val="22"/>
              </w:rPr>
            </w:pPr>
            <w:hyperlink r:id="rId59" w:history="1">
              <w:r w:rsidRPr="00CC14D9">
                <w:rPr>
                  <w:rStyle w:val="Hyperlink"/>
                  <w:rFonts w:cs="Times New Roman"/>
                  <w:color w:val="0000FF"/>
                  <w:sz w:val="22"/>
                </w:rPr>
                <w:t>paul@carpenterlipps.com</w:t>
              </w:r>
            </w:hyperlink>
          </w:p>
          <w:p w:rsidR="000A4D2C" w:rsidRPr="00CC14D9" w:rsidP="000A4D2C" w14:paraId="1947BBA9" w14:textId="77777777">
            <w:pPr>
              <w:adjustRightInd w:val="0"/>
              <w:spacing w:line="240" w:lineRule="auto"/>
              <w:rPr>
                <w:rFonts w:cs="Times New Roman"/>
                <w:color w:val="0000FF"/>
                <w:sz w:val="22"/>
              </w:rPr>
            </w:pPr>
            <w:hyperlink r:id="rId60" w:history="1">
              <w:r w:rsidRPr="00CC14D9">
                <w:rPr>
                  <w:rStyle w:val="Hyperlink"/>
                  <w:rFonts w:cs="Times New Roman"/>
                  <w:color w:val="0000FF"/>
                  <w:sz w:val="22"/>
                </w:rPr>
                <w:t>sechler@carpenterlipps.com</w:t>
              </w:r>
            </w:hyperlink>
          </w:p>
          <w:p w:rsidR="000A4D2C" w:rsidRPr="00CC14D9" w:rsidP="000A4D2C" w14:paraId="6FF71124" w14:textId="77777777">
            <w:pPr>
              <w:adjustRightInd w:val="0"/>
              <w:spacing w:line="240" w:lineRule="auto"/>
              <w:rPr>
                <w:rFonts w:cs="Times New Roman"/>
                <w:color w:val="0000FF"/>
                <w:sz w:val="22"/>
              </w:rPr>
            </w:pPr>
            <w:hyperlink r:id="rId61" w:history="1">
              <w:r w:rsidRPr="00CC14D9">
                <w:rPr>
                  <w:rStyle w:val="Hyperlink"/>
                  <w:rFonts w:cs="Times New Roman"/>
                  <w:color w:val="0000FF"/>
                  <w:sz w:val="22"/>
                </w:rPr>
                <w:t>mwarnock@bricker.com</w:t>
              </w:r>
            </w:hyperlink>
          </w:p>
          <w:p w:rsidR="000A4D2C" w:rsidRPr="00CC14D9" w:rsidP="000A4D2C" w14:paraId="74598E9B" w14:textId="77777777">
            <w:pPr>
              <w:adjustRightInd w:val="0"/>
              <w:spacing w:line="240" w:lineRule="auto"/>
              <w:rPr>
                <w:rFonts w:cs="Times New Roman"/>
                <w:color w:val="0000FF"/>
                <w:sz w:val="22"/>
              </w:rPr>
            </w:pPr>
            <w:hyperlink r:id="rId62" w:history="1">
              <w:r w:rsidRPr="00CC14D9">
                <w:rPr>
                  <w:rStyle w:val="Hyperlink"/>
                  <w:rFonts w:cs="Times New Roman"/>
                  <w:color w:val="0000FF"/>
                  <w:sz w:val="22"/>
                </w:rPr>
                <w:t>dparram@bricker.com</w:t>
              </w:r>
            </w:hyperlink>
          </w:p>
          <w:p w:rsidR="000A4D2C" w:rsidRPr="00CC14D9" w:rsidP="000A4D2C" w14:paraId="2AC0CC51" w14:textId="77777777">
            <w:pPr>
              <w:adjustRightInd w:val="0"/>
              <w:spacing w:line="240" w:lineRule="auto"/>
              <w:rPr>
                <w:rFonts w:cs="Times New Roman"/>
                <w:color w:val="0000FF"/>
                <w:sz w:val="22"/>
              </w:rPr>
            </w:pPr>
            <w:hyperlink r:id="rId63" w:history="1">
              <w:r w:rsidRPr="00CC14D9">
                <w:rPr>
                  <w:rStyle w:val="Hyperlink"/>
                  <w:rFonts w:cs="Times New Roman"/>
                  <w:color w:val="0000FF"/>
                  <w:sz w:val="22"/>
                </w:rPr>
                <w:t>dborchers@bricker.com</w:t>
              </w:r>
            </w:hyperlink>
          </w:p>
          <w:p w:rsidR="000A4D2C" w:rsidRPr="00CC14D9" w:rsidP="000A4D2C" w14:paraId="416B0A94" w14:textId="77777777">
            <w:pPr>
              <w:adjustRightInd w:val="0"/>
              <w:spacing w:line="240" w:lineRule="auto"/>
              <w:rPr>
                <w:rFonts w:cs="Times New Roman"/>
                <w:color w:val="0000FF"/>
                <w:sz w:val="22"/>
              </w:rPr>
            </w:pPr>
            <w:hyperlink r:id="rId64" w:history="1">
              <w:r w:rsidRPr="00CC14D9">
                <w:rPr>
                  <w:rStyle w:val="Hyperlink"/>
                  <w:rFonts w:cs="Times New Roman"/>
                  <w:color w:val="0000FF"/>
                  <w:sz w:val="22"/>
                </w:rPr>
                <w:t>lhawrot@spilmanlaw.com</w:t>
              </w:r>
            </w:hyperlink>
          </w:p>
          <w:p w:rsidR="000A4D2C" w:rsidRPr="00CC14D9" w:rsidP="000A4D2C" w14:paraId="4281B0B9" w14:textId="77777777">
            <w:pPr>
              <w:adjustRightInd w:val="0"/>
              <w:spacing w:line="240" w:lineRule="auto"/>
              <w:rPr>
                <w:rFonts w:cs="Times New Roman"/>
                <w:color w:val="0000FF"/>
                <w:sz w:val="22"/>
              </w:rPr>
            </w:pPr>
            <w:hyperlink r:id="rId65" w:history="1">
              <w:r w:rsidRPr="00CC14D9">
                <w:rPr>
                  <w:rStyle w:val="Hyperlink"/>
                  <w:rFonts w:cs="Times New Roman"/>
                  <w:color w:val="0000FF"/>
                  <w:sz w:val="22"/>
                </w:rPr>
                <w:t>dwilliamson@spilmanlaw.com</w:t>
              </w:r>
            </w:hyperlink>
          </w:p>
          <w:p w:rsidR="000A4D2C" w:rsidRPr="00CC14D9" w:rsidP="000A4D2C" w14:paraId="046584B3" w14:textId="77777777">
            <w:pPr>
              <w:adjustRightInd w:val="0"/>
              <w:spacing w:line="240" w:lineRule="auto"/>
              <w:rPr>
                <w:rFonts w:cs="Times New Roman"/>
                <w:color w:val="0000FF"/>
                <w:sz w:val="22"/>
              </w:rPr>
            </w:pPr>
            <w:hyperlink r:id="rId66" w:history="1">
              <w:r w:rsidRPr="00CC14D9">
                <w:rPr>
                  <w:rStyle w:val="Hyperlink"/>
                  <w:rFonts w:cs="Times New Roman"/>
                  <w:color w:val="0000FF"/>
                  <w:sz w:val="22"/>
                </w:rPr>
                <w:t>charris@spilmanlaw.com</w:t>
              </w:r>
            </w:hyperlink>
          </w:p>
          <w:p w:rsidR="000A4D2C" w:rsidRPr="00CC14D9" w:rsidP="000A4D2C" w14:paraId="45A07230" w14:textId="77777777">
            <w:pPr>
              <w:adjustRightInd w:val="0"/>
              <w:spacing w:line="240" w:lineRule="auto"/>
              <w:rPr>
                <w:rFonts w:cs="Times New Roman"/>
                <w:color w:val="0000FF"/>
                <w:sz w:val="22"/>
              </w:rPr>
            </w:pPr>
            <w:hyperlink r:id="rId67" w:history="1">
              <w:r w:rsidRPr="00CC14D9">
                <w:rPr>
                  <w:rStyle w:val="Hyperlink"/>
                  <w:rFonts w:cs="Times New Roman"/>
                  <w:color w:val="0000FF"/>
                  <w:sz w:val="22"/>
                </w:rPr>
                <w:t>ejacobs@ablelaw.org</w:t>
              </w:r>
            </w:hyperlink>
          </w:p>
          <w:p w:rsidR="000A4D2C" w:rsidRPr="00CC14D9" w:rsidP="000A4D2C" w14:paraId="374966E4" w14:textId="77777777">
            <w:pPr>
              <w:adjustRightInd w:val="0"/>
              <w:spacing w:line="240" w:lineRule="auto"/>
              <w:rPr>
                <w:rFonts w:cs="Times New Roman"/>
                <w:color w:val="0000FF"/>
                <w:sz w:val="22"/>
              </w:rPr>
            </w:pPr>
            <w:hyperlink r:id="rId68" w:history="1">
              <w:r w:rsidRPr="00CC14D9">
                <w:rPr>
                  <w:rStyle w:val="Hyperlink"/>
                  <w:rFonts w:cs="Times New Roman"/>
                  <w:color w:val="0000FF"/>
                  <w:sz w:val="22"/>
                </w:rPr>
                <w:t>rseiler@dickinsonwright.com</w:t>
              </w:r>
            </w:hyperlink>
          </w:p>
          <w:p w:rsidR="000A4D2C" w:rsidRPr="00CC14D9" w:rsidP="000A4D2C" w14:paraId="15FD0F4C" w14:textId="77777777">
            <w:pPr>
              <w:adjustRightInd w:val="0"/>
              <w:spacing w:line="240" w:lineRule="auto"/>
              <w:rPr>
                <w:rFonts w:cs="Times New Roman"/>
                <w:color w:val="0000FF"/>
                <w:sz w:val="22"/>
              </w:rPr>
            </w:pPr>
            <w:hyperlink r:id="rId69" w:history="1">
              <w:r w:rsidRPr="00CC14D9">
                <w:rPr>
                  <w:rStyle w:val="Hyperlink"/>
                  <w:rFonts w:cs="Times New Roman"/>
                  <w:color w:val="0000FF"/>
                  <w:sz w:val="22"/>
                </w:rPr>
                <w:t>cpirik@dickinsonwright.com</w:t>
              </w:r>
            </w:hyperlink>
          </w:p>
          <w:p w:rsidR="000A4D2C" w:rsidRPr="00CC14D9" w:rsidP="000A4D2C" w14:paraId="2840A19D" w14:textId="77777777">
            <w:pPr>
              <w:adjustRightInd w:val="0"/>
              <w:spacing w:line="240" w:lineRule="auto"/>
              <w:rPr>
                <w:rFonts w:cs="Times New Roman"/>
                <w:color w:val="0000FF"/>
                <w:sz w:val="22"/>
              </w:rPr>
            </w:pPr>
            <w:hyperlink r:id="rId70" w:history="1">
              <w:r w:rsidRPr="00CC14D9">
                <w:rPr>
                  <w:rStyle w:val="Hyperlink"/>
                  <w:rFonts w:cs="Times New Roman"/>
                  <w:color w:val="0000FF"/>
                  <w:sz w:val="22"/>
                </w:rPr>
                <w:t>wvorys@dickinsonwright.com</w:t>
              </w:r>
            </w:hyperlink>
          </w:p>
          <w:p w:rsidR="000A4D2C" w:rsidRPr="00CC14D9" w:rsidP="000A4D2C" w14:paraId="5284D70E" w14:textId="77777777">
            <w:pPr>
              <w:adjustRightInd w:val="0"/>
              <w:spacing w:line="240" w:lineRule="auto"/>
              <w:rPr>
                <w:rFonts w:cs="Times New Roman"/>
                <w:color w:val="0000FF"/>
                <w:sz w:val="22"/>
              </w:rPr>
            </w:pPr>
            <w:hyperlink r:id="rId71" w:history="1">
              <w:r w:rsidRPr="00CC14D9">
                <w:rPr>
                  <w:rStyle w:val="Hyperlink"/>
                  <w:rFonts w:cs="Times New Roman"/>
                  <w:color w:val="0000FF"/>
                  <w:sz w:val="22"/>
                </w:rPr>
                <w:t>todonnell@dickinsonwright.com</w:t>
              </w:r>
            </w:hyperlink>
          </w:p>
          <w:p w:rsidR="000A4D2C" w:rsidRPr="007318B0" w:rsidP="000A4D2C" w14:paraId="4D3B17D1" w14:textId="77777777">
            <w:pPr>
              <w:adjustRightInd w:val="0"/>
              <w:spacing w:line="240" w:lineRule="auto"/>
              <w:rPr>
                <w:rFonts w:cs="Times New Roman"/>
                <w:sz w:val="22"/>
              </w:rPr>
            </w:pPr>
          </w:p>
          <w:p w:rsidR="000A4D2C" w:rsidRPr="007318B0" w:rsidP="000A4D2C" w14:paraId="6F0D7DB2" w14:textId="77777777">
            <w:pPr>
              <w:adjustRightInd w:val="0"/>
              <w:spacing w:line="240" w:lineRule="auto"/>
              <w:rPr>
                <w:rFonts w:cs="Times New Roman"/>
                <w:sz w:val="22"/>
              </w:rPr>
            </w:pPr>
          </w:p>
        </w:tc>
      </w:tr>
    </w:tbl>
    <w:p w:rsidR="000A4D2C" w:rsidRPr="00A329C2" w:rsidP="000A4D2C" w14:paraId="44E60412" w14:textId="77777777">
      <w:pPr>
        <w:ind w:firstLine="720"/>
        <w:contextualSpacing/>
        <w:rPr>
          <w:rFonts w:cs="Times New Roman"/>
          <w:szCs w:val="24"/>
        </w:rPr>
      </w:pPr>
    </w:p>
    <w:sectPr w:rsidSect="00970FBC">
      <w:footerReference w:type="default" r:id="rId72"/>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0987" w14:paraId="1F9DC99A" w14:textId="77777777">
    <w:pPr>
      <w:pStyle w:val="Footer"/>
      <w:jc w:val="center"/>
    </w:pPr>
  </w:p>
  <w:p w:rsidR="00910987" w14:paraId="034BCB8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0987" w14:paraId="6B4E9A3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79954148"/>
      <w:docPartObj>
        <w:docPartGallery w:val="Page Numbers (Bottom of Page)"/>
        <w:docPartUnique/>
      </w:docPartObj>
    </w:sdtPr>
    <w:sdtEndPr>
      <w:rPr>
        <w:noProof/>
      </w:rPr>
    </w:sdtEndPr>
    <w:sdtContent>
      <w:p w:rsidR="00910987" w14:paraId="22A5343C"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0987" w14:paraId="15D4B60D"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81728403"/>
      <w:docPartObj>
        <w:docPartGallery w:val="Page Numbers (Bottom of Page)"/>
        <w:docPartUnique/>
      </w:docPartObj>
    </w:sdtPr>
    <w:sdtEndPr>
      <w:rPr>
        <w:noProof/>
      </w:rPr>
    </w:sdtEndPr>
    <w:sdtContent>
      <w:p w:rsidR="00910987" w14:paraId="72310C2B" w14:textId="250AD8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C0C04" w:rsidP="000A4D2C" w14:paraId="29171C42" w14:textId="77777777">
      <w:pPr>
        <w:spacing w:line="240" w:lineRule="auto"/>
      </w:pPr>
      <w:r>
        <w:separator/>
      </w:r>
    </w:p>
  </w:footnote>
  <w:footnote w:type="continuationSeparator" w:id="1">
    <w:p w:rsidR="006C0C04" w:rsidP="000A4D2C" w14:paraId="0822D60D" w14:textId="77777777">
      <w:pPr>
        <w:spacing w:line="240" w:lineRule="auto"/>
      </w:pPr>
      <w:r>
        <w:continuationSeparator/>
      </w:r>
    </w:p>
  </w:footnote>
  <w:footnote w:id="2">
    <w:p w:rsidR="00910987" w:rsidRPr="00C2021C" w:rsidP="00374DA0" w14:paraId="2CAA376A" w14:textId="77777777">
      <w:pPr>
        <w:pStyle w:val="FootnoteText"/>
        <w:spacing w:after="120"/>
        <w:rPr>
          <w:rFonts w:cs="Times New Roman"/>
        </w:rPr>
      </w:pPr>
      <w:r w:rsidRPr="00C2021C">
        <w:rPr>
          <w:rStyle w:val="FootnoteReference"/>
          <w:rFonts w:cs="Times New Roman"/>
        </w:rPr>
        <w:footnoteRef/>
      </w:r>
      <w:r w:rsidRPr="00C2021C">
        <w:rPr>
          <w:rFonts w:cs="Times New Roman"/>
        </w:rPr>
        <w:t xml:space="preserve"> </w:t>
      </w:r>
      <w:r w:rsidRPr="00374DA0">
        <w:rPr>
          <w:rFonts w:cs="Times New Roman"/>
          <w:i/>
        </w:rPr>
        <w:t>See</w:t>
      </w:r>
      <w:r w:rsidRPr="00C2021C">
        <w:rPr>
          <w:rFonts w:cs="Times New Roman"/>
        </w:rPr>
        <w:t xml:space="preserve"> </w:t>
      </w:r>
      <w:r w:rsidRPr="00C2021C">
        <w:rPr>
          <w:rFonts w:cs="Times New Roman"/>
          <w:i/>
        </w:rPr>
        <w:t>Amended Stipulation and Recommendation</w:t>
      </w:r>
      <w:r w:rsidRPr="00C2021C">
        <w:rPr>
          <w:rFonts w:cs="Times New Roman"/>
        </w:rPr>
        <w:t>, March 14, 2017 (“Settlement”).</w:t>
      </w:r>
    </w:p>
  </w:footnote>
  <w:footnote w:id="3">
    <w:p w:rsidR="00910987" w:rsidRPr="00C2021C" w:rsidP="00374DA0" w14:paraId="018FC016" w14:textId="393C9EBE">
      <w:pPr>
        <w:pStyle w:val="FootnoteText"/>
        <w:spacing w:after="120"/>
        <w:rPr>
          <w:rFonts w:cs="Times New Roman"/>
        </w:rPr>
      </w:pPr>
      <w:r w:rsidRPr="00C2021C">
        <w:rPr>
          <w:rStyle w:val="FootnoteReference"/>
          <w:rFonts w:cs="Times New Roman"/>
        </w:rPr>
        <w:footnoteRef/>
      </w:r>
      <w:r w:rsidRPr="00C2021C">
        <w:rPr>
          <w:rFonts w:cs="Times New Roman"/>
        </w:rPr>
        <w:t xml:space="preserve"> OCC opposed the Settlement and has appealed the PUCO Order approving the settlement. </w:t>
      </w:r>
      <w:r w:rsidRPr="00C2021C">
        <w:rPr>
          <w:rFonts w:cs="Times New Roman"/>
          <w:i/>
        </w:rPr>
        <w:t>In the Matter of the Application of The Dayton Power and Light Company for Approval of Its Electric Security Plan</w:t>
      </w:r>
      <w:r w:rsidRPr="00C2021C">
        <w:rPr>
          <w:rFonts w:cs="Times New Roman"/>
        </w:rPr>
        <w:t>, Sup. Ct. 2019-0020, OCC Notice of Appeal (Jan</w:t>
      </w:r>
      <w:r>
        <w:rPr>
          <w:rFonts w:cs="Times New Roman"/>
        </w:rPr>
        <w:t>uary</w:t>
      </w:r>
      <w:r w:rsidRPr="00C2021C">
        <w:rPr>
          <w:rFonts w:cs="Times New Roman"/>
        </w:rPr>
        <w:t xml:space="preserve"> 7, 2019).</w:t>
      </w:r>
    </w:p>
  </w:footnote>
  <w:footnote w:id="4">
    <w:p w:rsidR="00910987" w:rsidRPr="00C2021C" w:rsidP="00374DA0" w14:paraId="02C8B8F4" w14:textId="77777777">
      <w:pPr>
        <w:pStyle w:val="FootnoteText"/>
        <w:spacing w:after="120"/>
        <w:rPr>
          <w:rFonts w:cs="Times New Roman"/>
        </w:rPr>
      </w:pPr>
      <w:r w:rsidRPr="00C2021C">
        <w:rPr>
          <w:rStyle w:val="FootnoteReference"/>
          <w:rFonts w:cs="Times New Roman"/>
        </w:rPr>
        <w:footnoteRef/>
      </w:r>
      <w:r w:rsidRPr="00C2021C">
        <w:rPr>
          <w:rFonts w:cs="Times New Roman"/>
        </w:rPr>
        <w:t xml:space="preserve"> </w:t>
      </w:r>
      <w:r w:rsidRPr="00C2021C">
        <w:rPr>
          <w:rFonts w:cs="Times New Roman"/>
          <w:i/>
          <w:color w:val="232323"/>
        </w:rPr>
        <w:t>Notice of withdrawal from Amended Stipulation and Recommendation</w:t>
      </w:r>
      <w:r w:rsidRPr="00C2021C">
        <w:rPr>
          <w:rFonts w:cs="Times New Roman"/>
          <w:color w:val="232323"/>
        </w:rPr>
        <w:t xml:space="preserve"> at 2, (October 19, 2018) (“Notice of Withdrawal”) (</w:t>
      </w:r>
      <w:r w:rsidRPr="00C2021C">
        <w:rPr>
          <w:rFonts w:cs="Times New Roman"/>
        </w:rPr>
        <w:t>If any party withdraws as a signatory party to the Stipulation, “the Commission will convene an evidentiary hearing to afford that Signatory Party the opportunity to contest the Stipulation by presenting evidence through witnesses, to cross-examine witnesses, to present rebuttal testimony, and to brief all issues that the Commission shall decide based upon the record and briefs.”).</w:t>
      </w:r>
    </w:p>
  </w:footnote>
  <w:footnote w:id="5">
    <w:p w:rsidR="00910987" w:rsidRPr="00C2021C" w:rsidP="00374DA0" w14:paraId="696C1B84" w14:textId="77777777">
      <w:pPr>
        <w:pStyle w:val="FootnoteText"/>
        <w:spacing w:after="120"/>
        <w:rPr>
          <w:rFonts w:cs="Times New Roman"/>
        </w:rPr>
      </w:pPr>
      <w:r w:rsidRPr="00C2021C">
        <w:rPr>
          <w:rStyle w:val="FootnoteReference"/>
          <w:rFonts w:cs="Times New Roman"/>
        </w:rPr>
        <w:footnoteRef/>
      </w:r>
      <w:r w:rsidRPr="00C2021C">
        <w:rPr>
          <w:rFonts w:cs="Times New Roman"/>
        </w:rPr>
        <w:t xml:space="preserve"> </w:t>
      </w:r>
      <w:r w:rsidRPr="00C2021C">
        <w:rPr>
          <w:rFonts w:cs="Times New Roman"/>
          <w:i/>
          <w:color w:val="232323"/>
        </w:rPr>
        <w:t>Id.</w:t>
      </w:r>
    </w:p>
  </w:footnote>
  <w:footnote w:id="6">
    <w:p w:rsidR="00910987" w:rsidRPr="00C2021C" w:rsidP="00374DA0" w14:paraId="7368891A" w14:textId="77777777">
      <w:pPr>
        <w:pStyle w:val="FootnoteText"/>
        <w:spacing w:after="120"/>
        <w:rPr>
          <w:rFonts w:cs="Times New Roman"/>
        </w:rPr>
      </w:pPr>
      <w:r w:rsidRPr="00C2021C">
        <w:rPr>
          <w:rStyle w:val="FootnoteReference"/>
          <w:rFonts w:cs="Times New Roman"/>
        </w:rPr>
        <w:footnoteRef/>
      </w:r>
      <w:r w:rsidRPr="00C2021C">
        <w:rPr>
          <w:rFonts w:cs="Times New Roman"/>
        </w:rPr>
        <w:t xml:space="preserve"> Supplemental Direct Testimony of Matthew White on Behalf of Interstate Gas Supply, Inc. (February 12, 2019) (“White’s Testimony”).</w:t>
      </w:r>
    </w:p>
  </w:footnote>
  <w:footnote w:id="7">
    <w:p w:rsidR="00910987" w:rsidRPr="00C2021C" w:rsidP="00374DA0" w14:paraId="0C609C7D" w14:textId="77777777">
      <w:pPr>
        <w:pStyle w:val="FootnoteText"/>
        <w:spacing w:after="120"/>
        <w:rPr>
          <w:rFonts w:cs="Times New Roman"/>
        </w:rPr>
      </w:pPr>
      <w:r w:rsidRPr="00C2021C">
        <w:rPr>
          <w:rStyle w:val="FootnoteReference"/>
          <w:rFonts w:cs="Times New Roman"/>
        </w:rPr>
        <w:footnoteRef/>
      </w:r>
      <w:r w:rsidRPr="00C2021C">
        <w:rPr>
          <w:rFonts w:cs="Times New Roman"/>
        </w:rPr>
        <w:t xml:space="preserve"> Hearing Transcript, Vol. III at 1399:19-22. </w:t>
      </w:r>
    </w:p>
  </w:footnote>
  <w:footnote w:id="8">
    <w:p w:rsidR="00910987" w:rsidRPr="00C2021C" w:rsidP="00374DA0" w14:paraId="71602C91" w14:textId="7AF2B145">
      <w:pPr>
        <w:pStyle w:val="FootnoteText"/>
        <w:spacing w:after="120"/>
        <w:rPr>
          <w:rFonts w:cs="Times New Roman"/>
        </w:rPr>
      </w:pPr>
      <w:r w:rsidRPr="00C2021C">
        <w:rPr>
          <w:rStyle w:val="FootnoteReference"/>
          <w:rFonts w:cs="Times New Roman"/>
        </w:rPr>
        <w:footnoteRef/>
      </w:r>
      <w:r w:rsidRPr="00C2021C">
        <w:rPr>
          <w:rFonts w:cs="Times New Roman"/>
        </w:rPr>
        <w:t xml:space="preserve"> Hearing Transcript Vol. III at 1401:18-19; Willis Testimony at 3:18-20.</w:t>
      </w:r>
      <w:r>
        <w:rPr>
          <w:rFonts w:cs="Times New Roman"/>
        </w:rPr>
        <w:t xml:space="preserve"> </w:t>
      </w:r>
    </w:p>
  </w:footnote>
  <w:footnote w:id="9">
    <w:p w:rsidR="00910987" w:rsidRPr="00C2021C" w:rsidP="00374DA0" w14:paraId="119AA99E" w14:textId="77777777">
      <w:pPr>
        <w:pStyle w:val="FootnoteText"/>
        <w:spacing w:after="120"/>
        <w:rPr>
          <w:rFonts w:cs="Times New Roman"/>
        </w:rPr>
      </w:pPr>
      <w:r w:rsidRPr="00C2021C">
        <w:rPr>
          <w:rStyle w:val="FootnoteReference"/>
          <w:rFonts w:cs="Times New Roman"/>
        </w:rPr>
        <w:footnoteRef/>
      </w:r>
      <w:r w:rsidRPr="00C2021C">
        <w:rPr>
          <w:rFonts w:cs="Times New Roman"/>
        </w:rPr>
        <w:t xml:space="preserve"> White’s Testimony at 4:7-9.</w:t>
      </w:r>
    </w:p>
  </w:footnote>
  <w:footnote w:id="10">
    <w:p w:rsidR="00910987" w:rsidRPr="00C2021C" w:rsidP="00374DA0" w14:paraId="7569DE73" w14:textId="77777777">
      <w:pPr>
        <w:pStyle w:val="FootnoteText"/>
        <w:spacing w:after="120"/>
        <w:rPr>
          <w:rFonts w:cs="Times New Roman"/>
        </w:rPr>
      </w:pPr>
      <w:r w:rsidRPr="00C2021C">
        <w:rPr>
          <w:rStyle w:val="FootnoteReference"/>
          <w:rFonts w:cs="Times New Roman"/>
        </w:rPr>
        <w:footnoteRef/>
      </w:r>
      <w:r w:rsidRPr="00C2021C">
        <w:rPr>
          <w:rFonts w:cs="Times New Roman"/>
        </w:rPr>
        <w:t xml:space="preserve"> White’s Testimony at 5:14-18.</w:t>
      </w:r>
    </w:p>
  </w:footnote>
  <w:footnote w:id="11">
    <w:p w:rsidR="00910987" w:rsidRPr="000A4D2C" w:rsidP="00374DA0" w14:paraId="0F881102" w14:textId="250923F0">
      <w:pPr>
        <w:pStyle w:val="FootnoteText"/>
        <w:spacing w:after="120"/>
      </w:pPr>
      <w:r>
        <w:rPr>
          <w:rStyle w:val="FootnoteReference"/>
        </w:rPr>
        <w:footnoteRef/>
      </w:r>
      <w:r>
        <w:t xml:space="preserve"> </w:t>
      </w:r>
      <w:r>
        <w:rPr>
          <w:i/>
          <w:iCs/>
        </w:rPr>
        <w:t xml:space="preserve">See </w:t>
      </w:r>
      <w:r>
        <w:t>IGS’s Application for Rehearing.</w:t>
      </w:r>
    </w:p>
  </w:footnote>
  <w:footnote w:id="12">
    <w:p w:rsidR="00910987" w:rsidRPr="000A4D2C" w:rsidP="00374DA0" w14:paraId="16213C4B" w14:textId="5822E1ED">
      <w:pPr>
        <w:pStyle w:val="FootnoteText"/>
        <w:spacing w:after="120"/>
      </w:pPr>
      <w:r>
        <w:rPr>
          <w:rStyle w:val="FootnoteReference"/>
        </w:rPr>
        <w:footnoteRef/>
      </w:r>
      <w:r>
        <w:t xml:space="preserve"> </w:t>
      </w:r>
      <w:r>
        <w:rPr>
          <w:i/>
          <w:iCs/>
        </w:rPr>
        <w:t xml:space="preserve">See id. </w:t>
      </w:r>
      <w:r>
        <w:t>at 23-26.</w:t>
      </w:r>
    </w:p>
  </w:footnote>
  <w:footnote w:id="13">
    <w:p w:rsidR="00910987" w:rsidRPr="00C2021C" w:rsidP="00374DA0" w14:paraId="7987C9A0" w14:textId="77777777">
      <w:pPr>
        <w:pStyle w:val="FootnoteText"/>
        <w:spacing w:after="120"/>
        <w:rPr>
          <w:rFonts w:cs="Times New Roman"/>
        </w:rPr>
      </w:pPr>
      <w:r w:rsidRPr="00C2021C">
        <w:rPr>
          <w:rStyle w:val="FootnoteReference"/>
          <w:rFonts w:cs="Times New Roman"/>
        </w:rPr>
        <w:footnoteRef/>
      </w:r>
      <w:r w:rsidRPr="00C2021C">
        <w:rPr>
          <w:rFonts w:cs="Times New Roman"/>
        </w:rPr>
        <w:t xml:space="preserve"> White’s Testimony at 3:17-20, 9:21,10:11-21.</w:t>
      </w:r>
    </w:p>
  </w:footnote>
  <w:footnote w:id="14">
    <w:p w:rsidR="00910987" w:rsidRPr="00C2021C" w:rsidP="00374DA0" w14:paraId="694EF609" w14:textId="77777777">
      <w:pPr>
        <w:pStyle w:val="FootnoteText"/>
        <w:spacing w:after="120"/>
        <w:rPr>
          <w:rFonts w:cs="Times New Roman"/>
        </w:rPr>
      </w:pPr>
      <w:r w:rsidRPr="00C2021C">
        <w:rPr>
          <w:rStyle w:val="FootnoteReference"/>
          <w:rFonts w:cs="Times New Roman"/>
        </w:rPr>
        <w:footnoteRef/>
      </w:r>
      <w:r w:rsidRPr="00C2021C">
        <w:rPr>
          <w:rFonts w:cs="Times New Roman"/>
        </w:rPr>
        <w:t xml:space="preserve"> </w:t>
      </w:r>
      <w:r w:rsidRPr="00C2021C">
        <w:rPr>
          <w:rFonts w:cs="Times New Roman"/>
          <w:i/>
        </w:rPr>
        <w:t>Id.</w:t>
      </w:r>
    </w:p>
  </w:footnote>
  <w:footnote w:id="15">
    <w:p w:rsidR="00910987" w:rsidRPr="00C2021C" w:rsidP="00374DA0" w14:paraId="15419B4D" w14:textId="77777777">
      <w:pPr>
        <w:pStyle w:val="FootnoteText"/>
        <w:spacing w:after="120"/>
        <w:rPr>
          <w:rFonts w:cs="Times New Roman"/>
          <w:i/>
        </w:rPr>
      </w:pPr>
      <w:r w:rsidRPr="00C2021C">
        <w:rPr>
          <w:rStyle w:val="FootnoteReference"/>
          <w:rFonts w:cs="Times New Roman"/>
        </w:rPr>
        <w:footnoteRef/>
      </w:r>
      <w:r w:rsidRPr="00C2021C">
        <w:rPr>
          <w:rFonts w:cs="Times New Roman"/>
        </w:rPr>
        <w:t xml:space="preserve"> </w:t>
      </w:r>
      <w:r w:rsidRPr="00C2021C">
        <w:rPr>
          <w:rFonts w:cs="Times New Roman"/>
          <w:i/>
        </w:rPr>
        <w:t>Id.</w:t>
      </w:r>
    </w:p>
  </w:footnote>
  <w:footnote w:id="16">
    <w:p w:rsidR="00910987" w:rsidRPr="003E6CB0" w:rsidP="00374DA0" w14:paraId="09FE200C" w14:textId="65FD0108">
      <w:pPr>
        <w:pStyle w:val="FootnoteText"/>
        <w:spacing w:after="120"/>
      </w:pPr>
      <w:r>
        <w:rPr>
          <w:rStyle w:val="FootnoteReference"/>
        </w:rPr>
        <w:footnoteRef/>
      </w:r>
      <w:r>
        <w:t xml:space="preserve"> </w:t>
      </w:r>
      <w:r>
        <w:rPr>
          <w:i/>
          <w:iCs/>
        </w:rPr>
        <w:t xml:space="preserve">See </w:t>
      </w:r>
      <w:r>
        <w:t>Supplemental Opinion and Order (November 21, 2019) at ¶¶ 84-85.</w:t>
      </w:r>
    </w:p>
  </w:footnote>
  <w:footnote w:id="17">
    <w:p w:rsidR="00910987" w:rsidRPr="003E6CB0" w:rsidP="00374DA0" w14:paraId="5069787B" w14:textId="77777777">
      <w:pPr>
        <w:pStyle w:val="FootnoteText"/>
        <w:spacing w:after="120"/>
      </w:pPr>
      <w:r>
        <w:rPr>
          <w:rStyle w:val="FootnoteReference"/>
        </w:rPr>
        <w:footnoteRef/>
      </w:r>
      <w:r>
        <w:t xml:space="preserve"> </w:t>
      </w:r>
      <w:r>
        <w:rPr>
          <w:i/>
          <w:iCs/>
        </w:rPr>
        <w:t xml:space="preserve">See </w:t>
      </w:r>
      <w:r>
        <w:t>Supplemental Opinion and Order (November 21, 2019) at ¶¶ 84-85.</w:t>
      </w:r>
    </w:p>
  </w:footnote>
  <w:footnote w:id="18">
    <w:p w:rsidR="00910987" w:rsidRPr="003E6CB0" w:rsidP="00374DA0" w14:paraId="70E0C2CB" w14:textId="4C492787">
      <w:pPr>
        <w:pStyle w:val="FootnoteText"/>
        <w:spacing w:after="120"/>
      </w:pPr>
      <w:r>
        <w:rPr>
          <w:rStyle w:val="FootnoteReference"/>
        </w:rPr>
        <w:footnoteRef/>
      </w:r>
      <w:r>
        <w:t xml:space="preserve"> </w:t>
      </w:r>
      <w:r>
        <w:rPr>
          <w:i/>
          <w:iCs/>
        </w:rPr>
        <w:t xml:space="preserve">See </w:t>
      </w:r>
      <w:r>
        <w:rPr>
          <w:rFonts w:cs="Times New Roman"/>
        </w:rPr>
        <w:t>IGS’s Application for Rehearing at 23-26.</w:t>
      </w:r>
    </w:p>
  </w:footnote>
  <w:footnote w:id="19">
    <w:p w:rsidR="00910987" w:rsidRPr="00C2021C" w:rsidP="00374DA0" w14:paraId="7A9774A4" w14:textId="284DAE71">
      <w:pPr>
        <w:pStyle w:val="FootnoteText"/>
        <w:spacing w:after="120"/>
        <w:rPr>
          <w:rFonts w:cs="Times New Roman"/>
        </w:rPr>
      </w:pPr>
      <w:r w:rsidRPr="00C2021C">
        <w:rPr>
          <w:rStyle w:val="FootnoteReference"/>
          <w:rFonts w:cs="Times New Roman"/>
        </w:rPr>
        <w:footnoteRef/>
      </w:r>
      <w:r w:rsidRPr="00C2021C">
        <w:rPr>
          <w:rFonts w:cs="Times New Roman"/>
        </w:rPr>
        <w:t xml:space="preserve"> </w:t>
      </w:r>
      <w:r>
        <w:rPr>
          <w:rFonts w:cs="Times New Roman"/>
          <w:i/>
          <w:iCs/>
        </w:rPr>
        <w:t>See id.</w:t>
      </w:r>
      <w:r>
        <w:rPr>
          <w:rFonts w:cs="Times New Roman"/>
        </w:rPr>
        <w:t xml:space="preserve">; </w:t>
      </w:r>
      <w:r w:rsidRPr="00C2021C">
        <w:rPr>
          <w:rFonts w:cs="Times New Roman"/>
        </w:rPr>
        <w:t>White Testimony at 3:17-20, 9:21, 10:11-15.</w:t>
      </w:r>
      <w:r w:rsidRPr="00945232" w:rsidR="00945232">
        <w:t xml:space="preserve"> </w:t>
      </w:r>
      <w:r w:rsidRPr="00D12907" w:rsidR="00945232">
        <w:t>IGS’s proposal involves establishing a collection mechanism to charge DP&amp;L customers more for the standard service offer through the creation of two new riders.</w:t>
      </w:r>
      <w:r w:rsidR="009F721B">
        <w:t xml:space="preserve"> </w:t>
      </w:r>
      <w:r w:rsidRPr="00D12907" w:rsidR="00945232">
        <w:t>One would be a credit rider allegedly allowing all customers to avoid paying the distribution costs IGS claims are solely related to DP&amp;L’s standard offer. The second rider would be to collect the same charges from standard service offer customers that are credited all customers under the first rider.</w:t>
      </w:r>
    </w:p>
  </w:footnote>
  <w:footnote w:id="20">
    <w:p w:rsidR="00910987" w:rsidRPr="00C2021C" w:rsidP="00374DA0" w14:paraId="0BA5F789" w14:textId="77777777">
      <w:pPr>
        <w:pStyle w:val="FootnoteText"/>
        <w:spacing w:after="120"/>
        <w:rPr>
          <w:rFonts w:cs="Times New Roman"/>
        </w:rPr>
      </w:pPr>
      <w:r w:rsidRPr="00C2021C">
        <w:rPr>
          <w:rStyle w:val="FootnoteReference"/>
          <w:rFonts w:cs="Times New Roman"/>
        </w:rPr>
        <w:footnoteRef/>
      </w:r>
      <w:r w:rsidRPr="00C2021C">
        <w:rPr>
          <w:rFonts w:cs="Times New Roman"/>
        </w:rPr>
        <w:t xml:space="preserve"> Willis Testimony at 11:19-20, 12:1-2.</w:t>
      </w:r>
    </w:p>
  </w:footnote>
  <w:footnote w:id="21">
    <w:p w:rsidR="00910987" w:rsidRPr="00C2021C" w:rsidP="00374DA0" w14:paraId="7915F053" w14:textId="77777777">
      <w:pPr>
        <w:pStyle w:val="FootnoteText"/>
        <w:spacing w:after="120"/>
        <w:rPr>
          <w:rFonts w:cs="Times New Roman"/>
        </w:rPr>
      </w:pPr>
      <w:r w:rsidRPr="00C2021C">
        <w:rPr>
          <w:rStyle w:val="FootnoteReference"/>
          <w:rFonts w:cs="Times New Roman"/>
        </w:rPr>
        <w:footnoteRef/>
      </w:r>
      <w:r w:rsidRPr="00C2021C">
        <w:rPr>
          <w:rFonts w:cs="Times New Roman"/>
        </w:rPr>
        <w:t xml:space="preserve"> White Testimony at 10:9-11.</w:t>
      </w:r>
    </w:p>
  </w:footnote>
  <w:footnote w:id="22">
    <w:p w:rsidR="00910987" w:rsidRPr="00C2021C" w:rsidP="00374DA0" w14:paraId="59B18AC6" w14:textId="77777777">
      <w:pPr>
        <w:pStyle w:val="FootnoteText"/>
        <w:spacing w:after="120"/>
        <w:rPr>
          <w:rFonts w:cs="Times New Roman"/>
        </w:rPr>
      </w:pPr>
      <w:r w:rsidRPr="00C2021C">
        <w:rPr>
          <w:rStyle w:val="FootnoteReference"/>
          <w:rFonts w:cs="Times New Roman"/>
        </w:rPr>
        <w:footnoteRef/>
      </w:r>
      <w:r w:rsidRPr="00C2021C">
        <w:rPr>
          <w:rFonts w:cs="Times New Roman"/>
        </w:rPr>
        <w:t xml:space="preserve"> Willis Testimony at 11:19-20, 12:1-2.</w:t>
      </w:r>
    </w:p>
  </w:footnote>
  <w:footnote w:id="23">
    <w:p w:rsidR="00910987" w:rsidRPr="00C2021C" w:rsidP="00374DA0" w14:paraId="0B25BA0E" w14:textId="77777777">
      <w:pPr>
        <w:pStyle w:val="FootnoteText"/>
        <w:spacing w:after="120"/>
        <w:rPr>
          <w:rFonts w:cs="Times New Roman"/>
        </w:rPr>
      </w:pPr>
      <w:r w:rsidRPr="00C2021C">
        <w:rPr>
          <w:rStyle w:val="FootnoteReference"/>
          <w:rFonts w:cs="Times New Roman"/>
        </w:rPr>
        <w:footnoteRef/>
      </w:r>
      <w:r w:rsidRPr="00C2021C">
        <w:rPr>
          <w:rFonts w:cs="Times New Roman"/>
        </w:rPr>
        <w:t xml:space="preserve"> </w:t>
      </w:r>
      <w:r w:rsidRPr="00C2021C">
        <w:rPr>
          <w:rFonts w:cs="Times New Roman"/>
          <w:i/>
        </w:rPr>
        <w:t>Id.</w:t>
      </w:r>
    </w:p>
  </w:footnote>
  <w:footnote w:id="24">
    <w:p w:rsidR="00910987" w:rsidRPr="00C2021C" w:rsidP="00374DA0" w14:paraId="415F62AF" w14:textId="77777777">
      <w:pPr>
        <w:pStyle w:val="FootnoteText"/>
        <w:spacing w:after="120"/>
        <w:rPr>
          <w:rFonts w:cs="Times New Roman"/>
          <w:i/>
        </w:rPr>
      </w:pPr>
      <w:r w:rsidRPr="00C2021C">
        <w:rPr>
          <w:rStyle w:val="FootnoteReference"/>
          <w:rFonts w:cs="Times New Roman"/>
        </w:rPr>
        <w:footnoteRef/>
      </w:r>
      <w:r w:rsidRPr="00C2021C">
        <w:rPr>
          <w:rFonts w:cs="Times New Roman"/>
        </w:rPr>
        <w:t xml:space="preserve"> </w:t>
      </w:r>
      <w:r w:rsidRPr="00C2021C">
        <w:rPr>
          <w:rFonts w:cs="Times New Roman"/>
          <w:i/>
        </w:rPr>
        <w:t>Id.</w:t>
      </w:r>
    </w:p>
  </w:footnote>
  <w:footnote w:id="25">
    <w:p w:rsidR="00910987" w:rsidRPr="00C2021C" w:rsidP="00374DA0" w14:paraId="0359A4E0" w14:textId="77777777">
      <w:pPr>
        <w:pStyle w:val="FootnoteText"/>
        <w:spacing w:after="120"/>
        <w:rPr>
          <w:rFonts w:cs="Times New Roman"/>
          <w:i/>
        </w:rPr>
      </w:pPr>
      <w:r w:rsidRPr="00C2021C">
        <w:rPr>
          <w:rStyle w:val="FootnoteReference"/>
          <w:rFonts w:cs="Times New Roman"/>
        </w:rPr>
        <w:footnoteRef/>
      </w:r>
      <w:r w:rsidRPr="00C2021C">
        <w:rPr>
          <w:rFonts w:cs="Times New Roman"/>
        </w:rPr>
        <w:t xml:space="preserve"> </w:t>
      </w:r>
      <w:r w:rsidRPr="00C2021C">
        <w:rPr>
          <w:rFonts w:cs="Times New Roman"/>
          <w:i/>
        </w:rPr>
        <w:t>Id.</w:t>
      </w:r>
    </w:p>
  </w:footnote>
  <w:footnote w:id="26">
    <w:p w:rsidR="00910987" w:rsidRPr="00C2021C" w:rsidP="00374DA0" w14:paraId="2116DBED" w14:textId="77777777">
      <w:pPr>
        <w:pStyle w:val="FootnoteText"/>
        <w:spacing w:after="120"/>
        <w:rPr>
          <w:rFonts w:cs="Times New Roman"/>
        </w:rPr>
      </w:pPr>
      <w:r w:rsidRPr="00C2021C">
        <w:rPr>
          <w:rStyle w:val="FootnoteReference"/>
          <w:rFonts w:cs="Times New Roman"/>
        </w:rPr>
        <w:footnoteRef/>
      </w:r>
      <w:r w:rsidRPr="00C2021C">
        <w:rPr>
          <w:rFonts w:cs="Times New Roman"/>
        </w:rPr>
        <w:t xml:space="preserve"> Willis Testimony at 11:19-20, 12:1-2.</w:t>
      </w:r>
    </w:p>
  </w:footnote>
  <w:footnote w:id="27">
    <w:p w:rsidR="00910987" w:rsidRPr="00C2021C" w:rsidP="00374DA0" w14:paraId="04FFCF92" w14:textId="77777777">
      <w:pPr>
        <w:pStyle w:val="FootnoteText"/>
        <w:spacing w:after="120"/>
        <w:rPr>
          <w:rFonts w:cs="Times New Roman"/>
        </w:rPr>
      </w:pPr>
      <w:r w:rsidRPr="00C2021C">
        <w:rPr>
          <w:rStyle w:val="FootnoteReference"/>
          <w:rFonts w:cs="Times New Roman"/>
        </w:rPr>
        <w:footnoteRef/>
      </w:r>
      <w:r w:rsidRPr="00C2021C">
        <w:rPr>
          <w:rFonts w:cs="Times New Roman"/>
        </w:rPr>
        <w:t xml:space="preserve"> </w:t>
      </w:r>
      <w:r w:rsidRPr="00C2021C">
        <w:rPr>
          <w:rFonts w:cs="Times New Roman"/>
          <w:i/>
        </w:rPr>
        <w:t>Id.</w:t>
      </w:r>
      <w:r w:rsidRPr="00C2021C">
        <w:rPr>
          <w:rFonts w:cs="Times New Roman"/>
        </w:rPr>
        <w:t xml:space="preserve"> at 12:14-16.</w:t>
      </w:r>
    </w:p>
  </w:footnote>
  <w:footnote w:id="28">
    <w:p w:rsidR="00910987" w:rsidRPr="00C2021C" w:rsidP="00374DA0" w14:paraId="64CAB78E" w14:textId="77777777">
      <w:pPr>
        <w:pStyle w:val="FootnoteText"/>
        <w:spacing w:after="120"/>
        <w:rPr>
          <w:rFonts w:cs="Times New Roman"/>
        </w:rPr>
      </w:pPr>
      <w:r w:rsidRPr="00C2021C">
        <w:rPr>
          <w:rStyle w:val="FootnoteReference"/>
          <w:rFonts w:cs="Times New Roman"/>
        </w:rPr>
        <w:footnoteRef/>
      </w:r>
      <w:r w:rsidRPr="00C2021C">
        <w:rPr>
          <w:rFonts w:cs="Times New Roman"/>
        </w:rPr>
        <w:t xml:space="preserve"> </w:t>
      </w:r>
      <w:r w:rsidRPr="00C2021C">
        <w:rPr>
          <w:rFonts w:cs="Times New Roman"/>
          <w:i/>
        </w:rPr>
        <w:t>Id.</w:t>
      </w:r>
      <w:r w:rsidRPr="00C2021C">
        <w:rPr>
          <w:rFonts w:cs="Times New Roman"/>
        </w:rPr>
        <w:t xml:space="preserve"> at 11:19-20, 12:1-2.</w:t>
      </w:r>
    </w:p>
  </w:footnote>
  <w:footnote w:id="29">
    <w:p w:rsidR="00910987" w:rsidRPr="00C2021C" w:rsidP="00374DA0" w14:paraId="4FF0A02C" w14:textId="77777777">
      <w:pPr>
        <w:pStyle w:val="FootnoteText"/>
        <w:spacing w:after="120"/>
        <w:rPr>
          <w:rFonts w:cs="Times New Roman"/>
          <w:i/>
        </w:rPr>
      </w:pPr>
      <w:r w:rsidRPr="00C2021C">
        <w:rPr>
          <w:rStyle w:val="FootnoteReference"/>
          <w:rFonts w:cs="Times New Roman"/>
        </w:rPr>
        <w:footnoteRef/>
      </w:r>
      <w:r w:rsidRPr="00C2021C">
        <w:rPr>
          <w:rFonts w:cs="Times New Roman"/>
        </w:rPr>
        <w:t xml:space="preserve"> </w:t>
      </w:r>
      <w:r w:rsidRPr="00C2021C">
        <w:rPr>
          <w:rFonts w:cs="Times New Roman"/>
          <w:i/>
        </w:rPr>
        <w:t>Id.</w:t>
      </w:r>
      <w:r w:rsidRPr="00C2021C">
        <w:rPr>
          <w:rFonts w:cs="Times New Roman"/>
        </w:rPr>
        <w:t xml:space="preserve"> at 12:12-14.</w:t>
      </w:r>
    </w:p>
  </w:footnote>
  <w:footnote w:id="30">
    <w:p w:rsidR="00910987" w:rsidRPr="00C2021C" w:rsidP="00374DA0" w14:paraId="5D3D8CCD" w14:textId="77777777">
      <w:pPr>
        <w:pStyle w:val="FootnoteText"/>
        <w:spacing w:after="120"/>
        <w:rPr>
          <w:rFonts w:cs="Times New Roman"/>
        </w:rPr>
      </w:pPr>
      <w:r w:rsidRPr="00C2021C">
        <w:rPr>
          <w:rStyle w:val="FootnoteReference"/>
          <w:rFonts w:cs="Times New Roman"/>
        </w:rPr>
        <w:footnoteRef/>
      </w:r>
      <w:r w:rsidRPr="00C2021C">
        <w:rPr>
          <w:rFonts w:cs="Times New Roman"/>
        </w:rPr>
        <w:t xml:space="preserve"> </w:t>
      </w:r>
      <w:r w:rsidRPr="00C2021C">
        <w:rPr>
          <w:rFonts w:cs="Times New Roman"/>
          <w:i/>
        </w:rPr>
        <w:t>Id.</w:t>
      </w:r>
      <w:r w:rsidRPr="00C2021C">
        <w:rPr>
          <w:rFonts w:cs="Times New Roman"/>
        </w:rPr>
        <w:t xml:space="preserve"> at 13:10-19.</w:t>
      </w:r>
    </w:p>
  </w:footnote>
  <w:footnote w:id="31">
    <w:p w:rsidR="00910987" w:rsidRPr="00C2021C" w:rsidP="00374DA0" w14:paraId="1D4F85FE" w14:textId="77777777">
      <w:pPr>
        <w:pStyle w:val="FootnoteText"/>
        <w:spacing w:after="120"/>
        <w:rPr>
          <w:rFonts w:cs="Times New Roman"/>
        </w:rPr>
      </w:pPr>
      <w:r w:rsidRPr="00C2021C">
        <w:rPr>
          <w:rStyle w:val="FootnoteReference"/>
          <w:rFonts w:cs="Times New Roman"/>
        </w:rPr>
        <w:footnoteRef/>
      </w:r>
      <w:r w:rsidRPr="00C2021C">
        <w:rPr>
          <w:rFonts w:cs="Times New Roman"/>
        </w:rPr>
        <w:t xml:space="preserve"> </w:t>
      </w:r>
      <w:r w:rsidRPr="00C2021C">
        <w:rPr>
          <w:rFonts w:cs="Times New Roman"/>
          <w:i/>
        </w:rPr>
        <w:t xml:space="preserve">Id. </w:t>
      </w:r>
      <w:r w:rsidRPr="00C2021C">
        <w:rPr>
          <w:rFonts w:cs="Times New Roman"/>
        </w:rPr>
        <w:t>at 16-19.</w:t>
      </w:r>
    </w:p>
  </w:footnote>
  <w:footnote w:id="32">
    <w:p w:rsidR="00910987" w:rsidRPr="00C2021C" w:rsidP="00374DA0" w14:paraId="0ED41BDF" w14:textId="77777777">
      <w:pPr>
        <w:pStyle w:val="FootnoteText"/>
        <w:spacing w:after="120"/>
        <w:rPr>
          <w:rFonts w:cs="Times New Roman"/>
        </w:rPr>
      </w:pPr>
      <w:r w:rsidRPr="00C2021C">
        <w:rPr>
          <w:rStyle w:val="FootnoteReference"/>
          <w:rFonts w:cs="Times New Roman"/>
        </w:rPr>
        <w:footnoteRef/>
      </w:r>
      <w:r w:rsidRPr="00C2021C">
        <w:rPr>
          <w:rFonts w:cs="Times New Roman"/>
        </w:rPr>
        <w:t xml:space="preserve"> </w:t>
      </w:r>
      <w:r w:rsidRPr="00C2021C">
        <w:rPr>
          <w:rFonts w:cs="Times New Roman"/>
          <w:i/>
        </w:rPr>
        <w:t xml:space="preserve">Id. </w:t>
      </w:r>
      <w:r w:rsidRPr="00C2021C">
        <w:rPr>
          <w:rFonts w:cs="Times New Roman"/>
        </w:rPr>
        <w:t>at 14-15.</w:t>
      </w:r>
    </w:p>
  </w:footnote>
  <w:footnote w:id="33">
    <w:p w:rsidR="00910987" w:rsidRPr="00C2021C" w:rsidP="00374DA0" w14:paraId="7A3DEF22" w14:textId="77777777">
      <w:pPr>
        <w:pStyle w:val="FootnoteText"/>
        <w:spacing w:after="120"/>
        <w:rPr>
          <w:rFonts w:cs="Times New Roman"/>
        </w:rPr>
      </w:pPr>
      <w:r w:rsidRPr="00C2021C">
        <w:rPr>
          <w:rStyle w:val="FootnoteReference"/>
          <w:rFonts w:cs="Times New Roman"/>
        </w:rPr>
        <w:footnoteRef/>
      </w:r>
      <w:r w:rsidRPr="00C2021C">
        <w:rPr>
          <w:rFonts w:cs="Times New Roman"/>
        </w:rPr>
        <w:t xml:space="preserve"> </w:t>
      </w:r>
      <w:r w:rsidRPr="00C2021C">
        <w:rPr>
          <w:rFonts w:cs="Times New Roman"/>
          <w:i/>
        </w:rPr>
        <w:t xml:space="preserve">Id. </w:t>
      </w:r>
      <w:r w:rsidRPr="00C2021C">
        <w:rPr>
          <w:rFonts w:cs="Times New Roman"/>
        </w:rPr>
        <w:t>at 15-16.</w:t>
      </w:r>
    </w:p>
  </w:footnote>
  <w:footnote w:id="34">
    <w:p w:rsidR="00910987" w:rsidRPr="00C2021C" w:rsidP="00374DA0" w14:paraId="350BE33D" w14:textId="77777777">
      <w:pPr>
        <w:pStyle w:val="FootnoteText"/>
        <w:spacing w:after="120"/>
        <w:rPr>
          <w:rFonts w:cs="Times New Roman"/>
          <w:i/>
        </w:rPr>
      </w:pPr>
      <w:r w:rsidRPr="00C2021C">
        <w:rPr>
          <w:rStyle w:val="FootnoteReference"/>
          <w:rFonts w:cs="Times New Roman"/>
        </w:rPr>
        <w:footnoteRef/>
      </w:r>
      <w:r w:rsidRPr="00C2021C">
        <w:rPr>
          <w:rFonts w:cs="Times New Roman"/>
        </w:rPr>
        <w:t xml:space="preserve"> </w:t>
      </w:r>
      <w:r w:rsidRPr="00C2021C">
        <w:rPr>
          <w:rFonts w:cs="Times New Roman"/>
          <w:i/>
        </w:rPr>
        <w:t>Id.</w:t>
      </w:r>
    </w:p>
  </w:footnote>
  <w:footnote w:id="35">
    <w:p w:rsidR="00910987" w:rsidRPr="00C2021C" w:rsidP="00374DA0" w14:paraId="2419669D" w14:textId="77777777">
      <w:pPr>
        <w:pStyle w:val="FootnoteText"/>
        <w:spacing w:after="120"/>
        <w:rPr>
          <w:rFonts w:cs="Times New Roman"/>
          <w:i/>
        </w:rPr>
      </w:pPr>
      <w:r w:rsidRPr="00C2021C">
        <w:rPr>
          <w:rStyle w:val="FootnoteReference"/>
          <w:rFonts w:cs="Times New Roman"/>
        </w:rPr>
        <w:footnoteRef/>
      </w:r>
      <w:r w:rsidRPr="00C2021C">
        <w:rPr>
          <w:rFonts w:cs="Times New Roman"/>
        </w:rPr>
        <w:t xml:space="preserve"> </w:t>
      </w:r>
      <w:r w:rsidRPr="00C2021C">
        <w:rPr>
          <w:rFonts w:cs="Times New Roman"/>
          <w:i/>
        </w:rPr>
        <w:t>Id.</w:t>
      </w:r>
    </w:p>
  </w:footnote>
  <w:footnote w:id="36">
    <w:p w:rsidR="00910987" w:rsidRPr="00C2021C" w:rsidP="00374DA0" w14:paraId="7D826B80" w14:textId="77777777">
      <w:pPr>
        <w:pStyle w:val="FootnoteText"/>
        <w:spacing w:after="120"/>
        <w:rPr>
          <w:rFonts w:cs="Times New Roman"/>
          <w:i/>
        </w:rPr>
      </w:pPr>
      <w:r w:rsidRPr="00C2021C">
        <w:rPr>
          <w:rStyle w:val="FootnoteReference"/>
          <w:rFonts w:cs="Times New Roman"/>
        </w:rPr>
        <w:footnoteRef/>
      </w:r>
      <w:r w:rsidRPr="00C2021C">
        <w:rPr>
          <w:rFonts w:cs="Times New Roman"/>
        </w:rPr>
        <w:t xml:space="preserve"> </w:t>
      </w:r>
      <w:r w:rsidRPr="00C2021C">
        <w:rPr>
          <w:rFonts w:cs="Times New Roman"/>
          <w:i/>
        </w:rPr>
        <w:t>Id.</w:t>
      </w:r>
    </w:p>
  </w:footnote>
  <w:footnote w:id="37">
    <w:p w:rsidR="00910987" w:rsidRPr="00C2021C" w:rsidP="00374DA0" w14:paraId="0F62FEDF" w14:textId="77777777">
      <w:pPr>
        <w:pStyle w:val="FootnoteText"/>
        <w:spacing w:after="120"/>
        <w:rPr>
          <w:rFonts w:cs="Times New Roman"/>
          <w:i/>
        </w:rPr>
      </w:pPr>
      <w:r w:rsidRPr="00C2021C">
        <w:rPr>
          <w:rStyle w:val="FootnoteReference"/>
          <w:rFonts w:cs="Times New Roman"/>
        </w:rPr>
        <w:footnoteRef/>
      </w:r>
      <w:r w:rsidRPr="00C2021C">
        <w:rPr>
          <w:rFonts w:cs="Times New Roman"/>
        </w:rPr>
        <w:t xml:space="preserve"> </w:t>
      </w:r>
      <w:r w:rsidRPr="00C2021C">
        <w:rPr>
          <w:rFonts w:cs="Times New Roman"/>
          <w:i/>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0987" w14:paraId="07F8EB3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0987" w14:paraId="4904EB0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0987" w14:paraId="0937802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15CDB28"/>
    <w:lvl w:ilvl="0">
      <w:start w:val="1"/>
      <w:numFmt w:val="decimal"/>
      <w:lvlText w:val="%1."/>
      <w:lvlJc w:val="left"/>
      <w:pPr>
        <w:tabs>
          <w:tab w:val="num" w:pos="1800"/>
        </w:tabs>
        <w:ind w:left="1800" w:hanging="360"/>
      </w:pPr>
    </w:lvl>
  </w:abstractNum>
  <w:abstractNum w:abstractNumId="1">
    <w:nsid w:val="FFFFFF7D"/>
    <w:multiLevelType w:val="singleLevel"/>
    <w:tmpl w:val="4188825C"/>
    <w:lvl w:ilvl="0">
      <w:start w:val="1"/>
      <w:numFmt w:val="decimal"/>
      <w:lvlText w:val="%1."/>
      <w:lvlJc w:val="left"/>
      <w:pPr>
        <w:tabs>
          <w:tab w:val="num" w:pos="1440"/>
        </w:tabs>
        <w:ind w:left="1440" w:hanging="360"/>
      </w:pPr>
    </w:lvl>
  </w:abstractNum>
  <w:abstractNum w:abstractNumId="2">
    <w:nsid w:val="FFFFFF7E"/>
    <w:multiLevelType w:val="singleLevel"/>
    <w:tmpl w:val="B64ADC0C"/>
    <w:lvl w:ilvl="0">
      <w:start w:val="1"/>
      <w:numFmt w:val="decimal"/>
      <w:lvlText w:val="%1."/>
      <w:lvlJc w:val="left"/>
      <w:pPr>
        <w:tabs>
          <w:tab w:val="num" w:pos="1080"/>
        </w:tabs>
        <w:ind w:left="1080" w:hanging="360"/>
      </w:pPr>
    </w:lvl>
  </w:abstractNum>
  <w:abstractNum w:abstractNumId="3">
    <w:nsid w:val="FFFFFF7F"/>
    <w:multiLevelType w:val="singleLevel"/>
    <w:tmpl w:val="E2963050"/>
    <w:lvl w:ilvl="0">
      <w:start w:val="1"/>
      <w:numFmt w:val="decimal"/>
      <w:lvlText w:val="%1."/>
      <w:lvlJc w:val="left"/>
      <w:pPr>
        <w:tabs>
          <w:tab w:val="num" w:pos="720"/>
        </w:tabs>
        <w:ind w:left="720" w:hanging="360"/>
      </w:pPr>
    </w:lvl>
  </w:abstractNum>
  <w:abstractNum w:abstractNumId="4">
    <w:nsid w:val="FFFFFF80"/>
    <w:multiLevelType w:val="singleLevel"/>
    <w:tmpl w:val="AF4EE24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F886CF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F2E30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44A7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4CC368C"/>
    <w:lvl w:ilvl="0">
      <w:start w:val="1"/>
      <w:numFmt w:val="decimal"/>
      <w:lvlText w:val="%1."/>
      <w:lvlJc w:val="left"/>
      <w:pPr>
        <w:tabs>
          <w:tab w:val="num" w:pos="360"/>
        </w:tabs>
        <w:ind w:left="360" w:hanging="360"/>
      </w:pPr>
    </w:lvl>
  </w:abstractNum>
  <w:abstractNum w:abstractNumId="9">
    <w:nsid w:val="FFFFFF89"/>
    <w:multiLevelType w:val="singleLevel"/>
    <w:tmpl w:val="61209D1C"/>
    <w:lvl w:ilvl="0">
      <w:start w:val="1"/>
      <w:numFmt w:val="bullet"/>
      <w:lvlText w:val=""/>
      <w:lvlJc w:val="left"/>
      <w:pPr>
        <w:tabs>
          <w:tab w:val="num" w:pos="360"/>
        </w:tabs>
        <w:ind w:left="360" w:hanging="360"/>
      </w:pPr>
      <w:rPr>
        <w:rFonts w:ascii="Symbol" w:hAnsi="Symbol" w:hint="default"/>
      </w:rPr>
    </w:lvl>
  </w:abstractNum>
  <w:abstractNum w:abstractNumId="10">
    <w:nsid w:val="09CF0572"/>
    <w:multiLevelType w:val="hybridMultilevel"/>
    <w:tmpl w:val="2E8C3202"/>
    <w:lvl w:ilvl="0">
      <w:start w:val="1"/>
      <w:numFmt w:val="bullet"/>
      <w:lvlText w:val=""/>
      <w:lvlJc w:val="left"/>
      <w:pPr>
        <w:ind w:left="630" w:hanging="360"/>
      </w:pPr>
      <w:rPr>
        <w:rFonts w:ascii="Symbol" w:hAnsi="Symbol"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11">
    <w:nsid w:val="0A7F680D"/>
    <w:multiLevelType w:val="hybridMultilevel"/>
    <w:tmpl w:val="F6D849E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8BD425A"/>
    <w:multiLevelType w:val="hybridMultilevel"/>
    <w:tmpl w:val="A45CDC7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1FA66DCA"/>
    <w:multiLevelType w:val="hybridMultilevel"/>
    <w:tmpl w:val="A7F603E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1FC572AE"/>
    <w:multiLevelType w:val="hybridMultilevel"/>
    <w:tmpl w:val="571C6742"/>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EE67C79"/>
    <w:multiLevelType w:val="hybridMultilevel"/>
    <w:tmpl w:val="1C04215A"/>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5570348"/>
    <w:multiLevelType w:val="hybridMultilevel"/>
    <w:tmpl w:val="2EFE3AA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88D43EA"/>
    <w:multiLevelType w:val="hybridMultilevel"/>
    <w:tmpl w:val="B07C311E"/>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04F523E"/>
    <w:multiLevelType w:val="hybridMultilevel"/>
    <w:tmpl w:val="474EF79A"/>
    <w:lvl w:ilvl="0">
      <w:start w:val="1"/>
      <w:numFmt w:val="upp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81B07ED"/>
    <w:multiLevelType w:val="hybridMultilevel"/>
    <w:tmpl w:val="5B3C91CC"/>
    <w:lvl w:ilvl="0">
      <w:start w:val="1"/>
      <w:numFmt w:val="decimal"/>
      <w:pStyle w:val="Heading3"/>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500173D6"/>
    <w:multiLevelType w:val="hybridMultilevel"/>
    <w:tmpl w:val="193698F2"/>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527F0993"/>
    <w:multiLevelType w:val="hybridMultilevel"/>
    <w:tmpl w:val="D6389C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312DCA"/>
    <w:multiLevelType w:val="hybridMultilevel"/>
    <w:tmpl w:val="BB16E17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4396399"/>
    <w:multiLevelType w:val="hybridMultilevel"/>
    <w:tmpl w:val="83A0228E"/>
    <w:lvl w:ilvl="0">
      <w:start w:val="1"/>
      <w:numFmt w:val="upp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4">
    <w:nsid w:val="58945D6A"/>
    <w:multiLevelType w:val="hybridMultilevel"/>
    <w:tmpl w:val="D496275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8C24333"/>
    <w:multiLevelType w:val="hybridMultilevel"/>
    <w:tmpl w:val="D4AED7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AE26595"/>
    <w:multiLevelType w:val="hybridMultilevel"/>
    <w:tmpl w:val="8B5A73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5B243A89"/>
    <w:multiLevelType w:val="hybridMultilevel"/>
    <w:tmpl w:val="4BF2E716"/>
    <w:lvl w:ilvl="0">
      <w:start w:val="1"/>
      <w:numFmt w:val="upperRoman"/>
      <w:lvlText w:val="%1."/>
      <w:lvlJc w:val="left"/>
      <w:pPr>
        <w:ind w:left="1440" w:hanging="720"/>
      </w:pPr>
      <w:rPr>
        <w:rFonts w:hint="default"/>
        <w:b/>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B3E1702"/>
    <w:multiLevelType w:val="hybridMultilevel"/>
    <w:tmpl w:val="B6C2B32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D345775"/>
    <w:multiLevelType w:val="hybridMultilevel"/>
    <w:tmpl w:val="DA72F27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2743A51"/>
    <w:multiLevelType w:val="hybridMultilevel"/>
    <w:tmpl w:val="E8F23C4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55D5D78"/>
    <w:multiLevelType w:val="hybridMultilevel"/>
    <w:tmpl w:val="3CB8DF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BAD12EF"/>
    <w:multiLevelType w:val="hybridMultilevel"/>
    <w:tmpl w:val="84540CF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6EF91E7C"/>
    <w:multiLevelType w:val="hybridMultilevel"/>
    <w:tmpl w:val="198443B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72B43616"/>
    <w:multiLevelType w:val="hybridMultilevel"/>
    <w:tmpl w:val="2E528AE8"/>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4E42307"/>
    <w:multiLevelType w:val="hybridMultilevel"/>
    <w:tmpl w:val="B87AB80E"/>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27"/>
  </w:num>
  <w:num w:numId="2">
    <w:abstractNumId w:val="14"/>
  </w:num>
  <w:num w:numId="3">
    <w:abstractNumId w:val="13"/>
  </w:num>
  <w:num w:numId="4">
    <w:abstractNumId w:val="29"/>
  </w:num>
  <w:num w:numId="5">
    <w:abstractNumId w:val="34"/>
  </w:num>
  <w:num w:numId="6">
    <w:abstractNumId w:val="18"/>
  </w:num>
  <w:num w:numId="7">
    <w:abstractNumId w:val="35"/>
  </w:num>
  <w:num w:numId="8">
    <w:abstractNumId w:val="10"/>
  </w:num>
  <w:num w:numId="9">
    <w:abstractNumId w:val="15"/>
  </w:num>
  <w:num w:numId="10">
    <w:abstractNumId w:val="21"/>
  </w:num>
  <w:num w:numId="11">
    <w:abstractNumId w:val="25"/>
  </w:num>
  <w:num w:numId="12">
    <w:abstractNumId w:val="17"/>
  </w:num>
  <w:num w:numId="13">
    <w:abstractNumId w:val="31"/>
  </w:num>
  <w:num w:numId="14">
    <w:abstractNumId w:val="26"/>
  </w:num>
  <w:num w:numId="15">
    <w:abstractNumId w:val="22"/>
  </w:num>
  <w:num w:numId="16">
    <w:abstractNumId w:val="16"/>
  </w:num>
  <w:num w:numId="17">
    <w:abstractNumId w:val="30"/>
  </w:num>
  <w:num w:numId="18">
    <w:abstractNumId w:val="20"/>
  </w:num>
  <w:num w:numId="19">
    <w:abstractNumId w:val="28"/>
  </w:num>
  <w:num w:numId="20">
    <w:abstractNumId w:val="33"/>
  </w:num>
  <w:num w:numId="21">
    <w:abstractNumId w:val="19"/>
  </w:num>
  <w:num w:numId="22">
    <w:abstractNumId w:val="11"/>
  </w:num>
  <w:num w:numId="23">
    <w:abstractNumId w:val="12"/>
  </w:num>
  <w:num w:numId="24">
    <w:abstractNumId w:val="23"/>
  </w:num>
  <w:num w:numId="25">
    <w:abstractNumId w:val="2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removeDateAndTime/>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A8"/>
    <w:rsid w:val="00013045"/>
    <w:rsid w:val="000443EC"/>
    <w:rsid w:val="00060E81"/>
    <w:rsid w:val="000706C9"/>
    <w:rsid w:val="00075619"/>
    <w:rsid w:val="00084D2A"/>
    <w:rsid w:val="000A4D2C"/>
    <w:rsid w:val="000A6F08"/>
    <w:rsid w:val="000C4B33"/>
    <w:rsid w:val="000E0DD7"/>
    <w:rsid w:val="000F00DC"/>
    <w:rsid w:val="000F2E3D"/>
    <w:rsid w:val="001D1180"/>
    <w:rsid w:val="001D72D4"/>
    <w:rsid w:val="001E5F23"/>
    <w:rsid w:val="001F1EFB"/>
    <w:rsid w:val="00203333"/>
    <w:rsid w:val="0026754E"/>
    <w:rsid w:val="002B4FFC"/>
    <w:rsid w:val="00362204"/>
    <w:rsid w:val="00372224"/>
    <w:rsid w:val="00374DA0"/>
    <w:rsid w:val="003E6CB0"/>
    <w:rsid w:val="00453DDC"/>
    <w:rsid w:val="004951E2"/>
    <w:rsid w:val="004A6AD6"/>
    <w:rsid w:val="004F64A9"/>
    <w:rsid w:val="00517C65"/>
    <w:rsid w:val="005627A8"/>
    <w:rsid w:val="0058131B"/>
    <w:rsid w:val="00590545"/>
    <w:rsid w:val="005B1976"/>
    <w:rsid w:val="005B6AF4"/>
    <w:rsid w:val="005B6D90"/>
    <w:rsid w:val="005C4B9C"/>
    <w:rsid w:val="00603AC9"/>
    <w:rsid w:val="00613698"/>
    <w:rsid w:val="006428AA"/>
    <w:rsid w:val="00653812"/>
    <w:rsid w:val="00685544"/>
    <w:rsid w:val="006C0C04"/>
    <w:rsid w:val="006C3E00"/>
    <w:rsid w:val="006F53F0"/>
    <w:rsid w:val="007129D9"/>
    <w:rsid w:val="00730D92"/>
    <w:rsid w:val="007318B0"/>
    <w:rsid w:val="00741356"/>
    <w:rsid w:val="007C1380"/>
    <w:rsid w:val="007D131A"/>
    <w:rsid w:val="007F46F7"/>
    <w:rsid w:val="0080059B"/>
    <w:rsid w:val="00842EA3"/>
    <w:rsid w:val="008A4AD1"/>
    <w:rsid w:val="008D4CE2"/>
    <w:rsid w:val="00910987"/>
    <w:rsid w:val="00922205"/>
    <w:rsid w:val="00937F57"/>
    <w:rsid w:val="00945232"/>
    <w:rsid w:val="00947CC2"/>
    <w:rsid w:val="00955A38"/>
    <w:rsid w:val="0096282E"/>
    <w:rsid w:val="00970FBC"/>
    <w:rsid w:val="009A55E0"/>
    <w:rsid w:val="009C40C5"/>
    <w:rsid w:val="009D7153"/>
    <w:rsid w:val="009F67BA"/>
    <w:rsid w:val="009F721B"/>
    <w:rsid w:val="00A00085"/>
    <w:rsid w:val="00A329C2"/>
    <w:rsid w:val="00A52FDD"/>
    <w:rsid w:val="00AC70FC"/>
    <w:rsid w:val="00AE6BBB"/>
    <w:rsid w:val="00AF70A8"/>
    <w:rsid w:val="00B15911"/>
    <w:rsid w:val="00B455DB"/>
    <w:rsid w:val="00B9003D"/>
    <w:rsid w:val="00BA5CDD"/>
    <w:rsid w:val="00BC49E4"/>
    <w:rsid w:val="00BE1FB0"/>
    <w:rsid w:val="00BF1512"/>
    <w:rsid w:val="00C03505"/>
    <w:rsid w:val="00C2021C"/>
    <w:rsid w:val="00C2050C"/>
    <w:rsid w:val="00C240F5"/>
    <w:rsid w:val="00C550B7"/>
    <w:rsid w:val="00C940F5"/>
    <w:rsid w:val="00CC14D9"/>
    <w:rsid w:val="00CD24B8"/>
    <w:rsid w:val="00CE3E20"/>
    <w:rsid w:val="00CE4036"/>
    <w:rsid w:val="00D12907"/>
    <w:rsid w:val="00D330A6"/>
    <w:rsid w:val="00D5220B"/>
    <w:rsid w:val="00D709A8"/>
    <w:rsid w:val="00DE7BCE"/>
    <w:rsid w:val="00DF5069"/>
    <w:rsid w:val="00E03167"/>
    <w:rsid w:val="00E91CE4"/>
    <w:rsid w:val="00EC5024"/>
    <w:rsid w:val="00F11416"/>
    <w:rsid w:val="00F55FE9"/>
    <w:rsid w:val="00F622C7"/>
    <w:rsid w:val="00F6264A"/>
    <w:rsid w:val="00F62BC1"/>
    <w:rsid w:val="00F703A1"/>
    <w:rsid w:val="00F9185D"/>
    <w:rsid w:val="00FD2F23"/>
    <w:rsid w:val="00FD41F8"/>
    <w:rsid w:val="00FF519A"/>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50C"/>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6F2798"/>
    <w:pPr>
      <w:keepNext/>
      <w:keepLines/>
      <w:spacing w:after="240" w:line="240" w:lineRule="auto"/>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FD2F23"/>
    <w:pPr>
      <w:keepNext/>
      <w:keepLines/>
      <w:spacing w:after="240" w:line="240" w:lineRule="auto"/>
      <w:ind w:left="1440" w:hanging="720"/>
      <w:outlineLvl w:val="1"/>
    </w:pPr>
    <w:rPr>
      <w:rFonts w:ascii="Times New Roman Bold" w:hAnsi="Times New Roman Bold" w:eastAsiaTheme="majorEastAsia" w:cstheme="majorBidi"/>
      <w:b/>
      <w:szCs w:val="26"/>
    </w:rPr>
  </w:style>
  <w:style w:type="paragraph" w:styleId="Heading3">
    <w:name w:val="heading 3"/>
    <w:basedOn w:val="Normal"/>
    <w:next w:val="Normal"/>
    <w:link w:val="Heading3Char"/>
    <w:autoRedefine/>
    <w:uiPriority w:val="9"/>
    <w:unhideWhenUsed/>
    <w:qFormat/>
    <w:rsid w:val="003970BD"/>
    <w:pPr>
      <w:keepNext/>
      <w:keepLines/>
      <w:numPr>
        <w:numId w:val="21"/>
      </w:numPr>
      <w:spacing w:after="240" w:line="240" w:lineRule="auto"/>
      <w:ind w:left="2160" w:right="720" w:hanging="720"/>
      <w:outlineLvl w:val="2"/>
    </w:pPr>
    <w:rPr>
      <w:rFonts w:ascii="Times New Roman Bold" w:hAnsi="Times New Roman Bold"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0A7"/>
    <w:pPr>
      <w:tabs>
        <w:tab w:val="center" w:pos="4680"/>
        <w:tab w:val="right" w:pos="9360"/>
      </w:tabs>
      <w:spacing w:line="240" w:lineRule="auto"/>
    </w:pPr>
  </w:style>
  <w:style w:type="character" w:customStyle="1" w:styleId="HeaderChar">
    <w:name w:val="Header Char"/>
    <w:basedOn w:val="DefaultParagraphFont"/>
    <w:link w:val="Header"/>
    <w:uiPriority w:val="99"/>
    <w:rsid w:val="00C350A7"/>
  </w:style>
  <w:style w:type="paragraph" w:styleId="Footer">
    <w:name w:val="footer"/>
    <w:basedOn w:val="Normal"/>
    <w:link w:val="FooterChar"/>
    <w:uiPriority w:val="99"/>
    <w:unhideWhenUsed/>
    <w:rsid w:val="00C350A7"/>
    <w:pPr>
      <w:tabs>
        <w:tab w:val="center" w:pos="4680"/>
        <w:tab w:val="right" w:pos="9360"/>
      </w:tabs>
      <w:spacing w:line="240" w:lineRule="auto"/>
    </w:pPr>
  </w:style>
  <w:style w:type="character" w:customStyle="1" w:styleId="FooterChar">
    <w:name w:val="Footer Char"/>
    <w:basedOn w:val="DefaultParagraphFont"/>
    <w:link w:val="Footer"/>
    <w:uiPriority w:val="99"/>
    <w:rsid w:val="00C350A7"/>
  </w:style>
  <w:style w:type="paragraph" w:styleId="FootnoteText">
    <w:name w:val="footnote text"/>
    <w:aliases w:val="Footnote Text Char Char,Footnote Text Char Char Char Char,Footnote Text Char Char Char1,Footnote Text Char Char1,Footnote Text Char1 Char Char,Footnote Text Char1 Char1,Footnote Text Char2,Footnote Text Char4 Char Char Char Char,fn"/>
    <w:basedOn w:val="Normal"/>
    <w:link w:val="FootnoteTextChar"/>
    <w:unhideWhenUsed/>
    <w:rsid w:val="009F196F"/>
    <w:pPr>
      <w:spacing w:line="240" w:lineRule="auto"/>
    </w:pPr>
    <w:rPr>
      <w:sz w:val="20"/>
      <w:szCs w:val="20"/>
    </w:rPr>
  </w:style>
  <w:style w:type="character" w:customStyle="1" w:styleId="FootnoteTextChar">
    <w:name w:val="Footnote Text Char"/>
    <w:aliases w:val="Footnote Text Char Char Char,Footnote Text Char Char Char Char Char,Footnote Text Char Char Char1 Char,Footnote Text Char Char1 Char,Footnote Text Char1 Char Char Char,Footnote Text Char1 Char1 Char,Footnote Text Char2 Char,fn Char"/>
    <w:basedOn w:val="DefaultParagraphFont"/>
    <w:link w:val="FootnoteText"/>
    <w:rsid w:val="009F196F"/>
    <w:rPr>
      <w:sz w:val="20"/>
      <w:szCs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basedOn w:val="DefaultParagraphFont"/>
    <w:unhideWhenUsed/>
    <w:rsid w:val="009F196F"/>
    <w:rPr>
      <w:vertAlign w:val="superscript"/>
    </w:rPr>
  </w:style>
  <w:style w:type="paragraph" w:styleId="ListParagraph">
    <w:name w:val="List Paragraph"/>
    <w:basedOn w:val="Normal"/>
    <w:uiPriority w:val="34"/>
    <w:qFormat/>
    <w:rsid w:val="00751350"/>
    <w:pPr>
      <w:ind w:left="720"/>
      <w:contextualSpacing/>
    </w:pPr>
  </w:style>
  <w:style w:type="paragraph" w:styleId="HTMLPreformatted">
    <w:name w:val="HTML Preformatted"/>
    <w:basedOn w:val="Normal"/>
    <w:link w:val="HTMLPreformattedChar"/>
    <w:unhideWhenUsed/>
    <w:rsid w:val="00A10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A107DD"/>
    <w:rPr>
      <w:rFonts w:ascii="Courier New" w:eastAsia="Courier New" w:hAnsi="Courier New" w:cs="Courier New"/>
      <w:sz w:val="20"/>
      <w:szCs w:val="20"/>
    </w:rPr>
  </w:style>
  <w:style w:type="character" w:styleId="Hyperlink">
    <w:name w:val="Hyperlink"/>
    <w:basedOn w:val="DefaultParagraphFont"/>
    <w:uiPriority w:val="99"/>
    <w:unhideWhenUsed/>
    <w:rsid w:val="00A107DD"/>
    <w:rPr>
      <w:color w:val="0563C1" w:themeColor="hyperlink"/>
      <w:u w:val="single"/>
    </w:rPr>
  </w:style>
  <w:style w:type="character" w:customStyle="1" w:styleId="UnresolvedMention1">
    <w:name w:val="Unresolved Mention1"/>
    <w:basedOn w:val="DefaultParagraphFont"/>
    <w:uiPriority w:val="99"/>
    <w:semiHidden/>
    <w:unhideWhenUsed/>
    <w:rsid w:val="00A107DD"/>
    <w:rPr>
      <w:color w:val="605E5C"/>
      <w:shd w:val="clear" w:color="auto" w:fill="E1DFDD"/>
    </w:rPr>
  </w:style>
  <w:style w:type="character" w:customStyle="1" w:styleId="Heading2Char">
    <w:name w:val="Heading 2 Char"/>
    <w:basedOn w:val="DefaultParagraphFont"/>
    <w:link w:val="Heading2"/>
    <w:uiPriority w:val="9"/>
    <w:rsid w:val="00FD2F23"/>
    <w:rPr>
      <w:rFonts w:ascii="Times New Roman Bold" w:hAnsi="Times New Roman Bold" w:eastAsiaTheme="majorEastAsia" w:cstheme="majorBidi"/>
      <w:b/>
      <w:sz w:val="24"/>
      <w:szCs w:val="26"/>
    </w:rPr>
  </w:style>
  <w:style w:type="character" w:customStyle="1" w:styleId="Heading1Char">
    <w:name w:val="Heading 1 Char"/>
    <w:basedOn w:val="DefaultParagraphFont"/>
    <w:link w:val="Heading1"/>
    <w:uiPriority w:val="9"/>
    <w:rsid w:val="006F2798"/>
    <w:rPr>
      <w:rFonts w:ascii="Times New Roman" w:hAnsi="Times New Roman" w:eastAsiaTheme="majorEastAsia" w:cstheme="majorBidi"/>
      <w:b/>
      <w:caps/>
      <w:sz w:val="24"/>
      <w:szCs w:val="32"/>
    </w:rPr>
  </w:style>
  <w:style w:type="character" w:customStyle="1" w:styleId="ALTSFOOTNOTEChar">
    <w:name w:val="ALTS FOOTNOTE Char"/>
    <w:aliases w:val="Footnote Text Char Char Char Char Char1,Footnote Text Char1 Char Char1 Char Char Char Char1,Footnote Text Char1 Char Char1 Char1,fn Char1"/>
    <w:semiHidden/>
    <w:locked/>
    <w:rsid w:val="000075C2"/>
    <w:rPr>
      <w:sz w:val="20"/>
      <w:szCs w:val="20"/>
    </w:rPr>
  </w:style>
  <w:style w:type="character" w:styleId="LineNumber">
    <w:name w:val="line number"/>
    <w:basedOn w:val="DefaultParagraphFont"/>
    <w:uiPriority w:val="99"/>
    <w:semiHidden/>
    <w:unhideWhenUsed/>
    <w:rsid w:val="000075C2"/>
  </w:style>
  <w:style w:type="paragraph" w:styleId="BalloonText">
    <w:name w:val="Balloon Text"/>
    <w:basedOn w:val="Normal"/>
    <w:link w:val="BalloonTextChar"/>
    <w:uiPriority w:val="99"/>
    <w:semiHidden/>
    <w:unhideWhenUsed/>
    <w:rsid w:val="004267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728"/>
    <w:rPr>
      <w:rFonts w:ascii="Segoe UI" w:hAnsi="Segoe UI" w:cs="Segoe UI"/>
      <w:sz w:val="18"/>
      <w:szCs w:val="18"/>
    </w:rPr>
  </w:style>
  <w:style w:type="paragraph" w:styleId="TOC1">
    <w:name w:val="toc 1"/>
    <w:basedOn w:val="Normal"/>
    <w:next w:val="Normal"/>
    <w:autoRedefine/>
    <w:uiPriority w:val="39"/>
    <w:unhideWhenUsed/>
    <w:rsid w:val="00F703A1"/>
    <w:pPr>
      <w:tabs>
        <w:tab w:val="left" w:pos="720"/>
        <w:tab w:val="decimal" w:leader="dot" w:pos="8640"/>
      </w:tabs>
      <w:spacing w:after="240" w:line="240" w:lineRule="auto"/>
    </w:pPr>
    <w:rPr>
      <w:caps/>
    </w:rPr>
  </w:style>
  <w:style w:type="paragraph" w:styleId="TOC2">
    <w:name w:val="toc 2"/>
    <w:basedOn w:val="Normal"/>
    <w:next w:val="Normal"/>
    <w:autoRedefine/>
    <w:uiPriority w:val="39"/>
    <w:unhideWhenUsed/>
    <w:rsid w:val="009F721B"/>
    <w:pPr>
      <w:tabs>
        <w:tab w:val="decimal" w:leader="dot" w:pos="8640"/>
      </w:tabs>
      <w:spacing w:after="240" w:line="240" w:lineRule="auto"/>
      <w:ind w:left="720"/>
      <w:contextualSpacing/>
    </w:pPr>
  </w:style>
  <w:style w:type="table" w:styleId="TableGrid">
    <w:name w:val="Table Grid"/>
    <w:basedOn w:val="TableNormal"/>
    <w:rsid w:val="007751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semiHidden/>
    <w:rsid w:val="0077517B"/>
    <w:pPr>
      <w:spacing w:line="240" w:lineRule="auto"/>
    </w:pPr>
    <w:rPr>
      <w:rFonts w:eastAsia="Times New Roman" w:cs="Times New Roman"/>
      <w:szCs w:val="24"/>
    </w:rPr>
  </w:style>
  <w:style w:type="character" w:customStyle="1" w:styleId="CommentTextChar">
    <w:name w:val="Comment Text Char"/>
    <w:basedOn w:val="DefaultParagraphFont"/>
    <w:link w:val="CommentText"/>
    <w:semiHidden/>
    <w:rsid w:val="0077517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F7C08"/>
    <w:rPr>
      <w:sz w:val="16"/>
      <w:szCs w:val="16"/>
    </w:rPr>
  </w:style>
  <w:style w:type="paragraph" w:styleId="CommentSubject">
    <w:name w:val="annotation subject"/>
    <w:basedOn w:val="CommentText"/>
    <w:next w:val="CommentText"/>
    <w:link w:val="CommentSubjectChar"/>
    <w:uiPriority w:val="99"/>
    <w:semiHidden/>
    <w:unhideWhenUsed/>
    <w:rsid w:val="00EF7C08"/>
    <w:rPr>
      <w:rFonts w:eastAsiaTheme="minorHAnsi" w:cstheme="minorBidi"/>
      <w:b/>
      <w:bCs/>
      <w:sz w:val="20"/>
      <w:szCs w:val="20"/>
    </w:rPr>
  </w:style>
  <w:style w:type="character" w:customStyle="1" w:styleId="CommentSubjectChar">
    <w:name w:val="Comment Subject Char"/>
    <w:basedOn w:val="CommentTextChar"/>
    <w:link w:val="CommentSubject"/>
    <w:uiPriority w:val="99"/>
    <w:semiHidden/>
    <w:rsid w:val="00EF7C08"/>
    <w:rPr>
      <w:rFonts w:ascii="Times New Roman" w:eastAsia="Times New Roman" w:hAnsi="Times New Roman" w:cs="Times New Roman"/>
      <w:b/>
      <w:bCs/>
      <w:sz w:val="20"/>
      <w:szCs w:val="20"/>
    </w:rPr>
  </w:style>
  <w:style w:type="character" w:customStyle="1" w:styleId="UnresolvedMention2">
    <w:name w:val="Unresolved Mention2"/>
    <w:basedOn w:val="DefaultParagraphFont"/>
    <w:uiPriority w:val="99"/>
    <w:rsid w:val="00084D2A"/>
    <w:rPr>
      <w:color w:val="605E5C"/>
      <w:shd w:val="clear" w:color="auto" w:fill="E1DFDD"/>
    </w:rPr>
  </w:style>
  <w:style w:type="character" w:customStyle="1" w:styleId="Heading3Char">
    <w:name w:val="Heading 3 Char"/>
    <w:basedOn w:val="DefaultParagraphFont"/>
    <w:link w:val="Heading3"/>
    <w:uiPriority w:val="9"/>
    <w:rsid w:val="003970BD"/>
    <w:rPr>
      <w:rFonts w:ascii="Times New Roman Bold" w:hAnsi="Times New Roman Bold" w:eastAsiaTheme="majorEastAsia" w:cstheme="majorBidi"/>
      <w:b/>
      <w:sz w:val="24"/>
      <w:szCs w:val="24"/>
    </w:rPr>
  </w:style>
  <w:style w:type="paragraph" w:styleId="TOC3">
    <w:name w:val="toc 3"/>
    <w:basedOn w:val="Normal"/>
    <w:next w:val="Normal"/>
    <w:autoRedefine/>
    <w:uiPriority w:val="39"/>
    <w:unhideWhenUsed/>
    <w:qFormat/>
    <w:rsid w:val="007318B0"/>
    <w:pPr>
      <w:tabs>
        <w:tab w:val="decimal" w:leader="dot" w:pos="8640"/>
      </w:tabs>
      <w:spacing w:after="240" w:line="240" w:lineRule="auto"/>
      <w:ind w:left="2160" w:hanging="720"/>
    </w:pPr>
  </w:style>
  <w:style w:type="paragraph" w:styleId="BodyText">
    <w:name w:val="Body Text"/>
    <w:basedOn w:val="Normal"/>
    <w:link w:val="BodyTextChar"/>
    <w:uiPriority w:val="1"/>
    <w:qFormat/>
    <w:rsid w:val="007129D9"/>
    <w:pPr>
      <w:widowControl w:val="0"/>
      <w:autoSpaceDE w:val="0"/>
      <w:autoSpaceDN w:val="0"/>
      <w:spacing w:line="240" w:lineRule="auto"/>
    </w:pPr>
    <w:rPr>
      <w:rFonts w:eastAsia="Times New Roman" w:cs="Times New Roman"/>
      <w:szCs w:val="24"/>
    </w:rPr>
  </w:style>
  <w:style w:type="character" w:customStyle="1" w:styleId="BodyTextChar">
    <w:name w:val="Body Text Char"/>
    <w:basedOn w:val="DefaultParagraphFont"/>
    <w:link w:val="BodyText"/>
    <w:uiPriority w:val="1"/>
    <w:rsid w:val="007129D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header" Target="header3.xml" /><Relationship Id="rId14" Type="http://schemas.openxmlformats.org/officeDocument/2006/relationships/footer" Target="footer4.xml" /><Relationship Id="rId15" Type="http://schemas.openxmlformats.org/officeDocument/2006/relationships/hyperlink" Target="mailto:Thomas.mcnamee@ohioattorneygeneral.gov" TargetMode="External" /><Relationship Id="rId16" Type="http://schemas.openxmlformats.org/officeDocument/2006/relationships/hyperlink" Target="mailto:dboehm@bkllawfirm.com" TargetMode="External" /><Relationship Id="rId17" Type="http://schemas.openxmlformats.org/officeDocument/2006/relationships/hyperlink" Target="mailto:mkurtz@bkllawfirm.com" TargetMode="External" /><Relationship Id="rId18" Type="http://schemas.openxmlformats.org/officeDocument/2006/relationships/hyperlink" Target="mailto:jkylercohn@bkllawfirm.com" TargetMode="External" /><Relationship Id="rId19" Type="http://schemas.openxmlformats.org/officeDocument/2006/relationships/hyperlink" Target="mailto:kboehm@bkllawfirm.com" TargetMode="External" /><Relationship Id="rId2" Type="http://schemas.openxmlformats.org/officeDocument/2006/relationships/settings" Target="settings.xml" /><Relationship Id="rId20" Type="http://schemas.openxmlformats.org/officeDocument/2006/relationships/hyperlink" Target="mailto:fdarr@mwncmh.com" TargetMode="External" /><Relationship Id="rId21" Type="http://schemas.openxmlformats.org/officeDocument/2006/relationships/hyperlink" Target="mailto:mpritchard@mwncmh.com" TargetMode="External" /><Relationship Id="rId22" Type="http://schemas.openxmlformats.org/officeDocument/2006/relationships/hyperlink" Target="mailto:mjsettineri@vorys.com" TargetMode="External" /><Relationship Id="rId23" Type="http://schemas.openxmlformats.org/officeDocument/2006/relationships/hyperlink" Target="mailto:glpetrucci@vorys.com" TargetMode="External" /><Relationship Id="rId24" Type="http://schemas.openxmlformats.org/officeDocument/2006/relationships/hyperlink" Target="mailto:ibatikov@vorys.com" TargetMode="External" /><Relationship Id="rId25" Type="http://schemas.openxmlformats.org/officeDocument/2006/relationships/hyperlink" Target="mailto:wasieck@vorys.com" TargetMode="External" /><Relationship Id="rId26" Type="http://schemas.openxmlformats.org/officeDocument/2006/relationships/hyperlink" Target="mailto:mleppla@theoec.org" TargetMode="External" /><Relationship Id="rId27" Type="http://schemas.openxmlformats.org/officeDocument/2006/relationships/hyperlink" Target="mailto:cmooney@ohiopartners.org" TargetMode="External" /><Relationship Id="rId28" Type="http://schemas.openxmlformats.org/officeDocument/2006/relationships/hyperlink" Target="mailto:joliker@igsenergy.com" TargetMode="External" /><Relationship Id="rId29" Type="http://schemas.openxmlformats.org/officeDocument/2006/relationships/hyperlink" Target="mailto:mswhite@igsenergy.com" TargetMode="External" /><Relationship Id="rId3" Type="http://schemas.openxmlformats.org/officeDocument/2006/relationships/webSettings" Target="webSettings.xml" /><Relationship Id="rId30" Type="http://schemas.openxmlformats.org/officeDocument/2006/relationships/hyperlink" Target="mailto:ebetterton@igsenergy.com" TargetMode="External" /><Relationship Id="rId31" Type="http://schemas.openxmlformats.org/officeDocument/2006/relationships/hyperlink" Target="mailto:Slesser@calfee.com" TargetMode="External" /><Relationship Id="rId32" Type="http://schemas.openxmlformats.org/officeDocument/2006/relationships/hyperlink" Target="mailto:jlang@calfee.com" TargetMode="External" /><Relationship Id="rId33" Type="http://schemas.openxmlformats.org/officeDocument/2006/relationships/hyperlink" Target="mailto:talexander@calfee.com" TargetMode="External" /><Relationship Id="rId34" Type="http://schemas.openxmlformats.org/officeDocument/2006/relationships/hyperlink" Target="mailto:mkeaney@calfee.com" TargetMode="External" /><Relationship Id="rId35" Type="http://schemas.openxmlformats.org/officeDocument/2006/relationships/hyperlink" Target="mailto:elizabeth.watts@duke-energy.com" TargetMode="External" /><Relationship Id="rId36" Type="http://schemas.openxmlformats.org/officeDocument/2006/relationships/hyperlink" Target="mailto:jeanne.kingery@duke-energy.com" TargetMode="External" /><Relationship Id="rId37" Type="http://schemas.openxmlformats.org/officeDocument/2006/relationships/hyperlink" Target="mailto:gthomas@gtpowergroup.com" TargetMode="External" /><Relationship Id="rId38" Type="http://schemas.openxmlformats.org/officeDocument/2006/relationships/hyperlink" Target="mailto:stheodore@epsa.org" TargetMode="External" /><Relationship Id="rId39" Type="http://schemas.openxmlformats.org/officeDocument/2006/relationships/hyperlink" Target="mailto:laurac@chappelleconsulting.net" TargetMode="External" /><Relationship Id="rId4" Type="http://schemas.openxmlformats.org/officeDocument/2006/relationships/fontTable" Target="fontTable.xml" /><Relationship Id="rId40" Type="http://schemas.openxmlformats.org/officeDocument/2006/relationships/hyperlink" Target="mailto:jdoll@djflawfirm.com" TargetMode="External" /><Relationship Id="rId41" Type="http://schemas.openxmlformats.org/officeDocument/2006/relationships/hyperlink" Target="mailto:gregory.price@puco.ohio.gov" TargetMode="External" /><Relationship Id="rId42" Type="http://schemas.openxmlformats.org/officeDocument/2006/relationships/hyperlink" Target="mailto:patricia.schabo@puco.ohio.gov" TargetMode="External" /><Relationship Id="rId43" Type="http://schemas.openxmlformats.org/officeDocument/2006/relationships/hyperlink" Target="mailto:michael.schuler@aes.com" TargetMode="External" /><Relationship Id="rId44" Type="http://schemas.openxmlformats.org/officeDocument/2006/relationships/hyperlink" Target="mailto:djireland@ficlaw.com" TargetMode="External" /><Relationship Id="rId45" Type="http://schemas.openxmlformats.org/officeDocument/2006/relationships/hyperlink" Target="mailto:jsharkey@ficlaw.com" TargetMode="External" /><Relationship Id="rId46" Type="http://schemas.openxmlformats.org/officeDocument/2006/relationships/hyperlink" Target="mailto:mfleisher@elpc.org" TargetMode="External" /><Relationship Id="rId47" Type="http://schemas.openxmlformats.org/officeDocument/2006/relationships/hyperlink" Target="mailto:kfield@elpc.org" TargetMode="External" /><Relationship Id="rId48" Type="http://schemas.openxmlformats.org/officeDocument/2006/relationships/hyperlink" Target="mailto:jeffrey.mayes@monitoringanalytics.com" TargetMode="External" /><Relationship Id="rId49" Type="http://schemas.openxmlformats.org/officeDocument/2006/relationships/hyperlink" Target="mailto:evelyn.robinson@pjm.com" TargetMode="External" /><Relationship Id="rId5" Type="http://schemas.openxmlformats.org/officeDocument/2006/relationships/customXml" Target="../customXml/item1.xml" /><Relationship Id="rId50" Type="http://schemas.openxmlformats.org/officeDocument/2006/relationships/hyperlink" Target="mailto:schmidt@sppgrp.com" TargetMode="External" /><Relationship Id="rId51" Type="http://schemas.openxmlformats.org/officeDocument/2006/relationships/hyperlink" Target="mailto:rsahli@columbus.rr.com" TargetMode="External" /><Relationship Id="rId52" Type="http://schemas.openxmlformats.org/officeDocument/2006/relationships/hyperlink" Target="mailto:tony.mendoza@sierraclub.org" TargetMode="External" /><Relationship Id="rId53" Type="http://schemas.openxmlformats.org/officeDocument/2006/relationships/hyperlink" Target="mailto:kristin.henry@sierraclub.org" TargetMode="External" /><Relationship Id="rId54" Type="http://schemas.openxmlformats.org/officeDocument/2006/relationships/hyperlink" Target="mailto:mdortch@kravitzllc.com" TargetMode="External" /><Relationship Id="rId55" Type="http://schemas.openxmlformats.org/officeDocument/2006/relationships/hyperlink" Target="mailto:rparsons@kravitzllc.com" TargetMode="External" /><Relationship Id="rId56" Type="http://schemas.openxmlformats.org/officeDocument/2006/relationships/hyperlink" Target="mailto:Bojko@carpenterlipps.com" TargetMode="External" /><Relationship Id="rId57" Type="http://schemas.openxmlformats.org/officeDocument/2006/relationships/hyperlink" Target="mailto:perko@carpenterlipps.com" TargetMode="External" /><Relationship Id="rId58" Type="http://schemas.openxmlformats.org/officeDocument/2006/relationships/hyperlink" Target="mailto:Ghiloni@carpenterlipps.com" TargetMode="External" /><Relationship Id="rId59" Type="http://schemas.openxmlformats.org/officeDocument/2006/relationships/hyperlink" Target="mailto:paul@carpenterlipps.com" TargetMode="External" /><Relationship Id="rId6" Type="http://schemas.openxmlformats.org/officeDocument/2006/relationships/hyperlink" Target="mailto:william.michael@occ.ohio.gov" TargetMode="External" /><Relationship Id="rId60" Type="http://schemas.openxmlformats.org/officeDocument/2006/relationships/hyperlink" Target="mailto:sechler@carpenterlipps.com" TargetMode="External" /><Relationship Id="rId61" Type="http://schemas.openxmlformats.org/officeDocument/2006/relationships/hyperlink" Target="mailto:mwarnock@bricker.com" TargetMode="External" /><Relationship Id="rId62" Type="http://schemas.openxmlformats.org/officeDocument/2006/relationships/hyperlink" Target="mailto:dparram@bricker.com" TargetMode="External" /><Relationship Id="rId63" Type="http://schemas.openxmlformats.org/officeDocument/2006/relationships/hyperlink" Target="mailto:dborchers@bricker.com" TargetMode="External" /><Relationship Id="rId64" Type="http://schemas.openxmlformats.org/officeDocument/2006/relationships/hyperlink" Target="mailto:lhawrot@spilmanlaw.com" TargetMode="External" /><Relationship Id="rId65" Type="http://schemas.openxmlformats.org/officeDocument/2006/relationships/hyperlink" Target="mailto:dwilliamson@spilmanlaw.com" TargetMode="External" /><Relationship Id="rId66" Type="http://schemas.openxmlformats.org/officeDocument/2006/relationships/hyperlink" Target="mailto:charris@spilmanlaw.com" TargetMode="External" /><Relationship Id="rId67" Type="http://schemas.openxmlformats.org/officeDocument/2006/relationships/hyperlink" Target="mailto:ejacobs@ablelaw.org" TargetMode="External" /><Relationship Id="rId68" Type="http://schemas.openxmlformats.org/officeDocument/2006/relationships/hyperlink" Target="mailto:rseiler@dickinsonwright.com" TargetMode="External" /><Relationship Id="rId69" Type="http://schemas.openxmlformats.org/officeDocument/2006/relationships/hyperlink" Target="mailto:cpirik@dickinsonwright.com" TargetMode="External" /><Relationship Id="rId7" Type="http://schemas.openxmlformats.org/officeDocument/2006/relationships/hyperlink" Target="mailto:ambrosia.logsdon@occ.ohi" TargetMode="External" /><Relationship Id="rId70" Type="http://schemas.openxmlformats.org/officeDocument/2006/relationships/hyperlink" Target="mailto:wvorys@dickinsonwright.com" TargetMode="External" /><Relationship Id="rId71" Type="http://schemas.openxmlformats.org/officeDocument/2006/relationships/hyperlink" Target="mailto:todonnell@dickinsonwright.com" TargetMode="External" /><Relationship Id="rId72" Type="http://schemas.openxmlformats.org/officeDocument/2006/relationships/footer" Target="footer5.xml" /><Relationship Id="rId73" Type="http://schemas.openxmlformats.org/officeDocument/2006/relationships/theme" Target="theme/theme1.xml" /><Relationship Id="rId74" Type="http://schemas.openxmlformats.org/officeDocument/2006/relationships/numbering" Target="numbering.xml" /><Relationship Id="rId75" Type="http://schemas.openxmlformats.org/officeDocument/2006/relationships/styles" Target="styles.xm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D2242-F708-4398-9F98-DC38FC349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3135</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Memorandum Contra IGS's AFR in DPL ESP.docx</vt:lpstr>
    </vt:vector>
  </TitlesOfParts>
  <Company/>
  <LinksUpToDate>false</LinksUpToDate>
  <CharactersWithSpaces>20964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2020-01-02T21:34:00Z</dcterms:created>
  <dcterms:modified xsi:type="dcterms:W3CDTF">2020-01-02T21:34:00Z</dcterms:modified>
</cp:coreProperties>
</file>