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C421A" w:rsidRPr="008A0A0E" w:rsidP="003C421A" w14:paraId="525A3F9D" w14:textId="77777777">
      <w:pPr>
        <w:jc w:val="center"/>
        <w:rPr>
          <w:b/>
        </w:rPr>
      </w:pPr>
      <w:r w:rsidRPr="008A0A0E">
        <w:rPr>
          <w:b/>
        </w:rPr>
        <w:t>BEFORE</w:t>
      </w:r>
    </w:p>
    <w:p w:rsidR="003C421A" w:rsidRPr="008A0A0E" w:rsidP="003C421A" w14:paraId="6B4747C5" w14:textId="77777777">
      <w:pPr>
        <w:jc w:val="center"/>
        <w:rPr>
          <w:b/>
        </w:rPr>
      </w:pPr>
      <w:r w:rsidRPr="008A0A0E">
        <w:rPr>
          <w:b/>
        </w:rPr>
        <w:t>THE PUBLIC UTILITIES COMMISSION OF OHIO</w:t>
      </w:r>
    </w:p>
    <w:p w:rsidR="003C421A" w:rsidRPr="008A0A0E" w:rsidP="003C421A" w14:paraId="289941B6" w14:textId="77777777">
      <w:pPr>
        <w:rPr>
          <w:b/>
        </w:rPr>
      </w:pPr>
    </w:p>
    <w:tbl>
      <w:tblPr>
        <w:tblW w:w="8640" w:type="dxa"/>
        <w:tblLook w:val="01E0"/>
      </w:tblPr>
      <w:tblGrid>
        <w:gridCol w:w="4230"/>
        <w:gridCol w:w="450"/>
        <w:gridCol w:w="3960"/>
      </w:tblGrid>
      <w:tr w14:paraId="2A7C9295" w14:textId="77777777" w:rsidTr="00611A0E">
        <w:tblPrEx>
          <w:tblW w:w="8640" w:type="dxa"/>
          <w:tblLook w:val="01E0"/>
        </w:tblPrEx>
        <w:trPr>
          <w:trHeight w:val="807"/>
        </w:trPr>
        <w:tc>
          <w:tcPr>
            <w:tcW w:w="4230" w:type="dxa"/>
            <w:shd w:val="clear" w:color="auto" w:fill="auto"/>
          </w:tcPr>
          <w:p w:rsidR="003C421A" w:rsidRPr="008A0A0E" w:rsidP="00C61134" w14:paraId="1A7AA163" w14:textId="77777777">
            <w:pPr>
              <w:autoSpaceDE w:val="0"/>
              <w:autoSpaceDN w:val="0"/>
              <w:adjustRightInd w:val="0"/>
            </w:pPr>
            <w:r w:rsidRPr="008A0A0E">
              <w:t>In the Matter of the Application of Suburban Natural Gas Company for an Increase in Gas Distribution Rates.</w:t>
            </w:r>
          </w:p>
          <w:p w:rsidR="003C421A" w:rsidRPr="008A0A0E" w:rsidP="00C61134" w14:paraId="6D8E0444" w14:textId="77777777">
            <w:pPr>
              <w:autoSpaceDE w:val="0"/>
              <w:autoSpaceDN w:val="0"/>
              <w:adjustRightInd w:val="0"/>
            </w:pPr>
          </w:p>
          <w:p w:rsidR="003C421A" w:rsidRPr="008A0A0E" w:rsidP="00C61134" w14:paraId="7C469278" w14:textId="77777777">
            <w:pPr>
              <w:autoSpaceDE w:val="0"/>
              <w:autoSpaceDN w:val="0"/>
              <w:adjustRightInd w:val="0"/>
            </w:pPr>
            <w:r w:rsidRPr="008A0A0E">
              <w:t>In the Matter of the Application of Suburban Natural Gas Company for Tariff Approval.</w:t>
            </w:r>
          </w:p>
          <w:p w:rsidR="003C421A" w:rsidRPr="008A0A0E" w:rsidP="00C61134" w14:paraId="3A6E09D8" w14:textId="77777777">
            <w:pPr>
              <w:autoSpaceDE w:val="0"/>
              <w:autoSpaceDN w:val="0"/>
              <w:adjustRightInd w:val="0"/>
            </w:pPr>
          </w:p>
          <w:p w:rsidR="003C421A" w:rsidRPr="008A0A0E" w:rsidP="00C61134" w14:paraId="2A7C6DE0" w14:textId="77777777">
            <w:pPr>
              <w:autoSpaceDE w:val="0"/>
              <w:autoSpaceDN w:val="0"/>
              <w:adjustRightInd w:val="0"/>
            </w:pPr>
            <w:r w:rsidRPr="008A0A0E">
              <w:t>In the Matter of the Application of Suburban Natural Gas Company for Approval of Certain Accounting Authority.</w:t>
            </w:r>
          </w:p>
        </w:tc>
        <w:tc>
          <w:tcPr>
            <w:tcW w:w="450" w:type="dxa"/>
            <w:shd w:val="clear" w:color="auto" w:fill="auto"/>
          </w:tcPr>
          <w:p w:rsidR="003C421A" w:rsidRPr="008A0A0E" w:rsidP="00C61134" w14:paraId="028FEC04"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665E0D6C"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4135DC60"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4A542E2F" w14:textId="77777777">
            <w:pPr>
              <w:pStyle w:val="HTMLPreformatted"/>
              <w:rPr>
                <w:rFonts w:ascii="Times New Roman" w:hAnsi="Times New Roman" w:cs="Times New Roman"/>
                <w:sz w:val="24"/>
                <w:szCs w:val="24"/>
              </w:rPr>
            </w:pPr>
          </w:p>
          <w:p w:rsidR="003C421A" w:rsidRPr="008A0A0E" w:rsidP="00C61134" w14:paraId="1A7C9CB7"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3994D194"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1D38DDFB"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29A8970A" w14:textId="77777777">
            <w:pPr>
              <w:pStyle w:val="HTMLPreformatted"/>
              <w:rPr>
                <w:rFonts w:ascii="Times New Roman" w:hAnsi="Times New Roman" w:cs="Times New Roman"/>
                <w:sz w:val="24"/>
                <w:szCs w:val="24"/>
              </w:rPr>
            </w:pPr>
          </w:p>
          <w:p w:rsidR="003C421A" w:rsidRPr="008A0A0E" w:rsidP="00C61134" w14:paraId="43B71E98"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631D7D64"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7D604CCD"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726F4EC1"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3C421A" w:rsidRPr="008A0A0E" w:rsidP="00C61134" w14:paraId="332D2CBD" w14:textId="77777777">
            <w:pPr>
              <w:pStyle w:val="HTMLPreformatted"/>
              <w:rPr>
                <w:rFonts w:ascii="Times New Roman" w:hAnsi="Times New Roman" w:cs="Times New Roman"/>
                <w:sz w:val="24"/>
                <w:szCs w:val="24"/>
              </w:rPr>
            </w:pPr>
          </w:p>
        </w:tc>
        <w:tc>
          <w:tcPr>
            <w:tcW w:w="3960" w:type="dxa"/>
            <w:shd w:val="clear" w:color="auto" w:fill="auto"/>
          </w:tcPr>
          <w:p w:rsidR="003C421A" w:rsidRPr="008A0A0E" w:rsidP="00C61134" w14:paraId="671A146B" w14:textId="77777777">
            <w:pPr>
              <w:pStyle w:val="HTMLPreformatted"/>
              <w:rPr>
                <w:rFonts w:ascii="Times New Roman" w:hAnsi="Times New Roman" w:cs="Times New Roman"/>
                <w:sz w:val="24"/>
                <w:szCs w:val="24"/>
              </w:rPr>
            </w:pPr>
          </w:p>
          <w:p w:rsidR="003C421A" w:rsidRPr="008A0A0E" w:rsidP="00C61134" w14:paraId="6E8E2AD4"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Case No. 18-1205-GA-AIR</w:t>
            </w:r>
          </w:p>
          <w:p w:rsidR="003C421A" w:rsidRPr="008A0A0E" w:rsidP="00C61134" w14:paraId="5F0DFEAD" w14:textId="77777777">
            <w:pPr>
              <w:pStyle w:val="HTMLPreformatted"/>
              <w:rPr>
                <w:rFonts w:ascii="Times New Roman" w:hAnsi="Times New Roman" w:cs="Times New Roman"/>
                <w:sz w:val="24"/>
                <w:szCs w:val="24"/>
              </w:rPr>
            </w:pPr>
          </w:p>
          <w:p w:rsidR="003C421A" w:rsidRPr="008A0A0E" w:rsidP="00C61134" w14:paraId="36F00FD6" w14:textId="77777777">
            <w:pPr>
              <w:pStyle w:val="HTMLPreformatted"/>
              <w:rPr>
                <w:rFonts w:ascii="Times New Roman" w:hAnsi="Times New Roman" w:cs="Times New Roman"/>
                <w:sz w:val="24"/>
                <w:szCs w:val="24"/>
              </w:rPr>
            </w:pPr>
          </w:p>
          <w:p w:rsidR="003C421A" w:rsidRPr="008A0A0E" w:rsidP="00C61134" w14:paraId="329C482E" w14:textId="77777777">
            <w:pPr>
              <w:pStyle w:val="HTMLPreformatted"/>
              <w:rPr>
                <w:rFonts w:ascii="Times New Roman" w:hAnsi="Times New Roman" w:cs="Times New Roman"/>
                <w:sz w:val="24"/>
                <w:szCs w:val="24"/>
              </w:rPr>
            </w:pPr>
          </w:p>
          <w:p w:rsidR="003C421A" w:rsidRPr="008A0A0E" w:rsidP="00C61134" w14:paraId="3089D278"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Case No. 18-1206-GA-ATA</w:t>
            </w:r>
          </w:p>
          <w:p w:rsidR="003C421A" w:rsidRPr="008A0A0E" w:rsidP="00C61134" w14:paraId="325C238E" w14:textId="77777777">
            <w:pPr>
              <w:pStyle w:val="HTMLPreformatted"/>
              <w:rPr>
                <w:rFonts w:ascii="Times New Roman" w:hAnsi="Times New Roman" w:cs="Times New Roman"/>
                <w:sz w:val="24"/>
                <w:szCs w:val="24"/>
              </w:rPr>
            </w:pPr>
          </w:p>
          <w:p w:rsidR="003C421A" w:rsidRPr="008A0A0E" w:rsidP="00C61134" w14:paraId="13CCCFE3" w14:textId="77777777">
            <w:pPr>
              <w:pStyle w:val="HTMLPreformatted"/>
              <w:rPr>
                <w:rFonts w:ascii="Times New Roman" w:hAnsi="Times New Roman" w:cs="Times New Roman"/>
                <w:sz w:val="24"/>
                <w:szCs w:val="24"/>
              </w:rPr>
            </w:pPr>
          </w:p>
          <w:p w:rsidR="003C421A" w:rsidRPr="008A0A0E" w:rsidP="00C61134" w14:paraId="334FEE04" w14:textId="77777777">
            <w:pPr>
              <w:pStyle w:val="HTMLPreformatted"/>
              <w:rPr>
                <w:rFonts w:ascii="Times New Roman" w:hAnsi="Times New Roman" w:cs="Times New Roman"/>
                <w:sz w:val="24"/>
                <w:szCs w:val="24"/>
              </w:rPr>
            </w:pPr>
          </w:p>
          <w:p w:rsidR="003C421A" w:rsidRPr="008A0A0E" w:rsidP="00C61134" w14:paraId="1C6ACBEC"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Case No. 18-1207-GA-AAM</w:t>
            </w:r>
          </w:p>
          <w:p w:rsidR="003C421A" w:rsidRPr="008A0A0E" w:rsidP="00C61134" w14:paraId="481DE69D" w14:textId="77777777">
            <w:pPr>
              <w:pStyle w:val="HTMLPreformatted"/>
              <w:rPr>
                <w:rFonts w:ascii="Times New Roman" w:hAnsi="Times New Roman" w:cs="Times New Roman"/>
                <w:sz w:val="24"/>
                <w:szCs w:val="24"/>
              </w:rPr>
            </w:pPr>
          </w:p>
          <w:p w:rsidR="003C421A" w:rsidRPr="008A0A0E" w:rsidP="00C61134" w14:paraId="3E24F29F" w14:textId="77777777">
            <w:pPr>
              <w:pStyle w:val="HTMLPreformatted"/>
              <w:rPr>
                <w:rFonts w:ascii="Times New Roman" w:hAnsi="Times New Roman" w:cs="Times New Roman"/>
                <w:sz w:val="24"/>
                <w:szCs w:val="24"/>
              </w:rPr>
            </w:pPr>
          </w:p>
        </w:tc>
      </w:tr>
    </w:tbl>
    <w:p w:rsidR="003C421A" w:rsidRPr="008A0A0E" w:rsidP="003C421A" w14:paraId="08102949" w14:textId="77777777">
      <w:pPr>
        <w:pBdr>
          <w:top w:val="single" w:sz="12" w:space="0" w:color="auto"/>
        </w:pBdr>
        <w:tabs>
          <w:tab w:val="left" w:pos="-720"/>
        </w:tabs>
        <w:suppressAutoHyphens/>
        <w:jc w:val="center"/>
        <w:rPr>
          <w:b/>
          <w:bCs/>
          <w:spacing w:val="-3"/>
        </w:rPr>
      </w:pPr>
    </w:p>
    <w:p w:rsidR="003C421A" w:rsidRPr="008A0A0E" w:rsidP="003C421A" w14:paraId="50018406" w14:textId="230C5B11">
      <w:pPr>
        <w:tabs>
          <w:tab w:val="left" w:pos="4770"/>
          <w:tab w:val="left" w:pos="6480"/>
        </w:tabs>
        <w:jc w:val="center"/>
        <w:rPr>
          <w:b/>
        </w:rPr>
      </w:pPr>
      <w:r w:rsidRPr="008A0A0E">
        <w:rPr>
          <w:b/>
        </w:rPr>
        <w:t xml:space="preserve">MEMORANDUM CONTRA </w:t>
      </w:r>
      <w:r>
        <w:rPr>
          <w:b/>
        </w:rPr>
        <w:t>SUBURBAN NATURAL GAS COMPANY’S MOTIONS TO STRIKE OCC’S OBJECTIONS AND FOR SANCTIONS</w:t>
      </w:r>
    </w:p>
    <w:p w:rsidR="003C421A" w:rsidRPr="008A0A0E" w:rsidP="003C421A" w14:paraId="6532ABC6" w14:textId="77777777">
      <w:pPr>
        <w:tabs>
          <w:tab w:val="left" w:pos="4770"/>
          <w:tab w:val="left" w:pos="6480"/>
        </w:tabs>
        <w:jc w:val="center"/>
        <w:rPr>
          <w:b/>
        </w:rPr>
      </w:pPr>
      <w:r w:rsidRPr="008A0A0E">
        <w:rPr>
          <w:b/>
        </w:rPr>
        <w:t>BY</w:t>
      </w:r>
    </w:p>
    <w:p w:rsidR="003C421A" w:rsidRPr="008A0A0E" w:rsidP="003C421A" w14:paraId="63F4C3B6" w14:textId="77777777">
      <w:pPr>
        <w:tabs>
          <w:tab w:val="left" w:pos="4770"/>
          <w:tab w:val="left" w:pos="6480"/>
        </w:tabs>
        <w:jc w:val="center"/>
        <w:rPr>
          <w:b/>
        </w:rPr>
      </w:pPr>
      <w:r w:rsidRPr="008A0A0E">
        <w:rPr>
          <w:b/>
        </w:rPr>
        <w:t>OFFICE OF THE OHIO CONSUMERS’ COUNSEL</w:t>
      </w:r>
    </w:p>
    <w:p w:rsidR="003C421A" w:rsidRPr="008A0A0E" w:rsidP="003C421A" w14:paraId="400515D4" w14:textId="77777777">
      <w:pPr>
        <w:pBdr>
          <w:bottom w:val="single" w:sz="12" w:space="1" w:color="auto"/>
        </w:pBdr>
        <w:tabs>
          <w:tab w:val="left" w:pos="-720"/>
        </w:tabs>
        <w:suppressAutoHyphens/>
        <w:jc w:val="center"/>
        <w:rPr>
          <w:b/>
          <w:bCs/>
          <w:spacing w:val="-3"/>
        </w:rPr>
      </w:pPr>
    </w:p>
    <w:p w:rsidR="003C421A" w:rsidP="003C421A" w14:paraId="1E233165" w14:textId="3B8B4013">
      <w:pPr>
        <w:jc w:val="center"/>
        <w:rPr>
          <w:b/>
        </w:rPr>
      </w:pPr>
    </w:p>
    <w:p w:rsidR="003C421A" w:rsidP="003C421A" w14:paraId="6825E986" w14:textId="117CA49B">
      <w:pPr>
        <w:jc w:val="center"/>
        <w:rPr>
          <w:b/>
        </w:rPr>
      </w:pPr>
    </w:p>
    <w:p w:rsidR="003C421A" w:rsidP="003C421A" w14:paraId="75C38980" w14:textId="697EE05E">
      <w:pPr>
        <w:jc w:val="center"/>
        <w:rPr>
          <w:b/>
        </w:rPr>
      </w:pPr>
    </w:p>
    <w:p w:rsidR="003C421A" w:rsidRPr="008A0A0E" w:rsidP="003C421A" w14:paraId="43727381" w14:textId="77777777">
      <w:pPr>
        <w:jc w:val="center"/>
        <w:rPr>
          <w:b/>
        </w:rPr>
      </w:pPr>
    </w:p>
    <w:p w:rsidR="003C421A" w:rsidRPr="008A0A0E" w:rsidP="003C421A" w14:paraId="3B94950A" w14:textId="77777777">
      <w:pPr>
        <w:ind w:left="3600" w:firstLine="720"/>
      </w:pPr>
      <w:r w:rsidRPr="008A0A0E">
        <w:t>Bruce Weston (0016973)</w:t>
      </w:r>
    </w:p>
    <w:p w:rsidR="003C421A" w:rsidRPr="008A0A0E" w:rsidP="003C421A" w14:paraId="4E266976" w14:textId="77777777">
      <w:pPr>
        <w:tabs>
          <w:tab w:val="left" w:pos="4320"/>
        </w:tabs>
      </w:pPr>
      <w:r w:rsidRPr="008A0A0E">
        <w:tab/>
        <w:t xml:space="preserve">Ohio Consumers’ Counsel </w:t>
      </w:r>
    </w:p>
    <w:p w:rsidR="003C421A" w:rsidRPr="008A0A0E" w:rsidP="003C421A" w14:paraId="32A8C2FD" w14:textId="77777777">
      <w:pPr>
        <w:tabs>
          <w:tab w:val="left" w:pos="4320"/>
        </w:tabs>
      </w:pPr>
    </w:p>
    <w:p w:rsidR="003C421A" w:rsidRPr="008A0A0E" w:rsidP="003C421A" w14:paraId="1DAC09F0" w14:textId="77777777">
      <w:pPr>
        <w:ind w:left="4320"/>
      </w:pPr>
      <w:r w:rsidRPr="008A0A0E">
        <w:t>Angela D. O’Brien (0097579)</w:t>
      </w:r>
    </w:p>
    <w:p w:rsidR="003C421A" w:rsidRPr="008A0A0E" w:rsidP="003C421A" w14:paraId="6C0601B8" w14:textId="77777777">
      <w:pPr>
        <w:ind w:left="4320"/>
      </w:pPr>
      <w:r w:rsidRPr="008A0A0E">
        <w:t>Counsel of Record</w:t>
      </w:r>
    </w:p>
    <w:p w:rsidR="003C421A" w:rsidRPr="008A0A0E" w:rsidP="003C421A" w14:paraId="3D7CDF43" w14:textId="77777777">
      <w:pPr>
        <w:ind w:left="4320"/>
      </w:pPr>
      <w:r w:rsidRPr="008A0A0E">
        <w:t>Assistant Consumers’ Counsel</w:t>
      </w:r>
    </w:p>
    <w:p w:rsidR="003C421A" w:rsidRPr="008A0A0E" w:rsidP="003C421A" w14:paraId="7A8DEB12" w14:textId="77777777">
      <w:pPr>
        <w:ind w:left="4320"/>
      </w:pPr>
    </w:p>
    <w:p w:rsidR="003C421A" w:rsidRPr="008A0A0E" w:rsidP="003C421A" w14:paraId="31801AA9" w14:textId="77777777">
      <w:pPr>
        <w:ind w:left="4320"/>
        <w:rPr>
          <w:b/>
        </w:rPr>
      </w:pPr>
      <w:r w:rsidRPr="008A0A0E">
        <w:rPr>
          <w:b/>
        </w:rPr>
        <w:t>Office of the Ohio Consumers’ Counsel</w:t>
      </w:r>
    </w:p>
    <w:p w:rsidR="003C421A" w:rsidRPr="008A0A0E" w:rsidP="003C421A" w14:paraId="1A8B8875" w14:textId="77777777">
      <w:pPr>
        <w:ind w:left="4320"/>
      </w:pPr>
      <w:r w:rsidRPr="008A0A0E">
        <w:t>65 East State Street, Suite 700</w:t>
      </w:r>
    </w:p>
    <w:p w:rsidR="003C421A" w:rsidRPr="008A0A0E" w:rsidP="003C421A" w14:paraId="75FEB9C8" w14:textId="77777777">
      <w:pPr>
        <w:ind w:left="4320"/>
      </w:pPr>
      <w:r w:rsidRPr="008A0A0E">
        <w:t>Columbus, Ohio 43215</w:t>
      </w:r>
    </w:p>
    <w:p w:rsidR="003C421A" w:rsidRPr="008A0A0E" w:rsidP="003C421A" w14:paraId="482A2039" w14:textId="77777777">
      <w:pPr>
        <w:ind w:left="4320"/>
      </w:pPr>
      <w:r w:rsidRPr="008A0A0E">
        <w:t>Telephone [O’Brien]: (614) 466-9531</w:t>
      </w:r>
    </w:p>
    <w:p w:rsidR="003C421A" w:rsidRPr="008A0A0E" w:rsidP="003C421A" w14:paraId="1322FA36" w14:textId="77777777">
      <w:pPr>
        <w:ind w:left="4320"/>
      </w:pPr>
      <w:hyperlink r:id="rId6" w:history="1">
        <w:r w:rsidRPr="008A0A0E" w:rsidR="00E80708">
          <w:rPr>
            <w:rStyle w:val="Hyperlink"/>
          </w:rPr>
          <w:t>angela.obrien@occ.ohio.gov</w:t>
        </w:r>
      </w:hyperlink>
    </w:p>
    <w:p w:rsidR="003C421A" w:rsidRPr="008A0A0E" w:rsidP="003C421A" w14:paraId="3FE59261" w14:textId="530926E8">
      <w:r>
        <w:t>April 11, 2022</w:t>
      </w:r>
      <w:r>
        <w:tab/>
      </w:r>
      <w:r>
        <w:tab/>
      </w:r>
      <w:r>
        <w:tab/>
      </w:r>
      <w:r>
        <w:tab/>
      </w:r>
      <w:r>
        <w:tab/>
      </w:r>
      <w:r w:rsidRPr="008A0A0E">
        <w:t>(willing to accept service by e-mail)</w:t>
      </w:r>
    </w:p>
    <w:p w:rsidR="003C421A" w:rsidP="00255C98" w14:paraId="5B6A2F46" w14:textId="77777777">
      <w:pPr>
        <w:jc w:val="center"/>
        <w:rPr>
          <w:b/>
        </w:rPr>
      </w:pPr>
    </w:p>
    <w:p w:rsidR="003C421A" w:rsidP="00255C98" w14:paraId="274856D3" w14:textId="77777777">
      <w:pPr>
        <w:jc w:val="center"/>
        <w:rPr>
          <w:b/>
        </w:rPr>
      </w:pPr>
    </w:p>
    <w:p w:rsidR="003C421A" w:rsidP="00255C98" w14:paraId="71C3274C" w14:textId="13A475D0">
      <w:pPr>
        <w:jc w:val="center"/>
        <w:rPr>
          <w:b/>
        </w:rPr>
        <w:sectPr w:rsidSect="008A0A0E">
          <w:footerReference w:type="default" r:id="rId7"/>
          <w:footerReference w:type="first" r:id="rId8"/>
          <w:pgSz w:w="12240" w:h="15840"/>
          <w:pgMar w:top="1440" w:right="1800" w:bottom="1440" w:left="1800" w:header="720" w:footer="720" w:gutter="0"/>
          <w:pgNumType w:start="2"/>
          <w:cols w:space="720"/>
          <w:titlePg/>
          <w:docGrid w:linePitch="360"/>
        </w:sectPr>
      </w:pPr>
    </w:p>
    <w:p w:rsidR="003C421A" w:rsidRPr="003C421A" w:rsidP="00255C98" w14:paraId="19F63596" w14:textId="77777777">
      <w:pPr>
        <w:jc w:val="center"/>
        <w:rPr>
          <w:b/>
          <w:u w:val="single"/>
        </w:rPr>
      </w:pPr>
      <w:r w:rsidRPr="003C421A">
        <w:rPr>
          <w:b/>
          <w:u w:val="single"/>
        </w:rPr>
        <w:t>TABLE OF CONTENTS</w:t>
      </w:r>
    </w:p>
    <w:p w:rsidR="003C421A" w:rsidP="003C421A" w14:paraId="6481F5F5" w14:textId="26226EB7">
      <w:pPr>
        <w:jc w:val="right"/>
        <w:rPr>
          <w:b/>
        </w:rPr>
      </w:pPr>
      <w:r>
        <w:rPr>
          <w:b/>
        </w:rPr>
        <w:t>PAGE</w:t>
      </w:r>
    </w:p>
    <w:p w:rsidR="003C421A" w:rsidP="003C421A" w14:paraId="11FE23BF" w14:textId="77777777">
      <w:pPr>
        <w:jc w:val="right"/>
        <w:rPr>
          <w:b/>
        </w:rPr>
      </w:pPr>
    </w:p>
    <w:p w:rsidR="00E127A2" w14:paraId="5177D552" w14:textId="24BF3CE4">
      <w:pPr>
        <w:pStyle w:val="TOC1"/>
        <w:rPr>
          <w:rFonts w:asciiTheme="minorHAnsi" w:eastAsiaTheme="minorEastAsia" w:hAnsiTheme="minorHAnsi" w:cstheme="minorBidi"/>
          <w:caps w:val="0"/>
          <w:noProof/>
          <w:sz w:val="22"/>
          <w:szCs w:val="22"/>
          <w:lang w:bidi="ar-SA"/>
        </w:rPr>
      </w:pPr>
      <w:r>
        <w:rPr>
          <w:b/>
        </w:rPr>
        <w:fldChar w:fldCharType="begin"/>
      </w:r>
      <w:r>
        <w:rPr>
          <w:b/>
        </w:rPr>
        <w:instrText xml:space="preserve"> TOC \o "1-3" \h \z \u </w:instrText>
      </w:r>
      <w:r>
        <w:rPr>
          <w:b/>
        </w:rPr>
        <w:fldChar w:fldCharType="separate"/>
      </w:r>
      <w:hyperlink w:anchor="_Toc100568254" w:history="1">
        <w:r w:rsidRPr="000061FE">
          <w:rPr>
            <w:rStyle w:val="Hyperlink"/>
            <w:noProof/>
          </w:rPr>
          <w:t>I.</w:t>
        </w:r>
        <w:r>
          <w:rPr>
            <w:rFonts w:asciiTheme="minorHAnsi" w:eastAsiaTheme="minorEastAsia" w:hAnsiTheme="minorHAnsi" w:cstheme="minorBidi"/>
            <w:caps w:val="0"/>
            <w:noProof/>
            <w:sz w:val="22"/>
            <w:szCs w:val="22"/>
            <w:lang w:bidi="ar-SA"/>
          </w:rPr>
          <w:tab/>
        </w:r>
        <w:r w:rsidRPr="000061FE">
          <w:rPr>
            <w:rStyle w:val="Hyperlink"/>
            <w:noProof/>
          </w:rPr>
          <w:t>INTRODUCTION</w:t>
        </w:r>
        <w:r>
          <w:rPr>
            <w:noProof/>
            <w:webHidden/>
          </w:rPr>
          <w:tab/>
        </w:r>
        <w:r>
          <w:rPr>
            <w:noProof/>
            <w:webHidden/>
          </w:rPr>
          <w:fldChar w:fldCharType="begin"/>
        </w:r>
        <w:r>
          <w:rPr>
            <w:noProof/>
            <w:webHidden/>
          </w:rPr>
          <w:instrText xml:space="preserve"> PAGEREF _Toc100568254 \h </w:instrText>
        </w:r>
        <w:r>
          <w:rPr>
            <w:noProof/>
            <w:webHidden/>
          </w:rPr>
          <w:fldChar w:fldCharType="separate"/>
        </w:r>
        <w:r>
          <w:rPr>
            <w:noProof/>
            <w:webHidden/>
          </w:rPr>
          <w:t>1</w:t>
        </w:r>
        <w:r>
          <w:rPr>
            <w:noProof/>
            <w:webHidden/>
          </w:rPr>
          <w:fldChar w:fldCharType="end"/>
        </w:r>
      </w:hyperlink>
    </w:p>
    <w:p w:rsidR="00E127A2" w14:paraId="7D3F8573" w14:textId="5DDA7157">
      <w:pPr>
        <w:pStyle w:val="TOC1"/>
        <w:rPr>
          <w:rFonts w:asciiTheme="minorHAnsi" w:eastAsiaTheme="minorEastAsia" w:hAnsiTheme="minorHAnsi" w:cstheme="minorBidi"/>
          <w:caps w:val="0"/>
          <w:noProof/>
          <w:sz w:val="22"/>
          <w:szCs w:val="22"/>
          <w:lang w:bidi="ar-SA"/>
        </w:rPr>
      </w:pPr>
      <w:hyperlink w:anchor="_Toc100568255" w:history="1">
        <w:r w:rsidRPr="000061FE" w:rsidR="00E80708">
          <w:rPr>
            <w:rStyle w:val="Hyperlink"/>
            <w:noProof/>
          </w:rPr>
          <w:t>II.</w:t>
        </w:r>
        <w:r w:rsidR="00E80708">
          <w:rPr>
            <w:rFonts w:asciiTheme="minorHAnsi" w:eastAsiaTheme="minorEastAsia" w:hAnsiTheme="minorHAnsi" w:cstheme="minorBidi"/>
            <w:caps w:val="0"/>
            <w:noProof/>
            <w:sz w:val="22"/>
            <w:szCs w:val="22"/>
            <w:lang w:bidi="ar-SA"/>
          </w:rPr>
          <w:tab/>
        </w:r>
        <w:r w:rsidRPr="000061FE" w:rsidR="00E80708">
          <w:rPr>
            <w:rStyle w:val="Hyperlink"/>
            <w:noProof/>
          </w:rPr>
          <w:t>ARGUMENT</w:t>
        </w:r>
        <w:r w:rsidR="00E80708">
          <w:rPr>
            <w:noProof/>
            <w:webHidden/>
          </w:rPr>
          <w:tab/>
        </w:r>
        <w:r w:rsidR="00E80708">
          <w:rPr>
            <w:noProof/>
            <w:webHidden/>
          </w:rPr>
          <w:fldChar w:fldCharType="begin"/>
        </w:r>
        <w:r w:rsidR="00E80708">
          <w:rPr>
            <w:noProof/>
            <w:webHidden/>
          </w:rPr>
          <w:instrText xml:space="preserve"> PAGEREF _Toc100568255 \h </w:instrText>
        </w:r>
        <w:r w:rsidR="00E80708">
          <w:rPr>
            <w:noProof/>
            <w:webHidden/>
          </w:rPr>
          <w:fldChar w:fldCharType="separate"/>
        </w:r>
        <w:r w:rsidR="00E80708">
          <w:rPr>
            <w:noProof/>
            <w:webHidden/>
          </w:rPr>
          <w:t>2</w:t>
        </w:r>
        <w:r w:rsidR="00E80708">
          <w:rPr>
            <w:noProof/>
            <w:webHidden/>
          </w:rPr>
          <w:fldChar w:fldCharType="end"/>
        </w:r>
      </w:hyperlink>
    </w:p>
    <w:p w:rsidR="00E127A2" w14:paraId="08EF84BE" w14:textId="6E6B5DBF">
      <w:pPr>
        <w:pStyle w:val="TOC2"/>
        <w:tabs>
          <w:tab w:val="left" w:pos="1440"/>
        </w:tabs>
        <w:rPr>
          <w:rFonts w:asciiTheme="minorHAnsi" w:eastAsiaTheme="minorEastAsia" w:hAnsiTheme="minorHAnsi" w:cstheme="minorBidi"/>
          <w:noProof/>
          <w:sz w:val="22"/>
          <w:szCs w:val="22"/>
          <w:lang w:bidi="ar-SA"/>
        </w:rPr>
      </w:pPr>
      <w:hyperlink w:anchor="_Toc100568256" w:history="1">
        <w:r w:rsidRPr="000061FE" w:rsidR="00E80708">
          <w:rPr>
            <w:rStyle w:val="Hyperlink"/>
            <w:noProof/>
          </w:rPr>
          <w:t>A.</w:t>
        </w:r>
        <w:r w:rsidR="00E80708">
          <w:rPr>
            <w:rFonts w:asciiTheme="minorHAnsi" w:eastAsiaTheme="minorEastAsia" w:hAnsiTheme="minorHAnsi" w:cstheme="minorBidi"/>
            <w:noProof/>
            <w:sz w:val="22"/>
            <w:szCs w:val="22"/>
            <w:lang w:bidi="ar-SA"/>
          </w:rPr>
          <w:tab/>
        </w:r>
        <w:r w:rsidRPr="000061FE" w:rsidR="00E80708">
          <w:rPr>
            <w:rStyle w:val="Hyperlink"/>
            <w:noProof/>
          </w:rPr>
          <w:t>There are good grounds for OCC’s Objections, and they are necessary to advocate for consumer protection. Suburban’s motions for sanctions and to strike the Objections should be denied.</w:t>
        </w:r>
        <w:r w:rsidR="00E80708">
          <w:rPr>
            <w:noProof/>
            <w:webHidden/>
          </w:rPr>
          <w:tab/>
        </w:r>
        <w:r w:rsidR="00E80708">
          <w:rPr>
            <w:noProof/>
            <w:webHidden/>
          </w:rPr>
          <w:fldChar w:fldCharType="begin"/>
        </w:r>
        <w:r w:rsidR="00E80708">
          <w:rPr>
            <w:noProof/>
            <w:webHidden/>
          </w:rPr>
          <w:instrText xml:space="preserve"> PAGEREF _Toc100568256 \h </w:instrText>
        </w:r>
        <w:r w:rsidR="00E80708">
          <w:rPr>
            <w:noProof/>
            <w:webHidden/>
          </w:rPr>
          <w:fldChar w:fldCharType="separate"/>
        </w:r>
        <w:r w:rsidR="00E80708">
          <w:rPr>
            <w:noProof/>
            <w:webHidden/>
          </w:rPr>
          <w:t>2</w:t>
        </w:r>
        <w:r w:rsidR="00E80708">
          <w:rPr>
            <w:noProof/>
            <w:webHidden/>
          </w:rPr>
          <w:fldChar w:fldCharType="end"/>
        </w:r>
      </w:hyperlink>
    </w:p>
    <w:p w:rsidR="00E127A2" w14:paraId="67C41927" w14:textId="5EE8C2BE">
      <w:pPr>
        <w:pStyle w:val="TOC2"/>
        <w:tabs>
          <w:tab w:val="left" w:pos="1440"/>
        </w:tabs>
        <w:rPr>
          <w:rFonts w:asciiTheme="minorHAnsi" w:eastAsiaTheme="minorEastAsia" w:hAnsiTheme="minorHAnsi" w:cstheme="minorBidi"/>
          <w:noProof/>
          <w:sz w:val="22"/>
          <w:szCs w:val="22"/>
          <w:lang w:bidi="ar-SA"/>
        </w:rPr>
      </w:pPr>
      <w:hyperlink w:anchor="_Toc100568257" w:history="1">
        <w:r w:rsidRPr="000061FE" w:rsidR="00E80708">
          <w:rPr>
            <w:rStyle w:val="Hyperlink"/>
            <w:noProof/>
          </w:rPr>
          <w:t>B.</w:t>
        </w:r>
        <w:r w:rsidR="00E80708">
          <w:rPr>
            <w:rFonts w:asciiTheme="minorHAnsi" w:eastAsiaTheme="minorEastAsia" w:hAnsiTheme="minorHAnsi" w:cstheme="minorBidi"/>
            <w:noProof/>
            <w:sz w:val="22"/>
            <w:szCs w:val="22"/>
            <w:lang w:bidi="ar-SA"/>
          </w:rPr>
          <w:tab/>
        </w:r>
        <w:r w:rsidRPr="000061FE" w:rsidR="00E80708">
          <w:rPr>
            <w:rStyle w:val="Hyperlink"/>
            <w:noProof/>
          </w:rPr>
          <w:t>OCC’s Objections are procedurally proper and consistent with OCC’s prior consumer protection practice in this case of filing objections to Suburban’s tariffs. Suburban’s motions should be denied.</w:t>
        </w:r>
        <w:r w:rsidR="00E80708">
          <w:rPr>
            <w:noProof/>
            <w:webHidden/>
          </w:rPr>
          <w:tab/>
        </w:r>
        <w:r w:rsidR="00E80708">
          <w:rPr>
            <w:noProof/>
            <w:webHidden/>
          </w:rPr>
          <w:fldChar w:fldCharType="begin"/>
        </w:r>
        <w:r w:rsidR="00E80708">
          <w:rPr>
            <w:noProof/>
            <w:webHidden/>
          </w:rPr>
          <w:instrText xml:space="preserve"> PAGEREF _Toc100568257 \h </w:instrText>
        </w:r>
        <w:r w:rsidR="00E80708">
          <w:rPr>
            <w:noProof/>
            <w:webHidden/>
          </w:rPr>
          <w:fldChar w:fldCharType="separate"/>
        </w:r>
        <w:r w:rsidR="00E80708">
          <w:rPr>
            <w:noProof/>
            <w:webHidden/>
          </w:rPr>
          <w:t>7</w:t>
        </w:r>
        <w:r w:rsidR="00E80708">
          <w:rPr>
            <w:noProof/>
            <w:webHidden/>
          </w:rPr>
          <w:fldChar w:fldCharType="end"/>
        </w:r>
      </w:hyperlink>
    </w:p>
    <w:p w:rsidR="00E127A2" w14:paraId="6905ECD8" w14:textId="460552BA">
      <w:pPr>
        <w:pStyle w:val="TOC2"/>
        <w:tabs>
          <w:tab w:val="left" w:pos="1440"/>
        </w:tabs>
        <w:rPr>
          <w:rFonts w:asciiTheme="minorHAnsi" w:eastAsiaTheme="minorEastAsia" w:hAnsiTheme="minorHAnsi" w:cstheme="minorBidi"/>
          <w:noProof/>
          <w:sz w:val="22"/>
          <w:szCs w:val="22"/>
          <w:lang w:bidi="ar-SA"/>
        </w:rPr>
      </w:pPr>
      <w:hyperlink w:anchor="_Toc100568258" w:history="1">
        <w:r w:rsidRPr="000061FE" w:rsidR="00E80708">
          <w:rPr>
            <w:rStyle w:val="Hyperlink"/>
            <w:noProof/>
          </w:rPr>
          <w:t>C.</w:t>
        </w:r>
        <w:r w:rsidR="00E80708">
          <w:rPr>
            <w:rFonts w:asciiTheme="minorHAnsi" w:eastAsiaTheme="minorEastAsia" w:hAnsiTheme="minorHAnsi" w:cstheme="minorBidi"/>
            <w:noProof/>
            <w:sz w:val="22"/>
            <w:szCs w:val="22"/>
            <w:lang w:bidi="ar-SA"/>
          </w:rPr>
          <w:tab/>
        </w:r>
        <w:r w:rsidRPr="000061FE" w:rsidR="00E80708">
          <w:rPr>
            <w:rStyle w:val="Hyperlink"/>
            <w:noProof/>
          </w:rPr>
          <w:t>Granting Suburban’s motions would be bad public policy and harm consumers.</w:t>
        </w:r>
        <w:r w:rsidR="00E80708">
          <w:rPr>
            <w:noProof/>
            <w:webHidden/>
          </w:rPr>
          <w:tab/>
        </w:r>
        <w:r w:rsidR="00E80708">
          <w:rPr>
            <w:noProof/>
            <w:webHidden/>
          </w:rPr>
          <w:fldChar w:fldCharType="begin"/>
        </w:r>
        <w:r w:rsidR="00E80708">
          <w:rPr>
            <w:noProof/>
            <w:webHidden/>
          </w:rPr>
          <w:instrText xml:space="preserve"> PAGEREF _Toc100568258 \h </w:instrText>
        </w:r>
        <w:r w:rsidR="00E80708">
          <w:rPr>
            <w:noProof/>
            <w:webHidden/>
          </w:rPr>
          <w:fldChar w:fldCharType="separate"/>
        </w:r>
        <w:r w:rsidR="00E80708">
          <w:rPr>
            <w:noProof/>
            <w:webHidden/>
          </w:rPr>
          <w:t>10</w:t>
        </w:r>
        <w:r w:rsidR="00E80708">
          <w:rPr>
            <w:noProof/>
            <w:webHidden/>
          </w:rPr>
          <w:fldChar w:fldCharType="end"/>
        </w:r>
      </w:hyperlink>
    </w:p>
    <w:p w:rsidR="00E127A2" w14:paraId="235C0817" w14:textId="35ABFAD1">
      <w:pPr>
        <w:pStyle w:val="TOC1"/>
        <w:rPr>
          <w:rFonts w:asciiTheme="minorHAnsi" w:eastAsiaTheme="minorEastAsia" w:hAnsiTheme="minorHAnsi" w:cstheme="minorBidi"/>
          <w:caps w:val="0"/>
          <w:noProof/>
          <w:sz w:val="22"/>
          <w:szCs w:val="22"/>
          <w:lang w:bidi="ar-SA"/>
        </w:rPr>
      </w:pPr>
      <w:hyperlink w:anchor="_Toc100568259" w:history="1">
        <w:r w:rsidRPr="000061FE" w:rsidR="00E80708">
          <w:rPr>
            <w:rStyle w:val="Hyperlink"/>
            <w:noProof/>
          </w:rPr>
          <w:t>III.</w:t>
        </w:r>
        <w:r w:rsidR="00E80708">
          <w:rPr>
            <w:rFonts w:asciiTheme="minorHAnsi" w:eastAsiaTheme="minorEastAsia" w:hAnsiTheme="minorHAnsi" w:cstheme="minorBidi"/>
            <w:caps w:val="0"/>
            <w:noProof/>
            <w:sz w:val="22"/>
            <w:szCs w:val="22"/>
            <w:lang w:bidi="ar-SA"/>
          </w:rPr>
          <w:tab/>
        </w:r>
        <w:r w:rsidRPr="000061FE" w:rsidR="00E80708">
          <w:rPr>
            <w:rStyle w:val="Hyperlink"/>
            <w:noProof/>
          </w:rPr>
          <w:t>CONCLUSION</w:t>
        </w:r>
        <w:r w:rsidR="00E80708">
          <w:rPr>
            <w:noProof/>
            <w:webHidden/>
          </w:rPr>
          <w:tab/>
        </w:r>
        <w:r w:rsidR="00E80708">
          <w:rPr>
            <w:noProof/>
            <w:webHidden/>
          </w:rPr>
          <w:fldChar w:fldCharType="begin"/>
        </w:r>
        <w:r w:rsidR="00E80708">
          <w:rPr>
            <w:noProof/>
            <w:webHidden/>
          </w:rPr>
          <w:instrText xml:space="preserve"> PAGEREF _Toc100568259 \h </w:instrText>
        </w:r>
        <w:r w:rsidR="00E80708">
          <w:rPr>
            <w:noProof/>
            <w:webHidden/>
          </w:rPr>
          <w:fldChar w:fldCharType="separate"/>
        </w:r>
        <w:r w:rsidR="00E80708">
          <w:rPr>
            <w:noProof/>
            <w:webHidden/>
          </w:rPr>
          <w:t>11</w:t>
        </w:r>
        <w:r w:rsidR="00E80708">
          <w:rPr>
            <w:noProof/>
            <w:webHidden/>
          </w:rPr>
          <w:fldChar w:fldCharType="end"/>
        </w:r>
      </w:hyperlink>
    </w:p>
    <w:p w:rsidR="003C421A" w:rsidP="00255C98" w14:paraId="039A820B" w14:textId="1CAF2A3B">
      <w:pPr>
        <w:jc w:val="center"/>
        <w:rPr>
          <w:b/>
        </w:rPr>
      </w:pPr>
      <w:r>
        <w:rPr>
          <w:b/>
        </w:rPr>
        <w:fldChar w:fldCharType="end"/>
      </w:r>
    </w:p>
    <w:p w:rsidR="003C421A" w:rsidP="00255C98" w14:paraId="5DF1462F" w14:textId="68C5B415">
      <w:pPr>
        <w:jc w:val="center"/>
        <w:rPr>
          <w:b/>
        </w:rPr>
        <w:sectPr w:rsidSect="003C421A">
          <w:footerReference w:type="first" r:id="rId9"/>
          <w:pgSz w:w="12240" w:h="15840"/>
          <w:pgMar w:top="1440" w:right="1800" w:bottom="1440" w:left="1800" w:header="720" w:footer="720" w:gutter="0"/>
          <w:pgNumType w:fmt="lowerRoman" w:start="1"/>
          <w:cols w:space="720"/>
          <w:titlePg/>
          <w:docGrid w:linePitch="360"/>
        </w:sectPr>
      </w:pPr>
    </w:p>
    <w:p w:rsidR="00255C98" w:rsidRPr="008A0A0E" w:rsidP="00255C98" w14:paraId="4AADDB0A" w14:textId="2126860C">
      <w:pPr>
        <w:jc w:val="center"/>
        <w:rPr>
          <w:b/>
        </w:rPr>
      </w:pPr>
      <w:r w:rsidRPr="008A0A0E">
        <w:rPr>
          <w:b/>
        </w:rPr>
        <w:t>BEFORE</w:t>
      </w:r>
    </w:p>
    <w:p w:rsidR="00255C98" w:rsidRPr="008A0A0E" w:rsidP="00255C98" w14:paraId="0AB8EC26" w14:textId="77777777">
      <w:pPr>
        <w:jc w:val="center"/>
        <w:rPr>
          <w:b/>
        </w:rPr>
      </w:pPr>
      <w:r w:rsidRPr="008A0A0E">
        <w:rPr>
          <w:b/>
        </w:rPr>
        <w:t>THE PUBLIC UTILITIES COMMISSION OF OHIO</w:t>
      </w:r>
    </w:p>
    <w:p w:rsidR="00255C98" w:rsidRPr="008A0A0E" w:rsidP="00255C98" w14:paraId="7348154A" w14:textId="77777777">
      <w:pPr>
        <w:rPr>
          <w:b/>
        </w:rPr>
      </w:pPr>
    </w:p>
    <w:tbl>
      <w:tblPr>
        <w:tblW w:w="8640" w:type="dxa"/>
        <w:tblLook w:val="01E0"/>
      </w:tblPr>
      <w:tblGrid>
        <w:gridCol w:w="4230"/>
        <w:gridCol w:w="720"/>
        <w:gridCol w:w="3690"/>
      </w:tblGrid>
      <w:tr w14:paraId="32741DC5" w14:textId="77777777" w:rsidTr="00011F5D">
        <w:tblPrEx>
          <w:tblW w:w="8640" w:type="dxa"/>
          <w:tblLook w:val="01E0"/>
        </w:tblPrEx>
        <w:trPr>
          <w:trHeight w:val="807"/>
        </w:trPr>
        <w:tc>
          <w:tcPr>
            <w:tcW w:w="4230" w:type="dxa"/>
            <w:shd w:val="clear" w:color="auto" w:fill="auto"/>
          </w:tcPr>
          <w:p w:rsidR="00255C98" w:rsidRPr="008A0A0E" w:rsidP="00A81647" w14:paraId="2F65AD86" w14:textId="77777777">
            <w:pPr>
              <w:autoSpaceDE w:val="0"/>
              <w:autoSpaceDN w:val="0"/>
              <w:adjustRightInd w:val="0"/>
            </w:pPr>
            <w:r w:rsidRPr="008A0A0E">
              <w:t>In the Matter of the Application of Suburban Natural Gas Company for an Increase in Gas Distribution Rates.</w:t>
            </w:r>
          </w:p>
          <w:p w:rsidR="00255C98" w:rsidRPr="008A0A0E" w:rsidP="00A81647" w14:paraId="6ABEA80C" w14:textId="77777777">
            <w:pPr>
              <w:autoSpaceDE w:val="0"/>
              <w:autoSpaceDN w:val="0"/>
              <w:adjustRightInd w:val="0"/>
            </w:pPr>
          </w:p>
          <w:p w:rsidR="00255C98" w:rsidRPr="008A0A0E" w:rsidP="00A81647" w14:paraId="2F41C14E" w14:textId="77777777">
            <w:pPr>
              <w:autoSpaceDE w:val="0"/>
              <w:autoSpaceDN w:val="0"/>
              <w:adjustRightInd w:val="0"/>
            </w:pPr>
            <w:r w:rsidRPr="008A0A0E">
              <w:t>In the Matter of the Application of Suburban Natural Gas Company for Tariff Approval.</w:t>
            </w:r>
          </w:p>
          <w:p w:rsidR="00255C98" w:rsidRPr="008A0A0E" w:rsidP="00A81647" w14:paraId="08A1AB3A" w14:textId="77777777">
            <w:pPr>
              <w:autoSpaceDE w:val="0"/>
              <w:autoSpaceDN w:val="0"/>
              <w:adjustRightInd w:val="0"/>
            </w:pPr>
          </w:p>
          <w:p w:rsidR="00255C98" w:rsidRPr="008A0A0E" w:rsidP="00A81647" w14:paraId="3D327409" w14:textId="77777777">
            <w:pPr>
              <w:autoSpaceDE w:val="0"/>
              <w:autoSpaceDN w:val="0"/>
              <w:adjustRightInd w:val="0"/>
            </w:pPr>
            <w:r w:rsidRPr="008A0A0E">
              <w:t>In the Matter of the Application of Suburban Natural Gas Company for Approval of Certain Accounting Authority.</w:t>
            </w:r>
          </w:p>
        </w:tc>
        <w:tc>
          <w:tcPr>
            <w:tcW w:w="720" w:type="dxa"/>
            <w:shd w:val="clear" w:color="auto" w:fill="auto"/>
          </w:tcPr>
          <w:p w:rsidR="00255C98" w:rsidRPr="008A0A0E" w:rsidP="00A81647" w14:paraId="539A5E4D"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6420926D"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509E535C"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64F0E29C" w14:textId="77777777">
            <w:pPr>
              <w:pStyle w:val="HTMLPreformatted"/>
              <w:rPr>
                <w:rFonts w:ascii="Times New Roman" w:hAnsi="Times New Roman" w:cs="Times New Roman"/>
                <w:sz w:val="24"/>
                <w:szCs w:val="24"/>
              </w:rPr>
            </w:pPr>
          </w:p>
          <w:p w:rsidR="00255C98" w:rsidRPr="008A0A0E" w:rsidP="00A81647" w14:paraId="083273FC"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129840F3" w14:textId="6ADCDC4F">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FD62BA" w:rsidRPr="008A0A0E" w:rsidP="00A81647" w14:paraId="35FCB86A" w14:textId="3B3B7BC5">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760058CE" w14:textId="77777777">
            <w:pPr>
              <w:pStyle w:val="HTMLPreformatted"/>
              <w:rPr>
                <w:rFonts w:ascii="Times New Roman" w:hAnsi="Times New Roman" w:cs="Times New Roman"/>
                <w:sz w:val="24"/>
                <w:szCs w:val="24"/>
              </w:rPr>
            </w:pPr>
          </w:p>
          <w:p w:rsidR="00255C98" w:rsidRPr="008A0A0E" w:rsidP="00A81647" w14:paraId="065BCF53"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0B2D59A1"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255C98" w:rsidRPr="008A0A0E" w:rsidP="00A81647" w14:paraId="75510F9D"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FD62BA" w:rsidRPr="008A0A0E" w:rsidP="00A81647" w14:paraId="0D3737DA"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w:t>
            </w:r>
          </w:p>
          <w:p w:rsidR="00FD62BA" w:rsidRPr="008A0A0E" w:rsidP="00A81647" w14:paraId="65D42AFC" w14:textId="06372947">
            <w:pPr>
              <w:pStyle w:val="HTMLPreformatted"/>
              <w:rPr>
                <w:rFonts w:ascii="Times New Roman" w:hAnsi="Times New Roman" w:cs="Times New Roman"/>
                <w:sz w:val="24"/>
                <w:szCs w:val="24"/>
              </w:rPr>
            </w:pPr>
          </w:p>
        </w:tc>
        <w:tc>
          <w:tcPr>
            <w:tcW w:w="3690" w:type="dxa"/>
            <w:shd w:val="clear" w:color="auto" w:fill="auto"/>
          </w:tcPr>
          <w:p w:rsidR="00255C98" w:rsidRPr="008A0A0E" w:rsidP="00A81647" w14:paraId="1781F9EA" w14:textId="77777777">
            <w:pPr>
              <w:pStyle w:val="HTMLPreformatted"/>
              <w:rPr>
                <w:rFonts w:ascii="Times New Roman" w:hAnsi="Times New Roman" w:cs="Times New Roman"/>
                <w:sz w:val="24"/>
                <w:szCs w:val="24"/>
              </w:rPr>
            </w:pPr>
          </w:p>
          <w:p w:rsidR="00255C98" w:rsidRPr="008A0A0E" w:rsidP="00A81647" w14:paraId="705D3CDA"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Case No. 18-1205-GA-AIR</w:t>
            </w:r>
          </w:p>
          <w:p w:rsidR="00255C98" w:rsidRPr="008A0A0E" w:rsidP="00A81647" w14:paraId="43F475E6" w14:textId="77777777">
            <w:pPr>
              <w:pStyle w:val="HTMLPreformatted"/>
              <w:rPr>
                <w:rFonts w:ascii="Times New Roman" w:hAnsi="Times New Roman" w:cs="Times New Roman"/>
                <w:sz w:val="24"/>
                <w:szCs w:val="24"/>
              </w:rPr>
            </w:pPr>
          </w:p>
          <w:p w:rsidR="00255C98" w:rsidRPr="008A0A0E" w:rsidP="00A81647" w14:paraId="145BD864" w14:textId="77777777">
            <w:pPr>
              <w:pStyle w:val="HTMLPreformatted"/>
              <w:rPr>
                <w:rFonts w:ascii="Times New Roman" w:hAnsi="Times New Roman" w:cs="Times New Roman"/>
                <w:sz w:val="24"/>
                <w:szCs w:val="24"/>
              </w:rPr>
            </w:pPr>
          </w:p>
          <w:p w:rsidR="003B2E7B" w:rsidRPr="008A0A0E" w:rsidP="00A81647" w14:paraId="1A568958" w14:textId="77777777">
            <w:pPr>
              <w:pStyle w:val="HTMLPreformatted"/>
              <w:rPr>
                <w:rFonts w:ascii="Times New Roman" w:hAnsi="Times New Roman" w:cs="Times New Roman"/>
                <w:sz w:val="24"/>
                <w:szCs w:val="24"/>
              </w:rPr>
            </w:pPr>
          </w:p>
          <w:p w:rsidR="00255C98" w:rsidRPr="008A0A0E" w:rsidP="00A81647" w14:paraId="22893405" w14:textId="503B9F2E">
            <w:pPr>
              <w:pStyle w:val="HTMLPreformatted"/>
              <w:rPr>
                <w:rFonts w:ascii="Times New Roman" w:hAnsi="Times New Roman" w:cs="Times New Roman"/>
                <w:sz w:val="24"/>
                <w:szCs w:val="24"/>
              </w:rPr>
            </w:pPr>
            <w:r w:rsidRPr="008A0A0E">
              <w:rPr>
                <w:rFonts w:ascii="Times New Roman" w:hAnsi="Times New Roman" w:cs="Times New Roman"/>
                <w:sz w:val="24"/>
                <w:szCs w:val="24"/>
              </w:rPr>
              <w:t>Case No. 18-1206-GA-ATA</w:t>
            </w:r>
          </w:p>
          <w:p w:rsidR="00255C98" w:rsidRPr="008A0A0E" w:rsidP="00A81647" w14:paraId="049D666E" w14:textId="77777777">
            <w:pPr>
              <w:pStyle w:val="HTMLPreformatted"/>
              <w:rPr>
                <w:rFonts w:ascii="Times New Roman" w:hAnsi="Times New Roman" w:cs="Times New Roman"/>
                <w:sz w:val="24"/>
                <w:szCs w:val="24"/>
              </w:rPr>
            </w:pPr>
          </w:p>
          <w:p w:rsidR="00255C98" w:rsidRPr="008A0A0E" w:rsidP="00A81647" w14:paraId="256F4FCC" w14:textId="77777777">
            <w:pPr>
              <w:pStyle w:val="HTMLPreformatted"/>
              <w:rPr>
                <w:rFonts w:ascii="Times New Roman" w:hAnsi="Times New Roman" w:cs="Times New Roman"/>
                <w:sz w:val="24"/>
                <w:szCs w:val="24"/>
              </w:rPr>
            </w:pPr>
          </w:p>
          <w:p w:rsidR="00255C98" w:rsidRPr="008A0A0E" w:rsidP="00A81647" w14:paraId="3A5503AD" w14:textId="77777777">
            <w:pPr>
              <w:pStyle w:val="HTMLPreformatted"/>
              <w:rPr>
                <w:rFonts w:ascii="Times New Roman" w:hAnsi="Times New Roman" w:cs="Times New Roman"/>
                <w:sz w:val="24"/>
                <w:szCs w:val="24"/>
              </w:rPr>
            </w:pPr>
          </w:p>
          <w:p w:rsidR="00255C98" w:rsidRPr="008A0A0E" w:rsidP="00A81647" w14:paraId="6A7AD106" w14:textId="77777777">
            <w:pPr>
              <w:pStyle w:val="HTMLPreformatted"/>
              <w:rPr>
                <w:rFonts w:ascii="Times New Roman" w:hAnsi="Times New Roman" w:cs="Times New Roman"/>
                <w:sz w:val="24"/>
                <w:szCs w:val="24"/>
              </w:rPr>
            </w:pPr>
            <w:r w:rsidRPr="008A0A0E">
              <w:rPr>
                <w:rFonts w:ascii="Times New Roman" w:hAnsi="Times New Roman" w:cs="Times New Roman"/>
                <w:sz w:val="24"/>
                <w:szCs w:val="24"/>
              </w:rPr>
              <w:t>Case No. 18-1207-GA-AAM</w:t>
            </w:r>
          </w:p>
          <w:p w:rsidR="00255C98" w:rsidRPr="008A0A0E" w:rsidP="00A81647" w14:paraId="04B1B078" w14:textId="77777777">
            <w:pPr>
              <w:pStyle w:val="HTMLPreformatted"/>
              <w:rPr>
                <w:rFonts w:ascii="Times New Roman" w:hAnsi="Times New Roman" w:cs="Times New Roman"/>
                <w:sz w:val="24"/>
                <w:szCs w:val="24"/>
              </w:rPr>
            </w:pPr>
          </w:p>
          <w:p w:rsidR="00255C98" w:rsidRPr="008A0A0E" w:rsidP="00A81647" w14:paraId="2FCBA48A" w14:textId="77777777">
            <w:pPr>
              <w:pStyle w:val="HTMLPreformatted"/>
              <w:rPr>
                <w:rFonts w:ascii="Times New Roman" w:hAnsi="Times New Roman" w:cs="Times New Roman"/>
                <w:sz w:val="24"/>
                <w:szCs w:val="24"/>
              </w:rPr>
            </w:pPr>
          </w:p>
        </w:tc>
      </w:tr>
    </w:tbl>
    <w:p w:rsidR="00255C98" w:rsidRPr="008A0A0E" w:rsidP="00255C98" w14:paraId="2BA6EE07" w14:textId="77777777">
      <w:pPr>
        <w:pBdr>
          <w:top w:val="single" w:sz="12" w:space="0" w:color="auto"/>
        </w:pBdr>
        <w:tabs>
          <w:tab w:val="left" w:pos="-720"/>
        </w:tabs>
        <w:suppressAutoHyphens/>
        <w:jc w:val="center"/>
        <w:rPr>
          <w:b/>
          <w:bCs/>
          <w:spacing w:val="-3"/>
        </w:rPr>
      </w:pPr>
    </w:p>
    <w:p w:rsidR="00255C98" w:rsidRPr="008A0A0E" w:rsidP="00C62859" w14:paraId="3E0645C1" w14:textId="2CF54D98">
      <w:pPr>
        <w:tabs>
          <w:tab w:val="left" w:pos="4770"/>
          <w:tab w:val="left" w:pos="6480"/>
        </w:tabs>
        <w:jc w:val="center"/>
        <w:rPr>
          <w:b/>
        </w:rPr>
      </w:pPr>
      <w:r w:rsidRPr="008A0A0E">
        <w:rPr>
          <w:b/>
        </w:rPr>
        <w:t xml:space="preserve">MEMORANDUM CONTRA </w:t>
      </w:r>
      <w:r w:rsidR="00A2633D">
        <w:rPr>
          <w:b/>
        </w:rPr>
        <w:t>SUBURBAN</w:t>
      </w:r>
      <w:r w:rsidR="00C62859">
        <w:rPr>
          <w:b/>
        </w:rPr>
        <w:t xml:space="preserve"> NATURAL GAS COMPANY’S</w:t>
      </w:r>
      <w:r w:rsidR="00A2633D">
        <w:rPr>
          <w:b/>
        </w:rPr>
        <w:t xml:space="preserve"> MOTION</w:t>
      </w:r>
      <w:r w:rsidR="00635EAA">
        <w:rPr>
          <w:b/>
        </w:rPr>
        <w:t>S</w:t>
      </w:r>
      <w:r w:rsidR="00A2633D">
        <w:rPr>
          <w:b/>
        </w:rPr>
        <w:t xml:space="preserve"> TO STRIKE OCC’S OBJECTIONS AND</w:t>
      </w:r>
      <w:r w:rsidR="00635EAA">
        <w:rPr>
          <w:b/>
        </w:rPr>
        <w:t xml:space="preserve"> </w:t>
      </w:r>
      <w:r w:rsidR="00A2633D">
        <w:rPr>
          <w:b/>
        </w:rPr>
        <w:t>FOR SANCTIONS</w:t>
      </w:r>
    </w:p>
    <w:p w:rsidR="00255C98" w:rsidRPr="008A0A0E" w:rsidP="00255C98" w14:paraId="11AED455" w14:textId="77777777">
      <w:pPr>
        <w:tabs>
          <w:tab w:val="left" w:pos="4770"/>
          <w:tab w:val="left" w:pos="6480"/>
        </w:tabs>
        <w:jc w:val="center"/>
        <w:rPr>
          <w:b/>
        </w:rPr>
      </w:pPr>
      <w:r w:rsidRPr="008A0A0E">
        <w:rPr>
          <w:b/>
        </w:rPr>
        <w:t>BY</w:t>
      </w:r>
    </w:p>
    <w:p w:rsidR="00255C98" w:rsidRPr="008A0A0E" w:rsidP="00255C98" w14:paraId="7B1484D6" w14:textId="77777777">
      <w:pPr>
        <w:tabs>
          <w:tab w:val="left" w:pos="4770"/>
          <w:tab w:val="left" w:pos="6480"/>
        </w:tabs>
        <w:jc w:val="center"/>
        <w:rPr>
          <w:b/>
        </w:rPr>
      </w:pPr>
      <w:r w:rsidRPr="008A0A0E">
        <w:rPr>
          <w:b/>
        </w:rPr>
        <w:t>OFFICE OF THE OHIO CONSUMERS’ COUNSEL</w:t>
      </w:r>
    </w:p>
    <w:p w:rsidR="00255C98" w:rsidRPr="008A0A0E" w:rsidP="00255C98" w14:paraId="5D38FC47" w14:textId="77777777">
      <w:pPr>
        <w:pBdr>
          <w:bottom w:val="single" w:sz="12" w:space="1" w:color="auto"/>
        </w:pBdr>
        <w:tabs>
          <w:tab w:val="left" w:pos="-720"/>
        </w:tabs>
        <w:suppressAutoHyphens/>
        <w:jc w:val="center"/>
        <w:rPr>
          <w:b/>
          <w:bCs/>
          <w:spacing w:val="-3"/>
        </w:rPr>
      </w:pPr>
    </w:p>
    <w:p w:rsidR="00255C98" w:rsidRPr="008A0A0E" w:rsidP="00255C98" w14:paraId="6E33176B" w14:textId="77777777">
      <w:pPr>
        <w:jc w:val="center"/>
        <w:rPr>
          <w:b/>
        </w:rPr>
      </w:pPr>
    </w:p>
    <w:p w:rsidR="00591DB2" w:rsidRPr="008A0A0E" w:rsidP="003144C6" w14:paraId="37416F69" w14:textId="1530C7C0">
      <w:pPr>
        <w:pStyle w:val="Heading1"/>
      </w:pPr>
      <w:bookmarkStart w:id="0" w:name="_Toc100568254"/>
      <w:r>
        <w:t>I.</w:t>
      </w:r>
      <w:r>
        <w:tab/>
      </w:r>
      <w:r w:rsidRPr="008A0A0E">
        <w:t>INTRODUCTION</w:t>
      </w:r>
      <w:bookmarkEnd w:id="0"/>
    </w:p>
    <w:p w:rsidR="008E6E6F" w:rsidP="00A2071F" w14:paraId="04852E56" w14:textId="50B50BA2">
      <w:pPr>
        <w:spacing w:line="480" w:lineRule="auto"/>
      </w:pPr>
      <w:r>
        <w:rPr>
          <w:bCs/>
        </w:rPr>
        <w:tab/>
        <w:t>In an OCC appeal</w:t>
      </w:r>
      <w:r w:rsidR="00E3663F">
        <w:rPr>
          <w:bCs/>
        </w:rPr>
        <w:t>,</w:t>
      </w:r>
      <w:r>
        <w:rPr>
          <w:bCs/>
        </w:rPr>
        <w:t xml:space="preserve"> the Supreme Court of Ohio overturned a PUCO order that misapplied the used and useful standard in allowing Suburban to charge consumers too much for a pipeline.</w:t>
      </w:r>
      <w:r>
        <w:rPr>
          <w:rStyle w:val="FootnoteReference"/>
          <w:bCs/>
        </w:rPr>
        <w:footnoteReference w:id="2"/>
      </w:r>
      <w:r>
        <w:rPr>
          <w:bCs/>
        </w:rPr>
        <w:t xml:space="preserve"> But </w:t>
      </w:r>
      <w:r>
        <w:t>one wouldn’t know</w:t>
      </w:r>
      <w:r w:rsidRPr="008A0A0E">
        <w:t xml:space="preserve"> from Suburban’s hubris that it just lost an appeal in the</w:t>
      </w:r>
      <w:r>
        <w:t xml:space="preserve"> </w:t>
      </w:r>
      <w:r w:rsidRPr="008A0A0E">
        <w:t>Supreme Court</w:t>
      </w:r>
      <w:r>
        <w:t xml:space="preserve"> of Ohio</w:t>
      </w:r>
      <w:r w:rsidRPr="008A0A0E">
        <w:t xml:space="preserve"> for overcharging consumers.</w:t>
      </w:r>
    </w:p>
    <w:p w:rsidR="003C421A" w:rsidP="006702E8" w14:paraId="4C0E9480" w14:textId="77777777">
      <w:pPr>
        <w:spacing w:line="480" w:lineRule="auto"/>
        <w:ind w:firstLine="720"/>
        <w:rPr>
          <w:bCs/>
        </w:rPr>
        <w:sectPr w:rsidSect="00CB0F6E">
          <w:footerReference w:type="first" r:id="rId10"/>
          <w:pgSz w:w="12240" w:h="15840"/>
          <w:pgMar w:top="1440" w:right="1800" w:bottom="1440" w:left="1800" w:header="720" w:footer="720" w:gutter="0"/>
          <w:pgNumType w:start="1"/>
          <w:cols w:space="720"/>
          <w:titlePg/>
          <w:docGrid w:linePitch="360"/>
        </w:sectPr>
      </w:pPr>
      <w:r>
        <w:rPr>
          <w:bCs/>
        </w:rPr>
        <w:t xml:space="preserve">OCC had good grounds to file Objections to Suburban Natural Gas Company’s </w:t>
      </w:r>
      <w:r w:rsidR="00D913E5">
        <w:rPr>
          <w:bCs/>
        </w:rPr>
        <w:t>(</w:t>
      </w:r>
      <w:r>
        <w:rPr>
          <w:bCs/>
        </w:rPr>
        <w:t>“Suburban”) March 4, 2022 tariffs file</w:t>
      </w:r>
      <w:r w:rsidR="00BC5F26">
        <w:rPr>
          <w:bCs/>
        </w:rPr>
        <w:t>d</w:t>
      </w:r>
      <w:r>
        <w:rPr>
          <w:bCs/>
        </w:rPr>
        <w:t xml:space="preserve"> with the Public Utilities Commission of Ohio (“PUCO”).</w:t>
      </w:r>
      <w:r w:rsidR="00F23D02">
        <w:rPr>
          <w:bCs/>
        </w:rPr>
        <w:t xml:space="preserve"> The Objections were neither false nor a “sham” as Suburban claims.</w:t>
      </w:r>
      <w:r w:rsidR="00395ED6">
        <w:rPr>
          <w:bCs/>
        </w:rPr>
        <w:t xml:space="preserve"> A “sham” more aptly describes</w:t>
      </w:r>
      <w:r w:rsidR="00F23D02">
        <w:rPr>
          <w:bCs/>
        </w:rPr>
        <w:t xml:space="preserve"> Suburban’s motions to strike the Objections and sanction OCC</w:t>
      </w:r>
      <w:r w:rsidR="00BC5F26">
        <w:rPr>
          <w:bCs/>
        </w:rPr>
        <w:t>. Suburban’s motions</w:t>
      </w:r>
      <w:r w:rsidR="00395ED6">
        <w:rPr>
          <w:bCs/>
        </w:rPr>
        <w:t xml:space="preserve"> are</w:t>
      </w:r>
      <w:r w:rsidR="00F23D02">
        <w:rPr>
          <w:bCs/>
        </w:rPr>
        <w:t xml:space="preserve"> </w:t>
      </w:r>
      <w:r w:rsidR="00DB7B9D">
        <w:rPr>
          <w:bCs/>
        </w:rPr>
        <w:t>little</w:t>
      </w:r>
      <w:r w:rsidR="00F23D02">
        <w:rPr>
          <w:bCs/>
        </w:rPr>
        <w:t xml:space="preserve"> more than a baseless attempt to intimidate OCC from </w:t>
      </w:r>
    </w:p>
    <w:p w:rsidR="00395ED6" w:rsidP="003C421A" w14:paraId="67084B3D" w14:textId="78FE3A46">
      <w:pPr>
        <w:spacing w:line="480" w:lineRule="auto"/>
        <w:rPr>
          <w:bCs/>
        </w:rPr>
      </w:pPr>
      <w:r>
        <w:rPr>
          <w:bCs/>
        </w:rPr>
        <w:t>advocating for consumers.</w:t>
      </w:r>
      <w:r w:rsidR="008E6E6F">
        <w:rPr>
          <w:bCs/>
        </w:rPr>
        <w:t xml:space="preserve"> OCC will advocate for Ohio consumers.</w:t>
      </w:r>
      <w:r>
        <w:rPr>
          <w:bCs/>
        </w:rPr>
        <w:t xml:space="preserve"> Suburban’s motions should be</w:t>
      </w:r>
      <w:r w:rsidR="00DB7B9D">
        <w:rPr>
          <w:bCs/>
        </w:rPr>
        <w:t xml:space="preserve"> </w:t>
      </w:r>
      <w:r>
        <w:rPr>
          <w:b/>
        </w:rPr>
        <w:t>denied</w:t>
      </w:r>
      <w:r>
        <w:rPr>
          <w:bCs/>
        </w:rPr>
        <w:t>.</w:t>
      </w:r>
      <w:r w:rsidR="003C421A">
        <w:rPr>
          <w:bCs/>
        </w:rPr>
        <w:t xml:space="preserve"> </w:t>
      </w:r>
    </w:p>
    <w:p w:rsidR="00A2071F" w:rsidRPr="008A0A0E" w:rsidP="00F23D02" w14:paraId="7BB46F01" w14:textId="116E689A">
      <w:pPr>
        <w:spacing w:line="480" w:lineRule="auto"/>
        <w:ind w:firstLine="720"/>
        <w:rPr>
          <w:bCs/>
        </w:rPr>
      </w:pPr>
      <w:r>
        <w:rPr>
          <w:bCs/>
        </w:rPr>
        <w:t xml:space="preserve">To protect consumers, OCC </w:t>
      </w:r>
      <w:r w:rsidR="00A214D8">
        <w:rPr>
          <w:bCs/>
        </w:rPr>
        <w:t xml:space="preserve">objected to Suburban’s </w:t>
      </w:r>
      <w:r w:rsidR="001054EF">
        <w:rPr>
          <w:bCs/>
        </w:rPr>
        <w:t xml:space="preserve">tariffs that </w:t>
      </w:r>
      <w:r w:rsidR="00A214D8">
        <w:rPr>
          <w:bCs/>
        </w:rPr>
        <w:t>failed to reference</w:t>
      </w:r>
      <w:r w:rsidR="001054EF">
        <w:rPr>
          <w:bCs/>
        </w:rPr>
        <w:t xml:space="preserve"> </w:t>
      </w:r>
      <w:r w:rsidR="00E76DF1">
        <w:rPr>
          <w:bCs/>
        </w:rPr>
        <w:t>a</w:t>
      </w:r>
      <w:r w:rsidR="001054EF">
        <w:rPr>
          <w:bCs/>
        </w:rPr>
        <w:t xml:space="preserve"> </w:t>
      </w:r>
      <w:r w:rsidR="00A214D8">
        <w:rPr>
          <w:bCs/>
        </w:rPr>
        <w:t xml:space="preserve">future </w:t>
      </w:r>
      <w:r w:rsidR="001054EF">
        <w:rPr>
          <w:bCs/>
        </w:rPr>
        <w:t xml:space="preserve">refund </w:t>
      </w:r>
      <w:r w:rsidR="005060CC">
        <w:rPr>
          <w:bCs/>
        </w:rPr>
        <w:t xml:space="preserve">to consumers </w:t>
      </w:r>
      <w:r w:rsidR="001054EF">
        <w:rPr>
          <w:bCs/>
        </w:rPr>
        <w:t>for</w:t>
      </w:r>
      <w:r w:rsidR="00E2040B">
        <w:rPr>
          <w:bCs/>
        </w:rPr>
        <w:t xml:space="preserve"> charge</w:t>
      </w:r>
      <w:r w:rsidR="003A6CC4">
        <w:rPr>
          <w:bCs/>
        </w:rPr>
        <w:t>s</w:t>
      </w:r>
      <w:r w:rsidR="00E2040B">
        <w:rPr>
          <w:bCs/>
        </w:rPr>
        <w:t xml:space="preserve"> </w:t>
      </w:r>
      <w:r w:rsidR="003A6CC4">
        <w:rPr>
          <w:bCs/>
        </w:rPr>
        <w:t>associated with</w:t>
      </w:r>
      <w:r w:rsidR="00E2040B">
        <w:rPr>
          <w:bCs/>
        </w:rPr>
        <w:t xml:space="preserve"> more than</w:t>
      </w:r>
      <w:r w:rsidR="00E76DF1">
        <w:rPr>
          <w:bCs/>
        </w:rPr>
        <w:t xml:space="preserve"> the</w:t>
      </w:r>
      <w:r w:rsidR="001054EF">
        <w:rPr>
          <w:bCs/>
        </w:rPr>
        <w:t xml:space="preserve"> 2.0</w:t>
      </w:r>
      <w:r w:rsidR="00001983">
        <w:rPr>
          <w:bCs/>
        </w:rPr>
        <w:t xml:space="preserve"> miles of pipeline extension</w:t>
      </w:r>
      <w:r w:rsidR="003A6CC4">
        <w:rPr>
          <w:bCs/>
        </w:rPr>
        <w:t>.</w:t>
      </w:r>
      <w:r w:rsidR="001054EF">
        <w:rPr>
          <w:bCs/>
        </w:rPr>
        <w:t xml:space="preserve"> </w:t>
      </w:r>
      <w:r w:rsidR="00E3663F">
        <w:rPr>
          <w:bCs/>
        </w:rPr>
        <w:t>C</w:t>
      </w:r>
      <w:r w:rsidR="00801C6B">
        <w:rPr>
          <w:bCs/>
        </w:rPr>
        <w:t>onsumers</w:t>
      </w:r>
      <w:r w:rsidR="00395ED6">
        <w:rPr>
          <w:bCs/>
        </w:rPr>
        <w:t xml:space="preserve"> are entitled to the protection of </w:t>
      </w:r>
      <w:r w:rsidR="00A72149">
        <w:rPr>
          <w:bCs/>
        </w:rPr>
        <w:t>Ohio law for paying only just and reasonable utility rates</w:t>
      </w:r>
      <w:r w:rsidR="006C0976">
        <w:rPr>
          <w:bCs/>
        </w:rPr>
        <w:t>. This protection can be found in</w:t>
      </w:r>
      <w:r w:rsidR="00A72149">
        <w:rPr>
          <w:bCs/>
        </w:rPr>
        <w:t xml:space="preserve"> </w:t>
      </w:r>
      <w:r w:rsidR="00395ED6">
        <w:rPr>
          <w:bCs/>
        </w:rPr>
        <w:t>the Suprem</w:t>
      </w:r>
      <w:r w:rsidR="009147C6">
        <w:rPr>
          <w:bCs/>
        </w:rPr>
        <w:t xml:space="preserve">e Court of Ohio’s </w:t>
      </w:r>
      <w:r w:rsidR="00B9329C">
        <w:rPr>
          <w:bCs/>
        </w:rPr>
        <w:t>decision and the determination of the PUCO that only 2.0 miles of pipeline extension w</w:t>
      </w:r>
      <w:r w:rsidR="00906C23">
        <w:rPr>
          <w:bCs/>
        </w:rPr>
        <w:t>ere</w:t>
      </w:r>
      <w:r w:rsidR="00B9329C">
        <w:rPr>
          <w:bCs/>
        </w:rPr>
        <w:t xml:space="preserve"> used and useful as of the date certain in Suburban’s rate case. For the reasons explained below, Suburban’s motions should be denied.</w:t>
      </w:r>
    </w:p>
    <w:p w:rsidR="00BB6176" w:rsidRPr="008A0A0E" w:rsidP="00BB6176" w14:paraId="7C991C31" w14:textId="77777777">
      <w:pPr>
        <w:ind w:firstLine="720"/>
        <w:rPr>
          <w:b/>
        </w:rPr>
      </w:pPr>
    </w:p>
    <w:p w:rsidR="004F0199" w:rsidP="00BB6176" w14:paraId="6CAFB877" w14:textId="77777777">
      <w:pPr>
        <w:pStyle w:val="Heading1"/>
      </w:pPr>
      <w:bookmarkStart w:id="1" w:name="_Toc100568255"/>
      <w:r>
        <w:t>II.</w:t>
      </w:r>
      <w:r>
        <w:tab/>
        <w:t>ARGUMENT</w:t>
      </w:r>
      <w:bookmarkEnd w:id="1"/>
    </w:p>
    <w:p w:rsidR="00901811" w:rsidRPr="008A0A0E" w:rsidP="00A37671" w14:paraId="6F2CAF26" w14:textId="6989D64F">
      <w:pPr>
        <w:pStyle w:val="Heading2"/>
      </w:pPr>
      <w:bookmarkStart w:id="2" w:name="_Toc100568256"/>
      <w:r w:rsidRPr="00A37671">
        <w:rPr>
          <w:rStyle w:val="Heading2Char"/>
        </w:rPr>
        <w:t>Th</w:t>
      </w:r>
      <w:r w:rsidRPr="00A37671" w:rsidR="00922CB7">
        <w:rPr>
          <w:rStyle w:val="Heading2Char"/>
        </w:rPr>
        <w:t xml:space="preserve">ere </w:t>
      </w:r>
      <w:r w:rsidRPr="00A37671" w:rsidR="00B9329C">
        <w:rPr>
          <w:rStyle w:val="Heading2Char"/>
        </w:rPr>
        <w:t>are</w:t>
      </w:r>
      <w:r w:rsidRPr="00A37671" w:rsidR="00922CB7">
        <w:rPr>
          <w:rStyle w:val="Heading2Char"/>
        </w:rPr>
        <w:t xml:space="preserve"> good ground</w:t>
      </w:r>
      <w:r w:rsidRPr="00A37671" w:rsidR="00B9329C">
        <w:rPr>
          <w:rStyle w:val="Heading2Char"/>
        </w:rPr>
        <w:t>s</w:t>
      </w:r>
      <w:r w:rsidRPr="00A37671" w:rsidR="00922CB7">
        <w:rPr>
          <w:rStyle w:val="Heading2Char"/>
        </w:rPr>
        <w:t xml:space="preserve"> for </w:t>
      </w:r>
      <w:r w:rsidRPr="00A37671">
        <w:rPr>
          <w:rStyle w:val="Heading2Char"/>
        </w:rPr>
        <w:t>OCC’s</w:t>
      </w:r>
      <w:r w:rsidRPr="00A37671" w:rsidR="004F0199">
        <w:rPr>
          <w:rStyle w:val="Heading2Char"/>
        </w:rPr>
        <w:t xml:space="preserve"> Objections</w:t>
      </w:r>
      <w:r w:rsidRPr="00A37671" w:rsidR="00294B56">
        <w:rPr>
          <w:rStyle w:val="Heading2Char"/>
        </w:rPr>
        <w:t xml:space="preserve">, </w:t>
      </w:r>
      <w:r w:rsidRPr="00A37671" w:rsidR="00545085">
        <w:rPr>
          <w:rStyle w:val="Heading2Char"/>
        </w:rPr>
        <w:t xml:space="preserve">and they </w:t>
      </w:r>
      <w:r w:rsidRPr="00A37671" w:rsidR="001308EC">
        <w:rPr>
          <w:rStyle w:val="Heading2Char"/>
        </w:rPr>
        <w:t>are</w:t>
      </w:r>
      <w:r w:rsidR="00545085">
        <w:t xml:space="preserve"> necessary </w:t>
      </w:r>
      <w:r w:rsidR="005D3C0F">
        <w:t xml:space="preserve">to advocate </w:t>
      </w:r>
      <w:r w:rsidR="00545085">
        <w:t xml:space="preserve">for consumer protection. </w:t>
      </w:r>
      <w:r w:rsidR="00466983">
        <w:t>Suburban’s</w:t>
      </w:r>
      <w:r w:rsidR="00922CB7">
        <w:t xml:space="preserve"> motions for sanctions and to strike the Objections</w:t>
      </w:r>
      <w:r w:rsidR="005D3C0F">
        <w:t xml:space="preserve"> should be denied</w:t>
      </w:r>
      <w:r w:rsidR="00545085">
        <w:t>.</w:t>
      </w:r>
      <w:bookmarkEnd w:id="2"/>
      <w:r w:rsidR="00A37671">
        <w:t xml:space="preserve"> </w:t>
      </w:r>
    </w:p>
    <w:p w:rsidR="00CB0F6E" w:rsidP="00986AE5" w14:paraId="2D5FE441" w14:textId="244DCDA2">
      <w:pPr>
        <w:spacing w:line="480" w:lineRule="auto"/>
        <w:ind w:firstLine="720"/>
        <w:rPr>
          <w:bCs/>
        </w:rPr>
      </w:pPr>
      <w:r>
        <w:rPr>
          <w:bCs/>
        </w:rPr>
        <w:t xml:space="preserve">Suburban </w:t>
      </w:r>
      <w:r w:rsidR="00777C56">
        <w:rPr>
          <w:bCs/>
        </w:rPr>
        <w:t>accuses</w:t>
      </w:r>
      <w:r>
        <w:rPr>
          <w:bCs/>
        </w:rPr>
        <w:t xml:space="preserve"> OCC </w:t>
      </w:r>
      <w:r w:rsidR="00777C56">
        <w:rPr>
          <w:bCs/>
        </w:rPr>
        <w:t xml:space="preserve">of </w:t>
      </w:r>
      <w:r>
        <w:rPr>
          <w:bCs/>
        </w:rPr>
        <w:t>act</w:t>
      </w:r>
      <w:r w:rsidR="00777C56">
        <w:rPr>
          <w:bCs/>
        </w:rPr>
        <w:t>ing</w:t>
      </w:r>
      <w:r>
        <w:rPr>
          <w:bCs/>
        </w:rPr>
        <w:t xml:space="preserve"> in “bad faith” </w:t>
      </w:r>
      <w:r w:rsidR="00680EB0">
        <w:rPr>
          <w:bCs/>
        </w:rPr>
        <w:t>in</w:t>
      </w:r>
      <w:r>
        <w:rPr>
          <w:bCs/>
        </w:rPr>
        <w:t xml:space="preserve"> filing its Objections</w:t>
      </w:r>
      <w:r w:rsidR="00777C56">
        <w:rPr>
          <w:bCs/>
        </w:rPr>
        <w:t>.</w:t>
      </w:r>
      <w:r>
        <w:rPr>
          <w:rStyle w:val="FootnoteReference"/>
          <w:bCs/>
        </w:rPr>
        <w:footnoteReference w:id="3"/>
      </w:r>
      <w:r>
        <w:rPr>
          <w:bCs/>
        </w:rPr>
        <w:t xml:space="preserve"> </w:t>
      </w:r>
      <w:r w:rsidR="009C6C38">
        <w:rPr>
          <w:bCs/>
        </w:rPr>
        <w:t>Suburban</w:t>
      </w:r>
      <w:r w:rsidR="001308EC">
        <w:rPr>
          <w:bCs/>
        </w:rPr>
        <w:t xml:space="preserve"> asks</w:t>
      </w:r>
      <w:r w:rsidR="009C6C38">
        <w:rPr>
          <w:bCs/>
        </w:rPr>
        <w:t xml:space="preserve"> </w:t>
      </w:r>
      <w:r w:rsidR="00D3206B">
        <w:rPr>
          <w:bCs/>
        </w:rPr>
        <w:t xml:space="preserve">the PUCO </w:t>
      </w:r>
      <w:r w:rsidR="001308EC">
        <w:rPr>
          <w:bCs/>
        </w:rPr>
        <w:t>to</w:t>
      </w:r>
      <w:r w:rsidR="00D3206B">
        <w:rPr>
          <w:bCs/>
        </w:rPr>
        <w:t xml:space="preserve"> </w:t>
      </w:r>
      <w:r w:rsidR="001035B5">
        <w:rPr>
          <w:bCs/>
        </w:rPr>
        <w:t xml:space="preserve">strike the Objections and </w:t>
      </w:r>
      <w:r w:rsidR="008933A8">
        <w:rPr>
          <w:bCs/>
        </w:rPr>
        <w:t xml:space="preserve">sanction OCC </w:t>
      </w:r>
      <w:r w:rsidR="00FB1F4C">
        <w:rPr>
          <w:bCs/>
        </w:rPr>
        <w:t>(by</w:t>
      </w:r>
      <w:r w:rsidR="001308EC">
        <w:rPr>
          <w:bCs/>
        </w:rPr>
        <w:t xml:space="preserve"> award</w:t>
      </w:r>
      <w:r w:rsidR="00FB1F4C">
        <w:rPr>
          <w:bCs/>
        </w:rPr>
        <w:t xml:space="preserve">ing Suburban expenses and </w:t>
      </w:r>
      <w:r w:rsidR="001308EC">
        <w:rPr>
          <w:bCs/>
        </w:rPr>
        <w:t xml:space="preserve">attorneys’ fees) </w:t>
      </w:r>
      <w:r w:rsidR="001035B5">
        <w:rPr>
          <w:bCs/>
        </w:rPr>
        <w:t>under Civ. R. 11 and O.A.C. 4901</w:t>
      </w:r>
      <w:r w:rsidR="00343237">
        <w:rPr>
          <w:bCs/>
        </w:rPr>
        <w:t>-1-27.</w:t>
      </w:r>
      <w:r w:rsidR="00FD7A6D">
        <w:rPr>
          <w:bCs/>
        </w:rPr>
        <w:t xml:space="preserve"> There is no basis for Suburban’s </w:t>
      </w:r>
      <w:r w:rsidR="00B9329C">
        <w:rPr>
          <w:bCs/>
        </w:rPr>
        <w:t>claims or for sanctions</w:t>
      </w:r>
      <w:r w:rsidR="00FD7A6D">
        <w:rPr>
          <w:bCs/>
        </w:rPr>
        <w:t xml:space="preserve"> against OCC</w:t>
      </w:r>
      <w:r w:rsidR="00EE60C5">
        <w:rPr>
          <w:bCs/>
        </w:rPr>
        <w:t xml:space="preserve"> </w:t>
      </w:r>
      <w:r w:rsidR="00C87E69">
        <w:rPr>
          <w:bCs/>
        </w:rPr>
        <w:t>(</w:t>
      </w:r>
      <w:r w:rsidR="00EE60C5">
        <w:rPr>
          <w:bCs/>
        </w:rPr>
        <w:t>or Assistant Consumers’ Counsel, Angela O’Brien, who signed the pleading</w:t>
      </w:r>
      <w:r w:rsidR="00C87E69">
        <w:rPr>
          <w:bCs/>
        </w:rPr>
        <w:t>)</w:t>
      </w:r>
      <w:r w:rsidR="00EE60C5">
        <w:rPr>
          <w:bCs/>
        </w:rPr>
        <w:t xml:space="preserve">. Neither </w:t>
      </w:r>
      <w:r w:rsidR="00FD7A6D">
        <w:rPr>
          <w:bCs/>
        </w:rPr>
        <w:t>OCC</w:t>
      </w:r>
      <w:r w:rsidR="00EE60C5">
        <w:rPr>
          <w:bCs/>
        </w:rPr>
        <w:t>, nor its counsel,</w:t>
      </w:r>
      <w:r w:rsidR="00FD7A6D">
        <w:rPr>
          <w:bCs/>
        </w:rPr>
        <w:t xml:space="preserve"> violated </w:t>
      </w:r>
      <w:r w:rsidR="00EE60C5">
        <w:rPr>
          <w:bCs/>
        </w:rPr>
        <w:t>the</w:t>
      </w:r>
      <w:r w:rsidR="00FD7A6D">
        <w:rPr>
          <w:bCs/>
        </w:rPr>
        <w:t xml:space="preserve"> rules </w:t>
      </w:r>
      <w:r w:rsidR="00B9329C">
        <w:rPr>
          <w:bCs/>
        </w:rPr>
        <w:t>by</w:t>
      </w:r>
      <w:r w:rsidR="00FD7A6D">
        <w:rPr>
          <w:bCs/>
        </w:rPr>
        <w:t xml:space="preserve"> filing the Objections to protect consumers.</w:t>
      </w:r>
    </w:p>
    <w:p w:rsidR="00CB0F6E" w14:paraId="57D677E6" w14:textId="77777777">
      <w:pPr>
        <w:rPr>
          <w:bCs/>
        </w:rPr>
      </w:pPr>
      <w:r>
        <w:rPr>
          <w:bCs/>
        </w:rPr>
        <w:br w:type="page"/>
      </w:r>
    </w:p>
    <w:p w:rsidR="00BC66A2" w:rsidRPr="00986AE5" w:rsidP="00986AE5" w14:paraId="577C32F6" w14:textId="37846F3B">
      <w:pPr>
        <w:spacing w:line="480" w:lineRule="auto"/>
        <w:ind w:firstLine="720"/>
        <w:rPr>
          <w:bCs/>
        </w:rPr>
      </w:pPr>
      <w:r>
        <w:rPr>
          <w:bCs/>
        </w:rPr>
        <w:t>As an initial matter, the PUCO</w:t>
      </w:r>
      <w:r w:rsidR="00D57D78">
        <w:rPr>
          <w:bCs/>
        </w:rPr>
        <w:t xml:space="preserve"> generally does not have</w:t>
      </w:r>
      <w:r w:rsidR="00E02244">
        <w:rPr>
          <w:bCs/>
        </w:rPr>
        <w:t xml:space="preserve"> </w:t>
      </w:r>
      <w:r>
        <w:rPr>
          <w:bCs/>
        </w:rPr>
        <w:t>jurisdiction to award attorneys’ fees and monetary damages.</w:t>
      </w:r>
      <w:r>
        <w:rPr>
          <w:rStyle w:val="FootnoteReference"/>
          <w:bCs/>
        </w:rPr>
        <w:footnoteReference w:id="4"/>
      </w:r>
      <w:r w:rsidR="00D57D78">
        <w:rPr>
          <w:bCs/>
        </w:rPr>
        <w:t xml:space="preserve"> Suburban’s requests for attorneys’ fees and expenses should be rejected for this reason alone.</w:t>
      </w:r>
    </w:p>
    <w:p w:rsidR="00CF4B0F" w:rsidP="00C87E69" w14:paraId="50E74670" w14:textId="1EF76FDD">
      <w:pPr>
        <w:spacing w:line="480" w:lineRule="auto"/>
        <w:ind w:firstLine="720"/>
        <w:rPr>
          <w:bCs/>
        </w:rPr>
      </w:pPr>
      <w:r>
        <w:rPr>
          <w:bCs/>
        </w:rPr>
        <w:t>Suburban</w:t>
      </w:r>
      <w:r w:rsidR="00D57D78">
        <w:rPr>
          <w:bCs/>
        </w:rPr>
        <w:t>’s</w:t>
      </w:r>
      <w:r>
        <w:rPr>
          <w:bCs/>
        </w:rPr>
        <w:t xml:space="preserve"> reli</w:t>
      </w:r>
      <w:r w:rsidR="00D57D78">
        <w:rPr>
          <w:bCs/>
        </w:rPr>
        <w:t>ance</w:t>
      </w:r>
      <w:r>
        <w:rPr>
          <w:bCs/>
        </w:rPr>
        <w:t xml:space="preserve"> on </w:t>
      </w:r>
      <w:r w:rsidR="005271A5">
        <w:rPr>
          <w:bCs/>
        </w:rPr>
        <w:t>Civ. R. 11</w:t>
      </w:r>
      <w:r>
        <w:rPr>
          <w:bCs/>
        </w:rPr>
        <w:t xml:space="preserve"> </w:t>
      </w:r>
      <w:r w:rsidR="00396037">
        <w:rPr>
          <w:bCs/>
        </w:rPr>
        <w:t xml:space="preserve">(“Rule 11”) </w:t>
      </w:r>
      <w:r w:rsidR="00411B0F">
        <w:rPr>
          <w:bCs/>
        </w:rPr>
        <w:t>for its motions to strike the Objections and for sanctions against OCC</w:t>
      </w:r>
      <w:r w:rsidR="006E0249">
        <w:rPr>
          <w:bCs/>
        </w:rPr>
        <w:t xml:space="preserve"> is also misplaced</w:t>
      </w:r>
      <w:r w:rsidR="00411B0F">
        <w:rPr>
          <w:bCs/>
        </w:rPr>
        <w:t xml:space="preserve">. </w:t>
      </w:r>
      <w:r w:rsidR="00876F6F">
        <w:rPr>
          <w:bCs/>
        </w:rPr>
        <w:t>Rule 11</w:t>
      </w:r>
      <w:r w:rsidR="005271A5">
        <w:rPr>
          <w:bCs/>
        </w:rPr>
        <w:t xml:space="preserve"> </w:t>
      </w:r>
      <w:r w:rsidR="00214DB4">
        <w:rPr>
          <w:bCs/>
        </w:rPr>
        <w:t xml:space="preserve">provides that an attorney’s signature to a pleading </w:t>
      </w:r>
      <w:r w:rsidR="00C42202">
        <w:rPr>
          <w:bCs/>
        </w:rPr>
        <w:t>“constitutes</w:t>
      </w:r>
      <w:r w:rsidR="00214DB4">
        <w:rPr>
          <w:bCs/>
        </w:rPr>
        <w:t xml:space="preserve"> a certificat</w:t>
      </w:r>
      <w:r w:rsidR="00C42202">
        <w:rPr>
          <w:bCs/>
        </w:rPr>
        <w:t>e by the attorney or party that the attorney or party has read the document; that to the best of the attorney’s or party’s knowledge, information, and belief there is good ground to support it; and that it is not interposed for delay.”</w:t>
      </w:r>
    </w:p>
    <w:p w:rsidR="00C87E69" w:rsidRPr="00CF4B0F" w:rsidP="00CF4B0F" w14:paraId="73BF8F10" w14:textId="400FC194">
      <w:pPr>
        <w:spacing w:line="480" w:lineRule="auto"/>
        <w:ind w:firstLine="720"/>
        <w:rPr>
          <w:rStyle w:val="Heading1Char"/>
          <w:rFonts w:ascii="TimesNewRoman" w:hAnsi="TimesNewRoman"/>
          <w:b w:val="0"/>
          <w:bCs w:val="0"/>
          <w:color w:val="000000"/>
          <w:kern w:val="0"/>
        </w:rPr>
      </w:pPr>
      <w:r>
        <w:rPr>
          <w:rStyle w:val="fontstyle01"/>
        </w:rPr>
        <w:t xml:space="preserve">Under Ohio law, “[i]t </w:t>
      </w:r>
      <w:r w:rsidRPr="00AB4D24">
        <w:rPr>
          <w:rStyle w:val="fontstyle01"/>
        </w:rPr>
        <w:t>is well settled that the language of Civ.</w:t>
      </w:r>
      <w:r w:rsidR="00B9329C">
        <w:rPr>
          <w:rStyle w:val="fontstyle01"/>
        </w:rPr>
        <w:t xml:space="preserve"> </w:t>
      </w:r>
      <w:r w:rsidRPr="00AB4D24">
        <w:rPr>
          <w:rStyle w:val="fontstyle01"/>
        </w:rPr>
        <w:t>R. 11</w:t>
      </w:r>
      <w:r w:rsidR="00B9329C">
        <w:rPr>
          <w:rStyle w:val="fontstyle01"/>
        </w:rPr>
        <w:t xml:space="preserve"> </w:t>
      </w:r>
      <w:r w:rsidRPr="00AB4D24">
        <w:rPr>
          <w:rStyle w:val="fontstyle01"/>
        </w:rPr>
        <w:t>only permits</w:t>
      </w:r>
      <w:r w:rsidR="00A37671">
        <w:rPr>
          <w:rStyle w:val="fontstyle01"/>
        </w:rPr>
        <w:t xml:space="preserve"> </w:t>
      </w:r>
      <w:r w:rsidRPr="00AB4D24">
        <w:rPr>
          <w:rStyle w:val="fontstyle01"/>
        </w:rPr>
        <w:t>sanctions against the attorney who signed the document</w:t>
      </w:r>
      <w:r>
        <w:rPr>
          <w:rStyle w:val="fontstyle01"/>
        </w:rPr>
        <w:t>.”</w:t>
      </w:r>
      <w:r>
        <w:rPr>
          <w:rStyle w:val="FootnoteReference"/>
          <w:rFonts w:ascii="TimesNewRoman" w:hAnsi="TimesNewRoman"/>
          <w:color w:val="000000"/>
        </w:rPr>
        <w:footnoteReference w:id="5"/>
      </w:r>
      <w:r>
        <w:rPr>
          <w:rStyle w:val="fontstyle01"/>
        </w:rPr>
        <w:t xml:space="preserve"> </w:t>
      </w:r>
      <w:r w:rsidR="00B9329C">
        <w:rPr>
          <w:rStyle w:val="fontstyle01"/>
        </w:rPr>
        <w:t>Therefore,</w:t>
      </w:r>
      <w:r>
        <w:rPr>
          <w:rStyle w:val="fontstyle01"/>
        </w:rPr>
        <w:t xml:space="preserve"> Suburban’s motion incorrectly “requests that the Commission </w:t>
      </w:r>
      <w:r w:rsidRPr="00B9329C">
        <w:rPr>
          <w:rStyle w:val="fontstyle01"/>
          <w:b/>
          <w:bCs/>
          <w:i/>
          <w:iCs/>
        </w:rPr>
        <w:t>sanction OCC</w:t>
      </w:r>
      <w:r>
        <w:rPr>
          <w:rStyle w:val="fontstyle01"/>
        </w:rPr>
        <w:t xml:space="preserve"> by issuing an award to Suburban of expenses and reasonable attorney fees incurred in bringing this motion under this rule.”</w:t>
      </w:r>
      <w:r>
        <w:rPr>
          <w:rStyle w:val="FootnoteReference"/>
          <w:rFonts w:ascii="TimesNewRoman" w:hAnsi="TimesNewRoman"/>
          <w:color w:val="000000"/>
        </w:rPr>
        <w:footnoteReference w:id="6"/>
      </w:r>
      <w:r>
        <w:rPr>
          <w:rStyle w:val="fontstyle01"/>
        </w:rPr>
        <w:t xml:space="preserve"> According to the plain language of </w:t>
      </w:r>
      <w:r w:rsidR="00B9329C">
        <w:rPr>
          <w:rStyle w:val="fontstyle01"/>
        </w:rPr>
        <w:t>Rule 11</w:t>
      </w:r>
      <w:r>
        <w:rPr>
          <w:rStyle w:val="fontstyle01"/>
        </w:rPr>
        <w:t xml:space="preserve"> and </w:t>
      </w:r>
      <w:r w:rsidR="000725BF">
        <w:rPr>
          <w:rStyle w:val="fontstyle01"/>
        </w:rPr>
        <w:t>Ohio</w:t>
      </w:r>
      <w:r>
        <w:rPr>
          <w:rStyle w:val="fontstyle01"/>
        </w:rPr>
        <w:t xml:space="preserve"> case</w:t>
      </w:r>
      <w:r w:rsidR="00B9329C">
        <w:rPr>
          <w:rStyle w:val="fontstyle01"/>
        </w:rPr>
        <w:t xml:space="preserve"> </w:t>
      </w:r>
      <w:r>
        <w:rPr>
          <w:rStyle w:val="fontstyle01"/>
        </w:rPr>
        <w:t xml:space="preserve">law interpreting </w:t>
      </w:r>
      <w:r w:rsidR="00B9329C">
        <w:rPr>
          <w:rStyle w:val="fontstyle01"/>
        </w:rPr>
        <w:t>Rule 11</w:t>
      </w:r>
      <w:r>
        <w:rPr>
          <w:rStyle w:val="fontstyle01"/>
        </w:rPr>
        <w:t xml:space="preserve">, the Commission cannot sanction OCC. Suburban’s motion </w:t>
      </w:r>
      <w:r w:rsidR="000725BF">
        <w:rPr>
          <w:rStyle w:val="fontstyle01"/>
        </w:rPr>
        <w:t>should</w:t>
      </w:r>
      <w:r>
        <w:rPr>
          <w:rStyle w:val="fontstyle01"/>
        </w:rPr>
        <w:t xml:space="preserve"> be denied.</w:t>
      </w:r>
      <w:r w:rsidR="00C42202">
        <w:rPr>
          <w:bCs/>
        </w:rPr>
        <w:t xml:space="preserve"> </w:t>
      </w:r>
    </w:p>
    <w:p w:rsidR="00C87E69" w:rsidRPr="00FB0796" w:rsidP="000725BF" w14:paraId="1CCB92E6" w14:textId="5DF778B6">
      <w:pPr>
        <w:spacing w:line="480" w:lineRule="auto"/>
        <w:ind w:firstLine="720"/>
        <w:rPr>
          <w:rStyle w:val="fontstyle01"/>
          <w:rFonts w:ascii="Times New Roman" w:hAnsi="Times New Roman"/>
          <w:bCs/>
          <w:color w:val="auto"/>
        </w:rPr>
      </w:pPr>
      <w:r>
        <w:rPr>
          <w:rStyle w:val="fontstyle01"/>
        </w:rPr>
        <w:t>Suburban’s motion for sanctions (</w:t>
      </w:r>
      <w:r w:rsidR="003F0AC7">
        <w:rPr>
          <w:rStyle w:val="fontstyle01"/>
        </w:rPr>
        <w:t>whether</w:t>
      </w:r>
      <w:r>
        <w:rPr>
          <w:rStyle w:val="fontstyle01"/>
        </w:rPr>
        <w:t xml:space="preserve"> against OCC or its counsel) must also fail because Suburban </w:t>
      </w:r>
      <w:r w:rsidR="00835159">
        <w:rPr>
          <w:rStyle w:val="fontstyle01"/>
        </w:rPr>
        <w:t>cannot demonstrate</w:t>
      </w:r>
      <w:r>
        <w:rPr>
          <w:rStyle w:val="fontstyle01"/>
        </w:rPr>
        <w:t xml:space="preserve"> bad faith on OCC’s part. </w:t>
      </w:r>
      <w:r w:rsidR="00CF4B0F">
        <w:rPr>
          <w:rStyle w:val="fontstyle01"/>
        </w:rPr>
        <w:t>Rule 11</w:t>
      </w:r>
      <w:r w:rsidRPr="00A81CBD" w:rsidR="00EE60C5">
        <w:rPr>
          <w:rStyle w:val="fontstyle01"/>
        </w:rPr>
        <w:t xml:space="preserve"> employs a subjective bad faith standard</w:t>
      </w:r>
      <w:r w:rsidR="00EE60C5">
        <w:rPr>
          <w:rStyle w:val="fontstyle01"/>
        </w:rPr>
        <w:t xml:space="preserve"> and a two-step process</w:t>
      </w:r>
      <w:r w:rsidRPr="00A81CBD" w:rsidR="00EE60C5">
        <w:rPr>
          <w:rStyle w:val="fontstyle01"/>
        </w:rPr>
        <w:t>.</w:t>
      </w:r>
      <w:r>
        <w:rPr>
          <w:rStyle w:val="FootnoteReference"/>
          <w:rFonts w:ascii="TimesNewRoman" w:hAnsi="TimesNewRoman"/>
          <w:color w:val="000000"/>
        </w:rPr>
        <w:footnoteReference w:id="7"/>
      </w:r>
      <w:r w:rsidR="00EE60C5">
        <w:rPr>
          <w:rStyle w:val="fontstyle01"/>
        </w:rPr>
        <w:t xml:space="preserve"> </w:t>
      </w:r>
      <w:r w:rsidR="00691811">
        <w:rPr>
          <w:rStyle w:val="fontstyle01"/>
        </w:rPr>
        <w:t>To begin,</w:t>
      </w:r>
      <w:r w:rsidR="00EE60C5">
        <w:rPr>
          <w:rStyle w:val="fontstyle01"/>
        </w:rPr>
        <w:t xml:space="preserve"> the </w:t>
      </w:r>
      <w:r w:rsidR="00524B5D">
        <w:rPr>
          <w:rStyle w:val="fontstyle01"/>
        </w:rPr>
        <w:t>PUCO</w:t>
      </w:r>
      <w:r w:rsidR="00835159">
        <w:rPr>
          <w:rStyle w:val="fontstyle01"/>
        </w:rPr>
        <w:t xml:space="preserve"> (or court)</w:t>
      </w:r>
      <w:r w:rsidR="00EE60C5">
        <w:rPr>
          <w:rStyle w:val="fontstyle01"/>
        </w:rPr>
        <w:t xml:space="preserve"> must determine i</w:t>
      </w:r>
      <w:r w:rsidRPr="00A81CBD" w:rsidR="00EE60C5">
        <w:rPr>
          <w:rStyle w:val="fontstyle01"/>
        </w:rPr>
        <w:t xml:space="preserve">f any </w:t>
      </w:r>
      <w:r w:rsidRPr="00C87E69" w:rsidR="00EE60C5">
        <w:rPr>
          <w:bCs/>
        </w:rPr>
        <w:t>one</w:t>
      </w:r>
      <w:r w:rsidRPr="00A81CBD" w:rsidR="00EE60C5">
        <w:rPr>
          <w:rStyle w:val="fontstyle01"/>
        </w:rPr>
        <w:t xml:space="preserve"> of the three </w:t>
      </w:r>
      <w:r w:rsidR="003F0AC7">
        <w:rPr>
          <w:rStyle w:val="fontstyle01"/>
        </w:rPr>
        <w:t>Rule 11</w:t>
      </w:r>
      <w:r w:rsidRPr="00A81CBD" w:rsidR="00EE60C5">
        <w:rPr>
          <w:rStyle w:val="fontstyle01"/>
        </w:rPr>
        <w:t xml:space="preserve"> requirements </w:t>
      </w:r>
      <w:r w:rsidR="00835159">
        <w:rPr>
          <w:rStyle w:val="fontstyle01"/>
        </w:rPr>
        <w:t>has been violated</w:t>
      </w:r>
      <w:r w:rsidR="00EE60C5">
        <w:rPr>
          <w:rStyle w:val="fontstyle01"/>
        </w:rPr>
        <w:t xml:space="preserve">. Then, the </w:t>
      </w:r>
      <w:r w:rsidR="00524B5D">
        <w:rPr>
          <w:rStyle w:val="fontstyle01"/>
        </w:rPr>
        <w:t>PUCO would have to</w:t>
      </w:r>
      <w:r w:rsidRPr="00A81CBD" w:rsidR="00EE60C5">
        <w:rPr>
          <w:rStyle w:val="fontstyle01"/>
        </w:rPr>
        <w:t xml:space="preserve"> determine whether the violation was </w:t>
      </w:r>
      <w:r w:rsidRPr="00524B5D" w:rsidR="00EE60C5">
        <w:rPr>
          <w:rStyle w:val="fontstyle01"/>
          <w:i/>
          <w:iCs/>
        </w:rPr>
        <w:t>willful</w:t>
      </w:r>
      <w:r w:rsidRPr="00A81CBD" w:rsidR="00EE60C5">
        <w:rPr>
          <w:rStyle w:val="fontstyle01"/>
        </w:rPr>
        <w:t xml:space="preserve"> as opposed to merely negligent.</w:t>
      </w:r>
      <w:r>
        <w:rPr>
          <w:rStyle w:val="FootnoteReference"/>
          <w:rFonts w:ascii="TimesNewRoman" w:hAnsi="TimesNewRoman"/>
          <w:color w:val="000000"/>
        </w:rPr>
        <w:footnoteReference w:id="8"/>
      </w:r>
      <w:r w:rsidR="00EE60C5">
        <w:rPr>
          <w:rStyle w:val="fontstyle01"/>
        </w:rPr>
        <w:t xml:space="preserve"> </w:t>
      </w:r>
      <w:r w:rsidR="00FB0796">
        <w:rPr>
          <w:bCs/>
        </w:rPr>
        <w:t xml:space="preserve">The Supreme Court of Ohio has held that </w:t>
      </w:r>
      <w:r w:rsidR="00524B5D">
        <w:rPr>
          <w:bCs/>
        </w:rPr>
        <w:t>Rule</w:t>
      </w:r>
      <w:r w:rsidR="00FB0796">
        <w:rPr>
          <w:bCs/>
        </w:rPr>
        <w:t xml:space="preserve"> 11 requires a “subjective bad faith standard to invoke sanctions by requiring that any violation must be willful.”</w:t>
      </w:r>
      <w:r>
        <w:rPr>
          <w:rStyle w:val="FootnoteReference"/>
          <w:bCs/>
        </w:rPr>
        <w:footnoteReference w:id="9"/>
      </w:r>
      <w:r w:rsidR="00FB0796">
        <w:rPr>
          <w:bCs/>
        </w:rPr>
        <w:t xml:space="preserve"> The Court has further explained that “bad faith” for purposes of</w:t>
      </w:r>
      <w:r w:rsidR="00524B5D">
        <w:rPr>
          <w:bCs/>
        </w:rPr>
        <w:t xml:space="preserve"> </w:t>
      </w:r>
      <w:r w:rsidR="00FB0796">
        <w:rPr>
          <w:bCs/>
        </w:rPr>
        <w:t>R</w:t>
      </w:r>
      <w:r w:rsidR="00524B5D">
        <w:rPr>
          <w:bCs/>
        </w:rPr>
        <w:t>ule</w:t>
      </w:r>
      <w:r w:rsidR="00FB0796">
        <w:rPr>
          <w:bCs/>
        </w:rPr>
        <w:t xml:space="preserve"> 11 requires a “‘dishonest purpose or some moral obliquity,’” or “‘implies conscious doing of wrong.’”</w:t>
      </w:r>
      <w:r>
        <w:rPr>
          <w:rStyle w:val="FootnoteReference"/>
          <w:bCs/>
        </w:rPr>
        <w:footnoteReference w:id="10"/>
      </w:r>
      <w:r w:rsidR="00FB0796">
        <w:rPr>
          <w:bCs/>
        </w:rPr>
        <w:t xml:space="preserve"> According to the Court, bad faith “‘partakes of the nature of fraud.’”</w:t>
      </w:r>
      <w:r>
        <w:rPr>
          <w:rStyle w:val="FootnoteReference"/>
          <w:bCs/>
        </w:rPr>
        <w:footnoteReference w:id="11"/>
      </w:r>
      <w:r w:rsidR="00FB0796">
        <w:rPr>
          <w:bCs/>
        </w:rPr>
        <w:t xml:space="preserve"> </w:t>
      </w:r>
    </w:p>
    <w:p w:rsidR="00EE60C5" w:rsidP="00524B5D" w14:paraId="7A8EB9C7" w14:textId="53DD3EAE">
      <w:pPr>
        <w:spacing w:line="480" w:lineRule="auto"/>
        <w:ind w:firstLine="720"/>
        <w:rPr>
          <w:rStyle w:val="fontstyle01"/>
        </w:rPr>
      </w:pPr>
      <w:r>
        <w:rPr>
          <w:rStyle w:val="fontstyle01"/>
        </w:rPr>
        <w:t xml:space="preserve">In addition, the </w:t>
      </w:r>
      <w:r w:rsidRPr="00A81CBD">
        <w:rPr>
          <w:rStyle w:val="fontstyle01"/>
        </w:rPr>
        <w:t>attorney</w:t>
      </w:r>
      <w:r w:rsidR="00922CB7">
        <w:rPr>
          <w:rStyle w:val="fontstyle01"/>
        </w:rPr>
        <w:t>’</w:t>
      </w:r>
      <w:r w:rsidRPr="00A81CBD">
        <w:rPr>
          <w:rStyle w:val="fontstyle01"/>
        </w:rPr>
        <w:t>s actual intent or belief is relevant to the determination of willfulness.</w:t>
      </w:r>
      <w:r>
        <w:rPr>
          <w:rStyle w:val="FootnoteReference"/>
          <w:rFonts w:ascii="TimesNewRoman" w:hAnsi="TimesNewRoman"/>
          <w:color w:val="000000"/>
        </w:rPr>
        <w:footnoteReference w:id="12"/>
      </w:r>
      <w:r w:rsidRPr="00A81CBD">
        <w:rPr>
          <w:rStyle w:val="fontstyle01"/>
        </w:rPr>
        <w:t xml:space="preserve"> </w:t>
      </w:r>
      <w:r w:rsidR="00795636">
        <w:rPr>
          <w:rStyle w:val="fontstyle01"/>
        </w:rPr>
        <w:t>S</w:t>
      </w:r>
      <w:r w:rsidRPr="00795636" w:rsidR="00922CB7">
        <w:rPr>
          <w:rStyle w:val="fontstyle01"/>
        </w:rPr>
        <w:t>anctions</w:t>
      </w:r>
      <w:r w:rsidR="00795636">
        <w:rPr>
          <w:rStyle w:val="fontstyle01"/>
        </w:rPr>
        <w:t xml:space="preserve"> can be imposed</w:t>
      </w:r>
      <w:r w:rsidRPr="00795636" w:rsidR="00922CB7">
        <w:rPr>
          <w:rStyle w:val="fontstyle01"/>
        </w:rPr>
        <w:t xml:space="preserve"> only when </w:t>
      </w:r>
      <w:r w:rsidR="00795636">
        <w:rPr>
          <w:rStyle w:val="fontstyle01"/>
        </w:rPr>
        <w:t xml:space="preserve">there has been a demonstration that the attorney acted </w:t>
      </w:r>
      <w:r w:rsidRPr="00795636" w:rsidR="00922CB7">
        <w:rPr>
          <w:rStyle w:val="fontstyle01"/>
        </w:rPr>
        <w:t xml:space="preserve">willfully and in bad faith by filing a pleading that </w:t>
      </w:r>
      <w:r w:rsidR="00795636">
        <w:rPr>
          <w:rStyle w:val="fontstyle01"/>
        </w:rPr>
        <w:t>the attorney</w:t>
      </w:r>
      <w:r w:rsidRPr="00795636" w:rsidR="00922CB7">
        <w:rPr>
          <w:rStyle w:val="fontstyle01"/>
        </w:rPr>
        <w:t xml:space="preserve"> believe</w:t>
      </w:r>
      <w:r w:rsidR="00795636">
        <w:rPr>
          <w:rStyle w:val="fontstyle01"/>
        </w:rPr>
        <w:t>s</w:t>
      </w:r>
      <w:r w:rsidRPr="00795636" w:rsidR="00922CB7">
        <w:rPr>
          <w:rStyle w:val="fontstyle01"/>
        </w:rPr>
        <w:t xml:space="preserve"> lacks good grounds or is filed merely for the purpose of delay</w:t>
      </w:r>
      <w:r w:rsidRPr="00A81CBD">
        <w:rPr>
          <w:rStyle w:val="fontstyle01"/>
        </w:rPr>
        <w:t>.</w:t>
      </w:r>
      <w:r>
        <w:rPr>
          <w:rStyle w:val="FootnoteReference"/>
          <w:rFonts w:ascii="TimesNewRoman" w:hAnsi="TimesNewRoman"/>
          <w:color w:val="000000"/>
        </w:rPr>
        <w:footnoteReference w:id="13"/>
      </w:r>
      <w:r>
        <w:rPr>
          <w:rStyle w:val="fontstyle01"/>
        </w:rPr>
        <w:t xml:space="preserve"> </w:t>
      </w:r>
      <w:r w:rsidR="00795636">
        <w:rPr>
          <w:rStyle w:val="fontstyle01"/>
        </w:rPr>
        <w:t xml:space="preserve">If </w:t>
      </w:r>
      <w:r w:rsidR="00524B5D">
        <w:rPr>
          <w:rStyle w:val="fontstyle01"/>
        </w:rPr>
        <w:t>and when such</w:t>
      </w:r>
      <w:r w:rsidR="00795636">
        <w:rPr>
          <w:rStyle w:val="fontstyle01"/>
        </w:rPr>
        <w:t xml:space="preserve"> determination is made,</w:t>
      </w:r>
      <w:r w:rsidRPr="00AB4D24">
        <w:rPr>
          <w:rStyle w:val="fontstyle01"/>
        </w:rPr>
        <w:t xml:space="preserve"> </w:t>
      </w:r>
      <w:r w:rsidR="00524B5D">
        <w:rPr>
          <w:rStyle w:val="fontstyle01"/>
        </w:rPr>
        <w:t xml:space="preserve">the </w:t>
      </w:r>
      <w:r w:rsidR="00881783">
        <w:rPr>
          <w:rStyle w:val="fontstyle01"/>
        </w:rPr>
        <w:t xml:space="preserve">court </w:t>
      </w:r>
      <w:r w:rsidR="00524B5D">
        <w:rPr>
          <w:rStyle w:val="fontstyle01"/>
        </w:rPr>
        <w:t>would have</w:t>
      </w:r>
      <w:r w:rsidR="00986AE5">
        <w:rPr>
          <w:rStyle w:val="fontstyle01"/>
        </w:rPr>
        <w:t xml:space="preserve"> b</w:t>
      </w:r>
      <w:r w:rsidRPr="00AB4D24">
        <w:rPr>
          <w:rStyle w:val="fontstyle01"/>
        </w:rPr>
        <w:t xml:space="preserve">road discretion </w:t>
      </w:r>
      <w:r w:rsidR="00986AE5">
        <w:rPr>
          <w:rStyle w:val="fontstyle01"/>
        </w:rPr>
        <w:t>as to</w:t>
      </w:r>
      <w:r w:rsidRPr="00AB4D24">
        <w:rPr>
          <w:rStyle w:val="fontstyle01"/>
        </w:rPr>
        <w:t xml:space="preserve"> what, if any, sanction is to be administered.</w:t>
      </w:r>
      <w:r>
        <w:rPr>
          <w:rStyle w:val="FootnoteReference"/>
          <w:rFonts w:ascii="TimesNewRoman" w:hAnsi="TimesNewRoman"/>
          <w:color w:val="000000"/>
        </w:rPr>
        <w:footnoteReference w:id="14"/>
      </w:r>
      <w:r w:rsidRPr="00AB4D24">
        <w:rPr>
          <w:rStyle w:val="fontstyle01"/>
        </w:rPr>
        <w:t xml:space="preserve"> </w:t>
      </w:r>
      <w:r w:rsidR="00986AE5">
        <w:rPr>
          <w:rStyle w:val="fontstyle01"/>
        </w:rPr>
        <w:t xml:space="preserve">Further, </w:t>
      </w:r>
      <w:r w:rsidR="00524B5D">
        <w:rPr>
          <w:rStyle w:val="fontstyle01"/>
        </w:rPr>
        <w:t>before Rule</w:t>
      </w:r>
      <w:r>
        <w:rPr>
          <w:rStyle w:val="fontstyle01"/>
        </w:rPr>
        <w:t xml:space="preserve"> 11 sanctions can be imposed, the </w:t>
      </w:r>
      <w:r w:rsidR="00881783">
        <w:rPr>
          <w:rStyle w:val="fontstyle01"/>
        </w:rPr>
        <w:t>court</w:t>
      </w:r>
      <w:r w:rsidR="00524B5D">
        <w:rPr>
          <w:rStyle w:val="fontstyle01"/>
        </w:rPr>
        <w:t xml:space="preserve"> would be required to hold</w:t>
      </w:r>
      <w:r>
        <w:rPr>
          <w:rStyle w:val="fontstyle01"/>
        </w:rPr>
        <w:t xml:space="preserve"> an evidentiary hearing.</w:t>
      </w:r>
      <w:r>
        <w:rPr>
          <w:rStyle w:val="FootnoteReference"/>
          <w:rFonts w:ascii="TimesNewRoman" w:hAnsi="TimesNewRoman"/>
          <w:color w:val="000000"/>
        </w:rPr>
        <w:footnoteReference w:id="15"/>
      </w:r>
      <w:r w:rsidR="00A37671">
        <w:rPr>
          <w:rStyle w:val="fontstyle01"/>
        </w:rPr>
        <w:t xml:space="preserve"> </w:t>
      </w:r>
    </w:p>
    <w:p w:rsidR="00014FE2" w:rsidP="00F62637" w14:paraId="3AC251F2" w14:textId="2FC2E8D9">
      <w:pPr>
        <w:spacing w:line="480" w:lineRule="auto"/>
        <w:ind w:firstLine="720"/>
        <w:rPr>
          <w:bCs/>
        </w:rPr>
      </w:pPr>
      <w:r>
        <w:rPr>
          <w:bCs/>
        </w:rPr>
        <w:t>In this case, there were good grounds to support the Objection</w:t>
      </w:r>
      <w:r w:rsidR="00C63EE4">
        <w:rPr>
          <w:bCs/>
        </w:rPr>
        <w:t>s given Suburban’s continued position that it gets to charge consumers for the entire 4.9 mile pipeline extension</w:t>
      </w:r>
      <w:r>
        <w:rPr>
          <w:bCs/>
        </w:rPr>
        <w:t xml:space="preserve">. </w:t>
      </w:r>
      <w:r w:rsidR="00CE723C">
        <w:rPr>
          <w:bCs/>
        </w:rPr>
        <w:t>T</w:t>
      </w:r>
      <w:r w:rsidRPr="008A0A0E" w:rsidR="00F62637">
        <w:rPr>
          <w:bCs/>
        </w:rPr>
        <w:t>he</w:t>
      </w:r>
      <w:r w:rsidR="00382566">
        <w:rPr>
          <w:bCs/>
        </w:rPr>
        <w:t xml:space="preserve"> </w:t>
      </w:r>
      <w:r w:rsidRPr="008A0A0E" w:rsidR="00382566">
        <w:rPr>
          <w:bCs/>
        </w:rPr>
        <w:t>Supreme Court of Ohio</w:t>
      </w:r>
      <w:r w:rsidR="00CE723C">
        <w:rPr>
          <w:bCs/>
        </w:rPr>
        <w:t xml:space="preserve"> reversed</w:t>
      </w:r>
      <w:r w:rsidRPr="008A0A0E" w:rsidR="00382566">
        <w:rPr>
          <w:bCs/>
        </w:rPr>
        <w:t xml:space="preserve"> and rem</w:t>
      </w:r>
      <w:r w:rsidR="00382566">
        <w:rPr>
          <w:bCs/>
        </w:rPr>
        <w:t>and</w:t>
      </w:r>
      <w:r w:rsidR="00CE723C">
        <w:rPr>
          <w:bCs/>
        </w:rPr>
        <w:t>ed</w:t>
      </w:r>
      <w:r w:rsidR="00382566">
        <w:rPr>
          <w:bCs/>
        </w:rPr>
        <w:t xml:space="preserve"> </w:t>
      </w:r>
      <w:r w:rsidR="00FF64BB">
        <w:rPr>
          <w:bCs/>
        </w:rPr>
        <w:t xml:space="preserve">the </w:t>
      </w:r>
      <w:r w:rsidRPr="008A0A0E" w:rsidR="00382566">
        <w:rPr>
          <w:bCs/>
        </w:rPr>
        <w:t>PUCO</w:t>
      </w:r>
      <w:r w:rsidR="00FF64BB">
        <w:rPr>
          <w:bCs/>
        </w:rPr>
        <w:t>’s September 26, 20</w:t>
      </w:r>
      <w:r w:rsidR="0081059B">
        <w:rPr>
          <w:bCs/>
        </w:rPr>
        <w:t>19</w:t>
      </w:r>
      <w:r w:rsidRPr="008A0A0E" w:rsidR="00382566">
        <w:rPr>
          <w:bCs/>
        </w:rPr>
        <w:t xml:space="preserve"> order</w:t>
      </w:r>
      <w:r w:rsidR="00CE723C">
        <w:rPr>
          <w:bCs/>
        </w:rPr>
        <w:t xml:space="preserve">, </w:t>
      </w:r>
      <w:r w:rsidR="00C63EE4">
        <w:rPr>
          <w:bCs/>
        </w:rPr>
        <w:t>where</w:t>
      </w:r>
      <w:r w:rsidR="00CE723C">
        <w:rPr>
          <w:bCs/>
        </w:rPr>
        <w:t xml:space="preserve"> the PUCO</w:t>
      </w:r>
      <w:r w:rsidR="0081059B">
        <w:rPr>
          <w:bCs/>
        </w:rPr>
        <w:t xml:space="preserve"> misapplied Ohio law in</w:t>
      </w:r>
      <w:r w:rsidRPr="008A0A0E" w:rsidR="00382566">
        <w:rPr>
          <w:bCs/>
        </w:rPr>
        <w:t xml:space="preserve"> finding that 4.9 miles of </w:t>
      </w:r>
      <w:r w:rsidR="00DF76D9">
        <w:rPr>
          <w:bCs/>
        </w:rPr>
        <w:t xml:space="preserve">the </w:t>
      </w:r>
      <w:r w:rsidRPr="008A0A0E" w:rsidR="00382566">
        <w:rPr>
          <w:bCs/>
        </w:rPr>
        <w:t xml:space="preserve">Suburban pipeline extension </w:t>
      </w:r>
      <w:r w:rsidR="0081059B">
        <w:rPr>
          <w:bCs/>
        </w:rPr>
        <w:t>were</w:t>
      </w:r>
      <w:r w:rsidRPr="008A0A0E" w:rsidR="00382566">
        <w:rPr>
          <w:bCs/>
        </w:rPr>
        <w:t xml:space="preserve"> “used and useful” </w:t>
      </w:r>
      <w:r w:rsidR="00DF76D9">
        <w:rPr>
          <w:bCs/>
        </w:rPr>
        <w:t>and could be charged to</w:t>
      </w:r>
      <w:r w:rsidR="00382566">
        <w:rPr>
          <w:bCs/>
        </w:rPr>
        <w:t xml:space="preserve"> Suburban’s consumers</w:t>
      </w:r>
      <w:r w:rsidRPr="008A0A0E" w:rsidR="00382566">
        <w:rPr>
          <w:bCs/>
        </w:rPr>
        <w:t>.</w:t>
      </w:r>
      <w:r>
        <w:rPr>
          <w:rStyle w:val="FootnoteReference"/>
          <w:bCs/>
        </w:rPr>
        <w:footnoteReference w:id="16"/>
      </w:r>
      <w:r w:rsidRPr="008A0A0E" w:rsidR="00F62637">
        <w:rPr>
          <w:bCs/>
        </w:rPr>
        <w:t xml:space="preserve"> </w:t>
      </w:r>
      <w:r w:rsidR="0063104E">
        <w:rPr>
          <w:bCs/>
        </w:rPr>
        <w:t>O</w:t>
      </w:r>
      <w:r w:rsidR="00F62637">
        <w:rPr>
          <w:bCs/>
        </w:rPr>
        <w:t>n remand</w:t>
      </w:r>
      <w:r w:rsidR="00DF76D9">
        <w:rPr>
          <w:bCs/>
        </w:rPr>
        <w:t xml:space="preserve"> from the Court</w:t>
      </w:r>
      <w:r w:rsidR="00F62637">
        <w:rPr>
          <w:bCs/>
        </w:rPr>
        <w:t>, the PUCO</w:t>
      </w:r>
      <w:r w:rsidR="0081059B">
        <w:rPr>
          <w:bCs/>
        </w:rPr>
        <w:t xml:space="preserve"> correctly applied the law and found that only 2.0 miles of the pipeline extension were used and useful.</w:t>
      </w:r>
      <w:r>
        <w:rPr>
          <w:rStyle w:val="FootnoteReference"/>
          <w:bCs/>
        </w:rPr>
        <w:footnoteReference w:id="17"/>
      </w:r>
      <w:r>
        <w:rPr>
          <w:bCs/>
        </w:rPr>
        <w:t xml:space="preserve"> The PUCO </w:t>
      </w:r>
      <w:r w:rsidR="00DF76D9">
        <w:rPr>
          <w:bCs/>
        </w:rPr>
        <w:t>directed</w:t>
      </w:r>
      <w:r>
        <w:rPr>
          <w:bCs/>
        </w:rPr>
        <w:t xml:space="preserve"> </w:t>
      </w:r>
      <w:r w:rsidRPr="008A0A0E" w:rsidR="00F62637">
        <w:rPr>
          <w:bCs/>
        </w:rPr>
        <w:t>Suburban to file revised tariffs</w:t>
      </w:r>
      <w:r w:rsidR="00DF76D9">
        <w:rPr>
          <w:bCs/>
        </w:rPr>
        <w:t xml:space="preserve"> reflecting a new customer charge</w:t>
      </w:r>
      <w:r w:rsidRPr="008A0A0E" w:rsidR="00F62637">
        <w:rPr>
          <w:bCs/>
        </w:rPr>
        <w:t xml:space="preserve"> and “</w:t>
      </w:r>
      <w:r w:rsidRPr="008A0A0E" w:rsidR="00F62637">
        <w:t>to issue a refund to customers for any amounts collected as of September 21, 2021, that included costs associated with more than 2.0 miles of the 4.9-mile DEL-MAR pipeline extension.”</w:t>
      </w:r>
      <w:r>
        <w:rPr>
          <w:rStyle w:val="FootnoteReference"/>
          <w:bCs/>
        </w:rPr>
        <w:footnoteReference w:id="18"/>
      </w:r>
      <w:r w:rsidR="00F62637">
        <w:rPr>
          <w:bCs/>
        </w:rPr>
        <w:t xml:space="preserve"> </w:t>
      </w:r>
    </w:p>
    <w:p w:rsidR="00DC58EC" w:rsidP="00DC58EC" w14:paraId="5D38B376" w14:textId="69CBE248">
      <w:pPr>
        <w:spacing w:line="480" w:lineRule="auto"/>
        <w:ind w:firstLine="720"/>
        <w:rPr>
          <w:bCs/>
        </w:rPr>
      </w:pPr>
      <w:r>
        <w:rPr>
          <w:bCs/>
        </w:rPr>
        <w:t>Suburban does not accept the Supreme Court of Ohio decision and the PUCO’s order on remand that only 2.0 miles of the pipeline extension were used and useful. Suburban continues to take the untenable position that it is still entitled to charge consumers for the entire 4.9 mile pipeline extension.</w:t>
      </w:r>
      <w:r>
        <w:rPr>
          <w:rStyle w:val="FootnoteReference"/>
          <w:bCs/>
        </w:rPr>
        <w:footnoteReference w:id="19"/>
      </w:r>
      <w:r>
        <w:rPr>
          <w:bCs/>
        </w:rPr>
        <w:t xml:space="preserve"> </w:t>
      </w:r>
      <w:r w:rsidR="00CB5A0F">
        <w:rPr>
          <w:bCs/>
        </w:rPr>
        <w:t>A</w:t>
      </w:r>
      <w:r w:rsidR="001C4D83">
        <w:rPr>
          <w:bCs/>
        </w:rPr>
        <w:t xml:space="preserve">nd while </w:t>
      </w:r>
      <w:r w:rsidR="00F62637">
        <w:rPr>
          <w:bCs/>
        </w:rPr>
        <w:t>Suburban</w:t>
      </w:r>
      <w:r w:rsidR="001C4D83">
        <w:rPr>
          <w:bCs/>
        </w:rPr>
        <w:t>’s</w:t>
      </w:r>
      <w:r w:rsidR="00F62637">
        <w:rPr>
          <w:bCs/>
        </w:rPr>
        <w:t xml:space="preserve"> March 4, 2022 tariffs reflected the customer charge ordered by the PUCO</w:t>
      </w:r>
      <w:r w:rsidR="001C4D83">
        <w:rPr>
          <w:bCs/>
        </w:rPr>
        <w:t>,</w:t>
      </w:r>
      <w:r w:rsidR="0063104E">
        <w:rPr>
          <w:bCs/>
        </w:rPr>
        <w:t xml:space="preserve"> </w:t>
      </w:r>
      <w:r w:rsidR="002544D4">
        <w:rPr>
          <w:bCs/>
        </w:rPr>
        <w:t>n</w:t>
      </w:r>
      <w:r w:rsidR="00B029D7">
        <w:rPr>
          <w:bCs/>
        </w:rPr>
        <w:t xml:space="preserve">othing in </w:t>
      </w:r>
      <w:r w:rsidR="002544D4">
        <w:rPr>
          <w:bCs/>
        </w:rPr>
        <w:t>the</w:t>
      </w:r>
      <w:r w:rsidR="00B029D7">
        <w:rPr>
          <w:bCs/>
        </w:rPr>
        <w:t xml:space="preserve"> tariffs reference</w:t>
      </w:r>
      <w:r w:rsidR="00DF76D9">
        <w:rPr>
          <w:bCs/>
        </w:rPr>
        <w:t>d</w:t>
      </w:r>
      <w:r w:rsidR="00B029D7">
        <w:rPr>
          <w:bCs/>
        </w:rPr>
        <w:t xml:space="preserve"> the refund</w:t>
      </w:r>
      <w:r w:rsidR="0063104E">
        <w:rPr>
          <w:bCs/>
        </w:rPr>
        <w:t xml:space="preserve"> the PUCO ordered</w:t>
      </w:r>
      <w:r w:rsidR="00F62637">
        <w:rPr>
          <w:bCs/>
        </w:rPr>
        <w:t xml:space="preserve"> for amounts Suburban</w:t>
      </w:r>
      <w:r w:rsidRPr="008A0A0E" w:rsidR="00F62637">
        <w:rPr>
          <w:bCs/>
        </w:rPr>
        <w:t xml:space="preserve"> previously charged </w:t>
      </w:r>
      <w:r w:rsidR="00F62637">
        <w:rPr>
          <w:bCs/>
        </w:rPr>
        <w:t xml:space="preserve">to consumers </w:t>
      </w:r>
      <w:r w:rsidRPr="008A0A0E" w:rsidR="00F62637">
        <w:rPr>
          <w:bCs/>
        </w:rPr>
        <w:t>for costs associated with more than 2.0 miles of pipeline.</w:t>
      </w:r>
      <w:r>
        <w:rPr>
          <w:rStyle w:val="FootnoteReference"/>
          <w:bCs/>
        </w:rPr>
        <w:footnoteReference w:id="20"/>
      </w:r>
      <w:r w:rsidR="00616F58">
        <w:rPr>
          <w:bCs/>
        </w:rPr>
        <w:t xml:space="preserve"> </w:t>
      </w:r>
      <w:r w:rsidR="0063104E">
        <w:rPr>
          <w:bCs/>
        </w:rPr>
        <w:t xml:space="preserve">Thus, </w:t>
      </w:r>
      <w:r w:rsidR="00F62637">
        <w:rPr>
          <w:bCs/>
        </w:rPr>
        <w:t xml:space="preserve">OCC </w:t>
      </w:r>
      <w:r w:rsidR="00DF76D9">
        <w:rPr>
          <w:bCs/>
        </w:rPr>
        <w:t>objected to</w:t>
      </w:r>
      <w:r w:rsidR="002544D4">
        <w:rPr>
          <w:bCs/>
        </w:rPr>
        <w:t xml:space="preserve"> the extent the tariffs contained no </w:t>
      </w:r>
      <w:r w:rsidR="00F62637">
        <w:rPr>
          <w:bCs/>
        </w:rPr>
        <w:t>reference</w:t>
      </w:r>
      <w:r w:rsidR="00DF76D9">
        <w:rPr>
          <w:bCs/>
        </w:rPr>
        <w:t xml:space="preserve"> to the refund</w:t>
      </w:r>
      <w:r w:rsidR="00F62637">
        <w:rPr>
          <w:bCs/>
        </w:rPr>
        <w:t xml:space="preserve">. </w:t>
      </w:r>
    </w:p>
    <w:p w:rsidR="005166B5" w:rsidP="00F33DE7" w14:paraId="59DEC314" w14:textId="6D4AF143">
      <w:pPr>
        <w:spacing w:line="480" w:lineRule="auto"/>
        <w:ind w:firstLine="720"/>
        <w:rPr>
          <w:bCs/>
        </w:rPr>
      </w:pPr>
      <w:r>
        <w:rPr>
          <w:bCs/>
        </w:rPr>
        <w:t>OCC</w:t>
      </w:r>
      <w:r w:rsidR="006D23EB">
        <w:rPr>
          <w:bCs/>
        </w:rPr>
        <w:t>’s</w:t>
      </w:r>
      <w:r w:rsidR="00DF76D9">
        <w:rPr>
          <w:bCs/>
        </w:rPr>
        <w:t xml:space="preserve"> </w:t>
      </w:r>
      <w:r w:rsidR="001C4D83">
        <w:rPr>
          <w:bCs/>
        </w:rPr>
        <w:t>Objections were reasonable</w:t>
      </w:r>
      <w:r>
        <w:rPr>
          <w:bCs/>
        </w:rPr>
        <w:t>. Tariffs</w:t>
      </w:r>
      <w:r w:rsidR="00F12510">
        <w:rPr>
          <w:bCs/>
        </w:rPr>
        <w:t xml:space="preserve"> that are not in compliance wit</w:t>
      </w:r>
      <w:r w:rsidR="00354619">
        <w:rPr>
          <w:bCs/>
        </w:rPr>
        <w:t>h</w:t>
      </w:r>
      <w:r w:rsidR="00F12510">
        <w:rPr>
          <w:bCs/>
        </w:rPr>
        <w:t xml:space="preserve"> PUCO orders are subject to objection. There have been many</w:t>
      </w:r>
      <w:r w:rsidR="00881783">
        <w:rPr>
          <w:bCs/>
        </w:rPr>
        <w:t xml:space="preserve"> </w:t>
      </w:r>
      <w:r w:rsidR="00F12510">
        <w:rPr>
          <w:bCs/>
        </w:rPr>
        <w:t>instances of parties, like OCC, objecting to utility tariffs that are supposedly filed “in compliance” with PUCO orders.</w:t>
      </w:r>
      <w:r>
        <w:rPr>
          <w:rStyle w:val="FootnoteReference"/>
          <w:bCs/>
        </w:rPr>
        <w:footnoteReference w:id="21"/>
      </w:r>
      <w:r w:rsidR="00F12510">
        <w:rPr>
          <w:bCs/>
        </w:rPr>
        <w:t xml:space="preserve"> </w:t>
      </w:r>
      <w:r>
        <w:rPr>
          <w:bCs/>
        </w:rPr>
        <w:t>There is nothing that makes such filings in “bad faith” or that amounts to a “sham.”</w:t>
      </w:r>
      <w:r w:rsidR="003C421A">
        <w:rPr>
          <w:bCs/>
        </w:rPr>
        <w:t xml:space="preserve"> </w:t>
      </w:r>
    </w:p>
    <w:p w:rsidR="00F33DE7" w:rsidP="00F33DE7" w14:paraId="1923D1B7" w14:textId="49F883D5">
      <w:pPr>
        <w:spacing w:line="480" w:lineRule="auto"/>
        <w:ind w:firstLine="720"/>
        <w:rPr>
          <w:bCs/>
        </w:rPr>
      </w:pPr>
      <w:r>
        <w:rPr>
          <w:bCs/>
        </w:rPr>
        <w:t>Consumers deserve</w:t>
      </w:r>
      <w:r w:rsidR="00F54A92">
        <w:rPr>
          <w:bCs/>
        </w:rPr>
        <w:t xml:space="preserve"> </w:t>
      </w:r>
      <w:r w:rsidR="002544D4">
        <w:rPr>
          <w:bCs/>
        </w:rPr>
        <w:t>c</w:t>
      </w:r>
      <w:r w:rsidR="00B029D7">
        <w:rPr>
          <w:bCs/>
        </w:rPr>
        <w:t>larity in Suburban’s tariffs</w:t>
      </w:r>
      <w:r w:rsidR="00A265DB">
        <w:rPr>
          <w:bCs/>
        </w:rPr>
        <w:t>. Consumers</w:t>
      </w:r>
      <w:r>
        <w:rPr>
          <w:bCs/>
        </w:rPr>
        <w:t xml:space="preserve"> should be able to look at Suburban’s March 4 tariff filing and see that</w:t>
      </w:r>
      <w:r w:rsidR="00A265DB">
        <w:rPr>
          <w:bCs/>
        </w:rPr>
        <w:t xml:space="preserve"> a </w:t>
      </w:r>
      <w:r>
        <w:rPr>
          <w:bCs/>
        </w:rPr>
        <w:t>refund</w:t>
      </w:r>
      <w:r w:rsidR="00A265DB">
        <w:rPr>
          <w:bCs/>
        </w:rPr>
        <w:t xml:space="preserve"> by Suburban of</w:t>
      </w:r>
      <w:r w:rsidR="004F7EB5">
        <w:rPr>
          <w:bCs/>
        </w:rPr>
        <w:t xml:space="preserve"> overcharged</w:t>
      </w:r>
      <w:r>
        <w:rPr>
          <w:bCs/>
        </w:rPr>
        <w:t xml:space="preserve"> amounts</w:t>
      </w:r>
      <w:r w:rsidR="00A265DB">
        <w:rPr>
          <w:bCs/>
        </w:rPr>
        <w:t xml:space="preserve"> is forthcoming</w:t>
      </w:r>
      <w:r w:rsidR="00F54A92">
        <w:rPr>
          <w:bCs/>
        </w:rPr>
        <w:t>.</w:t>
      </w:r>
      <w:r w:rsidR="004F7EB5">
        <w:rPr>
          <w:bCs/>
        </w:rPr>
        <w:t xml:space="preserve"> A simple sentence</w:t>
      </w:r>
      <w:r w:rsidR="00475DD1">
        <w:rPr>
          <w:bCs/>
        </w:rPr>
        <w:t xml:space="preserve"> </w:t>
      </w:r>
      <w:r w:rsidR="0015116F">
        <w:rPr>
          <w:bCs/>
        </w:rPr>
        <w:t xml:space="preserve">or footnote </w:t>
      </w:r>
      <w:r w:rsidR="004F7EB5">
        <w:rPr>
          <w:bCs/>
        </w:rPr>
        <w:t>within the tariff could have accomplished this.</w:t>
      </w:r>
    </w:p>
    <w:p w:rsidR="005C686B" w:rsidP="001C4D83" w14:paraId="09F117DF" w14:textId="005CB828">
      <w:pPr>
        <w:spacing w:line="480" w:lineRule="auto"/>
        <w:ind w:firstLine="720"/>
        <w:rPr>
          <w:bCs/>
        </w:rPr>
      </w:pPr>
      <w:r w:rsidRPr="008A0A0E">
        <w:rPr>
          <w:bCs/>
        </w:rPr>
        <w:t xml:space="preserve">Suburban </w:t>
      </w:r>
      <w:r w:rsidR="001C4D83">
        <w:rPr>
          <w:bCs/>
        </w:rPr>
        <w:t>claims</w:t>
      </w:r>
      <w:r w:rsidR="00F4561F">
        <w:rPr>
          <w:bCs/>
        </w:rPr>
        <w:t xml:space="preserve"> that OCC misrepresent</w:t>
      </w:r>
      <w:r w:rsidR="00581EAE">
        <w:rPr>
          <w:bCs/>
        </w:rPr>
        <w:t>ed</w:t>
      </w:r>
      <w:r w:rsidR="00F4561F">
        <w:rPr>
          <w:bCs/>
        </w:rPr>
        <w:t xml:space="preserve"> the PUCO’s </w:t>
      </w:r>
      <w:r w:rsidRPr="008A0A0E">
        <w:rPr>
          <w:bCs/>
        </w:rPr>
        <w:t xml:space="preserve">Order on Remand </w:t>
      </w:r>
      <w:r w:rsidR="00F4561F">
        <w:rPr>
          <w:bCs/>
        </w:rPr>
        <w:t>and the</w:t>
      </w:r>
      <w:r w:rsidRPr="008A0A0E" w:rsidR="00370963">
        <w:rPr>
          <w:bCs/>
        </w:rPr>
        <w:t xml:space="preserve"> process whereby</w:t>
      </w:r>
      <w:r w:rsidR="00F4561F">
        <w:rPr>
          <w:bCs/>
        </w:rPr>
        <w:t xml:space="preserve"> </w:t>
      </w:r>
      <w:r w:rsidRPr="008A0A0E" w:rsidR="00370963">
        <w:rPr>
          <w:bCs/>
        </w:rPr>
        <w:t>Suburban</w:t>
      </w:r>
      <w:r w:rsidR="00C10EDF">
        <w:rPr>
          <w:bCs/>
        </w:rPr>
        <w:t xml:space="preserve"> is</w:t>
      </w:r>
      <w:r w:rsidRPr="008A0A0E" w:rsidR="00370963">
        <w:rPr>
          <w:bCs/>
        </w:rPr>
        <w:t xml:space="preserve"> </w:t>
      </w:r>
      <w:r w:rsidR="00F4561F">
        <w:rPr>
          <w:bCs/>
        </w:rPr>
        <w:t>to</w:t>
      </w:r>
      <w:r w:rsidRPr="008A0A0E" w:rsidR="00370963">
        <w:rPr>
          <w:bCs/>
        </w:rPr>
        <w:t xml:space="preserve"> work with the PUCO Staff to determine the credit </w:t>
      </w:r>
      <w:r w:rsidR="00E02D01">
        <w:rPr>
          <w:bCs/>
        </w:rPr>
        <w:t xml:space="preserve">(refund) </w:t>
      </w:r>
      <w:r w:rsidRPr="008A0A0E" w:rsidR="00370963">
        <w:rPr>
          <w:bCs/>
        </w:rPr>
        <w:t>back to consumers for amounts previously charged by Suburban.</w:t>
      </w:r>
      <w:r>
        <w:rPr>
          <w:rStyle w:val="FootnoteReference"/>
          <w:bCs/>
        </w:rPr>
        <w:footnoteReference w:id="22"/>
      </w:r>
      <w:r w:rsidRPr="008A0A0E" w:rsidR="0080061E">
        <w:rPr>
          <w:bCs/>
        </w:rPr>
        <w:t xml:space="preserve"> </w:t>
      </w:r>
      <w:r w:rsidR="00F4561F">
        <w:rPr>
          <w:bCs/>
        </w:rPr>
        <w:t>OCC d</w:t>
      </w:r>
      <w:r w:rsidR="00581EAE">
        <w:rPr>
          <w:bCs/>
        </w:rPr>
        <w:t>id</w:t>
      </w:r>
      <w:r w:rsidR="00F4561F">
        <w:rPr>
          <w:bCs/>
        </w:rPr>
        <w:t xml:space="preserve"> no</w:t>
      </w:r>
      <w:r w:rsidR="00475DD1">
        <w:rPr>
          <w:bCs/>
        </w:rPr>
        <w:t xml:space="preserve"> such thing</w:t>
      </w:r>
      <w:r w:rsidR="00F4561F">
        <w:rPr>
          <w:bCs/>
        </w:rPr>
        <w:t xml:space="preserve">. </w:t>
      </w:r>
      <w:r w:rsidR="001820F9">
        <w:rPr>
          <w:bCs/>
        </w:rPr>
        <w:t>OCC</w:t>
      </w:r>
      <w:r w:rsidR="001C4D83">
        <w:rPr>
          <w:bCs/>
        </w:rPr>
        <w:t xml:space="preserve"> simply</w:t>
      </w:r>
      <w:r w:rsidR="001820F9">
        <w:rPr>
          <w:bCs/>
        </w:rPr>
        <w:t xml:space="preserve"> objected that there was no reference to the refund to consumers.</w:t>
      </w:r>
      <w:r w:rsidR="00A37671">
        <w:rPr>
          <w:bCs/>
        </w:rPr>
        <w:t xml:space="preserve"> </w:t>
      </w:r>
    </w:p>
    <w:p w:rsidR="007B2389" w:rsidP="005251DA" w14:paraId="4E89F56C" w14:textId="77777777">
      <w:pPr>
        <w:spacing w:line="480" w:lineRule="auto"/>
        <w:ind w:firstLine="720"/>
      </w:pPr>
      <w:r>
        <w:t xml:space="preserve">Suburban </w:t>
      </w:r>
      <w:r w:rsidR="001C4D83">
        <w:t xml:space="preserve">also </w:t>
      </w:r>
      <w:r>
        <w:t>claims that OCC’s Objections were filed by OCC to delay the proceedings</w:t>
      </w:r>
      <w:r w:rsidR="007A3BB6">
        <w:t xml:space="preserve"> in violation of Civ. R. 11 and O.A.C. 4901-1-27</w:t>
      </w:r>
      <w:r w:rsidR="004056E9">
        <w:t>.</w:t>
      </w:r>
      <w:r>
        <w:rPr>
          <w:rStyle w:val="FootnoteReference"/>
        </w:rPr>
        <w:footnoteReference w:id="23"/>
      </w:r>
      <w:r w:rsidR="001C4D83">
        <w:t xml:space="preserve"> That is wrong too.</w:t>
      </w:r>
      <w:r>
        <w:t xml:space="preserve"> The Objections do not delay litigation or the substantive outcome of this case at all.</w:t>
      </w:r>
      <w:r w:rsidR="001C4D83">
        <w:t xml:space="preserve"> </w:t>
      </w:r>
    </w:p>
    <w:p w:rsidR="007B2389" w:rsidP="005251DA" w14:paraId="16706C91" w14:textId="30E018D2">
      <w:pPr>
        <w:spacing w:line="480" w:lineRule="auto"/>
        <w:ind w:firstLine="720"/>
      </w:pPr>
      <w:r>
        <w:t>First,</w:t>
      </w:r>
      <w:r w:rsidR="00C02088">
        <w:t xml:space="preserve"> Suburban cites</w:t>
      </w:r>
      <w:r>
        <w:t xml:space="preserve"> O.A.C. 4901-1-27,</w:t>
      </w:r>
      <w:r w:rsidR="00C02088">
        <w:t xml:space="preserve"> but that PUCO rule</w:t>
      </w:r>
      <w:r>
        <w:t xml:space="preserve"> by its express terms applies to “Hearings.”</w:t>
      </w:r>
      <w:r w:rsidR="00C02088">
        <w:t xml:space="preserve"> The evidentiary hearings in </w:t>
      </w:r>
      <w:r w:rsidR="00D95F87">
        <w:t xml:space="preserve">this </w:t>
      </w:r>
      <w:r w:rsidR="00C02088">
        <w:t xml:space="preserve">case occurred </w:t>
      </w:r>
      <w:r w:rsidR="00E02D01">
        <w:t xml:space="preserve">and ended </w:t>
      </w:r>
      <w:r w:rsidR="00C02088">
        <w:t xml:space="preserve">almost </w:t>
      </w:r>
      <w:r w:rsidR="00C02088">
        <w:rPr>
          <w:i/>
          <w:iCs/>
        </w:rPr>
        <w:t xml:space="preserve">three years </w:t>
      </w:r>
      <w:r w:rsidR="00C02088">
        <w:t>ago in 2019. There are no further hearings currently scheduled.</w:t>
      </w:r>
      <w:r>
        <w:t xml:space="preserve"> There is no basis for Suburban’s argument that O.A.C. 4901-1-27 somehow authorizes the PUCO to impose sanctions on OCC.</w:t>
      </w:r>
      <w:r w:rsidR="00A37671">
        <w:t xml:space="preserve"> </w:t>
      </w:r>
    </w:p>
    <w:p w:rsidR="00A87578" w:rsidP="005251DA" w14:paraId="32D2DAE5" w14:textId="4133BD9E">
      <w:pPr>
        <w:spacing w:line="480" w:lineRule="auto"/>
        <w:ind w:firstLine="720"/>
      </w:pPr>
      <w:r>
        <w:t xml:space="preserve">Second, as Suburban </w:t>
      </w:r>
      <w:r w:rsidR="007A3BB6">
        <w:t>stated</w:t>
      </w:r>
      <w:r>
        <w:t xml:space="preserve"> in its motion</w:t>
      </w:r>
      <w:r w:rsidR="004056E9">
        <w:t>s</w:t>
      </w:r>
      <w:r>
        <w:t>, the PUCO’s order on remand set forth a process for Suburban to update its tariff filings.</w:t>
      </w:r>
      <w:r>
        <w:rPr>
          <w:rStyle w:val="FootnoteReference"/>
        </w:rPr>
        <w:footnoteReference w:id="24"/>
      </w:r>
      <w:r>
        <w:t xml:space="preserve"> </w:t>
      </w:r>
      <w:r w:rsidR="007A3BB6">
        <w:t xml:space="preserve">Thus, </w:t>
      </w:r>
      <w:r>
        <w:t>OCC’s Objections</w:t>
      </w:r>
      <w:r w:rsidR="004056E9">
        <w:t xml:space="preserve"> may</w:t>
      </w:r>
      <w:r>
        <w:t xml:space="preserve"> become moot </w:t>
      </w:r>
      <w:r w:rsidR="004056E9">
        <w:t>as</w:t>
      </w:r>
      <w:r>
        <w:t xml:space="preserve"> Suburban files</w:t>
      </w:r>
      <w:r w:rsidR="004056E9">
        <w:t xml:space="preserve"> updated </w:t>
      </w:r>
      <w:r>
        <w:t xml:space="preserve">tariffs clarifying the refund to consumers. Suburban </w:t>
      </w:r>
      <w:r w:rsidR="00D35BE2">
        <w:t xml:space="preserve">also </w:t>
      </w:r>
      <w:r>
        <w:t xml:space="preserve">recently filed an application for rehearing of the PUCO’s </w:t>
      </w:r>
      <w:r w:rsidR="007A3BB6">
        <w:t>o</w:t>
      </w:r>
      <w:r>
        <w:t xml:space="preserve">rder on </w:t>
      </w:r>
      <w:r w:rsidR="007A3BB6">
        <w:t>r</w:t>
      </w:r>
      <w:r>
        <w:t>emand</w:t>
      </w:r>
      <w:r w:rsidR="00D35BE2">
        <w:t>.</w:t>
      </w:r>
      <w:r>
        <w:rPr>
          <w:rStyle w:val="FootnoteReference"/>
        </w:rPr>
        <w:footnoteReference w:id="25"/>
      </w:r>
      <w:r w:rsidR="003C421A">
        <w:t xml:space="preserve"> </w:t>
      </w:r>
      <w:r>
        <w:t>But OCC’s Objections do not affect when the PUCO will rule</w:t>
      </w:r>
      <w:r w:rsidR="00D35BE2">
        <w:t xml:space="preserve"> on that</w:t>
      </w:r>
      <w:r>
        <w:t>.</w:t>
      </w:r>
      <w:r w:rsidR="00D35BE2">
        <w:t xml:space="preserve"> </w:t>
      </w:r>
      <w:r w:rsidR="00D76518">
        <w:t>O</w:t>
      </w:r>
      <w:r w:rsidR="005166B5">
        <w:t xml:space="preserve">CC’s </w:t>
      </w:r>
      <w:r w:rsidR="00D76518">
        <w:t>O</w:t>
      </w:r>
      <w:r w:rsidR="00D35BE2">
        <w:t>bjections</w:t>
      </w:r>
      <w:r w:rsidR="00CE32A1">
        <w:t xml:space="preserve"> also</w:t>
      </w:r>
      <w:r w:rsidR="00D35BE2">
        <w:t xml:space="preserve"> do not </w:t>
      </w:r>
      <w:r>
        <w:t xml:space="preserve">disrupt or seek a </w:t>
      </w:r>
      <w:r w:rsidR="00D35BE2">
        <w:t>continuance of a</w:t>
      </w:r>
      <w:r w:rsidR="006D23EB">
        <w:t>ny</w:t>
      </w:r>
      <w:r>
        <w:t xml:space="preserve"> </w:t>
      </w:r>
      <w:r w:rsidR="00D35BE2">
        <w:t>procedural schedule.</w:t>
      </w:r>
      <w:r>
        <w:t xml:space="preserve"> </w:t>
      </w:r>
      <w:r w:rsidR="00D35BE2">
        <w:t>In short,</w:t>
      </w:r>
      <w:r w:rsidR="007A3BB6">
        <w:t xml:space="preserve"> OCC’s </w:t>
      </w:r>
      <w:r>
        <w:t xml:space="preserve">Objections </w:t>
      </w:r>
      <w:r w:rsidR="007A3BB6">
        <w:t>will</w:t>
      </w:r>
      <w:r w:rsidR="009F1AE3">
        <w:t xml:space="preserve"> not result in undue</w:t>
      </w:r>
      <w:r w:rsidR="007A3BB6">
        <w:t xml:space="preserve"> </w:t>
      </w:r>
      <w:r>
        <w:t>delay</w:t>
      </w:r>
      <w:r w:rsidR="009F1AE3">
        <w:t xml:space="preserve"> in</w:t>
      </w:r>
      <w:r w:rsidR="007A3BB6">
        <w:t xml:space="preserve"> this proceeding</w:t>
      </w:r>
      <w:r>
        <w:t>.</w:t>
      </w:r>
      <w:r w:rsidR="00CE32A1">
        <w:t xml:space="preserve"> Suburban’s motions should be denied.</w:t>
      </w:r>
    </w:p>
    <w:p w:rsidR="003F6CB8" w:rsidRPr="00A37671" w:rsidP="00A37671" w14:paraId="18CDACE0" w14:textId="4760CA82">
      <w:pPr>
        <w:pStyle w:val="Heading2"/>
      </w:pPr>
      <w:bookmarkStart w:id="5" w:name="_Toc100568257"/>
      <w:r w:rsidRPr="00A37671">
        <w:t>OCC’s Objections are procedurally</w:t>
      </w:r>
      <w:r w:rsidRPr="00A37671" w:rsidR="00166FC5">
        <w:t xml:space="preserve"> </w:t>
      </w:r>
      <w:r w:rsidRPr="00A37671">
        <w:t>proper</w:t>
      </w:r>
      <w:r w:rsidRPr="00A37671" w:rsidR="00166FC5">
        <w:t xml:space="preserve"> </w:t>
      </w:r>
      <w:r w:rsidRPr="00A37671" w:rsidR="00CE32A1">
        <w:t xml:space="preserve">and consistent with OCC’s prior </w:t>
      </w:r>
      <w:r w:rsidR="00BA096A">
        <w:t xml:space="preserve">consumer protection </w:t>
      </w:r>
      <w:r w:rsidRPr="00A37671" w:rsidR="00CE32A1">
        <w:t>practice in this case of filing objections to Suburban’s tariffs. Suburban’s motions should be denied.</w:t>
      </w:r>
      <w:bookmarkEnd w:id="5"/>
      <w:r w:rsidRPr="00A37671">
        <w:t xml:space="preserve"> </w:t>
      </w:r>
    </w:p>
    <w:p w:rsidR="00CE32A1" w:rsidP="00A62620" w14:paraId="2641354B" w14:textId="364F5664">
      <w:pPr>
        <w:spacing w:line="480" w:lineRule="auto"/>
        <w:ind w:firstLine="720"/>
        <w:rPr>
          <w:bCs/>
        </w:rPr>
      </w:pPr>
      <w:r>
        <w:rPr>
          <w:bCs/>
        </w:rPr>
        <w:t>Suburban claims that OCC’s Objections should be stricken because</w:t>
      </w:r>
      <w:r w:rsidR="00C40545">
        <w:rPr>
          <w:bCs/>
        </w:rPr>
        <w:t xml:space="preserve">, </w:t>
      </w:r>
      <w:r w:rsidR="00A62620">
        <w:rPr>
          <w:bCs/>
        </w:rPr>
        <w:t>in</w:t>
      </w:r>
      <w:r w:rsidR="00C40545">
        <w:rPr>
          <w:bCs/>
        </w:rPr>
        <w:t xml:space="preserve"> Suburban</w:t>
      </w:r>
      <w:r w:rsidR="00A62620">
        <w:rPr>
          <w:bCs/>
        </w:rPr>
        <w:t>’s view</w:t>
      </w:r>
      <w:r w:rsidR="00C40545">
        <w:rPr>
          <w:bCs/>
        </w:rPr>
        <w:t>, they are a procedurally improper motion</w:t>
      </w:r>
      <w:r w:rsidR="007A3BB6">
        <w:rPr>
          <w:bCs/>
        </w:rPr>
        <w:t xml:space="preserve"> with no separate memorandum in support</w:t>
      </w:r>
      <w:r w:rsidR="00C40545">
        <w:rPr>
          <w:bCs/>
        </w:rPr>
        <w:t>.</w:t>
      </w:r>
      <w:r>
        <w:rPr>
          <w:rStyle w:val="FootnoteReference"/>
          <w:bCs/>
        </w:rPr>
        <w:footnoteReference w:id="26"/>
      </w:r>
      <w:r w:rsidR="00A62620">
        <w:rPr>
          <w:bCs/>
        </w:rPr>
        <w:t xml:space="preserve"> </w:t>
      </w:r>
      <w:r w:rsidR="007A3BB6">
        <w:rPr>
          <w:bCs/>
        </w:rPr>
        <w:t>The PUCO should reject this claim as well</w:t>
      </w:r>
      <w:r w:rsidR="00A62620">
        <w:rPr>
          <w:bCs/>
        </w:rPr>
        <w:t>.</w:t>
      </w:r>
    </w:p>
    <w:p w:rsidR="00524D92" w:rsidP="009B71C8" w14:paraId="60C0A858" w14:textId="232BAD31">
      <w:pPr>
        <w:spacing w:line="480" w:lineRule="auto"/>
        <w:ind w:firstLine="720"/>
        <w:rPr>
          <w:bCs/>
        </w:rPr>
      </w:pPr>
      <w:r>
        <w:rPr>
          <w:bCs/>
        </w:rPr>
        <w:t>P</w:t>
      </w:r>
      <w:r w:rsidR="007B2389">
        <w:rPr>
          <w:bCs/>
        </w:rPr>
        <w:t xml:space="preserve">leadings </w:t>
      </w:r>
      <w:r w:rsidR="004906E5">
        <w:rPr>
          <w:bCs/>
        </w:rPr>
        <w:t xml:space="preserve">and motions are two different things. Generally speaking, a pleading sets forth a party’s position in a case, whereas a motion asks the tribunal (here, the PUCO) to issue a ruling or order. </w:t>
      </w:r>
      <w:r>
        <w:rPr>
          <w:bCs/>
        </w:rPr>
        <w:t>OCC</w:t>
      </w:r>
      <w:r w:rsidR="00A62620">
        <w:rPr>
          <w:bCs/>
        </w:rPr>
        <w:t>’s two-page Objections</w:t>
      </w:r>
      <w:r w:rsidR="004906E5">
        <w:rPr>
          <w:bCs/>
        </w:rPr>
        <w:t xml:space="preserve"> are a</w:t>
      </w:r>
      <w:r w:rsidR="00577E1D">
        <w:rPr>
          <w:bCs/>
        </w:rPr>
        <w:t xml:space="preserve"> </w:t>
      </w:r>
      <w:r w:rsidRPr="00577E1D" w:rsidR="00577E1D">
        <w:rPr>
          <w:bCs/>
          <w:i/>
          <w:iCs/>
        </w:rPr>
        <w:t>pleading</w:t>
      </w:r>
      <w:r w:rsidR="00A62620">
        <w:rPr>
          <w:bCs/>
        </w:rPr>
        <w:t xml:space="preserve"> </w:t>
      </w:r>
      <w:r w:rsidR="004906E5">
        <w:rPr>
          <w:bCs/>
        </w:rPr>
        <w:t xml:space="preserve">that </w:t>
      </w:r>
      <w:r w:rsidR="00A62620">
        <w:rPr>
          <w:bCs/>
        </w:rPr>
        <w:t>set</w:t>
      </w:r>
      <w:r w:rsidR="00735575">
        <w:rPr>
          <w:bCs/>
        </w:rPr>
        <w:t>s</w:t>
      </w:r>
      <w:r w:rsidR="00A62620">
        <w:rPr>
          <w:bCs/>
        </w:rPr>
        <w:t xml:space="preserve"> forth OCC’s </w:t>
      </w:r>
      <w:r w:rsidR="004906E5">
        <w:rPr>
          <w:bCs/>
        </w:rPr>
        <w:t>position regarding</w:t>
      </w:r>
      <w:r w:rsidR="00A62620">
        <w:rPr>
          <w:bCs/>
        </w:rPr>
        <w:t xml:space="preserve"> Suburban’s March 4 tariff</w:t>
      </w:r>
      <w:r w:rsidR="0028406C">
        <w:rPr>
          <w:bCs/>
        </w:rPr>
        <w:t>.</w:t>
      </w:r>
      <w:r w:rsidR="00577E1D">
        <w:rPr>
          <w:bCs/>
        </w:rPr>
        <w:t xml:space="preserve"> </w:t>
      </w:r>
      <w:r w:rsidR="004906E5">
        <w:rPr>
          <w:bCs/>
        </w:rPr>
        <w:t>I</w:t>
      </w:r>
      <w:r w:rsidR="009D26E5">
        <w:rPr>
          <w:bCs/>
        </w:rPr>
        <w:t>t was not a “motion” as Suburban wrongly claims.</w:t>
      </w:r>
      <w:r w:rsidR="00577E1D">
        <w:rPr>
          <w:bCs/>
        </w:rPr>
        <w:t xml:space="preserve"> </w:t>
      </w:r>
      <w:r w:rsidR="002D48B0">
        <w:rPr>
          <w:bCs/>
        </w:rPr>
        <w:t>The</w:t>
      </w:r>
      <w:r w:rsidR="00A62620">
        <w:rPr>
          <w:bCs/>
        </w:rPr>
        <w:t xml:space="preserve"> </w:t>
      </w:r>
      <w:r w:rsidR="009D26E5">
        <w:rPr>
          <w:bCs/>
        </w:rPr>
        <w:t>Objections</w:t>
      </w:r>
      <w:r w:rsidR="002D48B0">
        <w:rPr>
          <w:bCs/>
        </w:rPr>
        <w:t xml:space="preserve"> set forth OCC’s position on Suburban’s March 4 tariffs and, like OCC does in </w:t>
      </w:r>
      <w:r w:rsidR="004906E5">
        <w:rPr>
          <w:bCs/>
        </w:rPr>
        <w:t xml:space="preserve">many </w:t>
      </w:r>
      <w:r w:rsidR="002D48B0">
        <w:rPr>
          <w:bCs/>
        </w:rPr>
        <w:t>pleading</w:t>
      </w:r>
      <w:r w:rsidR="004906E5">
        <w:rPr>
          <w:bCs/>
        </w:rPr>
        <w:t xml:space="preserve">s </w:t>
      </w:r>
      <w:r w:rsidR="002D48B0">
        <w:rPr>
          <w:bCs/>
        </w:rPr>
        <w:t xml:space="preserve">it files, argued </w:t>
      </w:r>
      <w:r>
        <w:rPr>
          <w:bCs/>
        </w:rPr>
        <w:t xml:space="preserve">that the PUCO </w:t>
      </w:r>
      <w:r w:rsidR="009D26E5">
        <w:rPr>
          <w:bCs/>
        </w:rPr>
        <w:t>should take</w:t>
      </w:r>
      <w:r>
        <w:rPr>
          <w:bCs/>
        </w:rPr>
        <w:t xml:space="preserve"> appropriate action under the law to</w:t>
      </w:r>
      <w:r w:rsidR="002D48B0">
        <w:rPr>
          <w:bCs/>
        </w:rPr>
        <w:t xml:space="preserve"> protect consumers</w:t>
      </w:r>
      <w:r>
        <w:rPr>
          <w:bCs/>
        </w:rPr>
        <w:t>.</w:t>
      </w:r>
      <w:r>
        <w:rPr>
          <w:rStyle w:val="FootnoteReference"/>
          <w:bCs/>
        </w:rPr>
        <w:footnoteReference w:id="27"/>
      </w:r>
      <w:r>
        <w:rPr>
          <w:bCs/>
        </w:rPr>
        <w:t xml:space="preserve"> </w:t>
      </w:r>
      <w:r w:rsidR="00470E77">
        <w:rPr>
          <w:bCs/>
        </w:rPr>
        <w:t xml:space="preserve">OCC </w:t>
      </w:r>
      <w:r w:rsidR="002D48B0">
        <w:rPr>
          <w:bCs/>
        </w:rPr>
        <w:t xml:space="preserve">further </w:t>
      </w:r>
      <w:r w:rsidR="00470E77">
        <w:rPr>
          <w:bCs/>
        </w:rPr>
        <w:t>cited</w:t>
      </w:r>
      <w:r w:rsidR="0066610D">
        <w:rPr>
          <w:bCs/>
        </w:rPr>
        <w:t xml:space="preserve"> R.C. 4905.54 for the proposition that the PUCO has authority to </w:t>
      </w:r>
      <w:r w:rsidR="00F570B8">
        <w:rPr>
          <w:bCs/>
        </w:rPr>
        <w:t>assess penalties</w:t>
      </w:r>
      <w:r w:rsidR="009B71C8">
        <w:rPr>
          <w:bCs/>
        </w:rPr>
        <w:t xml:space="preserve"> against Suburban</w:t>
      </w:r>
      <w:r w:rsidR="0066610D">
        <w:rPr>
          <w:bCs/>
        </w:rPr>
        <w:t xml:space="preserve"> for violati</w:t>
      </w:r>
      <w:r w:rsidR="00F570B8">
        <w:rPr>
          <w:bCs/>
        </w:rPr>
        <w:t>ng</w:t>
      </w:r>
      <w:r w:rsidR="0066610D">
        <w:rPr>
          <w:bCs/>
        </w:rPr>
        <w:t xml:space="preserve"> a PUCO order.</w:t>
      </w:r>
      <w:r>
        <w:rPr>
          <w:rStyle w:val="FootnoteReference"/>
          <w:bCs/>
        </w:rPr>
        <w:footnoteReference w:id="28"/>
      </w:r>
      <w:r w:rsidR="00577E1D">
        <w:rPr>
          <w:bCs/>
        </w:rPr>
        <w:t xml:space="preserve"> </w:t>
      </w:r>
      <w:r w:rsidR="004906E5">
        <w:rPr>
          <w:bCs/>
        </w:rPr>
        <w:t>Suburban</w:t>
      </w:r>
      <w:r w:rsidR="009B71C8">
        <w:rPr>
          <w:bCs/>
        </w:rPr>
        <w:t>’s</w:t>
      </w:r>
      <w:r w:rsidR="004906E5">
        <w:rPr>
          <w:bCs/>
        </w:rPr>
        <w:t xml:space="preserve"> claims that OCC’s language somehow transforms the Objections into a procedurally improper motion</w:t>
      </w:r>
      <w:r w:rsidR="0003427C">
        <w:rPr>
          <w:bCs/>
        </w:rPr>
        <w:t xml:space="preserve"> are</w:t>
      </w:r>
      <w:r>
        <w:rPr>
          <w:bCs/>
        </w:rPr>
        <w:t xml:space="preserve"> absurd</w:t>
      </w:r>
      <w:r w:rsidR="0003427C">
        <w:rPr>
          <w:bCs/>
        </w:rPr>
        <w:t xml:space="preserve">. </w:t>
      </w:r>
      <w:r w:rsidR="009B71C8">
        <w:rPr>
          <w:bCs/>
        </w:rPr>
        <w:t>P</w:t>
      </w:r>
      <w:r w:rsidRPr="002E7440" w:rsidR="0003427C">
        <w:t>arties participating in proceedings before the PUCO r</w:t>
      </w:r>
      <w:r w:rsidR="0003427C">
        <w:t>egularly</w:t>
      </w:r>
      <w:r w:rsidRPr="002E7440" w:rsidR="0003427C">
        <w:t xml:space="preserve"> argue in pleadings what the PUCO should or should not do </w:t>
      </w:r>
      <w:r w:rsidR="0003427C">
        <w:t>under</w:t>
      </w:r>
      <w:r w:rsidRPr="002E7440" w:rsidR="0003427C">
        <w:t xml:space="preserve"> the law. </w:t>
      </w:r>
      <w:r w:rsidR="0003427C">
        <w:t xml:space="preserve">That does not mean every </w:t>
      </w:r>
      <w:r w:rsidRPr="002E7440" w:rsidR="0003427C">
        <w:t xml:space="preserve">pleading </w:t>
      </w:r>
      <w:r>
        <w:t>filed</w:t>
      </w:r>
      <w:r w:rsidRPr="002E7440" w:rsidR="0003427C">
        <w:t xml:space="preserve"> </w:t>
      </w:r>
      <w:r w:rsidR="0003427C">
        <w:t xml:space="preserve">with those arguments </w:t>
      </w:r>
      <w:r w:rsidR="009B71C8">
        <w:t>is</w:t>
      </w:r>
      <w:r w:rsidR="0003427C">
        <w:t xml:space="preserve"> </w:t>
      </w:r>
      <w:r w:rsidRPr="002E7440" w:rsidR="0003427C">
        <w:t xml:space="preserve">also </w:t>
      </w:r>
      <w:r w:rsidR="009B71C8">
        <w:t xml:space="preserve">a </w:t>
      </w:r>
      <w:r w:rsidRPr="002E7440" w:rsidR="0003427C">
        <w:t xml:space="preserve">“motion” </w:t>
      </w:r>
      <w:r w:rsidR="0003427C">
        <w:t>that require</w:t>
      </w:r>
      <w:r w:rsidR="009B71C8">
        <w:t>s</w:t>
      </w:r>
      <w:r w:rsidR="0003427C">
        <w:t xml:space="preserve"> </w:t>
      </w:r>
      <w:r w:rsidR="009B71C8">
        <w:t xml:space="preserve">a </w:t>
      </w:r>
      <w:r>
        <w:t xml:space="preserve">separate </w:t>
      </w:r>
      <w:r w:rsidR="0003427C">
        <w:t>memorand</w:t>
      </w:r>
      <w:r w:rsidR="009B71C8">
        <w:t>um</w:t>
      </w:r>
      <w:r w:rsidR="0003427C">
        <w:t xml:space="preserve"> contra under </w:t>
      </w:r>
      <w:r w:rsidRPr="002E7440" w:rsidR="0003427C">
        <w:t>O.A.C. 4901-1-12</w:t>
      </w:r>
      <w:r w:rsidR="00D86943">
        <w:rPr>
          <w:bCs/>
        </w:rPr>
        <w:t>.</w:t>
      </w:r>
    </w:p>
    <w:p w:rsidR="00524D92" w:rsidP="00D86943" w14:paraId="5C5722F7" w14:textId="4703063B">
      <w:pPr>
        <w:spacing w:line="480" w:lineRule="auto"/>
        <w:ind w:firstLine="720"/>
      </w:pPr>
      <w:r>
        <w:rPr>
          <w:bCs/>
        </w:rPr>
        <w:t xml:space="preserve">Moreover, </w:t>
      </w:r>
      <w:r w:rsidRPr="008A0A0E" w:rsidR="00A87578">
        <w:rPr>
          <w:bCs/>
        </w:rPr>
        <w:t xml:space="preserve">OCC’s Objections </w:t>
      </w:r>
      <w:r w:rsidR="00A87578">
        <w:rPr>
          <w:bCs/>
        </w:rPr>
        <w:t>are</w:t>
      </w:r>
      <w:r w:rsidR="008F0B66">
        <w:rPr>
          <w:bCs/>
        </w:rPr>
        <w:t xml:space="preserve"> </w:t>
      </w:r>
      <w:r w:rsidRPr="008A0A0E" w:rsidR="00A87578">
        <w:rPr>
          <w:b/>
          <w:i/>
          <w:iCs/>
        </w:rPr>
        <w:t>consistent with its prior practice in this</w:t>
      </w:r>
      <w:r w:rsidR="00B83DEF">
        <w:rPr>
          <w:b/>
          <w:i/>
          <w:iCs/>
        </w:rPr>
        <w:t xml:space="preserve"> very</w:t>
      </w:r>
      <w:r w:rsidRPr="008A0A0E" w:rsidR="00A87578">
        <w:rPr>
          <w:b/>
          <w:i/>
          <w:iCs/>
        </w:rPr>
        <w:t xml:space="preserve"> case</w:t>
      </w:r>
      <w:r w:rsidR="00A87578">
        <w:rPr>
          <w:bCs/>
        </w:rPr>
        <w:t xml:space="preserve"> of objecting to Suburban’s proposed tariffs. On October 15, 2021, </w:t>
      </w:r>
      <w:r w:rsidRPr="008A0A0E" w:rsidR="00A87578">
        <w:rPr>
          <w:bCs/>
        </w:rPr>
        <w:t xml:space="preserve">OCC </w:t>
      </w:r>
      <w:r w:rsidR="00A87578">
        <w:rPr>
          <w:bCs/>
        </w:rPr>
        <w:t xml:space="preserve">filed </w:t>
      </w:r>
      <w:r w:rsidRPr="008A0A0E" w:rsidR="00A87578">
        <w:rPr>
          <w:bCs/>
        </w:rPr>
        <w:t>ob</w:t>
      </w:r>
      <w:r w:rsidR="00A87578">
        <w:rPr>
          <w:bCs/>
        </w:rPr>
        <w:t>jections</w:t>
      </w:r>
      <w:r w:rsidRPr="008A0A0E" w:rsidR="00A87578">
        <w:rPr>
          <w:bCs/>
        </w:rPr>
        <w:t xml:space="preserve"> to </w:t>
      </w:r>
      <w:r w:rsidR="00A87578">
        <w:rPr>
          <w:bCs/>
        </w:rPr>
        <w:t xml:space="preserve">Suburban’s </w:t>
      </w:r>
      <w:r w:rsidRPr="008A0A0E" w:rsidR="00A87578">
        <w:rPr>
          <w:bCs/>
        </w:rPr>
        <w:t>tariffs to the extent that they were vague.</w:t>
      </w:r>
      <w:r>
        <w:rPr>
          <w:rStyle w:val="FootnoteReference"/>
          <w:bCs/>
        </w:rPr>
        <w:footnoteReference w:id="29"/>
      </w:r>
      <w:r w:rsidR="00A87578">
        <w:rPr>
          <w:bCs/>
        </w:rPr>
        <w:t xml:space="preserve"> Yet Suburban did not file </w:t>
      </w:r>
      <w:r w:rsidR="008F0B66">
        <w:rPr>
          <w:bCs/>
        </w:rPr>
        <w:t xml:space="preserve">motions to strike or </w:t>
      </w:r>
      <w:r w:rsidR="00A87578">
        <w:rPr>
          <w:bCs/>
        </w:rPr>
        <w:t>for sanctions against OCC then.</w:t>
      </w:r>
      <w:r w:rsidRPr="008A0A0E" w:rsidR="00A87578">
        <w:rPr>
          <w:bCs/>
        </w:rPr>
        <w:t xml:space="preserve"> </w:t>
      </w:r>
      <w:r w:rsidR="00D86943">
        <w:rPr>
          <w:bCs/>
        </w:rPr>
        <w:t>T</w:t>
      </w:r>
      <w:r w:rsidRPr="008A0A0E" w:rsidR="00A87578">
        <w:rPr>
          <w:bCs/>
        </w:rPr>
        <w:t xml:space="preserve">he PUCO subsequently directed Suburban to clarify </w:t>
      </w:r>
      <w:r w:rsidR="00A87578">
        <w:rPr>
          <w:bCs/>
        </w:rPr>
        <w:t xml:space="preserve">its </w:t>
      </w:r>
      <w:r w:rsidRPr="008A0A0E" w:rsidR="00A87578">
        <w:rPr>
          <w:bCs/>
        </w:rPr>
        <w:t>tariff consistent with OCC’s recommendation.</w:t>
      </w:r>
      <w:r>
        <w:rPr>
          <w:rStyle w:val="FootnoteReference"/>
          <w:bCs/>
        </w:rPr>
        <w:footnoteReference w:id="30"/>
      </w:r>
      <w:r w:rsidRPr="008A0A0E" w:rsidR="00A87578">
        <w:rPr>
          <w:bCs/>
        </w:rPr>
        <w:t xml:space="preserve"> </w:t>
      </w:r>
      <w:r w:rsidR="00A87578">
        <w:rPr>
          <w:bCs/>
        </w:rPr>
        <w:t>T</w:t>
      </w:r>
      <w:r w:rsidRPr="008A0A0E" w:rsidR="00A87578">
        <w:rPr>
          <w:bCs/>
        </w:rPr>
        <w:t>he PUCO stated in a</w:t>
      </w:r>
      <w:r w:rsidR="00A87578">
        <w:rPr>
          <w:bCs/>
        </w:rPr>
        <w:t xml:space="preserve"> subsequent</w:t>
      </w:r>
      <w:r w:rsidRPr="008A0A0E" w:rsidR="00A87578">
        <w:rPr>
          <w:bCs/>
        </w:rPr>
        <w:t xml:space="preserve"> entry: “ </w:t>
      </w:r>
      <w:r w:rsidRPr="008A0A0E" w:rsidR="00A87578">
        <w:t xml:space="preserve">The Commission finds that Suburban’s compliance tariff filing should be approved with modifications, </w:t>
      </w:r>
      <w:r w:rsidRPr="008A0A0E" w:rsidR="00A87578">
        <w:rPr>
          <w:b/>
          <w:bCs/>
          <w:i/>
          <w:iCs/>
        </w:rPr>
        <w:t>as we agree with OCC that the tariffs should be clarified</w:t>
      </w:r>
      <w:r w:rsidRPr="008A0A0E" w:rsidR="00A87578">
        <w:t xml:space="preserve"> to provide that the customer service charge and the usage charge are subject to refund to the extent that they include costs associated with more than 2.0 miles of the 4.9- mile DEL-MAR pipeline extension.”</w:t>
      </w:r>
      <w:r>
        <w:rPr>
          <w:rStyle w:val="FootnoteReference"/>
        </w:rPr>
        <w:footnoteReference w:id="31"/>
      </w:r>
      <w:r w:rsidR="00D86943">
        <w:t xml:space="preserve"> The PUCO did not</w:t>
      </w:r>
      <w:r w:rsidR="004A543F">
        <w:t xml:space="preserve"> find that OCC’s October 15, 2021 objections were procedurally improper. </w:t>
      </w:r>
    </w:p>
    <w:p w:rsidR="00375BD2" w:rsidP="00D86943" w14:paraId="3BACC416" w14:textId="181C4DAD">
      <w:pPr>
        <w:spacing w:line="480" w:lineRule="auto"/>
        <w:ind w:firstLine="720"/>
      </w:pPr>
      <w:r w:rsidRPr="008A0A0E">
        <w:t xml:space="preserve">OCC’s Objections </w:t>
      </w:r>
      <w:r w:rsidR="00696EE4">
        <w:t>were proper and</w:t>
      </w:r>
      <w:r w:rsidRPr="008A0A0E">
        <w:t xml:space="preserve"> </w:t>
      </w:r>
      <w:r w:rsidR="00095378">
        <w:t>similar to</w:t>
      </w:r>
      <w:r w:rsidRPr="008A0A0E">
        <w:t xml:space="preserve"> the objections OCC previously filed in this case.</w:t>
      </w:r>
      <w:r>
        <w:rPr>
          <w:rStyle w:val="FootnoteReference"/>
        </w:rPr>
        <w:footnoteReference w:id="32"/>
      </w:r>
      <w:r w:rsidRPr="008A0A0E">
        <w:t xml:space="preserve"> </w:t>
      </w:r>
      <w:r w:rsidR="00696EE4">
        <w:t xml:space="preserve">While </w:t>
      </w:r>
      <w:r w:rsidR="005D4801">
        <w:t>S</w:t>
      </w:r>
      <w:r>
        <w:t xml:space="preserve">uburban </w:t>
      </w:r>
      <w:r w:rsidR="00095378">
        <w:t>may</w:t>
      </w:r>
      <w:r>
        <w:t xml:space="preserve"> respond</w:t>
      </w:r>
      <w:r w:rsidR="00004AEC">
        <w:t xml:space="preserve"> to the Objections</w:t>
      </w:r>
      <w:r w:rsidR="00B83DEF">
        <w:t xml:space="preserve">, </w:t>
      </w:r>
      <w:r w:rsidR="00004AEC">
        <w:t xml:space="preserve">there is no basis for Suburban’s </w:t>
      </w:r>
      <w:r w:rsidR="00696EE4">
        <w:t>claims that the</w:t>
      </w:r>
      <w:r w:rsidR="00B83DEF">
        <w:t xml:space="preserve"> Objections violate O.A.C 4901-1-12</w:t>
      </w:r>
      <w:r w:rsidR="00696EE4">
        <w:t>.</w:t>
      </w:r>
      <w:r w:rsidR="00A37671">
        <w:t xml:space="preserve"> </w:t>
      </w:r>
      <w:r w:rsidR="00696EE4">
        <w:t>There</w:t>
      </w:r>
      <w:r w:rsidR="00B83DEF">
        <w:t xml:space="preserve"> </w:t>
      </w:r>
      <w:r w:rsidR="005D4801">
        <w:t>certainly</w:t>
      </w:r>
      <w:r w:rsidR="00696EE4">
        <w:t xml:space="preserve"> is</w:t>
      </w:r>
      <w:r w:rsidR="005D4801">
        <w:t xml:space="preserve"> no basis for</w:t>
      </w:r>
      <w:r w:rsidR="00004AEC">
        <w:t xml:space="preserve"> sanctions</w:t>
      </w:r>
      <w:r w:rsidR="005D4801">
        <w:t xml:space="preserve"> against OCC</w:t>
      </w:r>
      <w:r w:rsidR="00004AEC">
        <w:t xml:space="preserve">. </w:t>
      </w:r>
      <w:r w:rsidR="00B83DEF">
        <w:t>How c</w:t>
      </w:r>
      <w:r w:rsidR="00623C92">
        <w:t>an</w:t>
      </w:r>
      <w:r w:rsidR="00B83DEF">
        <w:t xml:space="preserve"> OCC’s Objections</w:t>
      </w:r>
      <w:r w:rsidR="00623C92">
        <w:t xml:space="preserve"> possibly</w:t>
      </w:r>
      <w:r w:rsidR="00B83DEF">
        <w:t xml:space="preserve"> be “bad faith”</w:t>
      </w:r>
      <w:r w:rsidR="00623C92">
        <w:t xml:space="preserve"> or improper when OCC </w:t>
      </w:r>
      <w:r w:rsidR="00285DB4">
        <w:t>pr</w:t>
      </w:r>
      <w:r w:rsidR="00875D88">
        <w:t xml:space="preserve">eviously </w:t>
      </w:r>
      <w:r w:rsidR="00623C92">
        <w:t xml:space="preserve">followed the exact same procedure in this case without </w:t>
      </w:r>
      <w:r w:rsidR="00285DB4">
        <w:t>complaint</w:t>
      </w:r>
      <w:r w:rsidR="00623C92">
        <w:t>?</w:t>
      </w:r>
      <w:r w:rsidR="00004AEC">
        <w:t xml:space="preserve"> </w:t>
      </w:r>
      <w:r w:rsidR="00696EE4">
        <w:t xml:space="preserve">It is </w:t>
      </w:r>
      <w:r w:rsidR="00285DB4">
        <w:t>Suburban who is the vexatious litigator here – not OCC.</w:t>
      </w:r>
    </w:p>
    <w:p w:rsidR="009F2224" w:rsidP="00106C3F" w14:paraId="7AD5D295" w14:textId="6F49CA6D">
      <w:pPr>
        <w:spacing w:line="480" w:lineRule="auto"/>
        <w:ind w:firstLine="720"/>
        <w:rPr>
          <w:bCs/>
        </w:rPr>
      </w:pPr>
      <w:r>
        <w:rPr>
          <w:bCs/>
        </w:rPr>
        <w:t xml:space="preserve">Suburban </w:t>
      </w:r>
      <w:r w:rsidR="00285DB4">
        <w:rPr>
          <w:bCs/>
        </w:rPr>
        <w:t>also</w:t>
      </w:r>
      <w:r>
        <w:rPr>
          <w:bCs/>
        </w:rPr>
        <w:t xml:space="preserve"> complains of wasted resources and</w:t>
      </w:r>
      <w:r w:rsidR="00C571AF">
        <w:rPr>
          <w:bCs/>
        </w:rPr>
        <w:t xml:space="preserve"> the</w:t>
      </w:r>
      <w:r>
        <w:rPr>
          <w:bCs/>
        </w:rPr>
        <w:t xml:space="preserve"> “cost </w:t>
      </w:r>
      <w:r w:rsidR="00B611DA">
        <w:rPr>
          <w:bCs/>
        </w:rPr>
        <w:t>[</w:t>
      </w:r>
      <w:r>
        <w:rPr>
          <w:bCs/>
        </w:rPr>
        <w:t>to</w:t>
      </w:r>
      <w:r w:rsidR="00B611DA">
        <w:rPr>
          <w:bCs/>
        </w:rPr>
        <w:t>]</w:t>
      </w:r>
      <w:r>
        <w:rPr>
          <w:bCs/>
        </w:rPr>
        <w:t xml:space="preserve"> Suburban and its </w:t>
      </w:r>
      <w:r w:rsidRPr="00343237">
        <w:rPr>
          <w:b/>
          <w:i/>
          <w:iCs/>
        </w:rPr>
        <w:t>customers</w:t>
      </w:r>
      <w:r>
        <w:rPr>
          <w:bCs/>
        </w:rPr>
        <w:t xml:space="preserve"> [] for having to respond to such a frivolous pleading.”</w:t>
      </w:r>
      <w:r>
        <w:rPr>
          <w:rStyle w:val="FootnoteReference"/>
          <w:bCs/>
        </w:rPr>
        <w:footnoteReference w:id="33"/>
      </w:r>
      <w:r>
        <w:rPr>
          <w:bCs/>
        </w:rPr>
        <w:t xml:space="preserve"> Th</w:t>
      </w:r>
      <w:r w:rsidR="00285DB4">
        <w:rPr>
          <w:bCs/>
        </w:rPr>
        <w:t>is</w:t>
      </w:r>
      <w:r w:rsidR="00623C92">
        <w:rPr>
          <w:bCs/>
        </w:rPr>
        <w:t xml:space="preserve"> </w:t>
      </w:r>
      <w:r>
        <w:rPr>
          <w:bCs/>
        </w:rPr>
        <w:t xml:space="preserve">claim </w:t>
      </w:r>
      <w:r w:rsidR="00285DB4">
        <w:rPr>
          <w:bCs/>
        </w:rPr>
        <w:t>should be rejected too</w:t>
      </w:r>
      <w:r>
        <w:rPr>
          <w:bCs/>
        </w:rPr>
        <w:t>. T</w:t>
      </w:r>
      <w:r w:rsidR="00C8586B">
        <w:rPr>
          <w:bCs/>
        </w:rPr>
        <w:t xml:space="preserve">he irony of </w:t>
      </w:r>
      <w:r>
        <w:rPr>
          <w:bCs/>
        </w:rPr>
        <w:t>Suburban’s</w:t>
      </w:r>
      <w:r w:rsidR="00C8586B">
        <w:rPr>
          <w:bCs/>
        </w:rPr>
        <w:t xml:space="preserve"> new</w:t>
      </w:r>
      <w:r w:rsidR="00623C92">
        <w:rPr>
          <w:bCs/>
        </w:rPr>
        <w:t>-</w:t>
      </w:r>
      <w:r w:rsidR="00C8586B">
        <w:rPr>
          <w:bCs/>
        </w:rPr>
        <w:t>found</w:t>
      </w:r>
      <w:r>
        <w:rPr>
          <w:bCs/>
        </w:rPr>
        <w:t xml:space="preserve"> concern for costs to consumers </w:t>
      </w:r>
      <w:r w:rsidR="00C8586B">
        <w:rPr>
          <w:bCs/>
        </w:rPr>
        <w:t>is stunning</w:t>
      </w:r>
      <w:r>
        <w:rPr>
          <w:bCs/>
        </w:rPr>
        <w:t xml:space="preserve">. Indeed, Suburban is still </w:t>
      </w:r>
      <w:r w:rsidR="00285DB4">
        <w:rPr>
          <w:bCs/>
        </w:rPr>
        <w:t>doing all it can</w:t>
      </w:r>
      <w:r>
        <w:rPr>
          <w:bCs/>
        </w:rPr>
        <w:t xml:space="preserve"> to </w:t>
      </w:r>
      <w:r w:rsidRPr="00366B39">
        <w:rPr>
          <w:b/>
          <w:i/>
          <w:iCs/>
        </w:rPr>
        <w:t>charge</w:t>
      </w:r>
      <w:r>
        <w:rPr>
          <w:bCs/>
        </w:rPr>
        <w:t xml:space="preserve"> consumers for a pipeline extension that the PUCO found (on remand from the Court) not to be used and useful under Ohio’s ratemaking law (R.C. 4909.15).</w:t>
      </w:r>
      <w:r>
        <w:rPr>
          <w:rStyle w:val="FootnoteReference"/>
          <w:bCs/>
        </w:rPr>
        <w:footnoteReference w:id="34"/>
      </w:r>
      <w:r w:rsidR="00C8586B">
        <w:rPr>
          <w:bCs/>
        </w:rPr>
        <w:t xml:space="preserve"> </w:t>
      </w:r>
    </w:p>
    <w:p w:rsidR="00375BD2" w:rsidRPr="00106C3F" w:rsidP="00106C3F" w14:paraId="6DEB66B7" w14:textId="79D5FF42">
      <w:pPr>
        <w:spacing w:line="480" w:lineRule="auto"/>
        <w:ind w:firstLine="720"/>
        <w:rPr>
          <w:rStyle w:val="ssleftalign"/>
          <w:bCs/>
        </w:rPr>
      </w:pPr>
      <w:r>
        <w:rPr>
          <w:bCs/>
        </w:rPr>
        <w:t>As for the costs to Suburban in this case,</w:t>
      </w:r>
      <w:r w:rsidR="00106C3F">
        <w:rPr>
          <w:bCs/>
        </w:rPr>
        <w:t xml:space="preserve"> Suburban</w:t>
      </w:r>
      <w:r w:rsidR="00623C92">
        <w:rPr>
          <w:bCs/>
        </w:rPr>
        <w:t xml:space="preserve"> </w:t>
      </w:r>
      <w:r w:rsidR="00C571AF">
        <w:rPr>
          <w:bCs/>
        </w:rPr>
        <w:t>(</w:t>
      </w:r>
      <w:r w:rsidRPr="00C571AF" w:rsidR="00623C92">
        <w:rPr>
          <w:bCs/>
        </w:rPr>
        <w:t>a fully regulated distribution utility</w:t>
      </w:r>
      <w:r w:rsidR="00623C92">
        <w:rPr>
          <w:bCs/>
        </w:rPr>
        <w:t xml:space="preserve"> </w:t>
      </w:r>
      <w:r w:rsidR="00285DB4">
        <w:rPr>
          <w:bCs/>
        </w:rPr>
        <w:t>represented by counsel</w:t>
      </w:r>
      <w:r w:rsidR="00C571AF">
        <w:rPr>
          <w:bCs/>
        </w:rPr>
        <w:t>)</w:t>
      </w:r>
      <w:r w:rsidR="00285DB4">
        <w:rPr>
          <w:bCs/>
        </w:rPr>
        <w:t xml:space="preserve"> h</w:t>
      </w:r>
      <w:r w:rsidR="00623C92">
        <w:rPr>
          <w:bCs/>
        </w:rPr>
        <w:t>as no cause to</w:t>
      </w:r>
      <w:r w:rsidR="00106C3F">
        <w:rPr>
          <w:bCs/>
        </w:rPr>
        <w:t xml:space="preserve"> complain.</w:t>
      </w:r>
      <w:r>
        <w:rPr>
          <w:bCs/>
        </w:rPr>
        <w:t xml:space="preserve"> </w:t>
      </w:r>
      <w:r w:rsidR="009A02F3">
        <w:rPr>
          <w:rStyle w:val="ssleftalign"/>
        </w:rPr>
        <w:t xml:space="preserve">The Supreme Court of Ohio has held that: </w:t>
      </w:r>
      <w:r w:rsidRPr="00D1223C">
        <w:rPr>
          <w:rStyle w:val="ssleftalign"/>
        </w:rPr>
        <w:t>“</w:t>
      </w:r>
      <w:r w:rsidR="00B611DA">
        <w:rPr>
          <w:rStyle w:val="ssleftalign"/>
        </w:rPr>
        <w:t>A</w:t>
      </w:r>
      <w:r w:rsidRPr="00D1223C">
        <w:rPr>
          <w:rStyle w:val="ssleftalign"/>
        </w:rPr>
        <w:t xml:space="preserve">ny uncertainty which the utility harbors as to the </w:t>
      </w:r>
      <w:r w:rsidRPr="00D1223C">
        <w:rPr>
          <w:rStyle w:val="sssh"/>
        </w:rPr>
        <w:t>used</w:t>
      </w:r>
      <w:r w:rsidRPr="00D1223C">
        <w:rPr>
          <w:rStyle w:val="ssleftalign"/>
        </w:rPr>
        <w:t xml:space="preserve"> and </w:t>
      </w:r>
      <w:r w:rsidRPr="00D1223C">
        <w:rPr>
          <w:rStyle w:val="sssh"/>
        </w:rPr>
        <w:t>useful</w:t>
      </w:r>
      <w:r w:rsidRPr="00D1223C">
        <w:rPr>
          <w:rStyle w:val="ssleftalign"/>
        </w:rPr>
        <w:t xml:space="preserve"> status of its property, and therefore its includability in the rate base, can be minimized by the careful selection of the date at which the utility chooses to file its application for the rate increase.”</w:t>
      </w:r>
      <w:r>
        <w:rPr>
          <w:rStyle w:val="FootnoteReference"/>
        </w:rPr>
        <w:footnoteReference w:id="35"/>
      </w:r>
      <w:r w:rsidRPr="00D1223C">
        <w:rPr>
          <w:rStyle w:val="ssleftalign"/>
        </w:rPr>
        <w:t xml:space="preserve"> </w:t>
      </w:r>
      <w:r w:rsidR="00106C3F">
        <w:rPr>
          <w:rStyle w:val="ssleftalign"/>
        </w:rPr>
        <w:t xml:space="preserve">Thus, </w:t>
      </w:r>
      <w:r w:rsidRPr="00D1223C">
        <w:rPr>
          <w:rStyle w:val="ssleftalign"/>
        </w:rPr>
        <w:t>Suburban could have controlled the result here</w:t>
      </w:r>
      <w:r>
        <w:rPr>
          <w:rStyle w:val="ssleftalign"/>
        </w:rPr>
        <w:t xml:space="preserve"> – and its subsequent costs and resources – but it </w:t>
      </w:r>
      <w:r w:rsidRPr="00D1223C">
        <w:rPr>
          <w:rStyle w:val="ssleftalign"/>
        </w:rPr>
        <w:t xml:space="preserve">failed to do so. </w:t>
      </w:r>
    </w:p>
    <w:p w:rsidR="004A543F" w:rsidP="00B7799E" w14:paraId="202292DD" w14:textId="6094689E">
      <w:pPr>
        <w:spacing w:line="480" w:lineRule="auto"/>
        <w:ind w:firstLine="720"/>
      </w:pPr>
      <w:r>
        <w:rPr>
          <w:rStyle w:val="ssleftalign"/>
        </w:rPr>
        <w:t xml:space="preserve">Finally, </w:t>
      </w:r>
      <w:r w:rsidR="00375BD2">
        <w:rPr>
          <w:rStyle w:val="ssleftalign"/>
        </w:rPr>
        <w:t>Suburban could have simply responded to OCC’s Objections</w:t>
      </w:r>
      <w:r w:rsidR="00843A02">
        <w:rPr>
          <w:rStyle w:val="ssleftalign"/>
        </w:rPr>
        <w:t xml:space="preserve"> and/or</w:t>
      </w:r>
      <w:r w:rsidR="00375BD2">
        <w:rPr>
          <w:rStyle w:val="ssleftalign"/>
        </w:rPr>
        <w:t xml:space="preserve"> agree</w:t>
      </w:r>
      <w:r w:rsidR="00843A02">
        <w:rPr>
          <w:rStyle w:val="ssleftalign"/>
        </w:rPr>
        <w:t>d</w:t>
      </w:r>
      <w:r w:rsidR="00375BD2">
        <w:rPr>
          <w:rStyle w:val="ssleftalign"/>
        </w:rPr>
        <w:t xml:space="preserve"> to reference the future refund in </w:t>
      </w:r>
      <w:r w:rsidR="00B7799E">
        <w:rPr>
          <w:rStyle w:val="ssleftalign"/>
        </w:rPr>
        <w:t>its tariffs</w:t>
      </w:r>
      <w:r w:rsidR="00375BD2">
        <w:rPr>
          <w:rStyle w:val="ssleftalign"/>
        </w:rPr>
        <w:t xml:space="preserve">. </w:t>
      </w:r>
      <w:r w:rsidR="00843A02">
        <w:rPr>
          <w:rStyle w:val="ssleftalign"/>
        </w:rPr>
        <w:t xml:space="preserve">Instead, </w:t>
      </w:r>
      <w:r w:rsidR="00375BD2">
        <w:rPr>
          <w:rStyle w:val="ssleftalign"/>
        </w:rPr>
        <w:t>Suburban pa</w:t>
      </w:r>
      <w:r w:rsidR="00843A02">
        <w:rPr>
          <w:rStyle w:val="ssleftalign"/>
        </w:rPr>
        <w:t>id</w:t>
      </w:r>
      <w:r w:rsidR="00375BD2">
        <w:rPr>
          <w:rStyle w:val="ssleftalign"/>
        </w:rPr>
        <w:t xml:space="preserve"> its attorneys</w:t>
      </w:r>
      <w:r w:rsidR="00285DB4">
        <w:rPr>
          <w:rStyle w:val="ssleftalign"/>
        </w:rPr>
        <w:t xml:space="preserve"> </w:t>
      </w:r>
      <w:r w:rsidR="00E82052">
        <w:rPr>
          <w:rStyle w:val="ssleftalign"/>
        </w:rPr>
        <w:t>likely</w:t>
      </w:r>
      <w:r w:rsidR="00375BD2">
        <w:rPr>
          <w:rStyle w:val="ssleftalign"/>
        </w:rPr>
        <w:t xml:space="preserve"> hundreds of dollars per hour to </w:t>
      </w:r>
      <w:r w:rsidR="00C571AF">
        <w:rPr>
          <w:rStyle w:val="ssleftalign"/>
        </w:rPr>
        <w:t xml:space="preserve">attack </w:t>
      </w:r>
      <w:r w:rsidR="00375BD2">
        <w:rPr>
          <w:rStyle w:val="ssleftalign"/>
        </w:rPr>
        <w:t xml:space="preserve">OCC. </w:t>
      </w:r>
      <w:r w:rsidR="002774FB">
        <w:rPr>
          <w:rStyle w:val="ssleftalign"/>
        </w:rPr>
        <w:t xml:space="preserve">OCC </w:t>
      </w:r>
      <w:r w:rsidR="00E82052">
        <w:rPr>
          <w:rStyle w:val="ssleftalign"/>
        </w:rPr>
        <w:t>cannot be</w:t>
      </w:r>
      <w:r w:rsidR="002774FB">
        <w:rPr>
          <w:rStyle w:val="ssleftalign"/>
        </w:rPr>
        <w:t xml:space="preserve"> blame</w:t>
      </w:r>
      <w:r w:rsidR="00E82052">
        <w:rPr>
          <w:rStyle w:val="ssleftalign"/>
        </w:rPr>
        <w:t>d</w:t>
      </w:r>
      <w:r w:rsidR="002774FB">
        <w:rPr>
          <w:rStyle w:val="ssleftalign"/>
        </w:rPr>
        <w:t xml:space="preserve"> </w:t>
      </w:r>
      <w:r w:rsidR="00D82B18">
        <w:rPr>
          <w:rStyle w:val="ssleftalign"/>
        </w:rPr>
        <w:t xml:space="preserve">for </w:t>
      </w:r>
      <w:r w:rsidR="00843A02">
        <w:rPr>
          <w:rStyle w:val="ssleftalign"/>
        </w:rPr>
        <w:t>Suburban</w:t>
      </w:r>
      <w:r w:rsidR="002774FB">
        <w:rPr>
          <w:rStyle w:val="ssleftalign"/>
        </w:rPr>
        <w:t>’</w:t>
      </w:r>
      <w:r w:rsidR="00E769AC">
        <w:rPr>
          <w:rStyle w:val="ssleftalign"/>
        </w:rPr>
        <w:t>s</w:t>
      </w:r>
      <w:r w:rsidR="002774FB">
        <w:rPr>
          <w:rStyle w:val="ssleftalign"/>
        </w:rPr>
        <w:t xml:space="preserve"> </w:t>
      </w:r>
      <w:r w:rsidR="00E769AC">
        <w:rPr>
          <w:rStyle w:val="ssleftalign"/>
        </w:rPr>
        <w:t>decision to pay for attorney work product that</w:t>
      </w:r>
      <w:r w:rsidR="00875D88">
        <w:rPr>
          <w:rStyle w:val="ssleftalign"/>
        </w:rPr>
        <w:t xml:space="preserve"> has no legal basis and</w:t>
      </w:r>
      <w:r w:rsidR="00843A02">
        <w:rPr>
          <w:rStyle w:val="ssleftalign"/>
        </w:rPr>
        <w:t xml:space="preserve"> </w:t>
      </w:r>
      <w:r w:rsidR="00E769AC">
        <w:rPr>
          <w:rStyle w:val="ssleftalign"/>
        </w:rPr>
        <w:t xml:space="preserve">serves no purpose but </w:t>
      </w:r>
      <w:r w:rsidR="00843A02">
        <w:rPr>
          <w:rStyle w:val="ssleftalign"/>
        </w:rPr>
        <w:t xml:space="preserve">to </w:t>
      </w:r>
      <w:r w:rsidR="00E82052">
        <w:rPr>
          <w:rStyle w:val="ssleftalign"/>
        </w:rPr>
        <w:t>bully</w:t>
      </w:r>
      <w:r w:rsidR="00843A02">
        <w:rPr>
          <w:rStyle w:val="ssleftalign"/>
        </w:rPr>
        <w:t xml:space="preserve"> OCC</w:t>
      </w:r>
      <w:r w:rsidR="00E82052">
        <w:rPr>
          <w:rStyle w:val="ssleftalign"/>
        </w:rPr>
        <w:t xml:space="preserve"> and besmirch its counsel</w:t>
      </w:r>
      <w:r w:rsidR="00843A02">
        <w:rPr>
          <w:rStyle w:val="ssleftalign"/>
        </w:rPr>
        <w:t xml:space="preserve">. </w:t>
      </w:r>
      <w:r w:rsidR="00106C3F">
        <w:rPr>
          <w:rStyle w:val="ssleftalign"/>
        </w:rPr>
        <w:t xml:space="preserve">For this additional reason, </w:t>
      </w:r>
      <w:r w:rsidR="00004AEC">
        <w:t xml:space="preserve">Suburban’s motions should be denied. </w:t>
      </w:r>
    </w:p>
    <w:p w:rsidR="00524D92" w:rsidP="00A37671" w14:paraId="16ED7E11" w14:textId="5EEA8146">
      <w:pPr>
        <w:pStyle w:val="Heading2"/>
        <w:rPr>
          <w:b w:val="0"/>
          <w:bCs w:val="0"/>
        </w:rPr>
      </w:pPr>
      <w:bookmarkStart w:id="6" w:name="_Toc100568258"/>
      <w:r>
        <w:t xml:space="preserve">Granting Suburban’s motions would be bad </w:t>
      </w:r>
      <w:r w:rsidR="00274141">
        <w:t xml:space="preserve">public </w:t>
      </w:r>
      <w:r>
        <w:t>policy and harm consumers.</w:t>
      </w:r>
      <w:bookmarkEnd w:id="6"/>
    </w:p>
    <w:p w:rsidR="00956220" w:rsidP="002937E4" w14:paraId="7827F1BB" w14:textId="19FDC53D">
      <w:pPr>
        <w:spacing w:line="480" w:lineRule="auto"/>
        <w:ind w:firstLine="720"/>
        <w:rPr>
          <w:rStyle w:val="ssleftalign"/>
        </w:rPr>
      </w:pPr>
      <w:r>
        <w:t>Suburban’s motions prove that consumers need strong consumer advocacy from OCC. Granting</w:t>
      </w:r>
      <w:r w:rsidR="005D4801">
        <w:t xml:space="preserve"> Suburban’s motion for sanctions and to strike the Objections </w:t>
      </w:r>
      <w:r>
        <w:t xml:space="preserve">would be horrible </w:t>
      </w:r>
      <w:r w:rsidR="0062200F">
        <w:t>policy</w:t>
      </w:r>
      <w:r>
        <w:t xml:space="preserve"> for consumers</w:t>
      </w:r>
      <w:r w:rsidR="0062200F">
        <w:t xml:space="preserve">. Suburban </w:t>
      </w:r>
      <w:r w:rsidRPr="002937E4" w:rsidR="0062200F">
        <w:t>cannot</w:t>
      </w:r>
      <w:r w:rsidR="0062200F">
        <w:t xml:space="preserve"> demonstrate that OCC has acted in bad faith by filing the Objections to Suburban’s tariffs</w:t>
      </w:r>
      <w:r w:rsidR="002937E4">
        <w:t xml:space="preserve">. Suburban cannot demonstrate that OCC has acted in </w:t>
      </w:r>
      <w:r w:rsidR="0062200F">
        <w:t>a way inconsistent with the PUCO’s rules or</w:t>
      </w:r>
      <w:r w:rsidR="00B56C8B">
        <w:t xml:space="preserve"> </w:t>
      </w:r>
      <w:r w:rsidR="0062200F">
        <w:t xml:space="preserve">OCC’s past practice in this case. </w:t>
      </w:r>
      <w:r w:rsidR="00D00562">
        <w:t xml:space="preserve">Yet Suburban </w:t>
      </w:r>
      <w:r w:rsidR="00DA1DD5">
        <w:t xml:space="preserve">now </w:t>
      </w:r>
      <w:r w:rsidR="00D00562">
        <w:t>wants</w:t>
      </w:r>
      <w:r w:rsidR="00DA1DD5">
        <w:t xml:space="preserve"> </w:t>
      </w:r>
      <w:r w:rsidR="00D00562">
        <w:t>money from OCC and to deny consumers a voice. G</w:t>
      </w:r>
      <w:r w:rsidR="0062200F">
        <w:t xml:space="preserve">ranting Suburban’s motions – and requiring OCC to pay attorneys’ fees to Suburban – </w:t>
      </w:r>
      <w:r w:rsidR="00D00562">
        <w:t>would set a precedent that would</w:t>
      </w:r>
      <w:r w:rsidR="002937E4">
        <w:t xml:space="preserve"> </w:t>
      </w:r>
      <w:r w:rsidR="0062200F">
        <w:t>c</w:t>
      </w:r>
      <w:r w:rsidR="00201E73">
        <w:t>ripple</w:t>
      </w:r>
      <w:r w:rsidR="0062200F">
        <w:t xml:space="preserve"> </w:t>
      </w:r>
      <w:r w:rsidR="005D4801">
        <w:t>OCC’s ability to advocate for consumers</w:t>
      </w:r>
      <w:r w:rsidR="0062200F">
        <w:t xml:space="preserve"> in matters involving powerful utility interests. </w:t>
      </w:r>
    </w:p>
    <w:p w:rsidR="00B74F3A" w:rsidP="00B74F3A" w14:paraId="3D3D05AE" w14:textId="77777777">
      <w:pPr>
        <w:spacing w:line="480" w:lineRule="auto"/>
        <w:ind w:firstLine="720"/>
      </w:pPr>
      <w:r>
        <w:t>Consumers need a voice through their advocate, OCC, regarding their essential utility services.</w:t>
      </w:r>
      <w:r w:rsidR="002937E4">
        <w:t xml:space="preserve"> Sanctions against OCC</w:t>
      </w:r>
      <w:r w:rsidR="00671454">
        <w:t xml:space="preserve"> and in favor of a u</w:t>
      </w:r>
      <w:r w:rsidR="00DA1DD5">
        <w:t>tility</w:t>
      </w:r>
      <w:r w:rsidR="00671454">
        <w:t xml:space="preserve"> would </w:t>
      </w:r>
      <w:r w:rsidR="00575E87">
        <w:t>chill</w:t>
      </w:r>
      <w:r w:rsidR="00671454">
        <w:t xml:space="preserve"> that voice especially where, as here, the utility cannot </w:t>
      </w:r>
      <w:r w:rsidR="00875D88">
        <w:t xml:space="preserve">even </w:t>
      </w:r>
      <w:r w:rsidR="00671454">
        <w:t xml:space="preserve">demonstrate a violation </w:t>
      </w:r>
      <w:r w:rsidR="00D00562">
        <w:t xml:space="preserve">of any rule or law, </w:t>
      </w:r>
      <w:r w:rsidR="00671454">
        <w:t>let alone bad faith. It is incumbent on the PUCO to protect the consumers’ voice in utility matters</w:t>
      </w:r>
      <w:r w:rsidR="00C87FA4">
        <w:t>. This is true</w:t>
      </w:r>
      <w:r>
        <w:t xml:space="preserve"> now</w:t>
      </w:r>
      <w:r w:rsidR="00C87FA4">
        <w:t xml:space="preserve"> more than ever </w:t>
      </w:r>
      <w:r>
        <w:t xml:space="preserve">when consumers </w:t>
      </w:r>
      <w:r w:rsidR="00C87FA4">
        <w:t xml:space="preserve">have lost </w:t>
      </w:r>
      <w:r>
        <w:t>trust in their public officials in the wake of the H.B. 6 scandal and resignation of former</w:t>
      </w:r>
      <w:r w:rsidR="00635EAA">
        <w:t xml:space="preserve"> PUCO</w:t>
      </w:r>
      <w:r>
        <w:t xml:space="preserve"> chair. Suburban’s baseless motions</w:t>
      </w:r>
      <w:r w:rsidR="00C87FA4">
        <w:t xml:space="preserve"> should be denied</w:t>
      </w:r>
      <w:r>
        <w:t>. Suburban should stop playing the victim. The PUCO’s focus should be to administer justice for the real aggrieved party, the residential consumers represented by OCC that the Supreme Court protected.</w:t>
      </w:r>
    </w:p>
    <w:p w:rsidR="00524D92" w:rsidRPr="008A0A0E" w:rsidP="00BB6176" w14:paraId="06F13EDA" w14:textId="77777777">
      <w:pPr>
        <w:ind w:firstLine="720"/>
      </w:pPr>
    </w:p>
    <w:p w:rsidR="00591DB2" w:rsidRPr="008A0A0E" w:rsidP="00BB6176" w14:paraId="669DE6C8" w14:textId="0E039747">
      <w:pPr>
        <w:pStyle w:val="Heading1"/>
      </w:pPr>
      <w:bookmarkStart w:id="7" w:name="_Toc100568259"/>
      <w:r>
        <w:t>III.</w:t>
      </w:r>
      <w:r>
        <w:tab/>
      </w:r>
      <w:r w:rsidRPr="008A0A0E">
        <w:t>CONCLUSION</w:t>
      </w:r>
      <w:bookmarkEnd w:id="7"/>
    </w:p>
    <w:p w:rsidR="00A37671" w:rsidP="00635EAA" w14:paraId="2ED32B36" w14:textId="10E15F8D">
      <w:pPr>
        <w:spacing w:line="480" w:lineRule="auto"/>
        <w:ind w:firstLine="720"/>
      </w:pPr>
      <w:r>
        <w:t xml:space="preserve">There is no basis for Suburban’s claims that OCC acted in bad faith through its Objections. There </w:t>
      </w:r>
      <w:r w:rsidR="00D00562">
        <w:t>are good grounds</w:t>
      </w:r>
      <w:r>
        <w:t xml:space="preserve"> for OCC’s Objections in this case</w:t>
      </w:r>
      <w:r w:rsidR="00D00562">
        <w:t xml:space="preserve"> </w:t>
      </w:r>
      <w:r>
        <w:t xml:space="preserve">where Suburban </w:t>
      </w:r>
      <w:r w:rsidR="00C87FA4">
        <w:t>continues to insist</w:t>
      </w:r>
      <w:r w:rsidR="005251DA">
        <w:t xml:space="preserve"> </w:t>
      </w:r>
      <w:r>
        <w:t xml:space="preserve">that consumers </w:t>
      </w:r>
      <w:r w:rsidR="005251DA">
        <w:t>pay for</w:t>
      </w:r>
      <w:r w:rsidR="00C87FA4">
        <w:t xml:space="preserve"> Suburban’s entire 4.9 mile</w:t>
      </w:r>
      <w:r w:rsidR="00D82B18">
        <w:t xml:space="preserve"> pipeline extension</w:t>
      </w:r>
      <w:r w:rsidR="000F3358">
        <w:t xml:space="preserve"> despite contrary Supreme Court of Ohio and PUCO precedent</w:t>
      </w:r>
      <w:r w:rsidR="005251DA">
        <w:t>.</w:t>
      </w:r>
      <w:r w:rsidR="00C87FA4">
        <w:t xml:space="preserve"> OCC’s Objections were procedurally proper</w:t>
      </w:r>
      <w:r w:rsidR="000F3358">
        <w:t xml:space="preserve"> and</w:t>
      </w:r>
      <w:r w:rsidR="00D00562">
        <w:t xml:space="preserve"> consistent with OCC’s prior practice in this case. OCC’s advocacy is</w:t>
      </w:r>
      <w:r w:rsidR="00C87FA4">
        <w:t xml:space="preserve"> necessary </w:t>
      </w:r>
      <w:r w:rsidR="00635EAA">
        <w:t xml:space="preserve">so that consumers </w:t>
      </w:r>
      <w:r w:rsidR="00ED61CF">
        <w:t xml:space="preserve">are not overcharged by Suburban for a pipeline extension that the PUCO found not to be used and useful. </w:t>
      </w:r>
      <w:r w:rsidR="00635EAA">
        <w:t>The PUCO should deny Suburban’s motions to strike and for sanctions against OCC.</w:t>
      </w:r>
    </w:p>
    <w:p w:rsidR="00A37671" w14:paraId="311B529B" w14:textId="77777777">
      <w:r>
        <w:br w:type="page"/>
      </w:r>
    </w:p>
    <w:p w:rsidR="008A7424" w:rsidRPr="008A0A0E" w:rsidP="00A53CDC" w14:paraId="3F2DFBEB" w14:textId="706ECB82">
      <w:pPr>
        <w:pStyle w:val="BodyTextIndent3"/>
        <w:spacing w:after="0"/>
        <w:ind w:left="4320" w:right="-672"/>
        <w:rPr>
          <w:sz w:val="24"/>
          <w:szCs w:val="24"/>
        </w:rPr>
      </w:pPr>
      <w:r w:rsidRPr="008A0A0E">
        <w:rPr>
          <w:sz w:val="24"/>
          <w:szCs w:val="24"/>
        </w:rPr>
        <w:t>Respectfully submitted,</w:t>
      </w:r>
    </w:p>
    <w:p w:rsidR="00A53CDC" w:rsidRPr="008A0A0E" w:rsidP="00A53CDC" w14:paraId="2D106650" w14:textId="77777777">
      <w:pPr>
        <w:pStyle w:val="BodyTextIndent3"/>
        <w:spacing w:after="0"/>
        <w:ind w:left="4320" w:right="-672"/>
        <w:rPr>
          <w:sz w:val="24"/>
          <w:szCs w:val="24"/>
        </w:rPr>
      </w:pPr>
    </w:p>
    <w:p w:rsidR="008A7424" w:rsidRPr="008A0A0E" w:rsidP="00A53CDC" w14:paraId="62264D8C" w14:textId="77777777">
      <w:pPr>
        <w:ind w:left="3600" w:firstLine="720"/>
      </w:pPr>
      <w:r w:rsidRPr="008A0A0E">
        <w:t>Bruce Weston (0016973)</w:t>
      </w:r>
    </w:p>
    <w:p w:rsidR="008A7424" w:rsidRPr="008A0A0E" w:rsidP="00A53CDC" w14:paraId="7279D244" w14:textId="77777777">
      <w:pPr>
        <w:tabs>
          <w:tab w:val="left" w:pos="4320"/>
        </w:tabs>
      </w:pPr>
      <w:r w:rsidRPr="008A0A0E">
        <w:tab/>
        <w:t xml:space="preserve">Ohio Consumers’ Counsel </w:t>
      </w:r>
    </w:p>
    <w:p w:rsidR="008A7424" w:rsidRPr="008A0A0E" w:rsidP="00A53CDC" w14:paraId="468475CF" w14:textId="77777777">
      <w:pPr>
        <w:tabs>
          <w:tab w:val="left" w:pos="4320"/>
        </w:tabs>
      </w:pPr>
    </w:p>
    <w:p w:rsidR="008A7424" w:rsidRPr="008A0A0E" w:rsidP="00A53CDC" w14:paraId="62A870D2" w14:textId="57896B14">
      <w:pPr>
        <w:ind w:left="4320"/>
        <w:rPr>
          <w:i/>
          <w:iCs/>
          <w:u w:val="single"/>
        </w:rPr>
      </w:pPr>
      <w:r w:rsidRPr="008A0A0E">
        <w:rPr>
          <w:i/>
          <w:iCs/>
          <w:u w:val="single"/>
        </w:rPr>
        <w:t xml:space="preserve">/s/ </w:t>
      </w:r>
      <w:r w:rsidRPr="008A0A0E" w:rsidR="00384970">
        <w:rPr>
          <w:i/>
          <w:iCs/>
          <w:u w:val="single"/>
        </w:rPr>
        <w:t>Angela D. O’Brien</w:t>
      </w:r>
      <w:r w:rsidRPr="008A0A0E">
        <w:rPr>
          <w:i/>
          <w:iCs/>
          <w:u w:val="single"/>
        </w:rPr>
        <w:tab/>
      </w:r>
      <w:r w:rsidRPr="008A0A0E" w:rsidR="00E701C1">
        <w:rPr>
          <w:i/>
          <w:iCs/>
          <w:u w:val="single"/>
        </w:rPr>
        <w:tab/>
      </w:r>
    </w:p>
    <w:p w:rsidR="00384970" w:rsidRPr="008A0A0E" w:rsidP="00A53CDC" w14:paraId="3597B123" w14:textId="3E964695">
      <w:pPr>
        <w:ind w:left="4320"/>
      </w:pPr>
      <w:r w:rsidRPr="008A0A0E">
        <w:t>Angela D. O’Brien (0097579)</w:t>
      </w:r>
    </w:p>
    <w:p w:rsidR="008A7424" w:rsidRPr="008A0A0E" w:rsidP="00A53CDC" w14:paraId="7201FE3B" w14:textId="0483210D">
      <w:pPr>
        <w:ind w:left="4320"/>
      </w:pPr>
      <w:r w:rsidRPr="008A0A0E">
        <w:t>Counsel of Record</w:t>
      </w:r>
    </w:p>
    <w:p w:rsidR="008A7424" w:rsidRPr="008A0A0E" w:rsidP="00A53CDC" w14:paraId="2D6E0F77" w14:textId="77777777">
      <w:pPr>
        <w:ind w:left="4320"/>
      </w:pPr>
      <w:r w:rsidRPr="008A0A0E">
        <w:t>Assistant Consumers’ Counsel</w:t>
      </w:r>
    </w:p>
    <w:p w:rsidR="008A7424" w:rsidRPr="008A0A0E" w:rsidP="00A53CDC" w14:paraId="72540B10" w14:textId="77777777">
      <w:pPr>
        <w:ind w:left="4320"/>
      </w:pPr>
    </w:p>
    <w:p w:rsidR="008A7424" w:rsidRPr="008A0A0E" w:rsidP="00A53CDC" w14:paraId="1D3965EB" w14:textId="77777777">
      <w:pPr>
        <w:ind w:left="4320"/>
        <w:rPr>
          <w:b/>
        </w:rPr>
      </w:pPr>
      <w:r w:rsidRPr="008A0A0E">
        <w:rPr>
          <w:b/>
        </w:rPr>
        <w:t>Office of the Ohio Consumers’ Counsel</w:t>
      </w:r>
    </w:p>
    <w:p w:rsidR="008A7424" w:rsidRPr="008A0A0E" w:rsidP="00A53CDC" w14:paraId="3E079AA6" w14:textId="71D8652E">
      <w:pPr>
        <w:ind w:left="4320"/>
      </w:pPr>
      <w:r w:rsidRPr="008A0A0E">
        <w:t xml:space="preserve">65 East State Street, </w:t>
      </w:r>
      <w:r w:rsidRPr="008A0A0E" w:rsidR="0042455D">
        <w:t>Suite 700</w:t>
      </w:r>
    </w:p>
    <w:p w:rsidR="008A7424" w:rsidRPr="008A0A0E" w:rsidP="00A53CDC" w14:paraId="44C4A793" w14:textId="77777777">
      <w:pPr>
        <w:ind w:left="4320"/>
      </w:pPr>
      <w:r w:rsidRPr="008A0A0E">
        <w:t>Columbus, Ohio 43215</w:t>
      </w:r>
    </w:p>
    <w:p w:rsidR="008A7424" w:rsidRPr="008A0A0E" w:rsidP="00A53CDC" w14:paraId="692ACB98" w14:textId="77777777">
      <w:pPr>
        <w:ind w:left="4320"/>
      </w:pPr>
      <w:r w:rsidRPr="008A0A0E">
        <w:t>Telephone [O’Brien]: (614) 466-9531</w:t>
      </w:r>
    </w:p>
    <w:p w:rsidR="008A7424" w:rsidRPr="008A0A0E" w:rsidP="00A53CDC" w14:paraId="60F46A65" w14:textId="77777777">
      <w:pPr>
        <w:ind w:left="4320"/>
      </w:pPr>
      <w:hyperlink r:id="rId6" w:history="1">
        <w:r w:rsidRPr="008A0A0E" w:rsidR="008F52F7">
          <w:rPr>
            <w:rStyle w:val="Hyperlink"/>
          </w:rPr>
          <w:t>angela.obrien@occ.ohio.gov</w:t>
        </w:r>
      </w:hyperlink>
    </w:p>
    <w:p w:rsidR="008A7424" w:rsidRPr="008A0A0E" w:rsidP="00A53CDC" w14:paraId="1BA28DF8" w14:textId="4CE004F6">
      <w:r w:rsidRPr="008A0A0E">
        <w:tab/>
      </w:r>
      <w:r w:rsidRPr="008A0A0E">
        <w:tab/>
      </w:r>
      <w:r w:rsidRPr="008A0A0E">
        <w:tab/>
      </w:r>
      <w:r w:rsidRPr="008A0A0E" w:rsidR="008F52F7">
        <w:tab/>
      </w:r>
      <w:r w:rsidRPr="008A0A0E" w:rsidR="008F52F7">
        <w:tab/>
      </w:r>
      <w:r w:rsidRPr="008A0A0E" w:rsidR="008F52F7">
        <w:tab/>
        <w:t>(willing to accept service by e-mail)</w:t>
      </w:r>
    </w:p>
    <w:p w:rsidR="00791E61" w:rsidRPr="008A0A0E" w:rsidP="00791E61" w14:paraId="161769CA" w14:textId="77777777">
      <w:pPr>
        <w:ind w:firstLine="720"/>
      </w:pPr>
    </w:p>
    <w:p w:rsidR="00061392" w:rsidRPr="008A0A0E" w14:paraId="72E3C0A4" w14:textId="77777777">
      <w:r w:rsidRPr="008A0A0E">
        <w:br w:type="page"/>
      </w:r>
    </w:p>
    <w:p w:rsidR="00C578E7" w:rsidRPr="008A0A0E" w:rsidP="00C578E7" w14:paraId="18AFC301" w14:textId="77777777">
      <w:pPr>
        <w:tabs>
          <w:tab w:val="left" w:pos="4680"/>
        </w:tabs>
        <w:jc w:val="center"/>
        <w:rPr>
          <w:b/>
          <w:u w:val="single"/>
        </w:rPr>
      </w:pPr>
      <w:r w:rsidRPr="008A0A0E">
        <w:rPr>
          <w:b/>
          <w:u w:val="single"/>
        </w:rPr>
        <w:t>CERTIFICATE OF SERVICE</w:t>
      </w:r>
    </w:p>
    <w:p w:rsidR="00C578E7" w:rsidRPr="008A0A0E" w:rsidP="00C578E7" w14:paraId="29D8C66C" w14:textId="77777777">
      <w:pPr>
        <w:jc w:val="center"/>
      </w:pPr>
    </w:p>
    <w:p w:rsidR="00C578E7" w:rsidRPr="008A0A0E" w:rsidP="00A0421F" w14:paraId="5E264131" w14:textId="7BFFA19F">
      <w:pPr>
        <w:suppressAutoHyphens/>
        <w:spacing w:line="480" w:lineRule="auto"/>
        <w:ind w:firstLine="720"/>
        <w:rPr>
          <w:spacing w:val="-3"/>
        </w:rPr>
      </w:pPr>
      <w:r w:rsidRPr="008A0A0E">
        <w:t xml:space="preserve">It is hereby certified that a true copy of the </w:t>
      </w:r>
      <w:r w:rsidRPr="008A0A0E" w:rsidR="00514F2B">
        <w:t>Memorandum Contra</w:t>
      </w:r>
      <w:r w:rsidRPr="008A0A0E">
        <w:t xml:space="preserve"> was served by electronic transmission upon the parties below this </w:t>
      </w:r>
      <w:r w:rsidR="000E736B">
        <w:t>11</w:t>
      </w:r>
      <w:r w:rsidRPr="000E736B" w:rsidR="000E736B">
        <w:rPr>
          <w:vertAlign w:val="superscript"/>
        </w:rPr>
        <w:t>th</w:t>
      </w:r>
      <w:r w:rsidRPr="008A0A0E" w:rsidR="000C750D">
        <w:t xml:space="preserve"> </w:t>
      </w:r>
      <w:r w:rsidRPr="008A0A0E">
        <w:t>day of</w:t>
      </w:r>
      <w:r w:rsidRPr="008A0A0E" w:rsidR="00514F2B">
        <w:t xml:space="preserve"> April</w:t>
      </w:r>
      <w:r w:rsidRPr="008A0A0E" w:rsidR="00061392">
        <w:t xml:space="preserve"> 202</w:t>
      </w:r>
      <w:r w:rsidRPr="008A0A0E" w:rsidR="00384970">
        <w:t>2</w:t>
      </w:r>
      <w:r w:rsidRPr="008A0A0E">
        <w:t>.</w:t>
      </w:r>
    </w:p>
    <w:p w:rsidR="00C578E7" w:rsidRPr="008A0A0E" w:rsidP="005A27FD" w14:paraId="7C9FE245" w14:textId="3887F6F1">
      <w:pPr>
        <w:pStyle w:val="EndnoteText"/>
        <w:widowControl/>
        <w:rPr>
          <w:rFonts w:ascii="Times New Roman" w:hAnsi="Times New Roman"/>
          <w:szCs w:val="24"/>
        </w:rPr>
      </w:pP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i/>
          <w:szCs w:val="24"/>
          <w:u w:val="single"/>
        </w:rPr>
        <w:t xml:space="preserve">/s/ </w:t>
      </w:r>
      <w:r w:rsidRPr="008A0A0E" w:rsidR="00384970">
        <w:rPr>
          <w:rFonts w:ascii="Times New Roman" w:hAnsi="Times New Roman"/>
          <w:i/>
          <w:szCs w:val="24"/>
          <w:u w:val="single"/>
        </w:rPr>
        <w:t xml:space="preserve">Angela D. O’Brien </w:t>
      </w:r>
      <w:r w:rsidRPr="008A0A0E">
        <w:rPr>
          <w:rFonts w:ascii="Times New Roman" w:hAnsi="Times New Roman"/>
          <w:i/>
          <w:szCs w:val="24"/>
          <w:u w:val="single"/>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r>
      <w:r w:rsidRPr="008A0A0E">
        <w:rPr>
          <w:rFonts w:ascii="Times New Roman" w:hAnsi="Times New Roman"/>
          <w:szCs w:val="24"/>
        </w:rPr>
        <w:tab/>
        <w:t xml:space="preserve">Counsel of Record </w:t>
      </w:r>
    </w:p>
    <w:p w:rsidR="00AA4C3F" w:rsidRPr="008A0A0E" w:rsidP="00AA4C3F" w14:paraId="2AA2D7F9" w14:textId="77777777">
      <w:pPr>
        <w:rPr>
          <w:b/>
          <w:u w:val="single"/>
        </w:rPr>
      </w:pPr>
    </w:p>
    <w:p w:rsidR="00083A8B" w:rsidRPr="008A0A0E" w:rsidP="00083A8B" w14:paraId="17900131" w14:textId="77777777">
      <w:r w:rsidRPr="008A0A0E">
        <w:t>The PUCO’s e-filing system will electronically serve notice of the filing of this document on the following parties:</w:t>
      </w:r>
    </w:p>
    <w:p w:rsidR="00083A8B" w:rsidRPr="008A0A0E" w:rsidP="00083A8B" w14:paraId="0A8A746B" w14:textId="77777777">
      <w:pPr>
        <w:jc w:val="center"/>
        <w:rPr>
          <w:b/>
          <w:u w:val="single"/>
        </w:rPr>
      </w:pPr>
    </w:p>
    <w:p w:rsidR="00083A8B" w:rsidRPr="008A0A0E" w:rsidP="00083A8B" w14:paraId="7CA0E883" w14:textId="77777777">
      <w:pPr>
        <w:jc w:val="center"/>
        <w:rPr>
          <w:b/>
          <w:u w:val="single"/>
        </w:rPr>
      </w:pPr>
      <w:r w:rsidRPr="008A0A0E">
        <w:rPr>
          <w:b/>
          <w:u w:val="single"/>
        </w:rPr>
        <w:t>SERVICE LIST</w:t>
      </w:r>
    </w:p>
    <w:p w:rsidR="00083A8B" w:rsidRPr="008A0A0E" w:rsidP="00022BE2" w14:paraId="09287DEA" w14:textId="77777777">
      <w:pPr>
        <w:rPr>
          <w:rFonts w:eastAsia="Calibri"/>
          <w:b/>
          <w:u w:val="single"/>
        </w:rPr>
      </w:pPr>
    </w:p>
    <w:tbl>
      <w:tblPr>
        <w:tblW w:w="0" w:type="auto"/>
        <w:tblLook w:val="04A0"/>
      </w:tblPr>
      <w:tblGrid>
        <w:gridCol w:w="4299"/>
        <w:gridCol w:w="4341"/>
      </w:tblGrid>
      <w:tr w14:paraId="3FA76FB7" w14:textId="77777777" w:rsidTr="0099425A">
        <w:tblPrEx>
          <w:tblW w:w="0" w:type="auto"/>
          <w:tblLook w:val="04A0"/>
        </w:tblPrEx>
        <w:tc>
          <w:tcPr>
            <w:tcW w:w="4428" w:type="dxa"/>
            <w:shd w:val="clear" w:color="auto" w:fill="auto"/>
          </w:tcPr>
          <w:p w:rsidR="00022BE2" w:rsidRPr="008A0A0E" w:rsidP="0099425A" w14:paraId="68582984" w14:textId="77777777">
            <w:pPr>
              <w:pStyle w:val="CommentText"/>
              <w:rPr>
                <w:bCs/>
                <w:sz w:val="24"/>
                <w:szCs w:val="24"/>
              </w:rPr>
            </w:pPr>
            <w:hyperlink r:id="rId11" w:history="1">
              <w:r w:rsidRPr="008A0A0E" w:rsidR="00F07B79">
                <w:rPr>
                  <w:rStyle w:val="Hyperlink"/>
                  <w:bCs/>
                  <w:sz w:val="24"/>
                  <w:szCs w:val="24"/>
                </w:rPr>
                <w:t>robert.eubanks@ohioAGO.gov</w:t>
              </w:r>
            </w:hyperlink>
          </w:p>
          <w:p w:rsidR="00022BE2" w:rsidRPr="008A0A0E" w:rsidP="0099425A" w14:paraId="193D916F" w14:textId="77777777">
            <w:pPr>
              <w:pStyle w:val="CommentText"/>
              <w:rPr>
                <w:bCs/>
                <w:sz w:val="24"/>
                <w:szCs w:val="24"/>
              </w:rPr>
            </w:pPr>
            <w:hyperlink r:id="rId12" w:history="1">
              <w:r w:rsidRPr="008A0A0E" w:rsidR="00F07B79">
                <w:rPr>
                  <w:rStyle w:val="Hyperlink"/>
                  <w:bCs/>
                  <w:sz w:val="24"/>
                  <w:szCs w:val="24"/>
                </w:rPr>
                <w:t>werner.margard@ohioAGO.gov</w:t>
              </w:r>
            </w:hyperlink>
          </w:p>
          <w:p w:rsidR="00022BE2" w:rsidRPr="008A0A0E" w:rsidP="0099425A" w14:paraId="6A01190D" w14:textId="77777777">
            <w:pPr>
              <w:pStyle w:val="CommentText"/>
              <w:rPr>
                <w:bCs/>
                <w:sz w:val="24"/>
                <w:szCs w:val="24"/>
              </w:rPr>
            </w:pPr>
          </w:p>
          <w:p w:rsidR="00022BE2" w:rsidRPr="008A0A0E" w:rsidP="0099425A" w14:paraId="472AFDBC" w14:textId="77777777">
            <w:pPr>
              <w:pStyle w:val="CommentText"/>
              <w:rPr>
                <w:bCs/>
                <w:sz w:val="24"/>
                <w:szCs w:val="24"/>
              </w:rPr>
            </w:pPr>
            <w:r w:rsidRPr="008A0A0E">
              <w:rPr>
                <w:bCs/>
                <w:sz w:val="24"/>
                <w:szCs w:val="24"/>
              </w:rPr>
              <w:t>Attorney Examiners:</w:t>
            </w:r>
          </w:p>
          <w:p w:rsidR="00022BE2" w:rsidRPr="008A0A0E" w:rsidP="0099425A" w14:paraId="4433095E" w14:textId="77777777">
            <w:pPr>
              <w:pStyle w:val="CommentText"/>
              <w:rPr>
                <w:bCs/>
                <w:sz w:val="24"/>
                <w:szCs w:val="24"/>
              </w:rPr>
            </w:pPr>
          </w:p>
          <w:p w:rsidR="00022BE2" w:rsidRPr="008A0A0E" w:rsidP="0099425A" w14:paraId="65409D18" w14:textId="5CEE20BD">
            <w:pPr>
              <w:pStyle w:val="CommentText"/>
              <w:rPr>
                <w:bCs/>
                <w:sz w:val="24"/>
                <w:szCs w:val="24"/>
              </w:rPr>
            </w:pPr>
            <w:hyperlink r:id="rId13" w:history="1">
              <w:r w:rsidRPr="008A0A0E" w:rsidR="00F07B79">
                <w:rPr>
                  <w:rStyle w:val="Hyperlink"/>
                  <w:bCs/>
                  <w:sz w:val="24"/>
                  <w:szCs w:val="24"/>
                </w:rPr>
                <w:t>sarah.parrot@puco.ohio.gov</w:t>
              </w:r>
            </w:hyperlink>
          </w:p>
          <w:p w:rsidR="00022BE2" w:rsidRPr="008A0A0E" w:rsidP="0099425A" w14:paraId="1F04868F" w14:textId="38ABDE47">
            <w:pPr>
              <w:pStyle w:val="CommentText"/>
              <w:rPr>
                <w:bCs/>
                <w:sz w:val="24"/>
                <w:szCs w:val="24"/>
              </w:rPr>
            </w:pPr>
            <w:hyperlink r:id="rId14" w:history="1">
              <w:r w:rsidRPr="008A0A0E" w:rsidR="00F07B79">
                <w:rPr>
                  <w:rStyle w:val="Hyperlink"/>
                  <w:bCs/>
                  <w:sz w:val="24"/>
                  <w:szCs w:val="24"/>
                </w:rPr>
                <w:t>jacqueline.st.john@puco.ohio.gov</w:t>
              </w:r>
            </w:hyperlink>
          </w:p>
          <w:p w:rsidR="00022BE2" w:rsidRPr="008A0A0E" w:rsidP="0099425A" w14:paraId="03161962" w14:textId="3AE5DAB8">
            <w:pPr>
              <w:pStyle w:val="CommentText"/>
              <w:rPr>
                <w:bCs/>
                <w:sz w:val="24"/>
                <w:szCs w:val="24"/>
              </w:rPr>
            </w:pPr>
          </w:p>
        </w:tc>
        <w:tc>
          <w:tcPr>
            <w:tcW w:w="4428" w:type="dxa"/>
            <w:shd w:val="clear" w:color="auto" w:fill="auto"/>
          </w:tcPr>
          <w:p w:rsidR="00022BE2" w:rsidRPr="008A0A0E" w:rsidP="0099425A" w14:paraId="01D883D8" w14:textId="77552DF0">
            <w:pPr>
              <w:pStyle w:val="CommentText"/>
              <w:ind w:left="604"/>
              <w:rPr>
                <w:rStyle w:val="Hyperlink"/>
                <w:bCs/>
                <w:sz w:val="24"/>
                <w:szCs w:val="24"/>
              </w:rPr>
            </w:pPr>
            <w:hyperlink r:id="rId15" w:history="1">
              <w:r w:rsidRPr="008A0A0E" w:rsidR="00F07B79">
                <w:rPr>
                  <w:rStyle w:val="Hyperlink"/>
                  <w:bCs/>
                  <w:sz w:val="24"/>
                  <w:szCs w:val="24"/>
                </w:rPr>
                <w:t>bojko@carpenterlipps.com</w:t>
              </w:r>
            </w:hyperlink>
          </w:p>
          <w:p w:rsidR="00900E33" w:rsidRPr="008A0A0E" w:rsidP="0099425A" w14:paraId="19D03A4A" w14:textId="4817145E">
            <w:pPr>
              <w:pStyle w:val="CommentText"/>
              <w:ind w:left="604"/>
              <w:rPr>
                <w:bCs/>
                <w:sz w:val="24"/>
                <w:szCs w:val="24"/>
              </w:rPr>
            </w:pPr>
            <w:hyperlink r:id="rId16" w:history="1">
              <w:r w:rsidRPr="008A0A0E" w:rsidR="00F07B79">
                <w:rPr>
                  <w:rStyle w:val="Hyperlink"/>
                  <w:bCs/>
                  <w:sz w:val="24"/>
                  <w:szCs w:val="24"/>
                </w:rPr>
                <w:t>wygonski@carpenterlipps.com</w:t>
              </w:r>
            </w:hyperlink>
          </w:p>
          <w:p w:rsidR="00022BE2" w:rsidRPr="008A0A0E" w:rsidP="0099425A" w14:paraId="6A46B4A2" w14:textId="77777777">
            <w:pPr>
              <w:pStyle w:val="CommentText"/>
              <w:ind w:left="604"/>
              <w:rPr>
                <w:sz w:val="24"/>
                <w:szCs w:val="24"/>
              </w:rPr>
            </w:pPr>
            <w:hyperlink r:id="rId17" w:history="1">
              <w:r w:rsidRPr="008A0A0E" w:rsidR="00F07B79">
                <w:rPr>
                  <w:rStyle w:val="Hyperlink"/>
                  <w:sz w:val="24"/>
                  <w:szCs w:val="24"/>
                </w:rPr>
                <w:t>paul</w:t>
              </w:r>
              <w:r w:rsidRPr="008A0A0E" w:rsidR="00F07B79">
                <w:rPr>
                  <w:rStyle w:val="Hyperlink"/>
                  <w:bCs/>
                  <w:sz w:val="24"/>
                  <w:szCs w:val="24"/>
                </w:rPr>
                <w:t>@carpenterlipps.com</w:t>
              </w:r>
            </w:hyperlink>
          </w:p>
          <w:p w:rsidR="00022BE2" w:rsidRPr="008A0A0E" w:rsidP="0099425A" w14:paraId="358CA069" w14:textId="77777777">
            <w:pPr>
              <w:pStyle w:val="CommentText"/>
              <w:ind w:left="604"/>
              <w:rPr>
                <w:sz w:val="24"/>
                <w:szCs w:val="24"/>
              </w:rPr>
            </w:pPr>
            <w:hyperlink r:id="rId18" w:history="1">
              <w:r w:rsidRPr="008A0A0E" w:rsidR="00F07B79">
                <w:rPr>
                  <w:rStyle w:val="Hyperlink"/>
                  <w:sz w:val="24"/>
                  <w:szCs w:val="24"/>
                </w:rPr>
                <w:t>dressel@carpenterlipps.com</w:t>
              </w:r>
            </w:hyperlink>
          </w:p>
          <w:p w:rsidR="00022BE2" w:rsidRPr="008A0A0E" w:rsidP="0099425A" w14:paraId="6EF2AE1D" w14:textId="77777777">
            <w:pPr>
              <w:ind w:firstLine="595"/>
              <w:rPr>
                <w:rStyle w:val="Hyperlink"/>
                <w:bCs/>
              </w:rPr>
            </w:pPr>
            <w:hyperlink r:id="rId19" w:history="1">
              <w:r w:rsidRPr="008A0A0E" w:rsidR="00F07B79">
                <w:rPr>
                  <w:rStyle w:val="Hyperlink"/>
                  <w:bCs/>
                </w:rPr>
                <w:t>rdove@keglerbrown.com</w:t>
              </w:r>
            </w:hyperlink>
          </w:p>
          <w:p w:rsidR="00022BE2" w:rsidRPr="008A0A0E" w:rsidP="0099425A" w14:paraId="6F0E83CC" w14:textId="77777777">
            <w:pPr>
              <w:ind w:firstLine="595"/>
            </w:pPr>
            <w:hyperlink r:id="rId20" w:history="1">
              <w:r w:rsidRPr="008A0A0E" w:rsidR="00F07B79">
                <w:rPr>
                  <w:rStyle w:val="Hyperlink"/>
                </w:rPr>
                <w:t>josephclark@nisource.com</w:t>
              </w:r>
            </w:hyperlink>
          </w:p>
          <w:p w:rsidR="00022BE2" w:rsidRPr="008A0A0E" w:rsidP="0099425A" w14:paraId="1AE30D4B" w14:textId="77777777">
            <w:pPr>
              <w:pStyle w:val="Default"/>
              <w:ind w:left="594"/>
              <w:rPr>
                <w:rFonts w:ascii="Times New Roman" w:hAnsi="Times New Roman" w:cs="Times New Roman"/>
              </w:rPr>
            </w:pPr>
            <w:hyperlink r:id="rId21" w:history="1">
              <w:r w:rsidRPr="008A0A0E" w:rsidR="00F07B79">
                <w:rPr>
                  <w:rStyle w:val="Hyperlink"/>
                  <w:rFonts w:ascii="Times New Roman" w:hAnsi="Times New Roman" w:cs="Times New Roman"/>
                </w:rPr>
                <w:t>egallon@porterwright.com</w:t>
              </w:r>
            </w:hyperlink>
          </w:p>
          <w:p w:rsidR="00022BE2" w:rsidRPr="008A0A0E" w:rsidP="00022BE2" w14:paraId="488C0BA4" w14:textId="34E192F5">
            <w:pPr>
              <w:pStyle w:val="Default"/>
              <w:ind w:left="594"/>
              <w:rPr>
                <w:rFonts w:ascii="Times New Roman" w:hAnsi="Times New Roman" w:cs="Times New Roman"/>
                <w:bCs/>
              </w:rPr>
            </w:pPr>
            <w:hyperlink r:id="rId22" w:history="1">
              <w:r w:rsidRPr="008A0A0E" w:rsidR="00F07B79">
                <w:rPr>
                  <w:rStyle w:val="Hyperlink"/>
                  <w:rFonts w:ascii="Times New Roman" w:hAnsi="Times New Roman" w:cs="Times New Roman"/>
                </w:rPr>
                <w:t>bhughes@porterwright.com</w:t>
              </w:r>
            </w:hyperlink>
          </w:p>
        </w:tc>
      </w:tr>
    </w:tbl>
    <w:p w:rsidR="00C578E7" w:rsidRPr="008A0A0E" w:rsidP="00083A8B" w14:paraId="4C3AADC0" w14:textId="77777777">
      <w:pPr>
        <w:rPr>
          <w:b/>
          <w:u w:val="single"/>
        </w:rPr>
      </w:pPr>
    </w:p>
    <w:sectPr w:rsidSect="008A0A0E">
      <w:footerReference w:type="first" r:id="rId23"/>
      <w:pgSz w:w="12240" w:h="15840"/>
      <w:pgMar w:top="1440" w:right="1800" w:bottom="1440" w:left="1800" w:header="720" w:footer="720" w:gutter="0"/>
      <w:pgNumType w:star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9468032"/>
      <w:docPartObj>
        <w:docPartGallery w:val="Page Numbers (Bottom of Page)"/>
        <w:docPartUnique/>
      </w:docPartObj>
    </w:sdtPr>
    <w:sdtEndPr>
      <w:rPr>
        <w:noProof/>
      </w:rPr>
    </w:sdtEndPr>
    <w:sdtContent>
      <w:p w:rsidR="003C421A" w14:paraId="53C64F8E" w14:textId="27170F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7671" w14:paraId="7E7EB64C" w14:textId="49BE0F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1652745"/>
      <w:docPartObj>
        <w:docPartGallery w:val="Page Numbers (Bottom of Page)"/>
        <w:docPartUnique/>
      </w:docPartObj>
    </w:sdtPr>
    <w:sdtEndPr>
      <w:rPr>
        <w:noProof/>
      </w:rPr>
    </w:sdtEndPr>
    <w:sdtContent>
      <w:p w:rsidR="00CB0F6E" w14:paraId="2523076B" w14:textId="76E72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7093455"/>
      <w:docPartObj>
        <w:docPartGallery w:val="Page Numbers (Bottom of Page)"/>
        <w:docPartUnique/>
      </w:docPartObj>
    </w:sdtPr>
    <w:sdtEndPr>
      <w:rPr>
        <w:noProof/>
      </w:rPr>
    </w:sdtEndPr>
    <w:sdtContent>
      <w:p w:rsidR="00CB0F6E" w14:paraId="129975FC" w14:textId="2BD3A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0490015"/>
      <w:docPartObj>
        <w:docPartGallery w:val="Page Numbers (Bottom of Page)"/>
        <w:docPartUnique/>
      </w:docPartObj>
    </w:sdtPr>
    <w:sdtEndPr>
      <w:rPr>
        <w:noProof/>
      </w:rPr>
    </w:sdtEndPr>
    <w:sdtContent>
      <w:p w:rsidR="003C421A" w14:paraId="208CE348" w14:textId="61AF77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80708" w14:paraId="7576D398" w14:textId="77777777">
      <w:r>
        <w:separator/>
      </w:r>
    </w:p>
  </w:footnote>
  <w:footnote w:type="continuationSeparator" w:id="1">
    <w:p w:rsidR="00E80708" w14:paraId="248B7B82" w14:textId="77777777">
      <w:r>
        <w:continuationSeparator/>
      </w:r>
    </w:p>
  </w:footnote>
  <w:footnote w:id="2">
    <w:p w:rsidR="008E6E6F" w:rsidRPr="00CB0F6E" w:rsidP="00CB0F6E" w14:paraId="16377994" w14:textId="7777777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In re Suburban Natural Gas Co.</w:t>
      </w:r>
      <w:r w:rsidRPr="00CB0F6E">
        <w:rPr>
          <w:rFonts w:ascii="Times New Roman" w:hAnsi="Times New Roman"/>
        </w:rPr>
        <w:t>, Slip Opinion No. 2021-Ohio-3224.</w:t>
      </w:r>
    </w:p>
  </w:footnote>
  <w:footnote w:id="3">
    <w:p w:rsidR="00777C56" w:rsidRPr="00CB0F6E" w:rsidP="00CB0F6E" w14:paraId="5AB6C868" w14:textId="19F69502">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Suburban</w:t>
      </w:r>
      <w:r w:rsidR="008C7E57">
        <w:rPr>
          <w:rFonts w:ascii="Times New Roman" w:hAnsi="Times New Roman"/>
        </w:rPr>
        <w:t xml:space="preserve"> Memorandum Contra and Motion to Strike the Objections Filed by the Office of the Ohio Consumers’ Counsel and Motion for Sanctions (March 25, 2022)</w:t>
      </w:r>
      <w:r w:rsidR="00A613AA">
        <w:rPr>
          <w:rFonts w:ascii="Times New Roman" w:hAnsi="Times New Roman"/>
        </w:rPr>
        <w:t>,</w:t>
      </w:r>
      <w:r w:rsidRPr="00CB0F6E">
        <w:rPr>
          <w:rFonts w:ascii="Times New Roman" w:hAnsi="Times New Roman"/>
        </w:rPr>
        <w:t xml:space="preserve"> Motion, at 1.</w:t>
      </w:r>
    </w:p>
  </w:footnote>
  <w:footnote w:id="4">
    <w:p w:rsidR="00E3663F" w:rsidRPr="00CB0F6E" w:rsidP="00CB0F6E" w14:paraId="2BECDFC5" w14:textId="37080BAC">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 xml:space="preserve">See </w:t>
      </w:r>
      <w:r w:rsidRPr="00CB0F6E" w:rsidR="00CD1B63">
        <w:rPr>
          <w:rFonts w:ascii="Times New Roman" w:hAnsi="Times New Roman"/>
          <w:i/>
          <w:iCs/>
        </w:rPr>
        <w:t>e.g. Ohio Public Interest Action Group Inc. v. Public Utilities Com.</w:t>
      </w:r>
      <w:r w:rsidRPr="00CB0F6E" w:rsidR="00CD1B63">
        <w:rPr>
          <w:rFonts w:ascii="Times New Roman" w:hAnsi="Times New Roman"/>
        </w:rPr>
        <w:t>, 43 Ohio St.2d 175, 184, 331 N.E.2d 730, 736;</w:t>
      </w:r>
      <w:r w:rsidRPr="00CB0F6E" w:rsidR="00CD1B63">
        <w:rPr>
          <w:rFonts w:ascii="Times New Roman" w:hAnsi="Times New Roman"/>
          <w:i/>
          <w:iCs/>
        </w:rPr>
        <w:t xml:space="preserve"> </w:t>
      </w:r>
      <w:r w:rsidRPr="00CB0F6E">
        <w:rPr>
          <w:rFonts w:ascii="Times New Roman" w:hAnsi="Times New Roman"/>
          <w:i/>
          <w:iCs/>
        </w:rPr>
        <w:t xml:space="preserve">In the Matter of the Complaint of Buckeye Energy Brokers, Inc. v. </w:t>
      </w:r>
      <w:r w:rsidRPr="00CB0F6E" w:rsidR="00C53206">
        <w:rPr>
          <w:rFonts w:ascii="Times New Roman" w:hAnsi="Times New Roman"/>
          <w:i/>
          <w:iCs/>
        </w:rPr>
        <w:t>Palmer Energy Company</w:t>
      </w:r>
      <w:r w:rsidRPr="00CB0F6E" w:rsidR="00C53206">
        <w:rPr>
          <w:rFonts w:ascii="Times New Roman" w:hAnsi="Times New Roman"/>
        </w:rPr>
        <w:t>, 10-693-EL-CSS, Opinion (Jan</w:t>
      </w:r>
      <w:r w:rsidR="00CB0F6E">
        <w:rPr>
          <w:rFonts w:ascii="Times New Roman" w:hAnsi="Times New Roman"/>
        </w:rPr>
        <w:t>uary</w:t>
      </w:r>
      <w:r w:rsidRPr="00CB0F6E" w:rsidR="00C53206">
        <w:rPr>
          <w:rFonts w:ascii="Times New Roman" w:hAnsi="Times New Roman"/>
        </w:rPr>
        <w:t xml:space="preserve"> 18, 2011), at ¶ 15</w:t>
      </w:r>
      <w:r w:rsidRPr="00CB0F6E" w:rsidR="00755A86">
        <w:rPr>
          <w:rFonts w:ascii="Times New Roman" w:hAnsi="Times New Roman"/>
        </w:rPr>
        <w:t>;</w:t>
      </w:r>
      <w:r w:rsidRPr="00CB0F6E">
        <w:rPr>
          <w:rFonts w:ascii="Times New Roman" w:hAnsi="Times New Roman"/>
        </w:rPr>
        <w:t xml:space="preserve"> and</w:t>
      </w:r>
      <w:r w:rsidRPr="00CB0F6E" w:rsidR="00755A86">
        <w:rPr>
          <w:rFonts w:ascii="Times New Roman" w:hAnsi="Times New Roman"/>
        </w:rPr>
        <w:t xml:space="preserve"> </w:t>
      </w:r>
      <w:r w:rsidRPr="00CB0F6E" w:rsidR="00755A86">
        <w:rPr>
          <w:rFonts w:ascii="Times New Roman" w:hAnsi="Times New Roman"/>
          <w:i/>
          <w:iCs/>
        </w:rPr>
        <w:t>In the Matter of the Complaint of Brian K. Harris v. Cincinnati Bell Telephone Co.</w:t>
      </w:r>
      <w:r w:rsidRPr="00CB0F6E" w:rsidR="00755A86">
        <w:rPr>
          <w:rFonts w:ascii="Times New Roman" w:hAnsi="Times New Roman"/>
        </w:rPr>
        <w:t>, 99-1238-TP-CSS, Entry (July 20, 2000), at ¶ 8</w:t>
      </w:r>
      <w:r w:rsidRPr="00CB0F6E">
        <w:rPr>
          <w:rFonts w:ascii="Times New Roman" w:hAnsi="Times New Roman"/>
        </w:rPr>
        <w:t>.</w:t>
      </w:r>
    </w:p>
  </w:footnote>
  <w:footnote w:id="5">
    <w:p w:rsidR="00CF4B0F" w:rsidRPr="00CB0F6E" w:rsidP="00CB0F6E" w14:paraId="7172EC5F" w14:textId="3FCA9210">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Style w:val="fontstyle01"/>
          <w:rFonts w:ascii="Times New Roman" w:hAnsi="Times New Roman"/>
          <w:i/>
          <w:iCs/>
          <w:sz w:val="20"/>
          <w:szCs w:val="20"/>
        </w:rPr>
        <w:t>Ferron v. Video Professor, Inc.</w:t>
      </w:r>
      <w:r w:rsidRPr="00CB0F6E">
        <w:rPr>
          <w:rStyle w:val="fontstyle01"/>
          <w:rFonts w:ascii="Times New Roman" w:hAnsi="Times New Roman"/>
          <w:sz w:val="20"/>
          <w:szCs w:val="20"/>
        </w:rPr>
        <w:t>, 5th Dist. Delaware No. 08-CAE-09-0055, 2009-Ohio-3133, ¶ 80</w:t>
      </w:r>
      <w:r w:rsidRPr="00CB0F6E">
        <w:rPr>
          <w:rStyle w:val="fontstyle01"/>
          <w:rFonts w:ascii="Times New Roman" w:hAnsi="Times New Roman"/>
          <w:sz w:val="20"/>
        </w:rPr>
        <w:t xml:space="preserve"> </w:t>
      </w:r>
      <w:r w:rsidRPr="00CB0F6E">
        <w:rPr>
          <w:rStyle w:val="fontstyle01"/>
          <w:rFonts w:ascii="Times New Roman" w:hAnsi="Times New Roman"/>
          <w:sz w:val="20"/>
          <w:szCs w:val="20"/>
        </w:rPr>
        <w:t>(citations omitted).</w:t>
      </w:r>
    </w:p>
  </w:footnote>
  <w:footnote w:id="6">
    <w:p w:rsidR="00CF4B0F" w:rsidRPr="00CB0F6E" w:rsidP="00CB0F6E" w14:paraId="7EC29258" w14:textId="42D9954C">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008C7E57">
        <w:rPr>
          <w:rFonts w:ascii="Times New Roman" w:hAnsi="Times New Roman"/>
        </w:rPr>
        <w:t xml:space="preserve">Suburban </w:t>
      </w:r>
      <w:r w:rsidR="00354619">
        <w:rPr>
          <w:rFonts w:ascii="Times New Roman" w:hAnsi="Times New Roman"/>
        </w:rPr>
        <w:t xml:space="preserve">Motion, </w:t>
      </w:r>
      <w:r w:rsidR="008C7E57">
        <w:rPr>
          <w:rFonts w:ascii="Times New Roman" w:hAnsi="Times New Roman"/>
        </w:rPr>
        <w:t xml:space="preserve">Memorandum in Support, </w:t>
      </w:r>
      <w:r w:rsidRPr="00CB0F6E">
        <w:rPr>
          <w:rFonts w:ascii="Times New Roman" w:hAnsi="Times New Roman"/>
        </w:rPr>
        <w:t>at 6 (emphasis added)</w:t>
      </w:r>
      <w:r w:rsidRPr="00CB0F6E" w:rsidR="00D503CD">
        <w:rPr>
          <w:rFonts w:ascii="Times New Roman" w:hAnsi="Times New Roman"/>
        </w:rPr>
        <w:t>.</w:t>
      </w:r>
    </w:p>
  </w:footnote>
  <w:footnote w:id="7">
    <w:p w:rsidR="00C87E69" w:rsidRPr="00CB0F6E" w:rsidP="00CB0F6E" w14:paraId="2C6C8719" w14:textId="44D7BDBA">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Style w:val="fontstyle01"/>
          <w:rFonts w:ascii="Times New Roman" w:hAnsi="Times New Roman"/>
          <w:i/>
          <w:iCs/>
          <w:sz w:val="20"/>
          <w:szCs w:val="20"/>
        </w:rPr>
        <w:t>Ferron v. Video Professor, Inc.</w:t>
      </w:r>
      <w:r w:rsidRPr="00CB0F6E">
        <w:rPr>
          <w:rStyle w:val="fontstyle01"/>
          <w:rFonts w:ascii="Times New Roman" w:hAnsi="Times New Roman"/>
          <w:sz w:val="20"/>
          <w:szCs w:val="20"/>
        </w:rPr>
        <w:t xml:space="preserve">, 5th Dist. Delaware No. 08-CAE-09-0055, </w:t>
      </w:r>
      <w:bookmarkStart w:id="3" w:name="_Hlk100146826"/>
      <w:r w:rsidRPr="00CB0F6E">
        <w:rPr>
          <w:rStyle w:val="fontstyle01"/>
          <w:rFonts w:ascii="Times New Roman" w:hAnsi="Times New Roman"/>
          <w:sz w:val="20"/>
          <w:szCs w:val="20"/>
        </w:rPr>
        <w:t>2009-Ohio-3133</w:t>
      </w:r>
      <w:bookmarkEnd w:id="3"/>
      <w:r w:rsidRPr="00CB0F6E">
        <w:rPr>
          <w:rStyle w:val="fontstyle01"/>
          <w:rFonts w:ascii="Times New Roman" w:hAnsi="Times New Roman"/>
          <w:sz w:val="20"/>
          <w:szCs w:val="20"/>
        </w:rPr>
        <w:t xml:space="preserve">, ¶ 77 (quoting </w:t>
      </w:r>
      <w:r w:rsidRPr="00CB0F6E">
        <w:rPr>
          <w:rStyle w:val="fontstyle01"/>
          <w:rFonts w:ascii="Times New Roman" w:hAnsi="Times New Roman"/>
          <w:i/>
          <w:iCs/>
          <w:sz w:val="20"/>
          <w:szCs w:val="20"/>
        </w:rPr>
        <w:t>Stone v. House of Day Funeral Serv., Inc.</w:t>
      </w:r>
      <w:r w:rsidRPr="00CB0F6E">
        <w:rPr>
          <w:rStyle w:val="fontstyle01"/>
          <w:rFonts w:ascii="Times New Roman" w:hAnsi="Times New Roman"/>
          <w:sz w:val="20"/>
          <w:szCs w:val="20"/>
        </w:rPr>
        <w:t>, 140 Ohio App.3d 713, 748 N.E.2d 1200 (6th Dist.2000).</w:t>
      </w:r>
    </w:p>
  </w:footnote>
  <w:footnote w:id="8">
    <w:p w:rsidR="00C87E69" w:rsidRPr="00CB0F6E" w:rsidP="00CB0F6E" w14:paraId="46A5702A" w14:textId="6F6EB7D5">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sidR="00D503CD">
        <w:rPr>
          <w:rStyle w:val="fontstyle01"/>
          <w:rFonts w:ascii="Times New Roman" w:hAnsi="Times New Roman"/>
          <w:i/>
          <w:iCs/>
          <w:sz w:val="20"/>
          <w:szCs w:val="20"/>
        </w:rPr>
        <w:t>Namenyi v. Tomasello</w:t>
      </w:r>
      <w:r w:rsidRPr="00CB0F6E" w:rsidR="00D503CD">
        <w:rPr>
          <w:rStyle w:val="fontstyle01"/>
          <w:rFonts w:ascii="Times New Roman" w:hAnsi="Times New Roman"/>
          <w:sz w:val="20"/>
          <w:szCs w:val="20"/>
        </w:rPr>
        <w:t>, 2nd Dist. Greene No.2013-CA-75, 2014-Ohio-4509,</w:t>
      </w:r>
      <w:r w:rsidRPr="00CB0F6E">
        <w:rPr>
          <w:rStyle w:val="fontstyle01"/>
          <w:rFonts w:ascii="Times New Roman" w:hAnsi="Times New Roman"/>
          <w:sz w:val="20"/>
          <w:szCs w:val="20"/>
        </w:rPr>
        <w:t xml:space="preserve"> ¶ 14 (citations omitted).</w:t>
      </w:r>
    </w:p>
  </w:footnote>
  <w:footnote w:id="9">
    <w:p w:rsidR="00FB0796" w:rsidRPr="00CB0F6E" w:rsidP="00CB0F6E" w14:paraId="7D925270" w14:textId="23966E53">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State ex rel. Dreamer v. Mason</w:t>
      </w:r>
      <w:r w:rsidRPr="00CB0F6E">
        <w:rPr>
          <w:rFonts w:ascii="Times New Roman" w:hAnsi="Times New Roman"/>
        </w:rPr>
        <w:t>, 2007-Ohio-4789, ¶ 19 (Affirming decision to deny Civ. R. 11 sanctions because there was no evidence of willful violation.).</w:t>
      </w:r>
    </w:p>
  </w:footnote>
  <w:footnote w:id="10">
    <w:p w:rsidR="00FB0796" w:rsidRPr="00CB0F6E" w:rsidP="00CB0F6E" w14:paraId="2B511B45" w14:textId="5D133341">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State ex rel. Bardwell v. Cuyahoga County Board of Comm’rs</w:t>
      </w:r>
      <w:r w:rsidRPr="00CB0F6E">
        <w:rPr>
          <w:rFonts w:ascii="Times New Roman" w:hAnsi="Times New Roman"/>
        </w:rPr>
        <w:t xml:space="preserve">, 2010-Ohio-5073, ¶ 8 (quoting </w:t>
      </w:r>
      <w:hyperlink r:id="rId1" w:history="1">
        <w:r w:rsidRPr="00CB0F6E">
          <w:rPr>
            <w:rStyle w:val="ssit"/>
            <w:rFonts w:ascii="Times New Roman" w:hAnsi="Times New Roman"/>
            <w:i/>
            <w:iCs/>
            <w:bdr w:val="none" w:sz="0" w:space="0" w:color="auto" w:frame="1"/>
            <w:shd w:val="clear" w:color="auto" w:fill="FFFFFF"/>
          </w:rPr>
          <w:t>Slater v. Motorists Mut. Ins. Co</w:t>
        </w:r>
        <w:r w:rsidRPr="00CB0F6E">
          <w:rPr>
            <w:rStyle w:val="Hyperlink"/>
            <w:rFonts w:ascii="Times New Roman" w:hAnsi="Times New Roman"/>
            <w:color w:val="auto"/>
            <w:u w:val="none"/>
            <w:bdr w:val="none" w:sz="0" w:space="0" w:color="auto" w:frame="1"/>
            <w:shd w:val="clear" w:color="auto" w:fill="FFFFFF"/>
          </w:rPr>
          <w:t>. (1962), 174 Ohio St. 148, 151, 21 O.O.2d 420, 187 N.E.2d 45</w:t>
        </w:r>
      </w:hyperlink>
      <w:r w:rsidRPr="00CB0F6E">
        <w:rPr>
          <w:rFonts w:ascii="Times New Roman" w:hAnsi="Times New Roman"/>
          <w:shd w:val="clear" w:color="auto" w:fill="FFFFFF"/>
        </w:rPr>
        <w:t xml:space="preserve"> (reversed on other grounds)).</w:t>
      </w:r>
    </w:p>
  </w:footnote>
  <w:footnote w:id="11">
    <w:p w:rsidR="00922CB7" w:rsidRPr="00CB0F6E" w:rsidP="00CB0F6E" w14:paraId="262583C2" w14:textId="44A21AEE">
      <w:pPr>
        <w:pStyle w:val="FootnoteText"/>
        <w:spacing w:after="120"/>
        <w:rPr>
          <w:rFonts w:ascii="Times New Roman" w:hAnsi="Times New Roman"/>
          <w:i/>
          <w:iCs/>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Id.</w:t>
      </w:r>
    </w:p>
  </w:footnote>
  <w:footnote w:id="12">
    <w:p w:rsidR="00795636" w:rsidRPr="00CB0F6E" w:rsidP="00CB0F6E" w14:paraId="7E9315E2" w14:textId="19EFFFE5">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bookmarkStart w:id="4" w:name="_Hlk100146946"/>
      <w:r w:rsidRPr="00CB0F6E">
        <w:rPr>
          <w:rStyle w:val="fontstyle01"/>
          <w:rFonts w:ascii="Times New Roman" w:hAnsi="Times New Roman"/>
          <w:i/>
          <w:iCs/>
          <w:sz w:val="20"/>
          <w:szCs w:val="20"/>
        </w:rPr>
        <w:t>Ferron</w:t>
      </w:r>
      <w:r w:rsidRPr="00CB0F6E">
        <w:rPr>
          <w:rStyle w:val="fontstyle01"/>
          <w:rFonts w:ascii="Times New Roman" w:hAnsi="Times New Roman"/>
          <w:sz w:val="20"/>
          <w:szCs w:val="20"/>
        </w:rPr>
        <w:t>, 2009-Ohio-3133 at ¶ 77</w:t>
      </w:r>
      <w:bookmarkEnd w:id="4"/>
      <w:r w:rsidRPr="00CB0F6E">
        <w:rPr>
          <w:rStyle w:val="fontstyle01"/>
          <w:rFonts w:ascii="Times New Roman" w:hAnsi="Times New Roman"/>
          <w:sz w:val="20"/>
          <w:szCs w:val="20"/>
        </w:rPr>
        <w:t xml:space="preserve">; </w:t>
      </w:r>
      <w:r w:rsidRPr="00CB0F6E">
        <w:rPr>
          <w:rStyle w:val="fontstyle01"/>
          <w:rFonts w:ascii="Times New Roman" w:hAnsi="Times New Roman"/>
          <w:i/>
          <w:iCs/>
          <w:sz w:val="20"/>
          <w:szCs w:val="20"/>
        </w:rPr>
        <w:t>see also, Bardwell v. Cuyahoga Cty. Bd. of Comm’rs</w:t>
      </w:r>
      <w:r w:rsidRPr="00CB0F6E">
        <w:rPr>
          <w:rStyle w:val="fontstyle01"/>
          <w:rFonts w:ascii="Times New Roman" w:hAnsi="Times New Roman"/>
          <w:sz w:val="20"/>
          <w:szCs w:val="20"/>
        </w:rPr>
        <w:t>, 127 Ohio St.3d 202, 2010-Ohio-5073, 937 N.E.2d 1274.</w:t>
      </w:r>
    </w:p>
  </w:footnote>
  <w:footnote w:id="13">
    <w:p w:rsidR="00524B5D" w:rsidRPr="00CB0F6E" w:rsidP="00CB0F6E" w14:paraId="20893C57" w14:textId="2738A918">
      <w:pPr>
        <w:pStyle w:val="FootnoteText"/>
        <w:spacing w:after="120"/>
        <w:rPr>
          <w:rFonts w:ascii="Times New Roman" w:hAnsi="Times New Roman"/>
          <w:i/>
          <w:iCs/>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Id.</w:t>
      </w:r>
    </w:p>
  </w:footnote>
  <w:footnote w:id="14">
    <w:p w:rsidR="00524B5D" w:rsidRPr="00CB0F6E" w:rsidP="00CB0F6E" w14:paraId="6680DC6E" w14:textId="43BBBA56">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Style w:val="fontstyle01"/>
          <w:rFonts w:ascii="Times New Roman" w:hAnsi="Times New Roman"/>
          <w:i/>
          <w:iCs/>
          <w:sz w:val="20"/>
          <w:szCs w:val="20"/>
        </w:rPr>
        <w:t>Stevens v. Kiraly</w:t>
      </w:r>
      <w:r w:rsidRPr="00CB0F6E">
        <w:rPr>
          <w:rStyle w:val="fontstyle01"/>
          <w:rFonts w:ascii="Times New Roman" w:hAnsi="Times New Roman"/>
          <w:sz w:val="20"/>
          <w:szCs w:val="20"/>
        </w:rPr>
        <w:t>, 24 Ohio App.3d 211, 213-214, 494 N.E.2d 1160, 1163-1164 (1985).</w:t>
      </w:r>
    </w:p>
  </w:footnote>
  <w:footnote w:id="15">
    <w:p w:rsidR="00524B5D" w:rsidRPr="00CB0F6E" w:rsidP="00CB0F6E" w14:paraId="56C68615" w14:textId="121256ED">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Style w:val="fontstyle01"/>
          <w:rFonts w:ascii="Times New Roman" w:hAnsi="Times New Roman"/>
          <w:i/>
          <w:iCs/>
          <w:sz w:val="20"/>
          <w:szCs w:val="20"/>
        </w:rPr>
        <w:t>Ebbing v. Ricketts</w:t>
      </w:r>
      <w:r w:rsidRPr="00CB0F6E">
        <w:rPr>
          <w:rStyle w:val="fontstyle01"/>
          <w:rFonts w:ascii="Times New Roman" w:hAnsi="Times New Roman"/>
          <w:sz w:val="20"/>
          <w:szCs w:val="20"/>
        </w:rPr>
        <w:t xml:space="preserve">, 133 Ohio St.3d 339, 2012-Ohio-4699, 978 N.E.2d 188 (citing </w:t>
      </w:r>
      <w:r w:rsidRPr="00CB0F6E">
        <w:rPr>
          <w:rStyle w:val="fontstyle21"/>
          <w:rFonts w:ascii="Times New Roman" w:hAnsi="Times New Roman"/>
          <w:sz w:val="20"/>
          <w:szCs w:val="20"/>
        </w:rPr>
        <w:t>Bikkani v. Lee</w:t>
      </w:r>
      <w:r w:rsidRPr="00CB0F6E">
        <w:rPr>
          <w:rStyle w:val="fontstyle01"/>
          <w:rFonts w:ascii="Times New Roman" w:hAnsi="Times New Roman"/>
          <w:sz w:val="20"/>
          <w:szCs w:val="20"/>
        </w:rPr>
        <w:t>, 8th Dist. No. 89312, 2008-Ohio-3130, ¶ 31 (“if an arguable basis exists for an award of sanctions under Civ.R. 11, a trial court must hold a hearing on the</w:t>
      </w:r>
      <w:r w:rsidRPr="00CB0F6E">
        <w:rPr>
          <w:rFonts w:ascii="Times New Roman" w:hAnsi="Times New Roman"/>
          <w:color w:val="000000"/>
        </w:rPr>
        <w:t xml:space="preserve"> </w:t>
      </w:r>
      <w:r w:rsidRPr="00CB0F6E">
        <w:rPr>
          <w:rStyle w:val="fontstyle01"/>
          <w:rFonts w:ascii="Times New Roman" w:hAnsi="Times New Roman"/>
          <w:sz w:val="20"/>
          <w:szCs w:val="20"/>
        </w:rPr>
        <w:t xml:space="preserve">motion”); </w:t>
      </w:r>
      <w:r w:rsidRPr="00CB0F6E">
        <w:rPr>
          <w:rStyle w:val="fontstyle01"/>
          <w:rFonts w:ascii="Times New Roman" w:hAnsi="Times New Roman"/>
          <w:i/>
          <w:iCs/>
          <w:sz w:val="20"/>
          <w:szCs w:val="20"/>
        </w:rPr>
        <w:t>see also</w:t>
      </w:r>
      <w:r w:rsidRPr="00CB0F6E">
        <w:rPr>
          <w:rStyle w:val="fontstyle01"/>
          <w:rFonts w:ascii="Times New Roman" w:hAnsi="Times New Roman"/>
          <w:sz w:val="20"/>
          <w:szCs w:val="20"/>
        </w:rPr>
        <w:t xml:space="preserve"> </w:t>
      </w:r>
      <w:r w:rsidRPr="00CB0F6E">
        <w:rPr>
          <w:rStyle w:val="fontstyle21"/>
          <w:rFonts w:ascii="Times New Roman" w:hAnsi="Times New Roman"/>
          <w:sz w:val="20"/>
          <w:szCs w:val="20"/>
        </w:rPr>
        <w:t>T.M. v. J.H.</w:t>
      </w:r>
      <w:r w:rsidRPr="00CB0F6E">
        <w:rPr>
          <w:rStyle w:val="fontstyle01"/>
          <w:rFonts w:ascii="Times New Roman" w:hAnsi="Times New Roman"/>
          <w:sz w:val="20"/>
          <w:szCs w:val="20"/>
        </w:rPr>
        <w:t>, 6th Dist. Nos. L-10-1014 and L-10-1034, 2011-Ohio-283,</w:t>
      </w:r>
      <w:r w:rsidRPr="00CB0F6E">
        <w:rPr>
          <w:rFonts w:ascii="Times New Roman" w:hAnsi="Times New Roman"/>
          <w:color w:val="000000"/>
        </w:rPr>
        <w:t xml:space="preserve"> </w:t>
      </w:r>
      <w:r w:rsidRPr="00CB0F6E">
        <w:rPr>
          <w:rStyle w:val="fontstyle01"/>
          <w:rFonts w:ascii="Times New Roman" w:hAnsi="Times New Roman"/>
          <w:sz w:val="20"/>
          <w:szCs w:val="20"/>
        </w:rPr>
        <w:t>¶ 98 (“It is an abuse of discretion to award attorney fees [under Civ.R. 11 and R.C. 2323.51] without [an evidentiary] hearing”).</w:t>
      </w:r>
    </w:p>
  </w:footnote>
  <w:footnote w:id="16">
    <w:p w:rsidR="00382566" w:rsidRPr="00CB0F6E" w:rsidP="00CB0F6E" w14:paraId="5C701AB1" w14:textId="7777777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In re Suburban Natural Gas Co.</w:t>
      </w:r>
      <w:r w:rsidRPr="00CB0F6E">
        <w:rPr>
          <w:rFonts w:ascii="Times New Roman" w:hAnsi="Times New Roman"/>
        </w:rPr>
        <w:t>, Slip Opinion No. 2021-Ohio-3224.</w:t>
      </w:r>
    </w:p>
  </w:footnote>
  <w:footnote w:id="17">
    <w:p w:rsidR="009F7514" w:rsidRPr="00CB0F6E" w:rsidP="00CB0F6E" w14:paraId="35C8FA0C" w14:textId="13E84D10">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sidR="00014FE2">
        <w:rPr>
          <w:rFonts w:ascii="Times New Roman" w:hAnsi="Times New Roman"/>
        </w:rPr>
        <w:t>Order on Remand (February 23, 2022).</w:t>
      </w:r>
    </w:p>
  </w:footnote>
  <w:footnote w:id="18">
    <w:p w:rsidR="00F62637" w:rsidRPr="00CB0F6E" w:rsidP="00CB0F6E" w14:paraId="3F9E115A" w14:textId="3EF67180">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Order on Remand, ¶ 61.</w:t>
      </w:r>
    </w:p>
  </w:footnote>
  <w:footnote w:id="19">
    <w:p w:rsidR="009F7514" w:rsidRPr="00CB0F6E" w:rsidP="00CB0F6E" w14:paraId="3DD92928" w14:textId="62313190">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 xml:space="preserve">See e.g. </w:t>
      </w:r>
      <w:r w:rsidRPr="00CB0F6E">
        <w:rPr>
          <w:rFonts w:ascii="Times New Roman" w:hAnsi="Times New Roman"/>
        </w:rPr>
        <w:t>Suburban’s Application for Rehearing (Nov</w:t>
      </w:r>
      <w:r w:rsidRPr="00CB0F6E" w:rsidR="00A37671">
        <w:rPr>
          <w:rFonts w:ascii="Times New Roman" w:hAnsi="Times New Roman"/>
        </w:rPr>
        <w:t>ember</w:t>
      </w:r>
      <w:r w:rsidRPr="00CB0F6E">
        <w:rPr>
          <w:rFonts w:ascii="Times New Roman" w:hAnsi="Times New Roman"/>
        </w:rPr>
        <w:t xml:space="preserve"> 5, 2021), Suburban’s Application for Rehearing (Nov</w:t>
      </w:r>
      <w:r w:rsidR="00CB0F6E">
        <w:rPr>
          <w:rFonts w:ascii="Times New Roman" w:hAnsi="Times New Roman"/>
        </w:rPr>
        <w:t>ember</w:t>
      </w:r>
      <w:r w:rsidRPr="00CB0F6E">
        <w:rPr>
          <w:rFonts w:ascii="Times New Roman" w:hAnsi="Times New Roman"/>
        </w:rPr>
        <w:t xml:space="preserve"> 19, 2021), Suburban’s Application for Rehearing (March 25, 2022). </w:t>
      </w:r>
    </w:p>
  </w:footnote>
  <w:footnote w:id="20">
    <w:p w:rsidR="00F62637" w:rsidRPr="00CB0F6E" w:rsidP="00CB0F6E" w14:paraId="2E0C9153" w14:textId="77777777">
      <w:pPr>
        <w:pStyle w:val="FootnoteText"/>
        <w:spacing w:after="120"/>
        <w:rPr>
          <w:rFonts w:ascii="Times New Roman" w:hAnsi="Times New Roman"/>
          <w:i/>
          <w:iCs/>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Id.</w:t>
      </w:r>
    </w:p>
  </w:footnote>
  <w:footnote w:id="21">
    <w:p w:rsidR="00CA3CE5" w:rsidRPr="00CB0F6E" w:rsidP="00CB0F6E" w14:paraId="2FE6AC1A" w14:textId="144747D1">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See e.g. In the Matter of the Application of Columbus Southern Power Company and Ohio Power Company for Authority to Establish a Standard Service Offer Pursuant to §4928.143, Ohio Revs. Code, in the Form of an Electric Security Plan</w:t>
      </w:r>
      <w:r w:rsidRPr="00CB0F6E">
        <w:rPr>
          <w:rFonts w:ascii="Times New Roman" w:hAnsi="Times New Roman"/>
        </w:rPr>
        <w:t xml:space="preserve">, Case Nos. 11-346-EL-SSO </w:t>
      </w:r>
      <w:r w:rsidRPr="00CB0F6E">
        <w:rPr>
          <w:rFonts w:ascii="Times New Roman" w:hAnsi="Times New Roman"/>
          <w:i/>
          <w:iCs/>
        </w:rPr>
        <w:t>et al.</w:t>
      </w:r>
      <w:r w:rsidRPr="00CB0F6E">
        <w:rPr>
          <w:rFonts w:ascii="Times New Roman" w:hAnsi="Times New Roman"/>
        </w:rPr>
        <w:t>, FirstEnergy Solutions Corp.’s Objections to Ohio Power Company’s Compliance Tariffs (</w:t>
      </w:r>
      <w:r w:rsidRPr="00CB0F6E" w:rsidR="007D1B0A">
        <w:rPr>
          <w:rFonts w:ascii="Times New Roman" w:hAnsi="Times New Roman"/>
        </w:rPr>
        <w:t>March 6, 2012)</w:t>
      </w:r>
      <w:r w:rsidRPr="00CB0F6E" w:rsidR="002C6EBA">
        <w:rPr>
          <w:rFonts w:ascii="Times New Roman" w:hAnsi="Times New Roman"/>
        </w:rPr>
        <w:t xml:space="preserve">, Industrial Energy Users-Ohio’s Objections to Ohio Power Company’s Compliance Tariffs and </w:t>
      </w:r>
      <w:r w:rsidRPr="00CB0F6E" w:rsidR="00FA329B">
        <w:rPr>
          <w:rFonts w:ascii="Times New Roman" w:hAnsi="Times New Roman"/>
        </w:rPr>
        <w:t>Request to Set a Reconciliation Date (March 2, 2012), Objection to Compliance Filing of Ormet Primary Aluminum Corporation</w:t>
      </w:r>
      <w:r w:rsidRPr="00CB0F6E">
        <w:rPr>
          <w:rFonts w:ascii="Times New Roman" w:hAnsi="Times New Roman"/>
        </w:rPr>
        <w:t xml:space="preserve"> (March 5, 2012). </w:t>
      </w:r>
    </w:p>
  </w:footnote>
  <w:footnote w:id="22">
    <w:p w:rsidR="0080061E" w:rsidRPr="00CB0F6E" w:rsidP="00CB0F6E" w14:paraId="538E491F" w14:textId="35B09256">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Suburban </w:t>
      </w:r>
      <w:r w:rsidR="00B94843">
        <w:rPr>
          <w:rFonts w:ascii="Times New Roman" w:hAnsi="Times New Roman"/>
        </w:rPr>
        <w:t xml:space="preserve">Motion, </w:t>
      </w:r>
      <w:r w:rsidRPr="00CB0F6E">
        <w:rPr>
          <w:rFonts w:ascii="Times New Roman" w:hAnsi="Times New Roman"/>
        </w:rPr>
        <w:t xml:space="preserve">Memorandum in Support, at </w:t>
      </w:r>
      <w:r w:rsidRPr="00CB0F6E" w:rsidR="00F4561F">
        <w:rPr>
          <w:rFonts w:ascii="Times New Roman" w:hAnsi="Times New Roman"/>
        </w:rPr>
        <w:t>4</w:t>
      </w:r>
      <w:r w:rsidRPr="00CB0F6E">
        <w:rPr>
          <w:rFonts w:ascii="Times New Roman" w:hAnsi="Times New Roman"/>
        </w:rPr>
        <w:t>.</w:t>
      </w:r>
    </w:p>
  </w:footnote>
  <w:footnote w:id="23">
    <w:p w:rsidR="009F7514" w:rsidRPr="00CB0F6E" w:rsidP="00CB0F6E" w14:paraId="35A48460" w14:textId="36D0814D">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Suburban </w:t>
      </w:r>
      <w:r w:rsidR="00B94843">
        <w:rPr>
          <w:rFonts w:ascii="Times New Roman" w:hAnsi="Times New Roman"/>
        </w:rPr>
        <w:t xml:space="preserve">Motion, </w:t>
      </w:r>
      <w:r w:rsidRPr="00CB0F6E">
        <w:rPr>
          <w:rFonts w:ascii="Times New Roman" w:hAnsi="Times New Roman"/>
        </w:rPr>
        <w:t xml:space="preserve">Memorandum in Support, at </w:t>
      </w:r>
      <w:r w:rsidRPr="00CB0F6E" w:rsidR="00C02088">
        <w:rPr>
          <w:rFonts w:ascii="Times New Roman" w:hAnsi="Times New Roman"/>
        </w:rPr>
        <w:t>1-2, note 5.</w:t>
      </w:r>
    </w:p>
  </w:footnote>
  <w:footnote w:id="24">
    <w:p w:rsidR="009F7514" w:rsidRPr="00CB0F6E" w:rsidP="00CB0F6E" w14:paraId="0E4431C7" w14:textId="48C8A59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Suburban</w:t>
      </w:r>
      <w:r w:rsidR="00B94843">
        <w:rPr>
          <w:rFonts w:ascii="Times New Roman" w:hAnsi="Times New Roman"/>
        </w:rPr>
        <w:t xml:space="preserve"> Motion,</w:t>
      </w:r>
      <w:r w:rsidRPr="00CB0F6E">
        <w:rPr>
          <w:rFonts w:ascii="Times New Roman" w:hAnsi="Times New Roman"/>
        </w:rPr>
        <w:t xml:space="preserve"> Memorandum in Support, at 2-3.</w:t>
      </w:r>
    </w:p>
  </w:footnote>
  <w:footnote w:id="25">
    <w:p w:rsidR="00D35BE2" w:rsidRPr="00CB0F6E" w:rsidP="00CB0F6E" w14:paraId="354553FC" w14:textId="5FAC5ED1">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Suburban Application for Rehearing (March 25, 2022).</w:t>
      </w:r>
    </w:p>
  </w:footnote>
  <w:footnote w:id="26">
    <w:p w:rsidR="005F41C4" w:rsidRPr="00CB0F6E" w:rsidP="00CB0F6E" w14:paraId="1C0F6F66" w14:textId="49829921">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sidR="00A62620">
        <w:rPr>
          <w:rFonts w:ascii="Times New Roman" w:hAnsi="Times New Roman"/>
        </w:rPr>
        <w:t xml:space="preserve">Suburban </w:t>
      </w:r>
      <w:r w:rsidR="00B94843">
        <w:rPr>
          <w:rFonts w:ascii="Times New Roman" w:hAnsi="Times New Roman"/>
        </w:rPr>
        <w:t xml:space="preserve">Motion, </w:t>
      </w:r>
      <w:r w:rsidRPr="00CB0F6E" w:rsidR="00A62620">
        <w:rPr>
          <w:rFonts w:ascii="Times New Roman" w:hAnsi="Times New Roman"/>
        </w:rPr>
        <w:t>Memorandum in Support, at 5.</w:t>
      </w:r>
    </w:p>
  </w:footnote>
  <w:footnote w:id="27">
    <w:p w:rsidR="005F41C4" w:rsidRPr="00CB0F6E" w:rsidP="00CB0F6E" w14:paraId="5C99457D" w14:textId="283A0CC4">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Objections, at 2. </w:t>
      </w:r>
    </w:p>
  </w:footnote>
  <w:footnote w:id="28">
    <w:p w:rsidR="005F41C4" w:rsidRPr="00CB0F6E" w:rsidP="00CB0F6E" w14:paraId="7C7CFC5A" w14:textId="560890C5">
      <w:pPr>
        <w:pStyle w:val="FootnoteText"/>
        <w:spacing w:after="120"/>
        <w:rPr>
          <w:rFonts w:ascii="Times New Roman" w:hAnsi="Times New Roman"/>
          <w:i/>
          <w:iCs/>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Id.</w:t>
      </w:r>
    </w:p>
  </w:footnote>
  <w:footnote w:id="29">
    <w:p w:rsidR="00A87578" w:rsidRPr="00CB0F6E" w:rsidP="00CB0F6E" w14:paraId="3F556D70" w14:textId="7777777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 xml:space="preserve">See </w:t>
      </w:r>
      <w:r w:rsidRPr="00CB0F6E">
        <w:rPr>
          <w:rFonts w:ascii="Times New Roman" w:hAnsi="Times New Roman"/>
        </w:rPr>
        <w:t xml:space="preserve">Objections to Suburban’s Non-Compliant Tariffs by Office of the Ohio Consumers’ Counsel (October 15, 2021). </w:t>
      </w:r>
    </w:p>
  </w:footnote>
  <w:footnote w:id="30">
    <w:p w:rsidR="00A87578" w:rsidRPr="00CB0F6E" w:rsidP="00CB0F6E" w14:paraId="4B542DAA" w14:textId="7777777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Entry (October 20, 2021), at ¶ 23.</w:t>
      </w:r>
    </w:p>
  </w:footnote>
  <w:footnote w:id="31">
    <w:p w:rsidR="00A87578" w:rsidRPr="00CB0F6E" w:rsidP="00CB0F6E" w14:paraId="7768B3A3" w14:textId="7777777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Entry (October 20, 2021), at ¶ 23 (emphasis added).</w:t>
      </w:r>
    </w:p>
  </w:footnote>
  <w:footnote w:id="32">
    <w:p w:rsidR="004A543F" w:rsidRPr="00CB0F6E" w:rsidP="00CB0F6E" w14:paraId="5AC0993A" w14:textId="77777777">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Entry (October 20, 2021), at ¶ 23.</w:t>
      </w:r>
    </w:p>
  </w:footnote>
  <w:footnote w:id="33">
    <w:p w:rsidR="00C571AF" w:rsidRPr="00CB0F6E" w:rsidP="00CB0F6E" w14:paraId="32C9F067" w14:textId="5E63277A">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00B611DA">
        <w:rPr>
          <w:rFonts w:ascii="Times New Roman" w:hAnsi="Times New Roman"/>
        </w:rPr>
        <w:t xml:space="preserve">Suburban Motion, </w:t>
      </w:r>
      <w:r w:rsidRPr="00CB0F6E">
        <w:rPr>
          <w:rFonts w:ascii="Times New Roman" w:hAnsi="Times New Roman"/>
        </w:rPr>
        <w:t>at 1</w:t>
      </w:r>
      <w:r w:rsidR="00B611DA">
        <w:rPr>
          <w:rFonts w:ascii="Times New Roman" w:hAnsi="Times New Roman"/>
        </w:rPr>
        <w:t>, Memorandum in Support</w:t>
      </w:r>
      <w:r w:rsidR="00227AC3">
        <w:rPr>
          <w:rFonts w:ascii="Times New Roman" w:hAnsi="Times New Roman"/>
        </w:rPr>
        <w:t>, at 5</w:t>
      </w:r>
      <w:r w:rsidRPr="00CB0F6E">
        <w:rPr>
          <w:rFonts w:ascii="Times New Roman" w:hAnsi="Times New Roman"/>
        </w:rPr>
        <w:t xml:space="preserve"> (emphasis added). </w:t>
      </w:r>
    </w:p>
  </w:footnote>
  <w:footnote w:id="34">
    <w:p w:rsidR="00C571AF" w:rsidRPr="00CB0F6E" w:rsidP="00CB0F6E" w14:paraId="4684EBB6" w14:textId="5E52A0F5">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CB0F6E">
        <w:rPr>
          <w:rFonts w:ascii="Times New Roman" w:hAnsi="Times New Roman"/>
          <w:i/>
          <w:iCs/>
        </w:rPr>
        <w:t xml:space="preserve">See e.g. </w:t>
      </w:r>
      <w:r w:rsidRPr="00CB0F6E">
        <w:rPr>
          <w:rFonts w:ascii="Times New Roman" w:hAnsi="Times New Roman"/>
        </w:rPr>
        <w:t>Suburban’s Application for Rehearing (Nov</w:t>
      </w:r>
      <w:r w:rsidRPr="00CB0F6E" w:rsidR="00A37671">
        <w:rPr>
          <w:rFonts w:ascii="Times New Roman" w:hAnsi="Times New Roman"/>
        </w:rPr>
        <w:t>ember</w:t>
      </w:r>
      <w:r w:rsidRPr="00CB0F6E">
        <w:rPr>
          <w:rFonts w:ascii="Times New Roman" w:hAnsi="Times New Roman"/>
        </w:rPr>
        <w:t xml:space="preserve"> 5, 2021), Suburban’s Application for Rehearing (Nov</w:t>
      </w:r>
      <w:r w:rsidRPr="00CB0F6E" w:rsidR="00A37671">
        <w:rPr>
          <w:rFonts w:ascii="Times New Roman" w:hAnsi="Times New Roman"/>
        </w:rPr>
        <w:t>ember</w:t>
      </w:r>
      <w:r w:rsidRPr="00CB0F6E">
        <w:rPr>
          <w:rFonts w:ascii="Times New Roman" w:hAnsi="Times New Roman"/>
        </w:rPr>
        <w:t xml:space="preserve"> 19, 2021), Suburban’s Application for Rehearing (March 25, 2022). </w:t>
      </w:r>
    </w:p>
  </w:footnote>
  <w:footnote w:id="35">
    <w:p w:rsidR="00375BD2" w:rsidRPr="00CB0F6E" w:rsidP="00CB0F6E" w14:paraId="17CF0775" w14:textId="735FE4A1">
      <w:pPr>
        <w:pStyle w:val="FootnoteText"/>
        <w:spacing w:after="120"/>
        <w:rPr>
          <w:rFonts w:ascii="Times New Roman" w:hAnsi="Times New Roman"/>
        </w:rPr>
      </w:pPr>
      <w:r w:rsidRPr="00CB0F6E">
        <w:rPr>
          <w:rStyle w:val="FootnoteReference"/>
          <w:rFonts w:ascii="Times New Roman" w:hAnsi="Times New Roman"/>
        </w:rPr>
        <w:footnoteRef/>
      </w:r>
      <w:r w:rsidRPr="00CB0F6E">
        <w:rPr>
          <w:rFonts w:ascii="Times New Roman" w:hAnsi="Times New Roman"/>
        </w:rPr>
        <w:t xml:space="preserve"> </w:t>
      </w:r>
      <w:r w:rsidRPr="009A02F3">
        <w:rPr>
          <w:rFonts w:ascii="Times New Roman" w:hAnsi="Times New Roman"/>
          <w:i/>
          <w:iCs/>
        </w:rPr>
        <w:t>Office of the Ohio Consumers Counsel v. Pub. Util. Comm.</w:t>
      </w:r>
      <w:r w:rsidRPr="00CB0F6E">
        <w:rPr>
          <w:rFonts w:ascii="Times New Roman" w:hAnsi="Times New Roman"/>
        </w:rPr>
        <w:t>, 58 Ohio St.2d 449,</w:t>
      </w:r>
      <w:r w:rsidR="009A02F3">
        <w:rPr>
          <w:rFonts w:ascii="Times New Roman" w:hAnsi="Times New Roman"/>
        </w:rPr>
        <w:t xml:space="preserve"> 457,</w:t>
      </w:r>
      <w:r w:rsidRPr="00CB0F6E">
        <w:rPr>
          <w:rFonts w:ascii="Times New Roman" w:hAnsi="Times New Roman"/>
        </w:rPr>
        <w:t xml:space="preserve"> 391 N.E.2d 311,</w:t>
      </w:r>
      <w:r w:rsidR="009A02F3">
        <w:rPr>
          <w:rFonts w:ascii="Times New Roman" w:hAnsi="Times New Roman"/>
        </w:rPr>
        <w:t xml:space="preserve"> 315</w:t>
      </w:r>
      <w:r w:rsidRPr="00CB0F6E">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73987"/>
    <w:multiLevelType w:val="hybridMultilevel"/>
    <w:tmpl w:val="73E488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6940406"/>
    <w:multiLevelType w:val="multilevel"/>
    <w:tmpl w:val="72EE6F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917996"/>
    <w:multiLevelType w:val="hybridMultilevel"/>
    <w:tmpl w:val="B0123158"/>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9B4727B"/>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BE4B7D"/>
    <w:multiLevelType w:val="hybridMultilevel"/>
    <w:tmpl w:val="9966477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55B052E"/>
    <w:multiLevelType w:val="hybridMultilevel"/>
    <w:tmpl w:val="28BC3D8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EF6F69"/>
    <w:multiLevelType w:val="hybridMultilevel"/>
    <w:tmpl w:val="CEC882F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219212CB"/>
    <w:multiLevelType w:val="hybridMultilevel"/>
    <w:tmpl w:val="6CC8AD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5E3307D"/>
    <w:multiLevelType w:val="hybridMultilevel"/>
    <w:tmpl w:val="B4CA57E0"/>
    <w:lvl w:ilvl="0">
      <w:start w:val="1"/>
      <w:numFmt w:val="decimal"/>
      <w:lvlText w:val="%1."/>
      <w:lvlJc w:val="left"/>
      <w:pPr>
        <w:ind w:hanging="692"/>
      </w:pPr>
      <w:rPr>
        <w:rFonts w:ascii="Times New Roman" w:eastAsia="Times New Roman" w:hAnsi="Times New Roman" w:hint="default"/>
        <w:color w:val="1F1F1F"/>
        <w:w w:val="102"/>
        <w:sz w:val="23"/>
        <w:szCs w:val="23"/>
      </w:rPr>
    </w:lvl>
    <w:lvl w:ilvl="1">
      <w:start w:val="1"/>
      <w:numFmt w:val="lowerLetter"/>
      <w:lvlText w:val="%2)"/>
      <w:lvlJc w:val="left"/>
      <w:pPr>
        <w:ind w:hanging="717"/>
      </w:pPr>
      <w:rPr>
        <w:rFonts w:ascii="Times New Roman" w:eastAsia="Times New Roman" w:hAnsi="Times New Roman" w:hint="default"/>
        <w:color w:val="131313"/>
        <w:w w:val="101"/>
        <w:sz w:val="23"/>
        <w:szCs w:val="23"/>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1217279"/>
    <w:multiLevelType w:val="hybridMultilevel"/>
    <w:tmpl w:val="4F98CEA0"/>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080" w:hanging="360"/>
      </w:pPr>
      <w:rPr>
        <w:rFonts w:ascii="Times New Roman" w:hAnsi="Times New Roman" w:cs="Times New Roman" w:hint="default"/>
        <w:sz w:val="24"/>
        <w:szCs w:val="24"/>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643699A"/>
    <w:multiLevelType w:val="hybridMultilevel"/>
    <w:tmpl w:val="3698B21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E91B5D"/>
    <w:multiLevelType w:val="hybridMultilevel"/>
    <w:tmpl w:val="278C71E2"/>
    <w:lvl w:ilvl="0">
      <w:start w:val="1"/>
      <w:numFmt w:val="upperRoman"/>
      <w:lvlText w:val="%1."/>
      <w:lvlJc w:val="left"/>
      <w:pPr>
        <w:ind w:left="16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20A2DAD"/>
    <w:multiLevelType w:val="multilevel"/>
    <w:tmpl w:val="0E1813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CAD4714"/>
    <w:multiLevelType w:val="hybridMultilevel"/>
    <w:tmpl w:val="1ACC73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1B25E5F"/>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1D948CF"/>
    <w:multiLevelType w:val="hybridMultilevel"/>
    <w:tmpl w:val="F3EAF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C23BCF"/>
    <w:multiLevelType w:val="hybridMultilevel"/>
    <w:tmpl w:val="F9502D4A"/>
    <w:lvl w:ilvl="0">
      <w:start w:val="1"/>
      <w:numFmt w:val="decimal"/>
      <w:lvlText w:val="%1."/>
      <w:lvlJc w:val="left"/>
      <w:pPr>
        <w:ind w:left="720" w:hanging="360"/>
      </w:pPr>
      <w:rPr>
        <w:rFonts w:ascii="Times New Roman" w:hAnsi="Times New Roman" w:cs="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2CC6ABE"/>
    <w:multiLevelType w:val="hybridMultilevel"/>
    <w:tmpl w:val="9ABEFA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2E539F0"/>
    <w:multiLevelType w:val="hybridMultilevel"/>
    <w:tmpl w:val="D61231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7EE6BE0"/>
    <w:multiLevelType w:val="hybridMultilevel"/>
    <w:tmpl w:val="1A06A24C"/>
    <w:lvl w:ilvl="0">
      <w:start w:val="1"/>
      <w:numFmt w:val="upperLetter"/>
      <w:pStyle w:val="Heading2"/>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80B30E9"/>
    <w:multiLevelType w:val="hybridMultilevel"/>
    <w:tmpl w:val="248462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A550D85"/>
    <w:multiLevelType w:val="hybridMultilevel"/>
    <w:tmpl w:val="F98881D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C815FF1"/>
    <w:multiLevelType w:val="hybridMultilevel"/>
    <w:tmpl w:val="FB9C53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1BE606F"/>
    <w:multiLevelType w:val="hybridMultilevel"/>
    <w:tmpl w:val="42123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3A42978"/>
    <w:multiLevelType w:val="hybridMultilevel"/>
    <w:tmpl w:val="19DEA5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3AE1D95"/>
    <w:multiLevelType w:val="hybridMultilevel"/>
    <w:tmpl w:val="F84653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FE1D7D"/>
    <w:multiLevelType w:val="hybridMultilevel"/>
    <w:tmpl w:val="E15C068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6014969"/>
    <w:multiLevelType w:val="hybridMultilevel"/>
    <w:tmpl w:val="F2FA09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6A271A3"/>
    <w:multiLevelType w:val="hybridMultilevel"/>
    <w:tmpl w:val="8432F2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837295D"/>
    <w:multiLevelType w:val="hybridMultilevel"/>
    <w:tmpl w:val="21F067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789C55ED"/>
    <w:multiLevelType w:val="hybridMultilevel"/>
    <w:tmpl w:val="629C55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7B0D7058"/>
    <w:multiLevelType w:val="hybridMultilevel"/>
    <w:tmpl w:val="D4369F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B262BF6"/>
    <w:multiLevelType w:val="hybridMultilevel"/>
    <w:tmpl w:val="B16E36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BE7E2F"/>
    <w:multiLevelType w:val="hybridMultilevel"/>
    <w:tmpl w:val="35C8B2B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26"/>
  </w:num>
  <w:num w:numId="4">
    <w:abstractNumId w:val="1"/>
  </w:num>
  <w:num w:numId="5">
    <w:abstractNumId w:val="21"/>
  </w:num>
  <w:num w:numId="6">
    <w:abstractNumId w:val="12"/>
  </w:num>
  <w:num w:numId="7">
    <w:abstractNumId w:val="14"/>
  </w:num>
  <w:num w:numId="8">
    <w:abstractNumId w:val="24"/>
  </w:num>
  <w:num w:numId="9">
    <w:abstractNumId w:val="16"/>
  </w:num>
  <w:num w:numId="10">
    <w:abstractNumId w:val="3"/>
  </w:num>
  <w:num w:numId="11">
    <w:abstractNumId w:val="8"/>
  </w:num>
  <w:num w:numId="12">
    <w:abstractNumId w:val="11"/>
  </w:num>
  <w:num w:numId="13">
    <w:abstractNumId w:val="10"/>
  </w:num>
  <w:num w:numId="14">
    <w:abstractNumId w:val="5"/>
  </w:num>
  <w:num w:numId="15">
    <w:abstractNumId w:val="34"/>
  </w:num>
  <w:num w:numId="16">
    <w:abstractNumId w:val="2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28"/>
  </w:num>
  <w:num w:numId="22">
    <w:abstractNumId w:val="13"/>
  </w:num>
  <w:num w:numId="23">
    <w:abstractNumId w:val="31"/>
  </w:num>
  <w:num w:numId="24">
    <w:abstractNumId w:val="20"/>
  </w:num>
  <w:num w:numId="25">
    <w:abstractNumId w:val="30"/>
  </w:num>
  <w:num w:numId="26">
    <w:abstractNumId w:val="7"/>
  </w:num>
  <w:num w:numId="27">
    <w:abstractNumId w:val="22"/>
  </w:num>
  <w:num w:numId="28">
    <w:abstractNumId w:val="29"/>
  </w:num>
  <w:num w:numId="29">
    <w:abstractNumId w:val="18"/>
  </w:num>
  <w:num w:numId="30">
    <w:abstractNumId w:val="27"/>
  </w:num>
  <w:num w:numId="31">
    <w:abstractNumId w:val="0"/>
  </w:num>
  <w:num w:numId="32">
    <w:abstractNumId w:val="2"/>
  </w:num>
  <w:num w:numId="33">
    <w:abstractNumId w:val="32"/>
  </w:num>
  <w:num w:numId="34">
    <w:abstractNumId w:val="33"/>
  </w:num>
  <w:num w:numId="35">
    <w:abstractNumId w:val="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F0"/>
    <w:rsid w:val="00001983"/>
    <w:rsid w:val="00004AEC"/>
    <w:rsid w:val="000061FE"/>
    <w:rsid w:val="00006881"/>
    <w:rsid w:val="000071A5"/>
    <w:rsid w:val="00011F5D"/>
    <w:rsid w:val="00014FE2"/>
    <w:rsid w:val="00022BE2"/>
    <w:rsid w:val="00026B3A"/>
    <w:rsid w:val="0003427C"/>
    <w:rsid w:val="00035006"/>
    <w:rsid w:val="00036EEF"/>
    <w:rsid w:val="000403DB"/>
    <w:rsid w:val="00051290"/>
    <w:rsid w:val="00052A36"/>
    <w:rsid w:val="00057B20"/>
    <w:rsid w:val="00060CE6"/>
    <w:rsid w:val="00061392"/>
    <w:rsid w:val="0006432F"/>
    <w:rsid w:val="000725BF"/>
    <w:rsid w:val="00074854"/>
    <w:rsid w:val="00083A8B"/>
    <w:rsid w:val="000845B8"/>
    <w:rsid w:val="00095378"/>
    <w:rsid w:val="000971D4"/>
    <w:rsid w:val="000A0D95"/>
    <w:rsid w:val="000A4237"/>
    <w:rsid w:val="000A4BF0"/>
    <w:rsid w:val="000C34E7"/>
    <w:rsid w:val="000C5782"/>
    <w:rsid w:val="000C750D"/>
    <w:rsid w:val="000D20E2"/>
    <w:rsid w:val="000D2315"/>
    <w:rsid w:val="000E6470"/>
    <w:rsid w:val="000E707C"/>
    <w:rsid w:val="000E736B"/>
    <w:rsid w:val="000E7AFD"/>
    <w:rsid w:val="000F3358"/>
    <w:rsid w:val="000F3A7C"/>
    <w:rsid w:val="000F4353"/>
    <w:rsid w:val="001035B5"/>
    <w:rsid w:val="001054EF"/>
    <w:rsid w:val="00106C3F"/>
    <w:rsid w:val="00112F42"/>
    <w:rsid w:val="00114BAC"/>
    <w:rsid w:val="0012199B"/>
    <w:rsid w:val="001306C5"/>
    <w:rsid w:val="001308EC"/>
    <w:rsid w:val="00132897"/>
    <w:rsid w:val="001356C7"/>
    <w:rsid w:val="001411B0"/>
    <w:rsid w:val="001425F3"/>
    <w:rsid w:val="00147EDA"/>
    <w:rsid w:val="0015116F"/>
    <w:rsid w:val="001603E5"/>
    <w:rsid w:val="00164463"/>
    <w:rsid w:val="00166F92"/>
    <w:rsid w:val="00166FC5"/>
    <w:rsid w:val="00167954"/>
    <w:rsid w:val="00167A91"/>
    <w:rsid w:val="00171FB3"/>
    <w:rsid w:val="001739BE"/>
    <w:rsid w:val="001814E7"/>
    <w:rsid w:val="001820F9"/>
    <w:rsid w:val="00183F20"/>
    <w:rsid w:val="001856FE"/>
    <w:rsid w:val="001A107D"/>
    <w:rsid w:val="001A2339"/>
    <w:rsid w:val="001A396D"/>
    <w:rsid w:val="001A3B98"/>
    <w:rsid w:val="001B7931"/>
    <w:rsid w:val="001C4D83"/>
    <w:rsid w:val="001D5DD9"/>
    <w:rsid w:val="001D608B"/>
    <w:rsid w:val="001E0163"/>
    <w:rsid w:val="00200CAF"/>
    <w:rsid w:val="00201E73"/>
    <w:rsid w:val="0020245C"/>
    <w:rsid w:val="00202CA5"/>
    <w:rsid w:val="00205074"/>
    <w:rsid w:val="002074A3"/>
    <w:rsid w:val="00211445"/>
    <w:rsid w:val="0021309D"/>
    <w:rsid w:val="00214DB4"/>
    <w:rsid w:val="00214EE2"/>
    <w:rsid w:val="00227AC3"/>
    <w:rsid w:val="0023171C"/>
    <w:rsid w:val="00250190"/>
    <w:rsid w:val="00253C99"/>
    <w:rsid w:val="002544D4"/>
    <w:rsid w:val="00255C98"/>
    <w:rsid w:val="0026698B"/>
    <w:rsid w:val="00271DE5"/>
    <w:rsid w:val="0027371A"/>
    <w:rsid w:val="00274141"/>
    <w:rsid w:val="002774FB"/>
    <w:rsid w:val="00277CDF"/>
    <w:rsid w:val="002811EA"/>
    <w:rsid w:val="00282697"/>
    <w:rsid w:val="0028406C"/>
    <w:rsid w:val="002841CB"/>
    <w:rsid w:val="00285DB4"/>
    <w:rsid w:val="00287EB0"/>
    <w:rsid w:val="00290531"/>
    <w:rsid w:val="002937E4"/>
    <w:rsid w:val="00294B56"/>
    <w:rsid w:val="002A3AB1"/>
    <w:rsid w:val="002A6407"/>
    <w:rsid w:val="002A688B"/>
    <w:rsid w:val="002B6CF0"/>
    <w:rsid w:val="002C6EBA"/>
    <w:rsid w:val="002D01F1"/>
    <w:rsid w:val="002D48B0"/>
    <w:rsid w:val="002D7A69"/>
    <w:rsid w:val="002E7440"/>
    <w:rsid w:val="002F2D85"/>
    <w:rsid w:val="002F3A0F"/>
    <w:rsid w:val="00302492"/>
    <w:rsid w:val="003144C6"/>
    <w:rsid w:val="00314C13"/>
    <w:rsid w:val="00331B3F"/>
    <w:rsid w:val="00335ED2"/>
    <w:rsid w:val="00343237"/>
    <w:rsid w:val="00344197"/>
    <w:rsid w:val="0035364D"/>
    <w:rsid w:val="00354619"/>
    <w:rsid w:val="0035513E"/>
    <w:rsid w:val="00366B39"/>
    <w:rsid w:val="00370963"/>
    <w:rsid w:val="00375BD2"/>
    <w:rsid w:val="00382566"/>
    <w:rsid w:val="00383EDB"/>
    <w:rsid w:val="00384970"/>
    <w:rsid w:val="003944D1"/>
    <w:rsid w:val="0039546D"/>
    <w:rsid w:val="00395ED6"/>
    <w:rsid w:val="00396037"/>
    <w:rsid w:val="003A4A81"/>
    <w:rsid w:val="003A6CC4"/>
    <w:rsid w:val="003B2E7B"/>
    <w:rsid w:val="003C421A"/>
    <w:rsid w:val="003D2481"/>
    <w:rsid w:val="003D387E"/>
    <w:rsid w:val="003D6083"/>
    <w:rsid w:val="003E4D6D"/>
    <w:rsid w:val="003E5F6E"/>
    <w:rsid w:val="003E633A"/>
    <w:rsid w:val="003F0AC7"/>
    <w:rsid w:val="003F22D5"/>
    <w:rsid w:val="003F3654"/>
    <w:rsid w:val="003F6CB8"/>
    <w:rsid w:val="004056E9"/>
    <w:rsid w:val="004111FA"/>
    <w:rsid w:val="00411B0F"/>
    <w:rsid w:val="00421E6D"/>
    <w:rsid w:val="0042455D"/>
    <w:rsid w:val="00424AC9"/>
    <w:rsid w:val="0042722E"/>
    <w:rsid w:val="004379CD"/>
    <w:rsid w:val="00443D17"/>
    <w:rsid w:val="00451024"/>
    <w:rsid w:val="004512B4"/>
    <w:rsid w:val="004665C8"/>
    <w:rsid w:val="00466983"/>
    <w:rsid w:val="0047041B"/>
    <w:rsid w:val="00470E77"/>
    <w:rsid w:val="004728A2"/>
    <w:rsid w:val="00475DD1"/>
    <w:rsid w:val="004768C2"/>
    <w:rsid w:val="00482BFC"/>
    <w:rsid w:val="004906E5"/>
    <w:rsid w:val="004A543F"/>
    <w:rsid w:val="004B531A"/>
    <w:rsid w:val="004C1063"/>
    <w:rsid w:val="004C17BC"/>
    <w:rsid w:val="004C2F82"/>
    <w:rsid w:val="004D46CF"/>
    <w:rsid w:val="004E0AAD"/>
    <w:rsid w:val="004E75F5"/>
    <w:rsid w:val="004F0199"/>
    <w:rsid w:val="004F1759"/>
    <w:rsid w:val="004F7EB5"/>
    <w:rsid w:val="00505527"/>
    <w:rsid w:val="005060CC"/>
    <w:rsid w:val="00510AC0"/>
    <w:rsid w:val="005133EB"/>
    <w:rsid w:val="00514F2B"/>
    <w:rsid w:val="005166B5"/>
    <w:rsid w:val="005216DF"/>
    <w:rsid w:val="00521C10"/>
    <w:rsid w:val="005239E5"/>
    <w:rsid w:val="005244B6"/>
    <w:rsid w:val="00524B5D"/>
    <w:rsid w:val="00524D92"/>
    <w:rsid w:val="005251DA"/>
    <w:rsid w:val="005271A5"/>
    <w:rsid w:val="005400FA"/>
    <w:rsid w:val="00541FB5"/>
    <w:rsid w:val="005438E4"/>
    <w:rsid w:val="00545085"/>
    <w:rsid w:val="00550367"/>
    <w:rsid w:val="0055223A"/>
    <w:rsid w:val="00552DDD"/>
    <w:rsid w:val="00556E48"/>
    <w:rsid w:val="00564B4E"/>
    <w:rsid w:val="00575E87"/>
    <w:rsid w:val="0057691B"/>
    <w:rsid w:val="00577E1D"/>
    <w:rsid w:val="005814C8"/>
    <w:rsid w:val="00581A9E"/>
    <w:rsid w:val="00581EAE"/>
    <w:rsid w:val="00585EC2"/>
    <w:rsid w:val="00587A91"/>
    <w:rsid w:val="00591DB2"/>
    <w:rsid w:val="005A27FD"/>
    <w:rsid w:val="005B1535"/>
    <w:rsid w:val="005B7D77"/>
    <w:rsid w:val="005C2E53"/>
    <w:rsid w:val="005C600C"/>
    <w:rsid w:val="005C686B"/>
    <w:rsid w:val="005C7331"/>
    <w:rsid w:val="005D150A"/>
    <w:rsid w:val="005D389A"/>
    <w:rsid w:val="005D3C0F"/>
    <w:rsid w:val="005D4801"/>
    <w:rsid w:val="005F2DB5"/>
    <w:rsid w:val="005F41C4"/>
    <w:rsid w:val="005F5535"/>
    <w:rsid w:val="005F7A1F"/>
    <w:rsid w:val="00601B90"/>
    <w:rsid w:val="00604EFA"/>
    <w:rsid w:val="00605701"/>
    <w:rsid w:val="006074D5"/>
    <w:rsid w:val="00611832"/>
    <w:rsid w:val="00611A0E"/>
    <w:rsid w:val="00616F58"/>
    <w:rsid w:val="0062200F"/>
    <w:rsid w:val="0062377E"/>
    <w:rsid w:val="00623C92"/>
    <w:rsid w:val="006244BA"/>
    <w:rsid w:val="00630C17"/>
    <w:rsid w:val="0063104E"/>
    <w:rsid w:val="00631448"/>
    <w:rsid w:val="00635EAA"/>
    <w:rsid w:val="00636210"/>
    <w:rsid w:val="00644527"/>
    <w:rsid w:val="00664F77"/>
    <w:rsid w:val="00665434"/>
    <w:rsid w:val="0066610D"/>
    <w:rsid w:val="006702E8"/>
    <w:rsid w:val="00671454"/>
    <w:rsid w:val="00671C27"/>
    <w:rsid w:val="00671CDA"/>
    <w:rsid w:val="00680EB0"/>
    <w:rsid w:val="00685FE5"/>
    <w:rsid w:val="00691811"/>
    <w:rsid w:val="00696EE4"/>
    <w:rsid w:val="006B2834"/>
    <w:rsid w:val="006B7E2D"/>
    <w:rsid w:val="006C0976"/>
    <w:rsid w:val="006C0E85"/>
    <w:rsid w:val="006C1486"/>
    <w:rsid w:val="006D23EB"/>
    <w:rsid w:val="006D3A3B"/>
    <w:rsid w:val="006D5422"/>
    <w:rsid w:val="006E0249"/>
    <w:rsid w:val="006E711E"/>
    <w:rsid w:val="006F5122"/>
    <w:rsid w:val="007016CA"/>
    <w:rsid w:val="007052F3"/>
    <w:rsid w:val="00706457"/>
    <w:rsid w:val="007178DC"/>
    <w:rsid w:val="007209DE"/>
    <w:rsid w:val="0072100A"/>
    <w:rsid w:val="00725879"/>
    <w:rsid w:val="00727BAC"/>
    <w:rsid w:val="00730E1E"/>
    <w:rsid w:val="007338CA"/>
    <w:rsid w:val="00735575"/>
    <w:rsid w:val="007373A0"/>
    <w:rsid w:val="00743C1D"/>
    <w:rsid w:val="00755A86"/>
    <w:rsid w:val="007612EE"/>
    <w:rsid w:val="00763FAD"/>
    <w:rsid w:val="0076608F"/>
    <w:rsid w:val="007748DB"/>
    <w:rsid w:val="00774C25"/>
    <w:rsid w:val="0077555B"/>
    <w:rsid w:val="00777C56"/>
    <w:rsid w:val="007807F0"/>
    <w:rsid w:val="00780BBF"/>
    <w:rsid w:val="00783E65"/>
    <w:rsid w:val="00784351"/>
    <w:rsid w:val="00791915"/>
    <w:rsid w:val="00791E61"/>
    <w:rsid w:val="00795636"/>
    <w:rsid w:val="007A1A74"/>
    <w:rsid w:val="007A3057"/>
    <w:rsid w:val="007A3BB6"/>
    <w:rsid w:val="007B2389"/>
    <w:rsid w:val="007B52DA"/>
    <w:rsid w:val="007C45B9"/>
    <w:rsid w:val="007D1B0A"/>
    <w:rsid w:val="007D28C3"/>
    <w:rsid w:val="007E15A0"/>
    <w:rsid w:val="007F1719"/>
    <w:rsid w:val="007F3C67"/>
    <w:rsid w:val="0080061E"/>
    <w:rsid w:val="00801C6B"/>
    <w:rsid w:val="0080566C"/>
    <w:rsid w:val="0081059B"/>
    <w:rsid w:val="008108E7"/>
    <w:rsid w:val="0081266E"/>
    <w:rsid w:val="00820948"/>
    <w:rsid w:val="00824E9C"/>
    <w:rsid w:val="008303FC"/>
    <w:rsid w:val="008310EA"/>
    <w:rsid w:val="0083351D"/>
    <w:rsid w:val="00835159"/>
    <w:rsid w:val="00840CF9"/>
    <w:rsid w:val="00843620"/>
    <w:rsid w:val="00843A02"/>
    <w:rsid w:val="00850A87"/>
    <w:rsid w:val="0086212B"/>
    <w:rsid w:val="008656DA"/>
    <w:rsid w:val="00875D88"/>
    <w:rsid w:val="00876F6F"/>
    <w:rsid w:val="00881783"/>
    <w:rsid w:val="00882319"/>
    <w:rsid w:val="00891584"/>
    <w:rsid w:val="00891CF9"/>
    <w:rsid w:val="008933A8"/>
    <w:rsid w:val="008A0A0E"/>
    <w:rsid w:val="008A5A4E"/>
    <w:rsid w:val="008A67B8"/>
    <w:rsid w:val="008A7424"/>
    <w:rsid w:val="008B2B2B"/>
    <w:rsid w:val="008B4D0A"/>
    <w:rsid w:val="008B6C9D"/>
    <w:rsid w:val="008C221D"/>
    <w:rsid w:val="008C3797"/>
    <w:rsid w:val="008C56AF"/>
    <w:rsid w:val="008C63ED"/>
    <w:rsid w:val="008C7E57"/>
    <w:rsid w:val="008D5DAF"/>
    <w:rsid w:val="008D6490"/>
    <w:rsid w:val="008E0125"/>
    <w:rsid w:val="008E6E6F"/>
    <w:rsid w:val="008F0A5F"/>
    <w:rsid w:val="008F0AD0"/>
    <w:rsid w:val="008F0B66"/>
    <w:rsid w:val="008F4C19"/>
    <w:rsid w:val="008F52F7"/>
    <w:rsid w:val="008F6800"/>
    <w:rsid w:val="00900E33"/>
    <w:rsid w:val="00901811"/>
    <w:rsid w:val="009021A4"/>
    <w:rsid w:val="0090694F"/>
    <w:rsid w:val="00906C23"/>
    <w:rsid w:val="009147C6"/>
    <w:rsid w:val="00922CB7"/>
    <w:rsid w:val="00923AE6"/>
    <w:rsid w:val="00932969"/>
    <w:rsid w:val="00947876"/>
    <w:rsid w:val="00956220"/>
    <w:rsid w:val="00960C3C"/>
    <w:rsid w:val="00986AE5"/>
    <w:rsid w:val="0099394F"/>
    <w:rsid w:val="0099425A"/>
    <w:rsid w:val="009A02F3"/>
    <w:rsid w:val="009A1C35"/>
    <w:rsid w:val="009A7B9F"/>
    <w:rsid w:val="009B00B8"/>
    <w:rsid w:val="009B281D"/>
    <w:rsid w:val="009B397D"/>
    <w:rsid w:val="009B4C40"/>
    <w:rsid w:val="009B6606"/>
    <w:rsid w:val="009B71C8"/>
    <w:rsid w:val="009B7D9F"/>
    <w:rsid w:val="009C4C2F"/>
    <w:rsid w:val="009C6C38"/>
    <w:rsid w:val="009D0F9A"/>
    <w:rsid w:val="009D1E0F"/>
    <w:rsid w:val="009D26E5"/>
    <w:rsid w:val="009D4F11"/>
    <w:rsid w:val="009D6D8B"/>
    <w:rsid w:val="009D7675"/>
    <w:rsid w:val="009E03D4"/>
    <w:rsid w:val="009E42D1"/>
    <w:rsid w:val="009E4CFE"/>
    <w:rsid w:val="009E5884"/>
    <w:rsid w:val="009F1AE3"/>
    <w:rsid w:val="009F2224"/>
    <w:rsid w:val="009F39AB"/>
    <w:rsid w:val="009F3EA0"/>
    <w:rsid w:val="009F7514"/>
    <w:rsid w:val="00A0421F"/>
    <w:rsid w:val="00A1163A"/>
    <w:rsid w:val="00A17E6D"/>
    <w:rsid w:val="00A2071F"/>
    <w:rsid w:val="00A214D8"/>
    <w:rsid w:val="00A2633D"/>
    <w:rsid w:val="00A265DB"/>
    <w:rsid w:val="00A364F2"/>
    <w:rsid w:val="00A37671"/>
    <w:rsid w:val="00A461FD"/>
    <w:rsid w:val="00A506D5"/>
    <w:rsid w:val="00A53058"/>
    <w:rsid w:val="00A53CDC"/>
    <w:rsid w:val="00A57245"/>
    <w:rsid w:val="00A613AA"/>
    <w:rsid w:val="00A62620"/>
    <w:rsid w:val="00A66CDD"/>
    <w:rsid w:val="00A72149"/>
    <w:rsid w:val="00A74B92"/>
    <w:rsid w:val="00A81647"/>
    <w:rsid w:val="00A81CBD"/>
    <w:rsid w:val="00A85502"/>
    <w:rsid w:val="00A87578"/>
    <w:rsid w:val="00A9541E"/>
    <w:rsid w:val="00AA4C3F"/>
    <w:rsid w:val="00AA734C"/>
    <w:rsid w:val="00AB3192"/>
    <w:rsid w:val="00AB4D24"/>
    <w:rsid w:val="00AD5926"/>
    <w:rsid w:val="00AE180D"/>
    <w:rsid w:val="00AE2CE1"/>
    <w:rsid w:val="00AF3597"/>
    <w:rsid w:val="00B01D45"/>
    <w:rsid w:val="00B01F21"/>
    <w:rsid w:val="00B02672"/>
    <w:rsid w:val="00B029D7"/>
    <w:rsid w:val="00B03373"/>
    <w:rsid w:val="00B068FD"/>
    <w:rsid w:val="00B12FD1"/>
    <w:rsid w:val="00B1778F"/>
    <w:rsid w:val="00B201B5"/>
    <w:rsid w:val="00B21724"/>
    <w:rsid w:val="00B30DF0"/>
    <w:rsid w:val="00B504FB"/>
    <w:rsid w:val="00B56C8B"/>
    <w:rsid w:val="00B611DA"/>
    <w:rsid w:val="00B7184A"/>
    <w:rsid w:val="00B74F3A"/>
    <w:rsid w:val="00B76DB4"/>
    <w:rsid w:val="00B7799E"/>
    <w:rsid w:val="00B80961"/>
    <w:rsid w:val="00B83DEF"/>
    <w:rsid w:val="00B8559F"/>
    <w:rsid w:val="00B928EF"/>
    <w:rsid w:val="00B9329C"/>
    <w:rsid w:val="00B94843"/>
    <w:rsid w:val="00BA096A"/>
    <w:rsid w:val="00BA71D4"/>
    <w:rsid w:val="00BB0C6F"/>
    <w:rsid w:val="00BB6176"/>
    <w:rsid w:val="00BC2936"/>
    <w:rsid w:val="00BC3B1E"/>
    <w:rsid w:val="00BC5F26"/>
    <w:rsid w:val="00BC66A2"/>
    <w:rsid w:val="00BE04F8"/>
    <w:rsid w:val="00BF0177"/>
    <w:rsid w:val="00BF386A"/>
    <w:rsid w:val="00BF3EEC"/>
    <w:rsid w:val="00BF55DD"/>
    <w:rsid w:val="00C00D21"/>
    <w:rsid w:val="00C02088"/>
    <w:rsid w:val="00C0418E"/>
    <w:rsid w:val="00C0569B"/>
    <w:rsid w:val="00C078E8"/>
    <w:rsid w:val="00C10EDF"/>
    <w:rsid w:val="00C15390"/>
    <w:rsid w:val="00C40545"/>
    <w:rsid w:val="00C42202"/>
    <w:rsid w:val="00C44A99"/>
    <w:rsid w:val="00C51D02"/>
    <w:rsid w:val="00C53206"/>
    <w:rsid w:val="00C5332D"/>
    <w:rsid w:val="00C571AF"/>
    <w:rsid w:val="00C578E7"/>
    <w:rsid w:val="00C6031A"/>
    <w:rsid w:val="00C603C1"/>
    <w:rsid w:val="00C61134"/>
    <w:rsid w:val="00C616F1"/>
    <w:rsid w:val="00C62859"/>
    <w:rsid w:val="00C63E0B"/>
    <w:rsid w:val="00C63E3B"/>
    <w:rsid w:val="00C63EE4"/>
    <w:rsid w:val="00C74976"/>
    <w:rsid w:val="00C8586B"/>
    <w:rsid w:val="00C86433"/>
    <w:rsid w:val="00C87E69"/>
    <w:rsid w:val="00C87FA4"/>
    <w:rsid w:val="00C90299"/>
    <w:rsid w:val="00C905B5"/>
    <w:rsid w:val="00C908D5"/>
    <w:rsid w:val="00C96150"/>
    <w:rsid w:val="00C97BCA"/>
    <w:rsid w:val="00C97C80"/>
    <w:rsid w:val="00CA399C"/>
    <w:rsid w:val="00CA3CE5"/>
    <w:rsid w:val="00CB0F6E"/>
    <w:rsid w:val="00CB2407"/>
    <w:rsid w:val="00CB408D"/>
    <w:rsid w:val="00CB5A0F"/>
    <w:rsid w:val="00CC0525"/>
    <w:rsid w:val="00CC29E0"/>
    <w:rsid w:val="00CC40C8"/>
    <w:rsid w:val="00CC5484"/>
    <w:rsid w:val="00CD1B63"/>
    <w:rsid w:val="00CE32A1"/>
    <w:rsid w:val="00CE6312"/>
    <w:rsid w:val="00CE6A0E"/>
    <w:rsid w:val="00CE723C"/>
    <w:rsid w:val="00CF0CC5"/>
    <w:rsid w:val="00CF2A3B"/>
    <w:rsid w:val="00CF4B0F"/>
    <w:rsid w:val="00D00562"/>
    <w:rsid w:val="00D05956"/>
    <w:rsid w:val="00D11F24"/>
    <w:rsid w:val="00D1223C"/>
    <w:rsid w:val="00D20D4C"/>
    <w:rsid w:val="00D2109E"/>
    <w:rsid w:val="00D24C72"/>
    <w:rsid w:val="00D25B12"/>
    <w:rsid w:val="00D3206B"/>
    <w:rsid w:val="00D35BE2"/>
    <w:rsid w:val="00D36CA7"/>
    <w:rsid w:val="00D41E3C"/>
    <w:rsid w:val="00D47085"/>
    <w:rsid w:val="00D476D3"/>
    <w:rsid w:val="00D503CD"/>
    <w:rsid w:val="00D541C8"/>
    <w:rsid w:val="00D5600C"/>
    <w:rsid w:val="00D57D78"/>
    <w:rsid w:val="00D662E8"/>
    <w:rsid w:val="00D76518"/>
    <w:rsid w:val="00D82B18"/>
    <w:rsid w:val="00D86943"/>
    <w:rsid w:val="00D913E5"/>
    <w:rsid w:val="00D95F87"/>
    <w:rsid w:val="00D968A4"/>
    <w:rsid w:val="00DA1DD5"/>
    <w:rsid w:val="00DA429D"/>
    <w:rsid w:val="00DB7B9D"/>
    <w:rsid w:val="00DC0E1E"/>
    <w:rsid w:val="00DC45FE"/>
    <w:rsid w:val="00DC58EC"/>
    <w:rsid w:val="00DD5E3A"/>
    <w:rsid w:val="00DD5F5B"/>
    <w:rsid w:val="00DE166F"/>
    <w:rsid w:val="00DE5DC4"/>
    <w:rsid w:val="00DF53FA"/>
    <w:rsid w:val="00DF7233"/>
    <w:rsid w:val="00DF76D9"/>
    <w:rsid w:val="00E02244"/>
    <w:rsid w:val="00E02D01"/>
    <w:rsid w:val="00E02F06"/>
    <w:rsid w:val="00E109DD"/>
    <w:rsid w:val="00E127A2"/>
    <w:rsid w:val="00E2040B"/>
    <w:rsid w:val="00E21B16"/>
    <w:rsid w:val="00E2256F"/>
    <w:rsid w:val="00E33740"/>
    <w:rsid w:val="00E3663F"/>
    <w:rsid w:val="00E40064"/>
    <w:rsid w:val="00E44A11"/>
    <w:rsid w:val="00E5730F"/>
    <w:rsid w:val="00E626A9"/>
    <w:rsid w:val="00E65D30"/>
    <w:rsid w:val="00E6618E"/>
    <w:rsid w:val="00E701C1"/>
    <w:rsid w:val="00E734F0"/>
    <w:rsid w:val="00E74770"/>
    <w:rsid w:val="00E769AC"/>
    <w:rsid w:val="00E76DF1"/>
    <w:rsid w:val="00E80708"/>
    <w:rsid w:val="00E82052"/>
    <w:rsid w:val="00E835C3"/>
    <w:rsid w:val="00E8587D"/>
    <w:rsid w:val="00E924C7"/>
    <w:rsid w:val="00E96BE8"/>
    <w:rsid w:val="00EA2DDD"/>
    <w:rsid w:val="00EA3557"/>
    <w:rsid w:val="00EA51A6"/>
    <w:rsid w:val="00EB12CD"/>
    <w:rsid w:val="00EC24F9"/>
    <w:rsid w:val="00ED0A82"/>
    <w:rsid w:val="00ED36EB"/>
    <w:rsid w:val="00ED61CF"/>
    <w:rsid w:val="00ED7CA2"/>
    <w:rsid w:val="00EE0D9C"/>
    <w:rsid w:val="00EE26A4"/>
    <w:rsid w:val="00EE60C5"/>
    <w:rsid w:val="00F0269C"/>
    <w:rsid w:val="00F0504C"/>
    <w:rsid w:val="00F07AF5"/>
    <w:rsid w:val="00F07B79"/>
    <w:rsid w:val="00F10971"/>
    <w:rsid w:val="00F12510"/>
    <w:rsid w:val="00F167EA"/>
    <w:rsid w:val="00F239C5"/>
    <w:rsid w:val="00F23D02"/>
    <w:rsid w:val="00F30D3F"/>
    <w:rsid w:val="00F33DE7"/>
    <w:rsid w:val="00F4561F"/>
    <w:rsid w:val="00F50DEB"/>
    <w:rsid w:val="00F54A92"/>
    <w:rsid w:val="00F570B8"/>
    <w:rsid w:val="00F61170"/>
    <w:rsid w:val="00F62637"/>
    <w:rsid w:val="00F64CFE"/>
    <w:rsid w:val="00F7000C"/>
    <w:rsid w:val="00F74325"/>
    <w:rsid w:val="00F74A11"/>
    <w:rsid w:val="00F76357"/>
    <w:rsid w:val="00F82C6C"/>
    <w:rsid w:val="00F8404A"/>
    <w:rsid w:val="00F878E5"/>
    <w:rsid w:val="00F97127"/>
    <w:rsid w:val="00FA283D"/>
    <w:rsid w:val="00FA329B"/>
    <w:rsid w:val="00FA769A"/>
    <w:rsid w:val="00FB0796"/>
    <w:rsid w:val="00FB1F4C"/>
    <w:rsid w:val="00FC5ACA"/>
    <w:rsid w:val="00FC63D0"/>
    <w:rsid w:val="00FD30AB"/>
    <w:rsid w:val="00FD31D7"/>
    <w:rsid w:val="00FD5783"/>
    <w:rsid w:val="00FD62BA"/>
    <w:rsid w:val="00FD7A6D"/>
    <w:rsid w:val="00FF1A7D"/>
    <w:rsid w:val="00FF64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21A"/>
    <w:rPr>
      <w:sz w:val="24"/>
      <w:szCs w:val="24"/>
      <w:lang w:bidi="en-US"/>
    </w:rPr>
  </w:style>
  <w:style w:type="paragraph" w:styleId="Heading1">
    <w:name w:val="heading 1"/>
    <w:basedOn w:val="Normal"/>
    <w:next w:val="Normal"/>
    <w:link w:val="Heading1Char"/>
    <w:autoRedefine/>
    <w:uiPriority w:val="9"/>
    <w:qFormat/>
    <w:rsid w:val="00BC3B1E"/>
    <w:pPr>
      <w:keepNext/>
      <w:spacing w:after="240"/>
      <w:ind w:left="720" w:hanging="720"/>
      <w:outlineLvl w:val="0"/>
    </w:pPr>
    <w:rPr>
      <w:rFonts w:ascii="Times New Roman Bold" w:hAnsi="Times New Roman Bold"/>
      <w:b/>
      <w:bCs/>
      <w:kern w:val="32"/>
    </w:rPr>
  </w:style>
  <w:style w:type="paragraph" w:styleId="Heading2">
    <w:name w:val="heading 2"/>
    <w:basedOn w:val="Normal"/>
    <w:next w:val="Normal"/>
    <w:link w:val="Heading2Char"/>
    <w:autoRedefine/>
    <w:uiPriority w:val="9"/>
    <w:qFormat/>
    <w:rsid w:val="00A37671"/>
    <w:pPr>
      <w:keepNext/>
      <w:numPr>
        <w:numId w:val="36"/>
      </w:numPr>
      <w:spacing w:after="240"/>
      <w:ind w:left="1440" w:hanging="720"/>
      <w:outlineLvl w:val="1"/>
    </w:pPr>
    <w:rPr>
      <w:rFonts w:ascii="Times New Roman Bold" w:hAnsi="Times New Roman Bold"/>
      <w:b/>
      <w:bCs/>
      <w:iCs/>
      <w:szCs w:val="28"/>
    </w:rPr>
  </w:style>
  <w:style w:type="paragraph" w:styleId="Heading3">
    <w:name w:val="heading 3"/>
    <w:basedOn w:val="Normal"/>
    <w:next w:val="Normal"/>
    <w:link w:val="Heading3Char"/>
    <w:autoRedefine/>
    <w:uiPriority w:val="9"/>
    <w:qFormat/>
    <w:rsid w:val="00E924C7"/>
    <w:pPr>
      <w:keepNext/>
      <w:spacing w:after="240"/>
      <w:ind w:left="2160" w:hanging="720"/>
      <w:outlineLvl w:val="2"/>
    </w:pPr>
    <w:rPr>
      <w:rFonts w:ascii="Times New Roman Bold" w:hAnsi="Times New Roman Bold"/>
      <w:b/>
      <w:bCs/>
    </w:rPr>
  </w:style>
  <w:style w:type="paragraph" w:styleId="Heading4">
    <w:name w:val="heading 4"/>
    <w:basedOn w:val="Normal"/>
    <w:next w:val="Normal"/>
    <w:link w:val="Heading4Char"/>
    <w:autoRedefine/>
    <w:uiPriority w:val="9"/>
    <w:qFormat/>
    <w:rsid w:val="00AA7A3D"/>
    <w:pPr>
      <w:keepNext/>
      <w:keepLines/>
      <w:spacing w:after="240"/>
      <w:ind w:left="2880" w:hanging="720"/>
      <w:outlineLvl w:val="3"/>
    </w:pPr>
    <w:rPr>
      <w:b/>
      <w:bCs/>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3B1E"/>
    <w:rPr>
      <w:rFonts w:ascii="Times New Roman Bold" w:hAnsi="Times New Roman Bold"/>
      <w:b/>
      <w:bCs/>
      <w:kern w:val="32"/>
      <w:sz w:val="24"/>
      <w:szCs w:val="24"/>
      <w:lang w:bidi="en-US"/>
    </w:rPr>
  </w:style>
  <w:style w:type="character" w:customStyle="1" w:styleId="Heading2Char">
    <w:name w:val="Heading 2 Char"/>
    <w:link w:val="Heading2"/>
    <w:uiPriority w:val="9"/>
    <w:rsid w:val="00A37671"/>
    <w:rPr>
      <w:rFonts w:ascii="Times New Roman Bold" w:hAnsi="Times New Roman Bold"/>
      <w:b/>
      <w:bCs/>
      <w:iCs/>
      <w:sz w:val="24"/>
      <w:szCs w:val="28"/>
      <w:lang w:bidi="en-US"/>
    </w:rPr>
  </w:style>
  <w:style w:type="character" w:customStyle="1" w:styleId="Heading3Char">
    <w:name w:val="Heading 3 Char"/>
    <w:link w:val="Heading3"/>
    <w:uiPriority w:val="9"/>
    <w:rsid w:val="00E924C7"/>
    <w:rPr>
      <w:rFonts w:ascii="Times New Roman Bold" w:hAnsi="Times New Roman Bold"/>
      <w:b/>
      <w:bCs/>
      <w:sz w:val="24"/>
      <w:szCs w:val="24"/>
      <w:lang w:bidi="en-US"/>
    </w:rPr>
  </w:style>
  <w:style w:type="character" w:customStyle="1" w:styleId="Heading4Char">
    <w:name w:val="Heading 4 Char"/>
    <w:link w:val="Heading4"/>
    <w:uiPriority w:val="9"/>
    <w:rsid w:val="00AA7A3D"/>
    <w:rPr>
      <w:b/>
      <w:bCs/>
      <w:sz w:val="24"/>
      <w:szCs w:val="28"/>
      <w:lang w:bidi="en-US"/>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Times New Roman" w:eastAsia="Times New Roman" w:hAnsi="Times New Roman"/>
    </w:rPr>
  </w:style>
  <w:style w:type="paragraph" w:styleId="Title">
    <w:name w:val="Title"/>
    <w:basedOn w:val="Normal"/>
    <w:next w:val="Normal"/>
    <w:link w:val="TitleChar"/>
    <w:uiPriority w:val="10"/>
    <w:qFormat/>
    <w:pPr>
      <w:spacing w:before="240" w:after="60"/>
      <w:jc w:val="center"/>
      <w:outlineLvl w:val="0"/>
    </w:pPr>
    <w:rPr>
      <w:b/>
      <w:bCs/>
      <w:kern w:val="28"/>
      <w:sz w:val="32"/>
      <w:szCs w:val="32"/>
    </w:rPr>
  </w:style>
  <w:style w:type="character" w:customStyle="1" w:styleId="TitleChar">
    <w:name w:val="Title Char"/>
    <w:link w:val="Title"/>
    <w:uiPriority w:val="10"/>
    <w:rPr>
      <w:rFonts w:ascii="Times New Roman" w:eastAsia="Times New Roman" w:hAnsi="Times New Roman"/>
      <w:b/>
      <w:bCs/>
      <w:kern w:val="28"/>
      <w:sz w:val="32"/>
      <w:szCs w:val="32"/>
    </w:rPr>
  </w:style>
  <w:style w:type="paragraph" w:styleId="Subtitle">
    <w:name w:val="Subtitle"/>
    <w:basedOn w:val="Normal"/>
    <w:next w:val="Normal"/>
    <w:link w:val="SubtitleChar"/>
    <w:uiPriority w:val="11"/>
    <w:qFormat/>
    <w:pPr>
      <w:spacing w:after="60"/>
      <w:jc w:val="center"/>
      <w:outlineLvl w:val="1"/>
    </w:pPr>
  </w:style>
  <w:style w:type="character" w:customStyle="1" w:styleId="SubtitleChar">
    <w:name w:val="Subtitle Char"/>
    <w:link w:val="Subtitle"/>
    <w:uiPriority w:val="11"/>
    <w:rPr>
      <w:rFonts w:ascii="Times New Roman" w:eastAsia="Times New Roman" w:hAnsi="Times New Roman"/>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Times New Roman" w:eastAsia="Times New Roman" w:hAnsi="Times New Roman"/>
      <w:b/>
      <w:i/>
      <w:sz w:val="24"/>
      <w:szCs w:val="24"/>
    </w:rPr>
  </w:style>
  <w:style w:type="paragraph" w:styleId="TOCHeading">
    <w:name w:val="TOC Heading"/>
    <w:basedOn w:val="Heading1"/>
    <w:next w:val="Normal"/>
    <w:uiPriority w:val="39"/>
    <w:qFormat/>
    <w:pPr>
      <w:outlineLvl w:val="9"/>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aliases w:val="Char1"/>
    <w:basedOn w:val="Normal"/>
    <w:link w:val="FooterChar"/>
    <w:uiPriority w:val="99"/>
    <w:unhideWhenUsed/>
    <w:pPr>
      <w:tabs>
        <w:tab w:val="center" w:pos="4680"/>
        <w:tab w:val="right" w:pos="9360"/>
      </w:tabs>
    </w:pPr>
  </w:style>
  <w:style w:type="character" w:customStyle="1" w:styleId="FooterChar">
    <w:name w:val="Footer Char"/>
    <w:aliases w:val="Char1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FileStampAtCursor">
    <w:name w:val="*LBFileStampAtCursor"/>
    <w:aliases w:val="FSC"/>
    <w:rsid w:val="00BF3101"/>
    <w:rPr>
      <w:rFonts w:ascii="Arial" w:hAnsi="Arial" w:cs="Times New Roman"/>
      <w:sz w:val="12"/>
      <w:szCs w:val="32"/>
    </w:rPr>
  </w:style>
  <w:style w:type="paragraph" w:customStyle="1" w:styleId="LBFileStampAtEnd">
    <w:name w:val="*LBFileStampAtEnd"/>
    <w:aliases w:val="FSE"/>
    <w:basedOn w:val="Normal"/>
    <w:rsid w:val="00BF3101"/>
    <w:pPr>
      <w:spacing w:before="360"/>
    </w:pPr>
    <w:rPr>
      <w:rFonts w:ascii="Arial" w:hAnsi="Arial"/>
      <w:sz w:val="12"/>
      <w:szCs w:val="32"/>
      <w:lang w:bidi="ar-S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bidi="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BodyText">
    <w:name w:val="Body Text"/>
    <w:basedOn w:val="Normal"/>
    <w:link w:val="BodyTextChar"/>
    <w:uiPriority w:val="1"/>
    <w:qFormat/>
    <w:rsid w:val="00B21C72"/>
    <w:pPr>
      <w:widowControl w:val="0"/>
      <w:ind w:left="100"/>
    </w:pPr>
    <w:rPr>
      <w:lang w:bidi="ar-SA"/>
    </w:rPr>
  </w:style>
  <w:style w:type="character" w:customStyle="1" w:styleId="BodyTextChar">
    <w:name w:val="Body Text Char"/>
    <w:link w:val="BodyText"/>
    <w:uiPriority w:val="1"/>
    <w:rsid w:val="00B21C72"/>
    <w:rPr>
      <w:sz w:val="24"/>
      <w:szCs w:val="24"/>
    </w:rPr>
  </w:style>
  <w:style w:type="paragraph" w:styleId="HTMLPreformatted">
    <w:name w:val="HTML Preformatted"/>
    <w:basedOn w:val="Normal"/>
    <w:link w:val="HTMLPreformattedChar"/>
    <w:rsid w:val="00B2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bidi="ar-SA"/>
    </w:rPr>
  </w:style>
  <w:style w:type="character" w:customStyle="1" w:styleId="HTMLPreformattedChar">
    <w:name w:val="HTML Preformatted Char"/>
    <w:link w:val="HTMLPreformatted"/>
    <w:rsid w:val="00B21C72"/>
    <w:rPr>
      <w:rFonts w:ascii="Courier New" w:eastAsia="Courier New" w:hAnsi="Courier New" w:cs="Courier New"/>
    </w:rPr>
  </w:style>
  <w:style w:type="paragraph" w:styleId="EndnoteText">
    <w:name w:val="endnote text"/>
    <w:basedOn w:val="Normal"/>
    <w:link w:val="EndnoteTextChar"/>
    <w:semiHidden/>
    <w:rsid w:val="00D618AF"/>
    <w:pPr>
      <w:widowControl w:val="0"/>
    </w:pPr>
    <w:rPr>
      <w:rFonts w:ascii="Courier New" w:hAnsi="Courier New"/>
      <w:szCs w:val="20"/>
      <w:lang w:bidi="ar-SA"/>
    </w:rPr>
  </w:style>
  <w:style w:type="character" w:customStyle="1" w:styleId="EndnoteTextChar">
    <w:name w:val="Endnote Text Char"/>
    <w:link w:val="EndnoteText"/>
    <w:semiHidden/>
    <w:rsid w:val="00D618AF"/>
    <w:rPr>
      <w:rFonts w:ascii="Courier New" w:hAnsi="Courier New"/>
      <w:sz w:val="24"/>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635194"/>
    <w:rPr>
      <w:rFonts w:ascii="Calibri" w:eastAsia="Calibri" w:hAnsi="Calibri"/>
      <w:sz w:val="20"/>
      <w:szCs w:val="20"/>
      <w:lang w:bidi="ar-SA"/>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635194"/>
    <w:rPr>
      <w:rFonts w:ascii="Calibri" w:eastAsia="Calibri" w:hAnsi="Calibri"/>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unhideWhenUsed/>
    <w:qFormat/>
    <w:rsid w:val="00635194"/>
    <w:rPr>
      <w:vertAlign w:val="superscript"/>
    </w:rPr>
  </w:style>
  <w:style w:type="character" w:customStyle="1" w:styleId="Mention1">
    <w:name w:val="Mention1"/>
    <w:uiPriority w:val="99"/>
    <w:semiHidden/>
    <w:unhideWhenUsed/>
    <w:rsid w:val="00635194"/>
    <w:rPr>
      <w:color w:val="2B579A"/>
      <w:shd w:val="clear" w:color="auto" w:fill="E6E6E6"/>
    </w:rPr>
  </w:style>
  <w:style w:type="paragraph" w:styleId="Revision">
    <w:name w:val="Revision"/>
    <w:hidden/>
    <w:uiPriority w:val="99"/>
    <w:semiHidden/>
    <w:rsid w:val="00E84D0E"/>
    <w:rPr>
      <w:sz w:val="24"/>
      <w:szCs w:val="24"/>
      <w:lang w:bidi="en-US"/>
    </w:rPr>
  </w:style>
  <w:style w:type="paragraph" w:customStyle="1" w:styleId="xmsolistparagraph">
    <w:name w:val="x_msolistparagraph"/>
    <w:basedOn w:val="Normal"/>
    <w:rsid w:val="00C44776"/>
    <w:pPr>
      <w:ind w:left="720"/>
    </w:pPr>
    <w:rPr>
      <w:rFonts w:ascii="Calibri" w:eastAsia="Calibri" w:hAnsi="Calibri" w:cs="Calibri"/>
      <w:sz w:val="22"/>
      <w:szCs w:val="22"/>
      <w:lang w:bidi="ar-SA"/>
    </w:rPr>
  </w:style>
  <w:style w:type="character" w:customStyle="1" w:styleId="UnresolvedMention1">
    <w:name w:val="Unresolved Mention1"/>
    <w:uiPriority w:val="99"/>
    <w:semiHidden/>
    <w:unhideWhenUsed/>
    <w:rsid w:val="00D8084C"/>
    <w:rPr>
      <w:color w:val="605E5C"/>
      <w:shd w:val="clear" w:color="auto" w:fill="E1DFDD"/>
    </w:rPr>
  </w:style>
  <w:style w:type="paragraph" w:styleId="TOC4">
    <w:name w:val="toc 4"/>
    <w:basedOn w:val="Normal"/>
    <w:next w:val="Normal"/>
    <w:autoRedefine/>
    <w:uiPriority w:val="39"/>
    <w:unhideWhenUsed/>
    <w:qFormat/>
    <w:rsid w:val="00671CC6"/>
    <w:pPr>
      <w:tabs>
        <w:tab w:val="decimal" w:leader="dot" w:pos="8640"/>
      </w:tabs>
      <w:spacing w:after="240"/>
      <w:ind w:left="2880" w:hanging="720"/>
    </w:pPr>
  </w:style>
  <w:style w:type="paragraph" w:styleId="TOC1">
    <w:name w:val="toc 1"/>
    <w:basedOn w:val="Normal"/>
    <w:next w:val="Normal"/>
    <w:autoRedefine/>
    <w:uiPriority w:val="39"/>
    <w:unhideWhenUsed/>
    <w:qFormat/>
    <w:rsid w:val="00E127A2"/>
    <w:pPr>
      <w:tabs>
        <w:tab w:val="decimal" w:leader="dot" w:pos="9360"/>
      </w:tabs>
      <w:spacing w:after="240"/>
      <w:ind w:left="720" w:hanging="720"/>
      <w:outlineLvl w:val="0"/>
    </w:pPr>
    <w:rPr>
      <w:caps/>
    </w:rPr>
  </w:style>
  <w:style w:type="paragraph" w:styleId="TOC2">
    <w:name w:val="toc 2"/>
    <w:basedOn w:val="Normal"/>
    <w:next w:val="Normal"/>
    <w:autoRedefine/>
    <w:uiPriority w:val="39"/>
    <w:unhideWhenUsed/>
    <w:qFormat/>
    <w:rsid w:val="00E127A2"/>
    <w:pPr>
      <w:tabs>
        <w:tab w:val="decimal" w:leader="dot" w:pos="9360"/>
      </w:tabs>
      <w:spacing w:after="240"/>
      <w:ind w:left="1440" w:hanging="720"/>
      <w:outlineLvl w:val="1"/>
    </w:pPr>
  </w:style>
  <w:style w:type="paragraph" w:styleId="TOC3">
    <w:name w:val="toc 3"/>
    <w:basedOn w:val="Normal"/>
    <w:next w:val="Normal"/>
    <w:autoRedefine/>
    <w:uiPriority w:val="39"/>
    <w:unhideWhenUsed/>
    <w:qFormat/>
    <w:rsid w:val="00D662E8"/>
    <w:pPr>
      <w:tabs>
        <w:tab w:val="decimal" w:leader="dot" w:pos="9360"/>
      </w:tabs>
      <w:spacing w:after="240"/>
      <w:ind w:left="2160" w:hanging="720"/>
      <w:outlineLvl w:val="2"/>
    </w:pPr>
  </w:style>
  <w:style w:type="character" w:customStyle="1" w:styleId="UnresolvedMention2">
    <w:name w:val="Unresolved Mention2"/>
    <w:basedOn w:val="DefaultParagraphFont"/>
    <w:uiPriority w:val="99"/>
    <w:rsid w:val="00B41D4F"/>
    <w:rPr>
      <w:color w:val="605E5C"/>
      <w:shd w:val="clear" w:color="auto" w:fill="E1DFDD"/>
    </w:rPr>
  </w:style>
  <w:style w:type="character" w:customStyle="1" w:styleId="UnresolvedMention3">
    <w:name w:val="Unresolved Mention3"/>
    <w:basedOn w:val="DefaultParagraphFont"/>
    <w:uiPriority w:val="99"/>
    <w:rsid w:val="00083A8B"/>
    <w:rPr>
      <w:color w:val="605E5C"/>
      <w:shd w:val="clear" w:color="auto" w:fill="E1DFDD"/>
    </w:rPr>
  </w:style>
  <w:style w:type="paragraph" w:styleId="BodyTextIndent3">
    <w:name w:val="Body Text Indent 3"/>
    <w:basedOn w:val="Normal"/>
    <w:link w:val="BodyTextIndent3Char"/>
    <w:uiPriority w:val="99"/>
    <w:unhideWhenUsed/>
    <w:rsid w:val="00644527"/>
    <w:pPr>
      <w:spacing w:after="120"/>
      <w:ind w:left="360"/>
    </w:pPr>
    <w:rPr>
      <w:sz w:val="16"/>
      <w:szCs w:val="16"/>
    </w:rPr>
  </w:style>
  <w:style w:type="character" w:customStyle="1" w:styleId="BodyTextIndent3Char">
    <w:name w:val="Body Text Indent 3 Char"/>
    <w:basedOn w:val="DefaultParagraphFont"/>
    <w:link w:val="BodyTextIndent3"/>
    <w:uiPriority w:val="99"/>
    <w:rsid w:val="00644527"/>
    <w:rPr>
      <w:sz w:val="16"/>
      <w:szCs w:val="16"/>
      <w:lang w:bidi="en-US"/>
    </w:rPr>
  </w:style>
  <w:style w:type="paragraph" w:customStyle="1" w:styleId="Default">
    <w:name w:val="Default"/>
    <w:rsid w:val="00022BE2"/>
    <w:pPr>
      <w:autoSpaceDE w:val="0"/>
      <w:autoSpaceDN w:val="0"/>
      <w:adjustRightInd w:val="0"/>
    </w:pPr>
    <w:rPr>
      <w:rFonts w:ascii="Palatino Linotype" w:hAnsi="Palatino Linotype" w:cs="Palatino Linotype"/>
      <w:color w:val="000000"/>
      <w:sz w:val="24"/>
      <w:szCs w:val="24"/>
    </w:rPr>
  </w:style>
  <w:style w:type="character" w:customStyle="1" w:styleId="UnresolvedMention4">
    <w:name w:val="Unresolved Mention4"/>
    <w:basedOn w:val="DefaultParagraphFont"/>
    <w:uiPriority w:val="99"/>
    <w:rsid w:val="00022BE2"/>
    <w:rPr>
      <w:color w:val="605E5C"/>
      <w:shd w:val="clear" w:color="auto" w:fill="E1DFDD"/>
    </w:rPr>
  </w:style>
  <w:style w:type="character" w:customStyle="1" w:styleId="ssit">
    <w:name w:val="ss_it"/>
    <w:basedOn w:val="DefaultParagraphFont"/>
    <w:rsid w:val="00D968A4"/>
  </w:style>
  <w:style w:type="character" w:customStyle="1" w:styleId="ssleftalign">
    <w:name w:val="ss_leftalign"/>
    <w:basedOn w:val="DefaultParagraphFont"/>
    <w:rsid w:val="00B03373"/>
  </w:style>
  <w:style w:type="character" w:customStyle="1" w:styleId="sssh">
    <w:name w:val="ss_sh"/>
    <w:basedOn w:val="DefaultParagraphFont"/>
    <w:rsid w:val="00B03373"/>
  </w:style>
  <w:style w:type="character" w:customStyle="1" w:styleId="fontstyle01">
    <w:name w:val="fontstyle01"/>
    <w:basedOn w:val="DefaultParagraphFont"/>
    <w:rsid w:val="00EE60C5"/>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EE60C5"/>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hyperlink" Target="mailto:robert.eubanks@ohioAGO.gov" TargetMode="External" /><Relationship Id="rId12" Type="http://schemas.openxmlformats.org/officeDocument/2006/relationships/hyperlink" Target="mailto:werner.margard@ohioAGO.gov" TargetMode="External" /><Relationship Id="rId13" Type="http://schemas.openxmlformats.org/officeDocument/2006/relationships/hyperlink" Target="mailto:sarah.parrot@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bojko@carpenterlipps.com" TargetMode="External" /><Relationship Id="rId16" Type="http://schemas.openxmlformats.org/officeDocument/2006/relationships/hyperlink" Target="mailto:wygonski@carpenterlipps.com" TargetMode="External" /><Relationship Id="rId17" Type="http://schemas.openxmlformats.org/officeDocument/2006/relationships/hyperlink" Target="mailto:paul@carpenterlipps.com" TargetMode="External" /><Relationship Id="rId18" Type="http://schemas.openxmlformats.org/officeDocument/2006/relationships/hyperlink" Target="mailto:dressel@carpenterlipps.com"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josephclark@nisource.com" TargetMode="External" /><Relationship Id="rId21" Type="http://schemas.openxmlformats.org/officeDocument/2006/relationships/hyperlink" Target="mailto:egallon@porterwright.com" TargetMode="External" /><Relationship Id="rId22" Type="http://schemas.openxmlformats.org/officeDocument/2006/relationships/hyperlink" Target="mailto:bhughes@porterwright.com" TargetMode="External" /><Relationship Id="rId23" Type="http://schemas.openxmlformats.org/officeDocument/2006/relationships/footer" Target="footer5.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notes.xml.rels>&#65279;<?xml version="1.0" encoding="utf-8" standalone="yes"?><Relationships xmlns="http://schemas.openxmlformats.org/package/2006/relationships"><Relationship Id="rId1" Type="http://schemas.openxmlformats.org/officeDocument/2006/relationships/hyperlink" Target="https://plus.lexis.com/document/teaserdocument/?pdmfid=1530671&amp;crid=24a97c14-7101-4caf-a4f6-a663680329b8&amp;pddocfullpath=%2Fshared%2Fdocument%2Fcases%2Furn%3AcontentItem%3A51B3-5671-652N-T003-00000-00&amp;pddocid=urn%3AcontentItem%3A51B3-5671-652N-T003-00000-00&amp;pdcontentcomponentid=9249&amp;pdteaserkey=h5&amp;ecomp=cf4k&amp;earg=sr0&amp;prid=f95d2d8f-23cc-4035-91bd-f0b8c4ed0b1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52CD-B4BF-45E6-BBDF-7719F72E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2022-04-11T17:14:44Z</dcterms:created>
  <dcterms:modified xsi:type="dcterms:W3CDTF">2022-04-11T17:14:44Z</dcterms:modified>
</cp:coreProperties>
</file>