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33E07" w:rsidRPr="00B95412" w:rsidP="007C5EB9" w14:paraId="19FB512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sz w:val="24"/>
          <w:szCs w:val="24"/>
        </w:rPr>
      </w:pPr>
      <w:bookmarkStart w:id="0" w:name="_Hlk151020582"/>
      <w:r w:rsidRPr="00B95412">
        <w:rPr>
          <w:b/>
          <w:bCs/>
          <w:sz w:val="24"/>
          <w:szCs w:val="24"/>
          <w:lang w:bidi="en-US"/>
        </w:rPr>
        <w:t>BEFORE</w:t>
      </w:r>
    </w:p>
    <w:p w:rsidR="00533E07" w:rsidRPr="00B95412" w:rsidP="00533E07" w14:paraId="5965C20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sz w:val="24"/>
          <w:szCs w:val="24"/>
          <w:lang w:bidi="en-US"/>
        </w:rPr>
      </w:pPr>
      <w:r w:rsidRPr="00B95412">
        <w:rPr>
          <w:b/>
          <w:bCs/>
          <w:sz w:val="24"/>
          <w:szCs w:val="24"/>
          <w:lang w:bidi="en-US"/>
        </w:rPr>
        <w:t>THE PUBLIC UTILITIES COMMISSION OF OHIO</w:t>
      </w:r>
    </w:p>
    <w:p w:rsidR="00942B6C" w:rsidRPr="00B95412" w:rsidP="00C71912" w14:paraId="1134823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bl>
      <w:tblPr>
        <w:tblW w:w="9408" w:type="dxa"/>
        <w:tblInd w:w="-270" w:type="dxa"/>
        <w:tblLook w:val="01E0"/>
      </w:tblPr>
      <w:tblGrid>
        <w:gridCol w:w="8964"/>
        <w:gridCol w:w="222"/>
        <w:gridCol w:w="222"/>
      </w:tblGrid>
      <w:tr w14:paraId="24960949" w14:textId="77777777" w:rsidTr="00B84642">
        <w:tblPrEx>
          <w:tblW w:w="9408" w:type="dxa"/>
          <w:tblInd w:w="-270" w:type="dxa"/>
          <w:tblLook w:val="01E0"/>
        </w:tblPrEx>
        <w:trPr>
          <w:trHeight w:val="807"/>
        </w:trPr>
        <w:tc>
          <w:tcPr>
            <w:tcW w:w="8964" w:type="dxa"/>
            <w:shd w:val="clear" w:color="auto" w:fill="auto"/>
          </w:tcPr>
          <w:tbl>
            <w:tblPr>
              <w:tblW w:w="8730" w:type="dxa"/>
              <w:tblLook w:val="01E0"/>
            </w:tblPr>
            <w:tblGrid>
              <w:gridCol w:w="4409"/>
              <w:gridCol w:w="386"/>
              <w:gridCol w:w="3935"/>
            </w:tblGrid>
            <w:tr w14:paraId="3DA5B3AA" w14:textId="77777777" w:rsidTr="00942B6C">
              <w:tblPrEx>
                <w:tblW w:w="8730" w:type="dxa"/>
                <w:tblLook w:val="01E0"/>
              </w:tblPrEx>
              <w:trPr>
                <w:trHeight w:val="807"/>
              </w:trPr>
              <w:tc>
                <w:tcPr>
                  <w:tcW w:w="4422" w:type="dxa"/>
                  <w:shd w:val="clear" w:color="auto" w:fill="auto"/>
                </w:tcPr>
                <w:p w:rsidR="00942B6C" w:rsidRPr="00B95412" w:rsidP="00C71912" w14:paraId="267378A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In the Matter of the Application of Ohio Power Company for Authority to Establish a Standard Service Offer Pursuant to R.C. 4928.143 in the Form of an Electric Security Plan.</w:t>
                  </w:r>
                </w:p>
              </w:tc>
              <w:tc>
                <w:tcPr>
                  <w:tcW w:w="360" w:type="dxa"/>
                  <w:shd w:val="clear" w:color="auto" w:fill="auto"/>
                </w:tcPr>
                <w:p w:rsidR="00942B6C" w:rsidRPr="00B95412" w:rsidP="00C71912" w14:paraId="36E96DC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942B6C" w:rsidRPr="00B95412" w:rsidP="00C71912" w14:paraId="34241D9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942B6C" w:rsidRPr="00B95412" w:rsidP="00C71912" w14:paraId="6890F91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942B6C" w:rsidRPr="00B95412" w:rsidP="00C71912" w14:paraId="1CB08DC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942B6C" w:rsidRPr="00B95412" w:rsidP="00C71912" w14:paraId="3C3C858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tc>
              <w:tc>
                <w:tcPr>
                  <w:tcW w:w="3948" w:type="dxa"/>
                  <w:shd w:val="clear" w:color="auto" w:fill="auto"/>
                </w:tcPr>
                <w:p w:rsidR="00942B6C" w:rsidRPr="00B95412" w:rsidP="00C71912" w14:paraId="78DC662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p w:rsidR="00942B6C" w:rsidRPr="00B95412" w:rsidP="00C71912" w14:paraId="3A47267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p w:rsidR="00942B6C" w:rsidRPr="00B95412" w:rsidP="00C71912" w14:paraId="569C078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Case No. 23-23-EL-SSO</w:t>
                  </w:r>
                </w:p>
                <w:p w:rsidR="00942B6C" w:rsidRPr="00B95412" w:rsidP="00C71912" w14:paraId="3AD9FE3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p w:rsidR="00942B6C" w:rsidRPr="00B95412" w:rsidP="00C71912" w14:paraId="57FA6FF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r>
          </w:tbl>
          <w:p w:rsidR="00942B6C" w:rsidRPr="00B95412" w:rsidP="00C71912" w14:paraId="18EA5A4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bl>
            <w:tblPr>
              <w:tblW w:w="8748" w:type="dxa"/>
              <w:tblLook w:val="01E0"/>
            </w:tblPr>
            <w:tblGrid>
              <w:gridCol w:w="4397"/>
              <w:gridCol w:w="386"/>
              <w:gridCol w:w="3965"/>
            </w:tblGrid>
            <w:tr w14:paraId="524FF7A3" w14:textId="77777777" w:rsidTr="001B6497">
              <w:tblPrEx>
                <w:tblW w:w="8748" w:type="dxa"/>
                <w:tblLook w:val="01E0"/>
              </w:tblPrEx>
              <w:trPr>
                <w:trHeight w:val="807"/>
              </w:trPr>
              <w:tc>
                <w:tcPr>
                  <w:tcW w:w="4410" w:type="dxa"/>
                  <w:shd w:val="clear" w:color="auto" w:fill="auto"/>
                </w:tcPr>
                <w:p w:rsidR="00942B6C" w:rsidRPr="00B95412" w:rsidP="00C71912" w14:paraId="7196F1C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In the Matter of the Application of Ohio Power Company for Approval of Certain Accounting Authority.</w:t>
                  </w:r>
                </w:p>
              </w:tc>
              <w:tc>
                <w:tcPr>
                  <w:tcW w:w="360" w:type="dxa"/>
                  <w:shd w:val="clear" w:color="auto" w:fill="auto"/>
                </w:tcPr>
                <w:p w:rsidR="00942B6C" w:rsidRPr="00B95412" w:rsidP="00C71912" w14:paraId="46C5FC7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942B6C" w:rsidRPr="00B95412" w:rsidP="00C71912" w14:paraId="347247D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942B6C" w:rsidRPr="00B95412" w:rsidP="00C71912" w14:paraId="1F3B570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942B6C" w:rsidRPr="00B95412" w:rsidP="00C71912" w14:paraId="42858EE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c>
                <w:tcPr>
                  <w:tcW w:w="3978" w:type="dxa"/>
                  <w:shd w:val="clear" w:color="auto" w:fill="auto"/>
                </w:tcPr>
                <w:p w:rsidR="00942B6C" w:rsidRPr="00B95412" w:rsidP="00C71912" w14:paraId="18C880C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p w:rsidR="00942B6C" w:rsidRPr="00B95412" w:rsidP="00C71912" w14:paraId="5F00F6A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Case No. 23-24-EL-AAM</w:t>
                  </w:r>
                </w:p>
                <w:p w:rsidR="00942B6C" w:rsidRPr="00B95412" w:rsidP="00C71912" w14:paraId="4302825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r>
          </w:tbl>
          <w:p w:rsidR="00942B6C" w:rsidRPr="00B95412" w:rsidP="00C71912" w14:paraId="60DBF77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c>
          <w:tcPr>
            <w:tcW w:w="222" w:type="dxa"/>
            <w:shd w:val="clear" w:color="auto" w:fill="auto"/>
          </w:tcPr>
          <w:p w:rsidR="00942B6C" w:rsidRPr="00B95412" w:rsidP="00C71912" w14:paraId="71B256F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c>
          <w:tcPr>
            <w:tcW w:w="222" w:type="dxa"/>
            <w:shd w:val="clear" w:color="auto" w:fill="auto"/>
          </w:tcPr>
          <w:p w:rsidR="00942B6C" w:rsidRPr="00B95412" w:rsidP="00C71912" w14:paraId="61C02D4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r>
      <w:bookmarkEnd w:id="0"/>
    </w:tbl>
    <w:p w:rsidR="00533E07" w:rsidRPr="00B95412" w:rsidP="00533E07" w14:paraId="1B4A09C4" w14:textId="77777777">
      <w:pPr>
        <w:widowControl/>
        <w:pBdr>
          <w:top w:val="single" w:sz="12" w:space="0" w:color="auto"/>
        </w:pBdr>
        <w:tabs>
          <w:tab w:val="left" w:pos="-720"/>
        </w:tabs>
        <w:suppressAutoHyphens/>
        <w:autoSpaceDE/>
        <w:autoSpaceDN/>
        <w:jc w:val="center"/>
        <w:rPr>
          <w:b/>
          <w:bCs/>
          <w:sz w:val="24"/>
          <w:szCs w:val="24"/>
          <w:lang w:bidi="en-US"/>
        </w:rPr>
      </w:pPr>
    </w:p>
    <w:p w:rsidR="00533E07" w:rsidRPr="00B95412" w:rsidP="00533E07" w14:paraId="0265550F" w14:textId="036DD3CE">
      <w:pPr>
        <w:widowControl/>
        <w:tabs>
          <w:tab w:val="left" w:pos="4770"/>
          <w:tab w:val="left" w:pos="6480"/>
        </w:tabs>
        <w:autoSpaceDE/>
        <w:autoSpaceDN/>
        <w:jc w:val="center"/>
        <w:rPr>
          <w:b/>
          <w:sz w:val="24"/>
          <w:szCs w:val="24"/>
          <w:lang w:bidi="en-US"/>
        </w:rPr>
      </w:pPr>
      <w:r w:rsidRPr="00B95412">
        <w:rPr>
          <w:b/>
          <w:sz w:val="24"/>
          <w:szCs w:val="24"/>
          <w:lang w:bidi="en-US"/>
        </w:rPr>
        <w:t>REPLY BRIEF FOR CONSUMER PROTECTION</w:t>
      </w:r>
    </w:p>
    <w:p w:rsidR="00533E07" w:rsidRPr="00B95412" w:rsidP="00533E07" w14:paraId="047CE46A" w14:textId="77777777">
      <w:pPr>
        <w:widowControl/>
        <w:tabs>
          <w:tab w:val="left" w:pos="4770"/>
          <w:tab w:val="left" w:pos="6480"/>
        </w:tabs>
        <w:autoSpaceDE/>
        <w:autoSpaceDN/>
        <w:jc w:val="center"/>
        <w:rPr>
          <w:b/>
          <w:sz w:val="24"/>
          <w:szCs w:val="24"/>
          <w:lang w:bidi="en-US"/>
        </w:rPr>
      </w:pPr>
      <w:r w:rsidRPr="00B95412">
        <w:rPr>
          <w:b/>
          <w:sz w:val="24"/>
          <w:szCs w:val="24"/>
          <w:lang w:bidi="en-US"/>
        </w:rPr>
        <w:t>BY</w:t>
      </w:r>
    </w:p>
    <w:p w:rsidR="00533E07" w:rsidRPr="00B95412" w:rsidP="00533E07" w14:paraId="46536052" w14:textId="77777777">
      <w:pPr>
        <w:widowControl/>
        <w:tabs>
          <w:tab w:val="left" w:pos="4770"/>
          <w:tab w:val="left" w:pos="6480"/>
        </w:tabs>
        <w:autoSpaceDE/>
        <w:autoSpaceDN/>
        <w:jc w:val="center"/>
        <w:rPr>
          <w:b/>
          <w:sz w:val="24"/>
          <w:szCs w:val="24"/>
          <w:lang w:bidi="en-US"/>
        </w:rPr>
      </w:pPr>
      <w:r w:rsidRPr="00B95412">
        <w:rPr>
          <w:b/>
          <w:sz w:val="24"/>
          <w:szCs w:val="24"/>
          <w:lang w:bidi="en-US"/>
        </w:rPr>
        <w:t>OFFICE OF THE OHIO CONSUMERS’ COUNSEL</w:t>
      </w:r>
    </w:p>
    <w:p w:rsidR="00533E07" w:rsidRPr="00B95412" w:rsidP="00533E07" w14:paraId="07A301E6" w14:textId="77777777">
      <w:pPr>
        <w:widowControl/>
        <w:pBdr>
          <w:bottom w:val="single" w:sz="12" w:space="1" w:color="auto"/>
        </w:pBdr>
        <w:tabs>
          <w:tab w:val="left" w:pos="-720"/>
        </w:tabs>
        <w:suppressAutoHyphens/>
        <w:autoSpaceDE/>
        <w:autoSpaceDN/>
        <w:jc w:val="center"/>
        <w:rPr>
          <w:b/>
          <w:bCs/>
          <w:sz w:val="24"/>
          <w:szCs w:val="24"/>
          <w:lang w:bidi="en-US"/>
        </w:rPr>
      </w:pPr>
    </w:p>
    <w:p w:rsidR="00533E07" w:rsidRPr="00B95412" w:rsidP="00533E07" w14:paraId="138C9020" w14:textId="77777777">
      <w:pPr>
        <w:widowControl/>
        <w:tabs>
          <w:tab w:val="left" w:pos="4770"/>
          <w:tab w:val="left" w:pos="6480"/>
        </w:tabs>
        <w:autoSpaceDE/>
        <w:autoSpaceDN/>
        <w:rPr>
          <w:b/>
          <w:sz w:val="24"/>
          <w:szCs w:val="24"/>
          <w:u w:val="single"/>
          <w:lang w:bidi="en-US"/>
        </w:rPr>
      </w:pPr>
    </w:p>
    <w:p w:rsidR="00533E07" w:rsidRPr="00B95412" w:rsidP="00533E07" w14:paraId="1281DE9D" w14:textId="77777777">
      <w:pPr>
        <w:widowControl/>
        <w:autoSpaceDE/>
        <w:autoSpaceDN/>
        <w:jc w:val="center"/>
        <w:rPr>
          <w:b/>
          <w:sz w:val="24"/>
          <w:szCs w:val="24"/>
          <w:lang w:bidi="en-US"/>
        </w:rPr>
      </w:pPr>
    </w:p>
    <w:p w:rsidR="00B57F0C" w:rsidRPr="00B95412" w:rsidP="00D85FAF" w14:paraId="6A744A12" w14:textId="77777777">
      <w:pPr>
        <w:widowControl/>
        <w:tabs>
          <w:tab w:val="left" w:pos="8730"/>
        </w:tabs>
        <w:autoSpaceDE/>
        <w:autoSpaceDN/>
        <w:ind w:left="4320"/>
        <w:rPr>
          <w:sz w:val="24"/>
          <w:szCs w:val="24"/>
        </w:rPr>
      </w:pPr>
    </w:p>
    <w:p w:rsidR="00B57F0C" w:rsidRPr="00B95412" w:rsidP="00D85FAF" w14:paraId="663C9C9B" w14:textId="77777777">
      <w:pPr>
        <w:widowControl/>
        <w:tabs>
          <w:tab w:val="left" w:pos="8730"/>
        </w:tabs>
        <w:autoSpaceDE/>
        <w:autoSpaceDN/>
        <w:ind w:left="4320"/>
        <w:rPr>
          <w:sz w:val="24"/>
          <w:szCs w:val="24"/>
        </w:rPr>
      </w:pPr>
    </w:p>
    <w:p w:rsidR="00D85FAF" w:rsidRPr="00B95412" w:rsidP="00D85FAF" w14:paraId="2488EF9A" w14:textId="0A4A7A25">
      <w:pPr>
        <w:widowControl/>
        <w:tabs>
          <w:tab w:val="left" w:pos="8730"/>
        </w:tabs>
        <w:autoSpaceDE/>
        <w:autoSpaceDN/>
        <w:ind w:left="4320"/>
        <w:rPr>
          <w:sz w:val="24"/>
          <w:szCs w:val="24"/>
        </w:rPr>
      </w:pPr>
      <w:r w:rsidRPr="00B95412">
        <w:rPr>
          <w:sz w:val="24"/>
          <w:szCs w:val="24"/>
        </w:rPr>
        <w:t xml:space="preserve">Maureen R. Willis (0020847) </w:t>
      </w:r>
    </w:p>
    <w:p w:rsidR="00D85FAF" w:rsidRPr="00B95412" w:rsidP="00D85FAF" w14:paraId="345CAB0E" w14:textId="77777777">
      <w:pPr>
        <w:widowControl/>
        <w:tabs>
          <w:tab w:val="left" w:pos="8730"/>
        </w:tabs>
        <w:autoSpaceDE/>
        <w:autoSpaceDN/>
        <w:ind w:left="4320"/>
        <w:rPr>
          <w:sz w:val="24"/>
          <w:szCs w:val="24"/>
        </w:rPr>
      </w:pPr>
      <w:r w:rsidRPr="00B95412">
        <w:rPr>
          <w:sz w:val="24"/>
          <w:szCs w:val="24"/>
        </w:rPr>
        <w:t>Ohio Consumers’ Counsel</w:t>
      </w:r>
    </w:p>
    <w:p w:rsidR="00D85FAF" w:rsidRPr="00B95412" w:rsidP="00D85FAF" w14:paraId="442F5B66" w14:textId="76FC228C">
      <w:pPr>
        <w:widowControl/>
        <w:tabs>
          <w:tab w:val="left" w:pos="8730"/>
        </w:tabs>
        <w:autoSpaceDE/>
        <w:autoSpaceDN/>
        <w:ind w:left="4320"/>
        <w:rPr>
          <w:sz w:val="24"/>
          <w:szCs w:val="24"/>
        </w:rPr>
      </w:pPr>
      <w:r w:rsidRPr="00B95412">
        <w:rPr>
          <w:i/>
          <w:sz w:val="24"/>
          <w:szCs w:val="24"/>
        </w:rPr>
        <w:br/>
      </w:r>
      <w:r w:rsidRPr="00B95412">
        <w:rPr>
          <w:sz w:val="24"/>
          <w:szCs w:val="24"/>
        </w:rPr>
        <w:t xml:space="preserve">William J. Michael (0070921) </w:t>
      </w:r>
      <w:r w:rsidRPr="00B95412">
        <w:rPr>
          <w:sz w:val="24"/>
          <w:szCs w:val="24"/>
        </w:rPr>
        <w:br/>
        <w:t>Counsel of Record</w:t>
      </w:r>
    </w:p>
    <w:p w:rsidR="00D85FAF" w:rsidRPr="00B95412" w:rsidP="00D85FAF" w14:paraId="67D22CB9" w14:textId="77777777">
      <w:pPr>
        <w:widowControl/>
        <w:tabs>
          <w:tab w:val="left" w:pos="8730"/>
        </w:tabs>
        <w:autoSpaceDE/>
        <w:autoSpaceDN/>
        <w:ind w:left="4320"/>
        <w:rPr>
          <w:sz w:val="24"/>
          <w:szCs w:val="24"/>
        </w:rPr>
      </w:pPr>
      <w:r w:rsidRPr="00B95412">
        <w:rPr>
          <w:sz w:val="24"/>
          <w:szCs w:val="24"/>
        </w:rPr>
        <w:t>Angela D. O’Brien (0097579)</w:t>
      </w:r>
    </w:p>
    <w:p w:rsidR="00D85FAF" w:rsidRPr="00B95412" w:rsidP="00907987" w14:paraId="02944039" w14:textId="68A4A018">
      <w:pPr>
        <w:widowControl/>
        <w:tabs>
          <w:tab w:val="left" w:pos="8730"/>
        </w:tabs>
        <w:autoSpaceDE/>
        <w:autoSpaceDN/>
        <w:ind w:left="4320"/>
        <w:rPr>
          <w:sz w:val="24"/>
          <w:szCs w:val="24"/>
        </w:rPr>
      </w:pPr>
      <w:r w:rsidRPr="00B95412">
        <w:rPr>
          <w:sz w:val="24"/>
          <w:szCs w:val="24"/>
        </w:rPr>
        <w:t>Deputy Consumers’ Counsel</w:t>
      </w:r>
      <w:r w:rsidRPr="00B95412">
        <w:rPr>
          <w:sz w:val="24"/>
          <w:szCs w:val="24"/>
        </w:rPr>
        <w:br/>
        <w:t>Donald J. Kral (0042091)</w:t>
      </w:r>
    </w:p>
    <w:p w:rsidR="00D85FAF" w:rsidRPr="00B95412" w:rsidP="00D85FAF" w14:paraId="0C707F16" w14:textId="77777777">
      <w:pPr>
        <w:widowControl/>
        <w:tabs>
          <w:tab w:val="left" w:pos="8730"/>
        </w:tabs>
        <w:autoSpaceDE/>
        <w:autoSpaceDN/>
        <w:ind w:left="4320"/>
        <w:rPr>
          <w:sz w:val="24"/>
          <w:szCs w:val="24"/>
        </w:rPr>
      </w:pPr>
      <w:r w:rsidRPr="00B95412">
        <w:rPr>
          <w:sz w:val="24"/>
          <w:szCs w:val="24"/>
        </w:rPr>
        <w:t>Assistant Consumers’ Counsel</w:t>
      </w:r>
    </w:p>
    <w:p w:rsidR="00D85FAF" w:rsidRPr="00B95412" w:rsidP="00D85FAF" w14:paraId="52C82132" w14:textId="77777777">
      <w:pPr>
        <w:widowControl/>
        <w:tabs>
          <w:tab w:val="left" w:pos="8730"/>
        </w:tabs>
        <w:autoSpaceDE/>
        <w:autoSpaceDN/>
        <w:ind w:left="4320"/>
        <w:rPr>
          <w:sz w:val="24"/>
          <w:szCs w:val="24"/>
        </w:rPr>
      </w:pPr>
    </w:p>
    <w:p w:rsidR="00D85FAF" w:rsidRPr="00B95412" w:rsidP="00D85FAF" w14:paraId="62AE6075" w14:textId="77777777">
      <w:pPr>
        <w:widowControl/>
        <w:tabs>
          <w:tab w:val="left" w:pos="8730"/>
        </w:tabs>
        <w:autoSpaceDE/>
        <w:autoSpaceDN/>
        <w:ind w:left="4320"/>
        <w:rPr>
          <w:b/>
          <w:bCs/>
          <w:sz w:val="24"/>
          <w:szCs w:val="24"/>
        </w:rPr>
      </w:pPr>
      <w:r w:rsidRPr="00B95412">
        <w:rPr>
          <w:b/>
          <w:bCs/>
          <w:sz w:val="24"/>
          <w:szCs w:val="24"/>
        </w:rPr>
        <w:t>Office of the Ohio Consumers' Counsel</w:t>
      </w:r>
    </w:p>
    <w:p w:rsidR="00D85FAF" w:rsidRPr="00B95412" w:rsidP="00D85FAF" w14:paraId="56B7493C" w14:textId="77777777">
      <w:pPr>
        <w:widowControl/>
        <w:tabs>
          <w:tab w:val="left" w:pos="8730"/>
        </w:tabs>
        <w:autoSpaceDE/>
        <w:autoSpaceDN/>
        <w:ind w:left="4320"/>
        <w:rPr>
          <w:sz w:val="24"/>
          <w:szCs w:val="24"/>
        </w:rPr>
      </w:pPr>
      <w:r w:rsidRPr="00B95412">
        <w:rPr>
          <w:sz w:val="24"/>
          <w:szCs w:val="24"/>
        </w:rPr>
        <w:t>65 East State Street, Suite 700</w:t>
      </w:r>
    </w:p>
    <w:p w:rsidR="00D85FAF" w:rsidRPr="00B95412" w:rsidP="00D85FAF" w14:paraId="50816FBE" w14:textId="77777777">
      <w:pPr>
        <w:widowControl/>
        <w:tabs>
          <w:tab w:val="left" w:pos="8730"/>
        </w:tabs>
        <w:autoSpaceDE/>
        <w:autoSpaceDN/>
        <w:ind w:left="4320"/>
        <w:rPr>
          <w:sz w:val="24"/>
          <w:szCs w:val="24"/>
        </w:rPr>
      </w:pPr>
      <w:r w:rsidRPr="00B95412">
        <w:rPr>
          <w:sz w:val="24"/>
          <w:szCs w:val="24"/>
        </w:rPr>
        <w:t>Columbus, Ohio 43215</w:t>
      </w:r>
    </w:p>
    <w:p w:rsidR="00D85FAF" w:rsidRPr="00B95412" w:rsidP="00D85FAF" w14:paraId="10A8A9E9" w14:textId="77777777">
      <w:pPr>
        <w:widowControl/>
        <w:tabs>
          <w:tab w:val="left" w:pos="8730"/>
        </w:tabs>
        <w:autoSpaceDE/>
        <w:autoSpaceDN/>
        <w:ind w:left="4320"/>
        <w:rPr>
          <w:sz w:val="24"/>
          <w:szCs w:val="24"/>
        </w:rPr>
      </w:pPr>
      <w:r w:rsidRPr="00B95412">
        <w:rPr>
          <w:sz w:val="24"/>
          <w:szCs w:val="24"/>
        </w:rPr>
        <w:t>Telephone: [Michael]: (614) 466-1291</w:t>
      </w:r>
    </w:p>
    <w:p w:rsidR="00D85FAF" w:rsidRPr="00B95412" w:rsidP="00D85FAF" w14:paraId="318B19F9" w14:textId="77777777">
      <w:pPr>
        <w:widowControl/>
        <w:tabs>
          <w:tab w:val="left" w:pos="8730"/>
        </w:tabs>
        <w:autoSpaceDE/>
        <w:autoSpaceDN/>
        <w:ind w:left="4320"/>
        <w:rPr>
          <w:sz w:val="24"/>
          <w:szCs w:val="24"/>
        </w:rPr>
      </w:pPr>
      <w:r w:rsidRPr="00B95412">
        <w:rPr>
          <w:sz w:val="24"/>
          <w:szCs w:val="24"/>
        </w:rPr>
        <w:t>Telephone: [O’Brien]: (614) 466-9531</w:t>
      </w:r>
    </w:p>
    <w:p w:rsidR="00D85FAF" w:rsidRPr="00B95412" w:rsidP="00D85FAF" w14:paraId="2E4D0BDE" w14:textId="77777777">
      <w:pPr>
        <w:widowControl/>
        <w:tabs>
          <w:tab w:val="left" w:pos="8730"/>
        </w:tabs>
        <w:autoSpaceDE/>
        <w:autoSpaceDN/>
        <w:ind w:left="4320"/>
        <w:rPr>
          <w:sz w:val="24"/>
          <w:szCs w:val="24"/>
        </w:rPr>
      </w:pPr>
      <w:r w:rsidRPr="00B95412">
        <w:rPr>
          <w:sz w:val="24"/>
          <w:szCs w:val="24"/>
        </w:rPr>
        <w:t>Telephone: [Kral]: (614) 466-9571</w:t>
      </w:r>
    </w:p>
    <w:p w:rsidR="00D85FAF" w:rsidRPr="00B95412" w:rsidP="00D85FAF" w14:paraId="5CCD110C" w14:textId="77777777">
      <w:pPr>
        <w:widowControl/>
        <w:tabs>
          <w:tab w:val="left" w:pos="8730"/>
        </w:tabs>
        <w:autoSpaceDE/>
        <w:autoSpaceDN/>
        <w:ind w:left="4320"/>
        <w:rPr>
          <w:color w:val="0000FF"/>
          <w:sz w:val="24"/>
          <w:szCs w:val="24"/>
        </w:rPr>
      </w:pPr>
      <w:hyperlink r:id="rId6" w:history="1">
        <w:r w:rsidRPr="00B95412" w:rsidR="009D1141">
          <w:rPr>
            <w:color w:val="0000FF"/>
            <w:sz w:val="24"/>
            <w:szCs w:val="24"/>
            <w:u w:val="single"/>
          </w:rPr>
          <w:t>william.michael@occ.ohio.gov</w:t>
        </w:r>
      </w:hyperlink>
      <w:r w:rsidRPr="00B95412" w:rsidR="009D1141">
        <w:rPr>
          <w:color w:val="0000FF"/>
          <w:sz w:val="24"/>
          <w:szCs w:val="24"/>
        </w:rPr>
        <w:t xml:space="preserve"> </w:t>
      </w:r>
    </w:p>
    <w:p w:rsidR="00D85FAF" w:rsidRPr="00B95412" w:rsidP="00D85FAF" w14:paraId="4213EB8D" w14:textId="77777777">
      <w:pPr>
        <w:widowControl/>
        <w:tabs>
          <w:tab w:val="left" w:pos="8730"/>
        </w:tabs>
        <w:autoSpaceDE/>
        <w:autoSpaceDN/>
        <w:ind w:left="4320"/>
        <w:rPr>
          <w:color w:val="0000FF"/>
          <w:sz w:val="24"/>
          <w:szCs w:val="24"/>
          <w:u w:val="single"/>
        </w:rPr>
      </w:pPr>
      <w:hyperlink r:id="rId7" w:history="1">
        <w:r w:rsidRPr="00B95412" w:rsidR="009D1141">
          <w:rPr>
            <w:color w:val="0000FF"/>
            <w:sz w:val="24"/>
            <w:szCs w:val="24"/>
            <w:u w:val="single"/>
          </w:rPr>
          <w:t>angela.obrien@occ.ohio.gove</w:t>
        </w:r>
      </w:hyperlink>
    </w:p>
    <w:p w:rsidR="00D85FAF" w:rsidRPr="00B95412" w:rsidP="00D85FAF" w14:paraId="6BC37561" w14:textId="77777777">
      <w:pPr>
        <w:widowControl/>
        <w:tabs>
          <w:tab w:val="left" w:pos="8730"/>
        </w:tabs>
        <w:autoSpaceDE/>
        <w:autoSpaceDN/>
        <w:ind w:left="4320"/>
        <w:rPr>
          <w:color w:val="0000FF"/>
          <w:sz w:val="24"/>
          <w:szCs w:val="24"/>
          <w:u w:val="single"/>
        </w:rPr>
      </w:pPr>
      <w:r w:rsidRPr="00B95412">
        <w:rPr>
          <w:color w:val="0000FF"/>
          <w:sz w:val="24"/>
          <w:szCs w:val="24"/>
          <w:u w:val="single"/>
        </w:rPr>
        <w:t>donald.kral@occ.ohio.gov</w:t>
      </w:r>
    </w:p>
    <w:p w:rsidR="00D85FAF" w:rsidRPr="00B95412" w:rsidP="006A7E2F" w14:paraId="447B057F" w14:textId="061595B8">
      <w:pPr>
        <w:widowControl/>
        <w:tabs>
          <w:tab w:val="left" w:pos="8730"/>
        </w:tabs>
        <w:autoSpaceDE/>
        <w:autoSpaceDN/>
        <w:ind w:left="4320" w:hanging="4320"/>
        <w:rPr>
          <w:sz w:val="24"/>
          <w:szCs w:val="24"/>
        </w:rPr>
      </w:pPr>
      <w:r w:rsidRPr="00B95412">
        <w:rPr>
          <w:sz w:val="24"/>
          <w:szCs w:val="24"/>
        </w:rPr>
        <w:t xml:space="preserve">December </w:t>
      </w:r>
      <w:r w:rsidRPr="00B95412" w:rsidR="00A57878">
        <w:rPr>
          <w:sz w:val="24"/>
          <w:szCs w:val="24"/>
        </w:rPr>
        <w:t>22</w:t>
      </w:r>
      <w:r w:rsidRPr="00B95412">
        <w:rPr>
          <w:sz w:val="24"/>
          <w:szCs w:val="24"/>
        </w:rPr>
        <w:t>, 2023</w:t>
      </w:r>
      <w:r w:rsidRPr="00B95412">
        <w:rPr>
          <w:sz w:val="24"/>
          <w:szCs w:val="24"/>
        </w:rPr>
        <w:tab/>
        <w:t xml:space="preserve">(willing to accept service by e-mail) </w:t>
      </w:r>
    </w:p>
    <w:p w:rsidR="00FF640C" w:rsidRPr="00B95412" w14:paraId="465BFDF4" w14:textId="77777777">
      <w:pPr>
        <w:rPr>
          <w:sz w:val="24"/>
          <w:szCs w:val="24"/>
        </w:rPr>
        <w:sectPr w:rsidSect="0055574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299"/>
        </w:sectPr>
      </w:pPr>
    </w:p>
    <w:p w:rsidR="00FF640C" w:rsidRPr="00B95412" w:rsidP="00E439DD" w14:paraId="522A5833" w14:textId="77777777">
      <w:pPr>
        <w:spacing w:before="36"/>
        <w:jc w:val="center"/>
        <w:rPr>
          <w:b/>
          <w:sz w:val="24"/>
          <w:szCs w:val="24"/>
        </w:rPr>
      </w:pPr>
      <w:r w:rsidRPr="00B95412">
        <w:rPr>
          <w:b/>
          <w:sz w:val="24"/>
          <w:szCs w:val="24"/>
          <w:u w:val="thick"/>
        </w:rPr>
        <w:t>TABLE OF CONTENTS</w:t>
      </w:r>
    </w:p>
    <w:p w:rsidR="00FF640C" w:rsidRPr="00B95412" w:rsidP="00E439DD" w14:paraId="6BCAF68F" w14:textId="77777777">
      <w:pPr>
        <w:pStyle w:val="BodyText"/>
        <w:jc w:val="right"/>
        <w:rPr>
          <w:b/>
          <w:bCs/>
        </w:rPr>
      </w:pPr>
      <w:r w:rsidRPr="00B95412">
        <w:rPr>
          <w:b/>
          <w:bCs/>
        </w:rPr>
        <w:t>PAGE</w:t>
      </w:r>
    </w:p>
    <w:p w:rsidR="00E439DD" w:rsidRPr="00B95412" w:rsidP="00E439DD" w14:paraId="2D46DDDA" w14:textId="77777777">
      <w:pPr>
        <w:pStyle w:val="BodyText"/>
        <w:jc w:val="right"/>
        <w:rPr>
          <w:b/>
          <w:bCs/>
        </w:rPr>
      </w:pPr>
    </w:p>
    <w:p w:rsidR="004C33FA" w14:paraId="48D77595" w14:textId="553B754E">
      <w:pPr>
        <w:pStyle w:val="TOC1"/>
        <w:rPr>
          <w:rFonts w:asciiTheme="minorHAnsi" w:eastAsiaTheme="minorEastAsia" w:hAnsiTheme="minorHAnsi" w:cstheme="minorBidi"/>
          <w:noProof/>
          <w:kern w:val="2"/>
          <w:sz w:val="22"/>
          <w:szCs w:val="22"/>
          <w14:ligatures w14:val="standardContextual"/>
        </w:rPr>
      </w:pPr>
      <w:r w:rsidRPr="00B95412">
        <w:rPr>
          <w:b/>
          <w:bCs/>
        </w:rPr>
        <w:fldChar w:fldCharType="begin"/>
      </w:r>
      <w:r w:rsidRPr="00B95412">
        <w:rPr>
          <w:b/>
          <w:bCs/>
        </w:rPr>
        <w:instrText xml:space="preserve"> TOC \o "1-2" \h \z \t "Heading 3,3" </w:instrText>
      </w:r>
      <w:r w:rsidRPr="00B95412">
        <w:rPr>
          <w:b/>
          <w:bCs/>
        </w:rPr>
        <w:fldChar w:fldCharType="separate"/>
      </w:r>
      <w:hyperlink w:anchor="_Toc154128536" w:history="1">
        <w:r w:rsidRPr="005C6D35">
          <w:rPr>
            <w:rStyle w:val="Hyperlink"/>
            <w:rFonts w:eastAsia="Calibri"/>
            <w:noProof/>
            <w:w w:val="99"/>
          </w:rPr>
          <w:t>I.</w:t>
        </w:r>
        <w:r>
          <w:rPr>
            <w:rFonts w:asciiTheme="minorHAnsi" w:eastAsiaTheme="minorEastAsia" w:hAnsiTheme="minorHAnsi" w:cstheme="minorBidi"/>
            <w:noProof/>
            <w:kern w:val="2"/>
            <w:sz w:val="22"/>
            <w:szCs w:val="22"/>
            <w14:ligatures w14:val="standardContextual"/>
          </w:rPr>
          <w:tab/>
        </w:r>
        <w:r w:rsidRPr="005C6D35">
          <w:rPr>
            <w:rStyle w:val="Hyperlink"/>
            <w:rFonts w:eastAsia="Calibri"/>
            <w:noProof/>
          </w:rPr>
          <w:t>INTRODUCTION</w:t>
        </w:r>
        <w:r>
          <w:rPr>
            <w:noProof/>
            <w:webHidden/>
          </w:rPr>
          <w:tab/>
        </w:r>
        <w:r>
          <w:rPr>
            <w:noProof/>
            <w:webHidden/>
          </w:rPr>
          <w:fldChar w:fldCharType="begin"/>
        </w:r>
        <w:r>
          <w:rPr>
            <w:noProof/>
            <w:webHidden/>
          </w:rPr>
          <w:instrText xml:space="preserve"> PAGEREF _Toc154128536 \h </w:instrText>
        </w:r>
        <w:r>
          <w:rPr>
            <w:noProof/>
            <w:webHidden/>
          </w:rPr>
          <w:fldChar w:fldCharType="separate"/>
        </w:r>
        <w:r w:rsidR="00311CB8">
          <w:rPr>
            <w:noProof/>
            <w:webHidden/>
          </w:rPr>
          <w:t>1</w:t>
        </w:r>
        <w:r>
          <w:rPr>
            <w:noProof/>
            <w:webHidden/>
          </w:rPr>
          <w:fldChar w:fldCharType="end"/>
        </w:r>
      </w:hyperlink>
    </w:p>
    <w:p w:rsidR="004C33FA" w14:paraId="0CC6C3A7" w14:textId="50ECB4AD">
      <w:pPr>
        <w:pStyle w:val="TOC1"/>
        <w:rPr>
          <w:rFonts w:asciiTheme="minorHAnsi" w:eastAsiaTheme="minorEastAsia" w:hAnsiTheme="minorHAnsi" w:cstheme="minorBidi"/>
          <w:noProof/>
          <w:kern w:val="2"/>
          <w:sz w:val="22"/>
          <w:szCs w:val="22"/>
          <w14:ligatures w14:val="standardContextual"/>
        </w:rPr>
      </w:pPr>
      <w:hyperlink w:anchor="_Toc154128537" w:history="1">
        <w:r w:rsidRPr="005C6D35" w:rsidR="009D1141">
          <w:rPr>
            <w:rStyle w:val="Hyperlink"/>
            <w:rFonts w:eastAsia="Calibri"/>
            <w:noProof/>
          </w:rPr>
          <w:t>II.</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ARGUMENT</w:t>
        </w:r>
        <w:r w:rsidR="009D1141">
          <w:rPr>
            <w:noProof/>
            <w:webHidden/>
          </w:rPr>
          <w:tab/>
        </w:r>
        <w:r w:rsidR="009D1141">
          <w:rPr>
            <w:noProof/>
            <w:webHidden/>
          </w:rPr>
          <w:fldChar w:fldCharType="begin"/>
        </w:r>
        <w:r w:rsidR="009D1141">
          <w:rPr>
            <w:noProof/>
            <w:webHidden/>
          </w:rPr>
          <w:instrText xml:space="preserve"> PAGEREF _Toc154128537 \h </w:instrText>
        </w:r>
        <w:r w:rsidR="009D1141">
          <w:rPr>
            <w:noProof/>
            <w:webHidden/>
          </w:rPr>
          <w:fldChar w:fldCharType="separate"/>
        </w:r>
        <w:r w:rsidR="00311CB8">
          <w:rPr>
            <w:noProof/>
            <w:webHidden/>
          </w:rPr>
          <w:t>2</w:t>
        </w:r>
        <w:r w:rsidR="009D1141">
          <w:rPr>
            <w:noProof/>
            <w:webHidden/>
          </w:rPr>
          <w:fldChar w:fldCharType="end"/>
        </w:r>
      </w:hyperlink>
    </w:p>
    <w:p w:rsidR="004C33FA" w14:paraId="404C8E12" w14:textId="3C4ED457">
      <w:pPr>
        <w:pStyle w:val="TOC2"/>
        <w:tabs>
          <w:tab w:val="left" w:pos="1440"/>
        </w:tabs>
        <w:rPr>
          <w:rFonts w:asciiTheme="minorHAnsi" w:eastAsiaTheme="minorEastAsia" w:hAnsiTheme="minorHAnsi" w:cstheme="minorBidi"/>
          <w:noProof/>
          <w:kern w:val="2"/>
          <w:sz w:val="22"/>
          <w:szCs w:val="22"/>
          <w14:ligatures w14:val="standardContextual"/>
        </w:rPr>
      </w:pPr>
      <w:hyperlink w:anchor="_Toc154128538" w:history="1">
        <w:r w:rsidRPr="005C6D35" w:rsidR="009D1141">
          <w:rPr>
            <w:rStyle w:val="Hyperlink"/>
            <w:rFonts w:eastAsia="Calibri"/>
            <w:noProof/>
          </w:rPr>
          <w:t>A.</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There is no justification for the Settlement’s overwhelming additional charges to consumers on top of AEP’s already high rates.</w:t>
        </w:r>
        <w:r w:rsidR="009D1141">
          <w:rPr>
            <w:noProof/>
            <w:webHidden/>
          </w:rPr>
          <w:tab/>
        </w:r>
        <w:r w:rsidR="009D1141">
          <w:rPr>
            <w:noProof/>
            <w:webHidden/>
          </w:rPr>
          <w:fldChar w:fldCharType="begin"/>
        </w:r>
        <w:r w:rsidR="009D1141">
          <w:rPr>
            <w:noProof/>
            <w:webHidden/>
          </w:rPr>
          <w:instrText xml:space="preserve"> PAGEREF _Toc154128538 \h </w:instrText>
        </w:r>
        <w:r w:rsidR="009D1141">
          <w:rPr>
            <w:noProof/>
            <w:webHidden/>
          </w:rPr>
          <w:fldChar w:fldCharType="separate"/>
        </w:r>
        <w:r w:rsidR="00311CB8">
          <w:rPr>
            <w:noProof/>
            <w:webHidden/>
          </w:rPr>
          <w:t>2</w:t>
        </w:r>
        <w:r w:rsidR="009D1141">
          <w:rPr>
            <w:noProof/>
            <w:webHidden/>
          </w:rPr>
          <w:fldChar w:fldCharType="end"/>
        </w:r>
      </w:hyperlink>
    </w:p>
    <w:p w:rsidR="004C33FA" w14:paraId="53F32F6A" w14:textId="72A9E363">
      <w:pPr>
        <w:pStyle w:val="TOC2"/>
        <w:tabs>
          <w:tab w:val="left" w:pos="1440"/>
        </w:tabs>
        <w:rPr>
          <w:rFonts w:asciiTheme="minorHAnsi" w:eastAsiaTheme="minorEastAsia" w:hAnsiTheme="minorHAnsi" w:cstheme="minorBidi"/>
          <w:noProof/>
          <w:kern w:val="2"/>
          <w:sz w:val="22"/>
          <w:szCs w:val="22"/>
          <w14:ligatures w14:val="standardContextual"/>
        </w:rPr>
      </w:pPr>
      <w:hyperlink w:anchor="_Toc154128539" w:history="1">
        <w:r w:rsidRPr="005C6D35" w:rsidR="009D1141">
          <w:rPr>
            <w:rStyle w:val="Hyperlink"/>
            <w:rFonts w:eastAsia="Calibri"/>
            <w:noProof/>
          </w:rPr>
          <w:t xml:space="preserve">B. </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 xml:space="preserve">AEP’s blanket claims of “reliability” do not justify the unreasonable </w:t>
        </w:r>
        <w:r w:rsidR="009D1141">
          <w:rPr>
            <w:rStyle w:val="Hyperlink"/>
            <w:rFonts w:eastAsia="Calibri"/>
            <w:noProof/>
          </w:rPr>
          <w:br/>
        </w:r>
        <w:r w:rsidRPr="005C6D35" w:rsidR="009D1141">
          <w:rPr>
            <w:rStyle w:val="Hyperlink"/>
            <w:rFonts w:eastAsia="Calibri"/>
            <w:noProof/>
          </w:rPr>
          <w:t>costs charged to consumers for ESP V under the settlement. The PUCO should reject the settlement.</w:t>
        </w:r>
        <w:r w:rsidR="009D1141">
          <w:rPr>
            <w:noProof/>
            <w:webHidden/>
          </w:rPr>
          <w:tab/>
        </w:r>
        <w:r w:rsidR="009D1141">
          <w:rPr>
            <w:noProof/>
            <w:webHidden/>
          </w:rPr>
          <w:fldChar w:fldCharType="begin"/>
        </w:r>
        <w:r w:rsidR="009D1141">
          <w:rPr>
            <w:noProof/>
            <w:webHidden/>
          </w:rPr>
          <w:instrText xml:space="preserve"> PAGEREF _Toc154128539 \h </w:instrText>
        </w:r>
        <w:r w:rsidR="009D1141">
          <w:rPr>
            <w:noProof/>
            <w:webHidden/>
          </w:rPr>
          <w:fldChar w:fldCharType="separate"/>
        </w:r>
        <w:r w:rsidR="00311CB8">
          <w:rPr>
            <w:noProof/>
            <w:webHidden/>
          </w:rPr>
          <w:t>4</w:t>
        </w:r>
        <w:r w:rsidR="009D1141">
          <w:rPr>
            <w:noProof/>
            <w:webHidden/>
          </w:rPr>
          <w:fldChar w:fldCharType="end"/>
        </w:r>
      </w:hyperlink>
    </w:p>
    <w:p w:rsidR="004C33FA" w14:paraId="3F572102" w14:textId="5164B2DC">
      <w:pPr>
        <w:pStyle w:val="TOC2"/>
        <w:tabs>
          <w:tab w:val="left" w:pos="1440"/>
        </w:tabs>
        <w:rPr>
          <w:rFonts w:asciiTheme="minorHAnsi" w:eastAsiaTheme="minorEastAsia" w:hAnsiTheme="minorHAnsi" w:cstheme="minorBidi"/>
          <w:noProof/>
          <w:kern w:val="2"/>
          <w:sz w:val="22"/>
          <w:szCs w:val="22"/>
          <w14:ligatures w14:val="standardContextual"/>
        </w:rPr>
      </w:pPr>
      <w:hyperlink w:anchor="_Toc154128541" w:history="1">
        <w:r w:rsidRPr="005C6D35" w:rsidR="009D1141">
          <w:rPr>
            <w:rStyle w:val="Hyperlink"/>
            <w:rFonts w:eastAsia="Calibri"/>
            <w:noProof/>
          </w:rPr>
          <w:t>C.</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 xml:space="preserve">The unreasonable Return on Equity in the Settlement </w:t>
        </w:r>
        <w:r w:rsidRPr="005C6D35" w:rsidR="009D1141">
          <w:rPr>
            <w:rStyle w:val="Hyperlink"/>
            <w:rFonts w:eastAsia="WenQuanYi Micro Hei"/>
            <w:noProof/>
          </w:rPr>
          <w:t>harms consumers and the public interest.</w:t>
        </w:r>
        <w:r w:rsidR="009D1141">
          <w:rPr>
            <w:noProof/>
            <w:webHidden/>
          </w:rPr>
          <w:tab/>
        </w:r>
        <w:r w:rsidR="009D1141">
          <w:rPr>
            <w:noProof/>
            <w:webHidden/>
          </w:rPr>
          <w:fldChar w:fldCharType="begin"/>
        </w:r>
        <w:r w:rsidR="009D1141">
          <w:rPr>
            <w:noProof/>
            <w:webHidden/>
          </w:rPr>
          <w:instrText xml:space="preserve"> PAGEREF _Toc154128541 \h </w:instrText>
        </w:r>
        <w:r w:rsidR="009D1141">
          <w:rPr>
            <w:noProof/>
            <w:webHidden/>
          </w:rPr>
          <w:fldChar w:fldCharType="separate"/>
        </w:r>
        <w:r w:rsidR="00311CB8">
          <w:rPr>
            <w:noProof/>
            <w:webHidden/>
          </w:rPr>
          <w:t>6</w:t>
        </w:r>
        <w:r w:rsidR="009D1141">
          <w:rPr>
            <w:noProof/>
            <w:webHidden/>
          </w:rPr>
          <w:fldChar w:fldCharType="end"/>
        </w:r>
      </w:hyperlink>
    </w:p>
    <w:p w:rsidR="004C33FA" w14:paraId="0C9A32C8" w14:textId="1C0391D7">
      <w:pPr>
        <w:pStyle w:val="TOC2"/>
        <w:tabs>
          <w:tab w:val="left" w:pos="1440"/>
        </w:tabs>
        <w:rPr>
          <w:rFonts w:asciiTheme="minorHAnsi" w:eastAsiaTheme="minorEastAsia" w:hAnsiTheme="minorHAnsi" w:cstheme="minorBidi"/>
          <w:noProof/>
          <w:kern w:val="2"/>
          <w:sz w:val="22"/>
          <w:szCs w:val="22"/>
          <w14:ligatures w14:val="standardContextual"/>
        </w:rPr>
      </w:pPr>
      <w:hyperlink w:anchor="_Toc154128542" w:history="1">
        <w:r w:rsidRPr="005C6D35" w:rsidR="009D1141">
          <w:rPr>
            <w:rStyle w:val="Hyperlink"/>
            <w:rFonts w:eastAsia="Calibri"/>
            <w:noProof/>
          </w:rPr>
          <w:t>D.</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 xml:space="preserve">The Settlement’s energy efficiency programs can harm consumers and </w:t>
        </w:r>
        <w:r w:rsidR="009D1141">
          <w:rPr>
            <w:rStyle w:val="Hyperlink"/>
            <w:rFonts w:eastAsia="Calibri"/>
            <w:noProof/>
          </w:rPr>
          <w:br/>
        </w:r>
        <w:r w:rsidRPr="005C6D35" w:rsidR="009D1141">
          <w:rPr>
            <w:rStyle w:val="Hyperlink"/>
            <w:rFonts w:eastAsia="Calibri"/>
            <w:noProof/>
          </w:rPr>
          <w:t>the public interest contrary to AEP’s claims. The Settlement should be rejected.</w:t>
        </w:r>
        <w:r w:rsidR="009D1141">
          <w:rPr>
            <w:noProof/>
            <w:webHidden/>
          </w:rPr>
          <w:tab/>
        </w:r>
        <w:r w:rsidR="009D1141">
          <w:rPr>
            <w:noProof/>
            <w:webHidden/>
          </w:rPr>
          <w:fldChar w:fldCharType="begin"/>
        </w:r>
        <w:r w:rsidR="009D1141">
          <w:rPr>
            <w:noProof/>
            <w:webHidden/>
          </w:rPr>
          <w:instrText xml:space="preserve"> PAGEREF _Toc154128542 \h </w:instrText>
        </w:r>
        <w:r w:rsidR="009D1141">
          <w:rPr>
            <w:noProof/>
            <w:webHidden/>
          </w:rPr>
          <w:fldChar w:fldCharType="separate"/>
        </w:r>
        <w:r w:rsidR="00311CB8">
          <w:rPr>
            <w:noProof/>
            <w:webHidden/>
          </w:rPr>
          <w:t>9</w:t>
        </w:r>
        <w:r w:rsidR="009D1141">
          <w:rPr>
            <w:noProof/>
            <w:webHidden/>
          </w:rPr>
          <w:fldChar w:fldCharType="end"/>
        </w:r>
      </w:hyperlink>
    </w:p>
    <w:p w:rsidR="004C33FA" w14:paraId="129AC919" w14:textId="2FA5A03F">
      <w:pPr>
        <w:pStyle w:val="TOC2"/>
        <w:tabs>
          <w:tab w:val="left" w:pos="1440"/>
        </w:tabs>
        <w:rPr>
          <w:rFonts w:asciiTheme="minorHAnsi" w:eastAsiaTheme="minorEastAsia" w:hAnsiTheme="minorHAnsi" w:cstheme="minorBidi"/>
          <w:noProof/>
          <w:kern w:val="2"/>
          <w:sz w:val="22"/>
          <w:szCs w:val="22"/>
          <w14:ligatures w14:val="standardContextual"/>
        </w:rPr>
      </w:pPr>
      <w:hyperlink w:anchor="_Toc154128543" w:history="1">
        <w:r w:rsidRPr="005C6D35" w:rsidR="009D1141">
          <w:rPr>
            <w:rStyle w:val="Hyperlink"/>
            <w:rFonts w:eastAsia="Calibri"/>
            <w:noProof/>
          </w:rPr>
          <w:t>E.</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 xml:space="preserve">Forcing all consumers, including Percentage of Income Payment Plan (“PIPP”) consumers, to fund AEP’s Neighbor-to-Neighbor program </w:t>
        </w:r>
        <w:r w:rsidR="009D1141">
          <w:rPr>
            <w:rStyle w:val="Hyperlink"/>
            <w:rFonts w:eastAsia="Calibri"/>
            <w:noProof/>
          </w:rPr>
          <w:br/>
        </w:r>
        <w:r w:rsidRPr="005C6D35" w:rsidR="009D1141">
          <w:rPr>
            <w:rStyle w:val="Hyperlink"/>
            <w:rFonts w:eastAsia="Calibri"/>
            <w:noProof/>
          </w:rPr>
          <w:t>does not benefit consumers and the public interest.</w:t>
        </w:r>
        <w:r w:rsidR="009D1141">
          <w:rPr>
            <w:noProof/>
            <w:webHidden/>
          </w:rPr>
          <w:tab/>
        </w:r>
        <w:r w:rsidR="009D1141">
          <w:rPr>
            <w:noProof/>
            <w:webHidden/>
          </w:rPr>
          <w:fldChar w:fldCharType="begin"/>
        </w:r>
        <w:r w:rsidR="009D1141">
          <w:rPr>
            <w:noProof/>
            <w:webHidden/>
          </w:rPr>
          <w:instrText xml:space="preserve"> PAGEREF _Toc154128543 \h </w:instrText>
        </w:r>
        <w:r w:rsidR="009D1141">
          <w:rPr>
            <w:noProof/>
            <w:webHidden/>
          </w:rPr>
          <w:fldChar w:fldCharType="separate"/>
        </w:r>
        <w:r w:rsidR="00311CB8">
          <w:rPr>
            <w:noProof/>
            <w:webHidden/>
          </w:rPr>
          <w:t>11</w:t>
        </w:r>
        <w:r w:rsidR="009D1141">
          <w:rPr>
            <w:noProof/>
            <w:webHidden/>
          </w:rPr>
          <w:fldChar w:fldCharType="end"/>
        </w:r>
      </w:hyperlink>
    </w:p>
    <w:p w:rsidR="004C33FA" w14:paraId="57217E86" w14:textId="5533B318">
      <w:pPr>
        <w:pStyle w:val="TOC2"/>
        <w:tabs>
          <w:tab w:val="left" w:pos="1440"/>
        </w:tabs>
        <w:rPr>
          <w:rFonts w:asciiTheme="minorHAnsi" w:eastAsiaTheme="minorEastAsia" w:hAnsiTheme="minorHAnsi" w:cstheme="minorBidi"/>
          <w:noProof/>
          <w:kern w:val="2"/>
          <w:sz w:val="22"/>
          <w:szCs w:val="22"/>
          <w14:ligatures w14:val="standardContextual"/>
        </w:rPr>
      </w:pPr>
      <w:hyperlink w:anchor="_Toc154128544" w:history="1">
        <w:r w:rsidRPr="005C6D35" w:rsidR="009D1141">
          <w:rPr>
            <w:rStyle w:val="Hyperlink"/>
            <w:rFonts w:eastAsia="Calibri"/>
            <w:noProof/>
          </w:rPr>
          <w:t>F.</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 xml:space="preserve">Failing to separate SSO auctions by consumer classes does not </w:t>
        </w:r>
        <w:r w:rsidR="009D1141">
          <w:rPr>
            <w:rStyle w:val="Hyperlink"/>
            <w:rFonts w:eastAsia="Calibri"/>
            <w:noProof/>
          </w:rPr>
          <w:br/>
        </w:r>
        <w:r w:rsidRPr="005C6D35" w:rsidR="009D1141">
          <w:rPr>
            <w:rStyle w:val="Hyperlink"/>
            <w:rFonts w:eastAsia="Calibri"/>
            <w:noProof/>
          </w:rPr>
          <w:t>benefit consumers and the public interest.</w:t>
        </w:r>
        <w:r w:rsidR="009D1141">
          <w:rPr>
            <w:noProof/>
            <w:webHidden/>
          </w:rPr>
          <w:tab/>
        </w:r>
        <w:r w:rsidR="009D1141">
          <w:rPr>
            <w:noProof/>
            <w:webHidden/>
          </w:rPr>
          <w:fldChar w:fldCharType="begin"/>
        </w:r>
        <w:r w:rsidR="009D1141">
          <w:rPr>
            <w:noProof/>
            <w:webHidden/>
          </w:rPr>
          <w:instrText xml:space="preserve"> PAGEREF _Toc154128544 \h </w:instrText>
        </w:r>
        <w:r w:rsidR="009D1141">
          <w:rPr>
            <w:noProof/>
            <w:webHidden/>
          </w:rPr>
          <w:fldChar w:fldCharType="separate"/>
        </w:r>
        <w:r w:rsidR="00311CB8">
          <w:rPr>
            <w:noProof/>
            <w:webHidden/>
          </w:rPr>
          <w:t>12</w:t>
        </w:r>
        <w:r w:rsidR="009D1141">
          <w:rPr>
            <w:noProof/>
            <w:webHidden/>
          </w:rPr>
          <w:fldChar w:fldCharType="end"/>
        </w:r>
      </w:hyperlink>
    </w:p>
    <w:p w:rsidR="004C33FA" w14:paraId="3AFFCE98" w14:textId="1AEF63B1">
      <w:pPr>
        <w:pStyle w:val="TOC2"/>
        <w:tabs>
          <w:tab w:val="left" w:pos="1440"/>
        </w:tabs>
        <w:rPr>
          <w:rFonts w:asciiTheme="minorHAnsi" w:eastAsiaTheme="minorEastAsia" w:hAnsiTheme="minorHAnsi" w:cstheme="minorBidi"/>
          <w:noProof/>
          <w:kern w:val="2"/>
          <w:sz w:val="22"/>
          <w:szCs w:val="22"/>
          <w14:ligatures w14:val="standardContextual"/>
        </w:rPr>
      </w:pPr>
      <w:hyperlink w:anchor="_Toc154128545" w:history="1">
        <w:r w:rsidRPr="005C6D35" w:rsidR="009D1141">
          <w:rPr>
            <w:rStyle w:val="Hyperlink"/>
            <w:rFonts w:eastAsia="Calibri"/>
            <w:noProof/>
          </w:rPr>
          <w:t>G.</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The PUCO should set the proxy price if the capacity pass-through mechanism is approved.</w:t>
        </w:r>
        <w:r w:rsidR="009D1141">
          <w:rPr>
            <w:noProof/>
            <w:webHidden/>
          </w:rPr>
          <w:tab/>
        </w:r>
        <w:r w:rsidR="009D1141">
          <w:rPr>
            <w:noProof/>
            <w:webHidden/>
          </w:rPr>
          <w:fldChar w:fldCharType="begin"/>
        </w:r>
        <w:r w:rsidR="009D1141">
          <w:rPr>
            <w:noProof/>
            <w:webHidden/>
          </w:rPr>
          <w:instrText xml:space="preserve"> PAGEREF _Toc154128545 \h </w:instrText>
        </w:r>
        <w:r w:rsidR="009D1141">
          <w:rPr>
            <w:noProof/>
            <w:webHidden/>
          </w:rPr>
          <w:fldChar w:fldCharType="separate"/>
        </w:r>
        <w:r w:rsidR="00311CB8">
          <w:rPr>
            <w:noProof/>
            <w:webHidden/>
          </w:rPr>
          <w:t>16</w:t>
        </w:r>
        <w:r w:rsidR="009D1141">
          <w:rPr>
            <w:noProof/>
            <w:webHidden/>
          </w:rPr>
          <w:fldChar w:fldCharType="end"/>
        </w:r>
      </w:hyperlink>
    </w:p>
    <w:p w:rsidR="004C33FA" w14:paraId="02A576FD" w14:textId="3F39083A">
      <w:pPr>
        <w:pStyle w:val="TOC2"/>
        <w:tabs>
          <w:tab w:val="left" w:pos="1440"/>
        </w:tabs>
        <w:rPr>
          <w:rFonts w:asciiTheme="minorHAnsi" w:eastAsiaTheme="minorEastAsia" w:hAnsiTheme="minorHAnsi" w:cstheme="minorBidi"/>
          <w:noProof/>
          <w:kern w:val="2"/>
          <w:sz w:val="22"/>
          <w:szCs w:val="22"/>
          <w14:ligatures w14:val="standardContextual"/>
        </w:rPr>
      </w:pPr>
      <w:hyperlink w:anchor="_Toc154128546" w:history="1">
        <w:r w:rsidRPr="005C6D35" w:rsidR="009D1141">
          <w:rPr>
            <w:rStyle w:val="Hyperlink"/>
            <w:rFonts w:eastAsia="Calibri"/>
            <w:noProof/>
          </w:rPr>
          <w:t>H.</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 xml:space="preserve">The Settlement fails to consider affordability, especially to at-risk consumers, or the exorbitant number of AEP service disconnections, </w:t>
        </w:r>
        <w:r w:rsidR="009D1141">
          <w:rPr>
            <w:rStyle w:val="Hyperlink"/>
            <w:rFonts w:eastAsia="Calibri"/>
            <w:noProof/>
          </w:rPr>
          <w:br/>
        </w:r>
        <w:r w:rsidRPr="005C6D35" w:rsidR="009D1141">
          <w:rPr>
            <w:rStyle w:val="Hyperlink"/>
            <w:rFonts w:eastAsia="Calibri"/>
            <w:noProof/>
          </w:rPr>
          <w:t xml:space="preserve">and therefore harms consumers and public interest, and violates </w:t>
        </w:r>
        <w:r w:rsidR="009D1141">
          <w:rPr>
            <w:rStyle w:val="Hyperlink"/>
            <w:rFonts w:eastAsia="Calibri"/>
            <w:noProof/>
          </w:rPr>
          <w:br/>
        </w:r>
        <w:r w:rsidRPr="005C6D35" w:rsidR="009D1141">
          <w:rPr>
            <w:rStyle w:val="Hyperlink"/>
            <w:rFonts w:eastAsia="Calibri"/>
            <w:noProof/>
          </w:rPr>
          <w:t>important regulatory principles.</w:t>
        </w:r>
        <w:r w:rsidR="009D1141">
          <w:rPr>
            <w:noProof/>
            <w:webHidden/>
          </w:rPr>
          <w:tab/>
        </w:r>
        <w:r w:rsidR="009D1141">
          <w:rPr>
            <w:noProof/>
            <w:webHidden/>
          </w:rPr>
          <w:fldChar w:fldCharType="begin"/>
        </w:r>
        <w:r w:rsidR="009D1141">
          <w:rPr>
            <w:noProof/>
            <w:webHidden/>
          </w:rPr>
          <w:instrText xml:space="preserve"> PAGEREF _Toc154128546 \h </w:instrText>
        </w:r>
        <w:r w:rsidR="009D1141">
          <w:rPr>
            <w:noProof/>
            <w:webHidden/>
          </w:rPr>
          <w:fldChar w:fldCharType="separate"/>
        </w:r>
        <w:r w:rsidR="00311CB8">
          <w:rPr>
            <w:noProof/>
            <w:webHidden/>
          </w:rPr>
          <w:t>17</w:t>
        </w:r>
        <w:r w:rsidR="009D1141">
          <w:rPr>
            <w:noProof/>
            <w:webHidden/>
          </w:rPr>
          <w:fldChar w:fldCharType="end"/>
        </w:r>
      </w:hyperlink>
    </w:p>
    <w:p w:rsidR="004C33FA" w14:paraId="20D26C41" w14:textId="3AB9A41B">
      <w:pPr>
        <w:pStyle w:val="TOC2"/>
        <w:tabs>
          <w:tab w:val="left" w:pos="1440"/>
        </w:tabs>
        <w:rPr>
          <w:rFonts w:asciiTheme="minorHAnsi" w:eastAsiaTheme="minorEastAsia" w:hAnsiTheme="minorHAnsi" w:cstheme="minorBidi"/>
          <w:noProof/>
          <w:kern w:val="2"/>
          <w:sz w:val="22"/>
          <w:szCs w:val="22"/>
          <w14:ligatures w14:val="standardContextual"/>
        </w:rPr>
      </w:pPr>
      <w:hyperlink w:anchor="_Toc154128547" w:history="1">
        <w:r w:rsidRPr="005C6D35" w:rsidR="009D1141">
          <w:rPr>
            <w:rStyle w:val="Hyperlink"/>
            <w:rFonts w:eastAsia="Calibri"/>
            <w:noProof/>
          </w:rPr>
          <w:t>I.</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 xml:space="preserve">The Settlement proposes Contribution in Aid of Construction (“CIAC”) provisions for consumer installations of electric vehicle chargers </w:t>
        </w:r>
        <w:r w:rsidR="009D1141">
          <w:rPr>
            <w:rStyle w:val="Hyperlink"/>
            <w:rFonts w:eastAsia="Calibri"/>
            <w:noProof/>
          </w:rPr>
          <w:br/>
        </w:r>
        <w:r w:rsidRPr="005C6D35" w:rsidR="009D1141">
          <w:rPr>
            <w:rStyle w:val="Hyperlink"/>
            <w:rFonts w:eastAsia="Calibri"/>
            <w:noProof/>
          </w:rPr>
          <w:t>which violate important regulatory principles and practices.</w:t>
        </w:r>
        <w:r w:rsidR="009D1141">
          <w:rPr>
            <w:noProof/>
            <w:webHidden/>
          </w:rPr>
          <w:tab/>
        </w:r>
        <w:r w:rsidR="009D1141">
          <w:rPr>
            <w:noProof/>
            <w:webHidden/>
          </w:rPr>
          <w:fldChar w:fldCharType="begin"/>
        </w:r>
        <w:r w:rsidR="009D1141">
          <w:rPr>
            <w:noProof/>
            <w:webHidden/>
          </w:rPr>
          <w:instrText xml:space="preserve"> PAGEREF _Toc154128547 \h </w:instrText>
        </w:r>
        <w:r w:rsidR="009D1141">
          <w:rPr>
            <w:noProof/>
            <w:webHidden/>
          </w:rPr>
          <w:fldChar w:fldCharType="separate"/>
        </w:r>
        <w:r w:rsidR="00311CB8">
          <w:rPr>
            <w:noProof/>
            <w:webHidden/>
          </w:rPr>
          <w:t>18</w:t>
        </w:r>
        <w:r w:rsidR="009D1141">
          <w:rPr>
            <w:noProof/>
            <w:webHidden/>
          </w:rPr>
          <w:fldChar w:fldCharType="end"/>
        </w:r>
      </w:hyperlink>
    </w:p>
    <w:p w:rsidR="004C33FA" w14:paraId="438FB0C3" w14:textId="6EF3CF1F">
      <w:pPr>
        <w:pStyle w:val="TOC2"/>
        <w:tabs>
          <w:tab w:val="left" w:pos="1440"/>
        </w:tabs>
        <w:rPr>
          <w:rFonts w:asciiTheme="minorHAnsi" w:eastAsiaTheme="minorEastAsia" w:hAnsiTheme="minorHAnsi" w:cstheme="minorBidi"/>
          <w:noProof/>
          <w:kern w:val="2"/>
          <w:sz w:val="22"/>
          <w:szCs w:val="22"/>
          <w14:ligatures w14:val="standardContextual"/>
        </w:rPr>
      </w:pPr>
      <w:hyperlink w:anchor="_Toc154128548" w:history="1">
        <w:r w:rsidRPr="005C6D35" w:rsidR="009D1141">
          <w:rPr>
            <w:rStyle w:val="Hyperlink"/>
            <w:rFonts w:eastAsia="Calibri"/>
            <w:noProof/>
          </w:rPr>
          <w:t>J.</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The Settlement Fails the “MRO vs ESP” test.</w:t>
        </w:r>
        <w:r w:rsidR="009D1141">
          <w:rPr>
            <w:noProof/>
            <w:webHidden/>
          </w:rPr>
          <w:tab/>
        </w:r>
        <w:r w:rsidR="009D1141">
          <w:rPr>
            <w:noProof/>
            <w:webHidden/>
          </w:rPr>
          <w:fldChar w:fldCharType="begin"/>
        </w:r>
        <w:r w:rsidR="009D1141">
          <w:rPr>
            <w:noProof/>
            <w:webHidden/>
          </w:rPr>
          <w:instrText xml:space="preserve"> PAGEREF _Toc154128548 \h </w:instrText>
        </w:r>
        <w:r w:rsidR="009D1141">
          <w:rPr>
            <w:noProof/>
            <w:webHidden/>
          </w:rPr>
          <w:fldChar w:fldCharType="separate"/>
        </w:r>
        <w:r w:rsidR="00311CB8">
          <w:rPr>
            <w:noProof/>
            <w:webHidden/>
          </w:rPr>
          <w:t>21</w:t>
        </w:r>
        <w:r w:rsidR="009D1141">
          <w:rPr>
            <w:noProof/>
            <w:webHidden/>
          </w:rPr>
          <w:fldChar w:fldCharType="end"/>
        </w:r>
      </w:hyperlink>
    </w:p>
    <w:p w:rsidR="004C33FA" w14:paraId="7A7D0DB1" w14:textId="07CD2219">
      <w:pPr>
        <w:pStyle w:val="TOC3"/>
        <w:tabs>
          <w:tab w:val="left" w:pos="2160"/>
        </w:tabs>
        <w:rPr>
          <w:rFonts w:asciiTheme="minorHAnsi" w:eastAsiaTheme="minorEastAsia" w:hAnsiTheme="minorHAnsi" w:cstheme="minorBidi"/>
          <w:noProof/>
          <w:kern w:val="2"/>
          <w:sz w:val="22"/>
          <w:szCs w:val="22"/>
          <w14:ligatures w14:val="standardContextual"/>
        </w:rPr>
      </w:pPr>
      <w:hyperlink w:anchor="_Toc154128549" w:history="1">
        <w:r w:rsidRPr="005C6D35" w:rsidR="009D1141">
          <w:rPr>
            <w:rStyle w:val="Hyperlink"/>
            <w:rFonts w:eastAsia="Calibri"/>
            <w:noProof/>
            <w:lang w:bidi="hi-IN"/>
          </w:rPr>
          <w:t>1.</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lang w:bidi="hi-IN"/>
          </w:rPr>
          <w:t xml:space="preserve">AEP’s proposed ESP fails the statutory test based on analysis </w:t>
        </w:r>
        <w:r w:rsidR="001B34E8">
          <w:rPr>
            <w:rStyle w:val="Hyperlink"/>
            <w:rFonts w:eastAsia="Calibri"/>
            <w:noProof/>
            <w:lang w:bidi="hi-IN"/>
          </w:rPr>
          <w:br/>
        </w:r>
        <w:r w:rsidRPr="005C6D35" w:rsidR="009D1141">
          <w:rPr>
            <w:rStyle w:val="Hyperlink"/>
            <w:rFonts w:eastAsia="Calibri"/>
            <w:noProof/>
            <w:lang w:bidi="hi-IN"/>
          </w:rPr>
          <w:t>of purported quantitative benefits.</w:t>
        </w:r>
        <w:r w:rsidR="009D1141">
          <w:rPr>
            <w:noProof/>
            <w:webHidden/>
          </w:rPr>
          <w:tab/>
        </w:r>
        <w:r w:rsidR="009D1141">
          <w:rPr>
            <w:noProof/>
            <w:webHidden/>
          </w:rPr>
          <w:fldChar w:fldCharType="begin"/>
        </w:r>
        <w:r w:rsidR="009D1141">
          <w:rPr>
            <w:noProof/>
            <w:webHidden/>
          </w:rPr>
          <w:instrText xml:space="preserve"> PAGEREF _Toc154128549 \h </w:instrText>
        </w:r>
        <w:r w:rsidR="009D1141">
          <w:rPr>
            <w:noProof/>
            <w:webHidden/>
          </w:rPr>
          <w:fldChar w:fldCharType="separate"/>
        </w:r>
        <w:r w:rsidR="00311CB8">
          <w:rPr>
            <w:noProof/>
            <w:webHidden/>
          </w:rPr>
          <w:t>23</w:t>
        </w:r>
        <w:r w:rsidR="009D1141">
          <w:rPr>
            <w:noProof/>
            <w:webHidden/>
          </w:rPr>
          <w:fldChar w:fldCharType="end"/>
        </w:r>
      </w:hyperlink>
    </w:p>
    <w:p w:rsidR="004C33FA" w14:paraId="2A832BE0" w14:textId="29AE759A">
      <w:pPr>
        <w:pStyle w:val="TOC3"/>
        <w:tabs>
          <w:tab w:val="left" w:pos="2160"/>
        </w:tabs>
        <w:rPr>
          <w:rFonts w:asciiTheme="minorHAnsi" w:eastAsiaTheme="minorEastAsia" w:hAnsiTheme="minorHAnsi" w:cstheme="minorBidi"/>
          <w:noProof/>
          <w:kern w:val="2"/>
          <w:sz w:val="22"/>
          <w:szCs w:val="22"/>
          <w14:ligatures w14:val="standardContextual"/>
        </w:rPr>
      </w:pPr>
      <w:hyperlink w:anchor="_Toc154128550" w:history="1">
        <w:r w:rsidRPr="005C6D35" w:rsidR="009D1141">
          <w:rPr>
            <w:rStyle w:val="Hyperlink"/>
            <w:rFonts w:eastAsia="Calibri"/>
            <w:noProof/>
            <w:lang w:bidi="hi-IN"/>
          </w:rPr>
          <w:t>2.</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lang w:bidi="hi-IN"/>
          </w:rPr>
          <w:t xml:space="preserve">AEP’s proposed ESP fails the statutory test based on analysis </w:t>
        </w:r>
        <w:r w:rsidR="001B34E8">
          <w:rPr>
            <w:rStyle w:val="Hyperlink"/>
            <w:rFonts w:eastAsia="Calibri"/>
            <w:noProof/>
            <w:lang w:bidi="hi-IN"/>
          </w:rPr>
          <w:br/>
        </w:r>
        <w:r w:rsidRPr="005C6D35" w:rsidR="009D1141">
          <w:rPr>
            <w:rStyle w:val="Hyperlink"/>
            <w:rFonts w:eastAsia="Calibri"/>
            <w:noProof/>
            <w:lang w:bidi="hi-IN"/>
          </w:rPr>
          <w:t>of purported qualitative benefits.</w:t>
        </w:r>
        <w:r w:rsidR="009D1141">
          <w:rPr>
            <w:noProof/>
            <w:webHidden/>
          </w:rPr>
          <w:tab/>
        </w:r>
        <w:r w:rsidR="009D1141">
          <w:rPr>
            <w:noProof/>
            <w:webHidden/>
          </w:rPr>
          <w:fldChar w:fldCharType="begin"/>
        </w:r>
        <w:r w:rsidR="009D1141">
          <w:rPr>
            <w:noProof/>
            <w:webHidden/>
          </w:rPr>
          <w:instrText xml:space="preserve"> PAGEREF _Toc154128550 \h </w:instrText>
        </w:r>
        <w:r w:rsidR="009D1141">
          <w:rPr>
            <w:noProof/>
            <w:webHidden/>
          </w:rPr>
          <w:fldChar w:fldCharType="separate"/>
        </w:r>
        <w:r w:rsidR="00311CB8">
          <w:rPr>
            <w:noProof/>
            <w:webHidden/>
          </w:rPr>
          <w:t>23</w:t>
        </w:r>
        <w:r w:rsidR="009D1141">
          <w:rPr>
            <w:noProof/>
            <w:webHidden/>
          </w:rPr>
          <w:fldChar w:fldCharType="end"/>
        </w:r>
      </w:hyperlink>
    </w:p>
    <w:p w:rsidR="004C33FA" w14:paraId="0536EB7F" w14:textId="00242B0F">
      <w:pPr>
        <w:pStyle w:val="TOC1"/>
        <w:rPr>
          <w:rFonts w:asciiTheme="minorHAnsi" w:eastAsiaTheme="minorEastAsia" w:hAnsiTheme="minorHAnsi" w:cstheme="minorBidi"/>
          <w:noProof/>
          <w:kern w:val="2"/>
          <w:sz w:val="22"/>
          <w:szCs w:val="22"/>
          <w14:ligatures w14:val="standardContextual"/>
        </w:rPr>
      </w:pPr>
      <w:hyperlink w:anchor="_Toc154128551" w:history="1">
        <w:r w:rsidRPr="005C6D35" w:rsidR="009D1141">
          <w:rPr>
            <w:rStyle w:val="Hyperlink"/>
            <w:rFonts w:eastAsia="Calibri"/>
            <w:noProof/>
          </w:rPr>
          <w:t>IV.</w:t>
        </w:r>
        <w:r w:rsidR="009D1141">
          <w:rPr>
            <w:rFonts w:asciiTheme="minorHAnsi" w:eastAsiaTheme="minorEastAsia" w:hAnsiTheme="minorHAnsi" w:cstheme="minorBidi"/>
            <w:noProof/>
            <w:kern w:val="2"/>
            <w:sz w:val="22"/>
            <w:szCs w:val="22"/>
            <w14:ligatures w14:val="standardContextual"/>
          </w:rPr>
          <w:tab/>
        </w:r>
        <w:r w:rsidRPr="005C6D35" w:rsidR="009D1141">
          <w:rPr>
            <w:rStyle w:val="Hyperlink"/>
            <w:rFonts w:eastAsia="Calibri"/>
            <w:noProof/>
          </w:rPr>
          <w:t>CONCLUSION</w:t>
        </w:r>
        <w:r w:rsidR="009D1141">
          <w:rPr>
            <w:noProof/>
            <w:webHidden/>
          </w:rPr>
          <w:tab/>
        </w:r>
        <w:r w:rsidR="009D1141">
          <w:rPr>
            <w:noProof/>
            <w:webHidden/>
          </w:rPr>
          <w:fldChar w:fldCharType="begin"/>
        </w:r>
        <w:r w:rsidR="009D1141">
          <w:rPr>
            <w:noProof/>
            <w:webHidden/>
          </w:rPr>
          <w:instrText xml:space="preserve"> PAGEREF _Toc154128551 \h </w:instrText>
        </w:r>
        <w:r w:rsidR="009D1141">
          <w:rPr>
            <w:noProof/>
            <w:webHidden/>
          </w:rPr>
          <w:fldChar w:fldCharType="separate"/>
        </w:r>
        <w:r w:rsidR="00311CB8">
          <w:rPr>
            <w:noProof/>
            <w:webHidden/>
          </w:rPr>
          <w:t>25</w:t>
        </w:r>
        <w:r w:rsidR="009D1141">
          <w:rPr>
            <w:noProof/>
            <w:webHidden/>
          </w:rPr>
          <w:fldChar w:fldCharType="end"/>
        </w:r>
      </w:hyperlink>
    </w:p>
    <w:p w:rsidR="00E439DD" w:rsidRPr="00B95412" w:rsidP="00E439DD" w14:paraId="5E89AAC5" w14:textId="26F526AE">
      <w:pPr>
        <w:pStyle w:val="BodyText"/>
        <w:jc w:val="right"/>
        <w:rPr>
          <w:b/>
          <w:bCs/>
        </w:rPr>
      </w:pPr>
      <w:r w:rsidRPr="00B95412">
        <w:rPr>
          <w:b/>
          <w:bCs/>
        </w:rPr>
        <w:fldChar w:fldCharType="end"/>
      </w:r>
    </w:p>
    <w:p w:rsidR="00FF640C" w:rsidRPr="00B95412" w:rsidP="00E439DD" w14:paraId="6461B1C6" w14:textId="77777777">
      <w:pPr>
        <w:rPr>
          <w:sz w:val="24"/>
          <w:szCs w:val="24"/>
        </w:rPr>
        <w:sectPr w:rsidSect="0044758A">
          <w:footerReference w:type="default" r:id="rId14"/>
          <w:pgSz w:w="12240" w:h="15840"/>
          <w:pgMar w:top="1440" w:right="1800" w:bottom="1440" w:left="1800" w:header="720" w:footer="720" w:gutter="0"/>
          <w:pgNumType w:fmt="lowerRoman" w:start="1"/>
          <w:cols w:space="720"/>
          <w:docGrid w:linePitch="299"/>
        </w:sectPr>
      </w:pPr>
    </w:p>
    <w:p w:rsidR="005071CE" w:rsidRPr="00B95412" w:rsidP="005071CE" w14:paraId="3734E1E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sz w:val="24"/>
          <w:szCs w:val="24"/>
        </w:rPr>
      </w:pPr>
      <w:r w:rsidRPr="00B95412">
        <w:rPr>
          <w:b/>
          <w:bCs/>
          <w:sz w:val="24"/>
          <w:szCs w:val="24"/>
          <w:lang w:bidi="en-US"/>
        </w:rPr>
        <w:t>BEFORE</w:t>
      </w:r>
    </w:p>
    <w:p w:rsidR="005071CE" w:rsidRPr="00B95412" w:rsidP="005071CE" w14:paraId="02CB305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sz w:val="24"/>
          <w:szCs w:val="24"/>
          <w:lang w:bidi="en-US"/>
        </w:rPr>
      </w:pPr>
      <w:r w:rsidRPr="00B95412">
        <w:rPr>
          <w:b/>
          <w:bCs/>
          <w:sz w:val="24"/>
          <w:szCs w:val="24"/>
          <w:lang w:bidi="en-US"/>
        </w:rPr>
        <w:t>THE PUBLIC UTILITIES COMMISSION OF OHIO</w:t>
      </w:r>
    </w:p>
    <w:p w:rsidR="005071CE" w:rsidRPr="00B95412" w:rsidP="005071CE" w14:paraId="480A2FC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bl>
      <w:tblPr>
        <w:tblW w:w="9408" w:type="dxa"/>
        <w:tblInd w:w="-270" w:type="dxa"/>
        <w:tblLook w:val="01E0"/>
      </w:tblPr>
      <w:tblGrid>
        <w:gridCol w:w="8964"/>
        <w:gridCol w:w="222"/>
        <w:gridCol w:w="222"/>
      </w:tblGrid>
      <w:tr w14:paraId="4F7F71B6" w14:textId="77777777" w:rsidTr="001B6497">
        <w:tblPrEx>
          <w:tblW w:w="9408" w:type="dxa"/>
          <w:tblInd w:w="-270" w:type="dxa"/>
          <w:tblLook w:val="01E0"/>
        </w:tblPrEx>
        <w:trPr>
          <w:trHeight w:val="807"/>
        </w:trPr>
        <w:tc>
          <w:tcPr>
            <w:tcW w:w="8964" w:type="dxa"/>
            <w:shd w:val="clear" w:color="auto" w:fill="auto"/>
          </w:tcPr>
          <w:tbl>
            <w:tblPr>
              <w:tblW w:w="8730" w:type="dxa"/>
              <w:tblLook w:val="01E0"/>
            </w:tblPr>
            <w:tblGrid>
              <w:gridCol w:w="4409"/>
              <w:gridCol w:w="386"/>
              <w:gridCol w:w="3935"/>
            </w:tblGrid>
            <w:tr w14:paraId="540547EE" w14:textId="77777777" w:rsidTr="001B6497">
              <w:tblPrEx>
                <w:tblW w:w="8730" w:type="dxa"/>
                <w:tblLook w:val="01E0"/>
              </w:tblPrEx>
              <w:trPr>
                <w:trHeight w:val="807"/>
              </w:trPr>
              <w:tc>
                <w:tcPr>
                  <w:tcW w:w="4422" w:type="dxa"/>
                  <w:shd w:val="clear" w:color="auto" w:fill="auto"/>
                </w:tcPr>
                <w:p w:rsidR="005071CE" w:rsidRPr="00B95412" w:rsidP="001B6497" w14:paraId="49D7CBA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In the Matter of the Application of Ohio Power Company for Authority to Establish a Standard Service Offer Pursuant to R.C. 4928.143 in the Form of an Electric Security Plan.</w:t>
                  </w:r>
                </w:p>
              </w:tc>
              <w:tc>
                <w:tcPr>
                  <w:tcW w:w="360" w:type="dxa"/>
                  <w:shd w:val="clear" w:color="auto" w:fill="auto"/>
                </w:tcPr>
                <w:p w:rsidR="005071CE" w:rsidRPr="00B95412" w:rsidP="001B6497" w14:paraId="76AC6E6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5071CE" w:rsidRPr="00B95412" w:rsidP="001B6497" w14:paraId="5015449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5071CE" w:rsidRPr="00B95412" w:rsidP="001B6497" w14:paraId="5AF5D5A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5071CE" w:rsidRPr="00B95412" w:rsidP="001B6497" w14:paraId="2411943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5071CE" w:rsidRPr="00B95412" w:rsidP="001B6497" w14:paraId="516F350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tc>
              <w:tc>
                <w:tcPr>
                  <w:tcW w:w="3948" w:type="dxa"/>
                  <w:shd w:val="clear" w:color="auto" w:fill="auto"/>
                </w:tcPr>
                <w:p w:rsidR="005071CE" w:rsidRPr="00B95412" w:rsidP="001B6497" w14:paraId="325238D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p w:rsidR="005071CE" w:rsidRPr="00B95412" w:rsidP="001B6497" w14:paraId="175B6E2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p w:rsidR="005071CE" w:rsidRPr="00B95412" w:rsidP="001B6497" w14:paraId="299D335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Case No. 23-23-EL-SSO</w:t>
                  </w:r>
                </w:p>
                <w:p w:rsidR="005071CE" w:rsidRPr="00B95412" w:rsidP="001B6497" w14:paraId="0EC78FC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p w:rsidR="005071CE" w:rsidRPr="00B95412" w:rsidP="001B6497" w14:paraId="18E2E8A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r>
          </w:tbl>
          <w:p w:rsidR="005071CE" w:rsidRPr="00B95412" w:rsidP="001B6497" w14:paraId="69A564C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bl>
            <w:tblPr>
              <w:tblW w:w="8748" w:type="dxa"/>
              <w:tblLook w:val="01E0"/>
            </w:tblPr>
            <w:tblGrid>
              <w:gridCol w:w="4397"/>
              <w:gridCol w:w="386"/>
              <w:gridCol w:w="3965"/>
            </w:tblGrid>
            <w:tr w14:paraId="256501B8" w14:textId="77777777" w:rsidTr="001B6497">
              <w:tblPrEx>
                <w:tblW w:w="8748" w:type="dxa"/>
                <w:tblLook w:val="01E0"/>
              </w:tblPrEx>
              <w:trPr>
                <w:trHeight w:val="807"/>
              </w:trPr>
              <w:tc>
                <w:tcPr>
                  <w:tcW w:w="4410" w:type="dxa"/>
                  <w:shd w:val="clear" w:color="auto" w:fill="auto"/>
                </w:tcPr>
                <w:p w:rsidR="005071CE" w:rsidRPr="00B95412" w:rsidP="001B6497" w14:paraId="0919098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In the Matter of the Application of Ohio Power Company for Approval of Certain Accounting Authority.</w:t>
                  </w:r>
                </w:p>
              </w:tc>
              <w:tc>
                <w:tcPr>
                  <w:tcW w:w="360" w:type="dxa"/>
                  <w:shd w:val="clear" w:color="auto" w:fill="auto"/>
                </w:tcPr>
                <w:p w:rsidR="005071CE" w:rsidRPr="00B95412" w:rsidP="001B6497" w14:paraId="208F5FF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5071CE" w:rsidRPr="00B95412" w:rsidP="001B6497" w14:paraId="3760DA4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5071CE" w:rsidRPr="00B95412" w:rsidP="001B6497" w14:paraId="19A37A7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w:t>
                  </w:r>
                </w:p>
                <w:p w:rsidR="005071CE" w:rsidRPr="00B95412" w:rsidP="001B6497" w14:paraId="2F9DED7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c>
                <w:tcPr>
                  <w:tcW w:w="3978" w:type="dxa"/>
                  <w:shd w:val="clear" w:color="auto" w:fill="auto"/>
                </w:tcPr>
                <w:p w:rsidR="005071CE" w:rsidRPr="00B95412" w:rsidP="001B6497" w14:paraId="58AAC31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p w:rsidR="005071CE" w:rsidRPr="00B95412" w:rsidP="001B6497" w14:paraId="2A0B4EA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r w:rsidRPr="00B95412">
                    <w:rPr>
                      <w:rFonts w:eastAsia="Courier New"/>
                      <w:sz w:val="24"/>
                      <w:szCs w:val="24"/>
                    </w:rPr>
                    <w:t>Case No. 23-24-EL-AAM</w:t>
                  </w:r>
                </w:p>
                <w:p w:rsidR="005071CE" w:rsidRPr="00B95412" w:rsidP="001B6497" w14:paraId="0ED53BD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r>
          </w:tbl>
          <w:p w:rsidR="005071CE" w:rsidRPr="00B95412" w:rsidP="001B6497" w14:paraId="2EFFB12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c>
          <w:tcPr>
            <w:tcW w:w="222" w:type="dxa"/>
            <w:shd w:val="clear" w:color="auto" w:fill="auto"/>
          </w:tcPr>
          <w:p w:rsidR="005071CE" w:rsidRPr="00B95412" w:rsidP="001B6497" w14:paraId="223D1A8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c>
          <w:tcPr>
            <w:tcW w:w="222" w:type="dxa"/>
            <w:shd w:val="clear" w:color="auto" w:fill="auto"/>
          </w:tcPr>
          <w:p w:rsidR="005071CE" w:rsidRPr="00B95412" w:rsidP="001B6497" w14:paraId="1D2FD80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c>
      </w:tr>
    </w:tbl>
    <w:p w:rsidR="005071CE" w:rsidRPr="00B95412" w:rsidP="005071CE" w14:paraId="673A45E8" w14:textId="77777777">
      <w:pPr>
        <w:widowControl/>
        <w:pBdr>
          <w:top w:val="single" w:sz="12" w:space="0" w:color="auto"/>
        </w:pBdr>
        <w:tabs>
          <w:tab w:val="left" w:pos="-720"/>
        </w:tabs>
        <w:suppressAutoHyphens/>
        <w:autoSpaceDE/>
        <w:autoSpaceDN/>
        <w:jc w:val="center"/>
        <w:rPr>
          <w:b/>
          <w:bCs/>
          <w:sz w:val="24"/>
          <w:szCs w:val="24"/>
          <w:lang w:bidi="en-US"/>
        </w:rPr>
      </w:pPr>
    </w:p>
    <w:p w:rsidR="005071CE" w:rsidRPr="00B95412" w:rsidP="005071CE" w14:paraId="4198B99C" w14:textId="01917E9F">
      <w:pPr>
        <w:widowControl/>
        <w:tabs>
          <w:tab w:val="left" w:pos="4770"/>
          <w:tab w:val="left" w:pos="6480"/>
        </w:tabs>
        <w:autoSpaceDE/>
        <w:autoSpaceDN/>
        <w:jc w:val="center"/>
        <w:rPr>
          <w:b/>
          <w:sz w:val="24"/>
          <w:szCs w:val="24"/>
          <w:lang w:bidi="en-US"/>
        </w:rPr>
      </w:pPr>
      <w:r w:rsidRPr="00B95412">
        <w:rPr>
          <w:b/>
          <w:sz w:val="24"/>
          <w:szCs w:val="24"/>
          <w:lang w:bidi="en-US"/>
        </w:rPr>
        <w:t>REPLY BRIEF FOR CONSUMER PROTECTION</w:t>
      </w:r>
    </w:p>
    <w:p w:rsidR="005071CE" w:rsidRPr="00B95412" w:rsidP="005071CE" w14:paraId="1B1577D5" w14:textId="77777777">
      <w:pPr>
        <w:widowControl/>
        <w:tabs>
          <w:tab w:val="left" w:pos="4770"/>
          <w:tab w:val="left" w:pos="6480"/>
        </w:tabs>
        <w:autoSpaceDE/>
        <w:autoSpaceDN/>
        <w:jc w:val="center"/>
        <w:rPr>
          <w:b/>
          <w:sz w:val="24"/>
          <w:szCs w:val="24"/>
          <w:lang w:bidi="en-US"/>
        </w:rPr>
      </w:pPr>
      <w:r w:rsidRPr="00B95412">
        <w:rPr>
          <w:b/>
          <w:sz w:val="24"/>
          <w:szCs w:val="24"/>
          <w:lang w:bidi="en-US"/>
        </w:rPr>
        <w:t>BY</w:t>
      </w:r>
    </w:p>
    <w:p w:rsidR="005071CE" w:rsidRPr="00B95412" w:rsidP="005071CE" w14:paraId="21A2D7E9" w14:textId="77777777">
      <w:pPr>
        <w:widowControl/>
        <w:tabs>
          <w:tab w:val="left" w:pos="4770"/>
          <w:tab w:val="left" w:pos="6480"/>
        </w:tabs>
        <w:autoSpaceDE/>
        <w:autoSpaceDN/>
        <w:jc w:val="center"/>
        <w:rPr>
          <w:b/>
          <w:sz w:val="24"/>
          <w:szCs w:val="24"/>
          <w:lang w:bidi="en-US"/>
        </w:rPr>
      </w:pPr>
      <w:r w:rsidRPr="00B95412">
        <w:rPr>
          <w:b/>
          <w:sz w:val="24"/>
          <w:szCs w:val="24"/>
          <w:lang w:bidi="en-US"/>
        </w:rPr>
        <w:t>OFFICE OF THE OHIO CONSUMERS’ COUNSEL</w:t>
      </w:r>
    </w:p>
    <w:p w:rsidR="005071CE" w:rsidRPr="00B95412" w:rsidP="005071CE" w14:paraId="7F41BB97" w14:textId="77777777">
      <w:pPr>
        <w:widowControl/>
        <w:pBdr>
          <w:bottom w:val="single" w:sz="12" w:space="1" w:color="auto"/>
        </w:pBdr>
        <w:tabs>
          <w:tab w:val="left" w:pos="-720"/>
        </w:tabs>
        <w:suppressAutoHyphens/>
        <w:autoSpaceDE/>
        <w:autoSpaceDN/>
        <w:jc w:val="center"/>
        <w:rPr>
          <w:b/>
          <w:bCs/>
          <w:sz w:val="24"/>
          <w:szCs w:val="24"/>
          <w:lang w:bidi="en-US"/>
        </w:rPr>
      </w:pPr>
    </w:p>
    <w:p w:rsidR="00FF640C" w:rsidRPr="00B95412" w:rsidP="00402C7E" w14:paraId="0A0A637A" w14:textId="77777777">
      <w:pPr>
        <w:pStyle w:val="BodyText"/>
        <w:rPr>
          <w:b/>
        </w:rPr>
      </w:pPr>
    </w:p>
    <w:p w:rsidR="00FF640C" w:rsidRPr="00B95412" w:rsidP="00553361" w14:paraId="799F85C3" w14:textId="06B7ADD4">
      <w:pPr>
        <w:pStyle w:val="Heading1"/>
        <w:numPr>
          <w:ilvl w:val="0"/>
          <w:numId w:val="4"/>
        </w:numPr>
        <w:spacing w:before="61"/>
        <w:ind w:left="720"/>
      </w:pPr>
      <w:bookmarkStart w:id="1" w:name="_TOC_250026"/>
      <w:bookmarkStart w:id="2" w:name="_Toc154128536"/>
      <w:bookmarkEnd w:id="1"/>
      <w:r w:rsidRPr="00B95412">
        <w:t>INTRODUCTION</w:t>
      </w:r>
      <w:bookmarkEnd w:id="2"/>
    </w:p>
    <w:p w:rsidR="00FF640C" w:rsidRPr="00B95412" w:rsidP="009A6CD2" w14:paraId="276BC1D7" w14:textId="15D66145">
      <w:pPr>
        <w:pStyle w:val="BodyText"/>
        <w:spacing w:line="480" w:lineRule="auto"/>
        <w:ind w:firstLine="720"/>
      </w:pPr>
      <w:r w:rsidRPr="00B95412">
        <w:t>T</w:t>
      </w:r>
      <w:r w:rsidRPr="00B95412" w:rsidR="00641C25">
        <w:t xml:space="preserve">he </w:t>
      </w:r>
      <w:r w:rsidRPr="00B95412" w:rsidR="004C0219">
        <w:t>Joint Stipulation and Recommendation (“Settlement”)</w:t>
      </w:r>
      <w:r w:rsidRPr="00B95412" w:rsidR="00CA1CA2">
        <w:t>,</w:t>
      </w:r>
      <w:r>
        <w:rPr>
          <w:rStyle w:val="FootnoteReference"/>
        </w:rPr>
        <w:footnoteReference w:id="2"/>
      </w:r>
      <w:r w:rsidRPr="00B95412" w:rsidR="00641C25">
        <w:t xml:space="preserve"> </w:t>
      </w:r>
      <w:r w:rsidRPr="00B95412" w:rsidR="009D26D8">
        <w:t xml:space="preserve">will increase charges to consumers by </w:t>
      </w:r>
      <w:r w:rsidRPr="00E12974" w:rsidR="005C0EAF">
        <w:t>nearly</w:t>
      </w:r>
      <w:r w:rsidRPr="00B95412" w:rsidR="009D26D8">
        <w:t xml:space="preserve"> </w:t>
      </w:r>
      <w:r w:rsidRPr="00AC3105" w:rsidR="009D26D8">
        <w:rPr>
          <w:b/>
          <w:bCs/>
          <w:i/>
          <w:iCs/>
        </w:rPr>
        <w:t>$1 billion</w:t>
      </w:r>
      <w:r w:rsidRPr="00B95412" w:rsidR="009D26D8">
        <w:rPr>
          <w:i/>
          <w:iCs/>
        </w:rPr>
        <w:t xml:space="preserve"> </w:t>
      </w:r>
      <w:r w:rsidRPr="00B95412" w:rsidR="009D26D8">
        <w:t>throughout the term of AEP’s new electric security plan (“ESP</w:t>
      </w:r>
      <w:r w:rsidRPr="00B95412" w:rsidR="00E7570A">
        <w:t xml:space="preserve"> V</w:t>
      </w:r>
      <w:r w:rsidRPr="00B95412" w:rsidR="009D26D8">
        <w:t>”).</w:t>
      </w:r>
      <w:r>
        <w:rPr>
          <w:rStyle w:val="FootnoteReference"/>
        </w:rPr>
        <w:footnoteReference w:id="3"/>
      </w:r>
      <w:r w:rsidRPr="00B95412" w:rsidR="009D26D8">
        <w:t xml:space="preserve"> The Settlement </w:t>
      </w:r>
      <w:r w:rsidRPr="00B95412" w:rsidR="00101BCC">
        <w:t xml:space="preserve">harms </w:t>
      </w:r>
      <w:r w:rsidRPr="00B95412" w:rsidR="00641C25">
        <w:t>c</w:t>
      </w:r>
      <w:r w:rsidRPr="00B95412" w:rsidR="002D0E63">
        <w:t>onsumers</w:t>
      </w:r>
      <w:r w:rsidRPr="00B95412" w:rsidR="00641C25">
        <w:t xml:space="preserve"> and the public interest</w:t>
      </w:r>
      <w:r w:rsidRPr="00B95412" w:rsidR="009D26D8">
        <w:t xml:space="preserve">, and </w:t>
      </w:r>
      <w:r w:rsidRPr="00B95412" w:rsidR="00641C25">
        <w:t xml:space="preserve">violates important regulatory principles and practices. To protect consumers from paying </w:t>
      </w:r>
      <w:r w:rsidRPr="00B95412" w:rsidR="009D26D8">
        <w:t xml:space="preserve">unjust and unreasonable </w:t>
      </w:r>
      <w:r w:rsidRPr="00B95412" w:rsidR="00641C25">
        <w:t>charges</w:t>
      </w:r>
      <w:r w:rsidRPr="00B95412">
        <w:t xml:space="preserve"> that</w:t>
      </w:r>
      <w:r w:rsidRPr="00B95412" w:rsidR="00970DD2">
        <w:t xml:space="preserve"> lin</w:t>
      </w:r>
      <w:r w:rsidRPr="00B95412">
        <w:t>e</w:t>
      </w:r>
      <w:r w:rsidRPr="00B95412" w:rsidR="00970DD2">
        <w:t xml:space="preserve"> the pockets of </w:t>
      </w:r>
      <w:r w:rsidRPr="00B95412" w:rsidR="009D26D8">
        <w:t xml:space="preserve">AEP’s </w:t>
      </w:r>
      <w:r w:rsidRPr="00B95412" w:rsidR="00970DD2">
        <w:t>shareholders</w:t>
      </w:r>
      <w:r w:rsidRPr="00B95412" w:rsidR="002D0E63">
        <w:t>,</w:t>
      </w:r>
      <w:r w:rsidRPr="00B95412" w:rsidR="00970DD2">
        <w:t xml:space="preserve"> th</w:t>
      </w:r>
      <w:r w:rsidRPr="00B95412" w:rsidR="00D05E56">
        <w:t>e</w:t>
      </w:r>
      <w:r w:rsidRPr="00B95412" w:rsidR="00970DD2">
        <w:t xml:space="preserve"> Settlement</w:t>
      </w:r>
      <w:r w:rsidRPr="00B95412" w:rsidR="00641C25">
        <w:t xml:space="preserve"> should be rejected.</w:t>
      </w:r>
    </w:p>
    <w:p w:rsidR="00846260" w:rsidP="004C4F9C" w14:paraId="1522C19C" w14:textId="06E32F36">
      <w:pPr>
        <w:pStyle w:val="BodyText"/>
        <w:spacing w:line="480" w:lineRule="auto"/>
        <w:ind w:firstLine="720"/>
      </w:pPr>
      <w:r w:rsidRPr="00B95412">
        <w:t>AEP claims that the Settlement is necessary to ensure reliability for consumers.</w:t>
      </w:r>
      <w:r w:rsidRPr="00B95412" w:rsidR="00B57F0C">
        <w:t xml:space="preserve"> </w:t>
      </w:r>
      <w:r w:rsidRPr="00B95412" w:rsidR="00D05E56">
        <w:t>But</w:t>
      </w:r>
      <w:r w:rsidRPr="00B95412" w:rsidR="004158E6">
        <w:t xml:space="preserve"> </w:t>
      </w:r>
      <w:r w:rsidRPr="00B95412">
        <w:t xml:space="preserve">neither </w:t>
      </w:r>
      <w:r w:rsidRPr="00B95412" w:rsidR="00D05E56">
        <w:t xml:space="preserve">AEP </w:t>
      </w:r>
      <w:r w:rsidRPr="00B95412">
        <w:t>nor</w:t>
      </w:r>
      <w:r w:rsidR="00AC3105">
        <w:t xml:space="preserve"> </w:t>
      </w:r>
      <w:r w:rsidRPr="00B95412" w:rsidR="004158E6">
        <w:t xml:space="preserve">any </w:t>
      </w:r>
      <w:r w:rsidRPr="00B95412" w:rsidR="00D05E56">
        <w:t>other party</w:t>
      </w:r>
      <w:r w:rsidRPr="00B95412">
        <w:t xml:space="preserve"> can</w:t>
      </w:r>
      <w:r w:rsidRPr="00B95412" w:rsidR="004158E6">
        <w:t xml:space="preserve"> identify why reliability </w:t>
      </w:r>
      <w:r w:rsidRPr="00B95412">
        <w:t xml:space="preserve">warrants </w:t>
      </w:r>
      <w:r w:rsidRPr="00B95412" w:rsidR="004158E6">
        <w:t>the S</w:t>
      </w:r>
      <w:r w:rsidRPr="00B95412" w:rsidR="0035349C">
        <w:t>ettlement</w:t>
      </w:r>
      <w:r w:rsidRPr="00B95412" w:rsidR="004158E6">
        <w:t>’s excessive increases</w:t>
      </w:r>
      <w:r w:rsidR="00AC3105">
        <w:t xml:space="preserve"> </w:t>
      </w:r>
      <w:r w:rsidRPr="00B95412">
        <w:t>in charges to</w:t>
      </w:r>
      <w:r w:rsidRPr="00B95412" w:rsidR="00D05E56">
        <w:t xml:space="preserve"> consumer</w:t>
      </w:r>
      <w:r w:rsidRPr="00B95412">
        <w:t>s</w:t>
      </w:r>
      <w:r w:rsidRPr="00B95412" w:rsidR="004158E6">
        <w:t>.</w:t>
      </w:r>
      <w:r w:rsidRPr="00B95412" w:rsidR="00B57F0C">
        <w:t xml:space="preserve"> </w:t>
      </w:r>
    </w:p>
    <w:p w:rsidR="00846260" w14:paraId="5496D480" w14:textId="77777777">
      <w:pPr>
        <w:rPr>
          <w:sz w:val="24"/>
          <w:szCs w:val="24"/>
        </w:rPr>
      </w:pPr>
      <w:r>
        <w:br w:type="page"/>
      </w:r>
    </w:p>
    <w:p w:rsidR="004158E6" w:rsidRPr="00B95412" w:rsidP="004C4F9C" w14:paraId="3592FDF1" w14:textId="2414DD2F">
      <w:pPr>
        <w:pStyle w:val="BodyText"/>
        <w:spacing w:line="480" w:lineRule="auto"/>
        <w:ind w:firstLine="720"/>
      </w:pPr>
      <w:r w:rsidRPr="00B95412">
        <w:t xml:space="preserve">AEP repeatedly states that </w:t>
      </w:r>
      <w:r w:rsidRPr="00B95412" w:rsidR="00123CF5">
        <w:t xml:space="preserve">the </w:t>
      </w:r>
      <w:r w:rsidRPr="00B95412" w:rsidR="00053366">
        <w:t>Settlement’s provisions for</w:t>
      </w:r>
      <w:r w:rsidRPr="00B95412" w:rsidR="001B133B">
        <w:t xml:space="preserve"> increase</w:t>
      </w:r>
      <w:r w:rsidRPr="00B95412" w:rsidR="00123CF5">
        <w:t>d</w:t>
      </w:r>
      <w:r w:rsidRPr="00B95412" w:rsidR="001B133B">
        <w:t xml:space="preserve"> spending on</w:t>
      </w:r>
      <w:r w:rsidRPr="00B95412" w:rsidR="00053366">
        <w:t xml:space="preserve"> </w:t>
      </w:r>
      <w:r w:rsidRPr="00B95412">
        <w:t>vegetation management, grid maintenance, and reductions in peak capacity usage directly benefit consumers by increasing reliability</w:t>
      </w:r>
      <w:r w:rsidRPr="00B95412" w:rsidR="0035349C">
        <w:t>.</w:t>
      </w:r>
      <w:r w:rsidRPr="00B95412" w:rsidR="00B57F0C">
        <w:t xml:space="preserve"> </w:t>
      </w:r>
      <w:r w:rsidRPr="00B95412" w:rsidR="0035349C">
        <w:t xml:space="preserve">However, </w:t>
      </w:r>
      <w:r w:rsidRPr="00B95412" w:rsidR="000B7DC7">
        <w:t xml:space="preserve">by </w:t>
      </w:r>
      <w:r w:rsidRPr="00B95412">
        <w:t>AEP</w:t>
      </w:r>
      <w:r w:rsidRPr="00B95412" w:rsidR="000B7DC7">
        <w:t>’s own account,</w:t>
      </w:r>
      <w:r w:rsidR="00AC3105">
        <w:t xml:space="preserve"> </w:t>
      </w:r>
      <w:r w:rsidRPr="00B95412">
        <w:t>it has met or exceeded all its reliability metrics for the last three years</w:t>
      </w:r>
      <w:r>
        <w:rPr>
          <w:rStyle w:val="FootnoteReference"/>
        </w:rPr>
        <w:footnoteReference w:id="4"/>
      </w:r>
      <w:r w:rsidRPr="00B95412">
        <w:t xml:space="preserve"> while</w:t>
      </w:r>
      <w:r w:rsidR="00AC3105">
        <w:t xml:space="preserve"> </w:t>
      </w:r>
      <w:r w:rsidRPr="00B95412">
        <w:t>ESP IV recovery cap rates were in effect</w:t>
      </w:r>
      <w:r w:rsidRPr="00B95412" w:rsidR="001B133B">
        <w:t>, and</w:t>
      </w:r>
      <w:r w:rsidR="00AC3105">
        <w:t xml:space="preserve"> </w:t>
      </w:r>
      <w:r w:rsidRPr="00B95412" w:rsidR="00D05E56">
        <w:t xml:space="preserve">consumers </w:t>
      </w:r>
      <w:r w:rsidRPr="00B95412" w:rsidR="000B7DC7">
        <w:t>were</w:t>
      </w:r>
      <w:r w:rsidRPr="00B95412" w:rsidR="001B133B">
        <w:t xml:space="preserve"> satisfied with</w:t>
      </w:r>
      <w:r w:rsidR="00AC3105">
        <w:t xml:space="preserve"> </w:t>
      </w:r>
      <w:r w:rsidRPr="00B95412" w:rsidR="001B133B">
        <w:t>service reliability</w:t>
      </w:r>
      <w:r w:rsidRPr="00B95412">
        <w:t>.</w:t>
      </w:r>
      <w:r>
        <w:rPr>
          <w:rStyle w:val="FootnoteReference"/>
        </w:rPr>
        <w:footnoteReference w:id="5"/>
      </w:r>
      <w:r w:rsidRPr="00B95412" w:rsidR="00B57F0C">
        <w:t xml:space="preserve"> </w:t>
      </w:r>
      <w:r w:rsidRPr="00B95412" w:rsidR="0035349C">
        <w:t>Given that AEP is claiming to already meet the reliability metrics,</w:t>
      </w:r>
      <w:r w:rsidRPr="00B95412" w:rsidR="001B133B">
        <w:t xml:space="preserve"> n</w:t>
      </w:r>
      <w:r w:rsidRPr="00B95412">
        <w:t>ot one of the</w:t>
      </w:r>
      <w:r w:rsidRPr="00B95412" w:rsidR="0035349C">
        <w:t xml:space="preserve"> settling</w:t>
      </w:r>
      <w:r w:rsidRPr="00B95412">
        <w:t xml:space="preserve"> parties, including AEP </w:t>
      </w:r>
      <w:r w:rsidRPr="00B95412" w:rsidR="0035349C">
        <w:t>and</w:t>
      </w:r>
      <w:r w:rsidRPr="00B95412">
        <w:t xml:space="preserve"> </w:t>
      </w:r>
      <w:r w:rsidRPr="00B95412" w:rsidR="001B133B">
        <w:t xml:space="preserve">the </w:t>
      </w:r>
      <w:r w:rsidRPr="00B95412">
        <w:t xml:space="preserve">PUCO </w:t>
      </w:r>
      <w:r w:rsidRPr="00B95412" w:rsidR="001B133B">
        <w:t>S</w:t>
      </w:r>
      <w:r w:rsidRPr="00B95412">
        <w:t xml:space="preserve">taff, has provided any evidence to </w:t>
      </w:r>
      <w:r w:rsidRPr="00B95412" w:rsidR="001B133B">
        <w:t xml:space="preserve">support or </w:t>
      </w:r>
      <w:r w:rsidRPr="00B95412">
        <w:t xml:space="preserve">explain why the Company cannot continue to meet its reliability obligations without </w:t>
      </w:r>
      <w:r w:rsidRPr="00B95412" w:rsidR="001B133B">
        <w:t xml:space="preserve">the Settlement’s </w:t>
      </w:r>
      <w:r w:rsidRPr="00B95412" w:rsidR="0035349C">
        <w:t>enormous</w:t>
      </w:r>
      <w:r w:rsidRPr="00B95412" w:rsidR="001B133B">
        <w:t xml:space="preserve"> </w:t>
      </w:r>
      <w:r w:rsidRPr="00B95412">
        <w:t>increas</w:t>
      </w:r>
      <w:r w:rsidRPr="00B95412" w:rsidR="001B133B">
        <w:t>ed costs</w:t>
      </w:r>
      <w:r w:rsidRPr="00B95412">
        <w:t xml:space="preserve"> </w:t>
      </w:r>
      <w:r w:rsidRPr="00B95412" w:rsidR="00D05E56">
        <w:t>(</w:t>
      </w:r>
      <w:r w:rsidRPr="00B95412">
        <w:t>averag</w:t>
      </w:r>
      <w:r w:rsidRPr="00B95412" w:rsidR="0035349C">
        <w:t>ing</w:t>
      </w:r>
      <w:r w:rsidRPr="00B95412">
        <w:t xml:space="preserve"> </w:t>
      </w:r>
      <w:r w:rsidRPr="00B95412" w:rsidR="00657BFB">
        <w:t xml:space="preserve">more than </w:t>
      </w:r>
      <w:r w:rsidRPr="00B95412">
        <w:t>$200 million dollars annually over the course of the</w:t>
      </w:r>
      <w:r w:rsidRPr="00B95412" w:rsidR="00B57F0C">
        <w:t xml:space="preserve"> </w:t>
      </w:r>
      <w:r w:rsidRPr="00B95412" w:rsidR="00D05E56">
        <w:t>Settlement)</w:t>
      </w:r>
      <w:r w:rsidRPr="00B95412">
        <w:t>.</w:t>
      </w:r>
      <w:r w:rsidR="00AC3105">
        <w:t xml:space="preserve"> </w:t>
      </w:r>
    </w:p>
    <w:p w:rsidR="00C31DF0" w:rsidRPr="00B95412" w:rsidP="00B43305" w14:paraId="1C4F25D9" w14:textId="74560961">
      <w:pPr>
        <w:pStyle w:val="BodyText"/>
        <w:spacing w:line="480" w:lineRule="auto"/>
        <w:ind w:firstLine="720"/>
      </w:pPr>
      <w:r w:rsidRPr="00B95412">
        <w:t>The Settlement over-charge</w:t>
      </w:r>
      <w:r w:rsidRPr="00B95412" w:rsidR="00001326">
        <w:t>s</w:t>
      </w:r>
      <w:r w:rsidRPr="00B95412">
        <w:t xml:space="preserve"> </w:t>
      </w:r>
      <w:r w:rsidRPr="00B95412" w:rsidR="008E3F9F">
        <w:t xml:space="preserve">and </w:t>
      </w:r>
      <w:r w:rsidRPr="00B95412">
        <w:t>under serve</w:t>
      </w:r>
      <w:r w:rsidRPr="00B95412" w:rsidR="00001326">
        <w:t>s</w:t>
      </w:r>
      <w:r w:rsidRPr="00B95412">
        <w:t xml:space="preserve"> the consumers of Ohio.</w:t>
      </w:r>
      <w:r w:rsidRPr="00B95412" w:rsidR="00943AC9">
        <w:t xml:space="preserve"> </w:t>
      </w:r>
      <w:r w:rsidRPr="00B95412" w:rsidR="00D05E56">
        <w:t>It</w:t>
      </w:r>
      <w:r w:rsidRPr="00B95412" w:rsidR="00001326">
        <w:t xml:space="preserve"> allows AEP </w:t>
      </w:r>
      <w:r w:rsidRPr="00B95412">
        <w:t>to</w:t>
      </w:r>
      <w:r w:rsidRPr="00B95412" w:rsidR="008E3F9F">
        <w:t>o much profit – profits that</w:t>
      </w:r>
      <w:r w:rsidRPr="00B95412" w:rsidR="00440F05">
        <w:t xml:space="preserve"> </w:t>
      </w:r>
      <w:r w:rsidRPr="00B95412" w:rsidR="008E3F9F">
        <w:t xml:space="preserve">are </w:t>
      </w:r>
      <w:r w:rsidRPr="00B95412">
        <w:t>well beyond the average of similar utilities</w:t>
      </w:r>
      <w:r w:rsidRPr="00B95412" w:rsidR="008E3F9F">
        <w:t>.</w:t>
      </w:r>
      <w:r w:rsidRPr="00B95412" w:rsidR="00440F05">
        <w:t xml:space="preserve"> </w:t>
      </w:r>
      <w:r w:rsidRPr="00B95412" w:rsidR="00C43D52">
        <w:t xml:space="preserve">It contains </w:t>
      </w:r>
      <w:r w:rsidRPr="00B95412">
        <w:t>inefficient, ineffective, and under</w:t>
      </w:r>
      <w:r w:rsidRPr="00B95412" w:rsidR="001710E3">
        <w:t>-</w:t>
      </w:r>
      <w:r w:rsidRPr="00B95412">
        <w:t xml:space="preserve">funded programs which </w:t>
      </w:r>
      <w:r w:rsidRPr="00B95412" w:rsidR="00C10876">
        <w:t xml:space="preserve">ultimately only </w:t>
      </w:r>
      <w:r w:rsidRPr="00B95412">
        <w:t xml:space="preserve">benefit </w:t>
      </w:r>
      <w:r w:rsidRPr="00B95412" w:rsidR="001710E3">
        <w:t>AEP</w:t>
      </w:r>
      <w:r w:rsidRPr="00B95412">
        <w:t>’s shareholders.</w:t>
      </w:r>
      <w:r w:rsidRPr="00B95412" w:rsidR="00C10876">
        <w:t xml:space="preserve"> </w:t>
      </w:r>
      <w:r w:rsidRPr="00B95412" w:rsidR="00C47B32">
        <w:t>T</w:t>
      </w:r>
      <w:r w:rsidRPr="00B95412">
        <w:t>he Settlement should be rejected.</w:t>
      </w:r>
    </w:p>
    <w:p w:rsidR="00FF640C" w:rsidRPr="00B95412" w14:paraId="488A94F5" w14:textId="77777777">
      <w:pPr>
        <w:pStyle w:val="BodyText"/>
        <w:spacing w:before="5"/>
      </w:pPr>
    </w:p>
    <w:p w:rsidR="00FF640C" w:rsidRPr="00B95412" w:rsidP="003F283C" w14:paraId="4264F96B" w14:textId="7203B526">
      <w:pPr>
        <w:pStyle w:val="Heading1"/>
      </w:pPr>
      <w:bookmarkStart w:id="3" w:name="_TOC_250024"/>
      <w:bookmarkStart w:id="4" w:name="_Toc154128537"/>
      <w:bookmarkEnd w:id="3"/>
      <w:r w:rsidRPr="00B95412">
        <w:t>II.</w:t>
      </w:r>
      <w:r w:rsidRPr="00B95412">
        <w:tab/>
      </w:r>
      <w:r w:rsidRPr="00B95412" w:rsidR="000B7DC7">
        <w:t>ARGUMENT</w:t>
      </w:r>
      <w:bookmarkEnd w:id="4"/>
    </w:p>
    <w:p w:rsidR="00212ABE" w:rsidRPr="00B95412" w:rsidP="008B32E7" w14:paraId="6510EC6E" w14:textId="2EADBA5D">
      <w:pPr>
        <w:pStyle w:val="Heading2"/>
      </w:pPr>
      <w:bookmarkStart w:id="5" w:name="_Toc154128538"/>
      <w:r w:rsidRPr="00B95412">
        <w:t>A.</w:t>
      </w:r>
      <w:r w:rsidRPr="00B95412">
        <w:tab/>
      </w:r>
      <w:bookmarkStart w:id="6" w:name="_Hlk153835568"/>
      <w:r w:rsidRPr="00B95412" w:rsidR="004158E6">
        <w:t>The</w:t>
      </w:r>
      <w:r w:rsidRPr="00B95412" w:rsidR="000B7DC7">
        <w:t>re is no justification for the Settlement’s</w:t>
      </w:r>
      <w:r w:rsidRPr="00B95412" w:rsidR="004158E6">
        <w:t xml:space="preserve"> </w:t>
      </w:r>
      <w:r w:rsidRPr="00B95412" w:rsidR="00E46D4A">
        <w:t xml:space="preserve">overwhelming </w:t>
      </w:r>
      <w:r w:rsidRPr="00B95412" w:rsidR="004158E6">
        <w:t xml:space="preserve">additional </w:t>
      </w:r>
      <w:r w:rsidRPr="00B95412" w:rsidR="000B7DC7">
        <w:t>charges to consumers</w:t>
      </w:r>
      <w:r w:rsidRPr="00B95412" w:rsidR="004158E6">
        <w:t xml:space="preserve"> </w:t>
      </w:r>
      <w:r w:rsidRPr="00B95412" w:rsidR="000B7DC7">
        <w:t xml:space="preserve">on top of </w:t>
      </w:r>
      <w:r w:rsidRPr="00B95412" w:rsidR="00E46D4A">
        <w:t>AEP</w:t>
      </w:r>
      <w:r w:rsidRPr="00B95412" w:rsidR="000B7DC7">
        <w:t>’s already high rates</w:t>
      </w:r>
      <w:r w:rsidRPr="00B95412" w:rsidR="004158E6">
        <w:t>.</w:t>
      </w:r>
      <w:bookmarkEnd w:id="5"/>
      <w:bookmarkEnd w:id="6"/>
    </w:p>
    <w:p w:rsidR="0035349C" w:rsidRPr="00B95412" w:rsidP="00E31CFA" w14:paraId="02AC527D" w14:textId="3235DB6D">
      <w:pPr>
        <w:spacing w:line="480" w:lineRule="auto"/>
        <w:ind w:firstLine="720"/>
        <w:rPr>
          <w:sz w:val="24"/>
          <w:szCs w:val="24"/>
        </w:rPr>
      </w:pPr>
      <w:r w:rsidRPr="00B95412">
        <w:rPr>
          <w:sz w:val="24"/>
          <w:szCs w:val="24"/>
        </w:rPr>
        <w:t xml:space="preserve">The Settlement, as proposed by AEP and the other signatory parties, </w:t>
      </w:r>
      <w:r w:rsidRPr="00B95412" w:rsidR="00F17D66">
        <w:rPr>
          <w:sz w:val="24"/>
          <w:szCs w:val="24"/>
        </w:rPr>
        <w:t>significantly and unreasonably increases the costs AEP intends to collect from consumers</w:t>
      </w:r>
      <w:r w:rsidRPr="00B95412" w:rsidR="00B20B5E">
        <w:rPr>
          <w:sz w:val="24"/>
          <w:szCs w:val="24"/>
        </w:rPr>
        <w:t>.</w:t>
      </w:r>
      <w:r w:rsidRPr="00B95412" w:rsidR="00B57F0C">
        <w:rPr>
          <w:sz w:val="24"/>
          <w:szCs w:val="24"/>
        </w:rPr>
        <w:t xml:space="preserve"> </w:t>
      </w:r>
      <w:r w:rsidRPr="00B95412" w:rsidR="0064038C">
        <w:rPr>
          <w:sz w:val="24"/>
          <w:szCs w:val="24"/>
        </w:rPr>
        <w:t>Considering</w:t>
      </w:r>
      <w:r w:rsidRPr="00B95412" w:rsidR="00B20B5E">
        <w:rPr>
          <w:sz w:val="24"/>
          <w:szCs w:val="24"/>
        </w:rPr>
        <w:t xml:space="preserve"> only those charges </w:t>
      </w:r>
      <w:r w:rsidRPr="00B95412" w:rsidR="00101BCC">
        <w:rPr>
          <w:sz w:val="24"/>
          <w:szCs w:val="24"/>
        </w:rPr>
        <w:t xml:space="preserve">that </w:t>
      </w:r>
      <w:r w:rsidRPr="00B95412" w:rsidR="00B20B5E">
        <w:rPr>
          <w:sz w:val="24"/>
          <w:szCs w:val="24"/>
        </w:rPr>
        <w:t xml:space="preserve">have a </w:t>
      </w:r>
      <w:r w:rsidRPr="00B95412" w:rsidR="0064038C">
        <w:rPr>
          <w:sz w:val="24"/>
          <w:szCs w:val="24"/>
        </w:rPr>
        <w:t xml:space="preserve">specific </w:t>
      </w:r>
      <w:r w:rsidRPr="00B95412" w:rsidR="00B20B5E">
        <w:rPr>
          <w:sz w:val="24"/>
          <w:szCs w:val="24"/>
        </w:rPr>
        <w:t xml:space="preserve">dollar value attached to them </w:t>
      </w:r>
      <w:r w:rsidRPr="00B95412" w:rsidR="00B57F0C">
        <w:rPr>
          <w:sz w:val="24"/>
          <w:szCs w:val="24"/>
        </w:rPr>
        <w:t>under the</w:t>
      </w:r>
      <w:r w:rsidRPr="00B95412" w:rsidR="00B20B5E">
        <w:rPr>
          <w:sz w:val="24"/>
          <w:szCs w:val="24"/>
        </w:rPr>
        <w:t xml:space="preserve"> Settlement consumers will be charged a</w:t>
      </w:r>
      <w:r w:rsidRPr="00B95412" w:rsidR="00E46D4A">
        <w:rPr>
          <w:sz w:val="24"/>
          <w:szCs w:val="24"/>
        </w:rPr>
        <w:t xml:space="preserve">n astronomical </w:t>
      </w:r>
      <w:r w:rsidRPr="00B95412" w:rsidR="00B20B5E">
        <w:rPr>
          <w:sz w:val="24"/>
          <w:szCs w:val="24"/>
        </w:rPr>
        <w:t xml:space="preserve">$1.337 </w:t>
      </w:r>
      <w:r w:rsidRPr="00B95412" w:rsidR="00D05E56">
        <w:rPr>
          <w:sz w:val="24"/>
          <w:szCs w:val="24"/>
        </w:rPr>
        <w:t>b</w:t>
      </w:r>
      <w:r w:rsidRPr="00B95412" w:rsidR="00B20B5E">
        <w:rPr>
          <w:sz w:val="24"/>
          <w:szCs w:val="24"/>
        </w:rPr>
        <w:t>illion over the course of ESP V.</w:t>
      </w:r>
      <w:r>
        <w:rPr>
          <w:rStyle w:val="FootnoteReference"/>
          <w:sz w:val="24"/>
          <w:szCs w:val="24"/>
        </w:rPr>
        <w:footnoteReference w:id="6"/>
      </w:r>
      <w:r w:rsidRPr="00B95412" w:rsidR="00B57F0C">
        <w:rPr>
          <w:sz w:val="24"/>
          <w:szCs w:val="24"/>
        </w:rPr>
        <w:t xml:space="preserve"> </w:t>
      </w:r>
      <w:r w:rsidRPr="00B95412" w:rsidR="00B20B5E">
        <w:rPr>
          <w:sz w:val="24"/>
          <w:szCs w:val="24"/>
        </w:rPr>
        <w:t xml:space="preserve">And that number does not include the </w:t>
      </w:r>
      <w:r w:rsidRPr="00B95412" w:rsidR="003243FF">
        <w:rPr>
          <w:sz w:val="24"/>
          <w:szCs w:val="24"/>
        </w:rPr>
        <w:t>Advanced Distribution Management System (“</w:t>
      </w:r>
      <w:r w:rsidRPr="00B95412" w:rsidR="00B20B5E">
        <w:rPr>
          <w:sz w:val="24"/>
          <w:szCs w:val="24"/>
        </w:rPr>
        <w:t>ADMS</w:t>
      </w:r>
      <w:r w:rsidRPr="00B95412" w:rsidR="003243FF">
        <w:rPr>
          <w:sz w:val="24"/>
          <w:szCs w:val="24"/>
        </w:rPr>
        <w:t>”)</w:t>
      </w:r>
      <w:r>
        <w:rPr>
          <w:rStyle w:val="FootnoteReference"/>
          <w:sz w:val="24"/>
          <w:szCs w:val="24"/>
        </w:rPr>
        <w:footnoteReference w:id="7"/>
      </w:r>
      <w:r w:rsidRPr="00B95412" w:rsidR="00B20B5E">
        <w:rPr>
          <w:sz w:val="24"/>
          <w:szCs w:val="24"/>
        </w:rPr>
        <w:t xml:space="preserve"> and heat map charges (which the Settlement authorizes but does not quantify)</w:t>
      </w:r>
      <w:r>
        <w:rPr>
          <w:rStyle w:val="FootnoteReference"/>
          <w:sz w:val="24"/>
          <w:szCs w:val="24"/>
        </w:rPr>
        <w:footnoteReference w:id="8"/>
      </w:r>
      <w:r w:rsidRPr="00B95412" w:rsidR="00B20B5E">
        <w:rPr>
          <w:sz w:val="24"/>
          <w:szCs w:val="24"/>
        </w:rPr>
        <w:t>, the</w:t>
      </w:r>
      <w:r w:rsidRPr="00B95412" w:rsidR="003243FF">
        <w:rPr>
          <w:sz w:val="24"/>
          <w:szCs w:val="24"/>
        </w:rPr>
        <w:t xml:space="preserve"> Customer Information System</w:t>
      </w:r>
      <w:r w:rsidRPr="00B95412" w:rsidR="00B20B5E">
        <w:rPr>
          <w:sz w:val="24"/>
          <w:szCs w:val="24"/>
        </w:rPr>
        <w:t xml:space="preserve"> </w:t>
      </w:r>
      <w:r w:rsidRPr="00B95412" w:rsidR="003243FF">
        <w:rPr>
          <w:sz w:val="24"/>
          <w:szCs w:val="24"/>
        </w:rPr>
        <w:t>(“</w:t>
      </w:r>
      <w:r w:rsidRPr="00B95412" w:rsidR="00B20B5E">
        <w:rPr>
          <w:sz w:val="24"/>
          <w:szCs w:val="24"/>
        </w:rPr>
        <w:t>CIS</w:t>
      </w:r>
      <w:r w:rsidRPr="00B95412" w:rsidR="003243FF">
        <w:rPr>
          <w:sz w:val="24"/>
          <w:szCs w:val="24"/>
        </w:rPr>
        <w:t>”)</w:t>
      </w:r>
      <w:r w:rsidRPr="00B95412" w:rsidR="00B20B5E">
        <w:rPr>
          <w:sz w:val="24"/>
          <w:szCs w:val="24"/>
        </w:rPr>
        <w:t xml:space="preserve"> charges that the Settlement allows AEP to recoup in a later case (plus 5% annual interest)</w:t>
      </w:r>
      <w:r>
        <w:rPr>
          <w:rStyle w:val="FootnoteReference"/>
          <w:sz w:val="24"/>
          <w:szCs w:val="24"/>
        </w:rPr>
        <w:footnoteReference w:id="9"/>
      </w:r>
      <w:r w:rsidRPr="00B95412" w:rsidR="00B20B5E">
        <w:rPr>
          <w:sz w:val="24"/>
          <w:szCs w:val="24"/>
        </w:rPr>
        <w:t>, or the potential for an additional $8-16 million in</w:t>
      </w:r>
      <w:r w:rsidRPr="00B95412" w:rsidR="003243FF">
        <w:rPr>
          <w:sz w:val="24"/>
          <w:szCs w:val="24"/>
        </w:rPr>
        <w:t xml:space="preserve"> Cost In Aid of Construction</w:t>
      </w:r>
      <w:r w:rsidRPr="00B95412" w:rsidR="00B20B5E">
        <w:rPr>
          <w:sz w:val="24"/>
          <w:szCs w:val="24"/>
        </w:rPr>
        <w:t xml:space="preserve"> </w:t>
      </w:r>
      <w:r w:rsidRPr="00B95412" w:rsidR="003243FF">
        <w:rPr>
          <w:sz w:val="24"/>
          <w:szCs w:val="24"/>
        </w:rPr>
        <w:t>(“</w:t>
      </w:r>
      <w:r w:rsidRPr="00B95412" w:rsidR="00B20B5E">
        <w:rPr>
          <w:sz w:val="24"/>
          <w:szCs w:val="24"/>
        </w:rPr>
        <w:t>CIAC</w:t>
      </w:r>
      <w:r w:rsidRPr="00B95412" w:rsidR="003243FF">
        <w:rPr>
          <w:sz w:val="24"/>
          <w:szCs w:val="24"/>
        </w:rPr>
        <w:t>”)</w:t>
      </w:r>
      <w:r w:rsidRPr="00B95412" w:rsidR="00B20B5E">
        <w:rPr>
          <w:sz w:val="24"/>
          <w:szCs w:val="24"/>
        </w:rPr>
        <w:t xml:space="preserve"> expenditures</w:t>
      </w:r>
      <w:r w:rsidRPr="00B95412" w:rsidR="00123CF5">
        <w:rPr>
          <w:sz w:val="24"/>
          <w:szCs w:val="24"/>
        </w:rPr>
        <w:t>.</w:t>
      </w:r>
      <w:r>
        <w:rPr>
          <w:rStyle w:val="FootnoteReference"/>
          <w:sz w:val="24"/>
          <w:szCs w:val="24"/>
        </w:rPr>
        <w:footnoteReference w:id="10"/>
      </w:r>
      <w:r w:rsidRPr="00B95412" w:rsidR="00B57F0C">
        <w:rPr>
          <w:sz w:val="24"/>
          <w:szCs w:val="24"/>
        </w:rPr>
        <w:t xml:space="preserve"> </w:t>
      </w:r>
    </w:p>
    <w:p w:rsidR="009E6763" w:rsidRPr="00B95412" w:rsidP="008B32E7" w14:paraId="15DBB1EF" w14:textId="0E1C4610">
      <w:pPr>
        <w:spacing w:line="480" w:lineRule="auto"/>
        <w:ind w:firstLine="720"/>
        <w:rPr>
          <w:b/>
          <w:bCs/>
          <w:sz w:val="24"/>
          <w:szCs w:val="24"/>
        </w:rPr>
      </w:pPr>
      <w:r w:rsidRPr="00B95412">
        <w:rPr>
          <w:sz w:val="24"/>
          <w:szCs w:val="24"/>
        </w:rPr>
        <w:t xml:space="preserve">During ESP IV, consumers were </w:t>
      </w:r>
      <w:r w:rsidRPr="00B95412" w:rsidR="005E5EAB">
        <w:rPr>
          <w:sz w:val="24"/>
          <w:szCs w:val="24"/>
        </w:rPr>
        <w:t xml:space="preserve">forced to pay </w:t>
      </w:r>
      <w:r w:rsidRPr="00B95412">
        <w:rPr>
          <w:sz w:val="24"/>
          <w:szCs w:val="24"/>
        </w:rPr>
        <w:t xml:space="preserve">Distribution Investment Rider (“DIR”) </w:t>
      </w:r>
      <w:r w:rsidRPr="00B95412" w:rsidR="005E5EAB">
        <w:rPr>
          <w:sz w:val="24"/>
          <w:szCs w:val="24"/>
        </w:rPr>
        <w:t xml:space="preserve">charges </w:t>
      </w:r>
      <w:r w:rsidRPr="00B95412">
        <w:rPr>
          <w:sz w:val="24"/>
          <w:szCs w:val="24"/>
        </w:rPr>
        <w:t>totaling approximately $315 million</w:t>
      </w:r>
      <w:r>
        <w:rPr>
          <w:rStyle w:val="FootnoteReference"/>
          <w:sz w:val="24"/>
          <w:szCs w:val="24"/>
        </w:rPr>
        <w:footnoteReference w:id="11"/>
      </w:r>
      <w:r w:rsidRPr="00B95412">
        <w:rPr>
          <w:sz w:val="24"/>
          <w:szCs w:val="24"/>
        </w:rPr>
        <w:t xml:space="preserve"> and Electric Service Reliability Rider (“ESRR”) </w:t>
      </w:r>
      <w:r w:rsidRPr="00B95412" w:rsidR="005E5EAB">
        <w:rPr>
          <w:sz w:val="24"/>
          <w:szCs w:val="24"/>
        </w:rPr>
        <w:t xml:space="preserve">charges </w:t>
      </w:r>
      <w:r w:rsidRPr="00B95412">
        <w:rPr>
          <w:sz w:val="24"/>
          <w:szCs w:val="24"/>
        </w:rPr>
        <w:t>of approximately $45 million annually</w:t>
      </w:r>
      <w:r w:rsidRPr="00B95412" w:rsidR="000D17D5">
        <w:rPr>
          <w:sz w:val="24"/>
          <w:szCs w:val="24"/>
        </w:rPr>
        <w:t xml:space="preserve"> (or approximately $153.75 million over the course of ESP IV)</w:t>
      </w:r>
      <w:r w:rsidRPr="00B95412" w:rsidR="00D05E56">
        <w:rPr>
          <w:sz w:val="24"/>
          <w:szCs w:val="24"/>
        </w:rPr>
        <w:t>.</w:t>
      </w:r>
      <w:r>
        <w:rPr>
          <w:rStyle w:val="FootnoteReference"/>
          <w:sz w:val="24"/>
          <w:szCs w:val="24"/>
        </w:rPr>
        <w:footnoteReference w:id="12"/>
      </w:r>
      <w:r w:rsidRPr="00B95412" w:rsidR="00B57F0C">
        <w:rPr>
          <w:b/>
          <w:bCs/>
          <w:sz w:val="24"/>
          <w:szCs w:val="24"/>
        </w:rPr>
        <w:t xml:space="preserve"> </w:t>
      </w:r>
      <w:r w:rsidRPr="00B95412" w:rsidR="00D05E56">
        <w:rPr>
          <w:sz w:val="24"/>
          <w:szCs w:val="24"/>
        </w:rPr>
        <w:t>The</w:t>
      </w:r>
      <w:r w:rsidRPr="00B95412" w:rsidR="00697C99">
        <w:rPr>
          <w:sz w:val="24"/>
          <w:szCs w:val="24"/>
        </w:rPr>
        <w:t xml:space="preserve"> additional charges discussed above for ESP V were not in effect.</w:t>
      </w:r>
      <w:r w:rsidRPr="00B95412" w:rsidR="00B57F0C">
        <w:rPr>
          <w:b/>
          <w:bCs/>
          <w:sz w:val="24"/>
          <w:szCs w:val="24"/>
        </w:rPr>
        <w:t xml:space="preserve"> </w:t>
      </w:r>
      <w:r w:rsidRPr="00B95412" w:rsidR="005E5EAB">
        <w:rPr>
          <w:sz w:val="24"/>
          <w:szCs w:val="24"/>
        </w:rPr>
        <w:t>Excluding</w:t>
      </w:r>
      <w:r w:rsidR="00AC3105">
        <w:rPr>
          <w:sz w:val="24"/>
          <w:szCs w:val="24"/>
        </w:rPr>
        <w:t xml:space="preserve"> </w:t>
      </w:r>
      <w:r w:rsidRPr="00B95412" w:rsidR="000D17D5">
        <w:rPr>
          <w:sz w:val="24"/>
          <w:szCs w:val="24"/>
        </w:rPr>
        <w:t xml:space="preserve">unquantified charges </w:t>
      </w:r>
      <w:r w:rsidRPr="00B95412" w:rsidR="005E5EAB">
        <w:rPr>
          <w:sz w:val="24"/>
          <w:szCs w:val="24"/>
        </w:rPr>
        <w:t xml:space="preserve">under </w:t>
      </w:r>
      <w:r w:rsidRPr="00B95412" w:rsidR="000D17D5">
        <w:rPr>
          <w:sz w:val="24"/>
          <w:szCs w:val="24"/>
        </w:rPr>
        <w:t xml:space="preserve">the Settlement, the </w:t>
      </w:r>
      <w:r w:rsidRPr="00B95412" w:rsidR="0047686F">
        <w:rPr>
          <w:sz w:val="24"/>
          <w:szCs w:val="24"/>
        </w:rPr>
        <w:t xml:space="preserve">Settlement </w:t>
      </w:r>
      <w:r w:rsidRPr="00B95412" w:rsidR="005E5EAB">
        <w:rPr>
          <w:sz w:val="24"/>
          <w:szCs w:val="24"/>
        </w:rPr>
        <w:t>if approved would allow AEP</w:t>
      </w:r>
      <w:r w:rsidR="00AC3105">
        <w:rPr>
          <w:sz w:val="24"/>
          <w:szCs w:val="24"/>
        </w:rPr>
        <w:t xml:space="preserve"> </w:t>
      </w:r>
      <w:r w:rsidRPr="00B95412" w:rsidR="005E5EAB">
        <w:rPr>
          <w:sz w:val="24"/>
          <w:szCs w:val="24"/>
        </w:rPr>
        <w:t>to charge consumers</w:t>
      </w:r>
      <w:r w:rsidRPr="00B95412" w:rsidR="0047686F">
        <w:rPr>
          <w:sz w:val="24"/>
          <w:szCs w:val="24"/>
        </w:rPr>
        <w:t xml:space="preserve"> nearly three times</w:t>
      </w:r>
      <w:r w:rsidRPr="00B95412" w:rsidR="005E5EAB">
        <w:rPr>
          <w:sz w:val="24"/>
          <w:szCs w:val="24"/>
        </w:rPr>
        <w:t xml:space="preserve"> more for ESP V than what was</w:t>
      </w:r>
      <w:r w:rsidR="00AC3105">
        <w:rPr>
          <w:sz w:val="24"/>
          <w:szCs w:val="24"/>
        </w:rPr>
        <w:t xml:space="preserve"> </w:t>
      </w:r>
      <w:r w:rsidRPr="00B95412" w:rsidR="0047686F">
        <w:rPr>
          <w:sz w:val="24"/>
          <w:szCs w:val="24"/>
        </w:rPr>
        <w:t xml:space="preserve">approved </w:t>
      </w:r>
      <w:r w:rsidRPr="00B95412" w:rsidR="002B7352">
        <w:rPr>
          <w:sz w:val="24"/>
          <w:szCs w:val="24"/>
        </w:rPr>
        <w:t xml:space="preserve">just two years ago </w:t>
      </w:r>
      <w:r w:rsidRPr="00B95412" w:rsidR="0047686F">
        <w:rPr>
          <w:sz w:val="24"/>
          <w:szCs w:val="24"/>
        </w:rPr>
        <w:t xml:space="preserve">for ESP IV, nearly $1 </w:t>
      </w:r>
      <w:r w:rsidRPr="00B95412" w:rsidR="00D05E56">
        <w:rPr>
          <w:sz w:val="24"/>
          <w:szCs w:val="24"/>
        </w:rPr>
        <w:t>b</w:t>
      </w:r>
      <w:r w:rsidRPr="00B95412" w:rsidR="0047686F">
        <w:rPr>
          <w:sz w:val="24"/>
          <w:szCs w:val="24"/>
        </w:rPr>
        <w:t>illion in additional charges to consumers</w:t>
      </w:r>
      <w:r w:rsidR="003A0806">
        <w:rPr>
          <w:sz w:val="24"/>
          <w:szCs w:val="24"/>
        </w:rPr>
        <w:t xml:space="preserve"> over the ESP IV charges</w:t>
      </w:r>
      <w:r w:rsidRPr="00B95412" w:rsidR="0047686F">
        <w:rPr>
          <w:sz w:val="24"/>
          <w:szCs w:val="24"/>
        </w:rPr>
        <w:t>.</w:t>
      </w:r>
    </w:p>
    <w:p w:rsidR="003F283C" w:rsidRPr="00B95412" w:rsidP="008B32E7" w14:paraId="62061306" w14:textId="126C2ACE">
      <w:pPr>
        <w:spacing w:line="480" w:lineRule="auto"/>
        <w:ind w:firstLine="720"/>
        <w:rPr>
          <w:b/>
          <w:bCs/>
          <w:sz w:val="24"/>
          <w:szCs w:val="24"/>
        </w:rPr>
      </w:pPr>
      <w:r w:rsidRPr="00B95412">
        <w:rPr>
          <w:sz w:val="24"/>
          <w:szCs w:val="24"/>
        </w:rPr>
        <w:t xml:space="preserve">AEP has not produced evidence to show an additional $1 </w:t>
      </w:r>
      <w:r w:rsidRPr="00B95412" w:rsidR="00D05E56">
        <w:rPr>
          <w:sz w:val="24"/>
          <w:szCs w:val="24"/>
        </w:rPr>
        <w:t>b</w:t>
      </w:r>
      <w:r w:rsidRPr="00B95412">
        <w:rPr>
          <w:sz w:val="24"/>
          <w:szCs w:val="24"/>
        </w:rPr>
        <w:t xml:space="preserve">illion dollars in benefits to consumers </w:t>
      </w:r>
      <w:r w:rsidRPr="00B95412" w:rsidR="002B7352">
        <w:rPr>
          <w:sz w:val="24"/>
          <w:szCs w:val="24"/>
        </w:rPr>
        <w:t>from</w:t>
      </w:r>
      <w:r w:rsidRPr="00B95412">
        <w:rPr>
          <w:sz w:val="24"/>
          <w:szCs w:val="24"/>
        </w:rPr>
        <w:t xml:space="preserve"> the Settlement.</w:t>
      </w:r>
      <w:r w:rsidRPr="00B95412" w:rsidR="00B57F0C">
        <w:rPr>
          <w:b/>
          <w:bCs/>
          <w:sz w:val="24"/>
          <w:szCs w:val="24"/>
        </w:rPr>
        <w:t xml:space="preserve"> </w:t>
      </w:r>
      <w:r w:rsidRPr="00B95412">
        <w:rPr>
          <w:sz w:val="24"/>
          <w:szCs w:val="24"/>
        </w:rPr>
        <w:t xml:space="preserve">Even if AEP could promise </w:t>
      </w:r>
      <w:r w:rsidRPr="00B95412" w:rsidR="005E5EAB">
        <w:rPr>
          <w:sz w:val="24"/>
          <w:szCs w:val="24"/>
        </w:rPr>
        <w:t xml:space="preserve">increased </w:t>
      </w:r>
      <w:r w:rsidRPr="00B95412">
        <w:rPr>
          <w:sz w:val="24"/>
          <w:szCs w:val="24"/>
        </w:rPr>
        <w:t xml:space="preserve">reliability of service, along with all the proposed system upgrades, </w:t>
      </w:r>
      <w:r w:rsidRPr="00B95412" w:rsidR="00D05E56">
        <w:rPr>
          <w:sz w:val="24"/>
          <w:szCs w:val="24"/>
        </w:rPr>
        <w:t xml:space="preserve">consumer </w:t>
      </w:r>
      <w:r w:rsidRPr="00B95412">
        <w:rPr>
          <w:sz w:val="24"/>
          <w:szCs w:val="24"/>
        </w:rPr>
        <w:t xml:space="preserve">information systems, and the alleged $22 million of annual low-income consumer benefits, </w:t>
      </w:r>
      <w:r w:rsidRPr="00B95412" w:rsidR="005C0EAF">
        <w:rPr>
          <w:sz w:val="24"/>
          <w:szCs w:val="24"/>
        </w:rPr>
        <w:t>the Settlement would not benefit consumers.</w:t>
      </w:r>
      <w:r w:rsidR="00AC3105">
        <w:rPr>
          <w:sz w:val="24"/>
          <w:szCs w:val="24"/>
        </w:rPr>
        <w:t xml:space="preserve"> </w:t>
      </w:r>
      <w:r w:rsidRPr="00B95412" w:rsidR="00EA518F">
        <w:rPr>
          <w:sz w:val="24"/>
          <w:szCs w:val="24"/>
        </w:rPr>
        <w:t>T</w:t>
      </w:r>
      <w:r w:rsidRPr="00B95412">
        <w:rPr>
          <w:sz w:val="24"/>
          <w:szCs w:val="24"/>
        </w:rPr>
        <w:t>he Settlement fail</w:t>
      </w:r>
      <w:r w:rsidRPr="00B95412" w:rsidR="00EA518F">
        <w:rPr>
          <w:sz w:val="24"/>
          <w:szCs w:val="24"/>
        </w:rPr>
        <w:t>s</w:t>
      </w:r>
      <w:r w:rsidRPr="00B95412">
        <w:rPr>
          <w:sz w:val="24"/>
          <w:szCs w:val="24"/>
        </w:rPr>
        <w:t xml:space="preserve"> to benefit consumers and the public interest</w:t>
      </w:r>
      <w:r w:rsidRPr="00B95412" w:rsidR="00EA518F">
        <w:rPr>
          <w:sz w:val="24"/>
          <w:szCs w:val="24"/>
        </w:rPr>
        <w:t xml:space="preserve"> because the</w:t>
      </w:r>
      <w:r w:rsidRPr="00B95412">
        <w:rPr>
          <w:sz w:val="24"/>
          <w:szCs w:val="24"/>
        </w:rPr>
        <w:t xml:space="preserve"> additional $1 </w:t>
      </w:r>
      <w:r w:rsidRPr="00B95412" w:rsidR="00D05E56">
        <w:rPr>
          <w:sz w:val="24"/>
          <w:szCs w:val="24"/>
        </w:rPr>
        <w:t>b</w:t>
      </w:r>
      <w:r w:rsidRPr="00B95412">
        <w:rPr>
          <w:sz w:val="24"/>
          <w:szCs w:val="24"/>
        </w:rPr>
        <w:t>illion in costs over the course of ESP V</w:t>
      </w:r>
      <w:r w:rsidRPr="00B95412" w:rsidR="00EA518F">
        <w:rPr>
          <w:sz w:val="24"/>
          <w:szCs w:val="24"/>
        </w:rPr>
        <w:t xml:space="preserve"> far exceed the value of services provided to consumers</w:t>
      </w:r>
      <w:r w:rsidRPr="00B95412">
        <w:rPr>
          <w:sz w:val="24"/>
          <w:szCs w:val="24"/>
        </w:rPr>
        <w:t>.</w:t>
      </w:r>
      <w:r w:rsidRPr="00B95412" w:rsidR="00B57F0C">
        <w:rPr>
          <w:b/>
          <w:bCs/>
          <w:sz w:val="24"/>
          <w:szCs w:val="24"/>
        </w:rPr>
        <w:t xml:space="preserve"> </w:t>
      </w:r>
      <w:r w:rsidRPr="00B95412" w:rsidR="00913718">
        <w:rPr>
          <w:sz w:val="24"/>
          <w:szCs w:val="24"/>
        </w:rPr>
        <w:t>A commonsense evaluation of the proposed Settlement clearly shows that it fails to benefit consumers and the public interest.</w:t>
      </w:r>
      <w:r w:rsidRPr="00B95412" w:rsidR="00B57F0C">
        <w:rPr>
          <w:b/>
          <w:bCs/>
          <w:sz w:val="24"/>
          <w:szCs w:val="24"/>
        </w:rPr>
        <w:t xml:space="preserve"> </w:t>
      </w:r>
      <w:r w:rsidRPr="00B95412" w:rsidR="00913718">
        <w:rPr>
          <w:sz w:val="24"/>
          <w:szCs w:val="24"/>
        </w:rPr>
        <w:t xml:space="preserve">Therefore, OCC respectfully requests the </w:t>
      </w:r>
      <w:r w:rsidRPr="00B95412" w:rsidR="00BC5E5C">
        <w:rPr>
          <w:sz w:val="24"/>
          <w:szCs w:val="24"/>
        </w:rPr>
        <w:t>PUCO</w:t>
      </w:r>
      <w:r w:rsidRPr="00B95412" w:rsidR="00913718">
        <w:rPr>
          <w:sz w:val="24"/>
          <w:szCs w:val="24"/>
        </w:rPr>
        <w:t xml:space="preserve"> </w:t>
      </w:r>
      <w:r w:rsidRPr="00B95412" w:rsidR="0085773C">
        <w:rPr>
          <w:sz w:val="24"/>
          <w:szCs w:val="24"/>
        </w:rPr>
        <w:t>reject</w:t>
      </w:r>
      <w:r w:rsidR="00AC3105">
        <w:rPr>
          <w:sz w:val="24"/>
          <w:szCs w:val="24"/>
        </w:rPr>
        <w:t xml:space="preserve"> </w:t>
      </w:r>
      <w:r w:rsidRPr="00B95412" w:rsidR="003876F4">
        <w:rPr>
          <w:sz w:val="24"/>
          <w:szCs w:val="24"/>
        </w:rPr>
        <w:t>the proposed Settlement</w:t>
      </w:r>
      <w:r w:rsidRPr="00B95412" w:rsidR="00913718">
        <w:rPr>
          <w:sz w:val="24"/>
          <w:szCs w:val="24"/>
        </w:rPr>
        <w:t>.</w:t>
      </w:r>
    </w:p>
    <w:p w:rsidR="004158E6" w:rsidRPr="00B95412" w:rsidP="003F283C" w14:paraId="700CF379" w14:textId="61F4220E">
      <w:pPr>
        <w:pStyle w:val="Heading2"/>
      </w:pPr>
      <w:bookmarkStart w:id="7" w:name="_Toc154128539"/>
      <w:r w:rsidRPr="00B95412">
        <w:t xml:space="preserve">B. </w:t>
      </w:r>
      <w:r w:rsidRPr="00B95412">
        <w:tab/>
      </w:r>
      <w:bookmarkStart w:id="8" w:name="_Hlk153835583"/>
      <w:r w:rsidRPr="00B95412">
        <w:t>AEP’s</w:t>
      </w:r>
      <w:r w:rsidRPr="00B95412" w:rsidR="005D50E1">
        <w:t xml:space="preserve"> blanket claims of “reliability” do not justify the unreasonable costs charged to </w:t>
      </w:r>
      <w:r w:rsidRPr="00B95412">
        <w:t>consumers</w:t>
      </w:r>
      <w:r w:rsidRPr="00B95412" w:rsidR="005D50E1">
        <w:t xml:space="preserve"> for ESP V under the settlement.</w:t>
      </w:r>
      <w:bookmarkEnd w:id="8"/>
      <w:r w:rsidRPr="00B95412" w:rsidR="005D50E1">
        <w:t xml:space="preserve"> The PUCO should reject the settlement.</w:t>
      </w:r>
      <w:bookmarkEnd w:id="7"/>
    </w:p>
    <w:p w:rsidR="006441F1" w:rsidP="00E10A43" w14:paraId="43D66802" w14:textId="21847412">
      <w:pPr>
        <w:spacing w:line="480" w:lineRule="auto"/>
        <w:ind w:firstLine="720"/>
        <w:rPr>
          <w:b/>
          <w:bCs/>
          <w:sz w:val="24"/>
          <w:szCs w:val="24"/>
        </w:rPr>
      </w:pPr>
      <w:r w:rsidRPr="00B95412">
        <w:rPr>
          <w:sz w:val="24"/>
          <w:szCs w:val="24"/>
        </w:rPr>
        <w:t xml:space="preserve">In its Initial Brief, AEP cites reliability as the </w:t>
      </w:r>
      <w:r w:rsidRPr="00B95412" w:rsidR="00E754D2">
        <w:rPr>
          <w:sz w:val="24"/>
          <w:szCs w:val="24"/>
        </w:rPr>
        <w:t xml:space="preserve">major </w:t>
      </w:r>
      <w:r w:rsidRPr="00B95412">
        <w:rPr>
          <w:sz w:val="24"/>
          <w:szCs w:val="24"/>
        </w:rPr>
        <w:t>benefit consumers will receive, or the goal of its proposed spending, for nearly every provision of the Settlement.</w:t>
      </w:r>
      <w:r w:rsidRPr="00B95412" w:rsidR="00B57F0C">
        <w:rPr>
          <w:b/>
          <w:bCs/>
          <w:sz w:val="24"/>
          <w:szCs w:val="24"/>
        </w:rPr>
        <w:t xml:space="preserve"> </w:t>
      </w:r>
      <w:r w:rsidRPr="00B95412" w:rsidR="005D50E1">
        <w:rPr>
          <w:sz w:val="24"/>
          <w:szCs w:val="24"/>
        </w:rPr>
        <w:t xml:space="preserve">For example, </w:t>
      </w:r>
      <w:r w:rsidRPr="00B95412">
        <w:rPr>
          <w:sz w:val="24"/>
          <w:szCs w:val="24"/>
        </w:rPr>
        <w:t>AEP claims the drastic increase in DIR spending caps “facilitates the timely replacement of aging infrastructure, improving and maintaining service reliability.”</w:t>
      </w:r>
      <w:r>
        <w:rPr>
          <w:rStyle w:val="FootnoteReference"/>
          <w:sz w:val="24"/>
          <w:szCs w:val="24"/>
        </w:rPr>
        <w:footnoteReference w:id="13"/>
      </w:r>
      <w:r w:rsidRPr="00B95412">
        <w:rPr>
          <w:sz w:val="24"/>
          <w:szCs w:val="24"/>
        </w:rPr>
        <w:t xml:space="preserve"> AEP claims the provisions of the Settlement such as the DIR and ESRR “accelerate reliability improvements when coupled with numerous demand response programs such as the IRP, Smart Thermostat Demand Response program, and EV rate designs that can further help improve reliability.”</w:t>
      </w:r>
      <w:r>
        <w:rPr>
          <w:rStyle w:val="FootnoteReference"/>
          <w:sz w:val="24"/>
          <w:szCs w:val="24"/>
        </w:rPr>
        <w:footnoteReference w:id="14"/>
      </w:r>
      <w:r w:rsidRPr="00B95412" w:rsidR="00B57F0C">
        <w:rPr>
          <w:b/>
          <w:bCs/>
          <w:sz w:val="24"/>
          <w:szCs w:val="24"/>
        </w:rPr>
        <w:t xml:space="preserve"> </w:t>
      </w:r>
    </w:p>
    <w:p w:rsidR="006441F1" w14:paraId="7165A908" w14:textId="77777777">
      <w:pPr>
        <w:rPr>
          <w:b/>
          <w:bCs/>
          <w:sz w:val="24"/>
          <w:szCs w:val="24"/>
        </w:rPr>
      </w:pPr>
      <w:r>
        <w:rPr>
          <w:b/>
          <w:bCs/>
          <w:sz w:val="24"/>
          <w:szCs w:val="24"/>
        </w:rPr>
        <w:br w:type="page"/>
      </w:r>
    </w:p>
    <w:p w:rsidR="007122F6" w:rsidRPr="00B95412" w:rsidP="00E10A43" w14:paraId="5E3E667B" w14:textId="0DE26E49">
      <w:pPr>
        <w:spacing w:line="480" w:lineRule="auto"/>
        <w:ind w:firstLine="720"/>
        <w:rPr>
          <w:b/>
          <w:bCs/>
          <w:sz w:val="24"/>
          <w:szCs w:val="24"/>
        </w:rPr>
      </w:pPr>
      <w:r w:rsidRPr="00B95412">
        <w:rPr>
          <w:sz w:val="24"/>
          <w:szCs w:val="24"/>
        </w:rPr>
        <w:t>Placing</w:t>
      </w:r>
      <w:r w:rsidRPr="00B95412" w:rsidR="00C21058">
        <w:rPr>
          <w:sz w:val="24"/>
          <w:szCs w:val="24"/>
        </w:rPr>
        <w:t xml:space="preserve"> an </w:t>
      </w:r>
      <w:r w:rsidRPr="00B95412" w:rsidR="00E754D2">
        <w:rPr>
          <w:sz w:val="24"/>
          <w:szCs w:val="24"/>
        </w:rPr>
        <w:t xml:space="preserve">emphasis on increasing reliability would make sense if AEP was suffering from a downturn in service reliability, receiving significant </w:t>
      </w:r>
      <w:r w:rsidRPr="00B95412" w:rsidR="00EE0DFE">
        <w:rPr>
          <w:sz w:val="24"/>
          <w:szCs w:val="24"/>
        </w:rPr>
        <w:t xml:space="preserve">consumer </w:t>
      </w:r>
      <w:r w:rsidRPr="00B95412" w:rsidR="00E754D2">
        <w:rPr>
          <w:sz w:val="24"/>
          <w:szCs w:val="24"/>
        </w:rPr>
        <w:t xml:space="preserve">complaints, and seeking dramatic increases in funding to bring its performance up to </w:t>
      </w:r>
      <w:r w:rsidRPr="00B95412" w:rsidR="00C02D45">
        <w:rPr>
          <w:sz w:val="24"/>
          <w:szCs w:val="24"/>
        </w:rPr>
        <w:t>standard</w:t>
      </w:r>
      <w:r w:rsidRPr="00B95412" w:rsidR="00E754D2">
        <w:rPr>
          <w:sz w:val="24"/>
          <w:szCs w:val="24"/>
        </w:rPr>
        <w:t>.</w:t>
      </w:r>
      <w:r w:rsidRPr="00B95412" w:rsidR="00B57F0C">
        <w:rPr>
          <w:b/>
          <w:bCs/>
          <w:sz w:val="24"/>
          <w:szCs w:val="24"/>
        </w:rPr>
        <w:t xml:space="preserve"> </w:t>
      </w:r>
      <w:r w:rsidRPr="00B95412" w:rsidR="00E754D2">
        <w:rPr>
          <w:sz w:val="24"/>
          <w:szCs w:val="24"/>
        </w:rPr>
        <w:t xml:space="preserve">However, throughout </w:t>
      </w:r>
      <w:r w:rsidRPr="00B95412" w:rsidR="00C21058">
        <w:rPr>
          <w:sz w:val="24"/>
          <w:szCs w:val="24"/>
        </w:rPr>
        <w:t>its</w:t>
      </w:r>
      <w:r w:rsidRPr="00B95412" w:rsidR="00E754D2">
        <w:rPr>
          <w:sz w:val="24"/>
          <w:szCs w:val="24"/>
        </w:rPr>
        <w:t xml:space="preserve"> Initial Brief, AEP </w:t>
      </w:r>
      <w:r w:rsidRPr="00B95412" w:rsidR="00C21058">
        <w:rPr>
          <w:sz w:val="24"/>
          <w:szCs w:val="24"/>
        </w:rPr>
        <w:t xml:space="preserve">highlights </w:t>
      </w:r>
      <w:r w:rsidRPr="00B95412" w:rsidR="00E754D2">
        <w:rPr>
          <w:sz w:val="24"/>
          <w:szCs w:val="24"/>
        </w:rPr>
        <w:t>its stellar record of reliability.</w:t>
      </w:r>
      <w:r w:rsidRPr="00B95412" w:rsidR="00B57F0C">
        <w:rPr>
          <w:b/>
          <w:bCs/>
          <w:sz w:val="24"/>
          <w:szCs w:val="24"/>
        </w:rPr>
        <w:t xml:space="preserve"> </w:t>
      </w:r>
      <w:r w:rsidRPr="00B95412" w:rsidR="00E754D2">
        <w:rPr>
          <w:sz w:val="24"/>
          <w:szCs w:val="24"/>
        </w:rPr>
        <w:t xml:space="preserve">AEP repeatedly touts its perfect record of meeting </w:t>
      </w:r>
      <w:r w:rsidRPr="00B95412" w:rsidR="005F3CD8">
        <w:rPr>
          <w:sz w:val="24"/>
          <w:szCs w:val="24"/>
        </w:rPr>
        <w:t>reliability standards for each of the last three years, and even exceeding the required metrics</w:t>
      </w:r>
      <w:r w:rsidRPr="00B95412" w:rsidR="00C02D45">
        <w:rPr>
          <w:sz w:val="24"/>
          <w:szCs w:val="24"/>
        </w:rPr>
        <w:t xml:space="preserve"> in</w:t>
      </w:r>
      <w:r w:rsidRPr="00B95412" w:rsidR="005F3CD8">
        <w:rPr>
          <w:sz w:val="24"/>
          <w:szCs w:val="24"/>
        </w:rPr>
        <w:t xml:space="preserve"> some areas.</w:t>
      </w:r>
      <w:r>
        <w:rPr>
          <w:rStyle w:val="FootnoteReference"/>
          <w:sz w:val="24"/>
          <w:szCs w:val="24"/>
        </w:rPr>
        <w:footnoteReference w:id="15"/>
      </w:r>
      <w:r w:rsidRPr="00B95412" w:rsidR="00B57F0C">
        <w:rPr>
          <w:b/>
          <w:bCs/>
          <w:sz w:val="24"/>
          <w:szCs w:val="24"/>
        </w:rPr>
        <w:t xml:space="preserve"> </w:t>
      </w:r>
      <w:r w:rsidRPr="00B95412" w:rsidR="005F3CD8">
        <w:rPr>
          <w:sz w:val="24"/>
          <w:szCs w:val="24"/>
        </w:rPr>
        <w:t xml:space="preserve">AEP </w:t>
      </w:r>
      <w:r w:rsidRPr="00B95412" w:rsidR="00C21058">
        <w:rPr>
          <w:sz w:val="24"/>
          <w:szCs w:val="24"/>
        </w:rPr>
        <w:t xml:space="preserve">claims that it </w:t>
      </w:r>
      <w:r w:rsidRPr="00B95412" w:rsidR="005F3CD8">
        <w:rPr>
          <w:sz w:val="24"/>
          <w:szCs w:val="24"/>
        </w:rPr>
        <w:t>is “placing sufficient emphasis on reliability and [the Company’s] expectations and customers’ expectations are sufficiently aligned as to reliability.”</w:t>
      </w:r>
      <w:r>
        <w:rPr>
          <w:rStyle w:val="FootnoteReference"/>
          <w:sz w:val="24"/>
          <w:szCs w:val="24"/>
        </w:rPr>
        <w:footnoteReference w:id="16"/>
      </w:r>
      <w:r w:rsidRPr="00B95412" w:rsidR="00B57F0C">
        <w:rPr>
          <w:b/>
          <w:bCs/>
          <w:sz w:val="24"/>
          <w:szCs w:val="24"/>
        </w:rPr>
        <w:t xml:space="preserve"> </w:t>
      </w:r>
      <w:r w:rsidRPr="00B95412" w:rsidR="005F3CD8">
        <w:rPr>
          <w:sz w:val="24"/>
          <w:szCs w:val="24"/>
        </w:rPr>
        <w:t xml:space="preserve">The Company provides additional support for these claims by citing to multiple </w:t>
      </w:r>
      <w:r w:rsidRPr="00B95412" w:rsidR="00EE0DFE">
        <w:rPr>
          <w:sz w:val="24"/>
          <w:szCs w:val="24"/>
        </w:rPr>
        <w:t xml:space="preserve">consumer </w:t>
      </w:r>
      <w:r w:rsidRPr="00B95412" w:rsidR="005F3CD8">
        <w:rPr>
          <w:sz w:val="24"/>
          <w:szCs w:val="24"/>
        </w:rPr>
        <w:t xml:space="preserve">surveys that </w:t>
      </w:r>
      <w:r w:rsidRPr="00B95412" w:rsidR="00C21058">
        <w:rPr>
          <w:sz w:val="24"/>
          <w:szCs w:val="24"/>
        </w:rPr>
        <w:t xml:space="preserve">show </w:t>
      </w:r>
      <w:r w:rsidRPr="00B95412" w:rsidR="00EE0DFE">
        <w:rPr>
          <w:sz w:val="24"/>
          <w:szCs w:val="24"/>
        </w:rPr>
        <w:t xml:space="preserve">consumers </w:t>
      </w:r>
      <w:r w:rsidRPr="00B95412" w:rsidR="005F3CD8">
        <w:rPr>
          <w:sz w:val="24"/>
          <w:szCs w:val="24"/>
        </w:rPr>
        <w:t>are satisfied with the reliability of their</w:t>
      </w:r>
      <w:r w:rsidRPr="00B95412" w:rsidR="00C21058">
        <w:rPr>
          <w:sz w:val="24"/>
          <w:szCs w:val="24"/>
        </w:rPr>
        <w:t xml:space="preserve"> AEP</w:t>
      </w:r>
      <w:r w:rsidRPr="00B95412" w:rsidR="005F3CD8">
        <w:rPr>
          <w:sz w:val="24"/>
          <w:szCs w:val="24"/>
        </w:rPr>
        <w:t xml:space="preserve"> service.</w:t>
      </w:r>
      <w:r>
        <w:rPr>
          <w:rStyle w:val="FootnoteReference"/>
          <w:sz w:val="24"/>
          <w:szCs w:val="24"/>
        </w:rPr>
        <w:footnoteReference w:id="17"/>
      </w:r>
    </w:p>
    <w:p w:rsidR="006441F1" w:rsidP="00A73B77" w14:paraId="43F52E14" w14:textId="5D91DEF0">
      <w:pPr>
        <w:pStyle w:val="Heading2"/>
        <w:spacing w:after="0" w:line="480" w:lineRule="auto"/>
        <w:ind w:left="0" w:firstLine="720"/>
        <w:rPr>
          <w:b w:val="0"/>
          <w:bCs w:val="0"/>
        </w:rPr>
      </w:pPr>
      <w:bookmarkStart w:id="9" w:name="_Toc153984422"/>
      <w:bookmarkStart w:id="10" w:name="_Toc154128540"/>
      <w:r w:rsidRPr="00B95412">
        <w:rPr>
          <w:b w:val="0"/>
          <w:bCs w:val="0"/>
        </w:rPr>
        <w:t>Given AEP’s claims of service reliability and customer satisfaction, there is no</w:t>
      </w:r>
      <w:r w:rsidRPr="00B95412" w:rsidR="007122F6">
        <w:rPr>
          <w:b w:val="0"/>
          <w:bCs w:val="0"/>
        </w:rPr>
        <w:t xml:space="preserve"> justif</w:t>
      </w:r>
      <w:r w:rsidRPr="00B95412">
        <w:rPr>
          <w:b w:val="0"/>
          <w:bCs w:val="0"/>
        </w:rPr>
        <w:t>ication</w:t>
      </w:r>
      <w:r w:rsidRPr="00B95412" w:rsidR="007122F6">
        <w:rPr>
          <w:b w:val="0"/>
          <w:bCs w:val="0"/>
        </w:rPr>
        <w:t xml:space="preserve"> </w:t>
      </w:r>
      <w:r w:rsidRPr="00B95412">
        <w:rPr>
          <w:b w:val="0"/>
          <w:bCs w:val="0"/>
        </w:rPr>
        <w:t xml:space="preserve">for </w:t>
      </w:r>
      <w:r w:rsidRPr="00B95412" w:rsidR="007122F6">
        <w:rPr>
          <w:b w:val="0"/>
          <w:bCs w:val="0"/>
        </w:rPr>
        <w:t>the Settlement’s excessive increases in consumer charges</w:t>
      </w:r>
      <w:r w:rsidRPr="00B95412">
        <w:rPr>
          <w:b w:val="0"/>
          <w:bCs w:val="0"/>
        </w:rPr>
        <w:t>.</w:t>
      </w:r>
      <w:r w:rsidRPr="00B95412" w:rsidR="00B12605">
        <w:rPr>
          <w:b w:val="0"/>
          <w:bCs w:val="0"/>
        </w:rPr>
        <w:t xml:space="preserve"> AEP </w:t>
      </w:r>
      <w:r w:rsidRPr="00B95412">
        <w:rPr>
          <w:b w:val="0"/>
          <w:bCs w:val="0"/>
        </w:rPr>
        <w:t>has been</w:t>
      </w:r>
      <w:r w:rsidR="00AC3105">
        <w:rPr>
          <w:b w:val="0"/>
          <w:bCs w:val="0"/>
        </w:rPr>
        <w:t xml:space="preserve"> </w:t>
      </w:r>
      <w:r w:rsidRPr="00B95412" w:rsidR="00B12605">
        <w:rPr>
          <w:b w:val="0"/>
          <w:bCs w:val="0"/>
        </w:rPr>
        <w:t>able to</w:t>
      </w:r>
      <w:r w:rsidRPr="00B95412" w:rsidR="007122F6">
        <w:rPr>
          <w:b w:val="0"/>
          <w:bCs w:val="0"/>
        </w:rPr>
        <w:t xml:space="preserve"> me</w:t>
      </w:r>
      <w:r w:rsidRPr="00B95412" w:rsidR="00B12605">
        <w:rPr>
          <w:b w:val="0"/>
          <w:bCs w:val="0"/>
        </w:rPr>
        <w:t>e</w:t>
      </w:r>
      <w:r w:rsidRPr="00B95412" w:rsidR="007122F6">
        <w:rPr>
          <w:b w:val="0"/>
          <w:bCs w:val="0"/>
        </w:rPr>
        <w:t xml:space="preserve">t or exceed </w:t>
      </w:r>
      <w:r w:rsidRPr="00B95412">
        <w:rPr>
          <w:b w:val="0"/>
          <w:bCs w:val="0"/>
        </w:rPr>
        <w:t>its</w:t>
      </w:r>
      <w:r w:rsidRPr="00B95412" w:rsidR="007122F6">
        <w:rPr>
          <w:b w:val="0"/>
          <w:bCs w:val="0"/>
        </w:rPr>
        <w:t xml:space="preserve"> reliability standards for the last three years, and </w:t>
      </w:r>
      <w:r w:rsidRPr="00B95412">
        <w:rPr>
          <w:b w:val="0"/>
          <w:bCs w:val="0"/>
        </w:rPr>
        <w:t xml:space="preserve">receive favorable </w:t>
      </w:r>
      <w:r w:rsidRPr="00B95412" w:rsidR="007122F6">
        <w:rPr>
          <w:b w:val="0"/>
          <w:bCs w:val="0"/>
        </w:rPr>
        <w:t xml:space="preserve">reviews from </w:t>
      </w:r>
      <w:r w:rsidRPr="00B95412" w:rsidR="00EE0DFE">
        <w:rPr>
          <w:b w:val="0"/>
          <w:bCs w:val="0"/>
        </w:rPr>
        <w:t>its consumers</w:t>
      </w:r>
      <w:r w:rsidRPr="00B95412">
        <w:rPr>
          <w:b w:val="0"/>
          <w:bCs w:val="0"/>
        </w:rPr>
        <w:t>.</w:t>
      </w:r>
      <w:r w:rsidRPr="00B95412" w:rsidR="007122F6">
        <w:rPr>
          <w:b w:val="0"/>
          <w:bCs w:val="0"/>
        </w:rPr>
        <w:t xml:space="preserve"> </w:t>
      </w:r>
      <w:r w:rsidRPr="00B95412">
        <w:rPr>
          <w:b w:val="0"/>
          <w:bCs w:val="0"/>
        </w:rPr>
        <w:t xml:space="preserve">Thus, </w:t>
      </w:r>
      <w:r w:rsidRPr="00B95412" w:rsidR="00B12605">
        <w:rPr>
          <w:b w:val="0"/>
          <w:bCs w:val="0"/>
        </w:rPr>
        <w:t xml:space="preserve">the funding levels </w:t>
      </w:r>
      <w:r w:rsidRPr="00B95412">
        <w:rPr>
          <w:b w:val="0"/>
          <w:bCs w:val="0"/>
        </w:rPr>
        <w:t>under</w:t>
      </w:r>
      <w:r w:rsidRPr="00B95412" w:rsidR="00B12605">
        <w:rPr>
          <w:b w:val="0"/>
          <w:bCs w:val="0"/>
        </w:rPr>
        <w:t xml:space="preserve"> ESP IV have been sufficient to meet </w:t>
      </w:r>
      <w:r w:rsidR="004D73C1">
        <w:rPr>
          <w:b w:val="0"/>
          <w:bCs w:val="0"/>
        </w:rPr>
        <w:t>AEP</w:t>
      </w:r>
      <w:r w:rsidRPr="00B95412" w:rsidR="00B12605">
        <w:rPr>
          <w:b w:val="0"/>
          <w:bCs w:val="0"/>
        </w:rPr>
        <w:t>’s obligations.</w:t>
      </w:r>
      <w:r w:rsidR="00AC3105">
        <w:rPr>
          <w:b w:val="0"/>
          <w:bCs w:val="0"/>
        </w:rPr>
        <w:t xml:space="preserve"> </w:t>
      </w:r>
      <w:r w:rsidRPr="00B95412" w:rsidR="00B12605">
        <w:rPr>
          <w:b w:val="0"/>
          <w:bCs w:val="0"/>
        </w:rPr>
        <w:t>In addition, AEP is delivering consistent, strong financial performance, having consistently hit the high end of its earnings per share guidance (or even exceeded the guidance range) over the last 10 years.</w:t>
      </w:r>
      <w:r>
        <w:rPr>
          <w:b w:val="0"/>
          <w:bCs w:val="0"/>
          <w:vertAlign w:val="superscript"/>
        </w:rPr>
        <w:footnoteReference w:id="18"/>
      </w:r>
      <w:r w:rsidRPr="00B95412" w:rsidR="00B57F0C">
        <w:rPr>
          <w:b w:val="0"/>
          <w:bCs w:val="0"/>
        </w:rPr>
        <w:t xml:space="preserve"> </w:t>
      </w:r>
      <w:r w:rsidRPr="00B95412" w:rsidR="00B12605">
        <w:rPr>
          <w:b w:val="0"/>
          <w:bCs w:val="0"/>
        </w:rPr>
        <w:t>So, it</w:t>
      </w:r>
      <w:r w:rsidRPr="00B95412">
        <w:rPr>
          <w:b w:val="0"/>
          <w:bCs w:val="0"/>
        </w:rPr>
        <w:t xml:space="preserve"> is</w:t>
      </w:r>
      <w:r w:rsidRPr="00B95412" w:rsidR="00B12605">
        <w:rPr>
          <w:b w:val="0"/>
          <w:bCs w:val="0"/>
        </w:rPr>
        <w:t xml:space="preserve"> clear that </w:t>
      </w:r>
      <w:r w:rsidRPr="00B95412" w:rsidR="00AD68D9">
        <w:rPr>
          <w:b w:val="0"/>
          <w:bCs w:val="0"/>
        </w:rPr>
        <w:t>AEP</w:t>
      </w:r>
      <w:r w:rsidRPr="00B95412" w:rsidR="00B12605">
        <w:rPr>
          <w:b w:val="0"/>
          <w:bCs w:val="0"/>
        </w:rPr>
        <w:t xml:space="preserve"> is not achieving the </w:t>
      </w:r>
      <w:r w:rsidRPr="00B95412" w:rsidR="00AD68D9">
        <w:rPr>
          <w:b w:val="0"/>
          <w:bCs w:val="0"/>
        </w:rPr>
        <w:t>alleged</w:t>
      </w:r>
      <w:r w:rsidRPr="00B95412" w:rsidR="00B12605">
        <w:rPr>
          <w:b w:val="0"/>
          <w:bCs w:val="0"/>
        </w:rPr>
        <w:t xml:space="preserve"> high reliability results by forgoing profits in the name of </w:t>
      </w:r>
      <w:r w:rsidRPr="00B95412" w:rsidR="00EE0DFE">
        <w:rPr>
          <w:b w:val="0"/>
          <w:bCs w:val="0"/>
        </w:rPr>
        <w:t xml:space="preserve">consumer </w:t>
      </w:r>
      <w:r w:rsidRPr="00B95412" w:rsidR="00B12605">
        <w:rPr>
          <w:b w:val="0"/>
          <w:bCs w:val="0"/>
        </w:rPr>
        <w:t>satisfaction.</w:t>
      </w:r>
      <w:bookmarkEnd w:id="9"/>
      <w:bookmarkEnd w:id="10"/>
    </w:p>
    <w:p w:rsidR="006441F1" w14:paraId="695DE2BA" w14:textId="77777777">
      <w:pPr>
        <w:rPr>
          <w:sz w:val="24"/>
          <w:szCs w:val="24"/>
        </w:rPr>
      </w:pPr>
      <w:r>
        <w:rPr>
          <w:b/>
          <w:bCs/>
        </w:rPr>
        <w:br w:type="page"/>
      </w:r>
    </w:p>
    <w:p w:rsidR="004158E6" w:rsidRPr="00B95412" w:rsidP="00E10A43" w14:paraId="66F26A67" w14:textId="26F45093">
      <w:pPr>
        <w:spacing w:line="480" w:lineRule="auto"/>
        <w:ind w:firstLine="720"/>
        <w:rPr>
          <w:b/>
          <w:bCs/>
          <w:sz w:val="24"/>
          <w:szCs w:val="24"/>
        </w:rPr>
      </w:pPr>
      <w:r w:rsidRPr="00B95412">
        <w:rPr>
          <w:sz w:val="24"/>
          <w:szCs w:val="24"/>
        </w:rPr>
        <w:t>Even more confounding, a</w:t>
      </w:r>
      <w:r w:rsidRPr="00B95412" w:rsidR="00A73B77">
        <w:rPr>
          <w:sz w:val="24"/>
          <w:szCs w:val="24"/>
        </w:rPr>
        <w:t xml:space="preserve">s OCC witness Williams </w:t>
      </w:r>
      <w:r w:rsidRPr="00B95412" w:rsidR="00B86748">
        <w:rPr>
          <w:sz w:val="24"/>
          <w:szCs w:val="24"/>
        </w:rPr>
        <w:t>testified</w:t>
      </w:r>
      <w:r w:rsidRPr="00B95412" w:rsidR="00EE0DFE">
        <w:rPr>
          <w:sz w:val="24"/>
          <w:szCs w:val="24"/>
        </w:rPr>
        <w:t>,</w:t>
      </w:r>
      <w:r w:rsidRPr="00B95412" w:rsidR="00A73B77">
        <w:rPr>
          <w:sz w:val="24"/>
          <w:szCs w:val="24"/>
        </w:rPr>
        <w:t xml:space="preserve"> AEP </w:t>
      </w:r>
      <w:r w:rsidRPr="00B95412">
        <w:rPr>
          <w:sz w:val="24"/>
          <w:szCs w:val="24"/>
        </w:rPr>
        <w:t xml:space="preserve">has </w:t>
      </w:r>
      <w:r w:rsidRPr="00B95412" w:rsidR="00A73B77">
        <w:rPr>
          <w:sz w:val="24"/>
          <w:szCs w:val="24"/>
        </w:rPr>
        <w:t xml:space="preserve">filed an application proposing to </w:t>
      </w:r>
      <w:r w:rsidRPr="00B95412" w:rsidR="00A73B77">
        <w:rPr>
          <w:b/>
          <w:bCs/>
          <w:i/>
          <w:iCs/>
          <w:sz w:val="24"/>
          <w:szCs w:val="24"/>
        </w:rPr>
        <w:t>weaken</w:t>
      </w:r>
      <w:r w:rsidRPr="00B95412" w:rsidR="00A73B77">
        <w:rPr>
          <w:sz w:val="24"/>
          <w:szCs w:val="24"/>
        </w:rPr>
        <w:t xml:space="preserve"> the current minimum reliability standards </w:t>
      </w:r>
      <w:r w:rsidRPr="00B95412" w:rsidR="00EE0DFE">
        <w:rPr>
          <w:sz w:val="24"/>
          <w:szCs w:val="24"/>
        </w:rPr>
        <w:t>it</w:t>
      </w:r>
      <w:r w:rsidRPr="00B95412" w:rsidR="00A73B77">
        <w:rPr>
          <w:sz w:val="24"/>
          <w:szCs w:val="24"/>
        </w:rPr>
        <w:t xml:space="preserve"> must maintain.</w:t>
      </w:r>
      <w:r>
        <w:rPr>
          <w:sz w:val="24"/>
          <w:szCs w:val="24"/>
          <w:vertAlign w:val="superscript"/>
        </w:rPr>
        <w:footnoteReference w:id="19"/>
      </w:r>
      <w:r w:rsidRPr="00B95412" w:rsidR="00A73B77">
        <w:rPr>
          <w:sz w:val="24"/>
          <w:szCs w:val="24"/>
        </w:rPr>
        <w:t xml:space="preserve"> Currently, AEP is required by the PUCO to maintain a System Average Interruption Frequency Index (“SAIFI”) of 1.2 and a Customer Average Interruption Duration Index (“CAIDI”) of 148 minutes.</w:t>
      </w:r>
      <w:r>
        <w:rPr>
          <w:sz w:val="24"/>
          <w:szCs w:val="24"/>
          <w:vertAlign w:val="superscript"/>
        </w:rPr>
        <w:footnoteReference w:id="20"/>
      </w:r>
      <w:r w:rsidRPr="00B95412" w:rsidR="00A73B77">
        <w:rPr>
          <w:sz w:val="24"/>
          <w:szCs w:val="24"/>
        </w:rPr>
        <w:t xml:space="preserve"> But AEP Ohio has a pending application to modify the reliability standards to a SAIFI of 1.28 and CAIDI of 158.0 minutes.</w:t>
      </w:r>
      <w:r>
        <w:rPr>
          <w:rStyle w:val="FootnoteReference"/>
          <w:sz w:val="24"/>
          <w:szCs w:val="24"/>
        </w:rPr>
        <w:footnoteReference w:id="21"/>
      </w:r>
    </w:p>
    <w:p w:rsidR="00B12605" w:rsidRPr="00B95412" w:rsidP="00E10A43" w14:paraId="0580C3D4" w14:textId="0624A119">
      <w:pPr>
        <w:spacing w:line="480" w:lineRule="auto"/>
        <w:ind w:firstLine="720"/>
        <w:rPr>
          <w:b/>
          <w:bCs/>
          <w:sz w:val="24"/>
          <w:szCs w:val="24"/>
        </w:rPr>
      </w:pPr>
      <w:r w:rsidRPr="00B95412">
        <w:rPr>
          <w:sz w:val="24"/>
          <w:szCs w:val="24"/>
        </w:rPr>
        <w:t>Considering</w:t>
      </w:r>
      <w:r w:rsidRPr="00B95412" w:rsidR="00C21058">
        <w:rPr>
          <w:sz w:val="24"/>
          <w:szCs w:val="24"/>
        </w:rPr>
        <w:t xml:space="preserve"> this evidence</w:t>
      </w:r>
      <w:r w:rsidRPr="00B95412">
        <w:rPr>
          <w:sz w:val="24"/>
          <w:szCs w:val="24"/>
        </w:rPr>
        <w:t>,</w:t>
      </w:r>
      <w:r w:rsidR="00AC3105">
        <w:rPr>
          <w:sz w:val="24"/>
          <w:szCs w:val="24"/>
        </w:rPr>
        <w:t xml:space="preserve"> </w:t>
      </w:r>
      <w:r w:rsidRPr="00B95412" w:rsidR="006E138F">
        <w:rPr>
          <w:sz w:val="24"/>
          <w:szCs w:val="24"/>
        </w:rPr>
        <w:t xml:space="preserve">there is little justification for the </w:t>
      </w:r>
      <w:r w:rsidRPr="00B95412">
        <w:rPr>
          <w:sz w:val="24"/>
          <w:szCs w:val="24"/>
        </w:rPr>
        <w:t>excessive increase</w:t>
      </w:r>
      <w:r w:rsidRPr="00B95412" w:rsidR="006E138F">
        <w:rPr>
          <w:sz w:val="24"/>
          <w:szCs w:val="24"/>
        </w:rPr>
        <w:t>s</w:t>
      </w:r>
      <w:r w:rsidRPr="00B95412">
        <w:rPr>
          <w:sz w:val="24"/>
          <w:szCs w:val="24"/>
        </w:rPr>
        <w:t xml:space="preserve"> in consumer charges</w:t>
      </w:r>
      <w:r w:rsidRPr="00B95412" w:rsidR="006E138F">
        <w:rPr>
          <w:sz w:val="24"/>
          <w:szCs w:val="24"/>
        </w:rPr>
        <w:t xml:space="preserve"> under the Settlement.</w:t>
      </w:r>
      <w:r w:rsidRPr="00B95412" w:rsidR="00B57F0C">
        <w:rPr>
          <w:b/>
          <w:bCs/>
          <w:sz w:val="24"/>
          <w:szCs w:val="24"/>
        </w:rPr>
        <w:t xml:space="preserve"> </w:t>
      </w:r>
      <w:r w:rsidRPr="00B95412" w:rsidR="001863E7">
        <w:rPr>
          <w:sz w:val="24"/>
          <w:szCs w:val="24"/>
        </w:rPr>
        <w:t xml:space="preserve">The </w:t>
      </w:r>
      <w:r w:rsidRPr="00B95412" w:rsidR="00B86748">
        <w:rPr>
          <w:sz w:val="24"/>
          <w:szCs w:val="24"/>
        </w:rPr>
        <w:t>PUCO</w:t>
      </w:r>
      <w:r w:rsidRPr="00B95412" w:rsidR="001863E7">
        <w:rPr>
          <w:sz w:val="24"/>
          <w:szCs w:val="24"/>
        </w:rPr>
        <w:t xml:space="preserve"> </w:t>
      </w:r>
      <w:r w:rsidRPr="00B95412" w:rsidR="006E138F">
        <w:rPr>
          <w:sz w:val="24"/>
          <w:szCs w:val="24"/>
        </w:rPr>
        <w:t xml:space="preserve">should reject the </w:t>
      </w:r>
      <w:r w:rsidRPr="00B95412" w:rsidR="001863E7">
        <w:rPr>
          <w:sz w:val="24"/>
          <w:szCs w:val="24"/>
        </w:rPr>
        <w:t>Settlement.</w:t>
      </w:r>
    </w:p>
    <w:p w:rsidR="00FF640C" w:rsidRPr="00B95412" w:rsidP="00043F1F" w14:paraId="310CC146" w14:textId="69E88C3D">
      <w:pPr>
        <w:pStyle w:val="Heading2"/>
      </w:pPr>
      <w:bookmarkStart w:id="11" w:name="_Toc154128541"/>
      <w:r w:rsidRPr="00B95412">
        <w:t>C</w:t>
      </w:r>
      <w:r w:rsidRPr="00B95412" w:rsidR="00193EA9">
        <w:t>.</w:t>
      </w:r>
      <w:r w:rsidRPr="00B95412" w:rsidR="00193EA9">
        <w:tab/>
      </w:r>
      <w:bookmarkStart w:id="12" w:name="_Hlk153835594"/>
      <w:r w:rsidRPr="00B95412" w:rsidR="003777D9">
        <w:t>The unreasona</w:t>
      </w:r>
      <w:r w:rsidRPr="00B95412" w:rsidR="00397FD5">
        <w:t>ble</w:t>
      </w:r>
      <w:r w:rsidRPr="00B95412" w:rsidR="003777D9">
        <w:t xml:space="preserve"> </w:t>
      </w:r>
      <w:r w:rsidRPr="00B95412" w:rsidR="00072FD1">
        <w:t>Return on Equity</w:t>
      </w:r>
      <w:r w:rsidRPr="00B95412" w:rsidR="003777D9">
        <w:t xml:space="preserve"> </w:t>
      </w:r>
      <w:r w:rsidRPr="00B95412" w:rsidR="006E138F">
        <w:t xml:space="preserve">in the Settlement </w:t>
      </w:r>
      <w:r w:rsidRPr="00B95412" w:rsidR="006E138F">
        <w:rPr>
          <w:rFonts w:eastAsia="WenQuanYi Micro Hei"/>
        </w:rPr>
        <w:t xml:space="preserve">harms </w:t>
      </w:r>
      <w:r w:rsidRPr="00B95412" w:rsidR="003777D9">
        <w:rPr>
          <w:rFonts w:eastAsia="WenQuanYi Micro Hei"/>
        </w:rPr>
        <w:t xml:space="preserve">consumers </w:t>
      </w:r>
      <w:r w:rsidRPr="00B95412" w:rsidR="006E138F">
        <w:rPr>
          <w:rFonts w:eastAsia="WenQuanYi Micro Hei"/>
        </w:rPr>
        <w:t>and</w:t>
      </w:r>
      <w:r w:rsidRPr="00B95412" w:rsidR="003777D9">
        <w:rPr>
          <w:rFonts w:eastAsia="WenQuanYi Micro Hei"/>
        </w:rPr>
        <w:t xml:space="preserve"> the public interest</w:t>
      </w:r>
      <w:r w:rsidRPr="00B95412" w:rsidR="00B83247">
        <w:rPr>
          <w:rFonts w:eastAsia="WenQuanYi Micro Hei"/>
        </w:rPr>
        <w:t>.</w:t>
      </w:r>
      <w:bookmarkEnd w:id="11"/>
      <w:bookmarkEnd w:id="12"/>
    </w:p>
    <w:p w:rsidR="004F5172" w:rsidRPr="00B95412" w:rsidP="00A865C4" w14:paraId="0B53A44F" w14:textId="0215E332">
      <w:pPr>
        <w:widowControl/>
        <w:tabs>
          <w:tab w:val="left" w:pos="720"/>
          <w:tab w:val="left" w:pos="1440"/>
          <w:tab w:val="left" w:leader="dot" w:pos="8640"/>
        </w:tabs>
        <w:autoSpaceDE/>
        <w:autoSpaceDN/>
        <w:spacing w:line="480" w:lineRule="auto"/>
        <w:ind w:firstLine="720"/>
        <w:rPr>
          <w:sz w:val="24"/>
          <w:szCs w:val="24"/>
        </w:rPr>
      </w:pPr>
      <w:r w:rsidRPr="00B95412">
        <w:rPr>
          <w:sz w:val="24"/>
          <w:szCs w:val="24"/>
        </w:rPr>
        <w:t>The Settlement proposes an unreasonably excessive return on equity of 9.71%.</w:t>
      </w:r>
      <w:r w:rsidRPr="00B95412" w:rsidR="00943AC9">
        <w:rPr>
          <w:sz w:val="24"/>
          <w:szCs w:val="24"/>
        </w:rPr>
        <w:t xml:space="preserve"> </w:t>
      </w:r>
      <w:r w:rsidRPr="00B95412">
        <w:rPr>
          <w:sz w:val="24"/>
          <w:szCs w:val="24"/>
        </w:rPr>
        <w:t xml:space="preserve">As set forth </w:t>
      </w:r>
      <w:r w:rsidRPr="00B95412" w:rsidR="004336DA">
        <w:rPr>
          <w:sz w:val="24"/>
          <w:szCs w:val="24"/>
        </w:rPr>
        <w:t>in the</w:t>
      </w:r>
      <w:r w:rsidRPr="00B95412" w:rsidR="00354CB7">
        <w:rPr>
          <w:sz w:val="24"/>
          <w:szCs w:val="24"/>
        </w:rPr>
        <w:t xml:space="preserve"> analysis performed by OCC witness Buckley</w:t>
      </w:r>
      <w:r w:rsidRPr="00B95412">
        <w:rPr>
          <w:sz w:val="24"/>
          <w:szCs w:val="24"/>
        </w:rPr>
        <w:t>, 9.51% is a fair and reasonable return on equity</w:t>
      </w:r>
      <w:r w:rsidRPr="00B95412" w:rsidR="00354CB7">
        <w:rPr>
          <w:sz w:val="24"/>
          <w:szCs w:val="24"/>
        </w:rPr>
        <w:t xml:space="preserve"> for a utility with an average risk profile</w:t>
      </w:r>
      <w:r w:rsidRPr="00B95412">
        <w:rPr>
          <w:sz w:val="24"/>
          <w:szCs w:val="24"/>
        </w:rPr>
        <w:t xml:space="preserve">, </w:t>
      </w:r>
      <w:r w:rsidRPr="00B95412" w:rsidR="00354CB7">
        <w:rPr>
          <w:sz w:val="24"/>
          <w:szCs w:val="24"/>
        </w:rPr>
        <w:t xml:space="preserve">and likely </w:t>
      </w:r>
      <w:r w:rsidRPr="00B95412">
        <w:rPr>
          <w:sz w:val="24"/>
          <w:szCs w:val="24"/>
        </w:rPr>
        <w:t xml:space="preserve">overly generous </w:t>
      </w:r>
      <w:r w:rsidRPr="00B95412" w:rsidR="00354CB7">
        <w:rPr>
          <w:sz w:val="24"/>
          <w:szCs w:val="24"/>
        </w:rPr>
        <w:t xml:space="preserve">for </w:t>
      </w:r>
      <w:r w:rsidRPr="00B95412" w:rsidR="002D3AF3">
        <w:rPr>
          <w:sz w:val="24"/>
          <w:szCs w:val="24"/>
        </w:rPr>
        <w:t xml:space="preserve">an entity with the </w:t>
      </w:r>
      <w:r w:rsidRPr="00B95412" w:rsidR="004336DA">
        <w:rPr>
          <w:sz w:val="24"/>
          <w:szCs w:val="24"/>
        </w:rPr>
        <w:t>lower</w:t>
      </w:r>
      <w:r w:rsidRPr="00B95412" w:rsidR="002D3AF3">
        <w:rPr>
          <w:sz w:val="24"/>
          <w:szCs w:val="24"/>
        </w:rPr>
        <w:t xml:space="preserve"> risk profile of AEP</w:t>
      </w:r>
      <w:r w:rsidRPr="00B95412">
        <w:rPr>
          <w:sz w:val="24"/>
          <w:szCs w:val="24"/>
        </w:rPr>
        <w:t>.</w:t>
      </w:r>
      <w:r>
        <w:rPr>
          <w:rStyle w:val="FootnoteReference"/>
          <w:sz w:val="24"/>
          <w:szCs w:val="24"/>
        </w:rPr>
        <w:footnoteReference w:id="22"/>
      </w:r>
      <w:r w:rsidRPr="00B95412" w:rsidR="00B57F0C">
        <w:rPr>
          <w:sz w:val="24"/>
          <w:szCs w:val="24"/>
        </w:rPr>
        <w:t xml:space="preserve"> </w:t>
      </w:r>
    </w:p>
    <w:p w:rsidR="0091007F" w:rsidRPr="00B95412" w:rsidP="00A865C4" w14:paraId="5596703F" w14:textId="29C7E186">
      <w:pPr>
        <w:widowControl/>
        <w:tabs>
          <w:tab w:val="left" w:pos="720"/>
          <w:tab w:val="left" w:pos="1440"/>
          <w:tab w:val="left" w:leader="dot" w:pos="8640"/>
        </w:tabs>
        <w:autoSpaceDE/>
        <w:autoSpaceDN/>
        <w:spacing w:line="480" w:lineRule="auto"/>
        <w:ind w:firstLine="720"/>
        <w:rPr>
          <w:sz w:val="24"/>
          <w:szCs w:val="24"/>
        </w:rPr>
      </w:pPr>
      <w:r w:rsidRPr="00B95412">
        <w:rPr>
          <w:sz w:val="24"/>
          <w:szCs w:val="24"/>
        </w:rPr>
        <w:t>R.C. 4905.22 requires that every public utility furnish necessary and adequate service and facilities, and that all charges for any service must be just and reasonable. AEP</w:t>
      </w:r>
      <w:r w:rsidRPr="00B95412" w:rsidR="00AE1DCD">
        <w:rPr>
          <w:sz w:val="24"/>
          <w:szCs w:val="24"/>
        </w:rPr>
        <w:t>,</w:t>
      </w:r>
      <w:r w:rsidRPr="00B95412">
        <w:rPr>
          <w:sz w:val="24"/>
          <w:szCs w:val="24"/>
        </w:rPr>
        <w:t xml:space="preserve"> as the applicant</w:t>
      </w:r>
      <w:r w:rsidRPr="00B95412" w:rsidR="00AE1DCD">
        <w:rPr>
          <w:sz w:val="24"/>
          <w:szCs w:val="24"/>
        </w:rPr>
        <w:t>,</w:t>
      </w:r>
      <w:r w:rsidRPr="00B95412">
        <w:rPr>
          <w:sz w:val="24"/>
          <w:szCs w:val="24"/>
        </w:rPr>
        <w:t xml:space="preserve"> bears the burden of proving its Return on Equity (“ROE”) is just and reasonable</w:t>
      </w:r>
      <w:r w:rsidRPr="00B95412" w:rsidR="004336DA">
        <w:rPr>
          <w:sz w:val="24"/>
          <w:szCs w:val="24"/>
        </w:rPr>
        <w:t>.</w:t>
      </w:r>
      <w:r w:rsidRPr="00B95412" w:rsidR="00B57F0C">
        <w:rPr>
          <w:sz w:val="24"/>
          <w:szCs w:val="24"/>
        </w:rPr>
        <w:t xml:space="preserve"> </w:t>
      </w:r>
      <w:r w:rsidRPr="00B95412" w:rsidR="004336DA">
        <w:rPr>
          <w:sz w:val="24"/>
          <w:szCs w:val="24"/>
        </w:rPr>
        <w:t xml:space="preserve">AEP </w:t>
      </w:r>
      <w:r w:rsidRPr="00B95412">
        <w:rPr>
          <w:sz w:val="24"/>
          <w:szCs w:val="24"/>
        </w:rPr>
        <w:t>has failed to provide any evidence that justifies the Company receiving a ROE that far exceeds the average ROE of utilities with higher risk profiles.</w:t>
      </w:r>
    </w:p>
    <w:p w:rsidR="004336DA" w:rsidRPr="00B95412" w:rsidP="004336DA" w14:paraId="18087C90" w14:textId="5B28EF54">
      <w:pPr>
        <w:widowControl/>
        <w:tabs>
          <w:tab w:val="left" w:pos="720"/>
          <w:tab w:val="left" w:pos="1440"/>
          <w:tab w:val="left" w:leader="dot" w:pos="8640"/>
        </w:tabs>
        <w:autoSpaceDE/>
        <w:autoSpaceDN/>
        <w:spacing w:line="480" w:lineRule="auto"/>
        <w:ind w:firstLine="720"/>
        <w:rPr>
          <w:sz w:val="24"/>
          <w:szCs w:val="24"/>
        </w:rPr>
      </w:pPr>
      <w:r w:rsidRPr="00B95412">
        <w:rPr>
          <w:sz w:val="24"/>
          <w:szCs w:val="24"/>
        </w:rPr>
        <w:t xml:space="preserve">In its Initial Brief, in response to OCC’s allegations that the ROE in the </w:t>
      </w:r>
      <w:r w:rsidRPr="00B95412" w:rsidR="00EE0DFE">
        <w:rPr>
          <w:sz w:val="24"/>
          <w:szCs w:val="24"/>
        </w:rPr>
        <w:t xml:space="preserve">Settlement </w:t>
      </w:r>
      <w:r w:rsidRPr="00B95412">
        <w:rPr>
          <w:sz w:val="24"/>
          <w:szCs w:val="24"/>
        </w:rPr>
        <w:t>is excessive, AEP basically requested the PUCO punt this issue to the next base rate case.</w:t>
      </w:r>
      <w:r>
        <w:rPr>
          <w:rStyle w:val="FootnoteReference"/>
          <w:sz w:val="24"/>
          <w:szCs w:val="24"/>
        </w:rPr>
        <w:footnoteReference w:id="23"/>
      </w:r>
      <w:r w:rsidRPr="00B95412" w:rsidR="00B57F0C">
        <w:rPr>
          <w:sz w:val="24"/>
          <w:szCs w:val="24"/>
        </w:rPr>
        <w:t xml:space="preserve"> </w:t>
      </w:r>
      <w:r w:rsidRPr="00B95412" w:rsidR="006B342B">
        <w:rPr>
          <w:sz w:val="24"/>
          <w:szCs w:val="24"/>
        </w:rPr>
        <w:t xml:space="preserve">Initially, in support of its ESP V application, AEP sponsored the direct </w:t>
      </w:r>
      <w:r w:rsidRPr="00B95412" w:rsidR="00BC5E5C">
        <w:rPr>
          <w:sz w:val="24"/>
          <w:szCs w:val="24"/>
        </w:rPr>
        <w:t>t</w:t>
      </w:r>
      <w:r w:rsidRPr="00B95412" w:rsidR="006B342B">
        <w:rPr>
          <w:sz w:val="24"/>
          <w:szCs w:val="24"/>
        </w:rPr>
        <w:t>estimony of Adrien M McKenzie, CFA, claiming that 10.65% was a reasonable ROE for AEP to collect throughout ESP V.</w:t>
      </w:r>
      <w:r>
        <w:rPr>
          <w:rStyle w:val="FootnoteReference"/>
          <w:sz w:val="24"/>
          <w:szCs w:val="24"/>
        </w:rPr>
        <w:footnoteReference w:id="24"/>
      </w:r>
      <w:r w:rsidRPr="00B95412" w:rsidR="004C5F74">
        <w:rPr>
          <w:sz w:val="24"/>
          <w:szCs w:val="24"/>
        </w:rPr>
        <w:t xml:space="preserve"> </w:t>
      </w:r>
      <w:r w:rsidRPr="00B95412" w:rsidR="00241D4F">
        <w:rPr>
          <w:sz w:val="24"/>
          <w:szCs w:val="24"/>
        </w:rPr>
        <w:t>After OCC witness Buckley submitted direct testimony explaining how unreasonable it was for AEP to seek a 10.65% ROE when the national average granted was 9.61%</w:t>
      </w:r>
      <w:r>
        <w:rPr>
          <w:rStyle w:val="FootnoteReference"/>
          <w:sz w:val="24"/>
          <w:szCs w:val="24"/>
        </w:rPr>
        <w:footnoteReference w:id="25"/>
      </w:r>
      <w:r w:rsidRPr="00B95412" w:rsidR="00241D4F">
        <w:rPr>
          <w:sz w:val="24"/>
          <w:szCs w:val="24"/>
        </w:rPr>
        <w:t xml:space="preserve">, the Settlement </w:t>
      </w:r>
      <w:r w:rsidRPr="00B95412" w:rsidR="00AE1DCD">
        <w:rPr>
          <w:sz w:val="24"/>
          <w:szCs w:val="24"/>
        </w:rPr>
        <w:t>established</w:t>
      </w:r>
      <w:r w:rsidRPr="00B95412" w:rsidR="00241D4F">
        <w:rPr>
          <w:sz w:val="24"/>
          <w:szCs w:val="24"/>
        </w:rPr>
        <w:t xml:space="preserve"> </w:t>
      </w:r>
      <w:r w:rsidRPr="00B95412" w:rsidR="006E138F">
        <w:rPr>
          <w:sz w:val="24"/>
          <w:szCs w:val="24"/>
        </w:rPr>
        <w:t>an</w:t>
      </w:r>
      <w:r w:rsidR="00AC3105">
        <w:rPr>
          <w:sz w:val="24"/>
          <w:szCs w:val="24"/>
        </w:rPr>
        <w:t xml:space="preserve"> </w:t>
      </w:r>
      <w:r w:rsidRPr="00B95412" w:rsidR="00241D4F">
        <w:rPr>
          <w:sz w:val="24"/>
          <w:szCs w:val="24"/>
        </w:rPr>
        <w:t xml:space="preserve">ROE </w:t>
      </w:r>
      <w:r w:rsidRPr="00B95412" w:rsidR="006E138F">
        <w:rPr>
          <w:sz w:val="24"/>
          <w:szCs w:val="24"/>
        </w:rPr>
        <w:t xml:space="preserve">of 9.71%, </w:t>
      </w:r>
      <w:r w:rsidRPr="00B95412" w:rsidR="00241D4F">
        <w:rPr>
          <w:sz w:val="24"/>
          <w:szCs w:val="24"/>
        </w:rPr>
        <w:t xml:space="preserve">the same as </w:t>
      </w:r>
      <w:r w:rsidRPr="00B95412" w:rsidR="00AE1DCD">
        <w:rPr>
          <w:sz w:val="24"/>
          <w:szCs w:val="24"/>
        </w:rPr>
        <w:t xml:space="preserve">AEP’s </w:t>
      </w:r>
      <w:r w:rsidRPr="00B95412" w:rsidR="00241D4F">
        <w:rPr>
          <w:sz w:val="24"/>
          <w:szCs w:val="24"/>
        </w:rPr>
        <w:t>ESP IV.</w:t>
      </w:r>
      <w:r>
        <w:rPr>
          <w:rStyle w:val="FootnoteReference"/>
          <w:sz w:val="24"/>
          <w:szCs w:val="24"/>
        </w:rPr>
        <w:footnoteReference w:id="26"/>
      </w:r>
      <w:r w:rsidRPr="00B95412" w:rsidR="00241D4F">
        <w:rPr>
          <w:sz w:val="24"/>
          <w:szCs w:val="24"/>
        </w:rPr>
        <w:t xml:space="preserve"> </w:t>
      </w:r>
      <w:r w:rsidRPr="00B95412" w:rsidR="006E138F">
        <w:rPr>
          <w:sz w:val="24"/>
          <w:szCs w:val="24"/>
        </w:rPr>
        <w:t xml:space="preserve">In response to OCC witness </w:t>
      </w:r>
      <w:r w:rsidRPr="00B95412" w:rsidR="00F03E64">
        <w:rPr>
          <w:sz w:val="24"/>
          <w:szCs w:val="24"/>
        </w:rPr>
        <w:t xml:space="preserve">Buckley’s testimony </w:t>
      </w:r>
      <w:r w:rsidRPr="00B95412" w:rsidR="006E138F">
        <w:rPr>
          <w:sz w:val="24"/>
          <w:szCs w:val="24"/>
        </w:rPr>
        <w:t xml:space="preserve">that the ROE should be </w:t>
      </w:r>
      <w:r w:rsidRPr="00B95412" w:rsidR="00F03E64">
        <w:rPr>
          <w:sz w:val="24"/>
          <w:szCs w:val="24"/>
        </w:rPr>
        <w:t>9.51%</w:t>
      </w:r>
      <w:r>
        <w:rPr>
          <w:rStyle w:val="FootnoteReference"/>
          <w:sz w:val="24"/>
          <w:szCs w:val="24"/>
        </w:rPr>
        <w:footnoteReference w:id="27"/>
      </w:r>
      <w:r w:rsidRPr="00B95412" w:rsidR="00F03E64">
        <w:rPr>
          <w:sz w:val="24"/>
          <w:szCs w:val="24"/>
        </w:rPr>
        <w:t>, AEP claims that “</w:t>
      </w:r>
      <w:r w:rsidRPr="00B95412" w:rsidR="00BC5E5C">
        <w:rPr>
          <w:sz w:val="24"/>
          <w:szCs w:val="24"/>
        </w:rPr>
        <w:t>(f)</w:t>
      </w:r>
      <w:r w:rsidRPr="00B95412" w:rsidR="00F03E64">
        <w:rPr>
          <w:sz w:val="24"/>
          <w:szCs w:val="24"/>
        </w:rPr>
        <w:t xml:space="preserve">or over 35 years, it has been the </w:t>
      </w:r>
      <w:r w:rsidRPr="00B95412" w:rsidR="00BC5E5C">
        <w:rPr>
          <w:sz w:val="24"/>
          <w:szCs w:val="24"/>
        </w:rPr>
        <w:t>PUCO</w:t>
      </w:r>
      <w:r w:rsidRPr="00B95412" w:rsidR="00F03E64">
        <w:rPr>
          <w:sz w:val="24"/>
          <w:szCs w:val="24"/>
        </w:rPr>
        <w:t>’s practice not to recalculate rates of return in-between base rate cases.”</w:t>
      </w:r>
      <w:r>
        <w:rPr>
          <w:rStyle w:val="FootnoteReference"/>
          <w:sz w:val="24"/>
          <w:szCs w:val="24"/>
        </w:rPr>
        <w:footnoteReference w:id="28"/>
      </w:r>
      <w:r w:rsidRPr="00B95412" w:rsidR="00F03E64">
        <w:rPr>
          <w:sz w:val="24"/>
          <w:szCs w:val="24"/>
        </w:rPr>
        <w:t xml:space="preserve"> </w:t>
      </w:r>
    </w:p>
    <w:p w:rsidR="00072FD1" w:rsidRPr="00B95412" w:rsidP="004C18C8" w14:paraId="2DBC5645" w14:textId="5D365BA9">
      <w:pPr>
        <w:widowControl/>
        <w:tabs>
          <w:tab w:val="left" w:pos="720"/>
          <w:tab w:val="left" w:pos="1440"/>
          <w:tab w:val="left" w:leader="dot" w:pos="8640"/>
        </w:tabs>
        <w:autoSpaceDE/>
        <w:autoSpaceDN/>
        <w:spacing w:line="480" w:lineRule="auto"/>
        <w:ind w:firstLine="720"/>
        <w:rPr>
          <w:sz w:val="24"/>
          <w:szCs w:val="24"/>
        </w:rPr>
      </w:pPr>
      <w:r w:rsidRPr="00B95412">
        <w:rPr>
          <w:sz w:val="24"/>
          <w:szCs w:val="24"/>
        </w:rPr>
        <w:t>AEP’s argument should be rejected. A</w:t>
      </w:r>
      <w:r w:rsidRPr="00B95412" w:rsidR="004C18C8">
        <w:rPr>
          <w:sz w:val="24"/>
          <w:szCs w:val="24"/>
        </w:rPr>
        <w:t xml:space="preserve">s </w:t>
      </w:r>
      <w:r w:rsidRPr="00B95412" w:rsidR="00EE0DFE">
        <w:rPr>
          <w:sz w:val="24"/>
          <w:szCs w:val="24"/>
        </w:rPr>
        <w:t xml:space="preserve">OCC witness </w:t>
      </w:r>
      <w:r w:rsidRPr="00B95412" w:rsidR="004C18C8">
        <w:rPr>
          <w:sz w:val="24"/>
          <w:szCs w:val="24"/>
        </w:rPr>
        <w:t>Buckley</w:t>
      </w:r>
      <w:r>
        <w:rPr>
          <w:rStyle w:val="FootnoteReference"/>
          <w:sz w:val="24"/>
          <w:szCs w:val="24"/>
        </w:rPr>
        <w:footnoteReference w:id="29"/>
      </w:r>
      <w:r w:rsidRPr="00B95412" w:rsidR="004C18C8">
        <w:rPr>
          <w:sz w:val="24"/>
          <w:szCs w:val="24"/>
        </w:rPr>
        <w:t xml:space="preserve"> testified, </w:t>
      </w:r>
      <w:r w:rsidRPr="00B95412">
        <w:rPr>
          <w:sz w:val="24"/>
          <w:szCs w:val="24"/>
        </w:rPr>
        <w:t>for at least the last twenty-five years the PUCO Staff has averaged the outcomes of the Discounted Cashflow method (“DCF”) and the Capital Asset Pricing Model (“CAPM”) to calculate a utility’s rate of return.</w:t>
      </w:r>
      <w:r>
        <w:rPr>
          <w:sz w:val="24"/>
          <w:szCs w:val="24"/>
          <w:vertAlign w:val="superscript"/>
        </w:rPr>
        <w:footnoteReference w:id="30"/>
      </w:r>
      <w:r w:rsidRPr="00B95412">
        <w:rPr>
          <w:sz w:val="24"/>
          <w:szCs w:val="24"/>
        </w:rPr>
        <w:t xml:space="preserve"> When Buckley completed these calculations for this matter, the results were</w:t>
      </w:r>
      <w:r w:rsidRPr="00B95412" w:rsidR="0027164B">
        <w:rPr>
          <w:sz w:val="24"/>
          <w:szCs w:val="24"/>
        </w:rPr>
        <w:t>:</w:t>
      </w:r>
      <w:r>
        <w:rPr>
          <w:sz w:val="24"/>
          <w:szCs w:val="24"/>
          <w:vertAlign w:val="superscript"/>
        </w:rPr>
        <w:footnoteReference w:id="31"/>
      </w:r>
    </w:p>
    <w:tbl>
      <w:tblPr>
        <w:tblW w:w="4560" w:type="dxa"/>
        <w:jc w:val="center"/>
        <w:tblLook w:val="04A0"/>
      </w:tblPr>
      <w:tblGrid>
        <w:gridCol w:w="3300"/>
        <w:gridCol w:w="1260"/>
      </w:tblGrid>
      <w:tr w14:paraId="11CBC3D7" w14:textId="77777777" w:rsidTr="000D2D12">
        <w:tblPrEx>
          <w:tblW w:w="4560" w:type="dxa"/>
          <w:jc w:val="center"/>
          <w:tblLook w:val="04A0"/>
        </w:tblPrEx>
        <w:trPr>
          <w:trHeight w:val="255"/>
          <w:jc w:val="center"/>
        </w:trPr>
        <w:tc>
          <w:tcPr>
            <w:tcW w:w="3300" w:type="dxa"/>
            <w:tcBorders>
              <w:top w:val="nil"/>
              <w:left w:val="nil"/>
              <w:bottom w:val="nil"/>
              <w:right w:val="nil"/>
            </w:tcBorders>
            <w:shd w:val="clear" w:color="auto" w:fill="auto"/>
            <w:noWrap/>
            <w:vAlign w:val="bottom"/>
            <w:hideMark/>
          </w:tcPr>
          <w:p w:rsidR="00072FD1" w:rsidRPr="00B95412" w:rsidP="00072FD1" w14:paraId="2D466205" w14:textId="77777777">
            <w:pPr>
              <w:widowControl/>
              <w:autoSpaceDE/>
              <w:autoSpaceDN/>
              <w:rPr>
                <w:sz w:val="24"/>
                <w:szCs w:val="24"/>
              </w:rPr>
            </w:pPr>
            <w:r w:rsidRPr="00B95412">
              <w:rPr>
                <w:sz w:val="24"/>
                <w:szCs w:val="24"/>
              </w:rPr>
              <w:t>DCF AVERAGE</w:t>
            </w:r>
          </w:p>
        </w:tc>
        <w:tc>
          <w:tcPr>
            <w:tcW w:w="1260" w:type="dxa"/>
            <w:tcBorders>
              <w:top w:val="nil"/>
              <w:left w:val="nil"/>
              <w:bottom w:val="nil"/>
              <w:right w:val="nil"/>
            </w:tcBorders>
            <w:shd w:val="clear" w:color="auto" w:fill="auto"/>
            <w:noWrap/>
            <w:vAlign w:val="bottom"/>
            <w:hideMark/>
          </w:tcPr>
          <w:p w:rsidR="00072FD1" w:rsidRPr="00B95412" w:rsidP="00072FD1" w14:paraId="002B2234" w14:textId="77777777">
            <w:pPr>
              <w:widowControl/>
              <w:autoSpaceDE/>
              <w:autoSpaceDN/>
              <w:rPr>
                <w:sz w:val="24"/>
                <w:szCs w:val="24"/>
              </w:rPr>
            </w:pPr>
            <w:r w:rsidRPr="00B95412">
              <w:rPr>
                <w:sz w:val="24"/>
                <w:szCs w:val="24"/>
              </w:rPr>
              <w:t>9.707%</w:t>
            </w:r>
          </w:p>
        </w:tc>
      </w:tr>
      <w:tr w14:paraId="28253D1A" w14:textId="77777777" w:rsidTr="000D2D12">
        <w:tblPrEx>
          <w:tblW w:w="4560" w:type="dxa"/>
          <w:jc w:val="center"/>
          <w:tblLook w:val="04A0"/>
        </w:tblPrEx>
        <w:trPr>
          <w:trHeight w:val="255"/>
          <w:jc w:val="center"/>
        </w:trPr>
        <w:tc>
          <w:tcPr>
            <w:tcW w:w="3300" w:type="dxa"/>
            <w:tcBorders>
              <w:top w:val="nil"/>
              <w:left w:val="nil"/>
              <w:bottom w:val="nil"/>
              <w:right w:val="nil"/>
            </w:tcBorders>
            <w:shd w:val="clear" w:color="auto" w:fill="auto"/>
            <w:noWrap/>
            <w:vAlign w:val="bottom"/>
            <w:hideMark/>
          </w:tcPr>
          <w:p w:rsidR="00072FD1" w:rsidRPr="00B95412" w:rsidP="00072FD1" w14:paraId="5124C342" w14:textId="77777777">
            <w:pPr>
              <w:widowControl/>
              <w:autoSpaceDE/>
              <w:autoSpaceDN/>
              <w:jc w:val="right"/>
              <w:rPr>
                <w:sz w:val="24"/>
                <w:szCs w:val="24"/>
              </w:rPr>
            </w:pPr>
          </w:p>
        </w:tc>
        <w:tc>
          <w:tcPr>
            <w:tcW w:w="1260" w:type="dxa"/>
            <w:tcBorders>
              <w:top w:val="nil"/>
              <w:left w:val="nil"/>
              <w:bottom w:val="nil"/>
              <w:right w:val="nil"/>
            </w:tcBorders>
            <w:shd w:val="clear" w:color="auto" w:fill="auto"/>
            <w:noWrap/>
            <w:vAlign w:val="bottom"/>
            <w:hideMark/>
          </w:tcPr>
          <w:p w:rsidR="00072FD1" w:rsidRPr="00B95412" w:rsidP="00072FD1" w14:paraId="0A638D02" w14:textId="77777777">
            <w:pPr>
              <w:widowControl/>
              <w:autoSpaceDE/>
              <w:autoSpaceDN/>
              <w:jc w:val="right"/>
              <w:rPr>
                <w:sz w:val="24"/>
                <w:szCs w:val="24"/>
              </w:rPr>
            </w:pPr>
          </w:p>
        </w:tc>
      </w:tr>
      <w:tr w14:paraId="74F44428" w14:textId="77777777" w:rsidTr="000D2D12">
        <w:tblPrEx>
          <w:tblW w:w="4560" w:type="dxa"/>
          <w:jc w:val="center"/>
          <w:tblLook w:val="04A0"/>
        </w:tblPrEx>
        <w:trPr>
          <w:trHeight w:val="255"/>
          <w:jc w:val="center"/>
        </w:trPr>
        <w:tc>
          <w:tcPr>
            <w:tcW w:w="3300" w:type="dxa"/>
            <w:tcBorders>
              <w:top w:val="nil"/>
              <w:left w:val="nil"/>
              <w:bottom w:val="nil"/>
              <w:right w:val="nil"/>
            </w:tcBorders>
            <w:shd w:val="clear" w:color="auto" w:fill="auto"/>
            <w:noWrap/>
            <w:vAlign w:val="bottom"/>
            <w:hideMark/>
          </w:tcPr>
          <w:p w:rsidR="00072FD1" w:rsidRPr="00B95412" w:rsidP="00072FD1" w14:paraId="37A5CAD7" w14:textId="77777777">
            <w:pPr>
              <w:widowControl/>
              <w:autoSpaceDE/>
              <w:autoSpaceDN/>
              <w:rPr>
                <w:sz w:val="24"/>
                <w:szCs w:val="24"/>
              </w:rPr>
            </w:pPr>
            <w:r w:rsidRPr="00B95412">
              <w:rPr>
                <w:sz w:val="24"/>
                <w:szCs w:val="24"/>
              </w:rPr>
              <w:t>CAPM RATE</w:t>
            </w:r>
          </w:p>
        </w:tc>
        <w:tc>
          <w:tcPr>
            <w:tcW w:w="1260" w:type="dxa"/>
            <w:tcBorders>
              <w:top w:val="nil"/>
              <w:left w:val="nil"/>
              <w:bottom w:val="nil"/>
              <w:right w:val="nil"/>
            </w:tcBorders>
            <w:shd w:val="clear" w:color="auto" w:fill="auto"/>
            <w:noWrap/>
            <w:vAlign w:val="bottom"/>
            <w:hideMark/>
          </w:tcPr>
          <w:p w:rsidR="00072FD1" w:rsidRPr="00B95412" w:rsidP="00072FD1" w14:paraId="6E635D04" w14:textId="77777777">
            <w:pPr>
              <w:widowControl/>
              <w:autoSpaceDE/>
              <w:autoSpaceDN/>
              <w:rPr>
                <w:sz w:val="24"/>
                <w:szCs w:val="24"/>
              </w:rPr>
            </w:pPr>
            <w:r w:rsidRPr="00B95412">
              <w:rPr>
                <w:sz w:val="24"/>
                <w:szCs w:val="24"/>
              </w:rPr>
              <w:t>9.32%</w:t>
            </w:r>
          </w:p>
        </w:tc>
      </w:tr>
      <w:tr w14:paraId="7E2DC639" w14:textId="77777777" w:rsidTr="000D2D12">
        <w:tblPrEx>
          <w:tblW w:w="4560" w:type="dxa"/>
          <w:jc w:val="center"/>
          <w:tblLook w:val="04A0"/>
        </w:tblPrEx>
        <w:trPr>
          <w:trHeight w:val="255"/>
          <w:jc w:val="center"/>
        </w:trPr>
        <w:tc>
          <w:tcPr>
            <w:tcW w:w="3300" w:type="dxa"/>
            <w:tcBorders>
              <w:top w:val="nil"/>
              <w:left w:val="nil"/>
              <w:bottom w:val="nil"/>
              <w:right w:val="nil"/>
            </w:tcBorders>
            <w:shd w:val="clear" w:color="auto" w:fill="auto"/>
            <w:noWrap/>
            <w:vAlign w:val="bottom"/>
            <w:hideMark/>
          </w:tcPr>
          <w:p w:rsidR="00072FD1" w:rsidRPr="00B95412" w:rsidP="00072FD1" w14:paraId="59E7AD56" w14:textId="77777777">
            <w:pPr>
              <w:widowControl/>
              <w:autoSpaceDE/>
              <w:autoSpaceDN/>
              <w:jc w:val="right"/>
              <w:rPr>
                <w:sz w:val="24"/>
                <w:szCs w:val="24"/>
              </w:rPr>
            </w:pPr>
          </w:p>
        </w:tc>
        <w:tc>
          <w:tcPr>
            <w:tcW w:w="1260" w:type="dxa"/>
            <w:tcBorders>
              <w:top w:val="nil"/>
              <w:left w:val="nil"/>
              <w:bottom w:val="nil"/>
              <w:right w:val="nil"/>
            </w:tcBorders>
            <w:shd w:val="clear" w:color="auto" w:fill="auto"/>
            <w:noWrap/>
            <w:vAlign w:val="bottom"/>
            <w:hideMark/>
          </w:tcPr>
          <w:p w:rsidR="00072FD1" w:rsidRPr="00B95412" w:rsidP="00072FD1" w14:paraId="27F1B15B" w14:textId="77777777">
            <w:pPr>
              <w:widowControl/>
              <w:autoSpaceDE/>
              <w:autoSpaceDN/>
              <w:rPr>
                <w:sz w:val="24"/>
                <w:szCs w:val="24"/>
              </w:rPr>
            </w:pPr>
          </w:p>
        </w:tc>
      </w:tr>
      <w:tr w14:paraId="21C76308" w14:textId="77777777" w:rsidTr="000D2D12">
        <w:tblPrEx>
          <w:tblW w:w="4560" w:type="dxa"/>
          <w:jc w:val="center"/>
          <w:tblLook w:val="04A0"/>
        </w:tblPrEx>
        <w:trPr>
          <w:trHeight w:val="255"/>
          <w:jc w:val="center"/>
        </w:trPr>
        <w:tc>
          <w:tcPr>
            <w:tcW w:w="3300" w:type="dxa"/>
            <w:tcBorders>
              <w:top w:val="nil"/>
              <w:left w:val="nil"/>
              <w:bottom w:val="nil"/>
              <w:right w:val="nil"/>
            </w:tcBorders>
            <w:shd w:val="clear" w:color="auto" w:fill="auto"/>
            <w:noWrap/>
            <w:vAlign w:val="bottom"/>
            <w:hideMark/>
          </w:tcPr>
          <w:p w:rsidR="00072FD1" w:rsidRPr="00B95412" w:rsidP="00072FD1" w14:paraId="3D1A7490" w14:textId="77777777">
            <w:pPr>
              <w:widowControl/>
              <w:autoSpaceDE/>
              <w:autoSpaceDN/>
              <w:rPr>
                <w:sz w:val="24"/>
                <w:szCs w:val="24"/>
              </w:rPr>
            </w:pPr>
            <w:r w:rsidRPr="00B95412">
              <w:rPr>
                <w:sz w:val="24"/>
                <w:szCs w:val="24"/>
              </w:rPr>
              <w:t>DCF &amp; CAPM AVERAGE</w:t>
            </w:r>
          </w:p>
        </w:tc>
        <w:tc>
          <w:tcPr>
            <w:tcW w:w="1260" w:type="dxa"/>
            <w:tcBorders>
              <w:top w:val="nil"/>
              <w:left w:val="nil"/>
              <w:bottom w:val="nil"/>
              <w:right w:val="nil"/>
            </w:tcBorders>
            <w:shd w:val="clear" w:color="auto" w:fill="auto"/>
            <w:noWrap/>
            <w:vAlign w:val="bottom"/>
            <w:hideMark/>
          </w:tcPr>
          <w:p w:rsidR="00072FD1" w:rsidRPr="00B95412" w:rsidP="00072FD1" w14:paraId="3AF69BE5" w14:textId="77777777">
            <w:pPr>
              <w:widowControl/>
              <w:autoSpaceDE/>
              <w:autoSpaceDN/>
              <w:rPr>
                <w:sz w:val="24"/>
                <w:szCs w:val="24"/>
              </w:rPr>
            </w:pPr>
            <w:r w:rsidRPr="00B95412">
              <w:rPr>
                <w:sz w:val="24"/>
                <w:szCs w:val="24"/>
              </w:rPr>
              <w:t>9.514%</w:t>
            </w:r>
          </w:p>
        </w:tc>
      </w:tr>
    </w:tbl>
    <w:p w:rsidR="00072FD1" w:rsidRPr="00B95412" w:rsidP="007B7A1A" w14:paraId="6BDAF8B1" w14:textId="5C724D7A">
      <w:pPr>
        <w:widowControl/>
        <w:autoSpaceDE/>
        <w:autoSpaceDN/>
        <w:rPr>
          <w:sz w:val="24"/>
          <w:szCs w:val="24"/>
        </w:rPr>
      </w:pPr>
    </w:p>
    <w:p w:rsidR="00FF640C" w:rsidRPr="00B95412" w:rsidP="00C336CE" w14:paraId="5134F916" w14:textId="381DE328">
      <w:pPr>
        <w:pStyle w:val="BodyText"/>
        <w:spacing w:line="480" w:lineRule="auto"/>
        <w:ind w:firstLine="720"/>
        <w:rPr>
          <w:rFonts w:eastAsia="Calibri"/>
          <w14:ligatures w14:val="standardContextual"/>
        </w:rPr>
      </w:pPr>
      <w:r w:rsidRPr="00B95412">
        <w:rPr>
          <w:rFonts w:eastAsia="Calibri"/>
          <w14:ligatures w14:val="standardContextual"/>
        </w:rPr>
        <w:t xml:space="preserve">The Settlement </w:t>
      </w:r>
      <w:r w:rsidRPr="00B95412" w:rsidR="009F23A7">
        <w:rPr>
          <w:rFonts w:eastAsia="Calibri"/>
          <w14:ligatures w14:val="standardContextual"/>
        </w:rPr>
        <w:t>propose</w:t>
      </w:r>
      <w:r w:rsidRPr="00B95412" w:rsidR="00562083">
        <w:rPr>
          <w:rFonts w:eastAsia="Calibri"/>
          <w14:ligatures w14:val="standardContextual"/>
        </w:rPr>
        <w:t>s</w:t>
      </w:r>
      <w:r w:rsidRPr="00B95412">
        <w:rPr>
          <w:rFonts w:eastAsia="Calibri"/>
          <w14:ligatures w14:val="standardContextual"/>
        </w:rPr>
        <w:t xml:space="preserve"> a</w:t>
      </w:r>
      <w:r w:rsidRPr="00B95412" w:rsidR="00075D9D">
        <w:rPr>
          <w:rFonts w:eastAsia="Calibri"/>
          <w14:ligatures w14:val="standardContextual"/>
        </w:rPr>
        <w:t>n</w:t>
      </w:r>
      <w:r w:rsidRPr="00B95412">
        <w:rPr>
          <w:rFonts w:eastAsia="Calibri"/>
          <w14:ligatures w14:val="standardContextual"/>
        </w:rPr>
        <w:t xml:space="preserve"> </w:t>
      </w:r>
      <w:r w:rsidRPr="00B95412" w:rsidR="009F23A7">
        <w:rPr>
          <w:rFonts w:eastAsia="Calibri"/>
          <w14:ligatures w14:val="standardContextual"/>
        </w:rPr>
        <w:t xml:space="preserve">excessive </w:t>
      </w:r>
      <w:r w:rsidRPr="00B95412">
        <w:rPr>
          <w:rFonts w:eastAsia="Calibri"/>
          <w14:ligatures w14:val="standardContextual"/>
        </w:rPr>
        <w:t>ROE of 9.71 percent.</w:t>
      </w:r>
      <w:r>
        <w:rPr>
          <w:rFonts w:eastAsia="Calibri"/>
          <w:vertAlign w:val="superscript"/>
          <w14:ligatures w14:val="standardContextual"/>
        </w:rPr>
        <w:footnoteReference w:id="32"/>
      </w:r>
      <w:r w:rsidRPr="00B95412">
        <w:rPr>
          <w:rFonts w:eastAsia="Calibri"/>
          <w14:ligatures w14:val="standardContextual"/>
        </w:rPr>
        <w:t xml:space="preserve"> The national average return on equity granted to electric companies from March 31, 2022 to March 31, 2023 was 9.61 percent overall and 9.19 when distribution only utilities are averaged.</w:t>
      </w:r>
      <w:r>
        <w:rPr>
          <w:rFonts w:eastAsia="Calibri"/>
          <w:vertAlign w:val="superscript"/>
          <w14:ligatures w14:val="standardContextual"/>
        </w:rPr>
        <w:footnoteReference w:id="33"/>
      </w:r>
      <w:r w:rsidRPr="00B95412">
        <w:rPr>
          <w:rFonts w:eastAsia="Calibri"/>
          <w14:ligatures w14:val="standardContextual"/>
        </w:rPr>
        <w:t xml:space="preserve"> </w:t>
      </w:r>
      <w:r w:rsidRPr="00B95412" w:rsidR="0052260E">
        <w:rPr>
          <w:rFonts w:eastAsia="Calibri"/>
          <w14:ligatures w14:val="standardContextual"/>
        </w:rPr>
        <w:t>AEP’s risk profile does not warrant a higher rate of return than the national average.</w:t>
      </w:r>
      <w:r>
        <w:rPr>
          <w:rFonts w:eastAsia="Calibri"/>
          <w:vertAlign w:val="superscript"/>
          <w14:ligatures w14:val="standardContextual"/>
        </w:rPr>
        <w:footnoteReference w:id="34"/>
      </w:r>
      <w:bookmarkStart w:id="13" w:name="_Hlk153846002"/>
      <w:r w:rsidRPr="00B95412" w:rsidR="00B57F0C">
        <w:rPr>
          <w:rFonts w:eastAsia="Calibri"/>
          <w14:ligatures w14:val="standardContextual"/>
        </w:rPr>
        <w:t xml:space="preserve"> </w:t>
      </w:r>
      <w:r w:rsidRPr="00B95412">
        <w:t>AEP has over the last 10 years come in at the high end of its earnings per share guidance (or even exceeded the guidance range).</w:t>
      </w:r>
      <w:r>
        <w:rPr>
          <w:vertAlign w:val="superscript"/>
        </w:rPr>
        <w:footnoteReference w:id="35"/>
      </w:r>
      <w:r w:rsidRPr="00B95412">
        <w:t xml:space="preserve"> AEP is delivering consistent, strong financial performance. </w:t>
      </w:r>
      <w:bookmarkEnd w:id="13"/>
      <w:r w:rsidRPr="00B95412" w:rsidR="006E138F">
        <w:t xml:space="preserve">AEP </w:t>
      </w:r>
      <w:r w:rsidRPr="00B95412">
        <w:t>is producing returns that are significantly higher than the average returns earned by the other regulated companies under the AEP umbrella.</w:t>
      </w:r>
      <w:r>
        <w:rPr>
          <w:vertAlign w:val="superscript"/>
        </w:rPr>
        <w:footnoteReference w:id="36"/>
      </w:r>
      <w:r w:rsidRPr="00B95412">
        <w:t xml:space="preserve"> </w:t>
      </w:r>
      <w:r w:rsidRPr="00B95412" w:rsidR="006E138F">
        <w:t xml:space="preserve">AEP </w:t>
      </w:r>
      <w:r w:rsidRPr="00B95412" w:rsidR="00C336CE">
        <w:t xml:space="preserve">also </w:t>
      </w:r>
      <w:r w:rsidRPr="00B95412">
        <w:t>has an above average bond rating when compared to that of other regulated utilities</w:t>
      </w:r>
      <w:r>
        <w:rPr>
          <w:rStyle w:val="FootnoteReference"/>
        </w:rPr>
        <w:footnoteReference w:id="37"/>
      </w:r>
      <w:r w:rsidRPr="00B95412">
        <w:t xml:space="preserve"> and plans to recover a significant amount of capital investments using riders. Based upon the above facts, </w:t>
      </w:r>
      <w:r w:rsidRPr="00B95412" w:rsidR="00EE0DFE">
        <w:t xml:space="preserve">OCC witness </w:t>
      </w:r>
      <w:r w:rsidRPr="00B95412">
        <w:t>Buckley testified “</w:t>
      </w:r>
      <w:r w:rsidRPr="00B95412" w:rsidR="006E138F">
        <w:t>[AEP]</w:t>
      </w:r>
      <w:r w:rsidRPr="00B95412">
        <w:t xml:space="preserve"> will not have any trouble accessing capital markets.”</w:t>
      </w:r>
      <w:r>
        <w:rPr>
          <w:vertAlign w:val="superscript"/>
        </w:rPr>
        <w:footnoteReference w:id="38"/>
      </w:r>
    </w:p>
    <w:p w:rsidR="007F008D" w:rsidRPr="00B95412" w:rsidP="00C336CE" w14:paraId="32443478" w14:textId="65FFB395">
      <w:pPr>
        <w:pStyle w:val="BodyText"/>
        <w:spacing w:line="480" w:lineRule="auto"/>
        <w:ind w:firstLine="720"/>
      </w:pPr>
      <w:r w:rsidRPr="00B95412">
        <w:t xml:space="preserve">In short, the ROE included in the Settlement </w:t>
      </w:r>
      <w:r w:rsidRPr="00B95412" w:rsidR="006E138F">
        <w:t xml:space="preserve">harms </w:t>
      </w:r>
      <w:r w:rsidRPr="00B95412">
        <w:t>Ohio consumers</w:t>
      </w:r>
      <w:r w:rsidRPr="00B95412" w:rsidR="008E3F9F">
        <w:t xml:space="preserve"> by forcing them to pay exorbitant profits to </w:t>
      </w:r>
      <w:r w:rsidRPr="00B95412" w:rsidR="00AC316E">
        <w:t>AEP</w:t>
      </w:r>
      <w:r w:rsidRPr="00B95412">
        <w:t>.</w:t>
      </w:r>
      <w:r w:rsidRPr="00B95412" w:rsidR="00943AC9">
        <w:t xml:space="preserve"> </w:t>
      </w:r>
      <w:r w:rsidRPr="00B95412" w:rsidR="006E138F">
        <w:t>AEP</w:t>
      </w:r>
      <w:r w:rsidRPr="00B95412">
        <w:t xml:space="preserve"> has repeatedly out earned other utilities and presents a significantly lower risk profile than its competitors.</w:t>
      </w:r>
      <w:r w:rsidRPr="00B95412" w:rsidR="00943AC9">
        <w:t xml:space="preserve"> </w:t>
      </w:r>
      <w:r w:rsidRPr="00B95412">
        <w:t xml:space="preserve">Forcing Ohio consumers to fund even greater returns </w:t>
      </w:r>
      <w:r w:rsidRPr="00B95412" w:rsidR="008E3F9F">
        <w:t>that primarily benefit the utility’s</w:t>
      </w:r>
      <w:r w:rsidRPr="00B95412" w:rsidR="00440F05">
        <w:t xml:space="preserve"> </w:t>
      </w:r>
      <w:r w:rsidRPr="00B95412">
        <w:t>shareholders is unreasonable.</w:t>
      </w:r>
      <w:bookmarkStart w:id="14" w:name="_Hlk152149633"/>
      <w:r w:rsidRPr="00B95412" w:rsidR="00C336CE">
        <w:rPr>
          <w:rFonts w:eastAsia="Calibri"/>
          <w14:ligatures w14:val="standardContextual"/>
        </w:rPr>
        <w:t xml:space="preserve"> As OCC Witness Buckley’s calculations and testimony demonstrate, the PUCO should set a </w:t>
      </w:r>
      <w:r w:rsidRPr="00B95412" w:rsidR="00AC316E">
        <w:rPr>
          <w:rFonts w:eastAsia="Calibri"/>
          <w14:ligatures w14:val="standardContextual"/>
        </w:rPr>
        <w:t xml:space="preserve">ROE of 9.51 percent and a resulting ROR of </w:t>
      </w:r>
      <w:r w:rsidRPr="00B95412" w:rsidR="00C336CE">
        <w:rPr>
          <w:rFonts w:eastAsia="Calibri"/>
          <w14:ligatures w14:val="standardContextual"/>
        </w:rPr>
        <w:t>6.7 percent.</w:t>
      </w:r>
      <w:r>
        <w:rPr>
          <w:rStyle w:val="FootnoteReference"/>
          <w:rFonts w:eastAsia="Calibri"/>
          <w14:ligatures w14:val="standardContextual"/>
        </w:rPr>
        <w:footnoteReference w:id="39"/>
      </w:r>
      <w:bookmarkEnd w:id="14"/>
    </w:p>
    <w:p w:rsidR="00FF640C" w:rsidRPr="00B95412" w:rsidP="00043F1F" w14:paraId="27237FC6" w14:textId="5B5D1461">
      <w:pPr>
        <w:pStyle w:val="Heading2"/>
      </w:pPr>
      <w:bookmarkStart w:id="15" w:name="_Toc154128542"/>
      <w:r w:rsidRPr="00B95412">
        <w:t>D</w:t>
      </w:r>
      <w:r w:rsidRPr="00B95412" w:rsidR="009D0363">
        <w:t>.</w:t>
      </w:r>
      <w:r w:rsidRPr="00B95412" w:rsidR="009D0363">
        <w:tab/>
      </w:r>
      <w:bookmarkStart w:id="16" w:name="_Hlk153835616"/>
      <w:r w:rsidRPr="00B95412" w:rsidR="007D58E1">
        <w:t xml:space="preserve">The </w:t>
      </w:r>
      <w:r w:rsidRPr="00B95412" w:rsidR="00F276B5">
        <w:t xml:space="preserve">Settlement’s energy efficiency </w:t>
      </w:r>
      <w:r w:rsidRPr="00B95412" w:rsidR="007D58E1">
        <w:t xml:space="preserve">programs </w:t>
      </w:r>
      <w:r w:rsidRPr="00B95412" w:rsidR="002507A6">
        <w:t xml:space="preserve">can harm </w:t>
      </w:r>
      <w:r w:rsidRPr="00B95412" w:rsidR="007D58E1">
        <w:t>consumers</w:t>
      </w:r>
      <w:r w:rsidR="00AC3105">
        <w:t xml:space="preserve"> </w:t>
      </w:r>
      <w:r w:rsidRPr="00B95412" w:rsidR="002507A6">
        <w:t xml:space="preserve">and </w:t>
      </w:r>
      <w:r w:rsidRPr="00B95412" w:rsidR="007D58E1">
        <w:t>the public interest</w:t>
      </w:r>
      <w:r w:rsidRPr="00B95412" w:rsidR="00F276B5">
        <w:t xml:space="preserve"> </w:t>
      </w:r>
      <w:r w:rsidRPr="00B95412" w:rsidR="002507A6">
        <w:t>contrary to</w:t>
      </w:r>
      <w:r w:rsidRPr="00B95412" w:rsidR="00F276B5">
        <w:t xml:space="preserve"> AEP</w:t>
      </w:r>
      <w:r w:rsidRPr="00B95412" w:rsidR="002507A6">
        <w:t>’s</w:t>
      </w:r>
      <w:r w:rsidRPr="00B95412" w:rsidR="00F276B5">
        <w:t xml:space="preserve"> claims</w:t>
      </w:r>
      <w:r w:rsidRPr="00B95412" w:rsidR="007D58E1">
        <w:t>.</w:t>
      </w:r>
      <w:bookmarkEnd w:id="16"/>
      <w:r w:rsidRPr="00B95412" w:rsidR="00F276B5">
        <w:t xml:space="preserve"> The Settlement should be rejected.</w:t>
      </w:r>
      <w:bookmarkEnd w:id="15"/>
    </w:p>
    <w:p w:rsidR="00DA4C4A" w:rsidRPr="00B95412" w:rsidP="003D661C" w14:paraId="43AA3889" w14:textId="6961BA09">
      <w:pPr>
        <w:widowControl/>
        <w:autoSpaceDE/>
        <w:autoSpaceDN/>
        <w:spacing w:line="480" w:lineRule="auto"/>
        <w:ind w:firstLine="720"/>
        <w:rPr>
          <w:rFonts w:eastAsia="Arial Unicode MS"/>
          <w:sz w:val="24"/>
          <w:szCs w:val="24"/>
          <w:bdr w:val="nil"/>
        </w:rPr>
      </w:pPr>
      <w:r w:rsidRPr="00B95412">
        <w:rPr>
          <w:rFonts w:eastAsia="Arial Unicode MS"/>
          <w:sz w:val="24"/>
          <w:szCs w:val="24"/>
          <w:bdr w:val="nil"/>
        </w:rPr>
        <w:t xml:space="preserve">The </w:t>
      </w:r>
      <w:r w:rsidRPr="00B95412" w:rsidR="00F5374E">
        <w:rPr>
          <w:rFonts w:eastAsia="Arial Unicode MS"/>
          <w:sz w:val="24"/>
          <w:szCs w:val="24"/>
          <w:bdr w:val="nil"/>
        </w:rPr>
        <w:t>S</w:t>
      </w:r>
      <w:r w:rsidRPr="00B95412">
        <w:rPr>
          <w:rFonts w:eastAsia="Arial Unicode MS"/>
          <w:sz w:val="24"/>
          <w:szCs w:val="24"/>
          <w:bdr w:val="nil"/>
        </w:rPr>
        <w:t>ettlement provides for $12 million annually ($48 million over four years) to fund</w:t>
      </w:r>
      <w:r w:rsidRPr="00B95412" w:rsidR="00A26C2D">
        <w:rPr>
          <w:rFonts w:eastAsia="Arial Unicode MS"/>
          <w:sz w:val="24"/>
          <w:szCs w:val="24"/>
          <w:bdr w:val="nil"/>
        </w:rPr>
        <w:t xml:space="preserve"> residential energy efficiency programs</w:t>
      </w:r>
      <w:r w:rsidRPr="00B95412">
        <w:rPr>
          <w:rFonts w:eastAsia="Arial Unicode MS"/>
          <w:sz w:val="24"/>
          <w:szCs w:val="24"/>
          <w:bdr w:val="nil"/>
        </w:rPr>
        <w:t>.</w:t>
      </w:r>
      <w:r>
        <w:rPr>
          <w:rStyle w:val="FootnoteReference"/>
          <w:rFonts w:eastAsia="Arial Unicode MS"/>
          <w:sz w:val="24"/>
          <w:szCs w:val="24"/>
          <w:bdr w:val="nil"/>
        </w:rPr>
        <w:footnoteReference w:id="40"/>
      </w:r>
      <w:r w:rsidRPr="00B95412" w:rsidR="00B57F0C">
        <w:rPr>
          <w:rFonts w:eastAsia="Arial Unicode MS"/>
          <w:sz w:val="24"/>
          <w:szCs w:val="24"/>
          <w:bdr w:val="nil"/>
        </w:rPr>
        <w:t xml:space="preserve"> </w:t>
      </w:r>
      <w:r w:rsidRPr="00B95412" w:rsidR="00BD2FCA">
        <w:rPr>
          <w:rFonts w:eastAsia="Arial Unicode MS"/>
          <w:sz w:val="24"/>
          <w:szCs w:val="24"/>
          <w:bdr w:val="nil"/>
        </w:rPr>
        <w:t>OCC continues to object to these programs as described in the Settlement based upon two major issues</w:t>
      </w:r>
      <w:r w:rsidRPr="00B95412" w:rsidR="00EE0DFE">
        <w:rPr>
          <w:rFonts w:eastAsia="Arial Unicode MS"/>
          <w:sz w:val="24"/>
          <w:szCs w:val="24"/>
          <w:bdr w:val="nil"/>
        </w:rPr>
        <w:t>:</w:t>
      </w:r>
      <w:r w:rsidRPr="00B95412" w:rsidR="00BD2FCA">
        <w:rPr>
          <w:rFonts w:eastAsia="Arial Unicode MS"/>
          <w:sz w:val="24"/>
          <w:szCs w:val="24"/>
          <w:bdr w:val="nil"/>
        </w:rPr>
        <w:t xml:space="preserve"> 1) t</w:t>
      </w:r>
      <w:r w:rsidRPr="00B95412" w:rsidR="008E3F9F">
        <w:rPr>
          <w:rFonts w:eastAsia="Arial Unicode MS"/>
          <w:sz w:val="24"/>
          <w:szCs w:val="24"/>
          <w:bdr w:val="nil"/>
        </w:rPr>
        <w:t>he funding for the program</w:t>
      </w:r>
      <w:r w:rsidRPr="00B95412" w:rsidR="00A26C2D">
        <w:rPr>
          <w:rFonts w:eastAsia="Arial Unicode MS"/>
          <w:sz w:val="24"/>
          <w:szCs w:val="24"/>
          <w:bdr w:val="nil"/>
        </w:rPr>
        <w:t>s</w:t>
      </w:r>
      <w:r w:rsidRPr="00B95412" w:rsidR="008E3F9F">
        <w:rPr>
          <w:rFonts w:eastAsia="Arial Unicode MS"/>
          <w:sz w:val="24"/>
          <w:szCs w:val="24"/>
          <w:bdr w:val="nil"/>
        </w:rPr>
        <w:t xml:space="preserve"> is paid for </w:t>
      </w:r>
      <w:r w:rsidRPr="00B95412" w:rsidR="00E0147D">
        <w:rPr>
          <w:rFonts w:eastAsia="Arial Unicode MS"/>
          <w:sz w:val="24"/>
          <w:szCs w:val="24"/>
          <w:bdr w:val="nil"/>
        </w:rPr>
        <w:t xml:space="preserve">only by residential </w:t>
      </w:r>
      <w:r w:rsidRPr="00B95412" w:rsidR="008E3F9F">
        <w:rPr>
          <w:rFonts w:eastAsia="Arial Unicode MS"/>
          <w:sz w:val="24"/>
          <w:szCs w:val="24"/>
          <w:bdr w:val="nil"/>
        </w:rPr>
        <w:t>consumers, not shareholders</w:t>
      </w:r>
      <w:r w:rsidRPr="00B95412" w:rsidR="00BD2FCA">
        <w:rPr>
          <w:rFonts w:eastAsia="Arial Unicode MS"/>
          <w:sz w:val="24"/>
          <w:szCs w:val="24"/>
          <w:bdr w:val="nil"/>
        </w:rPr>
        <w:t>, and 2) the Settlement does not provide for proper oversight of administration of these programs</w:t>
      </w:r>
      <w:r w:rsidRPr="00B95412" w:rsidR="008E3F9F">
        <w:rPr>
          <w:rFonts w:eastAsia="Arial Unicode MS"/>
          <w:sz w:val="24"/>
          <w:szCs w:val="24"/>
          <w:bdr w:val="nil"/>
        </w:rPr>
        <w:t>.</w:t>
      </w:r>
      <w:r>
        <w:rPr>
          <w:rStyle w:val="FootnoteReference"/>
          <w:rFonts w:eastAsia="Arial Unicode MS"/>
          <w:sz w:val="24"/>
          <w:szCs w:val="24"/>
          <w:bdr w:val="nil"/>
        </w:rPr>
        <w:footnoteReference w:id="41"/>
      </w:r>
      <w:r w:rsidRPr="00B95412" w:rsidR="00B57F0C">
        <w:rPr>
          <w:rFonts w:eastAsia="Arial Unicode MS"/>
          <w:sz w:val="24"/>
          <w:szCs w:val="24"/>
          <w:bdr w:val="nil"/>
        </w:rPr>
        <w:t xml:space="preserve"> </w:t>
      </w:r>
    </w:p>
    <w:p w:rsidR="00FB0278" w:rsidRPr="00B95412" w:rsidP="003D661C" w14:paraId="0C82A34A" w14:textId="652AD13F">
      <w:pPr>
        <w:widowControl/>
        <w:autoSpaceDE/>
        <w:autoSpaceDN/>
        <w:spacing w:line="480" w:lineRule="auto"/>
        <w:ind w:firstLine="720"/>
        <w:rPr>
          <w:rFonts w:eastAsia="Arial Unicode MS"/>
          <w:sz w:val="24"/>
          <w:szCs w:val="24"/>
          <w:bdr w:val="nil"/>
        </w:rPr>
      </w:pPr>
      <w:r w:rsidRPr="00B95412">
        <w:rPr>
          <w:rFonts w:eastAsia="Arial Unicode MS"/>
          <w:sz w:val="24"/>
          <w:szCs w:val="24"/>
          <w:bdr w:val="nil"/>
        </w:rPr>
        <w:t>With regard to the administration of the programs, t</w:t>
      </w:r>
      <w:r w:rsidRPr="00B95412" w:rsidR="00803B1C">
        <w:rPr>
          <w:rFonts w:eastAsia="Arial Unicode MS"/>
          <w:sz w:val="24"/>
          <w:szCs w:val="24"/>
          <w:bdr w:val="nil"/>
        </w:rPr>
        <w:t xml:space="preserve">he Settlement provides that </w:t>
      </w:r>
      <w:r w:rsidRPr="00B95412">
        <w:rPr>
          <w:rFonts w:eastAsia="Arial Unicode MS"/>
          <w:sz w:val="24"/>
          <w:szCs w:val="24"/>
          <w:bdr w:val="nil"/>
        </w:rPr>
        <w:t>AEP will conduct a competitive bidding process to select a program administrator for the school and the HELP programs</w:t>
      </w:r>
      <w:r w:rsidRPr="00B95412" w:rsidR="00DA4C4A">
        <w:rPr>
          <w:rFonts w:eastAsia="Arial Unicode MS"/>
          <w:sz w:val="24"/>
          <w:szCs w:val="24"/>
          <w:bdr w:val="nil"/>
        </w:rPr>
        <w:t>.</w:t>
      </w:r>
      <w:r>
        <w:rPr>
          <w:rStyle w:val="FootnoteReference"/>
          <w:rFonts w:eastAsia="Arial Unicode MS"/>
          <w:sz w:val="24"/>
          <w:szCs w:val="24"/>
          <w:bdr w:val="nil"/>
        </w:rPr>
        <w:footnoteReference w:id="42"/>
      </w:r>
      <w:r w:rsidRPr="00B95412">
        <w:rPr>
          <w:rFonts w:eastAsia="Arial Unicode MS"/>
          <w:sz w:val="24"/>
          <w:szCs w:val="24"/>
          <w:bdr w:val="nil"/>
        </w:rPr>
        <w:t xml:space="preserve"> </w:t>
      </w:r>
      <w:r w:rsidRPr="00B95412" w:rsidR="00DA4C4A">
        <w:rPr>
          <w:rFonts w:eastAsia="Arial Unicode MS"/>
          <w:sz w:val="24"/>
          <w:szCs w:val="24"/>
          <w:bdr w:val="nil"/>
        </w:rPr>
        <w:t xml:space="preserve">The Settlement also provides that </w:t>
      </w:r>
      <w:r w:rsidRPr="00B95412" w:rsidR="00803B1C">
        <w:rPr>
          <w:rFonts w:eastAsia="Arial Unicode MS"/>
          <w:sz w:val="24"/>
          <w:szCs w:val="24"/>
          <w:bdr w:val="nil"/>
        </w:rPr>
        <w:t>the s</w:t>
      </w:r>
      <w:r w:rsidRPr="00B95412">
        <w:rPr>
          <w:rFonts w:eastAsia="Arial Unicode MS"/>
          <w:sz w:val="24"/>
          <w:szCs w:val="24"/>
          <w:bdr w:val="nil"/>
        </w:rPr>
        <w:t>elected program administrator will be paid a 10% administration fee of total annual program costs incurred</w:t>
      </w:r>
      <w:r w:rsidRPr="00B95412" w:rsidR="00803B1C">
        <w:rPr>
          <w:rFonts w:eastAsia="Arial Unicode MS"/>
          <w:sz w:val="24"/>
          <w:szCs w:val="24"/>
          <w:bdr w:val="nil"/>
        </w:rPr>
        <w:t>,</w:t>
      </w:r>
      <w:r>
        <w:rPr>
          <w:rStyle w:val="FootnoteReference"/>
          <w:rFonts w:eastAsia="Arial Unicode MS"/>
          <w:sz w:val="24"/>
          <w:szCs w:val="24"/>
          <w:bdr w:val="nil"/>
        </w:rPr>
        <w:footnoteReference w:id="43"/>
      </w:r>
      <w:r w:rsidRPr="00B95412">
        <w:rPr>
          <w:rFonts w:eastAsia="Arial Unicode MS"/>
          <w:sz w:val="24"/>
          <w:szCs w:val="24"/>
          <w:bdr w:val="nil"/>
        </w:rPr>
        <w:t xml:space="preserve"> </w:t>
      </w:r>
      <w:r w:rsidRPr="00B95412" w:rsidR="00803B1C">
        <w:rPr>
          <w:rFonts w:eastAsia="Arial Unicode MS"/>
          <w:sz w:val="24"/>
          <w:szCs w:val="24"/>
          <w:bdr w:val="nil"/>
        </w:rPr>
        <w:t>and gives</w:t>
      </w:r>
      <w:r w:rsidRPr="00B95412">
        <w:rPr>
          <w:rFonts w:eastAsia="Arial Unicode MS"/>
          <w:sz w:val="24"/>
          <w:szCs w:val="24"/>
          <w:bdr w:val="nil"/>
        </w:rPr>
        <w:t xml:space="preserve"> the PUCO Staff </w:t>
      </w:r>
      <w:r w:rsidRPr="00B95412" w:rsidR="00803B1C">
        <w:rPr>
          <w:rFonts w:eastAsia="Arial Unicode MS"/>
          <w:sz w:val="24"/>
          <w:szCs w:val="24"/>
          <w:bdr w:val="nil"/>
        </w:rPr>
        <w:t xml:space="preserve">the right </w:t>
      </w:r>
      <w:r w:rsidRPr="00B95412">
        <w:rPr>
          <w:rFonts w:eastAsia="Arial Unicode MS"/>
          <w:sz w:val="24"/>
          <w:szCs w:val="24"/>
          <w:bdr w:val="nil"/>
        </w:rPr>
        <w:t>to evaluate and audit the program</w:t>
      </w:r>
      <w:r w:rsidRPr="00B95412" w:rsidR="00803B1C">
        <w:rPr>
          <w:rFonts w:eastAsia="Arial Unicode MS"/>
          <w:sz w:val="24"/>
          <w:szCs w:val="24"/>
          <w:bdr w:val="nil"/>
        </w:rPr>
        <w:t>, at their own expense</w:t>
      </w:r>
      <w:r w:rsidRPr="00B95412">
        <w:rPr>
          <w:rFonts w:eastAsia="Arial Unicode MS"/>
          <w:sz w:val="24"/>
          <w:szCs w:val="24"/>
          <w:bdr w:val="nil"/>
        </w:rPr>
        <w:t>.</w:t>
      </w:r>
      <w:r>
        <w:rPr>
          <w:rStyle w:val="FootnoteReference"/>
          <w:rFonts w:eastAsia="Arial Unicode MS"/>
          <w:sz w:val="24"/>
          <w:szCs w:val="24"/>
          <w:bdr w:val="nil"/>
        </w:rPr>
        <w:footnoteReference w:id="44"/>
      </w:r>
      <w:r w:rsidRPr="00B95412" w:rsidR="00B57F0C">
        <w:rPr>
          <w:rFonts w:eastAsia="Arial Unicode MS"/>
          <w:sz w:val="24"/>
          <w:szCs w:val="24"/>
          <w:bdr w:val="nil"/>
        </w:rPr>
        <w:t xml:space="preserve"> </w:t>
      </w:r>
      <w:r w:rsidRPr="00B95412">
        <w:rPr>
          <w:rFonts w:eastAsia="Arial Unicode MS"/>
          <w:sz w:val="24"/>
          <w:szCs w:val="24"/>
          <w:bdr w:val="nil"/>
        </w:rPr>
        <w:t xml:space="preserve">However, there is no obligation for </w:t>
      </w:r>
      <w:r w:rsidRPr="00B95412" w:rsidR="006305B7">
        <w:rPr>
          <w:rFonts w:eastAsia="Arial Unicode MS"/>
          <w:sz w:val="24"/>
          <w:szCs w:val="24"/>
          <w:bdr w:val="nil"/>
        </w:rPr>
        <w:t xml:space="preserve">either AEP or </w:t>
      </w:r>
      <w:r w:rsidRPr="00B95412" w:rsidR="00EE0DFE">
        <w:rPr>
          <w:rFonts w:eastAsia="Arial Unicode MS"/>
          <w:sz w:val="24"/>
          <w:szCs w:val="24"/>
          <w:bdr w:val="nil"/>
        </w:rPr>
        <w:t xml:space="preserve">the PUCO </w:t>
      </w:r>
      <w:r w:rsidRPr="00B95412" w:rsidR="006305B7">
        <w:rPr>
          <w:rFonts w:eastAsia="Arial Unicode MS"/>
          <w:sz w:val="24"/>
          <w:szCs w:val="24"/>
          <w:bdr w:val="nil"/>
        </w:rPr>
        <w:t>Staff to conduct an audit to ensure that consumer funds are being used effectively and efficiently.</w:t>
      </w:r>
    </w:p>
    <w:p w:rsidR="0084454D" w:rsidRPr="00B95412" w:rsidP="00A865C4" w14:paraId="1741AB24" w14:textId="47D080EF">
      <w:pPr>
        <w:widowControl/>
        <w:autoSpaceDE/>
        <w:autoSpaceDN/>
        <w:spacing w:line="480" w:lineRule="auto"/>
        <w:ind w:firstLine="720"/>
        <w:rPr>
          <w:rFonts w:eastAsia="Arial Unicode MS"/>
          <w:sz w:val="24"/>
          <w:szCs w:val="24"/>
          <w:bdr w:val="nil"/>
        </w:rPr>
      </w:pPr>
      <w:r w:rsidRPr="00B95412">
        <w:rPr>
          <w:rFonts w:eastAsia="Arial Unicode MS"/>
          <w:sz w:val="24"/>
          <w:szCs w:val="24"/>
          <w:bdr w:val="nil"/>
        </w:rPr>
        <w:t xml:space="preserve">In response to OCC’s objections, </w:t>
      </w:r>
      <w:r w:rsidRPr="00B95412" w:rsidR="00803B1C">
        <w:rPr>
          <w:rFonts w:eastAsia="Arial Unicode MS"/>
          <w:sz w:val="24"/>
          <w:szCs w:val="24"/>
          <w:bdr w:val="nil"/>
        </w:rPr>
        <w:t xml:space="preserve">AEP </w:t>
      </w:r>
      <w:r w:rsidRPr="00B95412">
        <w:rPr>
          <w:rFonts w:eastAsia="Arial Unicode MS"/>
          <w:sz w:val="24"/>
          <w:szCs w:val="24"/>
          <w:bdr w:val="nil"/>
        </w:rPr>
        <w:t xml:space="preserve">defends these programs by </w:t>
      </w:r>
      <w:r w:rsidRPr="00B95412" w:rsidR="00803B1C">
        <w:rPr>
          <w:rFonts w:eastAsia="Arial Unicode MS"/>
          <w:sz w:val="24"/>
          <w:szCs w:val="24"/>
          <w:bdr w:val="nil"/>
        </w:rPr>
        <w:t>claim</w:t>
      </w:r>
      <w:r w:rsidRPr="00B95412">
        <w:rPr>
          <w:rFonts w:eastAsia="Arial Unicode MS"/>
          <w:sz w:val="24"/>
          <w:szCs w:val="24"/>
          <w:bdr w:val="nil"/>
        </w:rPr>
        <w:t>ing</w:t>
      </w:r>
      <w:r w:rsidRPr="00B95412" w:rsidR="00E0147D">
        <w:rPr>
          <w:rFonts w:eastAsia="Arial Unicode MS"/>
          <w:sz w:val="24"/>
          <w:szCs w:val="24"/>
          <w:bdr w:val="nil"/>
        </w:rPr>
        <w:t xml:space="preserve"> without </w:t>
      </w:r>
      <w:r w:rsidRPr="00B95412">
        <w:rPr>
          <w:rFonts w:eastAsia="Arial Unicode MS"/>
          <w:sz w:val="24"/>
          <w:szCs w:val="24"/>
          <w:bdr w:val="nil"/>
        </w:rPr>
        <w:t>s</w:t>
      </w:r>
      <w:r w:rsidRPr="00B95412" w:rsidR="00E0147D">
        <w:rPr>
          <w:rFonts w:eastAsia="Arial Unicode MS"/>
          <w:sz w:val="24"/>
          <w:szCs w:val="24"/>
          <w:bdr w:val="nil"/>
        </w:rPr>
        <w:t>upport</w:t>
      </w:r>
      <w:r w:rsidRPr="00B95412" w:rsidR="00AA0323">
        <w:rPr>
          <w:rFonts w:eastAsia="Arial Unicode MS"/>
          <w:sz w:val="24"/>
          <w:szCs w:val="24"/>
          <w:bdr w:val="nil"/>
        </w:rPr>
        <w:t xml:space="preserve"> or analysis</w:t>
      </w:r>
      <w:r w:rsidRPr="00B95412" w:rsidR="00E0147D">
        <w:rPr>
          <w:rFonts w:eastAsia="Arial Unicode MS"/>
          <w:sz w:val="24"/>
          <w:szCs w:val="24"/>
          <w:bdr w:val="nil"/>
        </w:rPr>
        <w:t xml:space="preserve"> </w:t>
      </w:r>
      <w:r w:rsidRPr="00B95412" w:rsidR="00882186">
        <w:rPr>
          <w:rFonts w:eastAsia="Arial Unicode MS"/>
          <w:sz w:val="24"/>
          <w:szCs w:val="24"/>
          <w:bdr w:val="nil"/>
        </w:rPr>
        <w:t xml:space="preserve">that </w:t>
      </w:r>
      <w:r w:rsidRPr="00B95412" w:rsidR="00E0147D">
        <w:rPr>
          <w:rFonts w:eastAsia="Arial Unicode MS"/>
          <w:sz w:val="24"/>
          <w:szCs w:val="24"/>
          <w:bdr w:val="nil"/>
        </w:rPr>
        <w:t>th</w:t>
      </w:r>
      <w:r w:rsidRPr="00B95412">
        <w:rPr>
          <w:rFonts w:eastAsia="Arial Unicode MS"/>
          <w:sz w:val="24"/>
          <w:szCs w:val="24"/>
          <w:bdr w:val="nil"/>
        </w:rPr>
        <w:t>e</w:t>
      </w:r>
      <w:r w:rsidR="00AC3105">
        <w:rPr>
          <w:rFonts w:eastAsia="Arial Unicode MS"/>
          <w:sz w:val="24"/>
          <w:szCs w:val="24"/>
          <w:bdr w:val="nil"/>
        </w:rPr>
        <w:t xml:space="preserve"> </w:t>
      </w:r>
      <w:r w:rsidRPr="00B95412" w:rsidR="002507A6">
        <w:rPr>
          <w:rFonts w:eastAsia="Arial Unicode MS"/>
          <w:sz w:val="24"/>
          <w:szCs w:val="24"/>
          <w:bdr w:val="nil"/>
        </w:rPr>
        <w:t>energy efficiency</w:t>
      </w:r>
      <w:r w:rsidRPr="00B95412" w:rsidR="00E0147D">
        <w:rPr>
          <w:rFonts w:eastAsia="Arial Unicode MS"/>
          <w:sz w:val="24"/>
          <w:szCs w:val="24"/>
          <w:bdr w:val="nil"/>
        </w:rPr>
        <w:t xml:space="preserve"> programs will “provide an annual gross benefit to customers of approximately $22 million.”</w:t>
      </w:r>
      <w:r>
        <w:rPr>
          <w:rStyle w:val="FootnoteReference"/>
          <w:rFonts w:eastAsia="Arial Unicode MS"/>
          <w:sz w:val="24"/>
          <w:szCs w:val="24"/>
          <w:bdr w:val="nil"/>
        </w:rPr>
        <w:footnoteReference w:id="45"/>
      </w:r>
      <w:r w:rsidRPr="00B95412" w:rsidR="00B57F0C">
        <w:rPr>
          <w:rFonts w:eastAsia="Arial Unicode MS"/>
          <w:sz w:val="24"/>
          <w:szCs w:val="24"/>
          <w:bdr w:val="nil"/>
        </w:rPr>
        <w:t xml:space="preserve"> </w:t>
      </w:r>
      <w:r w:rsidRPr="00B95412" w:rsidR="00E0147D">
        <w:rPr>
          <w:rFonts w:eastAsia="Arial Unicode MS"/>
          <w:sz w:val="24"/>
          <w:szCs w:val="24"/>
          <w:bdr w:val="nil"/>
        </w:rPr>
        <w:t>AEP has not provided any evidence to support this assertion.</w:t>
      </w:r>
      <w:r w:rsidRPr="00B95412" w:rsidR="00B57F0C">
        <w:rPr>
          <w:rFonts w:eastAsia="Arial Unicode MS"/>
          <w:sz w:val="24"/>
          <w:szCs w:val="24"/>
          <w:bdr w:val="nil"/>
        </w:rPr>
        <w:t xml:space="preserve"> </w:t>
      </w:r>
      <w:r w:rsidRPr="00B95412" w:rsidR="00E0147D">
        <w:rPr>
          <w:rFonts w:eastAsia="Arial Unicode MS"/>
          <w:sz w:val="24"/>
          <w:szCs w:val="24"/>
          <w:bdr w:val="nil"/>
        </w:rPr>
        <w:t>The only citation for this claim is to AEP witness Mayhan’s testimony</w:t>
      </w:r>
      <w:r w:rsidRPr="00B95412" w:rsidR="00EB0743">
        <w:rPr>
          <w:rFonts w:eastAsia="Arial Unicode MS"/>
          <w:sz w:val="24"/>
          <w:szCs w:val="24"/>
          <w:bdr w:val="nil"/>
        </w:rPr>
        <w:t>, wh</w:t>
      </w:r>
      <w:r w:rsidRPr="00B95412" w:rsidR="00882186">
        <w:rPr>
          <w:rFonts w:eastAsia="Arial Unicode MS"/>
          <w:sz w:val="24"/>
          <w:szCs w:val="24"/>
          <w:bdr w:val="nil"/>
        </w:rPr>
        <w:t>o</w:t>
      </w:r>
      <w:r w:rsidRPr="00B95412" w:rsidR="00EB0743">
        <w:rPr>
          <w:rFonts w:eastAsia="Arial Unicode MS"/>
          <w:sz w:val="24"/>
          <w:szCs w:val="24"/>
          <w:bdr w:val="nil"/>
        </w:rPr>
        <w:t xml:space="preserve"> provides only a vague description of </w:t>
      </w:r>
      <w:r w:rsidRPr="00B95412">
        <w:rPr>
          <w:rFonts w:eastAsia="Arial Unicode MS"/>
          <w:sz w:val="24"/>
          <w:szCs w:val="24"/>
          <w:bdr w:val="nil"/>
        </w:rPr>
        <w:t>any claimed</w:t>
      </w:r>
      <w:r w:rsidRPr="00B95412" w:rsidR="00EB0743">
        <w:rPr>
          <w:rFonts w:eastAsia="Arial Unicode MS"/>
          <w:sz w:val="24"/>
          <w:szCs w:val="24"/>
          <w:bdr w:val="nil"/>
        </w:rPr>
        <w:t xml:space="preserve"> benefit to consumers stating “energy efficiency programs provide customers with assistance purchasing more efficient high-energy use products for their homes. Reducing energy use for low-income customers not only reduces their bill, it helps reduce the energy demand placed on the electric grid.”</w:t>
      </w:r>
      <w:r>
        <w:rPr>
          <w:rStyle w:val="FootnoteReference"/>
          <w:rFonts w:eastAsia="Arial Unicode MS"/>
          <w:sz w:val="24"/>
          <w:szCs w:val="24"/>
          <w:bdr w:val="nil"/>
        </w:rPr>
        <w:footnoteReference w:id="46"/>
      </w:r>
      <w:r w:rsidRPr="00B95412" w:rsidR="00B57F0C">
        <w:rPr>
          <w:rFonts w:eastAsia="Arial Unicode MS"/>
          <w:sz w:val="24"/>
          <w:szCs w:val="24"/>
          <w:bdr w:val="nil"/>
        </w:rPr>
        <w:t xml:space="preserve"> </w:t>
      </w:r>
      <w:r w:rsidRPr="00B95412">
        <w:rPr>
          <w:rFonts w:eastAsia="Arial Unicode MS"/>
          <w:sz w:val="24"/>
          <w:szCs w:val="24"/>
          <w:bdr w:val="nil"/>
        </w:rPr>
        <w:t>Even if these unsupported statements were true, the Settlement does not provide for oversight to ensure such benefits are actually realized.</w:t>
      </w:r>
      <w:r w:rsidRPr="00B95412" w:rsidR="00B57F0C">
        <w:rPr>
          <w:rFonts w:eastAsia="Arial Unicode MS"/>
          <w:sz w:val="24"/>
          <w:szCs w:val="24"/>
          <w:bdr w:val="nil"/>
        </w:rPr>
        <w:t xml:space="preserve"> </w:t>
      </w:r>
      <w:r w:rsidRPr="00B95412" w:rsidR="00882186">
        <w:rPr>
          <w:rFonts w:eastAsia="Arial Unicode MS"/>
          <w:sz w:val="24"/>
          <w:szCs w:val="24"/>
          <w:bdr w:val="nil"/>
        </w:rPr>
        <w:t xml:space="preserve">Instead, </w:t>
      </w:r>
      <w:r w:rsidRPr="00B95412" w:rsidR="00AA0323">
        <w:rPr>
          <w:rFonts w:eastAsia="Arial Unicode MS"/>
          <w:sz w:val="24"/>
          <w:szCs w:val="24"/>
          <w:bdr w:val="nil"/>
        </w:rPr>
        <w:t>AEP</w:t>
      </w:r>
      <w:r w:rsidRPr="00B95412">
        <w:rPr>
          <w:rFonts w:eastAsia="Arial Unicode MS"/>
          <w:sz w:val="24"/>
          <w:szCs w:val="24"/>
          <w:bdr w:val="nil"/>
        </w:rPr>
        <w:t xml:space="preserve"> argues that the oversight </w:t>
      </w:r>
      <w:r w:rsidRPr="00B95412" w:rsidR="00882186">
        <w:rPr>
          <w:rFonts w:eastAsia="Arial Unicode MS"/>
          <w:sz w:val="24"/>
          <w:szCs w:val="24"/>
          <w:bdr w:val="nil"/>
        </w:rPr>
        <w:t>recommended</w:t>
      </w:r>
      <w:r w:rsidRPr="00B95412">
        <w:rPr>
          <w:rFonts w:eastAsia="Arial Unicode MS"/>
          <w:sz w:val="24"/>
          <w:szCs w:val="24"/>
          <w:bdr w:val="nil"/>
        </w:rPr>
        <w:t xml:space="preserve"> by OCC witness Shutrump is merely “saddling the customers with additional unnecessary costs of a burdensome audit.”</w:t>
      </w:r>
      <w:r>
        <w:rPr>
          <w:rStyle w:val="FootnoteReference"/>
          <w:rFonts w:eastAsia="Arial Unicode MS"/>
          <w:sz w:val="24"/>
          <w:szCs w:val="24"/>
          <w:bdr w:val="nil"/>
        </w:rPr>
        <w:footnoteReference w:id="47"/>
      </w:r>
      <w:r w:rsidRPr="00B95412" w:rsidR="00AA0323">
        <w:rPr>
          <w:rFonts w:eastAsia="Arial Unicode MS"/>
          <w:sz w:val="24"/>
          <w:szCs w:val="24"/>
          <w:bdr w:val="nil"/>
        </w:rPr>
        <w:t xml:space="preserve"> </w:t>
      </w:r>
    </w:p>
    <w:p w:rsidR="00242BFB" w:rsidRPr="00B95412" w:rsidP="004158E6" w14:paraId="709694E6" w14:textId="547356C5">
      <w:pPr>
        <w:widowControl/>
        <w:autoSpaceDE/>
        <w:autoSpaceDN/>
        <w:spacing w:line="480" w:lineRule="auto"/>
        <w:ind w:firstLine="720"/>
        <w:rPr>
          <w:rFonts w:eastAsia="Arial Unicode MS"/>
          <w:sz w:val="24"/>
          <w:szCs w:val="24"/>
          <w:bdr w:val="nil"/>
        </w:rPr>
      </w:pPr>
      <w:r w:rsidRPr="00B95412">
        <w:rPr>
          <w:rFonts w:eastAsia="Arial Unicode MS"/>
          <w:bCs/>
          <w:iCs/>
          <w:sz w:val="24"/>
          <w:szCs w:val="24"/>
          <w:bdr w:val="nil"/>
        </w:rPr>
        <w:t>Consumer funds are limited.</w:t>
      </w:r>
      <w:r>
        <w:rPr>
          <w:rFonts w:eastAsia="Arial Unicode MS"/>
          <w:bCs/>
          <w:iCs/>
          <w:sz w:val="24"/>
          <w:szCs w:val="24"/>
          <w:bdr w:val="nil"/>
          <w:vertAlign w:val="superscript"/>
        </w:rPr>
        <w:footnoteReference w:id="48"/>
      </w:r>
      <w:r w:rsidRPr="00B95412">
        <w:rPr>
          <w:rFonts w:eastAsia="Arial Unicode MS"/>
          <w:bCs/>
          <w:iCs/>
          <w:sz w:val="24"/>
          <w:szCs w:val="24"/>
          <w:bdr w:val="nil"/>
        </w:rPr>
        <w:t xml:space="preserve"> </w:t>
      </w:r>
      <w:r w:rsidRPr="00AC3105">
        <w:rPr>
          <w:rFonts w:eastAsia="Calibri"/>
          <w:sz w:val="24"/>
          <w:szCs w:val="24"/>
          <w14:ligatures w14:val="standardContextual"/>
        </w:rPr>
        <w:t xml:space="preserve">Unlike the </w:t>
      </w:r>
      <w:r w:rsidRPr="00AC3105" w:rsidR="00F13AD6">
        <w:rPr>
          <w:rFonts w:eastAsia="Calibri"/>
          <w:sz w:val="24"/>
          <w:szCs w:val="24"/>
          <w14:ligatures w14:val="standardContextual"/>
        </w:rPr>
        <w:t xml:space="preserve">WarmChoice program approved by the PUCO in the recent </w:t>
      </w:r>
      <w:r w:rsidRPr="00AC3105">
        <w:rPr>
          <w:rFonts w:eastAsia="Calibri"/>
          <w:sz w:val="24"/>
          <w:szCs w:val="24"/>
          <w14:ligatures w14:val="standardContextual"/>
        </w:rPr>
        <w:t>Columbia Gas Settlement</w:t>
      </w:r>
      <w:r>
        <w:rPr>
          <w:rFonts w:eastAsia="Arial Unicode MS"/>
          <w:bCs/>
          <w:iCs/>
          <w:sz w:val="24"/>
          <w:szCs w:val="24"/>
          <w:bdr w:val="nil"/>
          <w:vertAlign w:val="superscript"/>
        </w:rPr>
        <w:footnoteReference w:id="49"/>
      </w:r>
      <w:r w:rsidRPr="00AC3105">
        <w:rPr>
          <w:rFonts w:eastAsia="Calibri"/>
          <w:sz w:val="24"/>
          <w:szCs w:val="24"/>
          <w14:ligatures w14:val="standardContextual"/>
        </w:rPr>
        <w:t xml:space="preserve">, the AEP Settlement does not provide for shared investment, nor does it provide either AEP or </w:t>
      </w:r>
      <w:r w:rsidRPr="00AC3105" w:rsidR="00EE0DFE">
        <w:rPr>
          <w:rFonts w:eastAsia="Calibri"/>
          <w:sz w:val="24"/>
          <w:szCs w:val="24"/>
          <w14:ligatures w14:val="standardContextual"/>
        </w:rPr>
        <w:t xml:space="preserve">the PUCO </w:t>
      </w:r>
      <w:r w:rsidRPr="00AC3105">
        <w:rPr>
          <w:rFonts w:eastAsia="Calibri"/>
          <w:sz w:val="24"/>
          <w:szCs w:val="24"/>
          <w14:ligatures w14:val="standardContextual"/>
        </w:rPr>
        <w:t>Staff any incentive to conduct a management review to ensure efficiency and efficacy of these programs.</w:t>
      </w:r>
      <w:r>
        <w:rPr>
          <w:rStyle w:val="FootnoteReference"/>
          <w:rFonts w:eastAsia="Calibri"/>
          <w:sz w:val="24"/>
          <w:szCs w:val="24"/>
          <w14:ligatures w14:val="standardContextual"/>
        </w:rPr>
        <w:footnoteReference w:id="50"/>
      </w:r>
      <w:r w:rsidRPr="00B95412" w:rsidR="00B57F0C">
        <w:rPr>
          <w:rFonts w:eastAsia="Arial Unicode MS"/>
          <w:bCs/>
          <w:iCs/>
          <w:sz w:val="24"/>
          <w:szCs w:val="24"/>
          <w:bdr w:val="nil"/>
          <w:vertAlign w:val="superscript"/>
        </w:rPr>
        <w:t xml:space="preserve"> </w:t>
      </w:r>
      <w:r w:rsidRPr="00B95412" w:rsidR="008626C4">
        <w:rPr>
          <w:rFonts w:eastAsia="Arial Unicode MS"/>
          <w:sz w:val="24"/>
          <w:szCs w:val="24"/>
          <w:bdr w:val="nil"/>
        </w:rPr>
        <w:t>Failing to provide for</w:t>
      </w:r>
      <w:r w:rsidRPr="00B95412" w:rsidR="00276DAD">
        <w:rPr>
          <w:rFonts w:eastAsia="Arial Unicode MS"/>
          <w:sz w:val="24"/>
          <w:szCs w:val="24"/>
          <w:bdr w:val="nil"/>
        </w:rPr>
        <w:t xml:space="preserve"> a</w:t>
      </w:r>
      <w:r w:rsidRPr="00B95412" w:rsidR="00261F9F">
        <w:rPr>
          <w:rFonts w:eastAsia="Arial Unicode MS"/>
          <w:sz w:val="24"/>
          <w:szCs w:val="24"/>
          <w:bdr w:val="nil"/>
        </w:rPr>
        <w:t xml:space="preserve"> management</w:t>
      </w:r>
      <w:r w:rsidRPr="00B95412" w:rsidR="00276DAD">
        <w:rPr>
          <w:rFonts w:eastAsia="Arial Unicode MS"/>
          <w:sz w:val="24"/>
          <w:szCs w:val="24"/>
          <w:bdr w:val="nil"/>
        </w:rPr>
        <w:t xml:space="preserve"> audit of such programs is </w:t>
      </w:r>
      <w:r w:rsidRPr="00B95412" w:rsidR="008626C4">
        <w:rPr>
          <w:rFonts w:eastAsia="Arial Unicode MS"/>
          <w:sz w:val="24"/>
          <w:szCs w:val="24"/>
          <w:bdr w:val="nil"/>
        </w:rPr>
        <w:t xml:space="preserve">unreasonable, and </w:t>
      </w:r>
      <w:r w:rsidRPr="00B95412" w:rsidR="00F765A0">
        <w:rPr>
          <w:rFonts w:eastAsia="Arial Unicode MS"/>
          <w:sz w:val="24"/>
          <w:szCs w:val="24"/>
          <w:bdr w:val="nil"/>
        </w:rPr>
        <w:t xml:space="preserve">AEP’s refusal to provide for such an audit </w:t>
      </w:r>
      <w:r w:rsidRPr="00B95412" w:rsidR="008626C4">
        <w:rPr>
          <w:rFonts w:eastAsia="Arial Unicode MS"/>
          <w:sz w:val="24"/>
          <w:szCs w:val="24"/>
          <w:bdr w:val="nil"/>
        </w:rPr>
        <w:t xml:space="preserve">endangers the </w:t>
      </w:r>
      <w:r w:rsidRPr="00B95412" w:rsidR="00276DAD">
        <w:rPr>
          <w:rFonts w:eastAsia="Arial Unicode MS"/>
          <w:sz w:val="24"/>
          <w:szCs w:val="24"/>
          <w:bdr w:val="nil"/>
        </w:rPr>
        <w:t>$12 million dollars in consumer funds AEP intends to hand out to contractors for these programs</w:t>
      </w:r>
      <w:r w:rsidRPr="00B95412" w:rsidR="00F765A0">
        <w:rPr>
          <w:rFonts w:eastAsia="Arial Unicode MS"/>
          <w:sz w:val="24"/>
          <w:szCs w:val="24"/>
          <w:bdr w:val="nil"/>
        </w:rPr>
        <w:t>.</w:t>
      </w:r>
      <w:r>
        <w:rPr>
          <w:rStyle w:val="FootnoteReference"/>
          <w:rFonts w:eastAsia="Arial Unicode MS"/>
          <w:sz w:val="24"/>
          <w:szCs w:val="24"/>
          <w:bdr w:val="nil"/>
        </w:rPr>
        <w:footnoteReference w:id="51"/>
      </w:r>
      <w:r w:rsidRPr="00B95412" w:rsidR="00B57F0C">
        <w:rPr>
          <w:rFonts w:eastAsia="Arial Unicode MS"/>
          <w:sz w:val="24"/>
          <w:szCs w:val="24"/>
          <w:bdr w:val="nil"/>
        </w:rPr>
        <w:t xml:space="preserve"> </w:t>
      </w:r>
      <w:r w:rsidRPr="00B95412" w:rsidR="00261F9F">
        <w:rPr>
          <w:rFonts w:eastAsia="Arial Unicode MS"/>
          <w:sz w:val="24"/>
          <w:szCs w:val="24"/>
          <w:bdr w:val="nil"/>
        </w:rPr>
        <w:t xml:space="preserve">This </w:t>
      </w:r>
      <w:r w:rsidRPr="00B95412" w:rsidR="00F765A0">
        <w:rPr>
          <w:rFonts w:eastAsia="Arial Unicode MS"/>
          <w:sz w:val="24"/>
          <w:szCs w:val="24"/>
          <w:bdr w:val="nil"/>
        </w:rPr>
        <w:t xml:space="preserve">type of audit </w:t>
      </w:r>
      <w:r w:rsidRPr="00B95412" w:rsidR="00261F9F">
        <w:rPr>
          <w:rFonts w:eastAsia="Arial Unicode MS"/>
          <w:sz w:val="24"/>
          <w:szCs w:val="24"/>
          <w:bdr w:val="nil"/>
        </w:rPr>
        <w:t xml:space="preserve">is especially necessary here, where the PUCO’s </w:t>
      </w:r>
      <w:r w:rsidRPr="00B95412" w:rsidR="00B12553">
        <w:rPr>
          <w:rFonts w:eastAsia="Arial Unicode MS"/>
          <w:sz w:val="24"/>
          <w:szCs w:val="24"/>
          <w:bdr w:val="nil"/>
        </w:rPr>
        <w:t>S</w:t>
      </w:r>
      <w:r w:rsidRPr="00B95412" w:rsidR="00261F9F">
        <w:rPr>
          <w:rFonts w:eastAsia="Arial Unicode MS"/>
          <w:sz w:val="24"/>
          <w:szCs w:val="24"/>
          <w:bdr w:val="nil"/>
        </w:rPr>
        <w:t xml:space="preserve">taff is </w:t>
      </w:r>
      <w:r w:rsidRPr="00B95412" w:rsidR="00F765A0">
        <w:rPr>
          <w:rFonts w:eastAsia="Arial Unicode MS"/>
          <w:sz w:val="24"/>
          <w:szCs w:val="24"/>
          <w:bdr w:val="nil"/>
        </w:rPr>
        <w:t>n</w:t>
      </w:r>
      <w:r w:rsidRPr="00B95412" w:rsidR="00261F9F">
        <w:rPr>
          <w:rFonts w:eastAsia="Arial Unicode MS"/>
          <w:sz w:val="24"/>
          <w:szCs w:val="24"/>
          <w:bdr w:val="nil"/>
        </w:rPr>
        <w:t>ot</w:t>
      </w:r>
      <w:r w:rsidRPr="00B95412" w:rsidR="00F765A0">
        <w:rPr>
          <w:rFonts w:eastAsia="Arial Unicode MS"/>
          <w:sz w:val="24"/>
          <w:szCs w:val="24"/>
          <w:bdr w:val="nil"/>
        </w:rPr>
        <w:t xml:space="preserve"> even </w:t>
      </w:r>
      <w:r w:rsidRPr="00B95412" w:rsidR="00261F9F">
        <w:rPr>
          <w:rFonts w:eastAsia="Arial Unicode MS"/>
          <w:sz w:val="24"/>
          <w:szCs w:val="24"/>
          <w:bdr w:val="nil"/>
        </w:rPr>
        <w:t>required to conduct their standard prudency review.</w:t>
      </w:r>
      <w:r>
        <w:rPr>
          <w:rStyle w:val="FootnoteReference"/>
          <w:rFonts w:eastAsia="Arial Unicode MS"/>
          <w:sz w:val="24"/>
          <w:szCs w:val="24"/>
          <w:bdr w:val="nil"/>
        </w:rPr>
        <w:footnoteReference w:id="52"/>
      </w:r>
      <w:r w:rsidRPr="00B95412" w:rsidR="00B57F0C">
        <w:rPr>
          <w:rFonts w:eastAsia="Arial Unicode MS"/>
          <w:sz w:val="24"/>
          <w:szCs w:val="24"/>
          <w:bdr w:val="nil"/>
        </w:rPr>
        <w:t xml:space="preserve"> </w:t>
      </w:r>
      <w:r w:rsidRPr="00B95412" w:rsidR="00276DAD">
        <w:rPr>
          <w:rFonts w:eastAsia="Arial Unicode MS"/>
          <w:sz w:val="24"/>
          <w:szCs w:val="24"/>
          <w:bdr w:val="nil"/>
        </w:rPr>
        <w:t>Neither AEP, nor the PUCO Staff</w:t>
      </w:r>
      <w:r w:rsidRPr="00B95412" w:rsidR="00EE0DFE">
        <w:rPr>
          <w:rFonts w:eastAsia="Arial Unicode MS"/>
          <w:sz w:val="24"/>
          <w:szCs w:val="24"/>
          <w:bdr w:val="nil"/>
        </w:rPr>
        <w:t>,</w:t>
      </w:r>
      <w:r w:rsidRPr="00B95412" w:rsidR="00276DAD">
        <w:rPr>
          <w:rFonts w:eastAsia="Arial Unicode MS"/>
          <w:sz w:val="24"/>
          <w:szCs w:val="24"/>
          <w:bdr w:val="nil"/>
        </w:rPr>
        <w:t xml:space="preserve"> has any incentive to </w:t>
      </w:r>
      <w:r w:rsidRPr="00B95412" w:rsidR="00261F9F">
        <w:rPr>
          <w:rFonts w:eastAsia="Arial Unicode MS"/>
          <w:sz w:val="24"/>
          <w:szCs w:val="24"/>
          <w:bdr w:val="nil"/>
        </w:rPr>
        <w:t>conduct</w:t>
      </w:r>
      <w:r w:rsidRPr="00B95412" w:rsidR="00F765A0">
        <w:rPr>
          <w:rFonts w:eastAsia="Arial Unicode MS"/>
          <w:sz w:val="24"/>
          <w:szCs w:val="24"/>
          <w:bdr w:val="nil"/>
        </w:rPr>
        <w:t xml:space="preserve"> an audit</w:t>
      </w:r>
      <w:r w:rsidRPr="00B95412" w:rsidR="00261F9F">
        <w:rPr>
          <w:rFonts w:eastAsia="Arial Unicode MS"/>
          <w:sz w:val="24"/>
          <w:szCs w:val="24"/>
          <w:bdr w:val="nil"/>
        </w:rPr>
        <w:t xml:space="preserve"> </w:t>
      </w:r>
      <w:r w:rsidRPr="00B95412" w:rsidR="00276DAD">
        <w:rPr>
          <w:rFonts w:eastAsia="Arial Unicode MS"/>
          <w:sz w:val="24"/>
          <w:szCs w:val="24"/>
          <w:bdr w:val="nil"/>
        </w:rPr>
        <w:t>aimed at determining guidelines to protect consumer funding.</w:t>
      </w:r>
      <w:r>
        <w:rPr>
          <w:rStyle w:val="FootnoteReference"/>
          <w:rFonts w:eastAsia="Arial Unicode MS"/>
          <w:sz w:val="24"/>
          <w:szCs w:val="24"/>
          <w:bdr w:val="nil"/>
        </w:rPr>
        <w:footnoteReference w:id="53"/>
      </w:r>
      <w:r w:rsidRPr="00B95412" w:rsidR="00B57F0C">
        <w:rPr>
          <w:rFonts w:eastAsia="Arial Unicode MS"/>
          <w:sz w:val="24"/>
          <w:szCs w:val="24"/>
          <w:bdr w:val="nil"/>
        </w:rPr>
        <w:t xml:space="preserve"> </w:t>
      </w:r>
      <w:r w:rsidRPr="00B95412" w:rsidR="00F765A0">
        <w:rPr>
          <w:rFonts w:eastAsia="Arial Unicode MS"/>
          <w:sz w:val="24"/>
          <w:szCs w:val="24"/>
          <w:bdr w:val="nil"/>
        </w:rPr>
        <w:t>Further, AEP’s description of what it intends to use consumers’ funds for is</w:t>
      </w:r>
      <w:r w:rsidRPr="00B95412" w:rsidR="002507A6">
        <w:rPr>
          <w:rFonts w:eastAsia="Arial Unicode MS"/>
          <w:sz w:val="24"/>
          <w:szCs w:val="24"/>
          <w:bdr w:val="nil"/>
        </w:rPr>
        <w:t xml:space="preserve"> lacking</w:t>
      </w:r>
      <w:r w:rsidRPr="00B95412" w:rsidR="00E90B19">
        <w:rPr>
          <w:rFonts w:eastAsia="Arial Unicode MS"/>
          <w:sz w:val="24"/>
          <w:szCs w:val="24"/>
          <w:bdr w:val="nil"/>
        </w:rPr>
        <w:t xml:space="preserve">, claiming to reduce usage, and therefore bills, by assisting low income consumers with acquiring </w:t>
      </w:r>
      <w:r w:rsidRPr="00B95412" w:rsidR="00755469">
        <w:rPr>
          <w:rFonts w:eastAsia="Arial Unicode MS"/>
          <w:sz w:val="24"/>
          <w:szCs w:val="24"/>
          <w:bdr w:val="nil"/>
        </w:rPr>
        <w:t xml:space="preserve">more efficient </w:t>
      </w:r>
      <w:r w:rsidRPr="00B95412" w:rsidR="00E90B19">
        <w:rPr>
          <w:rFonts w:eastAsia="Arial Unicode MS"/>
          <w:sz w:val="24"/>
          <w:szCs w:val="24"/>
          <w:bdr w:val="nil"/>
        </w:rPr>
        <w:t>high</w:t>
      </w:r>
      <w:r w:rsidRPr="00B95412" w:rsidR="00755469">
        <w:rPr>
          <w:rFonts w:eastAsia="Arial Unicode MS"/>
          <w:sz w:val="24"/>
          <w:szCs w:val="24"/>
          <w:bdr w:val="nil"/>
        </w:rPr>
        <w:t>-energy use products for their homes</w:t>
      </w:r>
      <w:r w:rsidRPr="00B95412" w:rsidR="00E90B19">
        <w:rPr>
          <w:rFonts w:eastAsia="Arial Unicode MS"/>
          <w:sz w:val="24"/>
          <w:szCs w:val="24"/>
          <w:bdr w:val="nil"/>
        </w:rPr>
        <w:t xml:space="preserve"> </w:t>
      </w:r>
      <w:r w:rsidRPr="00B95412" w:rsidR="00F765A0">
        <w:rPr>
          <w:rFonts w:eastAsia="Arial Unicode MS"/>
          <w:sz w:val="24"/>
          <w:szCs w:val="24"/>
          <w:bdr w:val="nil"/>
        </w:rPr>
        <w:t>.</w:t>
      </w:r>
      <w:r>
        <w:rPr>
          <w:rStyle w:val="FootnoteReference"/>
          <w:rFonts w:eastAsia="Arial Unicode MS"/>
          <w:sz w:val="24"/>
          <w:szCs w:val="24"/>
          <w:bdr w:val="nil"/>
        </w:rPr>
        <w:footnoteReference w:id="54"/>
      </w:r>
      <w:r w:rsidRPr="00B95412" w:rsidR="00B57F0C">
        <w:rPr>
          <w:rFonts w:eastAsia="Arial Unicode MS"/>
          <w:sz w:val="24"/>
          <w:szCs w:val="24"/>
          <w:bdr w:val="nil"/>
        </w:rPr>
        <w:t xml:space="preserve"> </w:t>
      </w:r>
      <w:r w:rsidRPr="00B95412" w:rsidR="00E05C22">
        <w:rPr>
          <w:rFonts w:eastAsia="Arial Unicode MS"/>
          <w:sz w:val="24"/>
          <w:szCs w:val="24"/>
          <w:bdr w:val="nil"/>
        </w:rPr>
        <w:t xml:space="preserve">For all of these reasons, OCC respectfully requests the </w:t>
      </w:r>
      <w:r w:rsidRPr="00B95412" w:rsidR="00BC5E5C">
        <w:rPr>
          <w:rFonts w:eastAsia="Arial Unicode MS"/>
          <w:sz w:val="24"/>
          <w:szCs w:val="24"/>
          <w:bdr w:val="nil"/>
        </w:rPr>
        <w:t>PUCO</w:t>
      </w:r>
      <w:r w:rsidRPr="00B95412" w:rsidR="00E05C22">
        <w:rPr>
          <w:rFonts w:eastAsia="Arial Unicode MS"/>
          <w:sz w:val="24"/>
          <w:szCs w:val="24"/>
          <w:bdr w:val="nil"/>
        </w:rPr>
        <w:t xml:space="preserve"> refuse to approve the </w:t>
      </w:r>
      <w:r w:rsidRPr="00B95412" w:rsidR="002507A6">
        <w:rPr>
          <w:rFonts w:eastAsia="Arial Unicode MS"/>
          <w:sz w:val="24"/>
          <w:szCs w:val="24"/>
          <w:bdr w:val="nil"/>
        </w:rPr>
        <w:t xml:space="preserve">energy efficiency </w:t>
      </w:r>
      <w:r w:rsidRPr="00B95412" w:rsidR="00E05C22">
        <w:rPr>
          <w:rFonts w:eastAsia="Arial Unicode MS"/>
          <w:sz w:val="24"/>
          <w:szCs w:val="24"/>
          <w:bdr w:val="nil"/>
        </w:rPr>
        <w:t>programs as described in the Settlement.</w:t>
      </w:r>
    </w:p>
    <w:p w:rsidR="00FF4447" w:rsidRPr="00B95412" w:rsidP="00FF4447" w14:paraId="74687CF6" w14:textId="55918444">
      <w:pPr>
        <w:pStyle w:val="Heading2"/>
      </w:pPr>
      <w:bookmarkStart w:id="19" w:name="_Toc154128543"/>
      <w:r w:rsidRPr="00B95412">
        <w:t>E.</w:t>
      </w:r>
      <w:r w:rsidRPr="00B95412">
        <w:tab/>
        <w:t xml:space="preserve">Forcing all consumers, including </w:t>
      </w:r>
      <w:r w:rsidRPr="00B95412">
        <w:rPr>
          <w:rFonts w:eastAsia="Calibri"/>
          <w14:ligatures w14:val="standardContextual"/>
        </w:rPr>
        <w:t>Percentage of Income Payment Plan (“PIPP”)</w:t>
      </w:r>
      <w:r w:rsidRPr="00B95412">
        <w:t xml:space="preserve"> consumers, to fund AEP’s Neighbor-to-Neighbor program does not benefit consumers and the public interest.</w:t>
      </w:r>
      <w:bookmarkEnd w:id="19"/>
    </w:p>
    <w:p w:rsidR="00FF4447" w:rsidRPr="00B95412" w:rsidP="00FF4447" w14:paraId="678EDA0F" w14:textId="21A620DF">
      <w:pPr>
        <w:widowControl/>
        <w:autoSpaceDE/>
        <w:autoSpaceDN/>
        <w:spacing w:line="480" w:lineRule="auto"/>
        <w:ind w:firstLine="720"/>
        <w:rPr>
          <w:rFonts w:eastAsia="Calibri"/>
          <w:sz w:val="24"/>
          <w:szCs w:val="24"/>
          <w14:ligatures w14:val="standardContextual"/>
        </w:rPr>
      </w:pPr>
      <w:r w:rsidRPr="00B95412">
        <w:rPr>
          <w:rFonts w:eastAsia="Calibri"/>
          <w:sz w:val="24"/>
          <w:szCs w:val="24"/>
          <w14:ligatures w14:val="standardContextual"/>
        </w:rPr>
        <w:t>As OCC witness Tinkham testified, in order to actually benefit consumers and public interest, as well as comply with</w:t>
      </w:r>
      <w:r w:rsidRPr="00B95412">
        <w:rPr>
          <w:sz w:val="24"/>
          <w:szCs w:val="24"/>
        </w:rPr>
        <w:t xml:space="preserve"> </w:t>
      </w:r>
      <w:r w:rsidRPr="00B95412">
        <w:rPr>
          <w:rFonts w:eastAsia="Calibri"/>
          <w:sz w:val="24"/>
          <w:szCs w:val="24"/>
          <w14:ligatures w14:val="standardContextual"/>
        </w:rPr>
        <w:t>regulatory principles and policy as stated within R.C. 4928.02, the Settlement’s provisions for the Neighbor-to-Neighbor program funding must change.</w:t>
      </w:r>
      <w:r>
        <w:rPr>
          <w:rStyle w:val="FootnoteReference"/>
          <w:rFonts w:eastAsia="Calibri"/>
          <w:sz w:val="24"/>
          <w:szCs w:val="24"/>
          <w14:ligatures w14:val="standardContextual"/>
        </w:rPr>
        <w:footnoteReference w:id="55"/>
      </w:r>
      <w:r w:rsidRPr="00B95412">
        <w:rPr>
          <w:rFonts w:eastAsia="Calibri"/>
          <w:sz w:val="24"/>
          <w:szCs w:val="24"/>
          <w14:ligatures w14:val="standardContextual"/>
        </w:rPr>
        <w:t xml:space="preserve"> The Settlement directs that the Neighbor-to-Neighbor program is funded by all residential consumers through the EE Rider</w:t>
      </w:r>
      <w:r>
        <w:rPr>
          <w:rStyle w:val="FootnoteReference"/>
          <w:rFonts w:eastAsia="Calibri"/>
          <w:sz w:val="24"/>
          <w:szCs w:val="24"/>
          <w14:ligatures w14:val="standardContextual"/>
        </w:rPr>
        <w:footnoteReference w:id="56"/>
      </w:r>
      <w:r w:rsidRPr="00B95412">
        <w:rPr>
          <w:rFonts w:eastAsia="Calibri"/>
          <w:sz w:val="24"/>
          <w:szCs w:val="24"/>
          <w14:ligatures w14:val="standardContextual"/>
        </w:rPr>
        <w:t>. However, none of the signatory parties (including AEP) address OCC’s legitimate concerns that it is unreasonable to have this program funded by residential consumers, including those who are supposed to be its beneficiaries.</w:t>
      </w:r>
      <w:r>
        <w:rPr>
          <w:rStyle w:val="FootnoteReference"/>
          <w:rFonts w:eastAsia="Calibri"/>
          <w:sz w:val="24"/>
          <w:szCs w:val="24"/>
          <w14:ligatures w14:val="standardContextual"/>
        </w:rPr>
        <w:footnoteReference w:id="57"/>
      </w:r>
      <w:r w:rsidRPr="00B95412">
        <w:rPr>
          <w:rFonts w:eastAsia="Calibri"/>
          <w:sz w:val="24"/>
          <w:szCs w:val="24"/>
          <w14:ligatures w14:val="standardContextual"/>
        </w:rPr>
        <w:t xml:space="preserve"> In fact, the Citizens Utility Board of Ohio</w:t>
      </w:r>
      <w:r>
        <w:rPr>
          <w:rStyle w:val="FootnoteReference"/>
          <w:rFonts w:eastAsia="Calibri"/>
          <w:sz w:val="24"/>
          <w:szCs w:val="24"/>
          <w14:ligatures w14:val="standardContextual"/>
        </w:rPr>
        <w:footnoteReference w:id="58"/>
      </w:r>
      <w:r w:rsidRPr="00B95412">
        <w:rPr>
          <w:rFonts w:eastAsia="Calibri"/>
          <w:sz w:val="24"/>
          <w:szCs w:val="24"/>
          <w14:ligatures w14:val="standardContextual"/>
        </w:rPr>
        <w:t>, Ohio Environmental Counsel</w:t>
      </w:r>
      <w:r>
        <w:rPr>
          <w:rStyle w:val="FootnoteReference"/>
          <w:rFonts w:eastAsia="Calibri"/>
          <w:sz w:val="24"/>
          <w:szCs w:val="24"/>
          <w14:ligatures w14:val="standardContextual"/>
        </w:rPr>
        <w:footnoteReference w:id="59"/>
      </w:r>
      <w:r w:rsidRPr="00B95412">
        <w:rPr>
          <w:rFonts w:eastAsia="Calibri"/>
          <w:sz w:val="24"/>
          <w:szCs w:val="24"/>
          <w14:ligatures w14:val="standardContextual"/>
        </w:rPr>
        <w:t>, and the PUCO’s own Staff</w:t>
      </w:r>
      <w:r>
        <w:rPr>
          <w:rStyle w:val="FootnoteReference"/>
          <w:rFonts w:eastAsia="Calibri"/>
          <w:sz w:val="24"/>
          <w:szCs w:val="24"/>
          <w14:ligatures w14:val="standardContextual"/>
        </w:rPr>
        <w:footnoteReference w:id="60"/>
      </w:r>
      <w:r w:rsidRPr="00B95412">
        <w:rPr>
          <w:rFonts w:eastAsia="Calibri"/>
          <w:sz w:val="24"/>
          <w:szCs w:val="24"/>
          <w14:ligatures w14:val="standardContextual"/>
        </w:rPr>
        <w:t xml:space="preserve"> mention the Neighbor-to-Neighbor program in their initial briefs without addressing this inequity</w:t>
      </w:r>
      <w:r w:rsidR="004D73C1">
        <w:rPr>
          <w:rFonts w:eastAsia="Calibri"/>
          <w:sz w:val="24"/>
          <w:szCs w:val="24"/>
          <w14:ligatures w14:val="standardContextual"/>
        </w:rPr>
        <w:t>.</w:t>
      </w:r>
      <w:r w:rsidRPr="00B95412">
        <w:rPr>
          <w:rFonts w:eastAsia="Calibri"/>
          <w:sz w:val="24"/>
          <w:szCs w:val="24"/>
          <w14:ligatures w14:val="standardContextual"/>
        </w:rPr>
        <w:t xml:space="preserve"> Therefore, OCC respectfully requests the PUCO not approve the provision of the Settlement that requires residential consumers to fund the</w:t>
      </w:r>
      <w:r w:rsidR="00AC3105">
        <w:rPr>
          <w:rFonts w:eastAsia="Calibri"/>
          <w:sz w:val="24"/>
          <w:szCs w:val="24"/>
          <w14:ligatures w14:val="standardContextual"/>
        </w:rPr>
        <w:t xml:space="preserve"> </w:t>
      </w:r>
      <w:r w:rsidRPr="00B95412">
        <w:rPr>
          <w:rFonts w:eastAsia="Calibri"/>
          <w:sz w:val="24"/>
          <w:szCs w:val="24"/>
          <w14:ligatures w14:val="standardContextual"/>
        </w:rPr>
        <w:t xml:space="preserve">Neighbor-to-Neighbor program. </w:t>
      </w:r>
      <w:r w:rsidRPr="00B95412" w:rsidR="00911F48">
        <w:rPr>
          <w:rFonts w:eastAsia="Calibri"/>
          <w:sz w:val="24"/>
          <w:szCs w:val="24"/>
          <w14:ligatures w14:val="standardContextual"/>
        </w:rPr>
        <w:t>Instead,</w:t>
      </w:r>
      <w:r w:rsidRPr="00B95412">
        <w:rPr>
          <w:rFonts w:eastAsia="Calibri"/>
          <w:sz w:val="24"/>
          <w:szCs w:val="24"/>
          <w14:ligatures w14:val="standardContextual"/>
        </w:rPr>
        <w:t xml:space="preserve"> the program should be shareholder funded, similar to the</w:t>
      </w:r>
      <w:r w:rsidR="00AC3105">
        <w:rPr>
          <w:rFonts w:eastAsia="Calibri"/>
          <w:sz w:val="24"/>
          <w:szCs w:val="24"/>
          <w14:ligatures w14:val="standardContextual"/>
        </w:rPr>
        <w:t xml:space="preserve"> </w:t>
      </w:r>
      <w:r w:rsidRPr="00B95412">
        <w:rPr>
          <w:rFonts w:eastAsia="Calibri"/>
          <w:sz w:val="24"/>
          <w:szCs w:val="24"/>
          <w14:ligatures w14:val="standardContextual"/>
        </w:rPr>
        <w:t xml:space="preserve">program the PUCO ordered shareholder funding for when the PUCO modified the Columbia </w:t>
      </w:r>
      <w:r w:rsidR="004D73C1">
        <w:rPr>
          <w:rFonts w:eastAsia="Calibri"/>
          <w:sz w:val="24"/>
          <w:szCs w:val="24"/>
          <w14:ligatures w14:val="standardContextual"/>
        </w:rPr>
        <w:t xml:space="preserve">Gas of Ohio Proposed </w:t>
      </w:r>
      <w:r w:rsidRPr="00B95412">
        <w:rPr>
          <w:rFonts w:eastAsia="Calibri"/>
          <w:sz w:val="24"/>
          <w:szCs w:val="24"/>
          <w14:ligatures w14:val="standardContextual"/>
        </w:rPr>
        <w:t>Settlement accordingly.</w:t>
      </w:r>
      <w:r>
        <w:rPr>
          <w:rStyle w:val="FootnoteReference"/>
          <w:rFonts w:eastAsia="Calibri"/>
          <w:sz w:val="24"/>
          <w:szCs w:val="24"/>
          <w14:ligatures w14:val="standardContextual"/>
        </w:rPr>
        <w:footnoteReference w:id="61"/>
      </w:r>
    </w:p>
    <w:p w:rsidR="00FF640C" w:rsidRPr="00B95412" w:rsidP="00043F1F" w14:paraId="1D148C49" w14:textId="67D4A100">
      <w:pPr>
        <w:pStyle w:val="Heading2"/>
      </w:pPr>
      <w:bookmarkStart w:id="20" w:name="_Toc154128544"/>
      <w:r w:rsidRPr="00B95412">
        <w:t>F</w:t>
      </w:r>
      <w:r w:rsidRPr="00B95412" w:rsidR="009D0363">
        <w:t>.</w:t>
      </w:r>
      <w:r w:rsidRPr="00B95412" w:rsidR="009D0363">
        <w:tab/>
      </w:r>
      <w:bookmarkStart w:id="21" w:name="_Hlk153835659"/>
      <w:r w:rsidRPr="00B95412" w:rsidR="007D58E1">
        <w:t xml:space="preserve">Failing to separate SSO auctions by </w:t>
      </w:r>
      <w:r w:rsidRPr="00B95412" w:rsidR="00AF06F9">
        <w:t xml:space="preserve">consumer </w:t>
      </w:r>
      <w:r w:rsidRPr="00B95412" w:rsidR="007D58E1">
        <w:t>classes does not benefit consumers and the public interest.</w:t>
      </w:r>
      <w:bookmarkEnd w:id="20"/>
      <w:bookmarkEnd w:id="21"/>
    </w:p>
    <w:p w:rsidR="002B14A2" w:rsidRPr="00AC3105" w:rsidP="004A1B35" w14:paraId="0A178C15" w14:textId="395E38E6">
      <w:pPr>
        <w:spacing w:line="480" w:lineRule="auto"/>
        <w:ind w:firstLine="720"/>
        <w:rPr>
          <w:sz w:val="24"/>
          <w:szCs w:val="24"/>
        </w:rPr>
      </w:pPr>
      <w:r w:rsidRPr="00AC3105">
        <w:rPr>
          <w:sz w:val="24"/>
          <w:szCs w:val="24"/>
        </w:rPr>
        <w:t xml:space="preserve">OCC has proposed </w:t>
      </w:r>
      <w:r w:rsidRPr="00AC3105" w:rsidR="00AF06F9">
        <w:rPr>
          <w:sz w:val="24"/>
          <w:szCs w:val="24"/>
        </w:rPr>
        <w:t xml:space="preserve">that </w:t>
      </w:r>
      <w:r w:rsidRPr="00AC3105" w:rsidR="00A474FD">
        <w:rPr>
          <w:sz w:val="24"/>
          <w:szCs w:val="24"/>
        </w:rPr>
        <w:t xml:space="preserve">the </w:t>
      </w:r>
      <w:r w:rsidRPr="00AC3105" w:rsidR="00BC5E5C">
        <w:rPr>
          <w:sz w:val="24"/>
          <w:szCs w:val="24"/>
        </w:rPr>
        <w:t>PUCO</w:t>
      </w:r>
      <w:r w:rsidRPr="00AC3105">
        <w:rPr>
          <w:sz w:val="24"/>
          <w:szCs w:val="24"/>
        </w:rPr>
        <w:t xml:space="preserve"> </w:t>
      </w:r>
      <w:r w:rsidRPr="00AC3105" w:rsidR="00850652">
        <w:rPr>
          <w:sz w:val="24"/>
          <w:szCs w:val="24"/>
        </w:rPr>
        <w:t xml:space="preserve">require </w:t>
      </w:r>
      <w:r w:rsidRPr="00AC3105">
        <w:rPr>
          <w:sz w:val="24"/>
          <w:szCs w:val="24"/>
        </w:rPr>
        <w:t>Standard Service Offer (“SSO”) auctions</w:t>
      </w:r>
      <w:r w:rsidRPr="00AC3105" w:rsidR="00850652">
        <w:rPr>
          <w:sz w:val="24"/>
          <w:szCs w:val="24"/>
        </w:rPr>
        <w:t xml:space="preserve"> be</w:t>
      </w:r>
      <w:r w:rsidRPr="00AC3105" w:rsidR="00A474FD">
        <w:rPr>
          <w:sz w:val="24"/>
          <w:szCs w:val="24"/>
        </w:rPr>
        <w:t xml:space="preserve"> </w:t>
      </w:r>
      <w:r w:rsidRPr="00AC3105">
        <w:rPr>
          <w:sz w:val="24"/>
          <w:szCs w:val="24"/>
        </w:rPr>
        <w:t>separate</w:t>
      </w:r>
      <w:r w:rsidRPr="00AC3105" w:rsidR="00A474FD">
        <w:rPr>
          <w:sz w:val="24"/>
          <w:szCs w:val="24"/>
        </w:rPr>
        <w:t>d</w:t>
      </w:r>
      <w:r w:rsidRPr="00AC3105">
        <w:rPr>
          <w:sz w:val="24"/>
          <w:szCs w:val="24"/>
        </w:rPr>
        <w:t xml:space="preserve"> by </w:t>
      </w:r>
      <w:r w:rsidRPr="00AC3105" w:rsidR="00AF06F9">
        <w:rPr>
          <w:sz w:val="24"/>
          <w:szCs w:val="24"/>
        </w:rPr>
        <w:t xml:space="preserve">consumer </w:t>
      </w:r>
      <w:r w:rsidRPr="00AC3105">
        <w:rPr>
          <w:sz w:val="24"/>
          <w:szCs w:val="24"/>
        </w:rPr>
        <w:t>class.</w:t>
      </w:r>
      <w:r w:rsidRPr="00AC3105" w:rsidR="00B57F0C">
        <w:rPr>
          <w:sz w:val="24"/>
          <w:szCs w:val="24"/>
        </w:rPr>
        <w:t xml:space="preserve"> </w:t>
      </w:r>
      <w:r w:rsidRPr="00AC3105">
        <w:rPr>
          <w:sz w:val="24"/>
          <w:szCs w:val="24"/>
        </w:rPr>
        <w:t xml:space="preserve">As both OCC and Constellation have argued, a </w:t>
      </w:r>
      <w:r w:rsidRPr="00AC3105" w:rsidR="00A474FD">
        <w:rPr>
          <w:sz w:val="24"/>
          <w:szCs w:val="24"/>
        </w:rPr>
        <w:t>class-based</w:t>
      </w:r>
      <w:r w:rsidRPr="00AC3105">
        <w:rPr>
          <w:sz w:val="24"/>
          <w:szCs w:val="24"/>
        </w:rPr>
        <w:t xml:space="preserve"> auction format will reduce residential consumers’ service charges while shifting the cost of insuring highly variable service demands to the commercial and industrial consumers who actually </w:t>
      </w:r>
      <w:r w:rsidRPr="00AC3105" w:rsidR="00DA4C4A">
        <w:rPr>
          <w:sz w:val="24"/>
          <w:szCs w:val="24"/>
        </w:rPr>
        <w:t xml:space="preserve">cause </w:t>
      </w:r>
      <w:r w:rsidRPr="00AC3105">
        <w:rPr>
          <w:sz w:val="24"/>
          <w:szCs w:val="24"/>
        </w:rPr>
        <w:t>those costs.</w:t>
      </w:r>
      <w:r>
        <w:rPr>
          <w:rStyle w:val="FootnoteReference"/>
          <w:sz w:val="24"/>
          <w:szCs w:val="24"/>
        </w:rPr>
        <w:footnoteReference w:id="62"/>
      </w:r>
      <w:r w:rsidRPr="00AC3105" w:rsidR="00B57F0C">
        <w:rPr>
          <w:sz w:val="24"/>
          <w:szCs w:val="24"/>
        </w:rPr>
        <w:t xml:space="preserve"> </w:t>
      </w:r>
      <w:r w:rsidRPr="00AC3105">
        <w:rPr>
          <w:sz w:val="24"/>
          <w:szCs w:val="24"/>
        </w:rPr>
        <w:t>As the admitted evidence shows, there is no reason for residential consumers to continue footing the bill for the</w:t>
      </w:r>
      <w:r w:rsidRPr="00AC3105" w:rsidR="00DA4C4A">
        <w:rPr>
          <w:sz w:val="24"/>
          <w:szCs w:val="24"/>
        </w:rPr>
        <w:t xml:space="preserve"> higher</w:t>
      </w:r>
      <w:r w:rsidR="00AC3105">
        <w:rPr>
          <w:sz w:val="24"/>
          <w:szCs w:val="24"/>
        </w:rPr>
        <w:t xml:space="preserve"> </w:t>
      </w:r>
      <w:r w:rsidRPr="00AC3105" w:rsidR="009A744F">
        <w:rPr>
          <w:sz w:val="24"/>
          <w:szCs w:val="24"/>
        </w:rPr>
        <w:t>risk associated with</w:t>
      </w:r>
      <w:r w:rsidRPr="00AC3105">
        <w:rPr>
          <w:sz w:val="24"/>
          <w:szCs w:val="24"/>
        </w:rPr>
        <w:t xml:space="preserve"> commercial and industrial </w:t>
      </w:r>
      <w:r w:rsidRPr="00AC3105" w:rsidR="00AF06F9">
        <w:rPr>
          <w:sz w:val="24"/>
          <w:szCs w:val="24"/>
        </w:rPr>
        <w:t xml:space="preserve">consumers’ </w:t>
      </w:r>
      <w:r w:rsidRPr="00AC3105">
        <w:rPr>
          <w:sz w:val="24"/>
          <w:szCs w:val="24"/>
        </w:rPr>
        <w:t xml:space="preserve">energy </w:t>
      </w:r>
      <w:r w:rsidRPr="00AC3105" w:rsidR="00F16E08">
        <w:rPr>
          <w:sz w:val="24"/>
          <w:szCs w:val="24"/>
        </w:rPr>
        <w:t>demands</w:t>
      </w:r>
      <w:r w:rsidRPr="00AC3105">
        <w:rPr>
          <w:sz w:val="24"/>
          <w:szCs w:val="24"/>
        </w:rPr>
        <w:t>.</w:t>
      </w:r>
    </w:p>
    <w:p w:rsidR="002B14A2" w:rsidRPr="00AC3105" w:rsidP="004A1B35" w14:paraId="4465BE9F" w14:textId="15FB7DE5">
      <w:pPr>
        <w:spacing w:line="480" w:lineRule="auto"/>
        <w:ind w:firstLine="720"/>
        <w:rPr>
          <w:sz w:val="24"/>
          <w:szCs w:val="24"/>
        </w:rPr>
      </w:pPr>
      <w:r w:rsidRPr="00AC3105">
        <w:rPr>
          <w:sz w:val="24"/>
          <w:szCs w:val="24"/>
        </w:rPr>
        <w:t>AEP does not</w:t>
      </w:r>
      <w:r w:rsidRPr="00AC3105" w:rsidR="00E42EDE">
        <w:rPr>
          <w:sz w:val="24"/>
          <w:szCs w:val="24"/>
        </w:rPr>
        <w:t xml:space="preserve"> dispute</w:t>
      </w:r>
      <w:r w:rsidRPr="00AC3105" w:rsidR="00B57F0C">
        <w:rPr>
          <w:sz w:val="24"/>
          <w:szCs w:val="24"/>
        </w:rPr>
        <w:t xml:space="preserve"> </w:t>
      </w:r>
      <w:r w:rsidRPr="00AC3105">
        <w:rPr>
          <w:sz w:val="24"/>
          <w:szCs w:val="24"/>
        </w:rPr>
        <w:t>that a class-based auction system would benefit consumers.</w:t>
      </w:r>
      <w:r w:rsidRPr="00AC3105" w:rsidR="00B57F0C">
        <w:rPr>
          <w:sz w:val="24"/>
          <w:szCs w:val="24"/>
        </w:rPr>
        <w:t xml:space="preserve"> </w:t>
      </w:r>
      <w:r w:rsidRPr="00AC3105" w:rsidR="00E42EDE">
        <w:rPr>
          <w:sz w:val="24"/>
          <w:szCs w:val="24"/>
        </w:rPr>
        <w:t xml:space="preserve">Instead, </w:t>
      </w:r>
      <w:r w:rsidRPr="00AC3105">
        <w:rPr>
          <w:sz w:val="24"/>
          <w:szCs w:val="24"/>
        </w:rPr>
        <w:t xml:space="preserve">AEP </w:t>
      </w:r>
      <w:r w:rsidRPr="00AC3105" w:rsidR="00E42EDE">
        <w:rPr>
          <w:sz w:val="24"/>
          <w:szCs w:val="24"/>
        </w:rPr>
        <w:t xml:space="preserve">claims </w:t>
      </w:r>
      <w:r w:rsidRPr="00AC3105">
        <w:rPr>
          <w:sz w:val="24"/>
          <w:szCs w:val="24"/>
        </w:rPr>
        <w:t xml:space="preserve">that the proposed </w:t>
      </w:r>
      <w:r w:rsidRPr="00AC3105" w:rsidR="00AF06F9">
        <w:rPr>
          <w:sz w:val="24"/>
          <w:szCs w:val="24"/>
        </w:rPr>
        <w:t xml:space="preserve">Settlement </w:t>
      </w:r>
      <w:r w:rsidRPr="00AC3105">
        <w:rPr>
          <w:sz w:val="24"/>
          <w:szCs w:val="24"/>
        </w:rPr>
        <w:t>is good enough and there is no need to put more thought into its ESP.</w:t>
      </w:r>
      <w:r>
        <w:rPr>
          <w:rStyle w:val="FootnoteReference"/>
          <w:sz w:val="24"/>
          <w:szCs w:val="24"/>
        </w:rPr>
        <w:footnoteReference w:id="63"/>
      </w:r>
      <w:r w:rsidRPr="00AC3105" w:rsidR="00B57F0C">
        <w:rPr>
          <w:sz w:val="24"/>
          <w:szCs w:val="24"/>
        </w:rPr>
        <w:t xml:space="preserve"> </w:t>
      </w:r>
      <w:r w:rsidRPr="00AC3105">
        <w:rPr>
          <w:sz w:val="24"/>
          <w:szCs w:val="24"/>
        </w:rPr>
        <w:t xml:space="preserve">AEP acknowledges </w:t>
      </w:r>
      <w:r w:rsidRPr="00AC3105" w:rsidR="00E42EDE">
        <w:rPr>
          <w:sz w:val="24"/>
          <w:szCs w:val="24"/>
        </w:rPr>
        <w:t xml:space="preserve">that </w:t>
      </w:r>
      <w:r w:rsidRPr="00AC3105">
        <w:rPr>
          <w:sz w:val="24"/>
          <w:szCs w:val="24"/>
        </w:rPr>
        <w:t xml:space="preserve">OCC witness Wilson and Constellation witness Indukuri recommend an SSO </w:t>
      </w:r>
      <w:r w:rsidRPr="00AC3105" w:rsidR="00A26C2D">
        <w:rPr>
          <w:sz w:val="24"/>
          <w:szCs w:val="24"/>
        </w:rPr>
        <w:t>competitive bidding process (“</w:t>
      </w:r>
      <w:r w:rsidRPr="00AC3105">
        <w:rPr>
          <w:sz w:val="24"/>
          <w:szCs w:val="24"/>
        </w:rPr>
        <w:t>CBP</w:t>
      </w:r>
      <w:r w:rsidRPr="00AC3105" w:rsidR="00A26C2D">
        <w:rPr>
          <w:sz w:val="24"/>
          <w:szCs w:val="24"/>
        </w:rPr>
        <w:t>”)</w:t>
      </w:r>
      <w:r w:rsidRPr="00AC3105">
        <w:rPr>
          <w:sz w:val="24"/>
          <w:szCs w:val="24"/>
        </w:rPr>
        <w:t xml:space="preserve"> modification to segment auction products by </w:t>
      </w:r>
      <w:r w:rsidRPr="00AC3105" w:rsidR="00AF06F9">
        <w:rPr>
          <w:sz w:val="24"/>
          <w:szCs w:val="24"/>
        </w:rPr>
        <w:t xml:space="preserve">consumer </w:t>
      </w:r>
      <w:r w:rsidRPr="00AC3105">
        <w:rPr>
          <w:sz w:val="24"/>
          <w:szCs w:val="24"/>
        </w:rPr>
        <w:t>class</w:t>
      </w:r>
      <w:r w:rsidRPr="00AC3105" w:rsidR="00E42EDE">
        <w:rPr>
          <w:sz w:val="24"/>
          <w:szCs w:val="24"/>
        </w:rPr>
        <w:t>.</w:t>
      </w:r>
      <w:r>
        <w:rPr>
          <w:rStyle w:val="FootnoteReference"/>
          <w:sz w:val="24"/>
          <w:szCs w:val="24"/>
        </w:rPr>
        <w:footnoteReference w:id="64"/>
      </w:r>
      <w:r w:rsidR="00AC3105">
        <w:rPr>
          <w:sz w:val="24"/>
          <w:szCs w:val="24"/>
        </w:rPr>
        <w:t xml:space="preserve"> </w:t>
      </w:r>
      <w:r w:rsidRPr="00AC3105" w:rsidR="00E42EDE">
        <w:rPr>
          <w:sz w:val="24"/>
          <w:szCs w:val="24"/>
        </w:rPr>
        <w:t xml:space="preserve">However, AEP </w:t>
      </w:r>
      <w:r w:rsidRPr="00AC3105">
        <w:rPr>
          <w:sz w:val="24"/>
          <w:szCs w:val="24"/>
        </w:rPr>
        <w:t xml:space="preserve">claims </w:t>
      </w:r>
      <w:r w:rsidRPr="00AC3105" w:rsidR="00E42EDE">
        <w:rPr>
          <w:sz w:val="24"/>
          <w:szCs w:val="24"/>
        </w:rPr>
        <w:t xml:space="preserve">that </w:t>
      </w:r>
      <w:r w:rsidRPr="00AC3105">
        <w:rPr>
          <w:sz w:val="24"/>
          <w:szCs w:val="24"/>
        </w:rPr>
        <w:t xml:space="preserve">neither witness </w:t>
      </w:r>
      <w:r w:rsidRPr="00AC3105" w:rsidR="00E42EDE">
        <w:rPr>
          <w:sz w:val="24"/>
          <w:szCs w:val="24"/>
        </w:rPr>
        <w:t>support</w:t>
      </w:r>
      <w:r w:rsidRPr="00AC3105">
        <w:rPr>
          <w:sz w:val="24"/>
          <w:szCs w:val="24"/>
        </w:rPr>
        <w:t>s their proposal with a principled analysis of data or other record evidence.</w:t>
      </w:r>
      <w:r>
        <w:rPr>
          <w:rStyle w:val="FootnoteReference"/>
          <w:sz w:val="24"/>
          <w:szCs w:val="24"/>
        </w:rPr>
        <w:footnoteReference w:id="65"/>
      </w:r>
      <w:r w:rsidRPr="00AC3105" w:rsidR="00B57F0C">
        <w:rPr>
          <w:sz w:val="24"/>
          <w:szCs w:val="24"/>
        </w:rPr>
        <w:t xml:space="preserve"> </w:t>
      </w:r>
      <w:r w:rsidRPr="00AC3105" w:rsidR="00F66DD4">
        <w:rPr>
          <w:sz w:val="24"/>
          <w:szCs w:val="24"/>
        </w:rPr>
        <w:t xml:space="preserve">AEP is wrong. </w:t>
      </w:r>
      <w:r w:rsidRPr="00AC3105" w:rsidR="00E42EDE">
        <w:rPr>
          <w:sz w:val="24"/>
          <w:szCs w:val="24"/>
        </w:rPr>
        <w:t xml:space="preserve">Both </w:t>
      </w:r>
      <w:r w:rsidRPr="00AC3105" w:rsidR="0084078A">
        <w:rPr>
          <w:sz w:val="24"/>
          <w:szCs w:val="24"/>
        </w:rPr>
        <w:t>Indukuri and Wilson</w:t>
      </w:r>
      <w:r w:rsidRPr="00AC3105" w:rsidR="00E42EDE">
        <w:rPr>
          <w:sz w:val="24"/>
          <w:szCs w:val="24"/>
        </w:rPr>
        <w:t xml:space="preserve"> present substantial data and testimony in support of </w:t>
      </w:r>
      <w:r w:rsidRPr="00AC3105" w:rsidR="002E325B">
        <w:rPr>
          <w:sz w:val="24"/>
          <w:szCs w:val="24"/>
        </w:rPr>
        <w:t>a class-based auction system</w:t>
      </w:r>
      <w:r w:rsidRPr="00AC3105" w:rsidR="0084078A">
        <w:rPr>
          <w:sz w:val="24"/>
          <w:szCs w:val="24"/>
        </w:rPr>
        <w:t>.</w:t>
      </w:r>
      <w:r>
        <w:rPr>
          <w:rStyle w:val="FootnoteReference"/>
          <w:sz w:val="24"/>
          <w:szCs w:val="24"/>
        </w:rPr>
        <w:footnoteReference w:id="66"/>
      </w:r>
      <w:r w:rsidRPr="00AC3105" w:rsidR="00B57F0C">
        <w:rPr>
          <w:sz w:val="24"/>
          <w:szCs w:val="24"/>
        </w:rPr>
        <w:t xml:space="preserve"> </w:t>
      </w:r>
      <w:r w:rsidRPr="00AC3105" w:rsidR="002E325B">
        <w:rPr>
          <w:sz w:val="24"/>
          <w:szCs w:val="24"/>
        </w:rPr>
        <w:t xml:space="preserve">The Settlement fails to even </w:t>
      </w:r>
      <w:r w:rsidRPr="00AC3105">
        <w:rPr>
          <w:sz w:val="24"/>
          <w:szCs w:val="24"/>
        </w:rPr>
        <w:t>consider these reasonable suggestions made by OCC and Constellation, or address their submitted analysis and evidence</w:t>
      </w:r>
      <w:r w:rsidRPr="00AC3105" w:rsidR="002E325B">
        <w:rPr>
          <w:sz w:val="24"/>
          <w:szCs w:val="24"/>
        </w:rPr>
        <w:t>.</w:t>
      </w:r>
      <w:r w:rsidRPr="00AC3105" w:rsidR="00B57F0C">
        <w:rPr>
          <w:sz w:val="24"/>
          <w:szCs w:val="24"/>
        </w:rPr>
        <w:t xml:space="preserve"> </w:t>
      </w:r>
      <w:r w:rsidRPr="00AC3105" w:rsidR="002E325B">
        <w:rPr>
          <w:sz w:val="24"/>
          <w:szCs w:val="24"/>
        </w:rPr>
        <w:t xml:space="preserve">AEP </w:t>
      </w:r>
      <w:r w:rsidRPr="00AC3105" w:rsidR="00F66DD4">
        <w:rPr>
          <w:sz w:val="24"/>
          <w:szCs w:val="24"/>
        </w:rPr>
        <w:t xml:space="preserve">ignores, </w:t>
      </w:r>
      <w:r w:rsidRPr="00AC3105">
        <w:rPr>
          <w:sz w:val="24"/>
          <w:szCs w:val="24"/>
        </w:rPr>
        <w:t>rather than address</w:t>
      </w:r>
      <w:r w:rsidRPr="00AC3105" w:rsidR="00F66DD4">
        <w:rPr>
          <w:sz w:val="24"/>
          <w:szCs w:val="24"/>
        </w:rPr>
        <w:t>es,</w:t>
      </w:r>
      <w:r w:rsidRPr="00AC3105">
        <w:rPr>
          <w:sz w:val="24"/>
          <w:szCs w:val="24"/>
        </w:rPr>
        <w:t xml:space="preserve"> the merits of </w:t>
      </w:r>
      <w:r w:rsidRPr="00AC3105" w:rsidR="00F66DD4">
        <w:rPr>
          <w:sz w:val="24"/>
          <w:szCs w:val="24"/>
        </w:rPr>
        <w:t>OCC’s and Constellation’s</w:t>
      </w:r>
      <w:r w:rsidRPr="00AC3105">
        <w:rPr>
          <w:sz w:val="24"/>
          <w:szCs w:val="24"/>
        </w:rPr>
        <w:t xml:space="preserve"> testimony.</w:t>
      </w:r>
      <w:r>
        <w:rPr>
          <w:rStyle w:val="FootnoteReference"/>
          <w:sz w:val="24"/>
          <w:szCs w:val="24"/>
        </w:rPr>
        <w:footnoteReference w:id="67"/>
      </w:r>
      <w:r w:rsidR="00AC3105">
        <w:rPr>
          <w:sz w:val="24"/>
          <w:szCs w:val="24"/>
        </w:rPr>
        <w:t xml:space="preserve"> </w:t>
      </w:r>
    </w:p>
    <w:p w:rsidR="00AF06F9" w:rsidRPr="00AC3105" w:rsidP="004A1B35" w14:paraId="39F58AAB" w14:textId="54896A70">
      <w:pPr>
        <w:spacing w:line="480" w:lineRule="auto"/>
        <w:ind w:firstLine="720"/>
        <w:rPr>
          <w:sz w:val="24"/>
          <w:szCs w:val="24"/>
        </w:rPr>
      </w:pPr>
      <w:r w:rsidRPr="00AC3105">
        <w:rPr>
          <w:sz w:val="24"/>
          <w:szCs w:val="24"/>
        </w:rPr>
        <w:t xml:space="preserve">AEP seeks to discredit Indukuri’s testimony by claiming that he has cherry-picked data </w:t>
      </w:r>
      <w:r w:rsidRPr="00AC3105" w:rsidR="00F66DD4">
        <w:rPr>
          <w:sz w:val="24"/>
          <w:szCs w:val="24"/>
        </w:rPr>
        <w:t xml:space="preserve">from Pennsylvania </w:t>
      </w:r>
      <w:r w:rsidRPr="00AC3105" w:rsidR="00B55BE8">
        <w:rPr>
          <w:sz w:val="24"/>
          <w:szCs w:val="24"/>
        </w:rPr>
        <w:t>to</w:t>
      </w:r>
      <w:r w:rsidRPr="00AC3105">
        <w:rPr>
          <w:sz w:val="24"/>
          <w:szCs w:val="24"/>
        </w:rPr>
        <w:t xml:space="preserve"> support his position</w:t>
      </w:r>
      <w:r w:rsidRPr="00AC3105" w:rsidR="00B55BE8">
        <w:rPr>
          <w:sz w:val="24"/>
          <w:szCs w:val="24"/>
        </w:rPr>
        <w:t xml:space="preserve"> when</w:t>
      </w:r>
      <w:r w:rsidRPr="00AC3105">
        <w:rPr>
          <w:sz w:val="24"/>
          <w:szCs w:val="24"/>
        </w:rPr>
        <w:t xml:space="preserve"> the larger picture does not.</w:t>
      </w:r>
      <w:r>
        <w:rPr>
          <w:rStyle w:val="FootnoteReference"/>
          <w:sz w:val="24"/>
          <w:szCs w:val="24"/>
        </w:rPr>
        <w:footnoteReference w:id="68"/>
      </w:r>
      <w:r w:rsidRPr="00AC3105" w:rsidR="00B57F0C">
        <w:rPr>
          <w:sz w:val="24"/>
          <w:szCs w:val="24"/>
        </w:rPr>
        <w:t xml:space="preserve"> </w:t>
      </w:r>
      <w:r w:rsidRPr="00AC3105">
        <w:rPr>
          <w:sz w:val="24"/>
          <w:szCs w:val="24"/>
        </w:rPr>
        <w:t xml:space="preserve">However, </w:t>
      </w:r>
      <w:r w:rsidR="00AE5447">
        <w:rPr>
          <w:sz w:val="24"/>
          <w:szCs w:val="24"/>
        </w:rPr>
        <w:t xml:space="preserve">it is undisputed that </w:t>
      </w:r>
      <w:r w:rsidRPr="00AC3105" w:rsidR="0048220C">
        <w:rPr>
          <w:sz w:val="24"/>
          <w:szCs w:val="24"/>
        </w:rPr>
        <w:t>unlike Ohio’s electric utilities, Pen</w:t>
      </w:r>
      <w:r w:rsidRPr="00AC3105" w:rsidR="00B55BE8">
        <w:rPr>
          <w:sz w:val="24"/>
          <w:szCs w:val="24"/>
        </w:rPr>
        <w:t>nsylvania’s utilities also obtain transmission and/or renewable energy credits as part of their default service auctions</w:t>
      </w:r>
      <w:r w:rsidRPr="00AC3105">
        <w:rPr>
          <w:sz w:val="24"/>
          <w:szCs w:val="24"/>
        </w:rPr>
        <w:t>.</w:t>
      </w:r>
      <w:r>
        <w:rPr>
          <w:rStyle w:val="FootnoteReference"/>
          <w:sz w:val="24"/>
          <w:szCs w:val="24"/>
        </w:rPr>
        <w:footnoteReference w:id="69"/>
      </w:r>
      <w:r w:rsidRPr="00AC3105" w:rsidR="00B57F0C">
        <w:rPr>
          <w:sz w:val="24"/>
          <w:szCs w:val="24"/>
        </w:rPr>
        <w:t xml:space="preserve"> </w:t>
      </w:r>
      <w:r w:rsidRPr="00AC3105">
        <w:rPr>
          <w:sz w:val="24"/>
          <w:szCs w:val="24"/>
        </w:rPr>
        <w:t xml:space="preserve">Indukuri </w:t>
      </w:r>
      <w:r w:rsidRPr="00AC3105" w:rsidR="00B55BE8">
        <w:rPr>
          <w:sz w:val="24"/>
          <w:szCs w:val="24"/>
        </w:rPr>
        <w:t xml:space="preserve">demonstrates </w:t>
      </w:r>
      <w:r w:rsidRPr="00AC3105">
        <w:rPr>
          <w:sz w:val="24"/>
          <w:szCs w:val="24"/>
        </w:rPr>
        <w:t>that in the most recent set of auction data</w:t>
      </w:r>
      <w:r>
        <w:rPr>
          <w:rStyle w:val="FootnoteReference"/>
          <w:sz w:val="24"/>
          <w:szCs w:val="24"/>
        </w:rPr>
        <w:footnoteReference w:id="70"/>
      </w:r>
      <w:r w:rsidRPr="00AC3105">
        <w:rPr>
          <w:sz w:val="24"/>
          <w:szCs w:val="24"/>
        </w:rPr>
        <w:t xml:space="preserve"> even without removing the value of those additional services, </w:t>
      </w:r>
      <w:r w:rsidRPr="00AC3105" w:rsidR="00F66DD4">
        <w:rPr>
          <w:sz w:val="24"/>
          <w:szCs w:val="24"/>
        </w:rPr>
        <w:t xml:space="preserve">Pennsylvania’s </w:t>
      </w:r>
      <w:r w:rsidRPr="00AC3105">
        <w:rPr>
          <w:sz w:val="24"/>
          <w:szCs w:val="24"/>
        </w:rPr>
        <w:t>class-based auctions resulted in lower prices than O</w:t>
      </w:r>
      <w:r w:rsidRPr="00AC3105" w:rsidR="00B55BE8">
        <w:rPr>
          <w:sz w:val="24"/>
          <w:szCs w:val="24"/>
        </w:rPr>
        <w:t>hio’s</w:t>
      </w:r>
      <w:r w:rsidRPr="00AC3105">
        <w:rPr>
          <w:sz w:val="24"/>
          <w:szCs w:val="24"/>
        </w:rPr>
        <w:t xml:space="preserve"> faulty “slice of service” system.</w:t>
      </w:r>
      <w:r>
        <w:rPr>
          <w:rStyle w:val="FootnoteReference"/>
          <w:sz w:val="24"/>
          <w:szCs w:val="24"/>
        </w:rPr>
        <w:footnoteReference w:id="71"/>
      </w:r>
      <w:r w:rsidRPr="00AC3105" w:rsidR="00B57F0C">
        <w:rPr>
          <w:sz w:val="24"/>
          <w:szCs w:val="24"/>
        </w:rPr>
        <w:t xml:space="preserve"> </w:t>
      </w:r>
    </w:p>
    <w:p w:rsidR="00AF06F9" w:rsidRPr="00AC3105" w:rsidP="004A1B35" w14:paraId="31669650" w14:textId="31B25789">
      <w:pPr>
        <w:spacing w:line="480" w:lineRule="auto"/>
        <w:ind w:firstLine="720"/>
        <w:rPr>
          <w:sz w:val="24"/>
          <w:szCs w:val="24"/>
        </w:rPr>
      </w:pPr>
      <w:r w:rsidRPr="00AC3105">
        <w:rPr>
          <w:sz w:val="24"/>
          <w:szCs w:val="24"/>
        </w:rPr>
        <w:t xml:space="preserve">AEP witness </w:t>
      </w:r>
      <w:r w:rsidRPr="00AC3105" w:rsidR="002B14A2">
        <w:rPr>
          <w:sz w:val="24"/>
          <w:szCs w:val="24"/>
        </w:rPr>
        <w:t>Kelso</w:t>
      </w:r>
      <w:r w:rsidRPr="00AC3105" w:rsidR="00D632C2">
        <w:rPr>
          <w:sz w:val="24"/>
          <w:szCs w:val="24"/>
        </w:rPr>
        <w:t xml:space="preserve"> presents rebuttal testimony in which she suggests that there are years where Ohio’s </w:t>
      </w:r>
      <w:r w:rsidRPr="00AC3105" w:rsidR="00CC03EA">
        <w:rPr>
          <w:sz w:val="24"/>
          <w:szCs w:val="24"/>
        </w:rPr>
        <w:t>s</w:t>
      </w:r>
      <w:r w:rsidRPr="00AC3105" w:rsidR="00D632C2">
        <w:rPr>
          <w:sz w:val="24"/>
          <w:szCs w:val="24"/>
        </w:rPr>
        <w:t xml:space="preserve">lice-of-system auction yielded lower auction </w:t>
      </w:r>
      <w:r w:rsidRPr="00AC3105">
        <w:rPr>
          <w:sz w:val="24"/>
          <w:szCs w:val="24"/>
        </w:rPr>
        <w:t>clearing</w:t>
      </w:r>
      <w:r w:rsidRPr="00AC3105" w:rsidR="00D632C2">
        <w:rPr>
          <w:sz w:val="24"/>
          <w:szCs w:val="24"/>
        </w:rPr>
        <w:t xml:space="preserve"> prices compared to the </w:t>
      </w:r>
      <w:r w:rsidRPr="00AC3105">
        <w:rPr>
          <w:sz w:val="24"/>
          <w:szCs w:val="24"/>
        </w:rPr>
        <w:t>consumer</w:t>
      </w:r>
      <w:r w:rsidRPr="00AC3105" w:rsidR="00D632C2">
        <w:rPr>
          <w:sz w:val="24"/>
          <w:szCs w:val="24"/>
        </w:rPr>
        <w:t xml:space="preserve"> class auction utilities in Pennsylvania.</w:t>
      </w:r>
      <w:r>
        <w:rPr>
          <w:rStyle w:val="FootnoteReference"/>
          <w:sz w:val="24"/>
          <w:szCs w:val="24"/>
        </w:rPr>
        <w:footnoteReference w:id="72"/>
      </w:r>
      <w:r w:rsidRPr="00AC3105" w:rsidR="00B57F0C">
        <w:rPr>
          <w:sz w:val="24"/>
          <w:szCs w:val="24"/>
        </w:rPr>
        <w:t xml:space="preserve"> </w:t>
      </w:r>
      <w:r w:rsidRPr="00AC3105" w:rsidR="00D632C2">
        <w:rPr>
          <w:sz w:val="24"/>
          <w:szCs w:val="24"/>
        </w:rPr>
        <w:t xml:space="preserve">However, </w:t>
      </w:r>
      <w:r w:rsidRPr="00AC3105" w:rsidR="00CC03EA">
        <w:rPr>
          <w:sz w:val="24"/>
          <w:szCs w:val="24"/>
        </w:rPr>
        <w:t>AEP’s witness Kelso admits that the data in Figure 3 is not an apples-to-apples comparison to the auction clearing prices in AEP Ohio’s SSO auctions.</w:t>
      </w:r>
      <w:r>
        <w:rPr>
          <w:rStyle w:val="FootnoteReference"/>
          <w:sz w:val="24"/>
          <w:szCs w:val="24"/>
        </w:rPr>
        <w:footnoteReference w:id="73"/>
      </w:r>
      <w:r w:rsidRPr="00AC3105" w:rsidR="00B57F0C">
        <w:rPr>
          <w:sz w:val="24"/>
          <w:szCs w:val="24"/>
        </w:rPr>
        <w:t xml:space="preserve"> </w:t>
      </w:r>
      <w:r w:rsidRPr="00AC3105" w:rsidR="00CC03EA">
        <w:rPr>
          <w:sz w:val="24"/>
          <w:szCs w:val="24"/>
        </w:rPr>
        <w:t xml:space="preserve">She further admits that had Constellation witness Indukuri adjusted his Figure 3 numbers to </w:t>
      </w:r>
      <w:r w:rsidRPr="00AC3105" w:rsidR="002E1339">
        <w:rPr>
          <w:sz w:val="24"/>
          <w:szCs w:val="24"/>
        </w:rPr>
        <w:t>account for the differences between Ohio’s slice-of-service auction and Pennsylvania’s class-based auction (which includes transmission and/or REC charges) the evidence showing the benefit of Pennsylvania’s class-based auction would be even greater for that period.</w:t>
      </w:r>
      <w:r>
        <w:rPr>
          <w:rStyle w:val="FootnoteReference"/>
          <w:sz w:val="24"/>
          <w:szCs w:val="24"/>
        </w:rPr>
        <w:footnoteReference w:id="74"/>
      </w:r>
      <w:r w:rsidR="00AC3105">
        <w:rPr>
          <w:sz w:val="24"/>
          <w:szCs w:val="24"/>
        </w:rPr>
        <w:t xml:space="preserve">  </w:t>
      </w:r>
    </w:p>
    <w:p w:rsidR="0084078A" w:rsidRPr="00AC3105" w:rsidP="004A1B35" w14:paraId="6133428A" w14:textId="059CBBF4">
      <w:pPr>
        <w:spacing w:line="480" w:lineRule="auto"/>
        <w:ind w:firstLine="720"/>
        <w:rPr>
          <w:sz w:val="24"/>
          <w:szCs w:val="24"/>
        </w:rPr>
      </w:pPr>
      <w:r w:rsidRPr="00AC3105">
        <w:rPr>
          <w:sz w:val="24"/>
          <w:szCs w:val="24"/>
        </w:rPr>
        <w:t xml:space="preserve">Constellation witness </w:t>
      </w:r>
      <w:r w:rsidRPr="00AC3105" w:rsidR="002B14A2">
        <w:rPr>
          <w:sz w:val="24"/>
          <w:szCs w:val="24"/>
        </w:rPr>
        <w:t xml:space="preserve">Indukuri has provided a clear example of how class-based auctions are reducing the auction clearing prices for residential </w:t>
      </w:r>
      <w:r w:rsidRPr="00AC3105" w:rsidR="00AF06F9">
        <w:rPr>
          <w:sz w:val="24"/>
          <w:szCs w:val="24"/>
        </w:rPr>
        <w:t xml:space="preserve">consumers </w:t>
      </w:r>
      <w:r w:rsidRPr="00AC3105" w:rsidR="002B14A2">
        <w:rPr>
          <w:sz w:val="24"/>
          <w:szCs w:val="24"/>
        </w:rPr>
        <w:t xml:space="preserve">by eliminating the cost of larger commercial </w:t>
      </w:r>
      <w:r w:rsidR="00AE5447">
        <w:rPr>
          <w:sz w:val="24"/>
          <w:szCs w:val="24"/>
        </w:rPr>
        <w:t xml:space="preserve">and industrial </w:t>
      </w:r>
      <w:r w:rsidRPr="00AC3105" w:rsidR="002B14A2">
        <w:rPr>
          <w:sz w:val="24"/>
          <w:szCs w:val="24"/>
        </w:rPr>
        <w:t>entitie</w:t>
      </w:r>
      <w:r w:rsidRPr="00B95412" w:rsidR="00A27DB8">
        <w:rPr>
          <w:sz w:val="24"/>
          <w:szCs w:val="24"/>
        </w:rPr>
        <w:t>s’</w:t>
      </w:r>
      <w:r w:rsidRPr="00AC3105" w:rsidR="002B14A2">
        <w:rPr>
          <w:sz w:val="24"/>
          <w:szCs w:val="24"/>
        </w:rPr>
        <w:t xml:space="preserve"> risk of fluctuating demand.</w:t>
      </w:r>
      <w:r w:rsidR="00AC3105">
        <w:rPr>
          <w:sz w:val="24"/>
          <w:szCs w:val="24"/>
        </w:rPr>
        <w:t xml:space="preserve"> </w:t>
      </w:r>
      <w:r w:rsidRPr="00AC3105" w:rsidR="00B57F0C">
        <w:rPr>
          <w:sz w:val="24"/>
          <w:szCs w:val="24"/>
        </w:rPr>
        <w:t xml:space="preserve"> </w:t>
      </w:r>
      <w:r w:rsidRPr="00AC3105">
        <w:rPr>
          <w:sz w:val="24"/>
          <w:szCs w:val="24"/>
        </w:rPr>
        <w:t>Continuing the status quo of “slice of service” auctions is harmful and unfair to Ohio’s residential consumers.</w:t>
      </w:r>
      <w:r w:rsidRPr="00AC3105" w:rsidR="00B57F0C">
        <w:rPr>
          <w:sz w:val="24"/>
          <w:szCs w:val="24"/>
        </w:rPr>
        <w:t xml:space="preserve"> </w:t>
      </w:r>
    </w:p>
    <w:p w:rsidR="0084078A" w:rsidRPr="00AC3105" w:rsidP="004A1B35" w14:paraId="5C5C2C5E" w14:textId="6C38374A">
      <w:pPr>
        <w:spacing w:line="480" w:lineRule="auto"/>
        <w:ind w:firstLine="720"/>
        <w:rPr>
          <w:sz w:val="24"/>
          <w:szCs w:val="24"/>
        </w:rPr>
      </w:pPr>
      <w:r w:rsidRPr="00B95412">
        <w:rPr>
          <w:rFonts w:eastAsia="Calibri"/>
          <w:sz w:val="24"/>
          <w:szCs w:val="24"/>
        </w:rPr>
        <w:t>Further, as OCC witness Wilson testified, it is common in other states to hold separate auctions for either residential consumers, or residential together with small commercial.</w:t>
      </w:r>
      <w:r>
        <w:rPr>
          <w:rStyle w:val="FootnoteReference"/>
          <w:rFonts w:eastAsia="Calibri"/>
          <w:sz w:val="24"/>
          <w:szCs w:val="24"/>
        </w:rPr>
        <w:footnoteReference w:id="75"/>
      </w:r>
      <w:r w:rsidRPr="00B95412">
        <w:rPr>
          <w:rFonts w:eastAsia="Calibri"/>
          <w:sz w:val="24"/>
          <w:szCs w:val="24"/>
        </w:rPr>
        <w:t xml:space="preserve"> In particular, Wilson provided </w:t>
      </w:r>
      <w:r w:rsidRPr="00B95412" w:rsidR="00892457">
        <w:rPr>
          <w:rFonts w:eastAsia="Calibri"/>
          <w:sz w:val="24"/>
          <w:szCs w:val="24"/>
        </w:rPr>
        <w:t xml:space="preserve">citations to </w:t>
      </w:r>
      <w:r w:rsidRPr="00B95412">
        <w:rPr>
          <w:rFonts w:eastAsia="Calibri"/>
          <w:sz w:val="24"/>
          <w:szCs w:val="24"/>
        </w:rPr>
        <w:t xml:space="preserve">the approaches used by New Jersey, Maryland, the District of Columbia, and Illinois </w:t>
      </w:r>
      <w:r w:rsidRPr="00B95412" w:rsidR="00892457">
        <w:rPr>
          <w:rFonts w:eastAsia="Calibri"/>
          <w:sz w:val="24"/>
          <w:szCs w:val="24"/>
        </w:rPr>
        <w:t xml:space="preserve">who all </w:t>
      </w:r>
      <w:r w:rsidRPr="00B95412">
        <w:rPr>
          <w:rFonts w:eastAsia="Calibri"/>
          <w:sz w:val="24"/>
          <w:szCs w:val="24"/>
        </w:rPr>
        <w:t>hold separate auctions for residential consumers together with small commercial consumers.</w:t>
      </w:r>
      <w:r>
        <w:rPr>
          <w:rStyle w:val="FootnoteReference"/>
          <w:rFonts w:eastAsia="Calibri"/>
          <w:sz w:val="24"/>
          <w:szCs w:val="24"/>
        </w:rPr>
        <w:footnoteReference w:id="76"/>
      </w:r>
      <w:r w:rsidRPr="00B95412">
        <w:rPr>
          <w:rFonts w:eastAsia="Calibri"/>
          <w:sz w:val="24"/>
          <w:szCs w:val="24"/>
        </w:rPr>
        <w:t xml:space="preserve"> Wilson further testified that Pennsylvania, Delaware and Massachusetts hold auctions by consumer class, with residential consumer</w:t>
      </w:r>
      <w:r w:rsidRPr="00B95412" w:rsidR="00892457">
        <w:rPr>
          <w:rFonts w:eastAsia="Calibri"/>
          <w:sz w:val="24"/>
          <w:szCs w:val="24"/>
        </w:rPr>
        <w:t xml:space="preserve"> service </w:t>
      </w:r>
      <w:r w:rsidRPr="00B95412">
        <w:rPr>
          <w:rFonts w:eastAsia="Calibri"/>
          <w:sz w:val="24"/>
          <w:szCs w:val="24"/>
        </w:rPr>
        <w:t>in a wholly separate auction.</w:t>
      </w:r>
      <w:r>
        <w:rPr>
          <w:rStyle w:val="FootnoteReference"/>
          <w:rFonts w:eastAsia="Calibri"/>
          <w:sz w:val="24"/>
          <w:szCs w:val="24"/>
        </w:rPr>
        <w:footnoteReference w:id="77"/>
      </w:r>
      <w:r w:rsidRPr="00B95412">
        <w:rPr>
          <w:rFonts w:eastAsia="Calibri"/>
          <w:sz w:val="24"/>
          <w:szCs w:val="24"/>
        </w:rPr>
        <w:t xml:space="preserve"> As Indukuri pointed out</w:t>
      </w:r>
      <w:r w:rsidRPr="00B95412" w:rsidR="00AF06F9">
        <w:rPr>
          <w:rFonts w:eastAsia="Calibri"/>
          <w:sz w:val="24"/>
          <w:szCs w:val="24"/>
        </w:rPr>
        <w:t>,</w:t>
      </w:r>
      <w:r w:rsidRPr="00B95412" w:rsidR="00892457">
        <w:rPr>
          <w:rFonts w:eastAsia="Calibri"/>
          <w:sz w:val="24"/>
          <w:szCs w:val="24"/>
        </w:rPr>
        <w:t xml:space="preserve"> “No other jurisdiction in PJM conducts a default service procurement that includes large commercial and industrial customers with residential customers as a slice of the system.”</w:t>
      </w:r>
      <w:r>
        <w:rPr>
          <w:rStyle w:val="FootnoteReference"/>
          <w:rFonts w:eastAsia="Calibri"/>
          <w:sz w:val="24"/>
          <w:szCs w:val="24"/>
        </w:rPr>
        <w:footnoteReference w:id="78"/>
      </w:r>
      <w:r w:rsidRPr="00B95412" w:rsidR="00B57F0C">
        <w:rPr>
          <w:rFonts w:eastAsia="Calibri"/>
          <w:sz w:val="24"/>
          <w:szCs w:val="24"/>
        </w:rPr>
        <w:t xml:space="preserve"> </w:t>
      </w:r>
      <w:r w:rsidRPr="00B95412" w:rsidR="00020231">
        <w:rPr>
          <w:rFonts w:eastAsia="Calibri"/>
          <w:sz w:val="24"/>
          <w:szCs w:val="24"/>
        </w:rPr>
        <w:t xml:space="preserve">Indukuri has also clearly identified that residential </w:t>
      </w:r>
      <w:r w:rsidRPr="00B95412" w:rsidR="00B57F0C">
        <w:rPr>
          <w:rFonts w:eastAsia="Calibri"/>
          <w:sz w:val="24"/>
          <w:szCs w:val="24"/>
        </w:rPr>
        <w:t>consumers</w:t>
      </w:r>
      <w:r w:rsidRPr="00B95412" w:rsidR="00AF06F9">
        <w:rPr>
          <w:rFonts w:eastAsia="Calibri"/>
          <w:sz w:val="24"/>
          <w:szCs w:val="24"/>
        </w:rPr>
        <w:t xml:space="preserve"> </w:t>
      </w:r>
      <w:r w:rsidRPr="00B95412" w:rsidR="00020231">
        <w:rPr>
          <w:rFonts w:eastAsia="Calibri"/>
          <w:sz w:val="24"/>
          <w:szCs w:val="24"/>
        </w:rPr>
        <w:t>are being forced to foot the bill for the inherently greater risk of industrial and large commercial customers</w:t>
      </w:r>
      <w:r w:rsidRPr="00B95412" w:rsidR="00563DE6">
        <w:rPr>
          <w:rFonts w:eastAsia="Calibri"/>
          <w:sz w:val="24"/>
          <w:szCs w:val="24"/>
        </w:rPr>
        <w:t>’ load uncertainty through higher auction closing prices and lower auction participation rates.</w:t>
      </w:r>
      <w:r>
        <w:rPr>
          <w:rStyle w:val="FootnoteReference"/>
          <w:rFonts w:eastAsia="Calibri"/>
          <w:sz w:val="24"/>
          <w:szCs w:val="24"/>
        </w:rPr>
        <w:footnoteReference w:id="79"/>
      </w:r>
    </w:p>
    <w:p w:rsidR="006441F1" w:rsidP="00CB3325" w14:paraId="130E085A" w14:textId="063561E7">
      <w:pPr>
        <w:spacing w:line="480" w:lineRule="auto"/>
        <w:ind w:firstLine="720"/>
        <w:rPr>
          <w:sz w:val="24"/>
          <w:szCs w:val="24"/>
        </w:rPr>
      </w:pPr>
      <w:r w:rsidRPr="00AC3105">
        <w:rPr>
          <w:sz w:val="24"/>
          <w:szCs w:val="24"/>
        </w:rPr>
        <w:t xml:space="preserve">AEP has the burden of proving its ESP benefits consumers and </w:t>
      </w:r>
      <w:r w:rsidRPr="00AC3105" w:rsidR="00563DE6">
        <w:rPr>
          <w:sz w:val="24"/>
          <w:szCs w:val="24"/>
        </w:rPr>
        <w:t xml:space="preserve">the public interest, while </w:t>
      </w:r>
      <w:r w:rsidRPr="00AC3105">
        <w:rPr>
          <w:sz w:val="24"/>
          <w:szCs w:val="24"/>
        </w:rPr>
        <w:t>not violat</w:t>
      </w:r>
      <w:r w:rsidRPr="00AC3105" w:rsidR="00563DE6">
        <w:rPr>
          <w:sz w:val="24"/>
          <w:szCs w:val="24"/>
        </w:rPr>
        <w:t>ing</w:t>
      </w:r>
      <w:r w:rsidRPr="00AC3105">
        <w:rPr>
          <w:sz w:val="24"/>
          <w:szCs w:val="24"/>
        </w:rPr>
        <w:t xml:space="preserve"> public policy and standards</w:t>
      </w:r>
      <w:r w:rsidRPr="00AC3105" w:rsidR="00563DE6">
        <w:rPr>
          <w:sz w:val="24"/>
          <w:szCs w:val="24"/>
        </w:rPr>
        <w:t>.</w:t>
      </w:r>
      <w:r w:rsidRPr="00AC3105" w:rsidR="00B57F0C">
        <w:rPr>
          <w:sz w:val="24"/>
          <w:szCs w:val="24"/>
        </w:rPr>
        <w:t xml:space="preserve"> </w:t>
      </w:r>
      <w:r w:rsidRPr="00AC3105" w:rsidR="00563DE6">
        <w:rPr>
          <w:sz w:val="24"/>
          <w:szCs w:val="24"/>
        </w:rPr>
        <w:t>T</w:t>
      </w:r>
      <w:r w:rsidRPr="00AC3105">
        <w:rPr>
          <w:sz w:val="24"/>
          <w:szCs w:val="24"/>
        </w:rPr>
        <w:t>he intervenors in this matter are not required to prove otherwise</w:t>
      </w:r>
      <w:r w:rsidRPr="00AC3105" w:rsidR="00563DE6">
        <w:rPr>
          <w:sz w:val="24"/>
          <w:szCs w:val="24"/>
        </w:rPr>
        <w:t xml:space="preserve"> to defeat the Settlement</w:t>
      </w:r>
      <w:r w:rsidRPr="00AC3105">
        <w:rPr>
          <w:sz w:val="24"/>
          <w:szCs w:val="24"/>
        </w:rPr>
        <w:t>.</w:t>
      </w:r>
      <w:r w:rsidRPr="00AC3105" w:rsidR="00B57F0C">
        <w:rPr>
          <w:sz w:val="24"/>
          <w:szCs w:val="24"/>
        </w:rPr>
        <w:t xml:space="preserve"> </w:t>
      </w:r>
      <w:r w:rsidRPr="00AC3105" w:rsidR="001A4366">
        <w:rPr>
          <w:sz w:val="24"/>
          <w:szCs w:val="24"/>
        </w:rPr>
        <w:t xml:space="preserve">However, </w:t>
      </w:r>
      <w:r w:rsidRPr="00AC3105" w:rsidR="003A7D85">
        <w:rPr>
          <w:sz w:val="24"/>
          <w:szCs w:val="24"/>
        </w:rPr>
        <w:t xml:space="preserve">given </w:t>
      </w:r>
      <w:r w:rsidRPr="00AC3105" w:rsidR="001A4366">
        <w:rPr>
          <w:sz w:val="24"/>
          <w:szCs w:val="24"/>
        </w:rPr>
        <w:t xml:space="preserve">the testimony, analysis, and data presented by both Wilson and Indukuri, it is clear that AEP’s </w:t>
      </w:r>
      <w:r w:rsidRPr="00AC3105" w:rsidR="003A7D85">
        <w:rPr>
          <w:sz w:val="24"/>
          <w:szCs w:val="24"/>
        </w:rPr>
        <w:t xml:space="preserve">rejection of class-based auctions </w:t>
      </w:r>
      <w:r w:rsidRPr="00AC3105" w:rsidR="001A4366">
        <w:rPr>
          <w:sz w:val="24"/>
          <w:szCs w:val="24"/>
        </w:rPr>
        <w:t>harm</w:t>
      </w:r>
      <w:r w:rsidRPr="00AC3105" w:rsidR="003A7D85">
        <w:rPr>
          <w:sz w:val="24"/>
          <w:szCs w:val="24"/>
        </w:rPr>
        <w:t>s</w:t>
      </w:r>
      <w:r w:rsidRPr="00AC3105" w:rsidR="001A4366">
        <w:rPr>
          <w:sz w:val="24"/>
          <w:szCs w:val="24"/>
        </w:rPr>
        <w:t xml:space="preserve"> Ohio’s residential consumers.</w:t>
      </w:r>
      <w:r w:rsidRPr="00AC3105" w:rsidR="00B57F0C">
        <w:rPr>
          <w:sz w:val="24"/>
          <w:szCs w:val="24"/>
        </w:rPr>
        <w:t xml:space="preserve"> </w:t>
      </w:r>
      <w:r w:rsidRPr="00AC3105" w:rsidR="001A4366">
        <w:rPr>
          <w:sz w:val="24"/>
          <w:szCs w:val="24"/>
        </w:rPr>
        <w:t xml:space="preserve">Therefore, OCC respectfully requests the </w:t>
      </w:r>
      <w:r w:rsidRPr="00AC3105" w:rsidR="00BC5E5C">
        <w:rPr>
          <w:sz w:val="24"/>
          <w:szCs w:val="24"/>
        </w:rPr>
        <w:t>PUCO</w:t>
      </w:r>
      <w:r w:rsidRPr="00AC3105" w:rsidR="001A4366">
        <w:rPr>
          <w:sz w:val="24"/>
          <w:szCs w:val="24"/>
        </w:rPr>
        <w:t xml:space="preserve"> refuse to approve the Settlement.</w:t>
      </w:r>
    </w:p>
    <w:p w:rsidR="006441F1" w14:paraId="48F9913E" w14:textId="77777777">
      <w:pPr>
        <w:rPr>
          <w:sz w:val="24"/>
          <w:szCs w:val="24"/>
        </w:rPr>
      </w:pPr>
      <w:r>
        <w:rPr>
          <w:sz w:val="24"/>
          <w:szCs w:val="24"/>
        </w:rPr>
        <w:br w:type="page"/>
      </w:r>
    </w:p>
    <w:p w:rsidR="00FF640C" w:rsidRPr="00B95412" w:rsidP="00043F1F" w14:paraId="1F9D8D6D" w14:textId="131A63B4">
      <w:pPr>
        <w:pStyle w:val="Heading2"/>
      </w:pPr>
      <w:bookmarkStart w:id="22" w:name="_Toc154128545"/>
      <w:r w:rsidRPr="00B95412">
        <w:t>G</w:t>
      </w:r>
      <w:r w:rsidRPr="00B95412" w:rsidR="00DC6D7E">
        <w:t>.</w:t>
      </w:r>
      <w:r w:rsidRPr="00B95412" w:rsidR="00DC6D7E">
        <w:tab/>
      </w:r>
      <w:bookmarkStart w:id="23" w:name="_Hlk153835681"/>
      <w:r w:rsidRPr="00B95412" w:rsidR="007344F6">
        <w:t>T</w:t>
      </w:r>
      <w:r w:rsidRPr="00B95412" w:rsidR="008B62E8">
        <w:t xml:space="preserve">he PUCO should </w:t>
      </w:r>
      <w:r w:rsidRPr="00B95412" w:rsidR="00F66DD4">
        <w:t xml:space="preserve">set </w:t>
      </w:r>
      <w:r w:rsidRPr="00B95412" w:rsidR="008B62E8">
        <w:t xml:space="preserve">the proxy price </w:t>
      </w:r>
      <w:r w:rsidRPr="00B95412" w:rsidR="007D2769">
        <w:t>i</w:t>
      </w:r>
      <w:r w:rsidRPr="00B95412" w:rsidR="007344F6">
        <w:t>f the capacity pass-through mechanism is approved</w:t>
      </w:r>
      <w:r w:rsidRPr="00B95412" w:rsidR="008B62E8">
        <w:t>.</w:t>
      </w:r>
      <w:bookmarkEnd w:id="22"/>
      <w:bookmarkEnd w:id="23"/>
    </w:p>
    <w:p w:rsidR="00897FDC" w:rsidRPr="00B95412" w:rsidP="00494C66" w14:paraId="1ABE5E53" w14:textId="2D04514C">
      <w:pPr>
        <w:widowControl/>
        <w:autoSpaceDE/>
        <w:autoSpaceDN/>
        <w:spacing w:line="480" w:lineRule="auto"/>
        <w:ind w:firstLine="720"/>
        <w:rPr>
          <w:rFonts w:eastAsia="Calibri"/>
          <w:sz w:val="24"/>
          <w:szCs w:val="24"/>
        </w:rPr>
      </w:pPr>
      <w:r w:rsidRPr="00B95412">
        <w:rPr>
          <w:rFonts w:eastAsia="Calibri"/>
          <w:sz w:val="24"/>
          <w:szCs w:val="24"/>
        </w:rPr>
        <w:t>The Settlement proposes to use a capacity pass-through mechanism to address the concern that the applicable PJM capacity prices may not be known before an SSO auction, creating risk for bidders into the SSO auction.</w:t>
      </w:r>
      <w:r>
        <w:rPr>
          <w:rStyle w:val="FootnoteReference"/>
          <w:rFonts w:eastAsia="Calibri"/>
          <w:sz w:val="24"/>
          <w:szCs w:val="24"/>
        </w:rPr>
        <w:footnoteReference w:id="80"/>
      </w:r>
      <w:r w:rsidRPr="00B95412">
        <w:rPr>
          <w:rFonts w:eastAsia="Calibri"/>
          <w:sz w:val="24"/>
          <w:szCs w:val="24"/>
        </w:rPr>
        <w:t xml:space="preserve"> </w:t>
      </w:r>
      <w:r w:rsidRPr="00B95412" w:rsidR="00E55908">
        <w:rPr>
          <w:rFonts w:eastAsia="Calibri"/>
          <w:sz w:val="24"/>
          <w:szCs w:val="24"/>
        </w:rPr>
        <w:t>F</w:t>
      </w:r>
      <w:r w:rsidRPr="00B95412" w:rsidR="00EF223E">
        <w:rPr>
          <w:rFonts w:eastAsia="Calibri"/>
          <w:sz w:val="24"/>
          <w:szCs w:val="24"/>
        </w:rPr>
        <w:t xml:space="preserve">or the sake of consumer protection, </w:t>
      </w:r>
      <w:r w:rsidRPr="00B95412">
        <w:rPr>
          <w:rFonts w:eastAsia="Calibri"/>
          <w:sz w:val="24"/>
          <w:szCs w:val="24"/>
        </w:rPr>
        <w:t>if the capacity pass-through mechanism is approved, the PUCO should provide guidance on how the proxy price will be set.</w:t>
      </w:r>
      <w:r>
        <w:rPr>
          <w:rFonts w:eastAsia="Calibri"/>
          <w:sz w:val="24"/>
          <w:szCs w:val="24"/>
          <w:vertAlign w:val="superscript"/>
        </w:rPr>
        <w:footnoteReference w:id="81"/>
      </w:r>
    </w:p>
    <w:p w:rsidR="00897FDC" w:rsidRPr="00B95412" w:rsidP="004451B5" w14:paraId="5B2B5919" w14:textId="333E9797">
      <w:pPr>
        <w:widowControl/>
        <w:autoSpaceDE/>
        <w:autoSpaceDN/>
        <w:spacing w:line="480" w:lineRule="auto"/>
        <w:ind w:firstLine="720"/>
        <w:rPr>
          <w:rFonts w:eastAsia="Calibri"/>
          <w:sz w:val="24"/>
          <w:szCs w:val="24"/>
        </w:rPr>
      </w:pPr>
      <w:r w:rsidRPr="00B95412">
        <w:rPr>
          <w:rFonts w:eastAsia="Calibri"/>
          <w:sz w:val="24"/>
          <w:szCs w:val="24"/>
        </w:rPr>
        <w:t>The Settlement calls for the capacity pass-through mechanism to be used in the event “BRA clearing prices” for some of the planning years covered by any of the SSO auction products are not known before the SSO auction.</w:t>
      </w:r>
      <w:r>
        <w:rPr>
          <w:rStyle w:val="FootnoteReference"/>
          <w:rFonts w:eastAsia="Calibri"/>
          <w:sz w:val="24"/>
          <w:szCs w:val="24"/>
        </w:rPr>
        <w:footnoteReference w:id="82"/>
      </w:r>
      <w:r w:rsidRPr="00B95412">
        <w:rPr>
          <w:rFonts w:eastAsia="Calibri"/>
          <w:sz w:val="24"/>
          <w:szCs w:val="24"/>
        </w:rPr>
        <w:t xml:space="preserve"> </w:t>
      </w:r>
      <w:r w:rsidRPr="00B95412" w:rsidR="00EF223E">
        <w:rPr>
          <w:rFonts w:eastAsia="Calibri"/>
          <w:sz w:val="24"/>
          <w:szCs w:val="24"/>
        </w:rPr>
        <w:t>However, t</w:t>
      </w:r>
      <w:r w:rsidRPr="00B95412">
        <w:rPr>
          <w:rFonts w:eastAsia="Calibri"/>
          <w:sz w:val="24"/>
          <w:szCs w:val="24"/>
        </w:rPr>
        <w:t xml:space="preserve">he Settlement does not </w:t>
      </w:r>
      <w:r w:rsidRPr="00B95412" w:rsidR="00CB0C47">
        <w:rPr>
          <w:rFonts w:eastAsia="Calibri"/>
          <w:sz w:val="24"/>
          <w:szCs w:val="24"/>
        </w:rPr>
        <w:t xml:space="preserve">set forth </w:t>
      </w:r>
      <w:r w:rsidRPr="00B95412">
        <w:rPr>
          <w:rFonts w:eastAsia="Calibri"/>
          <w:sz w:val="24"/>
          <w:szCs w:val="24"/>
        </w:rPr>
        <w:t>any principles to guide how the proxy price is set.</w:t>
      </w:r>
      <w:r>
        <w:rPr>
          <w:rFonts w:eastAsia="Calibri"/>
          <w:sz w:val="24"/>
          <w:szCs w:val="24"/>
          <w:vertAlign w:val="superscript"/>
        </w:rPr>
        <w:footnoteReference w:id="83"/>
      </w:r>
      <w:r w:rsidRPr="00B95412" w:rsidR="00943AC9">
        <w:rPr>
          <w:rFonts w:eastAsia="Calibri"/>
          <w:sz w:val="24"/>
          <w:szCs w:val="24"/>
        </w:rPr>
        <w:t xml:space="preserve"> </w:t>
      </w:r>
      <w:r w:rsidRPr="00B95412" w:rsidR="00EF223E">
        <w:rPr>
          <w:rFonts w:eastAsia="Calibri"/>
          <w:sz w:val="24"/>
          <w:szCs w:val="24"/>
        </w:rPr>
        <w:t>The Settlement merely states “The auction manager, in consultation with Staff, will establish the proxy capacity price based on objective criteria in advance of the applicable auction.”</w:t>
      </w:r>
      <w:r>
        <w:rPr>
          <w:rStyle w:val="FootnoteReference"/>
          <w:rFonts w:eastAsia="Calibri"/>
          <w:sz w:val="24"/>
          <w:szCs w:val="24"/>
        </w:rPr>
        <w:footnoteReference w:id="84"/>
      </w:r>
      <w:r w:rsidRPr="00B95412" w:rsidR="00B57F0C">
        <w:rPr>
          <w:rFonts w:eastAsia="Calibri"/>
          <w:sz w:val="24"/>
          <w:szCs w:val="24"/>
        </w:rPr>
        <w:t xml:space="preserve"> </w:t>
      </w:r>
      <w:r w:rsidRPr="00B95412" w:rsidR="00887B7B">
        <w:rPr>
          <w:rFonts w:eastAsia="Calibri"/>
          <w:sz w:val="24"/>
          <w:szCs w:val="24"/>
        </w:rPr>
        <w:t>OCC acknowledges that this is the approach approved by the PUCO in the recent SSO procurement auction decision.</w:t>
      </w:r>
      <w:r>
        <w:rPr>
          <w:rFonts w:eastAsia="Calibri"/>
          <w:sz w:val="24"/>
          <w:szCs w:val="24"/>
          <w:vertAlign w:val="superscript"/>
        </w:rPr>
        <w:footnoteReference w:id="85"/>
      </w:r>
      <w:r w:rsidRPr="00B95412" w:rsidR="00B57F0C">
        <w:rPr>
          <w:rFonts w:eastAsia="Calibri"/>
          <w:sz w:val="24"/>
          <w:szCs w:val="24"/>
        </w:rPr>
        <w:t xml:space="preserve"> </w:t>
      </w:r>
      <w:r w:rsidRPr="00B95412" w:rsidR="00E55908">
        <w:rPr>
          <w:rFonts w:eastAsia="Calibri"/>
          <w:sz w:val="24"/>
          <w:szCs w:val="24"/>
        </w:rPr>
        <w:t>However, given that the</w:t>
      </w:r>
      <w:r w:rsidR="00AC3105">
        <w:rPr>
          <w:rFonts w:eastAsia="Calibri"/>
          <w:sz w:val="24"/>
          <w:szCs w:val="24"/>
        </w:rPr>
        <w:t xml:space="preserve"> </w:t>
      </w:r>
      <w:r w:rsidRPr="00B95412">
        <w:rPr>
          <w:rFonts w:eastAsia="Calibri"/>
          <w:sz w:val="24"/>
          <w:szCs w:val="24"/>
        </w:rPr>
        <w:t xml:space="preserve">mechanism and associated true-up are </w:t>
      </w:r>
      <w:r w:rsidRPr="00B95412" w:rsidR="00E55908">
        <w:rPr>
          <w:rFonts w:eastAsia="Calibri"/>
          <w:sz w:val="24"/>
          <w:szCs w:val="24"/>
        </w:rPr>
        <w:t>likely</w:t>
      </w:r>
      <w:r w:rsidRPr="00B95412">
        <w:rPr>
          <w:rFonts w:eastAsia="Calibri"/>
          <w:sz w:val="24"/>
          <w:szCs w:val="24"/>
        </w:rPr>
        <w:t xml:space="preserve"> confusing to smaller residential and commercial consumers </w:t>
      </w:r>
      <w:r w:rsidRPr="00B95412" w:rsidR="00E55908">
        <w:rPr>
          <w:rFonts w:eastAsia="Calibri"/>
          <w:sz w:val="24"/>
          <w:szCs w:val="24"/>
        </w:rPr>
        <w:t>PUCO direction on the implementation of the proxy auction prices is necessary.</w:t>
      </w:r>
      <w:r>
        <w:rPr>
          <w:rStyle w:val="FootnoteReference"/>
          <w:rFonts w:eastAsia="Calibri"/>
          <w:sz w:val="24"/>
          <w:szCs w:val="24"/>
        </w:rPr>
        <w:footnoteReference w:id="86"/>
      </w:r>
      <w:r w:rsidRPr="00B95412">
        <w:rPr>
          <w:rFonts w:eastAsia="Calibri"/>
          <w:sz w:val="24"/>
          <w:szCs w:val="24"/>
        </w:rPr>
        <w:t xml:space="preserve"> </w:t>
      </w:r>
      <w:r w:rsidRPr="00B95412" w:rsidR="008771FE">
        <w:rPr>
          <w:rFonts w:eastAsia="Calibri"/>
          <w:sz w:val="24"/>
          <w:szCs w:val="24"/>
        </w:rPr>
        <w:t>AEP argues that “</w:t>
      </w:r>
      <w:r w:rsidRPr="00AC3105" w:rsidR="008771FE">
        <w:rPr>
          <w:sz w:val="24"/>
          <w:szCs w:val="24"/>
        </w:rPr>
        <w:t>AEP Ohio commits to provide interested stakeholders information on how the proxy price will work.”</w:t>
      </w:r>
      <w:r>
        <w:rPr>
          <w:rStyle w:val="FootnoteReference"/>
          <w:sz w:val="24"/>
          <w:szCs w:val="24"/>
        </w:rPr>
        <w:footnoteReference w:id="87"/>
      </w:r>
      <w:r w:rsidRPr="00AC3105" w:rsidR="00B57F0C">
        <w:rPr>
          <w:sz w:val="24"/>
          <w:szCs w:val="24"/>
        </w:rPr>
        <w:t xml:space="preserve"> </w:t>
      </w:r>
      <w:r w:rsidRPr="00AC3105" w:rsidR="008771FE">
        <w:rPr>
          <w:sz w:val="24"/>
          <w:szCs w:val="24"/>
        </w:rPr>
        <w:t xml:space="preserve">However, this </w:t>
      </w:r>
      <w:r w:rsidRPr="00AC3105" w:rsidR="00E55908">
        <w:rPr>
          <w:sz w:val="24"/>
          <w:szCs w:val="24"/>
        </w:rPr>
        <w:t>explanation provides no substance to help reduce the likely confusion and misunderstanding</w:t>
      </w:r>
      <w:r w:rsidRPr="00AC3105" w:rsidR="00A27DB8">
        <w:rPr>
          <w:sz w:val="24"/>
          <w:szCs w:val="24"/>
        </w:rPr>
        <w:t xml:space="preserve"> caused by not having a proxy price or having a formula to set the proxy price</w:t>
      </w:r>
      <w:r w:rsidRPr="00AC3105" w:rsidR="00E55908">
        <w:rPr>
          <w:sz w:val="24"/>
          <w:szCs w:val="24"/>
        </w:rPr>
        <w:t>.</w:t>
      </w:r>
    </w:p>
    <w:p w:rsidR="00FF640C" w:rsidRPr="00B95412" w:rsidP="004451B5" w14:paraId="5AC99734" w14:textId="54FA4884">
      <w:pPr>
        <w:pStyle w:val="BodyText"/>
        <w:spacing w:before="44" w:line="480" w:lineRule="auto"/>
        <w:ind w:firstLine="720"/>
      </w:pPr>
      <w:r w:rsidRPr="00B95412">
        <w:rPr>
          <w:rFonts w:eastAsia="Calibri"/>
        </w:rPr>
        <w:t xml:space="preserve">For the protection of consumers, OCC requests </w:t>
      </w:r>
      <w:r w:rsidRPr="00B95412" w:rsidR="00897FDC">
        <w:rPr>
          <w:rFonts w:eastAsia="Calibri"/>
        </w:rPr>
        <w:t xml:space="preserve">the PUCO provide guidance on how </w:t>
      </w:r>
      <w:r w:rsidRPr="00B95412">
        <w:rPr>
          <w:rFonts w:eastAsia="Calibri"/>
        </w:rPr>
        <w:t>any potential</w:t>
      </w:r>
      <w:r w:rsidRPr="00B95412" w:rsidR="00897FDC">
        <w:rPr>
          <w:rFonts w:eastAsia="Calibri"/>
        </w:rPr>
        <w:t xml:space="preserve"> proxy price will be set.</w:t>
      </w:r>
      <w:r>
        <w:rPr>
          <w:rStyle w:val="FootnoteReference"/>
          <w:rFonts w:eastAsia="Calibri"/>
        </w:rPr>
        <w:footnoteReference w:id="88"/>
      </w:r>
      <w:r w:rsidR="00AC3105">
        <w:rPr>
          <w:rFonts w:eastAsia="Calibri"/>
        </w:rPr>
        <w:t xml:space="preserve"> </w:t>
      </w:r>
    </w:p>
    <w:p w:rsidR="00FF640C" w:rsidRPr="00B95412" w:rsidP="00043F1F" w14:paraId="5558D396" w14:textId="1C8A7C7A">
      <w:pPr>
        <w:pStyle w:val="Heading2"/>
      </w:pPr>
      <w:bookmarkStart w:id="24" w:name="_Toc154128546"/>
      <w:r w:rsidRPr="00B95412">
        <w:t>H</w:t>
      </w:r>
      <w:r w:rsidRPr="00B95412" w:rsidR="006D501F">
        <w:t>.</w:t>
      </w:r>
      <w:r w:rsidRPr="00B95412" w:rsidR="006D501F">
        <w:tab/>
      </w:r>
      <w:bookmarkStart w:id="25" w:name="_Hlk153835720"/>
      <w:r w:rsidRPr="00B95412" w:rsidR="008B62E8">
        <w:t xml:space="preserve">The Settlement fails to consider affordability, especially to at-risk consumers, or the exorbitant number of AEP service disconnections, and therefore </w:t>
      </w:r>
      <w:r w:rsidRPr="00B95412" w:rsidR="005D044D">
        <w:t xml:space="preserve">harms </w:t>
      </w:r>
      <w:r w:rsidRPr="00B95412" w:rsidR="008B62E8">
        <w:t xml:space="preserve">consumers </w:t>
      </w:r>
      <w:r w:rsidRPr="00B95412" w:rsidR="005D044D">
        <w:t>and</w:t>
      </w:r>
      <w:r w:rsidRPr="00B95412" w:rsidR="008B62E8">
        <w:t xml:space="preserve"> public interest</w:t>
      </w:r>
      <w:r w:rsidRPr="00B95412" w:rsidR="00504396">
        <w:t>, and violates important regulatory principles</w:t>
      </w:r>
      <w:r w:rsidRPr="00B95412" w:rsidR="008B62E8">
        <w:t>.</w:t>
      </w:r>
      <w:bookmarkEnd w:id="24"/>
      <w:bookmarkEnd w:id="25"/>
    </w:p>
    <w:p w:rsidR="00E76D32" w:rsidRPr="00B95412" w:rsidP="00A865C4" w14:paraId="08F91974" w14:textId="094E8692">
      <w:pPr>
        <w:widowControl/>
        <w:autoSpaceDE/>
        <w:autoSpaceDN/>
        <w:spacing w:line="480" w:lineRule="auto"/>
        <w:ind w:firstLine="720"/>
        <w:rPr>
          <w:sz w:val="24"/>
          <w:szCs w:val="24"/>
        </w:rPr>
      </w:pPr>
      <w:r w:rsidRPr="00B95412">
        <w:rPr>
          <w:sz w:val="24"/>
          <w:szCs w:val="24"/>
        </w:rPr>
        <w:t xml:space="preserve">OCC witness Tinkham testified that the </w:t>
      </w:r>
      <w:r w:rsidRPr="00B95412" w:rsidR="00542346">
        <w:rPr>
          <w:sz w:val="24"/>
          <w:szCs w:val="24"/>
        </w:rPr>
        <w:t>S</w:t>
      </w:r>
      <w:r w:rsidRPr="00B95412">
        <w:rPr>
          <w:sz w:val="24"/>
          <w:szCs w:val="24"/>
        </w:rPr>
        <w:t>ettlement do</w:t>
      </w:r>
      <w:r w:rsidRPr="00B95412" w:rsidR="00542346">
        <w:rPr>
          <w:sz w:val="24"/>
          <w:szCs w:val="24"/>
        </w:rPr>
        <w:t>es</w:t>
      </w:r>
      <w:r w:rsidRPr="00B95412">
        <w:rPr>
          <w:sz w:val="24"/>
          <w:szCs w:val="24"/>
        </w:rPr>
        <w:t xml:space="preserve"> </w:t>
      </w:r>
      <w:r w:rsidRPr="00B95412" w:rsidR="00046F91">
        <w:rPr>
          <w:sz w:val="24"/>
          <w:szCs w:val="24"/>
        </w:rPr>
        <w:t xml:space="preserve">nothing to specifically </w:t>
      </w:r>
      <w:r w:rsidRPr="00B95412">
        <w:rPr>
          <w:sz w:val="24"/>
          <w:szCs w:val="24"/>
        </w:rPr>
        <w:t xml:space="preserve">address </w:t>
      </w:r>
      <w:r w:rsidRPr="00B95412" w:rsidR="00046F91">
        <w:rPr>
          <w:sz w:val="24"/>
          <w:szCs w:val="24"/>
        </w:rPr>
        <w:t xml:space="preserve">the </w:t>
      </w:r>
      <w:r w:rsidRPr="00B95412">
        <w:rPr>
          <w:sz w:val="24"/>
          <w:szCs w:val="24"/>
        </w:rPr>
        <w:t>affordability</w:t>
      </w:r>
      <w:r w:rsidRPr="00B95412" w:rsidR="00046F91">
        <w:rPr>
          <w:sz w:val="24"/>
          <w:szCs w:val="24"/>
        </w:rPr>
        <w:t xml:space="preserve"> of consumers’ essential electric utility service</w:t>
      </w:r>
      <w:r w:rsidRPr="00B95412" w:rsidR="00A27DB8">
        <w:rPr>
          <w:sz w:val="24"/>
          <w:szCs w:val="24"/>
        </w:rPr>
        <w:t>.</w:t>
      </w:r>
      <w:r w:rsidR="00AC3105">
        <w:rPr>
          <w:sz w:val="24"/>
          <w:szCs w:val="24"/>
        </w:rPr>
        <w:t xml:space="preserve"> </w:t>
      </w:r>
      <w:r w:rsidRPr="00B95412" w:rsidR="00A27DB8">
        <w:rPr>
          <w:sz w:val="24"/>
          <w:szCs w:val="24"/>
        </w:rPr>
        <w:t xml:space="preserve">Nor does the Settlement address </w:t>
      </w:r>
      <w:r w:rsidRPr="00B95412">
        <w:rPr>
          <w:sz w:val="24"/>
          <w:szCs w:val="24"/>
        </w:rPr>
        <w:t xml:space="preserve">the </w:t>
      </w:r>
      <w:r w:rsidRPr="00B95412" w:rsidR="00F62961">
        <w:rPr>
          <w:sz w:val="24"/>
          <w:szCs w:val="24"/>
        </w:rPr>
        <w:t xml:space="preserve">unreasonably </w:t>
      </w:r>
      <w:r w:rsidRPr="00B95412">
        <w:rPr>
          <w:sz w:val="24"/>
          <w:szCs w:val="24"/>
        </w:rPr>
        <w:t>large number of AEP service disconnections that occurred in previous years.</w:t>
      </w:r>
      <w:r>
        <w:rPr>
          <w:rStyle w:val="FootnoteReference"/>
          <w:sz w:val="24"/>
          <w:szCs w:val="24"/>
        </w:rPr>
        <w:footnoteReference w:id="89"/>
      </w:r>
      <w:r w:rsidRPr="00B95412">
        <w:rPr>
          <w:sz w:val="24"/>
          <w:szCs w:val="24"/>
        </w:rPr>
        <w:t xml:space="preserve"> </w:t>
      </w:r>
      <w:r w:rsidRPr="00B95412" w:rsidR="008F4B17">
        <w:rPr>
          <w:sz w:val="24"/>
          <w:szCs w:val="24"/>
        </w:rPr>
        <w:t>B</w:t>
      </w:r>
      <w:r w:rsidRPr="00B95412" w:rsidR="00663874">
        <w:rPr>
          <w:sz w:val="24"/>
          <w:szCs w:val="24"/>
        </w:rPr>
        <w:t>y failing to address the huge and growing problem with AEP’s disconnections</w:t>
      </w:r>
      <w:r w:rsidRPr="00B95412" w:rsidR="00D42597">
        <w:rPr>
          <w:sz w:val="24"/>
          <w:szCs w:val="24"/>
        </w:rPr>
        <w:t>, and affordability of service in general</w:t>
      </w:r>
      <w:r w:rsidRPr="00B95412" w:rsidR="00663874">
        <w:rPr>
          <w:sz w:val="24"/>
          <w:szCs w:val="24"/>
        </w:rPr>
        <w:t xml:space="preserve">, </w:t>
      </w:r>
      <w:r w:rsidRPr="00B95412" w:rsidR="006E5C8E">
        <w:rPr>
          <w:sz w:val="24"/>
          <w:szCs w:val="24"/>
        </w:rPr>
        <w:t xml:space="preserve">1) </w:t>
      </w:r>
      <w:r w:rsidRPr="00B95412" w:rsidR="00663874">
        <w:rPr>
          <w:sz w:val="24"/>
          <w:szCs w:val="24"/>
        </w:rPr>
        <w:t>the Settlement does not benefit consumers and the public interest</w:t>
      </w:r>
      <w:r w:rsidRPr="00B95412" w:rsidR="006E5C8E">
        <w:rPr>
          <w:sz w:val="24"/>
          <w:szCs w:val="24"/>
        </w:rPr>
        <w:t xml:space="preserve">, and 2) violates Ohio’s long standing </w:t>
      </w:r>
      <w:bookmarkStart w:id="26" w:name="_Hlk153745855"/>
      <w:r w:rsidRPr="00B95412" w:rsidR="006E5C8E">
        <w:rPr>
          <w:sz w:val="24"/>
          <w:szCs w:val="24"/>
        </w:rPr>
        <w:t>regulatory principles a</w:t>
      </w:r>
      <w:r w:rsidRPr="00B95412" w:rsidR="000E17D6">
        <w:rPr>
          <w:sz w:val="24"/>
          <w:szCs w:val="24"/>
        </w:rPr>
        <w:t>nd</w:t>
      </w:r>
      <w:r w:rsidRPr="00B95412" w:rsidR="006E5C8E">
        <w:rPr>
          <w:sz w:val="24"/>
          <w:szCs w:val="24"/>
        </w:rPr>
        <w:t xml:space="preserve"> policy as stated within R.C. 4928.02</w:t>
      </w:r>
      <w:bookmarkEnd w:id="26"/>
      <w:r w:rsidRPr="00B95412" w:rsidR="00663874">
        <w:rPr>
          <w:sz w:val="24"/>
          <w:szCs w:val="24"/>
        </w:rPr>
        <w:t>.</w:t>
      </w:r>
      <w:r>
        <w:rPr>
          <w:rStyle w:val="FootnoteReference"/>
          <w:sz w:val="24"/>
          <w:szCs w:val="24"/>
        </w:rPr>
        <w:footnoteReference w:id="90"/>
      </w:r>
      <w:r w:rsidRPr="00B95412" w:rsidR="00663874">
        <w:rPr>
          <w:sz w:val="24"/>
          <w:szCs w:val="24"/>
        </w:rPr>
        <w:t xml:space="preserve"> </w:t>
      </w:r>
    </w:p>
    <w:p w:rsidR="00316FF3" w:rsidRPr="00B95412" w:rsidP="006E5056" w14:paraId="1B582F05" w14:textId="170B65BA">
      <w:pPr>
        <w:widowControl/>
        <w:autoSpaceDE/>
        <w:autoSpaceDN/>
        <w:spacing w:line="480" w:lineRule="auto"/>
        <w:ind w:firstLine="720"/>
        <w:rPr>
          <w:sz w:val="24"/>
          <w:szCs w:val="24"/>
        </w:rPr>
      </w:pPr>
      <w:r w:rsidRPr="00B95412">
        <w:rPr>
          <w:sz w:val="24"/>
          <w:szCs w:val="24"/>
        </w:rPr>
        <w:t>Rather than address</w:t>
      </w:r>
      <w:r w:rsidRPr="00B95412" w:rsidR="005D044D">
        <w:rPr>
          <w:sz w:val="24"/>
          <w:szCs w:val="24"/>
        </w:rPr>
        <w:t>ing</w:t>
      </w:r>
      <w:r w:rsidRPr="00B95412">
        <w:rPr>
          <w:sz w:val="24"/>
          <w:szCs w:val="24"/>
        </w:rPr>
        <w:t xml:space="preserve"> the actual issue</w:t>
      </w:r>
      <w:r w:rsidRPr="00B95412" w:rsidR="00504396">
        <w:rPr>
          <w:sz w:val="24"/>
          <w:szCs w:val="24"/>
        </w:rPr>
        <w:t>s</w:t>
      </w:r>
      <w:r w:rsidRPr="00B95412">
        <w:rPr>
          <w:sz w:val="24"/>
          <w:szCs w:val="24"/>
        </w:rPr>
        <w:t xml:space="preserve"> raised by Tinkham’s testimony regarding AEP’s excessive service disconnections, </w:t>
      </w:r>
      <w:r w:rsidRPr="00B95412" w:rsidR="005D044D">
        <w:rPr>
          <w:sz w:val="24"/>
          <w:szCs w:val="24"/>
        </w:rPr>
        <w:t xml:space="preserve">AEP </w:t>
      </w:r>
      <w:r w:rsidRPr="00B95412">
        <w:rPr>
          <w:sz w:val="24"/>
          <w:szCs w:val="24"/>
        </w:rPr>
        <w:t>belittle</w:t>
      </w:r>
      <w:r w:rsidRPr="00B95412" w:rsidR="005D044D">
        <w:rPr>
          <w:sz w:val="24"/>
          <w:szCs w:val="24"/>
        </w:rPr>
        <w:t>s</w:t>
      </w:r>
      <w:r w:rsidRPr="00B95412">
        <w:rPr>
          <w:sz w:val="24"/>
          <w:szCs w:val="24"/>
        </w:rPr>
        <w:t xml:space="preserve"> Tinkham’s suggestions</w:t>
      </w:r>
      <w:r w:rsidRPr="00B95412" w:rsidR="00AF06F9">
        <w:rPr>
          <w:sz w:val="24"/>
          <w:szCs w:val="24"/>
        </w:rPr>
        <w:t xml:space="preserve">. </w:t>
      </w:r>
      <w:r w:rsidRPr="00B95412" w:rsidR="005D044D">
        <w:rPr>
          <w:sz w:val="24"/>
          <w:szCs w:val="24"/>
        </w:rPr>
        <w:t xml:space="preserve">AEP blames </w:t>
      </w:r>
      <w:r w:rsidRPr="00B95412">
        <w:rPr>
          <w:sz w:val="24"/>
          <w:szCs w:val="24"/>
        </w:rPr>
        <w:t xml:space="preserve">other utilities </w:t>
      </w:r>
      <w:r w:rsidRPr="00B95412" w:rsidR="005D044D">
        <w:rPr>
          <w:sz w:val="24"/>
          <w:szCs w:val="24"/>
        </w:rPr>
        <w:t>for mis</w:t>
      </w:r>
      <w:r w:rsidRPr="00B95412">
        <w:rPr>
          <w:sz w:val="24"/>
          <w:szCs w:val="24"/>
        </w:rPr>
        <w:t>report</w:t>
      </w:r>
      <w:r w:rsidRPr="00B95412" w:rsidR="005D044D">
        <w:rPr>
          <w:sz w:val="24"/>
          <w:szCs w:val="24"/>
        </w:rPr>
        <w:t>ing</w:t>
      </w:r>
      <w:r w:rsidRPr="00B95412">
        <w:rPr>
          <w:sz w:val="24"/>
          <w:szCs w:val="24"/>
        </w:rPr>
        <w:t xml:space="preserve"> disconnection</w:t>
      </w:r>
      <w:r w:rsidRPr="00B95412" w:rsidR="005D044D">
        <w:rPr>
          <w:sz w:val="24"/>
          <w:szCs w:val="24"/>
        </w:rPr>
        <w:t>s</w:t>
      </w:r>
      <w:r w:rsidRPr="00B95412" w:rsidR="00AF06F9">
        <w:rPr>
          <w:sz w:val="24"/>
          <w:szCs w:val="24"/>
        </w:rPr>
        <w:t>.</w:t>
      </w:r>
      <w:r>
        <w:rPr>
          <w:rStyle w:val="FootnoteReference"/>
          <w:sz w:val="24"/>
          <w:szCs w:val="24"/>
        </w:rPr>
        <w:footnoteReference w:id="91"/>
      </w:r>
      <w:r w:rsidRPr="00B95412" w:rsidR="00AF06F9">
        <w:rPr>
          <w:sz w:val="24"/>
          <w:szCs w:val="24"/>
        </w:rPr>
        <w:t xml:space="preserve"> </w:t>
      </w:r>
      <w:r w:rsidRPr="00B95412" w:rsidR="005D044D">
        <w:rPr>
          <w:sz w:val="24"/>
          <w:szCs w:val="24"/>
        </w:rPr>
        <w:t>AEP dis</w:t>
      </w:r>
      <w:r w:rsidRPr="00B95412">
        <w:rPr>
          <w:sz w:val="24"/>
          <w:szCs w:val="24"/>
        </w:rPr>
        <w:t>claim</w:t>
      </w:r>
      <w:r w:rsidRPr="00B95412" w:rsidR="00AF06F9">
        <w:rPr>
          <w:sz w:val="24"/>
          <w:szCs w:val="24"/>
        </w:rPr>
        <w:t>s</w:t>
      </w:r>
      <w:r w:rsidRPr="00B95412">
        <w:rPr>
          <w:sz w:val="24"/>
          <w:szCs w:val="24"/>
        </w:rPr>
        <w:t xml:space="preserve"> responsibility for the </w:t>
      </w:r>
      <w:r w:rsidRPr="00B95412" w:rsidR="008F4B17">
        <w:rPr>
          <w:sz w:val="24"/>
          <w:szCs w:val="24"/>
        </w:rPr>
        <w:t>unreasonably disproportionate</w:t>
      </w:r>
      <w:r w:rsidRPr="00B95412">
        <w:rPr>
          <w:sz w:val="24"/>
          <w:szCs w:val="24"/>
        </w:rPr>
        <w:t xml:space="preserve"> number of consumers </w:t>
      </w:r>
      <w:r w:rsidRPr="00B95412" w:rsidR="008F4B17">
        <w:rPr>
          <w:sz w:val="24"/>
          <w:szCs w:val="24"/>
        </w:rPr>
        <w:t xml:space="preserve">that </w:t>
      </w:r>
      <w:r w:rsidRPr="00B95412">
        <w:rPr>
          <w:sz w:val="24"/>
          <w:szCs w:val="24"/>
        </w:rPr>
        <w:t xml:space="preserve">AEP </w:t>
      </w:r>
      <w:r w:rsidRPr="00B95412" w:rsidR="005D044D">
        <w:rPr>
          <w:sz w:val="24"/>
          <w:szCs w:val="24"/>
        </w:rPr>
        <w:t xml:space="preserve">disconnects </w:t>
      </w:r>
      <w:r w:rsidRPr="00B95412">
        <w:rPr>
          <w:sz w:val="24"/>
          <w:szCs w:val="24"/>
        </w:rPr>
        <w:t>each year.</w:t>
      </w:r>
      <w:r>
        <w:rPr>
          <w:rStyle w:val="FootnoteReference"/>
          <w:sz w:val="24"/>
          <w:szCs w:val="24"/>
        </w:rPr>
        <w:footnoteReference w:id="92"/>
      </w:r>
      <w:r w:rsidRPr="00B95412" w:rsidR="00B57F0C">
        <w:rPr>
          <w:sz w:val="24"/>
          <w:szCs w:val="24"/>
        </w:rPr>
        <w:t xml:space="preserve"> </w:t>
      </w:r>
    </w:p>
    <w:p w:rsidR="00411B8B" w:rsidRPr="00B95412" w:rsidP="006441F1" w14:paraId="19EEA131" w14:textId="37D06AF5">
      <w:pPr>
        <w:widowControl/>
        <w:autoSpaceDE/>
        <w:autoSpaceDN/>
        <w:spacing w:line="480" w:lineRule="auto"/>
        <w:ind w:firstLine="720"/>
        <w:rPr>
          <w:rFonts w:eastAsia="Arial Unicode MS"/>
          <w:color w:val="000000"/>
          <w:bdr w:val="nil"/>
        </w:rPr>
      </w:pPr>
      <w:r w:rsidRPr="00B95412">
        <w:rPr>
          <w:sz w:val="24"/>
          <w:szCs w:val="24"/>
        </w:rPr>
        <w:t xml:space="preserve">However, none of AEP’s claims directly address OCC’s evidence. According to </w:t>
      </w:r>
      <w:r w:rsidRPr="00B95412" w:rsidR="002978E2">
        <w:rPr>
          <w:sz w:val="24"/>
          <w:szCs w:val="24"/>
        </w:rPr>
        <w:t>OCC witness Tinkham</w:t>
      </w:r>
      <w:r w:rsidRPr="00B95412">
        <w:rPr>
          <w:sz w:val="24"/>
          <w:szCs w:val="24"/>
        </w:rPr>
        <w:t>,</w:t>
      </w:r>
      <w:r w:rsidRPr="00B95412" w:rsidR="002978E2">
        <w:rPr>
          <w:sz w:val="24"/>
          <w:szCs w:val="24"/>
        </w:rPr>
        <w:t xml:space="preserve"> </w:t>
      </w:r>
      <w:r w:rsidRPr="00B95412" w:rsidR="00E76D32">
        <w:rPr>
          <w:sz w:val="24"/>
          <w:szCs w:val="24"/>
        </w:rPr>
        <w:t>AEP’s 2022 to 2023 annual disconnection reports</w:t>
      </w:r>
      <w:r w:rsidRPr="00B95412" w:rsidR="002978E2">
        <w:rPr>
          <w:sz w:val="24"/>
          <w:szCs w:val="24"/>
        </w:rPr>
        <w:t xml:space="preserve"> demonstrate</w:t>
      </w:r>
      <w:r w:rsidRPr="00B95412" w:rsidR="00E76D32">
        <w:rPr>
          <w:sz w:val="24"/>
          <w:szCs w:val="24"/>
        </w:rPr>
        <w:t xml:space="preserve"> that</w:t>
      </w:r>
      <w:r w:rsidRPr="00B95412">
        <w:rPr>
          <w:sz w:val="24"/>
          <w:szCs w:val="24"/>
        </w:rPr>
        <w:t>,</w:t>
      </w:r>
      <w:r w:rsidRPr="00B95412" w:rsidR="00E76D32">
        <w:rPr>
          <w:sz w:val="24"/>
          <w:szCs w:val="24"/>
        </w:rPr>
        <w:t xml:space="preserve"> </w:t>
      </w:r>
      <w:r w:rsidRPr="00B95412" w:rsidR="008F4B17">
        <w:rPr>
          <w:sz w:val="24"/>
          <w:szCs w:val="24"/>
        </w:rPr>
        <w:t>even without th</w:t>
      </w:r>
      <w:r w:rsidRPr="00B95412" w:rsidR="00AF06F9">
        <w:rPr>
          <w:sz w:val="24"/>
          <w:szCs w:val="24"/>
        </w:rPr>
        <w:t>e</w:t>
      </w:r>
      <w:r w:rsidRPr="00B95412" w:rsidR="008F4B17">
        <w:rPr>
          <w:sz w:val="24"/>
          <w:szCs w:val="24"/>
        </w:rPr>
        <w:t xml:space="preserve"> increase</w:t>
      </w:r>
      <w:r w:rsidRPr="00B95412" w:rsidR="00AF06F9">
        <w:rPr>
          <w:sz w:val="24"/>
          <w:szCs w:val="24"/>
        </w:rPr>
        <w:t>d consumer charges</w:t>
      </w:r>
      <w:r w:rsidRPr="00B95412" w:rsidR="008F4B17">
        <w:rPr>
          <w:sz w:val="24"/>
          <w:szCs w:val="24"/>
        </w:rPr>
        <w:t xml:space="preserve"> </w:t>
      </w:r>
      <w:r w:rsidRPr="00B95412" w:rsidR="00AF06F9">
        <w:rPr>
          <w:sz w:val="24"/>
          <w:szCs w:val="24"/>
        </w:rPr>
        <w:t>proposed in this case</w:t>
      </w:r>
      <w:r w:rsidRPr="00B95412">
        <w:rPr>
          <w:sz w:val="24"/>
          <w:szCs w:val="24"/>
        </w:rPr>
        <w:t>,</w:t>
      </w:r>
      <w:r w:rsidRPr="00B95412" w:rsidR="00AF06F9">
        <w:rPr>
          <w:sz w:val="24"/>
          <w:szCs w:val="24"/>
        </w:rPr>
        <w:t xml:space="preserve"> </w:t>
      </w:r>
      <w:r w:rsidRPr="00B95412" w:rsidR="00E76D32">
        <w:rPr>
          <w:sz w:val="24"/>
          <w:szCs w:val="24"/>
        </w:rPr>
        <w:t xml:space="preserve">electric service is becoming less affordable for </w:t>
      </w:r>
      <w:r w:rsidRPr="00B95412" w:rsidR="008F4B17">
        <w:rPr>
          <w:sz w:val="24"/>
          <w:szCs w:val="24"/>
        </w:rPr>
        <w:t xml:space="preserve">AEP </w:t>
      </w:r>
      <w:r w:rsidRPr="00B95412" w:rsidR="00E76D32">
        <w:rPr>
          <w:sz w:val="24"/>
          <w:szCs w:val="24"/>
        </w:rPr>
        <w:t>consumers</w:t>
      </w:r>
      <w:r w:rsidRPr="00B95412">
        <w:rPr>
          <w:sz w:val="24"/>
          <w:szCs w:val="24"/>
        </w:rPr>
        <w:t>.</w:t>
      </w:r>
      <w:r>
        <w:rPr>
          <w:rStyle w:val="FootnoteReference"/>
          <w:sz w:val="24"/>
          <w:szCs w:val="24"/>
        </w:rPr>
        <w:footnoteReference w:id="93"/>
      </w:r>
      <w:r w:rsidRPr="00B95412" w:rsidR="00B57F0C">
        <w:rPr>
          <w:sz w:val="24"/>
          <w:szCs w:val="24"/>
        </w:rPr>
        <w:t xml:space="preserve"> </w:t>
      </w:r>
      <w:r w:rsidRPr="00B95412" w:rsidR="003460D5">
        <w:rPr>
          <w:sz w:val="24"/>
          <w:szCs w:val="24"/>
        </w:rPr>
        <w:t>In fact</w:t>
      </w:r>
      <w:r w:rsidRPr="00B95412" w:rsidR="00E76D32">
        <w:rPr>
          <w:sz w:val="24"/>
          <w:szCs w:val="24"/>
        </w:rPr>
        <w:t xml:space="preserve">, AEP disconnected </w:t>
      </w:r>
      <w:r w:rsidRPr="00B95412" w:rsidR="00504396">
        <w:rPr>
          <w:sz w:val="24"/>
          <w:szCs w:val="24"/>
        </w:rPr>
        <w:t xml:space="preserve">more than </w:t>
      </w:r>
      <w:r w:rsidRPr="00B95412" w:rsidR="003460D5">
        <w:rPr>
          <w:sz w:val="24"/>
          <w:szCs w:val="24"/>
        </w:rPr>
        <w:t>double the number of</w:t>
      </w:r>
      <w:r w:rsidRPr="00B95412" w:rsidR="00E76D32">
        <w:rPr>
          <w:sz w:val="24"/>
          <w:szCs w:val="24"/>
        </w:rPr>
        <w:t xml:space="preserve"> residential consumers </w:t>
      </w:r>
      <w:r w:rsidRPr="00B95412" w:rsidR="003460D5">
        <w:rPr>
          <w:sz w:val="24"/>
          <w:szCs w:val="24"/>
        </w:rPr>
        <w:t xml:space="preserve">of the </w:t>
      </w:r>
      <w:r w:rsidRPr="00B95412">
        <w:rPr>
          <w:sz w:val="24"/>
          <w:szCs w:val="24"/>
        </w:rPr>
        <w:t>electric distribution utility with the second highest disconnection rate</w:t>
      </w:r>
      <w:r w:rsidRPr="00B95412" w:rsidR="008F4B17">
        <w:rPr>
          <w:sz w:val="24"/>
          <w:szCs w:val="24"/>
        </w:rPr>
        <w:t>.</w:t>
      </w:r>
      <w:r>
        <w:rPr>
          <w:rStyle w:val="FootnoteReference"/>
          <w:sz w:val="24"/>
          <w:szCs w:val="24"/>
        </w:rPr>
        <w:footnoteReference w:id="94"/>
      </w:r>
      <w:r w:rsidRPr="00B95412" w:rsidR="00B57F0C">
        <w:rPr>
          <w:sz w:val="24"/>
          <w:szCs w:val="24"/>
        </w:rPr>
        <w:t xml:space="preserve"> </w:t>
      </w:r>
      <w:r w:rsidRPr="00B95412">
        <w:rPr>
          <w:sz w:val="24"/>
          <w:szCs w:val="24"/>
        </w:rPr>
        <w:t xml:space="preserve">The </w:t>
      </w:r>
      <w:r w:rsidRPr="00B95412" w:rsidR="00BC5E5C">
        <w:rPr>
          <w:sz w:val="24"/>
          <w:szCs w:val="24"/>
        </w:rPr>
        <w:t>PUCO</w:t>
      </w:r>
      <w:r w:rsidRPr="00B95412" w:rsidR="003460D5">
        <w:rPr>
          <w:sz w:val="24"/>
          <w:szCs w:val="24"/>
        </w:rPr>
        <w:t xml:space="preserve"> should</w:t>
      </w:r>
      <w:r w:rsidRPr="00B95412" w:rsidR="00B77707">
        <w:rPr>
          <w:sz w:val="24"/>
          <w:szCs w:val="24"/>
        </w:rPr>
        <w:t xml:space="preserve"> </w:t>
      </w:r>
      <w:r w:rsidRPr="00B95412" w:rsidR="00630DD9">
        <w:rPr>
          <w:sz w:val="24"/>
          <w:szCs w:val="24"/>
        </w:rPr>
        <w:t xml:space="preserve">refuse to accept </w:t>
      </w:r>
      <w:r w:rsidRPr="00B95412" w:rsidR="00B77707">
        <w:rPr>
          <w:sz w:val="24"/>
          <w:szCs w:val="24"/>
        </w:rPr>
        <w:t>the Settlement</w:t>
      </w:r>
      <w:r w:rsidRPr="00B95412">
        <w:rPr>
          <w:sz w:val="24"/>
          <w:szCs w:val="24"/>
        </w:rPr>
        <w:t>,</w:t>
      </w:r>
      <w:r w:rsidRPr="00B95412" w:rsidR="003460D5">
        <w:rPr>
          <w:sz w:val="24"/>
          <w:szCs w:val="24"/>
        </w:rPr>
        <w:t xml:space="preserve"> which</w:t>
      </w:r>
      <w:r w:rsidRPr="00B95412" w:rsidR="00B77707">
        <w:rPr>
          <w:sz w:val="24"/>
          <w:szCs w:val="24"/>
        </w:rPr>
        <w:t xml:space="preserve"> will </w:t>
      </w:r>
      <w:r w:rsidRPr="00B95412" w:rsidR="00E76D32">
        <w:rPr>
          <w:sz w:val="24"/>
          <w:szCs w:val="24"/>
        </w:rPr>
        <w:t>increase rates</w:t>
      </w:r>
      <w:r w:rsidRPr="00B95412" w:rsidR="003460D5">
        <w:rPr>
          <w:sz w:val="24"/>
          <w:szCs w:val="24"/>
        </w:rPr>
        <w:t xml:space="preserve"> for residential consumers</w:t>
      </w:r>
      <w:r w:rsidR="00AF643D">
        <w:rPr>
          <w:sz w:val="24"/>
          <w:szCs w:val="24"/>
        </w:rPr>
        <w:t>,</w:t>
      </w:r>
      <w:r w:rsidRPr="00B95412" w:rsidR="003460D5">
        <w:rPr>
          <w:sz w:val="24"/>
          <w:szCs w:val="24"/>
        </w:rPr>
        <w:t xml:space="preserve"> until it includes provisions </w:t>
      </w:r>
      <w:r w:rsidRPr="00B95412">
        <w:rPr>
          <w:sz w:val="24"/>
          <w:szCs w:val="24"/>
        </w:rPr>
        <w:t xml:space="preserve">to protect consumers from </w:t>
      </w:r>
      <w:r w:rsidRPr="00B95412" w:rsidR="003460D5">
        <w:rPr>
          <w:sz w:val="24"/>
          <w:szCs w:val="24"/>
        </w:rPr>
        <w:t xml:space="preserve">the unreasonable level of disconnections </w:t>
      </w:r>
      <w:r w:rsidRPr="00B95412" w:rsidR="0010381D">
        <w:rPr>
          <w:sz w:val="24"/>
          <w:szCs w:val="24"/>
        </w:rPr>
        <w:t xml:space="preserve">by </w:t>
      </w:r>
      <w:r w:rsidRPr="00B95412" w:rsidR="003460D5">
        <w:rPr>
          <w:sz w:val="24"/>
          <w:szCs w:val="24"/>
        </w:rPr>
        <w:t>AEP</w:t>
      </w:r>
      <w:r w:rsidRPr="00B95412" w:rsidR="00E76D32">
        <w:rPr>
          <w:sz w:val="24"/>
          <w:szCs w:val="24"/>
        </w:rPr>
        <w:t>.</w:t>
      </w:r>
      <w:r>
        <w:rPr>
          <w:rStyle w:val="FootnoteReference"/>
          <w:sz w:val="24"/>
          <w:szCs w:val="24"/>
        </w:rPr>
        <w:footnoteReference w:id="95"/>
      </w:r>
      <w:r w:rsidRPr="00B95412" w:rsidR="00B57F0C">
        <w:rPr>
          <w:sz w:val="24"/>
          <w:szCs w:val="24"/>
        </w:rPr>
        <w:t xml:space="preserve"> </w:t>
      </w:r>
      <w:r w:rsidRPr="00B95412" w:rsidR="003460D5">
        <w:rPr>
          <w:sz w:val="24"/>
          <w:szCs w:val="24"/>
        </w:rPr>
        <w:t xml:space="preserve">Until such changes are made, the Settlement </w:t>
      </w:r>
      <w:r w:rsidRPr="00B95412" w:rsidR="008D5EAE">
        <w:rPr>
          <w:sz w:val="24"/>
          <w:szCs w:val="24"/>
        </w:rPr>
        <w:t>fails</w:t>
      </w:r>
      <w:r w:rsidR="00AC3105">
        <w:rPr>
          <w:sz w:val="24"/>
          <w:szCs w:val="24"/>
        </w:rPr>
        <w:t xml:space="preserve"> </w:t>
      </w:r>
      <w:r w:rsidRPr="00B95412" w:rsidR="003460D5">
        <w:rPr>
          <w:sz w:val="24"/>
          <w:szCs w:val="24"/>
        </w:rPr>
        <w:t xml:space="preserve">to meet the three part test because it unreasonably and unnecessarily violates the basic principles of Ohio’s regulatory </w:t>
      </w:r>
      <w:r w:rsidRPr="00B95412" w:rsidR="005A7176">
        <w:rPr>
          <w:sz w:val="24"/>
          <w:szCs w:val="24"/>
        </w:rPr>
        <w:t>policy</w:t>
      </w:r>
      <w:r w:rsidRPr="00B95412" w:rsidR="00110FA6">
        <w:rPr>
          <w:sz w:val="24"/>
          <w:szCs w:val="24"/>
        </w:rPr>
        <w:t xml:space="preserve"> of providing</w:t>
      </w:r>
      <w:r w:rsidRPr="00B95412" w:rsidR="005A7176">
        <w:rPr>
          <w:sz w:val="24"/>
          <w:szCs w:val="24"/>
        </w:rPr>
        <w:t xml:space="preserve"> </w:t>
      </w:r>
      <w:r w:rsidRPr="00B95412" w:rsidR="00875955">
        <w:rPr>
          <w:sz w:val="24"/>
          <w:szCs w:val="24"/>
        </w:rPr>
        <w:t>reasonably priced electrical service</w:t>
      </w:r>
      <w:r>
        <w:rPr>
          <w:rStyle w:val="FootnoteReference"/>
          <w:sz w:val="24"/>
          <w:szCs w:val="24"/>
        </w:rPr>
        <w:footnoteReference w:id="96"/>
      </w:r>
      <w:r w:rsidRPr="00B95412" w:rsidR="00875955">
        <w:rPr>
          <w:sz w:val="24"/>
          <w:szCs w:val="24"/>
        </w:rPr>
        <w:t xml:space="preserve"> </w:t>
      </w:r>
      <w:r w:rsidRPr="00B95412" w:rsidR="005A7176">
        <w:rPr>
          <w:sz w:val="24"/>
          <w:szCs w:val="24"/>
        </w:rPr>
        <w:t>and continues to cause serious harm to Ohio consumers.</w:t>
      </w:r>
    </w:p>
    <w:p w:rsidR="00C73908" w:rsidRPr="00B95412" w:rsidP="00043F1F" w14:paraId="782779C0" w14:textId="605A8F8A">
      <w:pPr>
        <w:pStyle w:val="Heading2"/>
      </w:pPr>
      <w:bookmarkStart w:id="27" w:name="_Toc152339596"/>
      <w:bookmarkStart w:id="28" w:name="_Toc154128547"/>
      <w:r w:rsidRPr="00B95412">
        <w:t>I</w:t>
      </w:r>
      <w:r w:rsidRPr="00B95412" w:rsidR="00692409">
        <w:t>.</w:t>
      </w:r>
      <w:r w:rsidRPr="00B95412" w:rsidR="00692409">
        <w:tab/>
      </w:r>
      <w:bookmarkStart w:id="29" w:name="_Hlk153835994"/>
      <w:r w:rsidRPr="00B95412">
        <w:t xml:space="preserve">The Settlement proposes Contribution </w:t>
      </w:r>
      <w:r w:rsidRPr="00B95412" w:rsidR="003B5D25">
        <w:t>i</w:t>
      </w:r>
      <w:r w:rsidRPr="00B95412">
        <w:t>n Aid of Construction (“CIAC”) provisions for consumer installations of electric vehicle chargers which violate important regulatory principles and practices.</w:t>
      </w:r>
      <w:bookmarkEnd w:id="27"/>
      <w:bookmarkEnd w:id="28"/>
      <w:bookmarkEnd w:id="29"/>
    </w:p>
    <w:p w:rsidR="00C73908" w:rsidRPr="00B95412" w:rsidP="00C73908" w14:paraId="1D76AE97" w14:textId="18811A3E">
      <w:pPr>
        <w:widowControl/>
        <w:autoSpaceDE/>
        <w:autoSpaceDN/>
        <w:spacing w:line="480" w:lineRule="auto"/>
        <w:ind w:firstLine="720"/>
        <w:rPr>
          <w:rFonts w:eastAsia="WenQuanYi Micro Hei"/>
          <w:color w:val="00000A"/>
          <w:sz w:val="24"/>
          <w:szCs w:val="24"/>
          <w:lang w:eastAsia="zh-CN" w:bidi="hi-IN"/>
        </w:rPr>
      </w:pPr>
      <w:r w:rsidRPr="00B95412">
        <w:rPr>
          <w:rFonts w:eastAsia="WenQuanYi Micro Hei"/>
          <w:color w:val="00000A"/>
          <w:sz w:val="24"/>
          <w:szCs w:val="24"/>
          <w:lang w:eastAsia="zh-CN" w:bidi="hi-IN"/>
        </w:rPr>
        <w:t>The Settlement makes two proposals</w:t>
      </w:r>
      <w:r>
        <w:rPr>
          <w:rFonts w:eastAsia="WenQuanYi Micro Hei"/>
          <w:color w:val="00000A"/>
          <w:sz w:val="24"/>
          <w:szCs w:val="24"/>
          <w:vertAlign w:val="superscript"/>
          <w:lang w:eastAsia="zh-CN" w:bidi="hi-IN"/>
        </w:rPr>
        <w:footnoteReference w:id="97"/>
      </w:r>
      <w:r w:rsidRPr="00B95412">
        <w:rPr>
          <w:rFonts w:eastAsia="WenQuanYi Micro Hei"/>
          <w:color w:val="00000A"/>
          <w:sz w:val="24"/>
          <w:szCs w:val="24"/>
          <w:lang w:eastAsia="zh-CN" w:bidi="hi-IN"/>
        </w:rPr>
        <w:t xml:space="preserve"> with respect to CIAC. First, during the PUCO’s next review of O.A.C. 4901:1-9, AEP will propose and support that electric utilities be responsible for eighty percent of the cost of line extensions for publicly available electric vehicle charging stations and that the consumer (</w:t>
      </w:r>
      <w:r w:rsidRPr="00B95412">
        <w:rPr>
          <w:rFonts w:eastAsia="WenQuanYi Micro Hei"/>
          <w:i/>
          <w:iCs/>
          <w:color w:val="00000A"/>
          <w:sz w:val="24"/>
          <w:szCs w:val="24"/>
          <w:lang w:eastAsia="zh-CN" w:bidi="hi-IN"/>
        </w:rPr>
        <w:t>e</w:t>
      </w:r>
      <w:r w:rsidRPr="00B95412">
        <w:rPr>
          <w:rFonts w:eastAsia="WenQuanYi Micro Hei"/>
          <w:color w:val="00000A"/>
          <w:sz w:val="24"/>
          <w:szCs w:val="24"/>
          <w:lang w:eastAsia="zh-CN" w:bidi="hi-IN"/>
        </w:rPr>
        <w:t>.</w:t>
      </w:r>
      <w:r w:rsidRPr="00B95412">
        <w:rPr>
          <w:rFonts w:eastAsia="WenQuanYi Micro Hei"/>
          <w:i/>
          <w:iCs/>
          <w:color w:val="00000A"/>
          <w:sz w:val="24"/>
          <w:szCs w:val="24"/>
          <w:lang w:eastAsia="zh-CN" w:bidi="hi-IN"/>
        </w:rPr>
        <w:t>g</w:t>
      </w:r>
      <w:r w:rsidRPr="00B95412">
        <w:rPr>
          <w:rFonts w:eastAsia="WenQuanYi Micro Hei"/>
          <w:color w:val="00000A"/>
          <w:sz w:val="24"/>
          <w:szCs w:val="24"/>
          <w:lang w:eastAsia="zh-CN" w:bidi="hi-IN"/>
        </w:rPr>
        <w:t>., that owns or installs the charging station) be responsible for the remaining twenty percent, provided that AEP is ensured full cost recovery of the eighty percent.</w:t>
      </w:r>
      <w:r>
        <w:rPr>
          <w:rStyle w:val="FootnoteReference"/>
          <w:rFonts w:eastAsia="WenQuanYi Micro Hei"/>
          <w:color w:val="00000A"/>
          <w:sz w:val="24"/>
          <w:szCs w:val="24"/>
          <w:lang w:eastAsia="zh-CN" w:bidi="hi-IN"/>
        </w:rPr>
        <w:footnoteReference w:id="98"/>
      </w:r>
      <w:r w:rsidRPr="00B95412">
        <w:rPr>
          <w:rFonts w:eastAsia="WenQuanYi Micro Hei"/>
          <w:color w:val="00000A"/>
          <w:sz w:val="24"/>
          <w:szCs w:val="24"/>
          <w:lang w:eastAsia="zh-CN" w:bidi="hi-IN"/>
        </w:rPr>
        <w:t xml:space="preserve"> Second, if the PUCO approves increased financial incentives to offset CIAC costs during the term of the electric security plan (“ESP”), AEP will invest at least $2 million but no more than $4 million for CIAC costs for customer installations of electric vehicle-charging stations in approved locations.</w:t>
      </w:r>
      <w:r>
        <w:rPr>
          <w:rStyle w:val="FootnoteReference"/>
          <w:rFonts w:eastAsia="WenQuanYi Micro Hei"/>
          <w:color w:val="00000A"/>
          <w:sz w:val="24"/>
          <w:szCs w:val="24"/>
          <w:lang w:eastAsia="zh-CN" w:bidi="hi-IN"/>
        </w:rPr>
        <w:footnoteReference w:id="99"/>
      </w:r>
      <w:r w:rsidRPr="00B95412">
        <w:rPr>
          <w:rFonts w:eastAsia="WenQuanYi Micro Hei"/>
          <w:color w:val="00000A"/>
          <w:sz w:val="24"/>
          <w:szCs w:val="24"/>
          <w:lang w:eastAsia="zh-CN" w:bidi="hi-IN"/>
        </w:rPr>
        <w:t xml:space="preserve"> The Settlement proposes recovery of these costs from all consumers through the Distribution Infrastructure Rider (“DIR”).</w:t>
      </w:r>
      <w:r>
        <w:rPr>
          <w:rStyle w:val="FootnoteReference"/>
          <w:rFonts w:eastAsia="WenQuanYi Micro Hei"/>
          <w:color w:val="00000A"/>
          <w:sz w:val="24"/>
          <w:szCs w:val="24"/>
          <w:lang w:eastAsia="zh-CN" w:bidi="hi-IN"/>
        </w:rPr>
        <w:footnoteReference w:id="100"/>
      </w:r>
    </w:p>
    <w:p w:rsidR="00BA1ADE" w:rsidRPr="00B95412" w:rsidP="00DF6E56" w14:paraId="2FB4949F" w14:textId="28E7872A">
      <w:pPr>
        <w:suppressAutoHyphens/>
        <w:autoSpaceDE/>
        <w:autoSpaceDN/>
        <w:spacing w:line="480" w:lineRule="auto"/>
        <w:ind w:firstLine="720"/>
        <w:rPr>
          <w:rFonts w:eastAsia="WenQuanYi Micro Hei"/>
          <w:color w:val="00000A"/>
          <w:sz w:val="24"/>
          <w:szCs w:val="24"/>
          <w:lang w:eastAsia="zh-CN" w:bidi="hi-IN"/>
        </w:rPr>
      </w:pPr>
      <w:r w:rsidRPr="00B95412">
        <w:rPr>
          <w:rFonts w:eastAsia="WenQuanYi Micro Hei"/>
          <w:color w:val="00000A"/>
          <w:sz w:val="24"/>
          <w:szCs w:val="24"/>
          <w:lang w:eastAsia="zh-CN" w:bidi="hi-IN"/>
        </w:rPr>
        <w:t>AEP has claimed these costs are beneficial to consumers and the public because they will reduce stress on the grid from the expected increase of demand-intense EV charging</w:t>
      </w:r>
      <w:r>
        <w:rPr>
          <w:rStyle w:val="FootnoteReference"/>
          <w:rFonts w:eastAsia="WenQuanYi Micro Hei"/>
          <w:color w:val="00000A"/>
          <w:sz w:val="24"/>
          <w:szCs w:val="24"/>
          <w:lang w:eastAsia="zh-CN" w:bidi="hi-IN"/>
        </w:rPr>
        <w:footnoteReference w:id="101"/>
      </w:r>
      <w:r w:rsidRPr="00B95412">
        <w:rPr>
          <w:rFonts w:eastAsia="WenQuanYi Micro Hei"/>
          <w:color w:val="00000A"/>
          <w:sz w:val="24"/>
          <w:szCs w:val="24"/>
          <w:lang w:eastAsia="zh-CN" w:bidi="hi-IN"/>
        </w:rPr>
        <w:t xml:space="preserve"> and “reduces and/or defers the need for additional distribution plant in service that would not otherwise occur absent such an incentive.”</w:t>
      </w:r>
      <w:r>
        <w:rPr>
          <w:rStyle w:val="FootnoteReference"/>
          <w:rFonts w:eastAsia="WenQuanYi Micro Hei"/>
          <w:color w:val="00000A"/>
          <w:sz w:val="24"/>
          <w:szCs w:val="24"/>
          <w:lang w:eastAsia="zh-CN" w:bidi="hi-IN"/>
        </w:rPr>
        <w:footnoteReference w:id="102"/>
      </w:r>
      <w:r w:rsidRPr="00B95412" w:rsidR="00B57F0C">
        <w:rPr>
          <w:rFonts w:eastAsia="WenQuanYi Micro Hei"/>
          <w:color w:val="00000A"/>
          <w:sz w:val="24"/>
          <w:szCs w:val="24"/>
          <w:lang w:eastAsia="zh-CN" w:bidi="hi-IN"/>
        </w:rPr>
        <w:t xml:space="preserve"> </w:t>
      </w:r>
      <w:r w:rsidRPr="00B95412">
        <w:rPr>
          <w:rFonts w:eastAsia="WenQuanYi Micro Hei"/>
          <w:color w:val="00000A"/>
          <w:sz w:val="24"/>
          <w:szCs w:val="24"/>
          <w:lang w:eastAsia="zh-CN" w:bidi="hi-IN"/>
        </w:rPr>
        <w:t>AEP also claims that</w:t>
      </w:r>
      <w:r w:rsidRPr="00B95412" w:rsidR="00764B11">
        <w:rPr>
          <w:rFonts w:eastAsia="WenQuanYi Micro Hei"/>
          <w:color w:val="00000A"/>
          <w:sz w:val="24"/>
          <w:szCs w:val="24"/>
          <w:lang w:eastAsia="zh-CN" w:bidi="hi-IN"/>
        </w:rPr>
        <w:t xml:space="preserve"> the CIAC benefits all customers</w:t>
      </w:r>
      <w:r w:rsidRPr="00B95412">
        <w:rPr>
          <w:rFonts w:eastAsia="WenQuanYi Micro Hei"/>
          <w:color w:val="00000A"/>
          <w:sz w:val="24"/>
          <w:szCs w:val="24"/>
          <w:lang w:eastAsia="zh-CN" w:bidi="hi-IN"/>
        </w:rPr>
        <w:t>, because the capital reservation in the Settlement is only applicable to “approved locations,” which are limited to “where there is existing capacity to serve the requested amount of peak load without having to install</w:t>
      </w:r>
      <w:r w:rsidRPr="00B95412" w:rsidR="00764B11">
        <w:rPr>
          <w:rFonts w:eastAsia="WenQuanYi Micro Hei"/>
          <w:color w:val="00000A"/>
          <w:sz w:val="24"/>
          <w:szCs w:val="24"/>
          <w:lang w:eastAsia="zh-CN" w:bidi="hi-IN"/>
        </w:rPr>
        <w:t xml:space="preserve"> additional facilities to maintain, protect, upgrade or improve the existing distribution facilities before the point of origin.”</w:t>
      </w:r>
      <w:r>
        <w:rPr>
          <w:rStyle w:val="FootnoteReference"/>
          <w:rFonts w:eastAsia="WenQuanYi Micro Hei"/>
          <w:color w:val="00000A"/>
          <w:sz w:val="24"/>
          <w:szCs w:val="24"/>
          <w:lang w:eastAsia="zh-CN" w:bidi="hi-IN"/>
        </w:rPr>
        <w:footnoteReference w:id="103"/>
      </w:r>
    </w:p>
    <w:p w:rsidR="00DF6E56" w:rsidRPr="00B95412" w:rsidP="00DF1CE1" w14:paraId="0C1E0E06" w14:textId="06C45527">
      <w:pPr>
        <w:suppressAutoHyphens/>
        <w:autoSpaceDE/>
        <w:autoSpaceDN/>
        <w:spacing w:line="480" w:lineRule="auto"/>
        <w:ind w:firstLine="720"/>
        <w:rPr>
          <w:rFonts w:eastAsia="WenQuanYi Micro Hei"/>
          <w:color w:val="00000A"/>
          <w:sz w:val="24"/>
          <w:szCs w:val="24"/>
          <w:lang w:eastAsia="zh-CN" w:bidi="hi-IN"/>
        </w:rPr>
      </w:pPr>
      <w:r w:rsidRPr="00B95412">
        <w:rPr>
          <w:rFonts w:eastAsia="WenQuanYi Micro Hei"/>
          <w:color w:val="00000A"/>
          <w:sz w:val="24"/>
          <w:szCs w:val="24"/>
          <w:lang w:eastAsia="zh-CN" w:bidi="hi-IN"/>
        </w:rPr>
        <w:t>The PUCO should reject AEP’s</w:t>
      </w:r>
      <w:r w:rsidRPr="00B95412" w:rsidR="00764B11">
        <w:rPr>
          <w:rFonts w:eastAsia="WenQuanYi Micro Hei"/>
          <w:color w:val="00000A"/>
          <w:sz w:val="24"/>
          <w:szCs w:val="24"/>
          <w:lang w:eastAsia="zh-CN" w:bidi="hi-IN"/>
        </w:rPr>
        <w:t xml:space="preserve"> circular argument.</w:t>
      </w:r>
      <w:r w:rsidRPr="00B95412" w:rsidR="00B57F0C">
        <w:rPr>
          <w:rFonts w:eastAsia="WenQuanYi Micro Hei"/>
          <w:color w:val="00000A"/>
          <w:sz w:val="24"/>
          <w:szCs w:val="24"/>
          <w:lang w:eastAsia="zh-CN" w:bidi="hi-IN"/>
        </w:rPr>
        <w:t xml:space="preserve"> </w:t>
      </w:r>
      <w:r w:rsidRPr="00B95412" w:rsidR="00764B11">
        <w:rPr>
          <w:rFonts w:eastAsia="WenQuanYi Micro Hei"/>
          <w:color w:val="00000A"/>
          <w:sz w:val="24"/>
          <w:szCs w:val="24"/>
          <w:lang w:eastAsia="zh-CN" w:bidi="hi-IN"/>
        </w:rPr>
        <w:t>The Company claims that it is reducing stress on the grid, and thereby benefiting customers, by funding electric vehicle charging locations where the grid already has the capacity to support additional load without being stressed.</w:t>
      </w:r>
      <w:r w:rsidRPr="00B95412" w:rsidR="00B57F0C">
        <w:rPr>
          <w:rFonts w:eastAsia="WenQuanYi Micro Hei"/>
          <w:color w:val="00000A"/>
          <w:sz w:val="24"/>
          <w:szCs w:val="24"/>
          <w:lang w:eastAsia="zh-CN" w:bidi="hi-IN"/>
        </w:rPr>
        <w:t xml:space="preserve"> </w:t>
      </w:r>
      <w:r w:rsidRPr="00B95412">
        <w:rPr>
          <w:rFonts w:eastAsia="WenQuanYi Micro Hei"/>
          <w:color w:val="00000A"/>
          <w:sz w:val="24"/>
          <w:szCs w:val="24"/>
          <w:lang w:eastAsia="zh-CN" w:bidi="hi-IN"/>
        </w:rPr>
        <w:t xml:space="preserve">However, </w:t>
      </w:r>
      <w:r w:rsidRPr="00B95412" w:rsidR="00DF1CE1">
        <w:rPr>
          <w:rFonts w:eastAsia="WenQuanYi Micro Hei"/>
          <w:color w:val="00000A"/>
          <w:sz w:val="24"/>
          <w:szCs w:val="24"/>
          <w:lang w:eastAsia="zh-CN" w:bidi="hi-IN"/>
        </w:rPr>
        <w:t xml:space="preserve">as OCC witness Sioshansi testified, </w:t>
      </w:r>
      <w:r w:rsidRPr="00B95412" w:rsidR="00764B11">
        <w:rPr>
          <w:rFonts w:eastAsia="WenQuanYi Micro Hei"/>
          <w:color w:val="00000A"/>
          <w:sz w:val="24"/>
          <w:szCs w:val="24"/>
          <w:lang w:eastAsia="zh-CN" w:bidi="hi-IN"/>
        </w:rPr>
        <w:t>electric vehicle charging benefit</w:t>
      </w:r>
      <w:r w:rsidRPr="00B95412">
        <w:rPr>
          <w:rFonts w:eastAsia="WenQuanYi Micro Hei"/>
          <w:color w:val="00000A"/>
          <w:sz w:val="24"/>
          <w:szCs w:val="24"/>
          <w:lang w:eastAsia="zh-CN" w:bidi="hi-IN"/>
        </w:rPr>
        <w:t>s only</w:t>
      </w:r>
      <w:r w:rsidRPr="00B95412" w:rsidR="00764B11">
        <w:rPr>
          <w:rFonts w:eastAsia="WenQuanYi Micro Hei"/>
          <w:color w:val="00000A"/>
          <w:sz w:val="24"/>
          <w:szCs w:val="24"/>
          <w:lang w:eastAsia="zh-CN" w:bidi="hi-IN"/>
        </w:rPr>
        <w:t xml:space="preserve"> those who can afford </w:t>
      </w:r>
      <w:r w:rsidRPr="00B95412">
        <w:rPr>
          <w:rFonts w:eastAsia="WenQuanYi Micro Hei"/>
          <w:color w:val="00000A"/>
          <w:sz w:val="24"/>
          <w:szCs w:val="24"/>
          <w:lang w:eastAsia="zh-CN" w:bidi="hi-IN"/>
        </w:rPr>
        <w:t>electric</w:t>
      </w:r>
      <w:r w:rsidRPr="00B95412" w:rsidR="00764B11">
        <w:rPr>
          <w:rFonts w:eastAsia="WenQuanYi Micro Hei"/>
          <w:color w:val="00000A"/>
          <w:sz w:val="24"/>
          <w:szCs w:val="24"/>
          <w:lang w:eastAsia="zh-CN" w:bidi="hi-IN"/>
        </w:rPr>
        <w:t xml:space="preserve"> vehicles</w:t>
      </w:r>
      <w:r w:rsidRPr="00B95412">
        <w:rPr>
          <w:rFonts w:eastAsia="WenQuanYi Micro Hei"/>
          <w:color w:val="00000A"/>
          <w:sz w:val="24"/>
          <w:szCs w:val="24"/>
          <w:lang w:eastAsia="zh-CN" w:bidi="hi-IN"/>
        </w:rPr>
        <w:t>.</w:t>
      </w:r>
      <w:r>
        <w:rPr>
          <w:rStyle w:val="FootnoteReference"/>
          <w:rFonts w:eastAsia="WenQuanYi Micro Hei"/>
          <w:color w:val="00000A"/>
          <w:sz w:val="24"/>
          <w:szCs w:val="24"/>
          <w:lang w:eastAsia="zh-CN" w:bidi="hi-IN"/>
        </w:rPr>
        <w:footnoteReference w:id="104"/>
      </w:r>
      <w:r w:rsidR="00AC3105">
        <w:rPr>
          <w:rFonts w:eastAsia="WenQuanYi Micro Hei"/>
          <w:color w:val="00000A"/>
          <w:sz w:val="24"/>
          <w:szCs w:val="24"/>
          <w:lang w:eastAsia="zh-CN" w:bidi="hi-IN"/>
        </w:rPr>
        <w:t xml:space="preserve"> </w:t>
      </w:r>
      <w:r w:rsidR="002A264B">
        <w:rPr>
          <w:rFonts w:eastAsia="WenQuanYi Micro Hei"/>
          <w:color w:val="00000A"/>
          <w:sz w:val="24"/>
          <w:szCs w:val="24"/>
          <w:lang w:eastAsia="zh-CN" w:bidi="hi-IN"/>
        </w:rPr>
        <w:t xml:space="preserve"> </w:t>
      </w:r>
      <w:r w:rsidRPr="00B95412">
        <w:rPr>
          <w:rFonts w:eastAsia="WenQuanYi Micro Hei"/>
          <w:color w:val="00000A"/>
          <w:sz w:val="24"/>
          <w:szCs w:val="24"/>
          <w:lang w:eastAsia="zh-CN" w:bidi="hi-IN"/>
        </w:rPr>
        <w:t>F</w:t>
      </w:r>
      <w:r w:rsidRPr="00B95412" w:rsidR="00764B11">
        <w:rPr>
          <w:rFonts w:eastAsia="WenQuanYi Micro Hei"/>
          <w:color w:val="00000A"/>
          <w:sz w:val="24"/>
          <w:szCs w:val="24"/>
          <w:lang w:eastAsia="zh-CN" w:bidi="hi-IN"/>
        </w:rPr>
        <w:t>orcing all c</w:t>
      </w:r>
      <w:r w:rsidR="002A264B">
        <w:rPr>
          <w:rFonts w:eastAsia="WenQuanYi Micro Hei"/>
          <w:color w:val="00000A"/>
          <w:sz w:val="24"/>
          <w:szCs w:val="24"/>
          <w:lang w:eastAsia="zh-CN" w:bidi="hi-IN"/>
        </w:rPr>
        <w:t>onsum</w:t>
      </w:r>
      <w:r w:rsidRPr="00B95412" w:rsidR="00764B11">
        <w:rPr>
          <w:rFonts w:eastAsia="WenQuanYi Micro Hei"/>
          <w:color w:val="00000A"/>
          <w:sz w:val="24"/>
          <w:szCs w:val="24"/>
          <w:lang w:eastAsia="zh-CN" w:bidi="hi-IN"/>
        </w:rPr>
        <w:t xml:space="preserve">ers to subsidize these facilities is </w:t>
      </w:r>
      <w:r w:rsidRPr="00B95412">
        <w:rPr>
          <w:rFonts w:eastAsia="WenQuanYi Micro Hei"/>
          <w:color w:val="00000A"/>
          <w:sz w:val="24"/>
          <w:szCs w:val="24"/>
          <w:lang w:eastAsia="zh-CN" w:bidi="hi-IN"/>
        </w:rPr>
        <w:t>an improper</w:t>
      </w:r>
      <w:r w:rsidRPr="00B95412" w:rsidR="00764B11">
        <w:rPr>
          <w:rFonts w:eastAsia="WenQuanYi Micro Hei"/>
          <w:color w:val="00000A"/>
          <w:sz w:val="24"/>
          <w:szCs w:val="24"/>
          <w:lang w:eastAsia="zh-CN" w:bidi="hi-IN"/>
        </w:rPr>
        <w:t xml:space="preserve"> transfer </w:t>
      </w:r>
      <w:r w:rsidRPr="00B95412">
        <w:rPr>
          <w:rFonts w:eastAsia="WenQuanYi Micro Hei"/>
          <w:color w:val="00000A"/>
          <w:sz w:val="24"/>
          <w:szCs w:val="24"/>
          <w:lang w:eastAsia="zh-CN" w:bidi="hi-IN"/>
        </w:rPr>
        <w:t>of</w:t>
      </w:r>
      <w:r w:rsidRPr="00B95412" w:rsidR="00764B11">
        <w:rPr>
          <w:rFonts w:eastAsia="WenQuanYi Micro Hei"/>
          <w:color w:val="00000A"/>
          <w:sz w:val="24"/>
          <w:szCs w:val="24"/>
          <w:lang w:eastAsia="zh-CN" w:bidi="hi-IN"/>
        </w:rPr>
        <w:t xml:space="preserve"> wealth to those</w:t>
      </w:r>
      <w:r w:rsidRPr="00B95412">
        <w:rPr>
          <w:rFonts w:eastAsia="WenQuanYi Micro Hei"/>
          <w:color w:val="00000A"/>
          <w:sz w:val="24"/>
          <w:szCs w:val="24"/>
          <w:lang w:eastAsia="zh-CN" w:bidi="hi-IN"/>
        </w:rPr>
        <w:t xml:space="preserve"> who have the means to afford electric vehicles in the first place</w:t>
      </w:r>
      <w:r w:rsidRPr="00B95412" w:rsidR="00764B11">
        <w:rPr>
          <w:rFonts w:eastAsia="WenQuanYi Micro Hei"/>
          <w:color w:val="00000A"/>
          <w:sz w:val="24"/>
          <w:szCs w:val="24"/>
          <w:lang w:eastAsia="zh-CN" w:bidi="hi-IN"/>
        </w:rPr>
        <w:t>.</w:t>
      </w:r>
      <w:r>
        <w:rPr>
          <w:rStyle w:val="FootnoteReference"/>
          <w:rFonts w:eastAsia="WenQuanYi Micro Hei"/>
          <w:color w:val="00000A"/>
          <w:sz w:val="24"/>
          <w:szCs w:val="24"/>
          <w:lang w:eastAsia="zh-CN" w:bidi="hi-IN"/>
        </w:rPr>
        <w:footnoteReference w:id="105"/>
      </w:r>
      <w:r w:rsidRPr="00B95412" w:rsidR="00DF1CE1">
        <w:rPr>
          <w:rFonts w:eastAsia="WenQuanYi Micro Hei"/>
          <w:color w:val="00000A"/>
          <w:sz w:val="24"/>
          <w:szCs w:val="24"/>
          <w:lang w:eastAsia="zh-CN" w:bidi="hi-IN"/>
        </w:rPr>
        <w:t xml:space="preserve"> </w:t>
      </w:r>
      <w:r w:rsidRPr="00B95412">
        <w:rPr>
          <w:rFonts w:eastAsia="WenQuanYi Micro Hei"/>
          <w:color w:val="00000A"/>
          <w:sz w:val="24"/>
          <w:szCs w:val="24"/>
          <w:lang w:eastAsia="zh-CN" w:bidi="hi-IN"/>
        </w:rPr>
        <w:t>To avoid this cross subsidy, the proposal surrounding the treatment of CIAC costs in paragraph 15 of the settlement should be denied.</w:t>
      </w:r>
      <w:r>
        <w:rPr>
          <w:rStyle w:val="FootnoteReference"/>
          <w:rFonts w:eastAsia="WenQuanYi Micro Hei"/>
          <w:color w:val="00000A"/>
          <w:sz w:val="24"/>
          <w:szCs w:val="24"/>
          <w:lang w:eastAsia="zh-CN" w:bidi="hi-IN"/>
        </w:rPr>
        <w:footnoteReference w:id="106"/>
      </w:r>
      <w:r w:rsidRPr="00B95412">
        <w:rPr>
          <w:rFonts w:eastAsia="WenQuanYi Micro Hei"/>
          <w:color w:val="00000A"/>
          <w:sz w:val="24"/>
          <w:szCs w:val="24"/>
          <w:lang w:eastAsia="zh-CN" w:bidi="hi-IN"/>
        </w:rPr>
        <w:t xml:space="preserve"> Instead,</w:t>
      </w:r>
      <w:r w:rsidRPr="00B95412" w:rsidR="00A6407C">
        <w:rPr>
          <w:rFonts w:eastAsia="WenQuanYi Micro Hei"/>
          <w:color w:val="00000A"/>
          <w:sz w:val="24"/>
          <w:szCs w:val="24"/>
          <w:lang w:eastAsia="zh-CN" w:bidi="hi-IN"/>
        </w:rPr>
        <w:t xml:space="preserve"> in compliance with the principle of cost causation,</w:t>
      </w:r>
      <w:r w:rsidRPr="00B95412">
        <w:rPr>
          <w:rFonts w:eastAsia="WenQuanYi Micro Hei"/>
          <w:color w:val="00000A"/>
          <w:sz w:val="24"/>
          <w:szCs w:val="24"/>
          <w:lang w:eastAsia="zh-CN" w:bidi="hi-IN"/>
        </w:rPr>
        <w:t xml:space="preserve"> the cost of electric vehicle-charging infrastructure and associated CIAC costs should be borne by the beneficiaries of the infrastructure, who are the electric vehicle owners themselves.</w:t>
      </w:r>
      <w:r>
        <w:rPr>
          <w:rFonts w:eastAsia="WenQuanYi Micro Hei"/>
          <w:color w:val="00000A"/>
          <w:sz w:val="24"/>
          <w:szCs w:val="24"/>
          <w:vertAlign w:val="superscript"/>
          <w:lang w:eastAsia="zh-CN" w:bidi="hi-IN"/>
        </w:rPr>
        <w:footnoteReference w:id="107"/>
      </w:r>
    </w:p>
    <w:p w:rsidR="00C73908" w:rsidRPr="00B95412" w:rsidP="00DF1CE1" w14:paraId="2CA4B5FC" w14:textId="3C126FF4">
      <w:pPr>
        <w:widowControl/>
        <w:autoSpaceDE/>
        <w:autoSpaceDN/>
        <w:spacing w:line="480" w:lineRule="auto"/>
        <w:ind w:firstLine="720"/>
        <w:rPr>
          <w:rFonts w:eastAsia="WenQuanYi Micro Hei"/>
          <w:color w:val="00000A"/>
          <w:sz w:val="24"/>
          <w:szCs w:val="24"/>
          <w:lang w:eastAsia="zh-CN" w:bidi="hi-IN"/>
        </w:rPr>
      </w:pPr>
      <w:r w:rsidRPr="00B95412">
        <w:rPr>
          <w:rFonts w:eastAsia="WenQuanYi Micro Hei"/>
          <w:color w:val="00000A"/>
          <w:sz w:val="24"/>
          <w:szCs w:val="24"/>
          <w:lang w:eastAsia="zh-CN" w:bidi="hi-IN"/>
        </w:rPr>
        <w:t xml:space="preserve">In addition, </w:t>
      </w:r>
      <w:r w:rsidRPr="00B95412" w:rsidR="00DF1CE1">
        <w:rPr>
          <w:rFonts w:eastAsia="WenQuanYi Micro Hei"/>
          <w:color w:val="00000A"/>
          <w:sz w:val="24"/>
          <w:szCs w:val="24"/>
          <w:lang w:eastAsia="zh-CN" w:bidi="hi-IN"/>
        </w:rPr>
        <w:t xml:space="preserve">as </w:t>
      </w:r>
      <w:r w:rsidRPr="00B95412">
        <w:rPr>
          <w:rFonts w:eastAsia="WenQuanYi Micro Hei"/>
          <w:color w:val="00000A"/>
          <w:sz w:val="24"/>
          <w:szCs w:val="24"/>
          <w:lang w:eastAsia="zh-CN" w:bidi="hi-IN"/>
        </w:rPr>
        <w:t xml:space="preserve">OCC </w:t>
      </w:r>
      <w:r w:rsidRPr="00B95412" w:rsidR="0008078B">
        <w:rPr>
          <w:rFonts w:eastAsia="WenQuanYi Micro Hei"/>
          <w:color w:val="00000A"/>
          <w:sz w:val="24"/>
          <w:szCs w:val="24"/>
          <w:lang w:eastAsia="zh-CN" w:bidi="hi-IN"/>
        </w:rPr>
        <w:t xml:space="preserve">witness </w:t>
      </w:r>
      <w:r w:rsidRPr="00B95412">
        <w:rPr>
          <w:rFonts w:eastAsia="WenQuanYi Micro Hei"/>
          <w:color w:val="00000A"/>
          <w:sz w:val="24"/>
          <w:szCs w:val="24"/>
          <w:lang w:eastAsia="zh-CN" w:bidi="hi-IN"/>
        </w:rPr>
        <w:t xml:space="preserve">Sioshansi </w:t>
      </w:r>
      <w:r w:rsidRPr="00B95412" w:rsidR="00DF1CE1">
        <w:rPr>
          <w:rFonts w:eastAsia="WenQuanYi Micro Hei"/>
          <w:color w:val="00000A"/>
          <w:sz w:val="24"/>
          <w:szCs w:val="24"/>
          <w:lang w:eastAsia="zh-CN" w:bidi="hi-IN"/>
        </w:rPr>
        <w:t xml:space="preserve">further </w:t>
      </w:r>
      <w:r w:rsidRPr="00B95412">
        <w:rPr>
          <w:rFonts w:eastAsia="WenQuanYi Micro Hei"/>
          <w:color w:val="00000A"/>
          <w:sz w:val="24"/>
          <w:szCs w:val="24"/>
          <w:lang w:eastAsia="zh-CN" w:bidi="hi-IN"/>
        </w:rPr>
        <w:t>testified</w:t>
      </w:r>
      <w:r w:rsidRPr="00B95412" w:rsidR="00DF1CE1">
        <w:rPr>
          <w:rFonts w:eastAsia="WenQuanYi Micro Hei"/>
          <w:color w:val="00000A"/>
          <w:sz w:val="24"/>
          <w:szCs w:val="24"/>
          <w:lang w:eastAsia="zh-CN" w:bidi="hi-IN"/>
        </w:rPr>
        <w:t xml:space="preserve">, </w:t>
      </w:r>
      <w:r w:rsidRPr="00B95412">
        <w:rPr>
          <w:rFonts w:eastAsia="WenQuanYi Micro Hei"/>
          <w:color w:val="00000A"/>
          <w:sz w:val="24"/>
          <w:szCs w:val="24"/>
          <w:lang w:eastAsia="zh-CN" w:bidi="hi-IN"/>
        </w:rPr>
        <w:t>the Settlement</w:t>
      </w:r>
      <w:r>
        <w:rPr>
          <w:rFonts w:eastAsia="WenQuanYi Micro Hei"/>
          <w:color w:val="00000A"/>
          <w:sz w:val="24"/>
          <w:szCs w:val="24"/>
          <w:vertAlign w:val="superscript"/>
          <w:lang w:eastAsia="zh-CN" w:bidi="hi-IN"/>
        </w:rPr>
        <w:footnoteReference w:id="108"/>
      </w:r>
      <w:r w:rsidRPr="00B95412">
        <w:rPr>
          <w:rFonts w:eastAsia="WenQuanYi Micro Hei"/>
          <w:color w:val="00000A"/>
          <w:sz w:val="24"/>
          <w:szCs w:val="24"/>
          <w:lang w:eastAsia="zh-CN" w:bidi="hi-IN"/>
        </w:rPr>
        <w:t xml:space="preserve"> commits AEP to pre-specified spending and investment levels on CIAC costs for consumer installation of electric vehicle-charging stations before the PUCO has made any determination regarding the regulatory treatment of CIAC costs.</w:t>
      </w:r>
      <w:r>
        <w:rPr>
          <w:rStyle w:val="FootnoteReference"/>
          <w:rFonts w:eastAsia="WenQuanYi Micro Hei"/>
          <w:color w:val="00000A"/>
          <w:sz w:val="24"/>
          <w:szCs w:val="24"/>
          <w:lang w:eastAsia="zh-CN" w:bidi="hi-IN"/>
        </w:rPr>
        <w:footnoteReference w:id="109"/>
      </w:r>
      <w:r w:rsidRPr="00B95412" w:rsidR="00B57F0C">
        <w:rPr>
          <w:rFonts w:eastAsia="WenQuanYi Micro Hei"/>
          <w:color w:val="00000A"/>
          <w:sz w:val="24"/>
          <w:szCs w:val="24"/>
          <w:lang w:eastAsia="zh-CN" w:bidi="hi-IN"/>
        </w:rPr>
        <w:t xml:space="preserve"> </w:t>
      </w:r>
      <w:r w:rsidRPr="00B95412" w:rsidR="00DF1CE1">
        <w:rPr>
          <w:rFonts w:eastAsia="WenQuanYi Micro Hei"/>
          <w:color w:val="00000A"/>
          <w:sz w:val="24"/>
          <w:szCs w:val="24"/>
          <w:lang w:eastAsia="zh-CN" w:bidi="hi-IN"/>
        </w:rPr>
        <w:t>Even more importantly, the Settlement</w:t>
      </w:r>
      <w:r w:rsidR="00AC3105">
        <w:rPr>
          <w:rFonts w:eastAsia="WenQuanYi Micro Hei"/>
          <w:color w:val="00000A"/>
          <w:sz w:val="24"/>
          <w:szCs w:val="24"/>
          <w:lang w:eastAsia="zh-CN" w:bidi="hi-IN"/>
        </w:rPr>
        <w:t xml:space="preserve"> </w:t>
      </w:r>
      <w:r w:rsidRPr="00B95412" w:rsidR="00DF1CE1">
        <w:rPr>
          <w:rFonts w:eastAsia="WenQuanYi Micro Hei"/>
          <w:color w:val="00000A"/>
          <w:sz w:val="24"/>
          <w:szCs w:val="24"/>
          <w:lang w:eastAsia="zh-CN" w:bidi="hi-IN"/>
        </w:rPr>
        <w:t>would automatically commit consumers to an additional $2-</w:t>
      </w:r>
      <w:r w:rsidRPr="00B95412" w:rsidR="009F2D7A">
        <w:rPr>
          <w:rFonts w:eastAsia="WenQuanYi Micro Hei"/>
          <w:color w:val="00000A"/>
          <w:sz w:val="24"/>
          <w:szCs w:val="24"/>
          <w:lang w:eastAsia="zh-CN" w:bidi="hi-IN"/>
        </w:rPr>
        <w:t>$</w:t>
      </w:r>
      <w:r w:rsidRPr="00B95412" w:rsidR="00DF1CE1">
        <w:rPr>
          <w:rFonts w:eastAsia="WenQuanYi Micro Hei"/>
          <w:color w:val="00000A"/>
          <w:sz w:val="24"/>
          <w:szCs w:val="24"/>
          <w:lang w:eastAsia="zh-CN" w:bidi="hi-IN"/>
        </w:rPr>
        <w:t>4 million in costs, which AEP will</w:t>
      </w:r>
      <w:r w:rsidRPr="00B95412" w:rsidR="009F2D7A">
        <w:rPr>
          <w:rFonts w:eastAsia="WenQuanYi Micro Hei"/>
          <w:color w:val="00000A"/>
          <w:sz w:val="24"/>
          <w:szCs w:val="24"/>
          <w:lang w:eastAsia="zh-CN" w:bidi="hi-IN"/>
        </w:rPr>
        <w:t xml:space="preserve"> charge to consumers</w:t>
      </w:r>
      <w:r w:rsidRPr="00B95412" w:rsidR="00DF1CE1">
        <w:rPr>
          <w:rFonts w:eastAsia="WenQuanYi Micro Hei"/>
          <w:color w:val="00000A"/>
          <w:sz w:val="24"/>
          <w:szCs w:val="24"/>
          <w:lang w:eastAsia="zh-CN" w:bidi="hi-IN"/>
        </w:rPr>
        <w:t xml:space="preserve"> through the DIR, should the </w:t>
      </w:r>
      <w:r w:rsidRPr="00B95412" w:rsidR="00BC5E5C">
        <w:rPr>
          <w:rFonts w:eastAsia="WenQuanYi Micro Hei"/>
          <w:color w:val="00000A"/>
          <w:sz w:val="24"/>
          <w:szCs w:val="24"/>
          <w:lang w:eastAsia="zh-CN" w:bidi="hi-IN"/>
        </w:rPr>
        <w:t>PUCO</w:t>
      </w:r>
      <w:r w:rsidRPr="00B95412" w:rsidR="00DF1CE1">
        <w:rPr>
          <w:rFonts w:eastAsia="WenQuanYi Micro Hei"/>
          <w:color w:val="00000A"/>
          <w:sz w:val="24"/>
          <w:szCs w:val="24"/>
          <w:lang w:eastAsia="zh-CN" w:bidi="hi-IN"/>
        </w:rPr>
        <w:t xml:space="preserve"> </w:t>
      </w:r>
      <w:r w:rsidRPr="00B95412" w:rsidR="0073767F">
        <w:rPr>
          <w:rFonts w:eastAsia="WenQuanYi Micro Hei"/>
          <w:color w:val="00000A"/>
          <w:sz w:val="24"/>
          <w:szCs w:val="24"/>
          <w:lang w:eastAsia="zh-CN" w:bidi="hi-IN"/>
        </w:rPr>
        <w:t xml:space="preserve">approve increased levels of financial incentives to offset CIAC costs in a </w:t>
      </w:r>
      <w:r w:rsidRPr="00B95412" w:rsidR="00DF1CE1">
        <w:rPr>
          <w:rFonts w:eastAsia="WenQuanYi Micro Hei"/>
          <w:color w:val="00000A"/>
          <w:sz w:val="24"/>
          <w:szCs w:val="24"/>
          <w:lang w:eastAsia="zh-CN" w:bidi="hi-IN"/>
        </w:rPr>
        <w:t xml:space="preserve">later </w:t>
      </w:r>
      <w:r w:rsidRPr="00B95412" w:rsidR="0073767F">
        <w:rPr>
          <w:rFonts w:eastAsia="WenQuanYi Micro Hei"/>
          <w:color w:val="00000A"/>
          <w:sz w:val="24"/>
          <w:szCs w:val="24"/>
          <w:lang w:eastAsia="zh-CN" w:bidi="hi-IN"/>
        </w:rPr>
        <w:t>matter.</w:t>
      </w:r>
      <w:r>
        <w:rPr>
          <w:rStyle w:val="FootnoteReference"/>
          <w:rFonts w:eastAsia="WenQuanYi Micro Hei"/>
          <w:color w:val="00000A"/>
          <w:sz w:val="24"/>
          <w:szCs w:val="24"/>
          <w:lang w:eastAsia="zh-CN" w:bidi="hi-IN"/>
        </w:rPr>
        <w:footnoteReference w:id="110"/>
      </w:r>
      <w:r w:rsidRPr="00B95412" w:rsidR="00B57F0C">
        <w:rPr>
          <w:rFonts w:eastAsia="WenQuanYi Micro Hei"/>
          <w:color w:val="00000A"/>
          <w:sz w:val="24"/>
          <w:szCs w:val="24"/>
          <w:lang w:eastAsia="zh-CN" w:bidi="hi-IN"/>
        </w:rPr>
        <w:t xml:space="preserve"> </w:t>
      </w:r>
      <w:r w:rsidRPr="00B95412">
        <w:rPr>
          <w:rFonts w:eastAsia="WenQuanYi Micro Hei"/>
          <w:color w:val="00000A"/>
          <w:sz w:val="24"/>
          <w:szCs w:val="24"/>
          <w:lang w:eastAsia="zh-CN" w:bidi="hi-IN"/>
        </w:rPr>
        <w:t>As such, it is premature for these spending levels to be set in this Settlement.</w:t>
      </w:r>
      <w:r>
        <w:rPr>
          <w:rFonts w:eastAsia="WenQuanYi Micro Hei"/>
          <w:color w:val="00000A"/>
          <w:sz w:val="24"/>
          <w:szCs w:val="24"/>
          <w:vertAlign w:val="superscript"/>
          <w:lang w:eastAsia="zh-CN" w:bidi="hi-IN"/>
        </w:rPr>
        <w:footnoteReference w:id="111"/>
      </w:r>
    </w:p>
    <w:p w:rsidR="00AC4F5C" w:rsidRPr="00B95412" w:rsidP="00DF1CE1" w14:paraId="65416791" w14:textId="46C578B9">
      <w:pPr>
        <w:widowControl/>
        <w:autoSpaceDE/>
        <w:autoSpaceDN/>
        <w:spacing w:line="480" w:lineRule="auto"/>
        <w:ind w:firstLine="720"/>
        <w:rPr>
          <w:rFonts w:eastAsia="WenQuanYi Micro Hei"/>
          <w:color w:val="00000A"/>
          <w:sz w:val="24"/>
          <w:szCs w:val="24"/>
          <w:lang w:eastAsia="zh-CN" w:bidi="hi-IN"/>
        </w:rPr>
      </w:pPr>
      <w:r w:rsidRPr="00B95412">
        <w:rPr>
          <w:rFonts w:eastAsia="WenQuanYi Micro Hei"/>
          <w:color w:val="00000A"/>
          <w:sz w:val="24"/>
          <w:szCs w:val="24"/>
          <w:lang w:eastAsia="zh-CN" w:bidi="hi-IN"/>
        </w:rPr>
        <w:t>Because the CIAC provisions of the Settlement violate cost-causation regulatory principles, and prematurely commit</w:t>
      </w:r>
      <w:r w:rsidRPr="00B95412" w:rsidR="001F6F85">
        <w:rPr>
          <w:rFonts w:eastAsia="WenQuanYi Micro Hei"/>
          <w:color w:val="00000A"/>
          <w:sz w:val="24"/>
          <w:szCs w:val="24"/>
          <w:lang w:eastAsia="zh-CN" w:bidi="hi-IN"/>
        </w:rPr>
        <w:t>s</w:t>
      </w:r>
      <w:r w:rsidRPr="00B95412">
        <w:rPr>
          <w:rFonts w:eastAsia="WenQuanYi Micro Hei"/>
          <w:color w:val="00000A"/>
          <w:sz w:val="24"/>
          <w:szCs w:val="24"/>
          <w:lang w:eastAsia="zh-CN" w:bidi="hi-IN"/>
        </w:rPr>
        <w:t xml:space="preserve"> consumers </w:t>
      </w:r>
      <w:r w:rsidR="006F2CD8">
        <w:rPr>
          <w:rFonts w:eastAsia="WenQuanYi Micro Hei"/>
          <w:color w:val="00000A"/>
          <w:sz w:val="24"/>
          <w:szCs w:val="24"/>
          <w:lang w:eastAsia="zh-CN" w:bidi="hi-IN"/>
        </w:rPr>
        <w:t xml:space="preserve">to </w:t>
      </w:r>
      <w:r w:rsidRPr="00B95412" w:rsidR="001F6F85">
        <w:rPr>
          <w:rFonts w:eastAsia="WenQuanYi Micro Hei"/>
          <w:color w:val="00000A"/>
          <w:sz w:val="24"/>
          <w:szCs w:val="24"/>
          <w:lang w:eastAsia="zh-CN" w:bidi="hi-IN"/>
        </w:rPr>
        <w:t xml:space="preserve">accept </w:t>
      </w:r>
      <w:r w:rsidR="001E4276">
        <w:rPr>
          <w:rFonts w:eastAsia="WenQuanYi Micro Hei"/>
          <w:color w:val="00000A"/>
          <w:sz w:val="24"/>
          <w:szCs w:val="24"/>
          <w:lang w:eastAsia="zh-CN" w:bidi="hi-IN"/>
        </w:rPr>
        <w:t>and</w:t>
      </w:r>
      <w:r w:rsidRPr="00B95412" w:rsidR="001F6F85">
        <w:rPr>
          <w:rFonts w:eastAsia="WenQuanYi Micro Hei"/>
          <w:color w:val="00000A"/>
          <w:sz w:val="24"/>
          <w:szCs w:val="24"/>
          <w:lang w:eastAsia="zh-CN" w:bidi="hi-IN"/>
        </w:rPr>
        <w:t xml:space="preserve"> bear</w:t>
      </w:r>
      <w:r w:rsidR="00AC3105">
        <w:rPr>
          <w:rFonts w:eastAsia="WenQuanYi Micro Hei"/>
          <w:color w:val="00000A"/>
          <w:sz w:val="24"/>
          <w:szCs w:val="24"/>
          <w:lang w:eastAsia="zh-CN" w:bidi="hi-IN"/>
        </w:rPr>
        <w:t xml:space="preserve"> </w:t>
      </w:r>
      <w:r w:rsidRPr="00B95412">
        <w:rPr>
          <w:rFonts w:eastAsia="WenQuanYi Micro Hei"/>
          <w:color w:val="00000A"/>
          <w:sz w:val="24"/>
          <w:szCs w:val="24"/>
          <w:lang w:eastAsia="zh-CN" w:bidi="hi-IN"/>
        </w:rPr>
        <w:t xml:space="preserve">additional unwarranted charges, OCC respectfully requests the </w:t>
      </w:r>
      <w:r w:rsidRPr="00B95412" w:rsidR="00BC5E5C">
        <w:rPr>
          <w:rFonts w:eastAsia="WenQuanYi Micro Hei"/>
          <w:color w:val="00000A"/>
          <w:sz w:val="24"/>
          <w:szCs w:val="24"/>
          <w:lang w:eastAsia="zh-CN" w:bidi="hi-IN"/>
        </w:rPr>
        <w:t>PUCO</w:t>
      </w:r>
      <w:r w:rsidRPr="00B95412">
        <w:rPr>
          <w:rFonts w:eastAsia="WenQuanYi Micro Hei"/>
          <w:color w:val="00000A"/>
          <w:sz w:val="24"/>
          <w:szCs w:val="24"/>
          <w:lang w:eastAsia="zh-CN" w:bidi="hi-IN"/>
        </w:rPr>
        <w:t xml:space="preserve"> </w:t>
      </w:r>
      <w:r w:rsidRPr="00B95412" w:rsidR="001F6F85">
        <w:rPr>
          <w:rFonts w:eastAsia="WenQuanYi Micro Hei"/>
          <w:color w:val="00000A"/>
          <w:sz w:val="24"/>
          <w:szCs w:val="24"/>
          <w:lang w:eastAsia="zh-CN" w:bidi="hi-IN"/>
        </w:rPr>
        <w:t xml:space="preserve">reject </w:t>
      </w:r>
      <w:r w:rsidR="001E4276">
        <w:rPr>
          <w:rFonts w:eastAsia="WenQuanYi Micro Hei"/>
          <w:color w:val="00000A"/>
          <w:sz w:val="24"/>
          <w:szCs w:val="24"/>
          <w:lang w:eastAsia="zh-CN" w:bidi="hi-IN"/>
        </w:rPr>
        <w:t xml:space="preserve">the </w:t>
      </w:r>
      <w:r w:rsidRPr="00B95412">
        <w:rPr>
          <w:rFonts w:eastAsia="WenQuanYi Micro Hei"/>
          <w:color w:val="00000A"/>
          <w:sz w:val="24"/>
          <w:szCs w:val="24"/>
          <w:lang w:eastAsia="zh-CN" w:bidi="hi-IN"/>
        </w:rPr>
        <w:t>proposed Settlement.</w:t>
      </w:r>
    </w:p>
    <w:p w:rsidR="00C73908" w:rsidRPr="00B95412" w:rsidP="00895129" w14:paraId="75DAAE42" w14:textId="11F176AB">
      <w:pPr>
        <w:pStyle w:val="Heading2"/>
      </w:pPr>
      <w:bookmarkStart w:id="31" w:name="_TOC_250003"/>
      <w:bookmarkStart w:id="32" w:name="_Toc152339597"/>
      <w:bookmarkStart w:id="33" w:name="_Toc154128548"/>
      <w:r w:rsidRPr="00B95412">
        <w:t>J</w:t>
      </w:r>
      <w:r w:rsidRPr="00B95412" w:rsidR="00895129">
        <w:t>.</w:t>
      </w:r>
      <w:r w:rsidRPr="00B95412" w:rsidR="00895129">
        <w:tab/>
      </w:r>
      <w:bookmarkStart w:id="34" w:name="_Hlk153836023"/>
      <w:r w:rsidRPr="00B95412" w:rsidR="00597873">
        <w:t>The Settlement Fails the “</w:t>
      </w:r>
      <w:r w:rsidRPr="00B95412">
        <w:t>MRO vs ESP</w:t>
      </w:r>
      <w:r w:rsidRPr="00B95412" w:rsidR="00597873">
        <w:t>”</w:t>
      </w:r>
      <w:r w:rsidRPr="00B95412">
        <w:t xml:space="preserve"> </w:t>
      </w:r>
      <w:bookmarkEnd w:id="31"/>
      <w:r w:rsidRPr="00B95412">
        <w:t>test</w:t>
      </w:r>
      <w:r w:rsidRPr="00B95412" w:rsidR="00895129">
        <w:t>.</w:t>
      </w:r>
      <w:bookmarkEnd w:id="32"/>
      <w:bookmarkEnd w:id="33"/>
      <w:bookmarkEnd w:id="34"/>
    </w:p>
    <w:p w:rsidR="002B7132" w:rsidRPr="00B95412" w:rsidP="00E81774" w14:paraId="435FBB20" w14:textId="77777777">
      <w:pPr>
        <w:pStyle w:val="BodyText"/>
        <w:spacing w:line="480" w:lineRule="auto"/>
        <w:ind w:right="144" w:firstLine="720"/>
      </w:pPr>
      <w:r w:rsidRPr="00B95412">
        <w:t>In addition to violating the PUCO’s three-part test for considering settlements, t</w:t>
      </w:r>
      <w:r w:rsidRPr="00B95412" w:rsidR="00597873">
        <w:t xml:space="preserve">he </w:t>
      </w:r>
      <w:r w:rsidRPr="00B95412">
        <w:t>S</w:t>
      </w:r>
      <w:r w:rsidRPr="00B95412" w:rsidR="00597873">
        <w:t xml:space="preserve">ettlement </w:t>
      </w:r>
      <w:r w:rsidRPr="00B95412">
        <w:t xml:space="preserve">here </w:t>
      </w:r>
      <w:r w:rsidRPr="00B95412" w:rsidR="00597873">
        <w:t>fails to satisfy the “MRO vs. ESP” test and should be rejected.</w:t>
      </w:r>
      <w:r w:rsidRPr="00B95412" w:rsidR="00943AC9">
        <w:t xml:space="preserve"> </w:t>
      </w:r>
      <w:r w:rsidRPr="00B95412" w:rsidR="00597873">
        <w:t>T</w:t>
      </w:r>
      <w:r w:rsidRPr="00B95412" w:rsidR="00C73908">
        <w:t>he comparison the PUCO must make between the results of a utility’s ESP and the results that would be expected under a Market Rate Offer (“MRO”) is the “statutory test,”</w:t>
      </w:r>
      <w:r>
        <w:rPr>
          <w:rStyle w:val="FootnoteReference"/>
        </w:rPr>
        <w:footnoteReference w:id="112"/>
      </w:r>
      <w:r w:rsidRPr="00B95412" w:rsidR="00C73908">
        <w:t xml:space="preserve"> sometimes also referred to as the “MRO vs. ESP test.” Under Section 4928.143(C)(1) of the Ohio Revised Code, the PUCO cannot approve, or modify and approve, an ESP unless it finds that the ESP “including its pricing and all other terms and conditions, including any deferrals and future recovery of deferrals, is more favorable in the </w:t>
      </w:r>
    </w:p>
    <w:p w:rsidR="00DD3181" w:rsidRPr="00B95412" w:rsidP="00E81774" w14:paraId="04E94B5C" w14:textId="4B014452">
      <w:pPr>
        <w:pStyle w:val="BodyText"/>
        <w:spacing w:line="480" w:lineRule="auto"/>
        <w:ind w:right="144"/>
      </w:pPr>
      <w:r w:rsidRPr="00B95412">
        <w:t>aggregate [to customers] as compared to the expected results that would otherwise apply under section 4928.142 of the Revised Code.”</w:t>
      </w:r>
    </w:p>
    <w:p w:rsidR="00C73908" w:rsidRPr="00B95412" w:rsidP="00E81774" w14:paraId="21AAD365" w14:textId="77777777">
      <w:pPr>
        <w:pStyle w:val="BodyText"/>
        <w:spacing w:line="480" w:lineRule="auto"/>
        <w:ind w:right="144" w:firstLine="720"/>
      </w:pPr>
      <w:r w:rsidRPr="00B95412">
        <w:t>In conducting the statutory test, the PUCO has generally evaluated three parts - comparing the results of these elements under the proposed ESP to the results expected under an MRO:</w:t>
      </w:r>
    </w:p>
    <w:p w:rsidR="007C3A56" w:rsidRPr="00B95412" w:rsidP="007C3A56" w14:paraId="421838AE" w14:textId="3A443623">
      <w:pPr>
        <w:pStyle w:val="ListParagraph"/>
        <w:numPr>
          <w:ilvl w:val="0"/>
          <w:numId w:val="19"/>
        </w:numPr>
        <w:spacing w:before="0"/>
        <w:ind w:right="0" w:hanging="720"/>
        <w:jc w:val="both"/>
        <w:rPr>
          <w:sz w:val="24"/>
          <w:szCs w:val="24"/>
        </w:rPr>
      </w:pPr>
      <w:r w:rsidRPr="00B95412">
        <w:rPr>
          <w:sz w:val="24"/>
          <w:szCs w:val="24"/>
        </w:rPr>
        <w:t>The SSO price of generation to consumers;</w:t>
      </w:r>
    </w:p>
    <w:p w:rsidR="007C3A56" w:rsidRPr="00B95412" w:rsidP="007C3A56" w14:paraId="032A0120" w14:textId="77777777">
      <w:pPr>
        <w:pStyle w:val="ListParagraph"/>
        <w:spacing w:before="0"/>
        <w:ind w:left="1440" w:right="0" w:firstLine="0"/>
        <w:jc w:val="both"/>
        <w:rPr>
          <w:sz w:val="24"/>
          <w:szCs w:val="24"/>
        </w:rPr>
      </w:pPr>
    </w:p>
    <w:p w:rsidR="007C3A56" w:rsidRPr="00B95412" w:rsidP="007C3A56" w14:paraId="036C9163" w14:textId="3C7A7D94">
      <w:pPr>
        <w:pStyle w:val="ListParagraph"/>
        <w:numPr>
          <w:ilvl w:val="0"/>
          <w:numId w:val="19"/>
        </w:numPr>
        <w:spacing w:before="0"/>
        <w:ind w:right="0" w:hanging="720"/>
        <w:jc w:val="both"/>
        <w:rPr>
          <w:sz w:val="24"/>
          <w:szCs w:val="24"/>
        </w:rPr>
      </w:pPr>
      <w:r w:rsidRPr="00B95412">
        <w:rPr>
          <w:sz w:val="24"/>
          <w:szCs w:val="24"/>
        </w:rPr>
        <w:t>Other quantifiable provisions; and</w:t>
      </w:r>
    </w:p>
    <w:p w:rsidR="007C3A56" w:rsidRPr="00B95412" w:rsidP="007C3A56" w14:paraId="457F5452" w14:textId="77777777">
      <w:pPr>
        <w:pStyle w:val="ListParagraph"/>
        <w:spacing w:before="0"/>
        <w:ind w:left="1440" w:right="0" w:firstLine="0"/>
        <w:jc w:val="both"/>
        <w:rPr>
          <w:sz w:val="24"/>
          <w:szCs w:val="24"/>
        </w:rPr>
      </w:pPr>
    </w:p>
    <w:p w:rsidR="00043F1F" w:rsidP="007C3A56" w14:paraId="0542C316" w14:textId="551C1E8B">
      <w:pPr>
        <w:pStyle w:val="ListParagraph"/>
        <w:numPr>
          <w:ilvl w:val="0"/>
          <w:numId w:val="19"/>
        </w:numPr>
        <w:spacing w:before="0"/>
        <w:ind w:right="0" w:hanging="720"/>
        <w:jc w:val="both"/>
        <w:rPr>
          <w:sz w:val="24"/>
          <w:szCs w:val="24"/>
        </w:rPr>
      </w:pPr>
      <w:r w:rsidRPr="00B95412">
        <w:rPr>
          <w:sz w:val="24"/>
          <w:szCs w:val="24"/>
        </w:rPr>
        <w:t>Other qualitative provisions.</w:t>
      </w:r>
      <w:r>
        <w:rPr>
          <w:rStyle w:val="FootnoteReference"/>
          <w:sz w:val="24"/>
          <w:szCs w:val="24"/>
        </w:rPr>
        <w:footnoteReference w:id="113"/>
      </w:r>
    </w:p>
    <w:p w:rsidR="00AF32B7" w:rsidRPr="00B95412" w:rsidP="00AF32B7" w14:paraId="499F6BF4" w14:textId="77777777">
      <w:pPr>
        <w:pStyle w:val="ListParagraph"/>
        <w:spacing w:before="0"/>
        <w:ind w:left="1440" w:right="0" w:firstLine="0"/>
        <w:jc w:val="both"/>
        <w:rPr>
          <w:sz w:val="24"/>
          <w:szCs w:val="24"/>
        </w:rPr>
      </w:pPr>
    </w:p>
    <w:p w:rsidR="00C73908" w:rsidRPr="00B95412" w:rsidP="009E4958" w14:paraId="3DA1B379" w14:textId="77777777">
      <w:pPr>
        <w:pStyle w:val="BodyText"/>
        <w:spacing w:line="480" w:lineRule="auto"/>
        <w:ind w:firstLine="720"/>
      </w:pPr>
      <w:r w:rsidRPr="00B95412">
        <w:t xml:space="preserve">The utility bears the burden of proving the </w:t>
      </w:r>
      <w:bookmarkStart w:id="35" w:name="_Hlk151396037"/>
      <w:r w:rsidRPr="00B95412">
        <w:t>ESP is more favorable in the aggregate to customers than a market rate option</w:t>
      </w:r>
      <w:bookmarkEnd w:id="35"/>
      <w:r w:rsidRPr="00B95412">
        <w:t>.</w:t>
      </w:r>
      <w:r>
        <w:rPr>
          <w:rStyle w:val="FootnoteReference"/>
        </w:rPr>
        <w:footnoteReference w:id="114"/>
      </w:r>
      <w:r w:rsidRPr="00B95412">
        <w:t xml:space="preserve"> The ESP embodied in the Settlement fails the statutory test.</w:t>
      </w:r>
    </w:p>
    <w:p w:rsidR="00C73908" w:rsidRPr="00B95412" w:rsidP="009E4958" w14:paraId="7F6F04F7" w14:textId="77777777">
      <w:pPr>
        <w:pStyle w:val="BodyText"/>
        <w:spacing w:line="480" w:lineRule="auto"/>
        <w:ind w:firstLine="720"/>
      </w:pPr>
      <w:r w:rsidRPr="00B95412">
        <w:t>Because of the current auction procedures for generation, the Standard Service Offer (SSO) generation rates have become 100% market-based rates.</w:t>
      </w:r>
      <w:r>
        <w:rPr>
          <w:vertAlign w:val="superscript"/>
        </w:rPr>
        <w:footnoteReference w:id="115"/>
      </w:r>
      <w:r w:rsidRPr="00B95412">
        <w:t xml:space="preserve"> As a result, there should be no difference between market-based generation rates under an MRO or an ESP.</w:t>
      </w:r>
      <w:r>
        <w:rPr>
          <w:rStyle w:val="FootnoteReference"/>
        </w:rPr>
        <w:footnoteReference w:id="116"/>
      </w:r>
    </w:p>
    <w:p w:rsidR="00AF32B7" w:rsidP="009E4958" w14:paraId="21A82DCD" w14:textId="77777777">
      <w:pPr>
        <w:pStyle w:val="BodyText"/>
        <w:spacing w:line="480" w:lineRule="auto"/>
        <w:ind w:firstLine="720"/>
      </w:pPr>
      <w:r w:rsidRPr="00B95412">
        <w:t>OCC witness Buckley testified that t</w:t>
      </w:r>
      <w:r w:rsidRPr="00B95412" w:rsidR="00C73908">
        <w:t>here are a number of new riders and increases to existing riders under the ESP that add over $1.1 billion in costs to customers with little to no value to customers.</w:t>
      </w:r>
      <w:r>
        <w:rPr>
          <w:rStyle w:val="FootnoteReference"/>
        </w:rPr>
        <w:footnoteReference w:id="117"/>
      </w:r>
      <w:r w:rsidRPr="00B95412" w:rsidR="00C73908">
        <w:t xml:space="preserve"> These riders would not be included in an MRO because an MRO merely sets the standard offer price.</w:t>
      </w:r>
      <w:r>
        <w:rPr>
          <w:rStyle w:val="FootnoteReference"/>
        </w:rPr>
        <w:footnoteReference w:id="118"/>
      </w:r>
      <w:r w:rsidRPr="00B95412" w:rsidR="00C73908">
        <w:t xml:space="preserve"> There are no other provisions under an MRO that allow AEP to include charges to customers for numerous and varied riders.</w:t>
      </w:r>
      <w:r>
        <w:rPr>
          <w:rStyle w:val="FootnoteReference"/>
        </w:rPr>
        <w:footnoteReference w:id="119"/>
      </w:r>
      <w:r w:rsidRPr="00B95412" w:rsidR="00C73908">
        <w:t xml:space="preserve"> With these riders consumers would pay $1.1 billion more in costs under the ESP than under an MRO.</w:t>
      </w:r>
      <w:r>
        <w:rPr>
          <w:rStyle w:val="FootnoteReference"/>
        </w:rPr>
        <w:footnoteReference w:id="120"/>
      </w:r>
      <w:r w:rsidRPr="00B95412" w:rsidR="00C73908">
        <w:t xml:space="preserve"> Further, AEP's purported qualitative arguments are unpersuasive. And </w:t>
      </w:r>
    </w:p>
    <w:p w:rsidR="00AF32B7" w14:paraId="187049AC" w14:textId="77777777">
      <w:pPr>
        <w:rPr>
          <w:sz w:val="24"/>
          <w:szCs w:val="24"/>
        </w:rPr>
      </w:pPr>
      <w:r>
        <w:br w:type="page"/>
      </w:r>
    </w:p>
    <w:p w:rsidR="00043F1F" w:rsidRPr="00B95412" w:rsidP="00AF32B7" w14:paraId="611E7A07" w14:textId="4BF1DB20">
      <w:pPr>
        <w:pStyle w:val="BodyText"/>
        <w:spacing w:line="480" w:lineRule="auto"/>
      </w:pPr>
      <w:r w:rsidRPr="00B95412">
        <w:t>the asserted qualitative benefits for customers cannot begin to offset in any meaningful way the quantitative cost of the ESP, let alone the more than $1.1 billion cost of this ESP.</w:t>
      </w:r>
      <w:r>
        <w:rPr>
          <w:rStyle w:val="FootnoteReference"/>
        </w:rPr>
        <w:footnoteReference w:id="121"/>
      </w:r>
    </w:p>
    <w:p w:rsidR="00C73908" w:rsidRPr="00B95412" w:rsidP="00CC1994" w14:paraId="4B539F56" w14:textId="3810C0DF">
      <w:pPr>
        <w:pStyle w:val="Heading3"/>
      </w:pPr>
      <w:bookmarkStart w:id="37" w:name="_TOC_250002"/>
      <w:bookmarkStart w:id="38" w:name="_Toc152339598"/>
      <w:bookmarkStart w:id="39" w:name="_Toc154128549"/>
      <w:r w:rsidRPr="00B95412">
        <w:t>1</w:t>
      </w:r>
      <w:r w:rsidRPr="00B95412" w:rsidR="00CC1994">
        <w:t>.</w:t>
      </w:r>
      <w:r w:rsidRPr="00B95412" w:rsidR="00CC1994">
        <w:tab/>
      </w:r>
      <w:bookmarkStart w:id="40" w:name="_Hlk153836066"/>
      <w:r w:rsidRPr="00B95412">
        <w:t xml:space="preserve">AEP’s proposed ESP fails the statutory test based on </w:t>
      </w:r>
      <w:bookmarkEnd w:id="37"/>
      <w:r w:rsidRPr="00B95412">
        <w:t>analysis of purported quantitative benefits.</w:t>
      </w:r>
      <w:bookmarkEnd w:id="38"/>
      <w:bookmarkEnd w:id="39"/>
      <w:bookmarkEnd w:id="40"/>
    </w:p>
    <w:p w:rsidR="00257D80" w:rsidRPr="00B95412" w:rsidP="00257D80" w14:paraId="46B9405A" w14:textId="697CEA83">
      <w:pPr>
        <w:pStyle w:val="BodyText"/>
        <w:spacing w:line="480" w:lineRule="auto"/>
        <w:ind w:firstLine="720"/>
      </w:pPr>
      <w:r w:rsidRPr="00B95412">
        <w:t xml:space="preserve">AEP does not provide any concrete evidence of quantitative benefits regarding its proposed </w:t>
      </w:r>
      <w:r w:rsidRPr="00B95412" w:rsidR="00657BFB">
        <w:t>Settlement.</w:t>
      </w:r>
      <w:r w:rsidRPr="00B95412" w:rsidR="00B57F0C">
        <w:t xml:space="preserve"> </w:t>
      </w:r>
      <w:r w:rsidRPr="00B95412" w:rsidR="00657BFB">
        <w:t xml:space="preserve">Rather, as demonstrated above, from a quantitative </w:t>
      </w:r>
      <w:r w:rsidRPr="00B95412" w:rsidR="005B16D3">
        <w:t>standpoint</w:t>
      </w:r>
      <w:r w:rsidRPr="00B95412" w:rsidR="00657BFB">
        <w:t xml:space="preserve"> the Settlement is abysmally negative for consumers in comparison to an MRO.</w:t>
      </w:r>
      <w:r w:rsidR="00AC3105">
        <w:t xml:space="preserve"> </w:t>
      </w:r>
      <w:r w:rsidRPr="00B95412">
        <w:t xml:space="preserve">Other than the </w:t>
      </w:r>
      <w:r w:rsidRPr="00B95412">
        <w:rPr>
          <w:rFonts w:eastAsia="Arial Unicode MS"/>
          <w:bdr w:val="nil"/>
        </w:rPr>
        <w:t xml:space="preserve">low-income programs </w:t>
      </w:r>
      <w:r w:rsidRPr="00B95412" w:rsidR="005E4786">
        <w:rPr>
          <w:rFonts w:eastAsia="Arial Unicode MS"/>
          <w:bdr w:val="nil"/>
        </w:rPr>
        <w:t xml:space="preserve">which </w:t>
      </w:r>
      <w:r w:rsidRPr="00B95412">
        <w:rPr>
          <w:rFonts w:eastAsia="Arial Unicode MS"/>
          <w:bdr w:val="nil"/>
        </w:rPr>
        <w:t>AEP claims will “provide an annual gross benefit to customers of approximately $22 million,”</w:t>
      </w:r>
      <w:r>
        <w:rPr>
          <w:rStyle w:val="FootnoteReference"/>
          <w:rFonts w:eastAsia="Arial Unicode MS"/>
          <w:bdr w:val="nil"/>
        </w:rPr>
        <w:footnoteReference w:id="122"/>
      </w:r>
      <w:r w:rsidRPr="00B95412">
        <w:rPr>
          <w:rFonts w:eastAsia="Arial Unicode MS"/>
          <w:bdr w:val="nil"/>
        </w:rPr>
        <w:t xml:space="preserve"> AEP is silent about quantitative benefits of the Settlement.</w:t>
      </w:r>
      <w:r w:rsidRPr="00B95412" w:rsidR="00B57F0C">
        <w:rPr>
          <w:rFonts w:eastAsia="Arial Unicode MS"/>
          <w:bdr w:val="nil"/>
        </w:rPr>
        <w:t xml:space="preserve"> </w:t>
      </w:r>
      <w:r w:rsidRPr="00B95412">
        <w:rPr>
          <w:rFonts w:eastAsia="Arial Unicode MS"/>
          <w:bdr w:val="nil"/>
        </w:rPr>
        <w:t xml:space="preserve">When compared to the more than $1 </w:t>
      </w:r>
      <w:r w:rsidRPr="00B95412" w:rsidR="005E4786">
        <w:rPr>
          <w:rFonts w:eastAsia="Arial Unicode MS"/>
          <w:bdr w:val="nil"/>
        </w:rPr>
        <w:t>b</w:t>
      </w:r>
      <w:r w:rsidRPr="00B95412">
        <w:rPr>
          <w:rFonts w:eastAsia="Arial Unicode MS"/>
          <w:bdr w:val="nil"/>
        </w:rPr>
        <w:t>illion increase in costs over the course of ESP V, there can be no real doubt that an MRO would be significantly more beneficial to consumers.</w:t>
      </w:r>
      <w:r w:rsidRPr="00B95412">
        <w:t xml:space="preserve"> </w:t>
      </w:r>
      <w:r w:rsidRPr="00B95412" w:rsidR="005E4786">
        <w:t>T</w:t>
      </w:r>
      <w:r w:rsidRPr="00B95412">
        <w:t>his has been the case from the outset of AEP’s application, when AEP predicted an annual benefit to consumers of $144.7 million and reliability-related</w:t>
      </w:r>
      <w:r w:rsidRPr="00B95412">
        <w:rPr>
          <w:color w:val="000000"/>
        </w:rPr>
        <w:t xml:space="preserve"> investments of roughly $2.2 billion over the term of the plan.</w:t>
      </w:r>
      <w:r w:rsidRPr="00B95412">
        <w:rPr>
          <w:vertAlign w:val="superscript"/>
        </w:rPr>
        <w:t xml:space="preserve"> </w:t>
      </w:r>
      <w:r>
        <w:rPr>
          <w:vertAlign w:val="superscript"/>
        </w:rPr>
        <w:footnoteReference w:id="123"/>
      </w:r>
      <w:r w:rsidRPr="00B95412">
        <w:t xml:space="preserve"> </w:t>
      </w:r>
    </w:p>
    <w:p w:rsidR="004B216C" w:rsidRPr="00B95412" w:rsidP="00043F1F" w14:paraId="06965411" w14:textId="6C37C48E">
      <w:pPr>
        <w:pStyle w:val="Heading3"/>
      </w:pPr>
      <w:bookmarkStart w:id="41" w:name="_TOC_250001"/>
      <w:bookmarkStart w:id="42" w:name="_Toc152339599"/>
      <w:bookmarkStart w:id="43" w:name="_Toc154128550"/>
      <w:r w:rsidRPr="00B95412">
        <w:t>2</w:t>
      </w:r>
      <w:r w:rsidRPr="00B95412" w:rsidR="003228C6">
        <w:t>.</w:t>
      </w:r>
      <w:r w:rsidRPr="00B95412" w:rsidR="003228C6">
        <w:tab/>
      </w:r>
      <w:bookmarkStart w:id="44" w:name="_Hlk153836088"/>
      <w:r w:rsidRPr="00B95412">
        <w:t xml:space="preserve">AEP’s proposed ESP fails the statutory test based on </w:t>
      </w:r>
      <w:bookmarkEnd w:id="41"/>
      <w:r w:rsidRPr="00B95412">
        <w:t>analysis of purported qualitative benefits.</w:t>
      </w:r>
      <w:bookmarkEnd w:id="42"/>
      <w:bookmarkEnd w:id="43"/>
      <w:bookmarkEnd w:id="44"/>
    </w:p>
    <w:p w:rsidR="00CC6041" w:rsidRPr="00B95412" w:rsidP="00C350C8" w14:paraId="120F59DA" w14:textId="527AE7D7">
      <w:pPr>
        <w:widowControl/>
        <w:autoSpaceDE/>
        <w:autoSpaceDN/>
        <w:spacing w:line="480" w:lineRule="auto"/>
        <w:ind w:firstLine="720"/>
        <w:rPr>
          <w:sz w:val="24"/>
          <w:szCs w:val="24"/>
        </w:rPr>
      </w:pPr>
      <w:r w:rsidRPr="00B95412">
        <w:rPr>
          <w:sz w:val="24"/>
          <w:szCs w:val="24"/>
        </w:rPr>
        <w:t xml:space="preserve">Throughout its Initial Brief, AEP touts service </w:t>
      </w:r>
      <w:r w:rsidRPr="00B95412" w:rsidR="00553D28">
        <w:rPr>
          <w:sz w:val="24"/>
          <w:szCs w:val="24"/>
        </w:rPr>
        <w:t>re</w:t>
      </w:r>
      <w:r w:rsidRPr="00B95412">
        <w:rPr>
          <w:sz w:val="24"/>
          <w:szCs w:val="24"/>
        </w:rPr>
        <w:t xml:space="preserve">liability, grid maintenance, and customer assistance programs as qualitative benefits consumers will receive as a </w:t>
      </w:r>
      <w:r w:rsidRPr="00B95412" w:rsidR="005D3D5B">
        <w:rPr>
          <w:sz w:val="24"/>
          <w:szCs w:val="24"/>
        </w:rPr>
        <w:t>direct result of the Settlement.</w:t>
      </w:r>
      <w:r w:rsidRPr="00B95412" w:rsidR="00B57F0C">
        <w:rPr>
          <w:sz w:val="24"/>
          <w:szCs w:val="24"/>
        </w:rPr>
        <w:t xml:space="preserve"> </w:t>
      </w:r>
      <w:r w:rsidRPr="00B95412" w:rsidR="005D3D5B">
        <w:rPr>
          <w:sz w:val="24"/>
          <w:szCs w:val="24"/>
        </w:rPr>
        <w:t>However, a</w:t>
      </w:r>
      <w:r w:rsidRPr="00B95412" w:rsidR="00F2529C">
        <w:rPr>
          <w:sz w:val="24"/>
          <w:szCs w:val="24"/>
        </w:rPr>
        <w:t>s stated above</w:t>
      </w:r>
      <w:r w:rsidRPr="00B95412">
        <w:rPr>
          <w:sz w:val="24"/>
          <w:szCs w:val="24"/>
        </w:rPr>
        <w:t>,</w:t>
      </w:r>
      <w:r w:rsidRPr="00B95412" w:rsidR="00F2529C">
        <w:rPr>
          <w:sz w:val="24"/>
          <w:szCs w:val="24"/>
        </w:rPr>
        <w:t xml:space="preserve"> </w:t>
      </w:r>
      <w:r w:rsidRPr="00B95412">
        <w:rPr>
          <w:sz w:val="24"/>
          <w:szCs w:val="24"/>
        </w:rPr>
        <w:t>even if AEP</w:t>
      </w:r>
      <w:r w:rsidRPr="00B95412" w:rsidR="00E91138">
        <w:rPr>
          <w:sz w:val="24"/>
          <w:szCs w:val="24"/>
        </w:rPr>
        <w:t>’s</w:t>
      </w:r>
      <w:r w:rsidRPr="00B95412">
        <w:rPr>
          <w:sz w:val="24"/>
          <w:szCs w:val="24"/>
        </w:rPr>
        <w:t xml:space="preserve"> promise</w:t>
      </w:r>
      <w:r w:rsidRPr="00B95412" w:rsidR="00E91138">
        <w:rPr>
          <w:sz w:val="24"/>
          <w:szCs w:val="24"/>
        </w:rPr>
        <w:t>s</w:t>
      </w:r>
      <w:r w:rsidRPr="00B95412">
        <w:rPr>
          <w:sz w:val="24"/>
          <w:szCs w:val="24"/>
        </w:rPr>
        <w:t xml:space="preserve"> with regard to service reliability, grid maintenance, and customer assistance programs through the proposed ESP</w:t>
      </w:r>
      <w:r w:rsidRPr="00B95412" w:rsidR="00E91138">
        <w:rPr>
          <w:sz w:val="24"/>
          <w:szCs w:val="24"/>
        </w:rPr>
        <w:t xml:space="preserve"> are delivered</w:t>
      </w:r>
      <w:r w:rsidRPr="00B95412">
        <w:rPr>
          <w:sz w:val="24"/>
          <w:szCs w:val="24"/>
        </w:rPr>
        <w:t xml:space="preserve">, an MRO would still be more beneficial to consumers </w:t>
      </w:r>
      <w:r w:rsidRPr="00B95412" w:rsidR="00D474A5">
        <w:rPr>
          <w:sz w:val="24"/>
          <w:szCs w:val="24"/>
        </w:rPr>
        <w:t>than</w:t>
      </w:r>
      <w:r w:rsidRPr="00B95412">
        <w:rPr>
          <w:sz w:val="24"/>
          <w:szCs w:val="24"/>
        </w:rPr>
        <w:t xml:space="preserve"> the outrageous increase in costs the Settlement authorizes.</w:t>
      </w:r>
    </w:p>
    <w:p w:rsidR="00553D28" w:rsidRPr="00B95412" w:rsidP="00C350C8" w14:paraId="48280F8F" w14:textId="501D0E1A">
      <w:pPr>
        <w:widowControl/>
        <w:autoSpaceDE/>
        <w:autoSpaceDN/>
        <w:spacing w:line="480" w:lineRule="auto"/>
        <w:ind w:firstLine="720"/>
        <w:rPr>
          <w:sz w:val="24"/>
          <w:szCs w:val="24"/>
        </w:rPr>
      </w:pPr>
      <w:r w:rsidRPr="00B95412">
        <w:rPr>
          <w:sz w:val="24"/>
          <w:szCs w:val="24"/>
        </w:rPr>
        <w:t>AEP cites specific qualitative benefits it claims consumers will enjoy as a result of the proposed Settlement.</w:t>
      </w:r>
      <w:r w:rsidRPr="00B95412" w:rsidR="00B57F0C">
        <w:rPr>
          <w:sz w:val="24"/>
          <w:szCs w:val="24"/>
        </w:rPr>
        <w:t xml:space="preserve"> </w:t>
      </w:r>
      <w:r w:rsidRPr="00B95412" w:rsidR="004531F2">
        <w:rPr>
          <w:sz w:val="24"/>
          <w:szCs w:val="24"/>
        </w:rPr>
        <w:t xml:space="preserve">For example, </w:t>
      </w:r>
      <w:r w:rsidRPr="00B95412">
        <w:rPr>
          <w:sz w:val="24"/>
          <w:szCs w:val="24"/>
        </w:rPr>
        <w:t>AEP witness Mayhan testified that “The commitment to file a base distribution case by June 1, 2026 provides customers with increased certainty regarding the timing of a rate case, as opposed to the uncertainty that would exist under an MRO.”</w:t>
      </w:r>
      <w:r>
        <w:rPr>
          <w:rStyle w:val="FootnoteReference"/>
          <w:sz w:val="24"/>
          <w:szCs w:val="24"/>
        </w:rPr>
        <w:footnoteReference w:id="124"/>
      </w:r>
      <w:r w:rsidRPr="00B95412" w:rsidR="00B57F0C">
        <w:rPr>
          <w:sz w:val="24"/>
          <w:szCs w:val="24"/>
        </w:rPr>
        <w:t xml:space="preserve"> </w:t>
      </w:r>
      <w:r w:rsidRPr="00B95412">
        <w:rPr>
          <w:sz w:val="24"/>
          <w:szCs w:val="24"/>
        </w:rPr>
        <w:t>AEP claims the DIS and ESRR mechanisms, “when coupled with annual caps[,] provide rate certainty and stability for customers that would not otherwise exist under a traditional rate case ratemaking structure.”</w:t>
      </w:r>
      <w:r>
        <w:rPr>
          <w:rStyle w:val="FootnoteReference"/>
          <w:sz w:val="24"/>
          <w:szCs w:val="24"/>
        </w:rPr>
        <w:footnoteReference w:id="125"/>
      </w:r>
      <w:r w:rsidRPr="00B95412" w:rsidR="00B57F0C">
        <w:rPr>
          <w:sz w:val="24"/>
          <w:szCs w:val="24"/>
        </w:rPr>
        <w:t xml:space="preserve"> </w:t>
      </w:r>
      <w:r w:rsidRPr="00B95412">
        <w:rPr>
          <w:sz w:val="24"/>
          <w:szCs w:val="24"/>
        </w:rPr>
        <w:t xml:space="preserve">AEP also claims the provisions of the Settlement will </w:t>
      </w:r>
      <w:r w:rsidRPr="00B95412" w:rsidR="00F742FD">
        <w:rPr>
          <w:sz w:val="24"/>
          <w:szCs w:val="24"/>
        </w:rPr>
        <w:t>further support economic development in the State of Ohio, encourage more efficient use of the transmission grid while reducing AEP’s overall transmission revenue requirement, and promote technological advancement while increasing grid resiliency and sustainability.</w:t>
      </w:r>
      <w:r>
        <w:rPr>
          <w:rStyle w:val="FootnoteReference"/>
          <w:sz w:val="24"/>
          <w:szCs w:val="24"/>
        </w:rPr>
        <w:footnoteReference w:id="126"/>
      </w:r>
    </w:p>
    <w:p w:rsidR="004B216C" w:rsidRPr="00B95412" w:rsidP="00EA7556" w14:paraId="2878781C" w14:textId="717934D2">
      <w:pPr>
        <w:widowControl/>
        <w:autoSpaceDE/>
        <w:autoSpaceDN/>
        <w:spacing w:line="480" w:lineRule="auto"/>
        <w:ind w:firstLine="720"/>
        <w:rPr>
          <w:sz w:val="24"/>
          <w:szCs w:val="24"/>
        </w:rPr>
      </w:pPr>
      <w:r w:rsidRPr="00B95412">
        <w:rPr>
          <w:sz w:val="24"/>
          <w:szCs w:val="24"/>
        </w:rPr>
        <w:t xml:space="preserve">The above claimed qualitative benefits are all laudable </w:t>
      </w:r>
      <w:r w:rsidR="006F2CD8">
        <w:rPr>
          <w:sz w:val="24"/>
          <w:szCs w:val="24"/>
        </w:rPr>
        <w:t xml:space="preserve">hypothetical </w:t>
      </w:r>
      <w:r w:rsidRPr="00B95412">
        <w:rPr>
          <w:sz w:val="24"/>
          <w:szCs w:val="24"/>
        </w:rPr>
        <w:t>goals</w:t>
      </w:r>
      <w:r w:rsidRPr="00B95412" w:rsidR="004531F2">
        <w:rPr>
          <w:sz w:val="24"/>
          <w:szCs w:val="24"/>
        </w:rPr>
        <w:t>, but those goal</w:t>
      </w:r>
      <w:r w:rsidRPr="00B95412" w:rsidR="00D56BFF">
        <w:rPr>
          <w:sz w:val="24"/>
          <w:szCs w:val="24"/>
        </w:rPr>
        <w:t>s</w:t>
      </w:r>
      <w:r w:rsidRPr="00B95412" w:rsidR="004531F2">
        <w:rPr>
          <w:sz w:val="24"/>
          <w:szCs w:val="24"/>
        </w:rPr>
        <w:t xml:space="preserve"> </w:t>
      </w:r>
      <w:r w:rsidR="006F2CD8">
        <w:rPr>
          <w:sz w:val="24"/>
          <w:szCs w:val="24"/>
        </w:rPr>
        <w:t>are unlikely to</w:t>
      </w:r>
      <w:r w:rsidRPr="00B95412" w:rsidR="004531F2">
        <w:rPr>
          <w:sz w:val="24"/>
          <w:szCs w:val="24"/>
        </w:rPr>
        <w:t xml:space="preserve"> be </w:t>
      </w:r>
      <w:r w:rsidRPr="00B95412" w:rsidR="00AC3105">
        <w:rPr>
          <w:sz w:val="24"/>
          <w:szCs w:val="24"/>
        </w:rPr>
        <w:t>achieved.</w:t>
      </w:r>
      <w:r w:rsidRPr="00B95412" w:rsidR="00B57F0C">
        <w:rPr>
          <w:sz w:val="24"/>
          <w:szCs w:val="24"/>
        </w:rPr>
        <w:t xml:space="preserve"> </w:t>
      </w:r>
      <w:r w:rsidRPr="00B95412" w:rsidR="00C350C8">
        <w:rPr>
          <w:sz w:val="24"/>
          <w:szCs w:val="24"/>
        </w:rPr>
        <w:t>Indeed, OCC witness Buckley testified that</w:t>
      </w:r>
      <w:r w:rsidRPr="00B95412" w:rsidR="00EA7556">
        <w:rPr>
          <w:sz w:val="24"/>
          <w:szCs w:val="24"/>
        </w:rPr>
        <w:t xml:space="preserve"> </w:t>
      </w:r>
      <w:r w:rsidRPr="00B95412">
        <w:rPr>
          <w:sz w:val="24"/>
          <w:szCs w:val="24"/>
        </w:rPr>
        <w:t>AEP has made prior predictions of proposed benefits that did not materialize to the degree promised.</w:t>
      </w:r>
      <w:r>
        <w:rPr>
          <w:rStyle w:val="FootnoteReference"/>
          <w:sz w:val="24"/>
          <w:szCs w:val="24"/>
        </w:rPr>
        <w:footnoteReference w:id="127"/>
      </w:r>
      <w:r w:rsidRPr="00B95412" w:rsidR="00943AC9">
        <w:rPr>
          <w:sz w:val="24"/>
          <w:szCs w:val="24"/>
        </w:rPr>
        <w:t xml:space="preserve"> </w:t>
      </w:r>
      <w:r w:rsidRPr="00B95412">
        <w:rPr>
          <w:sz w:val="24"/>
          <w:szCs w:val="24"/>
        </w:rPr>
        <w:t>Previously, Staff witness Tamara S. Turkenton</w:t>
      </w:r>
      <w:r>
        <w:rPr>
          <w:rStyle w:val="FootnoteReference"/>
          <w:sz w:val="24"/>
          <w:szCs w:val="24"/>
        </w:rPr>
        <w:footnoteReference w:id="128"/>
      </w:r>
      <w:r w:rsidRPr="00B95412" w:rsidR="00943AC9">
        <w:rPr>
          <w:sz w:val="24"/>
          <w:szCs w:val="24"/>
        </w:rPr>
        <w:t xml:space="preserve"> </w:t>
      </w:r>
      <w:r w:rsidRPr="00B95412">
        <w:rPr>
          <w:sz w:val="24"/>
          <w:szCs w:val="24"/>
        </w:rPr>
        <w:t xml:space="preserve">and </w:t>
      </w:r>
      <w:r w:rsidRPr="00B95412" w:rsidR="004531F2">
        <w:rPr>
          <w:sz w:val="24"/>
          <w:szCs w:val="24"/>
        </w:rPr>
        <w:t xml:space="preserve">AEP </w:t>
      </w:r>
      <w:r w:rsidRPr="00B95412">
        <w:rPr>
          <w:sz w:val="24"/>
          <w:szCs w:val="24"/>
        </w:rPr>
        <w:t>witness William Allen</w:t>
      </w:r>
      <w:r>
        <w:rPr>
          <w:rStyle w:val="FootnoteReference"/>
          <w:sz w:val="24"/>
          <w:szCs w:val="24"/>
        </w:rPr>
        <w:footnoteReference w:id="129"/>
      </w:r>
      <w:r w:rsidRPr="00B95412" w:rsidR="00943AC9">
        <w:rPr>
          <w:sz w:val="24"/>
          <w:szCs w:val="24"/>
        </w:rPr>
        <w:t xml:space="preserve"> </w:t>
      </w:r>
      <w:r w:rsidRPr="00B95412">
        <w:rPr>
          <w:sz w:val="24"/>
          <w:szCs w:val="24"/>
        </w:rPr>
        <w:t>both stated that the Stipulation in 16-1852-EL-SSO would provide many qualitative benefits.</w:t>
      </w:r>
      <w:r>
        <w:rPr>
          <w:rStyle w:val="FootnoteReference"/>
          <w:sz w:val="24"/>
          <w:szCs w:val="24"/>
        </w:rPr>
        <w:footnoteReference w:id="130"/>
      </w:r>
      <w:r w:rsidRPr="00B95412">
        <w:rPr>
          <w:sz w:val="24"/>
          <w:szCs w:val="24"/>
        </w:rPr>
        <w:t xml:space="preserve"> These purported qualitative benefits included provisions for economic development, enhancements to the retail competitive market, and renewable energy options, as well as the promotion of measures related to the Smart City and Power Forward initiatives.</w:t>
      </w:r>
      <w:r>
        <w:rPr>
          <w:rStyle w:val="FootnoteReference"/>
          <w:sz w:val="24"/>
          <w:szCs w:val="24"/>
        </w:rPr>
        <w:footnoteReference w:id="131"/>
      </w:r>
      <w:r w:rsidRPr="00B95412">
        <w:rPr>
          <w:sz w:val="24"/>
          <w:szCs w:val="24"/>
        </w:rPr>
        <w:t xml:space="preserve"> However, as </w:t>
      </w:r>
      <w:r w:rsidRPr="00B95412" w:rsidR="00D56BFF">
        <w:rPr>
          <w:sz w:val="24"/>
          <w:szCs w:val="24"/>
        </w:rPr>
        <w:t xml:space="preserve">OCC </w:t>
      </w:r>
      <w:r w:rsidR="006F2CD8">
        <w:rPr>
          <w:sz w:val="24"/>
          <w:szCs w:val="24"/>
        </w:rPr>
        <w:t>w</w:t>
      </w:r>
      <w:r w:rsidRPr="00B95412" w:rsidR="00D56BFF">
        <w:rPr>
          <w:sz w:val="24"/>
          <w:szCs w:val="24"/>
        </w:rPr>
        <w:t xml:space="preserve">itness </w:t>
      </w:r>
      <w:r w:rsidRPr="00B95412">
        <w:rPr>
          <w:sz w:val="24"/>
          <w:szCs w:val="24"/>
        </w:rPr>
        <w:t xml:space="preserve">Buckley testified, residential consumers have not seen large improvements since the last ESP in </w:t>
      </w:r>
      <w:r w:rsidRPr="00030AC3">
        <w:rPr>
          <w:sz w:val="24"/>
          <w:szCs w:val="24"/>
        </w:rPr>
        <w:t>2016.</w:t>
      </w:r>
      <w:r>
        <w:rPr>
          <w:rStyle w:val="FootnoteReference"/>
          <w:sz w:val="24"/>
          <w:szCs w:val="24"/>
        </w:rPr>
        <w:footnoteReference w:id="132"/>
      </w:r>
      <w:r w:rsidRPr="00030AC3">
        <w:rPr>
          <w:sz w:val="24"/>
          <w:szCs w:val="24"/>
        </w:rPr>
        <w:t xml:space="preserve"> Too</w:t>
      </w:r>
      <w:r w:rsidRPr="00B95412">
        <w:rPr>
          <w:sz w:val="24"/>
          <w:szCs w:val="24"/>
        </w:rPr>
        <w:t xml:space="preserve"> many PIPP consumers are struggling to pay their electric bills. Further, consumers have not seen noticeable improvements in reliability performance statistics as shown below.</w:t>
      </w:r>
      <w:r>
        <w:rPr>
          <w:rStyle w:val="FootnoteReference"/>
          <w:sz w:val="24"/>
          <w:szCs w:val="24"/>
        </w:rPr>
        <w:footnoteReference w:id="133"/>
      </w:r>
      <w:r w:rsidRPr="00B95412" w:rsidR="00B57F0C">
        <w:rPr>
          <w:sz w:val="24"/>
          <w:szCs w:val="24"/>
        </w:rPr>
        <w:t xml:space="preserve"> </w:t>
      </w:r>
      <w:r w:rsidRPr="00B95412" w:rsidR="005D3D5B">
        <w:rPr>
          <w:sz w:val="24"/>
          <w:szCs w:val="24"/>
        </w:rPr>
        <w:t>Considering the unprecedented enormous increase in costs to customers that the Settlement authorizes, and AEP prior failures to actually deliver on claimed qualitative benefits, consumers are far better served by an MRO than the ESP proposed in the Settlement.</w:t>
      </w:r>
    </w:p>
    <w:p w:rsidR="004B216C" w:rsidRPr="00B95412" w:rsidP="004B216C" w14:paraId="6FC84877" w14:textId="69C095C9">
      <w:pPr>
        <w:pStyle w:val="BodyText"/>
        <w:spacing w:line="480" w:lineRule="auto"/>
        <w:ind w:firstLine="720"/>
      </w:pPr>
      <w:r w:rsidRPr="00B95412">
        <w:t>The ESP embodied in the Settlement fails the statutory test</w:t>
      </w:r>
      <w:r w:rsidRPr="00B95412" w:rsidR="004531F2">
        <w:t>, and the Settlement should be rejected</w:t>
      </w:r>
      <w:r w:rsidRPr="00B95412">
        <w:t>.</w:t>
      </w:r>
    </w:p>
    <w:p w:rsidR="00D93A26" w:rsidRPr="00B95412" w:rsidP="00D93A26" w14:paraId="1BDD2E0B" w14:textId="77777777">
      <w:pPr>
        <w:pStyle w:val="BodyText"/>
        <w:ind w:firstLine="720"/>
      </w:pPr>
    </w:p>
    <w:p w:rsidR="004B216C" w:rsidRPr="00B95412" w:rsidP="00D93A26" w14:paraId="630F54CB" w14:textId="0F3C2E7F">
      <w:pPr>
        <w:pStyle w:val="Heading1"/>
      </w:pPr>
      <w:bookmarkStart w:id="45" w:name="_TOC_250000"/>
      <w:bookmarkStart w:id="46" w:name="_Toc154128551"/>
      <w:bookmarkEnd w:id="45"/>
      <w:r w:rsidRPr="00B95412">
        <w:t>IV.</w:t>
      </w:r>
      <w:r w:rsidRPr="00B95412">
        <w:tab/>
        <w:t>CONCLUSION</w:t>
      </w:r>
      <w:bookmarkEnd w:id="46"/>
    </w:p>
    <w:p w:rsidR="004B216C" w:rsidRPr="00B95412" w:rsidP="004B216C" w14:paraId="2BDB3D82" w14:textId="50FB5CF6">
      <w:pPr>
        <w:pStyle w:val="BodyText"/>
        <w:spacing w:line="480" w:lineRule="auto"/>
        <w:ind w:firstLine="720"/>
      </w:pPr>
      <w:r w:rsidRPr="00B95412">
        <w:t xml:space="preserve">The Settlement, if approved, will </w:t>
      </w:r>
      <w:r w:rsidRPr="00B95412" w:rsidR="00F742FD">
        <w:t xml:space="preserve">dramatically </w:t>
      </w:r>
      <w:r w:rsidRPr="00B95412">
        <w:t xml:space="preserve">increase the cost of consumers’ electric service without providing consumers </w:t>
      </w:r>
      <w:r w:rsidRPr="00B95412" w:rsidR="009F5685">
        <w:t>meaningful</w:t>
      </w:r>
      <w:r w:rsidRPr="00B95412">
        <w:t xml:space="preserve"> additional services, increasing reliability, or safety benefits. </w:t>
      </w:r>
      <w:r w:rsidRPr="00B95412" w:rsidR="004531F2">
        <w:t>T</w:t>
      </w:r>
      <w:r w:rsidRPr="00B95412">
        <w:t xml:space="preserve">he Settlement will </w:t>
      </w:r>
      <w:r w:rsidRPr="00B95412" w:rsidR="004531F2">
        <w:t>harm consumers</w:t>
      </w:r>
      <w:r w:rsidR="00AC3105">
        <w:t xml:space="preserve"> </w:t>
      </w:r>
      <w:r w:rsidRPr="00B95412">
        <w:t>and the public interest</w:t>
      </w:r>
      <w:r w:rsidRPr="00B95412" w:rsidR="004531F2">
        <w:t>,</w:t>
      </w:r>
      <w:r w:rsidRPr="00B95412">
        <w:t xml:space="preserve"> </w:t>
      </w:r>
      <w:r w:rsidRPr="00B95412" w:rsidR="00AC3105">
        <w:t>and it</w:t>
      </w:r>
      <w:r w:rsidRPr="00B95412">
        <w:t xml:space="preserve"> violates important regulatory principles and practices. The ESP embodied in the Settlement </w:t>
      </w:r>
      <w:r w:rsidRPr="00B95412" w:rsidR="004531F2">
        <w:t xml:space="preserve">also </w:t>
      </w:r>
      <w:r w:rsidRPr="00B95412">
        <w:t>fails the MRO v. ESP test.</w:t>
      </w:r>
    </w:p>
    <w:p w:rsidR="00E81774" w:rsidP="00311CB8" w14:paraId="6F385C60" w14:textId="09F4A444">
      <w:pPr>
        <w:pStyle w:val="BodyText"/>
        <w:spacing w:line="480" w:lineRule="auto"/>
        <w:ind w:firstLine="720"/>
      </w:pPr>
      <w:r w:rsidRPr="00B95412">
        <w:t>The Settlement should be rejected to protect consumers.</w:t>
      </w:r>
    </w:p>
    <w:p w:rsidR="008434B0" w:rsidRPr="00B95412" w:rsidP="008434B0" w14:paraId="5DB871F0" w14:textId="77777777">
      <w:pPr>
        <w:autoSpaceDE/>
        <w:autoSpaceDN/>
        <w:spacing w:line="480" w:lineRule="auto"/>
        <w:ind w:firstLine="4320"/>
        <w:rPr>
          <w:sz w:val="24"/>
          <w:szCs w:val="24"/>
        </w:rPr>
      </w:pPr>
      <w:r w:rsidRPr="00B95412">
        <w:rPr>
          <w:sz w:val="24"/>
          <w:szCs w:val="24"/>
        </w:rPr>
        <w:t>Respectfully submitted,</w:t>
      </w:r>
    </w:p>
    <w:p w:rsidR="008434B0" w:rsidRPr="00B95412" w:rsidP="008434B0" w14:paraId="07F7EB98" w14:textId="77777777">
      <w:pPr>
        <w:widowControl/>
        <w:tabs>
          <w:tab w:val="left" w:pos="8730"/>
        </w:tabs>
        <w:autoSpaceDE/>
        <w:autoSpaceDN/>
        <w:ind w:left="4320"/>
        <w:rPr>
          <w:sz w:val="24"/>
          <w:szCs w:val="24"/>
        </w:rPr>
      </w:pPr>
      <w:r w:rsidRPr="00B95412">
        <w:rPr>
          <w:sz w:val="24"/>
          <w:szCs w:val="24"/>
        </w:rPr>
        <w:t xml:space="preserve">Maureen R. Willis (0020847) </w:t>
      </w:r>
    </w:p>
    <w:p w:rsidR="008434B0" w:rsidRPr="00B95412" w:rsidP="008434B0" w14:paraId="4D15CCCE" w14:textId="77777777">
      <w:pPr>
        <w:widowControl/>
        <w:tabs>
          <w:tab w:val="left" w:pos="8730"/>
        </w:tabs>
        <w:autoSpaceDE/>
        <w:autoSpaceDN/>
        <w:ind w:left="4320"/>
        <w:rPr>
          <w:sz w:val="24"/>
          <w:szCs w:val="24"/>
        </w:rPr>
      </w:pPr>
      <w:r w:rsidRPr="00B95412">
        <w:rPr>
          <w:sz w:val="24"/>
          <w:szCs w:val="24"/>
        </w:rPr>
        <w:t>Ohio Consumers’ Counsel</w:t>
      </w:r>
    </w:p>
    <w:p w:rsidR="008434B0" w:rsidRPr="00B95412" w:rsidP="008434B0" w14:paraId="585EE994" w14:textId="77777777">
      <w:pPr>
        <w:widowControl/>
        <w:tabs>
          <w:tab w:val="left" w:pos="8730"/>
        </w:tabs>
        <w:autoSpaceDE/>
        <w:autoSpaceDN/>
        <w:ind w:left="4320"/>
        <w:rPr>
          <w:sz w:val="24"/>
          <w:szCs w:val="24"/>
        </w:rPr>
      </w:pPr>
    </w:p>
    <w:p w:rsidR="008434B0" w:rsidRPr="00B95412" w:rsidP="008434B0" w14:paraId="0CB709BA" w14:textId="77777777">
      <w:pPr>
        <w:widowControl/>
        <w:tabs>
          <w:tab w:val="left" w:pos="8730"/>
        </w:tabs>
        <w:autoSpaceDE/>
        <w:autoSpaceDN/>
        <w:ind w:left="4320"/>
        <w:rPr>
          <w:i/>
          <w:sz w:val="24"/>
          <w:szCs w:val="24"/>
          <w:u w:val="single"/>
        </w:rPr>
      </w:pPr>
      <w:r w:rsidRPr="00B95412">
        <w:rPr>
          <w:i/>
          <w:sz w:val="24"/>
          <w:szCs w:val="24"/>
          <w:u w:val="single"/>
        </w:rPr>
        <w:t>/s/ William J. Michael</w:t>
      </w:r>
    </w:p>
    <w:p w:rsidR="008434B0" w:rsidRPr="00B95412" w:rsidP="008434B0" w14:paraId="67DA5D42" w14:textId="68CF5D8A">
      <w:pPr>
        <w:widowControl/>
        <w:tabs>
          <w:tab w:val="left" w:pos="8730"/>
        </w:tabs>
        <w:autoSpaceDE/>
        <w:autoSpaceDN/>
        <w:ind w:left="4320"/>
        <w:rPr>
          <w:sz w:val="24"/>
          <w:szCs w:val="24"/>
        </w:rPr>
      </w:pPr>
      <w:r w:rsidRPr="00B95412">
        <w:rPr>
          <w:sz w:val="24"/>
          <w:szCs w:val="24"/>
        </w:rPr>
        <w:t xml:space="preserve">William J. Michael (0070921) </w:t>
      </w:r>
      <w:r w:rsidRPr="00B95412">
        <w:rPr>
          <w:sz w:val="24"/>
          <w:szCs w:val="24"/>
        </w:rPr>
        <w:br/>
        <w:t>Counsel of Record</w:t>
      </w:r>
    </w:p>
    <w:p w:rsidR="008434B0" w:rsidRPr="00B95412" w:rsidP="008434B0" w14:paraId="3F38A5B0" w14:textId="77777777">
      <w:pPr>
        <w:widowControl/>
        <w:tabs>
          <w:tab w:val="left" w:pos="8730"/>
        </w:tabs>
        <w:autoSpaceDE/>
        <w:autoSpaceDN/>
        <w:ind w:left="4320"/>
        <w:rPr>
          <w:sz w:val="24"/>
          <w:szCs w:val="24"/>
        </w:rPr>
      </w:pPr>
      <w:r w:rsidRPr="00B95412">
        <w:rPr>
          <w:sz w:val="24"/>
          <w:szCs w:val="24"/>
        </w:rPr>
        <w:t>Angela D. O’Brien (0097579)</w:t>
      </w:r>
    </w:p>
    <w:p w:rsidR="008434B0" w:rsidRPr="00B95412" w:rsidP="008434B0" w14:paraId="7B391C50" w14:textId="77777777">
      <w:pPr>
        <w:widowControl/>
        <w:tabs>
          <w:tab w:val="left" w:pos="8730"/>
        </w:tabs>
        <w:autoSpaceDE/>
        <w:autoSpaceDN/>
        <w:ind w:left="4320"/>
        <w:rPr>
          <w:sz w:val="24"/>
          <w:szCs w:val="24"/>
        </w:rPr>
      </w:pPr>
      <w:r w:rsidRPr="00B95412">
        <w:rPr>
          <w:sz w:val="24"/>
          <w:szCs w:val="24"/>
        </w:rPr>
        <w:t>Deputy Consumers’ Counsel</w:t>
      </w:r>
      <w:r w:rsidRPr="00B95412">
        <w:rPr>
          <w:sz w:val="24"/>
          <w:szCs w:val="24"/>
        </w:rPr>
        <w:br/>
        <w:t>Donald J. Kral (0042091)</w:t>
      </w:r>
    </w:p>
    <w:p w:rsidR="008434B0" w:rsidRPr="00B95412" w:rsidP="008434B0" w14:paraId="59001EEC" w14:textId="77777777">
      <w:pPr>
        <w:widowControl/>
        <w:tabs>
          <w:tab w:val="left" w:pos="8730"/>
        </w:tabs>
        <w:autoSpaceDE/>
        <w:autoSpaceDN/>
        <w:ind w:left="4320"/>
        <w:rPr>
          <w:sz w:val="24"/>
          <w:szCs w:val="24"/>
        </w:rPr>
      </w:pPr>
      <w:r w:rsidRPr="00B95412">
        <w:rPr>
          <w:sz w:val="24"/>
          <w:szCs w:val="24"/>
        </w:rPr>
        <w:t>Assistant Consumers’ Counsel</w:t>
      </w:r>
    </w:p>
    <w:p w:rsidR="008434B0" w:rsidRPr="00B95412" w:rsidP="008434B0" w14:paraId="74AF394B" w14:textId="77777777">
      <w:pPr>
        <w:widowControl/>
        <w:tabs>
          <w:tab w:val="left" w:pos="8730"/>
        </w:tabs>
        <w:autoSpaceDE/>
        <w:autoSpaceDN/>
        <w:ind w:left="4320"/>
        <w:rPr>
          <w:sz w:val="24"/>
          <w:szCs w:val="24"/>
        </w:rPr>
      </w:pPr>
    </w:p>
    <w:p w:rsidR="008434B0" w:rsidRPr="00B95412" w:rsidP="008434B0" w14:paraId="0135F23A" w14:textId="77777777">
      <w:pPr>
        <w:widowControl/>
        <w:tabs>
          <w:tab w:val="left" w:pos="8730"/>
        </w:tabs>
        <w:autoSpaceDE/>
        <w:autoSpaceDN/>
        <w:ind w:left="4320"/>
        <w:rPr>
          <w:b/>
          <w:bCs/>
          <w:sz w:val="24"/>
          <w:szCs w:val="24"/>
        </w:rPr>
      </w:pPr>
      <w:r w:rsidRPr="00B95412">
        <w:rPr>
          <w:b/>
          <w:bCs/>
          <w:sz w:val="24"/>
          <w:szCs w:val="24"/>
        </w:rPr>
        <w:t>Office of the Ohio Consumers' Counsel</w:t>
      </w:r>
    </w:p>
    <w:p w:rsidR="008434B0" w:rsidRPr="00B95412" w:rsidP="008434B0" w14:paraId="0D9A57D7" w14:textId="77777777">
      <w:pPr>
        <w:widowControl/>
        <w:tabs>
          <w:tab w:val="left" w:pos="8730"/>
        </w:tabs>
        <w:autoSpaceDE/>
        <w:autoSpaceDN/>
        <w:ind w:left="4320"/>
        <w:rPr>
          <w:sz w:val="24"/>
          <w:szCs w:val="24"/>
        </w:rPr>
      </w:pPr>
      <w:r w:rsidRPr="00B95412">
        <w:rPr>
          <w:sz w:val="24"/>
          <w:szCs w:val="24"/>
        </w:rPr>
        <w:t>65 East State Street, Suite 700</w:t>
      </w:r>
    </w:p>
    <w:p w:rsidR="008434B0" w:rsidRPr="00B95412" w:rsidP="008434B0" w14:paraId="7528927E" w14:textId="77777777">
      <w:pPr>
        <w:widowControl/>
        <w:tabs>
          <w:tab w:val="left" w:pos="8730"/>
        </w:tabs>
        <w:autoSpaceDE/>
        <w:autoSpaceDN/>
        <w:ind w:left="4320"/>
        <w:rPr>
          <w:sz w:val="24"/>
          <w:szCs w:val="24"/>
        </w:rPr>
      </w:pPr>
      <w:r w:rsidRPr="00B95412">
        <w:rPr>
          <w:sz w:val="24"/>
          <w:szCs w:val="24"/>
        </w:rPr>
        <w:t>Columbus, Ohio 43215</w:t>
      </w:r>
    </w:p>
    <w:p w:rsidR="008434B0" w:rsidRPr="00B95412" w:rsidP="008434B0" w14:paraId="3088EABE" w14:textId="77777777">
      <w:pPr>
        <w:widowControl/>
        <w:tabs>
          <w:tab w:val="left" w:pos="8730"/>
        </w:tabs>
        <w:autoSpaceDE/>
        <w:autoSpaceDN/>
        <w:ind w:left="4320"/>
        <w:rPr>
          <w:sz w:val="24"/>
          <w:szCs w:val="24"/>
        </w:rPr>
      </w:pPr>
      <w:r w:rsidRPr="00B95412">
        <w:rPr>
          <w:sz w:val="24"/>
          <w:szCs w:val="24"/>
        </w:rPr>
        <w:t>Telephone: [Michael]: (614) 466-1291</w:t>
      </w:r>
    </w:p>
    <w:p w:rsidR="008434B0" w:rsidRPr="00B95412" w:rsidP="008434B0" w14:paraId="0FA239BE" w14:textId="7F5104E2">
      <w:pPr>
        <w:widowControl/>
        <w:tabs>
          <w:tab w:val="left" w:pos="8730"/>
        </w:tabs>
        <w:autoSpaceDE/>
        <w:autoSpaceDN/>
        <w:ind w:left="4320"/>
        <w:rPr>
          <w:sz w:val="24"/>
          <w:szCs w:val="24"/>
        </w:rPr>
      </w:pPr>
      <w:r w:rsidRPr="00B95412">
        <w:rPr>
          <w:sz w:val="24"/>
          <w:szCs w:val="24"/>
        </w:rPr>
        <w:t>Telephone: [O’Brien]: (614) 466-9531s</w:t>
      </w:r>
    </w:p>
    <w:p w:rsidR="008434B0" w:rsidRPr="00B95412" w:rsidP="008434B0" w14:paraId="5D8DE2C5" w14:textId="77777777">
      <w:pPr>
        <w:widowControl/>
        <w:tabs>
          <w:tab w:val="left" w:pos="8730"/>
        </w:tabs>
        <w:autoSpaceDE/>
        <w:autoSpaceDN/>
        <w:ind w:left="4320"/>
        <w:rPr>
          <w:sz w:val="24"/>
          <w:szCs w:val="24"/>
        </w:rPr>
      </w:pPr>
      <w:r w:rsidRPr="00B95412">
        <w:rPr>
          <w:sz w:val="24"/>
          <w:szCs w:val="24"/>
        </w:rPr>
        <w:t>Telephone: [Kral]: (614) 466-9571</w:t>
      </w:r>
    </w:p>
    <w:p w:rsidR="008434B0" w:rsidRPr="00B95412" w:rsidP="008434B0" w14:paraId="27419AFA" w14:textId="77777777">
      <w:pPr>
        <w:widowControl/>
        <w:tabs>
          <w:tab w:val="left" w:pos="8730"/>
        </w:tabs>
        <w:autoSpaceDE/>
        <w:autoSpaceDN/>
        <w:ind w:left="4320"/>
        <w:rPr>
          <w:color w:val="0000FF"/>
          <w:sz w:val="24"/>
          <w:szCs w:val="24"/>
        </w:rPr>
      </w:pPr>
      <w:hyperlink r:id="rId6" w:history="1">
        <w:r w:rsidRPr="00B95412" w:rsidR="009D1141">
          <w:rPr>
            <w:color w:val="0000FF"/>
            <w:sz w:val="24"/>
            <w:szCs w:val="24"/>
            <w:u w:val="single"/>
          </w:rPr>
          <w:t>william.michael@occ.ohio.gov</w:t>
        </w:r>
      </w:hyperlink>
      <w:r w:rsidRPr="00B95412" w:rsidR="009D1141">
        <w:rPr>
          <w:color w:val="0000FF"/>
          <w:sz w:val="24"/>
          <w:szCs w:val="24"/>
        </w:rPr>
        <w:t xml:space="preserve"> </w:t>
      </w:r>
    </w:p>
    <w:p w:rsidR="008434B0" w:rsidRPr="00B95412" w:rsidP="008434B0" w14:paraId="1AE32285" w14:textId="77777777">
      <w:pPr>
        <w:widowControl/>
        <w:tabs>
          <w:tab w:val="left" w:pos="8730"/>
        </w:tabs>
        <w:autoSpaceDE/>
        <w:autoSpaceDN/>
        <w:ind w:left="4320"/>
        <w:rPr>
          <w:color w:val="0000FF"/>
          <w:sz w:val="24"/>
          <w:szCs w:val="24"/>
          <w:u w:val="single"/>
        </w:rPr>
      </w:pPr>
      <w:hyperlink r:id="rId7" w:history="1">
        <w:r w:rsidRPr="00B95412" w:rsidR="009D1141">
          <w:rPr>
            <w:color w:val="0000FF"/>
            <w:sz w:val="24"/>
            <w:szCs w:val="24"/>
            <w:u w:val="single"/>
          </w:rPr>
          <w:t>angela.obrien@occ.ohio.gove</w:t>
        </w:r>
      </w:hyperlink>
    </w:p>
    <w:p w:rsidR="008434B0" w:rsidRPr="00B95412" w:rsidP="008434B0" w14:paraId="16AFF68D" w14:textId="03D768A3">
      <w:pPr>
        <w:widowControl/>
        <w:tabs>
          <w:tab w:val="left" w:pos="8730"/>
        </w:tabs>
        <w:autoSpaceDE/>
        <w:autoSpaceDN/>
        <w:ind w:left="4320"/>
        <w:rPr>
          <w:color w:val="0000FF"/>
          <w:sz w:val="24"/>
          <w:szCs w:val="24"/>
          <w:u w:val="single"/>
        </w:rPr>
      </w:pPr>
      <w:hyperlink r:id="rId15" w:history="1">
        <w:r w:rsidRPr="00B95412" w:rsidR="00064CCE">
          <w:rPr>
            <w:rStyle w:val="Hyperlink"/>
            <w:sz w:val="24"/>
            <w:szCs w:val="24"/>
          </w:rPr>
          <w:t>donald.kral@occ.ohio.gov</w:t>
        </w:r>
      </w:hyperlink>
    </w:p>
    <w:p w:rsidR="00064CCE" w:rsidRPr="00B95412" w:rsidP="00064CCE" w14:paraId="4FE726A0" w14:textId="77777777">
      <w:pPr>
        <w:widowControl/>
        <w:tabs>
          <w:tab w:val="left" w:pos="8730"/>
        </w:tabs>
        <w:autoSpaceDE/>
        <w:autoSpaceDN/>
        <w:ind w:left="4320"/>
        <w:rPr>
          <w:sz w:val="24"/>
          <w:szCs w:val="24"/>
        </w:rPr>
      </w:pPr>
      <w:r w:rsidRPr="00B95412">
        <w:rPr>
          <w:sz w:val="24"/>
          <w:szCs w:val="24"/>
        </w:rPr>
        <w:t xml:space="preserve">(willing to accept service by e-mail) </w:t>
      </w:r>
    </w:p>
    <w:p w:rsidR="00064CCE" w:rsidRPr="00B95412" w:rsidP="008434B0" w14:paraId="2EED7DC7" w14:textId="77777777">
      <w:pPr>
        <w:widowControl/>
        <w:tabs>
          <w:tab w:val="left" w:pos="8730"/>
        </w:tabs>
        <w:autoSpaceDE/>
        <w:autoSpaceDN/>
        <w:ind w:left="4320"/>
        <w:rPr>
          <w:color w:val="0000FF"/>
          <w:sz w:val="24"/>
          <w:szCs w:val="24"/>
          <w:u w:val="single"/>
        </w:rPr>
      </w:pPr>
    </w:p>
    <w:p w:rsidR="00C5672D" w:rsidRPr="00B95412" w14:paraId="6A0FC7B7" w14:textId="53F0EF2B">
      <w:pPr>
        <w:rPr>
          <w:rFonts w:eastAsia="Courier New"/>
          <w:color w:val="0000FF"/>
          <w:sz w:val="24"/>
          <w:szCs w:val="24"/>
          <w:lang w:bidi="en-US"/>
        </w:rPr>
      </w:pPr>
      <w:r w:rsidRPr="00B95412">
        <w:rPr>
          <w:rFonts w:eastAsia="Courier New"/>
          <w:color w:val="0000FF"/>
          <w:sz w:val="24"/>
          <w:szCs w:val="24"/>
          <w:lang w:bidi="en-US"/>
        </w:rPr>
        <w:br w:type="page"/>
      </w:r>
    </w:p>
    <w:p w:rsidR="00FF640C" w:rsidRPr="00B95412" w:rsidP="00FE4D8C" w14:paraId="74EDF17F" w14:textId="7400C4D5">
      <w:pPr>
        <w:jc w:val="center"/>
        <w:rPr>
          <w:b/>
          <w:bCs/>
          <w:sz w:val="24"/>
          <w:szCs w:val="24"/>
          <w:u w:val="single"/>
        </w:rPr>
      </w:pPr>
      <w:r w:rsidRPr="00B95412">
        <w:rPr>
          <w:b/>
          <w:bCs/>
          <w:sz w:val="24"/>
          <w:szCs w:val="24"/>
          <w:u w:val="single"/>
        </w:rPr>
        <w:t>CERTIFICATE OF SERVICE</w:t>
      </w:r>
    </w:p>
    <w:p w:rsidR="00FE4D8C" w:rsidRPr="00B95412" w:rsidP="00FE4D8C" w14:paraId="3EEEEE5C" w14:textId="77777777">
      <w:pPr>
        <w:jc w:val="center"/>
        <w:rPr>
          <w:b/>
          <w:bCs/>
          <w:sz w:val="24"/>
          <w:szCs w:val="24"/>
          <w:u w:val="single"/>
        </w:rPr>
      </w:pPr>
    </w:p>
    <w:p w:rsidR="00FF640C" w:rsidRPr="00B95412" w:rsidP="006862C8" w14:paraId="67569018" w14:textId="0806B4FE">
      <w:pPr>
        <w:pStyle w:val="BodyText"/>
        <w:spacing w:line="480" w:lineRule="auto"/>
        <w:ind w:firstLine="720"/>
      </w:pPr>
      <w:r w:rsidRPr="00B95412">
        <w:t xml:space="preserve">I hereby certify that a copy of the </w:t>
      </w:r>
      <w:r w:rsidRPr="00B95412" w:rsidR="001260D3">
        <w:t xml:space="preserve">foregoing </w:t>
      </w:r>
      <w:r w:rsidR="00E81774">
        <w:t>Reply</w:t>
      </w:r>
      <w:r w:rsidRPr="00B95412" w:rsidR="0005205C">
        <w:t xml:space="preserve"> Brief for Consumer Protection</w:t>
      </w:r>
      <w:r w:rsidRPr="00B95412">
        <w:t xml:space="preserve"> </w:t>
      </w:r>
      <w:r w:rsidRPr="00B95412" w:rsidR="00473478">
        <w:t>was served via electronic transmission upon the parties this</w:t>
      </w:r>
      <w:r w:rsidRPr="00B95412">
        <w:t xml:space="preserve"> </w:t>
      </w:r>
      <w:r w:rsidRPr="00B95412" w:rsidR="00F742FD">
        <w:t>22</w:t>
      </w:r>
      <w:r w:rsidRPr="00B95412" w:rsidR="00F742FD">
        <w:rPr>
          <w:vertAlign w:val="superscript"/>
        </w:rPr>
        <w:t>nd</w:t>
      </w:r>
      <w:r w:rsidRPr="00B95412" w:rsidR="00F742FD">
        <w:t xml:space="preserve"> </w:t>
      </w:r>
      <w:r w:rsidRPr="00B95412">
        <w:t xml:space="preserve">day of </w:t>
      </w:r>
      <w:r w:rsidRPr="00B95412" w:rsidR="00A0707A">
        <w:t>Dece</w:t>
      </w:r>
      <w:r w:rsidRPr="00B95412">
        <w:t>mber 20</w:t>
      </w:r>
      <w:r w:rsidRPr="00B95412" w:rsidR="00CF02B4">
        <w:t>23</w:t>
      </w:r>
      <w:r w:rsidRPr="00B95412">
        <w:t>.</w:t>
      </w:r>
    </w:p>
    <w:p w:rsidR="00D41F79" w:rsidRPr="00B95412" w:rsidP="004B216C" w14:paraId="48597A3E" w14:textId="131AAC8F">
      <w:pPr>
        <w:widowControl/>
        <w:tabs>
          <w:tab w:val="left" w:pos="4320"/>
        </w:tabs>
        <w:autoSpaceDE/>
        <w:autoSpaceDN/>
        <w:ind w:left="4680"/>
        <w:rPr>
          <w:rFonts w:eastAsia="Calibri"/>
          <w:i/>
          <w:iCs/>
          <w:sz w:val="24"/>
          <w:szCs w:val="24"/>
          <w:u w:val="single"/>
        </w:rPr>
      </w:pPr>
      <w:r w:rsidRPr="00B95412">
        <w:rPr>
          <w:rFonts w:eastAsia="Calibri"/>
          <w:sz w:val="24"/>
          <w:szCs w:val="24"/>
        </w:rPr>
        <w:tab/>
      </w:r>
      <w:r w:rsidRPr="00B95412">
        <w:rPr>
          <w:rFonts w:eastAsia="Calibri"/>
          <w:i/>
          <w:iCs/>
          <w:sz w:val="24"/>
          <w:szCs w:val="24"/>
          <w:u w:val="single"/>
        </w:rPr>
        <w:t xml:space="preserve">/s/ William </w:t>
      </w:r>
      <w:r w:rsidR="00E81774">
        <w:rPr>
          <w:rFonts w:eastAsia="Calibri"/>
          <w:i/>
          <w:iCs/>
          <w:sz w:val="24"/>
          <w:szCs w:val="24"/>
          <w:u w:val="single"/>
        </w:rPr>
        <w:t xml:space="preserve">J. </w:t>
      </w:r>
      <w:r w:rsidRPr="00B95412">
        <w:rPr>
          <w:rFonts w:eastAsia="Calibri"/>
          <w:i/>
          <w:iCs/>
          <w:sz w:val="24"/>
          <w:szCs w:val="24"/>
          <w:u w:val="single"/>
        </w:rPr>
        <w:t>Michael</w:t>
      </w:r>
    </w:p>
    <w:p w:rsidR="00D41F79" w:rsidRPr="00B95412" w:rsidP="004B216C" w14:paraId="2BB36AAD" w14:textId="7D00E519">
      <w:pPr>
        <w:widowControl/>
        <w:tabs>
          <w:tab w:val="left" w:pos="4320"/>
        </w:tabs>
        <w:autoSpaceDE/>
        <w:autoSpaceDN/>
        <w:ind w:left="4680"/>
        <w:rPr>
          <w:rFonts w:eastAsia="Calibri"/>
          <w:sz w:val="24"/>
          <w:szCs w:val="24"/>
        </w:rPr>
      </w:pPr>
      <w:r w:rsidRPr="00B95412">
        <w:rPr>
          <w:rFonts w:eastAsia="Calibri"/>
          <w:sz w:val="24"/>
          <w:szCs w:val="24"/>
        </w:rPr>
        <w:tab/>
        <w:t xml:space="preserve">William </w:t>
      </w:r>
      <w:r w:rsidR="00E81774">
        <w:rPr>
          <w:rFonts w:eastAsia="Calibri"/>
          <w:sz w:val="24"/>
          <w:szCs w:val="24"/>
        </w:rPr>
        <w:t xml:space="preserve">J. </w:t>
      </w:r>
      <w:r w:rsidRPr="00B95412">
        <w:rPr>
          <w:rFonts w:eastAsia="Calibri"/>
          <w:sz w:val="24"/>
          <w:szCs w:val="24"/>
        </w:rPr>
        <w:t>Michael</w:t>
      </w:r>
    </w:p>
    <w:p w:rsidR="00D41F79" w:rsidRPr="00B95412" w:rsidP="004B216C" w14:paraId="1D1033A2" w14:textId="77777777">
      <w:pPr>
        <w:widowControl/>
        <w:tabs>
          <w:tab w:val="left" w:pos="4320"/>
        </w:tabs>
        <w:autoSpaceDE/>
        <w:autoSpaceDN/>
        <w:ind w:left="4680"/>
        <w:rPr>
          <w:rFonts w:eastAsia="Calibri"/>
          <w:sz w:val="24"/>
          <w:szCs w:val="24"/>
        </w:rPr>
      </w:pPr>
      <w:r w:rsidRPr="00B95412">
        <w:rPr>
          <w:rFonts w:eastAsia="Calibri"/>
          <w:sz w:val="24"/>
          <w:szCs w:val="24"/>
        </w:rPr>
        <w:tab/>
        <w:t>Assistant Consumers’ Counsel</w:t>
      </w:r>
    </w:p>
    <w:p w:rsidR="00D41F79" w:rsidRPr="00B95412" w:rsidP="008C4C0E" w14:paraId="11999DF4" w14:textId="77777777">
      <w:pPr>
        <w:widowControl/>
        <w:tabs>
          <w:tab w:val="left" w:pos="4320"/>
        </w:tabs>
        <w:autoSpaceDE/>
        <w:autoSpaceDN/>
        <w:ind w:left="5040"/>
        <w:rPr>
          <w:rFonts w:eastAsia="Calibri"/>
          <w:sz w:val="24"/>
          <w:szCs w:val="24"/>
        </w:rPr>
      </w:pPr>
    </w:p>
    <w:p w:rsidR="00F46340" w:rsidRPr="00B95412" w:rsidP="008C4C0E" w14:paraId="4C495AA3" w14:textId="1180574D">
      <w:pPr>
        <w:widowControl/>
        <w:autoSpaceDE/>
        <w:autoSpaceDN/>
        <w:rPr>
          <w:rFonts w:eastAsia="Calibri"/>
          <w:sz w:val="24"/>
          <w:szCs w:val="24"/>
        </w:rPr>
      </w:pPr>
      <w:r w:rsidRPr="00B95412">
        <w:rPr>
          <w:rFonts w:eastAsia="Calibri"/>
          <w:sz w:val="24"/>
          <w:szCs w:val="24"/>
        </w:rPr>
        <w:t>The PUCO’s e-filing system will electronically serve notice of the filing of this document on the following parties:</w:t>
      </w:r>
    </w:p>
    <w:p w:rsidR="006862C8" w:rsidRPr="00B95412" w:rsidP="008C4C0E" w14:paraId="0FF3349B" w14:textId="77777777">
      <w:pPr>
        <w:widowControl/>
        <w:autoSpaceDE/>
        <w:autoSpaceDN/>
        <w:rPr>
          <w:rFonts w:eastAsia="Calibri"/>
          <w:sz w:val="24"/>
          <w:szCs w:val="24"/>
        </w:rPr>
      </w:pPr>
    </w:p>
    <w:p w:rsidR="00D41F79" w:rsidRPr="00B95412" w:rsidP="003D673C" w14:paraId="2A941E10" w14:textId="77777777">
      <w:pPr>
        <w:widowControl/>
        <w:autoSpaceDE/>
        <w:autoSpaceDN/>
        <w:jc w:val="center"/>
        <w:rPr>
          <w:rFonts w:eastAsia="Calibri"/>
          <w:b/>
          <w:sz w:val="24"/>
          <w:szCs w:val="24"/>
          <w:u w:val="single"/>
        </w:rPr>
      </w:pPr>
      <w:r w:rsidRPr="00B95412">
        <w:rPr>
          <w:rFonts w:eastAsia="Calibri"/>
          <w:b/>
          <w:sz w:val="24"/>
          <w:szCs w:val="24"/>
          <w:u w:val="single"/>
        </w:rPr>
        <w:t>SERVICE LIST</w:t>
      </w:r>
    </w:p>
    <w:p w:rsidR="004230C0" w:rsidRPr="00B95412" w:rsidP="003D673C" w14:paraId="60F6286F" w14:textId="77777777">
      <w:pPr>
        <w:widowControl/>
        <w:autoSpaceDE/>
        <w:autoSpaceDN/>
        <w:jc w:val="center"/>
        <w:rPr>
          <w:rFonts w:eastAsia="Calibri"/>
          <w:b/>
          <w:sz w:val="24"/>
          <w:szCs w:val="24"/>
          <w:u w:val="single"/>
        </w:rPr>
      </w:pPr>
    </w:p>
    <w:tbl>
      <w:tblPr>
        <w:tblW w:w="0" w:type="auto"/>
        <w:tblLook w:val="01E0"/>
      </w:tblPr>
      <w:tblGrid>
        <w:gridCol w:w="4476"/>
        <w:gridCol w:w="4164"/>
      </w:tblGrid>
      <w:tr w14:paraId="178E650C" w14:textId="77777777" w:rsidTr="001B6497">
        <w:tblPrEx>
          <w:tblW w:w="0" w:type="auto"/>
          <w:tblLook w:val="01E0"/>
        </w:tblPrEx>
        <w:tc>
          <w:tcPr>
            <w:tcW w:w="4476" w:type="dxa"/>
            <w:shd w:val="clear" w:color="auto" w:fill="auto"/>
          </w:tcPr>
          <w:p w:rsidR="0005205C" w:rsidRPr="00B95412" w:rsidP="001B6497" w14:paraId="137486B2" w14:textId="77777777">
            <w:pPr>
              <w:rPr>
                <w:rStyle w:val="Hyperlink"/>
                <w:sz w:val="24"/>
                <w:szCs w:val="24"/>
              </w:rPr>
            </w:pPr>
            <w:hyperlink r:id="rId16" w:history="1">
              <w:r w:rsidRPr="00B95412" w:rsidR="009D1141">
                <w:rPr>
                  <w:rStyle w:val="Hyperlink"/>
                  <w:sz w:val="24"/>
                  <w:szCs w:val="24"/>
                </w:rPr>
                <w:t>werner.margard@ohioago.gov</w:t>
              </w:r>
            </w:hyperlink>
          </w:p>
          <w:p w:rsidR="0005205C" w:rsidRPr="00B95412" w:rsidP="001B6497" w14:paraId="786023DE" w14:textId="77777777">
            <w:pPr>
              <w:rPr>
                <w:sz w:val="24"/>
                <w:szCs w:val="24"/>
              </w:rPr>
            </w:pPr>
            <w:hyperlink r:id="rId17" w:history="1">
              <w:r w:rsidRPr="00B95412" w:rsidR="009D1141">
                <w:rPr>
                  <w:rStyle w:val="Hyperlink"/>
                  <w:sz w:val="24"/>
                  <w:szCs w:val="24"/>
                </w:rPr>
                <w:t>ambrosia.wilson@ohioago.gov</w:t>
              </w:r>
            </w:hyperlink>
          </w:p>
          <w:p w:rsidR="0005205C" w:rsidRPr="00B95412" w:rsidP="001B6497" w14:paraId="1B4CE73F" w14:textId="77777777">
            <w:pPr>
              <w:rPr>
                <w:sz w:val="24"/>
                <w:szCs w:val="24"/>
              </w:rPr>
            </w:pPr>
            <w:hyperlink r:id="rId18" w:history="1">
              <w:r w:rsidRPr="00B95412" w:rsidR="009D1141">
                <w:rPr>
                  <w:rStyle w:val="Hyperlink"/>
                  <w:sz w:val="24"/>
                  <w:szCs w:val="24"/>
                </w:rPr>
                <w:t>ashley.wnek@ohioago.gov</w:t>
              </w:r>
            </w:hyperlink>
          </w:p>
          <w:p w:rsidR="0005205C" w:rsidRPr="00B95412" w:rsidP="001B6497" w14:paraId="70502F6E" w14:textId="77777777">
            <w:pPr>
              <w:rPr>
                <w:sz w:val="24"/>
                <w:szCs w:val="24"/>
              </w:rPr>
            </w:pPr>
            <w:hyperlink r:id="rId19" w:history="1">
              <w:r w:rsidRPr="00B95412" w:rsidR="009D1141">
                <w:rPr>
                  <w:rStyle w:val="Hyperlink"/>
                  <w:sz w:val="24"/>
                  <w:szCs w:val="24"/>
                </w:rPr>
                <w:t>mkurtz@BKLlawfirm.com</w:t>
              </w:r>
            </w:hyperlink>
          </w:p>
          <w:p w:rsidR="0005205C" w:rsidRPr="00B95412" w:rsidP="001B6497" w14:paraId="4F387D1B" w14:textId="77777777">
            <w:pPr>
              <w:rPr>
                <w:sz w:val="24"/>
                <w:szCs w:val="24"/>
              </w:rPr>
            </w:pPr>
            <w:hyperlink r:id="rId20" w:history="1">
              <w:r w:rsidRPr="00B95412" w:rsidR="009D1141">
                <w:rPr>
                  <w:rStyle w:val="Hyperlink"/>
                  <w:sz w:val="24"/>
                  <w:szCs w:val="24"/>
                </w:rPr>
                <w:t>kboehm@BKLlawfirm.com</w:t>
              </w:r>
            </w:hyperlink>
          </w:p>
          <w:p w:rsidR="0005205C" w:rsidRPr="00B95412" w:rsidP="001B6497" w14:paraId="45244F3F" w14:textId="77777777">
            <w:pPr>
              <w:rPr>
                <w:rStyle w:val="Hyperlink"/>
                <w:sz w:val="24"/>
                <w:szCs w:val="24"/>
              </w:rPr>
            </w:pPr>
            <w:hyperlink r:id="rId21" w:history="1">
              <w:r w:rsidRPr="00B95412" w:rsidR="009D1141">
                <w:rPr>
                  <w:rStyle w:val="Hyperlink"/>
                  <w:sz w:val="24"/>
                  <w:szCs w:val="24"/>
                </w:rPr>
                <w:t>jkylercohn@BKLlawfirm.com</w:t>
              </w:r>
            </w:hyperlink>
          </w:p>
          <w:p w:rsidR="0005205C" w:rsidRPr="00B95412" w:rsidP="001B6497" w14:paraId="1D0106F2" w14:textId="77777777">
            <w:pPr>
              <w:rPr>
                <w:sz w:val="24"/>
                <w:szCs w:val="24"/>
              </w:rPr>
            </w:pPr>
            <w:hyperlink r:id="rId22" w:history="1">
              <w:r w:rsidRPr="00B95412" w:rsidR="009D1141">
                <w:rPr>
                  <w:rStyle w:val="Hyperlink"/>
                  <w:sz w:val="24"/>
                  <w:szCs w:val="24"/>
                </w:rPr>
                <w:t>knordstrom@theOEC.org</w:t>
              </w:r>
            </w:hyperlink>
          </w:p>
          <w:p w:rsidR="0005205C" w:rsidRPr="00B95412" w:rsidP="001B6497" w14:paraId="4B742A56" w14:textId="77777777">
            <w:pPr>
              <w:rPr>
                <w:sz w:val="24"/>
                <w:szCs w:val="24"/>
              </w:rPr>
            </w:pPr>
            <w:hyperlink r:id="rId23" w:history="1">
              <w:r w:rsidRPr="00B95412" w:rsidR="009D1141">
                <w:rPr>
                  <w:rStyle w:val="Hyperlink"/>
                  <w:sz w:val="24"/>
                  <w:szCs w:val="24"/>
                </w:rPr>
                <w:t>ctavenor@theOEC.org</w:t>
              </w:r>
            </w:hyperlink>
          </w:p>
          <w:p w:rsidR="0005205C" w:rsidRPr="00B95412" w:rsidP="001B6497" w14:paraId="4288F677" w14:textId="77777777">
            <w:pPr>
              <w:rPr>
                <w:sz w:val="24"/>
                <w:szCs w:val="24"/>
              </w:rPr>
            </w:pPr>
            <w:hyperlink r:id="rId24" w:history="1">
              <w:r w:rsidRPr="00B95412" w:rsidR="009D1141">
                <w:rPr>
                  <w:rStyle w:val="Hyperlink"/>
                  <w:sz w:val="24"/>
                  <w:szCs w:val="24"/>
                </w:rPr>
                <w:t>little@litohio.com</w:t>
              </w:r>
            </w:hyperlink>
          </w:p>
          <w:p w:rsidR="0005205C" w:rsidRPr="00B95412" w:rsidP="001B6497" w14:paraId="1B64092D" w14:textId="77777777">
            <w:pPr>
              <w:rPr>
                <w:sz w:val="24"/>
                <w:szCs w:val="24"/>
              </w:rPr>
            </w:pPr>
            <w:hyperlink r:id="rId25" w:history="1">
              <w:r w:rsidRPr="00B95412" w:rsidR="009D1141">
                <w:rPr>
                  <w:rStyle w:val="Hyperlink"/>
                  <w:sz w:val="24"/>
                  <w:szCs w:val="24"/>
                </w:rPr>
                <w:t>hogan@litohio.com</w:t>
              </w:r>
            </w:hyperlink>
          </w:p>
          <w:p w:rsidR="0005205C" w:rsidRPr="00B95412" w:rsidP="001B6497" w14:paraId="67C0C3EF" w14:textId="77777777">
            <w:pPr>
              <w:rPr>
                <w:sz w:val="24"/>
                <w:szCs w:val="24"/>
              </w:rPr>
            </w:pPr>
            <w:hyperlink r:id="rId26" w:history="1">
              <w:r w:rsidRPr="00B95412" w:rsidR="009D1141">
                <w:rPr>
                  <w:rStyle w:val="Hyperlink"/>
                  <w:sz w:val="24"/>
                  <w:szCs w:val="24"/>
                </w:rPr>
                <w:t>ktreadway@oneenergyllc.com</w:t>
              </w:r>
            </w:hyperlink>
          </w:p>
          <w:p w:rsidR="0005205C" w:rsidRPr="00B95412" w:rsidP="001B6497" w14:paraId="692997B1" w14:textId="77777777">
            <w:pPr>
              <w:rPr>
                <w:sz w:val="24"/>
                <w:szCs w:val="24"/>
              </w:rPr>
            </w:pPr>
            <w:hyperlink r:id="rId27" w:history="1">
              <w:r w:rsidRPr="00B95412" w:rsidR="009D1141">
                <w:rPr>
                  <w:rStyle w:val="Hyperlink"/>
                  <w:sz w:val="24"/>
                  <w:szCs w:val="24"/>
                </w:rPr>
                <w:t>jdunn@oneenergyllc.com</w:t>
              </w:r>
            </w:hyperlink>
          </w:p>
          <w:p w:rsidR="0005205C" w:rsidRPr="00B95412" w:rsidP="001B6497" w14:paraId="7BAD4268" w14:textId="77777777">
            <w:pPr>
              <w:rPr>
                <w:sz w:val="24"/>
                <w:szCs w:val="24"/>
              </w:rPr>
            </w:pPr>
            <w:hyperlink r:id="rId28" w:history="1">
              <w:r w:rsidRPr="00B95412" w:rsidR="009D1141">
                <w:rPr>
                  <w:rStyle w:val="Hyperlink"/>
                  <w:sz w:val="24"/>
                  <w:szCs w:val="24"/>
                </w:rPr>
                <w:t>cgrundmann@spilmanlaw.com</w:t>
              </w:r>
            </w:hyperlink>
          </w:p>
          <w:p w:rsidR="0005205C" w:rsidRPr="00B95412" w:rsidP="001B6497" w14:paraId="40D97935" w14:textId="77777777">
            <w:pPr>
              <w:rPr>
                <w:sz w:val="24"/>
                <w:szCs w:val="24"/>
              </w:rPr>
            </w:pPr>
            <w:hyperlink r:id="rId29" w:history="1">
              <w:r w:rsidRPr="00B95412" w:rsidR="009D1141">
                <w:rPr>
                  <w:rStyle w:val="Hyperlink"/>
                  <w:sz w:val="24"/>
                  <w:szCs w:val="24"/>
                </w:rPr>
                <w:t>dwilliamson@spilmanlaw.com</w:t>
              </w:r>
            </w:hyperlink>
          </w:p>
          <w:p w:rsidR="0005205C" w:rsidRPr="00B95412" w:rsidP="001B6497" w14:paraId="720BAF9B" w14:textId="77777777">
            <w:pPr>
              <w:rPr>
                <w:sz w:val="24"/>
                <w:szCs w:val="24"/>
              </w:rPr>
            </w:pPr>
            <w:hyperlink r:id="rId30" w:history="1">
              <w:r w:rsidRPr="00B95412" w:rsidR="009D1141">
                <w:rPr>
                  <w:rStyle w:val="Hyperlink"/>
                  <w:sz w:val="24"/>
                  <w:szCs w:val="24"/>
                </w:rPr>
                <w:t>slee@spilmanlaw.com</w:t>
              </w:r>
            </w:hyperlink>
          </w:p>
          <w:p w:rsidR="0005205C" w:rsidRPr="00B95412" w:rsidP="001B6497" w14:paraId="455CC6D8" w14:textId="77777777">
            <w:pPr>
              <w:rPr>
                <w:sz w:val="24"/>
                <w:szCs w:val="24"/>
              </w:rPr>
            </w:pPr>
            <w:hyperlink r:id="rId31" w:history="1">
              <w:r w:rsidRPr="00B95412" w:rsidR="009D1141">
                <w:rPr>
                  <w:rStyle w:val="Hyperlink"/>
                  <w:sz w:val="24"/>
                  <w:szCs w:val="24"/>
                </w:rPr>
                <w:t>brian.gibbs@nationwideenergypartners.com</w:t>
              </w:r>
            </w:hyperlink>
          </w:p>
          <w:p w:rsidR="0005205C" w:rsidRPr="00B95412" w:rsidP="001B6497" w14:paraId="134517ED" w14:textId="77777777">
            <w:pPr>
              <w:rPr>
                <w:sz w:val="24"/>
                <w:szCs w:val="24"/>
              </w:rPr>
            </w:pPr>
            <w:hyperlink r:id="rId32" w:history="1">
              <w:r w:rsidRPr="00B95412" w:rsidR="009D1141">
                <w:rPr>
                  <w:rStyle w:val="Hyperlink"/>
                  <w:sz w:val="24"/>
                  <w:szCs w:val="24"/>
                </w:rPr>
                <w:t>rdove@keglerbrown.com</w:t>
              </w:r>
            </w:hyperlink>
          </w:p>
          <w:p w:rsidR="0005205C" w:rsidRPr="00B95412" w:rsidP="001B6497" w14:paraId="5CB38F33" w14:textId="77777777">
            <w:pPr>
              <w:rPr>
                <w:rStyle w:val="Hyperlink"/>
                <w:sz w:val="24"/>
                <w:szCs w:val="24"/>
              </w:rPr>
            </w:pPr>
            <w:hyperlink r:id="rId33" w:history="1">
              <w:r w:rsidRPr="00B95412" w:rsidR="009D1141">
                <w:rPr>
                  <w:rStyle w:val="Hyperlink"/>
                  <w:sz w:val="24"/>
                  <w:szCs w:val="24"/>
                </w:rPr>
                <w:t>nbobb@keglerbrown.com</w:t>
              </w:r>
            </w:hyperlink>
          </w:p>
          <w:p w:rsidR="0005205C" w:rsidRPr="00B95412" w:rsidP="001B6497" w14:paraId="6F8988E4" w14:textId="77777777">
            <w:pPr>
              <w:rPr>
                <w:rStyle w:val="Hyperlink"/>
                <w:sz w:val="24"/>
                <w:szCs w:val="24"/>
              </w:rPr>
            </w:pPr>
            <w:r w:rsidRPr="00B95412">
              <w:rPr>
                <w:rStyle w:val="Hyperlink"/>
                <w:sz w:val="24"/>
                <w:szCs w:val="24"/>
              </w:rPr>
              <w:t>jlaskey@norris-law.com</w:t>
            </w:r>
          </w:p>
          <w:p w:rsidR="0005205C" w:rsidRPr="00B95412" w:rsidP="001B6497" w14:paraId="0A558C37" w14:textId="77777777">
            <w:pPr>
              <w:rPr>
                <w:sz w:val="24"/>
                <w:szCs w:val="24"/>
              </w:rPr>
            </w:pPr>
            <w:hyperlink r:id="rId34" w:history="1">
              <w:r w:rsidRPr="00B95412" w:rsidR="009D1141">
                <w:rPr>
                  <w:rStyle w:val="Hyperlink"/>
                  <w:sz w:val="24"/>
                  <w:szCs w:val="24"/>
                </w:rPr>
                <w:t>mpritchard@mcneeslaw.com</w:t>
              </w:r>
            </w:hyperlink>
          </w:p>
          <w:p w:rsidR="0005205C" w:rsidRPr="00B95412" w:rsidP="001B6497" w14:paraId="0EF0D75A" w14:textId="77777777">
            <w:pPr>
              <w:rPr>
                <w:sz w:val="24"/>
                <w:szCs w:val="24"/>
              </w:rPr>
            </w:pPr>
            <w:hyperlink r:id="rId35" w:history="1">
              <w:r w:rsidRPr="00B95412" w:rsidR="009D1141">
                <w:rPr>
                  <w:rStyle w:val="Hyperlink"/>
                  <w:sz w:val="24"/>
                  <w:szCs w:val="24"/>
                </w:rPr>
                <w:t>awalke@mcneeslaw.com</w:t>
              </w:r>
            </w:hyperlink>
          </w:p>
          <w:p w:rsidR="0005205C" w:rsidRPr="00B95412" w:rsidP="001B6497" w14:paraId="4882421B" w14:textId="77777777">
            <w:pPr>
              <w:rPr>
                <w:sz w:val="24"/>
                <w:szCs w:val="24"/>
              </w:rPr>
            </w:pPr>
            <w:hyperlink r:id="rId36" w:history="1">
              <w:r w:rsidRPr="00B95412" w:rsidR="009D1141">
                <w:rPr>
                  <w:rStyle w:val="Hyperlink"/>
                  <w:sz w:val="24"/>
                  <w:szCs w:val="24"/>
                </w:rPr>
                <w:t>mjsettineri@vorys.com</w:t>
              </w:r>
            </w:hyperlink>
          </w:p>
          <w:p w:rsidR="0005205C" w:rsidRPr="00B95412" w:rsidP="001B6497" w14:paraId="482ED84E" w14:textId="77777777">
            <w:pPr>
              <w:rPr>
                <w:rStyle w:val="Hyperlink"/>
                <w:sz w:val="24"/>
                <w:szCs w:val="24"/>
              </w:rPr>
            </w:pPr>
            <w:hyperlink r:id="rId37" w:history="1">
              <w:r w:rsidRPr="00B95412" w:rsidR="009D1141">
                <w:rPr>
                  <w:rStyle w:val="Hyperlink"/>
                  <w:sz w:val="24"/>
                  <w:szCs w:val="24"/>
                </w:rPr>
                <w:t>glpetrucci@vorys.com</w:t>
              </w:r>
            </w:hyperlink>
          </w:p>
          <w:p w:rsidR="0005205C" w:rsidRPr="00B95412" w:rsidP="001B6497" w14:paraId="482D01A6" w14:textId="77777777">
            <w:pPr>
              <w:rPr>
                <w:rStyle w:val="Hyperlink"/>
                <w:sz w:val="24"/>
                <w:szCs w:val="24"/>
              </w:rPr>
            </w:pPr>
            <w:r w:rsidRPr="00B95412">
              <w:rPr>
                <w:rStyle w:val="Hyperlink"/>
                <w:sz w:val="24"/>
                <w:szCs w:val="24"/>
              </w:rPr>
              <w:t>aasanyal@vorys.com</w:t>
            </w:r>
          </w:p>
          <w:p w:rsidR="0005205C" w:rsidRPr="00B95412" w:rsidP="001B6497" w14:paraId="01A52AEE" w14:textId="77777777">
            <w:pPr>
              <w:rPr>
                <w:rStyle w:val="Hyperlink"/>
                <w:sz w:val="24"/>
                <w:szCs w:val="24"/>
              </w:rPr>
            </w:pPr>
            <w:hyperlink r:id="rId38" w:history="1">
              <w:r w:rsidRPr="00B95412" w:rsidR="009D1141">
                <w:rPr>
                  <w:rStyle w:val="Hyperlink"/>
                  <w:sz w:val="24"/>
                  <w:szCs w:val="24"/>
                </w:rPr>
                <w:t>cpirik@dickinsonwright.com</w:t>
              </w:r>
            </w:hyperlink>
          </w:p>
          <w:p w:rsidR="0005205C" w:rsidRPr="00B95412" w:rsidP="001B6497" w14:paraId="386C95F9" w14:textId="77777777">
            <w:pPr>
              <w:rPr>
                <w:rStyle w:val="Hyperlink"/>
                <w:sz w:val="24"/>
                <w:szCs w:val="24"/>
              </w:rPr>
            </w:pPr>
            <w:r w:rsidRPr="00B95412">
              <w:rPr>
                <w:rStyle w:val="Hyperlink"/>
                <w:sz w:val="24"/>
                <w:szCs w:val="24"/>
              </w:rPr>
              <w:t>bryce.mckenney@nrg.com</w:t>
            </w:r>
          </w:p>
          <w:p w:rsidR="0005205C" w:rsidRPr="00B95412" w:rsidP="001B6497" w14:paraId="38C23D10" w14:textId="77777777">
            <w:pPr>
              <w:rPr>
                <w:sz w:val="24"/>
                <w:szCs w:val="24"/>
              </w:rPr>
            </w:pPr>
          </w:p>
          <w:p w:rsidR="0005205C" w:rsidRPr="00B95412" w:rsidP="001B6497" w14:paraId="0EAD5852" w14:textId="77777777">
            <w:pPr>
              <w:rPr>
                <w:sz w:val="24"/>
                <w:szCs w:val="24"/>
              </w:rPr>
            </w:pPr>
            <w:r w:rsidRPr="00B95412">
              <w:rPr>
                <w:sz w:val="24"/>
                <w:szCs w:val="24"/>
              </w:rPr>
              <w:t>Attorney Examiners:</w:t>
            </w:r>
          </w:p>
          <w:p w:rsidR="0005205C" w:rsidRPr="00B95412" w:rsidP="001B6497" w14:paraId="2B21FC89" w14:textId="77777777">
            <w:pPr>
              <w:rPr>
                <w:rStyle w:val="Hyperlink"/>
                <w:sz w:val="24"/>
                <w:szCs w:val="24"/>
              </w:rPr>
            </w:pPr>
            <w:hyperlink r:id="rId39" w:history="1">
              <w:r w:rsidRPr="00B95412" w:rsidR="009D1141">
                <w:rPr>
                  <w:rStyle w:val="Hyperlink"/>
                  <w:sz w:val="24"/>
                  <w:szCs w:val="24"/>
                </w:rPr>
                <w:t>greta.see@puco.ohio.gov</w:t>
              </w:r>
            </w:hyperlink>
          </w:p>
          <w:p w:rsidR="0005205C" w:rsidRPr="00B95412" w:rsidP="001B6497" w14:paraId="51E1D6D4" w14:textId="77777777">
            <w:pPr>
              <w:rPr>
                <w:sz w:val="24"/>
                <w:szCs w:val="24"/>
              </w:rPr>
            </w:pPr>
            <w:hyperlink r:id="rId40" w:history="1">
              <w:r w:rsidRPr="00B95412" w:rsidR="009D1141">
                <w:rPr>
                  <w:rStyle w:val="Hyperlink"/>
                  <w:sz w:val="24"/>
                  <w:szCs w:val="24"/>
                </w:rPr>
                <w:t>david.hicks@puco.ohio.gov</w:t>
              </w:r>
            </w:hyperlink>
          </w:p>
        </w:tc>
        <w:tc>
          <w:tcPr>
            <w:tcW w:w="4164" w:type="dxa"/>
            <w:shd w:val="clear" w:color="auto" w:fill="auto"/>
          </w:tcPr>
          <w:p w:rsidR="0005205C" w:rsidRPr="00B95412" w:rsidP="001B6497" w14:paraId="5FFB72A8" w14:textId="77777777">
            <w:pPr>
              <w:rPr>
                <w:sz w:val="24"/>
                <w:szCs w:val="24"/>
              </w:rPr>
            </w:pPr>
            <w:hyperlink r:id="rId41" w:history="1">
              <w:r w:rsidRPr="00B95412" w:rsidR="009D1141">
                <w:rPr>
                  <w:rStyle w:val="Hyperlink"/>
                  <w:sz w:val="24"/>
                  <w:szCs w:val="24"/>
                </w:rPr>
                <w:t>stnourse@aep.com</w:t>
              </w:r>
            </w:hyperlink>
          </w:p>
          <w:p w:rsidR="0005205C" w:rsidRPr="00B95412" w:rsidP="001B6497" w14:paraId="4C6A8999" w14:textId="77777777">
            <w:pPr>
              <w:rPr>
                <w:sz w:val="24"/>
                <w:szCs w:val="24"/>
              </w:rPr>
            </w:pPr>
            <w:hyperlink r:id="rId42" w:history="1">
              <w:r w:rsidRPr="00B95412" w:rsidR="009D1141">
                <w:rPr>
                  <w:rStyle w:val="Hyperlink"/>
                  <w:sz w:val="24"/>
                  <w:szCs w:val="24"/>
                </w:rPr>
                <w:t>mjschuler@aep.com</w:t>
              </w:r>
            </w:hyperlink>
          </w:p>
          <w:p w:rsidR="0005205C" w:rsidRPr="00B95412" w:rsidP="001B6497" w14:paraId="2E2D8202" w14:textId="77777777">
            <w:pPr>
              <w:rPr>
                <w:bCs/>
                <w:sz w:val="24"/>
                <w:szCs w:val="24"/>
              </w:rPr>
            </w:pPr>
            <w:hyperlink r:id="rId43" w:history="1">
              <w:r w:rsidRPr="00B95412" w:rsidR="009D1141">
                <w:rPr>
                  <w:rStyle w:val="Hyperlink"/>
                  <w:sz w:val="24"/>
                  <w:szCs w:val="24"/>
                </w:rPr>
                <w:t>egallon@porterwright.com</w:t>
              </w:r>
            </w:hyperlink>
          </w:p>
          <w:p w:rsidR="0005205C" w:rsidRPr="00B95412" w:rsidP="001B6497" w14:paraId="22E14EE2" w14:textId="77777777">
            <w:pPr>
              <w:rPr>
                <w:bCs/>
                <w:sz w:val="24"/>
                <w:szCs w:val="24"/>
              </w:rPr>
            </w:pPr>
            <w:hyperlink r:id="rId44" w:history="1">
              <w:r w:rsidRPr="00B95412" w:rsidR="009D1141">
                <w:rPr>
                  <w:rStyle w:val="Hyperlink"/>
                  <w:sz w:val="24"/>
                  <w:szCs w:val="24"/>
                </w:rPr>
                <w:t>christopher.miller@icemiller.com</w:t>
              </w:r>
            </w:hyperlink>
          </w:p>
          <w:p w:rsidR="0005205C" w:rsidRPr="00B95412" w:rsidP="001B6497" w14:paraId="389C0ADF" w14:textId="77777777">
            <w:pPr>
              <w:rPr>
                <w:bCs/>
                <w:sz w:val="24"/>
                <w:szCs w:val="24"/>
              </w:rPr>
            </w:pPr>
            <w:hyperlink r:id="rId45" w:history="1">
              <w:r w:rsidRPr="00B95412" w:rsidR="009D1141">
                <w:rPr>
                  <w:rStyle w:val="Hyperlink"/>
                  <w:sz w:val="24"/>
                  <w:szCs w:val="24"/>
                </w:rPr>
                <w:t>matthew@msmckenzieltd.com</w:t>
              </w:r>
            </w:hyperlink>
          </w:p>
          <w:p w:rsidR="0005205C" w:rsidRPr="00B95412" w:rsidP="001B6497" w14:paraId="5559CD86" w14:textId="77777777">
            <w:pPr>
              <w:rPr>
                <w:bCs/>
                <w:sz w:val="24"/>
                <w:szCs w:val="24"/>
              </w:rPr>
            </w:pPr>
            <w:hyperlink r:id="rId46" w:history="1">
              <w:r w:rsidRPr="00B95412" w:rsidR="009D1141">
                <w:rPr>
                  <w:rStyle w:val="Hyperlink"/>
                  <w:sz w:val="24"/>
                  <w:szCs w:val="24"/>
                </w:rPr>
                <w:t>dromig@armadapower.com</w:t>
              </w:r>
            </w:hyperlink>
          </w:p>
          <w:p w:rsidR="0005205C" w:rsidRPr="00B95412" w:rsidP="001B6497" w14:paraId="712E7694" w14:textId="77777777">
            <w:pPr>
              <w:rPr>
                <w:sz w:val="24"/>
                <w:szCs w:val="24"/>
              </w:rPr>
            </w:pPr>
            <w:hyperlink r:id="rId47" w:history="1">
              <w:r w:rsidRPr="00B95412" w:rsidR="009D1141">
                <w:rPr>
                  <w:rStyle w:val="Hyperlink"/>
                  <w:sz w:val="24"/>
                  <w:szCs w:val="24"/>
                </w:rPr>
                <w:t>bojko@carpenterlipps.com</w:t>
              </w:r>
            </w:hyperlink>
          </w:p>
          <w:p w:rsidR="0005205C" w:rsidRPr="00B95412" w:rsidP="001B6497" w14:paraId="1E87F0FF" w14:textId="77777777">
            <w:pPr>
              <w:rPr>
                <w:sz w:val="24"/>
                <w:szCs w:val="24"/>
              </w:rPr>
            </w:pPr>
            <w:hyperlink r:id="rId48" w:history="1">
              <w:r w:rsidRPr="00B95412" w:rsidR="009D1141">
                <w:rPr>
                  <w:rStyle w:val="Hyperlink"/>
                  <w:sz w:val="24"/>
                  <w:szCs w:val="24"/>
                </w:rPr>
                <w:t>easley@carpenterlipps.com</w:t>
              </w:r>
            </w:hyperlink>
          </w:p>
          <w:p w:rsidR="0005205C" w:rsidRPr="00B95412" w:rsidP="001B6497" w14:paraId="60352965" w14:textId="77777777">
            <w:pPr>
              <w:rPr>
                <w:rStyle w:val="Hyperlink"/>
                <w:bCs/>
                <w:sz w:val="24"/>
                <w:szCs w:val="24"/>
              </w:rPr>
            </w:pPr>
            <w:hyperlink r:id="rId49" w:history="1">
              <w:r w:rsidRPr="00B95412" w:rsidR="009D1141">
                <w:rPr>
                  <w:rStyle w:val="Hyperlink"/>
                  <w:sz w:val="24"/>
                  <w:szCs w:val="24"/>
                </w:rPr>
                <w:t>tdougherty@theoec.org</w:t>
              </w:r>
            </w:hyperlink>
          </w:p>
          <w:p w:rsidR="0005205C" w:rsidRPr="00B95412" w:rsidP="001B6497" w14:paraId="728201D2" w14:textId="77777777">
            <w:pPr>
              <w:rPr>
                <w:rStyle w:val="Hyperlink"/>
                <w:sz w:val="24"/>
                <w:szCs w:val="24"/>
              </w:rPr>
            </w:pPr>
            <w:hyperlink r:id="rId50" w:history="1">
              <w:r w:rsidRPr="00B95412" w:rsidR="009D1141">
                <w:rPr>
                  <w:rStyle w:val="Hyperlink"/>
                  <w:sz w:val="24"/>
                  <w:szCs w:val="24"/>
                </w:rPr>
                <w:t>paul@carpenterlipps.com</w:t>
              </w:r>
            </w:hyperlink>
          </w:p>
          <w:p w:rsidR="0005205C" w:rsidRPr="00B95412" w:rsidP="001B6497" w14:paraId="008CD858" w14:textId="77777777">
            <w:pPr>
              <w:rPr>
                <w:bCs/>
                <w:sz w:val="24"/>
                <w:szCs w:val="24"/>
              </w:rPr>
            </w:pPr>
            <w:hyperlink r:id="rId51" w:history="1">
              <w:r w:rsidRPr="00B95412" w:rsidR="009D1141">
                <w:rPr>
                  <w:rStyle w:val="Hyperlink"/>
                  <w:bCs/>
                  <w:sz w:val="24"/>
                  <w:szCs w:val="24"/>
                </w:rPr>
                <w:t>wilcox@carpenterlipps.com</w:t>
              </w:r>
            </w:hyperlink>
          </w:p>
          <w:p w:rsidR="0005205C" w:rsidRPr="00B95412" w:rsidP="001B6497" w14:paraId="36544F9B" w14:textId="77777777">
            <w:pPr>
              <w:rPr>
                <w:bCs/>
                <w:sz w:val="24"/>
                <w:szCs w:val="24"/>
              </w:rPr>
            </w:pPr>
            <w:hyperlink r:id="rId52" w:history="1">
              <w:r w:rsidRPr="00B95412" w:rsidR="009D1141">
                <w:rPr>
                  <w:rStyle w:val="Hyperlink"/>
                  <w:sz w:val="24"/>
                  <w:szCs w:val="24"/>
                </w:rPr>
                <w:t>emcconnell@elpc.org</w:t>
              </w:r>
            </w:hyperlink>
          </w:p>
          <w:p w:rsidR="0005205C" w:rsidRPr="00B95412" w:rsidP="001B6497" w14:paraId="5B7ECA85" w14:textId="77777777">
            <w:pPr>
              <w:rPr>
                <w:bCs/>
                <w:sz w:val="24"/>
                <w:szCs w:val="24"/>
              </w:rPr>
            </w:pPr>
            <w:hyperlink r:id="rId53" w:history="1">
              <w:r w:rsidRPr="00B95412" w:rsidR="009D1141">
                <w:rPr>
                  <w:rStyle w:val="Hyperlink"/>
                  <w:sz w:val="24"/>
                  <w:szCs w:val="24"/>
                </w:rPr>
                <w:t>rkelter@elpc.org</w:t>
              </w:r>
            </w:hyperlink>
          </w:p>
          <w:p w:rsidR="0005205C" w:rsidRPr="00B95412" w:rsidP="001B6497" w14:paraId="7CD86100" w14:textId="11EBC38C">
            <w:pPr>
              <w:rPr>
                <w:bCs/>
                <w:sz w:val="24"/>
                <w:szCs w:val="24"/>
              </w:rPr>
            </w:pPr>
            <w:hyperlink r:id="rId54" w:history="1">
              <w:r w:rsidRPr="00B95412" w:rsidR="009D1141">
                <w:rPr>
                  <w:rStyle w:val="Hyperlink"/>
                  <w:sz w:val="24"/>
                  <w:szCs w:val="24"/>
                </w:rPr>
                <w:t>stacie.cathcart@igs.com</w:t>
              </w:r>
            </w:hyperlink>
          </w:p>
          <w:p w:rsidR="0005205C" w:rsidRPr="00B95412" w:rsidP="001B6497" w14:paraId="140E31BE" w14:textId="77777777">
            <w:pPr>
              <w:rPr>
                <w:rStyle w:val="Hyperlink"/>
                <w:sz w:val="24"/>
                <w:szCs w:val="24"/>
              </w:rPr>
            </w:pPr>
            <w:hyperlink r:id="rId55" w:history="1">
              <w:r w:rsidRPr="00B95412" w:rsidR="009D1141">
                <w:rPr>
                  <w:rStyle w:val="Hyperlink"/>
                  <w:sz w:val="24"/>
                  <w:szCs w:val="24"/>
                </w:rPr>
                <w:t>michael.nugent@igs.com</w:t>
              </w:r>
            </w:hyperlink>
          </w:p>
          <w:p w:rsidR="0005205C" w:rsidRPr="00B95412" w:rsidP="001B6497" w14:paraId="7F96F97F" w14:textId="77777777">
            <w:pPr>
              <w:rPr>
                <w:rStyle w:val="Hyperlink"/>
                <w:sz w:val="24"/>
                <w:szCs w:val="24"/>
              </w:rPr>
            </w:pPr>
            <w:r w:rsidRPr="00B95412">
              <w:rPr>
                <w:rStyle w:val="Hyperlink"/>
                <w:sz w:val="24"/>
                <w:szCs w:val="24"/>
              </w:rPr>
              <w:t>Joe.Oliker@igs.com</w:t>
            </w:r>
          </w:p>
          <w:p w:rsidR="0005205C" w:rsidRPr="00B95412" w:rsidP="001B6497" w14:paraId="5DEE752C" w14:textId="77777777">
            <w:pPr>
              <w:rPr>
                <w:rStyle w:val="Hyperlink"/>
                <w:bCs/>
                <w:sz w:val="24"/>
                <w:szCs w:val="24"/>
              </w:rPr>
            </w:pPr>
            <w:r w:rsidRPr="00B95412">
              <w:rPr>
                <w:rStyle w:val="Hyperlink"/>
                <w:bCs/>
                <w:sz w:val="24"/>
                <w:szCs w:val="24"/>
              </w:rPr>
              <w:t>jlang@calfee.com</w:t>
            </w:r>
          </w:p>
          <w:p w:rsidR="0005205C" w:rsidRPr="00B95412" w:rsidP="001B6497" w14:paraId="2011F287" w14:textId="77777777">
            <w:pPr>
              <w:rPr>
                <w:sz w:val="24"/>
                <w:szCs w:val="24"/>
              </w:rPr>
            </w:pPr>
            <w:hyperlink r:id="rId56" w:history="1">
              <w:r w:rsidRPr="00B95412" w:rsidR="009D1141">
                <w:rPr>
                  <w:rStyle w:val="Hyperlink"/>
                  <w:sz w:val="24"/>
                  <w:szCs w:val="24"/>
                </w:rPr>
                <w:t>dparram@brickergraydon.com</w:t>
              </w:r>
            </w:hyperlink>
          </w:p>
          <w:p w:rsidR="0005205C" w:rsidRPr="00B95412" w:rsidP="001B6497" w14:paraId="6B91DAD7" w14:textId="77777777">
            <w:pPr>
              <w:rPr>
                <w:sz w:val="24"/>
                <w:szCs w:val="24"/>
              </w:rPr>
            </w:pPr>
            <w:hyperlink r:id="rId57" w:history="1">
              <w:r w:rsidRPr="00B95412" w:rsidR="009D1141">
                <w:rPr>
                  <w:rStyle w:val="Hyperlink"/>
                  <w:sz w:val="24"/>
                  <w:szCs w:val="24"/>
                </w:rPr>
                <w:t>dborchers@brickergraydon.com</w:t>
              </w:r>
            </w:hyperlink>
          </w:p>
          <w:p w:rsidR="0005205C" w:rsidRPr="00B95412" w:rsidP="001B6497" w14:paraId="558553FA" w14:textId="77777777">
            <w:pPr>
              <w:rPr>
                <w:sz w:val="24"/>
                <w:szCs w:val="24"/>
              </w:rPr>
            </w:pPr>
            <w:hyperlink r:id="rId58" w:history="1">
              <w:r w:rsidRPr="00B95412" w:rsidR="009D1141">
                <w:rPr>
                  <w:rStyle w:val="Hyperlink"/>
                  <w:sz w:val="24"/>
                  <w:szCs w:val="24"/>
                </w:rPr>
                <w:t>rmains@brickergraydon.com</w:t>
              </w:r>
            </w:hyperlink>
          </w:p>
          <w:p w:rsidR="0005205C" w:rsidRPr="00B95412" w:rsidP="001B6497" w14:paraId="76F390FB" w14:textId="77777777">
            <w:pPr>
              <w:rPr>
                <w:bCs/>
                <w:sz w:val="24"/>
                <w:szCs w:val="24"/>
              </w:rPr>
            </w:pPr>
            <w:hyperlink r:id="rId59" w:history="1">
              <w:r w:rsidRPr="00B95412" w:rsidR="009D1141">
                <w:rPr>
                  <w:rStyle w:val="Hyperlink"/>
                  <w:sz w:val="24"/>
                  <w:szCs w:val="24"/>
                </w:rPr>
                <w:t>kherrnstein@bricker.com</w:t>
              </w:r>
            </w:hyperlink>
          </w:p>
          <w:p w:rsidR="0005205C" w:rsidRPr="00B95412" w:rsidP="001B6497" w14:paraId="790DF45A" w14:textId="77777777">
            <w:pPr>
              <w:rPr>
                <w:bCs/>
                <w:sz w:val="24"/>
                <w:szCs w:val="24"/>
              </w:rPr>
            </w:pPr>
            <w:hyperlink r:id="rId60" w:history="1">
              <w:r w:rsidRPr="00B95412" w:rsidR="009D1141">
                <w:rPr>
                  <w:rStyle w:val="Hyperlink"/>
                  <w:sz w:val="24"/>
                  <w:szCs w:val="24"/>
                </w:rPr>
                <w:t>dproano@bakerlaw.com</w:t>
              </w:r>
            </w:hyperlink>
          </w:p>
          <w:p w:rsidR="0005205C" w:rsidRPr="00B95412" w:rsidP="001B6497" w14:paraId="2764149C" w14:textId="77777777">
            <w:pPr>
              <w:rPr>
                <w:bCs/>
                <w:sz w:val="24"/>
                <w:szCs w:val="24"/>
              </w:rPr>
            </w:pPr>
            <w:hyperlink r:id="rId61" w:history="1">
              <w:r w:rsidRPr="00B95412" w:rsidR="009D1141">
                <w:rPr>
                  <w:rStyle w:val="Hyperlink"/>
                  <w:sz w:val="24"/>
                  <w:szCs w:val="24"/>
                </w:rPr>
                <w:t>ahaque@bakerlaw.com</w:t>
              </w:r>
            </w:hyperlink>
          </w:p>
          <w:p w:rsidR="0005205C" w:rsidRPr="00B95412" w:rsidP="001B6497" w14:paraId="45777E83" w14:textId="77777777">
            <w:pPr>
              <w:rPr>
                <w:rStyle w:val="Hyperlink"/>
                <w:bCs/>
                <w:sz w:val="24"/>
                <w:szCs w:val="24"/>
              </w:rPr>
            </w:pPr>
            <w:hyperlink r:id="rId62" w:history="1">
              <w:r w:rsidRPr="00B95412" w:rsidR="009D1141">
                <w:rPr>
                  <w:rStyle w:val="Hyperlink"/>
                  <w:sz w:val="24"/>
                  <w:szCs w:val="24"/>
                </w:rPr>
                <w:t>eprouty@bakerlaw.com</w:t>
              </w:r>
            </w:hyperlink>
          </w:p>
          <w:p w:rsidR="0005205C" w:rsidRPr="00B95412" w:rsidP="001B6497" w14:paraId="143D3944" w14:textId="77777777">
            <w:pPr>
              <w:rPr>
                <w:rStyle w:val="Hyperlink"/>
                <w:bCs/>
                <w:sz w:val="24"/>
                <w:szCs w:val="24"/>
              </w:rPr>
            </w:pPr>
            <w:r w:rsidRPr="00B95412">
              <w:rPr>
                <w:rStyle w:val="Hyperlink"/>
                <w:sz w:val="24"/>
                <w:szCs w:val="24"/>
              </w:rPr>
              <w:t>pwillison@bakerlaw.com</w:t>
            </w:r>
          </w:p>
          <w:p w:rsidR="0005205C" w:rsidRPr="00B95412" w:rsidP="001B6497" w14:paraId="0BCA98BC" w14:textId="77777777">
            <w:pPr>
              <w:rPr>
                <w:rStyle w:val="Hyperlink"/>
                <w:bCs/>
                <w:sz w:val="24"/>
                <w:szCs w:val="24"/>
              </w:rPr>
            </w:pPr>
            <w:hyperlink r:id="rId63" w:history="1">
              <w:r w:rsidRPr="00B95412" w:rsidR="009D1141">
                <w:rPr>
                  <w:rStyle w:val="Hyperlink"/>
                  <w:sz w:val="24"/>
                  <w:szCs w:val="24"/>
                </w:rPr>
                <w:t>Fdarr2019@gmail.com</w:t>
              </w:r>
            </w:hyperlink>
          </w:p>
          <w:p w:rsidR="0005205C" w:rsidRPr="00B95412" w:rsidP="001B6497" w14:paraId="76520C28" w14:textId="77777777">
            <w:pPr>
              <w:rPr>
                <w:bCs/>
                <w:sz w:val="24"/>
                <w:szCs w:val="24"/>
              </w:rPr>
            </w:pPr>
            <w:hyperlink r:id="rId64" w:history="1">
              <w:r w:rsidRPr="00B95412" w:rsidR="009D1141">
                <w:rPr>
                  <w:rStyle w:val="Hyperlink"/>
                  <w:sz w:val="24"/>
                  <w:szCs w:val="24"/>
                </w:rPr>
                <w:t>dstinson@bricker.com</w:t>
              </w:r>
            </w:hyperlink>
          </w:p>
          <w:p w:rsidR="0005205C" w:rsidRPr="00B95412" w:rsidP="001B6497" w14:paraId="44A94CA6" w14:textId="77777777">
            <w:pPr>
              <w:rPr>
                <w:rStyle w:val="Hyperlink"/>
                <w:bCs/>
                <w:sz w:val="24"/>
                <w:szCs w:val="24"/>
              </w:rPr>
            </w:pPr>
            <w:hyperlink r:id="rId65" w:history="1">
              <w:r w:rsidRPr="00B95412" w:rsidR="009D1141">
                <w:rPr>
                  <w:rStyle w:val="Hyperlink"/>
                  <w:sz w:val="24"/>
                  <w:szCs w:val="24"/>
                </w:rPr>
                <w:t>gkrassen@nopec.org</w:t>
              </w:r>
            </w:hyperlink>
          </w:p>
          <w:p w:rsidR="0005205C" w:rsidRPr="00B95412" w:rsidP="001B6497" w14:paraId="2DEE485C" w14:textId="77777777">
            <w:pPr>
              <w:rPr>
                <w:sz w:val="24"/>
                <w:szCs w:val="24"/>
              </w:rPr>
            </w:pPr>
            <w:hyperlink r:id="rId66" w:history="1">
              <w:r w:rsidRPr="00B95412" w:rsidR="009D1141">
                <w:rPr>
                  <w:rStyle w:val="Hyperlink"/>
                  <w:sz w:val="24"/>
                  <w:szCs w:val="24"/>
                </w:rPr>
                <w:t>todonnell@dickinsonwright.com</w:t>
              </w:r>
            </w:hyperlink>
          </w:p>
          <w:p w:rsidR="0005205C" w:rsidRPr="00B95412" w:rsidP="001B6497" w14:paraId="295AB2E9" w14:textId="77777777">
            <w:pPr>
              <w:rPr>
                <w:bCs/>
                <w:sz w:val="24"/>
                <w:szCs w:val="24"/>
              </w:rPr>
            </w:pPr>
            <w:hyperlink r:id="rId67" w:history="1">
              <w:r w:rsidRPr="00B95412" w:rsidR="009D1141">
                <w:rPr>
                  <w:rStyle w:val="Hyperlink"/>
                  <w:sz w:val="24"/>
                  <w:szCs w:val="24"/>
                </w:rPr>
                <w:t>kshimp@dickinsonwright.com</w:t>
              </w:r>
            </w:hyperlink>
          </w:p>
        </w:tc>
      </w:tr>
    </w:tbl>
    <w:p w:rsidR="00FF640C" w:rsidRPr="00B95412" w:rsidP="00D41F79" w14:paraId="496E9C37" w14:textId="77777777">
      <w:pPr>
        <w:pStyle w:val="BodyText"/>
        <w:spacing w:before="1"/>
      </w:pPr>
    </w:p>
    <w:sectPr w:rsidSect="007B151B">
      <w:footerReference w:type="default" r:id="rId68"/>
      <w:pgSz w:w="12240" w:h="15840"/>
      <w:pgMar w:top="1440" w:right="1800" w:bottom="1440" w:left="18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nQuanYi Micro He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EA" w14:paraId="27652F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EA" w14:paraId="0FDABB9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EA" w14:paraId="194404C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9672604"/>
      <w:docPartObj>
        <w:docPartGallery w:val="Page Numbers (Bottom of Page)"/>
        <w:docPartUnique/>
      </w:docPartObj>
    </w:sdtPr>
    <w:sdtEndPr>
      <w:rPr>
        <w:noProof/>
        <w:sz w:val="24"/>
        <w:szCs w:val="24"/>
      </w:rPr>
    </w:sdtEndPr>
    <w:sdtContent>
      <w:p w:rsidR="0044758A" w:rsidRPr="0044758A" w:rsidP="0044758A" w14:paraId="16A6F3F7" w14:textId="35C248EE">
        <w:pPr>
          <w:pStyle w:val="Footer"/>
          <w:jc w:val="center"/>
          <w:rPr>
            <w:sz w:val="24"/>
            <w:szCs w:val="24"/>
          </w:rPr>
        </w:pPr>
        <w:r w:rsidRPr="0044758A">
          <w:rPr>
            <w:sz w:val="24"/>
            <w:szCs w:val="24"/>
          </w:rPr>
          <w:fldChar w:fldCharType="begin"/>
        </w:r>
        <w:r w:rsidRPr="0044758A">
          <w:rPr>
            <w:sz w:val="24"/>
            <w:szCs w:val="24"/>
          </w:rPr>
          <w:instrText xml:space="preserve"> PAGE   \* MERGEFORMAT </w:instrText>
        </w:r>
        <w:r w:rsidRPr="0044758A">
          <w:rPr>
            <w:sz w:val="24"/>
            <w:szCs w:val="24"/>
          </w:rPr>
          <w:fldChar w:fldCharType="separate"/>
        </w:r>
        <w:r w:rsidRPr="0044758A">
          <w:rPr>
            <w:noProof/>
            <w:sz w:val="24"/>
            <w:szCs w:val="24"/>
          </w:rPr>
          <w:t>2</w:t>
        </w:r>
        <w:r w:rsidRPr="0044758A">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8332598"/>
      <w:docPartObj>
        <w:docPartGallery w:val="Page Numbers (Bottom of Page)"/>
        <w:docPartUnique/>
      </w:docPartObj>
    </w:sdtPr>
    <w:sdtEndPr>
      <w:rPr>
        <w:noProof/>
        <w:sz w:val="24"/>
        <w:szCs w:val="24"/>
      </w:rPr>
    </w:sdtEndPr>
    <w:sdtContent>
      <w:p w:rsidR="007B151B" w:rsidRPr="007B151B" w14:paraId="16D21431" w14:textId="4AD33378">
        <w:pPr>
          <w:pStyle w:val="Footer"/>
          <w:jc w:val="center"/>
          <w:rPr>
            <w:sz w:val="24"/>
            <w:szCs w:val="24"/>
          </w:rPr>
        </w:pPr>
        <w:r w:rsidRPr="007B151B">
          <w:rPr>
            <w:sz w:val="24"/>
            <w:szCs w:val="24"/>
          </w:rPr>
          <w:fldChar w:fldCharType="begin"/>
        </w:r>
        <w:r w:rsidRPr="007B151B">
          <w:rPr>
            <w:sz w:val="24"/>
            <w:szCs w:val="24"/>
          </w:rPr>
          <w:instrText xml:space="preserve"> PAGE   \* MERGEFORMAT </w:instrText>
        </w:r>
        <w:r w:rsidRPr="007B151B">
          <w:rPr>
            <w:sz w:val="24"/>
            <w:szCs w:val="24"/>
          </w:rPr>
          <w:fldChar w:fldCharType="separate"/>
        </w:r>
        <w:r w:rsidRPr="007B151B">
          <w:rPr>
            <w:noProof/>
            <w:sz w:val="24"/>
            <w:szCs w:val="24"/>
          </w:rPr>
          <w:t>2</w:t>
        </w:r>
        <w:r w:rsidRPr="007B151B">
          <w:rPr>
            <w:noProof/>
            <w:sz w:val="24"/>
            <w:szCs w:val="24"/>
          </w:rPr>
          <w:fldChar w:fldCharType="end"/>
        </w:r>
      </w:p>
    </w:sdtContent>
  </w:sdt>
  <w:p w:rsidR="00FF640C" w14:paraId="0977EE44" w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6814" w14:paraId="153C464D" w14:textId="77777777">
      <w:r>
        <w:separator/>
      </w:r>
    </w:p>
  </w:footnote>
  <w:footnote w:type="continuationSeparator" w:id="1">
    <w:p w:rsidR="00FB6814" w14:paraId="71CD2E84" w14:textId="77777777">
      <w:r>
        <w:continuationSeparator/>
      </w:r>
    </w:p>
  </w:footnote>
  <w:footnote w:id="2">
    <w:p w:rsidR="004D1FBE" w:rsidRPr="00846260" w:rsidP="00846260" w14:paraId="1051AE87" w14:textId="01B7769A">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3A0806">
        <w:rPr>
          <w:rFonts w:ascii="Times New Roman" w:hAnsi="Times New Roman"/>
        </w:rPr>
        <w:t xml:space="preserve"> </w:t>
      </w:r>
      <w:r w:rsidRPr="00846260" w:rsidR="003A0806">
        <w:rPr>
          <w:rFonts w:ascii="Times New Roman" w:hAnsi="Times New Roman"/>
          <w:i/>
          <w:iCs/>
        </w:rPr>
        <w:t xml:space="preserve">In the Matter of the Application of Ohio Power Company for Authority to Establish a Standard Service Offer Pursuant to R.C. 4928.143 in the Form of an Electric Security Plan, et al., </w:t>
      </w:r>
      <w:r w:rsidRPr="00846260" w:rsidR="00A865C4">
        <w:rPr>
          <w:rFonts w:ascii="Times New Roman" w:hAnsi="Times New Roman"/>
          <w:kern w:val="0"/>
        </w:rPr>
        <w:t xml:space="preserve">Case No. 23-23-EL-SSO, et al., </w:t>
      </w:r>
      <w:r w:rsidRPr="00846260">
        <w:rPr>
          <w:rFonts w:ascii="Times New Roman" w:hAnsi="Times New Roman"/>
          <w:kern w:val="0"/>
        </w:rPr>
        <w:t>Joint Stipulation and Recommendation (Sept</w:t>
      </w:r>
      <w:r w:rsidRPr="00846260" w:rsidR="004515CC">
        <w:rPr>
          <w:rFonts w:ascii="Times New Roman" w:hAnsi="Times New Roman"/>
          <w:kern w:val="0"/>
        </w:rPr>
        <w:t>ember</w:t>
      </w:r>
      <w:r w:rsidRPr="00846260">
        <w:rPr>
          <w:rFonts w:ascii="Times New Roman" w:hAnsi="Times New Roman"/>
          <w:kern w:val="0"/>
        </w:rPr>
        <w:t xml:space="preserve"> 6, 2023)</w:t>
      </w:r>
      <w:r w:rsidRPr="00846260" w:rsidR="00C33353">
        <w:rPr>
          <w:rFonts w:ascii="Times New Roman" w:hAnsi="Times New Roman"/>
          <w:kern w:val="0"/>
        </w:rPr>
        <w:t>(“Settlement”)</w:t>
      </w:r>
      <w:r w:rsidRPr="00846260" w:rsidR="001710E3">
        <w:rPr>
          <w:rFonts w:ascii="Times New Roman" w:hAnsi="Times New Roman"/>
          <w:kern w:val="0"/>
        </w:rPr>
        <w:t>.</w:t>
      </w:r>
    </w:p>
  </w:footnote>
  <w:footnote w:id="3">
    <w:p w:rsidR="0002131B" w:rsidRPr="00846260" w:rsidP="00846260" w14:paraId="1F3F44EC" w14:textId="34496528">
      <w:pPr>
        <w:spacing w:after="120"/>
        <w:rPr>
          <w:sz w:val="20"/>
          <w:szCs w:val="20"/>
        </w:rPr>
      </w:pPr>
      <w:r w:rsidRPr="00846260">
        <w:rPr>
          <w:rStyle w:val="FootnoteReference"/>
          <w:sz w:val="20"/>
          <w:szCs w:val="20"/>
        </w:rPr>
        <w:footnoteRef/>
      </w:r>
      <w:r w:rsidRPr="00846260">
        <w:rPr>
          <w:sz w:val="20"/>
          <w:szCs w:val="20"/>
        </w:rPr>
        <w:t xml:space="preserve"> </w:t>
      </w:r>
      <w:r w:rsidRPr="00846260" w:rsidR="003243FF">
        <w:rPr>
          <w:sz w:val="20"/>
          <w:szCs w:val="20"/>
        </w:rPr>
        <w:t>Settlement at III.H.25, III.E.8, III.L.37-38, III.I.34, III.K.36, and III.F.10.</w:t>
      </w:r>
    </w:p>
  </w:footnote>
  <w:footnote w:id="4">
    <w:p w:rsidR="00C33353" w:rsidRPr="00846260" w:rsidP="00846260" w14:paraId="5BFAA861" w14:textId="06168ECF">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 xml:space="preserve">In the Matter of the Application of Ohio Power Company for Authority to Establish a Standard Service Offer Pursuant to R.C. 4928.143 in the Form of an Electric Security Plan, et al., </w:t>
      </w:r>
      <w:r w:rsidRPr="00846260">
        <w:rPr>
          <w:rFonts w:ascii="Times New Roman" w:hAnsi="Times New Roman"/>
        </w:rPr>
        <w:t>Case No. 23-23-EL-SSO, et al., Initial Post-Hearing Brief of Ohio Power Company in Support of the Stipulation and Recommendation, (December 1, 2023)(“AEP Initial Brief”) at 5 and 46-47.</w:t>
      </w:r>
    </w:p>
  </w:footnote>
  <w:footnote w:id="5">
    <w:p w:rsidR="00C33353" w:rsidRPr="00846260" w:rsidP="00846260" w14:paraId="2CA817ED" w14:textId="6CFFC80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5 and 45-47.</w:t>
      </w:r>
    </w:p>
  </w:footnote>
  <w:footnote w:id="6">
    <w:p w:rsidR="00B20B5E" w:rsidRPr="00846260" w:rsidP="00846260" w14:paraId="131C7BD2" w14:textId="34E5E04C">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See</w:t>
      </w:r>
      <w:r w:rsidRPr="00846260">
        <w:rPr>
          <w:rFonts w:ascii="Times New Roman" w:hAnsi="Times New Roman"/>
        </w:rPr>
        <w:t xml:space="preserve"> Settlement at III.H.25 (DIR charges total $1.022 Billion), III.E.8 (ESRR charges total $244 Million), III.L.37-38 (Energy Efficiency Rider charges total $48 Million), III.I.34 (Smart Thermostat charges total $20 Million), </w:t>
      </w:r>
      <w:r w:rsidRPr="00846260" w:rsidR="0064038C">
        <w:rPr>
          <w:rFonts w:ascii="Times New Roman" w:hAnsi="Times New Roman"/>
        </w:rPr>
        <w:t>III.K.36 (Customer Experience Rider charges Totaling $1.8 Million), and III.F.10 (Electric Transportation Plan charges totaling $1.2 Million).</w:t>
      </w:r>
    </w:p>
  </w:footnote>
  <w:footnote w:id="7">
    <w:p w:rsidR="004B7D6F" w:rsidRPr="00846260" w:rsidP="00846260" w14:paraId="37B4F9BC" w14:textId="19BC29D6">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See</w:t>
      </w:r>
      <w:r w:rsidRPr="00846260">
        <w:rPr>
          <w:rFonts w:ascii="Times New Roman" w:hAnsi="Times New Roman"/>
        </w:rPr>
        <w:t xml:space="preserve"> </w:t>
      </w:r>
      <w:r w:rsidRPr="00846260" w:rsidR="009E6763">
        <w:rPr>
          <w:rFonts w:ascii="Times New Roman" w:hAnsi="Times New Roman"/>
        </w:rPr>
        <w:t>Direct Testimony of Chris M. Shafer in Support of AEP Ohio’s Electric Security Plan</w:t>
      </w:r>
      <w:r w:rsidRPr="00846260" w:rsidR="00AC3105">
        <w:rPr>
          <w:rFonts w:ascii="Times New Roman" w:hAnsi="Times New Roman"/>
        </w:rPr>
        <w:t xml:space="preserve"> </w:t>
      </w:r>
      <w:r w:rsidRPr="00846260" w:rsidR="009E6763">
        <w:rPr>
          <w:rFonts w:ascii="Times New Roman" w:hAnsi="Times New Roman"/>
        </w:rPr>
        <w:t>(Jan</w:t>
      </w:r>
      <w:r w:rsidRPr="00846260" w:rsidR="004515CC">
        <w:rPr>
          <w:rFonts w:ascii="Times New Roman" w:hAnsi="Times New Roman"/>
        </w:rPr>
        <w:t>uary</w:t>
      </w:r>
      <w:r w:rsidRPr="00846260" w:rsidR="009E6763">
        <w:rPr>
          <w:rFonts w:ascii="Times New Roman" w:hAnsi="Times New Roman"/>
        </w:rPr>
        <w:t xml:space="preserve"> 6, 2023)</w:t>
      </w:r>
      <w:r w:rsidRPr="00846260" w:rsidR="00DC5540">
        <w:rPr>
          <w:rFonts w:ascii="Times New Roman" w:hAnsi="Times New Roman"/>
        </w:rPr>
        <w:t xml:space="preserve"> (“Shafer Testimony”)</w:t>
      </w:r>
      <w:r w:rsidRPr="00846260" w:rsidR="009E6763">
        <w:rPr>
          <w:rFonts w:ascii="Times New Roman" w:hAnsi="Times New Roman"/>
        </w:rPr>
        <w:t xml:space="preserve"> at 15:11-16:9 (</w:t>
      </w:r>
      <w:r w:rsidRPr="00846260" w:rsidR="00DC5540">
        <w:rPr>
          <w:rFonts w:ascii="Times New Roman" w:hAnsi="Times New Roman"/>
        </w:rPr>
        <w:t>s</w:t>
      </w:r>
      <w:r w:rsidRPr="00846260" w:rsidR="009E6763">
        <w:rPr>
          <w:rFonts w:ascii="Times New Roman" w:hAnsi="Times New Roman"/>
        </w:rPr>
        <w:t xml:space="preserve">tating AEP’s estimate for Ohio Power ADMS costs is $25.554 </w:t>
      </w:r>
      <w:r w:rsidR="003A0806">
        <w:rPr>
          <w:rFonts w:ascii="Times New Roman" w:hAnsi="Times New Roman"/>
        </w:rPr>
        <w:t>m</w:t>
      </w:r>
      <w:r w:rsidRPr="00846260" w:rsidR="009E6763">
        <w:rPr>
          <w:rFonts w:ascii="Times New Roman" w:hAnsi="Times New Roman"/>
        </w:rPr>
        <w:t xml:space="preserve">illion, which </w:t>
      </w:r>
      <w:r w:rsidRPr="00846260" w:rsidR="00DC5540">
        <w:rPr>
          <w:rFonts w:ascii="Times New Roman" w:hAnsi="Times New Roman"/>
        </w:rPr>
        <w:t>AEP</w:t>
      </w:r>
      <w:r w:rsidRPr="00846260" w:rsidR="009E6763">
        <w:rPr>
          <w:rFonts w:ascii="Times New Roman" w:hAnsi="Times New Roman"/>
        </w:rPr>
        <w:t xml:space="preserve"> intends to collect from consumers through the Customer Experience Rider).</w:t>
      </w:r>
    </w:p>
  </w:footnote>
  <w:footnote w:id="8">
    <w:p w:rsidR="0064038C" w:rsidRPr="00846260" w:rsidP="00846260" w14:paraId="6702E28C" w14:textId="2F6E0321">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See</w:t>
      </w:r>
      <w:r w:rsidRPr="00846260">
        <w:rPr>
          <w:rFonts w:ascii="Times New Roman" w:hAnsi="Times New Roman"/>
        </w:rPr>
        <w:t xml:space="preserve"> Settlement at III.F.10-11 and III.I.33.</w:t>
      </w:r>
    </w:p>
  </w:footnote>
  <w:footnote w:id="9">
    <w:p w:rsidR="0064038C" w:rsidRPr="00846260" w:rsidP="00846260" w14:paraId="43717DD3" w14:textId="7916305F">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See</w:t>
      </w:r>
      <w:r w:rsidRPr="00846260">
        <w:rPr>
          <w:rFonts w:ascii="Times New Roman" w:hAnsi="Times New Roman"/>
        </w:rPr>
        <w:t xml:space="preserve"> Settlement at III.C.6</w:t>
      </w:r>
      <w:r w:rsidRPr="00846260" w:rsidR="006B6EA4">
        <w:rPr>
          <w:rFonts w:ascii="Times New Roman" w:hAnsi="Times New Roman"/>
        </w:rPr>
        <w:t xml:space="preserve">; </w:t>
      </w:r>
      <w:r w:rsidRPr="00846260" w:rsidR="006B6EA4">
        <w:rPr>
          <w:rFonts w:ascii="Times New Roman" w:hAnsi="Times New Roman"/>
          <w:i/>
          <w:iCs/>
        </w:rPr>
        <w:t xml:space="preserve">See </w:t>
      </w:r>
      <w:r w:rsidRPr="00846260" w:rsidR="004515CC">
        <w:rPr>
          <w:rFonts w:ascii="Times New Roman" w:hAnsi="Times New Roman"/>
          <w:i/>
          <w:iCs/>
        </w:rPr>
        <w:t>a</w:t>
      </w:r>
      <w:r w:rsidRPr="00846260" w:rsidR="006B6EA4">
        <w:rPr>
          <w:rFonts w:ascii="Times New Roman" w:hAnsi="Times New Roman"/>
          <w:i/>
          <w:iCs/>
        </w:rPr>
        <w:t>lso</w:t>
      </w:r>
      <w:r w:rsidRPr="00846260" w:rsidR="006B6EA4">
        <w:rPr>
          <w:rFonts w:ascii="Times New Roman" w:hAnsi="Times New Roman"/>
        </w:rPr>
        <w:t xml:space="preserve"> Direct Testimony of Stacey D. Gabbard on Behalf of Ohio Power Company (Jan</w:t>
      </w:r>
      <w:r w:rsidR="00846260">
        <w:rPr>
          <w:rFonts w:ascii="Times New Roman" w:hAnsi="Times New Roman"/>
        </w:rPr>
        <w:t>uary</w:t>
      </w:r>
      <w:r w:rsidRPr="00846260" w:rsidR="006B6EA4">
        <w:rPr>
          <w:rFonts w:ascii="Times New Roman" w:hAnsi="Times New Roman"/>
        </w:rPr>
        <w:t xml:space="preserve"> 6, 2023) at 17:13-8:2 (Stating AEP’s January 2023 estimate of CIS costs to be recouped from consumers total $183.476 Million). </w:t>
      </w:r>
    </w:p>
  </w:footnote>
  <w:footnote w:id="10">
    <w:p w:rsidR="0064038C" w:rsidRPr="00846260" w:rsidP="00846260" w14:paraId="73B104D9" w14:textId="42F33828">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See</w:t>
      </w:r>
      <w:r w:rsidRPr="00846260">
        <w:rPr>
          <w:rFonts w:ascii="Times New Roman" w:hAnsi="Times New Roman"/>
        </w:rPr>
        <w:t xml:space="preserve"> Settlement at III.F.14-15.</w:t>
      </w:r>
    </w:p>
  </w:footnote>
  <w:footnote w:id="11">
    <w:p w:rsidR="009E6763" w:rsidRPr="00846260" w:rsidP="00846260" w14:paraId="16B79DEF" w14:textId="2B8D641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OCC Ex. 4 (Testimony Recommending Modification of the Stipulation of James D. Williams on Behalf of the Office of the Ohio Consumers’ Counsel) (Sept</w:t>
      </w:r>
      <w:r w:rsidRPr="00846260" w:rsidR="004515CC">
        <w:rPr>
          <w:rFonts w:ascii="Times New Roman" w:hAnsi="Times New Roman"/>
        </w:rPr>
        <w:t>ember</w:t>
      </w:r>
      <w:r w:rsidRPr="00846260">
        <w:rPr>
          <w:rFonts w:ascii="Times New Roman" w:hAnsi="Times New Roman"/>
        </w:rPr>
        <w:t xml:space="preserve"> 20, 2023) (“Williams Testimony”) at 7:20-9:4.</w:t>
      </w:r>
    </w:p>
  </w:footnote>
  <w:footnote w:id="12">
    <w:p w:rsidR="00697C99" w:rsidRPr="00846260" w:rsidP="00846260" w14:paraId="20C3B866" w14:textId="1B7A33E3">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In the Matter of the Application of Ohio Power Company for an Increase in Electric Distribution Rates</w:t>
      </w:r>
      <w:r w:rsidRPr="00846260">
        <w:rPr>
          <w:rFonts w:ascii="Times New Roman" w:hAnsi="Times New Roman"/>
        </w:rPr>
        <w:t>, Case No. 20-585-EL-AIR, Opinion and Order (November 17, 2021) at 23.</w:t>
      </w:r>
    </w:p>
  </w:footnote>
  <w:footnote w:id="13">
    <w:p w:rsidR="00155C16" w:rsidRPr="00846260" w:rsidP="00846260" w14:paraId="37D7F316" w14:textId="176B0FA3">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41.</w:t>
      </w:r>
    </w:p>
  </w:footnote>
  <w:footnote w:id="14">
    <w:p w:rsidR="00155C16" w:rsidRPr="00846260" w:rsidP="00846260" w14:paraId="51508B0B" w14:textId="042F2F3B">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77.</w:t>
      </w:r>
    </w:p>
  </w:footnote>
  <w:footnote w:id="15">
    <w:p w:rsidR="005F3CD8" w:rsidRPr="00846260" w:rsidP="00846260" w14:paraId="36BC41DB" w14:textId="4DF88681">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5, 44, and 46-47.</w:t>
      </w:r>
    </w:p>
  </w:footnote>
  <w:footnote w:id="16">
    <w:p w:rsidR="005F3CD8" w:rsidRPr="00846260" w:rsidP="00846260" w14:paraId="4446B8E5" w14:textId="66CBC495">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4, 5, 41, and 47.</w:t>
      </w:r>
    </w:p>
  </w:footnote>
  <w:footnote w:id="17">
    <w:p w:rsidR="007122F6" w:rsidRPr="00846260" w:rsidP="00846260" w14:paraId="5B351E2D" w14:textId="7D0B57DF">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5, 45-46, and 47.</w:t>
      </w:r>
    </w:p>
  </w:footnote>
  <w:footnote w:id="18">
    <w:p w:rsidR="00B12605" w:rsidRPr="00846260" w:rsidP="00846260" w14:paraId="3658667D" w14:textId="0FE9473C">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00687157">
        <w:rPr>
          <w:rFonts w:ascii="Times New Roman" w:hAnsi="Times New Roman"/>
          <w:kern w:val="0"/>
        </w:rPr>
        <w:t>Buckley Testimony at 12:15-13:3</w:t>
      </w:r>
      <w:r w:rsidRPr="00846260">
        <w:rPr>
          <w:rFonts w:ascii="Times New Roman" w:hAnsi="Times New Roman"/>
          <w:kern w:val="0"/>
        </w:rPr>
        <w:t>.</w:t>
      </w:r>
    </w:p>
  </w:footnote>
  <w:footnote w:id="19">
    <w:p w:rsidR="00A73B77" w:rsidRPr="00846260" w:rsidP="00846260" w14:paraId="5B3A2833" w14:textId="2D1FD646">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See</w:t>
      </w:r>
      <w:r w:rsidRPr="00846260">
        <w:rPr>
          <w:rFonts w:ascii="Times New Roman" w:hAnsi="Times New Roman"/>
          <w:kern w:val="0"/>
        </w:rPr>
        <w:t xml:space="preserve"> </w:t>
      </w:r>
      <w:r w:rsidRPr="00846260" w:rsidR="00B86748">
        <w:rPr>
          <w:rFonts w:ascii="Times New Roman" w:hAnsi="Times New Roman"/>
          <w:kern w:val="0"/>
        </w:rPr>
        <w:t>Williams</w:t>
      </w:r>
      <w:r w:rsidRPr="00846260">
        <w:rPr>
          <w:rFonts w:ascii="Times New Roman" w:hAnsi="Times New Roman"/>
          <w:kern w:val="0"/>
        </w:rPr>
        <w:t xml:space="preserve"> Testimony at </w:t>
      </w:r>
      <w:r w:rsidRPr="00846260" w:rsidR="00B86748">
        <w:rPr>
          <w:rFonts w:ascii="Times New Roman" w:hAnsi="Times New Roman"/>
          <w:kern w:val="0"/>
        </w:rPr>
        <w:t>10</w:t>
      </w:r>
      <w:r w:rsidRPr="00846260">
        <w:rPr>
          <w:rFonts w:ascii="Times New Roman" w:hAnsi="Times New Roman"/>
          <w:kern w:val="0"/>
        </w:rPr>
        <w:t>.</w:t>
      </w:r>
    </w:p>
  </w:footnote>
  <w:footnote w:id="20">
    <w:p w:rsidR="00A73B77" w:rsidRPr="00846260" w:rsidP="00846260" w14:paraId="612525C2" w14:textId="757EBBC9">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B57F0C">
        <w:rPr>
          <w:rFonts w:ascii="Times New Roman" w:hAnsi="Times New Roman"/>
          <w:i/>
          <w:iCs/>
          <w:kern w:val="0"/>
        </w:rPr>
        <w:t>Id</w:t>
      </w:r>
      <w:r w:rsidRPr="00846260" w:rsidR="00B57F0C">
        <w:rPr>
          <w:rFonts w:ascii="Times New Roman" w:hAnsi="Times New Roman"/>
          <w:kern w:val="0"/>
        </w:rPr>
        <w:t>.</w:t>
      </w:r>
    </w:p>
  </w:footnote>
  <w:footnote w:id="21">
    <w:p w:rsidR="00A73B77" w:rsidRPr="00846260" w:rsidP="00846260" w14:paraId="69267FA1" w14:textId="00A37DCE">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 xml:space="preserve">Id. </w:t>
      </w:r>
      <w:r w:rsidRPr="00846260">
        <w:rPr>
          <w:rFonts w:ascii="Times New Roman" w:hAnsi="Times New Roman"/>
          <w:kern w:val="0"/>
        </w:rPr>
        <w:t xml:space="preserve">at </w:t>
      </w:r>
      <w:r w:rsidRPr="00846260" w:rsidR="00B86748">
        <w:rPr>
          <w:rFonts w:ascii="Times New Roman" w:hAnsi="Times New Roman"/>
          <w:kern w:val="0"/>
        </w:rPr>
        <w:t>10-11</w:t>
      </w:r>
      <w:r w:rsidRPr="00846260">
        <w:rPr>
          <w:rFonts w:ascii="Times New Roman" w:hAnsi="Times New Roman"/>
          <w:kern w:val="0"/>
        </w:rPr>
        <w:t xml:space="preserve"> (as modified at Tr</w:t>
      </w:r>
      <w:r w:rsidRPr="00846260" w:rsidR="00B86748">
        <w:rPr>
          <w:rFonts w:ascii="Times New Roman" w:hAnsi="Times New Roman"/>
          <w:kern w:val="0"/>
        </w:rPr>
        <w:t>anscript, Volume II, at</w:t>
      </w:r>
      <w:r w:rsidRPr="00846260">
        <w:rPr>
          <w:rFonts w:ascii="Times New Roman" w:hAnsi="Times New Roman"/>
          <w:kern w:val="0"/>
        </w:rPr>
        <w:t xml:space="preserve"> 369:15-370:4).</w:t>
      </w:r>
    </w:p>
  </w:footnote>
  <w:footnote w:id="22">
    <w:p w:rsidR="00C8128A" w:rsidRPr="00846260" w:rsidP="00846260" w14:paraId="4E44B6C8" w14:textId="79040AEA">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OCC Ex. 8 (Testimony Recommending Modification of the Stipulation of Joseph P. Buckley on Behalf of the Office of the Ohio Consumers’ Counsel) (Sept</w:t>
      </w:r>
      <w:r w:rsidRPr="00846260" w:rsidR="00F0213F">
        <w:rPr>
          <w:rFonts w:ascii="Times New Roman" w:hAnsi="Times New Roman"/>
        </w:rPr>
        <w:t>ember</w:t>
      </w:r>
      <w:r w:rsidRPr="00846260">
        <w:rPr>
          <w:rFonts w:ascii="Times New Roman" w:hAnsi="Times New Roman"/>
        </w:rPr>
        <w:t xml:space="preserve"> 20,2023) (“Buckley</w:t>
      </w:r>
      <w:r w:rsidRPr="00846260" w:rsidR="00AC316E">
        <w:rPr>
          <w:rFonts w:ascii="Times New Roman" w:hAnsi="Times New Roman"/>
        </w:rPr>
        <w:t>’s</w:t>
      </w:r>
      <w:r w:rsidRPr="00846260">
        <w:rPr>
          <w:rFonts w:ascii="Times New Roman" w:hAnsi="Times New Roman"/>
        </w:rPr>
        <w:t xml:space="preserve"> Testimony</w:t>
      </w:r>
      <w:r w:rsidRPr="00846260" w:rsidR="00AC316E">
        <w:rPr>
          <w:rFonts w:ascii="Times New Roman" w:hAnsi="Times New Roman"/>
        </w:rPr>
        <w:t xml:space="preserve"> Recommending Modification</w:t>
      </w:r>
      <w:r w:rsidRPr="00846260">
        <w:rPr>
          <w:rFonts w:ascii="Times New Roman" w:hAnsi="Times New Roman"/>
        </w:rPr>
        <w:t>”) at 7-11.</w:t>
      </w:r>
    </w:p>
  </w:footnote>
  <w:footnote w:id="23">
    <w:p w:rsidR="004336DA" w:rsidRPr="00846260" w:rsidP="00846260" w14:paraId="2175CC50" w14:textId="46D023F0">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w:t>
      </w:r>
      <w:r w:rsidRPr="00846260" w:rsidR="009A4988">
        <w:rPr>
          <w:rFonts w:ascii="Times New Roman" w:hAnsi="Times New Roman"/>
        </w:rPr>
        <w:t xml:space="preserve"> at 26-27.</w:t>
      </w:r>
    </w:p>
  </w:footnote>
  <w:footnote w:id="24">
    <w:p w:rsidR="006B342B" w:rsidRPr="00846260" w:rsidP="00846260" w14:paraId="324BD928" w14:textId="1C834BA5">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0D4600">
        <w:rPr>
          <w:rFonts w:ascii="Times New Roman" w:hAnsi="Times New Roman"/>
          <w:i/>
          <w:iCs/>
        </w:rPr>
        <w:t xml:space="preserve">In the Matter of the Application of Ohio Power Company for Authority to Establish a Standard Service Offer Pursuant to R.C. 4928.143 in the Form of an Electric Security Plan, et al., </w:t>
      </w:r>
      <w:r w:rsidRPr="00846260" w:rsidR="000D4600">
        <w:rPr>
          <w:rFonts w:ascii="Times New Roman" w:hAnsi="Times New Roman"/>
        </w:rPr>
        <w:t xml:space="preserve">Case No. 23-23-EL-SSO, et al., </w:t>
      </w:r>
      <w:r w:rsidRPr="00846260">
        <w:rPr>
          <w:rFonts w:ascii="Times New Roman" w:hAnsi="Times New Roman"/>
        </w:rPr>
        <w:t>Ohio Power Company’s Application for An Electric Security Plan (Jan</w:t>
      </w:r>
      <w:r w:rsidRPr="00846260" w:rsidR="00F0213F">
        <w:rPr>
          <w:rFonts w:ascii="Times New Roman" w:hAnsi="Times New Roman"/>
        </w:rPr>
        <w:t>uary</w:t>
      </w:r>
      <w:r w:rsidRPr="00846260">
        <w:rPr>
          <w:rFonts w:ascii="Times New Roman" w:hAnsi="Times New Roman"/>
        </w:rPr>
        <w:t xml:space="preserve"> 6, 2023); Direct Testimony and Exhibits of Adrien M. McKenzie, CFA (Jan</w:t>
      </w:r>
      <w:r w:rsidRPr="00846260" w:rsidR="00F0213F">
        <w:rPr>
          <w:rFonts w:ascii="Times New Roman" w:hAnsi="Times New Roman"/>
        </w:rPr>
        <w:t>uary</w:t>
      </w:r>
      <w:r w:rsidRPr="00846260">
        <w:rPr>
          <w:rFonts w:ascii="Times New Roman" w:hAnsi="Times New Roman"/>
        </w:rPr>
        <w:t xml:space="preserve"> 6, 2023).</w:t>
      </w:r>
    </w:p>
  </w:footnote>
  <w:footnote w:id="25">
    <w:p w:rsidR="00241D4F" w:rsidRPr="00846260" w:rsidP="00846260" w14:paraId="0B29E2A0" w14:textId="1B1DF93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AC316E">
        <w:rPr>
          <w:rFonts w:ascii="Times New Roman" w:hAnsi="Times New Roman"/>
        </w:rPr>
        <w:t>AEP Ohio Exh. 6</w:t>
      </w:r>
      <w:r w:rsidRPr="00846260" w:rsidR="000D4600">
        <w:rPr>
          <w:rFonts w:ascii="Times New Roman" w:hAnsi="Times New Roman"/>
        </w:rPr>
        <w:t xml:space="preserve">, </w:t>
      </w:r>
      <w:r w:rsidRPr="00846260">
        <w:rPr>
          <w:rFonts w:ascii="Times New Roman" w:hAnsi="Times New Roman"/>
        </w:rPr>
        <w:t>Direct Testimony of Joseph P. Buckley On Behalf of the Office of the Ohio Consumers’ Counsel (June 9, 2023)</w:t>
      </w:r>
      <w:r w:rsidRPr="00846260" w:rsidR="000D4600">
        <w:rPr>
          <w:rFonts w:ascii="Times New Roman" w:hAnsi="Times New Roman"/>
        </w:rPr>
        <w:t>(“Buckley Direct Testimony”)</w:t>
      </w:r>
      <w:r w:rsidRPr="00846260">
        <w:rPr>
          <w:rFonts w:ascii="Times New Roman" w:hAnsi="Times New Roman"/>
        </w:rPr>
        <w:t xml:space="preserve"> at 6:18-7:16.</w:t>
      </w:r>
    </w:p>
  </w:footnote>
  <w:footnote w:id="26">
    <w:p w:rsidR="00F03E64" w:rsidRPr="00846260" w:rsidP="00846260" w14:paraId="08962701" w14:textId="73F9CD02">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Settlement </w:t>
      </w:r>
      <w:r w:rsidRPr="00846260" w:rsidR="00BC5E5C">
        <w:rPr>
          <w:rFonts w:ascii="Times New Roman" w:hAnsi="Times New Roman"/>
        </w:rPr>
        <w:t>at</w:t>
      </w:r>
      <w:r w:rsidRPr="00846260" w:rsidR="00F0213F">
        <w:rPr>
          <w:rFonts w:ascii="Times New Roman" w:hAnsi="Times New Roman"/>
        </w:rPr>
        <w:t xml:space="preserve"> </w:t>
      </w:r>
      <w:r w:rsidRPr="00846260">
        <w:rPr>
          <w:rFonts w:ascii="Times New Roman" w:hAnsi="Times New Roman"/>
        </w:rPr>
        <w:t xml:space="preserve">11 </w:t>
      </w:r>
      <w:r w:rsidRPr="00846260" w:rsidR="00BC5E5C">
        <w:rPr>
          <w:rFonts w:ascii="Times New Roman" w:hAnsi="Times New Roman"/>
        </w:rPr>
        <w:t>(</w:t>
      </w:r>
      <w:r w:rsidRPr="00846260">
        <w:rPr>
          <w:rFonts w:ascii="Times New Roman" w:hAnsi="Times New Roman"/>
        </w:rPr>
        <w:t xml:space="preserve"> ¶ III.D.7</w:t>
      </w:r>
      <w:r w:rsidRPr="00846260" w:rsidR="00BC5E5C">
        <w:rPr>
          <w:rFonts w:ascii="Times New Roman" w:hAnsi="Times New Roman"/>
        </w:rPr>
        <w:t>).</w:t>
      </w:r>
      <w:r w:rsidRPr="00846260">
        <w:rPr>
          <w:rFonts w:ascii="Times New Roman" w:hAnsi="Times New Roman"/>
        </w:rPr>
        <w:t xml:space="preserve"> </w:t>
      </w:r>
    </w:p>
  </w:footnote>
  <w:footnote w:id="27">
    <w:p w:rsidR="00F03E64" w:rsidRPr="00846260" w:rsidP="00846260" w14:paraId="3FAEE210" w14:textId="2D84975A">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Buckley </w:t>
      </w:r>
      <w:r w:rsidRPr="00846260" w:rsidR="00885A54">
        <w:rPr>
          <w:rFonts w:ascii="Times New Roman" w:hAnsi="Times New Roman"/>
        </w:rPr>
        <w:t xml:space="preserve">Direct </w:t>
      </w:r>
      <w:r w:rsidRPr="00846260">
        <w:rPr>
          <w:rFonts w:ascii="Times New Roman" w:hAnsi="Times New Roman"/>
        </w:rPr>
        <w:t>Testimony at 11:8-10.</w:t>
      </w:r>
    </w:p>
  </w:footnote>
  <w:footnote w:id="28">
    <w:p w:rsidR="00F03E64" w:rsidRPr="00846260" w:rsidP="00846260" w14:paraId="7496872E" w14:textId="6D533BAD">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27.</w:t>
      </w:r>
    </w:p>
  </w:footnote>
  <w:footnote w:id="29">
    <w:p w:rsidR="004C18C8" w:rsidRPr="00846260" w:rsidP="00846260" w14:paraId="38C14AAE" w14:textId="6BF778C3">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0D4600">
        <w:rPr>
          <w:rFonts w:ascii="Times New Roman" w:hAnsi="Times New Roman"/>
        </w:rPr>
        <w:t>Buckley</w:t>
      </w:r>
      <w:r w:rsidRPr="00846260" w:rsidR="00AC316E">
        <w:rPr>
          <w:rFonts w:ascii="Times New Roman" w:hAnsi="Times New Roman"/>
        </w:rPr>
        <w:t>’s</w:t>
      </w:r>
      <w:r w:rsidRPr="00846260" w:rsidR="000D4600">
        <w:rPr>
          <w:rFonts w:ascii="Times New Roman" w:hAnsi="Times New Roman"/>
        </w:rPr>
        <w:t xml:space="preserve"> Testimony </w:t>
      </w:r>
      <w:r w:rsidRPr="00846260" w:rsidR="00AC316E">
        <w:rPr>
          <w:rFonts w:ascii="Times New Roman" w:hAnsi="Times New Roman"/>
        </w:rPr>
        <w:t xml:space="preserve">Recommending Modification </w:t>
      </w:r>
      <w:r w:rsidRPr="00846260" w:rsidR="000D4600">
        <w:rPr>
          <w:rFonts w:ascii="Times New Roman" w:hAnsi="Times New Roman"/>
        </w:rPr>
        <w:t>at 1:21-2:11 (</w:t>
      </w:r>
      <w:r w:rsidRPr="00846260">
        <w:rPr>
          <w:rFonts w:ascii="Times New Roman" w:hAnsi="Times New Roman"/>
        </w:rPr>
        <w:t>Buckley was employed by the PUCO from July 1987 to July 2022, served multiple federal/state joint audits, served as Chairman and Vice Chairman of the Mid-Continent Independent System Operator (MISO) finance committee, earned the Certified in Financial Management (CFM) designation in 2000 by the Institute of Management Accountants, and was awarded the professional designation Certified Rate of Return Analyst (CRRA) by the Society of Utility and Regulatory Financial Analysts in 2011</w:t>
      </w:r>
      <w:r w:rsidRPr="00846260" w:rsidR="000D4600">
        <w:rPr>
          <w:rFonts w:ascii="Times New Roman" w:hAnsi="Times New Roman"/>
        </w:rPr>
        <w:t>)</w:t>
      </w:r>
      <w:r w:rsidRPr="00846260">
        <w:rPr>
          <w:rFonts w:ascii="Times New Roman" w:hAnsi="Times New Roman"/>
        </w:rPr>
        <w:t>.</w:t>
      </w:r>
      <w:r w:rsidRPr="00846260" w:rsidR="00AC3105">
        <w:rPr>
          <w:rFonts w:ascii="Times New Roman" w:hAnsi="Times New Roman"/>
        </w:rPr>
        <w:t xml:space="preserve"> </w:t>
      </w:r>
    </w:p>
  </w:footnote>
  <w:footnote w:id="30">
    <w:p w:rsidR="00072FD1" w:rsidRPr="00846260" w:rsidP="00846260" w14:paraId="72E39D48" w14:textId="2C31B8EA">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CB0C47">
        <w:rPr>
          <w:rFonts w:ascii="Times New Roman" w:hAnsi="Times New Roman"/>
          <w:i/>
          <w:iCs/>
          <w:kern w:val="0"/>
        </w:rPr>
        <w:t>Id.</w:t>
      </w:r>
      <w:r w:rsidRPr="00846260" w:rsidR="0009065F">
        <w:rPr>
          <w:rFonts w:ascii="Times New Roman" w:hAnsi="Times New Roman"/>
          <w:i/>
          <w:iCs/>
          <w:kern w:val="0"/>
        </w:rPr>
        <w:t xml:space="preserve"> </w:t>
      </w:r>
      <w:r w:rsidRPr="00846260">
        <w:rPr>
          <w:rFonts w:ascii="Times New Roman" w:hAnsi="Times New Roman"/>
          <w:kern w:val="0"/>
        </w:rPr>
        <w:t>at 7:</w:t>
      </w:r>
      <w:r w:rsidRPr="00846260" w:rsidR="005C53F7">
        <w:rPr>
          <w:rFonts w:ascii="Times New Roman" w:hAnsi="Times New Roman"/>
          <w:kern w:val="0"/>
        </w:rPr>
        <w:t>19</w:t>
      </w:r>
      <w:r w:rsidRPr="00846260">
        <w:rPr>
          <w:rFonts w:ascii="Times New Roman" w:hAnsi="Times New Roman"/>
          <w:kern w:val="0"/>
        </w:rPr>
        <w:t>-8:2</w:t>
      </w:r>
      <w:r w:rsidRPr="00846260" w:rsidR="005C53F7">
        <w:rPr>
          <w:rFonts w:ascii="Times New Roman" w:hAnsi="Times New Roman"/>
          <w:kern w:val="0"/>
        </w:rPr>
        <w:t>.</w:t>
      </w:r>
    </w:p>
  </w:footnote>
  <w:footnote w:id="31">
    <w:p w:rsidR="00072FD1" w:rsidRPr="00846260" w:rsidP="00846260" w14:paraId="2115D6F5" w14:textId="76CC0DB1">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CB0C47">
        <w:rPr>
          <w:rFonts w:ascii="Times New Roman" w:hAnsi="Times New Roman"/>
          <w:i/>
          <w:iCs/>
          <w:kern w:val="0"/>
        </w:rPr>
        <w:t>Id.</w:t>
      </w:r>
      <w:r w:rsidRPr="00846260">
        <w:rPr>
          <w:rFonts w:ascii="Times New Roman" w:hAnsi="Times New Roman"/>
          <w:kern w:val="0"/>
        </w:rPr>
        <w:t xml:space="preserve"> </w:t>
      </w:r>
      <w:r w:rsidRPr="00846260" w:rsidR="00C64F12">
        <w:rPr>
          <w:rFonts w:ascii="Times New Roman" w:hAnsi="Times New Roman"/>
          <w:kern w:val="0"/>
        </w:rPr>
        <w:t xml:space="preserve">at </w:t>
      </w:r>
      <w:r w:rsidRPr="00846260">
        <w:rPr>
          <w:rFonts w:ascii="Times New Roman" w:hAnsi="Times New Roman"/>
          <w:kern w:val="0"/>
        </w:rPr>
        <w:t>9:3-5</w:t>
      </w:r>
      <w:r w:rsidRPr="00846260" w:rsidR="005C53F7">
        <w:rPr>
          <w:rFonts w:ascii="Times New Roman" w:hAnsi="Times New Roman"/>
          <w:kern w:val="0"/>
        </w:rPr>
        <w:t>.</w:t>
      </w:r>
    </w:p>
  </w:footnote>
  <w:footnote w:id="32">
    <w:p w:rsidR="00072FD1" w:rsidRPr="00846260" w:rsidP="00846260" w14:paraId="1DC5B68D" w14:textId="67D011C3">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D93658">
        <w:rPr>
          <w:rFonts w:ascii="Times New Roman" w:hAnsi="Times New Roman"/>
          <w:i/>
          <w:iCs/>
          <w:kern w:val="0"/>
        </w:rPr>
        <w:t>Id</w:t>
      </w:r>
      <w:r w:rsidRPr="00846260" w:rsidR="00D93658">
        <w:rPr>
          <w:rFonts w:ascii="Times New Roman" w:hAnsi="Times New Roman"/>
          <w:kern w:val="0"/>
        </w:rPr>
        <w:t>. at 3:18-4:7</w:t>
      </w:r>
      <w:r w:rsidRPr="00846260" w:rsidR="00F846DF">
        <w:rPr>
          <w:rFonts w:ascii="Times New Roman" w:hAnsi="Times New Roman"/>
          <w:kern w:val="0"/>
        </w:rPr>
        <w:t>.</w:t>
      </w:r>
    </w:p>
  </w:footnote>
  <w:footnote w:id="33">
    <w:p w:rsidR="00072FD1" w:rsidRPr="00846260" w:rsidP="00846260" w14:paraId="44F9146B" w14:textId="664433B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D93658">
        <w:rPr>
          <w:rFonts w:ascii="Times New Roman" w:hAnsi="Times New Roman"/>
          <w:i/>
          <w:iCs/>
          <w:kern w:val="0"/>
        </w:rPr>
        <w:t>Id</w:t>
      </w:r>
      <w:r w:rsidRPr="00846260" w:rsidR="00D93658">
        <w:rPr>
          <w:rFonts w:ascii="Times New Roman" w:hAnsi="Times New Roman"/>
          <w:kern w:val="0"/>
        </w:rPr>
        <w:t>.</w:t>
      </w:r>
      <w:r w:rsidRPr="00846260">
        <w:rPr>
          <w:rFonts w:ascii="Times New Roman" w:hAnsi="Times New Roman"/>
          <w:kern w:val="0"/>
        </w:rPr>
        <w:t xml:space="preserve"> at 12:8-13</w:t>
      </w:r>
      <w:r w:rsidRPr="00846260" w:rsidR="00AF01A1">
        <w:rPr>
          <w:rFonts w:ascii="Times New Roman" w:hAnsi="Times New Roman"/>
          <w:kern w:val="0"/>
        </w:rPr>
        <w:t>.</w:t>
      </w:r>
    </w:p>
  </w:footnote>
  <w:footnote w:id="34">
    <w:p w:rsidR="0052260E" w:rsidRPr="00846260" w:rsidP="00846260" w14:paraId="17730C37"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r w:rsidRPr="00846260">
        <w:rPr>
          <w:rFonts w:ascii="Times New Roman" w:hAnsi="Times New Roman"/>
          <w:kern w:val="0"/>
        </w:rPr>
        <w:t>. at 12:15-13:3.</w:t>
      </w:r>
    </w:p>
  </w:footnote>
  <w:footnote w:id="35">
    <w:p w:rsidR="00072FD1" w:rsidRPr="00846260" w:rsidP="00846260" w14:paraId="6653CC57" w14:textId="15598B6D">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D93658">
        <w:rPr>
          <w:rFonts w:ascii="Times New Roman" w:hAnsi="Times New Roman"/>
          <w:i/>
          <w:iCs/>
          <w:kern w:val="0"/>
        </w:rPr>
        <w:t>Id</w:t>
      </w:r>
      <w:r w:rsidRPr="00846260" w:rsidR="00D93658">
        <w:rPr>
          <w:rFonts w:ascii="Times New Roman" w:hAnsi="Times New Roman"/>
          <w:kern w:val="0"/>
        </w:rPr>
        <w:t>.</w:t>
      </w:r>
    </w:p>
  </w:footnote>
  <w:footnote w:id="36">
    <w:p w:rsidR="00072FD1" w:rsidRPr="00846260" w:rsidP="00846260" w14:paraId="37D30BE2" w14:textId="5C29212C">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D93658">
        <w:rPr>
          <w:rFonts w:ascii="Times New Roman" w:hAnsi="Times New Roman"/>
          <w:i/>
          <w:iCs/>
          <w:kern w:val="0"/>
        </w:rPr>
        <w:t>Id</w:t>
      </w:r>
      <w:r w:rsidRPr="00846260" w:rsidR="00D93658">
        <w:rPr>
          <w:rFonts w:ascii="Times New Roman" w:hAnsi="Times New Roman"/>
          <w:kern w:val="0"/>
        </w:rPr>
        <w:t>.</w:t>
      </w:r>
    </w:p>
  </w:footnote>
  <w:footnote w:id="37">
    <w:p w:rsidR="00C336CE" w:rsidRPr="00846260" w:rsidP="00846260" w14:paraId="3952DBBC" w14:textId="02DE1AF3">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257467">
        <w:rPr>
          <w:rFonts w:ascii="Times New Roman" w:hAnsi="Times New Roman"/>
          <w:i/>
          <w:iCs/>
        </w:rPr>
        <w:t>Id.</w:t>
      </w:r>
      <w:r w:rsidRPr="00846260" w:rsidR="00AA431B">
        <w:rPr>
          <w:rFonts w:ascii="Times New Roman" w:hAnsi="Times New Roman"/>
        </w:rPr>
        <w:t xml:space="preserve"> at 7:8-17.</w:t>
      </w:r>
    </w:p>
  </w:footnote>
  <w:footnote w:id="38">
    <w:p w:rsidR="00072FD1" w:rsidRPr="00846260" w:rsidP="00846260" w14:paraId="367BB49E" w14:textId="3DE71890">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D93658">
        <w:rPr>
          <w:rFonts w:ascii="Times New Roman" w:hAnsi="Times New Roman"/>
          <w:i/>
          <w:iCs/>
          <w:kern w:val="0"/>
        </w:rPr>
        <w:t>Id</w:t>
      </w:r>
      <w:r w:rsidRPr="00846260" w:rsidR="00D93658">
        <w:rPr>
          <w:rFonts w:ascii="Times New Roman" w:hAnsi="Times New Roman"/>
          <w:kern w:val="0"/>
        </w:rPr>
        <w:t>.</w:t>
      </w:r>
      <w:r w:rsidRPr="00846260">
        <w:rPr>
          <w:rFonts w:ascii="Times New Roman" w:hAnsi="Times New Roman"/>
          <w:kern w:val="0"/>
        </w:rPr>
        <w:t xml:space="preserve"> </w:t>
      </w:r>
      <w:r w:rsidRPr="00846260" w:rsidR="009F23A7">
        <w:rPr>
          <w:rFonts w:ascii="Times New Roman" w:hAnsi="Times New Roman"/>
          <w:kern w:val="0"/>
        </w:rPr>
        <w:t>at</w:t>
      </w:r>
      <w:r w:rsidRPr="00846260" w:rsidR="00063E3F">
        <w:rPr>
          <w:rFonts w:ascii="Times New Roman" w:hAnsi="Times New Roman"/>
          <w:kern w:val="0"/>
        </w:rPr>
        <w:t xml:space="preserve"> </w:t>
      </w:r>
      <w:r w:rsidRPr="00846260">
        <w:rPr>
          <w:rFonts w:ascii="Times New Roman" w:hAnsi="Times New Roman"/>
          <w:kern w:val="0"/>
        </w:rPr>
        <w:t>13:5-9</w:t>
      </w:r>
      <w:r w:rsidRPr="00846260" w:rsidR="00F5374E">
        <w:rPr>
          <w:rFonts w:ascii="Times New Roman" w:hAnsi="Times New Roman"/>
          <w:kern w:val="0"/>
        </w:rPr>
        <w:t>.</w:t>
      </w:r>
    </w:p>
  </w:footnote>
  <w:footnote w:id="39">
    <w:p w:rsidR="00C336CE" w:rsidRPr="00846260" w:rsidP="00846260" w14:paraId="2955E35B"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 xml:space="preserve">Id. </w:t>
      </w:r>
      <w:r w:rsidRPr="00846260">
        <w:rPr>
          <w:rFonts w:ascii="Times New Roman" w:hAnsi="Times New Roman"/>
          <w:kern w:val="0"/>
        </w:rPr>
        <w:t>at 11:10.</w:t>
      </w:r>
    </w:p>
  </w:footnote>
  <w:footnote w:id="40">
    <w:p w:rsidR="00F5374E" w:rsidRPr="00846260" w:rsidP="00846260" w14:paraId="44E7F831" w14:textId="65A61EBB">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bookmarkStart w:id="17" w:name="_Hlk151987902"/>
      <w:r w:rsidRPr="00846260" w:rsidR="008575FA">
        <w:rPr>
          <w:rFonts w:ascii="Times New Roman" w:hAnsi="Times New Roman"/>
          <w:kern w:val="0"/>
        </w:rPr>
        <w:t>Settlement at ¶ 38.</w:t>
      </w:r>
      <w:bookmarkEnd w:id="17"/>
    </w:p>
  </w:footnote>
  <w:footnote w:id="41">
    <w:p w:rsidR="004C2292" w:rsidRPr="00846260" w:rsidP="00846260" w14:paraId="56048CFD" w14:textId="1DBC8890">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B12553">
        <w:rPr>
          <w:rFonts w:ascii="Times New Roman" w:hAnsi="Times New Roman"/>
          <w:i/>
          <w:iCs/>
          <w:kern w:val="0"/>
        </w:rPr>
        <w:t xml:space="preserve">Id. </w:t>
      </w:r>
      <w:r w:rsidRPr="00846260">
        <w:rPr>
          <w:rFonts w:ascii="Times New Roman" w:hAnsi="Times New Roman"/>
          <w:kern w:val="0"/>
        </w:rPr>
        <w:t>at ¶¶ 37-3</w:t>
      </w:r>
      <w:r w:rsidRPr="00846260" w:rsidR="005B1B6D">
        <w:rPr>
          <w:rFonts w:ascii="Times New Roman" w:hAnsi="Times New Roman"/>
          <w:kern w:val="0"/>
        </w:rPr>
        <w:t>9.</w:t>
      </w:r>
    </w:p>
  </w:footnote>
  <w:footnote w:id="42">
    <w:p w:rsidR="00F5374E" w:rsidRPr="00846260" w:rsidP="00846260" w14:paraId="0F79D21D" w14:textId="3797538A">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8575FA">
        <w:rPr>
          <w:rFonts w:ascii="Times New Roman" w:hAnsi="Times New Roman"/>
          <w:i/>
          <w:iCs/>
          <w:kern w:val="0"/>
        </w:rPr>
        <w:t xml:space="preserve">Id. </w:t>
      </w:r>
      <w:r w:rsidRPr="00846260" w:rsidR="008575FA">
        <w:rPr>
          <w:rFonts w:ascii="Times New Roman" w:hAnsi="Times New Roman"/>
          <w:kern w:val="0"/>
        </w:rPr>
        <w:t>at ¶ 38.</w:t>
      </w:r>
    </w:p>
  </w:footnote>
  <w:footnote w:id="43">
    <w:p w:rsidR="00F5374E" w:rsidRPr="00846260" w:rsidP="00846260" w14:paraId="332B7285" w14:textId="21CB932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8575FA">
        <w:rPr>
          <w:rFonts w:ascii="Times New Roman" w:hAnsi="Times New Roman"/>
          <w:i/>
          <w:iCs/>
          <w:kern w:val="0"/>
        </w:rPr>
        <w:t xml:space="preserve">Id. </w:t>
      </w:r>
      <w:r w:rsidRPr="00846260" w:rsidR="008575FA">
        <w:rPr>
          <w:rFonts w:ascii="Times New Roman" w:hAnsi="Times New Roman"/>
          <w:kern w:val="0"/>
        </w:rPr>
        <w:t>at ¶ 39.</w:t>
      </w:r>
    </w:p>
  </w:footnote>
  <w:footnote w:id="44">
    <w:p w:rsidR="00F5374E" w:rsidRPr="00846260" w:rsidP="00846260" w14:paraId="75FBD845" w14:textId="37B2E3F9">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8575FA">
        <w:rPr>
          <w:rFonts w:ascii="Times New Roman" w:hAnsi="Times New Roman"/>
          <w:i/>
          <w:iCs/>
          <w:kern w:val="0"/>
        </w:rPr>
        <w:t>Id.</w:t>
      </w:r>
    </w:p>
  </w:footnote>
  <w:footnote w:id="45">
    <w:p w:rsidR="00E0147D" w:rsidRPr="00846260" w:rsidP="00846260" w14:paraId="33F2AA18" w14:textId="39E4621F">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60-61.</w:t>
      </w:r>
    </w:p>
  </w:footnote>
  <w:footnote w:id="46">
    <w:p w:rsidR="00EB0743" w:rsidRPr="00846260" w:rsidP="00846260" w14:paraId="552A4FE0" w14:textId="5DC62940">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Direct Testimony of Jaime L. Mayhan in Support of the Joint Stipulation and Recommendation (Sept</w:t>
      </w:r>
      <w:r w:rsidRPr="00846260" w:rsidR="00F0213F">
        <w:rPr>
          <w:rFonts w:ascii="Times New Roman" w:hAnsi="Times New Roman"/>
        </w:rPr>
        <w:t>ember</w:t>
      </w:r>
      <w:r w:rsidRPr="00846260">
        <w:rPr>
          <w:rFonts w:ascii="Times New Roman" w:hAnsi="Times New Roman"/>
        </w:rPr>
        <w:t xml:space="preserve"> 11, 2023) at 17:4-12.</w:t>
      </w:r>
    </w:p>
  </w:footnote>
  <w:footnote w:id="47">
    <w:p w:rsidR="0084454D" w:rsidRPr="00846260" w:rsidP="00846260" w14:paraId="17C935AF" w14:textId="1250F8EC">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61-62.</w:t>
      </w:r>
    </w:p>
  </w:footnote>
  <w:footnote w:id="48">
    <w:p w:rsidR="0084454D" w:rsidRPr="00846260" w:rsidP="00846260" w14:paraId="2B19E650"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r w:rsidRPr="00846260">
        <w:rPr>
          <w:rFonts w:ascii="Times New Roman" w:hAnsi="Times New Roman"/>
          <w:kern w:val="0"/>
        </w:rPr>
        <w:t xml:space="preserve"> at 9:19-10:9.</w:t>
      </w:r>
    </w:p>
  </w:footnote>
  <w:footnote w:id="49">
    <w:p w:rsidR="00F13AD6" w:rsidRPr="00846260" w:rsidP="00846260" w14:paraId="39EC301C" w14:textId="0132BFB8">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B12553">
        <w:rPr>
          <w:rFonts w:ascii="Times New Roman" w:hAnsi="Times New Roman"/>
          <w:kern w:val="0"/>
        </w:rPr>
        <w:t xml:space="preserve">OCC Exh. 5 </w:t>
      </w:r>
      <w:r w:rsidRPr="00846260" w:rsidR="00E42EDE">
        <w:rPr>
          <w:rFonts w:ascii="Times New Roman" w:hAnsi="Times New Roman"/>
          <w:kern w:val="0"/>
        </w:rPr>
        <w:t>(</w:t>
      </w:r>
      <w:r w:rsidRPr="00846260" w:rsidR="00B12553">
        <w:rPr>
          <w:rFonts w:ascii="Times New Roman" w:hAnsi="Times New Roman"/>
          <w:kern w:val="0"/>
        </w:rPr>
        <w:t>Testimony Recommending Modification of the Stipulation of Colleen Shutrump</w:t>
      </w:r>
      <w:r w:rsidRPr="00846260" w:rsidR="00E42EDE">
        <w:rPr>
          <w:rFonts w:ascii="Times New Roman" w:hAnsi="Times New Roman"/>
          <w:kern w:val="0"/>
        </w:rPr>
        <w:t xml:space="preserve">) </w:t>
      </w:r>
      <w:r w:rsidRPr="00846260" w:rsidR="00B12553">
        <w:rPr>
          <w:rFonts w:ascii="Times New Roman" w:hAnsi="Times New Roman"/>
          <w:kern w:val="0"/>
        </w:rPr>
        <w:t>(September 20, 2023) (“</w:t>
      </w:r>
      <w:r w:rsidRPr="00846260">
        <w:rPr>
          <w:rFonts w:ascii="Times New Roman" w:hAnsi="Times New Roman"/>
          <w:kern w:val="0"/>
        </w:rPr>
        <w:t>Shutrump Testimony</w:t>
      </w:r>
      <w:r w:rsidRPr="00846260" w:rsidR="00B12553">
        <w:rPr>
          <w:rFonts w:ascii="Times New Roman" w:hAnsi="Times New Roman"/>
          <w:kern w:val="0"/>
        </w:rPr>
        <w:t>”)</w:t>
      </w:r>
      <w:r w:rsidRPr="00846260">
        <w:rPr>
          <w:rFonts w:ascii="Times New Roman" w:hAnsi="Times New Roman"/>
          <w:kern w:val="0"/>
        </w:rPr>
        <w:t xml:space="preserve"> at 9:19-10:9 (“WarmChoice is Columbia’s low-income weatherization program.”)</w:t>
      </w:r>
    </w:p>
  </w:footnote>
  <w:footnote w:id="50">
    <w:p w:rsidR="00F13AD6" w:rsidRPr="00846260" w:rsidP="00846260" w14:paraId="3589328D" w14:textId="3F36912F">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Shutrump </w:t>
      </w:r>
      <w:r w:rsidRPr="00846260" w:rsidR="00B57F0C">
        <w:rPr>
          <w:rFonts w:ascii="Times New Roman" w:hAnsi="Times New Roman"/>
        </w:rPr>
        <w:t>Testimony</w:t>
      </w:r>
      <w:r w:rsidRPr="00846260">
        <w:rPr>
          <w:rFonts w:ascii="Times New Roman" w:hAnsi="Times New Roman"/>
        </w:rPr>
        <w:t xml:space="preserve"> at 9:19-10:9; Settlement at ¶¶ 37-39.</w:t>
      </w:r>
    </w:p>
  </w:footnote>
  <w:footnote w:id="51">
    <w:p w:rsidR="00261F9F" w:rsidRPr="00846260" w:rsidP="00846260" w14:paraId="446FC96D" w14:textId="209120E2">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bookmarkStart w:id="18" w:name="_Hlk153735854"/>
      <w:r w:rsidRPr="00846260">
        <w:rPr>
          <w:rFonts w:ascii="Times New Roman" w:hAnsi="Times New Roman"/>
        </w:rPr>
        <w:t>AEP Initial Brief at 61-62.</w:t>
      </w:r>
      <w:bookmarkEnd w:id="18"/>
    </w:p>
  </w:footnote>
  <w:footnote w:id="52">
    <w:p w:rsidR="00261F9F" w:rsidRPr="00846260" w:rsidP="00846260" w14:paraId="4B9A8A82" w14:textId="7D915028">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Shutrump Testimony at 6:1-8:2.</w:t>
      </w:r>
    </w:p>
  </w:footnote>
  <w:footnote w:id="53">
    <w:p w:rsidR="00276DAD" w:rsidRPr="00846260" w:rsidP="00846260" w14:paraId="655CA6CD" w14:textId="109A49E9">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F16E08">
        <w:rPr>
          <w:rFonts w:ascii="Times New Roman" w:hAnsi="Times New Roman"/>
          <w:i/>
          <w:iCs/>
        </w:rPr>
        <w:t>Id.</w:t>
      </w:r>
      <w:r w:rsidRPr="00846260">
        <w:rPr>
          <w:rFonts w:ascii="Times New Roman" w:hAnsi="Times New Roman"/>
        </w:rPr>
        <w:t xml:space="preserve"> at 7:8-8:2.</w:t>
      </w:r>
    </w:p>
  </w:footnote>
  <w:footnote w:id="54">
    <w:p w:rsidR="00E05C22" w:rsidRPr="00846260" w:rsidP="00846260" w14:paraId="76D22A40" w14:textId="21AB60A4">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Settlement at ¶¶ 37-39; AEP Initial Brief at 60-61.</w:t>
      </w:r>
    </w:p>
  </w:footnote>
  <w:footnote w:id="55">
    <w:p w:rsidR="00FF4447" w:rsidRPr="00846260" w:rsidP="00846260" w14:paraId="331301A1" w14:textId="7777777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Tinkham Testimony at 3:6-5:7 and 13:8-14:12.</w:t>
      </w:r>
    </w:p>
  </w:footnote>
  <w:footnote w:id="56">
    <w:p w:rsidR="00FF4447" w:rsidRPr="00846260" w:rsidP="00846260" w14:paraId="7B325740" w14:textId="7777777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Settlement at ¶¶ 37-38.</w:t>
      </w:r>
    </w:p>
  </w:footnote>
  <w:footnote w:id="57">
    <w:p w:rsidR="003A0806" w14:paraId="188497F1" w14:textId="5A0EAC0F">
      <w:pPr>
        <w:pStyle w:val="FootnoteText"/>
      </w:pPr>
      <w:r w:rsidRPr="009F299D">
        <w:rPr>
          <w:rStyle w:val="FootnoteReference"/>
        </w:rPr>
        <w:footnoteRef/>
      </w:r>
      <w:r w:rsidRPr="009F299D">
        <w:t xml:space="preserve"> </w:t>
      </w:r>
      <w:r w:rsidRPr="009F299D" w:rsidR="002A264B">
        <w:t>In addition, none of the signatory parties addressed OCC’s argument that the funding for the Neighbor-to-Neighbor program should be increased to $1.5 million annually.  See Tinkham Testimony at 14:1-12</w:t>
      </w:r>
    </w:p>
  </w:footnote>
  <w:footnote w:id="58">
    <w:p w:rsidR="00FF4447" w:rsidRPr="00846260" w:rsidP="00846260" w14:paraId="554A2351" w14:textId="7777777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Initial Post-Hearing Brief By the Citizens’ Utility Board of Ohio (December 1, 2023) at 7.</w:t>
      </w:r>
    </w:p>
  </w:footnote>
  <w:footnote w:id="59">
    <w:p w:rsidR="00FF4447" w:rsidRPr="00846260" w:rsidP="00846260" w14:paraId="1839B804" w14:textId="7777777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Initial Brief of the Ohio Environmental Council (December 1, 2023) at 12.</w:t>
      </w:r>
    </w:p>
  </w:footnote>
  <w:footnote w:id="60">
    <w:p w:rsidR="00FF4447" w:rsidRPr="00846260" w:rsidP="00846260" w14:paraId="79551FE8" w14:textId="7777777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Post-Hearing Brief Submitted on Behalf of the Staff of the Public Utilities Commission of Ohio (December 1, 2023) at 17.</w:t>
      </w:r>
    </w:p>
  </w:footnote>
  <w:footnote w:id="61">
    <w:p w:rsidR="00FF4447" w:rsidRPr="00846260" w:rsidP="00846260" w14:paraId="51B5F8CC" w14:textId="629A2C0C">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5B157E">
        <w:rPr>
          <w:rFonts w:ascii="Times New Roman" w:hAnsi="Times New Roman"/>
          <w:i/>
          <w:iCs/>
        </w:rPr>
        <w:t>In the Matter of the Application of Columbia Gas of Ohio, Inc. For Authority to Amend Its Filed Tariffs to Increase the Rates and Charges for Gas Services and Related Matters et. al</w:t>
      </w:r>
      <w:r w:rsidRPr="00846260" w:rsidR="005B157E">
        <w:rPr>
          <w:rFonts w:ascii="Times New Roman" w:hAnsi="Times New Roman"/>
        </w:rPr>
        <w:t>., Case No. 21-637-GA-AIR, et. al., Opinion and Order (Jan</w:t>
      </w:r>
      <w:r w:rsidR="00846260">
        <w:rPr>
          <w:rFonts w:ascii="Times New Roman" w:hAnsi="Times New Roman"/>
        </w:rPr>
        <w:t>uary</w:t>
      </w:r>
      <w:r w:rsidRPr="00846260" w:rsidR="005B157E">
        <w:rPr>
          <w:rFonts w:ascii="Times New Roman" w:hAnsi="Times New Roman"/>
        </w:rPr>
        <w:t xml:space="preserve"> 26, 2023) at ¶</w:t>
      </w:r>
      <w:r w:rsidR="004D73C1">
        <w:rPr>
          <w:rFonts w:ascii="Times New Roman" w:hAnsi="Times New Roman"/>
        </w:rPr>
        <w:t>177</w:t>
      </w:r>
      <w:r w:rsidRPr="00846260" w:rsidR="005B157E">
        <w:rPr>
          <w:rFonts w:ascii="Times New Roman" w:hAnsi="Times New Roman"/>
        </w:rPr>
        <w:t>.</w:t>
      </w:r>
    </w:p>
  </w:footnote>
  <w:footnote w:id="62">
    <w:p w:rsidR="00A474FD" w:rsidRPr="00846260" w:rsidP="00846260" w14:paraId="149DFA12" w14:textId="5018EE4D">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E42EDE">
        <w:rPr>
          <w:rFonts w:ascii="Times New Roman" w:hAnsi="Times New Roman"/>
        </w:rPr>
        <w:t>OCC Exh. 2 (Testimony Recommending Modification of the Stipulation of James F. Wilson) (September 20, 2023) (“</w:t>
      </w:r>
      <w:r w:rsidRPr="00846260" w:rsidR="009A744F">
        <w:rPr>
          <w:rFonts w:ascii="Times New Roman" w:hAnsi="Times New Roman"/>
        </w:rPr>
        <w:t>Wilson Testimony</w:t>
      </w:r>
      <w:r w:rsidRPr="00846260" w:rsidR="00E42EDE">
        <w:rPr>
          <w:rFonts w:ascii="Times New Roman" w:hAnsi="Times New Roman"/>
        </w:rPr>
        <w:t>”)</w:t>
      </w:r>
      <w:r w:rsidRPr="00846260" w:rsidR="009A744F">
        <w:rPr>
          <w:rFonts w:ascii="Times New Roman" w:hAnsi="Times New Roman"/>
        </w:rPr>
        <w:t xml:space="preserve"> </w:t>
      </w:r>
      <w:r w:rsidRPr="00846260" w:rsidR="00E42EDE">
        <w:rPr>
          <w:rFonts w:ascii="Times New Roman" w:hAnsi="Times New Roman"/>
        </w:rPr>
        <w:t xml:space="preserve">at </w:t>
      </w:r>
      <w:r w:rsidRPr="00846260" w:rsidR="009A744F">
        <w:rPr>
          <w:rFonts w:ascii="Times New Roman" w:hAnsi="Times New Roman"/>
        </w:rPr>
        <w:t>2:14-3:20; Initial Post-Hearing Brief of Constellation Energy Generation, LLC and Constellation NewEnergy, Inc. (Dec</w:t>
      </w:r>
      <w:r w:rsidRPr="00846260" w:rsidR="00F0213F">
        <w:rPr>
          <w:rFonts w:ascii="Times New Roman" w:hAnsi="Times New Roman"/>
        </w:rPr>
        <w:t>ember</w:t>
      </w:r>
      <w:r w:rsidRPr="00846260" w:rsidR="009A744F">
        <w:rPr>
          <w:rFonts w:ascii="Times New Roman" w:hAnsi="Times New Roman"/>
        </w:rPr>
        <w:t xml:space="preserve"> 1, 2023) at 27-35.</w:t>
      </w:r>
    </w:p>
  </w:footnote>
  <w:footnote w:id="63">
    <w:p w:rsidR="009A744F" w:rsidRPr="00846260" w:rsidP="00846260" w14:paraId="58A4B5A0" w14:textId="018F1CD8">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34</w:t>
      </w:r>
      <w:r w:rsidRPr="00846260" w:rsidR="00E42EDE">
        <w:rPr>
          <w:rFonts w:ascii="Times New Roman" w:hAnsi="Times New Roman"/>
        </w:rPr>
        <w:t>.</w:t>
      </w:r>
    </w:p>
  </w:footnote>
  <w:footnote w:id="64">
    <w:p w:rsidR="002B14A2" w:rsidRPr="00846260" w:rsidP="00846260" w14:paraId="65E5DEAD" w14:textId="0A123734">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Post Hearing Brief at 34</w:t>
      </w:r>
      <w:r w:rsidRPr="00846260" w:rsidR="00E42EDE">
        <w:rPr>
          <w:rFonts w:ascii="Times New Roman" w:hAnsi="Times New Roman"/>
        </w:rPr>
        <w:t>.</w:t>
      </w:r>
    </w:p>
  </w:footnote>
  <w:footnote w:id="65">
    <w:p w:rsidR="0084078A" w:rsidRPr="00846260" w:rsidP="00846260" w14:paraId="0C430DD7" w14:textId="4424AC54">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Id</w:t>
      </w:r>
      <w:r w:rsidRPr="00846260">
        <w:rPr>
          <w:rFonts w:ascii="Times New Roman" w:hAnsi="Times New Roman"/>
        </w:rPr>
        <w:t>.</w:t>
      </w:r>
    </w:p>
  </w:footnote>
  <w:footnote w:id="66">
    <w:p w:rsidR="0084078A" w:rsidRPr="00846260" w:rsidP="00846260" w14:paraId="5FAA567E" w14:textId="303A9B8C">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See</w:t>
      </w:r>
      <w:r w:rsidRPr="00846260">
        <w:rPr>
          <w:rFonts w:ascii="Times New Roman" w:hAnsi="Times New Roman"/>
        </w:rPr>
        <w:t xml:space="preserve"> Wilson Testimony at 2:14-8:12 and Constellation Post-Hearing Brief at 27-35.</w:t>
      </w:r>
    </w:p>
  </w:footnote>
  <w:footnote w:id="67">
    <w:p w:rsidR="002B14A2" w:rsidRPr="00846260" w:rsidP="00846260" w14:paraId="3E9C83FD" w14:textId="677AE0D1">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Post Hearing Brief at 34-35</w:t>
      </w:r>
      <w:r w:rsidRPr="00846260" w:rsidR="00F0213F">
        <w:rPr>
          <w:rFonts w:ascii="Times New Roman" w:hAnsi="Times New Roman"/>
        </w:rPr>
        <w:t>.</w:t>
      </w:r>
    </w:p>
  </w:footnote>
  <w:footnote w:id="68">
    <w:p w:rsidR="002B14A2" w:rsidRPr="00846260" w:rsidP="00846260" w14:paraId="15806564" w14:textId="700F962D">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Post Hearing Brief at 37-38</w:t>
      </w:r>
      <w:r w:rsidRPr="00846260" w:rsidR="00F0213F">
        <w:rPr>
          <w:rFonts w:ascii="Times New Roman" w:hAnsi="Times New Roman"/>
        </w:rPr>
        <w:t>.</w:t>
      </w:r>
    </w:p>
  </w:footnote>
  <w:footnote w:id="69">
    <w:p w:rsidR="002B14A2" w:rsidRPr="00846260" w:rsidP="00846260" w14:paraId="1AEA4A1A" w14:textId="7957B184">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B55BE8">
        <w:rPr>
          <w:rFonts w:ascii="Times New Roman" w:hAnsi="Times New Roman"/>
        </w:rPr>
        <w:t>Constellation Exh. 2 (Direct Testimony of Muralikrishna Indukuri in Opposition to the Stipulation and Recommendation) (September 20, 2023) (“Indukuri Testimony”)</w:t>
      </w:r>
      <w:r w:rsidRPr="00846260" w:rsidR="00D95EAD">
        <w:rPr>
          <w:rFonts w:ascii="Times New Roman" w:hAnsi="Times New Roman"/>
        </w:rPr>
        <w:t xml:space="preserve"> at </w:t>
      </w:r>
      <w:r w:rsidRPr="00846260" w:rsidR="00B55BE8">
        <w:rPr>
          <w:rFonts w:ascii="Times New Roman" w:hAnsi="Times New Roman"/>
        </w:rPr>
        <w:t>25:14-21</w:t>
      </w:r>
      <w:r w:rsidRPr="00846260" w:rsidR="00D95EAD">
        <w:rPr>
          <w:rFonts w:ascii="Times New Roman" w:hAnsi="Times New Roman"/>
        </w:rPr>
        <w:t>.</w:t>
      </w:r>
    </w:p>
  </w:footnote>
  <w:footnote w:id="70">
    <w:p w:rsidR="00D95EAD" w:rsidRPr="00846260" w:rsidP="00846260" w14:paraId="6A50148A" w14:textId="67D05EA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B55BE8">
        <w:rPr>
          <w:rFonts w:ascii="Times New Roman" w:hAnsi="Times New Roman"/>
          <w:i/>
          <w:iCs/>
        </w:rPr>
        <w:t xml:space="preserve">Id. </w:t>
      </w:r>
      <w:r w:rsidRPr="00846260">
        <w:rPr>
          <w:rFonts w:ascii="Times New Roman" w:hAnsi="Times New Roman"/>
        </w:rPr>
        <w:t>at Figure 3</w:t>
      </w:r>
      <w:r w:rsidRPr="00846260" w:rsidR="00D632C2">
        <w:rPr>
          <w:rFonts w:ascii="Times New Roman" w:hAnsi="Times New Roman"/>
        </w:rPr>
        <w:t>,</w:t>
      </w:r>
      <w:r w:rsidRPr="00846260">
        <w:rPr>
          <w:rFonts w:ascii="Times New Roman" w:hAnsi="Times New Roman"/>
        </w:rPr>
        <w:t xml:space="preserve"> p.26. </w:t>
      </w:r>
    </w:p>
  </w:footnote>
  <w:footnote w:id="71">
    <w:p w:rsidR="00D95EAD" w:rsidRPr="00846260" w:rsidP="00846260" w14:paraId="412A3458" w14:textId="22E87BE4">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Id.</w:t>
      </w:r>
      <w:r w:rsidRPr="00846260">
        <w:rPr>
          <w:rFonts w:ascii="Times New Roman" w:hAnsi="Times New Roman"/>
        </w:rPr>
        <w:t xml:space="preserve"> at 31-32. </w:t>
      </w:r>
    </w:p>
  </w:footnote>
  <w:footnote w:id="72">
    <w:p w:rsidR="00CC03EA" w:rsidRPr="00846260" w:rsidP="00846260" w14:paraId="594922EA" w14:textId="66A01B39">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Ohio Exh. 9 (Rebuttal Testimony of Lisa O. Kelso on Behalf of Ohio Power Company) (Oct</w:t>
      </w:r>
      <w:r w:rsidRPr="00846260" w:rsidR="00F0213F">
        <w:rPr>
          <w:rFonts w:ascii="Times New Roman" w:hAnsi="Times New Roman"/>
        </w:rPr>
        <w:t>ober</w:t>
      </w:r>
      <w:r w:rsidRPr="00846260">
        <w:rPr>
          <w:rFonts w:ascii="Times New Roman" w:hAnsi="Times New Roman"/>
        </w:rPr>
        <w:t xml:space="preserve"> 20, 2023) (“Kelso Rebuttal”) at 5:1-10.</w:t>
      </w:r>
    </w:p>
  </w:footnote>
  <w:footnote w:id="73">
    <w:p w:rsidR="00CC03EA" w:rsidRPr="00846260" w:rsidP="00846260" w14:paraId="57348C94" w14:textId="64B45CBE">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i/>
          <w:iCs/>
        </w:rPr>
        <w:t>Id.</w:t>
      </w:r>
      <w:r w:rsidRPr="00846260">
        <w:rPr>
          <w:rFonts w:ascii="Times New Roman" w:hAnsi="Times New Roman"/>
        </w:rPr>
        <w:t xml:space="preserve"> at 5:17-19.</w:t>
      </w:r>
    </w:p>
  </w:footnote>
  <w:footnote w:id="74">
    <w:p w:rsidR="002E1339" w:rsidRPr="00846260" w:rsidP="00846260" w14:paraId="2C2155B8" w14:textId="6D90F432">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Transcript Vol. V. at 822:12-823:10.</w:t>
      </w:r>
    </w:p>
  </w:footnote>
  <w:footnote w:id="75">
    <w:p w:rsidR="0084078A" w:rsidRPr="00846260" w:rsidP="00846260" w14:paraId="593AC3C8" w14:textId="3FCC2168">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3A7D85">
        <w:rPr>
          <w:rFonts w:ascii="Times New Roman" w:hAnsi="Times New Roman"/>
          <w:kern w:val="0"/>
        </w:rPr>
        <w:t>Wilson Testimony</w:t>
      </w:r>
      <w:r w:rsidRPr="00846260" w:rsidR="003A7D85">
        <w:rPr>
          <w:rFonts w:ascii="Times New Roman" w:hAnsi="Times New Roman"/>
          <w:i/>
          <w:iCs/>
          <w:kern w:val="0"/>
        </w:rPr>
        <w:t xml:space="preserve"> </w:t>
      </w:r>
      <w:r w:rsidRPr="00846260">
        <w:rPr>
          <w:rFonts w:ascii="Times New Roman" w:hAnsi="Times New Roman"/>
          <w:kern w:val="0"/>
        </w:rPr>
        <w:t>at 6:13-8:3.</w:t>
      </w:r>
    </w:p>
  </w:footnote>
  <w:footnote w:id="76">
    <w:p w:rsidR="0084078A" w:rsidRPr="00846260" w:rsidP="00846260" w14:paraId="3E75AA2C"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p>
  </w:footnote>
  <w:footnote w:id="77">
    <w:p w:rsidR="0084078A" w:rsidRPr="00846260" w:rsidP="00846260" w14:paraId="430E1DA5"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p>
  </w:footnote>
  <w:footnote w:id="78">
    <w:p w:rsidR="001A4366" w:rsidRPr="00846260" w:rsidP="00846260" w14:paraId="2F87E8F6" w14:textId="5ACE15E2">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Indukuri Testimony at 25:1-7.</w:t>
      </w:r>
    </w:p>
  </w:footnote>
  <w:footnote w:id="79">
    <w:p w:rsidR="00563DE6" w:rsidRPr="00846260" w:rsidP="00846260" w14:paraId="102C9238" w14:textId="274147B4">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Indukuri Testimony at 17:15-19:12</w:t>
      </w:r>
      <w:r w:rsidRPr="00846260" w:rsidR="00F0213F">
        <w:rPr>
          <w:rFonts w:ascii="Times New Roman" w:hAnsi="Times New Roman"/>
        </w:rPr>
        <w:t>.</w:t>
      </w:r>
    </w:p>
  </w:footnote>
  <w:footnote w:id="80">
    <w:p w:rsidR="00BD37E8" w:rsidRPr="00846260" w:rsidP="00846260" w14:paraId="77BECB39" w14:textId="1EE92524">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r w:rsidRPr="00846260">
        <w:rPr>
          <w:rFonts w:ascii="Times New Roman" w:hAnsi="Times New Roman"/>
          <w:kern w:val="0"/>
        </w:rPr>
        <w:t>. at 8:16-9:14.</w:t>
      </w:r>
    </w:p>
  </w:footnote>
  <w:footnote w:id="81">
    <w:p w:rsidR="00897FDC" w:rsidRPr="00846260" w:rsidP="00846260" w14:paraId="49A8939B" w14:textId="01CCF1B4">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Wilson Testimony </w:t>
      </w:r>
      <w:r w:rsidRPr="00846260" w:rsidR="00BD37E8">
        <w:rPr>
          <w:rFonts w:ascii="Times New Roman" w:hAnsi="Times New Roman"/>
          <w:kern w:val="0"/>
        </w:rPr>
        <w:t>at</w:t>
      </w:r>
      <w:r w:rsidRPr="00846260" w:rsidR="0002528C">
        <w:rPr>
          <w:rFonts w:ascii="Times New Roman" w:hAnsi="Times New Roman"/>
          <w:kern w:val="0"/>
        </w:rPr>
        <w:t xml:space="preserve"> </w:t>
      </w:r>
      <w:r w:rsidRPr="00846260">
        <w:rPr>
          <w:rFonts w:ascii="Times New Roman" w:hAnsi="Times New Roman"/>
          <w:kern w:val="0"/>
        </w:rPr>
        <w:t>4:13-16</w:t>
      </w:r>
      <w:r w:rsidRPr="00846260" w:rsidR="00E3796B">
        <w:rPr>
          <w:rFonts w:ascii="Times New Roman" w:hAnsi="Times New Roman"/>
          <w:kern w:val="0"/>
        </w:rPr>
        <w:t>.</w:t>
      </w:r>
    </w:p>
  </w:footnote>
  <w:footnote w:id="82">
    <w:p w:rsidR="00BD37E8" w:rsidRPr="00846260" w:rsidP="00846260" w14:paraId="4A0383F3" w14:textId="5011591C">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r w:rsidRPr="00846260">
        <w:rPr>
          <w:rFonts w:ascii="Times New Roman" w:hAnsi="Times New Roman"/>
          <w:kern w:val="0"/>
        </w:rPr>
        <w:t>. at 9:1-14</w:t>
      </w:r>
      <w:r w:rsidRPr="00846260" w:rsidR="007D6D10">
        <w:rPr>
          <w:rFonts w:ascii="Times New Roman" w:hAnsi="Times New Roman"/>
          <w:kern w:val="0"/>
        </w:rPr>
        <w:t>.</w:t>
      </w:r>
    </w:p>
  </w:footnote>
  <w:footnote w:id="83">
    <w:p w:rsidR="00897FDC" w:rsidRPr="00846260" w:rsidP="00846260" w14:paraId="63336F75" w14:textId="64E977F4">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CB0C47">
        <w:rPr>
          <w:rFonts w:ascii="Times New Roman" w:hAnsi="Times New Roman"/>
          <w:i/>
          <w:iCs/>
          <w:kern w:val="0"/>
        </w:rPr>
        <w:t xml:space="preserve">Id. </w:t>
      </w:r>
      <w:r w:rsidRPr="00846260" w:rsidR="00CB0C47">
        <w:rPr>
          <w:rFonts w:ascii="Times New Roman" w:hAnsi="Times New Roman"/>
          <w:kern w:val="0"/>
        </w:rPr>
        <w:t xml:space="preserve">at </w:t>
      </w:r>
      <w:r w:rsidRPr="00846260">
        <w:rPr>
          <w:rFonts w:ascii="Times New Roman" w:hAnsi="Times New Roman"/>
          <w:kern w:val="0"/>
        </w:rPr>
        <w:t>9:16-18</w:t>
      </w:r>
      <w:r w:rsidRPr="00846260" w:rsidR="00E3796B">
        <w:rPr>
          <w:rFonts w:ascii="Times New Roman" w:hAnsi="Times New Roman"/>
          <w:kern w:val="0"/>
        </w:rPr>
        <w:t>.</w:t>
      </w:r>
    </w:p>
  </w:footnote>
  <w:footnote w:id="84">
    <w:p w:rsidR="00EF223E" w:rsidRPr="00846260" w:rsidP="00846260" w14:paraId="1970D6CF" w14:textId="6DBF0AAF">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Settlement p.4 at </w:t>
      </w:r>
      <w:r w:rsidRPr="00846260" w:rsidR="002B7399">
        <w:rPr>
          <w:rFonts w:ascii="Times New Roman" w:hAnsi="Times New Roman"/>
        </w:rPr>
        <w:t>¶ III</w:t>
      </w:r>
      <w:r w:rsidRPr="00846260" w:rsidR="00EF6344">
        <w:rPr>
          <w:rFonts w:ascii="Times New Roman" w:hAnsi="Times New Roman"/>
        </w:rPr>
        <w:t>.</w:t>
      </w:r>
      <w:r w:rsidRPr="00846260" w:rsidR="0000023E">
        <w:rPr>
          <w:rFonts w:ascii="Times New Roman" w:hAnsi="Times New Roman"/>
        </w:rPr>
        <w:t>B</w:t>
      </w:r>
      <w:r w:rsidRPr="00846260" w:rsidR="00EF6344">
        <w:rPr>
          <w:rFonts w:ascii="Times New Roman" w:hAnsi="Times New Roman"/>
        </w:rPr>
        <w:t>.</w:t>
      </w:r>
      <w:r w:rsidRPr="00846260" w:rsidR="0000023E">
        <w:rPr>
          <w:rFonts w:ascii="Times New Roman" w:hAnsi="Times New Roman"/>
        </w:rPr>
        <w:t>1</w:t>
      </w:r>
      <w:r w:rsidRPr="00846260" w:rsidR="00EF6344">
        <w:rPr>
          <w:rFonts w:ascii="Times New Roman" w:hAnsi="Times New Roman"/>
        </w:rPr>
        <w:t>.</w:t>
      </w:r>
    </w:p>
  </w:footnote>
  <w:footnote w:id="85">
    <w:p w:rsidR="00887B7B" w:rsidRPr="00846260" w:rsidP="00846260" w14:paraId="3FA15C82" w14:textId="35F7D1BC">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In the Matter of the Proposed Modifications to the Electric Distribution Utilities’ Standard Service Offer Procurement Auctions</w:t>
      </w:r>
      <w:r w:rsidRPr="00846260">
        <w:rPr>
          <w:rFonts w:ascii="Times New Roman" w:hAnsi="Times New Roman"/>
          <w:kern w:val="0"/>
        </w:rPr>
        <w:t>, Case No. 23-781-EL-UNC, Finding and Order (December 13, 2023</w:t>
      </w:r>
      <w:r w:rsidRPr="00846260" w:rsidR="00B57F0C">
        <w:rPr>
          <w:rFonts w:ascii="Times New Roman" w:hAnsi="Times New Roman"/>
          <w:kern w:val="0"/>
        </w:rPr>
        <w:t>).</w:t>
      </w:r>
    </w:p>
  </w:footnote>
  <w:footnote w:id="86">
    <w:p w:rsidR="00EA22E8" w:rsidRPr="00846260" w:rsidP="00846260" w14:paraId="0333AF25" w14:textId="30E33A65">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8771FE">
        <w:rPr>
          <w:rFonts w:ascii="Times New Roman" w:hAnsi="Times New Roman"/>
          <w:kern w:val="0"/>
        </w:rPr>
        <w:t>Wilson Testimony</w:t>
      </w:r>
      <w:r w:rsidRPr="00846260" w:rsidR="00CB0C47">
        <w:rPr>
          <w:rFonts w:ascii="Times New Roman" w:hAnsi="Times New Roman"/>
          <w:i/>
          <w:iCs/>
          <w:kern w:val="0"/>
        </w:rPr>
        <w:t xml:space="preserve"> </w:t>
      </w:r>
      <w:r w:rsidRPr="00846260" w:rsidR="00CB0C47">
        <w:rPr>
          <w:rFonts w:ascii="Times New Roman" w:hAnsi="Times New Roman"/>
          <w:kern w:val="0"/>
        </w:rPr>
        <w:t xml:space="preserve">at </w:t>
      </w:r>
      <w:r w:rsidRPr="00846260">
        <w:rPr>
          <w:rFonts w:ascii="Times New Roman" w:hAnsi="Times New Roman"/>
          <w:kern w:val="0"/>
        </w:rPr>
        <w:t>9:20-10:4</w:t>
      </w:r>
      <w:r w:rsidRPr="00846260" w:rsidR="00E3796B">
        <w:rPr>
          <w:rFonts w:ascii="Times New Roman" w:hAnsi="Times New Roman"/>
          <w:kern w:val="0"/>
        </w:rPr>
        <w:t>.</w:t>
      </w:r>
    </w:p>
  </w:footnote>
  <w:footnote w:id="87">
    <w:p w:rsidR="008771FE" w:rsidRPr="00846260" w:rsidP="00846260" w14:paraId="13087ECC" w14:textId="5C85A662">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E55908">
        <w:rPr>
          <w:rFonts w:ascii="Times New Roman" w:hAnsi="Times New Roman"/>
        </w:rPr>
        <w:t>Settlement p. 5 at ¶ III.B.1</w:t>
      </w:r>
      <w:r w:rsidRPr="00846260" w:rsidR="00F0213F">
        <w:rPr>
          <w:rFonts w:ascii="Times New Roman" w:hAnsi="Times New Roman"/>
        </w:rPr>
        <w:t>.</w:t>
      </w:r>
    </w:p>
  </w:footnote>
  <w:footnote w:id="88">
    <w:p w:rsidR="00C52333" w:rsidRPr="00846260" w:rsidP="00846260" w14:paraId="48B9C6BA" w14:textId="179021B2">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761511" w:rsidR="00E55908">
        <w:rPr>
          <w:rFonts w:ascii="Times New Roman" w:hAnsi="Times New Roman"/>
          <w:kern w:val="0"/>
        </w:rPr>
        <w:t>Wilson Testimony</w:t>
      </w:r>
      <w:r w:rsidRPr="00846260">
        <w:rPr>
          <w:rFonts w:ascii="Times New Roman" w:hAnsi="Times New Roman"/>
          <w:kern w:val="0"/>
        </w:rPr>
        <w:t xml:space="preserve"> at 10:6-13</w:t>
      </w:r>
      <w:r w:rsidRPr="00846260" w:rsidR="0039335A">
        <w:rPr>
          <w:rFonts w:ascii="Times New Roman" w:hAnsi="Times New Roman"/>
          <w:kern w:val="0"/>
        </w:rPr>
        <w:t>.</w:t>
      </w:r>
    </w:p>
  </w:footnote>
  <w:footnote w:id="89">
    <w:p w:rsidR="00E05855" w:rsidRPr="00846260" w:rsidP="00846260" w14:paraId="3E0A1F43" w14:textId="1AD3C71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9E1DE0">
        <w:rPr>
          <w:rFonts w:ascii="Times New Roman" w:hAnsi="Times New Roman"/>
          <w:kern w:val="0"/>
        </w:rPr>
        <w:t>OCC Ex. 1 (</w:t>
      </w:r>
      <w:r w:rsidRPr="00846260">
        <w:rPr>
          <w:rFonts w:ascii="Times New Roman" w:hAnsi="Times New Roman"/>
          <w:kern w:val="0"/>
        </w:rPr>
        <w:t xml:space="preserve">Testimony Recommending Modification of the Stipulation of Andrew R. Tinkham </w:t>
      </w:r>
      <w:r w:rsidRPr="00846260" w:rsidR="00957273">
        <w:rPr>
          <w:rFonts w:ascii="Times New Roman" w:hAnsi="Times New Roman"/>
          <w:kern w:val="0"/>
        </w:rPr>
        <w:t>o</w:t>
      </w:r>
      <w:r w:rsidRPr="00846260">
        <w:rPr>
          <w:rFonts w:ascii="Times New Roman" w:hAnsi="Times New Roman"/>
          <w:kern w:val="0"/>
        </w:rPr>
        <w:t>n Behalf of the Office of the Ohio Consumers’ Counsel</w:t>
      </w:r>
      <w:r w:rsidRPr="00846260" w:rsidR="009E1DE0">
        <w:rPr>
          <w:rFonts w:ascii="Times New Roman" w:hAnsi="Times New Roman"/>
          <w:kern w:val="0"/>
        </w:rPr>
        <w:t>)</w:t>
      </w:r>
      <w:r w:rsidRPr="00846260">
        <w:rPr>
          <w:rFonts w:ascii="Times New Roman" w:hAnsi="Times New Roman"/>
          <w:kern w:val="0"/>
        </w:rPr>
        <w:t xml:space="preserve"> (Sept</w:t>
      </w:r>
      <w:r w:rsidRPr="00846260" w:rsidR="00F0213F">
        <w:rPr>
          <w:rFonts w:ascii="Times New Roman" w:hAnsi="Times New Roman"/>
          <w:kern w:val="0"/>
        </w:rPr>
        <w:t>ember</w:t>
      </w:r>
      <w:r w:rsidRPr="00846260">
        <w:rPr>
          <w:rFonts w:ascii="Times New Roman" w:hAnsi="Times New Roman"/>
          <w:kern w:val="0"/>
        </w:rPr>
        <w:t xml:space="preserve"> 20, 2023) (“Tinkham Testimony”) at 6:10-9:2.</w:t>
      </w:r>
    </w:p>
  </w:footnote>
  <w:footnote w:id="90">
    <w:p w:rsidR="006E5C8E" w:rsidRPr="00846260" w:rsidP="00846260" w14:paraId="1214F63B" w14:textId="49897BEC">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Tinkham Testimony at 4:1-8, 6:10-9:2, and 11:12-27</w:t>
      </w:r>
      <w:r w:rsidRPr="00846260" w:rsidR="00F0213F">
        <w:rPr>
          <w:rFonts w:ascii="Times New Roman" w:hAnsi="Times New Roman"/>
        </w:rPr>
        <w:t>.</w:t>
      </w:r>
    </w:p>
  </w:footnote>
  <w:footnote w:id="91">
    <w:p w:rsidR="005D044D" w:rsidRPr="00846260" w:rsidP="00846260" w14:paraId="45DF009C" w14:textId="405708D2">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sidR="00FE507B">
        <w:rPr>
          <w:rFonts w:ascii="Times New Roman" w:hAnsi="Times New Roman"/>
        </w:rPr>
        <w:t>AEP Initial Brief at 78.</w:t>
      </w:r>
    </w:p>
  </w:footnote>
  <w:footnote w:id="92">
    <w:p w:rsidR="00316FF3" w:rsidRPr="00846260" w:rsidP="00846260" w14:paraId="17451034" w14:textId="3A63D9E9">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78-79</w:t>
      </w:r>
      <w:r w:rsidRPr="00846260" w:rsidR="00F0213F">
        <w:rPr>
          <w:rFonts w:ascii="Times New Roman" w:hAnsi="Times New Roman"/>
        </w:rPr>
        <w:t>.</w:t>
      </w:r>
    </w:p>
  </w:footnote>
  <w:footnote w:id="93">
    <w:p w:rsidR="00316FF3" w:rsidRPr="00846260" w:rsidP="00846260" w14:paraId="19184093" w14:textId="12AB5D4C">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Tinkham Testimony 6:10-9:2.</w:t>
      </w:r>
    </w:p>
  </w:footnote>
  <w:footnote w:id="94">
    <w:p w:rsidR="00753942" w:rsidRPr="00846260" w:rsidP="00846260" w14:paraId="3FCEEDF1" w14:textId="52C1DBB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p>
  </w:footnote>
  <w:footnote w:id="95">
    <w:p w:rsidR="002D1A1D" w:rsidRPr="00846260" w:rsidP="00846260" w14:paraId="7CFBAB3A" w14:textId="274DCB23">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r w:rsidRPr="00846260">
        <w:rPr>
          <w:rFonts w:ascii="Times New Roman" w:hAnsi="Times New Roman"/>
          <w:kern w:val="0"/>
        </w:rPr>
        <w:t xml:space="preserve"> at</w:t>
      </w:r>
      <w:r w:rsidRPr="00846260">
        <w:rPr>
          <w:rFonts w:ascii="Times New Roman" w:hAnsi="Times New Roman"/>
          <w:i/>
          <w:iCs/>
          <w:kern w:val="0"/>
        </w:rPr>
        <w:t xml:space="preserve"> </w:t>
      </w:r>
      <w:r w:rsidRPr="00846260">
        <w:rPr>
          <w:rFonts w:ascii="Times New Roman" w:hAnsi="Times New Roman"/>
          <w:kern w:val="0"/>
        </w:rPr>
        <w:t>6:10-9:2.</w:t>
      </w:r>
    </w:p>
  </w:footnote>
  <w:footnote w:id="96">
    <w:p w:rsidR="00875955" w:rsidRPr="00846260" w:rsidP="00846260" w14:paraId="60AF8F00" w14:textId="4EC989C5">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R.C. 4928.02(A)</w:t>
      </w:r>
      <w:r w:rsidR="00761511">
        <w:rPr>
          <w:rFonts w:ascii="Times New Roman" w:hAnsi="Times New Roman"/>
        </w:rPr>
        <w:t>.</w:t>
      </w:r>
    </w:p>
  </w:footnote>
  <w:footnote w:id="97">
    <w:p w:rsidR="00C73908" w:rsidRPr="00846260" w:rsidP="00846260" w14:paraId="41459637" w14:textId="6F32974F">
      <w:pPr>
        <w:pStyle w:val="FootnoteText"/>
        <w:spacing w:after="120"/>
        <w:rPr>
          <w:rFonts w:ascii="Times New Roman" w:hAnsi="Times New Roman"/>
          <w:i/>
          <w:iCs/>
          <w:kern w:val="0"/>
        </w:rPr>
      </w:pPr>
      <w:r w:rsidRPr="00846260">
        <w:rPr>
          <w:rStyle w:val="FootnoteCharacters"/>
          <w:rFonts w:ascii="Times New Roman" w:hAnsi="Times New Roman"/>
          <w:kern w:val="0"/>
        </w:rPr>
        <w:footnoteRef/>
      </w:r>
      <w:r w:rsidRPr="00846260">
        <w:rPr>
          <w:rFonts w:ascii="Times New Roman" w:hAnsi="Times New Roman"/>
          <w:i/>
          <w:iCs/>
          <w:kern w:val="0"/>
        </w:rPr>
        <w:t xml:space="preserve"> </w:t>
      </w:r>
      <w:r w:rsidRPr="00846260" w:rsidR="00E07547">
        <w:rPr>
          <w:rFonts w:ascii="Times New Roman" w:hAnsi="Times New Roman"/>
          <w:kern w:val="0"/>
        </w:rPr>
        <w:t xml:space="preserve">Settlement </w:t>
      </w:r>
      <w:r w:rsidRPr="00846260">
        <w:rPr>
          <w:rFonts w:ascii="Times New Roman" w:hAnsi="Times New Roman"/>
          <w:kern w:val="0"/>
        </w:rPr>
        <w:t>at</w:t>
      </w:r>
      <w:r w:rsidRPr="00846260" w:rsidR="00943AC9">
        <w:rPr>
          <w:rFonts w:ascii="Times New Roman" w:hAnsi="Times New Roman"/>
          <w:kern w:val="0"/>
        </w:rPr>
        <w:t xml:space="preserve"> </w:t>
      </w:r>
      <w:r w:rsidR="00AE5447">
        <w:rPr>
          <w:rFonts w:ascii="Times New Roman" w:hAnsi="Times New Roman"/>
          <w:kern w:val="0"/>
        </w:rPr>
        <w:t xml:space="preserve">¶ </w:t>
      </w:r>
      <w:r w:rsidRPr="00846260">
        <w:rPr>
          <w:rFonts w:ascii="Times New Roman" w:hAnsi="Times New Roman"/>
          <w:kern w:val="0"/>
        </w:rPr>
        <w:t>14–15.</w:t>
      </w:r>
    </w:p>
  </w:footnote>
  <w:footnote w:id="98">
    <w:p w:rsidR="00C73908" w:rsidRPr="00846260" w:rsidP="00846260" w14:paraId="25A09213" w14:textId="64CCCAB5">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bookmarkStart w:id="30" w:name="_Hlk151555897"/>
      <w:r w:rsidRPr="00846260">
        <w:rPr>
          <w:rFonts w:ascii="Times New Roman" w:hAnsi="Times New Roman"/>
          <w:i/>
          <w:iCs/>
          <w:kern w:val="0"/>
        </w:rPr>
        <w:t xml:space="preserve">Id. </w:t>
      </w:r>
      <w:r w:rsidRPr="00846260">
        <w:rPr>
          <w:rFonts w:ascii="Times New Roman" w:hAnsi="Times New Roman"/>
          <w:kern w:val="0"/>
        </w:rPr>
        <w:t xml:space="preserve">at </w:t>
      </w:r>
      <w:r w:rsidRPr="00846260" w:rsidR="003E52B9">
        <w:rPr>
          <w:rFonts w:ascii="Times New Roman" w:hAnsi="Times New Roman"/>
          <w:kern w:val="0"/>
        </w:rPr>
        <w:t xml:space="preserve">¶ </w:t>
      </w:r>
      <w:r w:rsidRPr="00846260">
        <w:rPr>
          <w:rFonts w:ascii="Times New Roman" w:hAnsi="Times New Roman"/>
          <w:kern w:val="0"/>
        </w:rPr>
        <w:t>14.</w:t>
      </w:r>
      <w:bookmarkEnd w:id="30"/>
    </w:p>
  </w:footnote>
  <w:footnote w:id="99">
    <w:p w:rsidR="00C73908" w:rsidRPr="00846260" w:rsidP="00846260" w14:paraId="1C10B16E" w14:textId="1A0DDFAD">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 xml:space="preserve">Id. </w:t>
      </w:r>
      <w:r w:rsidRPr="00846260">
        <w:rPr>
          <w:rFonts w:ascii="Times New Roman" w:hAnsi="Times New Roman"/>
          <w:kern w:val="0"/>
        </w:rPr>
        <w:t xml:space="preserve">at </w:t>
      </w:r>
      <w:r w:rsidRPr="00846260" w:rsidR="003E52B9">
        <w:rPr>
          <w:rFonts w:ascii="Times New Roman" w:hAnsi="Times New Roman"/>
          <w:kern w:val="0"/>
        </w:rPr>
        <w:t>¶¶</w:t>
      </w:r>
      <w:r w:rsidRPr="00846260">
        <w:rPr>
          <w:rFonts w:ascii="Times New Roman" w:hAnsi="Times New Roman"/>
          <w:kern w:val="0"/>
        </w:rPr>
        <w:t xml:space="preserve"> 14-15.</w:t>
      </w:r>
    </w:p>
  </w:footnote>
  <w:footnote w:id="100">
    <w:p w:rsidR="00C73908" w:rsidRPr="00846260" w:rsidP="00846260" w14:paraId="47738A39" w14:textId="2D495A1A">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 xml:space="preserve">Id. </w:t>
      </w:r>
      <w:r w:rsidRPr="00846260">
        <w:rPr>
          <w:rFonts w:ascii="Times New Roman" w:hAnsi="Times New Roman"/>
          <w:kern w:val="0"/>
        </w:rPr>
        <w:t xml:space="preserve">at </w:t>
      </w:r>
      <w:r w:rsidRPr="00846260" w:rsidR="003E52B9">
        <w:rPr>
          <w:rFonts w:ascii="Times New Roman" w:hAnsi="Times New Roman"/>
          <w:kern w:val="0"/>
        </w:rPr>
        <w:t>¶</w:t>
      </w:r>
      <w:r w:rsidRPr="00846260">
        <w:rPr>
          <w:rFonts w:ascii="Times New Roman" w:hAnsi="Times New Roman"/>
          <w:kern w:val="0"/>
        </w:rPr>
        <w:t xml:space="preserve"> 15.</w:t>
      </w:r>
    </w:p>
  </w:footnote>
  <w:footnote w:id="101">
    <w:p w:rsidR="00BA1ADE" w:rsidRPr="00846260" w:rsidP="00846260" w14:paraId="18CA5394" w14:textId="36196FED">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55.</w:t>
      </w:r>
    </w:p>
  </w:footnote>
  <w:footnote w:id="102">
    <w:p w:rsidR="00BA1ADE" w:rsidRPr="00846260" w:rsidP="00846260" w14:paraId="1F15B6A2" w14:textId="53851841">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82-83.</w:t>
      </w:r>
    </w:p>
  </w:footnote>
  <w:footnote w:id="103">
    <w:p w:rsidR="00764B11" w:rsidRPr="00846260" w:rsidP="00846260" w14:paraId="35043895" w14:textId="4428405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82.</w:t>
      </w:r>
    </w:p>
  </w:footnote>
  <w:footnote w:id="104">
    <w:p w:rsidR="0022642A" w:rsidRPr="00846260" w:rsidP="00846260" w14:paraId="4A316B42" w14:textId="6DADEFA0">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w:t>
      </w:r>
      <w:r w:rsidRPr="00846260">
        <w:rPr>
          <w:rFonts w:ascii="Times New Roman" w:hAnsi="Times New Roman"/>
          <w:kern w:val="0"/>
        </w:rPr>
        <w:t>OCC Exh. 6 (Testimony Recommending Modification of the Stipulation of Ramteen Sioshansi) (September 20, 2023) (“Sioshansi Testimony”) at 10:13-11:12.</w:t>
      </w:r>
    </w:p>
  </w:footnote>
  <w:footnote w:id="105">
    <w:p w:rsidR="00DF1CE1" w:rsidRPr="00846260" w:rsidP="00846260" w14:paraId="5BFC9F83" w14:textId="79274FE4">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22642A">
        <w:rPr>
          <w:rFonts w:ascii="Times New Roman" w:hAnsi="Times New Roman"/>
          <w:i/>
          <w:iCs/>
          <w:kern w:val="0"/>
        </w:rPr>
        <w:t>Id</w:t>
      </w:r>
      <w:r w:rsidRPr="00846260" w:rsidR="0022642A">
        <w:rPr>
          <w:rFonts w:ascii="Times New Roman" w:hAnsi="Times New Roman"/>
          <w:kern w:val="0"/>
        </w:rPr>
        <w:t>.</w:t>
      </w:r>
    </w:p>
  </w:footnote>
  <w:footnote w:id="106">
    <w:p w:rsidR="00DF6E56" w:rsidRPr="00846260" w:rsidP="00846260" w14:paraId="02C3CF8B"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p>
  </w:footnote>
  <w:footnote w:id="107">
    <w:p w:rsidR="00DF6E56" w:rsidRPr="00846260" w:rsidP="00846260" w14:paraId="2CFDA864"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p>
  </w:footnote>
  <w:footnote w:id="108">
    <w:p w:rsidR="00C73908" w:rsidRPr="00846260" w:rsidP="00846260" w14:paraId="60487F7A" w14:textId="391E2871">
      <w:pPr>
        <w:pStyle w:val="FootnoteText"/>
        <w:spacing w:after="120"/>
        <w:rPr>
          <w:rFonts w:ascii="Times New Roman" w:hAnsi="Times New Roman"/>
          <w:kern w:val="0"/>
        </w:rPr>
      </w:pPr>
      <w:r w:rsidRPr="00846260">
        <w:rPr>
          <w:rStyle w:val="FootnoteCharacters"/>
          <w:rFonts w:ascii="Times New Roman" w:hAnsi="Times New Roman"/>
          <w:kern w:val="0"/>
        </w:rPr>
        <w:footnoteRef/>
      </w:r>
      <w:r w:rsidRPr="00846260">
        <w:rPr>
          <w:rFonts w:ascii="Times New Roman" w:hAnsi="Times New Roman"/>
          <w:i/>
          <w:iCs/>
          <w:kern w:val="0"/>
        </w:rPr>
        <w:t xml:space="preserve"> </w:t>
      </w:r>
      <w:r w:rsidRPr="00846260" w:rsidR="00885A54">
        <w:rPr>
          <w:rFonts w:ascii="Times New Roman" w:hAnsi="Times New Roman"/>
          <w:kern w:val="0"/>
        </w:rPr>
        <w:t>Settlement</w:t>
      </w:r>
      <w:r w:rsidRPr="00846260">
        <w:rPr>
          <w:rFonts w:ascii="Times New Roman" w:hAnsi="Times New Roman"/>
          <w:kern w:val="0"/>
        </w:rPr>
        <w:t xml:space="preserve"> at</w:t>
      </w:r>
      <w:r w:rsidRPr="00846260">
        <w:rPr>
          <w:rFonts w:ascii="Times New Roman" w:hAnsi="Times New Roman"/>
          <w:i/>
          <w:iCs/>
          <w:kern w:val="0"/>
        </w:rPr>
        <w:t xml:space="preserve"> </w:t>
      </w:r>
      <w:r w:rsidRPr="00846260" w:rsidR="004316D7">
        <w:rPr>
          <w:rFonts w:ascii="Times New Roman" w:hAnsi="Times New Roman"/>
          <w:kern w:val="0"/>
        </w:rPr>
        <w:t>¶</w:t>
      </w:r>
      <w:r w:rsidRPr="00846260">
        <w:rPr>
          <w:rFonts w:ascii="Times New Roman" w:hAnsi="Times New Roman"/>
          <w:color w:val="FF0000"/>
          <w:kern w:val="0"/>
        </w:rPr>
        <w:t xml:space="preserve"> </w:t>
      </w:r>
      <w:r w:rsidRPr="00846260">
        <w:rPr>
          <w:rFonts w:ascii="Times New Roman" w:hAnsi="Times New Roman"/>
          <w:kern w:val="0"/>
        </w:rPr>
        <w:t>15.</w:t>
      </w:r>
    </w:p>
  </w:footnote>
  <w:footnote w:id="109">
    <w:p w:rsidR="00DF1CE1" w:rsidRPr="00846260" w:rsidP="00846260" w14:paraId="111A2504" w14:textId="049C7A8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Sioshansi Testimony at 9:12-11:12.</w:t>
      </w:r>
    </w:p>
  </w:footnote>
  <w:footnote w:id="110">
    <w:p w:rsidR="0073767F" w:rsidRPr="00846260" w:rsidP="00846260" w14:paraId="008171A7" w14:textId="070C5DBF">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Settlement at III.F.14-15</w:t>
      </w:r>
      <w:r w:rsidRPr="00846260" w:rsidR="00F0213F">
        <w:rPr>
          <w:rFonts w:ascii="Times New Roman" w:hAnsi="Times New Roman"/>
        </w:rPr>
        <w:t>.</w:t>
      </w:r>
    </w:p>
  </w:footnote>
  <w:footnote w:id="111">
    <w:p w:rsidR="00C73908" w:rsidRPr="00846260" w:rsidP="00846260" w14:paraId="00EC8573"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 xml:space="preserve">Id. </w:t>
      </w:r>
    </w:p>
  </w:footnote>
  <w:footnote w:id="112">
    <w:p w:rsidR="00C73908" w:rsidRPr="00846260" w:rsidP="00846260" w14:paraId="5B52C310" w14:textId="0A9E3EF4">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Duke Energy Ohio, Case No. 11-3549-EL-SSO, et al., Opinion and Order (Nov</w:t>
      </w:r>
      <w:r w:rsidRPr="00846260" w:rsidR="00F0213F">
        <w:rPr>
          <w:rFonts w:ascii="Times New Roman" w:hAnsi="Times New Roman"/>
          <w:kern w:val="0"/>
        </w:rPr>
        <w:t>ember</w:t>
      </w:r>
      <w:r w:rsidRPr="00846260">
        <w:rPr>
          <w:rFonts w:ascii="Times New Roman" w:hAnsi="Times New Roman"/>
          <w:kern w:val="0"/>
        </w:rPr>
        <w:t xml:space="preserve"> 22, 2011)</w:t>
      </w:r>
      <w:r w:rsidRPr="00846260" w:rsidR="00885A54">
        <w:rPr>
          <w:rFonts w:ascii="Times New Roman" w:hAnsi="Times New Roman"/>
          <w:kern w:val="0"/>
        </w:rPr>
        <w:t xml:space="preserve"> at 46</w:t>
      </w:r>
      <w:r w:rsidRPr="00846260" w:rsidR="00597873">
        <w:rPr>
          <w:rFonts w:ascii="Times New Roman" w:hAnsi="Times New Roman"/>
          <w:kern w:val="0"/>
        </w:rPr>
        <w:t xml:space="preserve">; </w:t>
      </w:r>
      <w:r w:rsidRPr="00846260">
        <w:rPr>
          <w:rFonts w:ascii="Times New Roman" w:hAnsi="Times New Roman"/>
          <w:kern w:val="0"/>
        </w:rPr>
        <w:t>Columbus Southern Power and Ohio Power, Case No. 11-346-EL-SSO, et al., Opinion and Order (Au</w:t>
      </w:r>
      <w:r w:rsidRPr="00846260" w:rsidR="009B6F27">
        <w:rPr>
          <w:rFonts w:ascii="Times New Roman" w:hAnsi="Times New Roman"/>
          <w:kern w:val="0"/>
        </w:rPr>
        <w:t>g</w:t>
      </w:r>
      <w:r w:rsidRPr="00846260" w:rsidR="00F0213F">
        <w:rPr>
          <w:rFonts w:ascii="Times New Roman" w:hAnsi="Times New Roman"/>
          <w:kern w:val="0"/>
        </w:rPr>
        <w:t>ust</w:t>
      </w:r>
      <w:r w:rsidRPr="00846260">
        <w:rPr>
          <w:rFonts w:ascii="Times New Roman" w:hAnsi="Times New Roman"/>
          <w:kern w:val="0"/>
        </w:rPr>
        <w:t xml:space="preserve"> 8, 2012)</w:t>
      </w:r>
      <w:r w:rsidRPr="00846260" w:rsidR="00885A54">
        <w:rPr>
          <w:rFonts w:ascii="Times New Roman" w:hAnsi="Times New Roman"/>
          <w:kern w:val="0"/>
        </w:rPr>
        <w:t xml:space="preserve"> at 73</w:t>
      </w:r>
      <w:r w:rsidRPr="00846260" w:rsidR="00597873">
        <w:rPr>
          <w:rFonts w:ascii="Times New Roman" w:hAnsi="Times New Roman"/>
          <w:kern w:val="0"/>
        </w:rPr>
        <w:t>;</w:t>
      </w:r>
      <w:r w:rsidRPr="00846260">
        <w:rPr>
          <w:rFonts w:ascii="Times New Roman" w:hAnsi="Times New Roman"/>
          <w:kern w:val="0"/>
        </w:rPr>
        <w:t xml:space="preserve"> and Dayton Power &amp; Light, Case No. 12-426-EL-SSO, et al., Opinion and Order (Sept</w:t>
      </w:r>
      <w:r w:rsidRPr="00846260" w:rsidR="00F0213F">
        <w:rPr>
          <w:rFonts w:ascii="Times New Roman" w:hAnsi="Times New Roman"/>
          <w:kern w:val="0"/>
        </w:rPr>
        <w:t>ember</w:t>
      </w:r>
      <w:r w:rsidRPr="00846260">
        <w:rPr>
          <w:rFonts w:ascii="Times New Roman" w:hAnsi="Times New Roman"/>
          <w:kern w:val="0"/>
        </w:rPr>
        <w:t xml:space="preserve"> 3, 2013)</w:t>
      </w:r>
      <w:r w:rsidRPr="00846260" w:rsidR="00885A54">
        <w:rPr>
          <w:rFonts w:ascii="Times New Roman" w:hAnsi="Times New Roman"/>
          <w:kern w:val="0"/>
        </w:rPr>
        <w:t xml:space="preserve"> at 48-52</w:t>
      </w:r>
      <w:r w:rsidRPr="00846260">
        <w:rPr>
          <w:rFonts w:ascii="Times New Roman" w:hAnsi="Times New Roman"/>
          <w:kern w:val="0"/>
        </w:rPr>
        <w:t>.</w:t>
      </w:r>
    </w:p>
  </w:footnote>
  <w:footnote w:id="113">
    <w:p w:rsidR="007C3A56" w:rsidRPr="00846260" w:rsidP="00846260" w14:paraId="6D42D737" w14:textId="147A6893">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AEP Ohio ESP, Case No. 11-346-EL-SSO et al., Opinion and Order (Aug</w:t>
      </w:r>
      <w:r w:rsidRPr="00846260" w:rsidR="00F0213F">
        <w:rPr>
          <w:rFonts w:ascii="Times New Roman" w:hAnsi="Times New Roman"/>
          <w:kern w:val="0"/>
        </w:rPr>
        <w:t>ust</w:t>
      </w:r>
      <w:r w:rsidRPr="00846260">
        <w:rPr>
          <w:rFonts w:ascii="Times New Roman" w:hAnsi="Times New Roman"/>
          <w:kern w:val="0"/>
        </w:rPr>
        <w:t xml:space="preserve"> 8, 2012) </w:t>
      </w:r>
      <w:r w:rsidRPr="00846260" w:rsidR="006F2CD8">
        <w:rPr>
          <w:rFonts w:ascii="Times New Roman" w:hAnsi="Times New Roman"/>
          <w:kern w:val="0"/>
        </w:rPr>
        <w:t>at 73</w:t>
      </w:r>
      <w:r w:rsidR="006F2CD8">
        <w:rPr>
          <w:rFonts w:ascii="Times New Roman" w:hAnsi="Times New Roman"/>
          <w:kern w:val="0"/>
        </w:rPr>
        <w:t xml:space="preserve"> </w:t>
      </w:r>
      <w:r w:rsidRPr="00846260">
        <w:rPr>
          <w:rFonts w:ascii="Times New Roman" w:hAnsi="Times New Roman"/>
          <w:kern w:val="0"/>
        </w:rPr>
        <w:t>and Entry on Rehearing (Jan</w:t>
      </w:r>
      <w:r w:rsidRPr="00846260" w:rsidR="00F0213F">
        <w:rPr>
          <w:rFonts w:ascii="Times New Roman" w:hAnsi="Times New Roman"/>
          <w:kern w:val="0"/>
        </w:rPr>
        <w:t>uary</w:t>
      </w:r>
      <w:r w:rsidRPr="00846260">
        <w:rPr>
          <w:rFonts w:ascii="Times New Roman" w:hAnsi="Times New Roman"/>
          <w:kern w:val="0"/>
        </w:rPr>
        <w:t xml:space="preserve"> 30, 2013) </w:t>
      </w:r>
      <w:r w:rsidR="006F2CD8">
        <w:rPr>
          <w:rFonts w:ascii="Times New Roman" w:hAnsi="Times New Roman"/>
          <w:kern w:val="0"/>
        </w:rPr>
        <w:t xml:space="preserve">at </w:t>
      </w:r>
      <w:r w:rsidRPr="00846260" w:rsidR="006F2CD8">
        <w:rPr>
          <w:rFonts w:ascii="Times New Roman" w:hAnsi="Times New Roman"/>
          <w:kern w:val="0"/>
        </w:rPr>
        <w:t xml:space="preserve">13-14 </w:t>
      </w:r>
      <w:r w:rsidRPr="00846260">
        <w:rPr>
          <w:rFonts w:ascii="Times New Roman" w:hAnsi="Times New Roman"/>
          <w:kern w:val="0"/>
        </w:rPr>
        <w:t>and Dayton Power &amp; Light, Case No. 12-426-EL-SSO, et al., Opinion and Order (Sept</w:t>
      </w:r>
      <w:r w:rsidRPr="00846260" w:rsidR="00F0213F">
        <w:rPr>
          <w:rFonts w:ascii="Times New Roman" w:hAnsi="Times New Roman"/>
          <w:kern w:val="0"/>
        </w:rPr>
        <w:t>ember</w:t>
      </w:r>
      <w:r w:rsidRPr="00846260">
        <w:rPr>
          <w:rFonts w:ascii="Times New Roman" w:hAnsi="Times New Roman"/>
          <w:kern w:val="0"/>
        </w:rPr>
        <w:t xml:space="preserve"> 3, 2013)</w:t>
      </w:r>
      <w:r w:rsidRPr="006F2CD8" w:rsidR="006F2CD8">
        <w:rPr>
          <w:rFonts w:ascii="Times New Roman" w:hAnsi="Times New Roman"/>
          <w:kern w:val="0"/>
        </w:rPr>
        <w:t xml:space="preserve"> </w:t>
      </w:r>
      <w:r w:rsidRPr="00846260" w:rsidR="006F2CD8">
        <w:rPr>
          <w:rFonts w:ascii="Times New Roman" w:hAnsi="Times New Roman"/>
          <w:kern w:val="0"/>
        </w:rPr>
        <w:t>at 48-52</w:t>
      </w:r>
      <w:r w:rsidR="006F2CD8">
        <w:rPr>
          <w:rFonts w:ascii="Times New Roman" w:hAnsi="Times New Roman"/>
          <w:kern w:val="0"/>
        </w:rPr>
        <w:t>.</w:t>
      </w:r>
    </w:p>
  </w:footnote>
  <w:footnote w:id="114">
    <w:p w:rsidR="00C73908" w:rsidRPr="00846260" w:rsidP="00846260" w14:paraId="7E57D233"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R.C. 4928.143.</w:t>
      </w:r>
    </w:p>
  </w:footnote>
  <w:footnote w:id="115">
    <w:p w:rsidR="00C73908" w:rsidRPr="00846260" w:rsidP="00846260" w14:paraId="0A27DD80" w14:textId="454C0711">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Buckley Testimony </w:t>
      </w:r>
      <w:r w:rsidRPr="00846260" w:rsidR="00885A54">
        <w:rPr>
          <w:rFonts w:ascii="Times New Roman" w:hAnsi="Times New Roman"/>
          <w:kern w:val="0"/>
        </w:rPr>
        <w:t xml:space="preserve">Recommending Modification </w:t>
      </w:r>
      <w:r w:rsidRPr="00846260">
        <w:rPr>
          <w:rFonts w:ascii="Times New Roman" w:hAnsi="Times New Roman"/>
          <w:kern w:val="0"/>
        </w:rPr>
        <w:t>at 14:7-13</w:t>
      </w:r>
      <w:r w:rsidRPr="00846260" w:rsidR="00291BF9">
        <w:rPr>
          <w:rFonts w:ascii="Times New Roman" w:hAnsi="Times New Roman"/>
          <w:kern w:val="0"/>
        </w:rPr>
        <w:t>.</w:t>
      </w:r>
    </w:p>
  </w:footnote>
  <w:footnote w:id="116">
    <w:p w:rsidR="00C73908" w:rsidRPr="00846260" w:rsidP="00846260" w14:paraId="36692B6D"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p>
  </w:footnote>
  <w:footnote w:id="117">
    <w:p w:rsidR="00C73908" w:rsidRPr="00846260" w:rsidP="00846260" w14:paraId="7BB3C9B6"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bookmarkStart w:id="36" w:name="_Hlk151568200"/>
      <w:r w:rsidRPr="00846260">
        <w:rPr>
          <w:rFonts w:ascii="Times New Roman" w:hAnsi="Times New Roman"/>
          <w:i/>
          <w:iCs/>
          <w:kern w:val="0"/>
        </w:rPr>
        <w:t xml:space="preserve">Id. </w:t>
      </w:r>
      <w:r w:rsidRPr="00846260">
        <w:rPr>
          <w:rFonts w:ascii="Times New Roman" w:hAnsi="Times New Roman"/>
          <w:kern w:val="0"/>
        </w:rPr>
        <w:t>at 13:19-14:5.</w:t>
      </w:r>
      <w:bookmarkEnd w:id="36"/>
    </w:p>
  </w:footnote>
  <w:footnote w:id="118">
    <w:p w:rsidR="00C73908" w:rsidRPr="00846260" w:rsidP="00846260" w14:paraId="3B4E5882" w14:textId="73FC0D52">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R.C. 4928.142</w:t>
      </w:r>
      <w:r w:rsidRPr="00846260" w:rsidR="00EE6ED0">
        <w:rPr>
          <w:rFonts w:ascii="Times New Roman" w:hAnsi="Times New Roman"/>
          <w:kern w:val="0"/>
        </w:rPr>
        <w:t>.</w:t>
      </w:r>
    </w:p>
  </w:footnote>
  <w:footnote w:id="119">
    <w:p w:rsidR="00C73908" w:rsidRPr="00846260" w:rsidP="00846260" w14:paraId="47A643C6"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p>
  </w:footnote>
  <w:footnote w:id="120">
    <w:p w:rsidR="00C73908" w:rsidRPr="00846260" w:rsidP="00846260" w14:paraId="5082E6E2" w14:textId="6B121F9B">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Buckley Testimony </w:t>
      </w:r>
      <w:r w:rsidRPr="00846260" w:rsidR="00885A54">
        <w:rPr>
          <w:rFonts w:ascii="Times New Roman" w:hAnsi="Times New Roman"/>
          <w:kern w:val="0"/>
        </w:rPr>
        <w:t xml:space="preserve">Recommending Modification </w:t>
      </w:r>
      <w:r w:rsidRPr="00846260">
        <w:rPr>
          <w:rFonts w:ascii="Times New Roman" w:hAnsi="Times New Roman"/>
          <w:kern w:val="0"/>
        </w:rPr>
        <w:t>at 13:19-14:5.</w:t>
      </w:r>
    </w:p>
  </w:footnote>
  <w:footnote w:id="121">
    <w:p w:rsidR="00C73908" w:rsidRPr="00846260" w:rsidP="00846260" w14:paraId="48E051C7"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p>
  </w:footnote>
  <w:footnote w:id="122">
    <w:p w:rsidR="00257D80" w:rsidRPr="00846260" w:rsidP="00846260" w14:paraId="1C8697FD" w14:textId="77777777">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60-61.</w:t>
      </w:r>
    </w:p>
  </w:footnote>
  <w:footnote w:id="123">
    <w:p w:rsidR="00257D80" w:rsidRPr="00846260" w:rsidP="00846260" w14:paraId="678498AF" w14:textId="090299E8">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Case No. 23-23-EL-SSO, et al., Direct Testimony and Exhibits of Brian F. Billings (Jan</w:t>
      </w:r>
      <w:r w:rsidRPr="00846260" w:rsidR="00F0213F">
        <w:rPr>
          <w:rFonts w:ascii="Times New Roman" w:hAnsi="Times New Roman"/>
          <w:kern w:val="0"/>
        </w:rPr>
        <w:t>uary</w:t>
      </w:r>
      <w:r w:rsidRPr="00846260">
        <w:rPr>
          <w:rFonts w:ascii="Times New Roman" w:hAnsi="Times New Roman"/>
          <w:kern w:val="0"/>
        </w:rPr>
        <w:t xml:space="preserve"> 6, 2023) at 4.</w:t>
      </w:r>
    </w:p>
  </w:footnote>
  <w:footnote w:id="124">
    <w:p w:rsidR="00553D28" w:rsidRPr="00846260" w:rsidP="00846260" w14:paraId="1FCFBF8E" w14:textId="6D18A4AD">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101</w:t>
      </w:r>
      <w:r w:rsidRPr="00846260" w:rsidR="00D474A5">
        <w:rPr>
          <w:rFonts w:ascii="Times New Roman" w:hAnsi="Times New Roman"/>
        </w:rPr>
        <w:t xml:space="preserve"> (</w:t>
      </w:r>
      <w:r w:rsidRPr="00846260">
        <w:rPr>
          <w:rFonts w:ascii="Times New Roman" w:hAnsi="Times New Roman"/>
        </w:rPr>
        <w:t>citing AEP Ohio Ex. 2 at 16</w:t>
      </w:r>
      <w:r w:rsidRPr="00846260" w:rsidR="00D474A5">
        <w:rPr>
          <w:rFonts w:ascii="Times New Roman" w:hAnsi="Times New Roman"/>
        </w:rPr>
        <w:t>)</w:t>
      </w:r>
      <w:r w:rsidRPr="00846260">
        <w:rPr>
          <w:rFonts w:ascii="Times New Roman" w:hAnsi="Times New Roman"/>
        </w:rPr>
        <w:t>.</w:t>
      </w:r>
    </w:p>
  </w:footnote>
  <w:footnote w:id="125">
    <w:p w:rsidR="00553D28" w:rsidRPr="00846260" w:rsidP="00846260" w14:paraId="418D09D7" w14:textId="74F5DFA8">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101</w:t>
      </w:r>
      <w:r w:rsidRPr="00846260" w:rsidR="00D474A5">
        <w:rPr>
          <w:rFonts w:ascii="Times New Roman" w:hAnsi="Times New Roman"/>
        </w:rPr>
        <w:t>(</w:t>
      </w:r>
      <w:r w:rsidRPr="00846260">
        <w:rPr>
          <w:rFonts w:ascii="Times New Roman" w:hAnsi="Times New Roman"/>
        </w:rPr>
        <w:t>citing AEP Ohio Ex. 2 at 17</w:t>
      </w:r>
      <w:r w:rsidRPr="00846260" w:rsidR="00D474A5">
        <w:rPr>
          <w:rFonts w:ascii="Times New Roman" w:hAnsi="Times New Roman"/>
        </w:rPr>
        <w:t>)</w:t>
      </w:r>
      <w:r w:rsidRPr="00846260">
        <w:rPr>
          <w:rFonts w:ascii="Times New Roman" w:hAnsi="Times New Roman"/>
        </w:rPr>
        <w:t>.</w:t>
      </w:r>
    </w:p>
  </w:footnote>
  <w:footnote w:id="126">
    <w:p w:rsidR="00F742FD" w:rsidRPr="00846260" w:rsidP="00846260" w14:paraId="67F25267" w14:textId="37BF1BCA">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AEP Initial Brief at 101-102.</w:t>
      </w:r>
    </w:p>
  </w:footnote>
  <w:footnote w:id="127">
    <w:p w:rsidR="004B216C" w:rsidRPr="00846260" w:rsidP="00846260" w14:paraId="4935A37E" w14:textId="1792236C">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A255D3">
        <w:rPr>
          <w:rFonts w:ascii="Times New Roman" w:hAnsi="Times New Roman"/>
          <w:kern w:val="0"/>
        </w:rPr>
        <w:t>Buckley Testimony at 14:5-15:15.</w:t>
      </w:r>
    </w:p>
  </w:footnote>
  <w:footnote w:id="128">
    <w:p w:rsidR="00A255D3" w:rsidRPr="00846260" w:rsidP="00846260" w14:paraId="0F70142E" w14:textId="18DDEDC4">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Case No. 16-1852-EL-SSO, Pre-Filed Testimony of Tamara S. Turkenton (September 13, 2017).</w:t>
      </w:r>
    </w:p>
  </w:footnote>
  <w:footnote w:id="129">
    <w:p w:rsidR="00A255D3" w:rsidRPr="00846260" w:rsidP="00846260" w14:paraId="439D5C9F" w14:textId="27810950">
      <w:pPr>
        <w:pStyle w:val="FootnoteText"/>
        <w:spacing w:after="120"/>
        <w:rPr>
          <w:rFonts w:ascii="Times New Roman" w:hAnsi="Times New Roman"/>
        </w:rPr>
      </w:pPr>
      <w:r w:rsidRPr="00846260">
        <w:rPr>
          <w:rStyle w:val="FootnoteReference"/>
          <w:rFonts w:ascii="Times New Roman" w:hAnsi="Times New Roman"/>
        </w:rPr>
        <w:footnoteRef/>
      </w:r>
      <w:r w:rsidRPr="00846260">
        <w:rPr>
          <w:rFonts w:ascii="Times New Roman" w:hAnsi="Times New Roman"/>
        </w:rPr>
        <w:t xml:space="preserve"> Case No. 16-1852-EL-SSO, Pre-Filed Testimony of William Allen (September 13, 2017).</w:t>
      </w:r>
    </w:p>
  </w:footnote>
  <w:footnote w:id="130">
    <w:p w:rsidR="004B216C" w:rsidRPr="00846260" w:rsidP="00846260" w14:paraId="29CDE667" w14:textId="44F3FCAE">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sidR="00A255D3">
        <w:rPr>
          <w:rFonts w:ascii="Times New Roman" w:hAnsi="Times New Roman"/>
          <w:kern w:val="0"/>
        </w:rPr>
        <w:t xml:space="preserve">Buckley Testimony </w:t>
      </w:r>
      <w:r w:rsidRPr="00846260">
        <w:rPr>
          <w:rFonts w:ascii="Times New Roman" w:hAnsi="Times New Roman"/>
          <w:kern w:val="0"/>
        </w:rPr>
        <w:t>at 15:17-16:8.</w:t>
      </w:r>
    </w:p>
  </w:footnote>
  <w:footnote w:id="131">
    <w:p w:rsidR="004B216C" w:rsidRPr="00846260" w:rsidP="00846260" w14:paraId="5B0CB7C9"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p>
  </w:footnote>
  <w:footnote w:id="132">
    <w:p w:rsidR="004B216C" w:rsidRPr="00846260" w:rsidP="00846260" w14:paraId="11F386F8"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p>
  </w:footnote>
  <w:footnote w:id="133">
    <w:p w:rsidR="004B216C" w:rsidRPr="00846260" w:rsidP="00846260" w14:paraId="468D8F9E" w14:textId="77777777">
      <w:pPr>
        <w:pStyle w:val="FootnoteText"/>
        <w:spacing w:after="120"/>
        <w:rPr>
          <w:rFonts w:ascii="Times New Roman" w:hAnsi="Times New Roman"/>
          <w:kern w:val="0"/>
        </w:rPr>
      </w:pPr>
      <w:r w:rsidRPr="00846260">
        <w:rPr>
          <w:rStyle w:val="FootnoteReference"/>
          <w:rFonts w:ascii="Times New Roman" w:hAnsi="Times New Roman"/>
          <w:kern w:val="0"/>
        </w:rPr>
        <w:footnoteRef/>
      </w:r>
      <w:r w:rsidRPr="00846260">
        <w:rPr>
          <w:rFonts w:ascii="Times New Roman" w:hAnsi="Times New Roman"/>
          <w:kern w:val="0"/>
        </w:rPr>
        <w:t xml:space="preserve"> </w:t>
      </w:r>
      <w:r w:rsidRPr="00846260">
        <w:rPr>
          <w:rFonts w:ascii="Times New Roman" w:hAnsi="Times New Roman"/>
          <w:i/>
          <w:iCs/>
          <w:kern w:val="0"/>
        </w:rPr>
        <w:t>Id.</w:t>
      </w:r>
      <w:r w:rsidRPr="00846260">
        <w:rPr>
          <w:rFonts w:ascii="Times New Roman" w:hAnsi="Times New Roman"/>
          <w:kern w:val="0"/>
        </w:rPr>
        <w:t xml:space="preserve"> at 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EA" w14:paraId="1DCA20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EA" w14:paraId="165E12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AEA" w14:paraId="384A37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A3283"/>
    <w:multiLevelType w:val="hybridMultilevel"/>
    <w:tmpl w:val="2BE08C58"/>
    <w:lvl w:ilvl="0">
      <w:start w:val="1"/>
      <w:numFmt w:val="decimal"/>
      <w:lvlText w:val="(%1)"/>
      <w:lvlJc w:val="left"/>
      <w:pPr>
        <w:ind w:left="1440" w:hanging="360"/>
      </w:pPr>
      <w:rPr>
        <w:rFonts w:hint="default"/>
        <w:b w:val="0"/>
        <w:bCs w:val="0"/>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CE15124"/>
    <w:multiLevelType w:val="hybridMultilevel"/>
    <w:tmpl w:val="1B5C07B8"/>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E0D37F1"/>
    <w:multiLevelType w:val="hybridMultilevel"/>
    <w:tmpl w:val="49B05286"/>
    <w:lvl w:ilvl="0">
      <w:start w:val="1"/>
      <w:numFmt w:val="decimal"/>
      <w:lvlText w:val="(%1)"/>
      <w:lvlJc w:val="left"/>
      <w:pPr>
        <w:ind w:left="1500" w:hanging="360"/>
      </w:pPr>
      <w:rPr>
        <w:rFonts w:hint="default"/>
        <w:b w:val="0"/>
        <w:bCs w:val="0"/>
        <w:i w:val="0"/>
        <w:iCs w:val="0"/>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3">
    <w:nsid w:val="10571990"/>
    <w:multiLevelType w:val="hybridMultilevel"/>
    <w:tmpl w:val="9A3440EE"/>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69C1A06"/>
    <w:multiLevelType w:val="hybridMultilevel"/>
    <w:tmpl w:val="4288C6DA"/>
    <w:lvl w:ilvl="0">
      <w:start w:val="1"/>
      <w:numFmt w:val="decimal"/>
      <w:lvlText w:val="(%1)"/>
      <w:lvlJc w:val="left"/>
      <w:pPr>
        <w:ind w:left="1800" w:hanging="36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B746FF0"/>
    <w:multiLevelType w:val="hybridMultilevel"/>
    <w:tmpl w:val="118C7F04"/>
    <w:lvl w:ilvl="0">
      <w:start w:val="1"/>
      <w:numFmt w:val="upperRoman"/>
      <w:lvlText w:val="%1."/>
      <w:lvlJc w:val="left"/>
      <w:pPr>
        <w:ind w:left="1620" w:hanging="720"/>
      </w:pPr>
      <w:rPr>
        <w:rFonts w:ascii="Times New Roman" w:eastAsia="Times New Roman" w:hAnsi="Times New Roman" w:cs="Times New Roman" w:hint="default"/>
        <w:b w:val="0"/>
        <w:bCs w:val="0"/>
        <w:i w:val="0"/>
        <w:iCs w:val="0"/>
        <w:spacing w:val="-3"/>
        <w:w w:val="99"/>
        <w:sz w:val="24"/>
        <w:szCs w:val="24"/>
        <w:lang w:val="en-US" w:eastAsia="en-US" w:bidi="ar-SA"/>
      </w:rPr>
    </w:lvl>
    <w:lvl w:ilvl="1">
      <w:start w:val="1"/>
      <w:numFmt w:val="upperLetter"/>
      <w:lvlText w:val="%2."/>
      <w:lvlJc w:val="left"/>
      <w:pPr>
        <w:ind w:left="234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2">
      <w:start w:val="1"/>
      <w:numFmt w:val="decimal"/>
      <w:lvlText w:val="%3."/>
      <w:lvlJc w:val="left"/>
      <w:pPr>
        <w:ind w:left="3060"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3">
      <w:start w:val="1"/>
      <w:numFmt w:val="lowerLetter"/>
      <w:lvlText w:val="%4."/>
      <w:lvlJc w:val="left"/>
      <w:pPr>
        <w:ind w:left="378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4">
      <w:start w:val="0"/>
      <w:numFmt w:val="bullet"/>
      <w:lvlText w:val="•"/>
      <w:lvlJc w:val="left"/>
      <w:pPr>
        <w:ind w:left="4634" w:hanging="720"/>
      </w:pPr>
      <w:rPr>
        <w:rFonts w:hint="default"/>
        <w:lang w:val="en-US" w:eastAsia="en-US" w:bidi="ar-SA"/>
      </w:rPr>
    </w:lvl>
    <w:lvl w:ilvl="5">
      <w:start w:val="0"/>
      <w:numFmt w:val="bullet"/>
      <w:lvlText w:val="•"/>
      <w:lvlJc w:val="left"/>
      <w:pPr>
        <w:ind w:left="5488" w:hanging="720"/>
      </w:pPr>
      <w:rPr>
        <w:rFonts w:hint="default"/>
        <w:lang w:val="en-US" w:eastAsia="en-US" w:bidi="ar-SA"/>
      </w:rPr>
    </w:lvl>
    <w:lvl w:ilvl="6">
      <w:start w:val="0"/>
      <w:numFmt w:val="bullet"/>
      <w:lvlText w:val="•"/>
      <w:lvlJc w:val="left"/>
      <w:pPr>
        <w:ind w:left="6342" w:hanging="720"/>
      </w:pPr>
      <w:rPr>
        <w:rFonts w:hint="default"/>
        <w:lang w:val="en-US" w:eastAsia="en-US" w:bidi="ar-SA"/>
      </w:rPr>
    </w:lvl>
    <w:lvl w:ilvl="7">
      <w:start w:val="0"/>
      <w:numFmt w:val="bullet"/>
      <w:lvlText w:val="•"/>
      <w:lvlJc w:val="left"/>
      <w:pPr>
        <w:ind w:left="7197" w:hanging="720"/>
      </w:pPr>
      <w:rPr>
        <w:rFonts w:hint="default"/>
        <w:lang w:val="en-US" w:eastAsia="en-US" w:bidi="ar-SA"/>
      </w:rPr>
    </w:lvl>
    <w:lvl w:ilvl="8">
      <w:start w:val="0"/>
      <w:numFmt w:val="bullet"/>
      <w:lvlText w:val="•"/>
      <w:lvlJc w:val="left"/>
      <w:pPr>
        <w:ind w:left="8051" w:hanging="720"/>
      </w:pPr>
      <w:rPr>
        <w:rFonts w:hint="default"/>
        <w:lang w:val="en-US" w:eastAsia="en-US" w:bidi="ar-SA"/>
      </w:rPr>
    </w:lvl>
  </w:abstractNum>
  <w:abstractNum w:abstractNumId="6">
    <w:nsid w:val="1D061AD3"/>
    <w:multiLevelType w:val="hybridMultilevel"/>
    <w:tmpl w:val="090EAA5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4F67404"/>
    <w:multiLevelType w:val="hybridMultilevel"/>
    <w:tmpl w:val="B3D6927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1530EB"/>
    <w:multiLevelType w:val="hybridMultilevel"/>
    <w:tmpl w:val="D56C4038"/>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AA7608A"/>
    <w:multiLevelType w:val="hybridMultilevel"/>
    <w:tmpl w:val="FF8ADD32"/>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333451C"/>
    <w:multiLevelType w:val="hybridMultilevel"/>
    <w:tmpl w:val="01765576"/>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10602A"/>
    <w:multiLevelType w:val="hybridMultilevel"/>
    <w:tmpl w:val="B15A5A06"/>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89A09BA"/>
    <w:multiLevelType w:val="hybridMultilevel"/>
    <w:tmpl w:val="50761C4E"/>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4A03BFE"/>
    <w:multiLevelType w:val="hybridMultilevel"/>
    <w:tmpl w:val="B15A5A06"/>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55B00E62"/>
    <w:multiLevelType w:val="hybridMultilevel"/>
    <w:tmpl w:val="6A360AB6"/>
    <w:lvl w:ilvl="0">
      <w:start w:val="1"/>
      <w:numFmt w:val="upperRoman"/>
      <w:lvlText w:val="%1."/>
      <w:lvlJc w:val="left"/>
      <w:pPr>
        <w:ind w:left="1620" w:hanging="720"/>
      </w:pPr>
      <w:rPr>
        <w:rFonts w:ascii="Times New Roman" w:eastAsia="Times New Roman" w:hAnsi="Times New Roman" w:cs="Times New Roman" w:hint="default"/>
        <w:b/>
        <w:bCs/>
        <w:i w:val="0"/>
        <w:iCs w:val="0"/>
        <w:spacing w:val="0"/>
        <w:w w:val="99"/>
        <w:sz w:val="24"/>
        <w:szCs w:val="24"/>
        <w:lang w:val="en-US" w:eastAsia="en-US" w:bidi="ar-SA"/>
      </w:rPr>
    </w:lvl>
    <w:lvl w:ilvl="1">
      <w:start w:val="1"/>
      <w:numFmt w:val="decimal"/>
      <w:lvlText w:val="(%2)"/>
      <w:lvlJc w:val="left"/>
      <w:pPr>
        <w:ind w:left="1980" w:hanging="360"/>
      </w:pPr>
      <w:rPr>
        <w:rFonts w:hint="default"/>
      </w:rPr>
    </w:lvl>
    <w:lvl w:ilvl="2">
      <w:start w:val="0"/>
      <w:numFmt w:val="bullet"/>
      <w:lvlText w:val="•"/>
      <w:lvlJc w:val="left"/>
      <w:pPr>
        <w:ind w:left="3060" w:hanging="720"/>
      </w:pPr>
      <w:rPr>
        <w:rFonts w:hint="default"/>
        <w:lang w:val="en-US" w:eastAsia="en-US" w:bidi="ar-SA"/>
      </w:rPr>
    </w:lvl>
    <w:lvl w:ilvl="3">
      <w:start w:val="0"/>
      <w:numFmt w:val="bullet"/>
      <w:lvlText w:val="•"/>
      <w:lvlJc w:val="left"/>
      <w:pPr>
        <w:ind w:left="3897" w:hanging="720"/>
      </w:pPr>
      <w:rPr>
        <w:rFonts w:hint="default"/>
        <w:lang w:val="en-US" w:eastAsia="en-US" w:bidi="ar-SA"/>
      </w:rPr>
    </w:lvl>
    <w:lvl w:ilvl="4">
      <w:start w:val="0"/>
      <w:numFmt w:val="bullet"/>
      <w:lvlText w:val="•"/>
      <w:lvlJc w:val="left"/>
      <w:pPr>
        <w:ind w:left="4735" w:hanging="720"/>
      </w:pPr>
      <w:rPr>
        <w:rFonts w:hint="default"/>
        <w:lang w:val="en-US" w:eastAsia="en-US" w:bidi="ar-SA"/>
      </w:rPr>
    </w:lvl>
    <w:lvl w:ilvl="5">
      <w:start w:val="0"/>
      <w:numFmt w:val="bullet"/>
      <w:lvlText w:val="•"/>
      <w:lvlJc w:val="left"/>
      <w:pPr>
        <w:ind w:left="5572" w:hanging="720"/>
      </w:pPr>
      <w:rPr>
        <w:rFonts w:hint="default"/>
        <w:lang w:val="en-US" w:eastAsia="en-US" w:bidi="ar-SA"/>
      </w:rPr>
    </w:lvl>
    <w:lvl w:ilvl="6">
      <w:start w:val="0"/>
      <w:numFmt w:val="bullet"/>
      <w:lvlText w:val="•"/>
      <w:lvlJc w:val="left"/>
      <w:pPr>
        <w:ind w:left="6410" w:hanging="720"/>
      </w:pPr>
      <w:rPr>
        <w:rFonts w:hint="default"/>
        <w:lang w:val="en-US" w:eastAsia="en-US" w:bidi="ar-SA"/>
      </w:rPr>
    </w:lvl>
    <w:lvl w:ilvl="7">
      <w:start w:val="0"/>
      <w:numFmt w:val="bullet"/>
      <w:lvlText w:val="•"/>
      <w:lvlJc w:val="left"/>
      <w:pPr>
        <w:ind w:left="7247" w:hanging="720"/>
      </w:pPr>
      <w:rPr>
        <w:rFonts w:hint="default"/>
        <w:lang w:val="en-US" w:eastAsia="en-US" w:bidi="ar-SA"/>
      </w:rPr>
    </w:lvl>
    <w:lvl w:ilvl="8">
      <w:start w:val="0"/>
      <w:numFmt w:val="bullet"/>
      <w:lvlText w:val="•"/>
      <w:lvlJc w:val="left"/>
      <w:pPr>
        <w:ind w:left="8085" w:hanging="720"/>
      </w:pPr>
      <w:rPr>
        <w:rFonts w:hint="default"/>
        <w:lang w:val="en-US" w:eastAsia="en-US" w:bidi="ar-SA"/>
      </w:rPr>
    </w:lvl>
  </w:abstractNum>
  <w:abstractNum w:abstractNumId="15">
    <w:nsid w:val="5D7E7782"/>
    <w:multiLevelType w:val="hybridMultilevel"/>
    <w:tmpl w:val="138C6590"/>
    <w:lvl w:ilvl="0">
      <w:start w:val="1"/>
      <w:numFmt w:val="decimal"/>
      <w:lvlText w:val="(%1)"/>
      <w:lvlJc w:val="left"/>
      <w:pPr>
        <w:ind w:left="234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start w:val="0"/>
      <w:numFmt w:val="bullet"/>
      <w:lvlText w:val="•"/>
      <w:lvlJc w:val="left"/>
      <w:pPr>
        <w:ind w:left="3082" w:hanging="720"/>
      </w:pPr>
      <w:rPr>
        <w:rFonts w:hint="default"/>
        <w:lang w:val="en-US" w:eastAsia="en-US" w:bidi="ar-SA"/>
      </w:rPr>
    </w:lvl>
    <w:lvl w:ilvl="2">
      <w:start w:val="0"/>
      <w:numFmt w:val="bullet"/>
      <w:lvlText w:val="•"/>
      <w:lvlJc w:val="left"/>
      <w:pPr>
        <w:ind w:left="3824" w:hanging="720"/>
      </w:pPr>
      <w:rPr>
        <w:rFonts w:hint="default"/>
        <w:lang w:val="en-US" w:eastAsia="en-US" w:bidi="ar-SA"/>
      </w:rPr>
    </w:lvl>
    <w:lvl w:ilvl="3">
      <w:start w:val="0"/>
      <w:numFmt w:val="bullet"/>
      <w:lvlText w:val="•"/>
      <w:lvlJc w:val="left"/>
      <w:pPr>
        <w:ind w:left="4566" w:hanging="720"/>
      </w:pPr>
      <w:rPr>
        <w:rFonts w:hint="default"/>
        <w:lang w:val="en-US" w:eastAsia="en-US" w:bidi="ar-SA"/>
      </w:rPr>
    </w:lvl>
    <w:lvl w:ilvl="4">
      <w:start w:val="0"/>
      <w:numFmt w:val="bullet"/>
      <w:lvlText w:val="•"/>
      <w:lvlJc w:val="left"/>
      <w:pPr>
        <w:ind w:left="5308" w:hanging="720"/>
      </w:pPr>
      <w:rPr>
        <w:rFonts w:hint="default"/>
        <w:lang w:val="en-US" w:eastAsia="en-US" w:bidi="ar-SA"/>
      </w:rPr>
    </w:lvl>
    <w:lvl w:ilvl="5">
      <w:start w:val="0"/>
      <w:numFmt w:val="bullet"/>
      <w:lvlText w:val="•"/>
      <w:lvlJc w:val="left"/>
      <w:pPr>
        <w:ind w:left="6050" w:hanging="720"/>
      </w:pPr>
      <w:rPr>
        <w:rFonts w:hint="default"/>
        <w:lang w:val="en-US" w:eastAsia="en-US" w:bidi="ar-SA"/>
      </w:rPr>
    </w:lvl>
    <w:lvl w:ilvl="6">
      <w:start w:val="0"/>
      <w:numFmt w:val="bullet"/>
      <w:lvlText w:val="•"/>
      <w:lvlJc w:val="left"/>
      <w:pPr>
        <w:ind w:left="6792" w:hanging="720"/>
      </w:pPr>
      <w:rPr>
        <w:rFonts w:hint="default"/>
        <w:lang w:val="en-US" w:eastAsia="en-US" w:bidi="ar-SA"/>
      </w:rPr>
    </w:lvl>
    <w:lvl w:ilvl="7">
      <w:start w:val="0"/>
      <w:numFmt w:val="bullet"/>
      <w:lvlText w:val="•"/>
      <w:lvlJc w:val="left"/>
      <w:pPr>
        <w:ind w:left="7534" w:hanging="720"/>
      </w:pPr>
      <w:rPr>
        <w:rFonts w:hint="default"/>
        <w:lang w:val="en-US" w:eastAsia="en-US" w:bidi="ar-SA"/>
      </w:rPr>
    </w:lvl>
    <w:lvl w:ilvl="8">
      <w:start w:val="0"/>
      <w:numFmt w:val="bullet"/>
      <w:lvlText w:val="•"/>
      <w:lvlJc w:val="left"/>
      <w:pPr>
        <w:ind w:left="8276" w:hanging="720"/>
      </w:pPr>
      <w:rPr>
        <w:rFonts w:hint="default"/>
        <w:lang w:val="en-US" w:eastAsia="en-US" w:bidi="ar-SA"/>
      </w:rPr>
    </w:lvl>
  </w:abstractNum>
  <w:abstractNum w:abstractNumId="16">
    <w:nsid w:val="61AD0523"/>
    <w:multiLevelType w:val="hybridMultilevel"/>
    <w:tmpl w:val="FB00F83A"/>
    <w:lvl w:ilvl="0">
      <w:start w:val="1"/>
      <w:numFmt w:val="upperLetter"/>
      <w:lvlText w:val="%1."/>
      <w:lvlJc w:val="left"/>
      <w:pPr>
        <w:ind w:left="2340" w:hanging="720"/>
      </w:pPr>
      <w:rPr>
        <w:rFonts w:ascii="Times New Roman Bold" w:eastAsia="Times New Roman" w:hAnsi="Times New Roman Bold" w:cs="Times New Roman" w:hint="default"/>
        <w:b/>
        <w:bCs/>
        <w:i w:val="0"/>
        <w:iCs w:val="0"/>
        <w:spacing w:val="0"/>
        <w:w w:val="100"/>
        <w:sz w:val="24"/>
        <w:szCs w:val="24"/>
        <w:lang w:val="en-US" w:eastAsia="en-US" w:bidi="ar-SA"/>
      </w:rPr>
    </w:lvl>
    <w:lvl w:ilvl="1">
      <w:start w:val="1"/>
      <w:numFmt w:val="decimal"/>
      <w:lvlText w:val="%2."/>
      <w:lvlJc w:val="left"/>
      <w:pPr>
        <w:ind w:left="3060" w:hanging="720"/>
      </w:pPr>
      <w:rPr>
        <w:rFonts w:ascii="Times New Roman Bold" w:eastAsia="Times New Roman" w:hAnsi="Times New Roman Bold" w:cs="Times New Roman" w:hint="default"/>
        <w:b w:val="0"/>
        <w:bCs w:val="0"/>
        <w:i w:val="0"/>
        <w:iCs w:val="0"/>
        <w:spacing w:val="0"/>
        <w:w w:val="100"/>
        <w:sz w:val="24"/>
        <w:szCs w:val="24"/>
        <w:lang w:val="en-US" w:eastAsia="en-US" w:bidi="ar-SA"/>
      </w:rPr>
    </w:lvl>
    <w:lvl w:ilvl="2">
      <w:start w:val="1"/>
      <w:numFmt w:val="lowerLetter"/>
      <w:lvlText w:val="%3."/>
      <w:lvlJc w:val="left"/>
      <w:pPr>
        <w:ind w:left="3780" w:hanging="720"/>
      </w:pPr>
      <w:rPr>
        <w:rFonts w:ascii="Times New Roman" w:eastAsia="Times New Roman" w:hAnsi="Times New Roman" w:cs="Times New Roman" w:hint="default"/>
        <w:b/>
        <w:bCs/>
        <w:i w:val="0"/>
        <w:iCs w:val="0"/>
        <w:spacing w:val="-3"/>
        <w:w w:val="99"/>
        <w:sz w:val="24"/>
        <w:szCs w:val="24"/>
        <w:lang w:val="en-US" w:eastAsia="en-US" w:bidi="ar-SA"/>
      </w:rPr>
    </w:lvl>
    <w:lvl w:ilvl="3">
      <w:start w:val="0"/>
      <w:numFmt w:val="bullet"/>
      <w:lvlText w:val="•"/>
      <w:lvlJc w:val="left"/>
      <w:pPr>
        <w:ind w:left="4527" w:hanging="720"/>
      </w:pPr>
      <w:rPr>
        <w:rFonts w:hint="default"/>
        <w:lang w:val="en-US" w:eastAsia="en-US" w:bidi="ar-SA"/>
      </w:rPr>
    </w:lvl>
    <w:lvl w:ilvl="4">
      <w:start w:val="0"/>
      <w:numFmt w:val="bullet"/>
      <w:lvlText w:val="•"/>
      <w:lvlJc w:val="left"/>
      <w:pPr>
        <w:ind w:left="5275" w:hanging="720"/>
      </w:pPr>
      <w:rPr>
        <w:rFonts w:hint="default"/>
        <w:lang w:val="en-US" w:eastAsia="en-US" w:bidi="ar-SA"/>
      </w:rPr>
    </w:lvl>
    <w:lvl w:ilvl="5">
      <w:start w:val="0"/>
      <w:numFmt w:val="bullet"/>
      <w:lvlText w:val="•"/>
      <w:lvlJc w:val="left"/>
      <w:pPr>
        <w:ind w:left="6022" w:hanging="720"/>
      </w:pPr>
      <w:rPr>
        <w:rFonts w:hint="default"/>
        <w:lang w:val="en-US" w:eastAsia="en-US" w:bidi="ar-SA"/>
      </w:rPr>
    </w:lvl>
    <w:lvl w:ilvl="6">
      <w:start w:val="0"/>
      <w:numFmt w:val="bullet"/>
      <w:lvlText w:val="•"/>
      <w:lvlJc w:val="left"/>
      <w:pPr>
        <w:ind w:left="6770" w:hanging="720"/>
      </w:pPr>
      <w:rPr>
        <w:rFonts w:hint="default"/>
        <w:lang w:val="en-US" w:eastAsia="en-US" w:bidi="ar-SA"/>
      </w:rPr>
    </w:lvl>
    <w:lvl w:ilvl="7">
      <w:start w:val="0"/>
      <w:numFmt w:val="bullet"/>
      <w:lvlText w:val="•"/>
      <w:lvlJc w:val="left"/>
      <w:pPr>
        <w:ind w:left="7517" w:hanging="720"/>
      </w:pPr>
      <w:rPr>
        <w:rFonts w:hint="default"/>
        <w:lang w:val="en-US" w:eastAsia="en-US" w:bidi="ar-SA"/>
      </w:rPr>
    </w:lvl>
    <w:lvl w:ilvl="8">
      <w:start w:val="0"/>
      <w:numFmt w:val="bullet"/>
      <w:lvlText w:val="•"/>
      <w:lvlJc w:val="left"/>
      <w:pPr>
        <w:ind w:left="8265" w:hanging="720"/>
      </w:pPr>
      <w:rPr>
        <w:rFonts w:hint="default"/>
        <w:lang w:val="en-US" w:eastAsia="en-US" w:bidi="ar-SA"/>
      </w:rPr>
    </w:lvl>
  </w:abstractNum>
  <w:abstractNum w:abstractNumId="17">
    <w:nsid w:val="74640412"/>
    <w:multiLevelType w:val="hybridMultilevel"/>
    <w:tmpl w:val="996C4C1C"/>
    <w:lvl w:ilvl="0">
      <w:start w:val="1"/>
      <w:numFmt w:val="upperLetter"/>
      <w:lvlText w:val="%1."/>
      <w:lvlJc w:val="left"/>
      <w:pPr>
        <w:ind w:left="2340" w:hanging="720"/>
      </w:pPr>
      <w:rPr>
        <w:rFonts w:ascii="Times New Roman" w:eastAsia="Times New Roman" w:hAnsi="Times New Roman" w:cs="Times New Roman" w:hint="default"/>
        <w:b/>
        <w:bCs/>
        <w:i w:val="0"/>
        <w:iCs w:val="0"/>
        <w:spacing w:val="-1"/>
        <w:w w:val="99"/>
        <w:sz w:val="24"/>
        <w:szCs w:val="24"/>
        <w:lang w:val="en-US" w:eastAsia="en-US" w:bidi="ar-SA"/>
      </w:rPr>
    </w:lvl>
    <w:lvl w:ilvl="1">
      <w:start w:val="0"/>
      <w:numFmt w:val="bullet"/>
      <w:lvlText w:val="•"/>
      <w:lvlJc w:val="left"/>
      <w:pPr>
        <w:ind w:left="3082" w:hanging="720"/>
      </w:pPr>
      <w:rPr>
        <w:rFonts w:hint="default"/>
        <w:lang w:val="en-US" w:eastAsia="en-US" w:bidi="ar-SA"/>
      </w:rPr>
    </w:lvl>
    <w:lvl w:ilvl="2">
      <w:start w:val="0"/>
      <w:numFmt w:val="bullet"/>
      <w:lvlText w:val="•"/>
      <w:lvlJc w:val="left"/>
      <w:pPr>
        <w:ind w:left="3824" w:hanging="720"/>
      </w:pPr>
      <w:rPr>
        <w:rFonts w:hint="default"/>
        <w:lang w:val="en-US" w:eastAsia="en-US" w:bidi="ar-SA"/>
      </w:rPr>
    </w:lvl>
    <w:lvl w:ilvl="3">
      <w:start w:val="0"/>
      <w:numFmt w:val="bullet"/>
      <w:lvlText w:val="•"/>
      <w:lvlJc w:val="left"/>
      <w:pPr>
        <w:ind w:left="4566" w:hanging="720"/>
      </w:pPr>
      <w:rPr>
        <w:rFonts w:hint="default"/>
        <w:lang w:val="en-US" w:eastAsia="en-US" w:bidi="ar-SA"/>
      </w:rPr>
    </w:lvl>
    <w:lvl w:ilvl="4">
      <w:start w:val="0"/>
      <w:numFmt w:val="bullet"/>
      <w:lvlText w:val="•"/>
      <w:lvlJc w:val="left"/>
      <w:pPr>
        <w:ind w:left="5308" w:hanging="720"/>
      </w:pPr>
      <w:rPr>
        <w:rFonts w:hint="default"/>
        <w:lang w:val="en-US" w:eastAsia="en-US" w:bidi="ar-SA"/>
      </w:rPr>
    </w:lvl>
    <w:lvl w:ilvl="5">
      <w:start w:val="0"/>
      <w:numFmt w:val="bullet"/>
      <w:lvlText w:val="•"/>
      <w:lvlJc w:val="left"/>
      <w:pPr>
        <w:ind w:left="6050" w:hanging="720"/>
      </w:pPr>
      <w:rPr>
        <w:rFonts w:hint="default"/>
        <w:lang w:val="en-US" w:eastAsia="en-US" w:bidi="ar-SA"/>
      </w:rPr>
    </w:lvl>
    <w:lvl w:ilvl="6">
      <w:start w:val="0"/>
      <w:numFmt w:val="bullet"/>
      <w:lvlText w:val="•"/>
      <w:lvlJc w:val="left"/>
      <w:pPr>
        <w:ind w:left="6792" w:hanging="720"/>
      </w:pPr>
      <w:rPr>
        <w:rFonts w:hint="default"/>
        <w:lang w:val="en-US" w:eastAsia="en-US" w:bidi="ar-SA"/>
      </w:rPr>
    </w:lvl>
    <w:lvl w:ilvl="7">
      <w:start w:val="0"/>
      <w:numFmt w:val="bullet"/>
      <w:lvlText w:val="•"/>
      <w:lvlJc w:val="left"/>
      <w:pPr>
        <w:ind w:left="7534" w:hanging="720"/>
      </w:pPr>
      <w:rPr>
        <w:rFonts w:hint="default"/>
        <w:lang w:val="en-US" w:eastAsia="en-US" w:bidi="ar-SA"/>
      </w:rPr>
    </w:lvl>
    <w:lvl w:ilvl="8">
      <w:start w:val="0"/>
      <w:numFmt w:val="bullet"/>
      <w:lvlText w:val="•"/>
      <w:lvlJc w:val="left"/>
      <w:pPr>
        <w:ind w:left="8276" w:hanging="720"/>
      </w:pPr>
      <w:rPr>
        <w:rFonts w:hint="default"/>
        <w:lang w:val="en-US" w:eastAsia="en-US" w:bidi="ar-SA"/>
      </w:rPr>
    </w:lvl>
  </w:abstractNum>
  <w:abstractNum w:abstractNumId="18">
    <w:nsid w:val="7BFC38BB"/>
    <w:multiLevelType w:val="multilevel"/>
    <w:tmpl w:val="6464ECB4"/>
    <w:lvl w:ilvl="0">
      <w:start w:val="1"/>
      <w:numFmt w:val="decimal"/>
      <w:lvlText w:val="Q%1."/>
      <w:lvlJc w:val="left"/>
      <w:pPr>
        <w:ind w:left="720" w:hanging="360"/>
      </w:pPr>
      <w:rPr>
        <w:rFonts w:hint="default"/>
        <w:b/>
        <w:i/>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1512"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E2A5646"/>
    <w:multiLevelType w:val="hybridMultilevel"/>
    <w:tmpl w:val="6882A610"/>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5"/>
  </w:num>
  <w:num w:numId="2">
    <w:abstractNumId w:val="17"/>
  </w:num>
  <w:num w:numId="3">
    <w:abstractNumId w:val="16"/>
  </w:num>
  <w:num w:numId="4">
    <w:abstractNumId w:val="14"/>
  </w:num>
  <w:num w:numId="5">
    <w:abstractNumId w:val="5"/>
  </w:num>
  <w:num w:numId="6">
    <w:abstractNumId w:val="4"/>
  </w:num>
  <w:num w:numId="7">
    <w:abstractNumId w:val="9"/>
  </w:num>
  <w:num w:numId="8">
    <w:abstractNumId w:val="18"/>
  </w:num>
  <w:num w:numId="9">
    <w:abstractNumId w:val="7"/>
  </w:num>
  <w:num w:numId="10">
    <w:abstractNumId w:val="2"/>
  </w:num>
  <w:num w:numId="11">
    <w:abstractNumId w:val="10"/>
  </w:num>
  <w:num w:numId="12">
    <w:abstractNumId w:val="0"/>
  </w:num>
  <w:num w:numId="13">
    <w:abstractNumId w:val="6"/>
  </w:num>
  <w:num w:numId="14">
    <w:abstractNumId w:val="13"/>
  </w:num>
  <w:num w:numId="15">
    <w:abstractNumId w:val="12"/>
  </w:num>
  <w:num w:numId="16">
    <w:abstractNumId w:val="8"/>
  </w:num>
  <w:num w:numId="17">
    <w:abstractNumId w:val="1"/>
  </w:num>
  <w:num w:numId="18">
    <w:abstractNumId w:val="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0C"/>
    <w:rsid w:val="0000023E"/>
    <w:rsid w:val="00001326"/>
    <w:rsid w:val="000109F1"/>
    <w:rsid w:val="00013108"/>
    <w:rsid w:val="00014D3D"/>
    <w:rsid w:val="00017D9C"/>
    <w:rsid w:val="00020231"/>
    <w:rsid w:val="0002131B"/>
    <w:rsid w:val="00022840"/>
    <w:rsid w:val="00022D7C"/>
    <w:rsid w:val="000232B4"/>
    <w:rsid w:val="0002528C"/>
    <w:rsid w:val="000301DC"/>
    <w:rsid w:val="0003060A"/>
    <w:rsid w:val="00030AC3"/>
    <w:rsid w:val="00034484"/>
    <w:rsid w:val="000359F0"/>
    <w:rsid w:val="00035D4A"/>
    <w:rsid w:val="0004150D"/>
    <w:rsid w:val="00043F1F"/>
    <w:rsid w:val="000465A1"/>
    <w:rsid w:val="00046F91"/>
    <w:rsid w:val="0005156E"/>
    <w:rsid w:val="0005205C"/>
    <w:rsid w:val="000529F9"/>
    <w:rsid w:val="0005311F"/>
    <w:rsid w:val="00053366"/>
    <w:rsid w:val="00053F27"/>
    <w:rsid w:val="000556A4"/>
    <w:rsid w:val="0005626A"/>
    <w:rsid w:val="00056ACC"/>
    <w:rsid w:val="00057CAF"/>
    <w:rsid w:val="00060FD8"/>
    <w:rsid w:val="000629F1"/>
    <w:rsid w:val="000637C2"/>
    <w:rsid w:val="00063E3F"/>
    <w:rsid w:val="00064A75"/>
    <w:rsid w:val="00064CCE"/>
    <w:rsid w:val="000653D5"/>
    <w:rsid w:val="00065538"/>
    <w:rsid w:val="000672E2"/>
    <w:rsid w:val="00070F5B"/>
    <w:rsid w:val="00072FD1"/>
    <w:rsid w:val="00075A2D"/>
    <w:rsid w:val="00075D9D"/>
    <w:rsid w:val="0007605E"/>
    <w:rsid w:val="00080123"/>
    <w:rsid w:val="0008078B"/>
    <w:rsid w:val="00080CF6"/>
    <w:rsid w:val="00081E39"/>
    <w:rsid w:val="0008256A"/>
    <w:rsid w:val="0009065F"/>
    <w:rsid w:val="0009098F"/>
    <w:rsid w:val="00097DA9"/>
    <w:rsid w:val="000A2D2E"/>
    <w:rsid w:val="000A3F03"/>
    <w:rsid w:val="000A5085"/>
    <w:rsid w:val="000B1D17"/>
    <w:rsid w:val="000B2061"/>
    <w:rsid w:val="000B6153"/>
    <w:rsid w:val="000B7ACC"/>
    <w:rsid w:val="000B7DC7"/>
    <w:rsid w:val="000C0D2A"/>
    <w:rsid w:val="000C1DCF"/>
    <w:rsid w:val="000C2216"/>
    <w:rsid w:val="000D01AC"/>
    <w:rsid w:val="000D17D5"/>
    <w:rsid w:val="000D2643"/>
    <w:rsid w:val="000D27D3"/>
    <w:rsid w:val="000D2D12"/>
    <w:rsid w:val="000D4600"/>
    <w:rsid w:val="000D58D7"/>
    <w:rsid w:val="000E1286"/>
    <w:rsid w:val="000E17D6"/>
    <w:rsid w:val="000E38E7"/>
    <w:rsid w:val="000E6ACB"/>
    <w:rsid w:val="000F035B"/>
    <w:rsid w:val="000F2256"/>
    <w:rsid w:val="000F69F8"/>
    <w:rsid w:val="000F710C"/>
    <w:rsid w:val="001008DC"/>
    <w:rsid w:val="00101BCC"/>
    <w:rsid w:val="001026E3"/>
    <w:rsid w:val="0010381D"/>
    <w:rsid w:val="00106B06"/>
    <w:rsid w:val="00106CFE"/>
    <w:rsid w:val="001078E8"/>
    <w:rsid w:val="00107FB6"/>
    <w:rsid w:val="00110FA6"/>
    <w:rsid w:val="00117754"/>
    <w:rsid w:val="00123CF5"/>
    <w:rsid w:val="00125029"/>
    <w:rsid w:val="001260D3"/>
    <w:rsid w:val="001367A3"/>
    <w:rsid w:val="0013749F"/>
    <w:rsid w:val="00142BA6"/>
    <w:rsid w:val="00142BCF"/>
    <w:rsid w:val="001432BA"/>
    <w:rsid w:val="001448EA"/>
    <w:rsid w:val="00144C7E"/>
    <w:rsid w:val="001462C1"/>
    <w:rsid w:val="00150C63"/>
    <w:rsid w:val="001536BB"/>
    <w:rsid w:val="00155C16"/>
    <w:rsid w:val="0016322F"/>
    <w:rsid w:val="00164A74"/>
    <w:rsid w:val="001666D1"/>
    <w:rsid w:val="0016744B"/>
    <w:rsid w:val="001675CA"/>
    <w:rsid w:val="00167F58"/>
    <w:rsid w:val="001710E3"/>
    <w:rsid w:val="001746FF"/>
    <w:rsid w:val="00177593"/>
    <w:rsid w:val="00177A7E"/>
    <w:rsid w:val="00182DF2"/>
    <w:rsid w:val="0018425F"/>
    <w:rsid w:val="001863E7"/>
    <w:rsid w:val="00192D6B"/>
    <w:rsid w:val="00193CB5"/>
    <w:rsid w:val="00193EA9"/>
    <w:rsid w:val="00194C3C"/>
    <w:rsid w:val="001979BA"/>
    <w:rsid w:val="001A3D76"/>
    <w:rsid w:val="001A4366"/>
    <w:rsid w:val="001A528D"/>
    <w:rsid w:val="001A589D"/>
    <w:rsid w:val="001A5ECE"/>
    <w:rsid w:val="001B133B"/>
    <w:rsid w:val="001B34E8"/>
    <w:rsid w:val="001B6497"/>
    <w:rsid w:val="001C74AF"/>
    <w:rsid w:val="001D4B20"/>
    <w:rsid w:val="001D4FFF"/>
    <w:rsid w:val="001D63C7"/>
    <w:rsid w:val="001D69A7"/>
    <w:rsid w:val="001E053F"/>
    <w:rsid w:val="001E16A5"/>
    <w:rsid w:val="001E2186"/>
    <w:rsid w:val="001E2B69"/>
    <w:rsid w:val="001E34C1"/>
    <w:rsid w:val="001E4276"/>
    <w:rsid w:val="001E4A0D"/>
    <w:rsid w:val="001E4D98"/>
    <w:rsid w:val="001E67C7"/>
    <w:rsid w:val="001F5B23"/>
    <w:rsid w:val="001F6A3C"/>
    <w:rsid w:val="001F6F85"/>
    <w:rsid w:val="00200B32"/>
    <w:rsid w:val="00212ABE"/>
    <w:rsid w:val="00214EEC"/>
    <w:rsid w:val="00222CA6"/>
    <w:rsid w:val="002251A2"/>
    <w:rsid w:val="0022642A"/>
    <w:rsid w:val="00234E62"/>
    <w:rsid w:val="00235E69"/>
    <w:rsid w:val="00241D4F"/>
    <w:rsid w:val="0024272D"/>
    <w:rsid w:val="00242BFB"/>
    <w:rsid w:val="00250174"/>
    <w:rsid w:val="002507A6"/>
    <w:rsid w:val="002526A7"/>
    <w:rsid w:val="00252885"/>
    <w:rsid w:val="00253095"/>
    <w:rsid w:val="00255C21"/>
    <w:rsid w:val="00257467"/>
    <w:rsid w:val="00257D80"/>
    <w:rsid w:val="00260DB9"/>
    <w:rsid w:val="002611CD"/>
    <w:rsid w:val="002614A9"/>
    <w:rsid w:val="00261F9F"/>
    <w:rsid w:val="00265D2D"/>
    <w:rsid w:val="00266C53"/>
    <w:rsid w:val="0027164B"/>
    <w:rsid w:val="0027502D"/>
    <w:rsid w:val="00275E78"/>
    <w:rsid w:val="00276B69"/>
    <w:rsid w:val="00276DAD"/>
    <w:rsid w:val="00277A7F"/>
    <w:rsid w:val="0028619B"/>
    <w:rsid w:val="00287ABE"/>
    <w:rsid w:val="00287EFD"/>
    <w:rsid w:val="002901BD"/>
    <w:rsid w:val="00291BF9"/>
    <w:rsid w:val="002921ED"/>
    <w:rsid w:val="002978E2"/>
    <w:rsid w:val="00297BBC"/>
    <w:rsid w:val="002A16B1"/>
    <w:rsid w:val="002A16B7"/>
    <w:rsid w:val="002A264B"/>
    <w:rsid w:val="002A500C"/>
    <w:rsid w:val="002B14A2"/>
    <w:rsid w:val="002B58E1"/>
    <w:rsid w:val="002B6355"/>
    <w:rsid w:val="002B7132"/>
    <w:rsid w:val="002B7352"/>
    <w:rsid w:val="002B7399"/>
    <w:rsid w:val="002B7DCD"/>
    <w:rsid w:val="002C0A5F"/>
    <w:rsid w:val="002C0A6F"/>
    <w:rsid w:val="002C47CD"/>
    <w:rsid w:val="002C7D9D"/>
    <w:rsid w:val="002D0E63"/>
    <w:rsid w:val="002D1804"/>
    <w:rsid w:val="002D1A1D"/>
    <w:rsid w:val="002D3AF3"/>
    <w:rsid w:val="002D6120"/>
    <w:rsid w:val="002E1339"/>
    <w:rsid w:val="002E2B78"/>
    <w:rsid w:val="002E325B"/>
    <w:rsid w:val="002E54A5"/>
    <w:rsid w:val="002F12E5"/>
    <w:rsid w:val="002F27F0"/>
    <w:rsid w:val="002F3DB6"/>
    <w:rsid w:val="002F5094"/>
    <w:rsid w:val="0030067F"/>
    <w:rsid w:val="00300BB5"/>
    <w:rsid w:val="0030180F"/>
    <w:rsid w:val="00302230"/>
    <w:rsid w:val="003027D0"/>
    <w:rsid w:val="0030587E"/>
    <w:rsid w:val="00311CB8"/>
    <w:rsid w:val="00313BFE"/>
    <w:rsid w:val="00313E91"/>
    <w:rsid w:val="0031412C"/>
    <w:rsid w:val="00314B69"/>
    <w:rsid w:val="003151A7"/>
    <w:rsid w:val="00315951"/>
    <w:rsid w:val="0031650C"/>
    <w:rsid w:val="00316FF3"/>
    <w:rsid w:val="003228C6"/>
    <w:rsid w:val="00322CA4"/>
    <w:rsid w:val="00323135"/>
    <w:rsid w:val="00323B43"/>
    <w:rsid w:val="003243FF"/>
    <w:rsid w:val="003301F5"/>
    <w:rsid w:val="00330FBF"/>
    <w:rsid w:val="00332CAD"/>
    <w:rsid w:val="00333C6C"/>
    <w:rsid w:val="00336716"/>
    <w:rsid w:val="003373FC"/>
    <w:rsid w:val="0034050B"/>
    <w:rsid w:val="00341B20"/>
    <w:rsid w:val="003423D7"/>
    <w:rsid w:val="00344BED"/>
    <w:rsid w:val="00344C14"/>
    <w:rsid w:val="00344CDC"/>
    <w:rsid w:val="003460D5"/>
    <w:rsid w:val="00350285"/>
    <w:rsid w:val="003502C0"/>
    <w:rsid w:val="0035349C"/>
    <w:rsid w:val="00353C49"/>
    <w:rsid w:val="00354CB7"/>
    <w:rsid w:val="00363D8A"/>
    <w:rsid w:val="003641CA"/>
    <w:rsid w:val="003660B1"/>
    <w:rsid w:val="003661D9"/>
    <w:rsid w:val="00372A40"/>
    <w:rsid w:val="00373DD2"/>
    <w:rsid w:val="00374BAC"/>
    <w:rsid w:val="003777D9"/>
    <w:rsid w:val="00380E6A"/>
    <w:rsid w:val="00384B0E"/>
    <w:rsid w:val="003876F4"/>
    <w:rsid w:val="0039013A"/>
    <w:rsid w:val="003912EF"/>
    <w:rsid w:val="0039335A"/>
    <w:rsid w:val="00393364"/>
    <w:rsid w:val="00396E20"/>
    <w:rsid w:val="003973E2"/>
    <w:rsid w:val="00397FD5"/>
    <w:rsid w:val="003A0806"/>
    <w:rsid w:val="003A43F7"/>
    <w:rsid w:val="003A7B9E"/>
    <w:rsid w:val="003A7D85"/>
    <w:rsid w:val="003B0BBB"/>
    <w:rsid w:val="003B5D25"/>
    <w:rsid w:val="003B7109"/>
    <w:rsid w:val="003C00E3"/>
    <w:rsid w:val="003C494E"/>
    <w:rsid w:val="003C59ED"/>
    <w:rsid w:val="003D4C66"/>
    <w:rsid w:val="003D661C"/>
    <w:rsid w:val="003D673C"/>
    <w:rsid w:val="003D7177"/>
    <w:rsid w:val="003E259F"/>
    <w:rsid w:val="003E2A1A"/>
    <w:rsid w:val="003E486D"/>
    <w:rsid w:val="003E52B9"/>
    <w:rsid w:val="003E7C61"/>
    <w:rsid w:val="003E7F99"/>
    <w:rsid w:val="003F283C"/>
    <w:rsid w:val="003F3FA5"/>
    <w:rsid w:val="003F760A"/>
    <w:rsid w:val="004022AF"/>
    <w:rsid w:val="004022FC"/>
    <w:rsid w:val="00402C18"/>
    <w:rsid w:val="00402C7E"/>
    <w:rsid w:val="00406DE9"/>
    <w:rsid w:val="004102AB"/>
    <w:rsid w:val="00410E68"/>
    <w:rsid w:val="00411B8B"/>
    <w:rsid w:val="00412AD1"/>
    <w:rsid w:val="004158E6"/>
    <w:rsid w:val="004170FE"/>
    <w:rsid w:val="004203B1"/>
    <w:rsid w:val="00422293"/>
    <w:rsid w:val="00422A6E"/>
    <w:rsid w:val="004230C0"/>
    <w:rsid w:val="004231AD"/>
    <w:rsid w:val="00423232"/>
    <w:rsid w:val="0042443A"/>
    <w:rsid w:val="0042496A"/>
    <w:rsid w:val="00425E27"/>
    <w:rsid w:val="00430EB2"/>
    <w:rsid w:val="004316D7"/>
    <w:rsid w:val="004336DA"/>
    <w:rsid w:val="004339AE"/>
    <w:rsid w:val="00433ACE"/>
    <w:rsid w:val="004343D2"/>
    <w:rsid w:val="004345AD"/>
    <w:rsid w:val="00437F4A"/>
    <w:rsid w:val="00440F05"/>
    <w:rsid w:val="00442050"/>
    <w:rsid w:val="00442D3F"/>
    <w:rsid w:val="004451B5"/>
    <w:rsid w:val="004455E7"/>
    <w:rsid w:val="0044758A"/>
    <w:rsid w:val="0044766E"/>
    <w:rsid w:val="004502DF"/>
    <w:rsid w:val="00450539"/>
    <w:rsid w:val="004513A3"/>
    <w:rsid w:val="004515CC"/>
    <w:rsid w:val="00451B8A"/>
    <w:rsid w:val="004531F2"/>
    <w:rsid w:val="004552CF"/>
    <w:rsid w:val="004559B8"/>
    <w:rsid w:val="00455BF4"/>
    <w:rsid w:val="00457038"/>
    <w:rsid w:val="00461449"/>
    <w:rsid w:val="00461B76"/>
    <w:rsid w:val="004641F0"/>
    <w:rsid w:val="00471C6B"/>
    <w:rsid w:val="00473478"/>
    <w:rsid w:val="00473C58"/>
    <w:rsid w:val="0047686F"/>
    <w:rsid w:val="00476DC2"/>
    <w:rsid w:val="0048202F"/>
    <w:rsid w:val="0048220C"/>
    <w:rsid w:val="00493DD8"/>
    <w:rsid w:val="00494C66"/>
    <w:rsid w:val="00497F31"/>
    <w:rsid w:val="004A1B35"/>
    <w:rsid w:val="004A27C0"/>
    <w:rsid w:val="004A3825"/>
    <w:rsid w:val="004A4BEE"/>
    <w:rsid w:val="004B216C"/>
    <w:rsid w:val="004B7D6F"/>
    <w:rsid w:val="004C0219"/>
    <w:rsid w:val="004C18C8"/>
    <w:rsid w:val="004C2292"/>
    <w:rsid w:val="004C33FA"/>
    <w:rsid w:val="004C4A5F"/>
    <w:rsid w:val="004C4F9C"/>
    <w:rsid w:val="004C5F74"/>
    <w:rsid w:val="004D0582"/>
    <w:rsid w:val="004D1FBE"/>
    <w:rsid w:val="004D36FC"/>
    <w:rsid w:val="004D6228"/>
    <w:rsid w:val="004D6475"/>
    <w:rsid w:val="004D73C1"/>
    <w:rsid w:val="004E33BC"/>
    <w:rsid w:val="004F12E3"/>
    <w:rsid w:val="004F1FAF"/>
    <w:rsid w:val="004F293D"/>
    <w:rsid w:val="004F2CBD"/>
    <w:rsid w:val="004F5172"/>
    <w:rsid w:val="005001AB"/>
    <w:rsid w:val="00501C91"/>
    <w:rsid w:val="00504396"/>
    <w:rsid w:val="00505AE7"/>
    <w:rsid w:val="00505FE8"/>
    <w:rsid w:val="005071CE"/>
    <w:rsid w:val="00511EDB"/>
    <w:rsid w:val="00515FE6"/>
    <w:rsid w:val="005208E0"/>
    <w:rsid w:val="0052098F"/>
    <w:rsid w:val="00521A81"/>
    <w:rsid w:val="0052260E"/>
    <w:rsid w:val="005233C5"/>
    <w:rsid w:val="005250A8"/>
    <w:rsid w:val="005267EA"/>
    <w:rsid w:val="00533E07"/>
    <w:rsid w:val="00535D0C"/>
    <w:rsid w:val="005364E5"/>
    <w:rsid w:val="00542346"/>
    <w:rsid w:val="00543B66"/>
    <w:rsid w:val="00552F86"/>
    <w:rsid w:val="00553361"/>
    <w:rsid w:val="00553D28"/>
    <w:rsid w:val="0055574E"/>
    <w:rsid w:val="00560EFE"/>
    <w:rsid w:val="00562083"/>
    <w:rsid w:val="00563DE6"/>
    <w:rsid w:val="005717D8"/>
    <w:rsid w:val="0057453A"/>
    <w:rsid w:val="0057455B"/>
    <w:rsid w:val="00574B5B"/>
    <w:rsid w:val="00580F29"/>
    <w:rsid w:val="0058187A"/>
    <w:rsid w:val="00584D03"/>
    <w:rsid w:val="00585605"/>
    <w:rsid w:val="005865A4"/>
    <w:rsid w:val="00597873"/>
    <w:rsid w:val="005A6F68"/>
    <w:rsid w:val="005A7176"/>
    <w:rsid w:val="005A71B9"/>
    <w:rsid w:val="005B02DF"/>
    <w:rsid w:val="005B157E"/>
    <w:rsid w:val="005B16D3"/>
    <w:rsid w:val="005B195E"/>
    <w:rsid w:val="005B1B6D"/>
    <w:rsid w:val="005B365E"/>
    <w:rsid w:val="005B3808"/>
    <w:rsid w:val="005B7E35"/>
    <w:rsid w:val="005C0EAF"/>
    <w:rsid w:val="005C2536"/>
    <w:rsid w:val="005C29F1"/>
    <w:rsid w:val="005C53F7"/>
    <w:rsid w:val="005C604D"/>
    <w:rsid w:val="005C6D35"/>
    <w:rsid w:val="005C7EFB"/>
    <w:rsid w:val="005D044D"/>
    <w:rsid w:val="005D0FA7"/>
    <w:rsid w:val="005D1F73"/>
    <w:rsid w:val="005D3D5B"/>
    <w:rsid w:val="005D4C0E"/>
    <w:rsid w:val="005D50E1"/>
    <w:rsid w:val="005D687F"/>
    <w:rsid w:val="005E0539"/>
    <w:rsid w:val="005E090A"/>
    <w:rsid w:val="005E27AD"/>
    <w:rsid w:val="005E4786"/>
    <w:rsid w:val="005E5EAB"/>
    <w:rsid w:val="005F3CD8"/>
    <w:rsid w:val="005F40CC"/>
    <w:rsid w:val="005F4206"/>
    <w:rsid w:val="005F7295"/>
    <w:rsid w:val="00601CC6"/>
    <w:rsid w:val="00602361"/>
    <w:rsid w:val="00603AD5"/>
    <w:rsid w:val="00603CC0"/>
    <w:rsid w:val="00604CCD"/>
    <w:rsid w:val="006052F5"/>
    <w:rsid w:val="006069A3"/>
    <w:rsid w:val="00606AD8"/>
    <w:rsid w:val="00614A6C"/>
    <w:rsid w:val="0061504D"/>
    <w:rsid w:val="00623BEE"/>
    <w:rsid w:val="006240FE"/>
    <w:rsid w:val="00625E6A"/>
    <w:rsid w:val="006261E3"/>
    <w:rsid w:val="006303F5"/>
    <w:rsid w:val="006305B7"/>
    <w:rsid w:val="0063087C"/>
    <w:rsid w:val="00630DD9"/>
    <w:rsid w:val="00634341"/>
    <w:rsid w:val="0064038C"/>
    <w:rsid w:val="0064102B"/>
    <w:rsid w:val="00641A6C"/>
    <w:rsid w:val="00641C25"/>
    <w:rsid w:val="00643483"/>
    <w:rsid w:val="006441F1"/>
    <w:rsid w:val="00644B1D"/>
    <w:rsid w:val="00646A10"/>
    <w:rsid w:val="00646D22"/>
    <w:rsid w:val="00653EA3"/>
    <w:rsid w:val="00653F8A"/>
    <w:rsid w:val="006557F1"/>
    <w:rsid w:val="00657B5E"/>
    <w:rsid w:val="00657BFB"/>
    <w:rsid w:val="00661597"/>
    <w:rsid w:val="006620B5"/>
    <w:rsid w:val="00663874"/>
    <w:rsid w:val="00672BA5"/>
    <w:rsid w:val="00681BC4"/>
    <w:rsid w:val="00681DB3"/>
    <w:rsid w:val="006857E7"/>
    <w:rsid w:val="006862C8"/>
    <w:rsid w:val="00687157"/>
    <w:rsid w:val="00690689"/>
    <w:rsid w:val="00692409"/>
    <w:rsid w:val="006956ED"/>
    <w:rsid w:val="00696E86"/>
    <w:rsid w:val="006970ED"/>
    <w:rsid w:val="00697C99"/>
    <w:rsid w:val="006A085C"/>
    <w:rsid w:val="006A3286"/>
    <w:rsid w:val="006A4426"/>
    <w:rsid w:val="006A52F3"/>
    <w:rsid w:val="006A5A53"/>
    <w:rsid w:val="006A7E2F"/>
    <w:rsid w:val="006B1A58"/>
    <w:rsid w:val="006B342B"/>
    <w:rsid w:val="006B6EA4"/>
    <w:rsid w:val="006C29CE"/>
    <w:rsid w:val="006C4846"/>
    <w:rsid w:val="006C64B5"/>
    <w:rsid w:val="006C6709"/>
    <w:rsid w:val="006D0DE0"/>
    <w:rsid w:val="006D501F"/>
    <w:rsid w:val="006E138F"/>
    <w:rsid w:val="006E4588"/>
    <w:rsid w:val="006E4D0F"/>
    <w:rsid w:val="006E5056"/>
    <w:rsid w:val="006E5C8E"/>
    <w:rsid w:val="006E6074"/>
    <w:rsid w:val="006E6D4A"/>
    <w:rsid w:val="006F1BC1"/>
    <w:rsid w:val="006F2CD8"/>
    <w:rsid w:val="00701107"/>
    <w:rsid w:val="007122F6"/>
    <w:rsid w:val="0071305F"/>
    <w:rsid w:val="00715138"/>
    <w:rsid w:val="00722C74"/>
    <w:rsid w:val="00723B2C"/>
    <w:rsid w:val="00726125"/>
    <w:rsid w:val="00726B65"/>
    <w:rsid w:val="00727533"/>
    <w:rsid w:val="00733D06"/>
    <w:rsid w:val="007344F6"/>
    <w:rsid w:val="00735017"/>
    <w:rsid w:val="007357CB"/>
    <w:rsid w:val="00736963"/>
    <w:rsid w:val="0073767F"/>
    <w:rsid w:val="00737C43"/>
    <w:rsid w:val="007442E5"/>
    <w:rsid w:val="0074663C"/>
    <w:rsid w:val="00751166"/>
    <w:rsid w:val="00753942"/>
    <w:rsid w:val="00755469"/>
    <w:rsid w:val="00761511"/>
    <w:rsid w:val="00762596"/>
    <w:rsid w:val="00764B11"/>
    <w:rsid w:val="00765F27"/>
    <w:rsid w:val="007677B4"/>
    <w:rsid w:val="00767E26"/>
    <w:rsid w:val="00770625"/>
    <w:rsid w:val="0077659B"/>
    <w:rsid w:val="00776C96"/>
    <w:rsid w:val="00782795"/>
    <w:rsid w:val="00791716"/>
    <w:rsid w:val="00792A71"/>
    <w:rsid w:val="00794AB9"/>
    <w:rsid w:val="00795285"/>
    <w:rsid w:val="007954B0"/>
    <w:rsid w:val="007A347C"/>
    <w:rsid w:val="007A393A"/>
    <w:rsid w:val="007A5521"/>
    <w:rsid w:val="007A5BB2"/>
    <w:rsid w:val="007A7BDE"/>
    <w:rsid w:val="007A7E32"/>
    <w:rsid w:val="007B151B"/>
    <w:rsid w:val="007B38E4"/>
    <w:rsid w:val="007B68B8"/>
    <w:rsid w:val="007B757B"/>
    <w:rsid w:val="007B7A1A"/>
    <w:rsid w:val="007C0D5D"/>
    <w:rsid w:val="007C2413"/>
    <w:rsid w:val="007C3A56"/>
    <w:rsid w:val="007C596F"/>
    <w:rsid w:val="007C5EB9"/>
    <w:rsid w:val="007C614F"/>
    <w:rsid w:val="007D25CA"/>
    <w:rsid w:val="007D2769"/>
    <w:rsid w:val="007D4C44"/>
    <w:rsid w:val="007D58E1"/>
    <w:rsid w:val="007D6D10"/>
    <w:rsid w:val="007E08CA"/>
    <w:rsid w:val="007E1B9F"/>
    <w:rsid w:val="007E7797"/>
    <w:rsid w:val="007F008D"/>
    <w:rsid w:val="007F2A62"/>
    <w:rsid w:val="007F5BF5"/>
    <w:rsid w:val="00803B1C"/>
    <w:rsid w:val="00805845"/>
    <w:rsid w:val="00807E5C"/>
    <w:rsid w:val="008114CD"/>
    <w:rsid w:val="008121CD"/>
    <w:rsid w:val="00812E9F"/>
    <w:rsid w:val="00813F6E"/>
    <w:rsid w:val="00814898"/>
    <w:rsid w:val="0081539E"/>
    <w:rsid w:val="00816F2B"/>
    <w:rsid w:val="00817095"/>
    <w:rsid w:val="00817CA9"/>
    <w:rsid w:val="008247A6"/>
    <w:rsid w:val="00825CAD"/>
    <w:rsid w:val="00826888"/>
    <w:rsid w:val="008276F3"/>
    <w:rsid w:val="00832FD6"/>
    <w:rsid w:val="00836BB2"/>
    <w:rsid w:val="00837B58"/>
    <w:rsid w:val="008400E4"/>
    <w:rsid w:val="0084078A"/>
    <w:rsid w:val="00842F38"/>
    <w:rsid w:val="0084311A"/>
    <w:rsid w:val="008434B0"/>
    <w:rsid w:val="0084454D"/>
    <w:rsid w:val="00845066"/>
    <w:rsid w:val="008453D2"/>
    <w:rsid w:val="00846234"/>
    <w:rsid w:val="00846260"/>
    <w:rsid w:val="00846A6D"/>
    <w:rsid w:val="00846E5F"/>
    <w:rsid w:val="008476E2"/>
    <w:rsid w:val="00850652"/>
    <w:rsid w:val="008519F3"/>
    <w:rsid w:val="008520CA"/>
    <w:rsid w:val="0085420A"/>
    <w:rsid w:val="008575FA"/>
    <w:rsid w:val="0085773C"/>
    <w:rsid w:val="008626C4"/>
    <w:rsid w:val="00862ACA"/>
    <w:rsid w:val="00863FF9"/>
    <w:rsid w:val="00865278"/>
    <w:rsid w:val="0086768A"/>
    <w:rsid w:val="0087330F"/>
    <w:rsid w:val="0087445F"/>
    <w:rsid w:val="008746DF"/>
    <w:rsid w:val="00875955"/>
    <w:rsid w:val="00876F52"/>
    <w:rsid w:val="008771FE"/>
    <w:rsid w:val="00882186"/>
    <w:rsid w:val="0088405C"/>
    <w:rsid w:val="00885A54"/>
    <w:rsid w:val="00885B51"/>
    <w:rsid w:val="0088749D"/>
    <w:rsid w:val="00887B7B"/>
    <w:rsid w:val="00891640"/>
    <w:rsid w:val="00892457"/>
    <w:rsid w:val="00892482"/>
    <w:rsid w:val="0089485F"/>
    <w:rsid w:val="00894A5A"/>
    <w:rsid w:val="00894B0C"/>
    <w:rsid w:val="00895129"/>
    <w:rsid w:val="00895ABE"/>
    <w:rsid w:val="00896E29"/>
    <w:rsid w:val="008978AE"/>
    <w:rsid w:val="00897FDC"/>
    <w:rsid w:val="008A00E7"/>
    <w:rsid w:val="008A1B8D"/>
    <w:rsid w:val="008A47B6"/>
    <w:rsid w:val="008A5035"/>
    <w:rsid w:val="008A6CC9"/>
    <w:rsid w:val="008B0309"/>
    <w:rsid w:val="008B115D"/>
    <w:rsid w:val="008B2264"/>
    <w:rsid w:val="008B32E7"/>
    <w:rsid w:val="008B62E8"/>
    <w:rsid w:val="008C1C96"/>
    <w:rsid w:val="008C36E9"/>
    <w:rsid w:val="008C3D1B"/>
    <w:rsid w:val="008C4C0E"/>
    <w:rsid w:val="008C5DCB"/>
    <w:rsid w:val="008C60E7"/>
    <w:rsid w:val="008C74DD"/>
    <w:rsid w:val="008D07BE"/>
    <w:rsid w:val="008D0A81"/>
    <w:rsid w:val="008D2AC5"/>
    <w:rsid w:val="008D3069"/>
    <w:rsid w:val="008D35D2"/>
    <w:rsid w:val="008D5EAE"/>
    <w:rsid w:val="008D65F5"/>
    <w:rsid w:val="008D7D86"/>
    <w:rsid w:val="008E0D36"/>
    <w:rsid w:val="008E2D6E"/>
    <w:rsid w:val="008E3F9F"/>
    <w:rsid w:val="008E5CC6"/>
    <w:rsid w:val="008F0B9A"/>
    <w:rsid w:val="008F25A0"/>
    <w:rsid w:val="008F4B17"/>
    <w:rsid w:val="00900226"/>
    <w:rsid w:val="009059BF"/>
    <w:rsid w:val="00906BA0"/>
    <w:rsid w:val="00907987"/>
    <w:rsid w:val="0091007F"/>
    <w:rsid w:val="009101E3"/>
    <w:rsid w:val="00911F48"/>
    <w:rsid w:val="0091296D"/>
    <w:rsid w:val="00913718"/>
    <w:rsid w:val="00913972"/>
    <w:rsid w:val="009158CD"/>
    <w:rsid w:val="009168C3"/>
    <w:rsid w:val="00925AF1"/>
    <w:rsid w:val="00926D02"/>
    <w:rsid w:val="009272AD"/>
    <w:rsid w:val="00933190"/>
    <w:rsid w:val="00935FC9"/>
    <w:rsid w:val="00937B98"/>
    <w:rsid w:val="00942847"/>
    <w:rsid w:val="00942B6C"/>
    <w:rsid w:val="00943AC9"/>
    <w:rsid w:val="009454C3"/>
    <w:rsid w:val="00945F60"/>
    <w:rsid w:val="00947781"/>
    <w:rsid w:val="009501BA"/>
    <w:rsid w:val="00954CE4"/>
    <w:rsid w:val="00957273"/>
    <w:rsid w:val="009613FE"/>
    <w:rsid w:val="0096164B"/>
    <w:rsid w:val="00965BE8"/>
    <w:rsid w:val="009665D4"/>
    <w:rsid w:val="00967200"/>
    <w:rsid w:val="00970DD2"/>
    <w:rsid w:val="009711CD"/>
    <w:rsid w:val="00975914"/>
    <w:rsid w:val="009860E2"/>
    <w:rsid w:val="00987029"/>
    <w:rsid w:val="00997767"/>
    <w:rsid w:val="009A2F23"/>
    <w:rsid w:val="009A374A"/>
    <w:rsid w:val="009A4824"/>
    <w:rsid w:val="009A4988"/>
    <w:rsid w:val="009A50D8"/>
    <w:rsid w:val="009A6CD2"/>
    <w:rsid w:val="009A6EB3"/>
    <w:rsid w:val="009A744F"/>
    <w:rsid w:val="009A7F96"/>
    <w:rsid w:val="009B0B57"/>
    <w:rsid w:val="009B6079"/>
    <w:rsid w:val="009B6F27"/>
    <w:rsid w:val="009B78B4"/>
    <w:rsid w:val="009C0DA3"/>
    <w:rsid w:val="009C34B1"/>
    <w:rsid w:val="009D0363"/>
    <w:rsid w:val="009D1141"/>
    <w:rsid w:val="009D2164"/>
    <w:rsid w:val="009D26D8"/>
    <w:rsid w:val="009D6801"/>
    <w:rsid w:val="009D7C81"/>
    <w:rsid w:val="009E1A7A"/>
    <w:rsid w:val="009E1DE0"/>
    <w:rsid w:val="009E4958"/>
    <w:rsid w:val="009E5341"/>
    <w:rsid w:val="009E6763"/>
    <w:rsid w:val="009E73AE"/>
    <w:rsid w:val="009F120B"/>
    <w:rsid w:val="009F23A7"/>
    <w:rsid w:val="009F299D"/>
    <w:rsid w:val="009F2D7A"/>
    <w:rsid w:val="009F38FA"/>
    <w:rsid w:val="009F5685"/>
    <w:rsid w:val="009F6573"/>
    <w:rsid w:val="00A0096C"/>
    <w:rsid w:val="00A02943"/>
    <w:rsid w:val="00A02CC0"/>
    <w:rsid w:val="00A042C9"/>
    <w:rsid w:val="00A049FD"/>
    <w:rsid w:val="00A0707A"/>
    <w:rsid w:val="00A14034"/>
    <w:rsid w:val="00A14EC9"/>
    <w:rsid w:val="00A158E7"/>
    <w:rsid w:val="00A15F3E"/>
    <w:rsid w:val="00A255D3"/>
    <w:rsid w:val="00A259CE"/>
    <w:rsid w:val="00A26C2D"/>
    <w:rsid w:val="00A26E4A"/>
    <w:rsid w:val="00A270AD"/>
    <w:rsid w:val="00A27DB8"/>
    <w:rsid w:val="00A32C99"/>
    <w:rsid w:val="00A33467"/>
    <w:rsid w:val="00A34069"/>
    <w:rsid w:val="00A35030"/>
    <w:rsid w:val="00A35D5F"/>
    <w:rsid w:val="00A36F36"/>
    <w:rsid w:val="00A41015"/>
    <w:rsid w:val="00A42B04"/>
    <w:rsid w:val="00A43C53"/>
    <w:rsid w:val="00A473F4"/>
    <w:rsid w:val="00A474FD"/>
    <w:rsid w:val="00A47DB1"/>
    <w:rsid w:val="00A523BD"/>
    <w:rsid w:val="00A55B9E"/>
    <w:rsid w:val="00A56FB2"/>
    <w:rsid w:val="00A57878"/>
    <w:rsid w:val="00A57EDF"/>
    <w:rsid w:val="00A6407C"/>
    <w:rsid w:val="00A654CF"/>
    <w:rsid w:val="00A6564C"/>
    <w:rsid w:val="00A71A45"/>
    <w:rsid w:val="00A73B77"/>
    <w:rsid w:val="00A81D67"/>
    <w:rsid w:val="00A81E2A"/>
    <w:rsid w:val="00A839A3"/>
    <w:rsid w:val="00A83A97"/>
    <w:rsid w:val="00A85C41"/>
    <w:rsid w:val="00A865C4"/>
    <w:rsid w:val="00A86B46"/>
    <w:rsid w:val="00A952EA"/>
    <w:rsid w:val="00A95FE8"/>
    <w:rsid w:val="00A9623D"/>
    <w:rsid w:val="00A971AA"/>
    <w:rsid w:val="00A97C59"/>
    <w:rsid w:val="00AA0323"/>
    <w:rsid w:val="00AA1D92"/>
    <w:rsid w:val="00AA2C14"/>
    <w:rsid w:val="00AA3658"/>
    <w:rsid w:val="00AA431B"/>
    <w:rsid w:val="00AA784C"/>
    <w:rsid w:val="00AA785D"/>
    <w:rsid w:val="00AB1B83"/>
    <w:rsid w:val="00AB1FB6"/>
    <w:rsid w:val="00AB2DE0"/>
    <w:rsid w:val="00AC18BD"/>
    <w:rsid w:val="00AC2F5C"/>
    <w:rsid w:val="00AC2FEB"/>
    <w:rsid w:val="00AC3105"/>
    <w:rsid w:val="00AC316E"/>
    <w:rsid w:val="00AC4F5C"/>
    <w:rsid w:val="00AD68D9"/>
    <w:rsid w:val="00AE1DCD"/>
    <w:rsid w:val="00AE21EC"/>
    <w:rsid w:val="00AE2FB2"/>
    <w:rsid w:val="00AE5447"/>
    <w:rsid w:val="00AF01A1"/>
    <w:rsid w:val="00AF06F9"/>
    <w:rsid w:val="00AF229E"/>
    <w:rsid w:val="00AF32B7"/>
    <w:rsid w:val="00AF4AB5"/>
    <w:rsid w:val="00AF643D"/>
    <w:rsid w:val="00AF6A5C"/>
    <w:rsid w:val="00B030F9"/>
    <w:rsid w:val="00B031AD"/>
    <w:rsid w:val="00B04707"/>
    <w:rsid w:val="00B10BB2"/>
    <w:rsid w:val="00B12553"/>
    <w:rsid w:val="00B12605"/>
    <w:rsid w:val="00B13144"/>
    <w:rsid w:val="00B13E38"/>
    <w:rsid w:val="00B20B5E"/>
    <w:rsid w:val="00B21AEA"/>
    <w:rsid w:val="00B240FC"/>
    <w:rsid w:val="00B24F68"/>
    <w:rsid w:val="00B322A8"/>
    <w:rsid w:val="00B34BD9"/>
    <w:rsid w:val="00B408CA"/>
    <w:rsid w:val="00B42344"/>
    <w:rsid w:val="00B43305"/>
    <w:rsid w:val="00B438BF"/>
    <w:rsid w:val="00B43F2A"/>
    <w:rsid w:val="00B45278"/>
    <w:rsid w:val="00B46387"/>
    <w:rsid w:val="00B464ED"/>
    <w:rsid w:val="00B518D1"/>
    <w:rsid w:val="00B53B1C"/>
    <w:rsid w:val="00B55BE8"/>
    <w:rsid w:val="00B57F0C"/>
    <w:rsid w:val="00B60A91"/>
    <w:rsid w:val="00B626CB"/>
    <w:rsid w:val="00B64744"/>
    <w:rsid w:val="00B648AE"/>
    <w:rsid w:val="00B66D1C"/>
    <w:rsid w:val="00B670BF"/>
    <w:rsid w:val="00B6723A"/>
    <w:rsid w:val="00B74A10"/>
    <w:rsid w:val="00B74B96"/>
    <w:rsid w:val="00B74DF5"/>
    <w:rsid w:val="00B7557E"/>
    <w:rsid w:val="00B7565D"/>
    <w:rsid w:val="00B77707"/>
    <w:rsid w:val="00B80313"/>
    <w:rsid w:val="00B8073F"/>
    <w:rsid w:val="00B83247"/>
    <w:rsid w:val="00B84642"/>
    <w:rsid w:val="00B86748"/>
    <w:rsid w:val="00B8756B"/>
    <w:rsid w:val="00B9010A"/>
    <w:rsid w:val="00B95412"/>
    <w:rsid w:val="00B95D16"/>
    <w:rsid w:val="00B9743B"/>
    <w:rsid w:val="00B97C63"/>
    <w:rsid w:val="00BA18BA"/>
    <w:rsid w:val="00BA1ADE"/>
    <w:rsid w:val="00BB0D9D"/>
    <w:rsid w:val="00BB267C"/>
    <w:rsid w:val="00BB383D"/>
    <w:rsid w:val="00BB453F"/>
    <w:rsid w:val="00BB76FD"/>
    <w:rsid w:val="00BC0EDC"/>
    <w:rsid w:val="00BC1814"/>
    <w:rsid w:val="00BC1D00"/>
    <w:rsid w:val="00BC29E6"/>
    <w:rsid w:val="00BC448B"/>
    <w:rsid w:val="00BC4F97"/>
    <w:rsid w:val="00BC5E5C"/>
    <w:rsid w:val="00BC60F1"/>
    <w:rsid w:val="00BD046F"/>
    <w:rsid w:val="00BD2FCA"/>
    <w:rsid w:val="00BD37E8"/>
    <w:rsid w:val="00BD46F1"/>
    <w:rsid w:val="00BD49A5"/>
    <w:rsid w:val="00BD51D6"/>
    <w:rsid w:val="00BD63BB"/>
    <w:rsid w:val="00BE01AE"/>
    <w:rsid w:val="00BE3C3E"/>
    <w:rsid w:val="00BE4EBC"/>
    <w:rsid w:val="00BF174C"/>
    <w:rsid w:val="00BF1795"/>
    <w:rsid w:val="00BF3095"/>
    <w:rsid w:val="00BF4568"/>
    <w:rsid w:val="00BF5102"/>
    <w:rsid w:val="00C01EEE"/>
    <w:rsid w:val="00C02D45"/>
    <w:rsid w:val="00C041F2"/>
    <w:rsid w:val="00C04407"/>
    <w:rsid w:val="00C065F7"/>
    <w:rsid w:val="00C0696A"/>
    <w:rsid w:val="00C069C3"/>
    <w:rsid w:val="00C074B4"/>
    <w:rsid w:val="00C10876"/>
    <w:rsid w:val="00C16D00"/>
    <w:rsid w:val="00C20098"/>
    <w:rsid w:val="00C21058"/>
    <w:rsid w:val="00C2772D"/>
    <w:rsid w:val="00C30C1E"/>
    <w:rsid w:val="00C31DF0"/>
    <w:rsid w:val="00C33353"/>
    <w:rsid w:val="00C336CE"/>
    <w:rsid w:val="00C350C8"/>
    <w:rsid w:val="00C361D5"/>
    <w:rsid w:val="00C37228"/>
    <w:rsid w:val="00C37355"/>
    <w:rsid w:val="00C377B3"/>
    <w:rsid w:val="00C37ECD"/>
    <w:rsid w:val="00C40684"/>
    <w:rsid w:val="00C42F5A"/>
    <w:rsid w:val="00C43D52"/>
    <w:rsid w:val="00C46E85"/>
    <w:rsid w:val="00C47B32"/>
    <w:rsid w:val="00C511C0"/>
    <w:rsid w:val="00C52333"/>
    <w:rsid w:val="00C5672D"/>
    <w:rsid w:val="00C56ACD"/>
    <w:rsid w:val="00C62456"/>
    <w:rsid w:val="00C64F12"/>
    <w:rsid w:val="00C66295"/>
    <w:rsid w:val="00C71912"/>
    <w:rsid w:val="00C73908"/>
    <w:rsid w:val="00C77078"/>
    <w:rsid w:val="00C8128A"/>
    <w:rsid w:val="00C82C80"/>
    <w:rsid w:val="00C84336"/>
    <w:rsid w:val="00C84642"/>
    <w:rsid w:val="00C871ED"/>
    <w:rsid w:val="00C903A1"/>
    <w:rsid w:val="00C90809"/>
    <w:rsid w:val="00C93F25"/>
    <w:rsid w:val="00CA1CA2"/>
    <w:rsid w:val="00CA4E52"/>
    <w:rsid w:val="00CA609B"/>
    <w:rsid w:val="00CA6CA0"/>
    <w:rsid w:val="00CB0C47"/>
    <w:rsid w:val="00CB1C01"/>
    <w:rsid w:val="00CB3325"/>
    <w:rsid w:val="00CB525D"/>
    <w:rsid w:val="00CB6267"/>
    <w:rsid w:val="00CB74CF"/>
    <w:rsid w:val="00CC03EA"/>
    <w:rsid w:val="00CC1994"/>
    <w:rsid w:val="00CC1BE7"/>
    <w:rsid w:val="00CC3CC8"/>
    <w:rsid w:val="00CC6041"/>
    <w:rsid w:val="00CC69B9"/>
    <w:rsid w:val="00CD5DC4"/>
    <w:rsid w:val="00CD65BC"/>
    <w:rsid w:val="00CD6736"/>
    <w:rsid w:val="00CD6986"/>
    <w:rsid w:val="00CE31A6"/>
    <w:rsid w:val="00CE75AF"/>
    <w:rsid w:val="00CE7FA7"/>
    <w:rsid w:val="00CF02B4"/>
    <w:rsid w:val="00CF348D"/>
    <w:rsid w:val="00CF41A2"/>
    <w:rsid w:val="00CF4E67"/>
    <w:rsid w:val="00D03FBE"/>
    <w:rsid w:val="00D05E56"/>
    <w:rsid w:val="00D07A1E"/>
    <w:rsid w:val="00D10DF8"/>
    <w:rsid w:val="00D12035"/>
    <w:rsid w:val="00D13B72"/>
    <w:rsid w:val="00D22E08"/>
    <w:rsid w:val="00D2467A"/>
    <w:rsid w:val="00D26D67"/>
    <w:rsid w:val="00D32F7E"/>
    <w:rsid w:val="00D36967"/>
    <w:rsid w:val="00D37F33"/>
    <w:rsid w:val="00D41289"/>
    <w:rsid w:val="00D41F79"/>
    <w:rsid w:val="00D423D1"/>
    <w:rsid w:val="00D42597"/>
    <w:rsid w:val="00D42FBC"/>
    <w:rsid w:val="00D46CE9"/>
    <w:rsid w:val="00D474A5"/>
    <w:rsid w:val="00D478B3"/>
    <w:rsid w:val="00D50A03"/>
    <w:rsid w:val="00D51C3C"/>
    <w:rsid w:val="00D526F6"/>
    <w:rsid w:val="00D53D42"/>
    <w:rsid w:val="00D56458"/>
    <w:rsid w:val="00D564CB"/>
    <w:rsid w:val="00D56BFF"/>
    <w:rsid w:val="00D60E95"/>
    <w:rsid w:val="00D632C2"/>
    <w:rsid w:val="00D643FE"/>
    <w:rsid w:val="00D66C3E"/>
    <w:rsid w:val="00D70022"/>
    <w:rsid w:val="00D70AE7"/>
    <w:rsid w:val="00D72805"/>
    <w:rsid w:val="00D73560"/>
    <w:rsid w:val="00D74F7A"/>
    <w:rsid w:val="00D76A13"/>
    <w:rsid w:val="00D76F77"/>
    <w:rsid w:val="00D80009"/>
    <w:rsid w:val="00D85FAF"/>
    <w:rsid w:val="00D92F2F"/>
    <w:rsid w:val="00D93658"/>
    <w:rsid w:val="00D93A26"/>
    <w:rsid w:val="00D95EAD"/>
    <w:rsid w:val="00DA4C4A"/>
    <w:rsid w:val="00DA63A2"/>
    <w:rsid w:val="00DA6D60"/>
    <w:rsid w:val="00DB06BB"/>
    <w:rsid w:val="00DB39DF"/>
    <w:rsid w:val="00DB4D37"/>
    <w:rsid w:val="00DC03C9"/>
    <w:rsid w:val="00DC1A7A"/>
    <w:rsid w:val="00DC52A9"/>
    <w:rsid w:val="00DC5540"/>
    <w:rsid w:val="00DC6D7E"/>
    <w:rsid w:val="00DD192D"/>
    <w:rsid w:val="00DD1A95"/>
    <w:rsid w:val="00DD3181"/>
    <w:rsid w:val="00DD5E74"/>
    <w:rsid w:val="00DD6047"/>
    <w:rsid w:val="00DD62F1"/>
    <w:rsid w:val="00DE3058"/>
    <w:rsid w:val="00DE4725"/>
    <w:rsid w:val="00DE535C"/>
    <w:rsid w:val="00DF022D"/>
    <w:rsid w:val="00DF1CE1"/>
    <w:rsid w:val="00DF1D60"/>
    <w:rsid w:val="00DF4FED"/>
    <w:rsid w:val="00DF6E56"/>
    <w:rsid w:val="00DF7C3C"/>
    <w:rsid w:val="00E00454"/>
    <w:rsid w:val="00E00700"/>
    <w:rsid w:val="00E00C81"/>
    <w:rsid w:val="00E0147D"/>
    <w:rsid w:val="00E05855"/>
    <w:rsid w:val="00E05C22"/>
    <w:rsid w:val="00E05CEE"/>
    <w:rsid w:val="00E07547"/>
    <w:rsid w:val="00E07C43"/>
    <w:rsid w:val="00E10A43"/>
    <w:rsid w:val="00E12889"/>
    <w:rsid w:val="00E12974"/>
    <w:rsid w:val="00E14271"/>
    <w:rsid w:val="00E146D9"/>
    <w:rsid w:val="00E15E38"/>
    <w:rsid w:val="00E164BE"/>
    <w:rsid w:val="00E1664B"/>
    <w:rsid w:val="00E20854"/>
    <w:rsid w:val="00E232F6"/>
    <w:rsid w:val="00E2498E"/>
    <w:rsid w:val="00E26E4B"/>
    <w:rsid w:val="00E26FFD"/>
    <w:rsid w:val="00E31CFA"/>
    <w:rsid w:val="00E333C1"/>
    <w:rsid w:val="00E3422C"/>
    <w:rsid w:val="00E3498D"/>
    <w:rsid w:val="00E351CC"/>
    <w:rsid w:val="00E35701"/>
    <w:rsid w:val="00E369E2"/>
    <w:rsid w:val="00E3796B"/>
    <w:rsid w:val="00E416D0"/>
    <w:rsid w:val="00E42EDE"/>
    <w:rsid w:val="00E439DD"/>
    <w:rsid w:val="00E46D4A"/>
    <w:rsid w:val="00E473A7"/>
    <w:rsid w:val="00E50842"/>
    <w:rsid w:val="00E51E76"/>
    <w:rsid w:val="00E524AA"/>
    <w:rsid w:val="00E55908"/>
    <w:rsid w:val="00E55B8C"/>
    <w:rsid w:val="00E55CC7"/>
    <w:rsid w:val="00E60F23"/>
    <w:rsid w:val="00E65C64"/>
    <w:rsid w:val="00E731CA"/>
    <w:rsid w:val="00E754D2"/>
    <w:rsid w:val="00E7570A"/>
    <w:rsid w:val="00E76D32"/>
    <w:rsid w:val="00E77E83"/>
    <w:rsid w:val="00E80F60"/>
    <w:rsid w:val="00E81774"/>
    <w:rsid w:val="00E81ED1"/>
    <w:rsid w:val="00E822FB"/>
    <w:rsid w:val="00E826FD"/>
    <w:rsid w:val="00E82B35"/>
    <w:rsid w:val="00E831E5"/>
    <w:rsid w:val="00E832D6"/>
    <w:rsid w:val="00E84D1C"/>
    <w:rsid w:val="00E86123"/>
    <w:rsid w:val="00E86724"/>
    <w:rsid w:val="00E87663"/>
    <w:rsid w:val="00E90B19"/>
    <w:rsid w:val="00E90B6B"/>
    <w:rsid w:val="00E91123"/>
    <w:rsid w:val="00E91138"/>
    <w:rsid w:val="00E91210"/>
    <w:rsid w:val="00E92D98"/>
    <w:rsid w:val="00E93884"/>
    <w:rsid w:val="00E953A6"/>
    <w:rsid w:val="00E969B9"/>
    <w:rsid w:val="00EA0C2F"/>
    <w:rsid w:val="00EA22E8"/>
    <w:rsid w:val="00EA46C4"/>
    <w:rsid w:val="00EA518F"/>
    <w:rsid w:val="00EA58C9"/>
    <w:rsid w:val="00EA670F"/>
    <w:rsid w:val="00EA7556"/>
    <w:rsid w:val="00EB0743"/>
    <w:rsid w:val="00EB0CD0"/>
    <w:rsid w:val="00EB433F"/>
    <w:rsid w:val="00EB62A8"/>
    <w:rsid w:val="00EB7822"/>
    <w:rsid w:val="00EC1CDC"/>
    <w:rsid w:val="00EC2FE5"/>
    <w:rsid w:val="00EC4611"/>
    <w:rsid w:val="00EC4C3D"/>
    <w:rsid w:val="00EC568D"/>
    <w:rsid w:val="00EC7BED"/>
    <w:rsid w:val="00ED1515"/>
    <w:rsid w:val="00ED638C"/>
    <w:rsid w:val="00EE0030"/>
    <w:rsid w:val="00EE0A29"/>
    <w:rsid w:val="00EE0DFE"/>
    <w:rsid w:val="00EE0FBD"/>
    <w:rsid w:val="00EE1BC5"/>
    <w:rsid w:val="00EE3CA7"/>
    <w:rsid w:val="00EE6407"/>
    <w:rsid w:val="00EE6ED0"/>
    <w:rsid w:val="00EE7A84"/>
    <w:rsid w:val="00EE7E0E"/>
    <w:rsid w:val="00EF223E"/>
    <w:rsid w:val="00EF4430"/>
    <w:rsid w:val="00EF6344"/>
    <w:rsid w:val="00EF6BC1"/>
    <w:rsid w:val="00F01FAA"/>
    <w:rsid w:val="00F0213F"/>
    <w:rsid w:val="00F02476"/>
    <w:rsid w:val="00F03E64"/>
    <w:rsid w:val="00F07B74"/>
    <w:rsid w:val="00F118F6"/>
    <w:rsid w:val="00F11DAD"/>
    <w:rsid w:val="00F126A7"/>
    <w:rsid w:val="00F13AD6"/>
    <w:rsid w:val="00F13EEA"/>
    <w:rsid w:val="00F1506B"/>
    <w:rsid w:val="00F16E08"/>
    <w:rsid w:val="00F17D66"/>
    <w:rsid w:val="00F25204"/>
    <w:rsid w:val="00F2529C"/>
    <w:rsid w:val="00F2597F"/>
    <w:rsid w:val="00F276B5"/>
    <w:rsid w:val="00F30A15"/>
    <w:rsid w:val="00F32607"/>
    <w:rsid w:val="00F35CF2"/>
    <w:rsid w:val="00F37CC5"/>
    <w:rsid w:val="00F4028F"/>
    <w:rsid w:val="00F4035E"/>
    <w:rsid w:val="00F42AF4"/>
    <w:rsid w:val="00F438F1"/>
    <w:rsid w:val="00F458C7"/>
    <w:rsid w:val="00F46340"/>
    <w:rsid w:val="00F47A2C"/>
    <w:rsid w:val="00F47C9D"/>
    <w:rsid w:val="00F5374E"/>
    <w:rsid w:val="00F55466"/>
    <w:rsid w:val="00F55A8A"/>
    <w:rsid w:val="00F62961"/>
    <w:rsid w:val="00F640A9"/>
    <w:rsid w:val="00F66DD4"/>
    <w:rsid w:val="00F719F2"/>
    <w:rsid w:val="00F722C9"/>
    <w:rsid w:val="00F73F1B"/>
    <w:rsid w:val="00F742FD"/>
    <w:rsid w:val="00F74543"/>
    <w:rsid w:val="00F75804"/>
    <w:rsid w:val="00F765A0"/>
    <w:rsid w:val="00F80297"/>
    <w:rsid w:val="00F8246B"/>
    <w:rsid w:val="00F8452A"/>
    <w:rsid w:val="00F846DF"/>
    <w:rsid w:val="00F85354"/>
    <w:rsid w:val="00F85D28"/>
    <w:rsid w:val="00F85ED2"/>
    <w:rsid w:val="00F90926"/>
    <w:rsid w:val="00F9191A"/>
    <w:rsid w:val="00F95305"/>
    <w:rsid w:val="00FA1DA3"/>
    <w:rsid w:val="00FA6F27"/>
    <w:rsid w:val="00FB0278"/>
    <w:rsid w:val="00FB277C"/>
    <w:rsid w:val="00FB2C10"/>
    <w:rsid w:val="00FB2C29"/>
    <w:rsid w:val="00FB2E71"/>
    <w:rsid w:val="00FB4BC0"/>
    <w:rsid w:val="00FB629E"/>
    <w:rsid w:val="00FB6814"/>
    <w:rsid w:val="00FC08E5"/>
    <w:rsid w:val="00FC1063"/>
    <w:rsid w:val="00FC22D7"/>
    <w:rsid w:val="00FC348E"/>
    <w:rsid w:val="00FC36A5"/>
    <w:rsid w:val="00FC72FE"/>
    <w:rsid w:val="00FC73BF"/>
    <w:rsid w:val="00FC7CB6"/>
    <w:rsid w:val="00FD15D7"/>
    <w:rsid w:val="00FD3C82"/>
    <w:rsid w:val="00FD6D10"/>
    <w:rsid w:val="00FE2EB3"/>
    <w:rsid w:val="00FE4D8C"/>
    <w:rsid w:val="00FE507B"/>
    <w:rsid w:val="00FF2B7A"/>
    <w:rsid w:val="00FF3244"/>
    <w:rsid w:val="00FF4447"/>
    <w:rsid w:val="00FF640C"/>
    <w:rsid w:val="00FF645E"/>
    <w:rsid w:val="00FF7ED5"/>
    <w:rsid w:val="00FF7F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04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B0"/>
    <w:rPr>
      <w:rFonts w:ascii="Times New Roman" w:eastAsia="Times New Roman" w:hAnsi="Times New Roman" w:cs="Times New Roman"/>
    </w:rPr>
  </w:style>
  <w:style w:type="paragraph" w:styleId="Heading1">
    <w:name w:val="heading 1"/>
    <w:basedOn w:val="Normal"/>
    <w:uiPriority w:val="9"/>
    <w:qFormat/>
    <w:rsid w:val="00553361"/>
    <w:pPr>
      <w:spacing w:after="240"/>
      <w:ind w:left="720" w:hanging="720"/>
      <w:outlineLvl w:val="0"/>
    </w:pPr>
    <w:rPr>
      <w:b/>
      <w:bCs/>
      <w:sz w:val="24"/>
      <w:szCs w:val="24"/>
    </w:rPr>
  </w:style>
  <w:style w:type="paragraph" w:styleId="Heading2">
    <w:name w:val="heading 2"/>
    <w:basedOn w:val="Normal"/>
    <w:uiPriority w:val="9"/>
    <w:unhideWhenUsed/>
    <w:qFormat/>
    <w:rsid w:val="00B83247"/>
    <w:pPr>
      <w:spacing w:after="240"/>
      <w:ind w:left="1440" w:hanging="720"/>
      <w:outlineLvl w:val="1"/>
    </w:pPr>
    <w:rPr>
      <w:b/>
      <w:bCs/>
      <w:sz w:val="24"/>
      <w:szCs w:val="24"/>
    </w:rPr>
  </w:style>
  <w:style w:type="paragraph" w:styleId="Heading3">
    <w:name w:val="heading 3"/>
    <w:basedOn w:val="Heading2"/>
    <w:next w:val="Normal"/>
    <w:link w:val="Heading3Char"/>
    <w:uiPriority w:val="9"/>
    <w:unhideWhenUsed/>
    <w:qFormat/>
    <w:rsid w:val="00D53D42"/>
    <w:pPr>
      <w:ind w:left="2160"/>
      <w:outlineLvl w:val="2"/>
    </w:pPr>
    <w:rPr>
      <w:rFonts w:eastAsia="WenQuanYi Micro Hei"/>
      <w:bCs w:val="0"/>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439DD"/>
    <w:pPr>
      <w:tabs>
        <w:tab w:val="decimal" w:leader="dot" w:pos="9360"/>
      </w:tabs>
      <w:spacing w:after="240"/>
      <w:ind w:left="720" w:hanging="720"/>
    </w:pPr>
    <w:rPr>
      <w:sz w:val="24"/>
      <w:szCs w:val="24"/>
    </w:rPr>
  </w:style>
  <w:style w:type="paragraph" w:styleId="TOC2">
    <w:name w:val="toc 2"/>
    <w:basedOn w:val="Normal"/>
    <w:uiPriority w:val="39"/>
    <w:qFormat/>
    <w:rsid w:val="00E439DD"/>
    <w:pPr>
      <w:tabs>
        <w:tab w:val="decimal" w:leader="dot" w:pos="8640"/>
      </w:tabs>
      <w:spacing w:after="240"/>
      <w:ind w:left="1440" w:hanging="720"/>
    </w:pPr>
    <w:rPr>
      <w:sz w:val="24"/>
      <w:szCs w:val="24"/>
    </w:rPr>
  </w:style>
  <w:style w:type="paragraph" w:styleId="TOC3">
    <w:name w:val="toc 3"/>
    <w:basedOn w:val="Normal"/>
    <w:uiPriority w:val="39"/>
    <w:qFormat/>
    <w:rsid w:val="00E439DD"/>
    <w:pPr>
      <w:tabs>
        <w:tab w:val="decimal" w:leader="dot" w:pos="8640"/>
      </w:tabs>
      <w:spacing w:after="240"/>
      <w:ind w:left="2160" w:hanging="720"/>
    </w:pPr>
    <w:rPr>
      <w:sz w:val="24"/>
      <w:szCs w:val="24"/>
    </w:rPr>
  </w:style>
  <w:style w:type="paragraph" w:styleId="TOC4">
    <w:name w:val="toc 4"/>
    <w:basedOn w:val="Normal"/>
    <w:uiPriority w:val="1"/>
    <w:qFormat/>
    <w:pPr>
      <w:spacing w:before="240"/>
      <w:ind w:left="3779"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0"/>
      <w:ind w:left="3059" w:right="218" w:hanging="720"/>
    </w:pPr>
  </w:style>
  <w:style w:type="paragraph" w:customStyle="1" w:styleId="TableParagraph">
    <w:name w:val="Table Paragraph"/>
    <w:basedOn w:val="Normal"/>
    <w:uiPriority w:val="1"/>
    <w:qFormat/>
    <w:pPr>
      <w:spacing w:line="256" w:lineRule="exact"/>
      <w:ind w:left="138"/>
      <w:jc w:val="center"/>
    </w:pPr>
  </w:style>
  <w:style w:type="paragraph" w:customStyle="1" w:styleId="Heading31">
    <w:name w:val="Heading 31"/>
    <w:basedOn w:val="Normal"/>
    <w:next w:val="Normal"/>
    <w:uiPriority w:val="9"/>
    <w:semiHidden/>
    <w:unhideWhenUsed/>
    <w:qFormat/>
    <w:rsid w:val="00072FD1"/>
    <w:pPr>
      <w:keepNext/>
      <w:keepLines/>
      <w:widowControl/>
      <w:autoSpaceDE/>
      <w:autoSpaceDN/>
      <w:spacing w:before="40" w:line="259" w:lineRule="auto"/>
      <w:outlineLvl w:val="2"/>
    </w:pPr>
    <w:rPr>
      <w:rFonts w:ascii="Calibri Light" w:hAnsi="Calibri Light"/>
      <w:color w:val="1F3763"/>
      <w:kern w:val="2"/>
      <w:sz w:val="24"/>
      <w:szCs w:val="24"/>
      <w14:ligatures w14:val="standardContextual"/>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qFormat/>
    <w:rsid w:val="00072FD1"/>
    <w:pPr>
      <w:widowControl/>
      <w:autoSpaceDE/>
      <w:autoSpaceDN/>
    </w:pPr>
    <w:rPr>
      <w:rFonts w:ascii="Calibri" w:eastAsia="Calibri" w:hAnsi="Calibri"/>
      <w:kern w:val="2"/>
      <w:sz w:val="20"/>
      <w:szCs w:val="20"/>
      <w14:ligatures w14:val="standardContextual"/>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qFormat/>
    <w:rsid w:val="00072FD1"/>
    <w:rPr>
      <w:rFonts w:ascii="Calibri" w:eastAsia="Calibri" w:hAnsi="Calibri" w:cs="Times New Roman"/>
      <w:kern w:val="2"/>
      <w:sz w:val="20"/>
      <w:szCs w:val="20"/>
      <w14:ligatures w14:val="standardContextual"/>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072FD1"/>
    <w:rPr>
      <w:vertAlign w:val="superscript"/>
    </w:rPr>
  </w:style>
  <w:style w:type="character" w:customStyle="1" w:styleId="Heading3Char">
    <w:name w:val="Heading 3 Char"/>
    <w:basedOn w:val="DefaultParagraphFont"/>
    <w:link w:val="Heading3"/>
    <w:uiPriority w:val="9"/>
    <w:rsid w:val="00D53D42"/>
    <w:rPr>
      <w:rFonts w:ascii="Times New Roman" w:eastAsia="WenQuanYi Micro Hei" w:hAnsi="Times New Roman" w:cs="Times New Roman"/>
      <w:b/>
      <w:color w:val="00000A"/>
      <w:sz w:val="24"/>
      <w:szCs w:val="24"/>
      <w:lang w:eastAsia="zh-CN" w:bidi="hi-IN"/>
    </w:rPr>
  </w:style>
  <w:style w:type="character" w:customStyle="1" w:styleId="Heading3Char1">
    <w:name w:val="Heading 3 Char1"/>
    <w:basedOn w:val="DefaultParagraphFont"/>
    <w:uiPriority w:val="9"/>
    <w:semiHidden/>
    <w:rsid w:val="00072F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E76D32"/>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49FD"/>
    <w:rPr>
      <w:color w:val="0000FF"/>
      <w:u w:val="single"/>
    </w:rPr>
  </w:style>
  <w:style w:type="character" w:customStyle="1" w:styleId="FootnoteCharacters">
    <w:name w:val="Footnote Characters"/>
    <w:basedOn w:val="DefaultParagraphFont"/>
    <w:uiPriority w:val="99"/>
    <w:semiHidden/>
    <w:unhideWhenUsed/>
    <w:qFormat/>
    <w:rsid w:val="00022840"/>
    <w:rPr>
      <w:vertAlign w:val="superscript"/>
    </w:rPr>
  </w:style>
  <w:style w:type="table" w:customStyle="1" w:styleId="TableGrid1">
    <w:name w:val="Table Grid1"/>
    <w:basedOn w:val="TableNormal"/>
    <w:next w:val="TableGrid"/>
    <w:uiPriority w:val="39"/>
    <w:rsid w:val="006240F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32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46E5F"/>
    <w:rPr>
      <w:sz w:val="16"/>
      <w:szCs w:val="16"/>
    </w:rPr>
  </w:style>
  <w:style w:type="paragraph" w:styleId="CommentText">
    <w:name w:val="annotation text"/>
    <w:basedOn w:val="Normal"/>
    <w:link w:val="CommentTextChar"/>
    <w:uiPriority w:val="99"/>
    <w:unhideWhenUsed/>
    <w:rsid w:val="00846E5F"/>
    <w:rPr>
      <w:sz w:val="20"/>
      <w:szCs w:val="20"/>
    </w:rPr>
  </w:style>
  <w:style w:type="character" w:customStyle="1" w:styleId="CommentTextChar">
    <w:name w:val="Comment Text Char"/>
    <w:basedOn w:val="DefaultParagraphFont"/>
    <w:link w:val="CommentText"/>
    <w:uiPriority w:val="99"/>
    <w:rsid w:val="00846E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E5F"/>
    <w:rPr>
      <w:b/>
      <w:bCs/>
    </w:rPr>
  </w:style>
  <w:style w:type="character" w:customStyle="1" w:styleId="CommentSubjectChar">
    <w:name w:val="Comment Subject Char"/>
    <w:basedOn w:val="CommentTextChar"/>
    <w:link w:val="CommentSubject"/>
    <w:uiPriority w:val="99"/>
    <w:semiHidden/>
    <w:rsid w:val="00846E5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8575FA"/>
    <w:rPr>
      <w:color w:val="605E5C"/>
      <w:shd w:val="clear" w:color="auto" w:fill="E1DFDD"/>
    </w:rPr>
  </w:style>
  <w:style w:type="paragraph" w:styleId="Header">
    <w:name w:val="header"/>
    <w:basedOn w:val="Normal"/>
    <w:link w:val="HeaderChar"/>
    <w:uiPriority w:val="99"/>
    <w:unhideWhenUsed/>
    <w:rsid w:val="0044758A"/>
    <w:pPr>
      <w:tabs>
        <w:tab w:val="center" w:pos="4680"/>
        <w:tab w:val="right" w:pos="9360"/>
      </w:tabs>
    </w:pPr>
  </w:style>
  <w:style w:type="character" w:customStyle="1" w:styleId="HeaderChar">
    <w:name w:val="Header Char"/>
    <w:basedOn w:val="DefaultParagraphFont"/>
    <w:link w:val="Header"/>
    <w:uiPriority w:val="99"/>
    <w:rsid w:val="0044758A"/>
    <w:rPr>
      <w:rFonts w:ascii="Times New Roman" w:eastAsia="Times New Roman" w:hAnsi="Times New Roman" w:cs="Times New Roman"/>
    </w:rPr>
  </w:style>
  <w:style w:type="paragraph" w:styleId="Footer">
    <w:name w:val="footer"/>
    <w:basedOn w:val="Normal"/>
    <w:link w:val="FooterChar"/>
    <w:uiPriority w:val="99"/>
    <w:unhideWhenUsed/>
    <w:rsid w:val="0044758A"/>
    <w:pPr>
      <w:tabs>
        <w:tab w:val="center" w:pos="4680"/>
        <w:tab w:val="right" w:pos="9360"/>
      </w:tabs>
    </w:pPr>
  </w:style>
  <w:style w:type="character" w:customStyle="1" w:styleId="FooterChar">
    <w:name w:val="Footer Char"/>
    <w:basedOn w:val="DefaultParagraphFont"/>
    <w:link w:val="Footer"/>
    <w:uiPriority w:val="99"/>
    <w:rsid w:val="0044758A"/>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8434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34B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yperlink" Target="mailto:donald.kral@occ.ohio.gov" TargetMode="External" /><Relationship Id="rId16" Type="http://schemas.openxmlformats.org/officeDocument/2006/relationships/hyperlink" Target="mailto:werner.margard@ohioago.gov" TargetMode="External" /><Relationship Id="rId17" Type="http://schemas.openxmlformats.org/officeDocument/2006/relationships/hyperlink" Target="mailto:ambrosia.wilson@ohioago.gov" TargetMode="External" /><Relationship Id="rId18" Type="http://schemas.openxmlformats.org/officeDocument/2006/relationships/hyperlink" Target="mailto:ashley.wnek@ohioago.gov" TargetMode="External" /><Relationship Id="rId19" Type="http://schemas.openxmlformats.org/officeDocument/2006/relationships/hyperlink" Target="mailto:mkurtz@BKLlawfirm.com" TargetMode="External" /><Relationship Id="rId2" Type="http://schemas.openxmlformats.org/officeDocument/2006/relationships/settings" Target="settings.xml" /><Relationship Id="rId20" Type="http://schemas.openxmlformats.org/officeDocument/2006/relationships/hyperlink" Target="mailto:kboehm@BKLlawfirm.com" TargetMode="External" /><Relationship Id="rId21" Type="http://schemas.openxmlformats.org/officeDocument/2006/relationships/hyperlink" Target="mailto:jkylercohn@BKLlawfirm.com" TargetMode="External" /><Relationship Id="rId22" Type="http://schemas.openxmlformats.org/officeDocument/2006/relationships/hyperlink" Target="mailto:knordstrom@theOEC.org" TargetMode="External" /><Relationship Id="rId23" Type="http://schemas.openxmlformats.org/officeDocument/2006/relationships/hyperlink" Target="mailto:ctavenor@theOEC.org" TargetMode="External" /><Relationship Id="rId24" Type="http://schemas.openxmlformats.org/officeDocument/2006/relationships/hyperlink" Target="mailto:little@litohio.com" TargetMode="External" /><Relationship Id="rId25" Type="http://schemas.openxmlformats.org/officeDocument/2006/relationships/hyperlink" Target="mailto:hogan@litohio.com" TargetMode="External" /><Relationship Id="rId26" Type="http://schemas.openxmlformats.org/officeDocument/2006/relationships/hyperlink" Target="mailto:ktreadway@oneenergyllc.com" TargetMode="External" /><Relationship Id="rId27" Type="http://schemas.openxmlformats.org/officeDocument/2006/relationships/hyperlink" Target="mailto:jdunn@oneenergyllc.com" TargetMode="External" /><Relationship Id="rId28" Type="http://schemas.openxmlformats.org/officeDocument/2006/relationships/hyperlink" Target="mailto:cgrundmann@spilmanlaw.com" TargetMode="External" /><Relationship Id="rId29" Type="http://schemas.openxmlformats.org/officeDocument/2006/relationships/hyperlink" Target="mailto:dwilliamson@spilmanlaw.com" TargetMode="External" /><Relationship Id="rId3" Type="http://schemas.openxmlformats.org/officeDocument/2006/relationships/webSettings" Target="webSettings.xml" /><Relationship Id="rId30" Type="http://schemas.openxmlformats.org/officeDocument/2006/relationships/hyperlink" Target="mailto:slee@spilmanlaw.com" TargetMode="External" /><Relationship Id="rId31" Type="http://schemas.openxmlformats.org/officeDocument/2006/relationships/hyperlink" Target="mailto:brian.gibbs@nationwideenergypartners.com" TargetMode="External" /><Relationship Id="rId32" Type="http://schemas.openxmlformats.org/officeDocument/2006/relationships/hyperlink" Target="mailto:rdove@keglerbrown.com" TargetMode="External" /><Relationship Id="rId33" Type="http://schemas.openxmlformats.org/officeDocument/2006/relationships/hyperlink" Target="mailto:nbobb@keglerbrown.com" TargetMode="External" /><Relationship Id="rId34" Type="http://schemas.openxmlformats.org/officeDocument/2006/relationships/hyperlink" Target="mailto:mpritchard@mcneeslaw.com" TargetMode="External" /><Relationship Id="rId35" Type="http://schemas.openxmlformats.org/officeDocument/2006/relationships/hyperlink" Target="mailto:awalke@mcneeslaw.com" TargetMode="External" /><Relationship Id="rId36" Type="http://schemas.openxmlformats.org/officeDocument/2006/relationships/hyperlink" Target="mailto:mjsettineri@vorys.com" TargetMode="External" /><Relationship Id="rId37" Type="http://schemas.openxmlformats.org/officeDocument/2006/relationships/hyperlink" Target="mailto:glpetrucci@vorys.com" TargetMode="External" /><Relationship Id="rId38" Type="http://schemas.openxmlformats.org/officeDocument/2006/relationships/hyperlink" Target="mailto:cpirik@dickinsonwright.com" TargetMode="External" /><Relationship Id="rId39" Type="http://schemas.openxmlformats.org/officeDocument/2006/relationships/hyperlink" Target="mailto:greta.see@puco.ohio.gov" TargetMode="External" /><Relationship Id="rId4" Type="http://schemas.openxmlformats.org/officeDocument/2006/relationships/fontTable" Target="fontTable.xml" /><Relationship Id="rId40" Type="http://schemas.openxmlformats.org/officeDocument/2006/relationships/hyperlink" Target="mailto:david.hicks@puco.ohio.gov" TargetMode="External" /><Relationship Id="rId41" Type="http://schemas.openxmlformats.org/officeDocument/2006/relationships/hyperlink" Target="mailto:stnourse@aep.com" TargetMode="External" /><Relationship Id="rId42" Type="http://schemas.openxmlformats.org/officeDocument/2006/relationships/hyperlink" Target="mailto:mjschuler@aep.com" TargetMode="External" /><Relationship Id="rId43" Type="http://schemas.openxmlformats.org/officeDocument/2006/relationships/hyperlink" Target="mailto:egallon@porterwright.com" TargetMode="External" /><Relationship Id="rId44" Type="http://schemas.openxmlformats.org/officeDocument/2006/relationships/hyperlink" Target="mailto:christopher.miller@icemiller.com" TargetMode="External" /><Relationship Id="rId45" Type="http://schemas.openxmlformats.org/officeDocument/2006/relationships/hyperlink" Target="mailto:matthew@msmckenzieltd.com" TargetMode="External" /><Relationship Id="rId46" Type="http://schemas.openxmlformats.org/officeDocument/2006/relationships/hyperlink" Target="mailto:dromig@armadapower.com" TargetMode="External" /><Relationship Id="rId47" Type="http://schemas.openxmlformats.org/officeDocument/2006/relationships/hyperlink" Target="mailto:bojko@carpenterlipps.com" TargetMode="External" /><Relationship Id="rId48" Type="http://schemas.openxmlformats.org/officeDocument/2006/relationships/hyperlink" Target="mailto:easley@carpenterlipps.com" TargetMode="External" /><Relationship Id="rId49" Type="http://schemas.openxmlformats.org/officeDocument/2006/relationships/hyperlink" Target="mailto:tdougherty@theoec.org" TargetMode="External" /><Relationship Id="rId5" Type="http://schemas.openxmlformats.org/officeDocument/2006/relationships/customXml" Target="../customXml/item1.xml" /><Relationship Id="rId50" Type="http://schemas.openxmlformats.org/officeDocument/2006/relationships/hyperlink" Target="mailto:paul@carpenterlipps.com" TargetMode="External" /><Relationship Id="rId51" Type="http://schemas.openxmlformats.org/officeDocument/2006/relationships/hyperlink" Target="mailto:wilcox@carpenterlipps.com" TargetMode="External" /><Relationship Id="rId52" Type="http://schemas.openxmlformats.org/officeDocument/2006/relationships/hyperlink" Target="mailto:emcconnell@elpc.org" TargetMode="External" /><Relationship Id="rId53" Type="http://schemas.openxmlformats.org/officeDocument/2006/relationships/hyperlink" Target="mailto:rkelter@elpc.org" TargetMode="External" /><Relationship Id="rId54" Type="http://schemas.openxmlformats.org/officeDocument/2006/relationships/hyperlink" Target="mailto:stacie.cathcart@igs.com" TargetMode="External" /><Relationship Id="rId55" Type="http://schemas.openxmlformats.org/officeDocument/2006/relationships/hyperlink" Target="mailto:michael.nugent@igs.com" TargetMode="External" /><Relationship Id="rId56" Type="http://schemas.openxmlformats.org/officeDocument/2006/relationships/hyperlink" Target="mailto:dparram@brickergraydon.com" TargetMode="External" /><Relationship Id="rId57" Type="http://schemas.openxmlformats.org/officeDocument/2006/relationships/hyperlink" Target="mailto:dborchers@brickergraydon.com" TargetMode="External" /><Relationship Id="rId58" Type="http://schemas.openxmlformats.org/officeDocument/2006/relationships/hyperlink" Target="mailto:rmains@brickergraydon.com" TargetMode="External" /><Relationship Id="rId59" Type="http://schemas.openxmlformats.org/officeDocument/2006/relationships/hyperlink" Target="mailto:kherrnstein@bricker.com" TargetMode="External" /><Relationship Id="rId6" Type="http://schemas.openxmlformats.org/officeDocument/2006/relationships/hyperlink" Target="mailto:william.michael@occ.ohio.gov" TargetMode="External" /><Relationship Id="rId60" Type="http://schemas.openxmlformats.org/officeDocument/2006/relationships/hyperlink" Target="mailto:dproano@bakerlaw.com" TargetMode="External" /><Relationship Id="rId61" Type="http://schemas.openxmlformats.org/officeDocument/2006/relationships/hyperlink" Target="mailto:ahaque@bakerlaw.com" TargetMode="External" /><Relationship Id="rId62" Type="http://schemas.openxmlformats.org/officeDocument/2006/relationships/hyperlink" Target="mailto:eprouty@bakerlaw.com" TargetMode="External" /><Relationship Id="rId63" Type="http://schemas.openxmlformats.org/officeDocument/2006/relationships/hyperlink" Target="mailto:Fdarr2019@gmail.com" TargetMode="External" /><Relationship Id="rId64" Type="http://schemas.openxmlformats.org/officeDocument/2006/relationships/hyperlink" Target="mailto:dstinson@bricker.com" TargetMode="External" /><Relationship Id="rId65" Type="http://schemas.openxmlformats.org/officeDocument/2006/relationships/hyperlink" Target="mailto:gkrassen@nopec.org" TargetMode="External" /><Relationship Id="rId66" Type="http://schemas.openxmlformats.org/officeDocument/2006/relationships/hyperlink" Target="mailto:todonnell@dickinsonwright.com" TargetMode="External" /><Relationship Id="rId67" Type="http://schemas.openxmlformats.org/officeDocument/2006/relationships/hyperlink" Target="mailto:kshimp@dickinsonwright.com" TargetMode="External" /><Relationship Id="rId68" Type="http://schemas.openxmlformats.org/officeDocument/2006/relationships/footer" Target="footer5.xml" /><Relationship Id="rId69" Type="http://schemas.openxmlformats.org/officeDocument/2006/relationships/theme" Target="theme/theme1.xml" /><Relationship Id="rId7" Type="http://schemas.openxmlformats.org/officeDocument/2006/relationships/hyperlink" Target="mailto:angela.obrien@occ.ohio.gove" TargetMode="External" /><Relationship Id="rId70" Type="http://schemas.openxmlformats.org/officeDocument/2006/relationships/numbering" Target="numbering.xml" /><Relationship Id="rId71" Type="http://schemas.openxmlformats.org/officeDocument/2006/relationships/styles" Target="styl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986E-D42F-460D-B99B-2DADE6EC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6499</Words>
  <Characters>37049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2023-12-22T18:18:48Z</dcterms:created>
  <dcterms:modified xsi:type="dcterms:W3CDTF">2023-12-22T18:18:48Z</dcterms:modified>
</cp:coreProperties>
</file>