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712" w:rsidRPr="00B62655" w:rsidRDefault="001D0712" w:rsidP="001D071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62655">
        <w:rPr>
          <w:rFonts w:ascii="Times New Roman" w:hAnsi="Times New Roman"/>
          <w:b/>
          <w:bCs/>
          <w:sz w:val="26"/>
          <w:szCs w:val="26"/>
        </w:rPr>
        <w:t xml:space="preserve">Before the </w:t>
      </w:r>
    </w:p>
    <w:p w:rsidR="001D0712" w:rsidRPr="00B62655" w:rsidRDefault="001D0712" w:rsidP="001D071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62655">
        <w:rPr>
          <w:rFonts w:ascii="Times New Roman" w:hAnsi="Times New Roman"/>
          <w:b/>
          <w:bCs/>
          <w:sz w:val="26"/>
          <w:szCs w:val="26"/>
        </w:rPr>
        <w:t>Federal Communications Commission</w:t>
      </w:r>
    </w:p>
    <w:p w:rsidR="001D0712" w:rsidRPr="00B62655" w:rsidRDefault="001D0712" w:rsidP="001D071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62655">
        <w:rPr>
          <w:rFonts w:ascii="Times New Roman" w:hAnsi="Times New Roman"/>
          <w:b/>
          <w:bCs/>
          <w:sz w:val="26"/>
          <w:szCs w:val="26"/>
        </w:rPr>
        <w:t>Washington, D.C.</w:t>
      </w:r>
    </w:p>
    <w:p w:rsidR="001D0712" w:rsidRPr="00B62655" w:rsidRDefault="001D0712" w:rsidP="001D071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D0712" w:rsidRPr="00B62655" w:rsidRDefault="001D0712" w:rsidP="001D071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01"/>
        <w:gridCol w:w="357"/>
        <w:gridCol w:w="4302"/>
      </w:tblGrid>
      <w:tr w:rsidR="001D0712" w:rsidRPr="00B62655" w:rsidTr="00CC708D">
        <w:tc>
          <w:tcPr>
            <w:tcW w:w="4788" w:type="dxa"/>
          </w:tcPr>
          <w:p w:rsidR="001D0712" w:rsidRPr="00B62655" w:rsidRDefault="001D0712" w:rsidP="00CC70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2655">
              <w:rPr>
                <w:rFonts w:ascii="Times New Roman" w:hAnsi="Times New Roman"/>
                <w:sz w:val="26"/>
                <w:szCs w:val="26"/>
              </w:rPr>
              <w:t>In the Matter of</w:t>
            </w:r>
            <w:r w:rsidRPr="00B62655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1D0712" w:rsidRPr="00B62655" w:rsidRDefault="001D0712" w:rsidP="00CC70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D0712" w:rsidRPr="00B62655" w:rsidRDefault="001D0712" w:rsidP="00CC708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62655">
              <w:rPr>
                <w:rFonts w:ascii="Times New Roman" w:hAnsi="Times New Roman"/>
                <w:bCs/>
                <w:sz w:val="26"/>
                <w:szCs w:val="26"/>
              </w:rPr>
              <w:t xml:space="preserve">Lifeline and Link-Up Reform </w:t>
            </w:r>
          </w:p>
          <w:p w:rsidR="001D0712" w:rsidRDefault="001D0712" w:rsidP="00CC708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62655">
              <w:rPr>
                <w:rFonts w:ascii="Times New Roman" w:hAnsi="Times New Roman"/>
                <w:bCs/>
                <w:sz w:val="26"/>
                <w:szCs w:val="26"/>
              </w:rPr>
              <w:t>and Modernization</w:t>
            </w:r>
          </w:p>
          <w:p w:rsidR="007B39DF" w:rsidRDefault="007B39DF" w:rsidP="00CC708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B39DF" w:rsidRDefault="007B39DF" w:rsidP="00CC708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Telecommunications Carriers Eligible for</w:t>
            </w:r>
          </w:p>
          <w:p w:rsidR="007B39DF" w:rsidRDefault="007B39DF" w:rsidP="00CC708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Universal Service Support</w:t>
            </w:r>
          </w:p>
          <w:p w:rsidR="007B39DF" w:rsidRDefault="007B39DF" w:rsidP="00CC708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B39DF" w:rsidRPr="00B62655" w:rsidRDefault="007B39DF" w:rsidP="00CC708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Connect America Fund</w:t>
            </w:r>
          </w:p>
        </w:tc>
        <w:tc>
          <w:tcPr>
            <w:tcW w:w="360" w:type="dxa"/>
          </w:tcPr>
          <w:p w:rsidR="001D0712" w:rsidRPr="00B62655" w:rsidRDefault="001D0712" w:rsidP="00CC70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62655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</w:p>
          <w:p w:rsidR="001D0712" w:rsidRPr="00B62655" w:rsidRDefault="001D0712" w:rsidP="00CC70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62655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</w:p>
          <w:p w:rsidR="001D0712" w:rsidRPr="00B62655" w:rsidRDefault="001D0712" w:rsidP="00CC70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62655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</w:p>
          <w:p w:rsidR="001D0712" w:rsidRDefault="001D0712" w:rsidP="00CC70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62655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</w:p>
          <w:p w:rsidR="007B39DF" w:rsidRDefault="007B39DF" w:rsidP="00CC70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</w:p>
          <w:p w:rsidR="007B39DF" w:rsidRDefault="007B39DF" w:rsidP="00CC70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</w:p>
          <w:p w:rsidR="007B39DF" w:rsidRDefault="007B39DF" w:rsidP="00CC70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</w:p>
          <w:p w:rsidR="007B39DF" w:rsidRDefault="007B39DF" w:rsidP="00CC70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</w:p>
          <w:p w:rsidR="007B39DF" w:rsidRDefault="007B39DF" w:rsidP="00CC70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</w:p>
          <w:p w:rsidR="007B39DF" w:rsidRPr="00B62655" w:rsidRDefault="007B39DF" w:rsidP="00CC70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428" w:type="dxa"/>
          </w:tcPr>
          <w:p w:rsidR="001D0712" w:rsidRPr="00B62655" w:rsidRDefault="001D0712" w:rsidP="00CC70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D0712" w:rsidRPr="00B62655" w:rsidRDefault="001D0712" w:rsidP="00CC708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62655">
              <w:rPr>
                <w:rFonts w:ascii="Times New Roman" w:hAnsi="Times New Roman"/>
                <w:bCs/>
                <w:sz w:val="26"/>
                <w:szCs w:val="26"/>
              </w:rPr>
              <w:t>WC Docket No. 11-42</w:t>
            </w:r>
          </w:p>
          <w:p w:rsidR="001D0712" w:rsidRPr="00B62655" w:rsidRDefault="001D0712" w:rsidP="00CC708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D0712" w:rsidRDefault="001D0712" w:rsidP="00CC708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B39DF" w:rsidRDefault="007B39DF" w:rsidP="00CC708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B39DF" w:rsidRDefault="007B39DF" w:rsidP="00CC708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WC Docket No. 09-197</w:t>
            </w:r>
          </w:p>
          <w:p w:rsidR="007B39DF" w:rsidRDefault="007B39DF" w:rsidP="00CC708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B39DF" w:rsidRDefault="007B39DF" w:rsidP="00CC708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B39DF" w:rsidRPr="00B62655" w:rsidRDefault="007B39DF" w:rsidP="00CC708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WC Docket No. 10-90</w:t>
            </w:r>
          </w:p>
        </w:tc>
      </w:tr>
    </w:tbl>
    <w:p w:rsidR="007B39DF" w:rsidRDefault="007B39DF" w:rsidP="001D071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D0712" w:rsidRPr="00FF6A88" w:rsidRDefault="001D0712" w:rsidP="001D0712">
      <w:pPr>
        <w:tabs>
          <w:tab w:val="left" w:pos="9360"/>
        </w:tabs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FF6A88">
        <w:rPr>
          <w:rFonts w:ascii="Times New Roman" w:hAnsi="Times New Roman"/>
          <w:sz w:val="28"/>
          <w:szCs w:val="28"/>
          <w:u w:val="single"/>
        </w:rPr>
        <w:tab/>
      </w:r>
    </w:p>
    <w:p w:rsidR="001D0712" w:rsidRDefault="003551B5" w:rsidP="001D0712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REPLY </w:t>
      </w:r>
      <w:r w:rsidR="001D0712" w:rsidRPr="00B62655">
        <w:rPr>
          <w:rFonts w:ascii="Times New Roman" w:hAnsi="Times New Roman"/>
          <w:b/>
          <w:sz w:val="28"/>
          <w:szCs w:val="28"/>
        </w:rPr>
        <w:t>COMMENTS</w:t>
      </w:r>
      <w:r w:rsidR="001D0712" w:rsidRPr="00B62655">
        <w:rPr>
          <w:rFonts w:ascii="Times New Roman" w:hAnsi="Times New Roman"/>
          <w:b/>
          <w:sz w:val="26"/>
          <w:szCs w:val="26"/>
        </w:rPr>
        <w:br/>
        <w:t>SUBMITTED ON BEHALF OF</w:t>
      </w:r>
      <w:r w:rsidR="001D0712" w:rsidRPr="00B62655">
        <w:rPr>
          <w:rFonts w:ascii="Times New Roman" w:hAnsi="Times New Roman"/>
          <w:b/>
          <w:sz w:val="26"/>
          <w:szCs w:val="26"/>
        </w:rPr>
        <w:br/>
        <w:t>THE PUBLIC UTILITIES COMMISSION OF OHIO</w:t>
      </w:r>
    </w:p>
    <w:p w:rsidR="001D0712" w:rsidRPr="00FF6A88" w:rsidRDefault="001D0712" w:rsidP="001D0712">
      <w:pPr>
        <w:tabs>
          <w:tab w:val="left" w:pos="9360"/>
        </w:tabs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FF6A88">
        <w:rPr>
          <w:rFonts w:ascii="Times New Roman" w:hAnsi="Times New Roman"/>
          <w:sz w:val="28"/>
          <w:szCs w:val="28"/>
          <w:u w:val="single"/>
        </w:rPr>
        <w:tab/>
      </w:r>
    </w:p>
    <w:p w:rsidR="00F57C81" w:rsidRDefault="00F57C81"/>
    <w:p w:rsidR="00D25507" w:rsidRPr="00D25507" w:rsidRDefault="00D25507" w:rsidP="00D363E1">
      <w:pPr>
        <w:pStyle w:val="Heading1"/>
      </w:pPr>
      <w:r w:rsidRPr="00D25507">
        <w:t>INTRODUCTION</w:t>
      </w:r>
    </w:p>
    <w:p w:rsidR="001D0712" w:rsidRDefault="007B39DF" w:rsidP="00D363E1">
      <w:pPr>
        <w:pStyle w:val="Textstyle"/>
      </w:pPr>
      <w:r>
        <w:tab/>
        <w:t xml:space="preserve">The </w:t>
      </w:r>
      <w:r w:rsidR="002B4DD6">
        <w:t xml:space="preserve">federal </w:t>
      </w:r>
      <w:r>
        <w:t xml:space="preserve">Lifeline program (Lifeline) </w:t>
      </w:r>
      <w:r w:rsidR="002B4DD6">
        <w:t>promotes</w:t>
      </w:r>
      <w:r>
        <w:t xml:space="preserve"> universal connectivity and </w:t>
      </w:r>
      <w:r w:rsidR="002B4DD6">
        <w:t xml:space="preserve">ensures </w:t>
      </w:r>
      <w:r>
        <w:t xml:space="preserve">that all Americans have access to telephone service.   </w:t>
      </w:r>
      <w:r w:rsidR="002B4DD6">
        <w:t>I</w:t>
      </w:r>
      <w:r>
        <w:t xml:space="preserve">t is </w:t>
      </w:r>
      <w:r w:rsidR="002B4DD6">
        <w:t xml:space="preserve">vitally </w:t>
      </w:r>
      <w:r>
        <w:t xml:space="preserve">important to preserve the integrity of the Universal Service Fund (Fund) </w:t>
      </w:r>
      <w:r w:rsidR="002B4DD6">
        <w:t>that provides important pro</w:t>
      </w:r>
      <w:r w:rsidR="00D17411">
        <w:softHyphen/>
      </w:r>
      <w:r w:rsidR="002B4DD6">
        <w:t>gram funding and is critical to the effectiveness and sustainability of the Lifeline effort</w:t>
      </w:r>
      <w:r>
        <w:t>.  To this end, the F</w:t>
      </w:r>
      <w:r w:rsidR="00D25507">
        <w:t xml:space="preserve">ederal Communications </w:t>
      </w:r>
      <w:r>
        <w:t>C</w:t>
      </w:r>
      <w:r w:rsidR="00D25507">
        <w:t>ommission</w:t>
      </w:r>
      <w:r>
        <w:t xml:space="preserve"> </w:t>
      </w:r>
      <w:r w:rsidR="00D25507">
        <w:t xml:space="preserve">(FCC) </w:t>
      </w:r>
      <w:r>
        <w:t xml:space="preserve">began a series of reforms in 2011 </w:t>
      </w:r>
      <w:r w:rsidR="002B4DD6">
        <w:t xml:space="preserve">designed </w:t>
      </w:r>
      <w:r>
        <w:t xml:space="preserve">to </w:t>
      </w:r>
      <w:r w:rsidR="002B4DD6">
        <w:t xml:space="preserve">preserve the Fund by </w:t>
      </w:r>
      <w:r>
        <w:t>prevent</w:t>
      </w:r>
      <w:r w:rsidR="002B4DD6">
        <w:t>ing</w:t>
      </w:r>
      <w:r>
        <w:t xml:space="preserve"> waste, fraud and abuse.</w:t>
      </w:r>
      <w:r w:rsidR="00305ED9">
        <w:rPr>
          <w:rStyle w:val="FootnoteReference"/>
          <w:sz w:val="24"/>
          <w:szCs w:val="24"/>
        </w:rPr>
        <w:footnoteReference w:id="1"/>
      </w:r>
      <w:r>
        <w:t xml:space="preserve">  </w:t>
      </w:r>
      <w:r w:rsidR="00305ED9">
        <w:t xml:space="preserve">On June 22, 2015, the FCC took additional measures to </w:t>
      </w:r>
      <w:r w:rsidR="00305ED9">
        <w:lastRenderedPageBreak/>
        <w:t xml:space="preserve">achieve this </w:t>
      </w:r>
      <w:r w:rsidR="002B4DD6">
        <w:t xml:space="preserve">important </w:t>
      </w:r>
      <w:r w:rsidR="00305ED9">
        <w:t xml:space="preserve">objective when it released a Second Further Notice of Proposed Rulemaking </w:t>
      </w:r>
      <w:r w:rsidR="00704A9B">
        <w:t xml:space="preserve">(FNPRM) </w:t>
      </w:r>
      <w:r w:rsidR="00D25507">
        <w:t>proposing</w:t>
      </w:r>
      <w:r w:rsidR="00305ED9">
        <w:t xml:space="preserve"> addi</w:t>
      </w:r>
      <w:r w:rsidR="00D17411">
        <w:softHyphen/>
      </w:r>
      <w:r w:rsidR="00305ED9">
        <w:t>tional reforms of the Lifeline program.</w:t>
      </w:r>
      <w:r w:rsidR="009F30BB">
        <w:rPr>
          <w:rStyle w:val="FootnoteReference"/>
        </w:rPr>
        <w:footnoteReference w:id="2"/>
      </w:r>
      <w:r w:rsidR="00305ED9">
        <w:t xml:space="preserve">  </w:t>
      </w:r>
      <w:r w:rsidR="00D25507">
        <w:t xml:space="preserve">Among these was a proposal to create a national </w:t>
      </w:r>
      <w:r w:rsidR="002870AD">
        <w:t xml:space="preserve">eligible telecommunications carrier (ETC) </w:t>
      </w:r>
      <w:r w:rsidR="00D25507">
        <w:t xml:space="preserve">designation process </w:t>
      </w:r>
      <w:r w:rsidR="004E1A45">
        <w:t>for Lifeline service pro</w:t>
      </w:r>
      <w:r w:rsidR="00D17411">
        <w:softHyphen/>
      </w:r>
      <w:r w:rsidR="004E1A45">
        <w:t xml:space="preserve">viders </w:t>
      </w:r>
      <w:r w:rsidR="002B4DD6">
        <w:t xml:space="preserve">to replace </w:t>
      </w:r>
      <w:r w:rsidR="00D25507">
        <w:t>the existing state-by-state designation approach</w:t>
      </w:r>
      <w:r w:rsidR="009F30BB">
        <w:t>.</w:t>
      </w:r>
      <w:r w:rsidR="009F30BB">
        <w:rPr>
          <w:rStyle w:val="FootnoteReference"/>
        </w:rPr>
        <w:footnoteReference w:id="3"/>
      </w:r>
      <w:r w:rsidR="009F30BB">
        <w:t xml:space="preserve">  </w:t>
      </w:r>
      <w:r w:rsidR="00D25507">
        <w:t xml:space="preserve">On August 31, 2015, the National Association of Regulatory Utility Commissioners (NARUC) filed </w:t>
      </w:r>
      <w:r w:rsidR="00D25507">
        <w:lastRenderedPageBreak/>
        <w:t>comments urging the FCC to preserve the stat</w:t>
      </w:r>
      <w:r w:rsidR="00084633">
        <w:t>e</w:t>
      </w:r>
      <w:r w:rsidR="00D25507">
        <w:t>-by-state approach.</w:t>
      </w:r>
      <w:r w:rsidR="00661860">
        <w:rPr>
          <w:rStyle w:val="FootnoteReference"/>
          <w:sz w:val="24"/>
          <w:szCs w:val="24"/>
        </w:rPr>
        <w:footnoteReference w:id="4"/>
      </w:r>
      <w:r w:rsidR="00D25507">
        <w:t xml:space="preserve"> </w:t>
      </w:r>
      <w:r w:rsidR="00661860">
        <w:t xml:space="preserve"> </w:t>
      </w:r>
      <w:r w:rsidR="00D25507">
        <w:t>The Public Utilities Commis</w:t>
      </w:r>
      <w:r w:rsidR="00D17411">
        <w:softHyphen/>
      </w:r>
      <w:r w:rsidR="00D25507">
        <w:t xml:space="preserve">sion of Ohio (PUCO) </w:t>
      </w:r>
      <w:r w:rsidR="002B4DD6">
        <w:t xml:space="preserve">concurs </w:t>
      </w:r>
      <w:r w:rsidR="00D25507">
        <w:t>with NARUC</w:t>
      </w:r>
      <w:r w:rsidR="002B4DD6">
        <w:t>’s position on</w:t>
      </w:r>
      <w:r w:rsidR="00D25507">
        <w:t xml:space="preserve"> this issue and </w:t>
      </w:r>
      <w:r w:rsidR="009F30BB">
        <w:t>appreciates the opportunity</w:t>
      </w:r>
      <w:r w:rsidR="00D25507">
        <w:t xml:space="preserve"> to submit these</w:t>
      </w:r>
      <w:r w:rsidR="002B4DD6">
        <w:t xml:space="preserve"> supporting</w:t>
      </w:r>
      <w:r w:rsidR="00D25507">
        <w:t xml:space="preserve"> reply comments for the Commission’s </w:t>
      </w:r>
      <w:r w:rsidR="002B4DD6">
        <w:t xml:space="preserve">studied </w:t>
      </w:r>
      <w:r w:rsidR="00D25507">
        <w:t>consideration.</w:t>
      </w:r>
    </w:p>
    <w:p w:rsidR="00F168CB" w:rsidRDefault="00F168CB" w:rsidP="00D363E1">
      <w:pPr>
        <w:pStyle w:val="Heading1"/>
      </w:pPr>
      <w:r>
        <w:t>DISCUSSION</w:t>
      </w:r>
    </w:p>
    <w:p w:rsidR="00F9078A" w:rsidRDefault="00F168CB" w:rsidP="00D363E1">
      <w:pPr>
        <w:pStyle w:val="Textstyle"/>
      </w:pPr>
      <w:r>
        <w:tab/>
      </w:r>
      <w:r w:rsidR="00661860">
        <w:t xml:space="preserve">The </w:t>
      </w:r>
      <w:r w:rsidR="00704A9B">
        <w:t xml:space="preserve">FCC </w:t>
      </w:r>
      <w:r w:rsidR="002B4DD6">
        <w:t>seeks</w:t>
      </w:r>
      <w:r w:rsidR="00704A9B">
        <w:t xml:space="preserve"> comment</w:t>
      </w:r>
      <w:r w:rsidR="002B4DD6">
        <w:t>s</w:t>
      </w:r>
      <w:r w:rsidR="00704A9B">
        <w:t xml:space="preserve"> on ways to increase competition for Lifeline consumers.  To this end, the FCC </w:t>
      </w:r>
      <w:r w:rsidR="002B4DD6">
        <w:t xml:space="preserve">has </w:t>
      </w:r>
      <w:r w:rsidR="00704A9B">
        <w:t xml:space="preserve">sought comment </w:t>
      </w:r>
      <w:r w:rsidR="00F64F4D">
        <w:t xml:space="preserve">on </w:t>
      </w:r>
      <w:r w:rsidR="00704A9B">
        <w:t xml:space="preserve">creating a new Lifeline </w:t>
      </w:r>
      <w:r w:rsidR="009F30BB">
        <w:t xml:space="preserve">service provider </w:t>
      </w:r>
      <w:r w:rsidR="00704A9B">
        <w:t>approval process</w:t>
      </w:r>
      <w:r w:rsidR="00661860">
        <w:t xml:space="preserve">.  </w:t>
      </w:r>
      <w:r w:rsidR="002B4DD6">
        <w:t>T</w:t>
      </w:r>
      <w:r w:rsidR="00661860">
        <w:t xml:space="preserve">he FCC </w:t>
      </w:r>
      <w:r w:rsidR="002B4DD6">
        <w:t xml:space="preserve">advances </w:t>
      </w:r>
      <w:r w:rsidR="00661860">
        <w:t xml:space="preserve">a </w:t>
      </w:r>
      <w:r w:rsidR="002B4DD6">
        <w:t xml:space="preserve">uniform </w:t>
      </w:r>
      <w:r w:rsidR="00661860">
        <w:t xml:space="preserve">national designation process or some combination of the </w:t>
      </w:r>
      <w:r w:rsidR="002B4DD6">
        <w:t xml:space="preserve">federal </w:t>
      </w:r>
      <w:r w:rsidR="002B4DD6">
        <w:lastRenderedPageBreak/>
        <w:t>and state processes</w:t>
      </w:r>
      <w:r w:rsidR="00661860">
        <w:t>.</w:t>
      </w:r>
      <w:r w:rsidR="00661860">
        <w:rPr>
          <w:rStyle w:val="FootnoteReference"/>
          <w:sz w:val="24"/>
          <w:szCs w:val="24"/>
        </w:rPr>
        <w:footnoteReference w:id="5"/>
      </w:r>
      <w:r w:rsidR="00661860">
        <w:t xml:space="preserve">  In response, NARUC po</w:t>
      </w:r>
      <w:r w:rsidR="009F30BB">
        <w:t>sits</w:t>
      </w:r>
      <w:r w:rsidR="00661860">
        <w:t xml:space="preserve"> that the states have </w:t>
      </w:r>
      <w:r w:rsidR="002B4DD6">
        <w:t>effectively led the charge to</w:t>
      </w:r>
      <w:r w:rsidR="00661860">
        <w:t xml:space="preserve"> limit fraud and abuse within the Lifeline pro</w:t>
      </w:r>
      <w:r w:rsidR="00D17411">
        <w:softHyphen/>
      </w:r>
      <w:r w:rsidR="00661860">
        <w:t>gram</w:t>
      </w:r>
      <w:r w:rsidR="002B4DD6">
        <w:t xml:space="preserve">, and, therefore, that </w:t>
      </w:r>
      <w:r w:rsidR="00661860">
        <w:t>limiting or eliminating state authority in this area make</w:t>
      </w:r>
      <w:r w:rsidR="002B4DD6">
        <w:t>s</w:t>
      </w:r>
      <w:r w:rsidR="00661860">
        <w:t xml:space="preserve"> </w:t>
      </w:r>
      <w:r w:rsidR="002B4DD6">
        <w:t xml:space="preserve">little </w:t>
      </w:r>
      <w:r w:rsidR="00661860">
        <w:t>sense.</w:t>
      </w:r>
      <w:r w:rsidR="00661860">
        <w:rPr>
          <w:rStyle w:val="FootnoteReference"/>
          <w:sz w:val="24"/>
          <w:szCs w:val="24"/>
        </w:rPr>
        <w:footnoteReference w:id="6"/>
      </w:r>
      <w:r w:rsidR="00661860">
        <w:t xml:space="preserve">  The </w:t>
      </w:r>
      <w:r w:rsidR="009F30BB">
        <w:t>PUCO</w:t>
      </w:r>
      <w:r w:rsidR="00F9078A">
        <w:t xml:space="preserve"> agrees with NARUC’s assessment.</w:t>
      </w:r>
    </w:p>
    <w:p w:rsidR="00C00CBA" w:rsidRDefault="00F9078A" w:rsidP="00D363E1">
      <w:pPr>
        <w:pStyle w:val="Textstyle"/>
      </w:pPr>
      <w:r>
        <w:tab/>
        <w:t xml:space="preserve">As noted in the NARUC comments, the current </w:t>
      </w:r>
      <w:r w:rsidR="002870AD">
        <w:t xml:space="preserve">state-by-state </w:t>
      </w:r>
      <w:r>
        <w:t>ETC designation process works well.</w:t>
      </w:r>
      <w:r>
        <w:rPr>
          <w:rStyle w:val="FootnoteReference"/>
          <w:sz w:val="24"/>
          <w:szCs w:val="24"/>
        </w:rPr>
        <w:footnoteReference w:id="7"/>
      </w:r>
      <w:r>
        <w:t xml:space="preserve">  Ohio</w:t>
      </w:r>
      <w:r w:rsidR="002B4DD6">
        <w:t xml:space="preserve"> has a rigorous</w:t>
      </w:r>
      <w:r>
        <w:t xml:space="preserve"> ETC designation process </w:t>
      </w:r>
      <w:r w:rsidR="002B4DD6">
        <w:t>that</w:t>
      </w:r>
      <w:r>
        <w:t xml:space="preserve"> allows for a th</w:t>
      </w:r>
      <w:r w:rsidR="002B4DD6">
        <w:t>o</w:t>
      </w:r>
      <w:r w:rsidR="00D17411">
        <w:softHyphen/>
      </w:r>
      <w:r>
        <w:t xml:space="preserve">rough review of the managerial, technical and financial capabilities of all companies seeking ETC designation in the state.  </w:t>
      </w:r>
      <w:r w:rsidR="002B4DD6">
        <w:t>Ohio’s</w:t>
      </w:r>
      <w:r w:rsidR="00C00CBA">
        <w:t xml:space="preserve"> process has proven itself to be effective</w:t>
      </w:r>
      <w:r w:rsidR="00CD7A0F">
        <w:t xml:space="preserve"> in allowing PUCO staff to </w:t>
      </w:r>
      <w:r w:rsidR="0003537C">
        <w:t>conduct the</w:t>
      </w:r>
      <w:r w:rsidR="00CD7A0F">
        <w:t xml:space="preserve"> </w:t>
      </w:r>
      <w:r w:rsidR="008D0834">
        <w:lastRenderedPageBreak/>
        <w:t>i</w:t>
      </w:r>
      <w:r w:rsidR="0003537C">
        <w:t xml:space="preserve">nvestigation </w:t>
      </w:r>
      <w:r w:rsidR="008D0834">
        <w:t xml:space="preserve">necessary </w:t>
      </w:r>
      <w:r w:rsidR="00CD7A0F">
        <w:t>to ensure the overall viability of the Lifeline service providers operating in the state.</w:t>
      </w:r>
      <w:r w:rsidR="00C00CBA">
        <w:t xml:space="preserve">  </w:t>
      </w:r>
      <w:r w:rsidR="002B4DD6">
        <w:t>Ohio is in the best position to pro</w:t>
      </w:r>
      <w:r w:rsidR="00D17411">
        <w:softHyphen/>
      </w:r>
      <w:r w:rsidR="002B4DD6">
        <w:t>tect vulnerable segments of its population and it believes that its current designation sys</w:t>
      </w:r>
      <w:r w:rsidR="00D17411">
        <w:softHyphen/>
      </w:r>
      <w:r w:rsidR="002B4DD6">
        <w:t>tem achieves this goal quite well.  Service to the old adage “if it isn’t broken then there’s no need to fix it” would appear to be in order here</w:t>
      </w:r>
      <w:r w:rsidR="00C00CBA">
        <w:t>.</w:t>
      </w:r>
    </w:p>
    <w:p w:rsidR="00E930BF" w:rsidRDefault="00C00CBA" w:rsidP="00D363E1">
      <w:pPr>
        <w:pStyle w:val="Textstyle"/>
      </w:pPr>
      <w:r>
        <w:tab/>
        <w:t xml:space="preserve">The </w:t>
      </w:r>
      <w:r w:rsidR="002B4DD6">
        <w:t>PUCO</w:t>
      </w:r>
      <w:r>
        <w:t xml:space="preserve"> further agrees with NARUC’s assertion that states are, in fact, inter</w:t>
      </w:r>
      <w:r w:rsidR="00D17411">
        <w:softHyphen/>
      </w:r>
      <w:r>
        <w:t>ested in legitimate ETC applicants and must have adequate information to assess the qualifications of such applicants.</w:t>
      </w:r>
      <w:r>
        <w:rPr>
          <w:rStyle w:val="FootnoteReference"/>
          <w:sz w:val="24"/>
          <w:szCs w:val="24"/>
        </w:rPr>
        <w:footnoteReference w:id="8"/>
      </w:r>
      <w:r>
        <w:t xml:space="preserve">  NARUC is </w:t>
      </w:r>
      <w:r w:rsidR="002B4DD6">
        <w:t xml:space="preserve">absolutely </w:t>
      </w:r>
      <w:r>
        <w:t>correct that each state is differ</w:t>
      </w:r>
      <w:r w:rsidR="00D17411">
        <w:softHyphen/>
      </w:r>
      <w:r>
        <w:t xml:space="preserve">ent in this regard. </w:t>
      </w:r>
      <w:r w:rsidR="00DA0C80">
        <w:t xml:space="preserve"> What</w:t>
      </w:r>
      <w:r>
        <w:t xml:space="preserve"> works in Ohio and the information required by the </w:t>
      </w:r>
      <w:r w:rsidR="002B4DD6">
        <w:t>PUCO</w:t>
      </w:r>
      <w:r>
        <w:t xml:space="preserve"> may </w:t>
      </w:r>
      <w:r w:rsidR="002B4DD6">
        <w:t>differ from that required by</w:t>
      </w:r>
      <w:r>
        <w:t xml:space="preserve"> another state.  </w:t>
      </w:r>
      <w:r w:rsidR="002B4DD6">
        <w:t xml:space="preserve">But the point to be stressed here is that </w:t>
      </w:r>
      <w:r w:rsidR="00E930BF">
        <w:t xml:space="preserve">states are the closest </w:t>
      </w:r>
      <w:r w:rsidR="00DA0C80">
        <w:t xml:space="preserve">regulatory entities to </w:t>
      </w:r>
      <w:r w:rsidR="00DA0C80">
        <w:lastRenderedPageBreak/>
        <w:t>those providers</w:t>
      </w:r>
      <w:r w:rsidR="00E930BF">
        <w:t xml:space="preserve"> offering service within their respective jurisdictions and, </w:t>
      </w:r>
      <w:r w:rsidR="00D363E1">
        <w:t>therefore</w:t>
      </w:r>
      <w:r w:rsidR="00E930BF">
        <w:t xml:space="preserve">, are in the best position to </w:t>
      </w:r>
      <w:r w:rsidR="00D363E1">
        <w:t xml:space="preserve">assess </w:t>
      </w:r>
      <w:r w:rsidR="00E930BF">
        <w:t xml:space="preserve">what information is most relevant in evaluating these entities.  Accordingly, the </w:t>
      </w:r>
      <w:r w:rsidR="00D363E1">
        <w:t>PUCO</w:t>
      </w:r>
      <w:r w:rsidR="00E930BF">
        <w:t xml:space="preserve"> believes that any reform</w:t>
      </w:r>
      <w:r w:rsidR="00D363E1">
        <w:t>s</w:t>
      </w:r>
      <w:r w:rsidR="00E930BF">
        <w:t xml:space="preserve"> undertake</w:t>
      </w:r>
      <w:r w:rsidR="00D363E1">
        <w:t>n</w:t>
      </w:r>
      <w:r w:rsidR="00E930BF">
        <w:t xml:space="preserve"> to streamline the ETC designation process to promote competition within the Lifeline market should </w:t>
      </w:r>
      <w:r w:rsidR="00D363E1">
        <w:t xml:space="preserve">and must </w:t>
      </w:r>
      <w:r w:rsidR="00E930BF">
        <w:t>preserve the</w:t>
      </w:r>
      <w:r w:rsidR="00D363E1">
        <w:t xml:space="preserve"> important</w:t>
      </w:r>
      <w:r w:rsidR="00E930BF">
        <w:t xml:space="preserve"> role of the states </w:t>
      </w:r>
      <w:r w:rsidR="00D363E1">
        <w:t xml:space="preserve">to </w:t>
      </w:r>
      <w:r w:rsidR="00E930BF">
        <w:t xml:space="preserve">carry out the designation process. </w:t>
      </w:r>
    </w:p>
    <w:p w:rsidR="00417583" w:rsidRDefault="00E930BF" w:rsidP="00D363E1">
      <w:pPr>
        <w:pStyle w:val="Textstyle"/>
      </w:pPr>
      <w:r>
        <w:tab/>
      </w:r>
      <w:r w:rsidR="00D363E1">
        <w:t>T</w:t>
      </w:r>
      <w:r w:rsidR="001010D1">
        <w:t xml:space="preserve">he </w:t>
      </w:r>
      <w:r w:rsidR="009F30BB">
        <w:t>PUCO</w:t>
      </w:r>
      <w:r w:rsidR="001010D1">
        <w:t xml:space="preserve"> supports NARUC’s </w:t>
      </w:r>
      <w:r w:rsidR="00186A5F">
        <w:t>position of partnership, not preemption.</w:t>
      </w:r>
      <w:r w:rsidR="00186A5F">
        <w:rPr>
          <w:rStyle w:val="FootnoteReference"/>
          <w:sz w:val="24"/>
          <w:szCs w:val="24"/>
        </w:rPr>
        <w:footnoteReference w:id="9"/>
      </w:r>
      <w:r w:rsidR="00186A5F">
        <w:t xml:space="preserve"> </w:t>
      </w:r>
      <w:r w:rsidR="003E7EE5">
        <w:t xml:space="preserve"> NARUC </w:t>
      </w:r>
      <w:r w:rsidR="00DA0C80">
        <w:t>refers</w:t>
      </w:r>
      <w:r w:rsidR="003E7EE5">
        <w:t xml:space="preserve"> to the </w:t>
      </w:r>
      <w:r w:rsidR="00D363E1">
        <w:t>past effectiveness</w:t>
      </w:r>
      <w:r w:rsidR="003E7EE5">
        <w:t xml:space="preserve"> of the Federal-State Joint Board on Universal Service (Joint Board) in reforming the Lifeline program and urges the FCC to </w:t>
      </w:r>
      <w:r w:rsidR="00D363E1">
        <w:t>be mindful of such efforts as it takes</w:t>
      </w:r>
      <w:r w:rsidR="003E7EE5">
        <w:t xml:space="preserve"> final </w:t>
      </w:r>
      <w:r w:rsidR="003E7EE5">
        <w:lastRenderedPageBreak/>
        <w:t>action in this proceeding.</w:t>
      </w:r>
      <w:r w:rsidR="003E7EE5">
        <w:rPr>
          <w:rStyle w:val="FootnoteReference"/>
          <w:sz w:val="24"/>
          <w:szCs w:val="24"/>
        </w:rPr>
        <w:footnoteReference w:id="10"/>
      </w:r>
      <w:r w:rsidR="003E7EE5">
        <w:t xml:space="preserve">  As NARUC </w:t>
      </w:r>
      <w:r w:rsidR="00DA0C80">
        <w:t>indicates</w:t>
      </w:r>
      <w:r w:rsidR="003E7EE5">
        <w:t xml:space="preserve">, </w:t>
      </w:r>
      <w:r w:rsidR="00D363E1">
        <w:t>and the PUCO agrees, Ohio and other states should continue to have a role in matters, including the</w:t>
      </w:r>
      <w:r w:rsidR="00417583">
        <w:t xml:space="preserve"> ETC designation process</w:t>
      </w:r>
      <w:r w:rsidR="00D363E1">
        <w:t>, that so directly affect its vulnerable populations</w:t>
      </w:r>
      <w:r w:rsidR="00417583">
        <w:t>.</w:t>
      </w:r>
    </w:p>
    <w:p w:rsidR="00417583" w:rsidRDefault="00417583" w:rsidP="00D363E1">
      <w:pPr>
        <w:pStyle w:val="Heading1"/>
      </w:pPr>
      <w:r w:rsidRPr="00417583">
        <w:t>CONCLUSION</w:t>
      </w:r>
    </w:p>
    <w:p w:rsidR="001E2F6D" w:rsidRDefault="00417583" w:rsidP="00D363E1">
      <w:pPr>
        <w:pStyle w:val="Textstyle"/>
      </w:pPr>
      <w:r>
        <w:tab/>
        <w:t xml:space="preserve">While Lifeline has benefitted from both federal and state oversight, the current state-by-state designation process </w:t>
      </w:r>
      <w:r w:rsidR="00DA0C80">
        <w:t>is an appropriate and necessary approach that requires no revision at this time</w:t>
      </w:r>
      <w:r>
        <w:t xml:space="preserve">. </w:t>
      </w:r>
      <w:r w:rsidR="00D363E1">
        <w:t xml:space="preserve"> </w:t>
      </w:r>
      <w:r>
        <w:t xml:space="preserve">This process enables states to seek information about matters unique </w:t>
      </w:r>
      <w:r w:rsidR="00D363E1">
        <w:t>to them to tailor effective, localized responses that would otherwise be lost in</w:t>
      </w:r>
      <w:r>
        <w:t xml:space="preserve"> a streamlined national designation </w:t>
      </w:r>
      <w:r>
        <w:lastRenderedPageBreak/>
        <w:t xml:space="preserve">process.  </w:t>
      </w:r>
      <w:r w:rsidR="00D363E1">
        <w:t>It</w:t>
      </w:r>
      <w:r>
        <w:t xml:space="preserve"> provides states with a means of knowing and evaluating those entities that wish to provide Lifeline service to the most vulnerable of their citizens. </w:t>
      </w:r>
      <w:r w:rsidR="00D363E1">
        <w:t xml:space="preserve"> </w:t>
      </w:r>
      <w:r>
        <w:t>The Lifeline designation process is not broke</w:t>
      </w:r>
      <w:r w:rsidR="004E1A45">
        <w:t>n</w:t>
      </w:r>
      <w:r>
        <w:t xml:space="preserve"> and, accordingly, does not need to be fixed.  For these reasons, the </w:t>
      </w:r>
      <w:r w:rsidR="00D363E1">
        <w:t>PUCO</w:t>
      </w:r>
      <w:r>
        <w:t xml:space="preserve"> supports the initial comments filed by NARUC and urges the FCC to strongly consider NARUC’</w:t>
      </w:r>
      <w:r w:rsidR="00A26773">
        <w:t xml:space="preserve">s comments in this proceeding.  The </w:t>
      </w:r>
      <w:r w:rsidR="00D363E1">
        <w:t>PUCO</w:t>
      </w:r>
      <w:r w:rsidR="00A26773">
        <w:t xml:space="preserve"> appreciates the opportunity to provide these reply comments </w:t>
      </w:r>
      <w:r w:rsidR="00D363E1">
        <w:t xml:space="preserve">and </w:t>
      </w:r>
      <w:r w:rsidR="00A26773">
        <w:t xml:space="preserve">the FCC’s studied </w:t>
      </w:r>
      <w:r w:rsidR="003C4108">
        <w:t xml:space="preserve">and </w:t>
      </w:r>
      <w:r w:rsidR="00D363E1">
        <w:t>thorough consideration of them</w:t>
      </w:r>
      <w:r w:rsidR="00A26773">
        <w:t>.</w:t>
      </w:r>
    </w:p>
    <w:p w:rsidR="00DA0C80" w:rsidRDefault="00DA0C80" w:rsidP="001E2F6D">
      <w:pPr>
        <w:autoSpaceDE w:val="0"/>
        <w:autoSpaceDN w:val="0"/>
        <w:adjustRightInd w:val="0"/>
        <w:spacing w:after="0" w:line="480" w:lineRule="auto"/>
        <w:ind w:left="3600" w:firstLine="720"/>
        <w:rPr>
          <w:rFonts w:ascii="Times New Roman" w:hAnsi="Times New Roman"/>
          <w:sz w:val="26"/>
          <w:szCs w:val="26"/>
        </w:rPr>
      </w:pPr>
    </w:p>
    <w:p w:rsidR="001E2F6D" w:rsidRDefault="001E2F6D" w:rsidP="001E2F6D">
      <w:pPr>
        <w:autoSpaceDE w:val="0"/>
        <w:autoSpaceDN w:val="0"/>
        <w:adjustRightInd w:val="0"/>
        <w:spacing w:after="0" w:line="480" w:lineRule="auto"/>
        <w:ind w:left="360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Respectfully submitted,</w:t>
      </w:r>
    </w:p>
    <w:p w:rsidR="001E2F6D" w:rsidRPr="007A78D7" w:rsidRDefault="00591039" w:rsidP="001E2F6D">
      <w:pPr>
        <w:tabs>
          <w:tab w:val="left" w:pos="9360"/>
        </w:tabs>
        <w:spacing w:after="0" w:line="240" w:lineRule="auto"/>
        <w:ind w:left="4320"/>
        <w:rPr>
          <w:rFonts w:ascii="Brush Script MT" w:hAnsi="Brush Script MT"/>
          <w:sz w:val="36"/>
          <w:szCs w:val="36"/>
          <w:u w:val="single"/>
        </w:rPr>
      </w:pPr>
      <w:r>
        <w:rPr>
          <w:rFonts w:ascii="Brush Script MT" w:hAnsi="Brush Script MT"/>
          <w:sz w:val="36"/>
          <w:szCs w:val="36"/>
          <w:u w:val="single"/>
        </w:rPr>
        <w:t>/s/ William L. Wright</w:t>
      </w:r>
      <w:r w:rsidR="001E2F6D" w:rsidRPr="007A78D7">
        <w:rPr>
          <w:rFonts w:ascii="Brush Script MT" w:hAnsi="Brush Script MT"/>
          <w:sz w:val="36"/>
          <w:szCs w:val="36"/>
          <w:u w:val="single"/>
        </w:rPr>
        <w:tab/>
      </w:r>
    </w:p>
    <w:p w:rsidR="001E2F6D" w:rsidRPr="007A78D7" w:rsidRDefault="001E2F6D" w:rsidP="001E2F6D">
      <w:pPr>
        <w:tabs>
          <w:tab w:val="left" w:pos="9360"/>
        </w:tabs>
        <w:spacing w:after="0" w:line="240" w:lineRule="auto"/>
        <w:ind w:left="43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William L. Wright</w:t>
      </w:r>
    </w:p>
    <w:p w:rsidR="001E2F6D" w:rsidRPr="007A78D7" w:rsidRDefault="001E2F6D" w:rsidP="001E2F6D">
      <w:pPr>
        <w:tabs>
          <w:tab w:val="left" w:pos="9360"/>
        </w:tabs>
        <w:spacing w:after="0" w:line="240" w:lineRule="auto"/>
        <w:ind w:left="4320"/>
        <w:rPr>
          <w:rFonts w:ascii="Times New Roman" w:hAnsi="Times New Roman"/>
          <w:sz w:val="26"/>
          <w:szCs w:val="26"/>
        </w:rPr>
      </w:pPr>
      <w:r w:rsidRPr="007A78D7">
        <w:rPr>
          <w:rFonts w:ascii="Times New Roman" w:hAnsi="Times New Roman"/>
          <w:sz w:val="26"/>
          <w:szCs w:val="26"/>
        </w:rPr>
        <w:lastRenderedPageBreak/>
        <w:t>180 East Broad Street, 6</w:t>
      </w:r>
      <w:r w:rsidRPr="007A78D7">
        <w:rPr>
          <w:rFonts w:ascii="Times New Roman" w:hAnsi="Times New Roman"/>
          <w:sz w:val="26"/>
          <w:szCs w:val="26"/>
          <w:vertAlign w:val="superscript"/>
        </w:rPr>
        <w:t>th</w:t>
      </w:r>
      <w:r w:rsidRPr="007A78D7">
        <w:rPr>
          <w:rFonts w:ascii="Times New Roman" w:hAnsi="Times New Roman"/>
          <w:sz w:val="26"/>
          <w:szCs w:val="26"/>
        </w:rPr>
        <w:t xml:space="preserve"> Floor</w:t>
      </w:r>
    </w:p>
    <w:p w:rsidR="001E2F6D" w:rsidRPr="007A78D7" w:rsidRDefault="001E2F6D" w:rsidP="001E2F6D">
      <w:pPr>
        <w:tabs>
          <w:tab w:val="left" w:pos="9360"/>
        </w:tabs>
        <w:spacing w:after="0" w:line="240" w:lineRule="auto"/>
        <w:ind w:left="4320"/>
        <w:rPr>
          <w:rFonts w:ascii="Times New Roman" w:hAnsi="Times New Roman"/>
          <w:sz w:val="26"/>
          <w:szCs w:val="26"/>
        </w:rPr>
      </w:pPr>
      <w:r w:rsidRPr="007A78D7">
        <w:rPr>
          <w:rFonts w:ascii="Times New Roman" w:hAnsi="Times New Roman"/>
          <w:sz w:val="26"/>
          <w:szCs w:val="26"/>
        </w:rPr>
        <w:t>Columbus, OH  43215-3793</w:t>
      </w:r>
    </w:p>
    <w:p w:rsidR="001E2F6D" w:rsidRPr="007A78D7" w:rsidRDefault="001E2F6D" w:rsidP="001E2F6D">
      <w:pPr>
        <w:tabs>
          <w:tab w:val="left" w:pos="9360"/>
        </w:tabs>
        <w:spacing w:after="0" w:line="240" w:lineRule="auto"/>
        <w:ind w:left="4320"/>
        <w:rPr>
          <w:rFonts w:ascii="Times New Roman" w:hAnsi="Times New Roman"/>
          <w:sz w:val="26"/>
          <w:szCs w:val="26"/>
        </w:rPr>
      </w:pPr>
      <w:r w:rsidRPr="007A78D7">
        <w:rPr>
          <w:rFonts w:ascii="Times New Roman" w:hAnsi="Times New Roman"/>
          <w:sz w:val="26"/>
          <w:szCs w:val="26"/>
        </w:rPr>
        <w:t>614.466.4397 (telephone)</w:t>
      </w:r>
    </w:p>
    <w:p w:rsidR="001E2F6D" w:rsidRPr="007A78D7" w:rsidRDefault="001E2F6D" w:rsidP="001E2F6D">
      <w:pPr>
        <w:tabs>
          <w:tab w:val="left" w:pos="9360"/>
        </w:tabs>
        <w:spacing w:after="0" w:line="240" w:lineRule="auto"/>
        <w:ind w:left="4320"/>
        <w:rPr>
          <w:rFonts w:ascii="Times New Roman" w:hAnsi="Times New Roman"/>
          <w:sz w:val="26"/>
          <w:szCs w:val="26"/>
        </w:rPr>
      </w:pPr>
      <w:r w:rsidRPr="007A78D7">
        <w:rPr>
          <w:rFonts w:ascii="Times New Roman" w:hAnsi="Times New Roman"/>
          <w:sz w:val="26"/>
          <w:szCs w:val="26"/>
        </w:rPr>
        <w:t>614.644.8764 (fax)</w:t>
      </w:r>
    </w:p>
    <w:p w:rsidR="001E2F6D" w:rsidRPr="007A78D7" w:rsidRDefault="00F53D6B" w:rsidP="001E2F6D">
      <w:pPr>
        <w:tabs>
          <w:tab w:val="left" w:pos="9360"/>
        </w:tabs>
        <w:spacing w:after="0" w:line="240" w:lineRule="auto"/>
        <w:ind w:left="4320"/>
        <w:rPr>
          <w:rFonts w:ascii="Times New Roman" w:hAnsi="Times New Roman"/>
          <w:sz w:val="26"/>
          <w:szCs w:val="26"/>
        </w:rPr>
      </w:pPr>
      <w:hyperlink r:id="rId7" w:history="1">
        <w:r w:rsidR="001E2F6D" w:rsidRPr="00B12E3C">
          <w:rPr>
            <w:rStyle w:val="Hyperlink"/>
            <w:rFonts w:ascii="Times New Roman" w:hAnsi="Times New Roman"/>
            <w:sz w:val="26"/>
            <w:szCs w:val="26"/>
          </w:rPr>
          <w:t>william.wright@puc.state.oh.us</w:t>
        </w:r>
      </w:hyperlink>
    </w:p>
    <w:p w:rsidR="001E2F6D" w:rsidRPr="007A78D7" w:rsidRDefault="001E2F6D" w:rsidP="001E2F6D">
      <w:pPr>
        <w:tabs>
          <w:tab w:val="left" w:pos="9360"/>
        </w:tabs>
        <w:spacing w:after="0" w:line="240" w:lineRule="auto"/>
        <w:ind w:left="4320"/>
        <w:rPr>
          <w:rFonts w:ascii="Times New Roman" w:hAnsi="Times New Roman"/>
          <w:sz w:val="26"/>
          <w:szCs w:val="26"/>
        </w:rPr>
      </w:pPr>
    </w:p>
    <w:p w:rsidR="00DA0C80" w:rsidRPr="00591039" w:rsidRDefault="001E2F6D" w:rsidP="001E2F6D">
      <w:pPr>
        <w:tabs>
          <w:tab w:val="left" w:pos="9360"/>
        </w:tabs>
        <w:spacing w:after="0" w:line="240" w:lineRule="auto"/>
        <w:ind w:left="4320"/>
        <w:rPr>
          <w:rFonts w:ascii="Times New Roman" w:hAnsi="Times New Roman"/>
          <w:b/>
          <w:sz w:val="26"/>
          <w:szCs w:val="26"/>
        </w:rPr>
      </w:pPr>
      <w:r w:rsidRPr="00591039">
        <w:rPr>
          <w:rFonts w:ascii="Times New Roman" w:hAnsi="Times New Roman"/>
          <w:b/>
          <w:sz w:val="26"/>
          <w:szCs w:val="26"/>
        </w:rPr>
        <w:t xml:space="preserve">Attorney for </w:t>
      </w:r>
      <w:r w:rsidR="00DA0C80" w:rsidRPr="00591039">
        <w:rPr>
          <w:rFonts w:ascii="Times New Roman" w:hAnsi="Times New Roman"/>
          <w:b/>
          <w:sz w:val="26"/>
          <w:szCs w:val="26"/>
        </w:rPr>
        <w:t>t</w:t>
      </w:r>
      <w:r w:rsidRPr="00591039">
        <w:rPr>
          <w:rFonts w:ascii="Times New Roman" w:hAnsi="Times New Roman"/>
          <w:b/>
          <w:sz w:val="26"/>
          <w:szCs w:val="26"/>
        </w:rPr>
        <w:t xml:space="preserve">he Public Utilities </w:t>
      </w:r>
    </w:p>
    <w:p w:rsidR="00F168CB" w:rsidRPr="00591039" w:rsidRDefault="001E2F6D" w:rsidP="00591039">
      <w:pPr>
        <w:tabs>
          <w:tab w:val="left" w:pos="9360"/>
        </w:tabs>
        <w:spacing w:after="0" w:line="240" w:lineRule="auto"/>
        <w:ind w:left="4320"/>
        <w:rPr>
          <w:rFonts w:ascii="Times New Roman" w:hAnsi="Times New Roman"/>
          <w:b/>
          <w:sz w:val="26"/>
          <w:szCs w:val="26"/>
        </w:rPr>
      </w:pPr>
      <w:r w:rsidRPr="00591039">
        <w:rPr>
          <w:rFonts w:ascii="Times New Roman" w:hAnsi="Times New Roman"/>
          <w:b/>
          <w:sz w:val="26"/>
          <w:szCs w:val="26"/>
        </w:rPr>
        <w:t>Commission of Ohio</w:t>
      </w:r>
      <w:r w:rsidR="00F9078A" w:rsidRPr="00417583">
        <w:rPr>
          <w:rFonts w:ascii="Times New Roman" w:hAnsi="Times New Roman"/>
          <w:b/>
          <w:sz w:val="28"/>
          <w:szCs w:val="28"/>
        </w:rPr>
        <w:br/>
      </w:r>
    </w:p>
    <w:p w:rsidR="001E2F6D" w:rsidRPr="001E2F6D" w:rsidRDefault="001E2F6D" w:rsidP="00A26773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1E2F6D">
        <w:rPr>
          <w:rFonts w:ascii="Times New Roman" w:hAnsi="Times New Roman"/>
          <w:sz w:val="28"/>
          <w:szCs w:val="28"/>
        </w:rPr>
        <w:t>Dated:</w:t>
      </w:r>
      <w:r>
        <w:rPr>
          <w:rFonts w:ascii="Times New Roman" w:hAnsi="Times New Roman"/>
          <w:sz w:val="28"/>
          <w:szCs w:val="28"/>
        </w:rPr>
        <w:t xml:space="preserve">  September 30, 2015</w:t>
      </w:r>
    </w:p>
    <w:sectPr w:rsidR="001E2F6D" w:rsidRPr="001E2F6D" w:rsidSect="003551B5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2CE" w:rsidRDefault="00E462CE" w:rsidP="00305ED9">
      <w:pPr>
        <w:spacing w:after="0" w:line="240" w:lineRule="auto"/>
      </w:pPr>
      <w:r>
        <w:separator/>
      </w:r>
    </w:p>
  </w:endnote>
  <w:endnote w:type="continuationSeparator" w:id="0">
    <w:p w:rsidR="00E462CE" w:rsidRDefault="00E462CE" w:rsidP="0030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987820769"/>
      <w:docPartObj>
        <w:docPartGallery w:val="Page Numbers (Bottom of Page)"/>
        <w:docPartUnique/>
      </w:docPartObj>
    </w:sdtPr>
    <w:sdtEndPr>
      <w:rPr>
        <w:noProof/>
        <w:sz w:val="26"/>
        <w:szCs w:val="26"/>
      </w:rPr>
    </w:sdtEndPr>
    <w:sdtContent>
      <w:p w:rsidR="00F53D6B" w:rsidRPr="00F53D6B" w:rsidRDefault="00F53D6B" w:rsidP="00F53D6B">
        <w:pPr>
          <w:pStyle w:val="Footer"/>
          <w:jc w:val="center"/>
          <w:rPr>
            <w:rFonts w:ascii="Times New Roman" w:hAnsi="Times New Roman"/>
            <w:noProof/>
            <w:sz w:val="26"/>
            <w:szCs w:val="26"/>
          </w:rPr>
        </w:pPr>
        <w:r w:rsidRPr="00F53D6B">
          <w:rPr>
            <w:rFonts w:ascii="Times New Roman" w:hAnsi="Times New Roman"/>
            <w:sz w:val="26"/>
            <w:szCs w:val="26"/>
          </w:rPr>
          <w:fldChar w:fldCharType="begin"/>
        </w:r>
        <w:r w:rsidRPr="00F53D6B">
          <w:rPr>
            <w:rFonts w:ascii="Times New Roman" w:hAnsi="Times New Roman"/>
            <w:sz w:val="26"/>
            <w:szCs w:val="26"/>
          </w:rPr>
          <w:instrText xml:space="preserve"> PAGE   \* MERGEFORMAT </w:instrText>
        </w:r>
        <w:r w:rsidRPr="00F53D6B">
          <w:rPr>
            <w:rFonts w:ascii="Times New Roman" w:hAnsi="Times New Roman"/>
            <w:sz w:val="26"/>
            <w:szCs w:val="26"/>
          </w:rPr>
          <w:fldChar w:fldCharType="separate"/>
        </w:r>
        <w:r>
          <w:rPr>
            <w:rFonts w:ascii="Times New Roman" w:hAnsi="Times New Roman"/>
            <w:noProof/>
            <w:sz w:val="26"/>
            <w:szCs w:val="26"/>
          </w:rPr>
          <w:t>5</w:t>
        </w:r>
        <w:r w:rsidRPr="00F53D6B">
          <w:rPr>
            <w:rFonts w:ascii="Times New Roman" w:hAnsi="Times New Roman"/>
            <w:noProof/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2CE" w:rsidRDefault="00E462CE" w:rsidP="00305ED9">
      <w:pPr>
        <w:spacing w:after="0" w:line="240" w:lineRule="auto"/>
      </w:pPr>
      <w:r>
        <w:separator/>
      </w:r>
    </w:p>
  </w:footnote>
  <w:footnote w:type="continuationSeparator" w:id="0">
    <w:p w:rsidR="00E462CE" w:rsidRDefault="00E462CE" w:rsidP="00305ED9">
      <w:pPr>
        <w:spacing w:after="0" w:line="240" w:lineRule="auto"/>
      </w:pPr>
      <w:r>
        <w:continuationSeparator/>
      </w:r>
    </w:p>
  </w:footnote>
  <w:footnote w:id="1">
    <w:p w:rsidR="00F6161A" w:rsidRPr="00D363E1" w:rsidRDefault="00305ED9" w:rsidP="00F6161A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="00F6161A">
        <w:tab/>
      </w:r>
      <w:r w:rsidR="00F6161A">
        <w:tab/>
      </w:r>
      <w:r w:rsidR="00F6161A" w:rsidRPr="00D363E1">
        <w:rPr>
          <w:i/>
        </w:rPr>
        <w:t xml:space="preserve">See Lifeline and Link Up Reform and Modernization; </w:t>
      </w:r>
      <w:r w:rsidR="00E57AFB">
        <w:rPr>
          <w:i/>
        </w:rPr>
        <w:t>L</w:t>
      </w:r>
      <w:r w:rsidR="00F6161A" w:rsidRPr="00D363E1">
        <w:rPr>
          <w:i/>
        </w:rPr>
        <w:t>ifeline and Link Up; Federal-State Joint Board</w:t>
      </w:r>
      <w:r w:rsidR="00D363E1">
        <w:rPr>
          <w:i/>
        </w:rPr>
        <w:t xml:space="preserve"> </w:t>
      </w:r>
      <w:r w:rsidR="00F6161A" w:rsidRPr="00D363E1">
        <w:rPr>
          <w:i/>
        </w:rPr>
        <w:t>on Universal Service; Advancing Broadband Availability Through Digital Literacy Training</w:t>
      </w:r>
      <w:r w:rsidR="00F6161A">
        <w:t>; WC Docket No</w:t>
      </w:r>
      <w:r w:rsidR="00D363E1">
        <w:rPr>
          <w:i/>
        </w:rPr>
        <w:t xml:space="preserve"> </w:t>
      </w:r>
      <w:r w:rsidR="00F6161A">
        <w:t>11-42, WC Docket No. 03-109, CC Docket No. 96-45, WC Docket No. 12-23</w:t>
      </w:r>
      <w:r w:rsidR="00084633">
        <w:t xml:space="preserve"> (Report and Order and Further Notice of Proposed Rulemaking) </w:t>
      </w:r>
      <w:r w:rsidR="00F6161A">
        <w:t>27 FCC Rcd 6656 (2011).</w:t>
      </w:r>
    </w:p>
  </w:footnote>
  <w:footnote w:id="2">
    <w:p w:rsidR="009F30BB" w:rsidRDefault="009F30B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ab/>
      </w:r>
      <w:r>
        <w:rPr>
          <w:i/>
        </w:rPr>
        <w:t>Lifeline and Link Up R</w:t>
      </w:r>
      <w:r w:rsidRPr="00084633">
        <w:rPr>
          <w:i/>
        </w:rPr>
        <w:t>eform and Modernization; Telecommunications Carriers Eligible for Universal Service Support; Connect America Fund</w:t>
      </w:r>
      <w:r>
        <w:t>; WC Docket Nos. 11-42, 09-197, 10-90 (Second Fur</w:t>
      </w:r>
      <w:r w:rsidR="0057199A">
        <w:softHyphen/>
      </w:r>
      <w:r>
        <w:t>ther Notice of Proposed Rulemaking, Order on Reconsideration, Second Report and Order, and Memo</w:t>
      </w:r>
      <w:r w:rsidR="0057199A">
        <w:softHyphen/>
      </w:r>
      <w:r>
        <w:t>randum Opinion and Order) (Rel. Jun. 22, 2015) (FNPRM).</w:t>
      </w:r>
    </w:p>
  </w:footnote>
  <w:footnote w:id="3">
    <w:p w:rsidR="009F30BB" w:rsidRDefault="009F30B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ab/>
      </w:r>
      <w:r w:rsidRPr="009F30BB">
        <w:rPr>
          <w:i/>
        </w:rPr>
        <w:t>See</w:t>
      </w:r>
      <w:r>
        <w:t xml:space="preserve"> 47 U.S.C. §214(e)(2).</w:t>
      </w:r>
    </w:p>
  </w:footnote>
  <w:footnote w:id="4">
    <w:p w:rsidR="00084633" w:rsidRPr="00D363E1" w:rsidRDefault="00661860" w:rsidP="00084633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="00084633">
        <w:tab/>
      </w:r>
      <w:r w:rsidR="00084633">
        <w:tab/>
      </w:r>
      <w:r w:rsidR="00BF6531">
        <w:rPr>
          <w:i/>
        </w:rPr>
        <w:t>Lifeline and Link Up R</w:t>
      </w:r>
      <w:r w:rsidR="00084633" w:rsidRPr="00084633">
        <w:rPr>
          <w:i/>
        </w:rPr>
        <w:t>eform and Modernization; Telecommunications Carriers Eligible for Universal Service Support; Connect America Fund</w:t>
      </w:r>
      <w:r w:rsidR="00084633">
        <w:t>; WC Docket Nos. 11-42, 09-197, 10-90 (Comments of the National Association of Regulatory Utility Commissioners) (Filed Aug</w:t>
      </w:r>
      <w:r w:rsidR="00D363E1">
        <w:t>.</w:t>
      </w:r>
      <w:r w:rsidR="00084633">
        <w:t xml:space="preserve"> 31, 2015) (NARUC Com</w:t>
      </w:r>
      <w:r w:rsidR="0057199A">
        <w:softHyphen/>
      </w:r>
      <w:r w:rsidR="00084633">
        <w:t>ments).</w:t>
      </w:r>
    </w:p>
  </w:footnote>
  <w:footnote w:id="5">
    <w:p w:rsidR="00084633" w:rsidRDefault="006618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84633">
        <w:tab/>
      </w:r>
      <w:r w:rsidR="00084633">
        <w:tab/>
      </w:r>
      <w:r w:rsidR="00084633" w:rsidRPr="00084633">
        <w:rPr>
          <w:i/>
        </w:rPr>
        <w:t>See</w:t>
      </w:r>
      <w:r w:rsidR="00084633">
        <w:t xml:space="preserve"> FNPRM at ¶ 140.</w:t>
      </w:r>
    </w:p>
  </w:footnote>
  <w:footnote w:id="6">
    <w:p w:rsidR="00084633" w:rsidRDefault="006618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84633">
        <w:tab/>
      </w:r>
      <w:r w:rsidR="00084633">
        <w:tab/>
        <w:t>NARUC Comments at 11.</w:t>
      </w:r>
    </w:p>
  </w:footnote>
  <w:footnote w:id="7">
    <w:p w:rsidR="00084633" w:rsidRPr="00D363E1" w:rsidRDefault="00F9078A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="00084633">
        <w:tab/>
      </w:r>
      <w:r w:rsidR="00084633">
        <w:tab/>
      </w:r>
      <w:r w:rsidR="00084633" w:rsidRPr="00084633">
        <w:rPr>
          <w:i/>
        </w:rPr>
        <w:t>Id.</w:t>
      </w:r>
    </w:p>
  </w:footnote>
  <w:footnote w:id="8">
    <w:p w:rsidR="00C00CBA" w:rsidRDefault="00C00C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84633">
        <w:tab/>
      </w:r>
      <w:r w:rsidR="00084633">
        <w:tab/>
      </w:r>
      <w:r w:rsidR="00591039">
        <w:t>NARUC Comments at 11</w:t>
      </w:r>
      <w:r w:rsidR="00084633">
        <w:t>.</w:t>
      </w:r>
    </w:p>
  </w:footnote>
  <w:footnote w:id="9">
    <w:p w:rsidR="00084633" w:rsidRDefault="00186A5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84633">
        <w:tab/>
      </w:r>
      <w:r w:rsidR="00084633">
        <w:tab/>
      </w:r>
      <w:r w:rsidR="00084633" w:rsidRPr="00084633">
        <w:rPr>
          <w:i/>
        </w:rPr>
        <w:t>See</w:t>
      </w:r>
      <w:r w:rsidR="00084633">
        <w:t xml:space="preserve"> </w:t>
      </w:r>
      <w:r w:rsidR="00591039">
        <w:rPr>
          <w:i/>
        </w:rPr>
        <w:t>Id</w:t>
      </w:r>
      <w:r w:rsidR="00591039">
        <w:t>.</w:t>
      </w:r>
      <w:r w:rsidR="00084633">
        <w:t xml:space="preserve"> at 6.</w:t>
      </w:r>
    </w:p>
  </w:footnote>
  <w:footnote w:id="10">
    <w:p w:rsidR="003E7EE5" w:rsidRDefault="003E7E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84633">
        <w:tab/>
      </w:r>
      <w:r w:rsidR="00084633">
        <w:tab/>
      </w:r>
      <w:r w:rsidR="00A96A54" w:rsidRPr="00A96A54">
        <w:rPr>
          <w:i/>
        </w:rPr>
        <w:t>Id</w:t>
      </w:r>
      <w:r w:rsidR="00A96A54">
        <w:t>.</w:t>
      </w:r>
      <w:r w:rsidR="00496D94">
        <w:t xml:space="preserve"> </w:t>
      </w:r>
      <w:r w:rsidR="00084633">
        <w:t>at</w:t>
      </w:r>
      <w:r w:rsidR="001E2F6D">
        <w:t xml:space="preserve"> 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12"/>
    <w:rsid w:val="0003537C"/>
    <w:rsid w:val="00084633"/>
    <w:rsid w:val="001010D1"/>
    <w:rsid w:val="00186A5F"/>
    <w:rsid w:val="001D0712"/>
    <w:rsid w:val="001E2F6D"/>
    <w:rsid w:val="002870AD"/>
    <w:rsid w:val="002B4DD6"/>
    <w:rsid w:val="00305ED9"/>
    <w:rsid w:val="00342886"/>
    <w:rsid w:val="003551B5"/>
    <w:rsid w:val="00374C78"/>
    <w:rsid w:val="003C4108"/>
    <w:rsid w:val="003E7EE5"/>
    <w:rsid w:val="00417583"/>
    <w:rsid w:val="0049666B"/>
    <w:rsid w:val="00496D94"/>
    <w:rsid w:val="004E1A45"/>
    <w:rsid w:val="0052052C"/>
    <w:rsid w:val="0055746D"/>
    <w:rsid w:val="0057199A"/>
    <w:rsid w:val="00591039"/>
    <w:rsid w:val="00661860"/>
    <w:rsid w:val="00704A9B"/>
    <w:rsid w:val="00770023"/>
    <w:rsid w:val="007B39DF"/>
    <w:rsid w:val="00844CC0"/>
    <w:rsid w:val="008D01BB"/>
    <w:rsid w:val="008D0834"/>
    <w:rsid w:val="00977481"/>
    <w:rsid w:val="009F30BB"/>
    <w:rsid w:val="00A26773"/>
    <w:rsid w:val="00A96A54"/>
    <w:rsid w:val="00BF6531"/>
    <w:rsid w:val="00C00CBA"/>
    <w:rsid w:val="00CD7A0F"/>
    <w:rsid w:val="00D17411"/>
    <w:rsid w:val="00D25507"/>
    <w:rsid w:val="00D363E1"/>
    <w:rsid w:val="00DA0C80"/>
    <w:rsid w:val="00E462CE"/>
    <w:rsid w:val="00E57AFB"/>
    <w:rsid w:val="00E930BF"/>
    <w:rsid w:val="00F168CB"/>
    <w:rsid w:val="00F31890"/>
    <w:rsid w:val="00F53D6B"/>
    <w:rsid w:val="00F57C81"/>
    <w:rsid w:val="00F6161A"/>
    <w:rsid w:val="00F64F4D"/>
    <w:rsid w:val="00F9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469ED7-99BA-47D5-86C4-7D4DFADB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712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363E1"/>
    <w:pPr>
      <w:keepNext/>
      <w:keepLines/>
      <w:spacing w:before="36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rsid w:val="00D363E1"/>
    <w:pPr>
      <w:spacing w:before="240" w:after="240" w:line="240" w:lineRule="auto"/>
      <w:ind w:left="720" w:hanging="72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63E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5ED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18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1860"/>
    <w:rPr>
      <w:rFonts w:ascii="Calibri" w:eastAsia="Times New Roman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61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E2F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1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89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31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890"/>
    <w:rPr>
      <w:rFonts w:ascii="Calibri" w:eastAsia="Times New Roman" w:hAnsi="Calibri" w:cs="Times New Roman"/>
    </w:rPr>
  </w:style>
  <w:style w:type="paragraph" w:customStyle="1" w:styleId="Textstyle">
    <w:name w:val="Text style"/>
    <w:basedOn w:val="Normal"/>
    <w:autoRedefine/>
    <w:rsid w:val="00D363E1"/>
    <w:pPr>
      <w:spacing w:after="0" w:line="480" w:lineRule="auto"/>
    </w:pPr>
    <w:rPr>
      <w:rFonts w:ascii="Times New Roman" w:hAnsi="Times New Roman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363E1"/>
    <w:rPr>
      <w:rFonts w:ascii="Times New Roman" w:eastAsiaTheme="majorEastAsia" w:hAnsi="Times New Roman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illiam.wright@puc.state.oh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C8BD4-A09F-400A-92E5-C6D006C1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Well, Jason</dc:creator>
  <cp:keywords/>
  <dc:description/>
  <cp:lastModifiedBy>Keeton, Kim</cp:lastModifiedBy>
  <cp:revision>6</cp:revision>
  <cp:lastPrinted>2015-09-25T13:29:00Z</cp:lastPrinted>
  <dcterms:created xsi:type="dcterms:W3CDTF">2015-09-30T17:54:00Z</dcterms:created>
  <dcterms:modified xsi:type="dcterms:W3CDTF">2015-09-30T17:58:00Z</dcterms:modified>
</cp:coreProperties>
</file>