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56" w:rsidRPr="00537473" w:rsidRDefault="00C04E56" w:rsidP="00C04E56">
      <w:pPr>
        <w:jc w:val="center"/>
        <w:rPr>
          <w:b/>
          <w:sz w:val="26"/>
          <w:szCs w:val="26"/>
        </w:rPr>
      </w:pPr>
      <w:r w:rsidRPr="00537473">
        <w:rPr>
          <w:b/>
          <w:sz w:val="26"/>
          <w:szCs w:val="26"/>
        </w:rPr>
        <w:t>BEFORE</w:t>
      </w:r>
    </w:p>
    <w:p w:rsidR="00C04E56" w:rsidRPr="00537473" w:rsidRDefault="00C04E56" w:rsidP="00C04E56">
      <w:pPr>
        <w:jc w:val="center"/>
        <w:rPr>
          <w:sz w:val="26"/>
          <w:szCs w:val="26"/>
        </w:rPr>
      </w:pPr>
      <w:r w:rsidRPr="00537473">
        <w:rPr>
          <w:b/>
          <w:bCs/>
          <w:sz w:val="26"/>
          <w:szCs w:val="26"/>
        </w:rPr>
        <w:t>THE PUBLIC UTILITIES COMMISSION OF OHIO</w:t>
      </w:r>
    </w:p>
    <w:p w:rsidR="00C04E56" w:rsidRPr="00867F58" w:rsidRDefault="00C04E56" w:rsidP="00C04E56">
      <w:pPr>
        <w:rPr>
          <w:sz w:val="26"/>
          <w:szCs w:val="26"/>
        </w:rPr>
      </w:pPr>
    </w:p>
    <w:tbl>
      <w:tblPr>
        <w:tblW w:w="8658" w:type="dxa"/>
        <w:tblLook w:val="04A0" w:firstRow="1" w:lastRow="0" w:firstColumn="1" w:lastColumn="0" w:noHBand="0" w:noVBand="1"/>
      </w:tblPr>
      <w:tblGrid>
        <w:gridCol w:w="4608"/>
        <w:gridCol w:w="540"/>
        <w:gridCol w:w="3510"/>
      </w:tblGrid>
      <w:tr w:rsidR="00C04E56" w:rsidRPr="00E77986" w:rsidTr="00C04E56">
        <w:tc>
          <w:tcPr>
            <w:tcW w:w="4608" w:type="dxa"/>
          </w:tcPr>
          <w:p w:rsidR="00C04E56" w:rsidRPr="00E77986" w:rsidRDefault="00C04E56" w:rsidP="00E77986">
            <w:pPr>
              <w:autoSpaceDE w:val="0"/>
              <w:autoSpaceDN w:val="0"/>
              <w:adjustRightInd w:val="0"/>
              <w:rPr>
                <w:sz w:val="26"/>
                <w:szCs w:val="26"/>
              </w:rPr>
            </w:pPr>
            <w:r w:rsidRPr="00E77986">
              <w:rPr>
                <w:sz w:val="26"/>
                <w:szCs w:val="26"/>
              </w:rPr>
              <w:t>In the Matter of the Regulation of the</w:t>
            </w:r>
            <w:r w:rsidR="00E77986">
              <w:rPr>
                <w:sz w:val="26"/>
                <w:szCs w:val="26"/>
              </w:rPr>
              <w:t xml:space="preserve"> </w:t>
            </w:r>
            <w:r w:rsidRPr="00E77986">
              <w:rPr>
                <w:sz w:val="26"/>
                <w:szCs w:val="26"/>
              </w:rPr>
              <w:t>Purchased Gas Adjustment Clauses</w:t>
            </w:r>
            <w:r w:rsidR="00E77986">
              <w:rPr>
                <w:sz w:val="26"/>
                <w:szCs w:val="26"/>
              </w:rPr>
              <w:t xml:space="preserve"> </w:t>
            </w:r>
            <w:r w:rsidRPr="00E77986">
              <w:rPr>
                <w:sz w:val="26"/>
                <w:szCs w:val="26"/>
              </w:rPr>
              <w:t>Contained within the Rate Schedules of</w:t>
            </w:r>
            <w:r w:rsidR="00E77986">
              <w:rPr>
                <w:sz w:val="26"/>
                <w:szCs w:val="26"/>
              </w:rPr>
              <w:t xml:space="preserve"> </w:t>
            </w:r>
            <w:r w:rsidRPr="00E77986">
              <w:rPr>
                <w:sz w:val="26"/>
                <w:szCs w:val="26"/>
              </w:rPr>
              <w:t>Northeast Ohio Natural Gas Corporation and Orwell Natural Gas Company.</w:t>
            </w:r>
          </w:p>
          <w:p w:rsidR="00C04E56" w:rsidRPr="00E77986" w:rsidRDefault="00C04E56" w:rsidP="00E77986">
            <w:pPr>
              <w:autoSpaceDE w:val="0"/>
              <w:autoSpaceDN w:val="0"/>
              <w:adjustRightInd w:val="0"/>
              <w:rPr>
                <w:sz w:val="26"/>
                <w:szCs w:val="26"/>
              </w:rPr>
            </w:pPr>
          </w:p>
          <w:p w:rsidR="00C04E56" w:rsidRPr="00E77986" w:rsidRDefault="00C04E56" w:rsidP="00E77986">
            <w:pPr>
              <w:autoSpaceDE w:val="0"/>
              <w:autoSpaceDN w:val="0"/>
              <w:adjustRightInd w:val="0"/>
              <w:rPr>
                <w:sz w:val="26"/>
                <w:szCs w:val="26"/>
              </w:rPr>
            </w:pPr>
            <w:r w:rsidRPr="00E77986">
              <w:rPr>
                <w:sz w:val="26"/>
                <w:szCs w:val="26"/>
              </w:rPr>
              <w:t>In the Matter of the Regulations of the</w:t>
            </w:r>
            <w:r w:rsidR="00E77986">
              <w:rPr>
                <w:sz w:val="26"/>
                <w:szCs w:val="26"/>
              </w:rPr>
              <w:t xml:space="preserve"> </w:t>
            </w:r>
            <w:r w:rsidRPr="00E77986">
              <w:rPr>
                <w:sz w:val="26"/>
                <w:szCs w:val="26"/>
              </w:rPr>
              <w:t>Purchased Gas Adjustment Clauses</w:t>
            </w:r>
            <w:r w:rsidR="00E77986">
              <w:rPr>
                <w:sz w:val="26"/>
                <w:szCs w:val="26"/>
              </w:rPr>
              <w:t xml:space="preserve"> </w:t>
            </w:r>
            <w:r w:rsidRPr="00E77986">
              <w:rPr>
                <w:sz w:val="26"/>
                <w:szCs w:val="26"/>
              </w:rPr>
              <w:t>contained within the Rate Schedules of</w:t>
            </w:r>
            <w:r w:rsidR="00E77986">
              <w:rPr>
                <w:sz w:val="26"/>
                <w:szCs w:val="26"/>
              </w:rPr>
              <w:t xml:space="preserve"> </w:t>
            </w:r>
            <w:r w:rsidRPr="00E77986">
              <w:rPr>
                <w:sz w:val="26"/>
                <w:szCs w:val="26"/>
              </w:rPr>
              <w:t>Northeast Ohio Natural Gas Corporation and related matters.</w:t>
            </w:r>
          </w:p>
          <w:p w:rsidR="00C04E56" w:rsidRPr="00E77986" w:rsidRDefault="00C04E56" w:rsidP="00E77986">
            <w:pPr>
              <w:autoSpaceDE w:val="0"/>
              <w:autoSpaceDN w:val="0"/>
              <w:adjustRightInd w:val="0"/>
              <w:rPr>
                <w:sz w:val="26"/>
                <w:szCs w:val="26"/>
              </w:rPr>
            </w:pPr>
          </w:p>
          <w:p w:rsidR="00C04E56" w:rsidRPr="00E77986" w:rsidRDefault="00C04E56" w:rsidP="00E77986">
            <w:pPr>
              <w:autoSpaceDE w:val="0"/>
              <w:autoSpaceDN w:val="0"/>
              <w:adjustRightInd w:val="0"/>
              <w:rPr>
                <w:sz w:val="26"/>
                <w:szCs w:val="26"/>
              </w:rPr>
            </w:pPr>
            <w:r w:rsidRPr="00E77986">
              <w:rPr>
                <w:sz w:val="26"/>
                <w:szCs w:val="26"/>
              </w:rPr>
              <w:t>In the Matter of the Uncollectible Expense Rider</w:t>
            </w:r>
            <w:r w:rsidR="006603A0">
              <w:rPr>
                <w:sz w:val="26"/>
                <w:szCs w:val="26"/>
              </w:rPr>
              <w:t xml:space="preserve"> of Orwell Natural Gas Company.</w:t>
            </w:r>
          </w:p>
        </w:tc>
        <w:tc>
          <w:tcPr>
            <w:tcW w:w="540" w:type="dxa"/>
          </w:tcPr>
          <w:p w:rsidR="00C04E56" w:rsidRPr="00E77986" w:rsidRDefault="00C04E56" w:rsidP="00E77986">
            <w:pPr>
              <w:rPr>
                <w:sz w:val="26"/>
                <w:szCs w:val="26"/>
              </w:rPr>
            </w:pPr>
            <w:r w:rsidRPr="00E77986">
              <w:rPr>
                <w:sz w:val="26"/>
                <w:szCs w:val="26"/>
              </w:rPr>
              <w:t>:</w:t>
            </w:r>
          </w:p>
          <w:p w:rsidR="00C04E56" w:rsidRPr="00E77986" w:rsidRDefault="00C04E56" w:rsidP="00E77986">
            <w:pPr>
              <w:rPr>
                <w:sz w:val="26"/>
                <w:szCs w:val="26"/>
              </w:rPr>
            </w:pPr>
            <w:r w:rsidRPr="00E77986">
              <w:rPr>
                <w:sz w:val="26"/>
                <w:szCs w:val="26"/>
              </w:rPr>
              <w:t>:</w:t>
            </w:r>
          </w:p>
          <w:p w:rsidR="00C04E56" w:rsidRPr="00E77986" w:rsidRDefault="00C04E56" w:rsidP="00E77986">
            <w:pPr>
              <w:rPr>
                <w:sz w:val="26"/>
                <w:szCs w:val="26"/>
              </w:rPr>
            </w:pPr>
            <w:r w:rsidRPr="00E77986">
              <w:rPr>
                <w:sz w:val="26"/>
                <w:szCs w:val="26"/>
              </w:rPr>
              <w:t>:</w:t>
            </w:r>
          </w:p>
          <w:p w:rsidR="00C04E56" w:rsidRPr="00E77986" w:rsidRDefault="00C04E56" w:rsidP="00E77986">
            <w:pPr>
              <w:rPr>
                <w:sz w:val="26"/>
                <w:szCs w:val="26"/>
              </w:rPr>
            </w:pPr>
            <w:r w:rsidRPr="00E77986">
              <w:rPr>
                <w:sz w:val="26"/>
                <w:szCs w:val="26"/>
              </w:rPr>
              <w:t>:</w:t>
            </w:r>
          </w:p>
          <w:p w:rsidR="00C04E56" w:rsidRPr="00E77986" w:rsidRDefault="00E77986" w:rsidP="00E77986">
            <w:pPr>
              <w:rPr>
                <w:sz w:val="26"/>
                <w:szCs w:val="26"/>
              </w:rPr>
            </w:pPr>
            <w:r>
              <w:rPr>
                <w:sz w:val="26"/>
                <w:szCs w:val="26"/>
              </w:rPr>
              <w:t>:</w:t>
            </w:r>
            <w:r>
              <w:rPr>
                <w:sz w:val="26"/>
                <w:szCs w:val="26"/>
              </w:rPr>
              <w:br/>
            </w:r>
            <w:r>
              <w:rPr>
                <w:sz w:val="26"/>
                <w:szCs w:val="26"/>
              </w:rPr>
              <w:br/>
              <w:t>:</w:t>
            </w:r>
            <w:r>
              <w:rPr>
                <w:sz w:val="26"/>
                <w:szCs w:val="26"/>
              </w:rPr>
              <w:br/>
              <w:t>:</w:t>
            </w:r>
            <w:r>
              <w:rPr>
                <w:sz w:val="26"/>
                <w:szCs w:val="26"/>
              </w:rPr>
              <w:br/>
              <w:t>:</w:t>
            </w:r>
            <w:r>
              <w:rPr>
                <w:sz w:val="26"/>
                <w:szCs w:val="26"/>
              </w:rPr>
              <w:br/>
              <w:t>:</w:t>
            </w:r>
            <w:r>
              <w:rPr>
                <w:sz w:val="26"/>
                <w:szCs w:val="26"/>
              </w:rPr>
              <w:br/>
              <w:t>:</w:t>
            </w:r>
            <w:r>
              <w:rPr>
                <w:sz w:val="26"/>
                <w:szCs w:val="26"/>
              </w:rPr>
              <w:br/>
            </w:r>
            <w:r w:rsidR="00C04E56" w:rsidRPr="00E77986">
              <w:rPr>
                <w:sz w:val="26"/>
                <w:szCs w:val="26"/>
              </w:rPr>
              <w:br/>
              <w:t>:</w:t>
            </w:r>
            <w:r w:rsidR="00C04E56" w:rsidRPr="00E77986">
              <w:rPr>
                <w:sz w:val="26"/>
                <w:szCs w:val="26"/>
              </w:rPr>
              <w:br/>
              <w:t>:</w:t>
            </w:r>
            <w:r w:rsidR="006603A0">
              <w:rPr>
                <w:sz w:val="26"/>
                <w:szCs w:val="26"/>
              </w:rPr>
              <w:br/>
              <w:t>:</w:t>
            </w:r>
          </w:p>
        </w:tc>
        <w:tc>
          <w:tcPr>
            <w:tcW w:w="3510" w:type="dxa"/>
          </w:tcPr>
          <w:p w:rsidR="00C04E56" w:rsidRPr="00E77986" w:rsidRDefault="00C04E56" w:rsidP="00E77986">
            <w:pPr>
              <w:rPr>
                <w:sz w:val="26"/>
                <w:szCs w:val="26"/>
              </w:rPr>
            </w:pPr>
          </w:p>
          <w:p w:rsidR="00C04E56" w:rsidRPr="00E77986" w:rsidRDefault="00C04E56" w:rsidP="00E77986">
            <w:pPr>
              <w:tabs>
                <w:tab w:val="left" w:pos="2974"/>
              </w:tabs>
              <w:autoSpaceDE w:val="0"/>
              <w:autoSpaceDN w:val="0"/>
              <w:adjustRightInd w:val="0"/>
              <w:rPr>
                <w:sz w:val="26"/>
                <w:szCs w:val="26"/>
              </w:rPr>
            </w:pPr>
            <w:r w:rsidRPr="00E77986">
              <w:rPr>
                <w:sz w:val="26"/>
                <w:szCs w:val="26"/>
              </w:rPr>
              <w:t>Case No. 12-0209-GA-GCR</w:t>
            </w:r>
          </w:p>
          <w:p w:rsidR="00C04E56" w:rsidRPr="00E77986" w:rsidRDefault="00C04E56" w:rsidP="00E77986">
            <w:pPr>
              <w:autoSpaceDE w:val="0"/>
              <w:autoSpaceDN w:val="0"/>
              <w:adjustRightInd w:val="0"/>
              <w:rPr>
                <w:sz w:val="26"/>
                <w:szCs w:val="26"/>
              </w:rPr>
            </w:pPr>
            <w:r w:rsidRPr="00E77986">
              <w:rPr>
                <w:sz w:val="26"/>
                <w:szCs w:val="26"/>
              </w:rPr>
              <w:t>Case No. 12-0212-GA-GCR</w:t>
            </w:r>
          </w:p>
          <w:p w:rsidR="00C04E56" w:rsidRPr="00E77986" w:rsidRDefault="00C04E56" w:rsidP="00E77986">
            <w:pPr>
              <w:autoSpaceDE w:val="0"/>
              <w:autoSpaceDN w:val="0"/>
              <w:adjustRightInd w:val="0"/>
              <w:rPr>
                <w:sz w:val="26"/>
                <w:szCs w:val="26"/>
              </w:rPr>
            </w:pPr>
          </w:p>
          <w:p w:rsidR="00C04E56" w:rsidRPr="00E77986" w:rsidRDefault="00C04E56" w:rsidP="00E77986">
            <w:pPr>
              <w:autoSpaceDE w:val="0"/>
              <w:autoSpaceDN w:val="0"/>
              <w:adjustRightInd w:val="0"/>
              <w:rPr>
                <w:sz w:val="26"/>
                <w:szCs w:val="26"/>
              </w:rPr>
            </w:pPr>
          </w:p>
          <w:p w:rsidR="00C04E56" w:rsidRPr="00E77986" w:rsidRDefault="00C04E56" w:rsidP="00E77986">
            <w:pPr>
              <w:autoSpaceDE w:val="0"/>
              <w:autoSpaceDN w:val="0"/>
              <w:adjustRightInd w:val="0"/>
              <w:rPr>
                <w:sz w:val="26"/>
                <w:szCs w:val="26"/>
              </w:rPr>
            </w:pPr>
          </w:p>
          <w:p w:rsidR="00C04E56" w:rsidRPr="00E77986" w:rsidRDefault="00C04E56" w:rsidP="00E77986">
            <w:pPr>
              <w:autoSpaceDE w:val="0"/>
              <w:autoSpaceDN w:val="0"/>
              <w:adjustRightInd w:val="0"/>
              <w:rPr>
                <w:sz w:val="26"/>
                <w:szCs w:val="26"/>
              </w:rPr>
            </w:pPr>
          </w:p>
          <w:p w:rsidR="00C04E56" w:rsidRPr="00E77986" w:rsidRDefault="00C04E56" w:rsidP="00E77986">
            <w:pPr>
              <w:autoSpaceDE w:val="0"/>
              <w:autoSpaceDN w:val="0"/>
              <w:adjustRightInd w:val="0"/>
              <w:rPr>
                <w:sz w:val="26"/>
                <w:szCs w:val="26"/>
              </w:rPr>
            </w:pPr>
            <w:r w:rsidRPr="00E77986">
              <w:rPr>
                <w:sz w:val="26"/>
                <w:szCs w:val="26"/>
              </w:rPr>
              <w:t>Case No. 12-0309-GA-UEX</w:t>
            </w:r>
          </w:p>
          <w:p w:rsidR="00C04E56" w:rsidRPr="00E77986" w:rsidRDefault="00C04E56" w:rsidP="00E77986">
            <w:pPr>
              <w:rPr>
                <w:sz w:val="26"/>
                <w:szCs w:val="26"/>
              </w:rPr>
            </w:pPr>
          </w:p>
          <w:p w:rsidR="00C04E56" w:rsidRPr="00E77986" w:rsidRDefault="00C04E56" w:rsidP="00E77986">
            <w:pPr>
              <w:rPr>
                <w:sz w:val="26"/>
                <w:szCs w:val="26"/>
              </w:rPr>
            </w:pPr>
          </w:p>
          <w:p w:rsidR="00C04E56" w:rsidRPr="00E77986" w:rsidRDefault="00C04E56" w:rsidP="00E77986">
            <w:pPr>
              <w:rPr>
                <w:sz w:val="26"/>
                <w:szCs w:val="26"/>
              </w:rPr>
            </w:pPr>
          </w:p>
          <w:p w:rsidR="00C04E56" w:rsidRPr="00E77986" w:rsidRDefault="00C04E56" w:rsidP="00E77986">
            <w:pPr>
              <w:rPr>
                <w:sz w:val="26"/>
                <w:szCs w:val="26"/>
              </w:rPr>
            </w:pPr>
            <w:r w:rsidRPr="00E77986">
              <w:rPr>
                <w:sz w:val="26"/>
                <w:szCs w:val="26"/>
              </w:rPr>
              <w:t>Case No. 12-0312-GA-UEX</w:t>
            </w:r>
          </w:p>
        </w:tc>
      </w:tr>
    </w:tbl>
    <w:p w:rsidR="006603A0" w:rsidRDefault="006603A0" w:rsidP="00E77986">
      <w:pPr>
        <w:rPr>
          <w:b/>
          <w:sz w:val="26"/>
          <w:szCs w:val="26"/>
        </w:rPr>
      </w:pPr>
    </w:p>
    <w:p w:rsidR="00C04E56" w:rsidRPr="00867F58" w:rsidRDefault="00C04E56" w:rsidP="00E77986">
      <w:pPr>
        <w:rPr>
          <w:b/>
          <w:sz w:val="26"/>
          <w:szCs w:val="26"/>
        </w:rPr>
      </w:pPr>
      <w:r w:rsidRPr="00867F58">
        <w:rPr>
          <w:b/>
          <w:sz w:val="26"/>
          <w:szCs w:val="26"/>
        </w:rPr>
        <w:t>______________________________________________________________________</w:t>
      </w:r>
    </w:p>
    <w:p w:rsidR="00C04E56" w:rsidRPr="00867F58" w:rsidRDefault="00C04E56" w:rsidP="00E77986">
      <w:pPr>
        <w:jc w:val="center"/>
        <w:rPr>
          <w:b/>
          <w:sz w:val="26"/>
          <w:szCs w:val="26"/>
        </w:rPr>
      </w:pPr>
    </w:p>
    <w:p w:rsidR="00C04E56" w:rsidRPr="00E77986" w:rsidRDefault="00E77986" w:rsidP="00E77986">
      <w:pPr>
        <w:jc w:val="center"/>
        <w:rPr>
          <w:b/>
          <w:sz w:val="28"/>
          <w:szCs w:val="28"/>
        </w:rPr>
      </w:pPr>
      <w:r w:rsidRPr="00E77986">
        <w:rPr>
          <w:b/>
          <w:sz w:val="28"/>
          <w:szCs w:val="28"/>
        </w:rPr>
        <w:t>POST HEARING BRIEF</w:t>
      </w:r>
    </w:p>
    <w:p w:rsidR="00E77986" w:rsidRDefault="00C04E56" w:rsidP="00E77986">
      <w:pPr>
        <w:jc w:val="center"/>
        <w:rPr>
          <w:b/>
          <w:sz w:val="26"/>
          <w:szCs w:val="26"/>
        </w:rPr>
      </w:pPr>
      <w:r w:rsidRPr="00867F58">
        <w:rPr>
          <w:b/>
          <w:sz w:val="26"/>
          <w:szCs w:val="26"/>
        </w:rPr>
        <w:t>SUBMITTED ON THE BEHALF OF THE STAFF OF</w:t>
      </w:r>
    </w:p>
    <w:p w:rsidR="00C04E56" w:rsidRPr="00867F58" w:rsidRDefault="00E77986" w:rsidP="00E77986">
      <w:pPr>
        <w:jc w:val="center"/>
        <w:rPr>
          <w:b/>
          <w:sz w:val="26"/>
          <w:szCs w:val="26"/>
        </w:rPr>
      </w:pPr>
      <w:r>
        <w:rPr>
          <w:b/>
          <w:sz w:val="26"/>
          <w:szCs w:val="26"/>
        </w:rPr>
        <w:t xml:space="preserve">THE </w:t>
      </w:r>
      <w:r w:rsidR="00C04E56" w:rsidRPr="00867F58">
        <w:rPr>
          <w:b/>
          <w:sz w:val="26"/>
          <w:szCs w:val="26"/>
        </w:rPr>
        <w:t xml:space="preserve">PUBLIC UTILITIES COMMISSION OF OHIO </w:t>
      </w:r>
    </w:p>
    <w:p w:rsidR="00C04E56" w:rsidRPr="00867F58" w:rsidRDefault="00C04E56" w:rsidP="00E77986">
      <w:pPr>
        <w:rPr>
          <w:b/>
          <w:sz w:val="26"/>
          <w:szCs w:val="26"/>
        </w:rPr>
      </w:pPr>
      <w:r w:rsidRPr="00867F58">
        <w:rPr>
          <w:b/>
          <w:sz w:val="26"/>
          <w:szCs w:val="26"/>
        </w:rPr>
        <w:t>______________________________________________________________________</w:t>
      </w:r>
    </w:p>
    <w:p w:rsidR="00C04E56" w:rsidRPr="00867F58" w:rsidRDefault="00C04E56" w:rsidP="00C04E56">
      <w:pPr>
        <w:rPr>
          <w:sz w:val="26"/>
          <w:szCs w:val="26"/>
        </w:rPr>
      </w:pPr>
    </w:p>
    <w:p w:rsidR="00C04E56" w:rsidRPr="00867F58" w:rsidRDefault="00C04E56" w:rsidP="00C04E56">
      <w:pPr>
        <w:ind w:left="5220"/>
        <w:rPr>
          <w:b/>
          <w:sz w:val="26"/>
          <w:szCs w:val="26"/>
        </w:rPr>
      </w:pPr>
      <w:r w:rsidRPr="00867F58">
        <w:rPr>
          <w:b/>
          <w:sz w:val="26"/>
          <w:szCs w:val="26"/>
        </w:rPr>
        <w:t xml:space="preserve">Mike </w:t>
      </w:r>
      <w:r w:rsidR="00282922" w:rsidRPr="00867F58">
        <w:rPr>
          <w:b/>
          <w:sz w:val="26"/>
          <w:szCs w:val="26"/>
        </w:rPr>
        <w:t>Dewine</w:t>
      </w:r>
    </w:p>
    <w:p w:rsidR="00C04E56" w:rsidRPr="00867F58" w:rsidRDefault="00C04E56" w:rsidP="00C04E56">
      <w:pPr>
        <w:ind w:left="5220"/>
        <w:rPr>
          <w:sz w:val="26"/>
          <w:szCs w:val="26"/>
        </w:rPr>
      </w:pPr>
      <w:r w:rsidRPr="00867F58">
        <w:rPr>
          <w:sz w:val="26"/>
          <w:szCs w:val="26"/>
        </w:rPr>
        <w:t>Ohio Attorney General</w:t>
      </w:r>
    </w:p>
    <w:p w:rsidR="00C04E56" w:rsidRPr="00C04E56" w:rsidRDefault="00C04E56" w:rsidP="00C04E56">
      <w:pPr>
        <w:ind w:left="5220"/>
        <w:rPr>
          <w:sz w:val="20"/>
          <w:szCs w:val="20"/>
        </w:rPr>
      </w:pPr>
    </w:p>
    <w:p w:rsidR="00C04E56" w:rsidRPr="00867F58" w:rsidRDefault="00C04E56" w:rsidP="00C04E56">
      <w:pPr>
        <w:ind w:left="5220"/>
        <w:rPr>
          <w:b/>
          <w:sz w:val="26"/>
          <w:szCs w:val="26"/>
        </w:rPr>
      </w:pPr>
      <w:r w:rsidRPr="00867F58">
        <w:rPr>
          <w:b/>
          <w:sz w:val="26"/>
          <w:szCs w:val="26"/>
        </w:rPr>
        <w:t>William L. Wright</w:t>
      </w:r>
    </w:p>
    <w:p w:rsidR="00C04E56" w:rsidRPr="00867F58" w:rsidRDefault="00C04E56" w:rsidP="00C04E56">
      <w:pPr>
        <w:ind w:left="5220"/>
        <w:rPr>
          <w:sz w:val="26"/>
          <w:szCs w:val="26"/>
        </w:rPr>
      </w:pPr>
      <w:r w:rsidRPr="00867F58">
        <w:rPr>
          <w:sz w:val="26"/>
          <w:szCs w:val="26"/>
        </w:rPr>
        <w:t>Section Chief</w:t>
      </w:r>
    </w:p>
    <w:p w:rsidR="00C04E56" w:rsidRPr="00C04E56" w:rsidRDefault="00C04E56" w:rsidP="00C04E56">
      <w:pPr>
        <w:ind w:left="5220"/>
        <w:rPr>
          <w:sz w:val="20"/>
          <w:szCs w:val="20"/>
        </w:rPr>
      </w:pPr>
    </w:p>
    <w:p w:rsidR="00C04E56" w:rsidRPr="00867F58" w:rsidRDefault="00C04E56" w:rsidP="00C04E56">
      <w:pPr>
        <w:ind w:left="5220"/>
        <w:rPr>
          <w:b/>
          <w:sz w:val="26"/>
          <w:szCs w:val="26"/>
        </w:rPr>
      </w:pPr>
      <w:r w:rsidRPr="00867F58">
        <w:rPr>
          <w:b/>
          <w:sz w:val="26"/>
          <w:szCs w:val="26"/>
        </w:rPr>
        <w:t>Werner L. Margard</w:t>
      </w:r>
    </w:p>
    <w:p w:rsidR="00C04E56" w:rsidRPr="00867F58" w:rsidRDefault="00C04E56" w:rsidP="00C04E56">
      <w:pPr>
        <w:ind w:left="5220"/>
        <w:rPr>
          <w:b/>
          <w:sz w:val="26"/>
          <w:szCs w:val="26"/>
        </w:rPr>
      </w:pPr>
      <w:r w:rsidRPr="00867F58">
        <w:rPr>
          <w:b/>
          <w:sz w:val="26"/>
          <w:szCs w:val="26"/>
        </w:rPr>
        <w:t>Devin D. Parram</w:t>
      </w:r>
    </w:p>
    <w:p w:rsidR="00C04E56" w:rsidRPr="00867F58" w:rsidRDefault="00C04E56" w:rsidP="00C04E56">
      <w:pPr>
        <w:ind w:left="5220"/>
        <w:rPr>
          <w:sz w:val="26"/>
          <w:szCs w:val="26"/>
        </w:rPr>
      </w:pPr>
      <w:r w:rsidRPr="00867F58">
        <w:rPr>
          <w:sz w:val="26"/>
          <w:szCs w:val="26"/>
        </w:rPr>
        <w:t>Assistant Attorneys General</w:t>
      </w:r>
    </w:p>
    <w:p w:rsidR="00C04E56" w:rsidRPr="00867F58" w:rsidRDefault="00C04E56" w:rsidP="00C04E56">
      <w:pPr>
        <w:ind w:left="5220"/>
        <w:rPr>
          <w:sz w:val="26"/>
          <w:szCs w:val="26"/>
        </w:rPr>
      </w:pPr>
      <w:r w:rsidRPr="00867F58">
        <w:rPr>
          <w:sz w:val="26"/>
          <w:szCs w:val="26"/>
        </w:rPr>
        <w:t>Public Utilities Section</w:t>
      </w:r>
    </w:p>
    <w:p w:rsidR="00C04E56" w:rsidRPr="00867F58" w:rsidRDefault="00C04E56" w:rsidP="00C04E56">
      <w:pPr>
        <w:ind w:left="5220"/>
        <w:rPr>
          <w:sz w:val="26"/>
          <w:szCs w:val="26"/>
        </w:rPr>
      </w:pPr>
      <w:r w:rsidRPr="00867F58">
        <w:rPr>
          <w:sz w:val="26"/>
          <w:szCs w:val="26"/>
        </w:rPr>
        <w:t>180 East Broad Street, 6</w:t>
      </w:r>
      <w:r w:rsidRPr="00867F58">
        <w:rPr>
          <w:sz w:val="26"/>
          <w:szCs w:val="26"/>
          <w:vertAlign w:val="superscript"/>
        </w:rPr>
        <w:t>th</w:t>
      </w:r>
      <w:r w:rsidRPr="00867F58">
        <w:rPr>
          <w:sz w:val="26"/>
          <w:szCs w:val="26"/>
        </w:rPr>
        <w:t xml:space="preserve"> Floor</w:t>
      </w:r>
    </w:p>
    <w:p w:rsidR="00C04E56" w:rsidRPr="00867F58" w:rsidRDefault="00C04E56" w:rsidP="00C04E56">
      <w:pPr>
        <w:ind w:left="5220"/>
        <w:rPr>
          <w:sz w:val="26"/>
          <w:szCs w:val="26"/>
        </w:rPr>
      </w:pPr>
      <w:r w:rsidRPr="00867F58">
        <w:rPr>
          <w:sz w:val="26"/>
          <w:szCs w:val="26"/>
        </w:rPr>
        <w:t>Columbus, OH  43215</w:t>
      </w:r>
    </w:p>
    <w:p w:rsidR="00C04E56" w:rsidRPr="00867F58" w:rsidRDefault="00C04E56" w:rsidP="00C04E56">
      <w:pPr>
        <w:ind w:left="5220"/>
        <w:rPr>
          <w:sz w:val="26"/>
          <w:szCs w:val="26"/>
        </w:rPr>
      </w:pPr>
      <w:r w:rsidRPr="00867F58">
        <w:rPr>
          <w:sz w:val="26"/>
          <w:szCs w:val="26"/>
        </w:rPr>
        <w:t>Telephone: 614-466-4395</w:t>
      </w:r>
    </w:p>
    <w:p w:rsidR="00C04E56" w:rsidRPr="00867F58" w:rsidRDefault="00C04E56" w:rsidP="00C04E56">
      <w:pPr>
        <w:ind w:left="5220"/>
        <w:rPr>
          <w:sz w:val="26"/>
          <w:szCs w:val="26"/>
        </w:rPr>
      </w:pPr>
      <w:r w:rsidRPr="00867F58">
        <w:rPr>
          <w:sz w:val="26"/>
          <w:szCs w:val="26"/>
        </w:rPr>
        <w:t>Facsimile: (614) 644-8764</w:t>
      </w:r>
    </w:p>
    <w:p w:rsidR="00C04E56" w:rsidRPr="00867F58" w:rsidRDefault="00DB2C7B" w:rsidP="00C04E56">
      <w:pPr>
        <w:ind w:left="5220"/>
        <w:rPr>
          <w:sz w:val="26"/>
          <w:szCs w:val="26"/>
        </w:rPr>
      </w:pPr>
      <w:hyperlink r:id="rId9" w:history="1">
        <w:r w:rsidR="00C04E56" w:rsidRPr="00867F58">
          <w:rPr>
            <w:rStyle w:val="Hyperlink"/>
            <w:sz w:val="26"/>
            <w:szCs w:val="26"/>
          </w:rPr>
          <w:t>werner.margard@puc.state.oh.us</w:t>
        </w:r>
      </w:hyperlink>
    </w:p>
    <w:p w:rsidR="00C04E56" w:rsidRPr="00867F58" w:rsidRDefault="00DB2C7B" w:rsidP="00C04E56">
      <w:pPr>
        <w:ind w:left="5220"/>
        <w:rPr>
          <w:sz w:val="26"/>
          <w:szCs w:val="26"/>
        </w:rPr>
      </w:pPr>
      <w:hyperlink r:id="rId10" w:history="1">
        <w:r w:rsidR="00C04E56" w:rsidRPr="00867F58">
          <w:rPr>
            <w:rStyle w:val="Hyperlink"/>
            <w:sz w:val="26"/>
            <w:szCs w:val="26"/>
          </w:rPr>
          <w:t>devin.parram@puc.state.oh.us</w:t>
        </w:r>
      </w:hyperlink>
    </w:p>
    <w:p w:rsidR="00C04E56" w:rsidRDefault="00C04E56" w:rsidP="00C04E56">
      <w:pPr>
        <w:rPr>
          <w:sz w:val="26"/>
          <w:szCs w:val="26"/>
        </w:rPr>
        <w:sectPr w:rsidR="00C04E56" w:rsidSect="002E65D5">
          <w:footerReference w:type="default" r:id="rId11"/>
          <w:headerReference w:type="first" r:id="rId12"/>
          <w:pgSz w:w="12240" w:h="15840"/>
          <w:pgMar w:top="1440" w:right="1440" w:bottom="1440" w:left="1440" w:header="720" w:footer="720" w:gutter="0"/>
          <w:cols w:space="720"/>
          <w:titlePg/>
          <w:docGrid w:linePitch="360"/>
        </w:sectPr>
      </w:pPr>
    </w:p>
    <w:p w:rsidR="00FC23F3" w:rsidRDefault="00006442">
      <w:pPr>
        <w:pStyle w:val="TOC1"/>
        <w:rPr>
          <w:rFonts w:asciiTheme="minorHAnsi" w:eastAsiaTheme="minorEastAsia" w:hAnsiTheme="minorHAnsi" w:cstheme="minorBidi"/>
          <w:sz w:val="22"/>
          <w:szCs w:val="22"/>
        </w:rPr>
      </w:pPr>
      <w:r>
        <w:lastRenderedPageBreak/>
        <w:fldChar w:fldCharType="begin"/>
      </w:r>
      <w:r>
        <w:instrText xml:space="preserve"> TOC \o "1-5" \u </w:instrText>
      </w:r>
      <w:r>
        <w:fldChar w:fldCharType="separate"/>
      </w:r>
      <w:r w:rsidR="00FC23F3">
        <w:t>INTRODUCTION</w:t>
      </w:r>
      <w:r w:rsidR="00FC23F3">
        <w:tab/>
      </w:r>
      <w:r w:rsidR="00FC23F3">
        <w:fldChar w:fldCharType="begin"/>
      </w:r>
      <w:r w:rsidR="00FC23F3">
        <w:instrText xml:space="preserve"> PAGEREF _Toc364688833 \h </w:instrText>
      </w:r>
      <w:r w:rsidR="00FC23F3">
        <w:fldChar w:fldCharType="separate"/>
      </w:r>
      <w:r w:rsidR="005055CE">
        <w:t>1</w:t>
      </w:r>
      <w:r w:rsidR="00FC23F3">
        <w:fldChar w:fldCharType="end"/>
      </w:r>
    </w:p>
    <w:p w:rsidR="00FC23F3" w:rsidRDefault="00FC23F3">
      <w:pPr>
        <w:pStyle w:val="TOC1"/>
        <w:rPr>
          <w:rFonts w:asciiTheme="minorHAnsi" w:eastAsiaTheme="minorEastAsia" w:hAnsiTheme="minorHAnsi" w:cstheme="minorBidi"/>
          <w:sz w:val="22"/>
          <w:szCs w:val="22"/>
        </w:rPr>
      </w:pPr>
      <w:r>
        <w:t>ARGUMENT</w:t>
      </w:r>
      <w:r>
        <w:tab/>
      </w:r>
      <w:r>
        <w:fldChar w:fldCharType="begin"/>
      </w:r>
      <w:r>
        <w:instrText xml:space="preserve"> PAGEREF _Toc364688834 \h </w:instrText>
      </w:r>
      <w:r>
        <w:fldChar w:fldCharType="separate"/>
      </w:r>
      <w:r w:rsidR="005055CE">
        <w:t>2</w:t>
      </w:r>
      <w:r>
        <w:fldChar w:fldCharType="end"/>
      </w:r>
    </w:p>
    <w:p w:rsidR="00FC23F3" w:rsidRDefault="00FC23F3">
      <w:pPr>
        <w:pStyle w:val="TOC2"/>
        <w:tabs>
          <w:tab w:val="left" w:pos="1440"/>
        </w:tabs>
        <w:rPr>
          <w:rFonts w:asciiTheme="minorHAnsi" w:eastAsiaTheme="minorEastAsia" w:hAnsiTheme="minorHAnsi" w:cstheme="minorBidi"/>
          <w:noProof/>
          <w:sz w:val="22"/>
        </w:rPr>
      </w:pPr>
      <w:r>
        <w:rPr>
          <w:noProof/>
        </w:rPr>
        <w:t>I.</w:t>
      </w:r>
      <w:r>
        <w:rPr>
          <w:rFonts w:asciiTheme="minorHAnsi" w:eastAsiaTheme="minorEastAsia" w:hAnsiTheme="minorHAnsi" w:cstheme="minorBidi"/>
          <w:noProof/>
          <w:sz w:val="22"/>
        </w:rPr>
        <w:tab/>
      </w:r>
      <w:r>
        <w:rPr>
          <w:noProof/>
        </w:rPr>
        <w:t>Staff’s recommended actual adjustment should be adopted by the Commission.</w:t>
      </w:r>
      <w:r>
        <w:rPr>
          <w:noProof/>
        </w:rPr>
        <w:tab/>
      </w:r>
      <w:r>
        <w:rPr>
          <w:noProof/>
        </w:rPr>
        <w:fldChar w:fldCharType="begin"/>
      </w:r>
      <w:r>
        <w:rPr>
          <w:noProof/>
        </w:rPr>
        <w:instrText xml:space="preserve"> PAGEREF _Toc364688835 \h </w:instrText>
      </w:r>
      <w:r>
        <w:rPr>
          <w:noProof/>
        </w:rPr>
      </w:r>
      <w:r>
        <w:rPr>
          <w:noProof/>
        </w:rPr>
        <w:fldChar w:fldCharType="separate"/>
      </w:r>
      <w:r w:rsidR="005055CE">
        <w:rPr>
          <w:noProof/>
        </w:rPr>
        <w:t>2</w:t>
      </w:r>
      <w:r>
        <w:rPr>
          <w:noProof/>
        </w:rPr>
        <w:fldChar w:fldCharType="end"/>
      </w:r>
    </w:p>
    <w:p w:rsidR="00FC23F3" w:rsidRDefault="00FC23F3">
      <w:pPr>
        <w:pStyle w:val="TOC3"/>
        <w:tabs>
          <w:tab w:val="left" w:pos="216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The Commission should adopt Staff’s re-pricing of local production.</w:t>
      </w:r>
      <w:r>
        <w:rPr>
          <w:noProof/>
        </w:rPr>
        <w:tab/>
      </w:r>
      <w:r>
        <w:rPr>
          <w:noProof/>
        </w:rPr>
        <w:fldChar w:fldCharType="begin"/>
      </w:r>
      <w:r>
        <w:rPr>
          <w:noProof/>
        </w:rPr>
        <w:instrText xml:space="preserve"> PAGEREF _Toc364688836 \h </w:instrText>
      </w:r>
      <w:r>
        <w:rPr>
          <w:noProof/>
        </w:rPr>
      </w:r>
      <w:r>
        <w:rPr>
          <w:noProof/>
        </w:rPr>
        <w:fldChar w:fldCharType="separate"/>
      </w:r>
      <w:r w:rsidR="005055CE">
        <w:rPr>
          <w:noProof/>
        </w:rPr>
        <w:t>2</w:t>
      </w:r>
      <w:r>
        <w:rPr>
          <w:noProof/>
        </w:rPr>
        <w:fldChar w:fldCharType="end"/>
      </w:r>
    </w:p>
    <w:p w:rsidR="00FC23F3" w:rsidRDefault="00FC23F3">
      <w:pPr>
        <w:pStyle w:val="TOC4"/>
        <w:tabs>
          <w:tab w:val="left" w:pos="2880"/>
        </w:tabs>
        <w:rPr>
          <w:rFonts w:asciiTheme="minorHAnsi" w:eastAsiaTheme="minorEastAsia" w:hAnsiTheme="minorHAnsi"/>
          <w:noProof/>
          <w:sz w:val="22"/>
        </w:rPr>
      </w:pPr>
      <w:r>
        <w:rPr>
          <w:noProof/>
        </w:rPr>
        <w:t>1.</w:t>
      </w:r>
      <w:r>
        <w:rPr>
          <w:rFonts w:asciiTheme="minorHAnsi" w:eastAsiaTheme="minorEastAsia" w:hAnsiTheme="minorHAnsi"/>
          <w:noProof/>
          <w:sz w:val="22"/>
        </w:rPr>
        <w:tab/>
      </w:r>
      <w:r>
        <w:rPr>
          <w:noProof/>
        </w:rPr>
        <w:t>When using in-house employees, the Companies were previously able to purchase lower priced local production.</w:t>
      </w:r>
      <w:r>
        <w:rPr>
          <w:noProof/>
        </w:rPr>
        <w:tab/>
      </w:r>
      <w:r>
        <w:rPr>
          <w:noProof/>
        </w:rPr>
        <w:fldChar w:fldCharType="begin"/>
      </w:r>
      <w:r>
        <w:rPr>
          <w:noProof/>
        </w:rPr>
        <w:instrText xml:space="preserve"> PAGEREF _Toc364688837 \h </w:instrText>
      </w:r>
      <w:r>
        <w:rPr>
          <w:noProof/>
        </w:rPr>
      </w:r>
      <w:r>
        <w:rPr>
          <w:noProof/>
        </w:rPr>
        <w:fldChar w:fldCharType="separate"/>
      </w:r>
      <w:r w:rsidR="005055CE">
        <w:rPr>
          <w:noProof/>
        </w:rPr>
        <w:t>3</w:t>
      </w:r>
      <w:r>
        <w:rPr>
          <w:noProof/>
        </w:rPr>
        <w:fldChar w:fldCharType="end"/>
      </w:r>
    </w:p>
    <w:p w:rsidR="00FC23F3" w:rsidRDefault="00FC23F3">
      <w:pPr>
        <w:pStyle w:val="TOC4"/>
        <w:tabs>
          <w:tab w:val="left" w:pos="2880"/>
        </w:tabs>
        <w:rPr>
          <w:rFonts w:asciiTheme="minorHAnsi" w:eastAsiaTheme="minorEastAsia" w:hAnsiTheme="minorHAnsi"/>
          <w:noProof/>
          <w:sz w:val="22"/>
        </w:rPr>
      </w:pPr>
      <w:r>
        <w:rPr>
          <w:noProof/>
        </w:rPr>
        <w:t>2.</w:t>
      </w:r>
      <w:r>
        <w:rPr>
          <w:rFonts w:asciiTheme="minorHAnsi" w:eastAsiaTheme="minorEastAsia" w:hAnsiTheme="minorHAnsi"/>
          <w:noProof/>
          <w:sz w:val="22"/>
        </w:rPr>
        <w:tab/>
      </w:r>
      <w:r>
        <w:rPr>
          <w:noProof/>
        </w:rPr>
        <w:t>The prices the Companies paid for local production increased after JDOG Marketing was inserted as middleman.</w:t>
      </w:r>
      <w:r>
        <w:rPr>
          <w:noProof/>
        </w:rPr>
        <w:tab/>
      </w:r>
      <w:r>
        <w:rPr>
          <w:noProof/>
        </w:rPr>
        <w:fldChar w:fldCharType="begin"/>
      </w:r>
      <w:r>
        <w:rPr>
          <w:noProof/>
        </w:rPr>
        <w:instrText xml:space="preserve"> PAGEREF _Toc364688838 \h </w:instrText>
      </w:r>
      <w:r>
        <w:rPr>
          <w:noProof/>
        </w:rPr>
      </w:r>
      <w:r>
        <w:rPr>
          <w:noProof/>
        </w:rPr>
        <w:fldChar w:fldCharType="separate"/>
      </w:r>
      <w:r w:rsidR="005055CE">
        <w:rPr>
          <w:noProof/>
        </w:rPr>
        <w:t>5</w:t>
      </w:r>
      <w:r>
        <w:rPr>
          <w:noProof/>
        </w:rPr>
        <w:fldChar w:fldCharType="end"/>
      </w:r>
    </w:p>
    <w:p w:rsidR="00FC23F3" w:rsidRDefault="00FC23F3">
      <w:pPr>
        <w:pStyle w:val="TOC4"/>
        <w:tabs>
          <w:tab w:val="left" w:pos="2880"/>
        </w:tabs>
        <w:rPr>
          <w:rFonts w:asciiTheme="minorHAnsi" w:eastAsiaTheme="minorEastAsia" w:hAnsiTheme="minorHAnsi"/>
          <w:noProof/>
          <w:sz w:val="22"/>
        </w:rPr>
      </w:pPr>
      <w:r>
        <w:rPr>
          <w:noProof/>
        </w:rPr>
        <w:t>3.</w:t>
      </w:r>
      <w:r>
        <w:rPr>
          <w:rFonts w:asciiTheme="minorHAnsi" w:eastAsiaTheme="minorEastAsia" w:hAnsiTheme="minorHAnsi"/>
          <w:noProof/>
          <w:sz w:val="22"/>
        </w:rPr>
        <w:tab/>
      </w:r>
      <w:r>
        <w:rPr>
          <w:noProof/>
        </w:rPr>
        <w:t>The premium payments to JDOG Marketing are unjustified because JDOG Marketing provided little value to the Companies when purchasing local production.</w:t>
      </w:r>
      <w:r>
        <w:rPr>
          <w:noProof/>
        </w:rPr>
        <w:tab/>
      </w:r>
      <w:r>
        <w:rPr>
          <w:noProof/>
        </w:rPr>
        <w:fldChar w:fldCharType="begin"/>
      </w:r>
      <w:r>
        <w:rPr>
          <w:noProof/>
        </w:rPr>
        <w:instrText xml:space="preserve"> PAGEREF _Toc364688839 \h </w:instrText>
      </w:r>
      <w:r>
        <w:rPr>
          <w:noProof/>
        </w:rPr>
      </w:r>
      <w:r>
        <w:rPr>
          <w:noProof/>
        </w:rPr>
        <w:fldChar w:fldCharType="separate"/>
      </w:r>
      <w:r w:rsidR="005055CE">
        <w:rPr>
          <w:noProof/>
        </w:rPr>
        <w:t>9</w:t>
      </w:r>
      <w:r>
        <w:rPr>
          <w:noProof/>
        </w:rPr>
        <w:fldChar w:fldCharType="end"/>
      </w:r>
    </w:p>
    <w:p w:rsidR="00FC23F3" w:rsidRDefault="00FC23F3">
      <w:pPr>
        <w:pStyle w:val="TOC4"/>
        <w:tabs>
          <w:tab w:val="left" w:pos="2880"/>
        </w:tabs>
        <w:rPr>
          <w:rFonts w:asciiTheme="minorHAnsi" w:eastAsiaTheme="minorEastAsia" w:hAnsiTheme="minorHAnsi"/>
          <w:noProof/>
          <w:sz w:val="22"/>
        </w:rPr>
      </w:pPr>
      <w:r>
        <w:rPr>
          <w:noProof/>
        </w:rPr>
        <w:t>4.</w:t>
      </w:r>
      <w:r>
        <w:rPr>
          <w:rFonts w:asciiTheme="minorHAnsi" w:eastAsiaTheme="minorEastAsia" w:hAnsiTheme="minorHAnsi"/>
          <w:noProof/>
          <w:sz w:val="22"/>
        </w:rPr>
        <w:tab/>
      </w:r>
      <w:r>
        <w:rPr>
          <w:noProof/>
        </w:rPr>
        <w:t>Staff’s Recommended Adjustment</w:t>
      </w:r>
      <w:r>
        <w:rPr>
          <w:noProof/>
        </w:rPr>
        <w:tab/>
      </w:r>
      <w:r>
        <w:rPr>
          <w:noProof/>
        </w:rPr>
        <w:fldChar w:fldCharType="begin"/>
      </w:r>
      <w:r>
        <w:rPr>
          <w:noProof/>
        </w:rPr>
        <w:instrText xml:space="preserve"> PAGEREF _Toc364688840 \h </w:instrText>
      </w:r>
      <w:r>
        <w:rPr>
          <w:noProof/>
        </w:rPr>
      </w:r>
      <w:r>
        <w:rPr>
          <w:noProof/>
        </w:rPr>
        <w:fldChar w:fldCharType="separate"/>
      </w:r>
      <w:r w:rsidR="005055CE">
        <w:rPr>
          <w:noProof/>
        </w:rPr>
        <w:t>10</w:t>
      </w:r>
      <w:r>
        <w:rPr>
          <w:noProof/>
        </w:rPr>
        <w:fldChar w:fldCharType="end"/>
      </w:r>
    </w:p>
    <w:p w:rsidR="00FC23F3" w:rsidRDefault="00FC23F3">
      <w:pPr>
        <w:pStyle w:val="TOC4"/>
        <w:tabs>
          <w:tab w:val="left" w:pos="2880"/>
        </w:tabs>
        <w:rPr>
          <w:rFonts w:asciiTheme="minorHAnsi" w:eastAsiaTheme="minorEastAsia" w:hAnsiTheme="minorHAnsi"/>
          <w:noProof/>
          <w:sz w:val="22"/>
        </w:rPr>
      </w:pPr>
      <w:r>
        <w:rPr>
          <w:noProof/>
        </w:rPr>
        <w:t>5.</w:t>
      </w:r>
      <w:r>
        <w:rPr>
          <w:rFonts w:asciiTheme="minorHAnsi" w:eastAsiaTheme="minorEastAsia" w:hAnsiTheme="minorHAnsi"/>
          <w:noProof/>
          <w:sz w:val="22"/>
        </w:rPr>
        <w:tab/>
      </w:r>
      <w:r>
        <w:rPr>
          <w:noProof/>
        </w:rPr>
        <w:t>Mr. Overcast’s criticism of Staff’s re-pricing methodology is fundamentally flawed.</w:t>
      </w:r>
      <w:r>
        <w:rPr>
          <w:noProof/>
        </w:rPr>
        <w:tab/>
      </w:r>
      <w:r>
        <w:rPr>
          <w:noProof/>
        </w:rPr>
        <w:fldChar w:fldCharType="begin"/>
      </w:r>
      <w:r>
        <w:rPr>
          <w:noProof/>
        </w:rPr>
        <w:instrText xml:space="preserve"> PAGEREF _Toc364688841 \h </w:instrText>
      </w:r>
      <w:r>
        <w:rPr>
          <w:noProof/>
        </w:rPr>
      </w:r>
      <w:r>
        <w:rPr>
          <w:noProof/>
        </w:rPr>
        <w:fldChar w:fldCharType="separate"/>
      </w:r>
      <w:r w:rsidR="005055CE">
        <w:rPr>
          <w:noProof/>
        </w:rPr>
        <w:t>13</w:t>
      </w:r>
      <w:r>
        <w:rPr>
          <w:noProof/>
        </w:rPr>
        <w:fldChar w:fldCharType="end"/>
      </w:r>
    </w:p>
    <w:p w:rsidR="00FC23F3" w:rsidRDefault="00FC23F3">
      <w:pPr>
        <w:pStyle w:val="TOC3"/>
        <w:tabs>
          <w:tab w:val="left" w:pos="2160"/>
        </w:tabs>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Staff’s other actual adjustment recommendations were not contested by the Companies, and should be adopted by the Commission.</w:t>
      </w:r>
      <w:r>
        <w:rPr>
          <w:noProof/>
        </w:rPr>
        <w:tab/>
      </w:r>
      <w:r>
        <w:rPr>
          <w:noProof/>
        </w:rPr>
        <w:fldChar w:fldCharType="begin"/>
      </w:r>
      <w:r>
        <w:rPr>
          <w:noProof/>
        </w:rPr>
        <w:instrText xml:space="preserve"> PAGEREF _Toc364688842 \h </w:instrText>
      </w:r>
      <w:r>
        <w:rPr>
          <w:noProof/>
        </w:rPr>
      </w:r>
      <w:r>
        <w:rPr>
          <w:noProof/>
        </w:rPr>
        <w:fldChar w:fldCharType="separate"/>
      </w:r>
      <w:r w:rsidR="005055CE">
        <w:rPr>
          <w:noProof/>
        </w:rPr>
        <w:t>15</w:t>
      </w:r>
      <w:r>
        <w:rPr>
          <w:noProof/>
        </w:rPr>
        <w:fldChar w:fldCharType="end"/>
      </w:r>
    </w:p>
    <w:p w:rsidR="00FC23F3" w:rsidRDefault="00FC23F3">
      <w:pPr>
        <w:pStyle w:val="TOC2"/>
        <w:tabs>
          <w:tab w:val="left" w:pos="1440"/>
        </w:tabs>
        <w:rPr>
          <w:rFonts w:asciiTheme="minorHAnsi" w:eastAsiaTheme="minorEastAsia" w:hAnsiTheme="minorHAnsi" w:cstheme="minorBidi"/>
          <w:noProof/>
          <w:sz w:val="22"/>
        </w:rPr>
      </w:pPr>
      <w:r>
        <w:rPr>
          <w:noProof/>
        </w:rPr>
        <w:t>II.</w:t>
      </w:r>
      <w:r>
        <w:rPr>
          <w:rFonts w:asciiTheme="minorHAnsi" w:eastAsiaTheme="minorEastAsia" w:hAnsiTheme="minorHAnsi" w:cstheme="minorBidi"/>
          <w:noProof/>
          <w:sz w:val="22"/>
        </w:rPr>
        <w:tab/>
      </w:r>
      <w:r>
        <w:rPr>
          <w:noProof/>
        </w:rPr>
        <w:t>The Commission should reject the results of the RFP Process, and order Management Performance and Forensic Audits of the Companies and their related pipeline companies in a new case docket.</w:t>
      </w:r>
      <w:r>
        <w:rPr>
          <w:noProof/>
        </w:rPr>
        <w:tab/>
      </w:r>
      <w:r>
        <w:rPr>
          <w:noProof/>
        </w:rPr>
        <w:fldChar w:fldCharType="begin"/>
      </w:r>
      <w:r>
        <w:rPr>
          <w:noProof/>
        </w:rPr>
        <w:instrText xml:space="preserve"> PAGEREF _Toc364688843 \h </w:instrText>
      </w:r>
      <w:r>
        <w:rPr>
          <w:noProof/>
        </w:rPr>
      </w:r>
      <w:r>
        <w:rPr>
          <w:noProof/>
        </w:rPr>
        <w:fldChar w:fldCharType="separate"/>
      </w:r>
      <w:r w:rsidR="005055CE">
        <w:rPr>
          <w:noProof/>
        </w:rPr>
        <w:t>16</w:t>
      </w:r>
      <w:r>
        <w:rPr>
          <w:noProof/>
        </w:rPr>
        <w:fldChar w:fldCharType="end"/>
      </w:r>
    </w:p>
    <w:p w:rsidR="00FC23F3" w:rsidRDefault="00FC23F3">
      <w:pPr>
        <w:pStyle w:val="TOC3"/>
        <w:tabs>
          <w:tab w:val="left" w:pos="216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The RFP process did not lead to competitive bids as required by the Stipulation and as ordered by the Commission.</w:t>
      </w:r>
      <w:r>
        <w:rPr>
          <w:noProof/>
        </w:rPr>
        <w:tab/>
      </w:r>
      <w:r>
        <w:rPr>
          <w:noProof/>
        </w:rPr>
        <w:fldChar w:fldCharType="begin"/>
      </w:r>
      <w:r>
        <w:rPr>
          <w:noProof/>
        </w:rPr>
        <w:instrText xml:space="preserve"> PAGEREF _Toc364688844 \h </w:instrText>
      </w:r>
      <w:r>
        <w:rPr>
          <w:noProof/>
        </w:rPr>
      </w:r>
      <w:r>
        <w:rPr>
          <w:noProof/>
        </w:rPr>
        <w:fldChar w:fldCharType="separate"/>
      </w:r>
      <w:r w:rsidR="005055CE">
        <w:rPr>
          <w:noProof/>
        </w:rPr>
        <w:t>18</w:t>
      </w:r>
      <w:r>
        <w:rPr>
          <w:noProof/>
        </w:rPr>
        <w:fldChar w:fldCharType="end"/>
      </w:r>
    </w:p>
    <w:p w:rsidR="00FC23F3" w:rsidRDefault="00FC23F3">
      <w:pPr>
        <w:pStyle w:val="TOC3"/>
        <w:tabs>
          <w:tab w:val="left" w:pos="2160"/>
        </w:tabs>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Structural and Organizational Issues</w:t>
      </w:r>
      <w:r>
        <w:rPr>
          <w:noProof/>
        </w:rPr>
        <w:tab/>
      </w:r>
      <w:r>
        <w:rPr>
          <w:noProof/>
        </w:rPr>
        <w:fldChar w:fldCharType="begin"/>
      </w:r>
      <w:r>
        <w:rPr>
          <w:noProof/>
        </w:rPr>
        <w:instrText xml:space="preserve"> PAGEREF _Toc364688845 \h </w:instrText>
      </w:r>
      <w:r>
        <w:rPr>
          <w:noProof/>
        </w:rPr>
      </w:r>
      <w:r>
        <w:rPr>
          <w:noProof/>
        </w:rPr>
        <w:fldChar w:fldCharType="separate"/>
      </w:r>
      <w:r w:rsidR="005055CE">
        <w:rPr>
          <w:noProof/>
        </w:rPr>
        <w:t>21</w:t>
      </w:r>
      <w:r>
        <w:rPr>
          <w:noProof/>
        </w:rPr>
        <w:fldChar w:fldCharType="end"/>
      </w:r>
    </w:p>
    <w:p w:rsidR="00FC23F3" w:rsidRDefault="00FC23F3">
      <w:pPr>
        <w:pStyle w:val="TOC3"/>
        <w:tabs>
          <w:tab w:val="left" w:pos="2160"/>
        </w:tabs>
        <w:rPr>
          <w:rFonts w:asciiTheme="minorHAnsi" w:eastAsiaTheme="minorEastAsia" w:hAnsiTheme="minorHAnsi" w:cstheme="minorBidi"/>
          <w:noProof/>
          <w:sz w:val="22"/>
        </w:rPr>
      </w:pPr>
      <w:r>
        <w:rPr>
          <w:noProof/>
        </w:rPr>
        <w:t>C.</w:t>
      </w:r>
      <w:r>
        <w:rPr>
          <w:rFonts w:asciiTheme="minorHAnsi" w:eastAsiaTheme="minorEastAsia" w:hAnsiTheme="minorHAnsi" w:cstheme="minorBidi"/>
          <w:noProof/>
          <w:sz w:val="22"/>
        </w:rPr>
        <w:tab/>
      </w:r>
      <w:r>
        <w:rPr>
          <w:noProof/>
        </w:rPr>
        <w:t>Lack of Adequate Internal Controls</w:t>
      </w:r>
      <w:r>
        <w:rPr>
          <w:noProof/>
        </w:rPr>
        <w:tab/>
      </w:r>
      <w:r>
        <w:rPr>
          <w:noProof/>
        </w:rPr>
        <w:fldChar w:fldCharType="begin"/>
      </w:r>
      <w:r>
        <w:rPr>
          <w:noProof/>
        </w:rPr>
        <w:instrText xml:space="preserve"> PAGEREF _Toc364688846 \h </w:instrText>
      </w:r>
      <w:r>
        <w:rPr>
          <w:noProof/>
        </w:rPr>
      </w:r>
      <w:r>
        <w:rPr>
          <w:noProof/>
        </w:rPr>
        <w:fldChar w:fldCharType="separate"/>
      </w:r>
      <w:r w:rsidR="005055CE">
        <w:rPr>
          <w:noProof/>
        </w:rPr>
        <w:t>33</w:t>
      </w:r>
      <w:r>
        <w:rPr>
          <w:noProof/>
        </w:rPr>
        <w:fldChar w:fldCharType="end"/>
      </w:r>
    </w:p>
    <w:p w:rsidR="00FC23F3" w:rsidRDefault="00FC23F3">
      <w:pPr>
        <w:pStyle w:val="TOC3"/>
        <w:tabs>
          <w:tab w:val="left" w:pos="2160"/>
        </w:tabs>
        <w:rPr>
          <w:rFonts w:asciiTheme="minorHAnsi" w:eastAsiaTheme="minorEastAsia" w:hAnsiTheme="minorHAnsi" w:cstheme="minorBidi"/>
          <w:noProof/>
          <w:sz w:val="22"/>
        </w:rPr>
      </w:pPr>
      <w:r>
        <w:rPr>
          <w:noProof/>
        </w:rPr>
        <w:t>D.</w:t>
      </w:r>
      <w:r>
        <w:rPr>
          <w:rFonts w:asciiTheme="minorHAnsi" w:eastAsiaTheme="minorEastAsia" w:hAnsiTheme="minorHAnsi" w:cstheme="minorBidi"/>
          <w:noProof/>
          <w:sz w:val="22"/>
        </w:rPr>
        <w:tab/>
      </w:r>
      <w:r>
        <w:rPr>
          <w:noProof/>
        </w:rPr>
        <w:t>The Companies fostered an environment that favors affiliated / related transactions.</w:t>
      </w:r>
      <w:r>
        <w:rPr>
          <w:noProof/>
        </w:rPr>
        <w:tab/>
      </w:r>
      <w:r>
        <w:rPr>
          <w:noProof/>
        </w:rPr>
        <w:fldChar w:fldCharType="begin"/>
      </w:r>
      <w:r>
        <w:rPr>
          <w:noProof/>
        </w:rPr>
        <w:instrText xml:space="preserve"> PAGEREF _Toc364688847 \h </w:instrText>
      </w:r>
      <w:r>
        <w:rPr>
          <w:noProof/>
        </w:rPr>
      </w:r>
      <w:r>
        <w:rPr>
          <w:noProof/>
        </w:rPr>
        <w:fldChar w:fldCharType="separate"/>
      </w:r>
      <w:r w:rsidR="005055CE">
        <w:rPr>
          <w:noProof/>
        </w:rPr>
        <w:t>40</w:t>
      </w:r>
      <w:r>
        <w:rPr>
          <w:noProof/>
        </w:rPr>
        <w:fldChar w:fldCharType="end"/>
      </w:r>
    </w:p>
    <w:p w:rsidR="00FC23F3" w:rsidRDefault="00FC23F3">
      <w:pPr>
        <w:pStyle w:val="TOC1"/>
        <w:rPr>
          <w:rFonts w:asciiTheme="minorHAnsi" w:eastAsiaTheme="minorEastAsia" w:hAnsiTheme="minorHAnsi" w:cstheme="minorBidi"/>
          <w:sz w:val="22"/>
          <w:szCs w:val="22"/>
        </w:rPr>
      </w:pPr>
      <w:r>
        <w:t>CONCLUSION</w:t>
      </w:r>
      <w:r>
        <w:tab/>
      </w:r>
      <w:r>
        <w:fldChar w:fldCharType="begin"/>
      </w:r>
      <w:r>
        <w:instrText xml:space="preserve"> PAGEREF _Toc364688848 \h </w:instrText>
      </w:r>
      <w:r>
        <w:fldChar w:fldCharType="separate"/>
      </w:r>
      <w:r w:rsidR="005055CE">
        <w:t>42</w:t>
      </w:r>
      <w:r>
        <w:fldChar w:fldCharType="end"/>
      </w:r>
    </w:p>
    <w:p w:rsidR="00FC23F3" w:rsidRDefault="00FC23F3">
      <w:pPr>
        <w:pStyle w:val="TOC1"/>
        <w:rPr>
          <w:rFonts w:asciiTheme="minorHAnsi" w:eastAsiaTheme="minorEastAsia" w:hAnsiTheme="minorHAnsi" w:cstheme="minorBidi"/>
          <w:sz w:val="22"/>
          <w:szCs w:val="22"/>
        </w:rPr>
      </w:pPr>
      <w:r>
        <w:t>PROOF OF SERVICE</w:t>
      </w:r>
      <w:bookmarkStart w:id="0" w:name="_GoBack"/>
      <w:bookmarkEnd w:id="0"/>
      <w:r>
        <w:tab/>
      </w:r>
      <w:r>
        <w:fldChar w:fldCharType="begin"/>
      </w:r>
      <w:r>
        <w:instrText xml:space="preserve"> PAGEREF _Toc364688849 \h </w:instrText>
      </w:r>
      <w:r>
        <w:fldChar w:fldCharType="separate"/>
      </w:r>
      <w:r w:rsidR="005055CE">
        <w:t>45</w:t>
      </w:r>
      <w:r>
        <w:fldChar w:fldCharType="end"/>
      </w:r>
    </w:p>
    <w:p w:rsidR="00C04E56" w:rsidRPr="005E3D55" w:rsidRDefault="00006442" w:rsidP="00C04E56">
      <w:pPr>
        <w:rPr>
          <w:sz w:val="26"/>
          <w:szCs w:val="26"/>
        </w:rPr>
      </w:pPr>
      <w:r>
        <w:rPr>
          <w:sz w:val="26"/>
          <w:szCs w:val="26"/>
        </w:rPr>
        <w:fldChar w:fldCharType="end"/>
      </w:r>
    </w:p>
    <w:p w:rsidR="00C04E56" w:rsidRPr="005E3D55" w:rsidRDefault="00C04E56" w:rsidP="00C04E56">
      <w:pPr>
        <w:rPr>
          <w:sz w:val="26"/>
          <w:szCs w:val="26"/>
        </w:rPr>
        <w:sectPr w:rsidR="00C04E56" w:rsidRPr="005E3D55" w:rsidSect="002E65D5">
          <w:headerReference w:type="default" r:id="rId13"/>
          <w:footerReference w:type="default" r:id="rId14"/>
          <w:pgSz w:w="12240" w:h="15840"/>
          <w:pgMar w:top="1440" w:right="1440" w:bottom="1440" w:left="1440" w:header="720" w:footer="720" w:gutter="0"/>
          <w:pgNumType w:fmt="lowerRoman" w:start="1"/>
          <w:cols w:space="720"/>
          <w:docGrid w:linePitch="360"/>
        </w:sectPr>
      </w:pPr>
    </w:p>
    <w:p w:rsidR="00C04E56" w:rsidRPr="00466A2C" w:rsidRDefault="00C04E56" w:rsidP="00C04E56">
      <w:pPr>
        <w:jc w:val="center"/>
        <w:rPr>
          <w:b/>
          <w:sz w:val="26"/>
          <w:szCs w:val="26"/>
        </w:rPr>
      </w:pPr>
      <w:r w:rsidRPr="00466A2C">
        <w:rPr>
          <w:b/>
          <w:sz w:val="26"/>
          <w:szCs w:val="26"/>
        </w:rPr>
        <w:lastRenderedPageBreak/>
        <w:t>BEFORE</w:t>
      </w:r>
    </w:p>
    <w:p w:rsidR="00C04E56" w:rsidRPr="00466A2C" w:rsidRDefault="00C04E56" w:rsidP="00C04E56">
      <w:pPr>
        <w:jc w:val="center"/>
        <w:rPr>
          <w:b/>
          <w:sz w:val="26"/>
          <w:szCs w:val="26"/>
        </w:rPr>
      </w:pPr>
      <w:r w:rsidRPr="00466A2C">
        <w:rPr>
          <w:b/>
          <w:bCs/>
          <w:sz w:val="26"/>
          <w:szCs w:val="26"/>
        </w:rPr>
        <w:t>THE PUBLIC UTILITIES COMMISSION OF OHIO</w:t>
      </w:r>
    </w:p>
    <w:p w:rsidR="00C04E56" w:rsidRPr="00867F58" w:rsidRDefault="00C04E56" w:rsidP="00C04E56">
      <w:pPr>
        <w:rPr>
          <w:sz w:val="26"/>
          <w:szCs w:val="26"/>
        </w:rPr>
      </w:pPr>
    </w:p>
    <w:tbl>
      <w:tblPr>
        <w:tblW w:w="8658" w:type="dxa"/>
        <w:tblLook w:val="04A0" w:firstRow="1" w:lastRow="0" w:firstColumn="1" w:lastColumn="0" w:noHBand="0" w:noVBand="1"/>
      </w:tblPr>
      <w:tblGrid>
        <w:gridCol w:w="4608"/>
        <w:gridCol w:w="540"/>
        <w:gridCol w:w="3510"/>
      </w:tblGrid>
      <w:tr w:rsidR="00E77986" w:rsidRPr="00E77986" w:rsidTr="0040569A">
        <w:tc>
          <w:tcPr>
            <w:tcW w:w="4608" w:type="dxa"/>
          </w:tcPr>
          <w:p w:rsidR="00E77986" w:rsidRPr="00E77986" w:rsidRDefault="00E77986" w:rsidP="0040569A">
            <w:pPr>
              <w:autoSpaceDE w:val="0"/>
              <w:autoSpaceDN w:val="0"/>
              <w:adjustRightInd w:val="0"/>
              <w:rPr>
                <w:sz w:val="26"/>
                <w:szCs w:val="26"/>
              </w:rPr>
            </w:pPr>
            <w:r w:rsidRPr="00E77986">
              <w:rPr>
                <w:sz w:val="26"/>
                <w:szCs w:val="26"/>
              </w:rPr>
              <w:t>In the Matter of the Regulation of the</w:t>
            </w:r>
            <w:r>
              <w:rPr>
                <w:sz w:val="26"/>
                <w:szCs w:val="26"/>
              </w:rPr>
              <w:t xml:space="preserve"> </w:t>
            </w:r>
            <w:r w:rsidRPr="00E77986">
              <w:rPr>
                <w:sz w:val="26"/>
                <w:szCs w:val="26"/>
              </w:rPr>
              <w:t>Purchased Gas Adjustment Clauses</w:t>
            </w:r>
            <w:r>
              <w:rPr>
                <w:sz w:val="26"/>
                <w:szCs w:val="26"/>
              </w:rPr>
              <w:t xml:space="preserve"> </w:t>
            </w:r>
            <w:r w:rsidRPr="00E77986">
              <w:rPr>
                <w:sz w:val="26"/>
                <w:szCs w:val="26"/>
              </w:rPr>
              <w:t>Contained within the Rate Schedules of</w:t>
            </w:r>
            <w:r>
              <w:rPr>
                <w:sz w:val="26"/>
                <w:szCs w:val="26"/>
              </w:rPr>
              <w:t xml:space="preserve"> </w:t>
            </w:r>
            <w:r w:rsidRPr="00E77986">
              <w:rPr>
                <w:sz w:val="26"/>
                <w:szCs w:val="26"/>
              </w:rPr>
              <w:t>Northeast Ohio Natural Gas Corporation and Orwell Natural Gas Company.</w:t>
            </w:r>
          </w:p>
          <w:p w:rsidR="00E77986" w:rsidRPr="00E77986" w:rsidRDefault="00E77986" w:rsidP="0040569A">
            <w:pPr>
              <w:autoSpaceDE w:val="0"/>
              <w:autoSpaceDN w:val="0"/>
              <w:adjustRightInd w:val="0"/>
              <w:rPr>
                <w:sz w:val="26"/>
                <w:szCs w:val="26"/>
              </w:rPr>
            </w:pPr>
          </w:p>
          <w:p w:rsidR="00E77986" w:rsidRPr="00E77986" w:rsidRDefault="00E77986" w:rsidP="0040569A">
            <w:pPr>
              <w:autoSpaceDE w:val="0"/>
              <w:autoSpaceDN w:val="0"/>
              <w:adjustRightInd w:val="0"/>
              <w:rPr>
                <w:sz w:val="26"/>
                <w:szCs w:val="26"/>
              </w:rPr>
            </w:pPr>
            <w:r w:rsidRPr="00E77986">
              <w:rPr>
                <w:sz w:val="26"/>
                <w:szCs w:val="26"/>
              </w:rPr>
              <w:t>In the Matter of the Regulations of the</w:t>
            </w:r>
            <w:r>
              <w:rPr>
                <w:sz w:val="26"/>
                <w:szCs w:val="26"/>
              </w:rPr>
              <w:t xml:space="preserve"> </w:t>
            </w:r>
            <w:r w:rsidRPr="00E77986">
              <w:rPr>
                <w:sz w:val="26"/>
                <w:szCs w:val="26"/>
              </w:rPr>
              <w:t>Purchased Gas Adjustment Clauses</w:t>
            </w:r>
            <w:r>
              <w:rPr>
                <w:sz w:val="26"/>
                <w:szCs w:val="26"/>
              </w:rPr>
              <w:t xml:space="preserve"> </w:t>
            </w:r>
            <w:r w:rsidRPr="00E77986">
              <w:rPr>
                <w:sz w:val="26"/>
                <w:szCs w:val="26"/>
              </w:rPr>
              <w:t>contained within the Rate Schedules of</w:t>
            </w:r>
            <w:r>
              <w:rPr>
                <w:sz w:val="26"/>
                <w:szCs w:val="26"/>
              </w:rPr>
              <w:t xml:space="preserve"> </w:t>
            </w:r>
            <w:r w:rsidRPr="00E77986">
              <w:rPr>
                <w:sz w:val="26"/>
                <w:szCs w:val="26"/>
              </w:rPr>
              <w:t>Northeast Ohio Natural Gas Corporation and related matters.</w:t>
            </w:r>
          </w:p>
          <w:p w:rsidR="00E77986" w:rsidRPr="00E77986" w:rsidRDefault="00E77986" w:rsidP="0040569A">
            <w:pPr>
              <w:autoSpaceDE w:val="0"/>
              <w:autoSpaceDN w:val="0"/>
              <w:adjustRightInd w:val="0"/>
              <w:rPr>
                <w:sz w:val="26"/>
                <w:szCs w:val="26"/>
              </w:rPr>
            </w:pPr>
          </w:p>
          <w:p w:rsidR="00E77986" w:rsidRPr="00E77986" w:rsidRDefault="00E77986" w:rsidP="0040569A">
            <w:pPr>
              <w:autoSpaceDE w:val="0"/>
              <w:autoSpaceDN w:val="0"/>
              <w:adjustRightInd w:val="0"/>
              <w:rPr>
                <w:sz w:val="26"/>
                <w:szCs w:val="26"/>
              </w:rPr>
            </w:pPr>
            <w:r w:rsidRPr="00E77986">
              <w:rPr>
                <w:sz w:val="26"/>
                <w:szCs w:val="26"/>
              </w:rPr>
              <w:t>In the Matter of the Uncollectible Expense Rider of Orwell Natural Gas Company.</w:t>
            </w:r>
          </w:p>
          <w:p w:rsidR="00E77986" w:rsidRPr="00E77986" w:rsidRDefault="00E77986" w:rsidP="0040569A">
            <w:pPr>
              <w:autoSpaceDE w:val="0"/>
              <w:autoSpaceDN w:val="0"/>
              <w:adjustRightInd w:val="0"/>
              <w:rPr>
                <w:sz w:val="26"/>
                <w:szCs w:val="26"/>
              </w:rPr>
            </w:pPr>
          </w:p>
        </w:tc>
        <w:tc>
          <w:tcPr>
            <w:tcW w:w="540" w:type="dxa"/>
          </w:tcPr>
          <w:p w:rsidR="00E77986" w:rsidRPr="00E77986" w:rsidRDefault="00E77986" w:rsidP="0040569A">
            <w:pPr>
              <w:rPr>
                <w:sz w:val="26"/>
                <w:szCs w:val="26"/>
              </w:rPr>
            </w:pPr>
            <w:r w:rsidRPr="00E77986">
              <w:rPr>
                <w:sz w:val="26"/>
                <w:szCs w:val="26"/>
              </w:rPr>
              <w:t>:</w:t>
            </w:r>
          </w:p>
          <w:p w:rsidR="00E77986" w:rsidRPr="00E77986" w:rsidRDefault="00E77986" w:rsidP="0040569A">
            <w:pPr>
              <w:rPr>
                <w:sz w:val="26"/>
                <w:szCs w:val="26"/>
              </w:rPr>
            </w:pPr>
            <w:r w:rsidRPr="00E77986">
              <w:rPr>
                <w:sz w:val="26"/>
                <w:szCs w:val="26"/>
              </w:rPr>
              <w:t>:</w:t>
            </w:r>
          </w:p>
          <w:p w:rsidR="00E77986" w:rsidRPr="00E77986" w:rsidRDefault="00E77986" w:rsidP="0040569A">
            <w:pPr>
              <w:rPr>
                <w:sz w:val="26"/>
                <w:szCs w:val="26"/>
              </w:rPr>
            </w:pPr>
            <w:r w:rsidRPr="00E77986">
              <w:rPr>
                <w:sz w:val="26"/>
                <w:szCs w:val="26"/>
              </w:rPr>
              <w:t>:</w:t>
            </w:r>
          </w:p>
          <w:p w:rsidR="00E77986" w:rsidRPr="00E77986" w:rsidRDefault="00E77986" w:rsidP="0040569A">
            <w:pPr>
              <w:rPr>
                <w:sz w:val="26"/>
                <w:szCs w:val="26"/>
              </w:rPr>
            </w:pPr>
            <w:r w:rsidRPr="00E77986">
              <w:rPr>
                <w:sz w:val="26"/>
                <w:szCs w:val="26"/>
              </w:rPr>
              <w:t>:</w:t>
            </w:r>
          </w:p>
          <w:p w:rsidR="00E77986" w:rsidRPr="00E77986" w:rsidRDefault="00E77986" w:rsidP="0040569A">
            <w:pPr>
              <w:rPr>
                <w:sz w:val="26"/>
                <w:szCs w:val="26"/>
              </w:rPr>
            </w:pPr>
            <w:r>
              <w:rPr>
                <w:sz w:val="26"/>
                <w:szCs w:val="26"/>
              </w:rPr>
              <w:t>:</w:t>
            </w:r>
            <w:r>
              <w:rPr>
                <w:sz w:val="26"/>
                <w:szCs w:val="26"/>
              </w:rPr>
              <w:br/>
            </w:r>
            <w:r>
              <w:rPr>
                <w:sz w:val="26"/>
                <w:szCs w:val="26"/>
              </w:rPr>
              <w:br/>
              <w:t>:</w:t>
            </w:r>
            <w:r>
              <w:rPr>
                <w:sz w:val="26"/>
                <w:szCs w:val="26"/>
              </w:rPr>
              <w:br/>
              <w:t>:</w:t>
            </w:r>
            <w:r>
              <w:rPr>
                <w:sz w:val="26"/>
                <w:szCs w:val="26"/>
              </w:rPr>
              <w:br/>
              <w:t>:</w:t>
            </w:r>
            <w:r>
              <w:rPr>
                <w:sz w:val="26"/>
                <w:szCs w:val="26"/>
              </w:rPr>
              <w:br/>
              <w:t>:</w:t>
            </w:r>
            <w:r>
              <w:rPr>
                <w:sz w:val="26"/>
                <w:szCs w:val="26"/>
              </w:rPr>
              <w:br/>
              <w:t>:</w:t>
            </w:r>
            <w:r>
              <w:rPr>
                <w:sz w:val="26"/>
                <w:szCs w:val="26"/>
              </w:rPr>
              <w:br/>
            </w:r>
            <w:r w:rsidRPr="00E77986">
              <w:rPr>
                <w:sz w:val="26"/>
                <w:szCs w:val="26"/>
              </w:rPr>
              <w:br/>
              <w:t>:</w:t>
            </w:r>
            <w:r w:rsidRPr="00E77986">
              <w:rPr>
                <w:sz w:val="26"/>
                <w:szCs w:val="26"/>
              </w:rPr>
              <w:br/>
              <w:t>:</w:t>
            </w:r>
            <w:r w:rsidRPr="00E77986">
              <w:rPr>
                <w:sz w:val="26"/>
                <w:szCs w:val="26"/>
              </w:rPr>
              <w:br/>
              <w:t>:</w:t>
            </w:r>
            <w:r w:rsidRPr="00E77986">
              <w:rPr>
                <w:sz w:val="26"/>
                <w:szCs w:val="26"/>
              </w:rPr>
              <w:br/>
              <w:t>:</w:t>
            </w:r>
          </w:p>
        </w:tc>
        <w:tc>
          <w:tcPr>
            <w:tcW w:w="3510" w:type="dxa"/>
          </w:tcPr>
          <w:p w:rsidR="00E77986" w:rsidRPr="00E77986" w:rsidRDefault="00E77986" w:rsidP="0040569A">
            <w:pPr>
              <w:rPr>
                <w:sz w:val="26"/>
                <w:szCs w:val="26"/>
              </w:rPr>
            </w:pPr>
          </w:p>
          <w:p w:rsidR="00E77986" w:rsidRPr="00E77986" w:rsidRDefault="00E77986" w:rsidP="0040569A">
            <w:pPr>
              <w:tabs>
                <w:tab w:val="left" w:pos="2974"/>
              </w:tabs>
              <w:autoSpaceDE w:val="0"/>
              <w:autoSpaceDN w:val="0"/>
              <w:adjustRightInd w:val="0"/>
              <w:rPr>
                <w:sz w:val="26"/>
                <w:szCs w:val="26"/>
              </w:rPr>
            </w:pPr>
            <w:r w:rsidRPr="00E77986">
              <w:rPr>
                <w:sz w:val="26"/>
                <w:szCs w:val="26"/>
              </w:rPr>
              <w:t>Case No. 12-0209-GA-GCR</w:t>
            </w:r>
          </w:p>
          <w:p w:rsidR="00E77986" w:rsidRPr="00E77986" w:rsidRDefault="00E77986" w:rsidP="0040569A">
            <w:pPr>
              <w:autoSpaceDE w:val="0"/>
              <w:autoSpaceDN w:val="0"/>
              <w:adjustRightInd w:val="0"/>
              <w:rPr>
                <w:sz w:val="26"/>
                <w:szCs w:val="26"/>
              </w:rPr>
            </w:pPr>
            <w:r w:rsidRPr="00E77986">
              <w:rPr>
                <w:sz w:val="26"/>
                <w:szCs w:val="26"/>
              </w:rPr>
              <w:t>Case No. 12-0212-GA-GCR</w:t>
            </w:r>
          </w:p>
          <w:p w:rsidR="00E77986" w:rsidRPr="00E77986" w:rsidRDefault="00E77986" w:rsidP="0040569A">
            <w:pPr>
              <w:autoSpaceDE w:val="0"/>
              <w:autoSpaceDN w:val="0"/>
              <w:adjustRightInd w:val="0"/>
              <w:rPr>
                <w:sz w:val="26"/>
                <w:szCs w:val="26"/>
              </w:rPr>
            </w:pPr>
          </w:p>
          <w:p w:rsidR="00E77986" w:rsidRPr="00E77986" w:rsidRDefault="00E77986" w:rsidP="0040569A">
            <w:pPr>
              <w:autoSpaceDE w:val="0"/>
              <w:autoSpaceDN w:val="0"/>
              <w:adjustRightInd w:val="0"/>
              <w:rPr>
                <w:sz w:val="26"/>
                <w:szCs w:val="26"/>
              </w:rPr>
            </w:pPr>
          </w:p>
          <w:p w:rsidR="00E77986" w:rsidRPr="00E77986" w:rsidRDefault="00E77986" w:rsidP="0040569A">
            <w:pPr>
              <w:autoSpaceDE w:val="0"/>
              <w:autoSpaceDN w:val="0"/>
              <w:adjustRightInd w:val="0"/>
              <w:rPr>
                <w:sz w:val="26"/>
                <w:szCs w:val="26"/>
              </w:rPr>
            </w:pPr>
          </w:p>
          <w:p w:rsidR="00E77986" w:rsidRPr="00E77986" w:rsidRDefault="00E77986" w:rsidP="0040569A">
            <w:pPr>
              <w:autoSpaceDE w:val="0"/>
              <w:autoSpaceDN w:val="0"/>
              <w:adjustRightInd w:val="0"/>
              <w:rPr>
                <w:sz w:val="26"/>
                <w:szCs w:val="26"/>
              </w:rPr>
            </w:pPr>
          </w:p>
          <w:p w:rsidR="00E77986" w:rsidRPr="00E77986" w:rsidRDefault="00E77986" w:rsidP="0040569A">
            <w:pPr>
              <w:autoSpaceDE w:val="0"/>
              <w:autoSpaceDN w:val="0"/>
              <w:adjustRightInd w:val="0"/>
              <w:rPr>
                <w:sz w:val="26"/>
                <w:szCs w:val="26"/>
              </w:rPr>
            </w:pPr>
            <w:r w:rsidRPr="00E77986">
              <w:rPr>
                <w:sz w:val="26"/>
                <w:szCs w:val="26"/>
              </w:rPr>
              <w:t>Case No. 12-0309-GA-UEX</w:t>
            </w:r>
          </w:p>
          <w:p w:rsidR="00E77986" w:rsidRPr="00E77986" w:rsidRDefault="00E77986" w:rsidP="0040569A">
            <w:pPr>
              <w:rPr>
                <w:sz w:val="26"/>
                <w:szCs w:val="26"/>
              </w:rPr>
            </w:pPr>
          </w:p>
          <w:p w:rsidR="00E77986" w:rsidRPr="00E77986" w:rsidRDefault="00E77986" w:rsidP="0040569A">
            <w:pPr>
              <w:rPr>
                <w:sz w:val="26"/>
                <w:szCs w:val="26"/>
              </w:rPr>
            </w:pPr>
          </w:p>
          <w:p w:rsidR="00E77986" w:rsidRPr="00E77986" w:rsidRDefault="00E77986" w:rsidP="0040569A">
            <w:pPr>
              <w:rPr>
                <w:sz w:val="26"/>
                <w:szCs w:val="26"/>
              </w:rPr>
            </w:pPr>
          </w:p>
          <w:p w:rsidR="00E77986" w:rsidRPr="00E77986" w:rsidRDefault="00E77986" w:rsidP="0040569A">
            <w:pPr>
              <w:rPr>
                <w:sz w:val="26"/>
                <w:szCs w:val="26"/>
              </w:rPr>
            </w:pPr>
          </w:p>
          <w:p w:rsidR="00A51069" w:rsidRDefault="00A51069" w:rsidP="0040569A">
            <w:pPr>
              <w:rPr>
                <w:sz w:val="26"/>
                <w:szCs w:val="26"/>
              </w:rPr>
            </w:pPr>
          </w:p>
          <w:p w:rsidR="00E77986" w:rsidRPr="00E77986" w:rsidRDefault="00E77986" w:rsidP="0040569A">
            <w:pPr>
              <w:rPr>
                <w:sz w:val="26"/>
                <w:szCs w:val="26"/>
              </w:rPr>
            </w:pPr>
            <w:r w:rsidRPr="00E77986">
              <w:rPr>
                <w:sz w:val="26"/>
                <w:szCs w:val="26"/>
              </w:rPr>
              <w:t>Case No. 12-0312-GA-UEX</w:t>
            </w:r>
          </w:p>
          <w:p w:rsidR="00E77986" w:rsidRPr="00E77986" w:rsidRDefault="00E77986" w:rsidP="0040569A">
            <w:pPr>
              <w:rPr>
                <w:sz w:val="26"/>
                <w:szCs w:val="26"/>
              </w:rPr>
            </w:pPr>
          </w:p>
        </w:tc>
      </w:tr>
    </w:tbl>
    <w:p w:rsidR="00C04E56" w:rsidRPr="00867F58" w:rsidRDefault="00C04E56" w:rsidP="00C04E56">
      <w:pPr>
        <w:rPr>
          <w:b/>
          <w:sz w:val="26"/>
          <w:szCs w:val="26"/>
        </w:rPr>
      </w:pPr>
      <w:r w:rsidRPr="00867F58">
        <w:rPr>
          <w:b/>
          <w:sz w:val="26"/>
          <w:szCs w:val="26"/>
        </w:rPr>
        <w:t>______________________________________________________________________</w:t>
      </w:r>
    </w:p>
    <w:p w:rsidR="00C04E56" w:rsidRPr="00867F58" w:rsidRDefault="00C04E56" w:rsidP="00C04E56">
      <w:pPr>
        <w:jc w:val="center"/>
        <w:rPr>
          <w:b/>
          <w:sz w:val="26"/>
          <w:szCs w:val="26"/>
        </w:rPr>
      </w:pPr>
    </w:p>
    <w:p w:rsidR="00C04E56" w:rsidRPr="00E77986" w:rsidRDefault="00E77986" w:rsidP="00C04E56">
      <w:pPr>
        <w:jc w:val="center"/>
        <w:rPr>
          <w:b/>
          <w:sz w:val="28"/>
          <w:szCs w:val="28"/>
        </w:rPr>
      </w:pPr>
      <w:r w:rsidRPr="00E77986">
        <w:rPr>
          <w:b/>
          <w:sz w:val="28"/>
          <w:szCs w:val="28"/>
        </w:rPr>
        <w:t>POST HEARING BRIEF</w:t>
      </w:r>
    </w:p>
    <w:p w:rsidR="00E77986" w:rsidRDefault="00C04E56" w:rsidP="00C04E56">
      <w:pPr>
        <w:jc w:val="center"/>
        <w:rPr>
          <w:b/>
          <w:sz w:val="26"/>
          <w:szCs w:val="26"/>
        </w:rPr>
      </w:pPr>
      <w:r w:rsidRPr="00867F58">
        <w:rPr>
          <w:b/>
          <w:sz w:val="26"/>
          <w:szCs w:val="26"/>
        </w:rPr>
        <w:t>SUBMITTED ON THE BEHALF OF THE STAFF OF</w:t>
      </w:r>
    </w:p>
    <w:p w:rsidR="00C04E56" w:rsidRPr="00867F58" w:rsidRDefault="00E77986" w:rsidP="00C04E56">
      <w:pPr>
        <w:jc w:val="center"/>
        <w:rPr>
          <w:b/>
          <w:sz w:val="26"/>
          <w:szCs w:val="26"/>
        </w:rPr>
      </w:pPr>
      <w:r>
        <w:rPr>
          <w:b/>
          <w:sz w:val="26"/>
          <w:szCs w:val="26"/>
        </w:rPr>
        <w:t xml:space="preserve">THE </w:t>
      </w:r>
      <w:r w:rsidR="00C04E56" w:rsidRPr="00867F58">
        <w:rPr>
          <w:b/>
          <w:sz w:val="26"/>
          <w:szCs w:val="26"/>
        </w:rPr>
        <w:t xml:space="preserve">PUBLIC UTILITIES COMMISSION OF OHIO </w:t>
      </w:r>
    </w:p>
    <w:p w:rsidR="00C04E56" w:rsidRPr="00867F58" w:rsidRDefault="00C04E56" w:rsidP="00C04E56">
      <w:pPr>
        <w:rPr>
          <w:b/>
          <w:sz w:val="26"/>
          <w:szCs w:val="26"/>
        </w:rPr>
      </w:pPr>
      <w:r w:rsidRPr="00867F58">
        <w:rPr>
          <w:b/>
          <w:sz w:val="26"/>
          <w:szCs w:val="26"/>
        </w:rPr>
        <w:t>______________________________________________________________________</w:t>
      </w:r>
    </w:p>
    <w:p w:rsidR="00C04E56" w:rsidRPr="00E77986" w:rsidRDefault="00E77986" w:rsidP="00E77986">
      <w:pPr>
        <w:pStyle w:val="Heading1"/>
      </w:pPr>
      <w:bookmarkStart w:id="1" w:name="_Toc364688833"/>
      <w:r>
        <w:t>INTRODUCTION</w:t>
      </w:r>
      <w:bookmarkEnd w:id="1"/>
    </w:p>
    <w:p w:rsidR="0080411F" w:rsidRPr="00E77986" w:rsidRDefault="00E77986" w:rsidP="0080411F">
      <w:pPr>
        <w:pStyle w:val="textstyle"/>
        <w:rPr>
          <w:lang w:val="en-US"/>
        </w:rPr>
      </w:pPr>
      <w:r>
        <w:rPr>
          <w:lang w:val="en-US"/>
        </w:rPr>
        <w:tab/>
      </w:r>
      <w:r w:rsidR="00C1450A">
        <w:rPr>
          <w:lang w:val="en-US"/>
        </w:rPr>
        <w:t>Staff witness Roger Sarver was the supervisor for all four of the audits that are the subject of these cases.</w:t>
      </w:r>
      <w:r w:rsidR="00C1450A">
        <w:rPr>
          <w:rStyle w:val="FootnoteReference"/>
          <w:lang w:val="en-US"/>
        </w:rPr>
        <w:footnoteReference w:id="1"/>
      </w:r>
      <w:r w:rsidR="00C1450A">
        <w:rPr>
          <w:lang w:val="en-US"/>
        </w:rPr>
        <w:t xml:space="preserve"> </w:t>
      </w:r>
      <w:r w:rsidR="00DB2C7B">
        <w:rPr>
          <w:lang w:val="en-US"/>
        </w:rPr>
        <w:t xml:space="preserve"> </w:t>
      </w:r>
      <w:r w:rsidR="0080411F">
        <w:rPr>
          <w:lang w:val="en-US"/>
        </w:rPr>
        <w:t xml:space="preserve">In his more than 20 years of experience performing Gas Cost Recovery (GCR) audits, he has never </w:t>
      </w:r>
      <w:r w:rsidR="0080411F" w:rsidRPr="0094089E">
        <w:rPr>
          <w:lang w:val="en-US"/>
        </w:rPr>
        <w:t xml:space="preserve">seen an instance where </w:t>
      </w:r>
      <w:r w:rsidR="0080411F">
        <w:rPr>
          <w:lang w:val="en-US"/>
        </w:rPr>
        <w:t xml:space="preserve">a company has been so slow to respond to the </w:t>
      </w:r>
      <w:r w:rsidR="0080411F" w:rsidRPr="0094089E">
        <w:rPr>
          <w:lang w:val="en-US"/>
        </w:rPr>
        <w:t>Commission</w:t>
      </w:r>
      <w:r w:rsidR="0080411F">
        <w:rPr>
          <w:lang w:val="en-US"/>
        </w:rPr>
        <w:t>’s</w:t>
      </w:r>
      <w:r w:rsidR="0080411F" w:rsidRPr="0094089E">
        <w:rPr>
          <w:lang w:val="en-US"/>
        </w:rPr>
        <w:t xml:space="preserve"> </w:t>
      </w:r>
      <w:r w:rsidR="0080411F">
        <w:rPr>
          <w:lang w:val="en-US"/>
        </w:rPr>
        <w:t xml:space="preserve">findings and </w:t>
      </w:r>
      <w:r w:rsidR="0080411F" w:rsidRPr="0094089E">
        <w:rPr>
          <w:lang w:val="en-US"/>
        </w:rPr>
        <w:t>recommendation</w:t>
      </w:r>
      <w:r w:rsidR="0080411F">
        <w:rPr>
          <w:lang w:val="en-US"/>
        </w:rPr>
        <w:t>s</w:t>
      </w:r>
      <w:r w:rsidR="0080411F" w:rsidRPr="0094089E">
        <w:rPr>
          <w:lang w:val="en-US"/>
        </w:rPr>
        <w:t>.</w:t>
      </w:r>
      <w:r w:rsidR="0080411F">
        <w:rPr>
          <w:rStyle w:val="FootnoteReference"/>
          <w:lang w:val="en-US"/>
        </w:rPr>
        <w:footnoteReference w:id="2"/>
      </w:r>
      <w:r w:rsidR="0080411F">
        <w:rPr>
          <w:lang w:val="en-US"/>
        </w:rPr>
        <w:t xml:space="preserve"> </w:t>
      </w:r>
      <w:r w:rsidR="00DB2C7B">
        <w:rPr>
          <w:lang w:val="en-US"/>
        </w:rPr>
        <w:t xml:space="preserve"> </w:t>
      </w:r>
      <w:r w:rsidR="002E0A59">
        <w:rPr>
          <w:lang w:val="en-US"/>
        </w:rPr>
        <w:t xml:space="preserve">Nor has he seen such </w:t>
      </w:r>
      <w:r w:rsidR="002E0A59">
        <w:rPr>
          <w:lang w:val="en-US"/>
        </w:rPr>
        <w:lastRenderedPageBreak/>
        <w:t>high levels of employee turnover.</w:t>
      </w:r>
      <w:r w:rsidR="002E0A59">
        <w:rPr>
          <w:rStyle w:val="FootnoteReference"/>
          <w:lang w:val="en-US"/>
        </w:rPr>
        <w:footnoteReference w:id="3"/>
      </w:r>
      <w:r w:rsidR="002E0A59">
        <w:rPr>
          <w:lang w:val="en-US"/>
        </w:rPr>
        <w:t xml:space="preserve"> </w:t>
      </w:r>
      <w:r w:rsidR="00DB2C7B">
        <w:rPr>
          <w:lang w:val="en-US"/>
        </w:rPr>
        <w:t xml:space="preserve"> </w:t>
      </w:r>
      <w:r w:rsidR="002E0A59">
        <w:rPr>
          <w:lang w:val="en-US"/>
        </w:rPr>
        <w:t>The plain fact, painfully evident from the record in this case, is that the steps taken by these companies to address issues of self-dealing raised over the course of numerous audits have been woefully inadequate to address con</w:t>
      </w:r>
      <w:r w:rsidR="0094089E">
        <w:rPr>
          <w:lang w:val="en-US"/>
        </w:rPr>
        <w:softHyphen/>
      </w:r>
      <w:r w:rsidR="002E0A59">
        <w:rPr>
          <w:lang w:val="en-US"/>
        </w:rPr>
        <w:t xml:space="preserve">cerns raised both by Staff and by this Commission. </w:t>
      </w:r>
      <w:r w:rsidR="00DB2C7B">
        <w:rPr>
          <w:lang w:val="en-US"/>
        </w:rPr>
        <w:t xml:space="preserve"> </w:t>
      </w:r>
      <w:r w:rsidR="002E0A59">
        <w:rPr>
          <w:lang w:val="en-US"/>
        </w:rPr>
        <w:t xml:space="preserve">Staff believes that the time has come for more </w:t>
      </w:r>
      <w:r w:rsidR="000F35E7">
        <w:rPr>
          <w:lang w:val="en-US"/>
        </w:rPr>
        <w:t xml:space="preserve">incisive investigation, and more decisive action. </w:t>
      </w:r>
    </w:p>
    <w:p w:rsidR="00833AA8" w:rsidRDefault="00E77986" w:rsidP="00E77986">
      <w:pPr>
        <w:pStyle w:val="Heading1"/>
      </w:pPr>
      <w:bookmarkStart w:id="2" w:name="_Toc364688834"/>
      <w:r>
        <w:t>ARGUMENT</w:t>
      </w:r>
      <w:bookmarkEnd w:id="2"/>
    </w:p>
    <w:p w:rsidR="001B2B9D" w:rsidRPr="00E77986" w:rsidRDefault="00E77986" w:rsidP="001A6DE0">
      <w:pPr>
        <w:pStyle w:val="Heading2"/>
      </w:pPr>
      <w:bookmarkStart w:id="3" w:name="_Toc364688835"/>
      <w:r w:rsidRPr="00E77986">
        <w:t>I</w:t>
      </w:r>
      <w:r w:rsidR="00CC061B" w:rsidRPr="00E77986">
        <w:t>.</w:t>
      </w:r>
      <w:r w:rsidR="00CC061B" w:rsidRPr="00E77986">
        <w:tab/>
      </w:r>
      <w:r w:rsidR="001B2B9D" w:rsidRPr="00E77986">
        <w:t>Staff</w:t>
      </w:r>
      <w:r w:rsidRPr="00E77986">
        <w:t>’</w:t>
      </w:r>
      <w:r w:rsidR="00E6312D" w:rsidRPr="00E77986">
        <w:t xml:space="preserve">s </w:t>
      </w:r>
      <w:r w:rsidRPr="00E77986">
        <w:t xml:space="preserve">recommended actual adjustment should be adopted by the </w:t>
      </w:r>
      <w:r w:rsidR="00E6312D" w:rsidRPr="00E77986">
        <w:t>Commission</w:t>
      </w:r>
      <w:r w:rsidR="006603A0">
        <w:t>.</w:t>
      </w:r>
      <w:bookmarkEnd w:id="3"/>
    </w:p>
    <w:p w:rsidR="00C642E0" w:rsidRPr="00E77986" w:rsidRDefault="00E77986" w:rsidP="00E77986">
      <w:pPr>
        <w:pStyle w:val="Heading3"/>
      </w:pPr>
      <w:bookmarkStart w:id="4" w:name="_Toc364688836"/>
      <w:r w:rsidRPr="00E77986">
        <w:t>A</w:t>
      </w:r>
      <w:r w:rsidR="00CC061B" w:rsidRPr="00E77986">
        <w:t>.</w:t>
      </w:r>
      <w:r w:rsidR="00CC061B" w:rsidRPr="00E77986">
        <w:tab/>
      </w:r>
      <w:r w:rsidR="00C642E0" w:rsidRPr="00E77986">
        <w:t>The Commission should adopt Staff</w:t>
      </w:r>
      <w:r w:rsidRPr="00E77986">
        <w:t>’</w:t>
      </w:r>
      <w:r w:rsidR="00C642E0" w:rsidRPr="00E77986">
        <w:t>s re-pricing of local production</w:t>
      </w:r>
      <w:r w:rsidR="006603A0">
        <w:t>.</w:t>
      </w:r>
      <w:bookmarkEnd w:id="4"/>
    </w:p>
    <w:p w:rsidR="00C642E0" w:rsidRPr="00C04E56" w:rsidRDefault="00C642E0" w:rsidP="00CC061B">
      <w:pPr>
        <w:pStyle w:val="textstyle"/>
        <w:rPr>
          <w:rFonts w:eastAsia="Calibri"/>
        </w:rPr>
      </w:pPr>
      <w:r w:rsidRPr="00C04E56">
        <w:rPr>
          <w:rFonts w:eastAsia="Calibri"/>
        </w:rPr>
        <w:tab/>
        <w:t xml:space="preserve">In this audit, Staff determined that the prices the Companies paid for local production were unreasonable. </w:t>
      </w:r>
      <w:r w:rsidR="00DB2C7B">
        <w:rPr>
          <w:rFonts w:eastAsia="Calibri"/>
          <w:lang w:val="en-US"/>
        </w:rPr>
        <w:t xml:space="preserve"> </w:t>
      </w:r>
      <w:r w:rsidRPr="00C04E56">
        <w:rPr>
          <w:rFonts w:eastAsia="Calibri"/>
        </w:rPr>
        <w:t>For the majority of the audit period, the Companies paid more for local production tha</w:t>
      </w:r>
      <w:r w:rsidR="00093E7D" w:rsidRPr="00C04E56">
        <w:rPr>
          <w:rFonts w:eastAsia="Calibri"/>
        </w:rPr>
        <w:t>n</w:t>
      </w:r>
      <w:r w:rsidRPr="00C04E56">
        <w:rPr>
          <w:rFonts w:eastAsia="Calibri"/>
        </w:rPr>
        <w:t xml:space="preserve"> they did for interstate gas. </w:t>
      </w:r>
      <w:r w:rsidR="00DB2C7B">
        <w:rPr>
          <w:rFonts w:eastAsia="Calibri"/>
          <w:lang w:val="en-US"/>
        </w:rPr>
        <w:t xml:space="preserve"> </w:t>
      </w:r>
      <w:r w:rsidRPr="00C04E56">
        <w:rPr>
          <w:rFonts w:eastAsia="Calibri"/>
        </w:rPr>
        <w:t>As explained by witnesses for Staff and OCC, it was inexplicable for the Companies to repeatedly pay such high prices for local production.</w:t>
      </w:r>
      <w:r w:rsidR="00DB2C7B">
        <w:rPr>
          <w:rFonts w:eastAsia="Calibri"/>
          <w:lang w:val="en-US"/>
        </w:rPr>
        <w:t xml:space="preserve"> </w:t>
      </w:r>
      <w:r w:rsidRPr="00C04E56">
        <w:rPr>
          <w:rFonts w:eastAsia="Calibri"/>
        </w:rPr>
        <w:t xml:space="preserve"> Because it </w:t>
      </w:r>
      <w:r w:rsidR="00D16E5E" w:rsidRPr="00C04E56">
        <w:rPr>
          <w:rFonts w:eastAsia="Calibri"/>
        </w:rPr>
        <w:t>would be</w:t>
      </w:r>
      <w:r w:rsidRPr="00C04E56">
        <w:rPr>
          <w:rFonts w:eastAsia="Calibri"/>
        </w:rPr>
        <w:t xml:space="preserve"> unreasonable for GCR customers to pay these inflated local production prices, Staff proposes an alternative pricing mechanism.</w:t>
      </w:r>
    </w:p>
    <w:p w:rsidR="00D16E5E" w:rsidRPr="00833AA8" w:rsidRDefault="00E77986" w:rsidP="00E77986">
      <w:pPr>
        <w:pStyle w:val="Heading4"/>
      </w:pPr>
      <w:bookmarkStart w:id="5" w:name="_Toc364688837"/>
      <w:r>
        <w:lastRenderedPageBreak/>
        <w:t>1</w:t>
      </w:r>
      <w:r w:rsidR="00CC061B">
        <w:t>.</w:t>
      </w:r>
      <w:r w:rsidR="00CC061B">
        <w:tab/>
      </w:r>
      <w:r w:rsidR="00093E7D" w:rsidRPr="00833AA8">
        <w:t xml:space="preserve">When using </w:t>
      </w:r>
      <w:r w:rsidR="00D16E5E" w:rsidRPr="00833AA8">
        <w:t>in-house employees</w:t>
      </w:r>
      <w:r w:rsidR="00093E7D" w:rsidRPr="00833AA8">
        <w:t xml:space="preserve">, the Companies were </w:t>
      </w:r>
      <w:r w:rsidR="00A627BE" w:rsidRPr="00833AA8">
        <w:t xml:space="preserve">previously </w:t>
      </w:r>
      <w:r w:rsidR="00093E7D" w:rsidRPr="00833AA8">
        <w:t xml:space="preserve">able to </w:t>
      </w:r>
      <w:r w:rsidR="00597F46" w:rsidRPr="00833AA8">
        <w:t>purchase lower priced local production</w:t>
      </w:r>
      <w:r>
        <w:t>.</w:t>
      </w:r>
      <w:bookmarkEnd w:id="5"/>
      <w:r w:rsidR="00D16E5E" w:rsidRPr="00833AA8">
        <w:t xml:space="preserve"> </w:t>
      </w:r>
    </w:p>
    <w:p w:rsidR="00C642E0" w:rsidRPr="00C04E56" w:rsidRDefault="00C642E0" w:rsidP="00CC061B">
      <w:pPr>
        <w:pStyle w:val="textstyle"/>
        <w:rPr>
          <w:rFonts w:eastAsia="Calibri"/>
          <w:b/>
        </w:rPr>
      </w:pPr>
      <w:r w:rsidRPr="00C04E56">
        <w:rPr>
          <w:rFonts w:eastAsia="Calibri"/>
        </w:rPr>
        <w:tab/>
      </w:r>
      <w:r w:rsidR="00D16E5E" w:rsidRPr="00C04E56">
        <w:rPr>
          <w:rFonts w:eastAsia="Calibri"/>
        </w:rPr>
        <w:t xml:space="preserve">The Companies have </w:t>
      </w:r>
      <w:r w:rsidRPr="00C04E56">
        <w:rPr>
          <w:rFonts w:eastAsia="Calibri"/>
        </w:rPr>
        <w:t xml:space="preserve">historically </w:t>
      </w:r>
      <w:r w:rsidR="00D16E5E" w:rsidRPr="00C04E56">
        <w:rPr>
          <w:rFonts w:eastAsia="Calibri"/>
        </w:rPr>
        <w:t>reduce</w:t>
      </w:r>
      <w:r w:rsidR="004A7441" w:rsidRPr="00C04E56">
        <w:rPr>
          <w:rFonts w:eastAsia="Calibri"/>
        </w:rPr>
        <w:t>d</w:t>
      </w:r>
      <w:r w:rsidR="00D16E5E" w:rsidRPr="00C04E56">
        <w:rPr>
          <w:rFonts w:eastAsia="Calibri"/>
        </w:rPr>
        <w:t xml:space="preserve"> their purchase </w:t>
      </w:r>
      <w:r w:rsidR="002E65D5">
        <w:rPr>
          <w:rFonts w:eastAsia="Calibri"/>
        </w:rPr>
        <w:t xml:space="preserve">gas </w:t>
      </w:r>
      <w:r w:rsidR="00D16E5E" w:rsidRPr="00C04E56">
        <w:rPr>
          <w:rFonts w:eastAsia="Calibri"/>
        </w:rPr>
        <w:t>cost by purchasing local production gas</w:t>
      </w:r>
      <w:r w:rsidRPr="00C04E56">
        <w:rPr>
          <w:rFonts w:eastAsia="Calibri"/>
        </w:rPr>
        <w:t>.</w:t>
      </w:r>
      <w:r w:rsidRPr="00C04E56">
        <w:rPr>
          <w:rFonts w:eastAsia="Calibri"/>
          <w:vertAlign w:val="superscript"/>
        </w:rPr>
        <w:footnoteReference w:id="4"/>
      </w:r>
      <w:r w:rsidRPr="00C04E56">
        <w:rPr>
          <w:rFonts w:eastAsia="Calibri"/>
        </w:rPr>
        <w:t xml:space="preserve"> </w:t>
      </w:r>
      <w:r w:rsidR="00CC061B">
        <w:rPr>
          <w:rFonts w:eastAsia="Calibri"/>
          <w:lang w:val="en-US"/>
        </w:rPr>
        <w:t xml:space="preserve"> </w:t>
      </w:r>
      <w:r w:rsidRPr="00C04E56">
        <w:rPr>
          <w:rFonts w:eastAsia="Calibri"/>
        </w:rPr>
        <w:t>Th</w:t>
      </w:r>
      <w:r w:rsidR="00D16E5E" w:rsidRPr="00C04E56">
        <w:rPr>
          <w:rFonts w:eastAsia="Calibri"/>
        </w:rPr>
        <w:t xml:space="preserve">is is because </w:t>
      </w:r>
      <w:r w:rsidRPr="00C04E56">
        <w:rPr>
          <w:rFonts w:eastAsia="Calibri"/>
        </w:rPr>
        <w:t>local production</w:t>
      </w:r>
      <w:r w:rsidR="00093E7D" w:rsidRPr="00C04E56">
        <w:rPr>
          <w:rFonts w:eastAsia="Calibri"/>
        </w:rPr>
        <w:t xml:space="preserve"> is typically less expensive than</w:t>
      </w:r>
      <w:r w:rsidRPr="00C04E56">
        <w:rPr>
          <w:rFonts w:eastAsia="Calibri"/>
        </w:rPr>
        <w:t xml:space="preserve"> interstate gas.</w:t>
      </w:r>
      <w:r w:rsidR="00D16E5E" w:rsidRPr="00C04E56">
        <w:rPr>
          <w:rStyle w:val="FootnoteReference"/>
          <w:rFonts w:eastAsia="Calibri"/>
          <w:szCs w:val="26"/>
        </w:rPr>
        <w:footnoteReference w:id="5"/>
      </w:r>
      <w:r w:rsidR="00D16E5E" w:rsidRPr="00C04E56">
        <w:rPr>
          <w:rFonts w:eastAsia="Calibri"/>
        </w:rPr>
        <w:t xml:space="preserve"> </w:t>
      </w:r>
      <w:r w:rsidR="00CC061B">
        <w:rPr>
          <w:rFonts w:eastAsia="Calibri"/>
          <w:lang w:val="en-US"/>
        </w:rPr>
        <w:t xml:space="preserve"> </w:t>
      </w:r>
      <w:r w:rsidRPr="00C04E56">
        <w:rPr>
          <w:rFonts w:eastAsia="Calibri"/>
        </w:rPr>
        <w:t>By purchasing gas directly from local producers, NEO</w:t>
      </w:r>
      <w:r w:rsidR="004A7441" w:rsidRPr="00C04E56">
        <w:rPr>
          <w:rFonts w:eastAsia="Calibri"/>
        </w:rPr>
        <w:t xml:space="preserve"> and Orwell</w:t>
      </w:r>
      <w:r w:rsidRPr="00C04E56">
        <w:rPr>
          <w:rFonts w:eastAsia="Calibri"/>
        </w:rPr>
        <w:t xml:space="preserve"> previously reduced </w:t>
      </w:r>
      <w:r w:rsidR="004A7441" w:rsidRPr="00C04E56">
        <w:rPr>
          <w:rFonts w:eastAsia="Calibri"/>
        </w:rPr>
        <w:t xml:space="preserve">their </w:t>
      </w:r>
      <w:r w:rsidRPr="00C04E56">
        <w:rPr>
          <w:rFonts w:eastAsia="Calibri"/>
        </w:rPr>
        <w:t>dependence on interstate purchases</w:t>
      </w:r>
      <w:r w:rsidR="004A7441" w:rsidRPr="00C04E56">
        <w:rPr>
          <w:rFonts w:eastAsia="Calibri"/>
        </w:rPr>
        <w:t xml:space="preserve">, which also reduced </w:t>
      </w:r>
      <w:r w:rsidR="002E65D5">
        <w:rPr>
          <w:rFonts w:eastAsia="Calibri"/>
        </w:rPr>
        <w:t xml:space="preserve">the </w:t>
      </w:r>
      <w:r w:rsidR="004A7441" w:rsidRPr="00C04E56">
        <w:rPr>
          <w:rFonts w:eastAsia="Calibri"/>
        </w:rPr>
        <w:t>amount customer</w:t>
      </w:r>
      <w:r w:rsidR="00103800" w:rsidRPr="00C04E56">
        <w:rPr>
          <w:rFonts w:eastAsia="Calibri"/>
        </w:rPr>
        <w:t>s</w:t>
      </w:r>
      <w:r w:rsidR="004A7441" w:rsidRPr="00C04E56">
        <w:rPr>
          <w:rFonts w:eastAsia="Calibri"/>
        </w:rPr>
        <w:t xml:space="preserve"> pa</w:t>
      </w:r>
      <w:r w:rsidR="00103800" w:rsidRPr="00C04E56">
        <w:rPr>
          <w:rFonts w:eastAsia="Calibri"/>
        </w:rPr>
        <w:t xml:space="preserve">id </w:t>
      </w:r>
      <w:r w:rsidR="004A7441" w:rsidRPr="00C04E56">
        <w:rPr>
          <w:rFonts w:eastAsia="Calibri"/>
        </w:rPr>
        <w:t>in purchased gas cost</w:t>
      </w:r>
      <w:r w:rsidR="002E65D5">
        <w:rPr>
          <w:rFonts w:eastAsia="Calibri"/>
        </w:rPr>
        <w:t>s</w:t>
      </w:r>
      <w:r w:rsidRPr="00C04E56">
        <w:rPr>
          <w:rFonts w:eastAsia="Calibri"/>
        </w:rPr>
        <w:t>.</w:t>
      </w:r>
      <w:r w:rsidR="007109BB" w:rsidRPr="00C04E56">
        <w:rPr>
          <w:rStyle w:val="FootnoteReference"/>
          <w:rFonts w:eastAsia="Calibri"/>
          <w:szCs w:val="26"/>
        </w:rPr>
        <w:footnoteReference w:id="6"/>
      </w:r>
      <w:r w:rsidRPr="00C04E56">
        <w:rPr>
          <w:rFonts w:eastAsia="Calibri"/>
        </w:rPr>
        <w:t xml:space="preserve"> </w:t>
      </w:r>
    </w:p>
    <w:p w:rsidR="00E87FDB" w:rsidRPr="00C04E56" w:rsidRDefault="00C642E0" w:rsidP="00CC061B">
      <w:pPr>
        <w:pStyle w:val="textstyle"/>
        <w:rPr>
          <w:rFonts w:eastAsia="Calibri"/>
        </w:rPr>
      </w:pPr>
      <w:r w:rsidRPr="00C04E56">
        <w:rPr>
          <w:rFonts w:eastAsia="Calibri"/>
        </w:rPr>
        <w:tab/>
        <w:t>Before 2008, Orwel</w:t>
      </w:r>
      <w:r w:rsidR="00103800" w:rsidRPr="00C04E56">
        <w:rPr>
          <w:rFonts w:eastAsia="Calibri"/>
        </w:rPr>
        <w:t>l and NEO used in-house employee</w:t>
      </w:r>
      <w:r w:rsidR="002E65D5">
        <w:rPr>
          <w:rFonts w:eastAsia="Calibri"/>
        </w:rPr>
        <w:t>s</w:t>
      </w:r>
      <w:r w:rsidRPr="00C04E56">
        <w:rPr>
          <w:rFonts w:eastAsia="Calibri"/>
        </w:rPr>
        <w:t xml:space="preserve"> to purchase gas directly from local producers. </w:t>
      </w:r>
      <w:r w:rsidR="00CC061B">
        <w:rPr>
          <w:rFonts w:eastAsia="Calibri"/>
          <w:lang w:val="en-US"/>
        </w:rPr>
        <w:t xml:space="preserve"> </w:t>
      </w:r>
      <w:r w:rsidRPr="00C04E56">
        <w:rPr>
          <w:rFonts w:eastAsia="Calibri"/>
        </w:rPr>
        <w:t xml:space="preserve">NEO witness Marty Whelan testified regarding his prior role as a </w:t>
      </w:r>
      <w:r w:rsidR="00093E7D" w:rsidRPr="00C04E56">
        <w:rPr>
          <w:rFonts w:eastAsia="Calibri"/>
        </w:rPr>
        <w:t xml:space="preserve">gas </w:t>
      </w:r>
      <w:r w:rsidRPr="00C04E56">
        <w:rPr>
          <w:rFonts w:eastAsia="Calibri"/>
        </w:rPr>
        <w:t>purchaser for NEO.</w:t>
      </w:r>
      <w:r w:rsidR="00E87FDB" w:rsidRPr="00C04E56">
        <w:rPr>
          <w:rStyle w:val="FootnoteReference"/>
          <w:rFonts w:eastAsia="Calibri"/>
          <w:szCs w:val="26"/>
        </w:rPr>
        <w:t xml:space="preserve"> </w:t>
      </w:r>
      <w:r w:rsidR="00E87FDB" w:rsidRPr="00C04E56">
        <w:rPr>
          <w:rStyle w:val="FootnoteReference"/>
          <w:rFonts w:eastAsia="Calibri"/>
          <w:szCs w:val="26"/>
        </w:rPr>
        <w:footnoteReference w:id="7"/>
      </w:r>
      <w:r w:rsidR="00E87FDB" w:rsidRPr="00C04E56">
        <w:rPr>
          <w:rFonts w:eastAsia="Calibri"/>
        </w:rPr>
        <w:t xml:space="preserve"> </w:t>
      </w:r>
      <w:r w:rsidR="00CC061B">
        <w:rPr>
          <w:rFonts w:eastAsia="Calibri"/>
          <w:lang w:val="en-US"/>
        </w:rPr>
        <w:t xml:space="preserve"> </w:t>
      </w:r>
      <w:r w:rsidRPr="00C04E56">
        <w:rPr>
          <w:rFonts w:eastAsia="Calibri"/>
        </w:rPr>
        <w:t>Mr. Whelan testified that he purchased gas from local producers for NEO before 2008.</w:t>
      </w:r>
      <w:r w:rsidR="00E87FDB" w:rsidRPr="00C04E56">
        <w:rPr>
          <w:rStyle w:val="FootnoteReference"/>
          <w:rFonts w:eastAsia="Calibri"/>
          <w:szCs w:val="26"/>
        </w:rPr>
        <w:footnoteReference w:id="8"/>
      </w:r>
      <w:r w:rsidRPr="00C04E56">
        <w:rPr>
          <w:rFonts w:eastAsia="Calibri"/>
        </w:rPr>
        <w:t xml:space="preserve"> </w:t>
      </w:r>
      <w:r w:rsidR="00DB2C7B">
        <w:rPr>
          <w:rFonts w:eastAsia="Calibri"/>
          <w:lang w:val="en-US"/>
        </w:rPr>
        <w:t xml:space="preserve"> </w:t>
      </w:r>
      <w:r w:rsidRPr="00C04E56">
        <w:rPr>
          <w:rFonts w:eastAsia="Calibri"/>
        </w:rPr>
        <w:t xml:space="preserve">Mr. Whelan </w:t>
      </w:r>
      <w:r w:rsidR="002E65D5">
        <w:rPr>
          <w:rFonts w:eastAsia="Calibri"/>
        </w:rPr>
        <w:t>stated</w:t>
      </w:r>
      <w:r w:rsidRPr="00C04E56">
        <w:rPr>
          <w:rFonts w:eastAsia="Calibri"/>
        </w:rPr>
        <w:t xml:space="preserve"> that as long as he was involved in </w:t>
      </w:r>
      <w:r w:rsidRPr="00C04E56">
        <w:rPr>
          <w:rFonts w:eastAsia="Calibri"/>
        </w:rPr>
        <w:lastRenderedPageBreak/>
        <w:t>purchasing gas for NEO, local production</w:t>
      </w:r>
      <w:r w:rsidR="00E87FDB" w:rsidRPr="00C04E56">
        <w:rPr>
          <w:rFonts w:eastAsia="Calibri"/>
        </w:rPr>
        <w:t xml:space="preserve"> cost less than interstate gas.</w:t>
      </w:r>
      <w:r w:rsidR="00E87FDB" w:rsidRPr="00C04E56">
        <w:rPr>
          <w:rStyle w:val="FootnoteReference"/>
          <w:rFonts w:eastAsia="Calibri"/>
          <w:szCs w:val="26"/>
        </w:rPr>
        <w:footnoteReference w:id="9"/>
      </w:r>
      <w:r w:rsidR="005C1A3A">
        <w:rPr>
          <w:rFonts w:eastAsia="Calibri"/>
        </w:rPr>
        <w:t xml:space="preserve"> </w:t>
      </w:r>
      <w:r w:rsidR="00DB2C7B">
        <w:rPr>
          <w:rFonts w:eastAsia="Calibri"/>
          <w:lang w:val="en-US"/>
        </w:rPr>
        <w:t xml:space="preserve"> </w:t>
      </w:r>
      <w:r w:rsidRPr="00C04E56">
        <w:rPr>
          <w:rFonts w:eastAsia="Calibri"/>
        </w:rPr>
        <w:t xml:space="preserve">Mr. Whelan </w:t>
      </w:r>
      <w:r w:rsidR="00336FD2" w:rsidRPr="00C04E56">
        <w:rPr>
          <w:rFonts w:eastAsia="Calibri"/>
        </w:rPr>
        <w:t xml:space="preserve">also </w:t>
      </w:r>
      <w:r w:rsidRPr="00C04E56">
        <w:rPr>
          <w:rFonts w:eastAsia="Calibri"/>
        </w:rPr>
        <w:t xml:space="preserve">testified that nothing </w:t>
      </w:r>
      <w:r w:rsidR="00710143" w:rsidRPr="00C04E56">
        <w:rPr>
          <w:rFonts w:eastAsia="Calibri"/>
        </w:rPr>
        <w:t xml:space="preserve">occurred </w:t>
      </w:r>
      <w:r w:rsidRPr="00C04E56">
        <w:rPr>
          <w:rFonts w:eastAsia="Calibri"/>
        </w:rPr>
        <w:t>over the past</w:t>
      </w:r>
      <w:r w:rsidR="00710143" w:rsidRPr="00C04E56">
        <w:rPr>
          <w:rFonts w:eastAsia="Calibri"/>
        </w:rPr>
        <w:t xml:space="preserve"> few years that would change this</w:t>
      </w:r>
      <w:r w:rsidRPr="00C04E56">
        <w:rPr>
          <w:rFonts w:eastAsia="Calibri"/>
        </w:rPr>
        <w:t xml:space="preserve"> trend.</w:t>
      </w:r>
      <w:r w:rsidR="00E87FDB" w:rsidRPr="00C04E56">
        <w:rPr>
          <w:rStyle w:val="FootnoteReference"/>
          <w:rFonts w:eastAsia="Calibri"/>
          <w:szCs w:val="26"/>
        </w:rPr>
        <w:footnoteReference w:id="10"/>
      </w:r>
      <w:r w:rsidRPr="00C04E56">
        <w:rPr>
          <w:rFonts w:eastAsia="Calibri"/>
        </w:rPr>
        <w:t xml:space="preserve">  </w:t>
      </w:r>
    </w:p>
    <w:p w:rsidR="00C642E0" w:rsidRPr="00C04E56" w:rsidRDefault="00E87FDB" w:rsidP="00CC061B">
      <w:pPr>
        <w:pStyle w:val="textstyle"/>
        <w:rPr>
          <w:rFonts w:eastAsia="Calibri"/>
        </w:rPr>
      </w:pPr>
      <w:r w:rsidRPr="00C04E56">
        <w:rPr>
          <w:rFonts w:eastAsia="Calibri"/>
        </w:rPr>
        <w:tab/>
      </w:r>
      <w:r w:rsidR="00710143" w:rsidRPr="00C04E56">
        <w:rPr>
          <w:rFonts w:eastAsia="Calibri"/>
        </w:rPr>
        <w:t>Orwell also had an in-house employee experienced in purchasing local production.</w:t>
      </w:r>
      <w:r w:rsidR="00016010">
        <w:rPr>
          <w:rFonts w:eastAsia="Calibri"/>
          <w:lang w:val="en-US"/>
        </w:rPr>
        <w:t xml:space="preserve"> </w:t>
      </w:r>
      <w:r w:rsidR="00710143" w:rsidRPr="00C04E56">
        <w:rPr>
          <w:rFonts w:eastAsia="Calibri"/>
        </w:rPr>
        <w:t xml:space="preserve"> </w:t>
      </w:r>
      <w:r w:rsidR="00C642E0" w:rsidRPr="00C04E56">
        <w:rPr>
          <w:rFonts w:eastAsia="Calibri"/>
        </w:rPr>
        <w:t>In the 2010 Audit Hearing, Orwell</w:t>
      </w:r>
      <w:r w:rsidR="00E77986">
        <w:rPr>
          <w:rFonts w:eastAsia="Calibri"/>
        </w:rPr>
        <w:t>’</w:t>
      </w:r>
      <w:r w:rsidR="00C642E0" w:rsidRPr="00C04E56">
        <w:rPr>
          <w:rFonts w:eastAsia="Calibri"/>
        </w:rPr>
        <w:t xml:space="preserve">s witness Steve Rigo testified that he </w:t>
      </w:r>
      <w:r w:rsidR="002E65D5">
        <w:rPr>
          <w:rFonts w:eastAsia="Calibri"/>
        </w:rPr>
        <w:t>used to be responsible for purchasing</w:t>
      </w:r>
      <w:r w:rsidR="00C642E0" w:rsidRPr="00C04E56">
        <w:rPr>
          <w:rFonts w:eastAsia="Calibri"/>
        </w:rPr>
        <w:t xml:space="preserve"> local production gas for Orwell.</w:t>
      </w:r>
      <w:r w:rsidR="0097224C" w:rsidRPr="00C04E56">
        <w:rPr>
          <w:rStyle w:val="FootnoteReference"/>
          <w:rFonts w:eastAsia="Calibri"/>
          <w:szCs w:val="26"/>
        </w:rPr>
        <w:footnoteReference w:id="11"/>
      </w:r>
      <w:r w:rsidR="00C642E0" w:rsidRPr="00C04E56">
        <w:rPr>
          <w:rFonts w:eastAsia="Calibri"/>
        </w:rPr>
        <w:t xml:space="preserve"> </w:t>
      </w:r>
      <w:r w:rsidR="00CC061B">
        <w:rPr>
          <w:rFonts w:eastAsia="Calibri"/>
          <w:lang w:val="en-US"/>
        </w:rPr>
        <w:t xml:space="preserve"> </w:t>
      </w:r>
      <w:r w:rsidR="00DD5E40" w:rsidRPr="00C04E56">
        <w:rPr>
          <w:rFonts w:eastAsia="Calibri"/>
        </w:rPr>
        <w:t xml:space="preserve">Mr. Rigo testified that </w:t>
      </w:r>
      <w:r w:rsidR="00103800" w:rsidRPr="00C04E56">
        <w:rPr>
          <w:rFonts w:eastAsia="Calibri"/>
        </w:rPr>
        <w:t xml:space="preserve">he </w:t>
      </w:r>
      <w:r w:rsidR="002E65D5">
        <w:rPr>
          <w:rFonts w:eastAsia="Calibri"/>
        </w:rPr>
        <w:t xml:space="preserve">performed this function while serving as </w:t>
      </w:r>
      <w:r w:rsidR="00DD5E40" w:rsidRPr="00C04E56">
        <w:rPr>
          <w:rFonts w:eastAsia="Calibri"/>
        </w:rPr>
        <w:t>President and Executive V</w:t>
      </w:r>
      <w:r w:rsidR="002E65D5">
        <w:rPr>
          <w:rFonts w:eastAsia="Calibri"/>
        </w:rPr>
        <w:t xml:space="preserve">ice </w:t>
      </w:r>
      <w:r w:rsidR="00DD5E40" w:rsidRPr="00C04E56">
        <w:rPr>
          <w:rFonts w:eastAsia="Calibri"/>
        </w:rPr>
        <w:t>P</w:t>
      </w:r>
      <w:r w:rsidR="002E65D5">
        <w:rPr>
          <w:rFonts w:eastAsia="Calibri"/>
        </w:rPr>
        <w:t>resident</w:t>
      </w:r>
      <w:r w:rsidR="00DD5E40" w:rsidRPr="00C04E56">
        <w:rPr>
          <w:rFonts w:eastAsia="Calibri"/>
        </w:rPr>
        <w:t xml:space="preserve"> for Orwell.</w:t>
      </w:r>
      <w:r w:rsidR="00DD5E40" w:rsidRPr="00C04E56">
        <w:rPr>
          <w:rStyle w:val="FootnoteReference"/>
          <w:rFonts w:eastAsia="Calibri"/>
          <w:szCs w:val="26"/>
        </w:rPr>
        <w:footnoteReference w:id="12"/>
      </w:r>
      <w:r w:rsidR="00DD5E40" w:rsidRPr="00C04E56">
        <w:rPr>
          <w:rFonts w:eastAsia="Calibri"/>
        </w:rPr>
        <w:t xml:space="preserve"> </w:t>
      </w:r>
      <w:r w:rsidR="00CC061B">
        <w:rPr>
          <w:rFonts w:eastAsia="Calibri"/>
          <w:lang w:val="en-US"/>
        </w:rPr>
        <w:t xml:space="preserve"> </w:t>
      </w:r>
      <w:r w:rsidR="000F7B51" w:rsidRPr="00C04E56">
        <w:rPr>
          <w:rFonts w:eastAsia="Calibri"/>
        </w:rPr>
        <w:t>This was b</w:t>
      </w:r>
      <w:r w:rsidR="00C642E0" w:rsidRPr="00C04E56">
        <w:rPr>
          <w:rFonts w:eastAsia="Calibri"/>
        </w:rPr>
        <w:t>efore ONG Marketing/</w:t>
      </w:r>
      <w:r w:rsidR="002B5EB2">
        <w:rPr>
          <w:rFonts w:eastAsia="Calibri"/>
        </w:rPr>
        <w:t>JDOG Marketing</w:t>
      </w:r>
      <w:r w:rsidR="00DD5E40" w:rsidRPr="00C04E56">
        <w:rPr>
          <w:rStyle w:val="FootnoteReference"/>
          <w:rFonts w:eastAsia="Calibri"/>
          <w:szCs w:val="26"/>
        </w:rPr>
        <w:footnoteReference w:id="13"/>
      </w:r>
      <w:r w:rsidR="00C642E0" w:rsidRPr="00C04E56">
        <w:rPr>
          <w:rFonts w:eastAsia="Calibri"/>
        </w:rPr>
        <w:t xml:space="preserve"> started p</w:t>
      </w:r>
      <w:r w:rsidR="00336FD2" w:rsidRPr="00C04E56">
        <w:rPr>
          <w:rFonts w:eastAsia="Calibri"/>
        </w:rPr>
        <w:t xml:space="preserve">urchasing local production </w:t>
      </w:r>
      <w:r w:rsidR="000F7B51" w:rsidRPr="00C04E56">
        <w:rPr>
          <w:rFonts w:eastAsia="Calibri"/>
        </w:rPr>
        <w:t>as a middleman.</w:t>
      </w:r>
      <w:r w:rsidR="00093E7D" w:rsidRPr="00C04E56">
        <w:rPr>
          <w:rStyle w:val="FootnoteReference"/>
          <w:rFonts w:eastAsia="Calibri"/>
          <w:szCs w:val="26"/>
        </w:rPr>
        <w:footnoteReference w:id="14"/>
      </w:r>
      <w:r w:rsidR="00093E7D" w:rsidRPr="00C04E56">
        <w:rPr>
          <w:rFonts w:eastAsia="Calibri"/>
        </w:rPr>
        <w:t xml:space="preserve"> </w:t>
      </w:r>
      <w:r w:rsidR="00CC061B">
        <w:rPr>
          <w:rFonts w:eastAsia="Calibri"/>
          <w:lang w:val="en-US"/>
        </w:rPr>
        <w:t xml:space="preserve"> </w:t>
      </w:r>
      <w:r w:rsidR="00C642E0" w:rsidRPr="00C04E56">
        <w:rPr>
          <w:rFonts w:eastAsia="Calibri"/>
        </w:rPr>
        <w:t xml:space="preserve">In March of 2007, Mr. Rigo resigned as an employee of Orwell and started purchasing local production as </w:t>
      </w:r>
      <w:r w:rsidR="002E65D5">
        <w:rPr>
          <w:rFonts w:eastAsia="Calibri"/>
        </w:rPr>
        <w:t xml:space="preserve">an </w:t>
      </w:r>
      <w:r w:rsidR="00C642E0" w:rsidRPr="00C04E56">
        <w:rPr>
          <w:rFonts w:eastAsia="Calibri"/>
        </w:rPr>
        <w:t>agent</w:t>
      </w:r>
      <w:r w:rsidR="00103800" w:rsidRPr="00C04E56">
        <w:rPr>
          <w:rFonts w:eastAsia="Calibri"/>
        </w:rPr>
        <w:t xml:space="preserve"> of Orwell </w:t>
      </w:r>
      <w:r w:rsidR="002E65D5">
        <w:rPr>
          <w:rFonts w:eastAsia="Calibri"/>
        </w:rPr>
        <w:t xml:space="preserve">while </w:t>
      </w:r>
      <w:r w:rsidR="00103800" w:rsidRPr="00C04E56">
        <w:rPr>
          <w:rFonts w:eastAsia="Calibri"/>
        </w:rPr>
        <w:t>employed by ONG Marketing</w:t>
      </w:r>
      <w:r w:rsidR="00C642E0" w:rsidRPr="00C04E56">
        <w:rPr>
          <w:rFonts w:eastAsia="Calibri"/>
        </w:rPr>
        <w:t>.</w:t>
      </w:r>
      <w:r w:rsidR="004A7441" w:rsidRPr="00C04E56">
        <w:rPr>
          <w:rStyle w:val="FootnoteReference"/>
          <w:rFonts w:eastAsia="Calibri"/>
          <w:szCs w:val="26"/>
        </w:rPr>
        <w:footnoteReference w:id="15"/>
      </w:r>
      <w:r w:rsidR="00C642E0" w:rsidRPr="00C04E56">
        <w:rPr>
          <w:rFonts w:eastAsia="Calibri"/>
        </w:rPr>
        <w:t xml:space="preserve"> </w:t>
      </w:r>
    </w:p>
    <w:p w:rsidR="00C642E0" w:rsidRPr="00C04E56" w:rsidRDefault="00E77986" w:rsidP="00E77986">
      <w:pPr>
        <w:pStyle w:val="Heading4"/>
      </w:pPr>
      <w:bookmarkStart w:id="6" w:name="_Toc364688838"/>
      <w:r>
        <w:lastRenderedPageBreak/>
        <w:t>2</w:t>
      </w:r>
      <w:r w:rsidR="00CC061B">
        <w:t>.</w:t>
      </w:r>
      <w:r w:rsidR="00CC061B">
        <w:tab/>
      </w:r>
      <w:r w:rsidR="00C642E0" w:rsidRPr="00C04E56">
        <w:t>The prices the Companies paid for local produc</w:t>
      </w:r>
      <w:r w:rsidR="00282922">
        <w:softHyphen/>
      </w:r>
      <w:r w:rsidR="00C642E0" w:rsidRPr="00C04E56">
        <w:t xml:space="preserve">tion increased after </w:t>
      </w:r>
      <w:r w:rsidR="002B5EB2">
        <w:t>JDOG Marketing</w:t>
      </w:r>
      <w:r w:rsidR="00C642E0" w:rsidRPr="00C04E56">
        <w:t xml:space="preserve"> was inserted a</w:t>
      </w:r>
      <w:r w:rsidR="00DA7B81" w:rsidRPr="00C04E56">
        <w:t>s</w:t>
      </w:r>
      <w:r w:rsidR="00C642E0" w:rsidRPr="00C04E56">
        <w:t xml:space="preserve"> middleman</w:t>
      </w:r>
      <w:r>
        <w:t>.</w:t>
      </w:r>
      <w:bookmarkEnd w:id="6"/>
      <w:r w:rsidR="00C642E0" w:rsidRPr="00C04E56">
        <w:t xml:space="preserve"> </w:t>
      </w:r>
    </w:p>
    <w:p w:rsidR="00C642E0" w:rsidRPr="00C04E56" w:rsidRDefault="00C642E0" w:rsidP="00CC061B">
      <w:pPr>
        <w:pStyle w:val="textstyle"/>
        <w:rPr>
          <w:rFonts w:eastAsia="Calibri"/>
        </w:rPr>
      </w:pPr>
      <w:r w:rsidRPr="00C04E56">
        <w:rPr>
          <w:rFonts w:eastAsia="Calibri"/>
        </w:rPr>
        <w:tab/>
        <w:t xml:space="preserve">In 2008, NEO stopped using in-house employees to purchase local production and began using </w:t>
      </w:r>
      <w:r w:rsidR="002B5EB2">
        <w:rPr>
          <w:rFonts w:eastAsia="Calibri"/>
        </w:rPr>
        <w:t>JDOG Marketing</w:t>
      </w:r>
      <w:r w:rsidRPr="00C04E56">
        <w:rPr>
          <w:rFonts w:eastAsia="Calibri"/>
        </w:rPr>
        <w:t xml:space="preserve"> as a middleman.</w:t>
      </w:r>
      <w:r w:rsidR="00093E7D" w:rsidRPr="00C04E56">
        <w:rPr>
          <w:rStyle w:val="FootnoteReference"/>
          <w:rFonts w:eastAsia="Calibri"/>
          <w:szCs w:val="26"/>
        </w:rPr>
        <w:footnoteReference w:id="16"/>
      </w:r>
      <w:r w:rsidR="00CC061B">
        <w:rPr>
          <w:rFonts w:eastAsia="Calibri"/>
          <w:lang w:val="en-US"/>
        </w:rPr>
        <w:t xml:space="preserve"> </w:t>
      </w:r>
      <w:r w:rsidRPr="00C04E56">
        <w:rPr>
          <w:rFonts w:eastAsia="Calibri"/>
        </w:rPr>
        <w:t xml:space="preserve"> </w:t>
      </w:r>
      <w:r w:rsidR="002E65D5">
        <w:rPr>
          <w:rFonts w:eastAsia="Calibri"/>
        </w:rPr>
        <w:t>Companies</w:t>
      </w:r>
      <w:r w:rsidR="00E77986">
        <w:rPr>
          <w:rFonts w:eastAsia="Calibri"/>
        </w:rPr>
        <w:t>’</w:t>
      </w:r>
      <w:r w:rsidR="002E65D5">
        <w:rPr>
          <w:rFonts w:eastAsia="Calibri"/>
        </w:rPr>
        <w:t xml:space="preserve"> witness</w:t>
      </w:r>
      <w:r w:rsidRPr="00C04E56">
        <w:rPr>
          <w:rFonts w:eastAsia="Calibri"/>
        </w:rPr>
        <w:t xml:space="preserve"> Whelan testified that in 2008, Tom Smith told him that NEO was going to hire </w:t>
      </w:r>
      <w:r w:rsidR="002B5EB2">
        <w:rPr>
          <w:rFonts w:eastAsia="Calibri"/>
        </w:rPr>
        <w:t>JDOG Marketing</w:t>
      </w:r>
      <w:r w:rsidRPr="00C04E56">
        <w:rPr>
          <w:rFonts w:eastAsia="Calibri"/>
        </w:rPr>
        <w:t xml:space="preserve"> to purchase gas for NEO.</w:t>
      </w:r>
      <w:r w:rsidR="00093E7D" w:rsidRPr="00C04E56">
        <w:rPr>
          <w:rStyle w:val="FootnoteReference"/>
          <w:rFonts w:eastAsia="Calibri"/>
          <w:szCs w:val="26"/>
        </w:rPr>
        <w:footnoteReference w:id="17"/>
      </w:r>
      <w:r w:rsidRPr="00C04E56">
        <w:rPr>
          <w:rFonts w:eastAsia="Calibri"/>
        </w:rPr>
        <w:t xml:space="preserve"> </w:t>
      </w:r>
      <w:r w:rsidR="00CC061B">
        <w:rPr>
          <w:rFonts w:eastAsia="Calibri"/>
          <w:lang w:val="en-US"/>
        </w:rPr>
        <w:t xml:space="preserve"> </w:t>
      </w:r>
      <w:r w:rsidRPr="00C04E56">
        <w:rPr>
          <w:rFonts w:eastAsia="Calibri"/>
        </w:rPr>
        <w:t>Tom Smith was the President of NEO at this time.</w:t>
      </w:r>
      <w:r w:rsidR="00E87FDB" w:rsidRPr="00C04E56">
        <w:rPr>
          <w:rStyle w:val="FootnoteReference"/>
          <w:rFonts w:eastAsia="Calibri"/>
          <w:szCs w:val="26"/>
        </w:rPr>
        <w:footnoteReference w:id="18"/>
      </w:r>
      <w:r w:rsidRPr="00C04E56">
        <w:rPr>
          <w:rFonts w:eastAsia="Calibri"/>
        </w:rPr>
        <w:t xml:space="preserve"> </w:t>
      </w:r>
      <w:r w:rsidR="00CC061B">
        <w:rPr>
          <w:rFonts w:eastAsia="Calibri"/>
          <w:lang w:val="en-US"/>
        </w:rPr>
        <w:t xml:space="preserve"> </w:t>
      </w:r>
      <w:r w:rsidRPr="00C04E56">
        <w:rPr>
          <w:rFonts w:eastAsia="Calibri"/>
        </w:rPr>
        <w:t>Mr. Smith</w:t>
      </w:r>
      <w:r w:rsidR="00FD6ADB" w:rsidRPr="00C04E56">
        <w:rPr>
          <w:rFonts w:eastAsia="Calibri"/>
        </w:rPr>
        <w:t xml:space="preserve"> </w:t>
      </w:r>
      <w:r w:rsidRPr="00C04E56">
        <w:rPr>
          <w:rFonts w:eastAsia="Calibri"/>
        </w:rPr>
        <w:t xml:space="preserve">did not explain to Mr. Whelan why NEO was transferring gas procurement responsibility to </w:t>
      </w:r>
      <w:r w:rsidR="002B5EB2">
        <w:rPr>
          <w:rFonts w:eastAsia="Calibri"/>
        </w:rPr>
        <w:t>JDOG Marketing</w:t>
      </w:r>
      <w:r w:rsidRPr="00C04E56">
        <w:rPr>
          <w:rFonts w:eastAsia="Calibri"/>
        </w:rPr>
        <w:t>.</w:t>
      </w:r>
      <w:r w:rsidR="00E87FDB" w:rsidRPr="00C04E56">
        <w:rPr>
          <w:rStyle w:val="FootnoteReference"/>
          <w:rFonts w:eastAsia="Calibri"/>
          <w:szCs w:val="26"/>
        </w:rPr>
        <w:footnoteReference w:id="19"/>
      </w:r>
      <w:r w:rsidRPr="00C04E56">
        <w:rPr>
          <w:rFonts w:eastAsia="Calibri"/>
        </w:rPr>
        <w:t xml:space="preserve"> </w:t>
      </w:r>
      <w:r w:rsidR="00CC061B">
        <w:rPr>
          <w:rFonts w:eastAsia="Calibri"/>
          <w:lang w:val="en-US"/>
        </w:rPr>
        <w:t xml:space="preserve"> </w:t>
      </w:r>
      <w:r w:rsidRPr="00C04E56">
        <w:rPr>
          <w:rFonts w:eastAsia="Calibri"/>
        </w:rPr>
        <w:t>As Mr. Whelan explained, he always met NEO</w:t>
      </w:r>
      <w:r w:rsidR="00E77986">
        <w:rPr>
          <w:rFonts w:eastAsia="Calibri"/>
        </w:rPr>
        <w:t>’</w:t>
      </w:r>
      <w:r w:rsidRPr="00C04E56">
        <w:rPr>
          <w:rFonts w:eastAsia="Calibri"/>
        </w:rPr>
        <w:t>s gas supply needs when he was purchasing local production for NEO.</w:t>
      </w:r>
      <w:r w:rsidR="00E87FDB" w:rsidRPr="00C04E56">
        <w:rPr>
          <w:rStyle w:val="FootnoteReference"/>
          <w:rFonts w:eastAsia="Calibri"/>
          <w:szCs w:val="26"/>
        </w:rPr>
        <w:footnoteReference w:id="20"/>
      </w:r>
      <w:r w:rsidR="005C1A3A">
        <w:rPr>
          <w:rFonts w:eastAsia="Calibri"/>
        </w:rPr>
        <w:t xml:space="preserve"> </w:t>
      </w:r>
      <w:r w:rsidR="00CC061B">
        <w:rPr>
          <w:rFonts w:eastAsia="Calibri"/>
          <w:lang w:val="en-US"/>
        </w:rPr>
        <w:t xml:space="preserve"> </w:t>
      </w:r>
      <w:r w:rsidRPr="00C04E56">
        <w:rPr>
          <w:rFonts w:eastAsia="Calibri"/>
        </w:rPr>
        <w:t>He always attempted to purchase as much local production as possible, which reduced NEO</w:t>
      </w:r>
      <w:r w:rsidR="00E77986">
        <w:rPr>
          <w:rFonts w:eastAsia="Calibri"/>
        </w:rPr>
        <w:t>’</w:t>
      </w:r>
      <w:r w:rsidRPr="00C04E56">
        <w:rPr>
          <w:rFonts w:eastAsia="Calibri"/>
        </w:rPr>
        <w:t>s purchase gas cost</w:t>
      </w:r>
      <w:r w:rsidR="002E65D5">
        <w:rPr>
          <w:rFonts w:eastAsia="Calibri"/>
        </w:rPr>
        <w:t>s</w:t>
      </w:r>
      <w:r w:rsidRPr="00C04E56">
        <w:rPr>
          <w:rFonts w:eastAsia="Calibri"/>
        </w:rPr>
        <w:t>.</w:t>
      </w:r>
      <w:r w:rsidR="00E87FDB" w:rsidRPr="00C04E56">
        <w:rPr>
          <w:rStyle w:val="FootnoteReference"/>
          <w:rFonts w:eastAsia="Calibri"/>
          <w:szCs w:val="26"/>
        </w:rPr>
        <w:footnoteReference w:id="21"/>
      </w:r>
      <w:r w:rsidR="005C1A3A">
        <w:rPr>
          <w:rFonts w:eastAsia="Calibri"/>
        </w:rPr>
        <w:t xml:space="preserve"> </w:t>
      </w:r>
      <w:r w:rsidR="00CC061B">
        <w:rPr>
          <w:rFonts w:eastAsia="Calibri"/>
          <w:lang w:val="en-US"/>
        </w:rPr>
        <w:t xml:space="preserve"> </w:t>
      </w:r>
      <w:r w:rsidR="00FD6ADB" w:rsidRPr="00C04E56">
        <w:rPr>
          <w:rFonts w:eastAsia="Calibri"/>
        </w:rPr>
        <w:t xml:space="preserve">In addition, Mr. Whelan testified that inserting </w:t>
      </w:r>
      <w:r w:rsidR="002B5EB2">
        <w:rPr>
          <w:rFonts w:eastAsia="Calibri"/>
        </w:rPr>
        <w:t>JDOG Marketing</w:t>
      </w:r>
      <w:r w:rsidR="00FD6ADB" w:rsidRPr="00C04E56">
        <w:rPr>
          <w:rFonts w:eastAsia="Calibri"/>
        </w:rPr>
        <w:t xml:space="preserve"> into the gas purchasing role would result in additional </w:t>
      </w:r>
      <w:r w:rsidR="00103800" w:rsidRPr="00C04E56">
        <w:rPr>
          <w:rFonts w:eastAsia="Calibri"/>
        </w:rPr>
        <w:t>cost</w:t>
      </w:r>
      <w:r w:rsidR="00FD6ADB" w:rsidRPr="00C04E56">
        <w:rPr>
          <w:rFonts w:eastAsia="Calibri"/>
        </w:rPr>
        <w:t xml:space="preserve"> to GCR customer</w:t>
      </w:r>
      <w:r w:rsidR="00103800" w:rsidRPr="00C04E56">
        <w:rPr>
          <w:rFonts w:eastAsia="Calibri"/>
        </w:rPr>
        <w:t>s</w:t>
      </w:r>
      <w:r w:rsidR="00FD6ADB" w:rsidRPr="00C04E56">
        <w:rPr>
          <w:rFonts w:eastAsia="Calibri"/>
        </w:rPr>
        <w:t>.</w:t>
      </w:r>
      <w:r w:rsidR="00FD6ADB" w:rsidRPr="00C04E56">
        <w:rPr>
          <w:rStyle w:val="FootnoteReference"/>
          <w:rFonts w:eastAsia="Calibri"/>
          <w:szCs w:val="26"/>
        </w:rPr>
        <w:footnoteReference w:id="22"/>
      </w:r>
      <w:r w:rsidR="005C1A3A">
        <w:rPr>
          <w:rFonts w:eastAsia="Calibri"/>
        </w:rPr>
        <w:t xml:space="preserve"> </w:t>
      </w:r>
      <w:r w:rsidR="00CC061B">
        <w:rPr>
          <w:rFonts w:eastAsia="Calibri"/>
          <w:lang w:val="en-US"/>
        </w:rPr>
        <w:t xml:space="preserve"> </w:t>
      </w:r>
      <w:r w:rsidRPr="00C04E56">
        <w:rPr>
          <w:rFonts w:eastAsia="Calibri"/>
        </w:rPr>
        <w:t xml:space="preserve">Regardless, management at NEO </w:t>
      </w:r>
      <w:r w:rsidR="008F4F73" w:rsidRPr="00C04E56">
        <w:rPr>
          <w:rFonts w:eastAsia="Calibri"/>
        </w:rPr>
        <w:t xml:space="preserve">ceded responsibility of purchasing local production to </w:t>
      </w:r>
      <w:r w:rsidR="002B5EB2">
        <w:rPr>
          <w:rFonts w:eastAsia="Calibri"/>
        </w:rPr>
        <w:t>JDOG Marketing</w:t>
      </w:r>
      <w:r w:rsidRPr="00C04E56">
        <w:rPr>
          <w:rFonts w:eastAsia="Calibri"/>
        </w:rPr>
        <w:t xml:space="preserve"> without </w:t>
      </w:r>
      <w:r w:rsidR="007109BB" w:rsidRPr="00C04E56">
        <w:rPr>
          <w:rFonts w:eastAsia="Calibri"/>
        </w:rPr>
        <w:t>explaining to</w:t>
      </w:r>
      <w:r w:rsidRPr="00C04E56">
        <w:rPr>
          <w:rFonts w:eastAsia="Calibri"/>
        </w:rPr>
        <w:t xml:space="preserve"> Mr. Whelan </w:t>
      </w:r>
      <w:r w:rsidR="007109BB" w:rsidRPr="00C04E56">
        <w:rPr>
          <w:rFonts w:eastAsia="Calibri"/>
        </w:rPr>
        <w:t>why this change was necessary.</w:t>
      </w:r>
    </w:p>
    <w:p w:rsidR="003D18CB" w:rsidRPr="00C04E56" w:rsidRDefault="00C642E0" w:rsidP="00CC061B">
      <w:pPr>
        <w:pStyle w:val="textstyle"/>
        <w:rPr>
          <w:rFonts w:eastAsia="Calibri"/>
        </w:rPr>
      </w:pPr>
      <w:r w:rsidRPr="00C04E56">
        <w:rPr>
          <w:rFonts w:eastAsia="Calibri"/>
        </w:rPr>
        <w:lastRenderedPageBreak/>
        <w:tab/>
        <w:t xml:space="preserve">After </w:t>
      </w:r>
      <w:r w:rsidR="002B5EB2">
        <w:rPr>
          <w:rFonts w:eastAsia="Calibri"/>
        </w:rPr>
        <w:t>JDOG Marketing</w:t>
      </w:r>
      <w:r w:rsidRPr="00C04E56">
        <w:rPr>
          <w:rFonts w:eastAsia="Calibri"/>
        </w:rPr>
        <w:t xml:space="preserve"> began purchasing local production for NEO, NEO started paying </w:t>
      </w:r>
      <w:r w:rsidR="007109BB" w:rsidRPr="00C04E56">
        <w:rPr>
          <w:rFonts w:eastAsia="Calibri"/>
        </w:rPr>
        <w:t xml:space="preserve">much </w:t>
      </w:r>
      <w:r w:rsidR="007031A0">
        <w:rPr>
          <w:rFonts w:eastAsia="Calibri"/>
        </w:rPr>
        <w:t xml:space="preserve">more for local production. </w:t>
      </w:r>
      <w:r w:rsidR="00CC061B">
        <w:rPr>
          <w:rFonts w:eastAsia="Calibri"/>
          <w:lang w:val="en-US"/>
        </w:rPr>
        <w:t xml:space="preserve"> </w:t>
      </w:r>
      <w:r w:rsidR="007109BB" w:rsidRPr="00C04E56">
        <w:rPr>
          <w:rFonts w:eastAsia="Calibri"/>
        </w:rPr>
        <w:t>In fact, t</w:t>
      </w:r>
      <w:r w:rsidRPr="00C04E56">
        <w:rPr>
          <w:rFonts w:eastAsia="Calibri"/>
        </w:rPr>
        <w:t xml:space="preserve">he amount NEO </w:t>
      </w:r>
      <w:r w:rsidR="007109BB" w:rsidRPr="00C04E56">
        <w:rPr>
          <w:rFonts w:eastAsia="Calibri"/>
        </w:rPr>
        <w:t xml:space="preserve">was paying </w:t>
      </w:r>
      <w:r w:rsidRPr="00C04E56">
        <w:rPr>
          <w:rFonts w:eastAsia="Calibri"/>
        </w:rPr>
        <w:t>for local production increased so much that local production was eventually more expensive than interstate gas.</w:t>
      </w:r>
      <w:r w:rsidR="00DA63A8" w:rsidRPr="00C04E56">
        <w:rPr>
          <w:rStyle w:val="FootnoteReference"/>
          <w:rFonts w:eastAsia="Calibri"/>
          <w:szCs w:val="26"/>
        </w:rPr>
        <w:footnoteReference w:id="23"/>
      </w:r>
      <w:r w:rsidRPr="00C04E56">
        <w:rPr>
          <w:rFonts w:eastAsia="Calibri"/>
        </w:rPr>
        <w:t xml:space="preserve"> </w:t>
      </w:r>
      <w:r w:rsidR="00CC061B">
        <w:rPr>
          <w:rFonts w:eastAsia="Calibri"/>
          <w:lang w:val="en-US"/>
        </w:rPr>
        <w:t xml:space="preserve"> </w:t>
      </w:r>
      <w:r w:rsidRPr="00C04E56">
        <w:rPr>
          <w:rFonts w:eastAsia="Calibri"/>
        </w:rPr>
        <w:t>OCC witness Slon</w:t>
      </w:r>
      <w:r w:rsidR="002E65D5">
        <w:rPr>
          <w:rFonts w:eastAsia="Calibri"/>
        </w:rPr>
        <w:t>e</w:t>
      </w:r>
      <w:r w:rsidRPr="00C04E56">
        <w:rPr>
          <w:rFonts w:eastAsia="Calibri"/>
        </w:rPr>
        <w:t xml:space="preserve"> testified that from 2000 to 2007, NEO purchased local production at an average rate that was $1.03 per Mcf less than the average cost of interstate supplies.</w:t>
      </w:r>
      <w:r w:rsidR="004E68D5" w:rsidRPr="00C04E56">
        <w:rPr>
          <w:rStyle w:val="FootnoteReference"/>
          <w:rFonts w:eastAsia="Calibri"/>
          <w:szCs w:val="26"/>
        </w:rPr>
        <w:footnoteReference w:id="24"/>
      </w:r>
      <w:r w:rsidR="007031A0">
        <w:rPr>
          <w:rFonts w:eastAsia="Calibri"/>
        </w:rPr>
        <w:t xml:space="preserve"> </w:t>
      </w:r>
      <w:r w:rsidR="00CC061B">
        <w:rPr>
          <w:rFonts w:eastAsia="Calibri"/>
          <w:lang w:val="en-US"/>
        </w:rPr>
        <w:t xml:space="preserve"> </w:t>
      </w:r>
      <w:r w:rsidRPr="00C04E56">
        <w:rPr>
          <w:rFonts w:eastAsia="Calibri"/>
        </w:rPr>
        <w:t xml:space="preserve">However, starting in 2008, </w:t>
      </w:r>
      <w:r w:rsidR="002E65D5">
        <w:rPr>
          <w:rFonts w:eastAsia="Calibri"/>
        </w:rPr>
        <w:t>when</w:t>
      </w:r>
      <w:r w:rsidRPr="00C04E56">
        <w:rPr>
          <w:rFonts w:eastAsia="Calibri"/>
        </w:rPr>
        <w:t xml:space="preserve"> </w:t>
      </w:r>
      <w:r w:rsidR="002B5EB2">
        <w:rPr>
          <w:rFonts w:eastAsia="Calibri"/>
        </w:rPr>
        <w:t>JDOG Marketing</w:t>
      </w:r>
      <w:r w:rsidRPr="00C04E56">
        <w:rPr>
          <w:rFonts w:eastAsia="Calibri"/>
        </w:rPr>
        <w:t xml:space="preserve"> began purchasing local production for NEO, the amount NEO paid for local production averaged $.85 per Mcf more </w:t>
      </w:r>
      <w:r w:rsidR="00103800" w:rsidRPr="00C04E56">
        <w:rPr>
          <w:rFonts w:eastAsia="Calibri"/>
        </w:rPr>
        <w:t xml:space="preserve">than </w:t>
      </w:r>
      <w:r w:rsidRPr="00C04E56">
        <w:rPr>
          <w:rFonts w:eastAsia="Calibri"/>
        </w:rPr>
        <w:t>interstate gas.</w:t>
      </w:r>
      <w:r w:rsidR="007F532E" w:rsidRPr="00C04E56">
        <w:rPr>
          <w:rStyle w:val="FootnoteReference"/>
          <w:rFonts w:eastAsia="Calibri"/>
          <w:szCs w:val="26"/>
        </w:rPr>
        <w:footnoteReference w:id="25"/>
      </w:r>
      <w:r w:rsidR="007031A0">
        <w:rPr>
          <w:rFonts w:eastAsia="Calibri"/>
        </w:rPr>
        <w:t xml:space="preserve"> </w:t>
      </w:r>
      <w:r w:rsidR="00CC061B">
        <w:rPr>
          <w:rFonts w:eastAsia="Calibri"/>
          <w:lang w:val="en-US"/>
        </w:rPr>
        <w:t xml:space="preserve"> </w:t>
      </w:r>
      <w:r w:rsidRPr="00C04E56">
        <w:rPr>
          <w:rFonts w:eastAsia="Calibri"/>
        </w:rPr>
        <w:t xml:space="preserve">This </w:t>
      </w:r>
      <w:r w:rsidR="00B76C38" w:rsidRPr="00C04E56">
        <w:rPr>
          <w:rFonts w:eastAsia="Calibri"/>
        </w:rPr>
        <w:t xml:space="preserve">unexplained </w:t>
      </w:r>
      <w:r w:rsidR="00372B72" w:rsidRPr="00C04E56">
        <w:rPr>
          <w:rFonts w:eastAsia="Calibri"/>
        </w:rPr>
        <w:t xml:space="preserve">increase of </w:t>
      </w:r>
      <w:r w:rsidR="00FD6ADB" w:rsidRPr="00C04E56">
        <w:rPr>
          <w:rFonts w:eastAsia="Calibri"/>
        </w:rPr>
        <w:t xml:space="preserve">$1.88 per Mcf </w:t>
      </w:r>
      <w:r w:rsidR="007109BB" w:rsidRPr="00C04E56">
        <w:rPr>
          <w:rFonts w:eastAsia="Calibri"/>
        </w:rPr>
        <w:t xml:space="preserve">occurred </w:t>
      </w:r>
      <w:r w:rsidR="00B76C38" w:rsidRPr="00C04E56">
        <w:rPr>
          <w:rFonts w:eastAsia="Calibri"/>
        </w:rPr>
        <w:t xml:space="preserve">in </w:t>
      </w:r>
      <w:r w:rsidRPr="00C04E56">
        <w:rPr>
          <w:rFonts w:eastAsia="Calibri"/>
        </w:rPr>
        <w:t>just a few years.</w:t>
      </w:r>
      <w:r w:rsidR="007F532E" w:rsidRPr="00C04E56">
        <w:rPr>
          <w:rStyle w:val="FootnoteReference"/>
          <w:rFonts w:eastAsia="Calibri"/>
          <w:szCs w:val="26"/>
        </w:rPr>
        <w:footnoteReference w:id="26"/>
      </w:r>
      <w:r w:rsidR="007031A0">
        <w:rPr>
          <w:rFonts w:eastAsia="Calibri"/>
        </w:rPr>
        <w:t xml:space="preserve"> </w:t>
      </w:r>
      <w:r w:rsidR="00CC061B">
        <w:rPr>
          <w:rFonts w:eastAsia="Calibri"/>
          <w:lang w:val="en-US"/>
        </w:rPr>
        <w:t xml:space="preserve"> </w:t>
      </w:r>
      <w:r w:rsidRPr="00C04E56">
        <w:rPr>
          <w:rFonts w:eastAsia="Calibri"/>
        </w:rPr>
        <w:t>Th</w:t>
      </w:r>
      <w:r w:rsidR="00DA63A8" w:rsidRPr="00C04E56">
        <w:rPr>
          <w:rFonts w:eastAsia="Calibri"/>
        </w:rPr>
        <w:t xml:space="preserve">is </w:t>
      </w:r>
      <w:r w:rsidR="00B76C38" w:rsidRPr="00C04E56">
        <w:rPr>
          <w:rFonts w:eastAsia="Calibri"/>
        </w:rPr>
        <w:t xml:space="preserve">increase was </w:t>
      </w:r>
      <w:r w:rsidR="00DA63A8" w:rsidRPr="00C04E56">
        <w:rPr>
          <w:rFonts w:eastAsia="Calibri"/>
        </w:rPr>
        <w:t xml:space="preserve">not </w:t>
      </w:r>
      <w:r w:rsidR="00B76C38" w:rsidRPr="00C04E56">
        <w:rPr>
          <w:rFonts w:eastAsia="Calibri"/>
        </w:rPr>
        <w:t xml:space="preserve">due to an increase </w:t>
      </w:r>
      <w:r w:rsidRPr="00C04E56">
        <w:rPr>
          <w:rFonts w:eastAsia="Calibri"/>
        </w:rPr>
        <w:t xml:space="preserve">in the cost of </w:t>
      </w:r>
      <w:r w:rsidR="00B76C38" w:rsidRPr="00C04E56">
        <w:rPr>
          <w:rFonts w:eastAsia="Calibri"/>
        </w:rPr>
        <w:t>gas</w:t>
      </w:r>
      <w:r w:rsidR="007031A0">
        <w:rPr>
          <w:rFonts w:eastAsia="Calibri"/>
        </w:rPr>
        <w:t>.</w:t>
      </w:r>
      <w:r w:rsidR="00DB2C7B">
        <w:rPr>
          <w:rFonts w:eastAsia="Calibri"/>
          <w:lang w:val="en-US"/>
        </w:rPr>
        <w:t xml:space="preserve"> </w:t>
      </w:r>
      <w:r w:rsidR="007031A0">
        <w:rPr>
          <w:rFonts w:eastAsia="Calibri"/>
        </w:rPr>
        <w:t xml:space="preserve"> </w:t>
      </w:r>
      <w:r w:rsidR="00B76C38" w:rsidRPr="00C04E56">
        <w:rPr>
          <w:rFonts w:eastAsia="Calibri"/>
        </w:rPr>
        <w:t xml:space="preserve">While </w:t>
      </w:r>
      <w:r w:rsidR="002B5EB2">
        <w:rPr>
          <w:rFonts w:eastAsia="Calibri"/>
        </w:rPr>
        <w:t>JDOG Marketing</w:t>
      </w:r>
      <w:r w:rsidRPr="00C04E56">
        <w:rPr>
          <w:rFonts w:eastAsia="Calibri"/>
        </w:rPr>
        <w:t xml:space="preserve"> was charging NEO more for local production, Staff determined that </w:t>
      </w:r>
      <w:r w:rsidR="002B5EB2">
        <w:rPr>
          <w:rFonts w:eastAsia="Calibri"/>
        </w:rPr>
        <w:t>JDOG Marketing</w:t>
      </w:r>
      <w:r w:rsidRPr="00C04E56">
        <w:rPr>
          <w:rFonts w:eastAsia="Calibri"/>
        </w:rPr>
        <w:t xml:space="preserve"> was </w:t>
      </w:r>
      <w:r w:rsidRPr="00C04E56">
        <w:rPr>
          <w:rFonts w:eastAsia="Calibri"/>
          <w:i/>
        </w:rPr>
        <w:t>not</w:t>
      </w:r>
      <w:r w:rsidRPr="00C04E56">
        <w:rPr>
          <w:rFonts w:eastAsia="Calibri"/>
        </w:rPr>
        <w:t xml:space="preserve"> paying local producers more. </w:t>
      </w:r>
    </w:p>
    <w:p w:rsidR="00C642E0" w:rsidRPr="00C04E56" w:rsidRDefault="003D18CB" w:rsidP="00CC061B">
      <w:pPr>
        <w:pStyle w:val="textstyle"/>
        <w:rPr>
          <w:rFonts w:eastAsia="Calibri"/>
        </w:rPr>
      </w:pPr>
      <w:r w:rsidRPr="00C04E56">
        <w:rPr>
          <w:rFonts w:eastAsia="Calibri"/>
        </w:rPr>
        <w:tab/>
      </w:r>
      <w:r w:rsidR="0015474F" w:rsidRPr="00C04E56">
        <w:rPr>
          <w:rFonts w:eastAsia="Calibri"/>
        </w:rPr>
        <w:t xml:space="preserve">To determine the amounts </w:t>
      </w:r>
      <w:r w:rsidR="002B5EB2">
        <w:rPr>
          <w:rFonts w:eastAsia="Calibri"/>
        </w:rPr>
        <w:t>JDOG Marketing</w:t>
      </w:r>
      <w:r w:rsidR="0015474F" w:rsidRPr="00C04E56">
        <w:rPr>
          <w:rFonts w:eastAsia="Calibri"/>
        </w:rPr>
        <w:t xml:space="preserve"> was paying local producers, </w:t>
      </w:r>
      <w:r w:rsidR="00C642E0" w:rsidRPr="00C04E56">
        <w:rPr>
          <w:rFonts w:eastAsia="Calibri"/>
        </w:rPr>
        <w:t xml:space="preserve">Staff reviewed the pricing provisions of contracts between </w:t>
      </w:r>
      <w:r w:rsidR="002B5EB2">
        <w:rPr>
          <w:rFonts w:eastAsia="Calibri"/>
        </w:rPr>
        <w:t>JDOG Marketing</w:t>
      </w:r>
      <w:r w:rsidR="00C642E0" w:rsidRPr="00C04E56">
        <w:rPr>
          <w:rFonts w:eastAsia="Calibri"/>
        </w:rPr>
        <w:t xml:space="preserve"> and local producers</w:t>
      </w:r>
      <w:r w:rsidR="007031A0">
        <w:rPr>
          <w:rFonts w:eastAsia="Calibri"/>
        </w:rPr>
        <w:t xml:space="preserve"> provided in the 2010 Audit.</w:t>
      </w:r>
      <w:r w:rsidR="00DA7B81" w:rsidRPr="00C04E56">
        <w:rPr>
          <w:rFonts w:eastAsia="Calibri"/>
        </w:rPr>
        <w:t xml:space="preserve"> </w:t>
      </w:r>
      <w:r w:rsidR="00CC061B">
        <w:rPr>
          <w:rFonts w:eastAsia="Calibri"/>
          <w:lang w:val="en-US"/>
        </w:rPr>
        <w:t xml:space="preserve"> </w:t>
      </w:r>
      <w:r w:rsidR="00DA7B81" w:rsidRPr="00C04E56">
        <w:rPr>
          <w:rFonts w:eastAsia="Calibri"/>
        </w:rPr>
        <w:t>These contracts were still in effect for a portion of the 2012 Audit</w:t>
      </w:r>
      <w:r w:rsidR="002C04FD">
        <w:rPr>
          <w:rFonts w:eastAsia="Calibri"/>
        </w:rPr>
        <w:t xml:space="preserve">. </w:t>
      </w:r>
      <w:r w:rsidR="00CC061B">
        <w:rPr>
          <w:rFonts w:eastAsia="Calibri"/>
          <w:lang w:val="en-US"/>
        </w:rPr>
        <w:t xml:space="preserve"> </w:t>
      </w:r>
      <w:r w:rsidR="0015474F" w:rsidRPr="00C04E56">
        <w:rPr>
          <w:rFonts w:eastAsia="Calibri"/>
        </w:rPr>
        <w:t>Staff</w:t>
      </w:r>
      <w:r w:rsidR="00DA7B81" w:rsidRPr="00C04E56">
        <w:rPr>
          <w:rFonts w:eastAsia="Calibri"/>
        </w:rPr>
        <w:t xml:space="preserve"> first</w:t>
      </w:r>
      <w:r w:rsidR="0015474F" w:rsidRPr="00C04E56">
        <w:rPr>
          <w:rFonts w:eastAsia="Calibri"/>
        </w:rPr>
        <w:t xml:space="preserve"> analyzed the pric</w:t>
      </w:r>
      <w:r w:rsidR="002E65D5">
        <w:rPr>
          <w:rFonts w:eastAsia="Calibri"/>
        </w:rPr>
        <w:t>es paid on NEO</w:t>
      </w:r>
      <w:r w:rsidR="00E77986">
        <w:rPr>
          <w:rFonts w:eastAsia="Calibri"/>
        </w:rPr>
        <w:t>’</w:t>
      </w:r>
      <w:r w:rsidR="002E65D5">
        <w:rPr>
          <w:rFonts w:eastAsia="Calibri"/>
        </w:rPr>
        <w:t xml:space="preserve">s Cobra system and </w:t>
      </w:r>
      <w:r w:rsidR="0015474F" w:rsidRPr="00C04E56">
        <w:rPr>
          <w:rFonts w:eastAsia="Calibri"/>
        </w:rPr>
        <w:t xml:space="preserve">found that </w:t>
      </w:r>
      <w:r w:rsidR="002B5EB2">
        <w:rPr>
          <w:rFonts w:eastAsia="Calibri"/>
        </w:rPr>
        <w:t>JDOG Marketing</w:t>
      </w:r>
      <w:r w:rsidR="0015474F" w:rsidRPr="00C04E56">
        <w:rPr>
          <w:rFonts w:eastAsia="Calibri"/>
        </w:rPr>
        <w:t xml:space="preserve"> paid local producers the following prices </w:t>
      </w:r>
      <w:r w:rsidR="00C642E0" w:rsidRPr="00C04E56">
        <w:rPr>
          <w:rFonts w:eastAsia="Calibri"/>
        </w:rPr>
        <w:t xml:space="preserve">on the three Cobra systems: </w:t>
      </w:r>
    </w:p>
    <w:p w:rsidR="0094089E" w:rsidRDefault="00CC061B" w:rsidP="00CC061B">
      <w:pPr>
        <w:pStyle w:val="textstyle"/>
        <w:rPr>
          <w:rFonts w:eastAsia="Calibri"/>
          <w:lang w:val="en-US"/>
        </w:rPr>
      </w:pPr>
      <w:r>
        <w:rPr>
          <w:rFonts w:eastAsia="Calibri"/>
          <w:lang w:val="en-US"/>
        </w:rPr>
        <w:tab/>
      </w:r>
      <w:r w:rsidR="0094089E">
        <w:rPr>
          <w:rFonts w:eastAsia="Calibri"/>
          <w:lang w:val="en-US"/>
        </w:rPr>
        <w:br w:type="page"/>
      </w:r>
    </w:p>
    <w:p w:rsidR="00C642E0" w:rsidRPr="00C04E56" w:rsidRDefault="0094089E" w:rsidP="00CC061B">
      <w:pPr>
        <w:pStyle w:val="textstyle"/>
        <w:rPr>
          <w:rFonts w:eastAsia="Calibri"/>
        </w:rPr>
      </w:pPr>
      <w:r>
        <w:rPr>
          <w:rFonts w:eastAsia="Calibri"/>
          <w:lang w:val="en-US"/>
        </w:rPr>
        <w:lastRenderedPageBreak/>
        <w:tab/>
      </w:r>
      <w:r w:rsidR="00C642E0" w:rsidRPr="00C04E56">
        <w:rPr>
          <w:rFonts w:eastAsia="Calibri"/>
        </w:rPr>
        <w:t xml:space="preserve">Cobra </w:t>
      </w:r>
      <w:proofErr w:type="spellStart"/>
      <w:r w:rsidR="00C642E0" w:rsidRPr="00C04E56">
        <w:rPr>
          <w:rFonts w:eastAsia="Calibri"/>
        </w:rPr>
        <w:t>C</w:t>
      </w:r>
      <w:r w:rsidR="0015474F" w:rsidRPr="00C04E56">
        <w:rPr>
          <w:rFonts w:eastAsia="Calibri"/>
        </w:rPr>
        <w:t>hurchtown</w:t>
      </w:r>
      <w:proofErr w:type="spellEnd"/>
      <w:r w:rsidR="0015474F" w:rsidRPr="00C04E56">
        <w:rPr>
          <w:rFonts w:eastAsia="Calibri"/>
        </w:rPr>
        <w:t xml:space="preserve"> = (NYMEX less $0.45) *</w:t>
      </w:r>
      <w:r w:rsidR="00C642E0" w:rsidRPr="00C04E56">
        <w:rPr>
          <w:rFonts w:eastAsia="Calibri"/>
        </w:rPr>
        <w:t xml:space="preserve"> (.9637)</w:t>
      </w:r>
    </w:p>
    <w:p w:rsidR="00C642E0" w:rsidRPr="00C04E56" w:rsidRDefault="00CC061B" w:rsidP="00CC061B">
      <w:pPr>
        <w:pStyle w:val="textstyle"/>
        <w:rPr>
          <w:rFonts w:eastAsia="Calibri"/>
        </w:rPr>
      </w:pPr>
      <w:r>
        <w:rPr>
          <w:rFonts w:eastAsia="Calibri"/>
          <w:lang w:val="en-US"/>
        </w:rPr>
        <w:tab/>
      </w:r>
      <w:r w:rsidR="00C642E0" w:rsidRPr="00C04E56">
        <w:rPr>
          <w:rFonts w:eastAsia="Calibri"/>
        </w:rPr>
        <w:t>Cobra Holmesville = (NYMEX less $0.20) * (.9637)</w:t>
      </w:r>
    </w:p>
    <w:p w:rsidR="00C642E0" w:rsidRPr="00C04E56" w:rsidRDefault="00CC061B" w:rsidP="00CC061B">
      <w:pPr>
        <w:pStyle w:val="textstyle"/>
        <w:rPr>
          <w:rFonts w:eastAsia="Calibri"/>
        </w:rPr>
      </w:pPr>
      <w:r>
        <w:rPr>
          <w:rFonts w:eastAsia="Calibri"/>
          <w:lang w:val="en-US"/>
        </w:rPr>
        <w:tab/>
      </w:r>
      <w:r w:rsidR="00C642E0" w:rsidRPr="00C04E56">
        <w:rPr>
          <w:rFonts w:eastAsia="Calibri"/>
        </w:rPr>
        <w:t>Cobra North Trumbull = (NYMEX plus $0.10)* (.9637)</w:t>
      </w:r>
      <w:r w:rsidR="007F532E" w:rsidRPr="00C04E56">
        <w:rPr>
          <w:rStyle w:val="FootnoteReference"/>
          <w:rFonts w:eastAsia="Calibri"/>
          <w:szCs w:val="26"/>
        </w:rPr>
        <w:footnoteReference w:id="27"/>
      </w:r>
    </w:p>
    <w:p w:rsidR="00C642E0" w:rsidRPr="00C04E56" w:rsidRDefault="00C642E0" w:rsidP="00CC061B">
      <w:pPr>
        <w:pStyle w:val="textstyle"/>
        <w:rPr>
          <w:rFonts w:eastAsia="Calibri"/>
        </w:rPr>
      </w:pPr>
      <w:r w:rsidRPr="00C04E56">
        <w:rPr>
          <w:rFonts w:eastAsia="Calibri"/>
        </w:rPr>
        <w:tab/>
        <w:t xml:space="preserve">While </w:t>
      </w:r>
      <w:r w:rsidR="002B5EB2">
        <w:rPr>
          <w:rFonts w:eastAsia="Calibri"/>
        </w:rPr>
        <w:t>JDOG Marketing</w:t>
      </w:r>
      <w:r w:rsidRPr="00C04E56">
        <w:rPr>
          <w:rFonts w:eastAsia="Calibri"/>
        </w:rPr>
        <w:t xml:space="preserve"> was </w:t>
      </w:r>
      <w:r w:rsidR="00DA7B81" w:rsidRPr="00C04E56">
        <w:rPr>
          <w:rFonts w:eastAsia="Calibri"/>
        </w:rPr>
        <w:t>paying</w:t>
      </w:r>
      <w:r w:rsidRPr="00C04E56">
        <w:rPr>
          <w:rFonts w:eastAsia="Calibri"/>
        </w:rPr>
        <w:t xml:space="preserve"> local producers these prices on Cobra, it was charging NEO a substantially high</w:t>
      </w:r>
      <w:r w:rsidR="007031A0">
        <w:rPr>
          <w:rFonts w:eastAsia="Calibri"/>
        </w:rPr>
        <w:t xml:space="preserve">er price for each unit of gas. </w:t>
      </w:r>
      <w:r w:rsidR="00CC061B">
        <w:rPr>
          <w:rFonts w:eastAsia="Calibri"/>
          <w:lang w:val="en-US"/>
        </w:rPr>
        <w:t xml:space="preserve"> </w:t>
      </w:r>
      <w:r w:rsidRPr="00C04E56">
        <w:rPr>
          <w:rFonts w:eastAsia="Calibri"/>
        </w:rPr>
        <w:t xml:space="preserve">For the period </w:t>
      </w:r>
      <w:r w:rsidR="007F532E" w:rsidRPr="00C04E56">
        <w:rPr>
          <w:rFonts w:eastAsia="Calibri"/>
        </w:rPr>
        <w:t>September 2009 through Ju</w:t>
      </w:r>
      <w:r w:rsidR="00DA7B81" w:rsidRPr="00C04E56">
        <w:rPr>
          <w:rFonts w:eastAsia="Calibri"/>
        </w:rPr>
        <w:t>ly</w:t>
      </w:r>
      <w:r w:rsidR="007F532E" w:rsidRPr="00C04E56">
        <w:rPr>
          <w:rFonts w:eastAsia="Calibri"/>
        </w:rPr>
        <w:t xml:space="preserve"> 2011</w:t>
      </w:r>
      <w:r w:rsidRPr="00C04E56">
        <w:rPr>
          <w:rFonts w:eastAsia="Calibri"/>
        </w:rPr>
        <w:t xml:space="preserve">, </w:t>
      </w:r>
      <w:r w:rsidR="002B5EB2">
        <w:rPr>
          <w:rFonts w:eastAsia="Calibri"/>
        </w:rPr>
        <w:t>JDOG Marketing</w:t>
      </w:r>
      <w:r w:rsidRPr="00C04E56">
        <w:rPr>
          <w:rFonts w:eastAsia="Calibri"/>
        </w:rPr>
        <w:t xml:space="preserve"> billed NEO the following amounts for local production: </w:t>
      </w:r>
    </w:p>
    <w:p w:rsidR="00C642E0" w:rsidRPr="00C04E56" w:rsidRDefault="00CC061B" w:rsidP="00CC061B">
      <w:pPr>
        <w:pStyle w:val="textstyle"/>
        <w:rPr>
          <w:rFonts w:eastAsia="Calibri"/>
        </w:rPr>
      </w:pPr>
      <w:r>
        <w:rPr>
          <w:rFonts w:eastAsia="Calibri"/>
          <w:lang w:val="en-US"/>
        </w:rPr>
        <w:tab/>
      </w:r>
      <w:r w:rsidR="00C642E0" w:rsidRPr="00C04E56">
        <w:rPr>
          <w:rFonts w:eastAsia="Calibri"/>
        </w:rPr>
        <w:t>Cobra Churchtown = (NYMEX plus $1.05) * (1.0377)</w:t>
      </w:r>
    </w:p>
    <w:p w:rsidR="00C642E0" w:rsidRPr="00C04E56" w:rsidRDefault="00CC061B" w:rsidP="00CC061B">
      <w:pPr>
        <w:pStyle w:val="textstyle"/>
        <w:rPr>
          <w:rFonts w:eastAsia="Calibri"/>
        </w:rPr>
      </w:pPr>
      <w:r>
        <w:rPr>
          <w:rFonts w:eastAsia="Calibri"/>
          <w:lang w:val="en-US"/>
        </w:rPr>
        <w:tab/>
      </w:r>
      <w:r w:rsidR="00C642E0" w:rsidRPr="00C04E56">
        <w:rPr>
          <w:rFonts w:eastAsia="Calibri"/>
        </w:rPr>
        <w:t>Cobra Holmesville = (NYMEX plus $1.00) * (1.0377)</w:t>
      </w:r>
    </w:p>
    <w:p w:rsidR="00C642E0" w:rsidRPr="00C04E56" w:rsidRDefault="00CC061B" w:rsidP="00CC061B">
      <w:pPr>
        <w:pStyle w:val="textstyle"/>
        <w:rPr>
          <w:rFonts w:eastAsia="Calibri"/>
        </w:rPr>
      </w:pPr>
      <w:r>
        <w:rPr>
          <w:rFonts w:eastAsia="Calibri"/>
          <w:lang w:val="en-US"/>
        </w:rPr>
        <w:tab/>
      </w:r>
      <w:r w:rsidR="00C642E0" w:rsidRPr="00C04E56">
        <w:rPr>
          <w:rFonts w:eastAsia="Calibri"/>
        </w:rPr>
        <w:t>Cobra North Trumbull - (NYMEX plus $1.20)* (1.0377)</w:t>
      </w:r>
      <w:r w:rsidR="007F532E" w:rsidRPr="00C04E56">
        <w:rPr>
          <w:rStyle w:val="FootnoteReference"/>
          <w:rFonts w:eastAsia="Calibri"/>
          <w:szCs w:val="26"/>
        </w:rPr>
        <w:footnoteReference w:id="28"/>
      </w:r>
    </w:p>
    <w:p w:rsidR="00C642E0" w:rsidRPr="00C04E56" w:rsidRDefault="00C642E0" w:rsidP="00CC061B">
      <w:pPr>
        <w:pStyle w:val="textstyle"/>
        <w:rPr>
          <w:rFonts w:eastAsia="Calibri"/>
        </w:rPr>
      </w:pPr>
      <w:r w:rsidRPr="00C04E56">
        <w:rPr>
          <w:rFonts w:eastAsia="Calibri"/>
        </w:rPr>
        <w:tab/>
      </w:r>
      <w:r w:rsidR="002B5EB2">
        <w:rPr>
          <w:rFonts w:eastAsia="Calibri"/>
        </w:rPr>
        <w:t>JDOG Marketing</w:t>
      </w:r>
      <w:r w:rsidR="0015474F" w:rsidRPr="00C04E56">
        <w:rPr>
          <w:rFonts w:eastAsia="Calibri"/>
        </w:rPr>
        <w:t xml:space="preserve"> increased the NYMEX price by a least dollar</w:t>
      </w:r>
      <w:r w:rsidR="002C04FD">
        <w:rPr>
          <w:rFonts w:eastAsia="Calibri"/>
        </w:rPr>
        <w:t xml:space="preserve"> on each of the Cobra systems.</w:t>
      </w:r>
      <w:r w:rsidR="00016010">
        <w:rPr>
          <w:rFonts w:eastAsia="Calibri"/>
          <w:lang w:val="en-US"/>
        </w:rPr>
        <w:t xml:space="preserve"> </w:t>
      </w:r>
      <w:r w:rsidR="002C04FD">
        <w:rPr>
          <w:rFonts w:eastAsia="Calibri"/>
        </w:rPr>
        <w:t xml:space="preserve"> </w:t>
      </w:r>
      <w:r w:rsidRPr="00C04E56">
        <w:rPr>
          <w:rFonts w:eastAsia="Calibri"/>
        </w:rPr>
        <w:t xml:space="preserve">A portion of this price increase was allegedly to account for </w:t>
      </w:r>
      <w:r w:rsidR="007031A0">
        <w:rPr>
          <w:rFonts w:eastAsia="Calibri"/>
        </w:rPr>
        <w:t>transportation cost</w:t>
      </w:r>
      <w:r w:rsidR="002E65D5">
        <w:rPr>
          <w:rFonts w:eastAsia="Calibri"/>
        </w:rPr>
        <w:t>s</w:t>
      </w:r>
      <w:r w:rsidR="007031A0">
        <w:rPr>
          <w:rFonts w:eastAsia="Calibri"/>
        </w:rPr>
        <w:t xml:space="preserve"> and shrink</w:t>
      </w:r>
      <w:r w:rsidR="002E65D5">
        <w:rPr>
          <w:rFonts w:eastAsia="Calibri"/>
        </w:rPr>
        <w:t>age</w:t>
      </w:r>
      <w:r w:rsidR="007031A0">
        <w:rPr>
          <w:rFonts w:eastAsia="Calibri"/>
        </w:rPr>
        <w:t>.</w:t>
      </w:r>
      <w:r w:rsidR="00CC061B">
        <w:rPr>
          <w:rFonts w:eastAsia="Calibri"/>
          <w:lang w:val="en-US"/>
        </w:rPr>
        <w:t xml:space="preserve"> </w:t>
      </w:r>
      <w:r w:rsidRPr="00C04E56">
        <w:rPr>
          <w:rFonts w:eastAsia="Calibri"/>
        </w:rPr>
        <w:t xml:space="preserve"> But </w:t>
      </w:r>
      <w:r w:rsidR="002B5EB2">
        <w:rPr>
          <w:rFonts w:eastAsia="Calibri"/>
        </w:rPr>
        <w:t>JDOG Marketing</w:t>
      </w:r>
      <w:r w:rsidRPr="00C04E56">
        <w:rPr>
          <w:rFonts w:eastAsia="Calibri"/>
        </w:rPr>
        <w:t xml:space="preserve"> had already reduced payments to local producers to account for </w:t>
      </w:r>
      <w:r w:rsidR="002E65D5">
        <w:rPr>
          <w:rFonts w:eastAsia="Calibri"/>
        </w:rPr>
        <w:t>these</w:t>
      </w:r>
      <w:r w:rsidRPr="00C04E56">
        <w:rPr>
          <w:rFonts w:eastAsia="Calibri"/>
        </w:rPr>
        <w:t xml:space="preserve"> costs.</w:t>
      </w:r>
      <w:r w:rsidR="00DA7B81" w:rsidRPr="00C04E56">
        <w:rPr>
          <w:rStyle w:val="FootnoteReference"/>
          <w:rFonts w:eastAsia="Calibri"/>
          <w:szCs w:val="26"/>
        </w:rPr>
        <w:footnoteReference w:id="29"/>
      </w:r>
      <w:r w:rsidR="007031A0">
        <w:rPr>
          <w:rFonts w:eastAsia="Calibri"/>
        </w:rPr>
        <w:t xml:space="preserve"> </w:t>
      </w:r>
      <w:r w:rsidR="00CC061B">
        <w:rPr>
          <w:rFonts w:eastAsia="Calibri"/>
          <w:lang w:val="en-US"/>
        </w:rPr>
        <w:t xml:space="preserve"> </w:t>
      </w:r>
      <w:r w:rsidR="002B4CC6" w:rsidRPr="00C04E56">
        <w:rPr>
          <w:rFonts w:eastAsia="Calibri"/>
        </w:rPr>
        <w:t>By a</w:t>
      </w:r>
      <w:r w:rsidRPr="00C04E56">
        <w:rPr>
          <w:rFonts w:eastAsia="Calibri"/>
        </w:rPr>
        <w:t>ccounting for transportation cost</w:t>
      </w:r>
      <w:r w:rsidR="002B4CC6" w:rsidRPr="00C04E56">
        <w:rPr>
          <w:rFonts w:eastAsia="Calibri"/>
        </w:rPr>
        <w:t>s</w:t>
      </w:r>
      <w:r w:rsidRPr="00C04E56">
        <w:rPr>
          <w:rFonts w:eastAsia="Calibri"/>
        </w:rPr>
        <w:t xml:space="preserve"> and shrink</w:t>
      </w:r>
      <w:r w:rsidR="002E65D5">
        <w:rPr>
          <w:rFonts w:eastAsia="Calibri"/>
        </w:rPr>
        <w:t>age</w:t>
      </w:r>
      <w:r w:rsidRPr="00C04E56">
        <w:rPr>
          <w:rFonts w:eastAsia="Calibri"/>
        </w:rPr>
        <w:t xml:space="preserve"> twice</w:t>
      </w:r>
      <w:r w:rsidR="002B4CC6" w:rsidRPr="00C04E56">
        <w:rPr>
          <w:rFonts w:eastAsia="Calibri"/>
        </w:rPr>
        <w:t xml:space="preserve">, </w:t>
      </w:r>
      <w:r w:rsidR="002B5EB2">
        <w:rPr>
          <w:rFonts w:eastAsia="Calibri"/>
        </w:rPr>
        <w:t>JDOG Marketing</w:t>
      </w:r>
      <w:r w:rsidRPr="00C04E56">
        <w:rPr>
          <w:rFonts w:eastAsia="Calibri"/>
        </w:rPr>
        <w:t xml:space="preserve"> inflated the cost of local production </w:t>
      </w:r>
      <w:r w:rsidR="002B4CC6" w:rsidRPr="00C04E56">
        <w:rPr>
          <w:rFonts w:eastAsia="Calibri"/>
        </w:rPr>
        <w:t>so much that the Companies were paying more for local production than interstate supplies</w:t>
      </w:r>
      <w:r w:rsidRPr="00C04E56">
        <w:rPr>
          <w:rFonts w:eastAsia="Calibri"/>
        </w:rPr>
        <w:t>.</w:t>
      </w:r>
      <w:r w:rsidR="00DA7B81" w:rsidRPr="00C04E56">
        <w:rPr>
          <w:rStyle w:val="FootnoteReference"/>
          <w:rFonts w:eastAsia="Calibri"/>
          <w:szCs w:val="26"/>
        </w:rPr>
        <w:footnoteReference w:id="30"/>
      </w:r>
      <w:r w:rsidR="007031A0">
        <w:rPr>
          <w:rFonts w:eastAsia="Calibri"/>
        </w:rPr>
        <w:t xml:space="preserve"> </w:t>
      </w:r>
    </w:p>
    <w:p w:rsidR="00C642E0" w:rsidRPr="00C04E56" w:rsidRDefault="00C642E0" w:rsidP="00CC061B">
      <w:pPr>
        <w:pStyle w:val="textstyle"/>
        <w:rPr>
          <w:rFonts w:eastAsia="Calibri"/>
        </w:rPr>
      </w:pPr>
      <w:r w:rsidRPr="00C04E56">
        <w:rPr>
          <w:rFonts w:eastAsia="Calibri"/>
        </w:rPr>
        <w:lastRenderedPageBreak/>
        <w:tab/>
        <w:t xml:space="preserve">Staff also determined that </w:t>
      </w:r>
      <w:r w:rsidR="00103800" w:rsidRPr="00C04E56">
        <w:rPr>
          <w:rFonts w:eastAsia="Calibri"/>
        </w:rPr>
        <w:t xml:space="preserve">the </w:t>
      </w:r>
      <w:r w:rsidRPr="00C04E56">
        <w:rPr>
          <w:rFonts w:eastAsia="Calibri"/>
        </w:rPr>
        <w:t>premium</w:t>
      </w:r>
      <w:r w:rsidR="00DA7B81" w:rsidRPr="00C04E56">
        <w:rPr>
          <w:rFonts w:eastAsia="Calibri"/>
        </w:rPr>
        <w:t xml:space="preserve">s </w:t>
      </w:r>
      <w:r w:rsidRPr="00C04E56">
        <w:rPr>
          <w:rFonts w:eastAsia="Calibri"/>
        </w:rPr>
        <w:t xml:space="preserve">NEO paid </w:t>
      </w:r>
      <w:r w:rsidR="002B5EB2">
        <w:rPr>
          <w:rFonts w:eastAsia="Calibri"/>
        </w:rPr>
        <w:t>JDOG Marketing</w:t>
      </w:r>
      <w:r w:rsidRPr="00C04E56">
        <w:rPr>
          <w:rFonts w:eastAsia="Calibri"/>
        </w:rPr>
        <w:t xml:space="preserve"> for non-Cobra local production purchases</w:t>
      </w:r>
      <w:r w:rsidR="00103800" w:rsidRPr="00C04E56">
        <w:rPr>
          <w:rFonts w:eastAsia="Calibri"/>
        </w:rPr>
        <w:t xml:space="preserve"> were unreasonable</w:t>
      </w:r>
      <w:r w:rsidRPr="00C04E56">
        <w:rPr>
          <w:rFonts w:eastAsia="Calibri"/>
        </w:rPr>
        <w:t>.</w:t>
      </w:r>
      <w:r w:rsidR="00DA7B81" w:rsidRPr="00C04E56">
        <w:rPr>
          <w:rStyle w:val="FootnoteReference"/>
          <w:rFonts w:eastAsia="Calibri"/>
          <w:szCs w:val="26"/>
        </w:rPr>
        <w:footnoteReference w:id="31"/>
      </w:r>
      <w:r w:rsidRPr="00C04E56">
        <w:rPr>
          <w:rFonts w:eastAsia="Calibri"/>
        </w:rPr>
        <w:t xml:space="preserve"> </w:t>
      </w:r>
      <w:r w:rsidR="00CC061B">
        <w:rPr>
          <w:rFonts w:eastAsia="Calibri"/>
          <w:lang w:val="en-US"/>
        </w:rPr>
        <w:t xml:space="preserve"> </w:t>
      </w:r>
      <w:r w:rsidRPr="00C04E56">
        <w:rPr>
          <w:rFonts w:eastAsia="Calibri"/>
        </w:rPr>
        <w:t xml:space="preserve">NEO paid </w:t>
      </w:r>
      <w:r w:rsidR="002B5EB2">
        <w:rPr>
          <w:rFonts w:eastAsia="Calibri"/>
        </w:rPr>
        <w:t>JDOG Marketing</w:t>
      </w:r>
      <w:r w:rsidRPr="00C04E56">
        <w:rPr>
          <w:rFonts w:eastAsia="Calibri"/>
        </w:rPr>
        <w:t xml:space="preserve"> approximately $368,000 in premiums for non-Cobra purchases from local producers and Gatherco</w:t>
      </w:r>
      <w:r w:rsidR="002F3AC1" w:rsidRPr="00C04E56">
        <w:rPr>
          <w:rFonts w:eastAsia="Calibri"/>
        </w:rPr>
        <w:t>.</w:t>
      </w:r>
      <w:r w:rsidRPr="00C04E56">
        <w:rPr>
          <w:rFonts w:eastAsia="Calibri"/>
          <w:vertAlign w:val="superscript"/>
        </w:rPr>
        <w:footnoteReference w:id="32"/>
      </w:r>
      <w:r w:rsidR="007031A0">
        <w:rPr>
          <w:rFonts w:eastAsia="Calibri"/>
        </w:rPr>
        <w:t xml:space="preserve"> </w:t>
      </w:r>
      <w:r w:rsidR="00CC061B">
        <w:rPr>
          <w:rFonts w:eastAsia="Calibri"/>
          <w:lang w:val="en-US"/>
        </w:rPr>
        <w:t xml:space="preserve"> </w:t>
      </w:r>
      <w:r w:rsidRPr="00C04E56">
        <w:rPr>
          <w:rFonts w:eastAsia="Calibri"/>
        </w:rPr>
        <w:t xml:space="preserve">Staff was unable to determine what, if any, services </w:t>
      </w:r>
      <w:r w:rsidR="002B5EB2">
        <w:rPr>
          <w:rFonts w:eastAsia="Calibri"/>
        </w:rPr>
        <w:t>JDOG Marketing</w:t>
      </w:r>
      <w:r w:rsidRPr="00C04E56">
        <w:rPr>
          <w:rFonts w:eastAsia="Calibri"/>
        </w:rPr>
        <w:t xml:space="preserve"> perfor</w:t>
      </w:r>
      <w:r w:rsidR="002C04FD">
        <w:rPr>
          <w:rFonts w:eastAsia="Calibri"/>
        </w:rPr>
        <w:t>med to justify these payments.</w:t>
      </w:r>
      <w:r w:rsidR="00DB2C7B">
        <w:rPr>
          <w:rFonts w:eastAsia="Calibri"/>
          <w:lang w:val="en-US"/>
        </w:rPr>
        <w:t xml:space="preserve"> </w:t>
      </w:r>
      <w:r w:rsidR="002C04FD">
        <w:rPr>
          <w:rFonts w:eastAsia="Calibri"/>
        </w:rPr>
        <w:t xml:space="preserve"> </w:t>
      </w:r>
      <w:r w:rsidRPr="00C04E56">
        <w:rPr>
          <w:rFonts w:eastAsia="Calibri"/>
        </w:rPr>
        <w:t xml:space="preserve">In fact, Staff believes in-house employees were performing </w:t>
      </w:r>
      <w:r w:rsidR="00DA7B81" w:rsidRPr="00C04E56">
        <w:rPr>
          <w:rFonts w:eastAsia="Calibri"/>
        </w:rPr>
        <w:t>most of the f</w:t>
      </w:r>
      <w:r w:rsidRPr="00C04E56">
        <w:rPr>
          <w:rFonts w:eastAsia="Calibri"/>
        </w:rPr>
        <w:t>unctions necessary to obtain gas from non-Cobra and Gatherco sources.</w:t>
      </w:r>
      <w:r w:rsidR="00DA7B81" w:rsidRPr="00C04E56">
        <w:rPr>
          <w:rStyle w:val="FootnoteReference"/>
          <w:rFonts w:eastAsia="Calibri"/>
          <w:szCs w:val="26"/>
        </w:rPr>
        <w:footnoteReference w:id="33"/>
      </w:r>
    </w:p>
    <w:p w:rsidR="00C642E0" w:rsidRPr="00C04E56" w:rsidRDefault="00C642E0" w:rsidP="00CC061B">
      <w:pPr>
        <w:pStyle w:val="textstyle"/>
        <w:rPr>
          <w:rFonts w:eastAsia="Calibri"/>
        </w:rPr>
      </w:pPr>
      <w:r w:rsidRPr="00C04E56">
        <w:rPr>
          <w:rFonts w:eastAsia="Calibri"/>
        </w:rPr>
        <w:tab/>
        <w:t>Orwell paid exo</w:t>
      </w:r>
      <w:r w:rsidR="001171BB" w:rsidRPr="00C04E56">
        <w:rPr>
          <w:rFonts w:eastAsia="Calibri"/>
        </w:rPr>
        <w:t xml:space="preserve">rbitant premium amounts to </w:t>
      </w:r>
      <w:r w:rsidR="002B5EB2">
        <w:rPr>
          <w:rFonts w:eastAsia="Calibri"/>
        </w:rPr>
        <w:t>JDOG Marketing</w:t>
      </w:r>
      <w:r w:rsidR="00DA7B81" w:rsidRPr="00C04E56">
        <w:rPr>
          <w:rFonts w:eastAsia="Calibri"/>
        </w:rPr>
        <w:t xml:space="preserve"> also</w:t>
      </w:r>
      <w:r w:rsidR="007031A0">
        <w:rPr>
          <w:rFonts w:eastAsia="Calibri"/>
        </w:rPr>
        <w:t xml:space="preserve">. </w:t>
      </w:r>
      <w:r w:rsidR="00CC061B">
        <w:rPr>
          <w:rFonts w:eastAsia="Calibri"/>
          <w:lang w:val="en-US"/>
        </w:rPr>
        <w:t xml:space="preserve"> </w:t>
      </w:r>
      <w:r w:rsidR="002B5EB2">
        <w:rPr>
          <w:rFonts w:eastAsia="Calibri"/>
        </w:rPr>
        <w:t>JDOG Marketing</w:t>
      </w:r>
      <w:r w:rsidRPr="00C04E56">
        <w:rPr>
          <w:rFonts w:eastAsia="Calibri"/>
        </w:rPr>
        <w:t xml:space="preserve"> charged Orwell </w:t>
      </w:r>
      <w:r w:rsidR="001171BB" w:rsidRPr="00C04E56">
        <w:rPr>
          <w:rFonts w:eastAsia="Calibri"/>
        </w:rPr>
        <w:t xml:space="preserve">the </w:t>
      </w:r>
      <w:r w:rsidRPr="00C04E56">
        <w:rPr>
          <w:rFonts w:eastAsia="Calibri"/>
        </w:rPr>
        <w:t xml:space="preserve">TCO Appalachian </w:t>
      </w:r>
      <w:r w:rsidR="0015474F" w:rsidRPr="00C04E56">
        <w:rPr>
          <w:rFonts w:eastAsia="Calibri"/>
        </w:rPr>
        <w:t xml:space="preserve">index price </w:t>
      </w:r>
      <w:r w:rsidRPr="00C04E56">
        <w:rPr>
          <w:rFonts w:eastAsia="Calibri"/>
        </w:rPr>
        <w:t>pl</w:t>
      </w:r>
      <w:r w:rsidR="007031A0">
        <w:rPr>
          <w:rFonts w:eastAsia="Calibri"/>
        </w:rPr>
        <w:t xml:space="preserve">us $1.50 for local production. </w:t>
      </w:r>
      <w:r w:rsidR="002B5EB2">
        <w:rPr>
          <w:rFonts w:eastAsia="Calibri"/>
        </w:rPr>
        <w:t>JDOG Marketing</w:t>
      </w:r>
      <w:r w:rsidRPr="00C04E56">
        <w:rPr>
          <w:rFonts w:eastAsia="Calibri"/>
        </w:rPr>
        <w:t xml:space="preserve"> included this $1.50 premium until July 2011</w:t>
      </w:r>
      <w:r w:rsidR="00DA7B81" w:rsidRPr="00C04E56">
        <w:rPr>
          <w:rFonts w:eastAsia="Calibri"/>
        </w:rPr>
        <w:t>.</w:t>
      </w:r>
      <w:r w:rsidR="00DA7B81" w:rsidRPr="00C04E56">
        <w:rPr>
          <w:rStyle w:val="FootnoteReference"/>
          <w:rFonts w:eastAsia="Calibri"/>
          <w:szCs w:val="26"/>
        </w:rPr>
        <w:footnoteReference w:id="34"/>
      </w:r>
      <w:r w:rsidR="007031A0">
        <w:rPr>
          <w:rFonts w:eastAsia="Calibri"/>
        </w:rPr>
        <w:t xml:space="preserve"> </w:t>
      </w:r>
      <w:r w:rsidR="00CC061B">
        <w:rPr>
          <w:rFonts w:eastAsia="Calibri"/>
          <w:lang w:val="en-US"/>
        </w:rPr>
        <w:t xml:space="preserve"> </w:t>
      </w:r>
      <w:r w:rsidRPr="00C04E56">
        <w:rPr>
          <w:rFonts w:eastAsia="Calibri"/>
        </w:rPr>
        <w:t xml:space="preserve">Beginning in August 2011, the amount </w:t>
      </w:r>
      <w:r w:rsidR="002B5EB2">
        <w:rPr>
          <w:rFonts w:eastAsia="Calibri"/>
        </w:rPr>
        <w:t>JDOG Marketing</w:t>
      </w:r>
      <w:r w:rsidRPr="00C04E56">
        <w:rPr>
          <w:rFonts w:eastAsia="Calibri"/>
        </w:rPr>
        <w:t xml:space="preserve"> charged for local production </w:t>
      </w:r>
      <w:r w:rsidR="00DA7B81" w:rsidRPr="00C04E56">
        <w:rPr>
          <w:rFonts w:eastAsia="Calibri"/>
        </w:rPr>
        <w:t xml:space="preserve">varied </w:t>
      </w:r>
      <w:r w:rsidRPr="00C04E56">
        <w:rPr>
          <w:rFonts w:eastAsia="Calibri"/>
        </w:rPr>
        <w:t xml:space="preserve">on </w:t>
      </w:r>
      <w:r w:rsidR="001171BB" w:rsidRPr="00C04E56">
        <w:rPr>
          <w:rFonts w:eastAsia="Calibri"/>
        </w:rPr>
        <w:t xml:space="preserve">a </w:t>
      </w:r>
      <w:r w:rsidRPr="00C04E56">
        <w:rPr>
          <w:rFonts w:eastAsia="Calibri"/>
        </w:rPr>
        <w:t>monthly basis.</w:t>
      </w:r>
      <w:r w:rsidR="0040569A">
        <w:rPr>
          <w:rFonts w:eastAsia="Calibri"/>
          <w:lang w:val="en-US"/>
        </w:rPr>
        <w:t xml:space="preserve"> </w:t>
      </w:r>
      <w:r w:rsidRPr="00C04E56">
        <w:rPr>
          <w:rFonts w:eastAsia="Calibri"/>
        </w:rPr>
        <w:t xml:space="preserve">Staff </w:t>
      </w:r>
      <w:r w:rsidR="00282922" w:rsidRPr="00C04E56">
        <w:rPr>
          <w:rFonts w:eastAsia="Calibri"/>
        </w:rPr>
        <w:t>d</w:t>
      </w:r>
      <w:r w:rsidR="00282922">
        <w:rPr>
          <w:rFonts w:eastAsia="Calibri"/>
        </w:rPr>
        <w:t>etermined</w:t>
      </w:r>
      <w:r w:rsidR="000512DE">
        <w:rPr>
          <w:rFonts w:eastAsia="Calibri"/>
        </w:rPr>
        <w:t xml:space="preserve"> that Orwell paid JDOG Marketing </w:t>
      </w:r>
      <w:r w:rsidRPr="00C04E56">
        <w:rPr>
          <w:rFonts w:eastAsia="Calibri"/>
        </w:rPr>
        <w:t xml:space="preserve">approximately </w:t>
      </w:r>
      <w:r w:rsidRPr="00C04E56">
        <w:rPr>
          <w:rFonts w:eastAsia="Calibri"/>
        </w:rPr>
        <w:lastRenderedPageBreak/>
        <w:t xml:space="preserve">$86,400 </w:t>
      </w:r>
      <w:r w:rsidR="000512DE">
        <w:rPr>
          <w:rFonts w:eastAsia="Calibri"/>
        </w:rPr>
        <w:t xml:space="preserve">in premiums for the purchase of </w:t>
      </w:r>
      <w:r w:rsidRPr="00C04E56">
        <w:rPr>
          <w:rFonts w:eastAsia="Calibri"/>
        </w:rPr>
        <w:t xml:space="preserve">63,700 Mcf of </w:t>
      </w:r>
      <w:r w:rsidR="000512DE">
        <w:rPr>
          <w:rFonts w:eastAsia="Calibri"/>
        </w:rPr>
        <w:t xml:space="preserve">local production </w:t>
      </w:r>
      <w:r w:rsidRPr="00C04E56">
        <w:rPr>
          <w:rFonts w:eastAsia="Calibri"/>
        </w:rPr>
        <w:t>gas.</w:t>
      </w:r>
      <w:r w:rsidR="002F3AC1" w:rsidRPr="00C04E56">
        <w:rPr>
          <w:rStyle w:val="FootnoteReference"/>
          <w:rFonts w:eastAsia="Calibri"/>
          <w:szCs w:val="26"/>
        </w:rPr>
        <w:footnoteReference w:id="35"/>
      </w:r>
      <w:r w:rsidR="007031A0">
        <w:rPr>
          <w:rFonts w:eastAsia="Calibri"/>
        </w:rPr>
        <w:t xml:space="preserve"> </w:t>
      </w:r>
      <w:r w:rsidR="00CC061B">
        <w:rPr>
          <w:rFonts w:eastAsia="Calibri"/>
          <w:lang w:val="en-US"/>
        </w:rPr>
        <w:t xml:space="preserve"> </w:t>
      </w:r>
      <w:r w:rsidRPr="00C04E56">
        <w:rPr>
          <w:rFonts w:eastAsia="Calibri"/>
        </w:rPr>
        <w:t>The</w:t>
      </w:r>
      <w:r w:rsidR="000512DE">
        <w:rPr>
          <w:rFonts w:eastAsia="Calibri"/>
        </w:rPr>
        <w:t>se</w:t>
      </w:r>
      <w:r w:rsidRPr="00C04E56">
        <w:rPr>
          <w:rFonts w:eastAsia="Calibri"/>
        </w:rPr>
        <w:t xml:space="preserve"> premium</w:t>
      </w:r>
      <w:r w:rsidR="000512DE">
        <w:rPr>
          <w:rFonts w:eastAsia="Calibri"/>
        </w:rPr>
        <w:t>s</w:t>
      </w:r>
      <w:r w:rsidRPr="00C04E56">
        <w:rPr>
          <w:rFonts w:eastAsia="Calibri"/>
        </w:rPr>
        <w:t xml:space="preserve"> paid to JDOG </w:t>
      </w:r>
      <w:r w:rsidR="000512DE">
        <w:rPr>
          <w:rFonts w:eastAsia="Calibri"/>
        </w:rPr>
        <w:t xml:space="preserve">Marketing </w:t>
      </w:r>
      <w:r w:rsidRPr="00C04E56">
        <w:rPr>
          <w:rFonts w:eastAsia="Calibri"/>
        </w:rPr>
        <w:t xml:space="preserve">by Orwell </w:t>
      </w:r>
      <w:r w:rsidR="000512DE">
        <w:rPr>
          <w:rFonts w:eastAsia="Calibri"/>
        </w:rPr>
        <w:t xml:space="preserve">are </w:t>
      </w:r>
      <w:r w:rsidRPr="00C04E56">
        <w:rPr>
          <w:rFonts w:eastAsia="Calibri"/>
        </w:rPr>
        <w:t>more than a dollar per Mcf.</w:t>
      </w:r>
      <w:r w:rsidR="00A807DC" w:rsidRPr="00C04E56">
        <w:rPr>
          <w:rStyle w:val="FootnoteReference"/>
          <w:rFonts w:eastAsia="Calibri"/>
          <w:szCs w:val="26"/>
        </w:rPr>
        <w:footnoteReference w:id="36"/>
      </w:r>
      <w:r w:rsidRPr="00C04E56">
        <w:rPr>
          <w:rFonts w:eastAsia="Calibri"/>
        </w:rPr>
        <w:t xml:space="preserve">   </w:t>
      </w:r>
    </w:p>
    <w:p w:rsidR="00C642E0" w:rsidRPr="00C04E56" w:rsidRDefault="00E77986" w:rsidP="00E77986">
      <w:pPr>
        <w:pStyle w:val="Heading4"/>
      </w:pPr>
      <w:bookmarkStart w:id="7" w:name="_Toc364688839"/>
      <w:r>
        <w:t>3</w:t>
      </w:r>
      <w:r w:rsidR="00CC061B">
        <w:t>.</w:t>
      </w:r>
      <w:r w:rsidR="00CC061B">
        <w:tab/>
      </w:r>
      <w:r w:rsidR="00C642E0" w:rsidRPr="00C04E56">
        <w:t xml:space="preserve">The premium payments to </w:t>
      </w:r>
      <w:r w:rsidR="002B5EB2">
        <w:t>JDOG Marketing</w:t>
      </w:r>
      <w:r w:rsidR="00C642E0" w:rsidRPr="00C04E56">
        <w:t xml:space="preserve"> are unjustified because </w:t>
      </w:r>
      <w:r w:rsidR="002B5EB2">
        <w:t>JDOG Marketing</w:t>
      </w:r>
      <w:r w:rsidR="00C642E0" w:rsidRPr="00C04E56">
        <w:t xml:space="preserve"> pro</w:t>
      </w:r>
      <w:r w:rsidR="00282922">
        <w:softHyphen/>
      </w:r>
      <w:r w:rsidR="00C642E0" w:rsidRPr="00C04E56">
        <w:t xml:space="preserve">vided little value </w:t>
      </w:r>
      <w:r w:rsidR="009B5BF4" w:rsidRPr="00C04E56">
        <w:t xml:space="preserve">to </w:t>
      </w:r>
      <w:r w:rsidR="00C642E0" w:rsidRPr="00C04E56">
        <w:t xml:space="preserve">the </w:t>
      </w:r>
      <w:r w:rsidR="00942DDC" w:rsidRPr="00C04E56">
        <w:t>Companies</w:t>
      </w:r>
      <w:r w:rsidR="00C642E0" w:rsidRPr="00C04E56">
        <w:t xml:space="preserve"> when pur</w:t>
      </w:r>
      <w:r w:rsidR="00282922">
        <w:softHyphen/>
      </w:r>
      <w:r w:rsidR="00C642E0" w:rsidRPr="00C04E56">
        <w:t>chasing local production.</w:t>
      </w:r>
      <w:bookmarkEnd w:id="7"/>
      <w:r w:rsidR="00C642E0" w:rsidRPr="00C04E56">
        <w:t xml:space="preserve"> </w:t>
      </w:r>
    </w:p>
    <w:p w:rsidR="00777F88" w:rsidRPr="00C04E56" w:rsidRDefault="00C642E0" w:rsidP="00CC061B">
      <w:pPr>
        <w:pStyle w:val="textstyle"/>
        <w:rPr>
          <w:rFonts w:eastAsia="Calibri"/>
        </w:rPr>
      </w:pPr>
      <w:r w:rsidRPr="00C04E56">
        <w:rPr>
          <w:rFonts w:eastAsia="Calibri"/>
        </w:rPr>
        <w:tab/>
        <w:t xml:space="preserve">Staff determined that the Companies paid </w:t>
      </w:r>
      <w:r w:rsidR="002B5EB2">
        <w:rPr>
          <w:rFonts w:eastAsia="Calibri"/>
        </w:rPr>
        <w:t>JDOG Marketing</w:t>
      </w:r>
      <w:r w:rsidRPr="00C04E56">
        <w:rPr>
          <w:rFonts w:eastAsia="Calibri"/>
        </w:rPr>
        <w:t xml:space="preserve"> approximately </w:t>
      </w:r>
      <w:r w:rsidR="00366EA1" w:rsidRPr="00C04E56">
        <w:rPr>
          <w:rFonts w:eastAsia="Calibri"/>
        </w:rPr>
        <w:t xml:space="preserve">$1.2 million </w:t>
      </w:r>
      <w:r w:rsidRPr="00C04E56">
        <w:rPr>
          <w:rFonts w:eastAsia="Calibri"/>
        </w:rPr>
        <w:t>in premiums</w:t>
      </w:r>
      <w:r w:rsidR="002C04FD">
        <w:rPr>
          <w:rFonts w:eastAsia="Calibri"/>
        </w:rPr>
        <w:t xml:space="preserve"> to purchase local production. </w:t>
      </w:r>
      <w:r w:rsidR="00CC061B">
        <w:rPr>
          <w:rFonts w:eastAsia="Calibri"/>
          <w:lang w:val="en-US"/>
        </w:rPr>
        <w:t xml:space="preserve"> </w:t>
      </w:r>
      <w:r w:rsidRPr="00C04E56">
        <w:rPr>
          <w:rFonts w:eastAsia="Calibri"/>
        </w:rPr>
        <w:t>There is no evidence</w:t>
      </w:r>
      <w:r w:rsidR="0015474F" w:rsidRPr="00C04E56">
        <w:rPr>
          <w:rFonts w:eastAsia="Calibri"/>
        </w:rPr>
        <w:t>, however,</w:t>
      </w:r>
      <w:r w:rsidRPr="00C04E56">
        <w:rPr>
          <w:rFonts w:eastAsia="Calibri"/>
        </w:rPr>
        <w:t xml:space="preserve"> that shows that </w:t>
      </w:r>
      <w:r w:rsidR="002B5EB2">
        <w:rPr>
          <w:rFonts w:eastAsia="Calibri"/>
        </w:rPr>
        <w:t>JDOG Marketing</w:t>
      </w:r>
      <w:r w:rsidRPr="00C04E56">
        <w:rPr>
          <w:rFonts w:eastAsia="Calibri"/>
        </w:rPr>
        <w:t xml:space="preserve"> provided any service justifying these premium amounts.</w:t>
      </w:r>
      <w:r w:rsidR="00CC061B">
        <w:rPr>
          <w:rFonts w:eastAsia="Calibri"/>
          <w:lang w:val="en-US"/>
        </w:rPr>
        <w:t xml:space="preserve"> </w:t>
      </w:r>
      <w:r w:rsidRPr="00C04E56">
        <w:rPr>
          <w:rFonts w:eastAsia="Calibri"/>
        </w:rPr>
        <w:t xml:space="preserve"> The record shows that, before Mr. Whelan was removed from his role in purchasing gas, he was consistently purchasing local production at prices below inter</w:t>
      </w:r>
      <w:r w:rsidR="007031A0">
        <w:rPr>
          <w:rFonts w:eastAsia="Calibri"/>
        </w:rPr>
        <w:t xml:space="preserve">state gas. </w:t>
      </w:r>
      <w:r w:rsidR="00CC061B">
        <w:rPr>
          <w:rFonts w:eastAsia="Calibri"/>
          <w:lang w:val="en-US"/>
        </w:rPr>
        <w:t xml:space="preserve"> </w:t>
      </w:r>
      <w:r w:rsidRPr="00C04E56">
        <w:rPr>
          <w:rFonts w:eastAsia="Calibri"/>
        </w:rPr>
        <w:t xml:space="preserve">The Companies, at some point, should have questioned why </w:t>
      </w:r>
      <w:r w:rsidR="0026741F">
        <w:rPr>
          <w:rFonts w:eastAsia="Calibri"/>
        </w:rPr>
        <w:t xml:space="preserve">JDOG Marketing was charging them more for </w:t>
      </w:r>
      <w:r w:rsidRPr="00C04E56">
        <w:rPr>
          <w:rFonts w:eastAsia="Calibri"/>
        </w:rPr>
        <w:t xml:space="preserve">local production </w:t>
      </w:r>
      <w:r w:rsidR="0026741F">
        <w:rPr>
          <w:rFonts w:eastAsia="Calibri"/>
        </w:rPr>
        <w:t xml:space="preserve">than the cost of </w:t>
      </w:r>
      <w:r w:rsidR="0015474F" w:rsidRPr="00C04E56">
        <w:rPr>
          <w:rFonts w:eastAsia="Calibri"/>
        </w:rPr>
        <w:t>interstate gas</w:t>
      </w:r>
      <w:r w:rsidRPr="00C04E56">
        <w:rPr>
          <w:rFonts w:eastAsia="Calibri"/>
        </w:rPr>
        <w:t xml:space="preserve">. </w:t>
      </w:r>
      <w:r w:rsidR="00CC061B">
        <w:rPr>
          <w:rFonts w:eastAsia="Calibri"/>
          <w:lang w:val="en-US"/>
        </w:rPr>
        <w:t xml:space="preserve"> </w:t>
      </w:r>
      <w:r w:rsidRPr="00C04E56">
        <w:rPr>
          <w:rFonts w:eastAsia="Calibri"/>
        </w:rPr>
        <w:t>This</w:t>
      </w:r>
      <w:r w:rsidR="0015474F" w:rsidRPr="00C04E56">
        <w:rPr>
          <w:rFonts w:eastAsia="Calibri"/>
        </w:rPr>
        <w:t xml:space="preserve"> </w:t>
      </w:r>
      <w:r w:rsidR="007031A0">
        <w:rPr>
          <w:rFonts w:eastAsia="Calibri"/>
        </w:rPr>
        <w:t xml:space="preserve">never happened. </w:t>
      </w:r>
      <w:r w:rsidR="00CC061B">
        <w:rPr>
          <w:rFonts w:eastAsia="Calibri"/>
          <w:lang w:val="en-US"/>
        </w:rPr>
        <w:t xml:space="preserve"> </w:t>
      </w:r>
      <w:r w:rsidRPr="00C04E56">
        <w:rPr>
          <w:rFonts w:eastAsia="Calibri"/>
        </w:rPr>
        <w:t xml:space="preserve">The Companies never attempted to independently verify that the premiums they were being billed by </w:t>
      </w:r>
      <w:r w:rsidR="002B5EB2">
        <w:rPr>
          <w:rFonts w:eastAsia="Calibri"/>
        </w:rPr>
        <w:t>JDOG Marketing</w:t>
      </w:r>
      <w:r w:rsidRPr="00C04E56">
        <w:rPr>
          <w:rFonts w:eastAsia="Calibri"/>
        </w:rPr>
        <w:t xml:space="preserve"> were j</w:t>
      </w:r>
      <w:r w:rsidR="007031A0">
        <w:rPr>
          <w:rFonts w:eastAsia="Calibri"/>
        </w:rPr>
        <w:t>ustified.</w:t>
      </w:r>
      <w:r w:rsidR="00CC061B">
        <w:rPr>
          <w:rFonts w:eastAsia="Calibri"/>
          <w:lang w:val="en-US"/>
        </w:rPr>
        <w:t xml:space="preserve"> </w:t>
      </w:r>
      <w:r w:rsidR="007031A0">
        <w:rPr>
          <w:rFonts w:eastAsia="Calibri"/>
        </w:rPr>
        <w:t xml:space="preserve"> </w:t>
      </w:r>
      <w:r w:rsidRPr="00C04E56">
        <w:rPr>
          <w:rFonts w:eastAsia="Calibri"/>
        </w:rPr>
        <w:t xml:space="preserve">The Companies had no process to determine the effectiveness of </w:t>
      </w:r>
      <w:r w:rsidR="002B5EB2">
        <w:rPr>
          <w:rFonts w:eastAsia="Calibri"/>
        </w:rPr>
        <w:t>JDOG Marketing</w:t>
      </w:r>
      <w:r w:rsidR="00E77986">
        <w:rPr>
          <w:rFonts w:eastAsia="Calibri"/>
        </w:rPr>
        <w:t>’</w:t>
      </w:r>
      <w:r w:rsidRPr="00C04E56">
        <w:rPr>
          <w:rFonts w:eastAsia="Calibri"/>
        </w:rPr>
        <w:t>s gas purchasing practices.</w:t>
      </w:r>
      <w:r w:rsidR="00942DDC" w:rsidRPr="00C04E56">
        <w:rPr>
          <w:rStyle w:val="FootnoteReference"/>
          <w:rFonts w:eastAsia="Calibri"/>
          <w:szCs w:val="26"/>
        </w:rPr>
        <w:footnoteReference w:id="37"/>
      </w:r>
      <w:r w:rsidR="007031A0">
        <w:rPr>
          <w:rFonts w:eastAsia="Calibri"/>
        </w:rPr>
        <w:t xml:space="preserve"> </w:t>
      </w:r>
      <w:r w:rsidR="00CC061B">
        <w:rPr>
          <w:rFonts w:eastAsia="Calibri"/>
          <w:lang w:val="en-US"/>
        </w:rPr>
        <w:t xml:space="preserve"> </w:t>
      </w:r>
      <w:r w:rsidRPr="00C04E56">
        <w:rPr>
          <w:rFonts w:eastAsia="Calibri"/>
        </w:rPr>
        <w:t xml:space="preserve">Although the Companies hired GNS to act as a gas procurement manager, Staff found that GNS simply verified the rates and quantities billed by </w:t>
      </w:r>
      <w:r w:rsidR="002B5EB2">
        <w:rPr>
          <w:rFonts w:eastAsia="Calibri"/>
        </w:rPr>
        <w:t>JDOG Marketing</w:t>
      </w:r>
      <w:r w:rsidRPr="00C04E56">
        <w:rPr>
          <w:rFonts w:eastAsia="Calibri"/>
        </w:rPr>
        <w:t xml:space="preserve"> and then passed the bills </w:t>
      </w:r>
      <w:r w:rsidRPr="00C04E56">
        <w:rPr>
          <w:rFonts w:eastAsia="Calibri"/>
        </w:rPr>
        <w:lastRenderedPageBreak/>
        <w:t>along to the companies.</w:t>
      </w:r>
      <w:r w:rsidR="00942DDC" w:rsidRPr="00C04E56">
        <w:rPr>
          <w:rStyle w:val="FootnoteReference"/>
          <w:rFonts w:eastAsia="Calibri"/>
          <w:szCs w:val="26"/>
        </w:rPr>
        <w:footnoteReference w:id="38"/>
      </w:r>
      <w:r w:rsidRPr="00C04E56">
        <w:rPr>
          <w:rFonts w:eastAsia="Calibri"/>
        </w:rPr>
        <w:t xml:space="preserve"> </w:t>
      </w:r>
      <w:r w:rsidR="00CC061B">
        <w:rPr>
          <w:rFonts w:eastAsia="Calibri"/>
          <w:lang w:val="en-US"/>
        </w:rPr>
        <w:t xml:space="preserve"> </w:t>
      </w:r>
      <w:r w:rsidRPr="00C04E56">
        <w:rPr>
          <w:rFonts w:eastAsia="Calibri"/>
        </w:rPr>
        <w:t xml:space="preserve">GNS never questioned why local production began to costs more than interstate gas and did not question </w:t>
      </w:r>
      <w:r w:rsidR="002B5EB2">
        <w:rPr>
          <w:rFonts w:eastAsia="Calibri"/>
        </w:rPr>
        <w:t>JDOG Marketing</w:t>
      </w:r>
      <w:r w:rsidRPr="00C04E56">
        <w:rPr>
          <w:rFonts w:eastAsia="Calibri"/>
        </w:rPr>
        <w:t xml:space="preserve"> regarding the </w:t>
      </w:r>
      <w:r w:rsidR="0026741F">
        <w:rPr>
          <w:rFonts w:eastAsia="Calibri"/>
        </w:rPr>
        <w:t>prices</w:t>
      </w:r>
      <w:r w:rsidRPr="00C04E56">
        <w:rPr>
          <w:rFonts w:eastAsia="Calibri"/>
        </w:rPr>
        <w:t xml:space="preserve"> </w:t>
      </w:r>
      <w:r w:rsidR="007031A0">
        <w:rPr>
          <w:rFonts w:eastAsia="Calibri"/>
        </w:rPr>
        <w:t xml:space="preserve">it was paying local producers. </w:t>
      </w:r>
      <w:r w:rsidR="00CC061B">
        <w:rPr>
          <w:rFonts w:eastAsia="Calibri"/>
          <w:lang w:val="en-US"/>
        </w:rPr>
        <w:t xml:space="preserve"> </w:t>
      </w:r>
      <w:r w:rsidRPr="00C04E56">
        <w:rPr>
          <w:rFonts w:eastAsia="Calibri"/>
        </w:rPr>
        <w:t>In addition, neither GNS nor the Companies attempted to solicit offers from other marketers.</w:t>
      </w:r>
      <w:r w:rsidR="00942DDC" w:rsidRPr="00C04E56">
        <w:rPr>
          <w:rStyle w:val="FootnoteReference"/>
          <w:rFonts w:eastAsia="Calibri"/>
          <w:szCs w:val="26"/>
        </w:rPr>
        <w:footnoteReference w:id="39"/>
      </w:r>
      <w:r w:rsidR="007031A0">
        <w:rPr>
          <w:rFonts w:eastAsia="Calibri"/>
        </w:rPr>
        <w:t xml:space="preserve"> </w:t>
      </w:r>
    </w:p>
    <w:p w:rsidR="00C642E0" w:rsidRPr="00C04E56" w:rsidRDefault="00777F88" w:rsidP="00CC061B">
      <w:pPr>
        <w:pStyle w:val="textstyle"/>
        <w:rPr>
          <w:rFonts w:eastAsia="Calibri"/>
        </w:rPr>
      </w:pPr>
      <w:r w:rsidRPr="00C04E56">
        <w:rPr>
          <w:rFonts w:eastAsia="Calibri"/>
        </w:rPr>
        <w:tab/>
        <w:t xml:space="preserve">The record indicates that </w:t>
      </w:r>
      <w:r w:rsidR="009B5BF4" w:rsidRPr="00C04E56">
        <w:rPr>
          <w:rFonts w:eastAsia="Calibri"/>
        </w:rPr>
        <w:t xml:space="preserve">the </w:t>
      </w:r>
      <w:r w:rsidRPr="00C04E56">
        <w:rPr>
          <w:rFonts w:eastAsia="Calibri"/>
        </w:rPr>
        <w:t>Companies previously had the ability to purchase reasonably priced local production</w:t>
      </w:r>
      <w:r w:rsidR="007031A0">
        <w:rPr>
          <w:rFonts w:eastAsia="Calibri"/>
        </w:rPr>
        <w:t xml:space="preserve"> gas using in-house employees.</w:t>
      </w:r>
      <w:r w:rsidR="00CC061B">
        <w:rPr>
          <w:rFonts w:eastAsia="Calibri"/>
          <w:lang w:val="en-US"/>
        </w:rPr>
        <w:t xml:space="preserve"> </w:t>
      </w:r>
      <w:r w:rsidR="007031A0">
        <w:rPr>
          <w:rFonts w:eastAsia="Calibri"/>
        </w:rPr>
        <w:t xml:space="preserve"> </w:t>
      </w:r>
      <w:r w:rsidRPr="00C04E56">
        <w:rPr>
          <w:rFonts w:eastAsia="Calibri"/>
        </w:rPr>
        <w:t xml:space="preserve">Staff believes </w:t>
      </w:r>
      <w:r w:rsidR="002B5EB2">
        <w:rPr>
          <w:rFonts w:eastAsia="Calibri"/>
        </w:rPr>
        <w:t>JDOG Marketing</w:t>
      </w:r>
      <w:r w:rsidRPr="00C04E56">
        <w:rPr>
          <w:rFonts w:eastAsia="Calibri"/>
        </w:rPr>
        <w:t xml:space="preserve"> c</w:t>
      </w:r>
      <w:r w:rsidR="0026741F">
        <w:rPr>
          <w:rFonts w:eastAsia="Calibri"/>
        </w:rPr>
        <w:t>an</w:t>
      </w:r>
      <w:r w:rsidRPr="00C04E56">
        <w:rPr>
          <w:rFonts w:eastAsia="Calibri"/>
        </w:rPr>
        <w:t xml:space="preserve"> easily be removed from middleman position and local production costs can be reduced by </w:t>
      </w:r>
      <w:r w:rsidR="0026741F">
        <w:rPr>
          <w:rFonts w:eastAsia="Calibri"/>
        </w:rPr>
        <w:t>using</w:t>
      </w:r>
      <w:r w:rsidRPr="00C04E56">
        <w:rPr>
          <w:rFonts w:eastAsia="Calibri"/>
        </w:rPr>
        <w:t xml:space="preserve"> in-house employees </w:t>
      </w:r>
      <w:r w:rsidR="0026741F">
        <w:rPr>
          <w:rFonts w:eastAsia="Calibri"/>
        </w:rPr>
        <w:t>to purchase gas in</w:t>
      </w:r>
      <w:r w:rsidRPr="00C04E56">
        <w:rPr>
          <w:rFonts w:eastAsia="Calibri"/>
        </w:rPr>
        <w:t xml:space="preserve"> the local production market.</w:t>
      </w:r>
      <w:r w:rsidR="007B4B05" w:rsidRPr="00C04E56">
        <w:rPr>
          <w:rStyle w:val="FootnoteReference"/>
          <w:rFonts w:eastAsia="Calibri"/>
          <w:szCs w:val="26"/>
        </w:rPr>
        <w:footnoteReference w:id="40"/>
      </w:r>
      <w:r w:rsidR="007031A0">
        <w:rPr>
          <w:rFonts w:eastAsia="Calibri"/>
        </w:rPr>
        <w:t xml:space="preserve"> </w:t>
      </w:r>
      <w:r w:rsidR="00DB2C7B">
        <w:rPr>
          <w:rFonts w:eastAsia="Calibri"/>
          <w:lang w:val="en-US"/>
        </w:rPr>
        <w:t xml:space="preserve"> </w:t>
      </w:r>
      <w:r w:rsidR="00C642E0" w:rsidRPr="00C04E56">
        <w:rPr>
          <w:rFonts w:eastAsia="Calibri"/>
        </w:rPr>
        <w:t xml:space="preserve">Considering the lack of evidence justifying the premium payments made to </w:t>
      </w:r>
      <w:r w:rsidR="002B5EB2">
        <w:rPr>
          <w:rFonts w:eastAsia="Calibri"/>
        </w:rPr>
        <w:t>JDOG Marketing</w:t>
      </w:r>
      <w:r w:rsidR="00C642E0" w:rsidRPr="00C04E56">
        <w:rPr>
          <w:rFonts w:eastAsia="Calibri"/>
        </w:rPr>
        <w:t xml:space="preserve">, Staff recommends that the Commission disallow the excessive premium amounts </w:t>
      </w:r>
      <w:r w:rsidR="002F4622" w:rsidRPr="00C04E56">
        <w:rPr>
          <w:rFonts w:eastAsia="Calibri"/>
        </w:rPr>
        <w:t>sought</w:t>
      </w:r>
      <w:r w:rsidR="00C642E0" w:rsidRPr="00C04E56">
        <w:rPr>
          <w:rFonts w:eastAsia="Calibri"/>
        </w:rPr>
        <w:t xml:space="preserve"> by the Companies.</w:t>
      </w:r>
      <w:r w:rsidR="007031A0">
        <w:rPr>
          <w:rFonts w:eastAsia="Calibri"/>
        </w:rPr>
        <w:t xml:space="preserve"> </w:t>
      </w:r>
    </w:p>
    <w:p w:rsidR="00C642E0" w:rsidRPr="00C04E56" w:rsidRDefault="00E77986" w:rsidP="00E77986">
      <w:pPr>
        <w:pStyle w:val="Heading4"/>
      </w:pPr>
      <w:bookmarkStart w:id="8" w:name="_Toc364688840"/>
      <w:r>
        <w:t>4</w:t>
      </w:r>
      <w:r w:rsidR="00CC061B">
        <w:t>.</w:t>
      </w:r>
      <w:r w:rsidR="00CC061B">
        <w:tab/>
      </w:r>
      <w:r w:rsidR="00C642E0" w:rsidRPr="00C04E56">
        <w:t>Staff</w:t>
      </w:r>
      <w:r>
        <w:t>’</w:t>
      </w:r>
      <w:r w:rsidR="00C642E0" w:rsidRPr="00C04E56">
        <w:t xml:space="preserve">s </w:t>
      </w:r>
      <w:r w:rsidR="00DB2C7B">
        <w:t>R</w:t>
      </w:r>
      <w:r w:rsidR="00DB2C7B" w:rsidRPr="00C04E56">
        <w:t xml:space="preserve">ecommended </w:t>
      </w:r>
      <w:r w:rsidR="00DB2C7B">
        <w:t>A</w:t>
      </w:r>
      <w:r w:rsidR="00DB2C7B" w:rsidRPr="00C04E56">
        <w:t>djustment</w:t>
      </w:r>
      <w:bookmarkEnd w:id="8"/>
      <w:r w:rsidR="00DB2C7B" w:rsidRPr="00C04E56">
        <w:t xml:space="preserve"> </w:t>
      </w:r>
    </w:p>
    <w:p w:rsidR="00C642E0" w:rsidRPr="00C04E56" w:rsidRDefault="00C642E0" w:rsidP="00CC061B">
      <w:pPr>
        <w:pStyle w:val="textstyle"/>
        <w:rPr>
          <w:rFonts w:eastAsia="Calibri"/>
        </w:rPr>
      </w:pPr>
      <w:r w:rsidRPr="00C04E56">
        <w:rPr>
          <w:rFonts w:eastAsia="Calibri"/>
        </w:rPr>
        <w:tab/>
        <w:t xml:space="preserve">Because Staff found no reasonable basis for the premiums NEO and Orwell paid </w:t>
      </w:r>
      <w:r w:rsidR="002B5EB2">
        <w:rPr>
          <w:rFonts w:eastAsia="Calibri"/>
        </w:rPr>
        <w:t>JDOG Marketing</w:t>
      </w:r>
      <w:r w:rsidRPr="00C04E56">
        <w:rPr>
          <w:rFonts w:eastAsia="Calibri"/>
        </w:rPr>
        <w:t xml:space="preserve">, Staff proposed an </w:t>
      </w:r>
      <w:r w:rsidR="007031A0">
        <w:rPr>
          <w:rFonts w:eastAsia="Calibri"/>
        </w:rPr>
        <w:t xml:space="preserve">alternative pricing mechanism. </w:t>
      </w:r>
      <w:r w:rsidR="00CC061B">
        <w:rPr>
          <w:rFonts w:eastAsia="Calibri"/>
          <w:lang w:val="en-US"/>
        </w:rPr>
        <w:t xml:space="preserve"> </w:t>
      </w:r>
      <w:r w:rsidRPr="00C04E56">
        <w:rPr>
          <w:rFonts w:eastAsia="Calibri"/>
        </w:rPr>
        <w:t xml:space="preserve">Although Staff found that </w:t>
      </w:r>
      <w:r w:rsidR="002B5EB2">
        <w:rPr>
          <w:rFonts w:eastAsia="Calibri"/>
        </w:rPr>
        <w:t>JDOG Marketing</w:t>
      </w:r>
      <w:r w:rsidRPr="00C04E56">
        <w:rPr>
          <w:rFonts w:eastAsia="Calibri"/>
        </w:rPr>
        <w:t xml:space="preserve"> provided very little value while purchasing local production for the Companies, it may have been appropriate for the Companies to pay </w:t>
      </w:r>
      <w:r w:rsidR="002B5EB2">
        <w:rPr>
          <w:rFonts w:eastAsia="Calibri"/>
        </w:rPr>
        <w:t>JDOG Marketing</w:t>
      </w:r>
      <w:r w:rsidRPr="00C04E56">
        <w:rPr>
          <w:rFonts w:eastAsia="Calibri"/>
        </w:rPr>
        <w:t xml:space="preserve"> some premiums</w:t>
      </w:r>
      <w:r w:rsidR="0015474F" w:rsidRPr="00C04E56">
        <w:rPr>
          <w:rFonts w:eastAsia="Calibri"/>
        </w:rPr>
        <w:t xml:space="preserve"> for its services</w:t>
      </w:r>
      <w:r w:rsidR="007031A0">
        <w:rPr>
          <w:rFonts w:eastAsia="Calibri"/>
        </w:rPr>
        <w:t xml:space="preserve">. </w:t>
      </w:r>
      <w:r w:rsidR="00CC061B">
        <w:rPr>
          <w:rFonts w:eastAsia="Calibri"/>
          <w:lang w:val="en-US"/>
        </w:rPr>
        <w:t xml:space="preserve"> </w:t>
      </w:r>
      <w:r w:rsidRPr="00C04E56">
        <w:rPr>
          <w:rFonts w:eastAsia="Calibri"/>
        </w:rPr>
        <w:t xml:space="preserve">To determine a more reasonable premium </w:t>
      </w:r>
      <w:r w:rsidRPr="00C04E56">
        <w:rPr>
          <w:rFonts w:eastAsia="Calibri"/>
        </w:rPr>
        <w:lastRenderedPageBreak/>
        <w:t xml:space="preserve">level, Staff developed </w:t>
      </w:r>
      <w:r w:rsidR="00862BD7">
        <w:rPr>
          <w:rFonts w:eastAsia="Calibri"/>
          <w:lang w:val="en-US"/>
        </w:rPr>
        <w:t xml:space="preserve">its </w:t>
      </w:r>
      <w:r w:rsidR="00E77986">
        <w:rPr>
          <w:rFonts w:eastAsia="Calibri"/>
        </w:rPr>
        <w:t>“</w:t>
      </w:r>
      <w:r w:rsidRPr="00C04E56">
        <w:rPr>
          <w:rFonts w:eastAsia="Calibri"/>
        </w:rPr>
        <w:t>alternative premiums.</w:t>
      </w:r>
      <w:r w:rsidR="00E77986">
        <w:rPr>
          <w:rFonts w:eastAsia="Calibri"/>
        </w:rPr>
        <w:t>”</w:t>
      </w:r>
      <w:r w:rsidR="007A65A7" w:rsidRPr="00C04E56">
        <w:rPr>
          <w:rStyle w:val="FootnoteReference"/>
          <w:rFonts w:eastAsia="Calibri"/>
          <w:szCs w:val="26"/>
        </w:rPr>
        <w:footnoteReference w:id="41"/>
      </w:r>
      <w:r w:rsidRPr="00C04E56">
        <w:rPr>
          <w:rFonts w:eastAsia="Calibri"/>
        </w:rPr>
        <w:t xml:space="preserve"> </w:t>
      </w:r>
      <w:r w:rsidR="00CC061B">
        <w:rPr>
          <w:rFonts w:eastAsia="Calibri"/>
          <w:lang w:val="en-US"/>
        </w:rPr>
        <w:t xml:space="preserve"> </w:t>
      </w:r>
      <w:r w:rsidRPr="00C04E56">
        <w:rPr>
          <w:rFonts w:eastAsia="Calibri"/>
        </w:rPr>
        <w:t xml:space="preserve">The following table contains the actual premiums paid to </w:t>
      </w:r>
      <w:r w:rsidR="002B5EB2">
        <w:rPr>
          <w:rFonts w:eastAsia="Calibri"/>
        </w:rPr>
        <w:t>JDOG Marketing</w:t>
      </w:r>
      <w:r w:rsidRPr="00C04E56">
        <w:rPr>
          <w:rFonts w:eastAsia="Calibri"/>
        </w:rPr>
        <w:t xml:space="preserve"> per unit during the 2012 </w:t>
      </w:r>
      <w:r w:rsidR="0026741F">
        <w:rPr>
          <w:rFonts w:eastAsia="Calibri"/>
        </w:rPr>
        <w:t>a</w:t>
      </w:r>
      <w:r w:rsidRPr="00C04E56">
        <w:rPr>
          <w:rFonts w:eastAsia="Calibri"/>
        </w:rPr>
        <w:t xml:space="preserve">udit </w:t>
      </w:r>
      <w:r w:rsidR="0026741F">
        <w:rPr>
          <w:rFonts w:eastAsia="Calibri"/>
        </w:rPr>
        <w:t>p</w:t>
      </w:r>
      <w:r w:rsidRPr="00C04E56">
        <w:rPr>
          <w:rFonts w:eastAsia="Calibri"/>
        </w:rPr>
        <w:t xml:space="preserve">eriod and the </w:t>
      </w:r>
      <w:r w:rsidR="00E77986">
        <w:rPr>
          <w:rFonts w:eastAsia="Calibri"/>
        </w:rPr>
        <w:t>“</w:t>
      </w:r>
      <w:r w:rsidRPr="00C04E56">
        <w:rPr>
          <w:rFonts w:eastAsia="Calibri"/>
        </w:rPr>
        <w:t>alternative premiums</w:t>
      </w:r>
      <w:r w:rsidR="00E77986">
        <w:rPr>
          <w:rFonts w:eastAsia="Calibri"/>
        </w:rPr>
        <w:t>”</w:t>
      </w:r>
      <w:r w:rsidRPr="00C04E56">
        <w:rPr>
          <w:rFonts w:eastAsia="Calibri"/>
        </w:rPr>
        <w:t xml:space="preserve"> developed by Staff: </w:t>
      </w:r>
    </w:p>
    <w:p w:rsidR="003D18CB" w:rsidRPr="00C04E56" w:rsidRDefault="003D18CB" w:rsidP="00C642E0">
      <w:pPr>
        <w:tabs>
          <w:tab w:val="left" w:pos="4230"/>
        </w:tabs>
        <w:jc w:val="both"/>
        <w:rPr>
          <w:rFonts w:eastAsia="Times New Roman" w:cs="Times New Roman"/>
          <w:sz w:val="26"/>
          <w:szCs w:val="26"/>
        </w:rPr>
      </w:pPr>
    </w:p>
    <w:tbl>
      <w:tblPr>
        <w:tblStyle w:val="TableGrid"/>
        <w:tblW w:w="0" w:type="auto"/>
        <w:tblInd w:w="810" w:type="dxa"/>
        <w:tblLook w:val="04A0" w:firstRow="1" w:lastRow="0" w:firstColumn="1" w:lastColumn="0" w:noHBand="0" w:noVBand="1"/>
      </w:tblPr>
      <w:tblGrid>
        <w:gridCol w:w="1998"/>
        <w:gridCol w:w="1915"/>
        <w:gridCol w:w="1915"/>
        <w:gridCol w:w="1916"/>
      </w:tblGrid>
      <w:tr w:rsidR="00C642E0" w:rsidRPr="00C04E56" w:rsidTr="00C642E0">
        <w:tc>
          <w:tcPr>
            <w:tcW w:w="1998" w:type="dxa"/>
            <w:tcBorders>
              <w:top w:val="single" w:sz="4" w:space="0" w:color="auto"/>
              <w:left w:val="single" w:sz="4" w:space="0" w:color="auto"/>
              <w:bottom w:val="single" w:sz="4" w:space="0" w:color="auto"/>
              <w:right w:val="single" w:sz="4" w:space="0" w:color="auto"/>
            </w:tcBorders>
            <w:vAlign w:val="center"/>
            <w:hideMark/>
          </w:tcPr>
          <w:p w:rsidR="00C642E0" w:rsidRPr="00C04E56" w:rsidRDefault="00C642E0" w:rsidP="00CC061B">
            <w:pPr>
              <w:jc w:val="center"/>
              <w:rPr>
                <w:rFonts w:eastAsia="Calibri"/>
                <w:b/>
                <w:sz w:val="26"/>
                <w:szCs w:val="26"/>
              </w:rPr>
            </w:pPr>
            <w:r w:rsidRPr="00C04E56">
              <w:rPr>
                <w:rFonts w:eastAsia="Calibri"/>
                <w:b/>
                <w:sz w:val="26"/>
                <w:szCs w:val="26"/>
              </w:rPr>
              <w:t>Local</w:t>
            </w:r>
            <w:r w:rsidR="00CC061B">
              <w:rPr>
                <w:rFonts w:eastAsia="Calibri"/>
                <w:b/>
                <w:sz w:val="26"/>
                <w:szCs w:val="26"/>
              </w:rPr>
              <w:br/>
            </w:r>
            <w:r w:rsidRPr="00C04E56">
              <w:rPr>
                <w:rFonts w:eastAsia="Calibri"/>
                <w:b/>
                <w:sz w:val="26"/>
                <w:szCs w:val="26"/>
              </w:rPr>
              <w:t>Producers</w:t>
            </w:r>
          </w:p>
        </w:tc>
        <w:tc>
          <w:tcPr>
            <w:tcW w:w="1915" w:type="dxa"/>
            <w:tcBorders>
              <w:top w:val="single" w:sz="4" w:space="0" w:color="auto"/>
              <w:left w:val="single" w:sz="4" w:space="0" w:color="auto"/>
              <w:bottom w:val="single" w:sz="4" w:space="0" w:color="auto"/>
              <w:right w:val="single" w:sz="4" w:space="0" w:color="auto"/>
            </w:tcBorders>
            <w:vAlign w:val="center"/>
            <w:hideMark/>
          </w:tcPr>
          <w:p w:rsidR="00C642E0" w:rsidRPr="00C04E56" w:rsidRDefault="00CC061B" w:rsidP="00CC061B">
            <w:pPr>
              <w:jc w:val="center"/>
              <w:rPr>
                <w:rFonts w:eastAsia="Calibri"/>
                <w:b/>
                <w:sz w:val="26"/>
                <w:szCs w:val="26"/>
              </w:rPr>
            </w:pPr>
            <w:r>
              <w:rPr>
                <w:rFonts w:eastAsia="Calibri"/>
                <w:b/>
                <w:sz w:val="26"/>
                <w:szCs w:val="26"/>
              </w:rPr>
              <w:t>Staff</w:t>
            </w:r>
            <w:r>
              <w:rPr>
                <w:rFonts w:eastAsia="Calibri"/>
                <w:b/>
                <w:sz w:val="26"/>
                <w:szCs w:val="26"/>
              </w:rPr>
              <w:br/>
              <w:t>Alterna</w:t>
            </w:r>
            <w:r>
              <w:rPr>
                <w:rFonts w:eastAsia="Calibri"/>
                <w:b/>
                <w:sz w:val="26"/>
                <w:szCs w:val="26"/>
              </w:rPr>
              <w:softHyphen/>
              <w:t>tive</w:t>
            </w:r>
            <w:r>
              <w:rPr>
                <w:rFonts w:eastAsia="Calibri"/>
                <w:b/>
                <w:sz w:val="26"/>
                <w:szCs w:val="26"/>
              </w:rPr>
              <w:br/>
            </w:r>
            <w:r w:rsidR="00C642E0" w:rsidRPr="00C04E56">
              <w:rPr>
                <w:rFonts w:eastAsia="Calibri"/>
                <w:b/>
                <w:sz w:val="26"/>
                <w:szCs w:val="26"/>
              </w:rPr>
              <w:t>Premium</w:t>
            </w:r>
          </w:p>
          <w:p w:rsidR="00C642E0" w:rsidRPr="00C04E56" w:rsidRDefault="00C642E0" w:rsidP="00CC061B">
            <w:pPr>
              <w:jc w:val="center"/>
              <w:rPr>
                <w:rFonts w:eastAsia="Calibri"/>
                <w:b/>
                <w:sz w:val="26"/>
                <w:szCs w:val="26"/>
              </w:rPr>
            </w:pPr>
            <w:r w:rsidRPr="00C04E56">
              <w:rPr>
                <w:rFonts w:eastAsia="Calibri"/>
                <w:b/>
                <w:sz w:val="26"/>
                <w:szCs w:val="26"/>
              </w:rPr>
              <w:t>NYMEX Plus</w:t>
            </w:r>
          </w:p>
        </w:tc>
        <w:tc>
          <w:tcPr>
            <w:tcW w:w="1915" w:type="dxa"/>
            <w:tcBorders>
              <w:top w:val="single" w:sz="4" w:space="0" w:color="auto"/>
              <w:left w:val="single" w:sz="4" w:space="0" w:color="auto"/>
              <w:bottom w:val="single" w:sz="4" w:space="0" w:color="auto"/>
              <w:right w:val="single" w:sz="4" w:space="0" w:color="auto"/>
            </w:tcBorders>
            <w:vAlign w:val="center"/>
            <w:hideMark/>
          </w:tcPr>
          <w:p w:rsidR="00C642E0" w:rsidRPr="00C04E56" w:rsidRDefault="002B5EB2" w:rsidP="00CC061B">
            <w:pPr>
              <w:jc w:val="center"/>
              <w:rPr>
                <w:rFonts w:eastAsia="Calibri"/>
                <w:b/>
                <w:sz w:val="26"/>
                <w:szCs w:val="26"/>
              </w:rPr>
            </w:pPr>
            <w:r>
              <w:rPr>
                <w:rFonts w:eastAsia="Calibri"/>
                <w:b/>
                <w:sz w:val="26"/>
                <w:szCs w:val="26"/>
              </w:rPr>
              <w:t>JDOG</w:t>
            </w:r>
            <w:r w:rsidR="00CC061B">
              <w:rPr>
                <w:rFonts w:eastAsia="Calibri"/>
                <w:b/>
                <w:sz w:val="26"/>
                <w:szCs w:val="26"/>
              </w:rPr>
              <w:br/>
            </w:r>
            <w:r>
              <w:rPr>
                <w:rFonts w:eastAsia="Calibri"/>
                <w:b/>
                <w:sz w:val="26"/>
                <w:szCs w:val="26"/>
              </w:rPr>
              <w:t>Marketing</w:t>
            </w:r>
            <w:r w:rsidR="00CC061B">
              <w:rPr>
                <w:rFonts w:eastAsia="Calibri"/>
                <w:b/>
                <w:sz w:val="26"/>
                <w:szCs w:val="26"/>
              </w:rPr>
              <w:br/>
            </w:r>
            <w:r w:rsidR="00C642E0" w:rsidRPr="00C04E56">
              <w:rPr>
                <w:rFonts w:eastAsia="Calibri"/>
                <w:b/>
                <w:sz w:val="26"/>
                <w:szCs w:val="26"/>
              </w:rPr>
              <w:t>Premium</w:t>
            </w:r>
            <w:r w:rsidR="00CC061B">
              <w:rPr>
                <w:rFonts w:eastAsia="Calibri"/>
                <w:b/>
                <w:sz w:val="26"/>
                <w:szCs w:val="26"/>
              </w:rPr>
              <w:br/>
            </w:r>
            <w:r w:rsidR="00C642E0" w:rsidRPr="00C04E56">
              <w:rPr>
                <w:rFonts w:eastAsia="Calibri"/>
                <w:b/>
                <w:sz w:val="26"/>
                <w:szCs w:val="26"/>
              </w:rPr>
              <w:t>NYMEX Plus</w:t>
            </w:r>
          </w:p>
        </w:tc>
        <w:tc>
          <w:tcPr>
            <w:tcW w:w="1916" w:type="dxa"/>
            <w:tcBorders>
              <w:top w:val="single" w:sz="4" w:space="0" w:color="auto"/>
              <w:left w:val="single" w:sz="4" w:space="0" w:color="auto"/>
              <w:bottom w:val="single" w:sz="4" w:space="0" w:color="auto"/>
              <w:right w:val="single" w:sz="4" w:space="0" w:color="auto"/>
            </w:tcBorders>
            <w:vAlign w:val="center"/>
          </w:tcPr>
          <w:p w:rsidR="00C642E0" w:rsidRPr="00C04E56" w:rsidRDefault="00C642E0" w:rsidP="00CC061B">
            <w:pPr>
              <w:jc w:val="center"/>
              <w:rPr>
                <w:rFonts w:eastAsia="Calibri"/>
                <w:b/>
                <w:sz w:val="26"/>
                <w:szCs w:val="26"/>
              </w:rPr>
            </w:pPr>
            <w:r w:rsidRPr="00C04E56">
              <w:rPr>
                <w:rFonts w:eastAsia="Calibri"/>
                <w:b/>
                <w:sz w:val="26"/>
                <w:szCs w:val="26"/>
              </w:rPr>
              <w:t>Difference</w:t>
            </w:r>
          </w:p>
          <w:p w:rsidR="00C642E0" w:rsidRPr="00C04E56" w:rsidRDefault="00C642E0" w:rsidP="00CC061B">
            <w:pPr>
              <w:jc w:val="center"/>
              <w:rPr>
                <w:rFonts w:eastAsia="Calibri"/>
                <w:b/>
                <w:sz w:val="26"/>
                <w:szCs w:val="26"/>
              </w:rPr>
            </w:pPr>
          </w:p>
        </w:tc>
      </w:tr>
      <w:tr w:rsidR="00C642E0" w:rsidRPr="00C04E56" w:rsidTr="00C642E0">
        <w:tc>
          <w:tcPr>
            <w:tcW w:w="1998"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Cobra</w:t>
            </w:r>
          </w:p>
        </w:tc>
        <w:tc>
          <w:tcPr>
            <w:tcW w:w="1915"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$0.50</w:t>
            </w:r>
          </w:p>
        </w:tc>
        <w:tc>
          <w:tcPr>
            <w:tcW w:w="1915"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$1.091</w:t>
            </w:r>
          </w:p>
        </w:tc>
        <w:tc>
          <w:tcPr>
            <w:tcW w:w="1916"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$0.591</w:t>
            </w:r>
          </w:p>
        </w:tc>
      </w:tr>
      <w:tr w:rsidR="00C642E0" w:rsidRPr="00C04E56" w:rsidTr="00C642E0">
        <w:tc>
          <w:tcPr>
            <w:tcW w:w="1998"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NEO non-Cobra</w:t>
            </w:r>
          </w:p>
        </w:tc>
        <w:tc>
          <w:tcPr>
            <w:tcW w:w="1915"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$0.70</w:t>
            </w:r>
          </w:p>
        </w:tc>
        <w:tc>
          <w:tcPr>
            <w:tcW w:w="1915"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rPr>
                <w:rFonts w:eastAsia="Calibri"/>
                <w:sz w:val="26"/>
                <w:szCs w:val="26"/>
              </w:rPr>
            </w:pPr>
            <w:r w:rsidRPr="00C04E56">
              <w:rPr>
                <w:rFonts w:eastAsia="Calibri"/>
                <w:sz w:val="26"/>
                <w:szCs w:val="26"/>
              </w:rPr>
              <w:t xml:space="preserve">         $1.61</w:t>
            </w:r>
          </w:p>
        </w:tc>
        <w:tc>
          <w:tcPr>
            <w:tcW w:w="1916"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$0.91</w:t>
            </w:r>
          </w:p>
        </w:tc>
      </w:tr>
      <w:tr w:rsidR="00C642E0" w:rsidRPr="00C04E56" w:rsidTr="00C642E0">
        <w:tc>
          <w:tcPr>
            <w:tcW w:w="1998"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Orwell</w:t>
            </w:r>
          </w:p>
        </w:tc>
        <w:tc>
          <w:tcPr>
            <w:tcW w:w="1915"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$0.25</w:t>
            </w:r>
          </w:p>
        </w:tc>
        <w:tc>
          <w:tcPr>
            <w:tcW w:w="1915"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$1.46</w:t>
            </w:r>
          </w:p>
        </w:tc>
        <w:tc>
          <w:tcPr>
            <w:tcW w:w="1916"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$1.21</w:t>
            </w:r>
          </w:p>
        </w:tc>
      </w:tr>
    </w:tbl>
    <w:p w:rsidR="00C642E0" w:rsidRPr="00C04E56" w:rsidRDefault="00C642E0" w:rsidP="00C642E0">
      <w:pPr>
        <w:jc w:val="both"/>
        <w:rPr>
          <w:rFonts w:eastAsia="Times New Roman" w:cs="Times New Roman"/>
          <w:sz w:val="26"/>
          <w:szCs w:val="26"/>
        </w:rPr>
      </w:pPr>
    </w:p>
    <w:p w:rsidR="00C642E0" w:rsidRPr="00C04E56" w:rsidRDefault="00C642E0" w:rsidP="00CC061B">
      <w:pPr>
        <w:pStyle w:val="textstyle"/>
        <w:rPr>
          <w:rFonts w:eastAsia="Calibri"/>
        </w:rPr>
      </w:pPr>
      <w:r w:rsidRPr="00C04E56">
        <w:rPr>
          <w:rFonts w:eastAsia="Calibri"/>
        </w:rPr>
        <w:tab/>
        <w:t>Staff developed its alternative premium payments by first examining local production purchase agreements that wer</w:t>
      </w:r>
      <w:r w:rsidR="007031A0">
        <w:rPr>
          <w:rFonts w:eastAsia="Calibri"/>
        </w:rPr>
        <w:t xml:space="preserve">e provided in the 2010 Audit. </w:t>
      </w:r>
      <w:r w:rsidR="00CC061B">
        <w:rPr>
          <w:rFonts w:eastAsia="Calibri"/>
          <w:lang w:val="en-US"/>
        </w:rPr>
        <w:t xml:space="preserve"> </w:t>
      </w:r>
      <w:r w:rsidRPr="00C04E56">
        <w:rPr>
          <w:rFonts w:eastAsia="Calibri"/>
        </w:rPr>
        <w:t>Staff asked the Companies to provide all the relevant local production agreements from the 20</w:t>
      </w:r>
      <w:r w:rsidR="007031A0">
        <w:rPr>
          <w:rFonts w:eastAsia="Calibri"/>
        </w:rPr>
        <w:t xml:space="preserve">12 </w:t>
      </w:r>
      <w:r w:rsidR="0026741F">
        <w:rPr>
          <w:rFonts w:eastAsia="Calibri"/>
        </w:rPr>
        <w:t>a</w:t>
      </w:r>
      <w:r w:rsidR="007031A0">
        <w:rPr>
          <w:rFonts w:eastAsia="Calibri"/>
        </w:rPr>
        <w:t xml:space="preserve">udit period. </w:t>
      </w:r>
      <w:r w:rsidR="00CC061B">
        <w:rPr>
          <w:rFonts w:eastAsia="Calibri"/>
          <w:lang w:val="en-US"/>
        </w:rPr>
        <w:t xml:space="preserve"> </w:t>
      </w:r>
      <w:r w:rsidR="0026741F">
        <w:rPr>
          <w:rFonts w:eastAsia="Calibri"/>
        </w:rPr>
        <w:t>Despite having the burden of proof in this case, t</w:t>
      </w:r>
      <w:r w:rsidRPr="00C04E56">
        <w:rPr>
          <w:rFonts w:eastAsia="Calibri"/>
        </w:rPr>
        <w:t>he Companies refused to provide these agreements to Staff.</w:t>
      </w:r>
      <w:r w:rsidR="007A65A7" w:rsidRPr="00C04E56">
        <w:rPr>
          <w:rStyle w:val="FootnoteReference"/>
          <w:rFonts w:eastAsia="Calibri"/>
          <w:szCs w:val="26"/>
        </w:rPr>
        <w:footnoteReference w:id="42"/>
      </w:r>
      <w:r w:rsidR="007031A0">
        <w:rPr>
          <w:rFonts w:eastAsia="Calibri"/>
        </w:rPr>
        <w:t xml:space="preserve"> </w:t>
      </w:r>
      <w:r w:rsidR="00CC061B">
        <w:rPr>
          <w:rFonts w:eastAsia="Calibri"/>
          <w:lang w:val="en-US"/>
        </w:rPr>
        <w:t xml:space="preserve"> </w:t>
      </w:r>
      <w:r w:rsidRPr="00C04E56">
        <w:rPr>
          <w:rFonts w:eastAsia="Calibri"/>
        </w:rPr>
        <w:t xml:space="preserve">Therefore, the 2010 local production agreements were the most reasonable alternative considering the Companies refusal to provide the </w:t>
      </w:r>
      <w:r w:rsidR="0015474F" w:rsidRPr="00C04E56">
        <w:rPr>
          <w:rFonts w:eastAsia="Calibri"/>
        </w:rPr>
        <w:t xml:space="preserve">requested </w:t>
      </w:r>
      <w:r w:rsidR="002C04FD">
        <w:rPr>
          <w:rFonts w:eastAsia="Calibri"/>
        </w:rPr>
        <w:t xml:space="preserve">documentation. </w:t>
      </w:r>
    </w:p>
    <w:p w:rsidR="00C642E0" w:rsidRPr="00C04E56" w:rsidRDefault="00C642E0" w:rsidP="00CC061B">
      <w:pPr>
        <w:pStyle w:val="textstyle"/>
        <w:rPr>
          <w:rFonts w:eastAsia="Calibri"/>
        </w:rPr>
      </w:pPr>
      <w:r w:rsidRPr="00C04E56">
        <w:rPr>
          <w:rFonts w:eastAsia="Calibri"/>
        </w:rPr>
        <w:tab/>
        <w:t>When examining the local production prices, Staff performed a separat</w:t>
      </w:r>
      <w:r w:rsidR="007031A0">
        <w:rPr>
          <w:rFonts w:eastAsia="Calibri"/>
        </w:rPr>
        <w:t>e analysis for NEO and Orwell.</w:t>
      </w:r>
      <w:r w:rsidR="00CC061B">
        <w:rPr>
          <w:rFonts w:eastAsia="Calibri"/>
          <w:lang w:val="en-US"/>
        </w:rPr>
        <w:t xml:space="preserve"> </w:t>
      </w:r>
      <w:r w:rsidR="007031A0">
        <w:rPr>
          <w:rFonts w:eastAsia="Calibri"/>
        </w:rPr>
        <w:t xml:space="preserve"> </w:t>
      </w:r>
      <w:r w:rsidRPr="00C04E56">
        <w:rPr>
          <w:rFonts w:eastAsia="Calibri"/>
        </w:rPr>
        <w:t xml:space="preserve">Staff also subdivided local production for NEO into two categories: Cobra purchases </w:t>
      </w:r>
      <w:r w:rsidR="007031A0">
        <w:rPr>
          <w:rFonts w:eastAsia="Calibri"/>
        </w:rPr>
        <w:t xml:space="preserve">and non-Cobra purchases. </w:t>
      </w:r>
      <w:r w:rsidR="00CC061B">
        <w:rPr>
          <w:rFonts w:eastAsia="Calibri"/>
          <w:lang w:val="en-US"/>
        </w:rPr>
        <w:t xml:space="preserve"> </w:t>
      </w:r>
      <w:r w:rsidRPr="00C04E56">
        <w:rPr>
          <w:rFonts w:eastAsia="Calibri"/>
        </w:rPr>
        <w:t>Staff was able to determine that weight</w:t>
      </w:r>
      <w:r w:rsidR="009B5BF4" w:rsidRPr="00C04E56">
        <w:rPr>
          <w:rFonts w:eastAsia="Calibri"/>
        </w:rPr>
        <w:t xml:space="preserve">ed average NYMEX prices for NEO Cobra, NEO </w:t>
      </w:r>
      <w:r w:rsidR="007031A0">
        <w:rPr>
          <w:rFonts w:eastAsia="Calibri"/>
        </w:rPr>
        <w:t>non-Cobra, and Orwell.</w:t>
      </w:r>
      <w:r w:rsidR="007031A0">
        <w:rPr>
          <w:rStyle w:val="FootnoteReference"/>
          <w:rFonts w:eastAsia="Calibri"/>
          <w:szCs w:val="26"/>
        </w:rPr>
        <w:footnoteReference w:id="43"/>
      </w:r>
      <w:r w:rsidR="007031A0">
        <w:rPr>
          <w:rFonts w:eastAsia="Calibri"/>
        </w:rPr>
        <w:t xml:space="preserve"> </w:t>
      </w:r>
      <w:r w:rsidR="00CC061B">
        <w:rPr>
          <w:rFonts w:eastAsia="Calibri"/>
          <w:lang w:val="en-US"/>
        </w:rPr>
        <w:t xml:space="preserve"> </w:t>
      </w:r>
      <w:r w:rsidRPr="00C04E56">
        <w:rPr>
          <w:rFonts w:eastAsia="Calibri"/>
        </w:rPr>
        <w:t xml:space="preserve">Staff </w:t>
      </w:r>
      <w:r w:rsidRPr="00C04E56">
        <w:rPr>
          <w:rFonts w:eastAsia="Calibri"/>
        </w:rPr>
        <w:lastRenderedPageBreak/>
        <w:t xml:space="preserve">then determined the average weighted prices paid to producers for each one these three categories. </w:t>
      </w:r>
      <w:r w:rsidR="00CC061B">
        <w:rPr>
          <w:rFonts w:eastAsia="Calibri"/>
          <w:lang w:val="en-US"/>
        </w:rPr>
        <w:t xml:space="preserve"> </w:t>
      </w:r>
      <w:r w:rsidRPr="00C04E56">
        <w:rPr>
          <w:rFonts w:eastAsia="Calibri"/>
        </w:rPr>
        <w:t xml:space="preserve">Staff determined the basis associated with units of local production sold on each system by subtracting the average price </w:t>
      </w:r>
      <w:r w:rsidR="0026741F">
        <w:rPr>
          <w:rFonts w:eastAsia="Calibri"/>
        </w:rPr>
        <w:t xml:space="preserve">JDOG Marketing </w:t>
      </w:r>
      <w:r w:rsidRPr="00C04E56">
        <w:rPr>
          <w:rFonts w:eastAsia="Calibri"/>
        </w:rPr>
        <w:t>paid to local producers from the average NYMEX price</w:t>
      </w:r>
      <w:r w:rsidR="007031A0">
        <w:rPr>
          <w:rFonts w:eastAsia="Calibri"/>
        </w:rPr>
        <w:t>.</w:t>
      </w:r>
    </w:p>
    <w:p w:rsidR="00C642E0" w:rsidRPr="00C04E56" w:rsidRDefault="00C642E0" w:rsidP="00CC061B">
      <w:pPr>
        <w:pStyle w:val="textstyle"/>
        <w:rPr>
          <w:rFonts w:eastAsia="Calibri"/>
        </w:rPr>
      </w:pPr>
      <w:r w:rsidRPr="00C04E56">
        <w:rPr>
          <w:rFonts w:eastAsia="Calibri"/>
        </w:rPr>
        <w:tab/>
        <w:t xml:space="preserve">While accounting for the location of specific producers, transportation cost, processing fees and shrinkage related to each of the three categories, Staff was able to determine premium amounts payable to </w:t>
      </w:r>
      <w:r w:rsidR="002B5EB2">
        <w:rPr>
          <w:rFonts w:eastAsia="Calibri"/>
        </w:rPr>
        <w:t>JDOG Marketing</w:t>
      </w:r>
      <w:r w:rsidRPr="00C04E56">
        <w:rPr>
          <w:rFonts w:eastAsia="Calibri"/>
        </w:rPr>
        <w:t xml:space="preserve"> that are reasonable:</w:t>
      </w:r>
    </w:p>
    <w:p w:rsidR="006D01BD" w:rsidRPr="00C04E56" w:rsidRDefault="006D01BD" w:rsidP="00C642E0">
      <w:pPr>
        <w:autoSpaceDE w:val="0"/>
        <w:autoSpaceDN w:val="0"/>
        <w:adjustRightInd w:val="0"/>
        <w:spacing w:line="480" w:lineRule="auto"/>
        <w:rPr>
          <w:rFonts w:eastAsia="Calibri" w:cs="Times New Roman"/>
          <w:sz w:val="26"/>
          <w:szCs w:val="26"/>
        </w:rPr>
      </w:pPr>
    </w:p>
    <w:tbl>
      <w:tblPr>
        <w:tblStyle w:val="TableGrid"/>
        <w:tblW w:w="0" w:type="auto"/>
        <w:tblInd w:w="2726" w:type="dxa"/>
        <w:tblLook w:val="04A0" w:firstRow="1" w:lastRow="0" w:firstColumn="1" w:lastColumn="0" w:noHBand="0" w:noVBand="1"/>
      </w:tblPr>
      <w:tblGrid>
        <w:gridCol w:w="1998"/>
        <w:gridCol w:w="1915"/>
      </w:tblGrid>
      <w:tr w:rsidR="00C642E0" w:rsidRPr="00C04E56" w:rsidTr="00CC061B">
        <w:tc>
          <w:tcPr>
            <w:tcW w:w="1998" w:type="dxa"/>
            <w:tcBorders>
              <w:top w:val="single" w:sz="4" w:space="0" w:color="auto"/>
              <w:left w:val="single" w:sz="4" w:space="0" w:color="auto"/>
              <w:bottom w:val="single" w:sz="4" w:space="0" w:color="auto"/>
              <w:right w:val="single" w:sz="4" w:space="0" w:color="auto"/>
            </w:tcBorders>
            <w:vAlign w:val="center"/>
            <w:hideMark/>
          </w:tcPr>
          <w:p w:rsidR="00C642E0" w:rsidRPr="00C04E56" w:rsidRDefault="00C642E0" w:rsidP="00CC061B">
            <w:pPr>
              <w:ind w:left="-26" w:firstLine="26"/>
              <w:jc w:val="center"/>
              <w:rPr>
                <w:rFonts w:eastAsia="Calibri"/>
                <w:b/>
                <w:sz w:val="26"/>
                <w:szCs w:val="26"/>
              </w:rPr>
            </w:pPr>
            <w:r w:rsidRPr="00C04E56">
              <w:rPr>
                <w:rFonts w:eastAsia="Calibri"/>
                <w:b/>
                <w:sz w:val="26"/>
                <w:szCs w:val="26"/>
              </w:rPr>
              <w:t>Local</w:t>
            </w:r>
            <w:r w:rsidR="00CC061B">
              <w:rPr>
                <w:rFonts w:eastAsia="Calibri"/>
                <w:b/>
                <w:sz w:val="26"/>
                <w:szCs w:val="26"/>
              </w:rPr>
              <w:br/>
            </w:r>
            <w:r w:rsidRPr="00C04E56">
              <w:rPr>
                <w:rFonts w:eastAsia="Calibri"/>
                <w:b/>
                <w:sz w:val="26"/>
                <w:szCs w:val="26"/>
              </w:rPr>
              <w:t>Producers</w:t>
            </w:r>
          </w:p>
        </w:tc>
        <w:tc>
          <w:tcPr>
            <w:tcW w:w="1915" w:type="dxa"/>
            <w:tcBorders>
              <w:top w:val="single" w:sz="4" w:space="0" w:color="auto"/>
              <w:left w:val="single" w:sz="4" w:space="0" w:color="auto"/>
              <w:bottom w:val="single" w:sz="4" w:space="0" w:color="auto"/>
              <w:right w:val="single" w:sz="4" w:space="0" w:color="auto"/>
            </w:tcBorders>
            <w:vAlign w:val="center"/>
            <w:hideMark/>
          </w:tcPr>
          <w:p w:rsidR="00C642E0" w:rsidRPr="00C04E56" w:rsidRDefault="00C642E0" w:rsidP="00CC061B">
            <w:pPr>
              <w:jc w:val="center"/>
              <w:rPr>
                <w:rFonts w:eastAsia="Calibri"/>
                <w:b/>
                <w:sz w:val="26"/>
                <w:szCs w:val="26"/>
              </w:rPr>
            </w:pPr>
            <w:r w:rsidRPr="00C04E56">
              <w:rPr>
                <w:rFonts w:eastAsia="Calibri"/>
                <w:b/>
                <w:sz w:val="26"/>
                <w:szCs w:val="26"/>
              </w:rPr>
              <w:t>Staff</w:t>
            </w:r>
            <w:r w:rsidR="00CC061B">
              <w:rPr>
                <w:rFonts w:eastAsia="Calibri"/>
                <w:b/>
                <w:sz w:val="26"/>
                <w:szCs w:val="26"/>
              </w:rPr>
              <w:br/>
            </w:r>
            <w:r w:rsidRPr="00C04E56">
              <w:rPr>
                <w:rFonts w:eastAsia="Calibri"/>
                <w:b/>
                <w:sz w:val="26"/>
                <w:szCs w:val="26"/>
              </w:rPr>
              <w:t>Alterna</w:t>
            </w:r>
            <w:r w:rsidRPr="00C04E56">
              <w:rPr>
                <w:rFonts w:eastAsia="Calibri"/>
                <w:b/>
                <w:sz w:val="26"/>
                <w:szCs w:val="26"/>
              </w:rPr>
              <w:softHyphen/>
              <w:t>tive</w:t>
            </w:r>
            <w:r w:rsidR="00CC061B">
              <w:rPr>
                <w:rFonts w:eastAsia="Calibri"/>
                <w:b/>
                <w:sz w:val="26"/>
                <w:szCs w:val="26"/>
              </w:rPr>
              <w:br/>
            </w:r>
            <w:r w:rsidRPr="00C04E56">
              <w:rPr>
                <w:rFonts w:eastAsia="Calibri"/>
                <w:b/>
                <w:sz w:val="26"/>
                <w:szCs w:val="26"/>
              </w:rPr>
              <w:t>Premium</w:t>
            </w:r>
            <w:r w:rsidR="00CC061B">
              <w:rPr>
                <w:rFonts w:eastAsia="Calibri"/>
                <w:b/>
                <w:sz w:val="26"/>
                <w:szCs w:val="26"/>
              </w:rPr>
              <w:br/>
            </w:r>
            <w:r w:rsidRPr="00C04E56">
              <w:rPr>
                <w:rFonts w:eastAsia="Calibri"/>
                <w:b/>
                <w:sz w:val="26"/>
                <w:szCs w:val="26"/>
              </w:rPr>
              <w:t>NYMEX Plus</w:t>
            </w:r>
          </w:p>
        </w:tc>
      </w:tr>
      <w:tr w:rsidR="00C642E0" w:rsidRPr="00C04E56" w:rsidTr="00CC061B">
        <w:tc>
          <w:tcPr>
            <w:tcW w:w="1998"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Cobra</w:t>
            </w:r>
          </w:p>
        </w:tc>
        <w:tc>
          <w:tcPr>
            <w:tcW w:w="1915"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$0.50</w:t>
            </w:r>
          </w:p>
        </w:tc>
      </w:tr>
      <w:tr w:rsidR="00C642E0" w:rsidRPr="00C04E56" w:rsidTr="00CC061B">
        <w:tc>
          <w:tcPr>
            <w:tcW w:w="1998"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NEO non-Cobra</w:t>
            </w:r>
          </w:p>
        </w:tc>
        <w:tc>
          <w:tcPr>
            <w:tcW w:w="1915"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$0.70</w:t>
            </w:r>
          </w:p>
        </w:tc>
      </w:tr>
      <w:tr w:rsidR="00C642E0" w:rsidRPr="00C04E56" w:rsidTr="00CC061B">
        <w:tc>
          <w:tcPr>
            <w:tcW w:w="1998"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Orwell</w:t>
            </w:r>
          </w:p>
        </w:tc>
        <w:tc>
          <w:tcPr>
            <w:tcW w:w="1915" w:type="dxa"/>
            <w:tcBorders>
              <w:top w:val="single" w:sz="4" w:space="0" w:color="auto"/>
              <w:left w:val="single" w:sz="4" w:space="0" w:color="auto"/>
              <w:bottom w:val="single" w:sz="4" w:space="0" w:color="auto"/>
              <w:right w:val="single" w:sz="4" w:space="0" w:color="auto"/>
            </w:tcBorders>
            <w:hideMark/>
          </w:tcPr>
          <w:p w:rsidR="00C642E0" w:rsidRPr="00C04E56" w:rsidRDefault="00C642E0" w:rsidP="00C642E0">
            <w:pPr>
              <w:jc w:val="center"/>
              <w:rPr>
                <w:rFonts w:eastAsia="Calibri"/>
                <w:sz w:val="26"/>
                <w:szCs w:val="26"/>
              </w:rPr>
            </w:pPr>
            <w:r w:rsidRPr="00C04E56">
              <w:rPr>
                <w:rFonts w:eastAsia="Calibri"/>
                <w:sz w:val="26"/>
                <w:szCs w:val="26"/>
              </w:rPr>
              <w:t>$0.25</w:t>
            </w:r>
          </w:p>
        </w:tc>
      </w:tr>
    </w:tbl>
    <w:p w:rsidR="00C642E0" w:rsidRPr="00C04E56" w:rsidRDefault="00C642E0" w:rsidP="00C642E0">
      <w:pPr>
        <w:autoSpaceDE w:val="0"/>
        <w:autoSpaceDN w:val="0"/>
        <w:adjustRightInd w:val="0"/>
        <w:spacing w:line="480" w:lineRule="auto"/>
        <w:rPr>
          <w:rFonts w:eastAsia="Calibri" w:cs="Times New Roman"/>
          <w:sz w:val="26"/>
          <w:szCs w:val="26"/>
        </w:rPr>
      </w:pPr>
    </w:p>
    <w:p w:rsidR="00C642E0" w:rsidRPr="00C04E56" w:rsidRDefault="00C642E0" w:rsidP="00CC061B">
      <w:pPr>
        <w:pStyle w:val="textstyle"/>
        <w:rPr>
          <w:rFonts w:eastAsia="Calibri"/>
        </w:rPr>
      </w:pPr>
      <w:r w:rsidRPr="00C04E56">
        <w:rPr>
          <w:rFonts w:eastAsia="Calibri"/>
        </w:rPr>
        <w:tab/>
        <w:t xml:space="preserve">The alternative premium amounts recommended by Staff would allow </w:t>
      </w:r>
      <w:r w:rsidR="002B5EB2">
        <w:rPr>
          <w:rFonts w:eastAsia="Calibri"/>
        </w:rPr>
        <w:t>JDOG Marketing</w:t>
      </w:r>
      <w:r w:rsidRPr="00C04E56">
        <w:rPr>
          <w:rFonts w:eastAsia="Calibri"/>
        </w:rPr>
        <w:t xml:space="preserve"> to recover all costs incurred for purchasing and transporting local production and </w:t>
      </w:r>
      <w:r w:rsidR="0026741F">
        <w:rPr>
          <w:rFonts w:eastAsia="Calibri"/>
        </w:rPr>
        <w:t>reasonably compensate</w:t>
      </w:r>
      <w:r w:rsidRPr="00C04E56">
        <w:rPr>
          <w:rFonts w:eastAsia="Calibri"/>
        </w:rPr>
        <w:t xml:space="preserve"> JDOG </w:t>
      </w:r>
      <w:r w:rsidR="0026741F">
        <w:rPr>
          <w:rFonts w:eastAsia="Calibri"/>
        </w:rPr>
        <w:t>Marketing for its gas procurement function.</w:t>
      </w:r>
      <w:r w:rsidR="007031A0">
        <w:rPr>
          <w:rFonts w:eastAsia="Calibri"/>
        </w:rPr>
        <w:t xml:space="preserve"> </w:t>
      </w:r>
      <w:r w:rsidR="00334C6A">
        <w:rPr>
          <w:rFonts w:eastAsia="Calibri"/>
          <w:lang w:val="en-US"/>
        </w:rPr>
        <w:t xml:space="preserve"> </w:t>
      </w:r>
      <w:r w:rsidRPr="00C04E56">
        <w:rPr>
          <w:rFonts w:eastAsia="Calibri"/>
        </w:rPr>
        <w:t>For example, Staff witness Sarver testified tha</w:t>
      </w:r>
      <w:r w:rsidR="009B5BF4" w:rsidRPr="00C04E56">
        <w:rPr>
          <w:rFonts w:eastAsia="Calibri"/>
        </w:rPr>
        <w:t xml:space="preserve">t </w:t>
      </w:r>
      <w:r w:rsidRPr="00C04E56">
        <w:rPr>
          <w:rFonts w:eastAsia="Calibri"/>
        </w:rPr>
        <w:t>using Staff</w:t>
      </w:r>
      <w:r w:rsidR="00E77986">
        <w:rPr>
          <w:rFonts w:eastAsia="Calibri"/>
        </w:rPr>
        <w:t>’</w:t>
      </w:r>
      <w:r w:rsidRPr="00C04E56">
        <w:rPr>
          <w:rFonts w:eastAsia="Calibri"/>
        </w:rPr>
        <w:t xml:space="preserve">s alternative premium price for Cobra would have allowed </w:t>
      </w:r>
      <w:r w:rsidR="002B5EB2">
        <w:rPr>
          <w:rFonts w:eastAsia="Calibri"/>
        </w:rPr>
        <w:t>JDOG Marketing</w:t>
      </w:r>
      <w:r w:rsidRPr="00C04E56">
        <w:rPr>
          <w:rFonts w:eastAsia="Calibri"/>
        </w:rPr>
        <w:t xml:space="preserve"> to cover all of its costs for purchasing gas on the Holm</w:t>
      </w:r>
      <w:r w:rsidR="0026741F">
        <w:rPr>
          <w:rFonts w:eastAsia="Calibri"/>
        </w:rPr>
        <w:t>e</w:t>
      </w:r>
      <w:r w:rsidRPr="00C04E56">
        <w:rPr>
          <w:rFonts w:eastAsia="Calibri"/>
        </w:rPr>
        <w:t xml:space="preserve">sville and Churchtown system </w:t>
      </w:r>
      <w:r w:rsidRPr="00C04E56">
        <w:rPr>
          <w:rFonts w:eastAsia="Calibri"/>
          <w:i/>
        </w:rPr>
        <w:t>and</w:t>
      </w:r>
      <w:r w:rsidRPr="00C04E56">
        <w:rPr>
          <w:rFonts w:eastAsia="Calibri"/>
        </w:rPr>
        <w:t xml:space="preserve"> provided </w:t>
      </w:r>
      <w:r w:rsidR="002B5EB2">
        <w:rPr>
          <w:rFonts w:eastAsia="Calibri"/>
        </w:rPr>
        <w:t>JDOG Marketing</w:t>
      </w:r>
      <w:r w:rsidR="007031A0">
        <w:rPr>
          <w:rFonts w:eastAsia="Calibri"/>
        </w:rPr>
        <w:t xml:space="preserve"> with $.21 of profit per unit.</w:t>
      </w:r>
      <w:r w:rsidR="00334C6A">
        <w:rPr>
          <w:rFonts w:eastAsia="Calibri"/>
          <w:lang w:val="en-US"/>
        </w:rPr>
        <w:t xml:space="preserve"> </w:t>
      </w:r>
      <w:r w:rsidR="007031A0">
        <w:rPr>
          <w:rFonts w:eastAsia="Calibri"/>
        </w:rPr>
        <w:t xml:space="preserve"> </w:t>
      </w:r>
      <w:r w:rsidRPr="00C04E56">
        <w:rPr>
          <w:rFonts w:eastAsia="Calibri"/>
        </w:rPr>
        <w:t xml:space="preserve">Rather than recommending a complete disallowance of all fees paid to </w:t>
      </w:r>
      <w:r w:rsidR="002B5EB2">
        <w:rPr>
          <w:rFonts w:eastAsia="Calibri"/>
        </w:rPr>
        <w:t>JDOG Marketing</w:t>
      </w:r>
      <w:r w:rsidRPr="00C04E56">
        <w:rPr>
          <w:rFonts w:eastAsia="Calibri"/>
        </w:rPr>
        <w:t>, Staff believes its alternative pr</w:t>
      </w:r>
      <w:r w:rsidR="00273195" w:rsidRPr="00C04E56">
        <w:rPr>
          <w:rFonts w:eastAsia="Calibri"/>
        </w:rPr>
        <w:t xml:space="preserve">emium amounts (as opposed to </w:t>
      </w:r>
      <w:r w:rsidR="00366EA1" w:rsidRPr="00C04E56">
        <w:rPr>
          <w:rFonts w:eastAsia="Calibri"/>
        </w:rPr>
        <w:t xml:space="preserve">the approximately $1.2 million </w:t>
      </w:r>
      <w:r w:rsidR="00273195" w:rsidRPr="00C04E56">
        <w:rPr>
          <w:rFonts w:eastAsia="Calibri"/>
        </w:rPr>
        <w:t xml:space="preserve">in premiums </w:t>
      </w:r>
      <w:r w:rsidRPr="00C04E56">
        <w:rPr>
          <w:rFonts w:eastAsia="Calibri"/>
        </w:rPr>
        <w:t xml:space="preserve">sought by </w:t>
      </w:r>
      <w:r w:rsidR="002F4622" w:rsidRPr="00C04E56">
        <w:rPr>
          <w:rFonts w:eastAsia="Calibri"/>
        </w:rPr>
        <w:t xml:space="preserve">the Companies) are reasonable and </w:t>
      </w:r>
      <w:r w:rsidR="002F4622" w:rsidRPr="00C04E56">
        <w:rPr>
          <w:rFonts w:eastAsia="Calibri"/>
        </w:rPr>
        <w:lastRenderedPageBreak/>
        <w:t xml:space="preserve">within the range </w:t>
      </w:r>
      <w:r w:rsidR="0026741F">
        <w:rPr>
          <w:rFonts w:eastAsia="Calibri"/>
        </w:rPr>
        <w:t xml:space="preserve">of premiums </w:t>
      </w:r>
      <w:r w:rsidR="002F4622" w:rsidRPr="00C04E56">
        <w:rPr>
          <w:rFonts w:eastAsia="Calibri"/>
        </w:rPr>
        <w:t xml:space="preserve">being charged by </w:t>
      </w:r>
      <w:r w:rsidR="002B5EB2">
        <w:rPr>
          <w:rFonts w:eastAsia="Calibri"/>
        </w:rPr>
        <w:t>JDOG Marketing</w:t>
      </w:r>
      <w:r w:rsidR="002F4622" w:rsidRPr="00C04E56">
        <w:rPr>
          <w:rFonts w:eastAsia="Calibri"/>
        </w:rPr>
        <w:t xml:space="preserve"> and other marketers for non-local production. </w:t>
      </w:r>
    </w:p>
    <w:p w:rsidR="00C642E0" w:rsidRPr="00C04E56" w:rsidRDefault="00E77986" w:rsidP="00E77986">
      <w:pPr>
        <w:pStyle w:val="Heading4"/>
      </w:pPr>
      <w:bookmarkStart w:id="9" w:name="_Toc364688841"/>
      <w:r>
        <w:t>5</w:t>
      </w:r>
      <w:r w:rsidR="00334C6A">
        <w:t>.</w:t>
      </w:r>
      <w:r w:rsidR="00334C6A">
        <w:tab/>
      </w:r>
      <w:r w:rsidR="008E6EDC" w:rsidRPr="00C04E56">
        <w:t xml:space="preserve">Mr. </w:t>
      </w:r>
      <w:r w:rsidR="00C642E0" w:rsidRPr="00C04E56">
        <w:t>Overcast</w:t>
      </w:r>
      <w:r>
        <w:t>’</w:t>
      </w:r>
      <w:r w:rsidR="008E6EDC" w:rsidRPr="00C04E56">
        <w:t>s criti</w:t>
      </w:r>
      <w:r w:rsidR="001A1FD5" w:rsidRPr="00C04E56">
        <w:t>ci</w:t>
      </w:r>
      <w:r w:rsidR="008E6EDC" w:rsidRPr="00C04E56">
        <w:t>sm of Staff</w:t>
      </w:r>
      <w:r>
        <w:t>’</w:t>
      </w:r>
      <w:r w:rsidR="008E6EDC" w:rsidRPr="00C04E56">
        <w:t>s re-pricing methodology is fundamentally flawed</w:t>
      </w:r>
      <w:r w:rsidR="00334C6A">
        <w:t>.</w:t>
      </w:r>
      <w:bookmarkEnd w:id="9"/>
      <w:r w:rsidR="008E6EDC" w:rsidRPr="00C04E56">
        <w:t xml:space="preserve"> </w:t>
      </w:r>
      <w:r w:rsidR="00C642E0" w:rsidRPr="00C04E56">
        <w:t xml:space="preserve"> </w:t>
      </w:r>
    </w:p>
    <w:p w:rsidR="00C642E0" w:rsidRPr="0094089E" w:rsidRDefault="00C642E0" w:rsidP="00334C6A">
      <w:pPr>
        <w:pStyle w:val="textstyle"/>
        <w:rPr>
          <w:rFonts w:eastAsia="Calibri"/>
          <w:lang w:val="en-US"/>
        </w:rPr>
      </w:pPr>
      <w:r w:rsidRPr="00C04E56">
        <w:rPr>
          <w:rFonts w:eastAsia="Calibri"/>
        </w:rPr>
        <w:tab/>
        <w:t xml:space="preserve">The </w:t>
      </w:r>
      <w:r w:rsidR="00F5412C" w:rsidRPr="00C04E56">
        <w:rPr>
          <w:rFonts w:eastAsia="Calibri"/>
        </w:rPr>
        <w:t>only witness the Companies presented to counter Staff</w:t>
      </w:r>
      <w:r w:rsidR="00E77986">
        <w:rPr>
          <w:rFonts w:eastAsia="Calibri"/>
        </w:rPr>
        <w:t>’</w:t>
      </w:r>
      <w:r w:rsidR="00F5412C" w:rsidRPr="00C04E56">
        <w:rPr>
          <w:rFonts w:eastAsia="Calibri"/>
        </w:rPr>
        <w:t xml:space="preserve">s alternative pricing </w:t>
      </w:r>
      <w:r w:rsidR="00AA6747" w:rsidRPr="00C04E56">
        <w:rPr>
          <w:rFonts w:eastAsia="Calibri"/>
        </w:rPr>
        <w:t>recommendation</w:t>
      </w:r>
      <w:r w:rsidR="00F5412C" w:rsidRPr="00C04E56">
        <w:rPr>
          <w:rFonts w:eastAsia="Calibri"/>
        </w:rPr>
        <w:t xml:space="preserve"> was </w:t>
      </w:r>
      <w:r w:rsidR="007178D0" w:rsidRPr="00C04E56">
        <w:rPr>
          <w:rFonts w:eastAsia="Calibri"/>
        </w:rPr>
        <w:t xml:space="preserve">H. Edwin </w:t>
      </w:r>
      <w:r w:rsidR="00F5412C" w:rsidRPr="00C04E56">
        <w:rPr>
          <w:rFonts w:eastAsia="Calibri"/>
        </w:rPr>
        <w:t xml:space="preserve">Overcast. </w:t>
      </w:r>
      <w:r w:rsidR="00334C6A">
        <w:rPr>
          <w:rFonts w:eastAsia="Calibri"/>
          <w:lang w:val="en-US"/>
        </w:rPr>
        <w:t xml:space="preserve"> </w:t>
      </w:r>
      <w:r w:rsidR="00F5412C" w:rsidRPr="00C04E56">
        <w:rPr>
          <w:rFonts w:eastAsia="Calibri"/>
        </w:rPr>
        <w:t>M</w:t>
      </w:r>
      <w:r w:rsidRPr="00C04E56">
        <w:rPr>
          <w:rFonts w:eastAsia="Calibri"/>
        </w:rPr>
        <w:t>r. Overcast</w:t>
      </w:r>
      <w:r w:rsidR="00E77986">
        <w:rPr>
          <w:rFonts w:eastAsia="Calibri"/>
        </w:rPr>
        <w:t>’</w:t>
      </w:r>
      <w:r w:rsidRPr="00C04E56">
        <w:rPr>
          <w:rFonts w:eastAsia="Calibri"/>
        </w:rPr>
        <w:t xml:space="preserve">s </w:t>
      </w:r>
      <w:r w:rsidR="007A3133" w:rsidRPr="00C04E56">
        <w:rPr>
          <w:rFonts w:eastAsia="Calibri"/>
        </w:rPr>
        <w:t xml:space="preserve">testimony </w:t>
      </w:r>
      <w:r w:rsidR="00F5412C" w:rsidRPr="00C04E56">
        <w:rPr>
          <w:rFonts w:eastAsia="Calibri"/>
        </w:rPr>
        <w:t xml:space="preserve">is </w:t>
      </w:r>
      <w:r w:rsidRPr="00C04E56">
        <w:rPr>
          <w:rFonts w:eastAsia="Calibri"/>
        </w:rPr>
        <w:t xml:space="preserve">devoted </w:t>
      </w:r>
      <w:r w:rsidR="00F57D27" w:rsidRPr="00C04E56">
        <w:rPr>
          <w:rFonts w:eastAsia="Calibri"/>
        </w:rPr>
        <w:t xml:space="preserve">largely </w:t>
      </w:r>
      <w:r w:rsidRPr="00C04E56">
        <w:rPr>
          <w:rFonts w:eastAsia="Calibri"/>
        </w:rPr>
        <w:t>to proving that the Companies did not pay more for intra</w:t>
      </w:r>
      <w:r w:rsidR="007031A0">
        <w:rPr>
          <w:rFonts w:eastAsia="Calibri"/>
        </w:rPr>
        <w:t>state gas than interstate gas.</w:t>
      </w:r>
      <w:r w:rsidR="0026741F">
        <w:rPr>
          <w:rStyle w:val="FootnoteReference"/>
          <w:rFonts w:eastAsia="Calibri"/>
          <w:szCs w:val="26"/>
        </w:rPr>
        <w:footnoteReference w:id="44"/>
      </w:r>
      <w:r w:rsidR="007031A0">
        <w:rPr>
          <w:rFonts w:eastAsia="Calibri"/>
        </w:rPr>
        <w:t xml:space="preserve"> </w:t>
      </w:r>
      <w:r w:rsidR="00334C6A">
        <w:rPr>
          <w:rFonts w:eastAsia="Calibri"/>
          <w:lang w:val="en-US"/>
        </w:rPr>
        <w:t xml:space="preserve"> </w:t>
      </w:r>
      <w:r w:rsidRPr="00C04E56">
        <w:rPr>
          <w:rFonts w:eastAsia="Calibri"/>
        </w:rPr>
        <w:t xml:space="preserve">Mr. Overcast relies upon an exhibit </w:t>
      </w:r>
      <w:r w:rsidR="00F5412C" w:rsidRPr="00C04E56">
        <w:rPr>
          <w:rFonts w:eastAsia="Calibri"/>
        </w:rPr>
        <w:t xml:space="preserve">he created </w:t>
      </w:r>
      <w:r w:rsidRPr="00C04E56">
        <w:rPr>
          <w:rFonts w:eastAsia="Calibri"/>
        </w:rPr>
        <w:t xml:space="preserve">(Schedule 1) to </w:t>
      </w:r>
      <w:r w:rsidR="00F5412C" w:rsidRPr="00C04E56">
        <w:rPr>
          <w:rFonts w:eastAsia="Calibri"/>
        </w:rPr>
        <w:t xml:space="preserve">support </w:t>
      </w:r>
      <w:r w:rsidR="009B5BF4" w:rsidRPr="00C04E56">
        <w:rPr>
          <w:rFonts w:eastAsia="Calibri"/>
        </w:rPr>
        <w:t xml:space="preserve">his </w:t>
      </w:r>
      <w:r w:rsidR="007031A0">
        <w:rPr>
          <w:rFonts w:eastAsia="Calibri"/>
        </w:rPr>
        <w:t>conclusion.</w:t>
      </w:r>
      <w:r w:rsidR="0026741F">
        <w:rPr>
          <w:rStyle w:val="FootnoteReference"/>
          <w:rFonts w:eastAsia="Calibri"/>
          <w:szCs w:val="26"/>
        </w:rPr>
        <w:footnoteReference w:id="45"/>
      </w:r>
      <w:r w:rsidR="00F5412C" w:rsidRPr="00C04E56">
        <w:rPr>
          <w:rFonts w:eastAsia="Calibri"/>
        </w:rPr>
        <w:t xml:space="preserve"> </w:t>
      </w:r>
      <w:r w:rsidR="00334C6A">
        <w:rPr>
          <w:rFonts w:eastAsia="Calibri"/>
          <w:lang w:val="en-US"/>
        </w:rPr>
        <w:t xml:space="preserve"> </w:t>
      </w:r>
      <w:r w:rsidRPr="00C04E56">
        <w:rPr>
          <w:rFonts w:eastAsia="Calibri"/>
        </w:rPr>
        <w:t>As Staff witness Sarver explained, Mr. Overcast</w:t>
      </w:r>
      <w:r w:rsidR="00E77986">
        <w:rPr>
          <w:rFonts w:eastAsia="Calibri"/>
        </w:rPr>
        <w:t>’</w:t>
      </w:r>
      <w:r w:rsidRPr="00C04E56">
        <w:rPr>
          <w:rFonts w:eastAsia="Calibri"/>
        </w:rPr>
        <w:t>s Schedul</w:t>
      </w:r>
      <w:r w:rsidR="00F5412C" w:rsidRPr="00C04E56">
        <w:rPr>
          <w:rFonts w:eastAsia="Calibri"/>
        </w:rPr>
        <w:t>e 1</w:t>
      </w:r>
      <w:r w:rsidR="00103800" w:rsidRPr="00C04E56">
        <w:rPr>
          <w:rFonts w:eastAsia="Calibri"/>
        </w:rPr>
        <w:t xml:space="preserve"> is</w:t>
      </w:r>
      <w:r w:rsidR="00F5412C" w:rsidRPr="00C04E56">
        <w:rPr>
          <w:rFonts w:eastAsia="Calibri"/>
        </w:rPr>
        <w:t xml:space="preserve"> </w:t>
      </w:r>
      <w:r w:rsidRPr="00C04E56">
        <w:rPr>
          <w:rFonts w:eastAsia="Calibri"/>
        </w:rPr>
        <w:t>inaccurate and drastically inflates the true costs of interstate gas.</w:t>
      </w:r>
      <w:r w:rsidR="007A3133" w:rsidRPr="00C04E56">
        <w:rPr>
          <w:rStyle w:val="FootnoteReference"/>
          <w:rFonts w:eastAsia="Calibri"/>
          <w:szCs w:val="26"/>
        </w:rPr>
        <w:footnoteReference w:id="46"/>
      </w:r>
      <w:r w:rsidR="007031A0">
        <w:rPr>
          <w:rFonts w:eastAsia="Calibri"/>
        </w:rPr>
        <w:t xml:space="preserve"> </w:t>
      </w:r>
      <w:r w:rsidR="00DB2C7B">
        <w:rPr>
          <w:rFonts w:eastAsia="Calibri"/>
          <w:lang w:val="en-US"/>
        </w:rPr>
        <w:t xml:space="preserve"> </w:t>
      </w:r>
      <w:r w:rsidR="007A3133" w:rsidRPr="00C04E56">
        <w:rPr>
          <w:rFonts w:eastAsia="Calibri"/>
        </w:rPr>
        <w:t>The Companies did not rebut Mr. Sarver</w:t>
      </w:r>
      <w:r w:rsidR="00E77986">
        <w:rPr>
          <w:rFonts w:eastAsia="Calibri"/>
        </w:rPr>
        <w:t>’</w:t>
      </w:r>
      <w:r w:rsidR="007A3133" w:rsidRPr="00C04E56">
        <w:rPr>
          <w:rFonts w:eastAsia="Calibri"/>
        </w:rPr>
        <w:t>s testimony about the flaws in Mr. Over</w:t>
      </w:r>
      <w:r w:rsidR="007031A0">
        <w:rPr>
          <w:rFonts w:eastAsia="Calibri"/>
        </w:rPr>
        <w:t xml:space="preserve">cast analysis. </w:t>
      </w:r>
      <w:r w:rsidR="00917004" w:rsidRPr="00C04E56">
        <w:rPr>
          <w:rFonts w:eastAsia="Calibri"/>
        </w:rPr>
        <w:t>Once these inaccuracies are accounted for, Schedule 1 actually disproves the central point of Mr. Overcast</w:t>
      </w:r>
      <w:r w:rsidR="00E77986">
        <w:rPr>
          <w:rFonts w:eastAsia="Calibri"/>
        </w:rPr>
        <w:t>’</w:t>
      </w:r>
      <w:r w:rsidR="00917004" w:rsidRPr="00C04E56">
        <w:rPr>
          <w:rFonts w:eastAsia="Calibri"/>
        </w:rPr>
        <w:t>s testimony</w:t>
      </w:r>
      <w:r w:rsidR="009B5BF4" w:rsidRPr="00C04E56">
        <w:rPr>
          <w:rFonts w:eastAsia="Calibri"/>
        </w:rPr>
        <w:t xml:space="preserve"> and shows that the Companies paid more for intrastate gas than interstate gas</w:t>
      </w:r>
      <w:r w:rsidR="00917004" w:rsidRPr="00C04E56">
        <w:rPr>
          <w:rFonts w:eastAsia="Calibri"/>
        </w:rPr>
        <w:t>.</w:t>
      </w:r>
      <w:r w:rsidR="00C93D3E" w:rsidRPr="00C04E56">
        <w:rPr>
          <w:rStyle w:val="FootnoteReference"/>
          <w:rFonts w:eastAsia="Calibri"/>
          <w:szCs w:val="26"/>
        </w:rPr>
        <w:footnoteReference w:id="47"/>
      </w:r>
      <w:r w:rsidR="00917004" w:rsidRPr="00C04E56">
        <w:rPr>
          <w:rFonts w:eastAsia="Calibri"/>
        </w:rPr>
        <w:t xml:space="preserve"> </w:t>
      </w:r>
      <w:r w:rsidRPr="00C04E56">
        <w:rPr>
          <w:rFonts w:eastAsia="Calibri"/>
        </w:rPr>
        <w:t xml:space="preserve"> </w:t>
      </w:r>
    </w:p>
    <w:p w:rsidR="00C642E0" w:rsidRDefault="00C642E0" w:rsidP="00334C6A">
      <w:pPr>
        <w:pStyle w:val="textstyle"/>
        <w:rPr>
          <w:rFonts w:eastAsia="Calibri"/>
          <w:lang w:val="en-US"/>
        </w:rPr>
      </w:pPr>
      <w:r w:rsidRPr="00C04E56">
        <w:rPr>
          <w:rFonts w:eastAsia="Calibri"/>
        </w:rPr>
        <w:tab/>
        <w:t>Mr. Overcast raises two other issues with Staff</w:t>
      </w:r>
      <w:r w:rsidR="00E77986">
        <w:rPr>
          <w:rFonts w:eastAsia="Calibri"/>
        </w:rPr>
        <w:t>’</w:t>
      </w:r>
      <w:r w:rsidRPr="00C04E56">
        <w:rPr>
          <w:rFonts w:eastAsia="Calibri"/>
        </w:rPr>
        <w:t>s re</w:t>
      </w:r>
      <w:r w:rsidR="00917004" w:rsidRPr="00C04E56">
        <w:rPr>
          <w:rFonts w:eastAsia="Calibri"/>
        </w:rPr>
        <w:t>-</w:t>
      </w:r>
      <w:r w:rsidRPr="00C04E56">
        <w:rPr>
          <w:rFonts w:eastAsia="Calibri"/>
        </w:rPr>
        <w:t>pricing methodology: (1) Staff used the NYMEX as the pricing index for developing Staff</w:t>
      </w:r>
      <w:r w:rsidR="00E77986">
        <w:rPr>
          <w:rFonts w:eastAsia="Calibri"/>
        </w:rPr>
        <w:t>’</w:t>
      </w:r>
      <w:r w:rsidRPr="00C04E56">
        <w:rPr>
          <w:rFonts w:eastAsia="Calibri"/>
        </w:rPr>
        <w:t>s alternative premium amounts and (2) Staff relied upon local purchase agreemen</w:t>
      </w:r>
      <w:r w:rsidR="007031A0">
        <w:rPr>
          <w:rFonts w:eastAsia="Calibri"/>
        </w:rPr>
        <w:t xml:space="preserve">ts provided in the 2010 </w:t>
      </w:r>
      <w:r w:rsidR="007031A0">
        <w:rPr>
          <w:rFonts w:eastAsia="Calibri"/>
        </w:rPr>
        <w:lastRenderedPageBreak/>
        <w:t>Audit.</w:t>
      </w:r>
      <w:r w:rsidR="007031A0">
        <w:rPr>
          <w:rStyle w:val="FootnoteReference"/>
          <w:rFonts w:eastAsia="Calibri"/>
          <w:szCs w:val="26"/>
        </w:rPr>
        <w:footnoteReference w:id="48"/>
      </w:r>
      <w:r w:rsidR="007031A0">
        <w:rPr>
          <w:rFonts w:eastAsia="Calibri"/>
        </w:rPr>
        <w:t xml:space="preserve"> </w:t>
      </w:r>
      <w:r w:rsidR="00334C6A">
        <w:rPr>
          <w:rFonts w:eastAsia="Calibri"/>
          <w:lang w:val="en-US"/>
        </w:rPr>
        <w:t xml:space="preserve"> </w:t>
      </w:r>
      <w:r w:rsidRPr="00C04E56">
        <w:rPr>
          <w:rFonts w:eastAsia="Calibri"/>
        </w:rPr>
        <w:t>Each cr</w:t>
      </w:r>
      <w:r w:rsidR="002C04FD">
        <w:rPr>
          <w:rFonts w:eastAsia="Calibri"/>
        </w:rPr>
        <w:t>itique can be easily rebuffed.</w:t>
      </w:r>
      <w:r w:rsidR="00334C6A">
        <w:rPr>
          <w:rFonts w:eastAsia="Calibri"/>
          <w:lang w:val="en-US"/>
        </w:rPr>
        <w:t xml:space="preserve"> </w:t>
      </w:r>
      <w:r w:rsidR="002C04FD">
        <w:rPr>
          <w:rFonts w:eastAsia="Calibri"/>
        </w:rPr>
        <w:t xml:space="preserve"> </w:t>
      </w:r>
      <w:r w:rsidRPr="00C04E56">
        <w:rPr>
          <w:rFonts w:eastAsia="Calibri"/>
        </w:rPr>
        <w:t xml:space="preserve">First, the reason Staff used NYMEX as a pricing index is quite simple – </w:t>
      </w:r>
      <w:r w:rsidRPr="00C04E56">
        <w:rPr>
          <w:rFonts w:eastAsia="Calibri"/>
          <w:i/>
        </w:rPr>
        <w:t>all of the Companies</w:t>
      </w:r>
      <w:r w:rsidR="00E77986">
        <w:rPr>
          <w:rFonts w:eastAsia="Calibri"/>
          <w:i/>
        </w:rPr>
        <w:t>’</w:t>
      </w:r>
      <w:r w:rsidRPr="00C04E56">
        <w:rPr>
          <w:rFonts w:eastAsia="Calibri"/>
          <w:i/>
        </w:rPr>
        <w:t xml:space="preserve"> </w:t>
      </w:r>
      <w:r w:rsidR="009D7016" w:rsidRPr="00C04E56">
        <w:rPr>
          <w:rFonts w:eastAsia="Calibri"/>
          <w:i/>
        </w:rPr>
        <w:t xml:space="preserve">local production </w:t>
      </w:r>
      <w:r w:rsidRPr="00C04E56">
        <w:rPr>
          <w:rFonts w:eastAsia="Calibri"/>
          <w:i/>
        </w:rPr>
        <w:t xml:space="preserve">purchases were </w:t>
      </w:r>
      <w:r w:rsidR="0026741F">
        <w:rPr>
          <w:rFonts w:eastAsia="Calibri"/>
          <w:i/>
        </w:rPr>
        <w:t xml:space="preserve">actually </w:t>
      </w:r>
      <w:r w:rsidRPr="00C04E56">
        <w:rPr>
          <w:rFonts w:eastAsia="Calibri"/>
          <w:i/>
        </w:rPr>
        <w:t>based on NYMEX</w:t>
      </w:r>
      <w:r w:rsidR="00C84E34" w:rsidRPr="00C04E56">
        <w:rPr>
          <w:rFonts w:eastAsia="Calibri"/>
        </w:rPr>
        <w:t>.</w:t>
      </w:r>
      <w:r w:rsidR="00C84E34" w:rsidRPr="00C04E56">
        <w:rPr>
          <w:rStyle w:val="FootnoteReference"/>
          <w:rFonts w:eastAsia="Calibri"/>
          <w:szCs w:val="26"/>
        </w:rPr>
        <w:footnoteReference w:id="49"/>
      </w:r>
      <w:r w:rsidR="00C84E34" w:rsidRPr="00C04E56">
        <w:rPr>
          <w:rFonts w:eastAsia="Calibri"/>
        </w:rPr>
        <w:t xml:space="preserve">  </w:t>
      </w:r>
      <w:r w:rsidRPr="00C04E56">
        <w:rPr>
          <w:rFonts w:eastAsia="Calibri"/>
        </w:rPr>
        <w:t xml:space="preserve">Second, Staff asked the Companies to provide copies of </w:t>
      </w:r>
      <w:r w:rsidR="00AE655C" w:rsidRPr="00C04E56">
        <w:rPr>
          <w:rFonts w:eastAsia="Calibri"/>
        </w:rPr>
        <w:t xml:space="preserve">all </w:t>
      </w:r>
      <w:r w:rsidRPr="00C04E56">
        <w:rPr>
          <w:rFonts w:eastAsia="Calibri"/>
        </w:rPr>
        <w:t xml:space="preserve">the contracts JDOG </w:t>
      </w:r>
      <w:r w:rsidR="0026741F">
        <w:rPr>
          <w:rFonts w:eastAsia="Calibri"/>
        </w:rPr>
        <w:t xml:space="preserve">Marketing </w:t>
      </w:r>
      <w:r w:rsidRPr="00C04E56">
        <w:rPr>
          <w:rFonts w:eastAsia="Calibri"/>
        </w:rPr>
        <w:t xml:space="preserve">had with local </w:t>
      </w:r>
      <w:r w:rsidR="0026741F">
        <w:rPr>
          <w:rFonts w:eastAsia="Calibri"/>
        </w:rPr>
        <w:t>producers relevant to the 2012 A</w:t>
      </w:r>
      <w:r w:rsidRPr="00C04E56">
        <w:rPr>
          <w:rFonts w:eastAsia="Calibri"/>
        </w:rPr>
        <w:t xml:space="preserve">udit </w:t>
      </w:r>
      <w:r w:rsidR="0026741F">
        <w:rPr>
          <w:rFonts w:eastAsia="Calibri"/>
        </w:rPr>
        <w:t>p</w:t>
      </w:r>
      <w:r w:rsidRPr="00C04E56">
        <w:rPr>
          <w:rFonts w:eastAsia="Calibri"/>
        </w:rPr>
        <w:t>eriod.</w:t>
      </w:r>
      <w:r w:rsidR="00ED0AB7" w:rsidRPr="00C04E56">
        <w:rPr>
          <w:rStyle w:val="FootnoteReference"/>
          <w:rFonts w:eastAsia="Calibri"/>
          <w:szCs w:val="26"/>
        </w:rPr>
        <w:footnoteReference w:id="50"/>
      </w:r>
      <w:r w:rsidR="00334C6A">
        <w:rPr>
          <w:rFonts w:eastAsia="Calibri"/>
        </w:rPr>
        <w:t xml:space="preserve">  </w:t>
      </w:r>
      <w:r w:rsidRPr="00C04E56">
        <w:rPr>
          <w:rFonts w:eastAsia="Calibri"/>
        </w:rPr>
        <w:t>The Companies, however, refused to provide this information despite the fact it prov</w:t>
      </w:r>
      <w:r w:rsidR="00AE655C" w:rsidRPr="00C04E56">
        <w:rPr>
          <w:rFonts w:eastAsia="Calibri"/>
        </w:rPr>
        <w:t>ided</w:t>
      </w:r>
      <w:r w:rsidRPr="00C04E56">
        <w:rPr>
          <w:rFonts w:eastAsia="Calibri"/>
        </w:rPr>
        <w:t xml:space="preserve"> the same type of information in the 2010 Audit.</w:t>
      </w:r>
      <w:r w:rsidR="009D7016" w:rsidRPr="00C04E56">
        <w:rPr>
          <w:rStyle w:val="FootnoteReference"/>
          <w:rFonts w:eastAsia="Calibri"/>
          <w:szCs w:val="26"/>
        </w:rPr>
        <w:footnoteReference w:id="51"/>
      </w:r>
      <w:r w:rsidR="00334C6A">
        <w:rPr>
          <w:rFonts w:eastAsia="Calibri"/>
        </w:rPr>
        <w:t xml:space="preserve"> </w:t>
      </w:r>
      <w:r w:rsidRPr="00C04E56">
        <w:rPr>
          <w:rFonts w:eastAsia="Calibri"/>
        </w:rPr>
        <w:t xml:space="preserve"> It is ridiculous for the Companies to criticize Staff for not using updated local production prices when the Companies refused to give this information to Staff.</w:t>
      </w:r>
      <w:r w:rsidR="00917004" w:rsidRPr="00C04E56">
        <w:rPr>
          <w:rFonts w:eastAsia="Calibri"/>
        </w:rPr>
        <w:t xml:space="preserve"> </w:t>
      </w:r>
      <w:r w:rsidR="00334C6A">
        <w:rPr>
          <w:rFonts w:eastAsia="Calibri"/>
          <w:lang w:val="en-US"/>
        </w:rPr>
        <w:t xml:space="preserve"> </w:t>
      </w:r>
      <w:r w:rsidR="00273195" w:rsidRPr="00C04E56">
        <w:rPr>
          <w:rFonts w:eastAsia="Calibri"/>
        </w:rPr>
        <w:t xml:space="preserve">Further, the Companies failed to provide any evidence or analysis that proves NYMEX </w:t>
      </w:r>
      <w:r w:rsidR="00AE655C" w:rsidRPr="00C04E56">
        <w:rPr>
          <w:rFonts w:eastAsia="Calibri"/>
        </w:rPr>
        <w:t>was not the basis for local production pricing</w:t>
      </w:r>
      <w:r w:rsidR="002C04FD">
        <w:rPr>
          <w:rFonts w:eastAsia="Calibri"/>
        </w:rPr>
        <w:t xml:space="preserve"> during the 2012 Audit period. </w:t>
      </w:r>
    </w:p>
    <w:p w:rsidR="0094089E" w:rsidRDefault="0040569A" w:rsidP="00334C6A">
      <w:pPr>
        <w:pStyle w:val="textstyle"/>
        <w:rPr>
          <w:rFonts w:eastAsia="Calibri"/>
          <w:lang w:val="en-US"/>
        </w:rPr>
      </w:pPr>
      <w:r>
        <w:rPr>
          <w:rFonts w:eastAsia="Calibri"/>
          <w:lang w:val="en-US"/>
        </w:rPr>
        <w:tab/>
        <w:t xml:space="preserve">Finally, </w:t>
      </w:r>
      <w:r w:rsidR="00E73984">
        <w:rPr>
          <w:rFonts w:eastAsia="Calibri"/>
          <w:lang w:val="en-US"/>
        </w:rPr>
        <w:t xml:space="preserve">not only did the Companies use </w:t>
      </w:r>
      <w:r w:rsidR="002F7C98">
        <w:rPr>
          <w:rFonts w:eastAsia="Calibri"/>
          <w:lang w:val="en-US"/>
        </w:rPr>
        <w:t xml:space="preserve">NYMEX </w:t>
      </w:r>
      <w:r w:rsidR="00E73984">
        <w:rPr>
          <w:rFonts w:eastAsia="Calibri"/>
          <w:lang w:val="en-US"/>
        </w:rPr>
        <w:t xml:space="preserve">as a pricing point in their local production agreements, but </w:t>
      </w:r>
      <w:r w:rsidR="002F7C98">
        <w:rPr>
          <w:rFonts w:eastAsia="Calibri"/>
          <w:lang w:val="en-US"/>
        </w:rPr>
        <w:t>most local producers in Ohio</w:t>
      </w:r>
      <w:r w:rsidR="00E73984">
        <w:rPr>
          <w:rFonts w:eastAsia="Calibri"/>
          <w:lang w:val="en-US"/>
        </w:rPr>
        <w:t xml:space="preserve"> do</w:t>
      </w:r>
      <w:r w:rsidR="00F72FDF">
        <w:rPr>
          <w:rFonts w:eastAsia="Calibri"/>
          <w:lang w:val="en-US"/>
        </w:rPr>
        <w:t xml:space="preserve"> the same</w:t>
      </w:r>
      <w:r w:rsidR="002F7C98">
        <w:rPr>
          <w:rFonts w:eastAsia="Calibri"/>
          <w:lang w:val="en-US"/>
        </w:rPr>
        <w:t>.</w:t>
      </w:r>
      <w:r w:rsidR="002F7C98">
        <w:rPr>
          <w:rStyle w:val="FootnoteReference"/>
          <w:rFonts w:eastAsia="Calibri"/>
          <w:lang w:val="en-US"/>
        </w:rPr>
        <w:footnoteReference w:id="52"/>
      </w:r>
      <w:r w:rsidR="002F7C98">
        <w:rPr>
          <w:rFonts w:eastAsia="Calibri"/>
          <w:lang w:val="en-US"/>
        </w:rPr>
        <w:t xml:space="preserve">  </w:t>
      </w:r>
      <w:r w:rsidR="00F72FDF">
        <w:rPr>
          <w:rFonts w:eastAsia="Calibri"/>
          <w:lang w:val="en-US"/>
        </w:rPr>
        <w:t>But a</w:t>
      </w:r>
      <w:r w:rsidR="002F7C98">
        <w:rPr>
          <w:rFonts w:eastAsia="Calibri"/>
          <w:lang w:val="en-US"/>
        </w:rPr>
        <w:t xml:space="preserve">s </w:t>
      </w:r>
      <w:r>
        <w:rPr>
          <w:rFonts w:eastAsia="Calibri"/>
          <w:lang w:val="en-US"/>
        </w:rPr>
        <w:t>Staff wit</w:t>
      </w:r>
      <w:r w:rsidR="0094089E">
        <w:rPr>
          <w:rFonts w:eastAsia="Calibri"/>
          <w:lang w:val="en-US"/>
        </w:rPr>
        <w:softHyphen/>
      </w:r>
      <w:r>
        <w:rPr>
          <w:rFonts w:eastAsia="Calibri"/>
          <w:lang w:val="en-US"/>
        </w:rPr>
        <w:t>ness Sarver explained</w:t>
      </w:r>
      <w:r w:rsidR="002F7C98">
        <w:rPr>
          <w:rFonts w:eastAsia="Calibri"/>
          <w:lang w:val="en-US"/>
        </w:rPr>
        <w:t xml:space="preserve">, </w:t>
      </w:r>
      <w:r w:rsidR="00F72FDF">
        <w:rPr>
          <w:rFonts w:eastAsia="Calibri"/>
          <w:lang w:val="en-US"/>
        </w:rPr>
        <w:t>local</w:t>
      </w:r>
      <w:r>
        <w:rPr>
          <w:rFonts w:eastAsia="Calibri"/>
          <w:lang w:val="en-US"/>
        </w:rPr>
        <w:t xml:space="preserve"> production prices are </w:t>
      </w:r>
      <w:r w:rsidR="00E73984">
        <w:rPr>
          <w:rFonts w:eastAsia="Calibri"/>
          <w:lang w:val="en-US"/>
        </w:rPr>
        <w:t xml:space="preserve">based upon the </w:t>
      </w:r>
      <w:r>
        <w:rPr>
          <w:rFonts w:eastAsia="Calibri"/>
          <w:lang w:val="en-US"/>
        </w:rPr>
        <w:t>market</w:t>
      </w:r>
      <w:r w:rsidR="008A4168">
        <w:rPr>
          <w:rFonts w:eastAsia="Calibri"/>
          <w:lang w:val="en-US"/>
        </w:rPr>
        <w:t xml:space="preserve"> and not </w:t>
      </w:r>
      <w:r w:rsidR="007A2281">
        <w:rPr>
          <w:rFonts w:eastAsia="Calibri"/>
          <w:lang w:val="en-US"/>
        </w:rPr>
        <w:t xml:space="preserve">merely </w:t>
      </w:r>
      <w:r w:rsidR="0094089E">
        <w:rPr>
          <w:rFonts w:eastAsia="Calibri"/>
          <w:lang w:val="en-US"/>
        </w:rPr>
        <w:br w:type="page"/>
      </w:r>
    </w:p>
    <w:p w:rsidR="0040569A" w:rsidRPr="0094089E" w:rsidRDefault="008A4168" w:rsidP="00334C6A">
      <w:pPr>
        <w:pStyle w:val="textstyle"/>
        <w:rPr>
          <w:rFonts w:eastAsia="Calibri"/>
          <w:lang w:val="en-US"/>
        </w:rPr>
      </w:pPr>
      <w:proofErr w:type="gramStart"/>
      <w:r>
        <w:rPr>
          <w:rFonts w:eastAsia="Calibri"/>
          <w:lang w:val="en-US"/>
        </w:rPr>
        <w:lastRenderedPageBreak/>
        <w:t>the</w:t>
      </w:r>
      <w:proofErr w:type="gramEnd"/>
      <w:r>
        <w:rPr>
          <w:rFonts w:eastAsia="Calibri"/>
          <w:lang w:val="en-US"/>
        </w:rPr>
        <w:t xml:space="preserve"> </w:t>
      </w:r>
      <w:r w:rsidR="007A2281">
        <w:rPr>
          <w:rFonts w:eastAsia="Calibri"/>
          <w:lang w:val="en-US"/>
        </w:rPr>
        <w:t>NYMEX</w:t>
      </w:r>
      <w:r>
        <w:rPr>
          <w:rFonts w:eastAsia="Calibri"/>
          <w:lang w:val="en-US"/>
        </w:rPr>
        <w:t xml:space="preserve"> index price</w:t>
      </w:r>
      <w:r w:rsidR="007A2281">
        <w:rPr>
          <w:rFonts w:eastAsia="Calibri"/>
          <w:lang w:val="en-US"/>
        </w:rPr>
        <w:t>.</w:t>
      </w:r>
      <w:r w:rsidR="002F7C98">
        <w:rPr>
          <w:rStyle w:val="FootnoteReference"/>
          <w:rFonts w:eastAsia="Calibri"/>
          <w:lang w:val="en-US"/>
        </w:rPr>
        <w:footnoteReference w:id="53"/>
      </w:r>
      <w:r w:rsidR="0040569A">
        <w:rPr>
          <w:rFonts w:eastAsia="Calibri"/>
          <w:lang w:val="en-US"/>
        </w:rPr>
        <w:t xml:space="preserve"> </w:t>
      </w:r>
      <w:r w:rsidR="007A2281">
        <w:rPr>
          <w:rFonts w:eastAsia="Calibri"/>
          <w:lang w:val="en-US"/>
        </w:rPr>
        <w:t xml:space="preserve"> </w:t>
      </w:r>
      <w:r w:rsidR="00F72FDF">
        <w:rPr>
          <w:rFonts w:eastAsia="Calibri"/>
          <w:lang w:val="en-US"/>
        </w:rPr>
        <w:t>The important question is</w:t>
      </w:r>
      <w:r w:rsidR="007A2281">
        <w:rPr>
          <w:rFonts w:eastAsia="Calibri"/>
          <w:lang w:val="en-US"/>
        </w:rPr>
        <w:t xml:space="preserve"> </w:t>
      </w:r>
      <w:r w:rsidR="00F72FDF">
        <w:rPr>
          <w:rFonts w:eastAsia="Calibri"/>
          <w:lang w:val="en-US"/>
        </w:rPr>
        <w:t>whether there has been a substan</w:t>
      </w:r>
      <w:r w:rsidR="0094089E">
        <w:rPr>
          <w:rFonts w:eastAsia="Calibri"/>
          <w:lang w:val="en-US"/>
        </w:rPr>
        <w:softHyphen/>
      </w:r>
      <w:r w:rsidR="00F72FDF">
        <w:rPr>
          <w:rFonts w:eastAsia="Calibri"/>
          <w:lang w:val="en-US"/>
        </w:rPr>
        <w:t xml:space="preserve">tial change in the local production market since JDOG Marketing entered into the </w:t>
      </w:r>
      <w:r w:rsidR="007A2281">
        <w:rPr>
          <w:rFonts w:eastAsia="Calibri"/>
          <w:lang w:val="en-US"/>
        </w:rPr>
        <w:t xml:space="preserve">local production </w:t>
      </w:r>
      <w:r w:rsidR="00F72FDF">
        <w:rPr>
          <w:rFonts w:eastAsia="Calibri"/>
          <w:lang w:val="en-US"/>
        </w:rPr>
        <w:t>contracts examined</w:t>
      </w:r>
      <w:r w:rsidR="007A2281">
        <w:rPr>
          <w:rFonts w:eastAsia="Calibri"/>
          <w:lang w:val="en-US"/>
        </w:rPr>
        <w:t xml:space="preserve"> by Staff</w:t>
      </w:r>
      <w:r w:rsidR="00F72FDF">
        <w:rPr>
          <w:rFonts w:eastAsia="Calibri"/>
          <w:lang w:val="en-US"/>
        </w:rPr>
        <w:t xml:space="preserve">.  </w:t>
      </w:r>
      <w:r w:rsidR="00E73984">
        <w:rPr>
          <w:rFonts w:eastAsia="Calibri"/>
          <w:lang w:val="en-US"/>
        </w:rPr>
        <w:t xml:space="preserve">Prices in the local production market have dropped since the </w:t>
      </w:r>
      <w:r w:rsidR="00F72FDF">
        <w:rPr>
          <w:rFonts w:eastAsia="Calibri"/>
          <w:lang w:val="en-US"/>
        </w:rPr>
        <w:t xml:space="preserve">JDOG Marketing </w:t>
      </w:r>
      <w:r w:rsidR="00E73984">
        <w:rPr>
          <w:rFonts w:eastAsia="Calibri"/>
          <w:lang w:val="en-US"/>
        </w:rPr>
        <w:t>entered into the</w:t>
      </w:r>
      <w:r w:rsidR="007A2281">
        <w:rPr>
          <w:rFonts w:eastAsia="Calibri"/>
          <w:lang w:val="en-US"/>
        </w:rPr>
        <w:t>se</w:t>
      </w:r>
      <w:r w:rsidR="00E73984">
        <w:rPr>
          <w:rFonts w:eastAsia="Calibri"/>
          <w:lang w:val="en-US"/>
        </w:rPr>
        <w:t xml:space="preserve"> local production agreements</w:t>
      </w:r>
      <w:r w:rsidR="007A2281">
        <w:rPr>
          <w:rFonts w:eastAsia="Calibri"/>
          <w:lang w:val="en-US"/>
        </w:rPr>
        <w:t>.</w:t>
      </w:r>
      <w:r w:rsidR="00C45181">
        <w:rPr>
          <w:rStyle w:val="FootnoteReference"/>
          <w:rFonts w:eastAsia="Calibri"/>
          <w:lang w:val="en-US"/>
        </w:rPr>
        <w:footnoteReference w:id="54"/>
      </w:r>
      <w:r w:rsidR="007A2281">
        <w:rPr>
          <w:rFonts w:eastAsia="Calibri"/>
          <w:lang w:val="en-US"/>
        </w:rPr>
        <w:t xml:space="preserve">  </w:t>
      </w:r>
      <w:r w:rsidR="001D0B28">
        <w:rPr>
          <w:rFonts w:eastAsia="Calibri"/>
          <w:lang w:val="en-US"/>
        </w:rPr>
        <w:t xml:space="preserve">This </w:t>
      </w:r>
      <w:r w:rsidR="007A2281">
        <w:rPr>
          <w:rFonts w:eastAsia="Calibri"/>
          <w:lang w:val="en-US"/>
        </w:rPr>
        <w:t xml:space="preserve">drop in local production prices </w:t>
      </w:r>
      <w:r w:rsidR="00F72FDF">
        <w:rPr>
          <w:rFonts w:eastAsia="Calibri"/>
          <w:lang w:val="en-US"/>
        </w:rPr>
        <w:t>would allow J</w:t>
      </w:r>
      <w:r w:rsidR="00E73984">
        <w:rPr>
          <w:rFonts w:eastAsia="Calibri"/>
          <w:lang w:val="en-US"/>
        </w:rPr>
        <w:t xml:space="preserve">DOG Marketing </w:t>
      </w:r>
      <w:r w:rsidR="00F72FDF">
        <w:rPr>
          <w:rFonts w:eastAsia="Calibri"/>
          <w:lang w:val="en-US"/>
        </w:rPr>
        <w:t xml:space="preserve">to </w:t>
      </w:r>
      <w:r w:rsidR="007A2281">
        <w:rPr>
          <w:rFonts w:eastAsia="Calibri"/>
          <w:lang w:val="en-US"/>
        </w:rPr>
        <w:t xml:space="preserve">pay local </w:t>
      </w:r>
      <w:r w:rsidR="00F72FDF">
        <w:rPr>
          <w:rFonts w:eastAsia="Calibri"/>
          <w:lang w:val="en-US"/>
        </w:rPr>
        <w:t>producers l</w:t>
      </w:r>
      <w:r w:rsidR="007A2281">
        <w:rPr>
          <w:rFonts w:eastAsia="Calibri"/>
          <w:lang w:val="en-US"/>
        </w:rPr>
        <w:t xml:space="preserve">ess </w:t>
      </w:r>
      <w:r w:rsidR="001D0B28">
        <w:rPr>
          <w:rFonts w:eastAsia="Calibri"/>
          <w:lang w:val="en-US"/>
        </w:rPr>
        <w:t xml:space="preserve">and </w:t>
      </w:r>
      <w:r w:rsidR="00F254CB">
        <w:rPr>
          <w:rFonts w:eastAsia="Calibri"/>
          <w:lang w:val="en-US"/>
        </w:rPr>
        <w:t>extract</w:t>
      </w:r>
      <w:r w:rsidR="001D0B28">
        <w:rPr>
          <w:rFonts w:eastAsia="Calibri"/>
          <w:lang w:val="en-US"/>
        </w:rPr>
        <w:t xml:space="preserve"> even greater premium</w:t>
      </w:r>
      <w:r w:rsidR="007A2281">
        <w:rPr>
          <w:rFonts w:eastAsia="Calibri"/>
          <w:lang w:val="en-US"/>
        </w:rPr>
        <w:t xml:space="preserve"> payments from the Companies</w:t>
      </w:r>
      <w:r w:rsidR="001D0B28">
        <w:rPr>
          <w:rFonts w:eastAsia="Calibri"/>
          <w:lang w:val="en-US"/>
        </w:rPr>
        <w:t>.</w:t>
      </w:r>
      <w:r w:rsidR="00F254CB">
        <w:rPr>
          <w:rStyle w:val="FootnoteReference"/>
          <w:rFonts w:eastAsia="Calibri"/>
          <w:lang w:val="en-US"/>
        </w:rPr>
        <w:footnoteReference w:id="55"/>
      </w:r>
      <w:r w:rsidR="001D0B28">
        <w:rPr>
          <w:rFonts w:eastAsia="Calibri"/>
          <w:lang w:val="en-US"/>
        </w:rPr>
        <w:t xml:space="preserve">  </w:t>
      </w:r>
      <w:r w:rsidR="007A2281">
        <w:rPr>
          <w:rFonts w:eastAsia="Calibri"/>
          <w:lang w:val="en-US"/>
        </w:rPr>
        <w:t>When consider</w:t>
      </w:r>
      <w:r w:rsidR="0094089E">
        <w:rPr>
          <w:rFonts w:eastAsia="Calibri"/>
          <w:lang w:val="en-US"/>
        </w:rPr>
        <w:softHyphen/>
      </w:r>
      <w:r w:rsidR="007A2281">
        <w:rPr>
          <w:rFonts w:eastAsia="Calibri"/>
          <w:lang w:val="en-US"/>
        </w:rPr>
        <w:t>ing th</w:t>
      </w:r>
      <w:r w:rsidR="00F254CB">
        <w:rPr>
          <w:rFonts w:eastAsia="Calibri"/>
          <w:lang w:val="en-US"/>
        </w:rPr>
        <w:t xml:space="preserve">e </w:t>
      </w:r>
      <w:r w:rsidR="007A2281">
        <w:rPr>
          <w:rFonts w:eastAsia="Calibri"/>
          <w:lang w:val="en-US"/>
        </w:rPr>
        <w:t xml:space="preserve">change in the market, </w:t>
      </w:r>
      <w:r w:rsidR="001D0B28">
        <w:rPr>
          <w:rFonts w:eastAsia="Calibri"/>
          <w:lang w:val="en-US"/>
        </w:rPr>
        <w:t>Staff’s calculation is conservative because it did not account</w:t>
      </w:r>
      <w:r w:rsidR="007A2281">
        <w:rPr>
          <w:rFonts w:eastAsia="Calibri"/>
          <w:lang w:val="en-US"/>
        </w:rPr>
        <w:t xml:space="preserve"> for a </w:t>
      </w:r>
      <w:r w:rsidR="001E32FA">
        <w:rPr>
          <w:rFonts w:eastAsia="Calibri"/>
          <w:lang w:val="en-US"/>
        </w:rPr>
        <w:t xml:space="preserve">pricing shift </w:t>
      </w:r>
      <w:r w:rsidR="007A2281">
        <w:rPr>
          <w:rFonts w:eastAsia="Calibri"/>
          <w:lang w:val="en-US"/>
        </w:rPr>
        <w:t>that</w:t>
      </w:r>
      <w:r w:rsidR="001D0B28">
        <w:rPr>
          <w:rFonts w:eastAsia="Calibri"/>
          <w:lang w:val="en-US"/>
        </w:rPr>
        <w:t xml:space="preserve"> almost assuredly worked in JDOG Marketing’s favor.</w:t>
      </w:r>
      <w:r w:rsidR="00F254CB">
        <w:rPr>
          <w:rStyle w:val="FootnoteReference"/>
          <w:rFonts w:eastAsia="Calibri"/>
          <w:lang w:val="en-US"/>
        </w:rPr>
        <w:footnoteReference w:id="56"/>
      </w:r>
    </w:p>
    <w:p w:rsidR="00E2704C" w:rsidRPr="00C04E56" w:rsidRDefault="001A6DE0" w:rsidP="0094089E">
      <w:pPr>
        <w:pStyle w:val="Heading3"/>
      </w:pPr>
      <w:bookmarkStart w:id="10" w:name="_Toc364688842"/>
      <w:r>
        <w:t>B</w:t>
      </w:r>
      <w:r w:rsidR="00E77986">
        <w:t>.</w:t>
      </w:r>
      <w:r w:rsidR="00334C6A">
        <w:tab/>
      </w:r>
      <w:r w:rsidR="00E2704C" w:rsidRPr="00C04E56">
        <w:t>Staff</w:t>
      </w:r>
      <w:r w:rsidR="00E77986">
        <w:t>’</w:t>
      </w:r>
      <w:r w:rsidR="00E2704C" w:rsidRPr="00C04E56">
        <w:t>s other actual adjustment recommendations were not con</w:t>
      </w:r>
      <w:r w:rsidR="00282922">
        <w:softHyphen/>
      </w:r>
      <w:r w:rsidR="00E2704C" w:rsidRPr="00C04E56">
        <w:t>tested by the Companies</w:t>
      </w:r>
      <w:r w:rsidR="00833AA8">
        <w:t>,</w:t>
      </w:r>
      <w:r w:rsidR="00E2704C" w:rsidRPr="00C04E56">
        <w:t xml:space="preserve"> and should be adopted by the Commis</w:t>
      </w:r>
      <w:r w:rsidR="00282922">
        <w:softHyphen/>
      </w:r>
      <w:r w:rsidR="00E2704C" w:rsidRPr="00C04E56">
        <w:t>sion.</w:t>
      </w:r>
      <w:bookmarkEnd w:id="10"/>
      <w:r w:rsidR="00E2704C" w:rsidRPr="00C04E56">
        <w:t xml:space="preserve"> </w:t>
      </w:r>
    </w:p>
    <w:p w:rsidR="00E2704C" w:rsidRPr="00C04E56" w:rsidRDefault="00E2704C" w:rsidP="00334C6A">
      <w:pPr>
        <w:pStyle w:val="textstyle"/>
        <w:rPr>
          <w:rFonts w:eastAsia="Calibri"/>
        </w:rPr>
      </w:pPr>
      <w:r w:rsidRPr="00C04E56">
        <w:rPr>
          <w:rFonts w:eastAsia="Calibri"/>
        </w:rPr>
        <w:tab/>
        <w:t xml:space="preserve">Staff made a number of other recommendations regarding its proposed actual adjustment: </w:t>
      </w:r>
    </w:p>
    <w:p w:rsidR="00E2704C" w:rsidRPr="00C04E56" w:rsidRDefault="00E2704C" w:rsidP="00334C6A">
      <w:pPr>
        <w:pStyle w:val="ListParagraph"/>
        <w:numPr>
          <w:ilvl w:val="0"/>
          <w:numId w:val="3"/>
        </w:numPr>
        <w:autoSpaceDE w:val="0"/>
        <w:autoSpaceDN w:val="0"/>
        <w:adjustRightInd w:val="0"/>
        <w:spacing w:after="240"/>
        <w:ind w:left="1440" w:hanging="720"/>
        <w:contextualSpacing w:val="0"/>
        <w:rPr>
          <w:rFonts w:eastAsia="Calibri" w:cs="Times New Roman"/>
          <w:sz w:val="26"/>
          <w:szCs w:val="26"/>
        </w:rPr>
      </w:pPr>
      <w:r w:rsidRPr="00C04E56">
        <w:rPr>
          <w:rFonts w:cs="Times New Roman"/>
          <w:sz w:val="26"/>
          <w:szCs w:val="26"/>
        </w:rPr>
        <w:lastRenderedPageBreak/>
        <w:t>Staff recommends increasing NEO</w:t>
      </w:r>
      <w:r w:rsidR="00E77986">
        <w:rPr>
          <w:rFonts w:cs="Times New Roman"/>
          <w:sz w:val="26"/>
          <w:szCs w:val="26"/>
        </w:rPr>
        <w:t>’</w:t>
      </w:r>
      <w:r w:rsidRPr="00C04E56">
        <w:rPr>
          <w:rFonts w:cs="Times New Roman"/>
          <w:sz w:val="26"/>
          <w:szCs w:val="26"/>
        </w:rPr>
        <w:t>s sales volumes for the months of March 2010 through May 2010 by 181,172 Mcf.</w:t>
      </w:r>
      <w:r w:rsidR="00A73533" w:rsidRPr="00C04E56">
        <w:rPr>
          <w:rStyle w:val="FootnoteReference"/>
          <w:rFonts w:cs="Times New Roman"/>
          <w:sz w:val="26"/>
          <w:szCs w:val="26"/>
        </w:rPr>
        <w:footnoteReference w:id="57"/>
      </w:r>
      <w:r w:rsidRPr="00C04E56">
        <w:rPr>
          <w:rFonts w:cs="Times New Roman"/>
          <w:sz w:val="26"/>
          <w:szCs w:val="26"/>
        </w:rPr>
        <w:t xml:space="preserve"> </w:t>
      </w:r>
      <w:r w:rsidR="00DB2C7B">
        <w:rPr>
          <w:rFonts w:cs="Times New Roman"/>
          <w:sz w:val="26"/>
          <w:szCs w:val="26"/>
        </w:rPr>
        <w:t xml:space="preserve"> </w:t>
      </w:r>
      <w:r w:rsidR="00AE655C" w:rsidRPr="00C04E56">
        <w:rPr>
          <w:rFonts w:cs="Times New Roman"/>
          <w:sz w:val="26"/>
          <w:szCs w:val="26"/>
        </w:rPr>
        <w:t>Staff also recommends that free gas be removed from the actual adjustment calculation</w:t>
      </w:r>
      <w:r w:rsidR="0026741F">
        <w:rPr>
          <w:rFonts w:cs="Times New Roman"/>
          <w:sz w:val="26"/>
          <w:szCs w:val="26"/>
        </w:rPr>
        <w:t xml:space="preserve"> for the companies</w:t>
      </w:r>
      <w:r w:rsidR="00AE655C" w:rsidRPr="00C04E56">
        <w:rPr>
          <w:rFonts w:cs="Times New Roman"/>
          <w:sz w:val="26"/>
          <w:szCs w:val="26"/>
        </w:rPr>
        <w:t>.</w:t>
      </w:r>
      <w:r w:rsidR="00AE655C" w:rsidRPr="00C04E56">
        <w:rPr>
          <w:rStyle w:val="FootnoteReference"/>
          <w:rFonts w:cs="Times New Roman"/>
          <w:sz w:val="26"/>
          <w:szCs w:val="26"/>
        </w:rPr>
        <w:footnoteReference w:id="58"/>
      </w:r>
      <w:r w:rsidR="00AE655C" w:rsidRPr="00C04E56">
        <w:rPr>
          <w:rFonts w:cs="Times New Roman"/>
          <w:sz w:val="26"/>
          <w:szCs w:val="26"/>
        </w:rPr>
        <w:t xml:space="preserve">  </w:t>
      </w:r>
    </w:p>
    <w:p w:rsidR="00EA56EF" w:rsidRPr="00C04E56" w:rsidRDefault="00640180" w:rsidP="00334C6A">
      <w:pPr>
        <w:pStyle w:val="ListParagraph"/>
        <w:numPr>
          <w:ilvl w:val="0"/>
          <w:numId w:val="3"/>
        </w:numPr>
        <w:autoSpaceDE w:val="0"/>
        <w:autoSpaceDN w:val="0"/>
        <w:adjustRightInd w:val="0"/>
        <w:spacing w:after="240"/>
        <w:ind w:left="1440" w:hanging="720"/>
        <w:contextualSpacing w:val="0"/>
        <w:rPr>
          <w:rFonts w:eastAsia="Calibri" w:cs="Times New Roman"/>
          <w:sz w:val="26"/>
          <w:szCs w:val="26"/>
        </w:rPr>
      </w:pPr>
      <w:r w:rsidRPr="00C04E56">
        <w:rPr>
          <w:rFonts w:cs="Times New Roman"/>
          <w:sz w:val="26"/>
          <w:szCs w:val="26"/>
        </w:rPr>
        <w:t xml:space="preserve">Staff recommends that the Commission disallow all agency/broker fees paid to </w:t>
      </w:r>
      <w:r w:rsidR="002B5EB2">
        <w:rPr>
          <w:rFonts w:cs="Times New Roman"/>
          <w:sz w:val="26"/>
          <w:szCs w:val="26"/>
        </w:rPr>
        <w:t>JDOG Marketing</w:t>
      </w:r>
      <w:r w:rsidRPr="00C04E56">
        <w:rPr>
          <w:rFonts w:cs="Times New Roman"/>
          <w:sz w:val="26"/>
          <w:szCs w:val="26"/>
        </w:rPr>
        <w:t xml:space="preserve"> for the purchase of interstate gas that the Com</w:t>
      </w:r>
      <w:r w:rsidR="0094089E">
        <w:rPr>
          <w:rFonts w:cs="Times New Roman"/>
          <w:sz w:val="26"/>
          <w:szCs w:val="26"/>
        </w:rPr>
        <w:softHyphen/>
      </w:r>
      <w:r w:rsidRPr="00C04E56">
        <w:rPr>
          <w:rFonts w:cs="Times New Roman"/>
          <w:sz w:val="26"/>
          <w:szCs w:val="26"/>
        </w:rPr>
        <w:t>panies are seeking to recover from GCR customers.</w:t>
      </w:r>
      <w:r w:rsidR="00A73533" w:rsidRPr="00C04E56">
        <w:rPr>
          <w:rStyle w:val="FootnoteReference"/>
          <w:rFonts w:cs="Times New Roman"/>
          <w:sz w:val="26"/>
          <w:szCs w:val="26"/>
        </w:rPr>
        <w:footnoteReference w:id="59"/>
      </w:r>
      <w:r w:rsidRPr="00C04E56">
        <w:rPr>
          <w:rFonts w:cs="Times New Roman"/>
          <w:sz w:val="26"/>
          <w:szCs w:val="26"/>
        </w:rPr>
        <w:t xml:space="preserve"> </w:t>
      </w:r>
    </w:p>
    <w:p w:rsidR="00640180" w:rsidRDefault="00EA56EF" w:rsidP="00334C6A">
      <w:pPr>
        <w:pStyle w:val="textstyle"/>
      </w:pPr>
      <w:r w:rsidRPr="00C04E56">
        <w:tab/>
        <w:t>The Companies did not contest these recom</w:t>
      </w:r>
      <w:r w:rsidR="007031A0">
        <w:t xml:space="preserve">mendations during the hearing. </w:t>
      </w:r>
      <w:r w:rsidRPr="00C04E56">
        <w:t>Therefore, the Commission should adopt Staff</w:t>
      </w:r>
      <w:r w:rsidR="00E77986">
        <w:t>’</w:t>
      </w:r>
      <w:r w:rsidRPr="00C04E56">
        <w:t>s recommendations.</w:t>
      </w:r>
      <w:r w:rsidR="007031A0">
        <w:t xml:space="preserve"> </w:t>
      </w:r>
    </w:p>
    <w:p w:rsidR="00BC4B34" w:rsidRPr="00BC4B34" w:rsidRDefault="001A6DE0" w:rsidP="0094089E">
      <w:pPr>
        <w:pStyle w:val="Heading2"/>
      </w:pPr>
      <w:bookmarkStart w:id="11" w:name="_Toc364688843"/>
      <w:r>
        <w:t>II</w:t>
      </w:r>
      <w:r w:rsidR="00334C6A">
        <w:t>.</w:t>
      </w:r>
      <w:r w:rsidR="00334C6A">
        <w:tab/>
      </w:r>
      <w:r w:rsidR="00021799">
        <w:t>The Commission s</w:t>
      </w:r>
      <w:r w:rsidR="00BC4B34" w:rsidRPr="00BC4B34">
        <w:t xml:space="preserve">hould </w:t>
      </w:r>
      <w:r w:rsidR="00021799">
        <w:t>r</w:t>
      </w:r>
      <w:r w:rsidR="00BC4B34" w:rsidRPr="00BC4B34">
        <w:t xml:space="preserve">eject the results of the RFP Process, and </w:t>
      </w:r>
      <w:r w:rsidR="00021799">
        <w:t>o</w:t>
      </w:r>
      <w:r w:rsidR="00BC4B34" w:rsidRPr="00BC4B34">
        <w:t xml:space="preserve">rder Management Performance and Forensic Audits of the Companies and </w:t>
      </w:r>
      <w:r w:rsidR="00334C6A" w:rsidRPr="00BC4B34">
        <w:t>their related pipeline companies</w:t>
      </w:r>
      <w:r w:rsidR="00334C6A">
        <w:t xml:space="preserve"> </w:t>
      </w:r>
      <w:r w:rsidR="00021799">
        <w:t>in a new case docket</w:t>
      </w:r>
      <w:r w:rsidR="00BC4B34" w:rsidRPr="00BC4B34">
        <w:t>.</w:t>
      </w:r>
      <w:bookmarkEnd w:id="11"/>
    </w:p>
    <w:p w:rsidR="00BC4B34" w:rsidRPr="00BC4B34" w:rsidRDefault="00334C6A" w:rsidP="00334C6A">
      <w:pPr>
        <w:pStyle w:val="textstyle"/>
      </w:pPr>
      <w:r>
        <w:rPr>
          <w:lang w:val="en-US"/>
        </w:rPr>
        <w:tab/>
      </w:r>
      <w:r w:rsidR="00BC4B34" w:rsidRPr="00BC4B34">
        <w:t>Staff is recommending that the Commission order an investigation into the management practices of these companies</w:t>
      </w:r>
      <w:r w:rsidR="00021799">
        <w:t xml:space="preserve"> for the reasons that follow</w:t>
      </w:r>
      <w:r w:rsidR="00BC4B34" w:rsidRPr="00BC4B34">
        <w:t xml:space="preserve">. </w:t>
      </w:r>
      <w:r>
        <w:rPr>
          <w:lang w:val="en-US"/>
        </w:rPr>
        <w:t xml:space="preserve"> </w:t>
      </w:r>
      <w:r w:rsidR="00BC4B34" w:rsidRPr="00BC4B34">
        <w:t xml:space="preserve">The investigation should not only inquire into these companies, but </w:t>
      </w:r>
      <w:r w:rsidR="00021799">
        <w:t xml:space="preserve">should also include </w:t>
      </w:r>
      <w:r w:rsidR="00BC4B34" w:rsidRPr="00BC4B34">
        <w:t xml:space="preserve">their related and affiliated regulated companies, as well. Staff does not take this step lightly. </w:t>
      </w:r>
      <w:r>
        <w:rPr>
          <w:lang w:val="en-US"/>
        </w:rPr>
        <w:t xml:space="preserve"> </w:t>
      </w:r>
      <w:r w:rsidR="00BC4B34" w:rsidRPr="00BC4B34">
        <w:t>This is, in fact, an unprecedented recommendation.</w:t>
      </w:r>
      <w:r>
        <w:rPr>
          <w:lang w:val="en-US"/>
        </w:rPr>
        <w:t xml:space="preserve"> </w:t>
      </w:r>
      <w:r w:rsidR="00BC4B34" w:rsidRPr="00BC4B34">
        <w:t xml:space="preserve"> It comes following a series of extremely frustrating audits of </w:t>
      </w:r>
      <w:r w:rsidR="00021799">
        <w:t xml:space="preserve">the </w:t>
      </w:r>
      <w:r w:rsidR="00BC4B34" w:rsidRPr="00BC4B34">
        <w:t>companies rife with self-dealing that demonstrate</w:t>
      </w:r>
      <w:r w:rsidR="00021799">
        <w:t>s</w:t>
      </w:r>
      <w:r w:rsidR="00BC4B34" w:rsidRPr="00BC4B34">
        <w:t xml:space="preserve"> a remarkable lack of control. </w:t>
      </w:r>
      <w:r>
        <w:rPr>
          <w:lang w:val="en-US"/>
        </w:rPr>
        <w:t xml:space="preserve"> </w:t>
      </w:r>
      <w:r w:rsidR="00BC4B34" w:rsidRPr="00BC4B34">
        <w:t xml:space="preserve">While Staff believes that there is adequate reason to justify such an order on many different individual grounds, the </w:t>
      </w:r>
      <w:r w:rsidR="00021799">
        <w:t xml:space="preserve">actions of the </w:t>
      </w:r>
      <w:r w:rsidR="00BC4B34" w:rsidRPr="00BC4B34">
        <w:t>companies</w:t>
      </w:r>
      <w:r w:rsidR="00E77986">
        <w:t>’</w:t>
      </w:r>
      <w:r w:rsidR="00BC4B34" w:rsidRPr="00BC4B34">
        <w:t xml:space="preserve"> general management, taken as whole, evidences a clear need for sweeping action. </w:t>
      </w:r>
    </w:p>
    <w:p w:rsidR="00BC4B34" w:rsidRPr="00BC4B34" w:rsidRDefault="00334C6A" w:rsidP="00334C6A">
      <w:pPr>
        <w:pStyle w:val="textstyle"/>
      </w:pPr>
      <w:r>
        <w:rPr>
          <w:lang w:val="en-US"/>
        </w:rPr>
        <w:lastRenderedPageBreak/>
        <w:tab/>
      </w:r>
      <w:r w:rsidR="00BC4B34" w:rsidRPr="00BC4B34">
        <w:t>The Commission has the necessary authority to make whatever changes are necessary to ensure that these companies operate in the best interests of their customers. It has done so before</w:t>
      </w:r>
      <w:r w:rsidR="00021799">
        <w:t xml:space="preserve"> </w:t>
      </w:r>
      <w:r w:rsidR="00BC4B34" w:rsidRPr="00BC4B34">
        <w:t>under similar circumstances:</w:t>
      </w:r>
    </w:p>
    <w:p w:rsidR="00BC4B34" w:rsidRPr="00BC4B34" w:rsidRDefault="00BC4B34" w:rsidP="00862BD7">
      <w:pPr>
        <w:pStyle w:val="Blockquote"/>
      </w:pPr>
      <w:r w:rsidRPr="00BC4B34">
        <w:t>Columbia</w:t>
      </w:r>
      <w:r w:rsidR="00E77986">
        <w:t>’</w:t>
      </w:r>
      <w:r w:rsidRPr="00BC4B34">
        <w:t>s loyalty should be not to its affiliates, but to its Ohio ratepayers.</w:t>
      </w:r>
      <w:r w:rsidR="00334C6A">
        <w:t xml:space="preserve">  </w:t>
      </w:r>
      <w:r w:rsidRPr="00BC4B34">
        <w:t>It appears to this Commission that Columbia</w:t>
      </w:r>
      <w:r w:rsidR="00E77986">
        <w:t>’</w:t>
      </w:r>
      <w:r w:rsidRPr="00BC4B34">
        <w:t>s management is overly influenced by its parent and/or sister companies, and that some action is necessary to ensure the independence of Columbia</w:t>
      </w:r>
      <w:r w:rsidR="00E77986">
        <w:t>’</w:t>
      </w:r>
      <w:r w:rsidRPr="00BC4B34">
        <w:t>s decision-making.</w:t>
      </w:r>
      <w:r w:rsidR="00334C6A">
        <w:t xml:space="preserve">  </w:t>
      </w:r>
      <w:r w:rsidRPr="00BC4B34">
        <w:t>An independent b</w:t>
      </w:r>
      <w:r w:rsidR="00862BD7">
        <w:t>oard of directors for Columbia G</w:t>
      </w:r>
      <w:r w:rsidRPr="00BC4B34">
        <w:t>as of Ohio, Inc. should be established; a majority of those directors should live or work in the company</w:t>
      </w:r>
      <w:r w:rsidR="00E77986">
        <w:t>’</w:t>
      </w:r>
      <w:r w:rsidRPr="00BC4B34">
        <w:t xml:space="preserve">s service territory, and should not be employees of the company or associated with the Columbia Gas System. </w:t>
      </w:r>
      <w:r w:rsidR="00334C6A">
        <w:t xml:space="preserve"> </w:t>
      </w:r>
      <w:r w:rsidRPr="00BC4B34">
        <w:t>It is good, sound management prac</w:t>
      </w:r>
      <w:r w:rsidR="00282922">
        <w:softHyphen/>
      </w:r>
      <w:r w:rsidRPr="00BC4B34">
        <w:t xml:space="preserve">tice to have an independent majority of outside directors. </w:t>
      </w:r>
      <w:r w:rsidR="00334C6A">
        <w:t xml:space="preserve"> </w:t>
      </w:r>
      <w:r w:rsidRPr="00BC4B34">
        <w:t>We will require Columbia to develop a plan for so reorgan</w:t>
      </w:r>
      <w:r w:rsidR="0094089E">
        <w:softHyphen/>
      </w:r>
      <w:r w:rsidRPr="00BC4B34">
        <w:t>izing its board of directors within a reasonable time</w:t>
      </w:r>
      <w:r w:rsidR="00862BD7">
        <w:t>.</w:t>
      </w:r>
      <w:r w:rsidRPr="00BC4B34">
        <w:rPr>
          <w:rStyle w:val="FootnoteReference"/>
        </w:rPr>
        <w:footnoteReference w:id="60"/>
      </w:r>
    </w:p>
    <w:p w:rsidR="00BC4B34" w:rsidRPr="00BC4B34" w:rsidRDefault="00BC4B34" w:rsidP="00334C6A">
      <w:pPr>
        <w:pStyle w:val="textstyle"/>
      </w:pPr>
      <w:r w:rsidRPr="00BC4B34">
        <w:t xml:space="preserve">Staff </w:t>
      </w:r>
      <w:r w:rsidR="00862BD7">
        <w:rPr>
          <w:lang w:val="en-US"/>
        </w:rPr>
        <w:t xml:space="preserve">urges </w:t>
      </w:r>
      <w:r w:rsidRPr="00BC4B34">
        <w:t xml:space="preserve">the Commission to take a closer look to determine whether any, and what, changes should be made. </w:t>
      </w:r>
      <w:r w:rsidR="00334C6A">
        <w:rPr>
          <w:lang w:val="en-US"/>
        </w:rPr>
        <w:t xml:space="preserve"> </w:t>
      </w:r>
      <w:r w:rsidRPr="00BC4B34">
        <w:t xml:space="preserve">That look should include, at a minimum, a management performance audit and a forensic financial audit to more clearly identify areas that should be corrected. </w:t>
      </w:r>
    </w:p>
    <w:p w:rsidR="00BC4B34" w:rsidRPr="00BC4B34" w:rsidRDefault="00334C6A" w:rsidP="00334C6A">
      <w:pPr>
        <w:pStyle w:val="textstyle"/>
      </w:pPr>
      <w:r>
        <w:rPr>
          <w:lang w:val="en-US"/>
        </w:rPr>
        <w:tab/>
      </w:r>
      <w:r w:rsidR="00BC4B34" w:rsidRPr="00BC4B34">
        <w:t>In the management section of its audit report in these cases, Staff focused on the stipulated request for proposal (RFP) process to which the parties had agreed.</w:t>
      </w:r>
      <w:r w:rsidR="00DB2C7B">
        <w:rPr>
          <w:lang w:val="en-US"/>
        </w:rPr>
        <w:t xml:space="preserve"> </w:t>
      </w:r>
      <w:r w:rsidR="00BC4B34" w:rsidRPr="00BC4B34">
        <w:t xml:space="preserve"> In the course of the hearing, many other areas of concern were also identified. Staff respectfully submits that, together, these concerns justify initiating a more thorough investigation.</w:t>
      </w:r>
    </w:p>
    <w:p w:rsidR="00BC4B34" w:rsidRPr="00BC4B34" w:rsidRDefault="001A6DE0" w:rsidP="0094089E">
      <w:pPr>
        <w:pStyle w:val="Heading3"/>
      </w:pPr>
      <w:bookmarkStart w:id="12" w:name="_Toc364688844"/>
      <w:r>
        <w:lastRenderedPageBreak/>
        <w:t>A</w:t>
      </w:r>
      <w:r w:rsidR="00334C6A">
        <w:t>.</w:t>
      </w:r>
      <w:r w:rsidR="00334C6A">
        <w:tab/>
      </w:r>
      <w:r w:rsidR="00BC4B34" w:rsidRPr="00BC4B34">
        <w:t xml:space="preserve">The RFP </w:t>
      </w:r>
      <w:r w:rsidR="00021799">
        <w:t>p</w:t>
      </w:r>
      <w:r w:rsidR="00BC4B34" w:rsidRPr="00BC4B34">
        <w:t xml:space="preserve">rocess </w:t>
      </w:r>
      <w:r w:rsidR="00021799">
        <w:t>d</w:t>
      </w:r>
      <w:r w:rsidR="00BC4B34" w:rsidRPr="00BC4B34">
        <w:t xml:space="preserve">id </w:t>
      </w:r>
      <w:r w:rsidR="00021799">
        <w:t>n</w:t>
      </w:r>
      <w:r w:rsidR="00BC4B34" w:rsidRPr="00BC4B34">
        <w:t xml:space="preserve">ot </w:t>
      </w:r>
      <w:r w:rsidR="00021799">
        <w:t>l</w:t>
      </w:r>
      <w:r w:rsidR="00BC4B34" w:rsidRPr="00BC4B34">
        <w:t xml:space="preserve">ead to </w:t>
      </w:r>
      <w:r w:rsidR="00021799">
        <w:t>c</w:t>
      </w:r>
      <w:r w:rsidR="00BC4B34" w:rsidRPr="00BC4B34">
        <w:t xml:space="preserve">ompetitive </w:t>
      </w:r>
      <w:r w:rsidR="00021799">
        <w:t>b</w:t>
      </w:r>
      <w:r w:rsidR="00BC4B34" w:rsidRPr="00BC4B34">
        <w:t xml:space="preserve">ids as </w:t>
      </w:r>
      <w:r w:rsidR="00021799">
        <w:t>r</w:t>
      </w:r>
      <w:r w:rsidR="00BC4B34" w:rsidRPr="00BC4B34">
        <w:t xml:space="preserve">equired by the Stipulation and as </w:t>
      </w:r>
      <w:r w:rsidR="00021799">
        <w:t>o</w:t>
      </w:r>
      <w:r w:rsidR="00BC4B34" w:rsidRPr="00BC4B34">
        <w:t>rdered by the Commission.</w:t>
      </w:r>
      <w:bookmarkEnd w:id="12"/>
    </w:p>
    <w:p w:rsidR="00BC4B34" w:rsidRPr="00BC4B34" w:rsidRDefault="00334C6A" w:rsidP="00334C6A">
      <w:pPr>
        <w:pStyle w:val="textstyle"/>
      </w:pPr>
      <w:r>
        <w:rPr>
          <w:lang w:val="en-US"/>
        </w:rPr>
        <w:tab/>
      </w:r>
      <w:r w:rsidR="00BC4B34" w:rsidRPr="00BC4B34">
        <w:t>In its audit report, Staff criticized the process used by the companies to solicit a supplier for gas purchases.</w:t>
      </w:r>
      <w:r w:rsidR="00021799">
        <w:rPr>
          <w:rStyle w:val="FootnoteReference"/>
          <w:szCs w:val="26"/>
        </w:rPr>
        <w:footnoteReference w:id="61"/>
      </w:r>
      <w:r w:rsidR="00BC4B34" w:rsidRPr="00BC4B34">
        <w:t xml:space="preserve"> </w:t>
      </w:r>
      <w:r>
        <w:rPr>
          <w:lang w:val="en-US"/>
        </w:rPr>
        <w:t xml:space="preserve"> </w:t>
      </w:r>
      <w:r w:rsidR="00BC4B34" w:rsidRPr="00BC4B34">
        <w:t xml:space="preserve">As a result, Staff recommends that the Commission reject the results of the RFP process and order the companies to start a new RFP process that includes the input of Staff, </w:t>
      </w:r>
      <w:r w:rsidR="00021799">
        <w:t xml:space="preserve">the </w:t>
      </w:r>
      <w:r w:rsidR="00BC4B34" w:rsidRPr="00BC4B34">
        <w:t>OCC, and the companies</w:t>
      </w:r>
      <w:r w:rsidR="00E77986">
        <w:t>’</w:t>
      </w:r>
      <w:r w:rsidR="00BC4B34" w:rsidRPr="00BC4B34">
        <w:t xml:space="preserve"> technical and operational staff. </w:t>
      </w:r>
    </w:p>
    <w:p w:rsidR="00BC4B34" w:rsidRPr="00BC4B34" w:rsidRDefault="00334C6A" w:rsidP="00334C6A">
      <w:pPr>
        <w:pStyle w:val="textstyle"/>
      </w:pPr>
      <w:r>
        <w:rPr>
          <w:lang w:val="en-US"/>
        </w:rPr>
        <w:tab/>
      </w:r>
      <w:r w:rsidR="00BC4B34" w:rsidRPr="00BC4B34">
        <w:t>When the stipulation in the prior GCR cases was signed, the parties agreed to cooperate in the development of an RFP intended to result in the selection of a competitive bidder by November 1, 2011.</w:t>
      </w:r>
      <w:r w:rsidR="00BC4B34" w:rsidRPr="00BC4B34">
        <w:rPr>
          <w:rStyle w:val="FootnoteReference"/>
          <w:szCs w:val="26"/>
        </w:rPr>
        <w:footnoteReference w:id="62"/>
      </w:r>
      <w:r w:rsidR="00BC4B34" w:rsidRPr="00BC4B34">
        <w:t xml:space="preserve"> </w:t>
      </w:r>
      <w:r>
        <w:rPr>
          <w:lang w:val="en-US"/>
        </w:rPr>
        <w:t xml:space="preserve"> </w:t>
      </w:r>
      <w:r w:rsidR="00BC4B34" w:rsidRPr="00BC4B34">
        <w:t xml:space="preserve">But an initial draft of the RFP was not offered by the companies until nearly six (6) months later, and the ultimate RFP was not issued for more than </w:t>
      </w:r>
      <w:r w:rsidR="00021799">
        <w:t xml:space="preserve">a </w:t>
      </w:r>
      <w:r w:rsidR="00BC4B34" w:rsidRPr="00BC4B34">
        <w:t xml:space="preserve">year after the stipulation was signed. </w:t>
      </w:r>
      <w:r>
        <w:rPr>
          <w:lang w:val="en-US"/>
        </w:rPr>
        <w:t xml:space="preserve"> </w:t>
      </w:r>
      <w:r w:rsidR="00BC4B34" w:rsidRPr="00BC4B34">
        <w:t>As OCC witness Slone testified, a major problem was that it took over a year to put the RFP process into place.</w:t>
      </w:r>
      <w:r w:rsidR="00BC4B34" w:rsidRPr="00BC4B34">
        <w:rPr>
          <w:rStyle w:val="FootnoteReference"/>
          <w:szCs w:val="26"/>
        </w:rPr>
        <w:footnoteReference w:id="63"/>
      </w:r>
      <w:r w:rsidR="00BC4B34" w:rsidRPr="00BC4B34">
        <w:t xml:space="preserve"> </w:t>
      </w:r>
    </w:p>
    <w:p w:rsidR="00BC4B34" w:rsidRPr="00BC4B34" w:rsidRDefault="00334C6A" w:rsidP="00334C6A">
      <w:pPr>
        <w:pStyle w:val="textstyle"/>
      </w:pPr>
      <w:r>
        <w:rPr>
          <w:lang w:val="en-US"/>
        </w:rPr>
        <w:tab/>
      </w:r>
      <w:r w:rsidR="00BC4B34" w:rsidRPr="00BC4B34">
        <w:t>Whether intended to or not, the delay directly advantaged the companies</w:t>
      </w:r>
      <w:r w:rsidR="00E77986">
        <w:t>’</w:t>
      </w:r>
      <w:r w:rsidR="00BC4B34" w:rsidRPr="00BC4B34">
        <w:t xml:space="preserve"> marketing affiliate. </w:t>
      </w:r>
      <w:r>
        <w:rPr>
          <w:lang w:val="en-US"/>
        </w:rPr>
        <w:t xml:space="preserve"> </w:t>
      </w:r>
      <w:r w:rsidR="00BC4B34" w:rsidRPr="00BC4B34">
        <w:t xml:space="preserve">In the absence of an awarded RFP, JDOG Marketing continued selling gas to the companies, </w:t>
      </w:r>
      <w:r w:rsidR="00021799">
        <w:t>while collecting</w:t>
      </w:r>
      <w:r w:rsidR="00BC4B34" w:rsidRPr="00BC4B34">
        <w:t xml:space="preserve"> unreasonably large premiums and agency / broker fees that the RFP process was intended to correct. </w:t>
      </w:r>
    </w:p>
    <w:p w:rsidR="00BC4B34" w:rsidRPr="00BC4B34" w:rsidRDefault="00DB2C7B" w:rsidP="00334C6A">
      <w:pPr>
        <w:pStyle w:val="textstyle"/>
      </w:pPr>
      <w:r>
        <w:rPr>
          <w:lang w:val="en-US"/>
        </w:rPr>
        <w:tab/>
      </w:r>
      <w:r w:rsidR="00BC4B34" w:rsidRPr="00BC4B34">
        <w:t xml:space="preserve">The mere fact of the delay was certainly one of the biggest problems with the process. </w:t>
      </w:r>
      <w:r w:rsidR="00334C6A">
        <w:rPr>
          <w:lang w:val="en-US"/>
        </w:rPr>
        <w:t xml:space="preserve"> </w:t>
      </w:r>
      <w:r w:rsidR="00BC4B34" w:rsidRPr="00BC4B34">
        <w:t xml:space="preserve">But it was by no means the only concern that Staff had. </w:t>
      </w:r>
      <w:r w:rsidR="00334C6A">
        <w:rPr>
          <w:lang w:val="en-US"/>
        </w:rPr>
        <w:t xml:space="preserve"> </w:t>
      </w:r>
      <w:r w:rsidR="00BC4B34" w:rsidRPr="00BC4B34">
        <w:t xml:space="preserve">The RFP itself was </w:t>
      </w:r>
      <w:r w:rsidR="00BC4B34" w:rsidRPr="00BC4B34">
        <w:lastRenderedPageBreak/>
        <w:t>severely flawed.</w:t>
      </w:r>
      <w:r>
        <w:rPr>
          <w:lang w:val="en-US"/>
        </w:rPr>
        <w:t xml:space="preserve"> </w:t>
      </w:r>
      <w:r w:rsidR="00BC4B34" w:rsidRPr="00BC4B34">
        <w:t xml:space="preserve"> As discussed more thoroughly in the audit report</w:t>
      </w:r>
      <w:r w:rsidR="00021799">
        <w:t xml:space="preserve"> (pages 54-58)</w:t>
      </w:r>
      <w:r w:rsidR="00BC4B34" w:rsidRPr="00BC4B34">
        <w:t xml:space="preserve">, the RFP failed to define what services bidders were to provide; required bidders to account for local production currently under contract with an affiliated marketer without adequate information on how to do so, and to maintain existing marketer contracts; and </w:t>
      </w:r>
      <w:r w:rsidR="00021799">
        <w:t xml:space="preserve">it </w:t>
      </w:r>
      <w:r w:rsidR="00BC4B34" w:rsidRPr="00BC4B34">
        <w:t>failed to provide other information vital to developing a bid.</w:t>
      </w:r>
      <w:r w:rsidR="00BC4B34" w:rsidRPr="00BC4B34">
        <w:rPr>
          <w:rStyle w:val="FootnoteReference"/>
          <w:szCs w:val="26"/>
        </w:rPr>
        <w:footnoteReference w:id="64"/>
      </w:r>
      <w:r w:rsidR="00BC4B34" w:rsidRPr="00BC4B34">
        <w:t xml:space="preserve"> </w:t>
      </w:r>
    </w:p>
    <w:p w:rsidR="00BC4B34" w:rsidRPr="00BC4B34" w:rsidRDefault="00334C6A" w:rsidP="00334C6A">
      <w:pPr>
        <w:pStyle w:val="textstyle"/>
      </w:pPr>
      <w:r>
        <w:rPr>
          <w:lang w:val="en-US"/>
        </w:rPr>
        <w:tab/>
      </w:r>
      <w:r w:rsidR="00BC4B34" w:rsidRPr="00BC4B34">
        <w:t>These flaws could have been avoided. Although the companies did solicit input from Staff and OCC, they completely ignored Staff</w:t>
      </w:r>
      <w:r w:rsidR="00E77986">
        <w:t>’</w:t>
      </w:r>
      <w:r w:rsidR="00BC4B34" w:rsidRPr="00BC4B34">
        <w:t>s input, including criticism of these very flaws.</w:t>
      </w:r>
      <w:r w:rsidR="00BC4B34" w:rsidRPr="00BC4B34">
        <w:rPr>
          <w:rStyle w:val="FootnoteReference"/>
          <w:szCs w:val="26"/>
        </w:rPr>
        <w:footnoteReference w:id="65"/>
      </w:r>
      <w:r w:rsidR="00BC4B34" w:rsidRPr="00BC4B34">
        <w:t xml:space="preserve"> </w:t>
      </w:r>
      <w:r>
        <w:rPr>
          <w:lang w:val="en-US"/>
        </w:rPr>
        <w:t xml:space="preserve"> </w:t>
      </w:r>
      <w:r w:rsidR="00BC4B34" w:rsidRPr="00BC4B34">
        <w:t>Even the companies</w:t>
      </w:r>
      <w:r w:rsidR="00E77986">
        <w:t>’</w:t>
      </w:r>
      <w:r w:rsidR="00BC4B34" w:rsidRPr="00BC4B34">
        <w:t xml:space="preserve"> own operations personnel were not included in the development of the RFP. Compan</w:t>
      </w:r>
      <w:r w:rsidR="00021799">
        <w:t>ies</w:t>
      </w:r>
      <w:r w:rsidR="00E77986">
        <w:t>’</w:t>
      </w:r>
      <w:r w:rsidR="00BC4B34" w:rsidRPr="00BC4B34">
        <w:t xml:space="preserve"> witness Whelan, who addressed the RFP process, was not </w:t>
      </w:r>
      <w:r w:rsidR="00021799">
        <w:t xml:space="preserve">even </w:t>
      </w:r>
      <w:r w:rsidR="00BC4B34" w:rsidRPr="00BC4B34">
        <w:t>involved with the RFP itself.</w:t>
      </w:r>
      <w:r w:rsidR="00BC4B34" w:rsidRPr="00BC4B34">
        <w:rPr>
          <w:rStyle w:val="FootnoteReference"/>
          <w:szCs w:val="26"/>
        </w:rPr>
        <w:footnoteReference w:id="66"/>
      </w:r>
      <w:r w:rsidR="00BC4B34" w:rsidRPr="00BC4B34">
        <w:t xml:space="preserve"> </w:t>
      </w:r>
      <w:r>
        <w:rPr>
          <w:lang w:val="en-US"/>
        </w:rPr>
        <w:t xml:space="preserve"> </w:t>
      </w:r>
      <w:r w:rsidR="00BC4B34" w:rsidRPr="00BC4B34">
        <w:t xml:space="preserve">Although he testified that the companies coordinated with Staff and OCC, he admitted that he was not aware of the extent of the coordination </w:t>
      </w:r>
      <w:r w:rsidR="00021799">
        <w:t>because</w:t>
      </w:r>
      <w:r w:rsidR="00BC4B34" w:rsidRPr="00BC4B34">
        <w:t xml:space="preserve"> he was not involved in process.</w:t>
      </w:r>
      <w:r w:rsidR="00BC4B34" w:rsidRPr="00BC4B34">
        <w:rPr>
          <w:rStyle w:val="FootnoteReference"/>
          <w:szCs w:val="26"/>
        </w:rPr>
        <w:footnoteReference w:id="67"/>
      </w:r>
      <w:r w:rsidR="00BC4B34" w:rsidRPr="00BC4B34">
        <w:t xml:space="preserve"> </w:t>
      </w:r>
    </w:p>
    <w:p w:rsidR="00BC4B34" w:rsidRPr="00BC4B34" w:rsidRDefault="00334C6A" w:rsidP="00334C6A">
      <w:pPr>
        <w:pStyle w:val="textstyle"/>
      </w:pPr>
      <w:r>
        <w:rPr>
          <w:lang w:val="en-US"/>
        </w:rPr>
        <w:tab/>
      </w:r>
      <w:r w:rsidR="00BC4B34" w:rsidRPr="00BC4B34">
        <w:t>The companies made no attempt to engage in a fair RFP process.</w:t>
      </w:r>
      <w:r w:rsidR="00BC4B34" w:rsidRPr="00BC4B34">
        <w:rPr>
          <w:rStyle w:val="FootnoteReference"/>
          <w:szCs w:val="26"/>
        </w:rPr>
        <w:footnoteReference w:id="68"/>
      </w:r>
      <w:r w:rsidR="00BC4B34" w:rsidRPr="00BC4B34">
        <w:t xml:space="preserve"> </w:t>
      </w:r>
      <w:r>
        <w:rPr>
          <w:lang w:val="en-US"/>
        </w:rPr>
        <w:t xml:space="preserve"> </w:t>
      </w:r>
      <w:r w:rsidR="00BC4B34" w:rsidRPr="00BC4B34">
        <w:t xml:space="preserve">While the RFP may have been sent to a reasonable pool of potential bidders, the requirement that bidders pre-qualify, and do so in merely two (2) days, undoubtedly discouraged most of the </w:t>
      </w:r>
      <w:r w:rsidR="00BC4B34" w:rsidRPr="00BC4B34">
        <w:lastRenderedPageBreak/>
        <w:t xml:space="preserve">invitees from participating. </w:t>
      </w:r>
      <w:r>
        <w:rPr>
          <w:lang w:val="en-US"/>
        </w:rPr>
        <w:t xml:space="preserve"> </w:t>
      </w:r>
      <w:r w:rsidR="00BC4B34" w:rsidRPr="00BC4B34">
        <w:t xml:space="preserve">As the companies acknowledged, only prequalified bidders were able to ask questions about the RFP. </w:t>
      </w:r>
      <w:r w:rsidR="00BC4B34" w:rsidRPr="00BC4B34">
        <w:rPr>
          <w:rStyle w:val="FootnoteReference"/>
          <w:szCs w:val="26"/>
        </w:rPr>
        <w:footnoteReference w:id="69"/>
      </w:r>
    </w:p>
    <w:p w:rsidR="00BC4B34" w:rsidRPr="00BC4B34" w:rsidRDefault="00334C6A" w:rsidP="00334C6A">
      <w:pPr>
        <w:pStyle w:val="textstyle"/>
      </w:pPr>
      <w:r>
        <w:rPr>
          <w:lang w:val="en-US"/>
        </w:rPr>
        <w:tab/>
      </w:r>
      <w:r w:rsidR="00BC4B34" w:rsidRPr="00BC4B34">
        <w:t>Staff witness Donlon testified that the prequalifying responses were not indicative of any true interest in the RFP, but were likely merely an effort to get a foot in the door.</w:t>
      </w:r>
      <w:r w:rsidR="00BC4B34" w:rsidRPr="00BC4B34">
        <w:rPr>
          <w:rStyle w:val="FootnoteReference"/>
          <w:szCs w:val="26"/>
        </w:rPr>
        <w:footnoteReference w:id="70"/>
      </w:r>
      <w:r w:rsidR="00BC4B34" w:rsidRPr="00BC4B34">
        <w:t xml:space="preserve"> </w:t>
      </w:r>
      <w:r>
        <w:rPr>
          <w:lang w:val="en-US"/>
        </w:rPr>
        <w:t xml:space="preserve"> </w:t>
      </w:r>
      <w:r w:rsidR="00021799">
        <w:t>Further,</w:t>
      </w:r>
      <w:r w:rsidR="00BC4B34" w:rsidRPr="00BC4B34">
        <w:t xml:space="preserve"> the companies made no effort to determine why more of the potential bidders decided not to pre-qualify.</w:t>
      </w:r>
      <w:r w:rsidR="00BC4B34">
        <w:rPr>
          <w:rStyle w:val="FootnoteReference"/>
          <w:szCs w:val="26"/>
        </w:rPr>
        <w:footnoteReference w:id="71"/>
      </w:r>
      <w:r w:rsidR="00BC4B34" w:rsidRPr="00BC4B34">
        <w:t xml:space="preserve"> </w:t>
      </w:r>
    </w:p>
    <w:p w:rsidR="00BC4B34" w:rsidRPr="00BC4B34" w:rsidRDefault="00334C6A" w:rsidP="00334C6A">
      <w:pPr>
        <w:pStyle w:val="textstyle"/>
      </w:pPr>
      <w:r>
        <w:rPr>
          <w:lang w:val="en-US"/>
        </w:rPr>
        <w:tab/>
      </w:r>
      <w:r w:rsidR="00BC4B34" w:rsidRPr="00BC4B34">
        <w:t>Not surprisingly to Staff, only one of the pre-qualified prospects submitted a bid – the very affiliated marketer that was so heavily favored by the flawed terms of the RFP. OCC witness Slone testified that, in his opinion, there were no circumstances that he could think of where a single response to an RFP would be considered a competitive result.</w:t>
      </w:r>
      <w:r w:rsidR="00BC4B34" w:rsidRPr="00BC4B34">
        <w:rPr>
          <w:rStyle w:val="FootnoteReference"/>
          <w:szCs w:val="26"/>
        </w:rPr>
        <w:footnoteReference w:id="72"/>
      </w:r>
      <w:r w:rsidR="00BC4B34" w:rsidRPr="00BC4B34">
        <w:t xml:space="preserve"> </w:t>
      </w:r>
      <w:r>
        <w:rPr>
          <w:lang w:val="en-US"/>
        </w:rPr>
        <w:t xml:space="preserve"> </w:t>
      </w:r>
      <w:r w:rsidR="00BC4B34" w:rsidRPr="00BC4B34">
        <w:t>Staff witness Donlon was also questioned about accepting a single bid to an RFP.</w:t>
      </w:r>
      <w:r>
        <w:rPr>
          <w:lang w:val="en-US"/>
        </w:rPr>
        <w:t xml:space="preserve"> </w:t>
      </w:r>
      <w:r w:rsidR="00BC4B34" w:rsidRPr="00BC4B34">
        <w:t xml:space="preserve"> He explained his experience:</w:t>
      </w:r>
    </w:p>
    <w:p w:rsidR="00BC4B34" w:rsidRPr="00BC4B34" w:rsidRDefault="00BC4B34" w:rsidP="006603A0">
      <w:pPr>
        <w:spacing w:after="12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So you don</w:t>
      </w:r>
      <w:r w:rsidR="00E77986">
        <w:rPr>
          <w:rFonts w:cs="Times New Roman"/>
          <w:sz w:val="26"/>
          <w:szCs w:val="26"/>
        </w:rPr>
        <w:t>’</w:t>
      </w:r>
      <w:r w:rsidRPr="00BC4B34">
        <w:rPr>
          <w:rFonts w:cs="Times New Roman"/>
          <w:sz w:val="26"/>
          <w:szCs w:val="26"/>
        </w:rPr>
        <w:t>t know whether that the company you worked for, AEP, ever accepted the results of an RFP where there was only a single responder?</w:t>
      </w:r>
    </w:p>
    <w:p w:rsidR="00BC4B34" w:rsidRPr="00BC4B34" w:rsidRDefault="00BC4B34" w:rsidP="006603A0">
      <w:pPr>
        <w:spacing w:after="36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I don</w:t>
      </w:r>
      <w:r w:rsidR="00E77986">
        <w:rPr>
          <w:rFonts w:cs="Times New Roman"/>
          <w:sz w:val="26"/>
          <w:szCs w:val="26"/>
        </w:rPr>
        <w:t>’</w:t>
      </w:r>
      <w:r w:rsidRPr="00BC4B34">
        <w:rPr>
          <w:rFonts w:cs="Times New Roman"/>
          <w:sz w:val="26"/>
          <w:szCs w:val="26"/>
        </w:rPr>
        <w:t xml:space="preserve">t -- I do recall one particular time where only one response came in, and then we had a lot of discussions of why. </w:t>
      </w:r>
      <w:r w:rsidR="000A2F8C">
        <w:rPr>
          <w:rFonts w:cs="Times New Roman"/>
          <w:sz w:val="26"/>
          <w:szCs w:val="26"/>
        </w:rPr>
        <w:t xml:space="preserve"> </w:t>
      </w:r>
      <w:r w:rsidRPr="00BC4B34">
        <w:rPr>
          <w:rFonts w:cs="Times New Roman"/>
          <w:sz w:val="26"/>
          <w:szCs w:val="26"/>
        </w:rPr>
        <w:t>We contacted the companies that we sent RFPs to, asked what was going on, did a lot of research within the industry to figure out what the issue was, why that RFP came back as a single indi</w:t>
      </w:r>
      <w:r w:rsidR="0094089E">
        <w:rPr>
          <w:rFonts w:cs="Times New Roman"/>
          <w:sz w:val="26"/>
          <w:szCs w:val="26"/>
        </w:rPr>
        <w:softHyphen/>
      </w:r>
      <w:r w:rsidRPr="00BC4B34">
        <w:rPr>
          <w:rFonts w:cs="Times New Roman"/>
          <w:sz w:val="26"/>
          <w:szCs w:val="26"/>
        </w:rPr>
        <w:t xml:space="preserve">vidual -- or single company. </w:t>
      </w:r>
      <w:r w:rsidR="000A2F8C">
        <w:rPr>
          <w:rFonts w:cs="Times New Roman"/>
          <w:sz w:val="26"/>
          <w:szCs w:val="26"/>
        </w:rPr>
        <w:t xml:space="preserve"> </w:t>
      </w:r>
      <w:r w:rsidRPr="00BC4B34">
        <w:rPr>
          <w:rFonts w:cs="Times New Roman"/>
          <w:sz w:val="26"/>
          <w:szCs w:val="26"/>
        </w:rPr>
        <w:t xml:space="preserve">If that bid was accepted, I </w:t>
      </w:r>
      <w:r w:rsidRPr="00BC4B34">
        <w:rPr>
          <w:rFonts w:cs="Times New Roman"/>
          <w:sz w:val="26"/>
          <w:szCs w:val="26"/>
        </w:rPr>
        <w:lastRenderedPageBreak/>
        <w:t>don</w:t>
      </w:r>
      <w:r w:rsidR="00E77986">
        <w:rPr>
          <w:rFonts w:cs="Times New Roman"/>
          <w:sz w:val="26"/>
          <w:szCs w:val="26"/>
        </w:rPr>
        <w:t>’</w:t>
      </w:r>
      <w:r w:rsidRPr="00BC4B34">
        <w:rPr>
          <w:rFonts w:cs="Times New Roman"/>
          <w:sz w:val="26"/>
          <w:szCs w:val="26"/>
        </w:rPr>
        <w:t>t recall but I want to say that I</w:t>
      </w:r>
      <w:r w:rsidR="00E77986">
        <w:rPr>
          <w:rFonts w:cs="Times New Roman"/>
          <w:sz w:val="26"/>
          <w:szCs w:val="26"/>
        </w:rPr>
        <w:t>’</w:t>
      </w:r>
      <w:r w:rsidRPr="00BC4B34">
        <w:rPr>
          <w:rFonts w:cs="Times New Roman"/>
          <w:sz w:val="26"/>
          <w:szCs w:val="26"/>
        </w:rPr>
        <w:t>m pretty sure we issued a second RFP with a broader scope and cor</w:t>
      </w:r>
      <w:r w:rsidR="00282922">
        <w:rPr>
          <w:rFonts w:cs="Times New Roman"/>
          <w:sz w:val="26"/>
          <w:szCs w:val="26"/>
        </w:rPr>
        <w:softHyphen/>
      </w:r>
      <w:r w:rsidRPr="00BC4B34">
        <w:rPr>
          <w:rFonts w:cs="Times New Roman"/>
          <w:sz w:val="26"/>
          <w:szCs w:val="26"/>
        </w:rPr>
        <w:t>rected some of those errors that were there.</w:t>
      </w:r>
      <w:r w:rsidRPr="00BC4B34">
        <w:rPr>
          <w:rStyle w:val="FootnoteReference"/>
          <w:rFonts w:cs="Times New Roman"/>
          <w:sz w:val="26"/>
          <w:szCs w:val="26"/>
        </w:rPr>
        <w:footnoteReference w:id="73"/>
      </w:r>
    </w:p>
    <w:p w:rsidR="00BC4B34" w:rsidRPr="00BC4B34" w:rsidRDefault="000A2F8C" w:rsidP="000A2F8C">
      <w:pPr>
        <w:pStyle w:val="textstyle"/>
      </w:pPr>
      <w:r>
        <w:rPr>
          <w:lang w:val="en-US"/>
        </w:rPr>
        <w:tab/>
      </w:r>
      <w:r w:rsidR="00BC4B34" w:rsidRPr="00BC4B34">
        <w:t>The companies, by contrast, did none of these things.</w:t>
      </w:r>
      <w:r>
        <w:rPr>
          <w:lang w:val="en-US"/>
        </w:rPr>
        <w:t xml:space="preserve"> </w:t>
      </w:r>
      <w:r w:rsidR="00BC4B34" w:rsidRPr="00BC4B34">
        <w:t xml:space="preserve"> They did no</w:t>
      </w:r>
      <w:r w:rsidR="00021799">
        <w:t>t</w:t>
      </w:r>
      <w:r w:rsidR="00BC4B34" w:rsidRPr="00BC4B34">
        <w:t xml:space="preserve"> follow up to determine why no other potential bidder participated.</w:t>
      </w:r>
      <w:r w:rsidR="00BC4B34" w:rsidRPr="00BC4B34">
        <w:rPr>
          <w:rStyle w:val="FootnoteReference"/>
          <w:szCs w:val="26"/>
        </w:rPr>
        <w:footnoteReference w:id="74"/>
      </w:r>
      <w:r w:rsidR="00BC4B34" w:rsidRPr="00BC4B34">
        <w:t xml:space="preserve"> </w:t>
      </w:r>
      <w:r>
        <w:rPr>
          <w:lang w:val="en-US"/>
        </w:rPr>
        <w:t xml:space="preserve"> </w:t>
      </w:r>
      <w:r w:rsidR="00BC4B34" w:rsidRPr="00BC4B34">
        <w:t xml:space="preserve">They did no analysis to determine whether the bid was truly a </w:t>
      </w:r>
      <w:r w:rsidR="00021799" w:rsidRPr="00BC4B34">
        <w:t xml:space="preserve">competitive </w:t>
      </w:r>
      <w:r w:rsidR="00BC4B34" w:rsidRPr="00BC4B34">
        <w:t>market price.</w:t>
      </w:r>
      <w:r w:rsidR="00BC4B34" w:rsidRPr="00BC4B34">
        <w:rPr>
          <w:rStyle w:val="FootnoteReference"/>
          <w:szCs w:val="26"/>
        </w:rPr>
        <w:footnoteReference w:id="75"/>
      </w:r>
      <w:r w:rsidR="00BC4B34" w:rsidRPr="00BC4B34">
        <w:t xml:space="preserve"> </w:t>
      </w:r>
      <w:r>
        <w:rPr>
          <w:lang w:val="en-US"/>
        </w:rPr>
        <w:t xml:space="preserve"> </w:t>
      </w:r>
      <w:r w:rsidR="00BC4B34" w:rsidRPr="00BC4B34">
        <w:t>They could have rejected the bid, or issued a second RFP, but</w:t>
      </w:r>
      <w:r w:rsidR="00021799">
        <w:t xml:space="preserve">, instead, chose to </w:t>
      </w:r>
      <w:r w:rsidR="00BC4B34" w:rsidRPr="00BC4B34">
        <w:t>d</w:t>
      </w:r>
      <w:r w:rsidR="00021799">
        <w:t>o</w:t>
      </w:r>
      <w:r w:rsidR="00BC4B34" w:rsidRPr="00BC4B34">
        <w:t xml:space="preserve"> neither. </w:t>
      </w:r>
    </w:p>
    <w:p w:rsidR="00BC4B34" w:rsidRPr="00BC4B34" w:rsidRDefault="000A2F8C" w:rsidP="000A2F8C">
      <w:pPr>
        <w:pStyle w:val="textstyle"/>
      </w:pPr>
      <w:r>
        <w:rPr>
          <w:lang w:val="en-US"/>
        </w:rPr>
        <w:tab/>
      </w:r>
      <w:r w:rsidR="00BC4B34" w:rsidRPr="00BC4B34">
        <w:t xml:space="preserve">The failure to reject the bid is particularly egregious in light of the record developed in the 2010 GCR hearing. </w:t>
      </w:r>
      <w:r>
        <w:rPr>
          <w:lang w:val="en-US"/>
        </w:rPr>
        <w:t xml:space="preserve"> </w:t>
      </w:r>
      <w:r w:rsidR="00BC4B34" w:rsidRPr="00BC4B34">
        <w:t>As Staff concluded in the audit report:</w:t>
      </w:r>
    </w:p>
    <w:p w:rsidR="00BC4B34" w:rsidRPr="00BC4B34" w:rsidRDefault="00BC4B34" w:rsidP="00862BD7">
      <w:pPr>
        <w:pStyle w:val="Blockquote"/>
      </w:pPr>
      <w:r w:rsidRPr="00BC4B34">
        <w:t>After Staff presented evidence in the 2010 case that demon</w:t>
      </w:r>
      <w:r w:rsidR="00282922">
        <w:softHyphen/>
      </w:r>
      <w:r w:rsidRPr="00BC4B34">
        <w:t>strated JDOG</w:t>
      </w:r>
      <w:r w:rsidR="00E77986">
        <w:t>’</w:t>
      </w:r>
      <w:r w:rsidRPr="00BC4B34">
        <w:t>s practices were harming the companies</w:t>
      </w:r>
      <w:r w:rsidR="00E77986">
        <w:t>’</w:t>
      </w:r>
      <w:r w:rsidRPr="00BC4B34">
        <w:t xml:space="preserve"> credit as well as inflating their customers [sic] GCR rates, Staff does not understand why the companies</w:t>
      </w:r>
      <w:r w:rsidR="00E77986">
        <w:t>’</w:t>
      </w:r>
      <w:r w:rsidRPr="00BC4B34">
        <w:t xml:space="preserve"> management would agree to buy gas using such an ambiguous term that cannot be veri</w:t>
      </w:r>
      <w:r w:rsidR="00282922">
        <w:softHyphen/>
      </w:r>
      <w:r w:rsidRPr="00BC4B34">
        <w:t xml:space="preserve">fied independently of invoices and/or contracts. </w:t>
      </w:r>
      <w:r w:rsidR="000A2F8C">
        <w:t xml:space="preserve"> </w:t>
      </w:r>
      <w:r w:rsidRPr="00BC4B34">
        <w:t>The com</w:t>
      </w:r>
      <w:r w:rsidR="0094089E">
        <w:softHyphen/>
      </w:r>
      <w:r w:rsidRPr="00BC4B34">
        <w:t>panies</w:t>
      </w:r>
      <w:r w:rsidR="00E77986">
        <w:t>’</w:t>
      </w:r>
      <w:r w:rsidRPr="00BC4B34">
        <w:t xml:space="preserve"> management does not appear to be engaged in the process of procuring gas at least co</w:t>
      </w:r>
      <w:r w:rsidR="000A2F8C">
        <w:t>st available for its custom</w:t>
      </w:r>
      <w:r w:rsidR="00282922">
        <w:softHyphen/>
      </w:r>
      <w:r w:rsidR="000A2F8C">
        <w:t>ers.</w:t>
      </w:r>
      <w:r w:rsidRPr="00BC4B34">
        <w:rPr>
          <w:rStyle w:val="FootnoteReference"/>
        </w:rPr>
        <w:footnoteReference w:id="76"/>
      </w:r>
    </w:p>
    <w:p w:rsidR="00BC4B34" w:rsidRPr="00BC4B34" w:rsidRDefault="001A6DE0" w:rsidP="0094089E">
      <w:pPr>
        <w:pStyle w:val="Heading3"/>
      </w:pPr>
      <w:bookmarkStart w:id="13" w:name="_Toc364688845"/>
      <w:r>
        <w:t>B</w:t>
      </w:r>
      <w:r w:rsidR="000A2F8C">
        <w:t>.</w:t>
      </w:r>
      <w:r w:rsidR="000A2F8C">
        <w:tab/>
      </w:r>
      <w:r w:rsidR="00BC4B34" w:rsidRPr="00BC4B34">
        <w:t>Structural and Organizational Issues</w:t>
      </w:r>
      <w:bookmarkEnd w:id="13"/>
    </w:p>
    <w:p w:rsidR="00BC4B34" w:rsidRPr="00BC4B34" w:rsidRDefault="000A2F8C" w:rsidP="000A2F8C">
      <w:pPr>
        <w:pStyle w:val="textstyle"/>
      </w:pPr>
      <w:r>
        <w:rPr>
          <w:lang w:val="en-US"/>
        </w:rPr>
        <w:tab/>
      </w:r>
      <w:r w:rsidR="00BC4B34" w:rsidRPr="00BC4B34">
        <w:t>The</w:t>
      </w:r>
      <w:r w:rsidR="00021799">
        <w:t xml:space="preserve"> </w:t>
      </w:r>
      <w:r w:rsidR="00BC4B34" w:rsidRPr="00BC4B34">
        <w:t>re</w:t>
      </w:r>
      <w:r w:rsidR="00021799">
        <w:t>cord</w:t>
      </w:r>
      <w:r w:rsidR="00BC4B34" w:rsidRPr="00BC4B34">
        <w:t xml:space="preserve"> s</w:t>
      </w:r>
      <w:r w:rsidR="00021799">
        <w:t>hows</w:t>
      </w:r>
      <w:r w:rsidR="00BC4B34" w:rsidRPr="00BC4B34">
        <w:t xml:space="preserve"> a pattern of blurred lines of authority and responsibility, and a general lack of accountability. </w:t>
      </w:r>
      <w:r>
        <w:rPr>
          <w:lang w:val="en-US"/>
        </w:rPr>
        <w:t xml:space="preserve"> </w:t>
      </w:r>
      <w:r w:rsidR="00BC4B34" w:rsidRPr="00BC4B34">
        <w:t>One need almost look no further than the fact that all of the companies</w:t>
      </w:r>
      <w:r w:rsidR="00E77986">
        <w:t>’</w:t>
      </w:r>
      <w:r w:rsidR="00BC4B34" w:rsidRPr="00BC4B34">
        <w:t xml:space="preserve"> employees who testified in this proceeding changed jobs in the month </w:t>
      </w:r>
      <w:r w:rsidR="00BC4B34" w:rsidRPr="00BC4B34">
        <w:lastRenderedPageBreak/>
        <w:t xml:space="preserve">that the hearing occurred. </w:t>
      </w:r>
      <w:r>
        <w:rPr>
          <w:lang w:val="en-US"/>
        </w:rPr>
        <w:t xml:space="preserve"> </w:t>
      </w:r>
      <w:r w:rsidR="00021799">
        <w:t>T</w:t>
      </w:r>
      <w:r w:rsidR="00BC4B34" w:rsidRPr="00BC4B34">
        <w:t>wo former employees</w:t>
      </w:r>
      <w:r w:rsidR="00021799">
        <w:t>,</w:t>
      </w:r>
      <w:r w:rsidR="00BC4B34" w:rsidRPr="00BC4B34">
        <w:t xml:space="preserve"> who testified at the behest of Staff</w:t>
      </w:r>
      <w:r w:rsidR="00021799">
        <w:t>,</w:t>
      </w:r>
      <w:r w:rsidR="00BC4B34" w:rsidRPr="00BC4B34">
        <w:t xml:space="preserve"> both lost their jobs for specious reasons, or no stated reason at all, literally within days of the filing of Staff audit reports. </w:t>
      </w:r>
    </w:p>
    <w:p w:rsidR="00BC4B34" w:rsidRPr="00BC4B34" w:rsidRDefault="000A2F8C" w:rsidP="000A2F8C">
      <w:pPr>
        <w:pStyle w:val="textstyle"/>
      </w:pPr>
      <w:r>
        <w:rPr>
          <w:lang w:val="en-US"/>
        </w:rPr>
        <w:tab/>
      </w:r>
      <w:r w:rsidR="00BC4B34" w:rsidRPr="00BC4B34">
        <w:t>The Osborne-related entities that are subject to the Commission</w:t>
      </w:r>
      <w:r w:rsidR="00E77986">
        <w:t>’</w:t>
      </w:r>
      <w:r w:rsidR="00BC4B34" w:rsidRPr="00BC4B34">
        <w:t xml:space="preserve">s regulatory authority include both local distribution companies (Brainard Gas Corp., Northeast Ohio Natural Gas Corporation, and Orwell Natural Gas Company) and pipeline companies (Cobra Pipeline Co., LTD, Orwell-Trumbull Pipeline Co., LLC, and Spelman Pipeline Holdings, LLC). </w:t>
      </w:r>
      <w:r>
        <w:rPr>
          <w:lang w:val="en-US"/>
        </w:rPr>
        <w:t xml:space="preserve"> </w:t>
      </w:r>
      <w:r w:rsidR="00BC4B34" w:rsidRPr="00BC4B34">
        <w:t xml:space="preserve">The list of unregulated, Osborne-related companies is not known. </w:t>
      </w:r>
      <w:r>
        <w:rPr>
          <w:lang w:val="en-US"/>
        </w:rPr>
        <w:t xml:space="preserve"> </w:t>
      </w:r>
      <w:r w:rsidR="00BC4B34" w:rsidRPr="00BC4B34">
        <w:t>They include, at a minimum, Great Plains Exploration, LLC, Oz Gas Ltd., John D. Oil &amp; Gas Co., John D. Oil &amp; Gas Marketing, Gas Natural Service Company, LLC.</w:t>
      </w:r>
    </w:p>
    <w:p w:rsidR="00BC4B34" w:rsidRPr="00BC4B34" w:rsidRDefault="000A2F8C" w:rsidP="000A2F8C">
      <w:pPr>
        <w:pStyle w:val="textstyle"/>
      </w:pPr>
      <w:r>
        <w:rPr>
          <w:lang w:val="en-US"/>
        </w:rPr>
        <w:tab/>
      </w:r>
      <w:r w:rsidR="00BC4B34" w:rsidRPr="00BC4B34">
        <w:t>In the case of these companies, it can be difficult to tell the players even with a program.</w:t>
      </w:r>
      <w:r>
        <w:rPr>
          <w:lang w:val="en-US"/>
        </w:rPr>
        <w:t xml:space="preserve"> </w:t>
      </w:r>
      <w:r w:rsidR="00BC4B34" w:rsidRPr="00BC4B34">
        <w:t xml:space="preserve"> Companies</w:t>
      </w:r>
      <w:r w:rsidR="00E77986">
        <w:t>’</w:t>
      </w:r>
      <w:r w:rsidR="00BC4B34" w:rsidRPr="00BC4B34">
        <w:t xml:space="preserve"> witness Smith, for example, was the president of NEO and Orwell during the audit period.</w:t>
      </w:r>
      <w:r w:rsidR="00BC4B34" w:rsidRPr="00BC4B34">
        <w:rPr>
          <w:rStyle w:val="FootnoteReference"/>
          <w:szCs w:val="26"/>
        </w:rPr>
        <w:footnoteReference w:id="77"/>
      </w:r>
      <w:r w:rsidR="00BC4B34" w:rsidRPr="00BC4B34">
        <w:t xml:space="preserve"> </w:t>
      </w:r>
      <w:r>
        <w:rPr>
          <w:lang w:val="en-US"/>
        </w:rPr>
        <w:t xml:space="preserve"> </w:t>
      </w:r>
      <w:r w:rsidR="00BC4B34" w:rsidRPr="00BC4B34">
        <w:t>Initially hired to work for OsAir Securities</w:t>
      </w:r>
      <w:r w:rsidR="00BC4B34" w:rsidRPr="00BC4B34">
        <w:rPr>
          <w:rStyle w:val="FootnoteReference"/>
          <w:szCs w:val="26"/>
        </w:rPr>
        <w:footnoteReference w:id="78"/>
      </w:r>
      <w:r w:rsidR="00BC4B34" w:rsidRPr="00BC4B34">
        <w:t xml:space="preserve">, he is currently vice president of </w:t>
      </w:r>
      <w:r w:rsidR="00282922">
        <w:t>O</w:t>
      </w:r>
      <w:r w:rsidR="00282922">
        <w:rPr>
          <w:lang w:val="en-US"/>
        </w:rPr>
        <w:t>s</w:t>
      </w:r>
      <w:r w:rsidR="00282922" w:rsidRPr="00BC4B34">
        <w:t>Air</w:t>
      </w:r>
      <w:r w:rsidR="00BC4B34" w:rsidRPr="00BC4B34">
        <w:t>, a real estate developer that also operates an industrial gas business</w:t>
      </w:r>
      <w:r w:rsidR="00BC4B34" w:rsidRPr="00BC4B34">
        <w:rPr>
          <w:rStyle w:val="FootnoteReference"/>
          <w:szCs w:val="26"/>
        </w:rPr>
        <w:footnoteReference w:id="79"/>
      </w:r>
      <w:r w:rsidR="00BC4B34" w:rsidRPr="00BC4B34">
        <w:t xml:space="preserve">. </w:t>
      </w:r>
      <w:r>
        <w:rPr>
          <w:lang w:val="en-US"/>
        </w:rPr>
        <w:t xml:space="preserve"> </w:t>
      </w:r>
      <w:r w:rsidR="00BC4B34" w:rsidRPr="00BC4B34">
        <w:t>He has been the president of Orwell-Trumbull Pipeline</w:t>
      </w:r>
      <w:r w:rsidR="00BC4B34" w:rsidRPr="00BC4B34">
        <w:rPr>
          <w:rStyle w:val="FootnoteReference"/>
          <w:szCs w:val="26"/>
        </w:rPr>
        <w:footnoteReference w:id="80"/>
      </w:r>
      <w:r w:rsidR="00BC4B34" w:rsidRPr="00BC4B34">
        <w:t>, Cobra Pipeline</w:t>
      </w:r>
      <w:r w:rsidR="00BC4B34" w:rsidRPr="00BC4B34">
        <w:rPr>
          <w:rStyle w:val="FootnoteReference"/>
          <w:szCs w:val="26"/>
        </w:rPr>
        <w:footnoteReference w:id="81"/>
      </w:r>
      <w:r w:rsidR="00BC4B34" w:rsidRPr="00BC4B34">
        <w:t>, and Lightning Pipeline</w:t>
      </w:r>
      <w:r w:rsidR="00BC4B34" w:rsidRPr="00BC4B34">
        <w:rPr>
          <w:rStyle w:val="FootnoteReference"/>
          <w:szCs w:val="26"/>
        </w:rPr>
        <w:footnoteReference w:id="82"/>
      </w:r>
      <w:r w:rsidR="00BC4B34" w:rsidRPr="00BC4B34">
        <w:t xml:space="preserve">. He was, and believes that he may still be, the president of </w:t>
      </w:r>
      <w:r w:rsidR="00BC4B34" w:rsidRPr="00BC4B34">
        <w:lastRenderedPageBreak/>
        <w:t>Spelman Pipeline.</w:t>
      </w:r>
      <w:r w:rsidR="00BC4B34" w:rsidRPr="00BC4B34">
        <w:rPr>
          <w:rStyle w:val="FootnoteReference"/>
          <w:szCs w:val="26"/>
        </w:rPr>
        <w:footnoteReference w:id="83"/>
      </w:r>
      <w:r w:rsidR="00BC4B34" w:rsidRPr="00BC4B34">
        <w:t xml:space="preserve"> </w:t>
      </w:r>
      <w:r>
        <w:rPr>
          <w:lang w:val="en-US"/>
        </w:rPr>
        <w:t xml:space="preserve"> </w:t>
      </w:r>
      <w:r w:rsidR="00BC4B34" w:rsidRPr="00BC4B34">
        <w:t>He is president of Great Plains Natural Gas Company</w:t>
      </w:r>
      <w:r w:rsidR="00BC4B34" w:rsidRPr="00BC4B34">
        <w:rPr>
          <w:rStyle w:val="FootnoteReference"/>
          <w:szCs w:val="26"/>
        </w:rPr>
        <w:footnoteReference w:id="84"/>
      </w:r>
      <w:r w:rsidR="00BC4B34" w:rsidRPr="00BC4B34">
        <w:t>, a producer and one of the companies</w:t>
      </w:r>
      <w:r w:rsidR="00E77986">
        <w:t>’</w:t>
      </w:r>
      <w:r w:rsidR="00BC4B34" w:rsidRPr="00BC4B34">
        <w:t xml:space="preserve"> suppliers, and was formerly president of John D. Oil and Gas Exploration</w:t>
      </w:r>
      <w:r w:rsidR="00BC4B34" w:rsidRPr="00BC4B34">
        <w:rPr>
          <w:rStyle w:val="FootnoteReference"/>
          <w:szCs w:val="26"/>
        </w:rPr>
        <w:footnoteReference w:id="85"/>
      </w:r>
      <w:r w:rsidR="00BC4B34" w:rsidRPr="00BC4B34">
        <w:t>, another producer and supplier, where he remains a director.</w:t>
      </w:r>
      <w:r>
        <w:rPr>
          <w:lang w:val="en-US"/>
        </w:rPr>
        <w:t xml:space="preserve"> </w:t>
      </w:r>
      <w:r w:rsidR="00BC4B34" w:rsidRPr="00BC4B34">
        <w:t xml:space="preserve"> According to Ms. Howell, Mr. Smith was also president of John D. Oil and Gas </w:t>
      </w:r>
      <w:r w:rsidR="00BC4B34" w:rsidRPr="00BC4B34">
        <w:rPr>
          <w:i/>
        </w:rPr>
        <w:t>Marketing</w:t>
      </w:r>
      <w:r w:rsidR="00BC4B34" w:rsidRPr="00BC4B34">
        <w:t xml:space="preserve"> during the audit period.</w:t>
      </w:r>
      <w:r w:rsidR="00BC4B34" w:rsidRPr="00BC4B34">
        <w:rPr>
          <w:rStyle w:val="FootnoteReference"/>
          <w:szCs w:val="26"/>
        </w:rPr>
        <w:footnoteReference w:id="86"/>
      </w:r>
      <w:r w:rsidR="00BC4B34" w:rsidRPr="00BC4B34">
        <w:t xml:space="preserve"> </w:t>
      </w:r>
      <w:r>
        <w:rPr>
          <w:lang w:val="en-US"/>
        </w:rPr>
        <w:t xml:space="preserve"> </w:t>
      </w:r>
      <w:r w:rsidR="00BC4B34" w:rsidRPr="00BC4B34">
        <w:t xml:space="preserve">Mr. Smith is also president of the Gas Natural Service Company, which is supposed to be providing services to the very distribution companies </w:t>
      </w:r>
      <w:r w:rsidR="0066214F">
        <w:t>of which he is</w:t>
      </w:r>
      <w:r w:rsidR="00BC4B34" w:rsidRPr="00BC4B34">
        <w:t xml:space="preserve"> also </w:t>
      </w:r>
      <w:r w:rsidR="0066214F">
        <w:t xml:space="preserve">the </w:t>
      </w:r>
      <w:r w:rsidR="00BC4B34" w:rsidRPr="00BC4B34">
        <w:t>president.</w:t>
      </w:r>
      <w:r w:rsidR="00BC4B34" w:rsidRPr="00BC4B34">
        <w:rPr>
          <w:rStyle w:val="FootnoteReference"/>
          <w:szCs w:val="26"/>
        </w:rPr>
        <w:footnoteReference w:id="87"/>
      </w:r>
      <w:r w:rsidR="00BC4B34" w:rsidRPr="00BC4B34">
        <w:t xml:space="preserve"> </w:t>
      </w:r>
    </w:p>
    <w:p w:rsidR="00BC4B34" w:rsidRPr="00BC4B34" w:rsidRDefault="000A2F8C" w:rsidP="000A2F8C">
      <w:pPr>
        <w:pStyle w:val="textstyle"/>
      </w:pPr>
      <w:r>
        <w:rPr>
          <w:lang w:val="en-US"/>
        </w:rPr>
        <w:tab/>
      </w:r>
      <w:r w:rsidR="00BC4B34" w:rsidRPr="00BC4B34">
        <w:t xml:space="preserve">So Mr. Smith was president of a marketer that contracted for supplies with local producing companies, </w:t>
      </w:r>
      <w:r w:rsidR="0066214F">
        <w:t>for</w:t>
      </w:r>
      <w:r w:rsidR="00BC4B34" w:rsidRPr="00BC4B34">
        <w:t xml:space="preserve"> some of which he </w:t>
      </w:r>
      <w:r w:rsidR="0066214F">
        <w:t xml:space="preserve">served as </w:t>
      </w:r>
      <w:r w:rsidR="00BC4B34" w:rsidRPr="00BC4B34">
        <w:t xml:space="preserve">president, for a services company, of which he was president, for the benefit of local distribution companies, for which he </w:t>
      </w:r>
      <w:r w:rsidR="00BC4B34" w:rsidRPr="00BC4B34">
        <w:lastRenderedPageBreak/>
        <w:t xml:space="preserve">was the president. </w:t>
      </w:r>
      <w:r w:rsidR="00DB2C7B">
        <w:rPr>
          <w:lang w:val="en-US"/>
        </w:rPr>
        <w:t xml:space="preserve"> </w:t>
      </w:r>
      <w:r w:rsidR="00BC4B34" w:rsidRPr="00BC4B34">
        <w:t>In all of these presidential capacities, Mr. Smith made it very clear that he reported to Richard Osborne.</w:t>
      </w:r>
      <w:r w:rsidR="00BC4B34" w:rsidRPr="00BC4B34">
        <w:rPr>
          <w:rStyle w:val="FootnoteReference"/>
          <w:szCs w:val="26"/>
        </w:rPr>
        <w:footnoteReference w:id="88"/>
      </w:r>
      <w:r w:rsidR="00BC4B34" w:rsidRPr="00BC4B34">
        <w:t xml:space="preserve"> </w:t>
      </w:r>
    </w:p>
    <w:p w:rsidR="00BC4B34" w:rsidRPr="00BC4B34" w:rsidRDefault="000A2F8C" w:rsidP="000A2F8C">
      <w:pPr>
        <w:pStyle w:val="textstyle"/>
      </w:pPr>
      <w:r>
        <w:rPr>
          <w:lang w:val="en-US"/>
        </w:rPr>
        <w:tab/>
      </w:r>
      <w:r w:rsidR="00BC4B34" w:rsidRPr="00BC4B34">
        <w:t xml:space="preserve">The evidence clearly points to the authority and control that Richard Osborne </w:t>
      </w:r>
      <w:r w:rsidR="0066214F">
        <w:t>exerts (or is capable of exerting)</w:t>
      </w:r>
      <w:r w:rsidR="00BC4B34" w:rsidRPr="00BC4B34">
        <w:t xml:space="preserve"> over these companies and their related entities. </w:t>
      </w:r>
      <w:r>
        <w:rPr>
          <w:lang w:val="en-US"/>
        </w:rPr>
        <w:t xml:space="preserve"> </w:t>
      </w:r>
      <w:r w:rsidR="00BC4B34" w:rsidRPr="00BC4B34">
        <w:t>The extent of his involvement is pervasive.</w:t>
      </w:r>
      <w:r>
        <w:rPr>
          <w:lang w:val="en-US"/>
        </w:rPr>
        <w:t xml:space="preserve">  </w:t>
      </w:r>
      <w:r w:rsidR="00BC4B34" w:rsidRPr="00BC4B34">
        <w:t xml:space="preserve">Reporting lines not leading directly to Mr. Osborne are not, however, entirely clear, and this is particularly true with respect to accounting issues. </w:t>
      </w:r>
      <w:r>
        <w:rPr>
          <w:lang w:val="en-US"/>
        </w:rPr>
        <w:t xml:space="preserve"> </w:t>
      </w:r>
      <w:r w:rsidR="0066214F">
        <w:t xml:space="preserve">Staff respectfully submits that these are the kinds of matters that a comprehensive audit could address. </w:t>
      </w:r>
    </w:p>
    <w:p w:rsidR="00BC4B34" w:rsidRPr="00BC4B34" w:rsidRDefault="000A2F8C" w:rsidP="000A2F8C">
      <w:pPr>
        <w:pStyle w:val="textstyle"/>
      </w:pPr>
      <w:r>
        <w:rPr>
          <w:lang w:val="en-US"/>
        </w:rPr>
        <w:tab/>
      </w:r>
      <w:r w:rsidR="00BC4B34" w:rsidRPr="00BC4B34">
        <w:t>According to Mr. Smith, it was his responsibility to hire adequate staff, including adequate and qualified accounting personnel.</w:t>
      </w:r>
      <w:r w:rsidR="00BC4B34" w:rsidRPr="00BC4B34">
        <w:rPr>
          <w:rStyle w:val="FootnoteReference"/>
          <w:szCs w:val="26"/>
        </w:rPr>
        <w:footnoteReference w:id="89"/>
      </w:r>
      <w:r w:rsidR="00BC4B34" w:rsidRPr="00BC4B34">
        <w:t xml:space="preserve"> </w:t>
      </w:r>
      <w:r>
        <w:rPr>
          <w:lang w:val="en-US"/>
        </w:rPr>
        <w:t xml:space="preserve"> </w:t>
      </w:r>
      <w:r w:rsidR="00BC4B34" w:rsidRPr="00BC4B34">
        <w:t>Each distribution company would have a key accountant, or key financial officer.</w:t>
      </w:r>
      <w:r w:rsidR="00BC4B34" w:rsidRPr="00BC4B34">
        <w:rPr>
          <w:rStyle w:val="FootnoteReference"/>
          <w:szCs w:val="26"/>
        </w:rPr>
        <w:footnoteReference w:id="90"/>
      </w:r>
      <w:r w:rsidR="00BC4B34" w:rsidRPr="00BC4B34">
        <w:t xml:space="preserve"> </w:t>
      </w:r>
      <w:r>
        <w:rPr>
          <w:lang w:val="en-US"/>
        </w:rPr>
        <w:t xml:space="preserve"> </w:t>
      </w:r>
      <w:r w:rsidR="00BC4B34" w:rsidRPr="00BC4B34">
        <w:t xml:space="preserve">These accountants would report, not to the president, </w:t>
      </w:r>
      <w:r w:rsidR="00862BD7">
        <w:rPr>
          <w:lang w:val="en-US"/>
        </w:rPr>
        <w:t xml:space="preserve">but </w:t>
      </w:r>
      <w:r w:rsidR="00BC4B34" w:rsidRPr="00BC4B34">
        <w:t>to the controller of the Ohio utilities, an Energy West employee.</w:t>
      </w:r>
      <w:r w:rsidR="00BC4B34" w:rsidRPr="00BC4B34">
        <w:rPr>
          <w:rStyle w:val="FootnoteReference"/>
          <w:szCs w:val="26"/>
        </w:rPr>
        <w:footnoteReference w:id="91"/>
      </w:r>
      <w:r w:rsidR="00BC4B34" w:rsidRPr="00BC4B34">
        <w:t xml:space="preserve"> </w:t>
      </w:r>
      <w:r>
        <w:rPr>
          <w:lang w:val="en-US"/>
        </w:rPr>
        <w:t xml:space="preserve"> </w:t>
      </w:r>
      <w:r w:rsidR="00BC4B34" w:rsidRPr="00BC4B34">
        <w:t>The Ohio controller would direct report to the controller for the holding company</w:t>
      </w:r>
      <w:r w:rsidR="00BC4B34" w:rsidRPr="00BC4B34">
        <w:rPr>
          <w:rStyle w:val="FootnoteReference"/>
          <w:szCs w:val="26"/>
        </w:rPr>
        <w:footnoteReference w:id="92"/>
      </w:r>
      <w:r w:rsidR="00BC4B34" w:rsidRPr="00BC4B34">
        <w:t>, who would then report to the Chief Financial Officer (CFO).</w:t>
      </w:r>
      <w:r>
        <w:rPr>
          <w:lang w:val="en-US"/>
        </w:rPr>
        <w:t xml:space="preserve"> </w:t>
      </w:r>
      <w:r w:rsidR="00BC4B34" w:rsidRPr="00BC4B34">
        <w:t xml:space="preserve"> Of course, Mr. Smith is the vice president and CFO of Energy West.</w:t>
      </w:r>
      <w:r w:rsidR="00BC4B34" w:rsidRPr="00BC4B34">
        <w:rPr>
          <w:rStyle w:val="FootnoteReference"/>
          <w:szCs w:val="26"/>
        </w:rPr>
        <w:footnoteReference w:id="93"/>
      </w:r>
      <w:r w:rsidR="00BC4B34" w:rsidRPr="00BC4B34">
        <w:t xml:space="preserve"> </w:t>
      </w:r>
      <w:r>
        <w:rPr>
          <w:lang w:val="en-US"/>
        </w:rPr>
        <w:t xml:space="preserve"> </w:t>
      </w:r>
      <w:r w:rsidR="00BC4B34" w:rsidRPr="00BC4B34">
        <w:t xml:space="preserve">It just so happened that the president of these Ohio </w:t>
      </w:r>
      <w:r w:rsidR="002B5EB2">
        <w:lastRenderedPageBreak/>
        <w:t>local distribution companies (</w:t>
      </w:r>
      <w:r w:rsidR="00BC4B34" w:rsidRPr="00BC4B34">
        <w:t>LDCs</w:t>
      </w:r>
      <w:r w:rsidR="002B5EB2">
        <w:t>)</w:t>
      </w:r>
      <w:r w:rsidR="00BC4B34" w:rsidRPr="00BC4B34">
        <w:t xml:space="preserve"> was then, ultimately, accountable only to himself and to Mr. Osborne. </w:t>
      </w:r>
    </w:p>
    <w:p w:rsidR="00BC4B34" w:rsidRPr="00BC4B34" w:rsidRDefault="000A2F8C" w:rsidP="000A2F8C">
      <w:pPr>
        <w:pStyle w:val="textstyle"/>
      </w:pPr>
      <w:r>
        <w:rPr>
          <w:lang w:val="en-US"/>
        </w:rPr>
        <w:tab/>
      </w:r>
      <w:r w:rsidR="00BC4B34" w:rsidRPr="00BC4B34">
        <w:t xml:space="preserve">This lack of accountability poses a fundamental problem. </w:t>
      </w:r>
      <w:r>
        <w:rPr>
          <w:lang w:val="en-US"/>
        </w:rPr>
        <w:t xml:space="preserve"> </w:t>
      </w:r>
      <w:r w:rsidR="00BC4B34" w:rsidRPr="00BC4B34">
        <w:t xml:space="preserve">As noted above, Mr. Smith is also president of the Gas Natural Service Company. </w:t>
      </w:r>
      <w:r>
        <w:rPr>
          <w:lang w:val="en-US"/>
        </w:rPr>
        <w:t xml:space="preserve"> </w:t>
      </w:r>
      <w:r w:rsidR="00BC4B34" w:rsidRPr="00BC4B34">
        <w:t xml:space="preserve">This is a classic situation of the </w:t>
      </w:r>
      <w:r w:rsidR="00E77986">
        <w:t>“</w:t>
      </w:r>
      <w:r w:rsidR="00BC4B34" w:rsidRPr="00BC4B34">
        <w:t>rooster watching the henhouse.</w:t>
      </w:r>
      <w:r w:rsidR="00E77986">
        <w:t>”</w:t>
      </w:r>
      <w:r w:rsidR="00BC4B34" w:rsidRPr="00BC4B34">
        <w:t xml:space="preserve"> </w:t>
      </w:r>
      <w:r w:rsidR="00DB2C7B">
        <w:rPr>
          <w:lang w:val="en-US"/>
        </w:rPr>
        <w:t xml:space="preserve"> </w:t>
      </w:r>
      <w:r w:rsidR="00BC4B34" w:rsidRPr="00BC4B34">
        <w:t>Companies</w:t>
      </w:r>
      <w:r w:rsidR="00E77986">
        <w:t>’</w:t>
      </w:r>
      <w:r w:rsidR="00BC4B34" w:rsidRPr="00BC4B34">
        <w:t xml:space="preserve"> witness Patton was asked about the service company</w:t>
      </w:r>
      <w:r w:rsidR="00E77986">
        <w:t>’</w:t>
      </w:r>
      <w:r w:rsidR="00BC4B34" w:rsidRPr="00BC4B34">
        <w:t>s role, and explained:</w:t>
      </w:r>
    </w:p>
    <w:p w:rsidR="00BC4B34" w:rsidRPr="00BC4B34" w:rsidRDefault="00BC4B34" w:rsidP="006603A0">
      <w:pPr>
        <w:spacing w:after="12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And what is the function that Gas Natural Ser</w:t>
      </w:r>
      <w:r w:rsidR="00282922">
        <w:rPr>
          <w:rFonts w:cs="Times New Roman"/>
          <w:sz w:val="26"/>
          <w:szCs w:val="26"/>
        </w:rPr>
        <w:softHyphen/>
      </w:r>
      <w:r w:rsidRPr="00BC4B34">
        <w:rPr>
          <w:rFonts w:cs="Times New Roman"/>
          <w:sz w:val="26"/>
          <w:szCs w:val="26"/>
        </w:rPr>
        <w:t>vice Com</w:t>
      </w:r>
      <w:r w:rsidR="0094089E">
        <w:rPr>
          <w:rFonts w:cs="Times New Roman"/>
          <w:sz w:val="26"/>
          <w:szCs w:val="26"/>
        </w:rPr>
        <w:softHyphen/>
      </w:r>
      <w:r w:rsidRPr="00BC4B34">
        <w:rPr>
          <w:rFonts w:cs="Times New Roman"/>
          <w:sz w:val="26"/>
          <w:szCs w:val="26"/>
        </w:rPr>
        <w:t>pany does for Northeast based upon your under</w:t>
      </w:r>
      <w:r w:rsidR="0094089E">
        <w:rPr>
          <w:rFonts w:cs="Times New Roman"/>
          <w:sz w:val="26"/>
          <w:szCs w:val="26"/>
        </w:rPr>
        <w:softHyphen/>
      </w:r>
      <w:r w:rsidRPr="00BC4B34">
        <w:rPr>
          <w:rFonts w:cs="Times New Roman"/>
          <w:sz w:val="26"/>
          <w:szCs w:val="26"/>
        </w:rPr>
        <w:t>standing?</w:t>
      </w:r>
    </w:p>
    <w:p w:rsidR="00BC4B34" w:rsidRPr="00BC4B34" w:rsidRDefault="00BC4B34" w:rsidP="006603A0">
      <w:pPr>
        <w:spacing w:after="12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They have all of our gas purchase contracts and our transportation contracts, and I believe they get the bills from JDOG for gas purchases and verify that we were billed for the contract terms.</w:t>
      </w:r>
    </w:p>
    <w:p w:rsidR="00BC4B34" w:rsidRPr="00BC4B34" w:rsidRDefault="00BC4B34" w:rsidP="006603A0">
      <w:pPr>
        <w:spacing w:after="12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So their function is to look at the contract and deter</w:t>
      </w:r>
      <w:r w:rsidR="0094089E">
        <w:rPr>
          <w:rFonts w:cs="Times New Roman"/>
          <w:sz w:val="26"/>
          <w:szCs w:val="26"/>
        </w:rPr>
        <w:softHyphen/>
      </w:r>
      <w:r w:rsidRPr="00BC4B34">
        <w:rPr>
          <w:rFonts w:cs="Times New Roman"/>
          <w:sz w:val="26"/>
          <w:szCs w:val="26"/>
        </w:rPr>
        <w:t>mine if they were billed for an amount that was con</w:t>
      </w:r>
      <w:r w:rsidR="0094089E">
        <w:rPr>
          <w:rFonts w:cs="Times New Roman"/>
          <w:sz w:val="26"/>
          <w:szCs w:val="26"/>
        </w:rPr>
        <w:softHyphen/>
      </w:r>
      <w:r w:rsidRPr="00BC4B34">
        <w:rPr>
          <w:rFonts w:cs="Times New Roman"/>
          <w:sz w:val="26"/>
          <w:szCs w:val="26"/>
        </w:rPr>
        <w:t>sistent with what the contract calls for, correct?</w:t>
      </w:r>
    </w:p>
    <w:p w:rsidR="00BC4B34" w:rsidRDefault="00BC4B34" w:rsidP="006603A0">
      <w:pPr>
        <w:spacing w:after="12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Correct.</w:t>
      </w:r>
      <w:r w:rsidRPr="000A2F8C">
        <w:rPr>
          <w:rStyle w:val="FootnoteReference"/>
          <w:rFonts w:eastAsia="Times New Roman" w:cs="Times New Roman"/>
          <w:sz w:val="26"/>
          <w:szCs w:val="26"/>
          <w:lang w:val="x-none" w:eastAsia="x-none"/>
        </w:rPr>
        <w:footnoteReference w:id="94"/>
      </w:r>
    </w:p>
    <w:p w:rsidR="000A2F8C" w:rsidRPr="00BC4B34" w:rsidRDefault="000A2F8C" w:rsidP="000A2F8C">
      <w:pPr>
        <w:spacing w:after="120"/>
        <w:ind w:left="2160" w:right="1440" w:hanging="720"/>
        <w:rPr>
          <w:rFonts w:cs="Times New Roman"/>
          <w:sz w:val="26"/>
          <w:szCs w:val="26"/>
        </w:rPr>
      </w:pPr>
    </w:p>
    <w:p w:rsidR="00BC4B34" w:rsidRPr="00BC4B34" w:rsidRDefault="000A2F8C" w:rsidP="000A2F8C">
      <w:pPr>
        <w:pStyle w:val="textstyle"/>
      </w:pPr>
      <w:r>
        <w:rPr>
          <w:lang w:val="en-US"/>
        </w:rPr>
        <w:tab/>
      </w:r>
      <w:r w:rsidR="00BC4B34" w:rsidRPr="00BC4B34">
        <w:t>Companies</w:t>
      </w:r>
      <w:r w:rsidR="00E77986">
        <w:t>’</w:t>
      </w:r>
      <w:r w:rsidR="00BC4B34" w:rsidRPr="00BC4B34">
        <w:t xml:space="preserve"> witness Whelan concurred that the function of Gas Natural Services is to match invoices to contracts and ensure that the LDC is billed correctly, both for volume and dollars.</w:t>
      </w:r>
      <w:r w:rsidR="00BC4B34" w:rsidRPr="00BC4B34">
        <w:rPr>
          <w:rStyle w:val="FootnoteReference"/>
          <w:szCs w:val="26"/>
        </w:rPr>
        <w:footnoteReference w:id="95"/>
      </w:r>
      <w:r w:rsidR="00BC4B34" w:rsidRPr="00BC4B34">
        <w:t xml:space="preserve"> </w:t>
      </w:r>
      <w:r>
        <w:rPr>
          <w:lang w:val="en-US"/>
        </w:rPr>
        <w:t xml:space="preserve"> </w:t>
      </w:r>
      <w:r w:rsidR="00BC4B34" w:rsidRPr="00BC4B34">
        <w:t>But it is clear that the Service Company failed to do this. Mr. Whelan acknowledged that at least some of the bills approved by the Services Company were incorrect, and that Services did not catch billing errors from Cobra.</w:t>
      </w:r>
      <w:r w:rsidR="00BC4B34" w:rsidRPr="00BC4B34">
        <w:rPr>
          <w:rStyle w:val="FootnoteReference"/>
          <w:szCs w:val="26"/>
        </w:rPr>
        <w:footnoteReference w:id="96"/>
      </w:r>
      <w:r w:rsidR="00BC4B34" w:rsidRPr="00BC4B34">
        <w:t xml:space="preserve"> </w:t>
      </w:r>
    </w:p>
    <w:p w:rsidR="00BC4B34" w:rsidRPr="00BC4B34" w:rsidRDefault="000A2F8C" w:rsidP="000A2F8C">
      <w:pPr>
        <w:pStyle w:val="textstyle"/>
      </w:pPr>
      <w:r>
        <w:rPr>
          <w:lang w:val="en-US"/>
        </w:rPr>
        <w:lastRenderedPageBreak/>
        <w:tab/>
      </w:r>
      <w:r w:rsidR="00BC4B34" w:rsidRPr="00BC4B34">
        <w:t>The billing error occurred because Cobra charged a processing fee to Northeast for gas that did not undergo processing. Companies</w:t>
      </w:r>
      <w:r w:rsidR="00E77986">
        <w:t>’</w:t>
      </w:r>
      <w:r w:rsidR="00BC4B34" w:rsidRPr="00BC4B34">
        <w:t xml:space="preserve"> witness Whelan admitted that none of the gas on the Cobra system that goes to Northeast customers goes through a processing plant.</w:t>
      </w:r>
      <w:r w:rsidR="00BC4B34" w:rsidRPr="00BC4B34">
        <w:rPr>
          <w:rStyle w:val="FootnoteReference"/>
          <w:szCs w:val="26"/>
        </w:rPr>
        <w:footnoteReference w:id="97"/>
      </w:r>
      <w:r w:rsidR="00BC4B34" w:rsidRPr="00BC4B34">
        <w:t xml:space="preserve"> </w:t>
      </w:r>
    </w:p>
    <w:p w:rsidR="00BC4B34" w:rsidRPr="00BC4B34" w:rsidRDefault="000A2F8C" w:rsidP="000A2F8C">
      <w:pPr>
        <w:pStyle w:val="textstyle"/>
      </w:pPr>
      <w:r>
        <w:rPr>
          <w:lang w:val="en-US"/>
        </w:rPr>
        <w:tab/>
      </w:r>
      <w:r w:rsidR="00BC4B34" w:rsidRPr="00BC4B34">
        <w:t>Mr. Whelan was aware of the processing fee.</w:t>
      </w:r>
      <w:r w:rsidR="00BC4B34" w:rsidRPr="00BC4B34">
        <w:rPr>
          <w:rStyle w:val="FootnoteReference"/>
          <w:szCs w:val="26"/>
        </w:rPr>
        <w:footnoteReference w:id="98"/>
      </w:r>
      <w:r w:rsidR="00BC4B34" w:rsidRPr="00BC4B34">
        <w:t xml:space="preserve"> </w:t>
      </w:r>
      <w:r>
        <w:rPr>
          <w:lang w:val="en-US"/>
        </w:rPr>
        <w:t xml:space="preserve"> </w:t>
      </w:r>
      <w:r w:rsidR="00BC4B34" w:rsidRPr="00BC4B34">
        <w:t>Companies</w:t>
      </w:r>
      <w:r w:rsidR="00E77986">
        <w:t>’</w:t>
      </w:r>
      <w:r w:rsidR="00BC4B34" w:rsidRPr="00BC4B34">
        <w:t xml:space="preserve"> witness Patton was aware of the processing fee, but admitted that the companies did nothing to verify that the gas for which </w:t>
      </w:r>
      <w:r w:rsidR="0066214F">
        <w:t xml:space="preserve">they </w:t>
      </w:r>
      <w:r w:rsidR="00BC4B34" w:rsidRPr="00BC4B34">
        <w:t>were being charged a processing fee was actually processed.</w:t>
      </w:r>
      <w:r w:rsidR="00BC4B34" w:rsidRPr="00BC4B34">
        <w:rPr>
          <w:rStyle w:val="FootnoteReference"/>
          <w:szCs w:val="26"/>
        </w:rPr>
        <w:footnoteReference w:id="99"/>
      </w:r>
      <w:r>
        <w:rPr>
          <w:lang w:val="en-US"/>
        </w:rPr>
        <w:t xml:space="preserve"> </w:t>
      </w:r>
      <w:r w:rsidR="00BC4B34" w:rsidRPr="00BC4B34">
        <w:t xml:space="preserve"> Mr. Smith, the former Cobra president, was ultimately responsible, as president of the Services Company, for authorizing recovery of this improper charge from the customers of the distribution company of which he was also president. </w:t>
      </w:r>
      <w:r>
        <w:rPr>
          <w:lang w:val="en-US"/>
        </w:rPr>
        <w:t xml:space="preserve"> </w:t>
      </w:r>
      <w:r w:rsidR="00BC4B34" w:rsidRPr="00BC4B34">
        <w:t>He obviously failed in that responsibility.</w:t>
      </w:r>
    </w:p>
    <w:p w:rsidR="00BC4B34" w:rsidRPr="00BC4B34" w:rsidRDefault="000A2F8C" w:rsidP="000A2F8C">
      <w:pPr>
        <w:pStyle w:val="textstyle"/>
      </w:pPr>
      <w:r>
        <w:rPr>
          <w:lang w:val="en-US"/>
        </w:rPr>
        <w:tab/>
      </w:r>
      <w:r w:rsidR="00BC4B34" w:rsidRPr="00BC4B34">
        <w:t>Shortly before the hearing in this case began, Mr. Whelan replaced Mr. Smith as president of NEO.</w:t>
      </w:r>
      <w:r w:rsidR="00BC4B34" w:rsidRPr="00BC4B34">
        <w:rPr>
          <w:rStyle w:val="FootnoteReference"/>
          <w:szCs w:val="26"/>
        </w:rPr>
        <w:footnoteReference w:id="100"/>
      </w:r>
      <w:r w:rsidR="00BC4B34" w:rsidRPr="00BC4B34">
        <w:t xml:space="preserve"> </w:t>
      </w:r>
      <w:r w:rsidR="00DB2C7B">
        <w:rPr>
          <w:lang w:val="en-US"/>
        </w:rPr>
        <w:t xml:space="preserve"> </w:t>
      </w:r>
      <w:r w:rsidR="00BC4B34" w:rsidRPr="00BC4B34">
        <w:t>This was a sudden change, at least to Mr. Whelan.</w:t>
      </w:r>
      <w:r w:rsidR="00BC4B34" w:rsidRPr="00BC4B34">
        <w:rPr>
          <w:rStyle w:val="FootnoteReference"/>
          <w:szCs w:val="26"/>
        </w:rPr>
        <w:footnoteReference w:id="101"/>
      </w:r>
      <w:r w:rsidR="00BC4B34" w:rsidRPr="00BC4B34">
        <w:t xml:space="preserve"> </w:t>
      </w:r>
      <w:r>
        <w:rPr>
          <w:lang w:val="en-US"/>
        </w:rPr>
        <w:t xml:space="preserve"> </w:t>
      </w:r>
      <w:r w:rsidR="00BC4B34" w:rsidRPr="00BC4B34">
        <w:t>Although he had extensive operational knowledge about the company, he was made president with neither a college degree nor any kind of business management education or training.</w:t>
      </w:r>
      <w:r w:rsidR="00BC4B34" w:rsidRPr="00BC4B34">
        <w:rPr>
          <w:rStyle w:val="FootnoteReference"/>
          <w:szCs w:val="26"/>
        </w:rPr>
        <w:footnoteReference w:id="102"/>
      </w:r>
      <w:r w:rsidR="00BC4B34" w:rsidRPr="00BC4B34">
        <w:t xml:space="preserve"> </w:t>
      </w:r>
      <w:r>
        <w:rPr>
          <w:lang w:val="en-US"/>
        </w:rPr>
        <w:t xml:space="preserve"> </w:t>
      </w:r>
      <w:r w:rsidR="00BC4B34" w:rsidRPr="00BC4B34">
        <w:t xml:space="preserve">He was not aware of what his new duties as president would entail, or whether that would </w:t>
      </w:r>
      <w:r w:rsidR="00BC4B34" w:rsidRPr="00BC4B34">
        <w:lastRenderedPageBreak/>
        <w:t>include supervision of accounting functions.</w:t>
      </w:r>
      <w:r w:rsidR="00BC4B34" w:rsidRPr="00BC4B34">
        <w:rPr>
          <w:rStyle w:val="FootnoteReference"/>
          <w:szCs w:val="26"/>
        </w:rPr>
        <w:footnoteReference w:id="103"/>
      </w:r>
      <w:r w:rsidR="00BC4B34" w:rsidRPr="00BC4B34">
        <w:t xml:space="preserve"> </w:t>
      </w:r>
      <w:r>
        <w:rPr>
          <w:lang w:val="en-US"/>
        </w:rPr>
        <w:t xml:space="preserve"> </w:t>
      </w:r>
      <w:r w:rsidR="00BC4B34" w:rsidRPr="00BC4B34">
        <w:t>When was asked to review the table of organizational for NEO provided by the company, he acknowledged that it made no sense.</w:t>
      </w:r>
      <w:r w:rsidR="0066214F">
        <w:rPr>
          <w:rStyle w:val="FootnoteReference"/>
          <w:szCs w:val="26"/>
        </w:rPr>
        <w:footnoteReference w:id="104"/>
      </w:r>
      <w:r w:rsidR="00BC4B34" w:rsidRPr="00BC4B34">
        <w:t xml:space="preserve"> </w:t>
      </w:r>
      <w:r>
        <w:rPr>
          <w:lang w:val="en-US"/>
        </w:rPr>
        <w:t xml:space="preserve"> </w:t>
      </w:r>
      <w:r w:rsidR="00BC4B34" w:rsidRPr="00BC4B34">
        <w:t>The NEO chart, for example, listed Becky Howell, the Energy West Controller, at the top, making no mention of the company president.</w:t>
      </w:r>
      <w:r w:rsidR="00BC4B34" w:rsidRPr="00BC4B34">
        <w:rPr>
          <w:rStyle w:val="FootnoteReference"/>
          <w:szCs w:val="26"/>
        </w:rPr>
        <w:footnoteReference w:id="105"/>
      </w:r>
      <w:r w:rsidR="00BC4B34" w:rsidRPr="00BC4B34">
        <w:t xml:space="preserve"> </w:t>
      </w:r>
    </w:p>
    <w:p w:rsidR="00BC4B34" w:rsidRPr="00BC4B34" w:rsidRDefault="000A2F8C" w:rsidP="000A2F8C">
      <w:pPr>
        <w:pStyle w:val="textstyle"/>
      </w:pPr>
      <w:r>
        <w:rPr>
          <w:lang w:val="en-US"/>
        </w:rPr>
        <w:tab/>
      </w:r>
      <w:r w:rsidR="00BC4B34" w:rsidRPr="00BC4B34">
        <w:t xml:space="preserve">This lack of clear definition, as to employer, job title or duties, was not limited to company presidents. </w:t>
      </w:r>
      <w:r>
        <w:rPr>
          <w:lang w:val="en-US"/>
        </w:rPr>
        <w:t xml:space="preserve"> </w:t>
      </w:r>
      <w:r w:rsidR="00BC4B34" w:rsidRPr="00BC4B34">
        <w:t>Staff witness Rolf testified that she was hired as a staff accountant for Orwell, but did not perform any accounting functions for Orwell.</w:t>
      </w:r>
      <w:r w:rsidR="00BC4B34" w:rsidRPr="00BC4B34">
        <w:rPr>
          <w:rStyle w:val="FootnoteReference"/>
          <w:szCs w:val="26"/>
        </w:rPr>
        <w:footnoteReference w:id="106"/>
      </w:r>
      <w:r w:rsidR="00BC4B34" w:rsidRPr="00BC4B34">
        <w:t xml:space="preserve"> </w:t>
      </w:r>
      <w:r>
        <w:rPr>
          <w:lang w:val="en-US"/>
        </w:rPr>
        <w:t xml:space="preserve"> </w:t>
      </w:r>
      <w:r w:rsidR="00BC4B34" w:rsidRPr="00BC4B34">
        <w:t>Ms. Rolf testified:</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To your recollection did -- you said you were employed by Orwell, but you performed work for Northeast.</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Correct.</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Were there other individuals who had similar types of employment --</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Yes.</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 who were also employed by Orwell?</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Usually they would be on different companies</w:t>
      </w:r>
      <w:r w:rsidR="00E77986">
        <w:rPr>
          <w:rFonts w:cs="Times New Roman"/>
          <w:sz w:val="26"/>
          <w:szCs w:val="26"/>
        </w:rPr>
        <w:t>’</w:t>
      </w:r>
      <w:r w:rsidRPr="00BC4B34">
        <w:rPr>
          <w:rFonts w:cs="Times New Roman"/>
          <w:sz w:val="26"/>
          <w:szCs w:val="26"/>
        </w:rPr>
        <w:t xml:space="preserve"> pay</w:t>
      </w:r>
      <w:r w:rsidR="0094089E">
        <w:rPr>
          <w:rFonts w:cs="Times New Roman"/>
          <w:sz w:val="26"/>
          <w:szCs w:val="26"/>
        </w:rPr>
        <w:softHyphen/>
      </w:r>
      <w:r w:rsidRPr="00BC4B34">
        <w:rPr>
          <w:rFonts w:cs="Times New Roman"/>
          <w:sz w:val="26"/>
          <w:szCs w:val="26"/>
        </w:rPr>
        <w:t>rolls</w:t>
      </w:r>
      <w:r w:rsidR="00282922" w:rsidRPr="00BC4B34">
        <w:rPr>
          <w:rFonts w:cs="Times New Roman"/>
          <w:sz w:val="26"/>
          <w:szCs w:val="26"/>
        </w:rPr>
        <w:t xml:space="preserve">.  </w:t>
      </w:r>
      <w:r w:rsidRPr="00BC4B34">
        <w:rPr>
          <w:rFonts w:cs="Times New Roman"/>
          <w:sz w:val="26"/>
          <w:szCs w:val="26"/>
        </w:rPr>
        <w:t>I know the person who did the accounting for Orwell company was actually on NEO</w:t>
      </w:r>
      <w:r w:rsidR="00E77986">
        <w:rPr>
          <w:rFonts w:cs="Times New Roman"/>
          <w:sz w:val="26"/>
          <w:szCs w:val="26"/>
        </w:rPr>
        <w:t>’</w:t>
      </w:r>
      <w:r w:rsidRPr="00BC4B34">
        <w:rPr>
          <w:rFonts w:cs="Times New Roman"/>
          <w:sz w:val="26"/>
          <w:szCs w:val="26"/>
        </w:rPr>
        <w:t>s payroll.</w:t>
      </w:r>
    </w:p>
    <w:p w:rsidR="00636DA2" w:rsidRDefault="00636DA2" w:rsidP="00636DA2">
      <w:pPr>
        <w:spacing w:after="240"/>
        <w:ind w:left="2160" w:right="1440" w:hanging="720"/>
        <w:rPr>
          <w:rFonts w:cs="Times New Roman"/>
          <w:sz w:val="26"/>
          <w:szCs w:val="26"/>
        </w:rPr>
      </w:pPr>
      <w:r>
        <w:rPr>
          <w:rFonts w:cs="Times New Roman"/>
          <w:sz w:val="26"/>
          <w:szCs w:val="26"/>
        </w:rPr>
        <w:br w:type="page"/>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lastRenderedPageBreak/>
        <w:t xml:space="preserve">Q. </w:t>
      </w:r>
      <w:r w:rsidRPr="00BC4B34">
        <w:rPr>
          <w:rFonts w:cs="Times New Roman"/>
          <w:sz w:val="26"/>
          <w:szCs w:val="26"/>
        </w:rPr>
        <w:tab/>
        <w:t>Were you ever given any explanation why you were being paid by Orwell but you were performing duties for Northeast?</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No.</w:t>
      </w:r>
      <w:r w:rsidRPr="00BC4B34">
        <w:rPr>
          <w:rStyle w:val="FootnoteReference"/>
          <w:rFonts w:cs="Times New Roman"/>
          <w:sz w:val="26"/>
          <w:szCs w:val="26"/>
        </w:rPr>
        <w:footnoteReference w:id="107"/>
      </w:r>
    </w:p>
    <w:p w:rsidR="00BC4B34" w:rsidRPr="00BC4B34" w:rsidRDefault="00BC4B34" w:rsidP="000A2F8C">
      <w:pPr>
        <w:pStyle w:val="textstyle"/>
      </w:pPr>
      <w:r w:rsidRPr="00BC4B34">
        <w:t>Even companies</w:t>
      </w:r>
      <w:r w:rsidR="00E77986">
        <w:t>’</w:t>
      </w:r>
      <w:r w:rsidRPr="00BC4B34">
        <w:t xml:space="preserve"> witness Howell testified that she was initially on Orwell</w:t>
      </w:r>
      <w:r w:rsidR="00E77986">
        <w:t>’</w:t>
      </w:r>
      <w:r w:rsidRPr="00BC4B34">
        <w:t>s payroll, but performed duties for other companies.</w:t>
      </w:r>
      <w:r w:rsidRPr="00BC4B34">
        <w:rPr>
          <w:rStyle w:val="FootnoteReference"/>
          <w:szCs w:val="26"/>
        </w:rPr>
        <w:footnoteReference w:id="108"/>
      </w:r>
      <w:r w:rsidRPr="00BC4B34">
        <w:t xml:space="preserve"> </w:t>
      </w:r>
    </w:p>
    <w:p w:rsidR="00BC4B34" w:rsidRPr="00BC4B34" w:rsidRDefault="000A2F8C" w:rsidP="000A2F8C">
      <w:pPr>
        <w:pStyle w:val="textstyle"/>
      </w:pPr>
      <w:r>
        <w:rPr>
          <w:lang w:val="en-US"/>
        </w:rPr>
        <w:tab/>
      </w:r>
      <w:r w:rsidR="00BC4B34" w:rsidRPr="00BC4B34">
        <w:t>Even where the lines of responsibility and accountability were supposedly more transparent, the companies continually blurred them to benefit Mr. Osborne</w:t>
      </w:r>
      <w:r w:rsidR="00E77986">
        <w:t>’</w:t>
      </w:r>
      <w:r w:rsidR="00BC4B34" w:rsidRPr="00BC4B34">
        <w:t>s financial interests.</w:t>
      </w:r>
      <w:r>
        <w:rPr>
          <w:lang w:val="en-US"/>
        </w:rPr>
        <w:t xml:space="preserve">  </w:t>
      </w:r>
      <w:r w:rsidR="00BC4B34" w:rsidRPr="00BC4B34">
        <w:t xml:space="preserve">The staff accountant, for example, is responsible for preparing and making the quarterly GCR filings here at the Commission. </w:t>
      </w:r>
      <w:r>
        <w:rPr>
          <w:lang w:val="en-US"/>
        </w:rPr>
        <w:t xml:space="preserve"> </w:t>
      </w:r>
      <w:r w:rsidR="00BC4B34" w:rsidRPr="00BC4B34">
        <w:t>Of the witnesses who testified, both Staff witness Rolf and companies</w:t>
      </w:r>
      <w:r w:rsidR="00E77986">
        <w:t>’</w:t>
      </w:r>
      <w:r w:rsidR="00BC4B34" w:rsidRPr="00BC4B34">
        <w:t xml:space="preserve"> witness Noce made GCR filings for the companies during the audit period. </w:t>
      </w:r>
      <w:r>
        <w:rPr>
          <w:lang w:val="en-US"/>
        </w:rPr>
        <w:t xml:space="preserve"> </w:t>
      </w:r>
      <w:r w:rsidR="00BC4B34" w:rsidRPr="00BC4B34">
        <w:t xml:space="preserve">Concerns were raised in this case about the review and modification of those filings. </w:t>
      </w:r>
    </w:p>
    <w:p w:rsidR="00BC4B34" w:rsidRPr="00BC4B34" w:rsidRDefault="000A2F8C" w:rsidP="000A2F8C">
      <w:pPr>
        <w:pStyle w:val="textstyle"/>
      </w:pPr>
      <w:r>
        <w:rPr>
          <w:lang w:val="en-US"/>
        </w:rPr>
        <w:tab/>
      </w:r>
      <w:r w:rsidR="00BC4B34" w:rsidRPr="00BC4B34">
        <w:t>Companies</w:t>
      </w:r>
      <w:r w:rsidR="00E77986">
        <w:t>’</w:t>
      </w:r>
      <w:r w:rsidR="00BC4B34" w:rsidRPr="00BC4B34">
        <w:t xml:space="preserve"> witness Smith testified that he was the only person who reviewed GCR estimations.</w:t>
      </w:r>
      <w:r w:rsidR="00BC4B34" w:rsidRPr="00BC4B34">
        <w:rPr>
          <w:rStyle w:val="FootnoteReference"/>
          <w:szCs w:val="26"/>
        </w:rPr>
        <w:footnoteReference w:id="109"/>
      </w:r>
      <w:r w:rsidR="00BC4B34" w:rsidRPr="00BC4B34">
        <w:t xml:space="preserve"> </w:t>
      </w:r>
      <w:r>
        <w:rPr>
          <w:lang w:val="en-US"/>
        </w:rPr>
        <w:t xml:space="preserve"> </w:t>
      </w:r>
      <w:r w:rsidR="00BC4B34" w:rsidRPr="00BC4B34">
        <w:t>Ms. Howell agreed:</w:t>
      </w:r>
    </w:p>
    <w:p w:rsidR="00BC4B34" w:rsidRPr="00BC4B34" w:rsidRDefault="00BC4B34" w:rsidP="00636DA2">
      <w:pPr>
        <w:spacing w:after="240"/>
        <w:ind w:left="144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And as controller, what was your interaction with the GCR pro</w:t>
      </w:r>
      <w:r w:rsidR="00282922">
        <w:rPr>
          <w:rFonts w:cs="Times New Roman"/>
          <w:sz w:val="26"/>
          <w:szCs w:val="26"/>
        </w:rPr>
        <w:softHyphen/>
      </w:r>
      <w:r w:rsidRPr="00BC4B34">
        <w:rPr>
          <w:rFonts w:cs="Times New Roman"/>
          <w:sz w:val="26"/>
          <w:szCs w:val="26"/>
        </w:rPr>
        <w:t>cess?</w:t>
      </w:r>
    </w:p>
    <w:p w:rsidR="00BC4B34" w:rsidRPr="00BC4B34" w:rsidRDefault="00BC4B34" w:rsidP="00636DA2">
      <w:pPr>
        <w:spacing w:after="240"/>
        <w:ind w:left="144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I did not check those at the time; Mr. Smith did. He approved them.</w:t>
      </w:r>
    </w:p>
    <w:p w:rsidR="00BC4B34" w:rsidRPr="00BC4B34" w:rsidRDefault="00BC4B34" w:rsidP="00636DA2">
      <w:pPr>
        <w:spacing w:after="240"/>
        <w:ind w:left="144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As the controller of Northeast and Orwell, did you consider yourself the senior accountant for the company?</w:t>
      </w:r>
    </w:p>
    <w:p w:rsidR="00BC4B34" w:rsidRPr="00BC4B34" w:rsidRDefault="00BC4B34" w:rsidP="00636DA2">
      <w:pPr>
        <w:spacing w:after="240"/>
        <w:ind w:left="144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Yes.</w:t>
      </w:r>
    </w:p>
    <w:p w:rsidR="00BC4B34" w:rsidRPr="00BC4B34" w:rsidRDefault="00BC4B34" w:rsidP="00636DA2">
      <w:pPr>
        <w:spacing w:after="240"/>
        <w:ind w:left="1440" w:right="1440" w:hanging="720"/>
        <w:rPr>
          <w:rFonts w:cs="Times New Roman"/>
          <w:sz w:val="26"/>
          <w:szCs w:val="26"/>
        </w:rPr>
      </w:pPr>
      <w:r w:rsidRPr="00BC4B34">
        <w:rPr>
          <w:rFonts w:cs="Times New Roman"/>
          <w:sz w:val="26"/>
          <w:szCs w:val="26"/>
        </w:rPr>
        <w:lastRenderedPageBreak/>
        <w:t xml:space="preserve">Q. </w:t>
      </w:r>
      <w:r w:rsidRPr="00BC4B34">
        <w:rPr>
          <w:rFonts w:cs="Times New Roman"/>
          <w:sz w:val="26"/>
          <w:szCs w:val="26"/>
        </w:rPr>
        <w:tab/>
        <w:t>And is it your understanding that GCR filing is an accounting calculation?</w:t>
      </w:r>
    </w:p>
    <w:p w:rsidR="00BC4B34" w:rsidRPr="00BC4B34" w:rsidRDefault="00BC4B34" w:rsidP="00636DA2">
      <w:pPr>
        <w:spacing w:after="240"/>
        <w:ind w:left="144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Yes.</w:t>
      </w:r>
    </w:p>
    <w:p w:rsidR="00BC4B34" w:rsidRPr="00BC4B34" w:rsidRDefault="00BC4B34" w:rsidP="00636DA2">
      <w:pPr>
        <w:spacing w:after="240"/>
        <w:ind w:left="144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Yet you never reviewed the accounting calculation as control</w:t>
      </w:r>
      <w:r w:rsidR="00282922">
        <w:rPr>
          <w:rFonts w:cs="Times New Roman"/>
          <w:sz w:val="26"/>
          <w:szCs w:val="26"/>
        </w:rPr>
        <w:softHyphen/>
      </w:r>
      <w:r w:rsidRPr="00BC4B34">
        <w:rPr>
          <w:rFonts w:cs="Times New Roman"/>
          <w:sz w:val="26"/>
          <w:szCs w:val="26"/>
        </w:rPr>
        <w:t>ler?</w:t>
      </w:r>
    </w:p>
    <w:p w:rsidR="00BC4B34" w:rsidRPr="00BC4B34" w:rsidRDefault="00BC4B34" w:rsidP="00636DA2">
      <w:pPr>
        <w:spacing w:after="240"/>
        <w:ind w:left="1440" w:right="1440" w:hanging="720"/>
        <w:rPr>
          <w:rFonts w:cs="Times New Roman"/>
          <w:sz w:val="26"/>
          <w:szCs w:val="26"/>
        </w:rPr>
      </w:pPr>
      <w:r w:rsidRPr="00BC4B34">
        <w:rPr>
          <w:rFonts w:cs="Times New Roman"/>
          <w:sz w:val="26"/>
          <w:szCs w:val="26"/>
        </w:rPr>
        <w:t xml:space="preserve">A. </w:t>
      </w:r>
      <w:r w:rsidR="00603EB3">
        <w:rPr>
          <w:rFonts w:cs="Times New Roman"/>
          <w:sz w:val="26"/>
          <w:szCs w:val="26"/>
        </w:rPr>
        <w:tab/>
      </w:r>
      <w:r w:rsidRPr="00BC4B34">
        <w:rPr>
          <w:rFonts w:cs="Times New Roman"/>
          <w:sz w:val="26"/>
          <w:szCs w:val="26"/>
        </w:rPr>
        <w:t>Because I knew Mr. Smith was doing it.</w:t>
      </w:r>
      <w:r w:rsidRPr="00BC4B34">
        <w:rPr>
          <w:rStyle w:val="FootnoteReference"/>
          <w:rFonts w:cs="Times New Roman"/>
          <w:sz w:val="26"/>
          <w:szCs w:val="26"/>
        </w:rPr>
        <w:footnoteReference w:id="110"/>
      </w:r>
    </w:p>
    <w:p w:rsidR="00BC4B34" w:rsidRPr="00BC4B34" w:rsidRDefault="000A2F8C" w:rsidP="000A2F8C">
      <w:pPr>
        <w:pStyle w:val="textstyle"/>
      </w:pPr>
      <w:r>
        <w:rPr>
          <w:lang w:val="en-US"/>
        </w:rPr>
        <w:tab/>
      </w:r>
      <w:r w:rsidR="00BC4B34" w:rsidRPr="00BC4B34">
        <w:t>Testimony of other compan</w:t>
      </w:r>
      <w:r w:rsidR="002B5EB2">
        <w:t>ies</w:t>
      </w:r>
      <w:r w:rsidR="00E77986">
        <w:t>’</w:t>
      </w:r>
      <w:r w:rsidR="00BC4B34" w:rsidRPr="00BC4B34">
        <w:t xml:space="preserve"> witnesses contradicted this assertion. </w:t>
      </w:r>
      <w:r>
        <w:rPr>
          <w:lang w:val="en-US"/>
        </w:rPr>
        <w:t xml:space="preserve"> </w:t>
      </w:r>
      <w:r w:rsidR="00BC4B34" w:rsidRPr="00BC4B34">
        <w:t>Even though she had never prepared a GCR filing, and was never responsible for providing information that went into the GCR calculations, companies</w:t>
      </w:r>
      <w:r w:rsidR="00E77986">
        <w:t>’</w:t>
      </w:r>
      <w:r w:rsidR="00BC4B34" w:rsidRPr="00BC4B34">
        <w:t xml:space="preserve"> witness Howell acknowledged that she was, from time to time, asked to review those filings.</w:t>
      </w:r>
      <w:r w:rsidR="00BC4B34" w:rsidRPr="00BC4B34">
        <w:rPr>
          <w:rStyle w:val="FootnoteReference"/>
          <w:szCs w:val="26"/>
        </w:rPr>
        <w:footnoteReference w:id="111"/>
      </w:r>
      <w:r w:rsidR="00BC4B34" w:rsidRPr="00BC4B34">
        <w:t xml:space="preserve"> </w:t>
      </w:r>
      <w:r>
        <w:rPr>
          <w:lang w:val="en-US"/>
        </w:rPr>
        <w:t xml:space="preserve"> </w:t>
      </w:r>
      <w:r w:rsidR="00BC4B34" w:rsidRPr="00BC4B34">
        <w:t>She even did this in her capacity as president of Cobra Pipeline Company.</w:t>
      </w:r>
      <w:r w:rsidR="00BC4B34" w:rsidRPr="00BC4B34">
        <w:rPr>
          <w:rStyle w:val="FootnoteReference"/>
          <w:szCs w:val="26"/>
        </w:rPr>
        <w:footnoteReference w:id="112"/>
      </w:r>
      <w:r w:rsidR="00BC4B34" w:rsidRPr="00BC4B34">
        <w:t xml:space="preserve"> </w:t>
      </w:r>
      <w:r>
        <w:rPr>
          <w:lang w:val="en-US"/>
        </w:rPr>
        <w:t xml:space="preserve"> </w:t>
      </w:r>
      <w:r w:rsidR="00BC4B34" w:rsidRPr="00BC4B34">
        <w:t>And Ms. Noce testified that the Ohio controller, and even Richard Osborne himself, would also review GCR filings from time to time.</w:t>
      </w:r>
      <w:r w:rsidR="00BC4B34" w:rsidRPr="00BC4B34">
        <w:rPr>
          <w:rStyle w:val="FootnoteReference"/>
          <w:szCs w:val="26"/>
        </w:rPr>
        <w:footnoteReference w:id="113"/>
      </w:r>
    </w:p>
    <w:p w:rsidR="00BC4B34" w:rsidRPr="00BC4B34" w:rsidRDefault="000A2F8C" w:rsidP="000A2F8C">
      <w:pPr>
        <w:pStyle w:val="textstyle"/>
      </w:pPr>
      <w:r>
        <w:rPr>
          <w:lang w:val="en-US"/>
        </w:rPr>
        <w:tab/>
      </w:r>
      <w:r w:rsidR="00BC4B34" w:rsidRPr="00BC4B34">
        <w:t>Mr. Smith testified that he would make adjustments to expected gas cost (EGC) estimates if he felt they were necessary, even though he did not know what information his employees relied on to make their estimates,</w:t>
      </w:r>
      <w:r w:rsidR="0066214F">
        <w:rPr>
          <w:rStyle w:val="FootnoteReference"/>
          <w:szCs w:val="26"/>
        </w:rPr>
        <w:footnoteReference w:id="114"/>
      </w:r>
      <w:r w:rsidR="00BC4B34" w:rsidRPr="00BC4B34">
        <w:t xml:space="preserve"> whether anyone associated with the companies provided any information to those employees to assist them with their </w:t>
      </w:r>
      <w:r w:rsidR="00BC4B34" w:rsidRPr="00BC4B34">
        <w:lastRenderedPageBreak/>
        <w:t>estimations,</w:t>
      </w:r>
      <w:r w:rsidR="0066214F">
        <w:rPr>
          <w:rStyle w:val="FootnoteReference"/>
          <w:szCs w:val="26"/>
        </w:rPr>
        <w:footnoteReference w:id="115"/>
      </w:r>
      <w:r w:rsidR="00BC4B34" w:rsidRPr="00BC4B34">
        <w:t xml:space="preserve"> whether there was any prescribed method for calculating these estimates,</w:t>
      </w:r>
      <w:r w:rsidR="0066214F">
        <w:rPr>
          <w:rStyle w:val="FootnoteReference"/>
          <w:szCs w:val="26"/>
        </w:rPr>
        <w:footnoteReference w:id="116"/>
      </w:r>
      <w:r w:rsidR="00BC4B34" w:rsidRPr="00BC4B34">
        <w:t xml:space="preserve"> or even how to perform the GCR calculation.</w:t>
      </w:r>
      <w:r w:rsidR="0066214F">
        <w:rPr>
          <w:rStyle w:val="FootnoteReference"/>
          <w:szCs w:val="26"/>
        </w:rPr>
        <w:footnoteReference w:id="117"/>
      </w:r>
      <w:r w:rsidR="00BC4B34" w:rsidRPr="00BC4B34">
        <w:t xml:space="preserve"> </w:t>
      </w:r>
      <w:r>
        <w:rPr>
          <w:lang w:val="en-US"/>
        </w:rPr>
        <w:t xml:space="preserve"> </w:t>
      </w:r>
      <w:r w:rsidR="00BC4B34" w:rsidRPr="00BC4B34">
        <w:t>He relied on no information to check the accuracy of the estimates</w:t>
      </w:r>
      <w:r w:rsidR="00BC4B34" w:rsidRPr="00BC4B34">
        <w:rPr>
          <w:rStyle w:val="FootnoteReference"/>
          <w:szCs w:val="26"/>
        </w:rPr>
        <w:footnoteReference w:id="118"/>
      </w:r>
      <w:r w:rsidR="00BC4B34" w:rsidRPr="00BC4B34">
        <w:t xml:space="preserve">, or perform or cause any analysis to be performed to evaluate the estimation process. </w:t>
      </w:r>
      <w:r>
        <w:rPr>
          <w:lang w:val="en-US"/>
        </w:rPr>
        <w:t xml:space="preserve"> </w:t>
      </w:r>
      <w:r w:rsidR="00BC4B34" w:rsidRPr="00BC4B34">
        <w:t>Indeed, he acknowledged that he didn</w:t>
      </w:r>
      <w:r w:rsidR="00E77986">
        <w:t>’</w:t>
      </w:r>
      <w:r w:rsidR="00BC4B34" w:rsidRPr="00BC4B34">
        <w:t xml:space="preserve">t </w:t>
      </w:r>
      <w:r w:rsidR="0066214F">
        <w:t xml:space="preserve">even </w:t>
      </w:r>
      <w:r w:rsidR="00BC4B34" w:rsidRPr="00BC4B34">
        <w:t>know how he arrived at his adjustments.</w:t>
      </w:r>
      <w:r w:rsidR="00BC4B34" w:rsidRPr="00BC4B34">
        <w:rPr>
          <w:rStyle w:val="FootnoteReference"/>
          <w:szCs w:val="26"/>
        </w:rPr>
        <w:footnoteReference w:id="119"/>
      </w:r>
      <w:r w:rsidR="00BC4B34" w:rsidRPr="00BC4B34">
        <w:t xml:space="preserve"> </w:t>
      </w:r>
    </w:p>
    <w:p w:rsidR="00BC4B34" w:rsidRPr="00BC4B34" w:rsidRDefault="000A2F8C" w:rsidP="000A2F8C">
      <w:pPr>
        <w:pStyle w:val="textstyle"/>
      </w:pPr>
      <w:r>
        <w:rPr>
          <w:lang w:val="en-US"/>
        </w:rPr>
        <w:tab/>
      </w:r>
      <w:r w:rsidR="00BC4B34" w:rsidRPr="00BC4B34">
        <w:t>Staff witness Rolf testified that she was told on one occasion to decrease sales numbers so that the GCR rate would be higher.</w:t>
      </w:r>
      <w:r w:rsidR="00BC4B34" w:rsidRPr="00BC4B34">
        <w:rPr>
          <w:rStyle w:val="FootnoteReference"/>
          <w:szCs w:val="26"/>
        </w:rPr>
        <w:footnoteReference w:id="120"/>
      </w:r>
      <w:r w:rsidR="00BC4B34" w:rsidRPr="00BC4B34">
        <w:t xml:space="preserve"> </w:t>
      </w:r>
      <w:r>
        <w:rPr>
          <w:lang w:val="en-US"/>
        </w:rPr>
        <w:t xml:space="preserve"> </w:t>
      </w:r>
      <w:r w:rsidR="00BC4B34" w:rsidRPr="00BC4B34">
        <w:t>Staff witness Lipnis testified that Becky Howell intentionally increased the GCR.</w:t>
      </w:r>
      <w:r w:rsidR="00BC4B34" w:rsidRPr="00BC4B34">
        <w:rPr>
          <w:rStyle w:val="FootnoteReference"/>
          <w:szCs w:val="26"/>
        </w:rPr>
        <w:footnoteReference w:id="121"/>
      </w:r>
      <w:r w:rsidR="00BC4B34" w:rsidRPr="00BC4B34">
        <w:t xml:space="preserve"> </w:t>
      </w:r>
      <w:r>
        <w:rPr>
          <w:lang w:val="en-US"/>
        </w:rPr>
        <w:t xml:space="preserve"> </w:t>
      </w:r>
      <w:r w:rsidR="00BC4B34" w:rsidRPr="00BC4B34">
        <w:t>The companies dispute that this happened.</w:t>
      </w:r>
      <w:r>
        <w:rPr>
          <w:lang w:val="en-US"/>
        </w:rPr>
        <w:t xml:space="preserve"> </w:t>
      </w:r>
      <w:r w:rsidR="00BC4B34" w:rsidRPr="00BC4B34">
        <w:t xml:space="preserve"> Rather, Mr. Smith asserts that he believed that Ms. Rolf consistently underestimated or under-collected, and that the companies were thereby not charging customers enough.</w:t>
      </w:r>
      <w:r w:rsidR="00BC4B34" w:rsidRPr="00BC4B34">
        <w:rPr>
          <w:rStyle w:val="FootnoteReference"/>
          <w:szCs w:val="26"/>
        </w:rPr>
        <w:footnoteReference w:id="122"/>
      </w:r>
      <w:r w:rsidR="00BC4B34" w:rsidRPr="00BC4B34">
        <w:t xml:space="preserve"> </w:t>
      </w:r>
      <w:r>
        <w:rPr>
          <w:lang w:val="en-US"/>
        </w:rPr>
        <w:t xml:space="preserve"> </w:t>
      </w:r>
      <w:r w:rsidR="00BC4B34" w:rsidRPr="00BC4B34">
        <w:t xml:space="preserve">He was unable, however, to say how often (if at all) the companies were under-collecting during the audit period. Indeed, when shown Staff Ex. 3, he </w:t>
      </w:r>
      <w:r w:rsidR="00BC4B34" w:rsidRPr="00BC4B34">
        <w:lastRenderedPageBreak/>
        <w:t>acknowledged that the company had been over-collecting, even on the magnitude of $2.65 per Mcf.</w:t>
      </w:r>
      <w:r w:rsidR="00BC4B34" w:rsidRPr="00BC4B34">
        <w:rPr>
          <w:rStyle w:val="FootnoteReference"/>
          <w:szCs w:val="26"/>
        </w:rPr>
        <w:footnoteReference w:id="123"/>
      </w:r>
      <w:r w:rsidR="00BC4B34" w:rsidRPr="00BC4B34">
        <w:t xml:space="preserve"> </w:t>
      </w:r>
    </w:p>
    <w:p w:rsidR="00BC4B34" w:rsidRPr="00BC4B34" w:rsidRDefault="000A2F8C" w:rsidP="000A2F8C">
      <w:pPr>
        <w:pStyle w:val="textstyle"/>
      </w:pPr>
      <w:r>
        <w:rPr>
          <w:lang w:val="en-US"/>
        </w:rPr>
        <w:tab/>
      </w:r>
      <w:r w:rsidR="00BC4B34" w:rsidRPr="00BC4B34">
        <w:t xml:space="preserve">Staff surmises that Ms. Rolf was asked to make a change to </w:t>
      </w:r>
      <w:r w:rsidR="002B5EB2">
        <w:t>generate</w:t>
      </w:r>
      <w:r w:rsidR="00BC4B34" w:rsidRPr="00BC4B34">
        <w:t xml:space="preserve"> more immediate cash flow. </w:t>
      </w:r>
      <w:r>
        <w:rPr>
          <w:lang w:val="en-US"/>
        </w:rPr>
        <w:t xml:space="preserve"> </w:t>
      </w:r>
      <w:r w:rsidR="00BC4B34" w:rsidRPr="00BC4B34">
        <w:t xml:space="preserve">While estimating gas costs is imprecise, Staff is concerned that this is another example of poor judgment, one exercised by managers ill-equipped to make such judgments. </w:t>
      </w:r>
      <w:r>
        <w:rPr>
          <w:lang w:val="en-US"/>
        </w:rPr>
        <w:t xml:space="preserve"> </w:t>
      </w:r>
      <w:r w:rsidR="00BC4B34" w:rsidRPr="00BC4B34">
        <w:t>Mr. Smith did not know how to do a GCR calculation.</w:t>
      </w:r>
      <w:r w:rsidR="00BC4B34" w:rsidRPr="00BC4B34">
        <w:rPr>
          <w:rStyle w:val="FootnoteReference"/>
          <w:szCs w:val="26"/>
        </w:rPr>
        <w:footnoteReference w:id="124"/>
      </w:r>
      <w:r w:rsidR="00BC4B34" w:rsidRPr="00BC4B34">
        <w:t xml:space="preserve"> </w:t>
      </w:r>
      <w:r>
        <w:rPr>
          <w:lang w:val="en-US"/>
        </w:rPr>
        <w:t xml:space="preserve"> </w:t>
      </w:r>
      <w:r w:rsidR="00BC4B34" w:rsidRPr="00BC4B34">
        <w:t>He did not know the component parts of the calculation, or how they related to each other.</w:t>
      </w:r>
      <w:r w:rsidR="00BC4B34" w:rsidRPr="00BC4B34">
        <w:rPr>
          <w:rStyle w:val="FootnoteReference"/>
          <w:szCs w:val="26"/>
        </w:rPr>
        <w:footnoteReference w:id="125"/>
      </w:r>
      <w:r w:rsidR="00BC4B34" w:rsidRPr="00BC4B34">
        <w:t xml:space="preserve"> </w:t>
      </w:r>
      <w:r>
        <w:rPr>
          <w:lang w:val="en-US"/>
        </w:rPr>
        <w:t xml:space="preserve"> </w:t>
      </w:r>
      <w:r w:rsidR="00BC4B34" w:rsidRPr="00BC4B34">
        <w:t>He tried to distinguish between gas cost estimates (which he said he would adjust from time to time) and sales volumes (which he said that he never adjusted), but acknowledged that he did not know whether there are any sales volumes in the GCR calculation.</w:t>
      </w:r>
      <w:r w:rsidR="00BC4B34" w:rsidRPr="00BC4B34">
        <w:rPr>
          <w:rStyle w:val="FootnoteReference"/>
          <w:szCs w:val="26"/>
        </w:rPr>
        <w:footnoteReference w:id="126"/>
      </w:r>
      <w:r w:rsidR="00BC4B34" w:rsidRPr="00BC4B34">
        <w:t xml:space="preserve"> </w:t>
      </w:r>
    </w:p>
    <w:p w:rsidR="00BC4B34" w:rsidRPr="00BC4B34" w:rsidRDefault="000A2F8C" w:rsidP="000A2F8C">
      <w:pPr>
        <w:pStyle w:val="textstyle"/>
      </w:pPr>
      <w:r>
        <w:rPr>
          <w:lang w:val="en-US"/>
        </w:rPr>
        <w:tab/>
      </w:r>
      <w:r w:rsidR="00BC4B34" w:rsidRPr="00BC4B34">
        <w:t>Ms. Howell fared no better:</w:t>
      </w:r>
    </w:p>
    <w:p w:rsidR="00BC4B34" w:rsidRPr="00BC4B34" w:rsidRDefault="00BC4B34" w:rsidP="000A2F8C">
      <w:pPr>
        <w:spacing w:after="120"/>
        <w:ind w:left="144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 xml:space="preserve">Okay. </w:t>
      </w:r>
      <w:r w:rsidR="00E77986">
        <w:rPr>
          <w:rFonts w:cs="Times New Roman"/>
          <w:sz w:val="26"/>
          <w:szCs w:val="26"/>
        </w:rPr>
        <w:t xml:space="preserve"> </w:t>
      </w:r>
      <w:r w:rsidRPr="00BC4B34">
        <w:rPr>
          <w:rFonts w:cs="Times New Roman"/>
          <w:sz w:val="26"/>
          <w:szCs w:val="26"/>
        </w:rPr>
        <w:t>When you see EGC, expected gas cost, do you know how the expected gas cost component of the GCR is calcu</w:t>
      </w:r>
      <w:r w:rsidR="00282922">
        <w:rPr>
          <w:rFonts w:cs="Times New Roman"/>
          <w:sz w:val="26"/>
          <w:szCs w:val="26"/>
        </w:rPr>
        <w:softHyphen/>
      </w:r>
      <w:r w:rsidRPr="00BC4B34">
        <w:rPr>
          <w:rFonts w:cs="Times New Roman"/>
          <w:sz w:val="26"/>
          <w:szCs w:val="26"/>
        </w:rPr>
        <w:t>lated?</w:t>
      </w:r>
    </w:p>
    <w:p w:rsidR="00BC4B34" w:rsidRPr="00BC4B34" w:rsidRDefault="00BC4B34" w:rsidP="000A2F8C">
      <w:pPr>
        <w:spacing w:after="120"/>
        <w:ind w:left="144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It</w:t>
      </w:r>
      <w:r w:rsidR="00E77986">
        <w:rPr>
          <w:rFonts w:cs="Times New Roman"/>
          <w:sz w:val="26"/>
          <w:szCs w:val="26"/>
        </w:rPr>
        <w:t>’</w:t>
      </w:r>
      <w:r w:rsidRPr="00BC4B34">
        <w:rPr>
          <w:rFonts w:cs="Times New Roman"/>
          <w:sz w:val="26"/>
          <w:szCs w:val="26"/>
        </w:rPr>
        <w:t>s based off your sales and a NYMEX price, NYMEX plus price.</w:t>
      </w:r>
    </w:p>
    <w:p w:rsidR="00BC4B34" w:rsidRPr="00BC4B34" w:rsidRDefault="00BC4B34" w:rsidP="000A2F8C">
      <w:pPr>
        <w:spacing w:after="120"/>
        <w:ind w:left="144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NYMEX and sales. And what period of sales?</w:t>
      </w:r>
    </w:p>
    <w:p w:rsidR="00BC4B34" w:rsidRPr="00BC4B34" w:rsidRDefault="00BC4B34" w:rsidP="000A2F8C">
      <w:pPr>
        <w:spacing w:after="120"/>
        <w:ind w:left="144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For the -- I think the historical past year.</w:t>
      </w:r>
    </w:p>
    <w:p w:rsidR="00BC4B34" w:rsidRPr="00BC4B34" w:rsidRDefault="00BC4B34" w:rsidP="000A2F8C">
      <w:pPr>
        <w:spacing w:after="120"/>
        <w:ind w:left="144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The historical past year? Is there any component of gas vol</w:t>
      </w:r>
      <w:r w:rsidR="00282922">
        <w:rPr>
          <w:rFonts w:cs="Times New Roman"/>
          <w:sz w:val="26"/>
          <w:szCs w:val="26"/>
        </w:rPr>
        <w:softHyphen/>
      </w:r>
      <w:r w:rsidRPr="00BC4B34">
        <w:rPr>
          <w:rFonts w:cs="Times New Roman"/>
          <w:sz w:val="26"/>
          <w:szCs w:val="26"/>
        </w:rPr>
        <w:t>ume that</w:t>
      </w:r>
      <w:r w:rsidR="00E77986">
        <w:rPr>
          <w:rFonts w:cs="Times New Roman"/>
          <w:sz w:val="26"/>
          <w:szCs w:val="26"/>
        </w:rPr>
        <w:t>’</w:t>
      </w:r>
      <w:r w:rsidRPr="00BC4B34">
        <w:rPr>
          <w:rFonts w:cs="Times New Roman"/>
          <w:sz w:val="26"/>
          <w:szCs w:val="26"/>
        </w:rPr>
        <w:t>s included as part of that calculation?</w:t>
      </w:r>
    </w:p>
    <w:p w:rsidR="00636DA2" w:rsidRDefault="00636DA2" w:rsidP="000A2F8C">
      <w:pPr>
        <w:spacing w:after="120"/>
        <w:ind w:left="1440" w:right="1440" w:hanging="720"/>
        <w:rPr>
          <w:rFonts w:cs="Times New Roman"/>
          <w:sz w:val="26"/>
          <w:szCs w:val="26"/>
        </w:rPr>
      </w:pPr>
      <w:r>
        <w:rPr>
          <w:rFonts w:cs="Times New Roman"/>
          <w:sz w:val="26"/>
          <w:szCs w:val="26"/>
        </w:rPr>
        <w:br w:type="page"/>
      </w:r>
    </w:p>
    <w:p w:rsidR="00BC4B34" w:rsidRPr="00BC4B34" w:rsidRDefault="00BC4B34" w:rsidP="000A2F8C">
      <w:pPr>
        <w:spacing w:after="120"/>
        <w:ind w:left="1440" w:right="1440" w:hanging="720"/>
        <w:rPr>
          <w:rFonts w:cs="Times New Roman"/>
          <w:sz w:val="26"/>
          <w:szCs w:val="26"/>
        </w:rPr>
      </w:pPr>
      <w:r w:rsidRPr="00BC4B34">
        <w:rPr>
          <w:rFonts w:cs="Times New Roman"/>
          <w:sz w:val="26"/>
          <w:szCs w:val="26"/>
        </w:rPr>
        <w:lastRenderedPageBreak/>
        <w:t xml:space="preserve">A. </w:t>
      </w:r>
      <w:r w:rsidRPr="00BC4B34">
        <w:rPr>
          <w:rFonts w:cs="Times New Roman"/>
          <w:sz w:val="26"/>
          <w:szCs w:val="26"/>
        </w:rPr>
        <w:tab/>
        <w:t>It</w:t>
      </w:r>
      <w:r w:rsidR="00E77986">
        <w:rPr>
          <w:rFonts w:cs="Times New Roman"/>
          <w:sz w:val="26"/>
          <w:szCs w:val="26"/>
        </w:rPr>
        <w:t>’</w:t>
      </w:r>
      <w:r w:rsidRPr="00BC4B34">
        <w:rPr>
          <w:rFonts w:cs="Times New Roman"/>
          <w:sz w:val="26"/>
          <w:szCs w:val="26"/>
        </w:rPr>
        <w:t>s based on your sales times your NYMEX prices for your expected gas costs.</w:t>
      </w:r>
    </w:p>
    <w:p w:rsidR="00BC4B34" w:rsidRPr="00BC4B34" w:rsidRDefault="00BC4B34" w:rsidP="000A2F8C">
      <w:pPr>
        <w:spacing w:after="120"/>
        <w:ind w:left="144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That</w:t>
      </w:r>
      <w:r w:rsidR="00E77986">
        <w:rPr>
          <w:rFonts w:cs="Times New Roman"/>
          <w:sz w:val="26"/>
          <w:szCs w:val="26"/>
        </w:rPr>
        <w:t>’</w:t>
      </w:r>
      <w:r w:rsidRPr="00BC4B34">
        <w:rPr>
          <w:rFonts w:cs="Times New Roman"/>
          <w:sz w:val="26"/>
          <w:szCs w:val="26"/>
        </w:rPr>
        <w:t>s the entirety of the EGC calculation as you understand it?</w:t>
      </w:r>
    </w:p>
    <w:p w:rsidR="00BC4B34" w:rsidRPr="00BC4B34" w:rsidRDefault="00BC4B34" w:rsidP="000A2F8C">
      <w:pPr>
        <w:spacing w:after="360"/>
        <w:ind w:lef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Yes, as I understand it.</w:t>
      </w:r>
      <w:r w:rsidRPr="00BC4B34">
        <w:rPr>
          <w:rStyle w:val="FootnoteReference"/>
          <w:rFonts w:cs="Times New Roman"/>
          <w:sz w:val="26"/>
          <w:szCs w:val="26"/>
        </w:rPr>
        <w:footnoteReference w:id="127"/>
      </w:r>
    </w:p>
    <w:p w:rsidR="00BC4B34" w:rsidRPr="00BC4B34" w:rsidRDefault="00E77986" w:rsidP="00E77986">
      <w:pPr>
        <w:pStyle w:val="textstyle"/>
      </w:pPr>
      <w:r>
        <w:rPr>
          <w:lang w:val="en-US"/>
        </w:rPr>
        <w:tab/>
      </w:r>
      <w:r w:rsidR="00BC4B34" w:rsidRPr="00BC4B34">
        <w:t xml:space="preserve">Ms. Noce got it right. </w:t>
      </w:r>
      <w:r>
        <w:rPr>
          <w:lang w:val="en-US"/>
        </w:rPr>
        <w:t xml:space="preserve"> </w:t>
      </w:r>
      <w:r w:rsidR="00BC4B34" w:rsidRPr="00BC4B34">
        <w:t>When asked to explain the EGC mechanism she recognized that price, historic sales, and purchased volumes are all essential components of the EGC calculation.</w:t>
      </w:r>
      <w:r w:rsidR="00BC4B34" w:rsidRPr="00BC4B34">
        <w:rPr>
          <w:rStyle w:val="FootnoteReference"/>
          <w:szCs w:val="26"/>
        </w:rPr>
        <w:footnoteReference w:id="128"/>
      </w:r>
      <w:r w:rsidR="00BC4B34" w:rsidRPr="00BC4B34">
        <w:t xml:space="preserve"> </w:t>
      </w:r>
    </w:p>
    <w:p w:rsidR="00BC4B34" w:rsidRPr="00BC4B34" w:rsidRDefault="00E77986" w:rsidP="00E77986">
      <w:pPr>
        <w:pStyle w:val="textstyle"/>
      </w:pPr>
      <w:r>
        <w:rPr>
          <w:lang w:val="en-US"/>
        </w:rPr>
        <w:tab/>
      </w:r>
      <w:r w:rsidR="00BC4B34" w:rsidRPr="00BC4B34">
        <w:t>The curious situation of Ms. Rolf</w:t>
      </w:r>
      <w:r>
        <w:t>’</w:t>
      </w:r>
      <w:r w:rsidR="00BC4B34" w:rsidRPr="00BC4B34">
        <w:t>s termination demonstrates the problem with chains of command, authority, and accountability</w:t>
      </w:r>
      <w:r w:rsidR="002B5EB2">
        <w:t xml:space="preserve"> presented by this case</w:t>
      </w:r>
      <w:r w:rsidR="00BC4B34" w:rsidRPr="00BC4B34">
        <w:t xml:space="preserve">. </w:t>
      </w:r>
      <w:r>
        <w:rPr>
          <w:lang w:val="en-US"/>
        </w:rPr>
        <w:t xml:space="preserve"> </w:t>
      </w:r>
      <w:r w:rsidR="00BC4B34" w:rsidRPr="00BC4B34">
        <w:t>Ms. Rolf</w:t>
      </w:r>
      <w:r>
        <w:t>’</w:t>
      </w:r>
      <w:r w:rsidR="00BC4B34" w:rsidRPr="00BC4B34">
        <w:t xml:space="preserve">s supervisor was Larry Brainard, the Ohio Controller. </w:t>
      </w:r>
      <w:r>
        <w:rPr>
          <w:lang w:val="en-US"/>
        </w:rPr>
        <w:t xml:space="preserve"> </w:t>
      </w:r>
      <w:r w:rsidR="00BC4B34" w:rsidRPr="00BC4B34">
        <w:t>Ms. Howell, as corporate controller, was Mr. Brainard</w:t>
      </w:r>
      <w:r>
        <w:t>’</w:t>
      </w:r>
      <w:r w:rsidR="00BC4B34" w:rsidRPr="00BC4B34">
        <w:t xml:space="preserve">s supervisor. </w:t>
      </w:r>
      <w:r>
        <w:rPr>
          <w:lang w:val="en-US"/>
        </w:rPr>
        <w:t xml:space="preserve"> </w:t>
      </w:r>
      <w:r w:rsidR="00BC4B34" w:rsidRPr="00BC4B34">
        <w:t xml:space="preserve">Although she acknowledged that </w:t>
      </w:r>
      <w:r>
        <w:t>“</w:t>
      </w:r>
      <w:r w:rsidR="00BC4B34" w:rsidRPr="00BC4B34">
        <w:t>he was pretty adamant he wanted to have supervision of his employees,</w:t>
      </w:r>
      <w:r>
        <w:t>”</w:t>
      </w:r>
      <w:r w:rsidR="00BC4B34" w:rsidRPr="00BC4B34">
        <w:rPr>
          <w:rStyle w:val="FootnoteReference"/>
          <w:szCs w:val="26"/>
        </w:rPr>
        <w:footnoteReference w:id="129"/>
      </w:r>
      <w:r w:rsidR="00BC4B34" w:rsidRPr="00BC4B34">
        <w:t xml:space="preserve"> it was Ms. Howell, and not Mr. Brainard, who terminated Ms. Rolf.</w:t>
      </w:r>
      <w:r w:rsidR="00BC4B34" w:rsidRPr="00BC4B34">
        <w:rPr>
          <w:rStyle w:val="FootnoteReference"/>
          <w:szCs w:val="26"/>
        </w:rPr>
        <w:footnoteReference w:id="130"/>
      </w:r>
      <w:r w:rsidR="00BC4B34" w:rsidRPr="00BC4B34">
        <w:t xml:space="preserve"> </w:t>
      </w:r>
    </w:p>
    <w:p w:rsidR="00BC4B34" w:rsidRDefault="00E77986" w:rsidP="00E77986">
      <w:pPr>
        <w:pStyle w:val="textstyle"/>
      </w:pPr>
      <w:r>
        <w:rPr>
          <w:lang w:val="en-US"/>
        </w:rPr>
        <w:tab/>
      </w:r>
      <w:r w:rsidR="00BC4B34" w:rsidRPr="00BC4B34">
        <w:t xml:space="preserve">Counsel for the companies conducted lengthy cross-examination of Ms. Rolf on her refusal to sign a company Code of Conduct. </w:t>
      </w:r>
      <w:r>
        <w:rPr>
          <w:lang w:val="en-US"/>
        </w:rPr>
        <w:t xml:space="preserve"> </w:t>
      </w:r>
      <w:r w:rsidR="00BC4B34" w:rsidRPr="00BC4B34">
        <w:t xml:space="preserve">The record demonstrates that Ms. Rolf had good cause to be concerned about what she was being asked to commit to. </w:t>
      </w:r>
      <w:r>
        <w:rPr>
          <w:lang w:val="en-US"/>
        </w:rPr>
        <w:t xml:space="preserve"> </w:t>
      </w:r>
      <w:r w:rsidR="00BC4B34" w:rsidRPr="00BC4B34">
        <w:t xml:space="preserve">None of </w:t>
      </w:r>
      <w:r w:rsidR="00BC4B34" w:rsidRPr="00BC4B34">
        <w:lastRenderedPageBreak/>
        <w:t>the companies</w:t>
      </w:r>
      <w:r>
        <w:t>’</w:t>
      </w:r>
      <w:r w:rsidR="00BC4B34" w:rsidRPr="00BC4B34">
        <w:t xml:space="preserve"> witnesses were able to say who was responsible for enforcing the Code of Conduct</w:t>
      </w:r>
      <w:r w:rsidR="00BC4B34" w:rsidRPr="00BC4B34">
        <w:rPr>
          <w:rStyle w:val="FootnoteReference"/>
          <w:szCs w:val="26"/>
        </w:rPr>
        <w:footnoteReference w:id="131"/>
      </w:r>
      <w:r w:rsidR="00BC4B34" w:rsidRPr="00BC4B34">
        <w:t>, or whether anyone had any such responsibility at all.</w:t>
      </w:r>
      <w:r w:rsidR="00BC4B34" w:rsidRPr="00BC4B34">
        <w:rPr>
          <w:rStyle w:val="FootnoteReference"/>
          <w:szCs w:val="26"/>
        </w:rPr>
        <w:footnoteReference w:id="132"/>
      </w:r>
    </w:p>
    <w:p w:rsidR="00BC4B34" w:rsidRPr="00BC4B34" w:rsidRDefault="001A6DE0" w:rsidP="0094089E">
      <w:pPr>
        <w:pStyle w:val="Heading3"/>
      </w:pPr>
      <w:bookmarkStart w:id="14" w:name="_Toc364688846"/>
      <w:r>
        <w:t>C</w:t>
      </w:r>
      <w:r w:rsidR="00E77986">
        <w:t>.</w:t>
      </w:r>
      <w:r w:rsidR="00E77986">
        <w:tab/>
      </w:r>
      <w:r w:rsidR="00BC4B34" w:rsidRPr="00BC4B34">
        <w:t>Lack of Adequate Internal Controls</w:t>
      </w:r>
      <w:bookmarkEnd w:id="14"/>
    </w:p>
    <w:p w:rsidR="00BC4B34" w:rsidRPr="00BC4B34" w:rsidRDefault="00E77986" w:rsidP="00E77986">
      <w:pPr>
        <w:pStyle w:val="textstyle"/>
      </w:pPr>
      <w:r>
        <w:rPr>
          <w:lang w:val="en-US"/>
        </w:rPr>
        <w:tab/>
      </w:r>
      <w:r w:rsidR="00BC4B34" w:rsidRPr="00BC4B34">
        <w:t xml:space="preserve">Whether intentionally done, or simply a result of poor corporate structure, the companies lacked adequate control over their internal accounting practices. </w:t>
      </w:r>
    </w:p>
    <w:p w:rsidR="00BC4B34" w:rsidRPr="00BC4B34" w:rsidRDefault="00E77986" w:rsidP="00E77986">
      <w:pPr>
        <w:pStyle w:val="textstyle"/>
      </w:pPr>
      <w:r>
        <w:rPr>
          <w:lang w:val="en-US"/>
        </w:rPr>
        <w:tab/>
      </w:r>
      <w:r w:rsidR="00BC4B34" w:rsidRPr="00BC4B34">
        <w:t>The Sarbanes–Oxley (SOX) Act of 2002</w:t>
      </w:r>
      <w:r w:rsidR="00BC4B34" w:rsidRPr="00BC4B34">
        <w:rPr>
          <w:rStyle w:val="FootnoteReference"/>
          <w:szCs w:val="26"/>
          <w:lang w:val="en"/>
        </w:rPr>
        <w:footnoteReference w:id="133"/>
      </w:r>
      <w:r w:rsidR="00BC4B34" w:rsidRPr="00BC4B34">
        <w:t xml:space="preserve"> set standards for all U.S. public company boards, management and public accounting firms. </w:t>
      </w:r>
      <w:r>
        <w:rPr>
          <w:lang w:val="en-US"/>
        </w:rPr>
        <w:t xml:space="preserve"> </w:t>
      </w:r>
      <w:r w:rsidR="00BC4B34" w:rsidRPr="00BC4B34">
        <w:t xml:space="preserve">As a result of SOX, top management must now individually certify the accuracy of financial information. </w:t>
      </w:r>
      <w:r>
        <w:rPr>
          <w:lang w:val="en-US"/>
        </w:rPr>
        <w:t xml:space="preserve"> </w:t>
      </w:r>
      <w:r w:rsidR="00BC4B34" w:rsidRPr="00BC4B34">
        <w:t>SOX requires that the management of public companies assess the effectiveness of the internal control of issuers for financial reporting, and that a publicly-held company</w:t>
      </w:r>
      <w:r>
        <w:t>’</w:t>
      </w:r>
      <w:r w:rsidR="00BC4B34" w:rsidRPr="00BC4B34">
        <w:t>s auditor to attest to, and report on, management</w:t>
      </w:r>
      <w:r>
        <w:t>’</w:t>
      </w:r>
      <w:r w:rsidR="00BC4B34" w:rsidRPr="00BC4B34">
        <w:t xml:space="preserve">s assessment of its internal controls. </w:t>
      </w:r>
    </w:p>
    <w:p w:rsidR="00BC4B34" w:rsidRPr="00BC4B34" w:rsidRDefault="00E77986" w:rsidP="00E77986">
      <w:pPr>
        <w:pStyle w:val="textstyle"/>
      </w:pPr>
      <w:r>
        <w:rPr>
          <w:lang w:val="en-US"/>
        </w:rPr>
        <w:tab/>
      </w:r>
      <w:r w:rsidR="00BC4B34" w:rsidRPr="00BC4B34">
        <w:t>Companies</w:t>
      </w:r>
      <w:r>
        <w:t>’</w:t>
      </w:r>
      <w:r w:rsidR="00BC4B34" w:rsidRPr="00BC4B34">
        <w:t xml:space="preserve"> witness Howell acknowledged her responsibility as corporate controller. </w:t>
      </w:r>
      <w:r>
        <w:rPr>
          <w:lang w:val="en-US"/>
        </w:rPr>
        <w:t xml:space="preserve"> </w:t>
      </w:r>
      <w:r w:rsidR="00BC4B34" w:rsidRPr="00BC4B34">
        <w:t>She defined her responsibility as reviewing financial statements and presenting financial statements accurately.</w:t>
      </w:r>
      <w:r w:rsidR="00BC4B34" w:rsidRPr="00BC4B34">
        <w:rPr>
          <w:rStyle w:val="FootnoteReference"/>
          <w:szCs w:val="26"/>
          <w:lang w:val="en"/>
        </w:rPr>
        <w:footnoteReference w:id="134"/>
      </w:r>
      <w:r w:rsidR="00BC4B34" w:rsidRPr="00BC4B34">
        <w:t xml:space="preserve"> </w:t>
      </w:r>
      <w:r>
        <w:rPr>
          <w:lang w:val="en-US"/>
        </w:rPr>
        <w:t xml:space="preserve"> </w:t>
      </w:r>
      <w:r w:rsidR="00BC4B34" w:rsidRPr="00BC4B34">
        <w:t>But she had no idea who was responsible for SOX compliance for the local distribution companies:</w:t>
      </w:r>
    </w:p>
    <w:p w:rsidR="00636DA2" w:rsidRDefault="00636DA2" w:rsidP="00E77986">
      <w:pPr>
        <w:spacing w:after="120"/>
        <w:ind w:left="2160" w:right="1440" w:hanging="720"/>
        <w:rPr>
          <w:rFonts w:cs="Times New Roman"/>
          <w:sz w:val="26"/>
          <w:szCs w:val="26"/>
        </w:rPr>
      </w:pPr>
      <w:r>
        <w:rPr>
          <w:rFonts w:cs="Times New Roman"/>
          <w:sz w:val="26"/>
          <w:szCs w:val="26"/>
        </w:rPr>
        <w:br w:type="page"/>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lastRenderedPageBreak/>
        <w:t xml:space="preserve">Q. </w:t>
      </w:r>
      <w:r w:rsidRPr="00BC4B34">
        <w:rPr>
          <w:rFonts w:cs="Times New Roman"/>
          <w:sz w:val="26"/>
          <w:szCs w:val="26"/>
        </w:rPr>
        <w:tab/>
        <w:t>Who on behalf of the local distribution companies is responsible for compliance with Sarbanes-Oxley?</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That I do not know.</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Okay. Who with respect to Gas Natural is responsible for Sarbanes Oxley compliance?</w:t>
      </w:r>
    </w:p>
    <w:p w:rsidR="00BC4B34" w:rsidRPr="00BC4B34" w:rsidRDefault="00BC4B34" w:rsidP="00636DA2">
      <w:pPr>
        <w:spacing w:after="240"/>
        <w:ind w:left="2160" w:hanging="720"/>
        <w:rPr>
          <w:rFonts w:cs="Times New Roman"/>
          <w:sz w:val="26"/>
          <w:szCs w:val="26"/>
          <w:lang w:val="en"/>
        </w:rPr>
      </w:pPr>
      <w:r w:rsidRPr="00BC4B34">
        <w:rPr>
          <w:rFonts w:cs="Times New Roman"/>
          <w:sz w:val="26"/>
          <w:szCs w:val="26"/>
          <w:lang w:val="en"/>
        </w:rPr>
        <w:t xml:space="preserve">A. </w:t>
      </w:r>
      <w:r w:rsidRPr="00BC4B34">
        <w:rPr>
          <w:rFonts w:cs="Times New Roman"/>
          <w:sz w:val="26"/>
          <w:szCs w:val="26"/>
          <w:lang w:val="en"/>
        </w:rPr>
        <w:tab/>
        <w:t>I don</w:t>
      </w:r>
      <w:r w:rsidR="00E77986">
        <w:rPr>
          <w:rFonts w:cs="Times New Roman"/>
          <w:sz w:val="26"/>
          <w:szCs w:val="26"/>
          <w:lang w:val="en"/>
        </w:rPr>
        <w:t>’</w:t>
      </w:r>
      <w:r w:rsidRPr="00BC4B34">
        <w:rPr>
          <w:rFonts w:cs="Times New Roman"/>
          <w:sz w:val="26"/>
          <w:szCs w:val="26"/>
          <w:lang w:val="en"/>
        </w:rPr>
        <w:t>t kno</w:t>
      </w:r>
      <w:r w:rsidR="00282922">
        <w:rPr>
          <w:rFonts w:cs="Times New Roman"/>
          <w:sz w:val="26"/>
          <w:szCs w:val="26"/>
          <w:lang w:val="en"/>
        </w:rPr>
        <w:t>w who is ultimately responsible.</w:t>
      </w:r>
      <w:r w:rsidRPr="00BC4B34">
        <w:rPr>
          <w:rStyle w:val="FootnoteReference"/>
          <w:rFonts w:cs="Times New Roman"/>
          <w:sz w:val="26"/>
          <w:szCs w:val="26"/>
          <w:lang w:val="en"/>
        </w:rPr>
        <w:footnoteReference w:id="135"/>
      </w:r>
    </w:p>
    <w:p w:rsidR="00BC4B34" w:rsidRPr="00BC4B34" w:rsidRDefault="00BC4B34" w:rsidP="00E77986">
      <w:pPr>
        <w:pStyle w:val="textstyle"/>
      </w:pPr>
      <w:r w:rsidRPr="00BC4B34">
        <w:t>Companies</w:t>
      </w:r>
      <w:r w:rsidR="00E77986">
        <w:t>’</w:t>
      </w:r>
      <w:r w:rsidRPr="00BC4B34">
        <w:t xml:space="preserve"> witness Noce, who just days prior to testifying was the assistant controller</w:t>
      </w:r>
      <w:r w:rsidRPr="00BC4B34">
        <w:rPr>
          <w:rStyle w:val="FootnoteReference"/>
          <w:szCs w:val="26"/>
          <w:lang w:val="en"/>
        </w:rPr>
        <w:footnoteReference w:id="136"/>
      </w:r>
      <w:r w:rsidRPr="00BC4B34">
        <w:t>, gave a similar response:</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As an accountant, are you familiar with Sarbanes Oxley?</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Yes.</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Do you know who the compliance officer for Sarbanes Oxley is at Northeast?</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No.</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Do you know who it is for Gas Natural?</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No.</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Or for Orwell?</w:t>
      </w:r>
    </w:p>
    <w:p w:rsidR="00BC4B34" w:rsidRPr="00BC4B34" w:rsidRDefault="00BC4B34" w:rsidP="00636DA2">
      <w:pPr>
        <w:spacing w:after="240"/>
        <w:ind w:left="2160" w:hanging="720"/>
        <w:rPr>
          <w:rFonts w:cs="Times New Roman"/>
          <w:sz w:val="26"/>
          <w:szCs w:val="26"/>
          <w:lang w:val="en"/>
        </w:rPr>
      </w:pPr>
      <w:r w:rsidRPr="00BC4B34">
        <w:rPr>
          <w:rFonts w:cs="Times New Roman"/>
          <w:sz w:val="26"/>
          <w:szCs w:val="26"/>
          <w:lang w:val="en"/>
        </w:rPr>
        <w:t xml:space="preserve">A. </w:t>
      </w:r>
      <w:r w:rsidRPr="00BC4B34">
        <w:rPr>
          <w:rFonts w:cs="Times New Roman"/>
          <w:sz w:val="26"/>
          <w:szCs w:val="26"/>
          <w:lang w:val="en"/>
        </w:rPr>
        <w:tab/>
        <w:t>No.</w:t>
      </w:r>
      <w:r w:rsidRPr="00BC4B34">
        <w:rPr>
          <w:rStyle w:val="FootnoteReference"/>
          <w:rFonts w:cs="Times New Roman"/>
          <w:sz w:val="26"/>
          <w:szCs w:val="26"/>
          <w:lang w:val="en"/>
        </w:rPr>
        <w:footnoteReference w:id="137"/>
      </w:r>
    </w:p>
    <w:p w:rsidR="00BC4B34" w:rsidRPr="00BC4B34" w:rsidRDefault="00BC4B34" w:rsidP="00E77986">
      <w:pPr>
        <w:pStyle w:val="textstyle"/>
      </w:pPr>
      <w:r w:rsidRPr="00BC4B34">
        <w:t>Companies</w:t>
      </w:r>
      <w:r w:rsidR="00E77986">
        <w:t>’</w:t>
      </w:r>
      <w:r w:rsidRPr="00BC4B34">
        <w:t xml:space="preserve"> witness Smith testified that the individual utilities did not have controllers, but that they relied on an overall </w:t>
      </w:r>
      <w:r w:rsidR="00E77986">
        <w:t>“</w:t>
      </w:r>
      <w:r w:rsidRPr="00BC4B34">
        <w:t>Ohio controller,</w:t>
      </w:r>
      <w:r w:rsidR="00E77986">
        <w:t>”</w:t>
      </w:r>
      <w:r w:rsidRPr="00BC4B34">
        <w:t xml:space="preserve"> instead.</w:t>
      </w:r>
      <w:r w:rsidRPr="00BC4B34">
        <w:rPr>
          <w:rStyle w:val="FootnoteReference"/>
          <w:szCs w:val="26"/>
          <w:lang w:val="en"/>
        </w:rPr>
        <w:footnoteReference w:id="138"/>
      </w:r>
      <w:r w:rsidRPr="00BC4B34">
        <w:t xml:space="preserve"> </w:t>
      </w:r>
    </w:p>
    <w:p w:rsidR="00BC4B34" w:rsidRPr="00BC4B34" w:rsidRDefault="00E77986" w:rsidP="00E77986">
      <w:pPr>
        <w:pStyle w:val="textstyle"/>
      </w:pPr>
      <w:r>
        <w:rPr>
          <w:lang w:val="en-US"/>
        </w:rPr>
        <w:lastRenderedPageBreak/>
        <w:tab/>
      </w:r>
      <w:r w:rsidR="00BC4B34" w:rsidRPr="00BC4B34">
        <w:t>While company witnesses testified frequently about independent external audits, the companies were unable to produce any audit report showing that their internal controls had either been assessed by management, or were effective, even though Mr. Smith would presumably have been responsible for those audits.</w:t>
      </w:r>
      <w:r w:rsidR="00BC4B34" w:rsidRPr="00BC4B34">
        <w:rPr>
          <w:rStyle w:val="FootnoteReference"/>
          <w:szCs w:val="26"/>
          <w:lang w:val="en"/>
        </w:rPr>
        <w:footnoteReference w:id="139"/>
      </w:r>
      <w:r w:rsidR="00BC4B34" w:rsidRPr="00BC4B34">
        <w:t xml:space="preserve"> </w:t>
      </w:r>
      <w:r>
        <w:rPr>
          <w:lang w:val="en-US"/>
        </w:rPr>
        <w:t xml:space="preserve"> </w:t>
      </w:r>
      <w:r w:rsidR="00BC4B34" w:rsidRPr="00BC4B34">
        <w:t>While companies</w:t>
      </w:r>
      <w:r>
        <w:t>’</w:t>
      </w:r>
      <w:r w:rsidR="00BC4B34" w:rsidRPr="00BC4B34">
        <w:t xml:space="preserve"> witness Whelan, for example, was aware that the companies go through an annual audit process, he was unaware of the results of any of those audits.</w:t>
      </w:r>
      <w:r w:rsidR="00BC4B34" w:rsidRPr="00BC4B34">
        <w:rPr>
          <w:rStyle w:val="FootnoteReference"/>
          <w:szCs w:val="26"/>
        </w:rPr>
        <w:footnoteReference w:id="140"/>
      </w:r>
      <w:r w:rsidR="00BC4B34" w:rsidRPr="00BC4B34">
        <w:t xml:space="preserve"> </w:t>
      </w:r>
    </w:p>
    <w:p w:rsidR="00BC4B34" w:rsidRPr="00BC4B34" w:rsidRDefault="00E77986" w:rsidP="00E77986">
      <w:pPr>
        <w:pStyle w:val="textstyle"/>
      </w:pPr>
      <w:r>
        <w:rPr>
          <w:lang w:val="en-US"/>
        </w:rPr>
        <w:tab/>
      </w:r>
      <w:r w:rsidR="00BC4B34" w:rsidRPr="00BC4B34">
        <w:t>As demonstrated by Staff Ex. 4 and as acknowledged by Ms. Howell, Gas Natural</w:t>
      </w:r>
      <w:r>
        <w:t>’</w:t>
      </w:r>
      <w:r w:rsidR="00BC4B34" w:rsidRPr="00BC4B34">
        <w:t xml:space="preserve">s 2012 10-K filing with the Securities and Exchange Commission clearly states that it </w:t>
      </w:r>
      <w:r>
        <w:t>“</w:t>
      </w:r>
      <w:r w:rsidR="00BC4B34" w:rsidRPr="00BC4B34">
        <w:t>does not include an attestation report of our registered public accounting firm regarding internal control over financial reporting.</w:t>
      </w:r>
      <w:r>
        <w:t>”</w:t>
      </w:r>
      <w:r>
        <w:rPr>
          <w:lang w:val="en-US"/>
        </w:rPr>
        <w:t xml:space="preserve">  </w:t>
      </w:r>
      <w:r w:rsidR="00BC4B34" w:rsidRPr="00BC4B34">
        <w:t>There is simply no evidence in this record that any meaningful audit was ever made of the companies</w:t>
      </w:r>
      <w:r>
        <w:t>’</w:t>
      </w:r>
      <w:r w:rsidR="00BC4B34" w:rsidRPr="00BC4B34">
        <w:t xml:space="preserve"> internal controls. </w:t>
      </w:r>
    </w:p>
    <w:p w:rsidR="00BC4B34" w:rsidRPr="00BC4B34" w:rsidRDefault="00E77986" w:rsidP="00E77986">
      <w:pPr>
        <w:pStyle w:val="textstyle"/>
      </w:pPr>
      <w:r>
        <w:rPr>
          <w:lang w:val="en-US"/>
        </w:rPr>
        <w:tab/>
      </w:r>
      <w:r w:rsidR="00BC4B34" w:rsidRPr="00BC4B34">
        <w:t>But the record does demonstrate that the controls that were in place were not effective.</w:t>
      </w:r>
      <w:r>
        <w:rPr>
          <w:lang w:val="en-US"/>
        </w:rPr>
        <w:t xml:space="preserve"> </w:t>
      </w:r>
      <w:r w:rsidR="00BC4B34" w:rsidRPr="00BC4B34">
        <w:t xml:space="preserve"> Both Ms. Rolf and Ms. Lipnis testified to numerous examples where controls were either not in place or not followed. </w:t>
      </w:r>
    </w:p>
    <w:p w:rsidR="00BC4B34" w:rsidRPr="00BC4B34" w:rsidRDefault="00E77986" w:rsidP="00E77986">
      <w:pPr>
        <w:pStyle w:val="textstyle"/>
      </w:pPr>
      <w:r>
        <w:rPr>
          <w:lang w:val="en-US"/>
        </w:rPr>
        <w:tab/>
      </w:r>
      <w:r w:rsidR="00BC4B34" w:rsidRPr="00BC4B34">
        <w:t xml:space="preserve">Mr. Osborne unilaterally determined which payables should be paid in any given week, and routinely favored related parties. </w:t>
      </w:r>
      <w:r>
        <w:rPr>
          <w:lang w:val="en-US"/>
        </w:rPr>
        <w:t xml:space="preserve"> </w:t>
      </w:r>
      <w:r w:rsidR="00BC4B34" w:rsidRPr="00BC4B34">
        <w:t>Checks would be cut and held because there were no funds available to pay them.</w:t>
      </w:r>
      <w:r w:rsidR="00BC4B34" w:rsidRPr="00BC4B34">
        <w:rPr>
          <w:rStyle w:val="FootnoteReference"/>
          <w:szCs w:val="26"/>
        </w:rPr>
        <w:footnoteReference w:id="141"/>
      </w:r>
      <w:r w:rsidR="00BC4B34" w:rsidRPr="00BC4B34">
        <w:t xml:space="preserve"> </w:t>
      </w:r>
      <w:r>
        <w:rPr>
          <w:lang w:val="en-US"/>
        </w:rPr>
        <w:t xml:space="preserve"> </w:t>
      </w:r>
      <w:r w:rsidR="00BC4B34" w:rsidRPr="00BC4B34">
        <w:t xml:space="preserve">Receivables given a similar treatment, with </w:t>
      </w:r>
      <w:r w:rsidR="00BC4B34" w:rsidRPr="00BC4B34">
        <w:lastRenderedPageBreak/>
        <w:t>invoices to related parties left unpaid for sometimes more than a year.</w:t>
      </w:r>
      <w:r w:rsidR="00BC4B34" w:rsidRPr="00BC4B34">
        <w:rPr>
          <w:rStyle w:val="FootnoteReference"/>
          <w:szCs w:val="26"/>
        </w:rPr>
        <w:footnoteReference w:id="142"/>
      </w:r>
      <w:r w:rsidR="00BC4B34" w:rsidRPr="00BC4B34">
        <w:t xml:space="preserve"> </w:t>
      </w:r>
      <w:r>
        <w:rPr>
          <w:lang w:val="en-US"/>
        </w:rPr>
        <w:t xml:space="preserve"> </w:t>
      </w:r>
      <w:r w:rsidR="00BC4B34" w:rsidRPr="00BC4B34">
        <w:t xml:space="preserve">The companies regularly </w:t>
      </w:r>
      <w:r>
        <w:t>“</w:t>
      </w:r>
      <w:r w:rsidR="00BC4B34" w:rsidRPr="00BC4B34">
        <w:t>flushed accounts,</w:t>
      </w:r>
      <w:r>
        <w:t>”</w:t>
      </w:r>
      <w:r w:rsidR="00BC4B34" w:rsidRPr="00BC4B34">
        <w:t xml:space="preserve"> inappropriately offsetting payables and receivables.</w:t>
      </w:r>
      <w:r w:rsidR="00BC4B34" w:rsidRPr="00BC4B34">
        <w:rPr>
          <w:rStyle w:val="FootnoteReference"/>
          <w:szCs w:val="26"/>
        </w:rPr>
        <w:footnoteReference w:id="143"/>
      </w:r>
      <w:r w:rsidR="00BC4B34" w:rsidRPr="00BC4B34">
        <w:t xml:space="preserve"> </w:t>
      </w:r>
      <w:r>
        <w:rPr>
          <w:lang w:val="en-US"/>
        </w:rPr>
        <w:t xml:space="preserve"> </w:t>
      </w:r>
      <w:r w:rsidR="00BC4B34" w:rsidRPr="00BC4B34">
        <w:t>The same was done for Mr. Osborne</w:t>
      </w:r>
      <w:r>
        <w:t>’</w:t>
      </w:r>
      <w:r w:rsidR="00BC4B34" w:rsidRPr="00BC4B34">
        <w:t>s personal loans.</w:t>
      </w:r>
      <w:r w:rsidR="00BC4B34" w:rsidRPr="00BC4B34">
        <w:rPr>
          <w:rStyle w:val="FootnoteReference"/>
          <w:szCs w:val="26"/>
        </w:rPr>
        <w:t xml:space="preserve"> </w:t>
      </w:r>
      <w:r w:rsidR="00BC4B34" w:rsidRPr="00BC4B34">
        <w:rPr>
          <w:rStyle w:val="FootnoteReference"/>
          <w:szCs w:val="26"/>
        </w:rPr>
        <w:footnoteReference w:id="144"/>
      </w:r>
      <w:r w:rsidR="00BC4B34" w:rsidRPr="00BC4B34">
        <w:t xml:space="preserve"> </w:t>
      </w:r>
      <w:r>
        <w:rPr>
          <w:lang w:val="en-US"/>
        </w:rPr>
        <w:t xml:space="preserve"> </w:t>
      </w:r>
      <w:r w:rsidR="00BC4B34" w:rsidRPr="00BC4B34">
        <w:t>The companies purchased and were paying for a Cadillac Escalade for one of Mr. Osborne</w:t>
      </w:r>
      <w:r>
        <w:t>’</w:t>
      </w:r>
      <w:r w:rsidR="00BC4B34" w:rsidRPr="00BC4B34">
        <w:t xml:space="preserve">s sons, who was not </w:t>
      </w:r>
      <w:r w:rsidR="002B5EB2">
        <w:t xml:space="preserve">even </w:t>
      </w:r>
      <w:r w:rsidR="00BC4B34" w:rsidRPr="00BC4B34">
        <w:t>an employee.</w:t>
      </w:r>
      <w:r w:rsidR="00BC4B34" w:rsidRPr="00BC4B34">
        <w:rPr>
          <w:rStyle w:val="FootnoteReference"/>
          <w:szCs w:val="26"/>
        </w:rPr>
        <w:footnoteReference w:id="145"/>
      </w:r>
      <w:r w:rsidR="00BC4B34" w:rsidRPr="00BC4B34">
        <w:t xml:space="preserve"> </w:t>
      </w:r>
      <w:r>
        <w:rPr>
          <w:lang w:val="en-US"/>
        </w:rPr>
        <w:t xml:space="preserve"> </w:t>
      </w:r>
      <w:r w:rsidR="00BC4B34" w:rsidRPr="00BC4B34">
        <w:t xml:space="preserve">None of these poor business practices were disputed by the companies. </w:t>
      </w:r>
    </w:p>
    <w:p w:rsidR="00BC4B34" w:rsidRPr="00BC4B34" w:rsidRDefault="00E77986" w:rsidP="00E77986">
      <w:pPr>
        <w:pStyle w:val="textstyle"/>
      </w:pPr>
      <w:r>
        <w:rPr>
          <w:lang w:val="en-US"/>
        </w:rPr>
        <w:tab/>
      </w:r>
      <w:r w:rsidR="00BC4B34" w:rsidRPr="00BC4B34">
        <w:t>Becky Howell testified that, since the beginning of this audit period, no one from the marketing side had any access to the accounts, books, or records of the LDCs.</w:t>
      </w:r>
      <w:r w:rsidR="00BC4B34" w:rsidRPr="00BC4B34">
        <w:rPr>
          <w:rStyle w:val="FootnoteReference"/>
          <w:szCs w:val="26"/>
        </w:rPr>
        <w:footnoteReference w:id="146"/>
      </w:r>
      <w:r w:rsidR="00BC4B34" w:rsidRPr="00BC4B34">
        <w:t xml:space="preserve"> </w:t>
      </w:r>
      <w:r>
        <w:rPr>
          <w:lang w:val="en-US"/>
        </w:rPr>
        <w:t xml:space="preserve"> </w:t>
      </w:r>
      <w:r w:rsidR="00BC4B34" w:rsidRPr="00BC4B34">
        <w:t>But she, as president of Cobra, had access to the LDC financial system, including the ability to make changes.</w:t>
      </w:r>
      <w:r w:rsidR="00572121">
        <w:rPr>
          <w:rStyle w:val="FootnoteReference"/>
          <w:szCs w:val="26"/>
        </w:rPr>
        <w:footnoteReference w:id="147"/>
      </w:r>
      <w:r w:rsidR="00BC4B34" w:rsidRPr="00BC4B34">
        <w:t xml:space="preserve"> </w:t>
      </w:r>
      <w:r>
        <w:rPr>
          <w:lang w:val="en-US"/>
        </w:rPr>
        <w:t xml:space="preserve"> </w:t>
      </w:r>
      <w:r w:rsidR="00BC4B34" w:rsidRPr="00BC4B34">
        <w:t>Ms. Lipnis testified that this was inappropriate as a SOX control.</w:t>
      </w:r>
      <w:r w:rsidR="00BC4B34" w:rsidRPr="00BC4B34">
        <w:rPr>
          <w:rStyle w:val="FootnoteReference"/>
          <w:szCs w:val="26"/>
        </w:rPr>
        <w:footnoteReference w:id="148"/>
      </w:r>
      <w:r w:rsidR="00BC4B34" w:rsidRPr="00BC4B34">
        <w:t xml:space="preserve"> </w:t>
      </w:r>
    </w:p>
    <w:p w:rsidR="00BC4B34" w:rsidRPr="00BC4B34" w:rsidRDefault="00E77986" w:rsidP="00E77986">
      <w:pPr>
        <w:pStyle w:val="textstyle"/>
      </w:pPr>
      <w:r>
        <w:rPr>
          <w:lang w:val="en-US"/>
        </w:rPr>
        <w:tab/>
      </w:r>
      <w:r w:rsidR="00BC4B34" w:rsidRPr="00BC4B34">
        <w:t>Plainly stated, there should have been controls in place to prevent some of the incidents described in the record.</w:t>
      </w:r>
      <w:r w:rsidR="00BC4B34" w:rsidRPr="00BC4B34">
        <w:rPr>
          <w:rStyle w:val="FootnoteReference"/>
          <w:szCs w:val="26"/>
        </w:rPr>
        <w:footnoteReference w:id="149"/>
      </w:r>
      <w:r w:rsidR="00BC4B34" w:rsidRPr="00BC4B34">
        <w:t xml:space="preserve"> </w:t>
      </w:r>
      <w:r>
        <w:rPr>
          <w:lang w:val="en-US"/>
        </w:rPr>
        <w:t xml:space="preserve"> </w:t>
      </w:r>
      <w:r w:rsidR="00BC4B34" w:rsidRPr="00BC4B34">
        <w:t>But even had there been, there is no assurance that any of those control</w:t>
      </w:r>
      <w:r w:rsidR="002B5EB2">
        <w:t>s</w:t>
      </w:r>
      <w:r w:rsidR="00BC4B34" w:rsidRPr="00BC4B34">
        <w:t xml:space="preserve"> would have been followed.</w:t>
      </w:r>
      <w:r>
        <w:rPr>
          <w:lang w:val="en-US"/>
        </w:rPr>
        <w:t xml:space="preserve"> </w:t>
      </w:r>
      <w:r w:rsidR="00BC4B34" w:rsidRPr="00BC4B34">
        <w:t xml:space="preserve"> As Ms. Rolf testified:</w:t>
      </w:r>
    </w:p>
    <w:p w:rsidR="00636DA2" w:rsidRDefault="00636DA2" w:rsidP="00636DA2">
      <w:pPr>
        <w:spacing w:after="240"/>
        <w:ind w:left="2160" w:right="1440" w:hanging="720"/>
        <w:rPr>
          <w:rFonts w:cs="Times New Roman"/>
          <w:sz w:val="26"/>
          <w:szCs w:val="26"/>
        </w:rPr>
      </w:pPr>
      <w:r>
        <w:rPr>
          <w:rFonts w:cs="Times New Roman"/>
          <w:sz w:val="26"/>
          <w:szCs w:val="26"/>
        </w:rPr>
        <w:br w:type="page"/>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lastRenderedPageBreak/>
        <w:t>Q.</w:t>
      </w:r>
      <w:r w:rsidRPr="00BC4B34">
        <w:rPr>
          <w:rFonts w:cs="Times New Roman"/>
          <w:sz w:val="26"/>
          <w:szCs w:val="26"/>
        </w:rPr>
        <w:tab/>
        <w:t>You have some experience on internal account</w:t>
      </w:r>
      <w:r w:rsidR="00282922">
        <w:rPr>
          <w:rFonts w:cs="Times New Roman"/>
          <w:sz w:val="26"/>
          <w:szCs w:val="26"/>
        </w:rPr>
        <w:softHyphen/>
      </w:r>
      <w:r w:rsidRPr="00BC4B34">
        <w:rPr>
          <w:rFonts w:cs="Times New Roman"/>
          <w:sz w:val="26"/>
          <w:szCs w:val="26"/>
        </w:rPr>
        <w:t>ing con</w:t>
      </w:r>
      <w:r w:rsidR="0094089E">
        <w:rPr>
          <w:rFonts w:cs="Times New Roman"/>
          <w:sz w:val="26"/>
          <w:szCs w:val="26"/>
        </w:rPr>
        <w:softHyphen/>
      </w:r>
      <w:r w:rsidRPr="00BC4B34">
        <w:rPr>
          <w:rFonts w:cs="Times New Roman"/>
          <w:sz w:val="26"/>
          <w:szCs w:val="26"/>
        </w:rPr>
        <w:t>trols based on your experience with your two previous jobs, correct?</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Correct.</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When you were employed by Orwell, Northeast, did either one of the companies have similar types of internal controls to make sure that the type of compli</w:t>
      </w:r>
      <w:r w:rsidR="0094089E">
        <w:rPr>
          <w:rFonts w:cs="Times New Roman"/>
          <w:sz w:val="26"/>
          <w:szCs w:val="26"/>
        </w:rPr>
        <w:softHyphen/>
      </w:r>
      <w:r w:rsidRPr="00BC4B34">
        <w:rPr>
          <w:rFonts w:cs="Times New Roman"/>
          <w:sz w:val="26"/>
          <w:szCs w:val="26"/>
        </w:rPr>
        <w:t>ance that you did when you were employed by the other companies was also occurring with Northeast and Orwell?</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They had controls laid out. However, they were not fol</w:t>
      </w:r>
      <w:r w:rsidR="0094089E">
        <w:rPr>
          <w:rFonts w:cs="Times New Roman"/>
          <w:sz w:val="26"/>
          <w:szCs w:val="26"/>
        </w:rPr>
        <w:softHyphen/>
      </w:r>
      <w:r w:rsidRPr="00BC4B34">
        <w:rPr>
          <w:rFonts w:cs="Times New Roman"/>
          <w:sz w:val="26"/>
          <w:szCs w:val="26"/>
        </w:rPr>
        <w:t>lowed.</w:t>
      </w:r>
      <w:r w:rsidRPr="00BC4B34">
        <w:rPr>
          <w:rStyle w:val="FootnoteReference"/>
          <w:rFonts w:cs="Times New Roman"/>
          <w:sz w:val="26"/>
          <w:szCs w:val="26"/>
        </w:rPr>
        <w:footnoteReference w:id="150"/>
      </w:r>
      <w:r w:rsidRPr="00BC4B34">
        <w:rPr>
          <w:rFonts w:cs="Times New Roman"/>
          <w:sz w:val="26"/>
          <w:szCs w:val="26"/>
        </w:rPr>
        <w:t xml:space="preserve"> </w:t>
      </w:r>
    </w:p>
    <w:p w:rsidR="00BC4B34" w:rsidRPr="00BC4B34" w:rsidRDefault="00E77986" w:rsidP="00E77986">
      <w:pPr>
        <w:pStyle w:val="textstyle"/>
      </w:pPr>
      <w:r>
        <w:rPr>
          <w:lang w:val="en-US"/>
        </w:rPr>
        <w:tab/>
      </w:r>
      <w:r w:rsidR="00BC4B34" w:rsidRPr="00BC4B34">
        <w:t xml:space="preserve">Staff is </w:t>
      </w:r>
      <w:r w:rsidR="002B5EB2">
        <w:t xml:space="preserve">very </w:t>
      </w:r>
      <w:r w:rsidR="00BC4B34" w:rsidRPr="00BC4B34">
        <w:t>concerned that none of the companies</w:t>
      </w:r>
      <w:r>
        <w:t>’</w:t>
      </w:r>
      <w:r w:rsidR="00BC4B34" w:rsidRPr="00BC4B34">
        <w:t xml:space="preserve"> witnesses were able to identify anyone who was responsible for ensuring that internal controls were followed or effective. </w:t>
      </w:r>
      <w:r>
        <w:rPr>
          <w:lang w:val="en-US"/>
        </w:rPr>
        <w:t xml:space="preserve"> </w:t>
      </w:r>
      <w:r w:rsidR="00BC4B34" w:rsidRPr="00BC4B34">
        <w:t xml:space="preserve">There are a number of factors that may have contributed to this confusion. </w:t>
      </w:r>
    </w:p>
    <w:p w:rsidR="00BC4B34" w:rsidRPr="00BC4B34" w:rsidRDefault="00E77986" w:rsidP="00E77986">
      <w:pPr>
        <w:pStyle w:val="textstyle"/>
      </w:pPr>
      <w:r>
        <w:rPr>
          <w:lang w:val="en-US"/>
        </w:rPr>
        <w:tab/>
      </w:r>
      <w:r w:rsidR="00BC4B34" w:rsidRPr="00BC4B34">
        <w:t xml:space="preserve">One factor, certainly, is the high rate of turnover among controllers. </w:t>
      </w:r>
      <w:r>
        <w:rPr>
          <w:lang w:val="en-US"/>
        </w:rPr>
        <w:t xml:space="preserve"> </w:t>
      </w:r>
      <w:r w:rsidR="00BC4B34" w:rsidRPr="00BC4B34">
        <w:t>Staff witness Lipnis observed that there seemed to be a high turnover rate for controllers over the Ohio companies.</w:t>
      </w:r>
      <w:r w:rsidR="00BC4B34" w:rsidRPr="00BC4B34">
        <w:rPr>
          <w:rStyle w:val="FootnoteReference"/>
          <w:szCs w:val="26"/>
        </w:rPr>
        <w:footnoteReference w:id="151"/>
      </w:r>
      <w:r w:rsidR="00BC4B34" w:rsidRPr="00BC4B34">
        <w:t xml:space="preserve"> </w:t>
      </w:r>
      <w:r>
        <w:rPr>
          <w:lang w:val="en-US"/>
        </w:rPr>
        <w:t xml:space="preserve"> </w:t>
      </w:r>
      <w:r w:rsidR="00BC4B34" w:rsidRPr="00BC4B34">
        <w:t>Indeed, the most recent Ohio controller resigned his position during the course of the hearing.</w:t>
      </w:r>
      <w:r w:rsidR="00BC4B34" w:rsidRPr="00BC4B34">
        <w:rPr>
          <w:rStyle w:val="FootnoteReference"/>
          <w:szCs w:val="26"/>
        </w:rPr>
        <w:footnoteReference w:id="152"/>
      </w:r>
      <w:r w:rsidR="00BC4B34" w:rsidRPr="00BC4B34">
        <w:t xml:space="preserve"> </w:t>
      </w:r>
      <w:r>
        <w:rPr>
          <w:lang w:val="en-US"/>
        </w:rPr>
        <w:t xml:space="preserve"> </w:t>
      </w:r>
      <w:r w:rsidR="00BC4B34" w:rsidRPr="00BC4B34">
        <w:t>Mr. Smith, to whom the corporate controller apparently ultimately reported, testified that:</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So counting the new controller who you can</w:t>
      </w:r>
      <w:r w:rsidR="00E77986">
        <w:rPr>
          <w:rFonts w:cs="Times New Roman"/>
          <w:sz w:val="26"/>
          <w:szCs w:val="26"/>
        </w:rPr>
        <w:t>’</w:t>
      </w:r>
      <w:r w:rsidRPr="00BC4B34">
        <w:rPr>
          <w:rFonts w:cs="Times New Roman"/>
          <w:sz w:val="26"/>
          <w:szCs w:val="26"/>
        </w:rPr>
        <w:t>t recall, that means that there were at least four control</w:t>
      </w:r>
      <w:r w:rsidR="00282922">
        <w:rPr>
          <w:rFonts w:cs="Times New Roman"/>
          <w:sz w:val="26"/>
          <w:szCs w:val="26"/>
        </w:rPr>
        <w:softHyphen/>
      </w:r>
      <w:r w:rsidRPr="00BC4B34">
        <w:rPr>
          <w:rFonts w:cs="Times New Roman"/>
          <w:sz w:val="26"/>
          <w:szCs w:val="26"/>
        </w:rPr>
        <w:t>lers for the Ohio companies during the period from 2005 to 2013?</w:t>
      </w:r>
    </w:p>
    <w:p w:rsidR="00636DA2" w:rsidRDefault="00636DA2" w:rsidP="00636DA2">
      <w:pPr>
        <w:spacing w:after="240"/>
        <w:ind w:left="2160" w:right="1440" w:hanging="720"/>
        <w:rPr>
          <w:rFonts w:cs="Times New Roman"/>
          <w:sz w:val="26"/>
          <w:szCs w:val="26"/>
        </w:rPr>
      </w:pPr>
      <w:r>
        <w:rPr>
          <w:rFonts w:cs="Times New Roman"/>
          <w:sz w:val="26"/>
          <w:szCs w:val="26"/>
        </w:rPr>
        <w:br w:type="page"/>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lastRenderedPageBreak/>
        <w:t xml:space="preserve">A. </w:t>
      </w:r>
      <w:r w:rsidRPr="00BC4B34">
        <w:rPr>
          <w:rFonts w:cs="Times New Roman"/>
          <w:sz w:val="26"/>
          <w:szCs w:val="26"/>
        </w:rPr>
        <w:tab/>
        <w:t>That</w:t>
      </w:r>
      <w:r w:rsidR="00E77986">
        <w:rPr>
          <w:rFonts w:cs="Times New Roman"/>
          <w:sz w:val="26"/>
          <w:szCs w:val="26"/>
        </w:rPr>
        <w:t>’</w:t>
      </w:r>
      <w:r w:rsidRPr="00BC4B34">
        <w:rPr>
          <w:rFonts w:cs="Times New Roman"/>
          <w:sz w:val="26"/>
          <w:szCs w:val="26"/>
        </w:rPr>
        <w:t>s correct.</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And how many controllers has Gas Natural had during your time employed by Gas Natural?</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 xml:space="preserve">Three, I believe. </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And what time would that cover?</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That would cover -- oh, I couldn</w:t>
      </w:r>
      <w:r w:rsidR="00E77986">
        <w:rPr>
          <w:rFonts w:cs="Times New Roman"/>
          <w:sz w:val="26"/>
          <w:szCs w:val="26"/>
        </w:rPr>
        <w:t>’</w:t>
      </w:r>
      <w:r w:rsidRPr="00BC4B34">
        <w:rPr>
          <w:rFonts w:cs="Times New Roman"/>
          <w:sz w:val="26"/>
          <w:szCs w:val="26"/>
        </w:rPr>
        <w:t>t tell you, prob</w:t>
      </w:r>
      <w:r w:rsidR="00282922">
        <w:rPr>
          <w:rFonts w:cs="Times New Roman"/>
          <w:sz w:val="26"/>
          <w:szCs w:val="26"/>
        </w:rPr>
        <w:softHyphen/>
      </w:r>
      <w:r w:rsidRPr="00BC4B34">
        <w:rPr>
          <w:rFonts w:cs="Times New Roman"/>
          <w:sz w:val="26"/>
          <w:szCs w:val="26"/>
        </w:rPr>
        <w:t>ably 2006 -- no, it</w:t>
      </w:r>
      <w:r w:rsidR="00E77986">
        <w:rPr>
          <w:rFonts w:cs="Times New Roman"/>
          <w:sz w:val="26"/>
          <w:szCs w:val="26"/>
        </w:rPr>
        <w:t>’</w:t>
      </w:r>
      <w:r w:rsidRPr="00BC4B34">
        <w:rPr>
          <w:rFonts w:cs="Times New Roman"/>
          <w:sz w:val="26"/>
          <w:szCs w:val="26"/>
        </w:rPr>
        <w:t>s after.</w:t>
      </w:r>
      <w:r w:rsidR="00E77986">
        <w:rPr>
          <w:rFonts w:cs="Times New Roman"/>
          <w:sz w:val="26"/>
          <w:szCs w:val="26"/>
        </w:rPr>
        <w:t xml:space="preserve"> </w:t>
      </w:r>
      <w:r w:rsidRPr="00BC4B34">
        <w:rPr>
          <w:rFonts w:cs="Times New Roman"/>
          <w:sz w:val="26"/>
          <w:szCs w:val="26"/>
        </w:rPr>
        <w:t xml:space="preserve"> It</w:t>
      </w:r>
      <w:r w:rsidR="00E77986">
        <w:rPr>
          <w:rFonts w:cs="Times New Roman"/>
          <w:sz w:val="26"/>
          <w:szCs w:val="26"/>
        </w:rPr>
        <w:t>’</w:t>
      </w:r>
      <w:r w:rsidRPr="00BC4B34">
        <w:rPr>
          <w:rFonts w:cs="Times New Roman"/>
          <w:sz w:val="26"/>
          <w:szCs w:val="26"/>
        </w:rPr>
        <w:t>s 2009, 2010, some</w:t>
      </w:r>
      <w:r w:rsidR="00282922">
        <w:rPr>
          <w:rFonts w:cs="Times New Roman"/>
          <w:sz w:val="26"/>
          <w:szCs w:val="26"/>
        </w:rPr>
        <w:softHyphen/>
      </w:r>
      <w:r w:rsidRPr="00BC4B34">
        <w:rPr>
          <w:rFonts w:cs="Times New Roman"/>
          <w:sz w:val="26"/>
          <w:szCs w:val="26"/>
        </w:rPr>
        <w:t>time in that time period to the current.</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So in roughly a four- or five-year period they have had at least three different controllers?</w:t>
      </w:r>
    </w:p>
    <w:p w:rsidR="00BC4B34" w:rsidRPr="00BC4B34" w:rsidRDefault="00BC4B34" w:rsidP="00636DA2">
      <w:pPr>
        <w:spacing w:after="240"/>
        <w:ind w:left="2160" w:right="1440" w:hanging="720"/>
        <w:rPr>
          <w:rFonts w:cs="Times New Roman"/>
          <w:sz w:val="26"/>
          <w:szCs w:val="26"/>
        </w:rPr>
      </w:pPr>
      <w:r w:rsidRPr="00BC4B34">
        <w:rPr>
          <w:rFonts w:cs="Times New Roman"/>
          <w:sz w:val="26"/>
          <w:szCs w:val="26"/>
        </w:rPr>
        <w:t>A.</w:t>
      </w:r>
      <w:r w:rsidRPr="00BC4B34">
        <w:rPr>
          <w:rFonts w:cs="Times New Roman"/>
          <w:sz w:val="26"/>
          <w:szCs w:val="26"/>
        </w:rPr>
        <w:tab/>
        <w:t>Yes.</w:t>
      </w:r>
      <w:r w:rsidRPr="00BC4B34">
        <w:rPr>
          <w:rStyle w:val="FootnoteReference"/>
          <w:rFonts w:cs="Times New Roman"/>
          <w:sz w:val="26"/>
          <w:szCs w:val="26"/>
        </w:rPr>
        <w:footnoteReference w:id="153"/>
      </w:r>
    </w:p>
    <w:p w:rsidR="000906CB" w:rsidRDefault="00BC4B34" w:rsidP="00E77986">
      <w:pPr>
        <w:pStyle w:val="textstyle"/>
      </w:pPr>
      <w:r w:rsidRPr="00BC4B34">
        <w:tab/>
        <w:t xml:space="preserve">It is also possible that the controllers hired by the companies were either not qualified, or did not understand their job responsibilities. </w:t>
      </w:r>
      <w:r w:rsidR="00E77986">
        <w:rPr>
          <w:lang w:val="en-US"/>
        </w:rPr>
        <w:t xml:space="preserve"> </w:t>
      </w:r>
      <w:r w:rsidRPr="00BC4B34">
        <w:t>Although Staff witness Rolf had a Masters degree in accounting and experience with SOX and internal auditing</w:t>
      </w:r>
      <w:r w:rsidRPr="00BC4B34">
        <w:rPr>
          <w:rStyle w:val="FootnoteReference"/>
          <w:szCs w:val="26"/>
        </w:rPr>
        <w:footnoteReference w:id="154"/>
      </w:r>
      <w:r w:rsidRPr="00BC4B34">
        <w:t>, and Staff witness Lipnis was a CPA</w:t>
      </w:r>
      <w:r w:rsidRPr="00BC4B34">
        <w:rPr>
          <w:rStyle w:val="FootnoteReference"/>
          <w:szCs w:val="26"/>
        </w:rPr>
        <w:footnoteReference w:id="155"/>
      </w:r>
      <w:r w:rsidRPr="00BC4B34">
        <w:t xml:space="preserve">, Gas Natural </w:t>
      </w:r>
      <w:r w:rsidR="002B5EB2">
        <w:t xml:space="preserve">instead </w:t>
      </w:r>
      <w:r w:rsidRPr="00BC4B34">
        <w:t xml:space="preserve">hired Becky Howell, who is </w:t>
      </w:r>
      <w:r w:rsidR="000906CB">
        <w:br w:type="page"/>
      </w:r>
    </w:p>
    <w:p w:rsidR="00BC4B34" w:rsidRPr="00BC4B34" w:rsidRDefault="00BC4B34" w:rsidP="00E77986">
      <w:pPr>
        <w:pStyle w:val="textstyle"/>
      </w:pPr>
      <w:r w:rsidRPr="00BC4B34">
        <w:lastRenderedPageBreak/>
        <w:t>not a CPA</w:t>
      </w:r>
      <w:r w:rsidRPr="00BC4B34">
        <w:rPr>
          <w:rStyle w:val="FootnoteReference"/>
          <w:szCs w:val="26"/>
        </w:rPr>
        <w:footnoteReference w:id="156"/>
      </w:r>
      <w:r w:rsidRPr="00BC4B34">
        <w:t xml:space="preserve"> and Anita Noce, who does not even hold a Bachelor</w:t>
      </w:r>
      <w:r w:rsidR="00E77986">
        <w:t>’</w:t>
      </w:r>
      <w:r w:rsidRPr="00BC4B34">
        <w:t>s degree</w:t>
      </w:r>
      <w:r w:rsidRPr="00BC4B34">
        <w:rPr>
          <w:rStyle w:val="FootnoteReference"/>
          <w:szCs w:val="26"/>
        </w:rPr>
        <w:footnoteReference w:id="157"/>
      </w:r>
      <w:r w:rsidRPr="00BC4B34">
        <w:t>, as controllers.</w:t>
      </w:r>
      <w:r w:rsidR="00506908">
        <w:rPr>
          <w:rStyle w:val="FootnoteReference"/>
        </w:rPr>
        <w:footnoteReference w:id="158"/>
      </w:r>
      <w:r w:rsidR="00E77986">
        <w:rPr>
          <w:lang w:val="en-US"/>
        </w:rPr>
        <w:t xml:space="preserve"> </w:t>
      </w:r>
      <w:r w:rsidRPr="00BC4B34">
        <w:t xml:space="preserve"> And it was Ms. Noce who testified that:</w:t>
      </w:r>
    </w:p>
    <w:p w:rsidR="00BC4B34" w:rsidRPr="00BC4B34" w:rsidRDefault="00BC4B34" w:rsidP="006603A0">
      <w:pPr>
        <w:spacing w:after="120"/>
        <w:ind w:left="2160" w:right="1440" w:hanging="720"/>
        <w:rPr>
          <w:rFonts w:cs="Times New Roman"/>
          <w:sz w:val="26"/>
          <w:szCs w:val="26"/>
        </w:rPr>
      </w:pPr>
      <w:r w:rsidRPr="00BC4B34">
        <w:rPr>
          <w:rFonts w:cs="Times New Roman"/>
          <w:sz w:val="26"/>
          <w:szCs w:val="26"/>
        </w:rPr>
        <w:t xml:space="preserve">Q. </w:t>
      </w:r>
      <w:r w:rsidRPr="00BC4B34">
        <w:rPr>
          <w:rFonts w:cs="Times New Roman"/>
          <w:sz w:val="26"/>
          <w:szCs w:val="26"/>
        </w:rPr>
        <w:tab/>
        <w:t>What was your understanding of your responsibil</w:t>
      </w:r>
      <w:r w:rsidR="00282922">
        <w:rPr>
          <w:rFonts w:cs="Times New Roman"/>
          <w:sz w:val="26"/>
          <w:szCs w:val="26"/>
        </w:rPr>
        <w:softHyphen/>
      </w:r>
      <w:r w:rsidRPr="00BC4B34">
        <w:rPr>
          <w:rFonts w:cs="Times New Roman"/>
          <w:sz w:val="26"/>
          <w:szCs w:val="26"/>
        </w:rPr>
        <w:t>ity as an assistant controller?</w:t>
      </w:r>
    </w:p>
    <w:p w:rsidR="00BC4B34" w:rsidRPr="00BC4B34" w:rsidRDefault="00BC4B34" w:rsidP="006603A0">
      <w:pPr>
        <w:spacing w:after="360"/>
        <w:ind w:left="2160" w:right="1440" w:hanging="720"/>
        <w:rPr>
          <w:rFonts w:cs="Times New Roman"/>
          <w:sz w:val="26"/>
          <w:szCs w:val="26"/>
        </w:rPr>
      </w:pPr>
      <w:r w:rsidRPr="00BC4B34">
        <w:rPr>
          <w:rFonts w:cs="Times New Roman"/>
          <w:sz w:val="26"/>
          <w:szCs w:val="26"/>
        </w:rPr>
        <w:t xml:space="preserve">A. </w:t>
      </w:r>
      <w:r w:rsidRPr="00BC4B34">
        <w:rPr>
          <w:rFonts w:cs="Times New Roman"/>
          <w:sz w:val="26"/>
          <w:szCs w:val="26"/>
        </w:rPr>
        <w:tab/>
        <w:t>I did various projects. I did various different things.</w:t>
      </w:r>
      <w:r w:rsidR="00E77986">
        <w:rPr>
          <w:rFonts w:cs="Times New Roman"/>
          <w:sz w:val="26"/>
          <w:szCs w:val="26"/>
        </w:rPr>
        <w:t xml:space="preserve">  </w:t>
      </w:r>
      <w:r w:rsidRPr="00BC4B34">
        <w:rPr>
          <w:rFonts w:cs="Times New Roman"/>
          <w:sz w:val="26"/>
          <w:szCs w:val="26"/>
        </w:rPr>
        <w:t>I didn</w:t>
      </w:r>
      <w:r w:rsidR="00E77986">
        <w:rPr>
          <w:rFonts w:cs="Times New Roman"/>
          <w:sz w:val="26"/>
          <w:szCs w:val="26"/>
        </w:rPr>
        <w:t>’</w:t>
      </w:r>
      <w:r w:rsidRPr="00BC4B34">
        <w:rPr>
          <w:rFonts w:cs="Times New Roman"/>
          <w:sz w:val="26"/>
          <w:szCs w:val="26"/>
        </w:rPr>
        <w:t>t have a set day-to-day procedure and job.</w:t>
      </w:r>
      <w:r w:rsidRPr="00BC4B34">
        <w:rPr>
          <w:rStyle w:val="FootnoteReference"/>
          <w:rFonts w:cs="Times New Roman"/>
          <w:sz w:val="26"/>
          <w:szCs w:val="26"/>
        </w:rPr>
        <w:footnoteReference w:id="159"/>
      </w:r>
    </w:p>
    <w:p w:rsidR="00BC4B34" w:rsidRPr="00BC4B34" w:rsidRDefault="00E77986" w:rsidP="00E77986">
      <w:pPr>
        <w:pStyle w:val="textstyle"/>
      </w:pPr>
      <w:r>
        <w:rPr>
          <w:lang w:val="en-US"/>
        </w:rPr>
        <w:tab/>
      </w:r>
      <w:r w:rsidR="00BC4B34" w:rsidRPr="00BC4B34">
        <w:t>Even Mr. Smith found Ms. Howell</w:t>
      </w:r>
      <w:r>
        <w:t>’</w:t>
      </w:r>
      <w:r w:rsidR="00BC4B34" w:rsidRPr="00BC4B34">
        <w:t xml:space="preserve">s promotions puzzling. </w:t>
      </w:r>
      <w:r>
        <w:rPr>
          <w:lang w:val="en-US"/>
        </w:rPr>
        <w:t xml:space="preserve"> </w:t>
      </w:r>
      <w:r w:rsidR="00BC4B34" w:rsidRPr="00BC4B34">
        <w:t xml:space="preserve">He was replaced at Orwell-Trumbull Pipeline by Ms. Howell because, as he explained, Mr. Osborne wanted </w:t>
      </w:r>
      <w:r>
        <w:t>“</w:t>
      </w:r>
      <w:r w:rsidR="00862BD7">
        <w:t>someone stronger</w:t>
      </w:r>
      <w:r>
        <w:t>”</w:t>
      </w:r>
      <w:r w:rsidR="00862BD7">
        <w:rPr>
          <w:lang w:val="en-US"/>
        </w:rPr>
        <w:t xml:space="preserve"> in accounting.</w:t>
      </w:r>
      <w:r w:rsidR="002B5EB2">
        <w:rPr>
          <w:rStyle w:val="FootnoteReference"/>
          <w:szCs w:val="26"/>
        </w:rPr>
        <w:footnoteReference w:id="160"/>
      </w:r>
      <w:r w:rsidR="00BC4B34" w:rsidRPr="00BC4B34">
        <w:t xml:space="preserve"> </w:t>
      </w:r>
      <w:r>
        <w:rPr>
          <w:lang w:val="en-US"/>
        </w:rPr>
        <w:t xml:space="preserve"> </w:t>
      </w:r>
      <w:r w:rsidR="00BC4B34" w:rsidRPr="00BC4B34">
        <w:t>Mr. Osborne made this move even though Mr. Smith was a CPA and Howell was not, and even though Mr. Smith had the stronger accounting background.</w:t>
      </w:r>
      <w:r w:rsidR="00BC4B34" w:rsidRPr="00BC4B34">
        <w:rPr>
          <w:rStyle w:val="FootnoteReference"/>
          <w:szCs w:val="26"/>
        </w:rPr>
        <w:footnoteReference w:id="161"/>
      </w:r>
      <w:r w:rsidR="00BC4B34" w:rsidRPr="00BC4B34">
        <w:t xml:space="preserve"> </w:t>
      </w:r>
    </w:p>
    <w:p w:rsidR="00603EB3" w:rsidRPr="00DC4A58" w:rsidRDefault="001A6DE0" w:rsidP="0094089E">
      <w:pPr>
        <w:pStyle w:val="Heading3"/>
      </w:pPr>
      <w:bookmarkStart w:id="15" w:name="_Toc364688847"/>
      <w:r>
        <w:lastRenderedPageBreak/>
        <w:t>D</w:t>
      </w:r>
      <w:r w:rsidR="00E77986">
        <w:t>.</w:t>
      </w:r>
      <w:r w:rsidR="00E77986">
        <w:tab/>
      </w:r>
      <w:r w:rsidR="00603EB3">
        <w:t xml:space="preserve">The Companies </w:t>
      </w:r>
      <w:r w:rsidR="00E77986">
        <w:t xml:space="preserve">fostered an environment that favors affiliated </w:t>
      </w:r>
      <w:r w:rsidR="00E77986" w:rsidRPr="00DC4A58">
        <w:t>/ related transactions</w:t>
      </w:r>
      <w:r w:rsidR="002B5EB2">
        <w:t>.</w:t>
      </w:r>
      <w:bookmarkEnd w:id="15"/>
    </w:p>
    <w:p w:rsidR="00DC4A58" w:rsidRPr="00DC4A58" w:rsidRDefault="00E77986" w:rsidP="00E77986">
      <w:pPr>
        <w:pStyle w:val="textstyle"/>
      </w:pPr>
      <w:r>
        <w:rPr>
          <w:lang w:val="en-US"/>
        </w:rPr>
        <w:tab/>
      </w:r>
      <w:r w:rsidR="00DC4A58" w:rsidRPr="00DC4A58">
        <w:t>Since their inception, these companies have functioned with little regard to corporate separation.</w:t>
      </w:r>
      <w:r>
        <w:rPr>
          <w:lang w:val="en-US"/>
        </w:rPr>
        <w:t xml:space="preserve"> </w:t>
      </w:r>
      <w:r w:rsidR="00DC4A58" w:rsidRPr="00DC4A58">
        <w:t xml:space="preserve"> Initially, the LDCs and the marketing operations all worked out of the same building, and all employees had access to all other company operations.</w:t>
      </w:r>
      <w:r w:rsidR="00DC4A58" w:rsidRPr="00DC4A58">
        <w:rPr>
          <w:rStyle w:val="FootnoteReference"/>
          <w:szCs w:val="26"/>
        </w:rPr>
        <w:t xml:space="preserve"> </w:t>
      </w:r>
      <w:r w:rsidR="00DC4A58" w:rsidRPr="00DC4A58">
        <w:rPr>
          <w:rStyle w:val="FootnoteReference"/>
          <w:szCs w:val="26"/>
        </w:rPr>
        <w:footnoteReference w:id="162"/>
      </w:r>
      <w:r w:rsidR="00DC4A58" w:rsidRPr="00DC4A58">
        <w:t xml:space="preserve"> </w:t>
      </w:r>
      <w:r>
        <w:rPr>
          <w:lang w:val="en-US"/>
        </w:rPr>
        <w:t xml:space="preserve"> </w:t>
      </w:r>
      <w:r w:rsidR="00DC4A58" w:rsidRPr="00DC4A58">
        <w:t>While some of the related entities were eventually moved to a separate physical location, relatively unfettered access remained a problem during the audit period:</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Q.</w:t>
      </w:r>
      <w:r w:rsidRPr="00DC4A58">
        <w:rPr>
          <w:rFonts w:cs="Times New Roman"/>
          <w:sz w:val="26"/>
          <w:szCs w:val="26"/>
        </w:rPr>
        <w:tab/>
        <w:t xml:space="preserve">Were there others in your physical working </w:t>
      </w:r>
      <w:proofErr w:type="gramStart"/>
      <w:r w:rsidRPr="00DC4A58">
        <w:rPr>
          <w:rFonts w:cs="Times New Roman"/>
          <w:sz w:val="26"/>
          <w:szCs w:val="26"/>
        </w:rPr>
        <w:t>area who were</w:t>
      </w:r>
      <w:proofErr w:type="gramEnd"/>
      <w:r w:rsidRPr="00DC4A58">
        <w:rPr>
          <w:rFonts w:cs="Times New Roman"/>
          <w:sz w:val="26"/>
          <w:szCs w:val="26"/>
        </w:rPr>
        <w:t xml:space="preserve"> not employed by the local distribution com</w:t>
      </w:r>
      <w:r w:rsidR="0094089E">
        <w:rPr>
          <w:rFonts w:cs="Times New Roman"/>
          <w:sz w:val="26"/>
          <w:szCs w:val="26"/>
        </w:rPr>
        <w:softHyphen/>
      </w:r>
      <w:r w:rsidRPr="00DC4A58">
        <w:rPr>
          <w:rFonts w:cs="Times New Roman"/>
          <w:sz w:val="26"/>
          <w:szCs w:val="26"/>
        </w:rPr>
        <w:t>panies?</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A. </w:t>
      </w:r>
      <w:r w:rsidRPr="00DC4A58">
        <w:rPr>
          <w:rFonts w:cs="Times New Roman"/>
          <w:sz w:val="26"/>
          <w:szCs w:val="26"/>
        </w:rPr>
        <w:tab/>
        <w:t>There would have been Gas Natural Company employ</w:t>
      </w:r>
      <w:r w:rsidR="0094089E">
        <w:rPr>
          <w:rFonts w:cs="Times New Roman"/>
          <w:sz w:val="26"/>
          <w:szCs w:val="26"/>
        </w:rPr>
        <w:softHyphen/>
      </w:r>
      <w:r w:rsidRPr="00DC4A58">
        <w:rPr>
          <w:rFonts w:cs="Times New Roman"/>
          <w:sz w:val="26"/>
          <w:szCs w:val="26"/>
        </w:rPr>
        <w:t>ees in the same offices in the same suite</w:t>
      </w:r>
      <w:proofErr w:type="gramStart"/>
      <w:r w:rsidRPr="00DC4A58">
        <w:rPr>
          <w:rFonts w:cs="Times New Roman"/>
          <w:sz w:val="26"/>
          <w:szCs w:val="26"/>
        </w:rPr>
        <w:t xml:space="preserve">. </w:t>
      </w:r>
      <w:proofErr w:type="gramEnd"/>
      <w:r w:rsidRPr="00DC4A58">
        <w:rPr>
          <w:rFonts w:cs="Times New Roman"/>
          <w:sz w:val="26"/>
          <w:szCs w:val="26"/>
        </w:rPr>
        <w:t>They had their own separate offices within the suite.</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Q. </w:t>
      </w:r>
      <w:r w:rsidRPr="00DC4A58">
        <w:rPr>
          <w:rFonts w:cs="Times New Roman"/>
          <w:sz w:val="26"/>
          <w:szCs w:val="26"/>
        </w:rPr>
        <w:tab/>
        <w:t>But did they have access to your office?</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A. </w:t>
      </w:r>
      <w:r w:rsidRPr="00DC4A58">
        <w:rPr>
          <w:rFonts w:cs="Times New Roman"/>
          <w:sz w:val="26"/>
          <w:szCs w:val="26"/>
        </w:rPr>
        <w:tab/>
        <w:t>Yes.</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Q. </w:t>
      </w:r>
      <w:r w:rsidRPr="00DC4A58">
        <w:rPr>
          <w:rFonts w:cs="Times New Roman"/>
          <w:sz w:val="26"/>
          <w:szCs w:val="26"/>
        </w:rPr>
        <w:tab/>
        <w:t>Did they have access to your books and rec</w:t>
      </w:r>
      <w:r w:rsidR="00282922">
        <w:rPr>
          <w:rFonts w:cs="Times New Roman"/>
          <w:sz w:val="26"/>
          <w:szCs w:val="26"/>
        </w:rPr>
        <w:softHyphen/>
      </w:r>
      <w:r w:rsidRPr="00DC4A58">
        <w:rPr>
          <w:rFonts w:cs="Times New Roman"/>
          <w:sz w:val="26"/>
          <w:szCs w:val="26"/>
        </w:rPr>
        <w:t>ords?</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A. </w:t>
      </w:r>
      <w:r w:rsidRPr="00DC4A58">
        <w:rPr>
          <w:rFonts w:cs="Times New Roman"/>
          <w:sz w:val="26"/>
          <w:szCs w:val="26"/>
        </w:rPr>
        <w:tab/>
        <w:t>Yes.</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Q. </w:t>
      </w:r>
      <w:r w:rsidRPr="00DC4A58">
        <w:rPr>
          <w:rFonts w:cs="Times New Roman"/>
          <w:sz w:val="26"/>
          <w:szCs w:val="26"/>
        </w:rPr>
        <w:tab/>
        <w:t>There were Gas Natural personnel that had access to LDC records?</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A. </w:t>
      </w:r>
      <w:r w:rsidRPr="00DC4A58">
        <w:rPr>
          <w:rFonts w:cs="Times New Roman"/>
          <w:sz w:val="26"/>
          <w:szCs w:val="26"/>
        </w:rPr>
        <w:tab/>
        <w:t>Yes.</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Q. </w:t>
      </w:r>
      <w:r w:rsidRPr="00DC4A58">
        <w:rPr>
          <w:rFonts w:cs="Times New Roman"/>
          <w:sz w:val="26"/>
          <w:szCs w:val="26"/>
        </w:rPr>
        <w:tab/>
        <w:t>Were there specific individuals who had such access?</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A. </w:t>
      </w:r>
      <w:r w:rsidRPr="00DC4A58">
        <w:rPr>
          <w:rFonts w:cs="Times New Roman"/>
          <w:sz w:val="26"/>
          <w:szCs w:val="26"/>
        </w:rPr>
        <w:tab/>
        <w:t>Well, anyone who had a key to the office would be able to pick up the books and look at them. They were pretty out in the open.</w:t>
      </w:r>
    </w:p>
    <w:p w:rsidR="000906CB" w:rsidRDefault="000906CB" w:rsidP="00636DA2">
      <w:pPr>
        <w:spacing w:after="240"/>
        <w:ind w:left="2160" w:right="1440" w:hanging="720"/>
        <w:rPr>
          <w:rFonts w:cs="Times New Roman"/>
          <w:sz w:val="26"/>
          <w:szCs w:val="26"/>
        </w:rPr>
      </w:pPr>
      <w:r>
        <w:rPr>
          <w:rFonts w:cs="Times New Roman"/>
          <w:sz w:val="26"/>
          <w:szCs w:val="26"/>
        </w:rPr>
        <w:br w:type="page"/>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lastRenderedPageBreak/>
        <w:t xml:space="preserve">Q. </w:t>
      </w:r>
      <w:r w:rsidRPr="00DC4A58">
        <w:rPr>
          <w:rFonts w:cs="Times New Roman"/>
          <w:sz w:val="26"/>
          <w:szCs w:val="26"/>
        </w:rPr>
        <w:tab/>
        <w:t>They were not limited or restricted in any way?</w:t>
      </w:r>
    </w:p>
    <w:p w:rsidR="00DC4A58" w:rsidRPr="00DC4A58" w:rsidRDefault="00DC4A58" w:rsidP="00636DA2">
      <w:pPr>
        <w:spacing w:after="240"/>
        <w:ind w:left="2160" w:right="1440" w:hanging="720"/>
        <w:rPr>
          <w:rFonts w:cs="Times New Roman"/>
          <w:sz w:val="26"/>
          <w:szCs w:val="26"/>
        </w:rPr>
      </w:pPr>
      <w:r w:rsidRPr="00DC4A58">
        <w:rPr>
          <w:rFonts w:cs="Times New Roman"/>
          <w:sz w:val="26"/>
          <w:szCs w:val="26"/>
        </w:rPr>
        <w:t xml:space="preserve">A. </w:t>
      </w:r>
      <w:r w:rsidRPr="00DC4A58">
        <w:rPr>
          <w:rFonts w:cs="Times New Roman"/>
          <w:sz w:val="26"/>
          <w:szCs w:val="26"/>
        </w:rPr>
        <w:tab/>
        <w:t>No.</w:t>
      </w:r>
      <w:r w:rsidRPr="00DC4A58">
        <w:rPr>
          <w:rStyle w:val="FootnoteReference"/>
          <w:rFonts w:cs="Times New Roman"/>
          <w:sz w:val="26"/>
          <w:szCs w:val="26"/>
        </w:rPr>
        <w:footnoteReference w:id="163"/>
      </w:r>
    </w:p>
    <w:p w:rsidR="00DC4A58" w:rsidRPr="00DC4A58" w:rsidRDefault="00E77986" w:rsidP="00E77986">
      <w:pPr>
        <w:pStyle w:val="textstyle"/>
      </w:pPr>
      <w:r>
        <w:rPr>
          <w:lang w:val="en-US"/>
        </w:rPr>
        <w:tab/>
      </w:r>
      <w:r w:rsidR="00DC4A58" w:rsidRPr="00DC4A58">
        <w:t>Ms. Howell also testified that some JDOG Marketing personnel had access to LDC facilities, and that some LDC personnel had access to Marketing facilities.</w:t>
      </w:r>
      <w:r w:rsidR="00DC4A58" w:rsidRPr="00DC4A58">
        <w:rPr>
          <w:rStyle w:val="FootnoteReference"/>
          <w:szCs w:val="26"/>
        </w:rPr>
        <w:footnoteReference w:id="164"/>
      </w:r>
      <w:r w:rsidR="00DC4A58" w:rsidRPr="00DC4A58">
        <w:t xml:space="preserve"> </w:t>
      </w:r>
    </w:p>
    <w:p w:rsidR="00DC4A58" w:rsidRPr="00DC4A58" w:rsidRDefault="00E77986" w:rsidP="00E77986">
      <w:pPr>
        <w:pStyle w:val="textstyle"/>
      </w:pPr>
      <w:r>
        <w:rPr>
          <w:lang w:val="en-US"/>
        </w:rPr>
        <w:tab/>
      </w:r>
      <w:r w:rsidR="00DC4A58" w:rsidRPr="00DC4A58">
        <w:t>The companies do all of their purchasing through a single individual, Mike Zapitello, for whose services they paid nearly $640,000.</w:t>
      </w:r>
      <w:r w:rsidR="00DC4A58" w:rsidRPr="00DC4A58">
        <w:rPr>
          <w:rStyle w:val="FootnoteReference"/>
          <w:szCs w:val="26"/>
        </w:rPr>
        <w:footnoteReference w:id="165"/>
      </w:r>
      <w:r w:rsidR="00DC4A58" w:rsidRPr="00DC4A58">
        <w:t xml:space="preserve"> </w:t>
      </w:r>
      <w:r>
        <w:rPr>
          <w:lang w:val="en-US"/>
        </w:rPr>
        <w:t xml:space="preserve"> </w:t>
      </w:r>
      <w:r w:rsidR="00DC4A58" w:rsidRPr="00DC4A58">
        <w:t>Companies</w:t>
      </w:r>
      <w:r>
        <w:t>’</w:t>
      </w:r>
      <w:r w:rsidR="00DC4A58" w:rsidRPr="00DC4A58">
        <w:t xml:space="preserve"> witness Patton acknowledged that Mr. Zapitello, as JDOG Marketing, purchased gas for the LDCs even when it was not needed.</w:t>
      </w:r>
      <w:r w:rsidR="00DC4A58" w:rsidRPr="00DC4A58">
        <w:rPr>
          <w:rStyle w:val="FootnoteReference"/>
          <w:szCs w:val="26"/>
        </w:rPr>
        <w:footnoteReference w:id="166"/>
      </w:r>
      <w:r w:rsidR="00DC4A58" w:rsidRPr="00DC4A58">
        <w:t xml:space="preserve"> </w:t>
      </w:r>
      <w:r>
        <w:rPr>
          <w:lang w:val="en-US"/>
        </w:rPr>
        <w:t xml:space="preserve"> </w:t>
      </w:r>
      <w:r w:rsidR="00DC4A58" w:rsidRPr="00DC4A58">
        <w:t>Sometimes that gas would be put into storage, while at other</w:t>
      </w:r>
      <w:r w:rsidR="002B5EB2">
        <w:t xml:space="preserve"> times</w:t>
      </w:r>
      <w:r w:rsidR="00DC4A58" w:rsidRPr="00DC4A58">
        <w:t xml:space="preserve"> it would create an imbalance.</w:t>
      </w:r>
      <w:r>
        <w:rPr>
          <w:lang w:val="en-US"/>
        </w:rPr>
        <w:t xml:space="preserve"> </w:t>
      </w:r>
      <w:r w:rsidR="00DC4A58" w:rsidRPr="00DC4A58">
        <w:t xml:space="preserve"> </w:t>
      </w:r>
      <w:r w:rsidR="002B5EB2" w:rsidRPr="00DC4A58">
        <w:t xml:space="preserve">Mr. Zapitello would </w:t>
      </w:r>
      <w:r w:rsidR="002B5EB2">
        <w:t xml:space="preserve">inexplicably </w:t>
      </w:r>
      <w:r w:rsidR="002B5EB2" w:rsidRPr="00DC4A58">
        <w:t xml:space="preserve">purchase more local gas </w:t>
      </w:r>
      <w:r w:rsidR="002B5EB2">
        <w:t>e</w:t>
      </w:r>
      <w:r w:rsidR="00DC4A58" w:rsidRPr="00DC4A58">
        <w:t xml:space="preserve">ven when there </w:t>
      </w:r>
      <w:r w:rsidR="002B5EB2">
        <w:t>were</w:t>
      </w:r>
      <w:r w:rsidR="00DC4A58" w:rsidRPr="00DC4A58">
        <w:t xml:space="preserve"> positive imbalances.</w:t>
      </w:r>
      <w:r>
        <w:rPr>
          <w:lang w:val="en-US"/>
        </w:rPr>
        <w:t xml:space="preserve"> </w:t>
      </w:r>
      <w:r w:rsidR="00DC4A58" w:rsidRPr="00DC4A58">
        <w:t xml:space="preserve"> Ms. Patton testified that she knew of no limits on the amount of local gas Mr. Zapitello could purchase.</w:t>
      </w:r>
      <w:r w:rsidR="00DC4A58" w:rsidRPr="00DC4A58">
        <w:rPr>
          <w:rStyle w:val="FootnoteReference"/>
          <w:szCs w:val="26"/>
        </w:rPr>
        <w:footnoteReference w:id="167"/>
      </w:r>
      <w:r w:rsidR="00DC4A58" w:rsidRPr="00DC4A58">
        <w:t xml:space="preserve"> </w:t>
      </w:r>
    </w:p>
    <w:p w:rsidR="00DC4A58" w:rsidRPr="00DC4A58" w:rsidRDefault="00E77986" w:rsidP="00E77986">
      <w:pPr>
        <w:pStyle w:val="textstyle"/>
      </w:pPr>
      <w:r>
        <w:rPr>
          <w:lang w:val="en-US"/>
        </w:rPr>
        <w:tab/>
      </w:r>
      <w:r w:rsidR="00DC4A58" w:rsidRPr="00DC4A58">
        <w:t>When asked about the safeguards in place to ensure arms</w:t>
      </w:r>
      <w:r>
        <w:t>’</w:t>
      </w:r>
      <w:r w:rsidR="00DC4A58" w:rsidRPr="00DC4A58">
        <w:t xml:space="preserve"> length transactions between affiliated or related parties, Mr. Smith indicated that the companies </w:t>
      </w:r>
      <w:r>
        <w:t>“</w:t>
      </w:r>
      <w:r w:rsidR="00DC4A58" w:rsidRPr="00DC4A58">
        <w:t>occasionally</w:t>
      </w:r>
      <w:r>
        <w:t>”</w:t>
      </w:r>
      <w:r w:rsidR="00DC4A58" w:rsidRPr="00DC4A58">
        <w:t xml:space="preserve"> solicit outside bids for price comparison purposes.</w:t>
      </w:r>
      <w:r w:rsidR="00DC4A58" w:rsidRPr="00DC4A58">
        <w:rPr>
          <w:rStyle w:val="FootnoteReference"/>
          <w:szCs w:val="26"/>
        </w:rPr>
        <w:footnoteReference w:id="168"/>
      </w:r>
      <w:r w:rsidR="00DC4A58" w:rsidRPr="00DC4A58">
        <w:t xml:space="preserve"> </w:t>
      </w:r>
    </w:p>
    <w:p w:rsidR="00DC4A58" w:rsidRDefault="00E77986" w:rsidP="00E77986">
      <w:pPr>
        <w:pStyle w:val="textstyle"/>
      </w:pPr>
      <w:r>
        <w:rPr>
          <w:lang w:val="en-US"/>
        </w:rPr>
        <w:lastRenderedPageBreak/>
        <w:tab/>
      </w:r>
      <w:r w:rsidR="00DC4A58" w:rsidRPr="00DC4A58">
        <w:t xml:space="preserve">The closeness of these relationships resulted in other abuses. </w:t>
      </w:r>
      <w:r w:rsidR="0094089E">
        <w:rPr>
          <w:lang w:val="en-US"/>
        </w:rPr>
        <w:t xml:space="preserve"> </w:t>
      </w:r>
      <w:r w:rsidR="00DC4A58" w:rsidRPr="00DC4A58">
        <w:t>Staff witness Rolf testified that she was asked by Ohio controller Larry Brainard to find instances where the companies had sold more gas than they had purchased, so that the pipeline could charge the LDC for additional gas.</w:t>
      </w:r>
      <w:r w:rsidR="00DC4A58" w:rsidRPr="00DC4A58">
        <w:rPr>
          <w:rStyle w:val="FootnoteReference"/>
          <w:szCs w:val="26"/>
        </w:rPr>
        <w:footnoteReference w:id="169"/>
      </w:r>
      <w:r w:rsidR="00DC4A58" w:rsidRPr="00DC4A58">
        <w:t xml:space="preserve"> </w:t>
      </w:r>
      <w:r>
        <w:rPr>
          <w:lang w:val="en-US"/>
        </w:rPr>
        <w:t xml:space="preserve"> </w:t>
      </w:r>
      <w:r w:rsidR="00DC4A58" w:rsidRPr="00DC4A58">
        <w:t>Staff witness Lipnis testified that JDOG Marketing had stored gas in NEO contract storage facilities without payment.</w:t>
      </w:r>
      <w:r w:rsidR="00DC4A58" w:rsidRPr="00DC4A58">
        <w:rPr>
          <w:rStyle w:val="FootnoteReference"/>
          <w:szCs w:val="26"/>
        </w:rPr>
        <w:footnoteReference w:id="170"/>
      </w:r>
      <w:r w:rsidR="00DC4A58" w:rsidRPr="00DC4A58">
        <w:t xml:space="preserve"> </w:t>
      </w:r>
    </w:p>
    <w:p w:rsidR="007031A0" w:rsidRPr="00764FD8" w:rsidRDefault="00E77986" w:rsidP="00E77986">
      <w:pPr>
        <w:pStyle w:val="Heading1"/>
      </w:pPr>
      <w:bookmarkStart w:id="16" w:name="_Toc364688848"/>
      <w:r>
        <w:t>CONCLUSION</w:t>
      </w:r>
      <w:bookmarkEnd w:id="16"/>
    </w:p>
    <w:p w:rsidR="009A3730" w:rsidRPr="0094089E" w:rsidRDefault="00E77986" w:rsidP="0094089E">
      <w:pPr>
        <w:pStyle w:val="textstyle"/>
        <w:rPr>
          <w:rFonts w:eastAsia="Calibri"/>
        </w:rPr>
      </w:pPr>
      <w:r w:rsidRPr="0094089E">
        <w:tab/>
      </w:r>
      <w:r w:rsidR="009A3730" w:rsidRPr="0094089E">
        <w:rPr>
          <w:rFonts w:eastAsia="Calibri"/>
        </w:rPr>
        <w:t xml:space="preserve"> The companies, of course, bear the burden of proving that their </w:t>
      </w:r>
      <w:r w:rsidR="009A3730" w:rsidRPr="009A3730">
        <w:rPr>
          <w:rFonts w:eastAsia="Calibri"/>
        </w:rPr>
        <w:t>gas cost recovery rates were fair, just, and reasonable and that its gas purchasing practices and policies promote minimum prices consistent with an adequate supply of gas.</w:t>
      </w:r>
      <w:r w:rsidR="0094089E">
        <w:rPr>
          <w:rStyle w:val="FootnoteReference"/>
          <w:rFonts w:eastAsia="Calibri"/>
          <w:szCs w:val="26"/>
        </w:rPr>
        <w:footnoteReference w:id="171"/>
      </w:r>
      <w:r w:rsidR="009A3730" w:rsidRPr="009A3730">
        <w:rPr>
          <w:rFonts w:eastAsia="Calibri"/>
        </w:rPr>
        <w:t xml:space="preserve"> </w:t>
      </w:r>
      <w:r w:rsidR="0094089E">
        <w:rPr>
          <w:rFonts w:eastAsia="Calibri"/>
        </w:rPr>
        <w:t xml:space="preserve"> </w:t>
      </w:r>
      <w:r w:rsidR="009A3730" w:rsidRPr="0094089E">
        <w:rPr>
          <w:rFonts w:eastAsia="Calibri"/>
        </w:rPr>
        <w:t xml:space="preserve">The companies have failed to meet this burden. </w:t>
      </w:r>
    </w:p>
    <w:p w:rsidR="009A3730" w:rsidRPr="0094089E" w:rsidRDefault="0094089E" w:rsidP="0094089E">
      <w:pPr>
        <w:pStyle w:val="textstyle"/>
        <w:rPr>
          <w:rFonts w:eastAsia="Calibri"/>
        </w:rPr>
      </w:pPr>
      <w:r>
        <w:rPr>
          <w:rFonts w:eastAsia="Calibri"/>
          <w:lang w:val="en-US"/>
        </w:rPr>
        <w:tab/>
      </w:r>
      <w:r w:rsidR="009A3730" w:rsidRPr="0094089E">
        <w:rPr>
          <w:rFonts w:eastAsia="Calibri"/>
        </w:rPr>
        <w:t xml:space="preserve">The companies purchased supplies through a related marketing company supposedly created to centralize functions, but which resulted in added layers of bureaucracy, additional fees and charges, and, ultimately, higher prices for consumers. </w:t>
      </w:r>
      <w:r>
        <w:rPr>
          <w:rFonts w:eastAsia="Calibri"/>
          <w:lang w:val="en-US"/>
        </w:rPr>
        <w:t xml:space="preserve"> </w:t>
      </w:r>
      <w:r w:rsidR="009A3730" w:rsidRPr="0094089E">
        <w:rPr>
          <w:rFonts w:eastAsia="Calibri"/>
        </w:rPr>
        <w:t xml:space="preserve">The interposition of a service company, yet an additional layer of self-dealing, did nothing to stem the practices the parties sought to correct in the last case. </w:t>
      </w:r>
      <w:r>
        <w:rPr>
          <w:rFonts w:eastAsia="Calibri"/>
          <w:lang w:val="en-US"/>
        </w:rPr>
        <w:t xml:space="preserve"> </w:t>
      </w:r>
      <w:r w:rsidR="009A3730" w:rsidRPr="0094089E">
        <w:rPr>
          <w:rFonts w:eastAsia="Calibri"/>
        </w:rPr>
        <w:t xml:space="preserve">Instead, the selection of the related marketer by the service company was based on a flawed process intended, Staff submits, to maintain the status quo. </w:t>
      </w:r>
      <w:r>
        <w:rPr>
          <w:rFonts w:eastAsia="Calibri"/>
          <w:lang w:val="en-US"/>
        </w:rPr>
        <w:t xml:space="preserve"> </w:t>
      </w:r>
      <w:r w:rsidR="009A3730" w:rsidRPr="0094089E">
        <w:rPr>
          <w:rFonts w:eastAsia="Calibri"/>
        </w:rPr>
        <w:t xml:space="preserve">The service company simply verified rates and quantities billed by the related marketer and passed the bills on to the </w:t>
      </w:r>
      <w:r w:rsidR="009A3730" w:rsidRPr="0094089E">
        <w:rPr>
          <w:rFonts w:eastAsia="Calibri"/>
        </w:rPr>
        <w:lastRenderedPageBreak/>
        <w:t>companies.</w:t>
      </w:r>
      <w:r>
        <w:rPr>
          <w:rFonts w:eastAsia="Calibri"/>
          <w:lang w:val="en-US"/>
        </w:rPr>
        <w:t xml:space="preserve"> </w:t>
      </w:r>
      <w:r w:rsidR="009A3730" w:rsidRPr="0094089E">
        <w:rPr>
          <w:rFonts w:eastAsia="Calibri"/>
        </w:rPr>
        <w:t xml:space="preserve"> Bills that the companies’ management acknowledged were improper, but never investigated. </w:t>
      </w:r>
    </w:p>
    <w:p w:rsidR="009A3730" w:rsidRPr="0094089E" w:rsidRDefault="0094089E" w:rsidP="0094089E">
      <w:pPr>
        <w:pStyle w:val="textstyle"/>
        <w:rPr>
          <w:rFonts w:eastAsia="Calibri"/>
        </w:rPr>
      </w:pPr>
      <w:r>
        <w:rPr>
          <w:rFonts w:eastAsia="Calibri"/>
          <w:lang w:val="en-US"/>
        </w:rPr>
        <w:tab/>
      </w:r>
      <w:r w:rsidR="009A3730" w:rsidRPr="0094089E">
        <w:rPr>
          <w:rFonts w:eastAsia="Calibri"/>
        </w:rPr>
        <w:t>Staff witness Sarver testified that these companies’ management philosophy is driven by upper management, and that management’s decisions were sometimes contrary to regulatory compliance.</w:t>
      </w:r>
      <w:r w:rsidR="009A3730" w:rsidRPr="0094089E">
        <w:rPr>
          <w:rStyle w:val="FootnoteReference"/>
          <w:rFonts w:eastAsia="Calibri"/>
          <w:szCs w:val="26"/>
        </w:rPr>
        <w:footnoteReference w:id="172"/>
      </w:r>
      <w:r w:rsidR="009A3730" w:rsidRPr="0094089E">
        <w:rPr>
          <w:rFonts w:eastAsia="Calibri"/>
        </w:rPr>
        <w:t xml:space="preserve"> </w:t>
      </w:r>
      <w:r>
        <w:rPr>
          <w:rFonts w:eastAsia="Calibri"/>
          <w:lang w:val="en-US"/>
        </w:rPr>
        <w:t xml:space="preserve"> </w:t>
      </w:r>
      <w:r w:rsidR="009A3730" w:rsidRPr="0094089E">
        <w:rPr>
          <w:rFonts w:eastAsia="Calibri"/>
        </w:rPr>
        <w:t>This philosophy was enabled by structural issues that blurred liens of authority and responsibility and promoted a general lack of accountability.</w:t>
      </w:r>
      <w:r>
        <w:rPr>
          <w:rFonts w:eastAsia="Calibri"/>
          <w:lang w:val="en-US"/>
        </w:rPr>
        <w:t xml:space="preserve"> </w:t>
      </w:r>
      <w:r w:rsidR="009A3730" w:rsidRPr="0094089E">
        <w:rPr>
          <w:rFonts w:eastAsia="Calibri"/>
        </w:rPr>
        <w:t xml:space="preserve"> Company management, who know little about how the GCR mechanism works, manipulated components to increase cash flow in the absence of meaningful internal controls.</w:t>
      </w:r>
      <w:r>
        <w:rPr>
          <w:rFonts w:eastAsia="Calibri"/>
          <w:lang w:val="en-US"/>
        </w:rPr>
        <w:t xml:space="preserve"> </w:t>
      </w:r>
      <w:r w:rsidR="009A3730" w:rsidRPr="0094089E">
        <w:rPr>
          <w:rFonts w:eastAsia="Calibri"/>
        </w:rPr>
        <w:t xml:space="preserve"> A revolving door of ill-equipped controllers, none of whom seemed to know who was ultimately responsible for the controls at the companies, further shielded these management practices. </w:t>
      </w:r>
    </w:p>
    <w:p w:rsidR="009A3730" w:rsidRPr="0094089E" w:rsidRDefault="0094089E" w:rsidP="0094089E">
      <w:pPr>
        <w:pStyle w:val="textstyle"/>
        <w:rPr>
          <w:rFonts w:eastAsia="Calibri"/>
        </w:rPr>
      </w:pPr>
      <w:r>
        <w:rPr>
          <w:rFonts w:eastAsia="Calibri"/>
          <w:lang w:val="en-US"/>
        </w:rPr>
        <w:tab/>
      </w:r>
      <w:r w:rsidR="009A3730" w:rsidRPr="0094089E">
        <w:rPr>
          <w:rFonts w:eastAsia="Calibri"/>
        </w:rPr>
        <w:t xml:space="preserve">Staff has done its best to try to identify problem areas and recommend way of rectifying those issues. </w:t>
      </w:r>
      <w:r>
        <w:rPr>
          <w:rFonts w:eastAsia="Calibri"/>
          <w:lang w:val="en-US"/>
        </w:rPr>
        <w:t xml:space="preserve"> </w:t>
      </w:r>
      <w:r w:rsidR="009A3730" w:rsidRPr="0094089E">
        <w:rPr>
          <w:rFonts w:eastAsia="Calibri"/>
        </w:rPr>
        <w:t>But Mr. Sarver ultimately concluded that Staff simply doesn’t have the expertise to determine what is actually taking place at a management level in these companies, or how to effectively remedy these ongoing problems.</w:t>
      </w:r>
      <w:r w:rsidR="009A3730" w:rsidRPr="0094089E">
        <w:rPr>
          <w:rStyle w:val="FootnoteReference"/>
          <w:rFonts w:eastAsia="Calibri"/>
          <w:szCs w:val="26"/>
        </w:rPr>
        <w:footnoteReference w:id="173"/>
      </w:r>
      <w:r w:rsidR="009A3730" w:rsidRPr="0094089E">
        <w:rPr>
          <w:rFonts w:eastAsia="Calibri"/>
        </w:rPr>
        <w:t xml:space="preserve"> </w:t>
      </w:r>
      <w:r>
        <w:rPr>
          <w:rFonts w:eastAsia="Calibri"/>
          <w:lang w:val="en-US"/>
        </w:rPr>
        <w:t xml:space="preserve"> </w:t>
      </w:r>
      <w:r w:rsidR="009A3730" w:rsidRPr="0094089E">
        <w:rPr>
          <w:rFonts w:eastAsia="Calibri"/>
        </w:rPr>
        <w:t xml:space="preserve">Staff’s recommended adjustments should be adopted. In addition, the Commission should, at a minimum, open an investigation into these companies, and their affiliated regulated pipeline and distribution companies, and order full management and forensic audits. </w:t>
      </w:r>
    </w:p>
    <w:p w:rsidR="000906CB" w:rsidRDefault="000906CB" w:rsidP="00E77986">
      <w:pPr>
        <w:ind w:left="4320"/>
        <w:rPr>
          <w:sz w:val="26"/>
          <w:szCs w:val="26"/>
        </w:rPr>
      </w:pPr>
      <w:r>
        <w:rPr>
          <w:sz w:val="26"/>
          <w:szCs w:val="26"/>
        </w:rPr>
        <w:br w:type="page"/>
      </w:r>
    </w:p>
    <w:p w:rsidR="007031A0" w:rsidRPr="00764FD8" w:rsidRDefault="007031A0" w:rsidP="00E77986">
      <w:pPr>
        <w:ind w:left="4320"/>
        <w:rPr>
          <w:sz w:val="26"/>
          <w:szCs w:val="26"/>
        </w:rPr>
      </w:pPr>
      <w:r w:rsidRPr="00764FD8">
        <w:rPr>
          <w:sz w:val="26"/>
          <w:szCs w:val="26"/>
        </w:rPr>
        <w:lastRenderedPageBreak/>
        <w:t>Respectfully submitted,</w:t>
      </w:r>
    </w:p>
    <w:p w:rsidR="007031A0" w:rsidRPr="00764FD8" w:rsidRDefault="007031A0" w:rsidP="00E77986">
      <w:pPr>
        <w:ind w:left="4320"/>
        <w:rPr>
          <w:sz w:val="26"/>
          <w:szCs w:val="26"/>
        </w:rPr>
      </w:pPr>
    </w:p>
    <w:p w:rsidR="007031A0" w:rsidRPr="00764FD8" w:rsidRDefault="007031A0" w:rsidP="00E77986">
      <w:pPr>
        <w:ind w:left="4320"/>
        <w:rPr>
          <w:b/>
          <w:sz w:val="26"/>
          <w:szCs w:val="26"/>
        </w:rPr>
      </w:pPr>
      <w:r w:rsidRPr="00764FD8">
        <w:rPr>
          <w:b/>
          <w:sz w:val="26"/>
          <w:szCs w:val="26"/>
        </w:rPr>
        <w:t>Michael DeWine</w:t>
      </w:r>
    </w:p>
    <w:p w:rsidR="007031A0" w:rsidRPr="00764FD8" w:rsidRDefault="007031A0" w:rsidP="00E77986">
      <w:pPr>
        <w:ind w:left="4320"/>
        <w:rPr>
          <w:sz w:val="26"/>
          <w:szCs w:val="26"/>
        </w:rPr>
      </w:pPr>
      <w:r w:rsidRPr="00764FD8">
        <w:rPr>
          <w:sz w:val="26"/>
          <w:szCs w:val="26"/>
        </w:rPr>
        <w:t>Ohio Attorney General</w:t>
      </w:r>
    </w:p>
    <w:p w:rsidR="007031A0" w:rsidRPr="00764FD8" w:rsidRDefault="007031A0" w:rsidP="00E77986">
      <w:pPr>
        <w:ind w:left="4320"/>
        <w:rPr>
          <w:sz w:val="26"/>
          <w:szCs w:val="26"/>
        </w:rPr>
      </w:pPr>
    </w:p>
    <w:p w:rsidR="007031A0" w:rsidRPr="00E77986" w:rsidRDefault="007031A0" w:rsidP="00E77986">
      <w:pPr>
        <w:ind w:left="4320"/>
        <w:rPr>
          <w:b/>
          <w:sz w:val="26"/>
          <w:szCs w:val="26"/>
        </w:rPr>
      </w:pPr>
      <w:r w:rsidRPr="00764FD8">
        <w:rPr>
          <w:b/>
          <w:sz w:val="26"/>
          <w:szCs w:val="26"/>
        </w:rPr>
        <w:t>William L. Wright</w:t>
      </w:r>
      <w:r w:rsidR="00E77986">
        <w:rPr>
          <w:b/>
          <w:sz w:val="26"/>
          <w:szCs w:val="26"/>
        </w:rPr>
        <w:br/>
      </w:r>
      <w:r w:rsidRPr="00764FD8">
        <w:rPr>
          <w:sz w:val="26"/>
          <w:szCs w:val="26"/>
        </w:rPr>
        <w:t>Section Chief</w:t>
      </w:r>
    </w:p>
    <w:p w:rsidR="007031A0" w:rsidRPr="00764FD8" w:rsidRDefault="007031A0" w:rsidP="00E77986">
      <w:pPr>
        <w:ind w:left="4320"/>
        <w:rPr>
          <w:sz w:val="26"/>
          <w:szCs w:val="26"/>
        </w:rPr>
      </w:pPr>
    </w:p>
    <w:p w:rsidR="0094089E" w:rsidRDefault="0094089E" w:rsidP="00E77986">
      <w:pPr>
        <w:ind w:left="4320"/>
        <w:rPr>
          <w:rFonts w:ascii="Viner Hand ITC" w:hAnsi="Viner Hand ITC"/>
          <w:sz w:val="28"/>
          <w:szCs w:val="28"/>
          <w:u w:val="single"/>
        </w:rPr>
      </w:pPr>
      <w:r w:rsidRPr="0094089E">
        <w:rPr>
          <w:rFonts w:ascii="Viner Hand ITC" w:hAnsi="Viner Hand ITC"/>
          <w:sz w:val="28"/>
          <w:szCs w:val="28"/>
          <w:u w:val="single"/>
        </w:rPr>
        <w:t>/</w:t>
      </w:r>
      <w:r>
        <w:rPr>
          <w:rFonts w:ascii="Viner Hand ITC" w:hAnsi="Viner Hand ITC"/>
          <w:sz w:val="28"/>
          <w:szCs w:val="28"/>
          <w:u w:val="single"/>
        </w:rPr>
        <w:t>s</w:t>
      </w:r>
      <w:r w:rsidRPr="0094089E">
        <w:rPr>
          <w:rFonts w:ascii="Viner Hand ITC" w:hAnsi="Viner Hand ITC"/>
          <w:sz w:val="28"/>
          <w:szCs w:val="28"/>
          <w:u w:val="single"/>
        </w:rPr>
        <w:t>/ Werner L. Margard III</w:t>
      </w:r>
      <w:r>
        <w:rPr>
          <w:rFonts w:ascii="Viner Hand ITC" w:hAnsi="Viner Hand ITC"/>
          <w:sz w:val="28"/>
          <w:szCs w:val="28"/>
          <w:u w:val="single"/>
        </w:rPr>
        <w:tab/>
      </w:r>
    </w:p>
    <w:p w:rsidR="007031A0" w:rsidRPr="00764FD8" w:rsidRDefault="007031A0" w:rsidP="00E77986">
      <w:pPr>
        <w:ind w:left="4320"/>
        <w:rPr>
          <w:b/>
          <w:sz w:val="26"/>
          <w:szCs w:val="26"/>
        </w:rPr>
      </w:pPr>
      <w:r w:rsidRPr="00764FD8">
        <w:rPr>
          <w:b/>
          <w:sz w:val="26"/>
          <w:szCs w:val="26"/>
        </w:rPr>
        <w:t>Werner L. Margard</w:t>
      </w:r>
      <w:r w:rsidR="0094089E">
        <w:rPr>
          <w:b/>
          <w:sz w:val="26"/>
          <w:szCs w:val="26"/>
        </w:rPr>
        <w:t xml:space="preserve"> III</w:t>
      </w:r>
    </w:p>
    <w:p w:rsidR="007031A0" w:rsidRPr="00764FD8" w:rsidRDefault="007031A0" w:rsidP="00E77986">
      <w:pPr>
        <w:ind w:left="4320"/>
        <w:rPr>
          <w:b/>
          <w:sz w:val="26"/>
          <w:szCs w:val="26"/>
        </w:rPr>
      </w:pPr>
      <w:r w:rsidRPr="00764FD8">
        <w:rPr>
          <w:b/>
          <w:sz w:val="26"/>
          <w:szCs w:val="26"/>
        </w:rPr>
        <w:t>Devin D. Parram</w:t>
      </w:r>
    </w:p>
    <w:p w:rsidR="007031A0" w:rsidRPr="00764FD8" w:rsidRDefault="007031A0" w:rsidP="00E77986">
      <w:pPr>
        <w:ind w:left="4320"/>
        <w:rPr>
          <w:sz w:val="26"/>
          <w:szCs w:val="26"/>
        </w:rPr>
      </w:pPr>
      <w:r w:rsidRPr="00764FD8">
        <w:rPr>
          <w:sz w:val="26"/>
          <w:szCs w:val="26"/>
        </w:rPr>
        <w:t>Assistant Attorney</w:t>
      </w:r>
      <w:r>
        <w:rPr>
          <w:sz w:val="26"/>
          <w:szCs w:val="26"/>
        </w:rPr>
        <w:t>s</w:t>
      </w:r>
      <w:r w:rsidRPr="00764FD8">
        <w:rPr>
          <w:sz w:val="26"/>
          <w:szCs w:val="26"/>
        </w:rPr>
        <w:t xml:space="preserve"> General</w:t>
      </w:r>
    </w:p>
    <w:p w:rsidR="007031A0" w:rsidRPr="00764FD8" w:rsidRDefault="007031A0" w:rsidP="00E77986">
      <w:pPr>
        <w:ind w:left="4320"/>
        <w:rPr>
          <w:sz w:val="26"/>
          <w:szCs w:val="26"/>
        </w:rPr>
      </w:pPr>
      <w:r w:rsidRPr="00764FD8">
        <w:rPr>
          <w:sz w:val="26"/>
          <w:szCs w:val="26"/>
        </w:rPr>
        <w:t>Public Utilities Section</w:t>
      </w:r>
    </w:p>
    <w:p w:rsidR="007031A0" w:rsidRPr="00764FD8" w:rsidRDefault="007031A0" w:rsidP="00E77986">
      <w:pPr>
        <w:ind w:left="4320"/>
        <w:rPr>
          <w:sz w:val="26"/>
          <w:szCs w:val="26"/>
        </w:rPr>
      </w:pPr>
      <w:r w:rsidRPr="00764FD8">
        <w:rPr>
          <w:sz w:val="26"/>
          <w:szCs w:val="26"/>
        </w:rPr>
        <w:t>180 East Broad Street, 6</w:t>
      </w:r>
      <w:r w:rsidRPr="00764FD8">
        <w:rPr>
          <w:sz w:val="26"/>
          <w:szCs w:val="26"/>
          <w:vertAlign w:val="superscript"/>
        </w:rPr>
        <w:t>th</w:t>
      </w:r>
      <w:r w:rsidRPr="00764FD8">
        <w:rPr>
          <w:sz w:val="26"/>
          <w:szCs w:val="26"/>
        </w:rPr>
        <w:t xml:space="preserve"> Fl</w:t>
      </w:r>
    </w:p>
    <w:p w:rsidR="007031A0" w:rsidRPr="00764FD8" w:rsidRDefault="007031A0" w:rsidP="00E77986">
      <w:pPr>
        <w:ind w:left="4320"/>
        <w:rPr>
          <w:sz w:val="26"/>
          <w:szCs w:val="26"/>
        </w:rPr>
      </w:pPr>
      <w:r w:rsidRPr="00764FD8">
        <w:rPr>
          <w:sz w:val="26"/>
          <w:szCs w:val="26"/>
        </w:rPr>
        <w:t>Columbus, OH  43215-3793</w:t>
      </w:r>
    </w:p>
    <w:p w:rsidR="007031A0" w:rsidRPr="00764FD8" w:rsidRDefault="007031A0" w:rsidP="00E77986">
      <w:pPr>
        <w:ind w:left="4320"/>
        <w:rPr>
          <w:sz w:val="26"/>
          <w:szCs w:val="26"/>
        </w:rPr>
      </w:pPr>
      <w:r w:rsidRPr="00764FD8">
        <w:rPr>
          <w:sz w:val="26"/>
          <w:szCs w:val="26"/>
        </w:rPr>
        <w:t>(614) 466-4397 (phone)</w:t>
      </w:r>
    </w:p>
    <w:p w:rsidR="007031A0" w:rsidRPr="00764FD8" w:rsidRDefault="007031A0" w:rsidP="00E77986">
      <w:pPr>
        <w:ind w:left="4320"/>
        <w:rPr>
          <w:sz w:val="26"/>
          <w:szCs w:val="26"/>
        </w:rPr>
      </w:pPr>
      <w:r w:rsidRPr="00764FD8">
        <w:rPr>
          <w:sz w:val="26"/>
          <w:szCs w:val="26"/>
        </w:rPr>
        <w:t>(614) 644-8764 (fax)</w:t>
      </w:r>
    </w:p>
    <w:p w:rsidR="007031A0" w:rsidRPr="00764FD8" w:rsidRDefault="00DB2C7B" w:rsidP="00E77986">
      <w:pPr>
        <w:ind w:left="4320"/>
        <w:rPr>
          <w:sz w:val="26"/>
          <w:szCs w:val="26"/>
        </w:rPr>
      </w:pPr>
      <w:hyperlink r:id="rId15" w:history="1">
        <w:r w:rsidR="007031A0" w:rsidRPr="00764FD8">
          <w:rPr>
            <w:rStyle w:val="Hyperlink"/>
            <w:sz w:val="26"/>
            <w:szCs w:val="26"/>
          </w:rPr>
          <w:t>werner.margard@ puc.state.oh.us</w:t>
        </w:r>
      </w:hyperlink>
    </w:p>
    <w:p w:rsidR="007031A0" w:rsidRPr="00764FD8" w:rsidRDefault="00DB2C7B" w:rsidP="00E77986">
      <w:pPr>
        <w:ind w:left="4320"/>
        <w:rPr>
          <w:sz w:val="26"/>
          <w:szCs w:val="26"/>
        </w:rPr>
      </w:pPr>
      <w:hyperlink r:id="rId16" w:history="1">
        <w:r w:rsidR="007031A0" w:rsidRPr="00764FD8">
          <w:rPr>
            <w:rStyle w:val="Hyperlink"/>
            <w:sz w:val="26"/>
            <w:szCs w:val="26"/>
          </w:rPr>
          <w:t>devin.parram@puc.state.oh.us</w:t>
        </w:r>
      </w:hyperlink>
    </w:p>
    <w:p w:rsidR="007031A0" w:rsidRPr="00764FD8" w:rsidRDefault="007031A0" w:rsidP="00E77986">
      <w:pPr>
        <w:ind w:left="4320"/>
        <w:rPr>
          <w:sz w:val="26"/>
          <w:szCs w:val="26"/>
        </w:rPr>
      </w:pPr>
    </w:p>
    <w:p w:rsidR="007031A0" w:rsidRPr="00764FD8" w:rsidRDefault="007031A0" w:rsidP="00E77986">
      <w:pPr>
        <w:pStyle w:val="BodyTextFirstIndent"/>
        <w:spacing w:line="240" w:lineRule="auto"/>
        <w:ind w:left="4320" w:firstLine="0"/>
        <w:rPr>
          <w:b/>
          <w:szCs w:val="26"/>
        </w:rPr>
      </w:pPr>
      <w:r w:rsidRPr="00764FD8">
        <w:rPr>
          <w:b/>
          <w:szCs w:val="26"/>
        </w:rPr>
        <w:t>Counsel for the Staff of</w:t>
      </w:r>
    </w:p>
    <w:p w:rsidR="007031A0" w:rsidRPr="00867F58" w:rsidRDefault="007031A0" w:rsidP="00E77986">
      <w:pPr>
        <w:pStyle w:val="BodyTextFirstIndent"/>
        <w:spacing w:line="240" w:lineRule="auto"/>
        <w:ind w:left="4320" w:firstLine="0"/>
        <w:rPr>
          <w:b/>
          <w:szCs w:val="26"/>
        </w:rPr>
      </w:pPr>
      <w:r w:rsidRPr="00867F58">
        <w:rPr>
          <w:b/>
          <w:szCs w:val="26"/>
        </w:rPr>
        <w:t>The Public Utilities Commission of Ohio</w:t>
      </w:r>
    </w:p>
    <w:p w:rsidR="007031A0" w:rsidRPr="00867F58" w:rsidRDefault="007031A0" w:rsidP="00E77986">
      <w:pPr>
        <w:pStyle w:val="BodyTextFirstIndent"/>
        <w:spacing w:line="240" w:lineRule="auto"/>
        <w:ind w:left="4320" w:firstLine="0"/>
        <w:rPr>
          <w:b/>
          <w:szCs w:val="26"/>
        </w:rPr>
      </w:pPr>
    </w:p>
    <w:p w:rsidR="000906CB" w:rsidRDefault="000906CB" w:rsidP="00E77986">
      <w:pPr>
        <w:pStyle w:val="Heading1"/>
      </w:pPr>
      <w:bookmarkStart w:id="17" w:name="_Toc219695012"/>
      <w:bookmarkStart w:id="18" w:name="_Toc219782082"/>
      <w:bookmarkStart w:id="19" w:name="_Toc325015810"/>
      <w:bookmarkStart w:id="20" w:name="_Toc325103604"/>
      <w:r>
        <w:br w:type="page"/>
      </w:r>
    </w:p>
    <w:p w:rsidR="007031A0" w:rsidRPr="00867F58" w:rsidRDefault="007031A0" w:rsidP="00E77986">
      <w:pPr>
        <w:pStyle w:val="Heading1"/>
      </w:pPr>
      <w:bookmarkStart w:id="21" w:name="_Toc364688849"/>
      <w:r w:rsidRPr="00867F58">
        <w:lastRenderedPageBreak/>
        <w:t>PROOF OF SERVICE</w:t>
      </w:r>
      <w:bookmarkEnd w:id="17"/>
      <w:bookmarkEnd w:id="18"/>
      <w:bookmarkEnd w:id="19"/>
      <w:bookmarkEnd w:id="20"/>
      <w:bookmarkEnd w:id="21"/>
    </w:p>
    <w:p w:rsidR="007031A0" w:rsidRPr="00867F58" w:rsidRDefault="007031A0" w:rsidP="00CC061B">
      <w:pPr>
        <w:pStyle w:val="textstyle"/>
      </w:pPr>
      <w:r w:rsidRPr="00867F58">
        <w:tab/>
        <w:t xml:space="preserve">I hereby certify that a true copy of the foregoing </w:t>
      </w:r>
      <w:r w:rsidRPr="00867F58">
        <w:rPr>
          <w:b/>
        </w:rPr>
        <w:t>Post Hearing Brief</w:t>
      </w:r>
      <w:r w:rsidRPr="00867F58">
        <w:t>,</w:t>
      </w:r>
      <w:r w:rsidRPr="00867F58">
        <w:rPr>
          <w:b/>
        </w:rPr>
        <w:t xml:space="preserve"> </w:t>
      </w:r>
      <w:r w:rsidRPr="00867F58">
        <w:t>submitted on behalf of the Staff of the Public Utilities Commission of Ohio,</w:t>
      </w:r>
      <w:r w:rsidRPr="00867F58">
        <w:rPr>
          <w:b/>
        </w:rPr>
        <w:t xml:space="preserve"> </w:t>
      </w:r>
      <w:r w:rsidRPr="00867F58">
        <w:t>was served by via electronic mail upon the fol</w:t>
      </w:r>
      <w:r>
        <w:t>lowing parties of record, this 1</w:t>
      </w:r>
      <w:r>
        <w:rPr>
          <w:lang w:val="en-US"/>
        </w:rPr>
        <w:t>9</w:t>
      </w:r>
      <w:r w:rsidRPr="00867F58">
        <w:rPr>
          <w:vertAlign w:val="superscript"/>
        </w:rPr>
        <w:t>th</w:t>
      </w:r>
      <w:r>
        <w:t xml:space="preserve"> day of </w:t>
      </w:r>
      <w:r>
        <w:rPr>
          <w:lang w:val="en-US"/>
        </w:rPr>
        <w:t>August</w:t>
      </w:r>
      <w:r w:rsidRPr="00867F58">
        <w:t>, 201</w:t>
      </w:r>
      <w:r>
        <w:rPr>
          <w:lang w:val="en-US"/>
        </w:rPr>
        <w:t>3</w:t>
      </w:r>
      <w:r w:rsidRPr="00867F58">
        <w:t>.</w:t>
      </w:r>
    </w:p>
    <w:p w:rsidR="007031A0" w:rsidRPr="0094089E" w:rsidRDefault="0094089E" w:rsidP="007031A0">
      <w:pPr>
        <w:tabs>
          <w:tab w:val="right" w:pos="8640"/>
        </w:tabs>
        <w:ind w:left="4320"/>
        <w:rPr>
          <w:rFonts w:ascii="Viner Hand ITC" w:hAnsi="Viner Hand ITC"/>
          <w:sz w:val="28"/>
          <w:szCs w:val="28"/>
          <w:u w:val="single"/>
        </w:rPr>
      </w:pPr>
      <w:r w:rsidRPr="0094089E">
        <w:rPr>
          <w:rFonts w:ascii="Viner Hand ITC" w:hAnsi="Viner Hand ITC"/>
          <w:sz w:val="28"/>
          <w:szCs w:val="28"/>
          <w:u w:val="single"/>
        </w:rPr>
        <w:t>/</w:t>
      </w:r>
      <w:r>
        <w:rPr>
          <w:rFonts w:ascii="Viner Hand ITC" w:hAnsi="Viner Hand ITC"/>
          <w:sz w:val="28"/>
          <w:szCs w:val="28"/>
          <w:u w:val="single"/>
        </w:rPr>
        <w:t>s</w:t>
      </w:r>
      <w:r w:rsidRPr="0094089E">
        <w:rPr>
          <w:rFonts w:ascii="Viner Hand ITC" w:hAnsi="Viner Hand ITC"/>
          <w:sz w:val="28"/>
          <w:szCs w:val="28"/>
          <w:u w:val="single"/>
        </w:rPr>
        <w:t>/ Werner L. Margard III</w:t>
      </w:r>
      <w:r w:rsidR="007031A0" w:rsidRPr="0094089E">
        <w:rPr>
          <w:rFonts w:ascii="Viner Hand ITC" w:hAnsi="Viner Hand ITC"/>
          <w:sz w:val="28"/>
          <w:szCs w:val="28"/>
          <w:u w:val="single"/>
        </w:rPr>
        <w:tab/>
      </w:r>
    </w:p>
    <w:p w:rsidR="007031A0" w:rsidRPr="00867F58" w:rsidRDefault="007031A0" w:rsidP="007031A0">
      <w:pPr>
        <w:ind w:left="4320"/>
        <w:rPr>
          <w:b/>
          <w:sz w:val="26"/>
          <w:szCs w:val="26"/>
        </w:rPr>
      </w:pPr>
      <w:r>
        <w:rPr>
          <w:b/>
          <w:sz w:val="26"/>
          <w:szCs w:val="26"/>
        </w:rPr>
        <w:t>Werner L. Margard</w:t>
      </w:r>
      <w:r w:rsidR="0094089E">
        <w:rPr>
          <w:b/>
          <w:sz w:val="26"/>
          <w:szCs w:val="26"/>
        </w:rPr>
        <w:t xml:space="preserve"> III</w:t>
      </w:r>
    </w:p>
    <w:p w:rsidR="007031A0" w:rsidRPr="00867F58" w:rsidRDefault="007031A0" w:rsidP="007031A0">
      <w:pPr>
        <w:ind w:left="4320"/>
        <w:rPr>
          <w:sz w:val="26"/>
          <w:szCs w:val="26"/>
        </w:rPr>
      </w:pPr>
      <w:r w:rsidRPr="00867F58">
        <w:rPr>
          <w:sz w:val="26"/>
          <w:szCs w:val="26"/>
        </w:rPr>
        <w:t>Assistant Attorney General</w:t>
      </w:r>
    </w:p>
    <w:p w:rsidR="007031A0" w:rsidRPr="00867F58" w:rsidRDefault="007031A0" w:rsidP="007031A0">
      <w:pPr>
        <w:rPr>
          <w:sz w:val="26"/>
          <w:szCs w:val="26"/>
        </w:rPr>
      </w:pPr>
    </w:p>
    <w:p w:rsidR="007031A0" w:rsidRPr="00867F58" w:rsidRDefault="007031A0" w:rsidP="007031A0">
      <w:pPr>
        <w:rPr>
          <w:b/>
          <w:sz w:val="26"/>
          <w:szCs w:val="26"/>
        </w:rPr>
      </w:pPr>
      <w:r w:rsidRPr="00867F58">
        <w:rPr>
          <w:b/>
          <w:sz w:val="26"/>
          <w:szCs w:val="26"/>
        </w:rPr>
        <w:t>Parties of Record:</w:t>
      </w:r>
    </w:p>
    <w:p w:rsidR="007031A0" w:rsidRPr="00867F58" w:rsidRDefault="007031A0" w:rsidP="007031A0">
      <w:pPr>
        <w:rPr>
          <w:sz w:val="26"/>
          <w:szCs w:val="26"/>
        </w:rPr>
      </w:pPr>
    </w:p>
    <w:tbl>
      <w:tblPr>
        <w:tblW w:w="0" w:type="auto"/>
        <w:tblInd w:w="108" w:type="dxa"/>
        <w:tblLook w:val="04A0" w:firstRow="1" w:lastRow="0" w:firstColumn="1" w:lastColumn="0" w:noHBand="0" w:noVBand="1"/>
      </w:tblPr>
      <w:tblGrid>
        <w:gridCol w:w="4734"/>
        <w:gridCol w:w="4734"/>
      </w:tblGrid>
      <w:tr w:rsidR="00837E00" w:rsidRPr="007031A0" w:rsidTr="00DB2C7B">
        <w:tc>
          <w:tcPr>
            <w:tcW w:w="4734" w:type="dxa"/>
          </w:tcPr>
          <w:p w:rsidR="00837E00" w:rsidRDefault="00837E00" w:rsidP="007031A0">
            <w:pPr>
              <w:rPr>
                <w:sz w:val="26"/>
                <w:szCs w:val="26"/>
              </w:rPr>
            </w:pPr>
            <w:r>
              <w:rPr>
                <w:sz w:val="26"/>
                <w:szCs w:val="26"/>
              </w:rPr>
              <w:t>Mark S. Yurick</w:t>
            </w:r>
          </w:p>
          <w:p w:rsidR="00837E00" w:rsidRDefault="00837E00" w:rsidP="007031A0">
            <w:pPr>
              <w:rPr>
                <w:sz w:val="26"/>
                <w:szCs w:val="26"/>
              </w:rPr>
            </w:pPr>
            <w:r>
              <w:rPr>
                <w:sz w:val="26"/>
                <w:szCs w:val="26"/>
              </w:rPr>
              <w:t>Zachary D. Kravitz</w:t>
            </w:r>
          </w:p>
          <w:p w:rsidR="00837E00" w:rsidRDefault="00837E00" w:rsidP="007031A0">
            <w:pPr>
              <w:rPr>
                <w:sz w:val="26"/>
                <w:szCs w:val="26"/>
              </w:rPr>
            </w:pPr>
            <w:r w:rsidRPr="00D00DA8">
              <w:rPr>
                <w:sz w:val="26"/>
                <w:szCs w:val="26"/>
              </w:rPr>
              <w:t>Taft Stettinius &amp; Hollister LLP</w:t>
            </w:r>
          </w:p>
          <w:p w:rsidR="00837E00" w:rsidRPr="00D00DA8" w:rsidRDefault="00837E00" w:rsidP="00D00DA8">
            <w:pPr>
              <w:rPr>
                <w:sz w:val="26"/>
                <w:szCs w:val="26"/>
              </w:rPr>
            </w:pPr>
            <w:r w:rsidRPr="00D00DA8">
              <w:rPr>
                <w:sz w:val="26"/>
                <w:szCs w:val="26"/>
              </w:rPr>
              <w:t>65 East State Street, Suite 1000</w:t>
            </w:r>
          </w:p>
          <w:p w:rsidR="00837E00" w:rsidRDefault="00837E00" w:rsidP="00D00DA8">
            <w:pPr>
              <w:rPr>
                <w:sz w:val="26"/>
                <w:szCs w:val="26"/>
              </w:rPr>
            </w:pPr>
            <w:r w:rsidRPr="00D00DA8">
              <w:rPr>
                <w:sz w:val="26"/>
                <w:szCs w:val="26"/>
              </w:rPr>
              <w:t>Columbus, Ohio  43215-4213</w:t>
            </w:r>
          </w:p>
          <w:p w:rsidR="00837E00" w:rsidRDefault="00DB2C7B" w:rsidP="00D00DA8">
            <w:pPr>
              <w:rPr>
                <w:sz w:val="26"/>
                <w:szCs w:val="26"/>
              </w:rPr>
            </w:pPr>
            <w:hyperlink r:id="rId17" w:history="1">
              <w:r w:rsidR="00837E00" w:rsidRPr="00A00D11">
                <w:rPr>
                  <w:rStyle w:val="Hyperlink"/>
                  <w:sz w:val="26"/>
                  <w:szCs w:val="26"/>
                </w:rPr>
                <w:t>myurick@taftlaw.com</w:t>
              </w:r>
            </w:hyperlink>
          </w:p>
          <w:p w:rsidR="00837E00" w:rsidRDefault="00DB2C7B" w:rsidP="00D00DA8">
            <w:pPr>
              <w:rPr>
                <w:sz w:val="26"/>
                <w:szCs w:val="26"/>
              </w:rPr>
            </w:pPr>
            <w:hyperlink r:id="rId18" w:history="1">
              <w:r w:rsidR="00837E00" w:rsidRPr="00A00D11">
                <w:rPr>
                  <w:rStyle w:val="Hyperlink"/>
                  <w:sz w:val="26"/>
                  <w:szCs w:val="26"/>
                </w:rPr>
                <w:t>zkravitz@taftlaw.com</w:t>
              </w:r>
            </w:hyperlink>
            <w:r w:rsidR="00837E00">
              <w:rPr>
                <w:sz w:val="26"/>
                <w:szCs w:val="26"/>
              </w:rPr>
              <w:t xml:space="preserve"> </w:t>
            </w:r>
          </w:p>
          <w:p w:rsidR="00837E00" w:rsidRDefault="00837E00" w:rsidP="00D00DA8">
            <w:pPr>
              <w:rPr>
                <w:sz w:val="26"/>
                <w:szCs w:val="26"/>
              </w:rPr>
            </w:pPr>
          </w:p>
          <w:p w:rsidR="00837E00" w:rsidRPr="007031A0" w:rsidRDefault="00837E00" w:rsidP="00D00DA8">
            <w:pPr>
              <w:rPr>
                <w:sz w:val="26"/>
                <w:szCs w:val="26"/>
              </w:rPr>
            </w:pPr>
            <w:r w:rsidRPr="00D00DA8">
              <w:rPr>
                <w:b/>
                <w:sz w:val="26"/>
                <w:szCs w:val="26"/>
              </w:rPr>
              <w:t xml:space="preserve">Counsel for </w:t>
            </w:r>
            <w:r w:rsidRPr="00C04E56">
              <w:rPr>
                <w:b/>
                <w:sz w:val="26"/>
                <w:szCs w:val="26"/>
              </w:rPr>
              <w:t>Northeast Ohio Natural Gas Corporation and Orwell Natural Gas Company</w:t>
            </w:r>
          </w:p>
        </w:tc>
        <w:tc>
          <w:tcPr>
            <w:tcW w:w="4734" w:type="dxa"/>
          </w:tcPr>
          <w:p w:rsidR="00837E00" w:rsidRPr="00837E00" w:rsidRDefault="00837E00" w:rsidP="007031A0">
            <w:pPr>
              <w:rPr>
                <w:sz w:val="26"/>
                <w:szCs w:val="26"/>
              </w:rPr>
            </w:pPr>
            <w:r w:rsidRPr="00837E00">
              <w:rPr>
                <w:sz w:val="26"/>
                <w:szCs w:val="26"/>
              </w:rPr>
              <w:t>Joseph P. Serio</w:t>
            </w:r>
          </w:p>
          <w:p w:rsidR="00837E00" w:rsidRPr="0094089E" w:rsidRDefault="00837E00" w:rsidP="00837E00">
            <w:pPr>
              <w:autoSpaceDE w:val="0"/>
              <w:autoSpaceDN w:val="0"/>
              <w:adjustRightInd w:val="0"/>
              <w:rPr>
                <w:rFonts w:cs="Times New Roman"/>
                <w:bCs/>
                <w:sz w:val="26"/>
                <w:szCs w:val="26"/>
              </w:rPr>
            </w:pPr>
            <w:r w:rsidRPr="0094089E">
              <w:rPr>
                <w:rFonts w:cs="Times New Roman"/>
                <w:bCs/>
                <w:sz w:val="26"/>
                <w:szCs w:val="26"/>
              </w:rPr>
              <w:t>Office of the Ohio Consumers’ Counsel</w:t>
            </w:r>
          </w:p>
          <w:p w:rsidR="00837E00" w:rsidRPr="0094089E" w:rsidRDefault="00837E00" w:rsidP="00837E00">
            <w:pPr>
              <w:autoSpaceDE w:val="0"/>
              <w:autoSpaceDN w:val="0"/>
              <w:adjustRightInd w:val="0"/>
              <w:rPr>
                <w:rFonts w:cs="Times New Roman"/>
                <w:sz w:val="26"/>
                <w:szCs w:val="26"/>
              </w:rPr>
            </w:pPr>
            <w:r w:rsidRPr="0094089E">
              <w:rPr>
                <w:rFonts w:cs="Times New Roman"/>
                <w:sz w:val="26"/>
                <w:szCs w:val="26"/>
              </w:rPr>
              <w:t>10 West Broad Street, Suite 1800</w:t>
            </w:r>
          </w:p>
          <w:p w:rsidR="00837E00" w:rsidRPr="0094089E" w:rsidRDefault="00837E00" w:rsidP="00837E00">
            <w:pPr>
              <w:rPr>
                <w:rFonts w:cs="Times New Roman"/>
                <w:sz w:val="26"/>
                <w:szCs w:val="26"/>
              </w:rPr>
            </w:pPr>
            <w:r w:rsidRPr="0094089E">
              <w:rPr>
                <w:rFonts w:cs="Times New Roman"/>
                <w:sz w:val="26"/>
                <w:szCs w:val="26"/>
              </w:rPr>
              <w:t>Columbus, Ohio 43215-3485</w:t>
            </w:r>
          </w:p>
          <w:p w:rsidR="00837E00" w:rsidRPr="0094089E" w:rsidRDefault="00837E00" w:rsidP="00837E00">
            <w:pPr>
              <w:rPr>
                <w:rFonts w:cs="Times New Roman"/>
                <w:color w:val="3681FF"/>
                <w:sz w:val="26"/>
                <w:szCs w:val="26"/>
              </w:rPr>
            </w:pPr>
            <w:hyperlink r:id="rId19" w:history="1">
              <w:r w:rsidRPr="0094089E">
                <w:rPr>
                  <w:rStyle w:val="Hyperlink"/>
                  <w:rFonts w:cs="Times New Roman"/>
                  <w:sz w:val="26"/>
                  <w:szCs w:val="26"/>
                </w:rPr>
                <w:t>serio@occ.state.oh.us</w:t>
              </w:r>
            </w:hyperlink>
          </w:p>
          <w:p w:rsidR="00837E00" w:rsidRPr="0094089E" w:rsidRDefault="00837E00" w:rsidP="00837E00">
            <w:pPr>
              <w:rPr>
                <w:rFonts w:cs="Times New Roman"/>
                <w:color w:val="3681FF"/>
                <w:sz w:val="26"/>
                <w:szCs w:val="26"/>
              </w:rPr>
            </w:pPr>
          </w:p>
          <w:p w:rsidR="00837E00" w:rsidRPr="0094089E" w:rsidRDefault="00837E00" w:rsidP="00837E00">
            <w:pPr>
              <w:rPr>
                <w:b/>
                <w:sz w:val="26"/>
                <w:szCs w:val="26"/>
              </w:rPr>
            </w:pPr>
            <w:r w:rsidRPr="0094089E">
              <w:rPr>
                <w:b/>
                <w:sz w:val="26"/>
                <w:szCs w:val="26"/>
              </w:rPr>
              <w:t>Counsel for the Office of the Ohio Consumers’ Counsel</w:t>
            </w:r>
          </w:p>
        </w:tc>
      </w:tr>
    </w:tbl>
    <w:p w:rsidR="007031A0" w:rsidRPr="00867F58" w:rsidRDefault="007031A0" w:rsidP="007031A0">
      <w:pPr>
        <w:rPr>
          <w:sz w:val="26"/>
          <w:szCs w:val="26"/>
        </w:rPr>
      </w:pPr>
    </w:p>
    <w:sectPr w:rsidR="007031A0" w:rsidRPr="00867F58" w:rsidSect="006603A0">
      <w:headerReference w:type="default" r:id="rId20"/>
      <w:footerReference w:type="default" r:id="rId21"/>
      <w:foot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7B" w:rsidRDefault="00DB2C7B" w:rsidP="00AF31B3">
      <w:r>
        <w:separator/>
      </w:r>
    </w:p>
  </w:endnote>
  <w:endnote w:type="continuationSeparator" w:id="0">
    <w:p w:rsidR="00DB2C7B" w:rsidRDefault="00DB2C7B" w:rsidP="00A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7B" w:rsidRPr="0041553B" w:rsidRDefault="00DB2C7B">
    <w:pPr>
      <w:pStyle w:val="Footer"/>
      <w:jc w:val="center"/>
      <w:rPr>
        <w:sz w:val="26"/>
        <w:szCs w:val="26"/>
      </w:rPr>
    </w:pPr>
    <w:r w:rsidRPr="0041553B">
      <w:rPr>
        <w:sz w:val="26"/>
        <w:szCs w:val="26"/>
      </w:rPr>
      <w:fldChar w:fldCharType="begin"/>
    </w:r>
    <w:r w:rsidRPr="0041553B">
      <w:rPr>
        <w:sz w:val="26"/>
        <w:szCs w:val="26"/>
      </w:rPr>
      <w:instrText xml:space="preserve"> PAGE   \* MERGEFORMAT </w:instrText>
    </w:r>
    <w:r w:rsidRPr="0041553B">
      <w:rPr>
        <w:sz w:val="26"/>
        <w:szCs w:val="26"/>
      </w:rPr>
      <w:fldChar w:fldCharType="separate"/>
    </w:r>
    <w:r>
      <w:rPr>
        <w:noProof/>
        <w:sz w:val="26"/>
        <w:szCs w:val="26"/>
      </w:rPr>
      <w:t>i</w:t>
    </w:r>
    <w:r w:rsidRPr="0041553B">
      <w:rPr>
        <w:sz w:val="26"/>
        <w:szCs w:val="26"/>
      </w:rPr>
      <w:fldChar w:fldCharType="end"/>
    </w:r>
  </w:p>
  <w:p w:rsidR="00DB2C7B" w:rsidRDefault="00DB2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7B" w:rsidRPr="006603A0" w:rsidRDefault="00DB2C7B" w:rsidP="006603A0">
    <w:pPr>
      <w:pStyle w:val="Footer"/>
      <w:jc w:val="center"/>
      <w:rPr>
        <w:sz w:val="26"/>
        <w:szCs w:val="26"/>
      </w:rPr>
    </w:pPr>
    <w:r w:rsidRPr="0041553B">
      <w:rPr>
        <w:sz w:val="26"/>
        <w:szCs w:val="26"/>
      </w:rPr>
      <w:fldChar w:fldCharType="begin"/>
    </w:r>
    <w:r w:rsidRPr="0041553B">
      <w:rPr>
        <w:sz w:val="26"/>
        <w:szCs w:val="26"/>
      </w:rPr>
      <w:instrText xml:space="preserve"> PAGE   \* MERGEFORMAT </w:instrText>
    </w:r>
    <w:r w:rsidRPr="0041553B">
      <w:rPr>
        <w:sz w:val="26"/>
        <w:szCs w:val="26"/>
      </w:rPr>
      <w:fldChar w:fldCharType="separate"/>
    </w:r>
    <w:r w:rsidR="005055CE">
      <w:rPr>
        <w:noProof/>
        <w:sz w:val="26"/>
        <w:szCs w:val="26"/>
      </w:rPr>
      <w:t>ii</w:t>
    </w:r>
    <w:r w:rsidRPr="0041553B">
      <w:rPr>
        <w:sz w:val="26"/>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814275"/>
      <w:docPartObj>
        <w:docPartGallery w:val="Page Numbers (Bottom of Page)"/>
        <w:docPartUnique/>
      </w:docPartObj>
    </w:sdtPr>
    <w:sdtEndPr>
      <w:rPr>
        <w:rFonts w:cs="Times New Roman"/>
        <w:noProof/>
      </w:rPr>
    </w:sdtEndPr>
    <w:sdtContent>
      <w:p w:rsidR="00DB2C7B" w:rsidRPr="006603A0" w:rsidRDefault="00DB2C7B" w:rsidP="006603A0">
        <w:pPr>
          <w:pStyle w:val="Footer"/>
          <w:jc w:val="center"/>
          <w:rPr>
            <w:rFonts w:cs="Times New Roman"/>
          </w:rPr>
        </w:pPr>
        <w:r w:rsidRPr="00ED0AB7">
          <w:rPr>
            <w:rFonts w:cs="Times New Roman"/>
          </w:rPr>
          <w:fldChar w:fldCharType="begin"/>
        </w:r>
        <w:r w:rsidRPr="00ED0AB7">
          <w:rPr>
            <w:rFonts w:cs="Times New Roman"/>
          </w:rPr>
          <w:instrText xml:space="preserve"> PAGE   \* MERGEFORMAT </w:instrText>
        </w:r>
        <w:r w:rsidRPr="00ED0AB7">
          <w:rPr>
            <w:rFonts w:cs="Times New Roman"/>
          </w:rPr>
          <w:fldChar w:fldCharType="separate"/>
        </w:r>
        <w:r w:rsidR="005055CE">
          <w:rPr>
            <w:rFonts w:cs="Times New Roman"/>
            <w:noProof/>
          </w:rPr>
          <w:t>45</w:t>
        </w:r>
        <w:r w:rsidRPr="00ED0AB7">
          <w:rPr>
            <w:rFonts w:cs="Times New Roman"/>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7B" w:rsidRPr="006603A0" w:rsidRDefault="00DB2C7B" w:rsidP="00660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7B" w:rsidRDefault="00DB2C7B" w:rsidP="00AF31B3">
      <w:r>
        <w:separator/>
      </w:r>
    </w:p>
  </w:footnote>
  <w:footnote w:type="continuationSeparator" w:id="0">
    <w:p w:rsidR="00DB2C7B" w:rsidRDefault="00DB2C7B" w:rsidP="00AF31B3">
      <w:r>
        <w:continuationSeparator/>
      </w:r>
    </w:p>
  </w:footnote>
  <w:footnote w:id="1">
    <w:p w:rsidR="00DB2C7B" w:rsidRDefault="00DB2C7B">
      <w:pPr>
        <w:pStyle w:val="FootnoteText"/>
      </w:pPr>
      <w:r>
        <w:rPr>
          <w:rStyle w:val="FootnoteReference"/>
        </w:rPr>
        <w:footnoteRef/>
      </w:r>
      <w:r>
        <w:t xml:space="preserve"> </w:t>
      </w:r>
      <w:r>
        <w:tab/>
      </w:r>
      <w:r>
        <w:tab/>
        <w:t xml:space="preserve">Tr. III at 663.  At the outset, Staff notes that no objection has been raised with respect to any of the findings in the uncollectible expense rider dockets, Nos. 12-309-GA-UEX or 12-312-GA-UEX. </w:t>
      </w:r>
    </w:p>
  </w:footnote>
  <w:footnote w:id="2">
    <w:p w:rsidR="00DB2C7B" w:rsidRDefault="00DB2C7B">
      <w:pPr>
        <w:pStyle w:val="FootnoteText"/>
      </w:pPr>
      <w:r>
        <w:rPr>
          <w:rStyle w:val="FootnoteReference"/>
        </w:rPr>
        <w:footnoteRef/>
      </w:r>
      <w:r>
        <w:t xml:space="preserve"> </w:t>
      </w:r>
      <w:r>
        <w:tab/>
      </w:r>
      <w:r>
        <w:tab/>
      </w:r>
      <w:r w:rsidR="0094089E">
        <w:rPr>
          <w:i/>
        </w:rPr>
        <w:t>Id</w:t>
      </w:r>
      <w:r w:rsidR="0094089E">
        <w:t>.</w:t>
      </w:r>
      <w:r>
        <w:t xml:space="preserve"> at 822. </w:t>
      </w:r>
    </w:p>
  </w:footnote>
  <w:footnote w:id="3">
    <w:p w:rsidR="00DB2C7B" w:rsidRDefault="00DB2C7B">
      <w:pPr>
        <w:pStyle w:val="FootnoteText"/>
      </w:pPr>
      <w:r>
        <w:rPr>
          <w:rStyle w:val="FootnoteReference"/>
        </w:rPr>
        <w:footnoteRef/>
      </w:r>
      <w:r>
        <w:t xml:space="preserve"> </w:t>
      </w:r>
      <w:r>
        <w:tab/>
      </w:r>
      <w:r>
        <w:tab/>
      </w:r>
      <w:r w:rsidR="0094089E">
        <w:t xml:space="preserve">Tr. III </w:t>
      </w:r>
      <w:r w:rsidR="0094089E">
        <w:t>at 822</w:t>
      </w:r>
      <w:r>
        <w:t xml:space="preserve">. </w:t>
      </w:r>
    </w:p>
  </w:footnote>
  <w:footnote w:id="4">
    <w:p w:rsidR="00DB2C7B" w:rsidRPr="00CC061B" w:rsidRDefault="00DB2C7B" w:rsidP="00137E49">
      <w:pPr>
        <w:pStyle w:val="FootnoteText"/>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rsidRPr="00CC061B">
        <w:t xml:space="preserve">Staff </w:t>
      </w:r>
      <w:r>
        <w:t>Ex.</w:t>
      </w:r>
      <w:r w:rsidRPr="00CC061B">
        <w:t xml:space="preserve"> 2</w:t>
      </w:r>
      <w:r>
        <w:t xml:space="preserve"> (</w:t>
      </w:r>
      <w:r w:rsidRPr="00CC061B">
        <w:t>Direct Testimony of Roger L. Sarver</w:t>
      </w:r>
      <w:r>
        <w:t>)</w:t>
      </w:r>
      <w:r w:rsidRPr="00CC061B">
        <w:t xml:space="preserve"> (Sarver) at 15; OCC </w:t>
      </w:r>
      <w:r>
        <w:t>Ex.</w:t>
      </w:r>
      <w:r w:rsidRPr="00CC061B">
        <w:t xml:space="preserve"> 12</w:t>
      </w:r>
      <w:r>
        <w:t xml:space="preserve"> (</w:t>
      </w:r>
      <w:r w:rsidRPr="00CC061B">
        <w:t>Direct Testimony of Gregory Slone</w:t>
      </w:r>
      <w:r>
        <w:t>)</w:t>
      </w:r>
      <w:r w:rsidRPr="00CC061B">
        <w:t xml:space="preserve"> (Slone) at 1. </w:t>
      </w:r>
      <w:r>
        <w:t xml:space="preserve"> </w:t>
      </w:r>
      <w:r w:rsidRPr="00CC061B">
        <w:t>OCC witness Slone testified that from 2000 to 2008, local production for NEO and Orwell was priced lower than interstate sup</w:t>
      </w:r>
      <w:r>
        <w:softHyphen/>
      </w:r>
      <w:r w:rsidRPr="00CC061B">
        <w:t xml:space="preserve">plies. </w:t>
      </w:r>
      <w:r>
        <w:t xml:space="preserve"> </w:t>
      </w:r>
      <w:r w:rsidRPr="00CC061B">
        <w:t xml:space="preserve">OCC </w:t>
      </w:r>
      <w:r>
        <w:t>Ex.</w:t>
      </w:r>
      <w:r w:rsidRPr="00CC061B">
        <w:t xml:space="preserve"> 12</w:t>
      </w:r>
      <w:r>
        <w:t xml:space="preserve"> (</w:t>
      </w:r>
      <w:r w:rsidRPr="00CC061B">
        <w:t>Slone</w:t>
      </w:r>
      <w:r>
        <w:t>)</w:t>
      </w:r>
      <w:r w:rsidRPr="00CC061B">
        <w:t xml:space="preserve"> at 17. </w:t>
      </w:r>
    </w:p>
  </w:footnote>
  <w:footnote w:id="5">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t>There are a number of reasons why local production cost less than interstate sup</w:t>
      </w:r>
      <w:r>
        <w:softHyphen/>
      </w:r>
      <w:r w:rsidRPr="00CC061B">
        <w:t>plies.  Local producers are often located in isolated markets and have limited supply options.  Commission-Ordered Ex. 1</w:t>
      </w:r>
      <w:r>
        <w:t xml:space="preserve"> (</w:t>
      </w:r>
      <w:r w:rsidRPr="00CC061B">
        <w:t>Staff Report</w:t>
      </w:r>
      <w:r>
        <w:t>)</w:t>
      </w:r>
      <w:r w:rsidRPr="00CC061B">
        <w:t xml:space="preserve"> at 22.  Also, local production is an interruptible supply source.  This means it is less reliable than interstate supplies, which are typically firm supply sources.  </w:t>
      </w:r>
      <w:r w:rsidRPr="00CC061B">
        <w:rPr>
          <w:i/>
        </w:rPr>
        <w:t>Id</w:t>
      </w:r>
      <w:r w:rsidRPr="00CC061B">
        <w:t>. at 22; OCC Ex. 12</w:t>
      </w:r>
      <w:r>
        <w:t xml:space="preserve"> (</w:t>
      </w:r>
      <w:r w:rsidRPr="00CC061B">
        <w:t>Slone</w:t>
      </w:r>
      <w:r>
        <w:t>)</w:t>
      </w:r>
      <w:r w:rsidRPr="00CC061B">
        <w:t xml:space="preserve"> at 17. </w:t>
      </w:r>
    </w:p>
  </w:footnote>
  <w:footnote w:id="6">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t xml:space="preserve">Commission-Ordered Ex. </w:t>
      </w:r>
      <w:r>
        <w:t>1 (</w:t>
      </w:r>
      <w:r>
        <w:rPr>
          <w:rFonts w:eastAsia="Calibri"/>
        </w:rPr>
        <w:t xml:space="preserve">Staff Report) </w:t>
      </w:r>
      <w:r w:rsidRPr="00CC061B">
        <w:rPr>
          <w:rFonts w:eastAsia="Calibri"/>
        </w:rPr>
        <w:t>at 11.</w:t>
      </w:r>
    </w:p>
  </w:footnote>
  <w:footnote w:id="7">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rFonts w:eastAsia="Calibri"/>
        </w:rPr>
        <w:t xml:space="preserve">Tr. </w:t>
      </w:r>
      <w:r>
        <w:rPr>
          <w:rFonts w:eastAsia="Calibri"/>
        </w:rPr>
        <w:t xml:space="preserve">I </w:t>
      </w:r>
      <w:r w:rsidRPr="00CC061B">
        <w:rPr>
          <w:rFonts w:eastAsia="Calibri"/>
        </w:rPr>
        <w:t>at 75-76.</w:t>
      </w:r>
    </w:p>
  </w:footnote>
  <w:footnote w:id="8">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i/>
        </w:rPr>
        <w:t>Id.</w:t>
      </w:r>
      <w:r w:rsidRPr="00CC061B">
        <w:t xml:space="preserve"> </w:t>
      </w:r>
    </w:p>
  </w:footnote>
  <w:footnote w:id="9">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0094089E" w:rsidRPr="00CC061B">
        <w:rPr>
          <w:rFonts w:eastAsia="Calibri"/>
        </w:rPr>
        <w:t>Tr</w:t>
      </w:r>
      <w:proofErr w:type="gramStart"/>
      <w:r w:rsidR="0094089E" w:rsidRPr="00CC061B">
        <w:rPr>
          <w:rFonts w:eastAsia="Calibri"/>
        </w:rPr>
        <w:t xml:space="preserve">. </w:t>
      </w:r>
      <w:proofErr w:type="gramEnd"/>
      <w:r w:rsidR="0094089E">
        <w:rPr>
          <w:rFonts w:eastAsia="Calibri"/>
        </w:rPr>
        <w:t xml:space="preserve">I </w:t>
      </w:r>
      <w:r w:rsidR="0094089E" w:rsidRPr="00CC061B">
        <w:rPr>
          <w:rFonts w:eastAsia="Calibri"/>
        </w:rPr>
        <w:t xml:space="preserve">at </w:t>
      </w:r>
      <w:r w:rsidRPr="00CC061B">
        <w:t>42-42.</w:t>
      </w:r>
    </w:p>
  </w:footnote>
  <w:footnote w:id="10">
    <w:p w:rsidR="00DB2C7B" w:rsidRPr="00CC061B" w:rsidRDefault="00DB2C7B" w:rsidP="00AD50E7">
      <w:pPr>
        <w:autoSpaceDE w:val="0"/>
        <w:autoSpaceDN w:val="0"/>
        <w:adjustRightInd w:val="0"/>
        <w:rPr>
          <w:rStyle w:val="FootnoteTextChar"/>
        </w:rPr>
      </w:pPr>
      <w:r w:rsidRPr="00AD50E7">
        <w:rPr>
          <w:rStyle w:val="FootnoteReference"/>
          <w:rFonts w:cs="Times New Roman"/>
          <w:sz w:val="26"/>
          <w:szCs w:val="26"/>
        </w:rPr>
        <w:footnoteRef/>
      </w:r>
      <w:r w:rsidRPr="00AD50E7">
        <w:rPr>
          <w:rFonts w:cs="Times New Roman"/>
          <w:sz w:val="26"/>
          <w:szCs w:val="26"/>
        </w:rPr>
        <w:t xml:space="preserve"> </w:t>
      </w:r>
      <w:r w:rsidRPr="00AD50E7">
        <w:rPr>
          <w:rFonts w:cs="Times New Roman"/>
          <w:sz w:val="26"/>
          <w:szCs w:val="26"/>
        </w:rPr>
        <w:tab/>
      </w:r>
      <w:r>
        <w:rPr>
          <w:rFonts w:cs="Times New Roman"/>
          <w:sz w:val="26"/>
          <w:szCs w:val="26"/>
        </w:rPr>
        <w:tab/>
      </w:r>
      <w:r>
        <w:rPr>
          <w:rStyle w:val="FootnoteTextChar"/>
          <w:i/>
        </w:rPr>
        <w:t>Id</w:t>
      </w:r>
      <w:r>
        <w:rPr>
          <w:rStyle w:val="FootnoteTextChar"/>
        </w:rPr>
        <w:t xml:space="preserve">. </w:t>
      </w:r>
      <w:r w:rsidRPr="00CC061B">
        <w:rPr>
          <w:rStyle w:val="FootnoteTextChar"/>
        </w:rPr>
        <w:t xml:space="preserve">at 43. </w:t>
      </w:r>
    </w:p>
  </w:footnote>
  <w:footnote w:id="11">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rFonts w:eastAsia="Calibri"/>
        </w:rPr>
        <w:t>2010 Hearing</w:t>
      </w:r>
      <w:r w:rsidR="0094089E">
        <w:rPr>
          <w:rFonts w:eastAsia="Calibri"/>
        </w:rPr>
        <w:t xml:space="preserve"> (</w:t>
      </w:r>
      <w:r w:rsidRPr="00CC061B">
        <w:rPr>
          <w:rFonts w:eastAsia="Calibri"/>
        </w:rPr>
        <w:t xml:space="preserve">Direct Testimony of Steve </w:t>
      </w:r>
      <w:proofErr w:type="spellStart"/>
      <w:r w:rsidRPr="00CC061B">
        <w:rPr>
          <w:rFonts w:eastAsia="Calibri"/>
        </w:rPr>
        <w:t>Rigo</w:t>
      </w:r>
      <w:proofErr w:type="spellEnd"/>
      <w:r w:rsidR="0094089E">
        <w:rPr>
          <w:rFonts w:eastAsia="Calibri"/>
        </w:rPr>
        <w:t>)</w:t>
      </w:r>
      <w:r w:rsidRPr="00CC061B">
        <w:rPr>
          <w:rFonts w:eastAsia="Calibri"/>
        </w:rPr>
        <w:t xml:space="preserve"> at 1.</w:t>
      </w:r>
    </w:p>
  </w:footnote>
  <w:footnote w:id="12">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rFonts w:eastAsia="Calibri"/>
        </w:rPr>
        <w:t xml:space="preserve">2010 Hearing, Tr. III at 400-401, 404-405.  Although Mr. Rigo was an </w:t>
      </w:r>
      <w:r>
        <w:rPr>
          <w:rFonts w:eastAsia="Calibri"/>
        </w:rPr>
        <w:t>“</w:t>
      </w:r>
      <w:r w:rsidRPr="00CC061B">
        <w:rPr>
          <w:rFonts w:eastAsia="Calibri"/>
        </w:rPr>
        <w:t>employee</w:t>
      </w:r>
      <w:r>
        <w:rPr>
          <w:rFonts w:eastAsia="Calibri"/>
        </w:rPr>
        <w:t>”</w:t>
      </w:r>
      <w:r w:rsidRPr="00CC061B">
        <w:rPr>
          <w:rFonts w:eastAsia="Calibri"/>
        </w:rPr>
        <w:t xml:space="preserve"> of both ONG Marketing and Orwell at the same time, his paycheck came from Orwell.  </w:t>
      </w:r>
      <w:r w:rsidRPr="00CC061B">
        <w:rPr>
          <w:rFonts w:eastAsia="Calibri"/>
          <w:i/>
        </w:rPr>
        <w:t>Id.</w:t>
      </w:r>
      <w:r w:rsidRPr="00CC061B">
        <w:rPr>
          <w:rFonts w:eastAsia="Calibri"/>
        </w:rPr>
        <w:t xml:space="preserve"> at 428.  As Mr. Rigo explained, </w:t>
      </w:r>
      <w:r>
        <w:rPr>
          <w:rFonts w:eastAsia="Calibri"/>
        </w:rPr>
        <w:t>“</w:t>
      </w:r>
      <w:r w:rsidRPr="00CC061B">
        <w:rPr>
          <w:rFonts w:eastAsia="Calibri"/>
        </w:rPr>
        <w:t>it really didn</w:t>
      </w:r>
      <w:r>
        <w:rPr>
          <w:rFonts w:eastAsia="Calibri"/>
        </w:rPr>
        <w:t>’</w:t>
      </w:r>
      <w:r w:rsidRPr="00CC061B">
        <w:rPr>
          <w:rFonts w:eastAsia="Calibri"/>
        </w:rPr>
        <w:t>t make any difference who my paycheck was with.  Mr. Osborne owned all these companies and he wanted me to have Orwell buy gas.</w:t>
      </w:r>
      <w:r>
        <w:rPr>
          <w:rFonts w:eastAsia="Calibri"/>
        </w:rPr>
        <w:t>”</w:t>
      </w:r>
      <w:r w:rsidRPr="00CC061B">
        <w:rPr>
          <w:rFonts w:eastAsia="Calibri"/>
        </w:rPr>
        <w:t xml:space="preserve">  </w:t>
      </w:r>
      <w:r w:rsidRPr="00CC061B">
        <w:rPr>
          <w:rFonts w:eastAsia="Calibri"/>
          <w:i/>
        </w:rPr>
        <w:t>Id.</w:t>
      </w:r>
      <w:r w:rsidRPr="00CC061B">
        <w:rPr>
          <w:rFonts w:eastAsia="Calibri"/>
        </w:rPr>
        <w:t xml:space="preserve"> at 428-429. </w:t>
      </w:r>
    </w:p>
  </w:footnote>
  <w:footnote w:id="13">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t xml:space="preserve">In the 2010 hearing, Mr. Rigo testified that ONG Marketing eventually became JDOG Marketing.  </w:t>
      </w:r>
      <w:r w:rsidR="0094089E">
        <w:rPr>
          <w:i/>
        </w:rPr>
        <w:t>Id</w:t>
      </w:r>
      <w:r w:rsidR="0094089E">
        <w:t>.</w:t>
      </w:r>
      <w:r w:rsidRPr="00CC061B">
        <w:t xml:space="preserve"> at 425. </w:t>
      </w:r>
    </w:p>
  </w:footnote>
  <w:footnote w:id="14">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Pr>
          <w:rFonts w:eastAsia="Calibri"/>
          <w:i/>
        </w:rPr>
        <w:t>Id</w:t>
      </w:r>
      <w:r>
        <w:rPr>
          <w:rFonts w:eastAsia="Calibri"/>
        </w:rPr>
        <w:t>.</w:t>
      </w:r>
      <w:r w:rsidRPr="00CC061B">
        <w:rPr>
          <w:rFonts w:eastAsia="Calibri"/>
        </w:rPr>
        <w:t xml:space="preserve"> at 404, 418.</w:t>
      </w:r>
    </w:p>
  </w:footnote>
  <w:footnote w:id="15">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Pr>
          <w:rFonts w:eastAsia="Calibri"/>
          <w:i/>
        </w:rPr>
        <w:t>Id</w:t>
      </w:r>
      <w:r>
        <w:rPr>
          <w:rFonts w:eastAsia="Calibri"/>
        </w:rPr>
        <w:t xml:space="preserve">. </w:t>
      </w:r>
      <w:r w:rsidRPr="00CC061B">
        <w:rPr>
          <w:rFonts w:eastAsia="Calibri"/>
        </w:rPr>
        <w:t xml:space="preserve">at 418. </w:t>
      </w:r>
    </w:p>
  </w:footnote>
  <w:footnote w:id="16">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rFonts w:eastAsia="Calibri"/>
        </w:rPr>
        <w:t xml:space="preserve">Tr. </w:t>
      </w:r>
      <w:r>
        <w:rPr>
          <w:rFonts w:eastAsia="Calibri"/>
        </w:rPr>
        <w:t xml:space="preserve">I </w:t>
      </w:r>
      <w:r w:rsidRPr="00CC061B">
        <w:rPr>
          <w:rFonts w:eastAsia="Calibri"/>
        </w:rPr>
        <w:t>at 75-76.</w:t>
      </w:r>
    </w:p>
  </w:footnote>
  <w:footnote w:id="17">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Pr>
          <w:rFonts w:eastAsia="Calibri"/>
          <w:i/>
        </w:rPr>
        <w:t>Id</w:t>
      </w:r>
      <w:r w:rsidRPr="00CC061B">
        <w:rPr>
          <w:rFonts w:eastAsia="Calibri"/>
        </w:rPr>
        <w:t xml:space="preserve">. </w:t>
      </w:r>
      <w:r>
        <w:rPr>
          <w:rFonts w:eastAsia="Calibri"/>
        </w:rPr>
        <w:t xml:space="preserve">at </w:t>
      </w:r>
      <w:r w:rsidRPr="00CC061B">
        <w:rPr>
          <w:rFonts w:eastAsia="Calibri"/>
        </w:rPr>
        <w:t>75-77.</w:t>
      </w:r>
    </w:p>
  </w:footnote>
  <w:footnote w:id="18">
    <w:p w:rsidR="00DB2C7B" w:rsidRPr="00CC061B" w:rsidRDefault="00DB2C7B" w:rsidP="00AD50E7">
      <w:pPr>
        <w:pStyle w:val="FootnoteText"/>
        <w:spacing w:after="200"/>
        <w:rPr>
          <w: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i/>
        </w:rPr>
        <w:t xml:space="preserve">Id. </w:t>
      </w:r>
    </w:p>
  </w:footnote>
  <w:footnote w:id="19">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i/>
        </w:rPr>
        <w:t>Id.</w:t>
      </w:r>
      <w:r w:rsidRPr="00CC061B">
        <w:t xml:space="preserve"> at 77. </w:t>
      </w:r>
    </w:p>
  </w:footnote>
  <w:footnote w:id="20">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i/>
        </w:rPr>
        <w:t>Id.</w:t>
      </w:r>
      <w:r w:rsidRPr="00CC061B">
        <w:t xml:space="preserve"> at 77- 78. </w:t>
      </w:r>
    </w:p>
  </w:footnote>
  <w:footnote w:id="21">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i/>
        </w:rPr>
        <w:t>Id.</w:t>
      </w:r>
      <w:r w:rsidRPr="00CC061B">
        <w:t xml:space="preserve"> </w:t>
      </w:r>
    </w:p>
  </w:footnote>
  <w:footnote w:id="22">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Pr>
          <w:i/>
        </w:rPr>
        <w:t>Id</w:t>
      </w:r>
      <w:r>
        <w:t xml:space="preserve">. </w:t>
      </w:r>
      <w:r w:rsidRPr="00CC061B">
        <w:t xml:space="preserve">at 78. </w:t>
      </w:r>
    </w:p>
  </w:footnote>
  <w:footnote w:id="23">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t>Commission-Ordered Ex. 1</w:t>
      </w:r>
      <w:r>
        <w:t xml:space="preserve"> (</w:t>
      </w:r>
      <w:r w:rsidRPr="00CC061B">
        <w:t>Staff Report</w:t>
      </w:r>
      <w:r>
        <w:t>)</w:t>
      </w:r>
      <w:r w:rsidRPr="00CC061B">
        <w:t xml:space="preserve"> at 13, 21. </w:t>
      </w:r>
    </w:p>
  </w:footnote>
  <w:footnote w:id="24">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t>OCC Exhibit 12</w:t>
      </w:r>
      <w:r>
        <w:t xml:space="preserve"> (</w:t>
      </w:r>
      <w:r w:rsidRPr="00CC061B">
        <w:t>Slone</w:t>
      </w:r>
      <w:r>
        <w:t>)</w:t>
      </w:r>
      <w:r w:rsidRPr="00CC061B">
        <w:t xml:space="preserve"> at 18. </w:t>
      </w:r>
    </w:p>
  </w:footnote>
  <w:footnote w:id="25">
    <w:p w:rsidR="00DB2C7B" w:rsidRPr="00CC061B" w:rsidRDefault="00DB2C7B" w:rsidP="00AD50E7">
      <w:pPr>
        <w:pStyle w:val="FootnoteText"/>
        <w:spacing w:after="200"/>
        <w:rPr>
          <w: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i/>
        </w:rPr>
        <w:t xml:space="preserve">Id. </w:t>
      </w:r>
    </w:p>
  </w:footnote>
  <w:footnote w:id="26">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i/>
        </w:rPr>
        <w:t>Id.</w:t>
      </w:r>
      <w:r w:rsidRPr="00CC061B">
        <w:t xml:space="preserve"> </w:t>
      </w:r>
    </w:p>
  </w:footnote>
  <w:footnote w:id="27">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t>Commission-Ordered Ex. 1</w:t>
      </w:r>
      <w:r>
        <w:t xml:space="preserve"> (S</w:t>
      </w:r>
      <w:r w:rsidRPr="00CC061B">
        <w:t>taff Report</w:t>
      </w:r>
      <w:r>
        <w:t>)</w:t>
      </w:r>
      <w:r w:rsidRPr="00CC061B">
        <w:t xml:space="preserve"> at 11. </w:t>
      </w:r>
    </w:p>
  </w:footnote>
  <w:footnote w:id="28">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Pr>
          <w:i/>
        </w:rPr>
        <w:t>Id</w:t>
      </w:r>
      <w:r>
        <w:t>.</w:t>
      </w:r>
      <w:r w:rsidRPr="00CC061B">
        <w:t xml:space="preserve"> at 12. </w:t>
      </w:r>
    </w:p>
  </w:footnote>
  <w:footnote w:id="29">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i/>
        </w:rPr>
        <w:t>Id</w:t>
      </w:r>
      <w:r w:rsidRPr="00CC061B">
        <w:t xml:space="preserve">. </w:t>
      </w:r>
    </w:p>
  </w:footnote>
  <w:footnote w:id="30">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Pr>
          <w:i/>
        </w:rPr>
        <w:t>Id</w:t>
      </w:r>
      <w:r w:rsidRPr="00CC061B">
        <w:rPr>
          <w:i/>
        </w:rPr>
        <w:t>.</w:t>
      </w:r>
      <w:r w:rsidRPr="00CC061B">
        <w:t xml:space="preserve"> </w:t>
      </w:r>
    </w:p>
  </w:footnote>
  <w:footnote w:id="31">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0094089E" w:rsidRPr="00CC061B">
        <w:t>Commission-Ordered Ex. 1</w:t>
      </w:r>
      <w:r w:rsidR="0094089E">
        <w:t xml:space="preserve"> (S</w:t>
      </w:r>
      <w:r w:rsidR="0094089E" w:rsidRPr="00CC061B">
        <w:t>taff Report</w:t>
      </w:r>
      <w:r w:rsidR="0094089E">
        <w:t>)</w:t>
      </w:r>
      <w:r w:rsidR="0094089E" w:rsidRPr="00CC061B">
        <w:t xml:space="preserve"> </w:t>
      </w:r>
      <w:r w:rsidRPr="00CC061B">
        <w:rPr>
          <w:rFonts w:eastAsia="Calibri"/>
        </w:rPr>
        <w:t>at 13.</w:t>
      </w:r>
    </w:p>
  </w:footnote>
  <w:footnote w:id="32">
    <w:p w:rsidR="00DB2C7B" w:rsidRPr="00CC061B" w:rsidRDefault="00DB2C7B" w:rsidP="00AD50E7">
      <w:pPr>
        <w:pStyle w:val="FootnoteText"/>
        <w:spacing w:after="200"/>
        <w:rPr>
          <w:i/>
        </w:rPr>
      </w:pPr>
      <w:r w:rsidRPr="00AD50E7">
        <w:rPr>
          <w:rStyle w:val="FootnoteReference"/>
          <w:sz w:val="26"/>
          <w:szCs w:val="26"/>
        </w:rPr>
        <w:footnoteRef/>
      </w:r>
      <w:r w:rsidRPr="00AD50E7">
        <w:rPr>
          <w:sz w:val="26"/>
          <w:szCs w:val="26"/>
        </w:rPr>
        <w:tab/>
      </w:r>
      <w:r w:rsidRPr="00CC061B">
        <w:tab/>
        <w:t xml:space="preserve">Staff did not re-price Gatherco purchases.  Staff Ex. 2 (Sarver) at 21.  Rather, Staff simply removed the $.15 per unit premium added by JDOG Marketing.  </w:t>
      </w:r>
      <w:r w:rsidRPr="00CC061B">
        <w:rPr>
          <w:i/>
        </w:rPr>
        <w:t xml:space="preserve">Id. </w:t>
      </w:r>
      <w:r w:rsidRPr="00CC061B">
        <w:t xml:space="preserve"> Staff witness Sarver explained that Gatherco simply reads the local producers</w:t>
      </w:r>
      <w:r>
        <w:t>’</w:t>
      </w:r>
      <w:r w:rsidRPr="00CC061B">
        <w:t xml:space="preserve"> meters then submits the bill directly to NEO. </w:t>
      </w:r>
      <w:r>
        <w:t xml:space="preserve"> </w:t>
      </w:r>
      <w:r w:rsidRPr="00CC061B">
        <w:t xml:space="preserve">Tr. </w:t>
      </w:r>
      <w:r>
        <w:t xml:space="preserve">III at </w:t>
      </w:r>
      <w:r w:rsidRPr="00CC061B">
        <w:t xml:space="preserve">812. </w:t>
      </w:r>
      <w:r>
        <w:t xml:space="preserve"> </w:t>
      </w:r>
      <w:r w:rsidRPr="00CC061B">
        <w:t xml:space="preserve">NEO verifies the all the information regarding the volume and usage of the gas. </w:t>
      </w:r>
      <w:r>
        <w:t xml:space="preserve"> </w:t>
      </w:r>
      <w:r w:rsidRPr="00CC061B">
        <w:t>JDOG Marketing provides absolutely no ser</w:t>
      </w:r>
      <w:r>
        <w:softHyphen/>
      </w:r>
      <w:r w:rsidRPr="00CC061B">
        <w:t>vice regarding this gas.</w:t>
      </w:r>
      <w:r>
        <w:t xml:space="preserve"> </w:t>
      </w:r>
      <w:r w:rsidRPr="00CC061B">
        <w:t xml:space="preserve"> </w:t>
      </w:r>
      <w:r w:rsidRPr="00CC061B">
        <w:rPr>
          <w:i/>
        </w:rPr>
        <w:t>Id.</w:t>
      </w:r>
      <w:r w:rsidRPr="00CC061B">
        <w:t xml:space="preserve"> </w:t>
      </w:r>
      <w:r>
        <w:t xml:space="preserve"> </w:t>
      </w:r>
      <w:r w:rsidRPr="00CC061B">
        <w:t xml:space="preserve">Thus, no premium payment is justified. </w:t>
      </w:r>
      <w:r>
        <w:t xml:space="preserve"> </w:t>
      </w:r>
      <w:r w:rsidRPr="00CC061B">
        <w:rPr>
          <w:i/>
        </w:rPr>
        <w:t xml:space="preserve">Id. </w:t>
      </w:r>
    </w:p>
  </w:footnote>
  <w:footnote w:id="33">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ab/>
      </w:r>
      <w:r w:rsidRPr="00CC061B">
        <w:tab/>
        <w:t xml:space="preserve">Commission-Ordered </w:t>
      </w:r>
      <w:r>
        <w:t>Ex.</w:t>
      </w:r>
      <w:r w:rsidRPr="00CC061B">
        <w:t xml:space="preserve"> 1</w:t>
      </w:r>
      <w:r>
        <w:t xml:space="preserve"> (</w:t>
      </w:r>
      <w:r w:rsidRPr="00CC061B">
        <w:rPr>
          <w:rFonts w:eastAsia="Calibri"/>
        </w:rPr>
        <w:t>Staff Report</w:t>
      </w:r>
      <w:r>
        <w:rPr>
          <w:rFonts w:eastAsia="Calibri"/>
        </w:rPr>
        <w:t>)</w:t>
      </w:r>
      <w:r w:rsidRPr="00CC061B">
        <w:rPr>
          <w:rFonts w:eastAsia="Calibri"/>
        </w:rPr>
        <w:t xml:space="preserve"> at 13.</w:t>
      </w:r>
    </w:p>
  </w:footnote>
  <w:footnote w:id="34">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rFonts w:eastAsia="Calibri"/>
          <w:sz w:val="26"/>
          <w:szCs w:val="26"/>
        </w:rPr>
        <w:t xml:space="preserve">  </w:t>
      </w:r>
      <w:r w:rsidRPr="00AD50E7">
        <w:rPr>
          <w:rFonts w:eastAsia="Calibri"/>
          <w:sz w:val="26"/>
          <w:szCs w:val="26"/>
        </w:rPr>
        <w:tab/>
      </w:r>
      <w:r w:rsidRPr="00CC061B">
        <w:rPr>
          <w:rFonts w:eastAsia="Calibri"/>
        </w:rPr>
        <w:tab/>
      </w:r>
      <w:r>
        <w:rPr>
          <w:i/>
        </w:rPr>
        <w:t>Id</w:t>
      </w:r>
      <w:r>
        <w:t xml:space="preserve">. </w:t>
      </w:r>
      <w:r w:rsidRPr="00CC061B">
        <w:rPr>
          <w:rFonts w:eastAsia="Calibri"/>
        </w:rPr>
        <w:t>at 13-14.</w:t>
      </w:r>
    </w:p>
  </w:footnote>
  <w:footnote w:id="35">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0094089E" w:rsidRPr="00CC061B">
        <w:t>Commission-Ordered Ex. 1</w:t>
      </w:r>
      <w:r w:rsidR="0094089E">
        <w:t xml:space="preserve"> (S</w:t>
      </w:r>
      <w:r w:rsidR="0094089E" w:rsidRPr="00CC061B">
        <w:t>taff Report</w:t>
      </w:r>
      <w:r w:rsidR="0094089E">
        <w:t>)</w:t>
      </w:r>
      <w:r w:rsidR="0094089E" w:rsidRPr="00CC061B">
        <w:t xml:space="preserve"> </w:t>
      </w:r>
      <w:r w:rsidR="0094089E">
        <w:t>at 13-14.</w:t>
      </w:r>
    </w:p>
  </w:footnote>
  <w:footnote w:id="36">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Pr>
          <w:i/>
        </w:rPr>
        <w:t>Id</w:t>
      </w:r>
      <w:r>
        <w:t>.</w:t>
      </w:r>
      <w:r w:rsidRPr="00CC061B">
        <w:rPr>
          <w:rFonts w:eastAsia="Calibri"/>
        </w:rPr>
        <w:t xml:space="preserve"> at 21.</w:t>
      </w:r>
    </w:p>
  </w:footnote>
  <w:footnote w:id="37">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t>OCC Ex. 12 (</w:t>
      </w:r>
      <w:r w:rsidRPr="00CC061B">
        <w:rPr>
          <w:rFonts w:eastAsia="Calibri"/>
        </w:rPr>
        <w:t xml:space="preserve">Slone) at 25. </w:t>
      </w:r>
    </w:p>
  </w:footnote>
  <w:footnote w:id="38">
    <w:p w:rsidR="00DB2C7B" w:rsidRPr="00CC061B"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CC061B">
        <w:tab/>
        <w:t>Staff Ex. 2 (</w:t>
      </w:r>
      <w:r w:rsidRPr="00CC061B">
        <w:rPr>
          <w:rFonts w:eastAsia="Calibri"/>
        </w:rPr>
        <w:t>Sarver) at 5-6.</w:t>
      </w:r>
    </w:p>
  </w:footnote>
  <w:footnote w:id="39">
    <w:p w:rsidR="00DB2C7B" w:rsidRPr="00CC061B" w:rsidRDefault="00DB2C7B" w:rsidP="00AD50E7">
      <w:pPr>
        <w:pStyle w:val="FootnoteText"/>
        <w:spacing w:after="200"/>
        <w:rPr>
          <w:rStyle w:val="FootnoteReference"/>
          <w:sz w:val="26"/>
          <w:szCs w:val="26"/>
        </w:rPr>
      </w:pPr>
      <w:r w:rsidRPr="00AD50E7">
        <w:rPr>
          <w:rStyle w:val="FootnoteReference"/>
          <w:sz w:val="26"/>
          <w:szCs w:val="26"/>
        </w:rPr>
        <w:footnoteRef/>
      </w:r>
      <w:r w:rsidRPr="00AD50E7">
        <w:rPr>
          <w:sz w:val="26"/>
          <w:szCs w:val="26"/>
        </w:rPr>
        <w:t xml:space="preserve"> </w:t>
      </w:r>
      <w:r w:rsidRPr="00AD50E7">
        <w:rPr>
          <w:sz w:val="26"/>
          <w:szCs w:val="26"/>
        </w:rPr>
        <w:tab/>
      </w:r>
      <w:r w:rsidRPr="00CC061B">
        <w:tab/>
      </w:r>
      <w:r w:rsidRPr="00CC061B">
        <w:rPr>
          <w:i/>
        </w:rPr>
        <w:t>Id.</w:t>
      </w:r>
      <w:r w:rsidRPr="00CC061B">
        <w:rPr>
          <w:rStyle w:val="FootnoteReference"/>
          <w:sz w:val="26"/>
          <w:szCs w:val="26"/>
        </w:rPr>
        <w:t xml:space="preserve"> </w:t>
      </w:r>
    </w:p>
  </w:footnote>
  <w:footnote w:id="40">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rsidRPr="00CC061B">
        <w:t>Commission-Ordered Ex. 1 (S</w:t>
      </w:r>
      <w:r w:rsidRPr="00CC061B">
        <w:rPr>
          <w:rFonts w:eastAsia="Calibri"/>
        </w:rPr>
        <w:t>taff Report) at 23.</w:t>
      </w:r>
    </w:p>
  </w:footnote>
  <w:footnote w:id="41">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t xml:space="preserve">Staff Ex. 2 (Sarver) at 7. </w:t>
      </w:r>
    </w:p>
  </w:footnote>
  <w:footnote w:id="42">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t xml:space="preserve">Tr. </w:t>
      </w:r>
      <w:r>
        <w:t xml:space="preserve">III </w:t>
      </w:r>
      <w:r w:rsidRPr="00CC061B">
        <w:t xml:space="preserve">at 730-731. </w:t>
      </w:r>
    </w:p>
  </w:footnote>
  <w:footnote w:id="43">
    <w:p w:rsidR="00DB2C7B" w:rsidRPr="00CC061B"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CC061B">
        <w:tab/>
        <w:t>Staff Ex. 2 (</w:t>
      </w:r>
      <w:r w:rsidRPr="00CC061B">
        <w:rPr>
          <w:rFonts w:eastAsia="Calibri"/>
        </w:rPr>
        <w:t>Sarver) at 15-18.</w:t>
      </w:r>
    </w:p>
  </w:footnote>
  <w:footnote w:id="44">
    <w:p w:rsidR="00DB2C7B" w:rsidRPr="00334C6A" w:rsidRDefault="00DB2C7B" w:rsidP="0026741F">
      <w:pPr>
        <w:pStyle w:val="FootnoteText"/>
        <w:spacing w:after="200"/>
      </w:pPr>
      <w:r w:rsidRPr="0026741F">
        <w:rPr>
          <w:rStyle w:val="FootnoteReference"/>
          <w:sz w:val="26"/>
          <w:szCs w:val="26"/>
        </w:rPr>
        <w:footnoteRef/>
      </w:r>
      <w:r w:rsidRPr="0026741F">
        <w:rPr>
          <w:sz w:val="26"/>
          <w:szCs w:val="26"/>
        </w:rPr>
        <w:t xml:space="preserve"> </w:t>
      </w:r>
      <w:r w:rsidRPr="0026741F">
        <w:rPr>
          <w:sz w:val="26"/>
          <w:szCs w:val="26"/>
        </w:rPr>
        <w:tab/>
      </w:r>
      <w:r w:rsidRPr="00334C6A">
        <w:tab/>
        <w:t xml:space="preserve">Companies </w:t>
      </w:r>
      <w:r>
        <w:t>Ex.</w:t>
      </w:r>
      <w:r w:rsidRPr="00334C6A">
        <w:t xml:space="preserve"> 5</w:t>
      </w:r>
      <w:r>
        <w:t xml:space="preserve"> (</w:t>
      </w:r>
      <w:r w:rsidRPr="00334C6A">
        <w:t>Direct Testimony of H. Edwin Overcast</w:t>
      </w:r>
      <w:r>
        <w:t>)</w:t>
      </w:r>
      <w:r w:rsidRPr="00334C6A">
        <w:t xml:space="preserve"> (Overcast) at 11-14. </w:t>
      </w:r>
    </w:p>
  </w:footnote>
  <w:footnote w:id="45">
    <w:p w:rsidR="00DB2C7B" w:rsidRPr="00334C6A" w:rsidRDefault="00DB2C7B" w:rsidP="0026741F">
      <w:pPr>
        <w:pStyle w:val="FootnoteText"/>
        <w:spacing w:after="200"/>
      </w:pPr>
      <w:r w:rsidRPr="0026741F">
        <w:rPr>
          <w:rStyle w:val="FootnoteReference"/>
          <w:sz w:val="26"/>
          <w:szCs w:val="26"/>
        </w:rPr>
        <w:footnoteRef/>
      </w:r>
      <w:r w:rsidRPr="0026741F">
        <w:rPr>
          <w:sz w:val="26"/>
          <w:szCs w:val="26"/>
        </w:rPr>
        <w:t xml:space="preserve"> </w:t>
      </w:r>
      <w:r w:rsidRPr="0026741F">
        <w:rPr>
          <w:sz w:val="26"/>
          <w:szCs w:val="26"/>
        </w:rPr>
        <w:tab/>
      </w:r>
      <w:r w:rsidRPr="00334C6A">
        <w:tab/>
      </w:r>
      <w:r>
        <w:rPr>
          <w:i/>
        </w:rPr>
        <w:t>Id</w:t>
      </w:r>
      <w:r>
        <w:t>.</w:t>
      </w:r>
      <w:r w:rsidRPr="00334C6A">
        <w:t xml:space="preserve"> at Schedule 1.</w:t>
      </w:r>
    </w:p>
  </w:footnote>
  <w:footnote w:id="46">
    <w:p w:rsidR="00DB2C7B" w:rsidRPr="00334C6A"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rsidRPr="00334C6A">
        <w:rPr>
          <w:rFonts w:eastAsia="Calibri"/>
        </w:rPr>
        <w:t>First, Mr. Overcast incorrectly included the costs of transporting gas across Dominion East Ohio</w:t>
      </w:r>
      <w:r>
        <w:rPr>
          <w:rFonts w:eastAsia="Calibri"/>
        </w:rPr>
        <w:t>’</w:t>
      </w:r>
      <w:r w:rsidRPr="00334C6A">
        <w:rPr>
          <w:rFonts w:eastAsia="Calibri"/>
        </w:rPr>
        <w:t>s (DEO) system.</w:t>
      </w:r>
      <w:r>
        <w:rPr>
          <w:rFonts w:eastAsia="Calibri"/>
        </w:rPr>
        <w:t xml:space="preserve"> </w:t>
      </w:r>
      <w:r w:rsidRPr="00334C6A">
        <w:rPr>
          <w:rFonts w:eastAsia="Calibri"/>
        </w:rPr>
        <w:t xml:space="preserve"> Staff </w:t>
      </w:r>
      <w:r>
        <w:rPr>
          <w:rFonts w:eastAsia="Calibri"/>
        </w:rPr>
        <w:t>Ex.</w:t>
      </w:r>
      <w:r w:rsidRPr="00334C6A">
        <w:rPr>
          <w:rFonts w:eastAsia="Calibri"/>
        </w:rPr>
        <w:t xml:space="preserve"> 2</w:t>
      </w:r>
      <w:r>
        <w:rPr>
          <w:rFonts w:eastAsia="Calibri"/>
        </w:rPr>
        <w:t xml:space="preserve"> (Sarver) </w:t>
      </w:r>
      <w:r w:rsidRPr="00334C6A">
        <w:rPr>
          <w:rFonts w:eastAsia="Calibri"/>
        </w:rPr>
        <w:t>at 23-24.</w:t>
      </w:r>
      <w:r>
        <w:rPr>
          <w:rFonts w:eastAsia="Calibri"/>
        </w:rPr>
        <w:t xml:space="preserve"> </w:t>
      </w:r>
      <w:r w:rsidRPr="00334C6A">
        <w:rPr>
          <w:rFonts w:eastAsia="Calibri"/>
        </w:rPr>
        <w:t xml:space="preserve"> These costs would have applied to intrastate and interstate gas. </w:t>
      </w:r>
      <w:r>
        <w:rPr>
          <w:rFonts w:eastAsia="Calibri"/>
        </w:rPr>
        <w:t xml:space="preserve"> </w:t>
      </w:r>
      <w:r w:rsidRPr="00334C6A">
        <w:rPr>
          <w:rFonts w:eastAsia="Calibri"/>
        </w:rPr>
        <w:t>Second, Mr. Overcast incorrectly included TCO demand charges in Schedule 1.</w:t>
      </w:r>
      <w:r>
        <w:rPr>
          <w:rFonts w:eastAsia="Calibri"/>
        </w:rPr>
        <w:t xml:space="preserve"> </w:t>
      </w:r>
      <w:r w:rsidRPr="00334C6A">
        <w:rPr>
          <w:rFonts w:eastAsia="Calibri"/>
        </w:rPr>
        <w:t xml:space="preserve"> </w:t>
      </w:r>
      <w:r w:rsidRPr="00334C6A">
        <w:rPr>
          <w:rFonts w:eastAsia="Calibri"/>
          <w:i/>
        </w:rPr>
        <w:t>Id</w:t>
      </w:r>
      <w:r w:rsidRPr="00334C6A">
        <w:rPr>
          <w:rFonts w:eastAsia="Calibri"/>
        </w:rPr>
        <w:t xml:space="preserve">. </w:t>
      </w:r>
      <w:r>
        <w:rPr>
          <w:rFonts w:eastAsia="Calibri"/>
        </w:rPr>
        <w:t xml:space="preserve"> </w:t>
      </w:r>
      <w:r w:rsidRPr="00334C6A">
        <w:rPr>
          <w:rFonts w:eastAsia="Calibri"/>
        </w:rPr>
        <w:t xml:space="preserve">These costs also applied to both intrastate and interstate supplies. </w:t>
      </w:r>
    </w:p>
  </w:footnote>
  <w:footnote w:id="47">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rPr>
          <w:i/>
        </w:rPr>
        <w:t>Id</w:t>
      </w:r>
      <w:r>
        <w:t>.</w:t>
      </w:r>
      <w:r w:rsidRPr="00334C6A">
        <w:t xml:space="preserve"> at 24. </w:t>
      </w:r>
    </w:p>
  </w:footnote>
  <w:footnote w:id="48">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t>Companies Ex. 5 (</w:t>
      </w:r>
      <w:r w:rsidRPr="00334C6A">
        <w:rPr>
          <w:rFonts w:eastAsia="Calibri"/>
        </w:rPr>
        <w:t>Overcast) at 7.</w:t>
      </w:r>
    </w:p>
  </w:footnote>
  <w:footnote w:id="49">
    <w:p w:rsidR="00DB2C7B" w:rsidRPr="00AD50E7" w:rsidRDefault="00DB2C7B" w:rsidP="00AD50E7">
      <w:pPr>
        <w:pStyle w:val="FootnoteText"/>
        <w:spacing w:after="200"/>
        <w:rPr>
          <w:rFonts w:eastAsia="Calibri"/>
          <w:sz w:val="26"/>
          <w:szCs w:val="26"/>
        </w:rPr>
      </w:pPr>
      <w:r w:rsidRPr="00AD50E7">
        <w:rPr>
          <w:rStyle w:val="FootnoteReference"/>
          <w:sz w:val="26"/>
          <w:szCs w:val="26"/>
        </w:rPr>
        <w:footnoteRef/>
      </w:r>
      <w:r w:rsidRPr="00AD50E7">
        <w:rPr>
          <w:sz w:val="26"/>
          <w:szCs w:val="26"/>
        </w:rPr>
        <w:t xml:space="preserve"> </w:t>
      </w:r>
      <w:r w:rsidRPr="00AD50E7">
        <w:rPr>
          <w:sz w:val="26"/>
          <w:szCs w:val="26"/>
        </w:rPr>
        <w:tab/>
      </w:r>
      <w:r w:rsidRPr="00334C6A">
        <w:tab/>
        <w:t>Staff Ex. 2 (</w:t>
      </w:r>
      <w:r w:rsidRPr="00334C6A">
        <w:rPr>
          <w:rFonts w:eastAsia="Calibri"/>
        </w:rPr>
        <w:t>Sarver) at 22, Exs. RS-9, RS-10.</w:t>
      </w:r>
    </w:p>
  </w:footnote>
  <w:footnote w:id="50">
    <w:p w:rsidR="00DB2C7B" w:rsidRPr="00334C6A" w:rsidRDefault="00DB2C7B" w:rsidP="00AD50E7">
      <w:pPr>
        <w:pStyle w:val="FootnoteText"/>
        <w:spacing w:after="200"/>
        <w:rPr>
          <w:rFonts w:eastAsia="Calibri"/>
        </w:rPr>
      </w:pPr>
      <w:r w:rsidRPr="00AD50E7">
        <w:rPr>
          <w:rStyle w:val="FootnoteReference"/>
          <w:sz w:val="26"/>
          <w:szCs w:val="26"/>
        </w:rPr>
        <w:footnoteRef/>
      </w:r>
      <w:r w:rsidRPr="00AD50E7">
        <w:rPr>
          <w:sz w:val="26"/>
          <w:szCs w:val="26"/>
        </w:rPr>
        <w:t xml:space="preserve"> </w:t>
      </w:r>
      <w:r w:rsidRPr="00AD50E7">
        <w:rPr>
          <w:sz w:val="26"/>
          <w:szCs w:val="26"/>
        </w:rPr>
        <w:tab/>
      </w:r>
      <w:r w:rsidRPr="00334C6A">
        <w:tab/>
        <w:t>Commission-Ordered Ex. 1 (</w:t>
      </w:r>
      <w:r w:rsidRPr="00334C6A">
        <w:rPr>
          <w:rFonts w:eastAsia="Calibri"/>
        </w:rPr>
        <w:t>Staff Report) at 12.</w:t>
      </w:r>
    </w:p>
  </w:footnote>
  <w:footnote w:id="51">
    <w:p w:rsidR="00DB2C7B" w:rsidRPr="00334C6A" w:rsidRDefault="00DB2C7B" w:rsidP="00AD50E7">
      <w:pPr>
        <w:pStyle w:val="FootnoteText"/>
        <w:spacing w:after="200"/>
        <w:rPr>
          <w:rFonts w:eastAsia="Calibri"/>
          <w:i/>
        </w:rPr>
      </w:pPr>
      <w:r w:rsidRPr="00AD50E7">
        <w:rPr>
          <w:rStyle w:val="FootnoteReference"/>
          <w:sz w:val="26"/>
          <w:szCs w:val="26"/>
        </w:rPr>
        <w:footnoteRef/>
      </w:r>
      <w:r w:rsidRPr="00AD50E7">
        <w:rPr>
          <w:rFonts w:eastAsia="Calibri"/>
          <w:i/>
          <w:sz w:val="26"/>
          <w:szCs w:val="26"/>
        </w:rPr>
        <w:tab/>
      </w:r>
      <w:r w:rsidRPr="00334C6A">
        <w:rPr>
          <w:rFonts w:eastAsia="Calibri"/>
          <w:i/>
        </w:rPr>
        <w:tab/>
        <w:t>Id.</w:t>
      </w:r>
    </w:p>
  </w:footnote>
  <w:footnote w:id="52">
    <w:p w:rsidR="00DB2C7B" w:rsidRDefault="00DB2C7B" w:rsidP="002F7C98">
      <w:pPr>
        <w:pStyle w:val="FootnoteText"/>
      </w:pPr>
      <w:r>
        <w:rPr>
          <w:rStyle w:val="FootnoteReference"/>
        </w:rPr>
        <w:footnoteRef/>
      </w:r>
      <w:r>
        <w:t xml:space="preserve"> </w:t>
      </w:r>
      <w:r>
        <w:tab/>
      </w:r>
      <w:r>
        <w:tab/>
      </w:r>
      <w:r w:rsidRPr="006F775C">
        <w:t>Tr.</w:t>
      </w:r>
      <w:r>
        <w:t xml:space="preserve"> III at 691, 790. </w:t>
      </w:r>
    </w:p>
  </w:footnote>
  <w:footnote w:id="53">
    <w:p w:rsidR="00DB2C7B" w:rsidRDefault="00DB2C7B">
      <w:pPr>
        <w:pStyle w:val="FootnoteText"/>
      </w:pPr>
      <w:r>
        <w:rPr>
          <w:rStyle w:val="FootnoteReference"/>
        </w:rPr>
        <w:footnoteRef/>
      </w:r>
      <w:r>
        <w:t xml:space="preserve"> </w:t>
      </w:r>
      <w:r>
        <w:tab/>
      </w:r>
      <w:r>
        <w:tab/>
      </w:r>
      <w:r w:rsidR="0094089E">
        <w:t xml:space="preserve">Tr. III </w:t>
      </w:r>
      <w:r>
        <w:t>at 791</w:t>
      </w:r>
      <w:r w:rsidR="0094089E">
        <w:t xml:space="preserve">.  </w:t>
      </w:r>
      <w:r>
        <w:t xml:space="preserve">NYMEX is used to price the gas commodity.  The cost to deliver gas to a particular market or location is the “adder” or “basis differential.”  </w:t>
      </w:r>
      <w:r>
        <w:rPr>
          <w:i/>
        </w:rPr>
        <w:t>Id</w:t>
      </w:r>
      <w:r>
        <w:t xml:space="preserve">. at 692.  This “basis differential”, which can be positive or negative, determines the market price of gas. </w:t>
      </w:r>
    </w:p>
  </w:footnote>
  <w:footnote w:id="54">
    <w:p w:rsidR="00DB2C7B" w:rsidRDefault="00DB2C7B" w:rsidP="00DB2C7B">
      <w:pPr>
        <w:pStyle w:val="FootnoteText"/>
      </w:pPr>
      <w:r>
        <w:rPr>
          <w:rStyle w:val="FootnoteReference"/>
        </w:rPr>
        <w:footnoteRef/>
      </w:r>
      <w:r>
        <w:t xml:space="preserve"> </w:t>
      </w:r>
      <w:r>
        <w:tab/>
      </w:r>
      <w:r>
        <w:tab/>
      </w:r>
      <w:r w:rsidR="0094089E">
        <w:rPr>
          <w:i/>
        </w:rPr>
        <w:t>Id</w:t>
      </w:r>
      <w:r w:rsidR="0094089E">
        <w:t>.</w:t>
      </w:r>
      <w:r>
        <w:t>at 729-730</w:t>
      </w:r>
      <w:r w:rsidR="0094089E">
        <w:t xml:space="preserve">.  </w:t>
      </w:r>
      <w:r w:rsidRPr="00F62986">
        <w:t xml:space="preserve">Staff witness Sarver testified that the local purchase agreements reviewed by Staff were executed in years ranging from 2007 through 2010.  </w:t>
      </w:r>
      <w:r w:rsidRPr="00334C6A">
        <w:t>Staff Ex. 2 (</w:t>
      </w:r>
      <w:r w:rsidRPr="00334C6A">
        <w:rPr>
          <w:rFonts w:eastAsia="Calibri"/>
        </w:rPr>
        <w:t xml:space="preserve">Sarver) at </w:t>
      </w:r>
      <w:r>
        <w:rPr>
          <w:rFonts w:eastAsia="Calibri"/>
        </w:rPr>
        <w:t xml:space="preserve">21-22.  </w:t>
      </w:r>
      <w:r w:rsidRPr="00F62986">
        <w:t>Under these contracts, local producers were receiving the benefit of a favorable NYMEX to TCO Appalachian basis differential of as high as thirty-five cents in 2008.</w:t>
      </w:r>
      <w:r>
        <w:t xml:space="preserve"> </w:t>
      </w:r>
      <w:r w:rsidRPr="00F62986">
        <w:t xml:space="preserve"> </w:t>
      </w:r>
      <w:r w:rsidRPr="0094089E">
        <w:rPr>
          <w:i/>
        </w:rPr>
        <w:t xml:space="preserve">Id.  </w:t>
      </w:r>
      <w:r w:rsidRPr="00F62986">
        <w:t xml:space="preserve">This differential has dropped over the past few years significantly, reaching a low in 2012 of four tenths of a penny.  </w:t>
      </w:r>
      <w:r w:rsidRPr="0094089E">
        <w:rPr>
          <w:i/>
        </w:rPr>
        <w:t>Id.</w:t>
      </w:r>
      <w:r>
        <w:t xml:space="preserve">  </w:t>
      </w:r>
      <w:r w:rsidRPr="00F62986">
        <w:t>This recent drop in the value of local production is due to a substantial increase of gas supply in Ohio markets.</w:t>
      </w:r>
    </w:p>
  </w:footnote>
  <w:footnote w:id="55">
    <w:p w:rsidR="00DB2C7B" w:rsidRDefault="00DB2C7B">
      <w:pPr>
        <w:pStyle w:val="FootnoteText"/>
      </w:pPr>
      <w:r>
        <w:rPr>
          <w:rStyle w:val="FootnoteReference"/>
        </w:rPr>
        <w:footnoteRef/>
      </w:r>
      <w:r>
        <w:t xml:space="preserve"> </w:t>
      </w:r>
      <w:r>
        <w:tab/>
      </w:r>
      <w:r>
        <w:tab/>
      </w:r>
      <w:r w:rsidRPr="00334C6A">
        <w:t>Staff Ex. 2 (</w:t>
      </w:r>
      <w:r w:rsidRPr="00334C6A">
        <w:rPr>
          <w:rFonts w:eastAsia="Calibri"/>
        </w:rPr>
        <w:t xml:space="preserve">Sarver) at </w:t>
      </w:r>
      <w:r>
        <w:rPr>
          <w:rFonts w:eastAsia="Calibri"/>
        </w:rPr>
        <w:t xml:space="preserve">21-22. </w:t>
      </w:r>
    </w:p>
  </w:footnote>
  <w:footnote w:id="56">
    <w:p w:rsidR="00DB2C7B" w:rsidRDefault="00DB2C7B">
      <w:pPr>
        <w:pStyle w:val="FootnoteText"/>
      </w:pPr>
      <w:r>
        <w:rPr>
          <w:rStyle w:val="FootnoteReference"/>
        </w:rPr>
        <w:footnoteRef/>
      </w:r>
      <w:r>
        <w:t xml:space="preserve"> </w:t>
      </w:r>
      <w:r>
        <w:tab/>
      </w:r>
      <w:r>
        <w:tab/>
      </w:r>
      <w:r w:rsidRPr="0094089E">
        <w:rPr>
          <w:i/>
        </w:rPr>
        <w:t>Id.</w:t>
      </w:r>
      <w:r>
        <w:t xml:space="preserve"> </w:t>
      </w:r>
    </w:p>
  </w:footnote>
  <w:footnote w:id="57">
    <w:p w:rsidR="00DB2C7B" w:rsidRPr="00AD50E7" w:rsidRDefault="00DB2C7B" w:rsidP="00AD50E7">
      <w:pPr>
        <w:pStyle w:val="FootnoteText"/>
        <w:spacing w:after="200"/>
        <w:rPr>
          <w:sz w:val="26"/>
          <w:szCs w:val="26"/>
        </w:rPr>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rsidR="000906CB" w:rsidRPr="00334C6A">
        <w:t>Staff Ex. 2 (</w:t>
      </w:r>
      <w:r w:rsidR="000906CB">
        <w:rPr>
          <w:rFonts w:eastAsia="Calibri"/>
        </w:rPr>
        <w:t xml:space="preserve">Sarver) </w:t>
      </w:r>
      <w:r w:rsidRPr="00AD50E7">
        <w:rPr>
          <w:sz w:val="26"/>
          <w:szCs w:val="26"/>
        </w:rPr>
        <w:t xml:space="preserve">at 25. </w:t>
      </w:r>
    </w:p>
  </w:footnote>
  <w:footnote w:id="58">
    <w:p w:rsidR="00DB2C7B" w:rsidRPr="00AD50E7" w:rsidRDefault="00DB2C7B" w:rsidP="00AD50E7">
      <w:pPr>
        <w:pStyle w:val="FootnoteText"/>
        <w:spacing w:after="200"/>
        <w:rPr>
          <w:sz w:val="26"/>
          <w:szCs w:val="26"/>
        </w:rPr>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rsidRPr="00334C6A">
        <w:t>Commission-Ordered Ex. 1 (</w:t>
      </w:r>
      <w:r w:rsidRPr="00334C6A">
        <w:rPr>
          <w:rFonts w:eastAsia="Calibri"/>
        </w:rPr>
        <w:t>Staff Report)</w:t>
      </w:r>
      <w:r>
        <w:rPr>
          <w:rFonts w:eastAsia="Calibri"/>
        </w:rPr>
        <w:t xml:space="preserve"> </w:t>
      </w:r>
      <w:r w:rsidRPr="00AD50E7">
        <w:rPr>
          <w:sz w:val="26"/>
          <w:szCs w:val="26"/>
        </w:rPr>
        <w:t>at 24-25.</w:t>
      </w:r>
    </w:p>
  </w:footnote>
  <w:footnote w:id="59">
    <w:p w:rsidR="00DB2C7B" w:rsidRPr="00AD50E7" w:rsidRDefault="00DB2C7B" w:rsidP="00AD50E7">
      <w:pPr>
        <w:pStyle w:val="FootnoteText"/>
        <w:spacing w:after="200"/>
        <w:rPr>
          <w:sz w:val="26"/>
          <w:szCs w:val="26"/>
        </w:rPr>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rPr>
          <w:i/>
          <w:sz w:val="26"/>
          <w:szCs w:val="26"/>
        </w:rPr>
        <w:t>Id</w:t>
      </w:r>
      <w:r>
        <w:rPr>
          <w:sz w:val="26"/>
          <w:szCs w:val="26"/>
        </w:rPr>
        <w:t>.</w:t>
      </w:r>
      <w:r w:rsidRPr="00AD50E7">
        <w:rPr>
          <w:sz w:val="26"/>
          <w:szCs w:val="26"/>
        </w:rPr>
        <w:t xml:space="preserve"> at 24. </w:t>
      </w:r>
    </w:p>
  </w:footnote>
  <w:footnote w:id="60">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rsidRPr="00334C6A">
        <w:rPr>
          <w:i/>
        </w:rPr>
        <w:t>In the Matter of the Investigation into the Gas Purchasing Practices and Policies of Columbia Gas of Ohio, Inc</w:t>
      </w:r>
      <w:r w:rsidRPr="00334C6A">
        <w:t xml:space="preserve">., Case No. 83-135-GA-COI, </w:t>
      </w:r>
      <w:r w:rsidRPr="00334C6A">
        <w:rPr>
          <w:i/>
        </w:rPr>
        <w:t>et al</w:t>
      </w:r>
      <w:r w:rsidRPr="00334C6A">
        <w:t>. (Opinion and Order</w:t>
      </w:r>
      <w:r>
        <w:t xml:space="preserve"> at 16</w:t>
      </w:r>
      <w:r w:rsidRPr="00334C6A">
        <w:t>) (Oct. 8, 1985).</w:t>
      </w:r>
    </w:p>
  </w:footnote>
  <w:footnote w:id="61">
    <w:p w:rsidR="00DB2C7B" w:rsidRPr="00334C6A" w:rsidRDefault="00DB2C7B" w:rsidP="00021799">
      <w:pPr>
        <w:pStyle w:val="FootnoteText"/>
        <w:spacing w:after="200"/>
      </w:pPr>
      <w:r w:rsidRPr="00021799">
        <w:rPr>
          <w:rStyle w:val="FootnoteReference"/>
          <w:sz w:val="26"/>
          <w:szCs w:val="26"/>
        </w:rPr>
        <w:footnoteRef/>
      </w:r>
      <w:r w:rsidRPr="00021799">
        <w:rPr>
          <w:sz w:val="26"/>
          <w:szCs w:val="26"/>
        </w:rPr>
        <w:t xml:space="preserve"> </w:t>
      </w:r>
      <w:r w:rsidRPr="00021799">
        <w:rPr>
          <w:sz w:val="26"/>
          <w:szCs w:val="26"/>
        </w:rPr>
        <w:tab/>
      </w:r>
      <w:r w:rsidRPr="00334C6A">
        <w:tab/>
        <w:t>Commission-Ordered Ex. 1 (Staff Report) at 54-59.</w:t>
      </w:r>
    </w:p>
  </w:footnote>
  <w:footnote w:id="62">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rsidRPr="00334C6A">
        <w:rPr>
          <w:i/>
        </w:rPr>
        <w:t>Id</w:t>
      </w:r>
      <w:r w:rsidRPr="00334C6A">
        <w:t>. at 54.</w:t>
      </w:r>
    </w:p>
  </w:footnote>
  <w:footnote w:id="63">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t xml:space="preserve">Tr. </w:t>
      </w:r>
      <w:r>
        <w:t xml:space="preserve">I </w:t>
      </w:r>
      <w:r w:rsidRPr="00334C6A">
        <w:t>at 190.</w:t>
      </w:r>
    </w:p>
  </w:footnote>
  <w:footnote w:id="64">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t>Commission-Ordered Ex. 1 (Staff Report) at 55.</w:t>
      </w:r>
    </w:p>
  </w:footnote>
  <w:footnote w:id="65">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rsidRPr="00334C6A">
        <w:rPr>
          <w:i/>
        </w:rPr>
        <w:t>Id</w:t>
      </w:r>
      <w:r w:rsidRPr="00334C6A">
        <w:t>. at 58.</w:t>
      </w:r>
    </w:p>
  </w:footnote>
  <w:footnote w:id="66">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t xml:space="preserve">Tr. </w:t>
      </w:r>
      <w:r>
        <w:t xml:space="preserve">I </w:t>
      </w:r>
      <w:r w:rsidRPr="00334C6A">
        <w:t>at 121.</w:t>
      </w:r>
    </w:p>
  </w:footnote>
  <w:footnote w:id="67">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rPr>
          <w:i/>
        </w:rPr>
        <w:t>Id</w:t>
      </w:r>
      <w:r w:rsidRPr="00334C6A">
        <w:t>. at 161.</w:t>
      </w:r>
    </w:p>
  </w:footnote>
  <w:footnote w:id="68">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t>Tr. II</w:t>
      </w:r>
      <w:r w:rsidRPr="00334C6A">
        <w:t xml:space="preserve"> at 473.</w:t>
      </w:r>
    </w:p>
  </w:footnote>
  <w:footnote w:id="69">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t>Tr</w:t>
      </w:r>
      <w:r w:rsidRPr="00334C6A">
        <w:t xml:space="preserve">. </w:t>
      </w:r>
      <w:r>
        <w:t xml:space="preserve">I </w:t>
      </w:r>
      <w:r w:rsidRPr="00334C6A">
        <w:t>at 161.</w:t>
      </w:r>
    </w:p>
  </w:footnote>
  <w:footnote w:id="70">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t>Tr. II</w:t>
      </w:r>
      <w:r w:rsidRPr="00334C6A">
        <w:t xml:space="preserve"> at 477.</w:t>
      </w:r>
    </w:p>
  </w:footnote>
  <w:footnote w:id="71">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t xml:space="preserve">Tr. I </w:t>
      </w:r>
      <w:r w:rsidRPr="00334C6A">
        <w:t>at 118.</w:t>
      </w:r>
    </w:p>
  </w:footnote>
  <w:footnote w:id="72">
    <w:p w:rsidR="00DB2C7B" w:rsidRPr="00334C6A"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334C6A">
        <w:tab/>
      </w:r>
      <w:r>
        <w:rPr>
          <w:i/>
        </w:rPr>
        <w:t>Id</w:t>
      </w:r>
      <w:r>
        <w:t xml:space="preserve">. </w:t>
      </w:r>
      <w:r w:rsidRPr="00334C6A">
        <w:t>at 188.</w:t>
      </w:r>
    </w:p>
  </w:footnote>
  <w:footnote w:id="73">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t xml:space="preserve">Tr. </w:t>
      </w:r>
      <w:r>
        <w:t xml:space="preserve">II </w:t>
      </w:r>
      <w:r w:rsidRPr="000A2F8C">
        <w:t>at 472.</w:t>
      </w:r>
    </w:p>
  </w:footnote>
  <w:footnote w:id="74">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t xml:space="preserve">Tr. I </w:t>
      </w:r>
      <w:r w:rsidRPr="000A2F8C">
        <w:t>at 119.</w:t>
      </w:r>
    </w:p>
  </w:footnote>
  <w:footnote w:id="75">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121.</w:t>
      </w:r>
    </w:p>
  </w:footnote>
  <w:footnote w:id="76">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t>Commission-Ordered Ex. 1 (Staff Report) at 58.</w:t>
      </w:r>
    </w:p>
  </w:footnote>
  <w:footnote w:id="77">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t xml:space="preserve">Tr. </w:t>
      </w:r>
      <w:r>
        <w:t xml:space="preserve">IV at </w:t>
      </w:r>
      <w:r w:rsidRPr="000A2F8C">
        <w:t>838.</w:t>
      </w:r>
    </w:p>
  </w:footnote>
  <w:footnote w:id="78">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Pr>
          <w:i/>
        </w:rPr>
        <w:t>Id</w:t>
      </w:r>
      <w:r w:rsidRPr="000A2F8C">
        <w:t>. at 841.</w:t>
      </w:r>
    </w:p>
  </w:footnote>
  <w:footnote w:id="79">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853.</w:t>
      </w:r>
    </w:p>
  </w:footnote>
  <w:footnote w:id="80">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847.</w:t>
      </w:r>
    </w:p>
  </w:footnote>
  <w:footnote w:id="81">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849.</w:t>
      </w:r>
    </w:p>
  </w:footnote>
  <w:footnote w:id="82">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850.</w:t>
      </w:r>
    </w:p>
  </w:footnote>
  <w:footnote w:id="83">
    <w:p w:rsidR="00DB2C7B" w:rsidRPr="000A2F8C" w:rsidRDefault="00DB2C7B" w:rsidP="00282922">
      <w:pPr>
        <w:pStyle w:val="FootnoteText"/>
        <w:rPr>
          <w:color w:val="000000"/>
        </w:rPr>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t>Tr</w:t>
      </w:r>
      <w:r w:rsidRPr="000A2F8C">
        <w:t xml:space="preserve">. </w:t>
      </w:r>
      <w:r>
        <w:t xml:space="preserve">IV </w:t>
      </w:r>
      <w:r w:rsidRPr="000A2F8C">
        <w:t xml:space="preserve">at 854. </w:t>
      </w:r>
      <w:r>
        <w:t xml:space="preserve"> </w:t>
      </w:r>
      <w:r w:rsidRPr="000A2F8C">
        <w:t>This assertion is somewhat troubling to Staff.</w:t>
      </w:r>
      <w:r>
        <w:t xml:space="preserve"> </w:t>
      </w:r>
      <w:r w:rsidRPr="000A2F8C">
        <w:t xml:space="preserve"> On July 22, 2011, Spelman filed for authority to become a regulated pipeline company.  </w:t>
      </w:r>
      <w:r w:rsidRPr="000A2F8C">
        <w:rPr>
          <w:i/>
          <w:color w:val="000000"/>
        </w:rPr>
        <w:t>In the Matter of the Application of Spelman Pipeline Holdings, LLC for Commission Authorization to Become a Pipeline Company and for Approval of Tariffs</w:t>
      </w:r>
      <w:r w:rsidRPr="000A2F8C">
        <w:rPr>
          <w:color w:val="000000"/>
        </w:rPr>
        <w:t>, Case No. 11-4444-PL-ATA.</w:t>
      </w:r>
      <w:r>
        <w:rPr>
          <w:i/>
          <w:color w:val="000000"/>
        </w:rPr>
        <w:t xml:space="preserve"> </w:t>
      </w:r>
      <w:r w:rsidRPr="000A2F8C">
        <w:rPr>
          <w:color w:val="000000"/>
        </w:rPr>
        <w:t xml:space="preserve"> In its application, Spelman stated that it had </w:t>
      </w:r>
      <w:r>
        <w:rPr>
          <w:color w:val="000000"/>
        </w:rPr>
        <w:t>“</w:t>
      </w:r>
      <w:r w:rsidRPr="000A2F8C">
        <w:rPr>
          <w:color w:val="000000"/>
        </w:rPr>
        <w:t>the requisite technical, financial and managerial capability needed to operate this type of transmission system.</w:t>
      </w:r>
      <w:r>
        <w:rPr>
          <w:color w:val="000000"/>
        </w:rPr>
        <w:t>”</w:t>
      </w:r>
      <w:r w:rsidRPr="000A2F8C">
        <w:rPr>
          <w:color w:val="000000"/>
        </w:rPr>
        <w:t xml:space="preserve">  In support of that state</w:t>
      </w:r>
      <w:r>
        <w:rPr>
          <w:color w:val="000000"/>
        </w:rPr>
        <w:softHyphen/>
      </w:r>
      <w:r w:rsidRPr="000A2F8C">
        <w:rPr>
          <w:color w:val="000000"/>
        </w:rPr>
        <w:t xml:space="preserve">ment, Spelman attached a document specifying the </w:t>
      </w:r>
      <w:r>
        <w:rPr>
          <w:color w:val="000000"/>
        </w:rPr>
        <w:t>“</w:t>
      </w:r>
      <w:r w:rsidRPr="000A2F8C">
        <w:rPr>
          <w:color w:val="000000"/>
        </w:rPr>
        <w:t>Technical and Managerial Experi</w:t>
      </w:r>
      <w:r>
        <w:rPr>
          <w:color w:val="000000"/>
        </w:rPr>
        <w:softHyphen/>
      </w:r>
      <w:r w:rsidRPr="000A2F8C">
        <w:rPr>
          <w:color w:val="000000"/>
        </w:rPr>
        <w:t>ence of Key Personnel,</w:t>
      </w:r>
      <w:r>
        <w:rPr>
          <w:color w:val="000000"/>
        </w:rPr>
        <w:t>”</w:t>
      </w:r>
      <w:r w:rsidRPr="000A2F8C">
        <w:rPr>
          <w:color w:val="000000"/>
        </w:rPr>
        <w:t xml:space="preserve"> identifying Martin K. Whelan as its president, with no mention of Mr. Smith.  The Commission approved the application, specifically relying on </w:t>
      </w:r>
      <w:r>
        <w:rPr>
          <w:color w:val="000000"/>
        </w:rPr>
        <w:t>“</w:t>
      </w:r>
      <w:r w:rsidRPr="000A2F8C">
        <w:t>the affidavit of Martin K. Whelan, president of Spelman.</w:t>
      </w:r>
      <w:r>
        <w:t>”</w:t>
      </w:r>
      <w:r w:rsidRPr="000A2F8C">
        <w:t xml:space="preserve">  </w:t>
      </w:r>
      <w:r w:rsidRPr="000A2F8C">
        <w:rPr>
          <w:i/>
        </w:rPr>
        <w:t>Id</w:t>
      </w:r>
      <w:r w:rsidRPr="000A2F8C">
        <w:t>. (Finding and Order at 2) (Oct.</w:t>
      </w:r>
      <w:r>
        <w:t> </w:t>
      </w:r>
      <w:r w:rsidRPr="000A2F8C">
        <w:t xml:space="preserve">12, 2011). </w:t>
      </w:r>
    </w:p>
  </w:footnote>
  <w:footnote w:id="84">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t xml:space="preserve">Tr. </w:t>
      </w:r>
      <w:r>
        <w:t xml:space="preserve">IV </w:t>
      </w:r>
      <w:r w:rsidRPr="000A2F8C">
        <w:t>849.</w:t>
      </w:r>
    </w:p>
  </w:footnote>
  <w:footnote w:id="85">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860.</w:t>
      </w:r>
    </w:p>
  </w:footnote>
  <w:footnote w:id="86">
    <w:p w:rsidR="00DB2C7B" w:rsidRPr="005C41F4"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rsidRPr="005C41F4">
        <w:rPr>
          <w:i/>
        </w:rPr>
        <w:t>Id</w:t>
      </w:r>
      <w:r w:rsidRPr="005C41F4">
        <w:t>. at 946.</w:t>
      </w:r>
    </w:p>
  </w:footnote>
  <w:footnote w:id="87">
    <w:p w:rsidR="00DB2C7B" w:rsidRPr="005C41F4"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rsidRPr="005C41F4">
        <w:rPr>
          <w:i/>
        </w:rPr>
        <w:t>Id</w:t>
      </w:r>
      <w:r w:rsidRPr="005C41F4">
        <w:t>. at 855.</w:t>
      </w:r>
    </w:p>
  </w:footnote>
  <w:footnote w:id="88">
    <w:p w:rsidR="00DB2C7B" w:rsidRPr="005C41F4"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0094089E">
        <w:tab/>
        <w:t xml:space="preserve">Tr. </w:t>
      </w:r>
      <w:r w:rsidRPr="005C41F4">
        <w:t>IV at 870.</w:t>
      </w:r>
    </w:p>
  </w:footnote>
  <w:footnote w:id="89">
    <w:p w:rsidR="00DB2C7B" w:rsidRPr="005C41F4"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5C41F4">
        <w:tab/>
      </w:r>
      <w:r w:rsidRPr="005C41F4">
        <w:rPr>
          <w:i/>
        </w:rPr>
        <w:t>Id</w:t>
      </w:r>
      <w:r w:rsidRPr="005C41F4">
        <w:t>. at 846.</w:t>
      </w:r>
    </w:p>
  </w:footnote>
  <w:footnote w:id="90">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Pr>
          <w:i/>
        </w:rPr>
        <w:t>Id</w:t>
      </w:r>
      <w:r w:rsidRPr="000A2F8C">
        <w:t>. at 902.</w:t>
      </w:r>
    </w:p>
  </w:footnote>
  <w:footnote w:id="91">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w:t>
      </w:r>
    </w:p>
  </w:footnote>
  <w:footnote w:id="92">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t>While this was Mr. Smith</w:t>
      </w:r>
      <w:r>
        <w:t>’</w:t>
      </w:r>
      <w:r w:rsidRPr="000A2F8C">
        <w:t>s testimony, Staff witness Lipnis testified that Ohio Con</w:t>
      </w:r>
      <w:r>
        <w:softHyphen/>
      </w:r>
      <w:r w:rsidRPr="000A2F8C">
        <w:t>troller didn</w:t>
      </w:r>
      <w:r>
        <w:t>’</w:t>
      </w:r>
      <w:r w:rsidRPr="000A2F8C">
        <w:t xml:space="preserve">t report to the corporate controller while she was corporate controller.  </w:t>
      </w:r>
      <w:r>
        <w:t>Tr. III</w:t>
      </w:r>
      <w:r w:rsidRPr="000A2F8C">
        <w:t xml:space="preserve"> at 606. </w:t>
      </w:r>
    </w:p>
  </w:footnote>
  <w:footnote w:id="93">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t>Tr. IV</w:t>
      </w:r>
      <w:r w:rsidRPr="000A2F8C">
        <w:t xml:space="preserve"> at 852.</w:t>
      </w:r>
    </w:p>
  </w:footnote>
  <w:footnote w:id="94">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t xml:space="preserve">Tr. </w:t>
      </w:r>
      <w:r>
        <w:t xml:space="preserve">II </w:t>
      </w:r>
      <w:r w:rsidRPr="000A2F8C">
        <w:t>at 252-253.</w:t>
      </w:r>
    </w:p>
  </w:footnote>
  <w:footnote w:id="95">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t xml:space="preserve">Tr. I </w:t>
      </w:r>
      <w:r w:rsidRPr="000A2F8C">
        <w:t>at 154.</w:t>
      </w:r>
    </w:p>
  </w:footnote>
  <w:footnote w:id="96">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67.</w:t>
      </w:r>
    </w:p>
  </w:footnote>
  <w:footnote w:id="97">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t>Tr</w:t>
      </w:r>
      <w:r w:rsidRPr="000A2F8C">
        <w:t xml:space="preserve">. </w:t>
      </w:r>
      <w:r>
        <w:t xml:space="preserve">I </w:t>
      </w:r>
      <w:r w:rsidRPr="000A2F8C">
        <w:t>at 102-103.</w:t>
      </w:r>
    </w:p>
  </w:footnote>
  <w:footnote w:id="98">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50.</w:t>
      </w:r>
    </w:p>
  </w:footnote>
  <w:footnote w:id="99">
    <w:p w:rsidR="00DB2C7B" w:rsidRPr="000A2F8C" w:rsidRDefault="00DB2C7B" w:rsidP="00AD50E7">
      <w:pPr>
        <w:pStyle w:val="FootnoteText"/>
        <w:spacing w:after="200"/>
      </w:pPr>
      <w:r w:rsidRPr="00AD50E7">
        <w:rPr>
          <w:rStyle w:val="FootnoteReference"/>
          <w:sz w:val="26"/>
          <w:szCs w:val="26"/>
        </w:rPr>
        <w:footnoteRef/>
      </w:r>
      <w:r>
        <w:rPr>
          <w:sz w:val="26"/>
          <w:szCs w:val="26"/>
        </w:rPr>
        <w:t xml:space="preserve"> </w:t>
      </w:r>
      <w:r>
        <w:rPr>
          <w:sz w:val="26"/>
          <w:szCs w:val="26"/>
        </w:rPr>
        <w:tab/>
      </w:r>
      <w:r w:rsidRPr="000A2F8C">
        <w:tab/>
        <w:t xml:space="preserve">Tr. </w:t>
      </w:r>
      <w:r>
        <w:t xml:space="preserve">II </w:t>
      </w:r>
      <w:r w:rsidRPr="000A2F8C">
        <w:t>at 243.</w:t>
      </w:r>
    </w:p>
  </w:footnote>
  <w:footnote w:id="100">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t xml:space="preserve">Tr. I </w:t>
      </w:r>
      <w:r w:rsidRPr="000A2F8C">
        <w:t>at 32.</w:t>
      </w:r>
    </w:p>
  </w:footnote>
  <w:footnote w:id="101">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34.</w:t>
      </w:r>
    </w:p>
  </w:footnote>
  <w:footnote w:id="102">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46.</w:t>
      </w:r>
    </w:p>
  </w:footnote>
  <w:footnote w:id="103">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t>Tr</w:t>
      </w:r>
      <w:r w:rsidRPr="000A2F8C">
        <w:t xml:space="preserve">. </w:t>
      </w:r>
      <w:r>
        <w:t xml:space="preserve">I </w:t>
      </w:r>
      <w:r w:rsidRPr="000A2F8C">
        <w:t>at 33, 35.</w:t>
      </w:r>
    </w:p>
  </w:footnote>
  <w:footnote w:id="104">
    <w:p w:rsidR="00DB2C7B" w:rsidRPr="000A2F8C" w:rsidRDefault="00DB2C7B" w:rsidP="0066214F">
      <w:pPr>
        <w:pStyle w:val="FootnoteText"/>
        <w:spacing w:after="200"/>
      </w:pPr>
      <w:r w:rsidRPr="0066214F">
        <w:rPr>
          <w:rStyle w:val="FootnoteReference"/>
          <w:sz w:val="26"/>
          <w:szCs w:val="26"/>
        </w:rPr>
        <w:footnoteRef/>
      </w:r>
      <w:r w:rsidRPr="0066214F">
        <w:rPr>
          <w:sz w:val="26"/>
          <w:szCs w:val="26"/>
        </w:rPr>
        <w:t xml:space="preserve"> </w:t>
      </w:r>
      <w:r w:rsidRPr="0066214F">
        <w:rPr>
          <w:sz w:val="26"/>
          <w:szCs w:val="26"/>
        </w:rPr>
        <w:tab/>
      </w:r>
      <w:r w:rsidRPr="000A2F8C">
        <w:tab/>
      </w:r>
      <w:r w:rsidRPr="000A2F8C">
        <w:rPr>
          <w:i/>
        </w:rPr>
        <w:t>Id</w:t>
      </w:r>
      <w:r w:rsidRPr="000A2F8C">
        <w:t>. at 139-142.</w:t>
      </w:r>
    </w:p>
  </w:footnote>
  <w:footnote w:id="105">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140.</w:t>
      </w:r>
    </w:p>
  </w:footnote>
  <w:footnote w:id="106">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t>Tr. II at</w:t>
      </w:r>
      <w:r w:rsidRPr="000A2F8C">
        <w:t xml:space="preserve"> 333.</w:t>
      </w:r>
    </w:p>
  </w:footnote>
  <w:footnote w:id="107">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t>Tr. II</w:t>
      </w:r>
      <w:r w:rsidRPr="000A2F8C">
        <w:t xml:space="preserve"> at 337.</w:t>
      </w:r>
    </w:p>
  </w:footnote>
  <w:footnote w:id="108">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Pr>
          <w:i/>
        </w:rPr>
        <w:t>Id</w:t>
      </w:r>
      <w:r>
        <w:t>. a</w:t>
      </w:r>
      <w:r w:rsidRPr="000A2F8C">
        <w:t>t 280.</w:t>
      </w:r>
    </w:p>
  </w:footnote>
  <w:footnote w:id="109">
    <w:p w:rsidR="00DB2C7B" w:rsidRPr="005C41F4"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5C41F4">
        <w:tab/>
      </w:r>
      <w:r>
        <w:t xml:space="preserve">Tr. IV </w:t>
      </w:r>
      <w:r w:rsidRPr="005C41F4">
        <w:t>at 911.</w:t>
      </w:r>
    </w:p>
  </w:footnote>
  <w:footnote w:id="110">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t>Tr.</w:t>
      </w:r>
      <w:r>
        <w:t xml:space="preserve"> IV</w:t>
      </w:r>
      <w:r w:rsidRPr="000A2F8C">
        <w:t xml:space="preserve"> at 932.</w:t>
      </w:r>
    </w:p>
  </w:footnote>
  <w:footnote w:id="111">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963.</w:t>
      </w:r>
    </w:p>
  </w:footnote>
  <w:footnote w:id="112">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0A2F8C">
        <w:tab/>
      </w:r>
      <w:r w:rsidRPr="000A2F8C">
        <w:rPr>
          <w:i/>
        </w:rPr>
        <w:t>Id</w:t>
      </w:r>
      <w:r w:rsidRPr="000A2F8C">
        <w:t>. at 925.</w:t>
      </w:r>
    </w:p>
  </w:footnote>
  <w:footnote w:id="113">
    <w:p w:rsidR="00DB2C7B" w:rsidRPr="000A2F8C" w:rsidRDefault="00DB2C7B" w:rsidP="0066214F">
      <w:pPr>
        <w:pStyle w:val="FootnoteText"/>
        <w:spacing w:after="200"/>
      </w:pPr>
      <w:r w:rsidRPr="0066214F">
        <w:rPr>
          <w:rStyle w:val="FootnoteReference"/>
          <w:sz w:val="26"/>
          <w:szCs w:val="26"/>
        </w:rPr>
        <w:footnoteRef/>
      </w:r>
      <w:r w:rsidRPr="0066214F">
        <w:rPr>
          <w:sz w:val="26"/>
          <w:szCs w:val="26"/>
        </w:rPr>
        <w:t xml:space="preserve"> </w:t>
      </w:r>
      <w:r w:rsidRPr="0066214F">
        <w:rPr>
          <w:sz w:val="26"/>
          <w:szCs w:val="26"/>
        </w:rPr>
        <w:tab/>
      </w:r>
      <w:r w:rsidRPr="000A2F8C">
        <w:tab/>
      </w:r>
      <w:r w:rsidRPr="000A2F8C">
        <w:rPr>
          <w:i/>
        </w:rPr>
        <w:t>Id</w:t>
      </w:r>
      <w:r w:rsidRPr="000A2F8C">
        <w:t>. at 1000.</w:t>
      </w:r>
    </w:p>
  </w:footnote>
  <w:footnote w:id="114">
    <w:p w:rsidR="00DB2C7B" w:rsidRPr="000A2F8C" w:rsidRDefault="00DB2C7B" w:rsidP="0066214F">
      <w:pPr>
        <w:pStyle w:val="FootnoteText"/>
        <w:spacing w:after="200"/>
      </w:pPr>
      <w:r w:rsidRPr="0066214F">
        <w:rPr>
          <w:rStyle w:val="FootnoteReference"/>
          <w:sz w:val="26"/>
          <w:szCs w:val="26"/>
        </w:rPr>
        <w:footnoteRef/>
      </w:r>
      <w:r w:rsidRPr="0066214F">
        <w:rPr>
          <w:sz w:val="26"/>
          <w:szCs w:val="26"/>
        </w:rPr>
        <w:t xml:space="preserve"> </w:t>
      </w:r>
      <w:r w:rsidRPr="0066214F">
        <w:rPr>
          <w:sz w:val="26"/>
          <w:szCs w:val="26"/>
        </w:rPr>
        <w:tab/>
      </w:r>
      <w:r w:rsidRPr="000A2F8C">
        <w:tab/>
      </w:r>
      <w:r w:rsidRPr="000A2F8C">
        <w:rPr>
          <w:i/>
        </w:rPr>
        <w:t>Id</w:t>
      </w:r>
      <w:r w:rsidRPr="000A2F8C">
        <w:t xml:space="preserve">. at 906. </w:t>
      </w:r>
    </w:p>
  </w:footnote>
  <w:footnote w:id="115">
    <w:p w:rsidR="00DB2C7B" w:rsidRPr="000A2F8C" w:rsidRDefault="00DB2C7B" w:rsidP="0066214F">
      <w:pPr>
        <w:pStyle w:val="FootnoteText"/>
        <w:spacing w:after="200"/>
      </w:pPr>
      <w:r w:rsidRPr="0066214F">
        <w:rPr>
          <w:rStyle w:val="FootnoteReference"/>
          <w:sz w:val="26"/>
          <w:szCs w:val="26"/>
        </w:rPr>
        <w:footnoteRef/>
      </w:r>
      <w:r w:rsidRPr="0066214F">
        <w:rPr>
          <w:sz w:val="26"/>
          <w:szCs w:val="26"/>
        </w:rPr>
        <w:t xml:space="preserve"> </w:t>
      </w:r>
      <w:r w:rsidRPr="0066214F">
        <w:rPr>
          <w:sz w:val="26"/>
          <w:szCs w:val="26"/>
        </w:rPr>
        <w:tab/>
      </w:r>
      <w:r w:rsidRPr="000A2F8C">
        <w:tab/>
      </w:r>
      <w:r>
        <w:t>Tr. IV</w:t>
      </w:r>
      <w:r w:rsidRPr="000A2F8C">
        <w:t xml:space="preserve"> at 907.</w:t>
      </w:r>
    </w:p>
  </w:footnote>
  <w:footnote w:id="116">
    <w:p w:rsidR="00DB2C7B" w:rsidRPr="000A2F8C" w:rsidRDefault="00DB2C7B" w:rsidP="0066214F">
      <w:pPr>
        <w:pStyle w:val="FootnoteText"/>
        <w:spacing w:after="200"/>
      </w:pPr>
      <w:r w:rsidRPr="0066214F">
        <w:rPr>
          <w:rStyle w:val="FootnoteReference"/>
          <w:sz w:val="26"/>
          <w:szCs w:val="26"/>
        </w:rPr>
        <w:footnoteRef/>
      </w:r>
      <w:r w:rsidRPr="0066214F">
        <w:rPr>
          <w:sz w:val="26"/>
          <w:szCs w:val="26"/>
        </w:rPr>
        <w:t xml:space="preserve"> </w:t>
      </w:r>
      <w:r w:rsidRPr="0066214F">
        <w:rPr>
          <w:sz w:val="26"/>
          <w:szCs w:val="26"/>
        </w:rPr>
        <w:tab/>
      </w:r>
      <w:r w:rsidRPr="000A2F8C">
        <w:tab/>
      </w:r>
      <w:r w:rsidRPr="000A2F8C">
        <w:rPr>
          <w:i/>
        </w:rPr>
        <w:t>Id</w:t>
      </w:r>
      <w:r w:rsidRPr="000A2F8C">
        <w:t>. at 908.</w:t>
      </w:r>
    </w:p>
  </w:footnote>
  <w:footnote w:id="117">
    <w:p w:rsidR="00DB2C7B" w:rsidRPr="000A2F8C" w:rsidRDefault="00DB2C7B" w:rsidP="0066214F">
      <w:pPr>
        <w:pStyle w:val="FootnoteText"/>
        <w:spacing w:after="200"/>
      </w:pPr>
      <w:r w:rsidRPr="0066214F">
        <w:rPr>
          <w:rStyle w:val="FootnoteReference"/>
          <w:sz w:val="26"/>
          <w:szCs w:val="26"/>
        </w:rPr>
        <w:footnoteRef/>
      </w:r>
      <w:r w:rsidRPr="0066214F">
        <w:rPr>
          <w:sz w:val="26"/>
          <w:szCs w:val="26"/>
        </w:rPr>
        <w:t xml:space="preserve"> </w:t>
      </w:r>
      <w:r w:rsidRPr="0066214F">
        <w:rPr>
          <w:sz w:val="26"/>
          <w:szCs w:val="26"/>
        </w:rPr>
        <w:tab/>
      </w:r>
      <w:r w:rsidRPr="000A2F8C">
        <w:tab/>
      </w:r>
      <w:r w:rsidRPr="000A2F8C">
        <w:rPr>
          <w:i/>
        </w:rPr>
        <w:t>Id</w:t>
      </w:r>
      <w:r w:rsidRPr="000A2F8C">
        <w:t>. at 878.</w:t>
      </w:r>
    </w:p>
  </w:footnote>
  <w:footnote w:id="118">
    <w:p w:rsidR="00DB2C7B" w:rsidRPr="000A2F8C" w:rsidRDefault="00DB2C7B" w:rsidP="0066214F">
      <w:pPr>
        <w:pStyle w:val="FootnoteText"/>
        <w:spacing w:after="200"/>
      </w:pPr>
      <w:r w:rsidRPr="0066214F">
        <w:rPr>
          <w:rStyle w:val="FootnoteReference"/>
          <w:sz w:val="26"/>
          <w:szCs w:val="26"/>
        </w:rPr>
        <w:footnoteRef/>
      </w:r>
      <w:r w:rsidRPr="0066214F">
        <w:rPr>
          <w:sz w:val="26"/>
          <w:szCs w:val="26"/>
        </w:rPr>
        <w:t xml:space="preserve"> </w:t>
      </w:r>
      <w:r w:rsidRPr="0066214F">
        <w:rPr>
          <w:sz w:val="26"/>
          <w:szCs w:val="26"/>
        </w:rPr>
        <w:tab/>
      </w:r>
      <w:r>
        <w:rPr>
          <w:sz w:val="26"/>
          <w:szCs w:val="26"/>
        </w:rPr>
        <w:tab/>
      </w:r>
      <w:r>
        <w:rPr>
          <w:i/>
        </w:rPr>
        <w:t>Id</w:t>
      </w:r>
      <w:r>
        <w:t xml:space="preserve">. </w:t>
      </w:r>
      <w:r w:rsidRPr="000A2F8C">
        <w:t>at 911.</w:t>
      </w:r>
    </w:p>
  </w:footnote>
  <w:footnote w:id="119">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rsidRPr="000A2F8C">
        <w:rPr>
          <w:i/>
        </w:rPr>
        <w:t>Id</w:t>
      </w:r>
      <w:r w:rsidRPr="000A2F8C">
        <w:t>. at 916.</w:t>
      </w:r>
    </w:p>
  </w:footnote>
  <w:footnote w:id="120">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t xml:space="preserve">Tr. II </w:t>
      </w:r>
      <w:r w:rsidRPr="000A2F8C">
        <w:t>at 346.</w:t>
      </w:r>
    </w:p>
  </w:footnote>
  <w:footnote w:id="121">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t xml:space="preserve">Tr. III </w:t>
      </w:r>
      <w:r w:rsidRPr="000A2F8C">
        <w:t xml:space="preserve">at 611. </w:t>
      </w:r>
    </w:p>
  </w:footnote>
  <w:footnote w:id="122">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t xml:space="preserve">Tr. IV </w:t>
      </w:r>
      <w:r w:rsidRPr="000A2F8C">
        <w:t>at 908.</w:t>
      </w:r>
    </w:p>
  </w:footnote>
  <w:footnote w:id="123">
    <w:p w:rsidR="00DB2C7B" w:rsidRPr="000A2F8C"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Pr>
          <w:sz w:val="26"/>
          <w:szCs w:val="26"/>
        </w:rPr>
        <w:tab/>
      </w:r>
      <w:r>
        <w:t>Tr. IV</w:t>
      </w:r>
      <w:r w:rsidRPr="000A2F8C">
        <w:t xml:space="preserve"> at 915.</w:t>
      </w:r>
    </w:p>
  </w:footnote>
  <w:footnote w:id="124">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Pr>
          <w:i/>
        </w:rPr>
        <w:t>Id</w:t>
      </w:r>
      <w:r>
        <w:t xml:space="preserve">. </w:t>
      </w:r>
      <w:r w:rsidRPr="00E77986">
        <w:t>at 878.</w:t>
      </w:r>
    </w:p>
  </w:footnote>
  <w:footnote w:id="125">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sidRPr="00E77986">
        <w:rPr>
          <w:i/>
        </w:rPr>
        <w:t>Id</w:t>
      </w:r>
      <w:r w:rsidRPr="00E77986">
        <w:t>. at 910.</w:t>
      </w:r>
    </w:p>
  </w:footnote>
  <w:footnote w:id="126">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sidRPr="00E77986">
        <w:rPr>
          <w:i/>
        </w:rPr>
        <w:t>Id</w:t>
      </w:r>
      <w:r w:rsidRPr="00E77986">
        <w:t>. at 885.</w:t>
      </w:r>
    </w:p>
  </w:footnote>
  <w:footnote w:id="127">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 xml:space="preserve">Tr. IV </w:t>
      </w:r>
      <w:r w:rsidRPr="00E77986">
        <w:t>at 964-965.</w:t>
      </w:r>
    </w:p>
  </w:footnote>
  <w:footnote w:id="128">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Pr>
          <w:i/>
        </w:rPr>
        <w:t>Id</w:t>
      </w:r>
      <w:r>
        <w:t xml:space="preserve">. </w:t>
      </w:r>
      <w:r w:rsidRPr="00E77986">
        <w:t>at 999-1000.</w:t>
      </w:r>
    </w:p>
  </w:footnote>
  <w:footnote w:id="129">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Tr. II a</w:t>
      </w:r>
      <w:r w:rsidRPr="00E77986">
        <w:t>t 298.</w:t>
      </w:r>
    </w:p>
  </w:footnote>
  <w:footnote w:id="130">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sidRPr="00E77986">
        <w:rPr>
          <w:i/>
        </w:rPr>
        <w:t>Id</w:t>
      </w:r>
      <w:r w:rsidRPr="00E77986">
        <w:t xml:space="preserve">. at 334. </w:t>
      </w:r>
    </w:p>
  </w:footnote>
  <w:footnote w:id="131">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 xml:space="preserve">Tr. IV </w:t>
      </w:r>
      <w:r w:rsidRPr="00E77986">
        <w:t>at 945, 994.</w:t>
      </w:r>
    </w:p>
  </w:footnote>
  <w:footnote w:id="132">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sidRPr="00E77986">
        <w:rPr>
          <w:i/>
        </w:rPr>
        <w:t>Id</w:t>
      </w:r>
      <w:r w:rsidRPr="00E77986">
        <w:t>. at 877.</w:t>
      </w:r>
    </w:p>
  </w:footnote>
  <w:footnote w:id="133">
    <w:p w:rsidR="00DB2C7B" w:rsidRPr="006603A0"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6603A0">
        <w:tab/>
      </w:r>
      <w:hyperlink r:id="rId1" w:history="1">
        <w:r w:rsidRPr="006603A0">
          <w:t>Pub.L. 107–204</w:t>
        </w:r>
      </w:hyperlink>
      <w:r w:rsidRPr="006603A0">
        <w:t>.</w:t>
      </w:r>
    </w:p>
  </w:footnote>
  <w:footnote w:id="134">
    <w:p w:rsidR="00DB2C7B" w:rsidRPr="006603A0"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6603A0">
        <w:tab/>
      </w:r>
      <w:r w:rsidRPr="006603A0">
        <w:rPr>
          <w:lang w:val="en"/>
        </w:rPr>
        <w:t xml:space="preserve">Tr. </w:t>
      </w:r>
      <w:r>
        <w:rPr>
          <w:lang w:val="en"/>
        </w:rPr>
        <w:t xml:space="preserve">IV </w:t>
      </w:r>
      <w:r w:rsidRPr="006603A0">
        <w:rPr>
          <w:lang w:val="en"/>
        </w:rPr>
        <w:t>at 933.</w:t>
      </w:r>
    </w:p>
  </w:footnote>
  <w:footnote w:id="135">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Pr>
          <w:lang w:val="en"/>
        </w:rPr>
        <w:t>Tr. IV</w:t>
      </w:r>
      <w:r w:rsidRPr="00E77986">
        <w:rPr>
          <w:lang w:val="en"/>
        </w:rPr>
        <w:t xml:space="preserve"> at 966.</w:t>
      </w:r>
    </w:p>
  </w:footnote>
  <w:footnote w:id="136">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Tr</w:t>
      </w:r>
      <w:r w:rsidRPr="00E77986">
        <w:t xml:space="preserve">. </w:t>
      </w:r>
      <w:r>
        <w:t xml:space="preserve">II </w:t>
      </w:r>
      <w:r w:rsidRPr="00E77986">
        <w:t xml:space="preserve">at </w:t>
      </w:r>
      <w:r w:rsidRPr="00E77986">
        <w:rPr>
          <w:lang w:val="en"/>
        </w:rPr>
        <w:t>300</w:t>
      </w:r>
    </w:p>
  </w:footnote>
  <w:footnote w:id="137">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 xml:space="preserve">Tr. IV </w:t>
      </w:r>
      <w:r w:rsidRPr="00E77986">
        <w:t xml:space="preserve">at </w:t>
      </w:r>
      <w:r w:rsidRPr="00E77986">
        <w:rPr>
          <w:lang w:val="en"/>
        </w:rPr>
        <w:t>994.</w:t>
      </w:r>
    </w:p>
  </w:footnote>
  <w:footnote w:id="138">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sidRPr="00E77986">
        <w:rPr>
          <w:i/>
        </w:rPr>
        <w:t>Id</w:t>
      </w:r>
      <w:r w:rsidRPr="00E77986">
        <w:t xml:space="preserve">. at </w:t>
      </w:r>
      <w:r w:rsidRPr="00E77986">
        <w:rPr>
          <w:lang w:val="en"/>
        </w:rPr>
        <w:t>873.</w:t>
      </w:r>
    </w:p>
  </w:footnote>
  <w:footnote w:id="139">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Pr>
          <w:lang w:val="en"/>
        </w:rPr>
        <w:t xml:space="preserve">Tr. II </w:t>
      </w:r>
      <w:r w:rsidRPr="00E77986">
        <w:rPr>
          <w:lang w:val="en"/>
        </w:rPr>
        <w:t>at 292.</w:t>
      </w:r>
    </w:p>
  </w:footnote>
  <w:footnote w:id="140">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 xml:space="preserve">Tr. I </w:t>
      </w:r>
      <w:r w:rsidRPr="00E77986">
        <w:t>at 115.</w:t>
      </w:r>
    </w:p>
  </w:footnote>
  <w:footnote w:id="141">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t xml:space="preserve">Tr. </w:t>
      </w:r>
      <w:r>
        <w:t xml:space="preserve">III </w:t>
      </w:r>
      <w:r w:rsidRPr="00E77986">
        <w:t>at 543-545.</w:t>
      </w:r>
    </w:p>
  </w:footnote>
  <w:footnote w:id="142">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Tr. III</w:t>
      </w:r>
      <w:r w:rsidRPr="00E77986">
        <w:t xml:space="preserve"> at 548.</w:t>
      </w:r>
    </w:p>
  </w:footnote>
  <w:footnote w:id="143">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Pr>
          <w:i/>
        </w:rPr>
        <w:t>Id</w:t>
      </w:r>
      <w:r w:rsidRPr="00E77986">
        <w:t>. at 579, 642-643.</w:t>
      </w:r>
    </w:p>
  </w:footnote>
  <w:footnote w:id="144">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Pr>
          <w:i/>
        </w:rPr>
        <w:t>Id</w:t>
      </w:r>
      <w:r w:rsidRPr="00E77986">
        <w:t>. at 654.</w:t>
      </w:r>
    </w:p>
  </w:footnote>
  <w:footnote w:id="145">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rsidRPr="00E77986">
        <w:rPr>
          <w:i/>
        </w:rPr>
        <w:t>Id</w:t>
      </w:r>
      <w:r w:rsidRPr="00E77986">
        <w:t>. at 597.</w:t>
      </w:r>
    </w:p>
  </w:footnote>
  <w:footnote w:id="146">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Tr</w:t>
      </w:r>
      <w:r w:rsidRPr="00E77986">
        <w:t xml:space="preserve">. </w:t>
      </w:r>
      <w:r>
        <w:t xml:space="preserve">II </w:t>
      </w:r>
      <w:r w:rsidRPr="00E77986">
        <w:t>at 303.</w:t>
      </w:r>
    </w:p>
  </w:footnote>
  <w:footnote w:id="147">
    <w:p w:rsidR="00DB2C7B" w:rsidRPr="00E77986" w:rsidRDefault="00DB2C7B" w:rsidP="00572121">
      <w:pPr>
        <w:pStyle w:val="FootnoteText"/>
        <w:spacing w:after="200"/>
      </w:pPr>
      <w:r w:rsidRPr="00572121">
        <w:rPr>
          <w:rStyle w:val="FootnoteReference"/>
          <w:sz w:val="26"/>
          <w:szCs w:val="26"/>
        </w:rPr>
        <w:footnoteRef/>
      </w:r>
      <w:r w:rsidRPr="00572121">
        <w:rPr>
          <w:sz w:val="26"/>
          <w:szCs w:val="26"/>
        </w:rPr>
        <w:t xml:space="preserve"> </w:t>
      </w:r>
      <w:r w:rsidRPr="00572121">
        <w:rPr>
          <w:sz w:val="26"/>
          <w:szCs w:val="26"/>
        </w:rPr>
        <w:tab/>
      </w:r>
      <w:r w:rsidRPr="00E77986">
        <w:tab/>
        <w:t xml:space="preserve">Although she denied that she could change anything, Ms. Howell did admit that she had access to the financial accounting software of the LDCs.  </w:t>
      </w:r>
      <w:r>
        <w:t xml:space="preserve">Tr. IV </w:t>
      </w:r>
      <w:r w:rsidRPr="00E77986">
        <w:t>at 958.</w:t>
      </w:r>
    </w:p>
  </w:footnote>
  <w:footnote w:id="148">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 xml:space="preserve">Tr. III </w:t>
      </w:r>
      <w:r w:rsidRPr="00E77986">
        <w:t>at 534.</w:t>
      </w:r>
    </w:p>
  </w:footnote>
  <w:footnote w:id="149">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Tr. II a</w:t>
      </w:r>
      <w:r w:rsidRPr="00E77986">
        <w:t>t 358.</w:t>
      </w:r>
    </w:p>
  </w:footnote>
  <w:footnote w:id="150">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 xml:space="preserve">Tr. II </w:t>
      </w:r>
      <w:r w:rsidRPr="00E77986">
        <w:t>at 354-355.</w:t>
      </w:r>
    </w:p>
  </w:footnote>
  <w:footnote w:id="151">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Tr</w:t>
      </w:r>
      <w:r w:rsidRPr="00E77986">
        <w:t>.</w:t>
      </w:r>
      <w:r>
        <w:t xml:space="preserve"> III</w:t>
      </w:r>
      <w:r w:rsidRPr="00E77986">
        <w:t xml:space="preserve"> at 566.</w:t>
      </w:r>
    </w:p>
  </w:footnote>
  <w:footnote w:id="152">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 xml:space="preserve">Tr. IV </w:t>
      </w:r>
      <w:r w:rsidRPr="00E77986">
        <w:t>at 873.</w:t>
      </w:r>
    </w:p>
  </w:footnote>
  <w:footnote w:id="153">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Tr. IV</w:t>
      </w:r>
      <w:r w:rsidRPr="00E77986">
        <w:t xml:space="preserve"> </w:t>
      </w:r>
      <w:r>
        <w:t xml:space="preserve">at </w:t>
      </w:r>
      <w:r w:rsidRPr="00E77986">
        <w:t>874.</w:t>
      </w:r>
    </w:p>
  </w:footnote>
  <w:footnote w:id="154">
    <w:p w:rsidR="00DB2C7B" w:rsidRPr="00E77986" w:rsidRDefault="00DB2C7B" w:rsidP="00AD50E7">
      <w:pPr>
        <w:pStyle w:val="FootnoteText"/>
        <w:spacing w:after="200"/>
      </w:pPr>
      <w:r w:rsidRPr="00AD50E7">
        <w:rPr>
          <w:rStyle w:val="FootnoteReference"/>
          <w:sz w:val="26"/>
          <w:szCs w:val="26"/>
        </w:rPr>
        <w:footnoteRef/>
      </w:r>
      <w:r w:rsidRPr="00AD50E7">
        <w:rPr>
          <w:sz w:val="26"/>
          <w:szCs w:val="26"/>
        </w:rPr>
        <w:t xml:space="preserve"> </w:t>
      </w:r>
      <w:r w:rsidRPr="00AD50E7">
        <w:rPr>
          <w:sz w:val="26"/>
          <w:szCs w:val="26"/>
        </w:rPr>
        <w:tab/>
      </w:r>
      <w:r w:rsidRPr="00E77986">
        <w:tab/>
      </w:r>
      <w:r>
        <w:t>Tr</w:t>
      </w:r>
      <w:r w:rsidRPr="00E77986">
        <w:t xml:space="preserve">. </w:t>
      </w:r>
      <w:r>
        <w:t xml:space="preserve">II </w:t>
      </w:r>
      <w:r w:rsidRPr="00E77986">
        <w:t>at 331-332.</w:t>
      </w:r>
    </w:p>
  </w:footnote>
  <w:footnote w:id="155">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t xml:space="preserve">Tr. III </w:t>
      </w:r>
      <w:r w:rsidRPr="00E77986">
        <w:t>at 517.</w:t>
      </w:r>
    </w:p>
  </w:footnote>
  <w:footnote w:id="156">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t xml:space="preserve">Tr. II </w:t>
      </w:r>
      <w:r w:rsidRPr="00E77986">
        <w:t>at 278.</w:t>
      </w:r>
    </w:p>
  </w:footnote>
  <w:footnote w:id="157">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t xml:space="preserve">Tr. IV </w:t>
      </w:r>
      <w:r w:rsidRPr="00E77986">
        <w:t>at 981.</w:t>
      </w:r>
    </w:p>
  </w:footnote>
  <w:footnote w:id="158">
    <w:p w:rsidR="00DB2C7B" w:rsidRPr="00506908" w:rsidRDefault="00DB2C7B" w:rsidP="0094089E">
      <w:pPr>
        <w:autoSpaceDE w:val="0"/>
        <w:autoSpaceDN w:val="0"/>
        <w:adjustRightInd w:val="0"/>
        <w:ind w:left="720" w:hanging="720"/>
      </w:pPr>
      <w:r>
        <w:rPr>
          <w:rStyle w:val="FootnoteReference"/>
        </w:rPr>
        <w:footnoteRef/>
      </w:r>
      <w:r>
        <w:t xml:space="preserve"> </w:t>
      </w:r>
      <w:r>
        <w:tab/>
      </w:r>
      <w:r>
        <w:tab/>
        <w:t xml:space="preserve">Indeed, even Ms. Howell was replaced as corporate controller during the course of the hearing. </w:t>
      </w:r>
      <w:r w:rsidR="0094089E">
        <w:t xml:space="preserve"> </w:t>
      </w:r>
      <w:r>
        <w:t>In its Form 8-K filed with the Securities and Exchange Commission on July 19, 2013, Gas Natural reported that “</w:t>
      </w:r>
      <w:r w:rsidRPr="0094089E">
        <w:t xml:space="preserve">on July 15, 2013, the Company appointed Donald R. Whiteman, age 72, as the corporate controller. </w:t>
      </w:r>
      <w:r w:rsidR="0094089E">
        <w:t xml:space="preserve"> </w:t>
      </w:r>
      <w:r w:rsidRPr="0094089E">
        <w:t>Mr. Whiteman started his career as</w:t>
      </w:r>
      <w:r>
        <w:t xml:space="preserve"> </w:t>
      </w:r>
      <w:r w:rsidRPr="0094089E">
        <w:t xml:space="preserve">the controller of Magnetics International, Inc., a publicly-held manufacturer of industrial products. </w:t>
      </w:r>
      <w:r w:rsidR="0094089E">
        <w:t xml:space="preserve"> </w:t>
      </w:r>
      <w:r w:rsidRPr="0094089E">
        <w:t>After Magnetics International was sold in</w:t>
      </w:r>
      <w:r>
        <w:t xml:space="preserve"> </w:t>
      </w:r>
      <w:r w:rsidRPr="0094089E">
        <w:t>1985, Mr. Whiteman served as corporate controller for various privately-held companies.</w:t>
      </w:r>
      <w:r w:rsidR="0094089E">
        <w:t xml:space="preserve"> </w:t>
      </w:r>
      <w:r w:rsidRPr="0094089E">
        <w:t xml:space="preserve"> From 2004 to 2009, Mr. Whiteman served as</w:t>
      </w:r>
      <w:r>
        <w:t xml:space="preserve"> </w:t>
      </w:r>
      <w:r w:rsidRPr="0094089E">
        <w:t>corporate controller of 2020 Train Avenue, a wholly-owned subsidiary of OsAir, Inc. (“OsAir”), which operates as a property developer and</w:t>
      </w:r>
      <w:r>
        <w:t xml:space="preserve"> </w:t>
      </w:r>
      <w:r w:rsidRPr="0094089E">
        <w:t xml:space="preserve">manufacturer of industrial gases for pipeline delivery. </w:t>
      </w:r>
      <w:r w:rsidR="0094089E">
        <w:t xml:space="preserve"> </w:t>
      </w:r>
      <w:r w:rsidRPr="0094089E">
        <w:t>In 2009, he was appointed corporate controller of OsAir when 2020 Train Avenue was</w:t>
      </w:r>
      <w:r>
        <w:t xml:space="preserve"> </w:t>
      </w:r>
      <w:r w:rsidRPr="0094089E">
        <w:t xml:space="preserve">sold. </w:t>
      </w:r>
      <w:r w:rsidR="0094089E">
        <w:t xml:space="preserve"> </w:t>
      </w:r>
      <w:r w:rsidRPr="0094089E">
        <w:t>Richard M. Osborne, the Company’s chief executive officer, is the president and chief executive officer of OsAir.</w:t>
      </w:r>
      <w:r>
        <w:t>”</w:t>
      </w:r>
    </w:p>
  </w:footnote>
  <w:footnote w:id="159">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t>Tr. IV</w:t>
      </w:r>
      <w:r w:rsidRPr="00E77986">
        <w:t xml:space="preserve"> at 1002.</w:t>
      </w:r>
    </w:p>
  </w:footnote>
  <w:footnote w:id="160">
    <w:p w:rsidR="00DB2C7B" w:rsidRPr="00E77986" w:rsidRDefault="00DB2C7B" w:rsidP="002B5EB2">
      <w:pPr>
        <w:pStyle w:val="FootnoteText"/>
        <w:spacing w:after="200"/>
      </w:pPr>
      <w:r w:rsidRPr="002B5EB2">
        <w:rPr>
          <w:rStyle w:val="FootnoteReference"/>
          <w:sz w:val="26"/>
          <w:szCs w:val="26"/>
        </w:rPr>
        <w:footnoteRef/>
      </w:r>
      <w:r w:rsidRPr="002B5EB2">
        <w:rPr>
          <w:sz w:val="26"/>
          <w:szCs w:val="26"/>
        </w:rPr>
        <w:t xml:space="preserve"> </w:t>
      </w:r>
      <w:r w:rsidRPr="002B5EB2">
        <w:rPr>
          <w:sz w:val="26"/>
          <w:szCs w:val="26"/>
        </w:rPr>
        <w:tab/>
      </w:r>
      <w:r w:rsidRPr="00E77986">
        <w:tab/>
      </w:r>
      <w:r w:rsidRPr="00E77986">
        <w:rPr>
          <w:i/>
        </w:rPr>
        <w:t>Id</w:t>
      </w:r>
      <w:r w:rsidRPr="00E77986">
        <w:t xml:space="preserve">. at 847. </w:t>
      </w:r>
    </w:p>
  </w:footnote>
  <w:footnote w:id="161">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rsidRPr="00E77986">
        <w:rPr>
          <w:i/>
        </w:rPr>
        <w:t>Id</w:t>
      </w:r>
      <w:r w:rsidRPr="00E77986">
        <w:t>. at 848.</w:t>
      </w:r>
    </w:p>
  </w:footnote>
  <w:footnote w:id="162">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t>Tr</w:t>
      </w:r>
      <w:r w:rsidRPr="00E77986">
        <w:t xml:space="preserve">. </w:t>
      </w:r>
      <w:r>
        <w:t xml:space="preserve">II </w:t>
      </w:r>
      <w:r w:rsidRPr="00E77986">
        <w:t>at 287.</w:t>
      </w:r>
    </w:p>
  </w:footnote>
  <w:footnote w:id="163">
    <w:p w:rsidR="00DB2C7B" w:rsidRPr="005C41F4"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Pr>
          <w:sz w:val="26"/>
          <w:szCs w:val="26"/>
        </w:rPr>
        <w:tab/>
      </w:r>
      <w:r>
        <w:t>Tr. II</w:t>
      </w:r>
      <w:r w:rsidRPr="005C41F4">
        <w:t xml:space="preserve"> at 338-339</w:t>
      </w:r>
      <w:r>
        <w:t>.</w:t>
      </w:r>
    </w:p>
  </w:footnote>
  <w:footnote w:id="164">
    <w:p w:rsidR="00DB2C7B" w:rsidRPr="005C41F4"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Pr>
          <w:sz w:val="26"/>
          <w:szCs w:val="26"/>
        </w:rPr>
        <w:tab/>
      </w:r>
      <w:r>
        <w:rPr>
          <w:i/>
        </w:rPr>
        <w:t>Id</w:t>
      </w:r>
      <w:r>
        <w:t xml:space="preserve">. </w:t>
      </w:r>
      <w:r w:rsidRPr="005C41F4">
        <w:t>at 302.</w:t>
      </w:r>
    </w:p>
  </w:footnote>
  <w:footnote w:id="165">
    <w:p w:rsidR="00DB2C7B" w:rsidRPr="00E77986" w:rsidRDefault="00DB2C7B" w:rsidP="00E77986">
      <w:pPr>
        <w:pStyle w:val="FootnoteText"/>
      </w:pPr>
      <w:r w:rsidRPr="00DC4A58">
        <w:rPr>
          <w:rStyle w:val="FootnoteReference"/>
          <w:sz w:val="26"/>
          <w:szCs w:val="26"/>
        </w:rPr>
        <w:footnoteRef/>
      </w:r>
      <w:r w:rsidRPr="00DC4A58">
        <w:rPr>
          <w:sz w:val="26"/>
          <w:szCs w:val="26"/>
        </w:rPr>
        <w:t xml:space="preserve"> </w:t>
      </w:r>
      <w:r w:rsidRPr="00DC4A58">
        <w:rPr>
          <w:sz w:val="26"/>
          <w:szCs w:val="26"/>
        </w:rPr>
        <w:tab/>
      </w:r>
      <w:r w:rsidRPr="00E77986">
        <w:tab/>
        <w:t xml:space="preserve">In addition to providing those services to the LDCs, Mr. Zapitello also provided services to at least three other affiliated or related companies, including OSAir, Cobra Pipeline, and Great Plains Exploration.  </w:t>
      </w:r>
      <w:r>
        <w:t xml:space="preserve">Tr. I </w:t>
      </w:r>
      <w:r w:rsidRPr="00E77986">
        <w:t>at 134-136.</w:t>
      </w:r>
    </w:p>
  </w:footnote>
  <w:footnote w:id="166">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t xml:space="preserve">Tr. II </w:t>
      </w:r>
      <w:r w:rsidRPr="00E77986">
        <w:t>at 250.</w:t>
      </w:r>
    </w:p>
  </w:footnote>
  <w:footnote w:id="167">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rsidR="000906CB">
        <w:rPr>
          <w:i/>
        </w:rPr>
        <w:t>Id</w:t>
      </w:r>
      <w:r w:rsidR="000906CB">
        <w:t>.</w:t>
      </w:r>
      <w:r w:rsidRPr="00E77986">
        <w:t xml:space="preserve"> at 252.</w:t>
      </w:r>
    </w:p>
  </w:footnote>
  <w:footnote w:id="168">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t>Tr. IV a</w:t>
      </w:r>
      <w:r w:rsidRPr="00E77986">
        <w:t>t 864.</w:t>
      </w:r>
    </w:p>
  </w:footnote>
  <w:footnote w:id="169">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t>Tr</w:t>
      </w:r>
      <w:r w:rsidRPr="00E77986">
        <w:t xml:space="preserve">. </w:t>
      </w:r>
      <w:r>
        <w:t xml:space="preserve">II </w:t>
      </w:r>
      <w:r w:rsidRPr="00E77986">
        <w:t>at 347.</w:t>
      </w:r>
    </w:p>
  </w:footnote>
  <w:footnote w:id="170">
    <w:p w:rsidR="00DB2C7B" w:rsidRPr="00E77986" w:rsidRDefault="00DB2C7B" w:rsidP="00DC4A58">
      <w:pPr>
        <w:pStyle w:val="FootnoteText"/>
        <w:spacing w:after="200"/>
      </w:pPr>
      <w:r w:rsidRPr="00DC4A58">
        <w:rPr>
          <w:rStyle w:val="FootnoteReference"/>
          <w:sz w:val="26"/>
          <w:szCs w:val="26"/>
        </w:rPr>
        <w:footnoteRef/>
      </w:r>
      <w:r w:rsidRPr="00DC4A58">
        <w:rPr>
          <w:sz w:val="26"/>
          <w:szCs w:val="26"/>
        </w:rPr>
        <w:t xml:space="preserve"> </w:t>
      </w:r>
      <w:r w:rsidRPr="00DC4A58">
        <w:rPr>
          <w:sz w:val="26"/>
          <w:szCs w:val="26"/>
        </w:rPr>
        <w:tab/>
      </w:r>
      <w:r w:rsidRPr="00E77986">
        <w:tab/>
      </w:r>
      <w:r>
        <w:t xml:space="preserve">Tr. III </w:t>
      </w:r>
      <w:r w:rsidRPr="00E77986">
        <w:t>at 564.</w:t>
      </w:r>
    </w:p>
  </w:footnote>
  <w:footnote w:id="171">
    <w:p w:rsidR="0094089E" w:rsidRDefault="0094089E">
      <w:pPr>
        <w:pStyle w:val="FootnoteText"/>
      </w:pPr>
      <w:r>
        <w:rPr>
          <w:rStyle w:val="FootnoteReference"/>
        </w:rPr>
        <w:footnoteRef/>
      </w:r>
      <w:r>
        <w:t xml:space="preserve"> </w:t>
      </w:r>
      <w:r>
        <w:tab/>
      </w:r>
      <w:r>
        <w:tab/>
      </w:r>
      <w:r w:rsidRPr="00837E00">
        <w:rPr>
          <w:rFonts w:eastAsia="Calibri"/>
          <w:sz w:val="26"/>
          <w:szCs w:val="26"/>
        </w:rPr>
        <w:t xml:space="preserve">Ohio Adm. Code 4901:1-14-08(B). </w:t>
      </w:r>
    </w:p>
  </w:footnote>
  <w:footnote w:id="172">
    <w:p w:rsidR="00DB2C7B" w:rsidRDefault="00DB2C7B" w:rsidP="009A3730">
      <w:pPr>
        <w:pStyle w:val="FootnoteText"/>
      </w:pPr>
      <w:r>
        <w:rPr>
          <w:rStyle w:val="FootnoteReference"/>
        </w:rPr>
        <w:footnoteRef/>
      </w:r>
      <w:r>
        <w:t xml:space="preserve"> </w:t>
      </w:r>
      <w:r>
        <w:tab/>
      </w:r>
      <w:r>
        <w:tab/>
        <w:t xml:space="preserve">Tr. III at 685. </w:t>
      </w:r>
    </w:p>
  </w:footnote>
  <w:footnote w:id="173">
    <w:p w:rsidR="00DB2C7B" w:rsidRDefault="00DB2C7B" w:rsidP="009A3730">
      <w:pPr>
        <w:pStyle w:val="FootnoteText"/>
      </w:pPr>
      <w:r>
        <w:rPr>
          <w:rStyle w:val="FootnoteReference"/>
        </w:rPr>
        <w:footnoteRef/>
      </w:r>
      <w:r>
        <w:t xml:space="preserve"> </w:t>
      </w:r>
      <w:r>
        <w:tab/>
      </w:r>
      <w:r>
        <w:tab/>
      </w:r>
      <w:r w:rsidR="000906CB">
        <w:rPr>
          <w:i/>
        </w:rPr>
        <w:t>Id</w:t>
      </w:r>
      <w:r w:rsidR="000906CB">
        <w:t xml:space="preserve">. </w:t>
      </w:r>
      <w:r>
        <w:t xml:space="preserve">at 824.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7B" w:rsidRPr="006603A0" w:rsidRDefault="00DB2C7B" w:rsidP="006603A0">
    <w:pPr>
      <w:pStyle w:val="Header"/>
      <w:jc w:val="center"/>
      <w:rPr>
        <w:b/>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7B" w:rsidRDefault="00DB2C7B" w:rsidP="006603A0">
    <w:pPr>
      <w:pStyle w:val="Header"/>
      <w:jc w:val="center"/>
      <w:rPr>
        <w:b/>
        <w:sz w:val="28"/>
        <w:szCs w:val="28"/>
      </w:rPr>
    </w:pPr>
    <w:r>
      <w:rPr>
        <w:b/>
        <w:sz w:val="28"/>
        <w:szCs w:val="28"/>
      </w:rPr>
      <w:t>TABLE OF CONTENTS</w:t>
    </w:r>
  </w:p>
  <w:p w:rsidR="00DB2C7B" w:rsidRPr="006603A0" w:rsidRDefault="00DB2C7B" w:rsidP="006603A0">
    <w:pPr>
      <w:pStyle w:val="Header"/>
      <w:jc w:val="right"/>
      <w:rPr>
        <w:b/>
        <w:sz w:val="28"/>
        <w:szCs w:val="28"/>
      </w:rPr>
    </w:pPr>
    <w:r>
      <w:rPr>
        <w:b/>
        <w:sz w:val="28"/>
        <w:szCs w:val="28"/>
      </w:rPr>
      <w:t>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7B" w:rsidRPr="0094089E" w:rsidRDefault="00DB2C7B" w:rsidP="00940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10F0"/>
    <w:multiLevelType w:val="hybridMultilevel"/>
    <w:tmpl w:val="FCD8A4A0"/>
    <w:lvl w:ilvl="0" w:tplc="5CA46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F770A9"/>
    <w:multiLevelType w:val="hybridMultilevel"/>
    <w:tmpl w:val="C97E9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8C1429"/>
    <w:multiLevelType w:val="hybridMultilevel"/>
    <w:tmpl w:val="C4DA8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53F58"/>
    <w:multiLevelType w:val="hybridMultilevel"/>
    <w:tmpl w:val="AA74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A201D"/>
    <w:multiLevelType w:val="hybridMultilevel"/>
    <w:tmpl w:val="469E9378"/>
    <w:lvl w:ilvl="0" w:tplc="695C52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CE65EB"/>
    <w:multiLevelType w:val="hybridMultilevel"/>
    <w:tmpl w:val="469E9378"/>
    <w:lvl w:ilvl="0" w:tplc="695C52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B3"/>
    <w:rsid w:val="00006442"/>
    <w:rsid w:val="00016010"/>
    <w:rsid w:val="00021799"/>
    <w:rsid w:val="000512DE"/>
    <w:rsid w:val="000906CB"/>
    <w:rsid w:val="00093E7D"/>
    <w:rsid w:val="000A2F8C"/>
    <w:rsid w:val="000F35E7"/>
    <w:rsid w:val="000F7B51"/>
    <w:rsid w:val="00103800"/>
    <w:rsid w:val="00104346"/>
    <w:rsid w:val="001171BB"/>
    <w:rsid w:val="00137E49"/>
    <w:rsid w:val="0015474F"/>
    <w:rsid w:val="0017797A"/>
    <w:rsid w:val="001A1FD5"/>
    <w:rsid w:val="001A6DE0"/>
    <w:rsid w:val="001B2B9D"/>
    <w:rsid w:val="001D0B28"/>
    <w:rsid w:val="001E32FA"/>
    <w:rsid w:val="0020215A"/>
    <w:rsid w:val="00207B12"/>
    <w:rsid w:val="00211004"/>
    <w:rsid w:val="00244447"/>
    <w:rsid w:val="0026741F"/>
    <w:rsid w:val="00273195"/>
    <w:rsid w:val="00282922"/>
    <w:rsid w:val="002B4CC6"/>
    <w:rsid w:val="002B5EB2"/>
    <w:rsid w:val="002C04FD"/>
    <w:rsid w:val="002D2CDC"/>
    <w:rsid w:val="002E0A59"/>
    <w:rsid w:val="002E65D5"/>
    <w:rsid w:val="002F3AC1"/>
    <w:rsid w:val="002F4622"/>
    <w:rsid w:val="002F7C98"/>
    <w:rsid w:val="00334C6A"/>
    <w:rsid w:val="00336FD2"/>
    <w:rsid w:val="00366EA1"/>
    <w:rsid w:val="00372B72"/>
    <w:rsid w:val="00374054"/>
    <w:rsid w:val="00377919"/>
    <w:rsid w:val="00381DF7"/>
    <w:rsid w:val="003D18CB"/>
    <w:rsid w:val="003E0234"/>
    <w:rsid w:val="003F0FB8"/>
    <w:rsid w:val="0040569A"/>
    <w:rsid w:val="00411184"/>
    <w:rsid w:val="004A7441"/>
    <w:rsid w:val="004D5EBB"/>
    <w:rsid w:val="004E68D5"/>
    <w:rsid w:val="005055CE"/>
    <w:rsid w:val="00506908"/>
    <w:rsid w:val="0053038A"/>
    <w:rsid w:val="00530CAD"/>
    <w:rsid w:val="00572121"/>
    <w:rsid w:val="005914E9"/>
    <w:rsid w:val="005943C3"/>
    <w:rsid w:val="00597F46"/>
    <w:rsid w:val="005B415F"/>
    <w:rsid w:val="005C1A3A"/>
    <w:rsid w:val="005C41F4"/>
    <w:rsid w:val="00603EB3"/>
    <w:rsid w:val="00616409"/>
    <w:rsid w:val="00636DA2"/>
    <w:rsid w:val="00640180"/>
    <w:rsid w:val="006603A0"/>
    <w:rsid w:val="0066214F"/>
    <w:rsid w:val="006B1C52"/>
    <w:rsid w:val="006B7618"/>
    <w:rsid w:val="006D01BD"/>
    <w:rsid w:val="007031A0"/>
    <w:rsid w:val="00710143"/>
    <w:rsid w:val="007109BB"/>
    <w:rsid w:val="007178D0"/>
    <w:rsid w:val="00726E3E"/>
    <w:rsid w:val="007474BF"/>
    <w:rsid w:val="00762EF4"/>
    <w:rsid w:val="00775D00"/>
    <w:rsid w:val="00777F88"/>
    <w:rsid w:val="007A2281"/>
    <w:rsid w:val="007A3133"/>
    <w:rsid w:val="007A65A7"/>
    <w:rsid w:val="007B4B05"/>
    <w:rsid w:val="007F532E"/>
    <w:rsid w:val="0080411F"/>
    <w:rsid w:val="00822717"/>
    <w:rsid w:val="00825420"/>
    <w:rsid w:val="00833AA8"/>
    <w:rsid w:val="00837E00"/>
    <w:rsid w:val="00842D90"/>
    <w:rsid w:val="00852A4D"/>
    <w:rsid w:val="00862BD7"/>
    <w:rsid w:val="008912B1"/>
    <w:rsid w:val="008A4168"/>
    <w:rsid w:val="008E6EDC"/>
    <w:rsid w:val="008F4F73"/>
    <w:rsid w:val="00917004"/>
    <w:rsid w:val="0094089E"/>
    <w:rsid w:val="00942DDC"/>
    <w:rsid w:val="0097224C"/>
    <w:rsid w:val="009A3730"/>
    <w:rsid w:val="009B5BF4"/>
    <w:rsid w:val="009D7016"/>
    <w:rsid w:val="009E5F16"/>
    <w:rsid w:val="00A51069"/>
    <w:rsid w:val="00A627BE"/>
    <w:rsid w:val="00A73533"/>
    <w:rsid w:val="00A75290"/>
    <w:rsid w:val="00A807DC"/>
    <w:rsid w:val="00A96BF4"/>
    <w:rsid w:val="00AA6747"/>
    <w:rsid w:val="00AB1949"/>
    <w:rsid w:val="00AD50E7"/>
    <w:rsid w:val="00AE655C"/>
    <w:rsid w:val="00AF31B3"/>
    <w:rsid w:val="00B221C2"/>
    <w:rsid w:val="00B27ACF"/>
    <w:rsid w:val="00B75844"/>
    <w:rsid w:val="00B76C38"/>
    <w:rsid w:val="00B8516E"/>
    <w:rsid w:val="00BB4785"/>
    <w:rsid w:val="00BB5FFB"/>
    <w:rsid w:val="00BC4B34"/>
    <w:rsid w:val="00C04E56"/>
    <w:rsid w:val="00C1450A"/>
    <w:rsid w:val="00C16BB1"/>
    <w:rsid w:val="00C30AEA"/>
    <w:rsid w:val="00C45181"/>
    <w:rsid w:val="00C642E0"/>
    <w:rsid w:val="00C84E34"/>
    <w:rsid w:val="00C93D3E"/>
    <w:rsid w:val="00CC061B"/>
    <w:rsid w:val="00CD7D61"/>
    <w:rsid w:val="00D00DA8"/>
    <w:rsid w:val="00D16E5E"/>
    <w:rsid w:val="00D504B8"/>
    <w:rsid w:val="00DA63A8"/>
    <w:rsid w:val="00DA750B"/>
    <w:rsid w:val="00DA7B81"/>
    <w:rsid w:val="00DB2C7B"/>
    <w:rsid w:val="00DC05E1"/>
    <w:rsid w:val="00DC4A58"/>
    <w:rsid w:val="00DD5E40"/>
    <w:rsid w:val="00DE5F11"/>
    <w:rsid w:val="00E236C8"/>
    <w:rsid w:val="00E2704C"/>
    <w:rsid w:val="00E368E9"/>
    <w:rsid w:val="00E6312D"/>
    <w:rsid w:val="00E73984"/>
    <w:rsid w:val="00E77986"/>
    <w:rsid w:val="00E87FDB"/>
    <w:rsid w:val="00E97F18"/>
    <w:rsid w:val="00EA060B"/>
    <w:rsid w:val="00EA56EF"/>
    <w:rsid w:val="00ED0AB7"/>
    <w:rsid w:val="00ED294E"/>
    <w:rsid w:val="00F16414"/>
    <w:rsid w:val="00F254CB"/>
    <w:rsid w:val="00F455F5"/>
    <w:rsid w:val="00F5412C"/>
    <w:rsid w:val="00F57D27"/>
    <w:rsid w:val="00F62986"/>
    <w:rsid w:val="00F638E6"/>
    <w:rsid w:val="00F700D0"/>
    <w:rsid w:val="00F72FDF"/>
    <w:rsid w:val="00FC23F3"/>
    <w:rsid w:val="00FD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86"/>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77986"/>
    <w:pPr>
      <w:keepNext/>
      <w:spacing w:before="360" w:after="240"/>
      <w:jc w:val="center"/>
      <w:outlineLvl w:val="0"/>
    </w:pPr>
    <w:rPr>
      <w:rFonts w:ascii="Times New Roman Bold" w:eastAsia="Times New Roman" w:hAnsi="Times New Roman Bold" w:cs="Times New Roman"/>
      <w:b/>
      <w:caps/>
      <w:sz w:val="28"/>
      <w:szCs w:val="20"/>
      <w:lang w:eastAsia="x-none"/>
    </w:rPr>
  </w:style>
  <w:style w:type="paragraph" w:styleId="Heading2">
    <w:name w:val="heading 2"/>
    <w:basedOn w:val="Normal"/>
    <w:next w:val="Normal"/>
    <w:link w:val="Heading2Char"/>
    <w:autoRedefine/>
    <w:uiPriority w:val="9"/>
    <w:unhideWhenUsed/>
    <w:qFormat/>
    <w:rsid w:val="001A6DE0"/>
    <w:pPr>
      <w:keepNext/>
      <w:keepLines/>
      <w:spacing w:before="360" w:after="240"/>
      <w:ind w:left="720" w:right="720" w:hanging="720"/>
      <w:outlineLvl w:val="1"/>
    </w:pPr>
    <w:rPr>
      <w:rFonts w:eastAsia="Calibri" w:cstheme="majorBidi"/>
      <w:b/>
      <w:bCs/>
      <w:sz w:val="28"/>
      <w:szCs w:val="28"/>
    </w:rPr>
  </w:style>
  <w:style w:type="paragraph" w:styleId="Heading3">
    <w:name w:val="heading 3"/>
    <w:basedOn w:val="Normal"/>
    <w:next w:val="Normal"/>
    <w:link w:val="Heading3Char"/>
    <w:autoRedefine/>
    <w:uiPriority w:val="9"/>
    <w:unhideWhenUsed/>
    <w:qFormat/>
    <w:rsid w:val="00E77986"/>
    <w:pPr>
      <w:keepNext/>
      <w:keepLines/>
      <w:spacing w:before="360" w:after="240"/>
      <w:ind w:left="1440" w:right="1440" w:hanging="720"/>
      <w:outlineLvl w:val="2"/>
    </w:pPr>
    <w:rPr>
      <w:rFonts w:eastAsia="Calibri" w:cstheme="majorBidi"/>
      <w:b/>
      <w:bCs/>
      <w:sz w:val="28"/>
      <w:szCs w:val="28"/>
    </w:rPr>
  </w:style>
  <w:style w:type="paragraph" w:styleId="Heading4">
    <w:name w:val="heading 4"/>
    <w:basedOn w:val="Normal"/>
    <w:next w:val="Normal"/>
    <w:link w:val="Heading4Char"/>
    <w:autoRedefine/>
    <w:uiPriority w:val="9"/>
    <w:unhideWhenUsed/>
    <w:qFormat/>
    <w:rsid w:val="00E77986"/>
    <w:pPr>
      <w:keepNext/>
      <w:keepLines/>
      <w:spacing w:before="360" w:after="240"/>
      <w:ind w:left="2160" w:right="1440" w:hanging="720"/>
      <w:outlineLvl w:val="3"/>
    </w:pPr>
    <w:rPr>
      <w:rFonts w:eastAsia="Calibri" w:cstheme="majorBidi"/>
      <w:b/>
      <w:bCs/>
      <w:iCs/>
      <w:sz w:val="28"/>
    </w:rPr>
  </w:style>
  <w:style w:type="paragraph" w:styleId="Heading5">
    <w:name w:val="heading 5"/>
    <w:basedOn w:val="Normal"/>
    <w:next w:val="Normal"/>
    <w:link w:val="Heading5Char"/>
    <w:autoRedefine/>
    <w:uiPriority w:val="9"/>
    <w:unhideWhenUsed/>
    <w:qFormat/>
    <w:rsid w:val="00334C6A"/>
    <w:pPr>
      <w:keepNext/>
      <w:keepLines/>
      <w:spacing w:before="360"/>
      <w:ind w:left="2880" w:right="720"/>
      <w:outlineLvl w:val="4"/>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B3"/>
    <w:pPr>
      <w:ind w:left="720"/>
      <w:contextualSpacing/>
    </w:pPr>
  </w:style>
  <w:style w:type="table" w:styleId="TableGrid">
    <w:name w:val="Table Grid"/>
    <w:basedOn w:val="TableNormal"/>
    <w:uiPriority w:val="59"/>
    <w:rsid w:val="00AF31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99"/>
    <w:unhideWhenUsed/>
    <w:rsid w:val="00E77986"/>
    <w:pPr>
      <w:spacing w:before="240" w:after="240"/>
      <w:ind w:left="720" w:hanging="720"/>
    </w:pPr>
    <w:rPr>
      <w:rFonts w:cs="Times New Roman"/>
      <w:szCs w:val="24"/>
    </w:rPr>
  </w:style>
  <w:style w:type="character" w:customStyle="1" w:styleId="FootnoteTextChar">
    <w:name w:val="Footnote Text Char"/>
    <w:basedOn w:val="DefaultParagraphFont"/>
    <w:link w:val="FootnoteText"/>
    <w:uiPriority w:val="99"/>
    <w:rsid w:val="00E77986"/>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AF31B3"/>
    <w:rPr>
      <w:vertAlign w:val="superscript"/>
    </w:rPr>
  </w:style>
  <w:style w:type="paragraph" w:styleId="BalloonText">
    <w:name w:val="Balloon Text"/>
    <w:basedOn w:val="Normal"/>
    <w:link w:val="BalloonTextChar"/>
    <w:uiPriority w:val="99"/>
    <w:semiHidden/>
    <w:unhideWhenUsed/>
    <w:rsid w:val="00A627BE"/>
    <w:rPr>
      <w:rFonts w:ascii="Tahoma" w:hAnsi="Tahoma" w:cs="Tahoma"/>
      <w:sz w:val="16"/>
      <w:szCs w:val="16"/>
    </w:rPr>
  </w:style>
  <w:style w:type="character" w:customStyle="1" w:styleId="BalloonTextChar">
    <w:name w:val="Balloon Text Char"/>
    <w:basedOn w:val="DefaultParagraphFont"/>
    <w:link w:val="BalloonText"/>
    <w:uiPriority w:val="99"/>
    <w:semiHidden/>
    <w:rsid w:val="00A627BE"/>
    <w:rPr>
      <w:rFonts w:ascii="Tahoma" w:hAnsi="Tahoma" w:cs="Tahoma"/>
      <w:sz w:val="16"/>
      <w:szCs w:val="16"/>
    </w:rPr>
  </w:style>
  <w:style w:type="paragraph" w:styleId="Header">
    <w:name w:val="header"/>
    <w:basedOn w:val="Normal"/>
    <w:link w:val="HeaderChar"/>
    <w:uiPriority w:val="99"/>
    <w:unhideWhenUsed/>
    <w:rsid w:val="00ED0AB7"/>
    <w:pPr>
      <w:tabs>
        <w:tab w:val="center" w:pos="4680"/>
        <w:tab w:val="right" w:pos="9360"/>
      </w:tabs>
    </w:pPr>
  </w:style>
  <w:style w:type="character" w:customStyle="1" w:styleId="HeaderChar">
    <w:name w:val="Header Char"/>
    <w:basedOn w:val="DefaultParagraphFont"/>
    <w:link w:val="Header"/>
    <w:uiPriority w:val="99"/>
    <w:rsid w:val="00ED0AB7"/>
  </w:style>
  <w:style w:type="paragraph" w:styleId="Footer">
    <w:name w:val="footer"/>
    <w:basedOn w:val="Normal"/>
    <w:link w:val="FooterChar"/>
    <w:uiPriority w:val="99"/>
    <w:unhideWhenUsed/>
    <w:rsid w:val="00ED0AB7"/>
    <w:pPr>
      <w:tabs>
        <w:tab w:val="center" w:pos="4680"/>
        <w:tab w:val="right" w:pos="9360"/>
      </w:tabs>
    </w:pPr>
  </w:style>
  <w:style w:type="character" w:customStyle="1" w:styleId="FooterChar">
    <w:name w:val="Footer Char"/>
    <w:basedOn w:val="DefaultParagraphFont"/>
    <w:link w:val="Footer"/>
    <w:uiPriority w:val="99"/>
    <w:rsid w:val="00ED0AB7"/>
  </w:style>
  <w:style w:type="character" w:styleId="Hyperlink">
    <w:name w:val="Hyperlink"/>
    <w:basedOn w:val="DefaultParagraphFont"/>
    <w:uiPriority w:val="99"/>
    <w:unhideWhenUsed/>
    <w:rsid w:val="00B27ACF"/>
    <w:rPr>
      <w:color w:val="0000FF" w:themeColor="hyperlink"/>
      <w:u w:val="single"/>
    </w:rPr>
  </w:style>
  <w:style w:type="character" w:customStyle="1" w:styleId="Heading1Char">
    <w:name w:val="Heading 1 Char"/>
    <w:basedOn w:val="DefaultParagraphFont"/>
    <w:link w:val="Heading1"/>
    <w:rsid w:val="00E77986"/>
    <w:rPr>
      <w:rFonts w:ascii="Times New Roman Bold" w:eastAsia="Times New Roman" w:hAnsi="Times New Roman Bold" w:cs="Times New Roman"/>
      <w:b/>
      <w:caps/>
      <w:sz w:val="28"/>
      <w:szCs w:val="20"/>
      <w:lang w:eastAsia="x-none"/>
    </w:rPr>
  </w:style>
  <w:style w:type="paragraph" w:styleId="TOCHeading">
    <w:name w:val="TOC Heading"/>
    <w:basedOn w:val="Heading1"/>
    <w:next w:val="Normal"/>
    <w:uiPriority w:val="39"/>
    <w:unhideWhenUsed/>
    <w:qFormat/>
    <w:rsid w:val="00C04E56"/>
    <w:pPr>
      <w:keepLines/>
      <w:spacing w:before="480" w:after="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unhideWhenUsed/>
    <w:rsid w:val="00006442"/>
    <w:pPr>
      <w:tabs>
        <w:tab w:val="right" w:leader="dot" w:pos="9346"/>
      </w:tabs>
      <w:spacing w:before="240" w:after="240"/>
      <w:ind w:left="720" w:right="1440" w:hanging="720"/>
      <w:jc w:val="both"/>
    </w:pPr>
    <w:rPr>
      <w:rFonts w:eastAsia="Times New Roman" w:cs="Times New Roman"/>
      <w:noProof/>
      <w:sz w:val="26"/>
      <w:szCs w:val="26"/>
    </w:rPr>
  </w:style>
  <w:style w:type="paragraph" w:styleId="TOC2">
    <w:name w:val="toc 2"/>
    <w:basedOn w:val="Normal"/>
    <w:next w:val="Normal"/>
    <w:autoRedefine/>
    <w:uiPriority w:val="39"/>
    <w:unhideWhenUsed/>
    <w:rsid w:val="00006442"/>
    <w:pPr>
      <w:tabs>
        <w:tab w:val="right" w:leader="dot" w:pos="9346"/>
      </w:tabs>
      <w:spacing w:before="240" w:after="240"/>
      <w:ind w:left="1440" w:right="1440" w:hanging="720"/>
      <w:jc w:val="both"/>
    </w:pPr>
    <w:rPr>
      <w:rFonts w:eastAsia="Times New Roman" w:cs="Times New Roman"/>
      <w:sz w:val="26"/>
    </w:rPr>
  </w:style>
  <w:style w:type="paragraph" w:styleId="TOC3">
    <w:name w:val="toc 3"/>
    <w:basedOn w:val="Normal"/>
    <w:next w:val="Normal"/>
    <w:autoRedefine/>
    <w:uiPriority w:val="39"/>
    <w:unhideWhenUsed/>
    <w:rsid w:val="00006442"/>
    <w:pPr>
      <w:tabs>
        <w:tab w:val="right" w:leader="dot" w:pos="9350"/>
      </w:tabs>
      <w:spacing w:before="240" w:after="240"/>
      <w:ind w:left="2160" w:right="1440" w:hanging="720"/>
      <w:jc w:val="both"/>
    </w:pPr>
    <w:rPr>
      <w:rFonts w:eastAsia="Times New Roman" w:cs="Times New Roman"/>
      <w:sz w:val="26"/>
    </w:rPr>
  </w:style>
  <w:style w:type="paragraph" w:styleId="TOC5">
    <w:name w:val="toc 5"/>
    <w:basedOn w:val="Normal"/>
    <w:next w:val="Normal"/>
    <w:autoRedefine/>
    <w:uiPriority w:val="39"/>
    <w:unhideWhenUsed/>
    <w:rsid w:val="00C04E56"/>
    <w:pPr>
      <w:ind w:left="880"/>
      <w:jc w:val="both"/>
    </w:pPr>
    <w:rPr>
      <w:rFonts w:ascii="Calibri" w:eastAsia="Times New Roman" w:hAnsi="Calibri" w:cs="Times New Roman"/>
    </w:rPr>
  </w:style>
  <w:style w:type="paragraph" w:styleId="BodyText">
    <w:name w:val="Body Text"/>
    <w:basedOn w:val="Normal"/>
    <w:link w:val="BodyTextChar"/>
    <w:uiPriority w:val="99"/>
    <w:semiHidden/>
    <w:unhideWhenUsed/>
    <w:rsid w:val="007031A0"/>
    <w:pPr>
      <w:spacing w:after="120"/>
    </w:pPr>
  </w:style>
  <w:style w:type="character" w:customStyle="1" w:styleId="BodyTextChar">
    <w:name w:val="Body Text Char"/>
    <w:basedOn w:val="DefaultParagraphFont"/>
    <w:link w:val="BodyText"/>
    <w:uiPriority w:val="99"/>
    <w:semiHidden/>
    <w:rsid w:val="007031A0"/>
  </w:style>
  <w:style w:type="paragraph" w:styleId="BodyTextFirstIndent">
    <w:name w:val="Body Text First Indent"/>
    <w:basedOn w:val="BodyText"/>
    <w:link w:val="BodyTextFirstIndentChar"/>
    <w:uiPriority w:val="99"/>
    <w:unhideWhenUsed/>
    <w:rsid w:val="007031A0"/>
    <w:pPr>
      <w:spacing w:after="0" w:line="480" w:lineRule="auto"/>
      <w:ind w:firstLine="720"/>
      <w:jc w:val="both"/>
    </w:pPr>
    <w:rPr>
      <w:rFonts w:eastAsia="Times New Roman" w:cs="Times New Roman"/>
      <w:sz w:val="26"/>
      <w:szCs w:val="20"/>
      <w:lang w:val="x-none" w:eastAsia="x-none"/>
    </w:rPr>
  </w:style>
  <w:style w:type="character" w:customStyle="1" w:styleId="BodyTextFirstIndentChar">
    <w:name w:val="Body Text First Indent Char"/>
    <w:basedOn w:val="BodyTextChar"/>
    <w:link w:val="BodyTextFirstIndent"/>
    <w:uiPriority w:val="99"/>
    <w:rsid w:val="007031A0"/>
    <w:rPr>
      <w:rFonts w:ascii="Times New Roman" w:eastAsia="Times New Roman" w:hAnsi="Times New Roman" w:cs="Times New Roman"/>
      <w:sz w:val="26"/>
      <w:szCs w:val="20"/>
      <w:lang w:val="x-none" w:eastAsia="x-none"/>
    </w:rPr>
  </w:style>
  <w:style w:type="paragraph" w:customStyle="1" w:styleId="textstyle">
    <w:name w:val="text style"/>
    <w:basedOn w:val="Normal"/>
    <w:link w:val="textstyleChar"/>
    <w:autoRedefine/>
    <w:rsid w:val="00CC061B"/>
    <w:pPr>
      <w:spacing w:line="480" w:lineRule="auto"/>
    </w:pPr>
    <w:rPr>
      <w:rFonts w:eastAsia="Times New Roman" w:cs="Times New Roman"/>
      <w:sz w:val="26"/>
      <w:szCs w:val="24"/>
      <w:lang w:val="x-none" w:eastAsia="x-none"/>
    </w:rPr>
  </w:style>
  <w:style w:type="character" w:customStyle="1" w:styleId="textstyleChar">
    <w:name w:val="text style Char"/>
    <w:link w:val="textstyle"/>
    <w:locked/>
    <w:rsid w:val="00CC061B"/>
    <w:rPr>
      <w:rFonts w:ascii="Times New Roman" w:eastAsia="Times New Roman" w:hAnsi="Times New Roman" w:cs="Times New Roman"/>
      <w:sz w:val="26"/>
      <w:szCs w:val="24"/>
      <w:lang w:val="x-none" w:eastAsia="x-none"/>
    </w:rPr>
  </w:style>
  <w:style w:type="character" w:customStyle="1" w:styleId="Heading2Char">
    <w:name w:val="Heading 2 Char"/>
    <w:basedOn w:val="DefaultParagraphFont"/>
    <w:link w:val="Heading2"/>
    <w:uiPriority w:val="9"/>
    <w:rsid w:val="001A6DE0"/>
    <w:rPr>
      <w:rFonts w:ascii="Times New Roman" w:eastAsia="Calibri" w:hAnsi="Times New Roman" w:cstheme="majorBidi"/>
      <w:b/>
      <w:bCs/>
      <w:sz w:val="28"/>
      <w:szCs w:val="28"/>
    </w:rPr>
  </w:style>
  <w:style w:type="character" w:customStyle="1" w:styleId="Heading3Char">
    <w:name w:val="Heading 3 Char"/>
    <w:basedOn w:val="DefaultParagraphFont"/>
    <w:link w:val="Heading3"/>
    <w:uiPriority w:val="9"/>
    <w:rsid w:val="00E77986"/>
    <w:rPr>
      <w:rFonts w:ascii="Times New Roman" w:eastAsia="Calibri" w:hAnsi="Times New Roman" w:cstheme="majorBidi"/>
      <w:b/>
      <w:bCs/>
      <w:sz w:val="28"/>
      <w:szCs w:val="28"/>
    </w:rPr>
  </w:style>
  <w:style w:type="character" w:customStyle="1" w:styleId="Heading4Char">
    <w:name w:val="Heading 4 Char"/>
    <w:basedOn w:val="DefaultParagraphFont"/>
    <w:link w:val="Heading4"/>
    <w:uiPriority w:val="9"/>
    <w:rsid w:val="00E77986"/>
    <w:rPr>
      <w:rFonts w:ascii="Times New Roman" w:eastAsia="Calibri" w:hAnsi="Times New Roman" w:cstheme="majorBidi"/>
      <w:b/>
      <w:bCs/>
      <w:iCs/>
      <w:sz w:val="28"/>
    </w:rPr>
  </w:style>
  <w:style w:type="paragraph" w:customStyle="1" w:styleId="Blockquote">
    <w:name w:val="Block quote"/>
    <w:basedOn w:val="Normal"/>
    <w:autoRedefine/>
    <w:rsid w:val="00862BD7"/>
    <w:pPr>
      <w:spacing w:after="240"/>
      <w:ind w:left="1440" w:right="1440"/>
    </w:pPr>
    <w:rPr>
      <w:rFonts w:cs="Times New Roman"/>
      <w:sz w:val="26"/>
      <w:szCs w:val="26"/>
    </w:rPr>
  </w:style>
  <w:style w:type="character" w:customStyle="1" w:styleId="Heading5Char">
    <w:name w:val="Heading 5 Char"/>
    <w:basedOn w:val="DefaultParagraphFont"/>
    <w:link w:val="Heading5"/>
    <w:uiPriority w:val="9"/>
    <w:rsid w:val="00334C6A"/>
    <w:rPr>
      <w:rFonts w:ascii="Times New Roman" w:eastAsiaTheme="majorEastAsia" w:hAnsi="Times New Roman" w:cstheme="majorBidi"/>
      <w:b/>
      <w:sz w:val="26"/>
    </w:rPr>
  </w:style>
  <w:style w:type="paragraph" w:customStyle="1" w:styleId="Headign4">
    <w:name w:val="Headign 4"/>
    <w:basedOn w:val="Heading5"/>
    <w:rsid w:val="00E77986"/>
    <w:rPr>
      <w:rFonts w:eastAsia="Calibri"/>
    </w:rPr>
  </w:style>
  <w:style w:type="paragraph" w:styleId="TOC4">
    <w:name w:val="toc 4"/>
    <w:basedOn w:val="Normal"/>
    <w:next w:val="Normal"/>
    <w:autoRedefine/>
    <w:uiPriority w:val="39"/>
    <w:unhideWhenUsed/>
    <w:rsid w:val="00006442"/>
    <w:pPr>
      <w:tabs>
        <w:tab w:val="right" w:leader="dot" w:pos="9350"/>
      </w:tabs>
      <w:spacing w:before="240" w:after="240"/>
      <w:ind w:left="2880" w:right="1440" w:hanging="72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86"/>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77986"/>
    <w:pPr>
      <w:keepNext/>
      <w:spacing w:before="360" w:after="240"/>
      <w:jc w:val="center"/>
      <w:outlineLvl w:val="0"/>
    </w:pPr>
    <w:rPr>
      <w:rFonts w:ascii="Times New Roman Bold" w:eastAsia="Times New Roman" w:hAnsi="Times New Roman Bold" w:cs="Times New Roman"/>
      <w:b/>
      <w:caps/>
      <w:sz w:val="28"/>
      <w:szCs w:val="20"/>
      <w:lang w:eastAsia="x-none"/>
    </w:rPr>
  </w:style>
  <w:style w:type="paragraph" w:styleId="Heading2">
    <w:name w:val="heading 2"/>
    <w:basedOn w:val="Normal"/>
    <w:next w:val="Normal"/>
    <w:link w:val="Heading2Char"/>
    <w:autoRedefine/>
    <w:uiPriority w:val="9"/>
    <w:unhideWhenUsed/>
    <w:qFormat/>
    <w:rsid w:val="001A6DE0"/>
    <w:pPr>
      <w:keepNext/>
      <w:keepLines/>
      <w:spacing w:before="360" w:after="240"/>
      <w:ind w:left="720" w:right="720" w:hanging="720"/>
      <w:outlineLvl w:val="1"/>
    </w:pPr>
    <w:rPr>
      <w:rFonts w:eastAsia="Calibri" w:cstheme="majorBidi"/>
      <w:b/>
      <w:bCs/>
      <w:sz w:val="28"/>
      <w:szCs w:val="28"/>
    </w:rPr>
  </w:style>
  <w:style w:type="paragraph" w:styleId="Heading3">
    <w:name w:val="heading 3"/>
    <w:basedOn w:val="Normal"/>
    <w:next w:val="Normal"/>
    <w:link w:val="Heading3Char"/>
    <w:autoRedefine/>
    <w:uiPriority w:val="9"/>
    <w:unhideWhenUsed/>
    <w:qFormat/>
    <w:rsid w:val="00E77986"/>
    <w:pPr>
      <w:keepNext/>
      <w:keepLines/>
      <w:spacing w:before="360" w:after="240"/>
      <w:ind w:left="1440" w:right="1440" w:hanging="720"/>
      <w:outlineLvl w:val="2"/>
    </w:pPr>
    <w:rPr>
      <w:rFonts w:eastAsia="Calibri" w:cstheme="majorBidi"/>
      <w:b/>
      <w:bCs/>
      <w:sz w:val="28"/>
      <w:szCs w:val="28"/>
    </w:rPr>
  </w:style>
  <w:style w:type="paragraph" w:styleId="Heading4">
    <w:name w:val="heading 4"/>
    <w:basedOn w:val="Normal"/>
    <w:next w:val="Normal"/>
    <w:link w:val="Heading4Char"/>
    <w:autoRedefine/>
    <w:uiPriority w:val="9"/>
    <w:unhideWhenUsed/>
    <w:qFormat/>
    <w:rsid w:val="00E77986"/>
    <w:pPr>
      <w:keepNext/>
      <w:keepLines/>
      <w:spacing w:before="360" w:after="240"/>
      <w:ind w:left="2160" w:right="1440" w:hanging="720"/>
      <w:outlineLvl w:val="3"/>
    </w:pPr>
    <w:rPr>
      <w:rFonts w:eastAsia="Calibri" w:cstheme="majorBidi"/>
      <w:b/>
      <w:bCs/>
      <w:iCs/>
      <w:sz w:val="28"/>
    </w:rPr>
  </w:style>
  <w:style w:type="paragraph" w:styleId="Heading5">
    <w:name w:val="heading 5"/>
    <w:basedOn w:val="Normal"/>
    <w:next w:val="Normal"/>
    <w:link w:val="Heading5Char"/>
    <w:autoRedefine/>
    <w:uiPriority w:val="9"/>
    <w:unhideWhenUsed/>
    <w:qFormat/>
    <w:rsid w:val="00334C6A"/>
    <w:pPr>
      <w:keepNext/>
      <w:keepLines/>
      <w:spacing w:before="360"/>
      <w:ind w:left="2880" w:right="720"/>
      <w:outlineLvl w:val="4"/>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B3"/>
    <w:pPr>
      <w:ind w:left="720"/>
      <w:contextualSpacing/>
    </w:pPr>
  </w:style>
  <w:style w:type="table" w:styleId="TableGrid">
    <w:name w:val="Table Grid"/>
    <w:basedOn w:val="TableNormal"/>
    <w:uiPriority w:val="59"/>
    <w:rsid w:val="00AF31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99"/>
    <w:unhideWhenUsed/>
    <w:rsid w:val="00E77986"/>
    <w:pPr>
      <w:spacing w:before="240" w:after="240"/>
      <w:ind w:left="720" w:hanging="720"/>
    </w:pPr>
    <w:rPr>
      <w:rFonts w:cs="Times New Roman"/>
      <w:szCs w:val="24"/>
    </w:rPr>
  </w:style>
  <w:style w:type="character" w:customStyle="1" w:styleId="FootnoteTextChar">
    <w:name w:val="Footnote Text Char"/>
    <w:basedOn w:val="DefaultParagraphFont"/>
    <w:link w:val="FootnoteText"/>
    <w:uiPriority w:val="99"/>
    <w:rsid w:val="00E77986"/>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AF31B3"/>
    <w:rPr>
      <w:vertAlign w:val="superscript"/>
    </w:rPr>
  </w:style>
  <w:style w:type="paragraph" w:styleId="BalloonText">
    <w:name w:val="Balloon Text"/>
    <w:basedOn w:val="Normal"/>
    <w:link w:val="BalloonTextChar"/>
    <w:uiPriority w:val="99"/>
    <w:semiHidden/>
    <w:unhideWhenUsed/>
    <w:rsid w:val="00A627BE"/>
    <w:rPr>
      <w:rFonts w:ascii="Tahoma" w:hAnsi="Tahoma" w:cs="Tahoma"/>
      <w:sz w:val="16"/>
      <w:szCs w:val="16"/>
    </w:rPr>
  </w:style>
  <w:style w:type="character" w:customStyle="1" w:styleId="BalloonTextChar">
    <w:name w:val="Balloon Text Char"/>
    <w:basedOn w:val="DefaultParagraphFont"/>
    <w:link w:val="BalloonText"/>
    <w:uiPriority w:val="99"/>
    <w:semiHidden/>
    <w:rsid w:val="00A627BE"/>
    <w:rPr>
      <w:rFonts w:ascii="Tahoma" w:hAnsi="Tahoma" w:cs="Tahoma"/>
      <w:sz w:val="16"/>
      <w:szCs w:val="16"/>
    </w:rPr>
  </w:style>
  <w:style w:type="paragraph" w:styleId="Header">
    <w:name w:val="header"/>
    <w:basedOn w:val="Normal"/>
    <w:link w:val="HeaderChar"/>
    <w:uiPriority w:val="99"/>
    <w:unhideWhenUsed/>
    <w:rsid w:val="00ED0AB7"/>
    <w:pPr>
      <w:tabs>
        <w:tab w:val="center" w:pos="4680"/>
        <w:tab w:val="right" w:pos="9360"/>
      </w:tabs>
    </w:pPr>
  </w:style>
  <w:style w:type="character" w:customStyle="1" w:styleId="HeaderChar">
    <w:name w:val="Header Char"/>
    <w:basedOn w:val="DefaultParagraphFont"/>
    <w:link w:val="Header"/>
    <w:uiPriority w:val="99"/>
    <w:rsid w:val="00ED0AB7"/>
  </w:style>
  <w:style w:type="paragraph" w:styleId="Footer">
    <w:name w:val="footer"/>
    <w:basedOn w:val="Normal"/>
    <w:link w:val="FooterChar"/>
    <w:uiPriority w:val="99"/>
    <w:unhideWhenUsed/>
    <w:rsid w:val="00ED0AB7"/>
    <w:pPr>
      <w:tabs>
        <w:tab w:val="center" w:pos="4680"/>
        <w:tab w:val="right" w:pos="9360"/>
      </w:tabs>
    </w:pPr>
  </w:style>
  <w:style w:type="character" w:customStyle="1" w:styleId="FooterChar">
    <w:name w:val="Footer Char"/>
    <w:basedOn w:val="DefaultParagraphFont"/>
    <w:link w:val="Footer"/>
    <w:uiPriority w:val="99"/>
    <w:rsid w:val="00ED0AB7"/>
  </w:style>
  <w:style w:type="character" w:styleId="Hyperlink">
    <w:name w:val="Hyperlink"/>
    <w:basedOn w:val="DefaultParagraphFont"/>
    <w:uiPriority w:val="99"/>
    <w:unhideWhenUsed/>
    <w:rsid w:val="00B27ACF"/>
    <w:rPr>
      <w:color w:val="0000FF" w:themeColor="hyperlink"/>
      <w:u w:val="single"/>
    </w:rPr>
  </w:style>
  <w:style w:type="character" w:customStyle="1" w:styleId="Heading1Char">
    <w:name w:val="Heading 1 Char"/>
    <w:basedOn w:val="DefaultParagraphFont"/>
    <w:link w:val="Heading1"/>
    <w:rsid w:val="00E77986"/>
    <w:rPr>
      <w:rFonts w:ascii="Times New Roman Bold" w:eastAsia="Times New Roman" w:hAnsi="Times New Roman Bold" w:cs="Times New Roman"/>
      <w:b/>
      <w:caps/>
      <w:sz w:val="28"/>
      <w:szCs w:val="20"/>
      <w:lang w:eastAsia="x-none"/>
    </w:rPr>
  </w:style>
  <w:style w:type="paragraph" w:styleId="TOCHeading">
    <w:name w:val="TOC Heading"/>
    <w:basedOn w:val="Heading1"/>
    <w:next w:val="Normal"/>
    <w:uiPriority w:val="39"/>
    <w:unhideWhenUsed/>
    <w:qFormat/>
    <w:rsid w:val="00C04E56"/>
    <w:pPr>
      <w:keepLines/>
      <w:spacing w:before="480" w:after="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unhideWhenUsed/>
    <w:rsid w:val="00006442"/>
    <w:pPr>
      <w:tabs>
        <w:tab w:val="right" w:leader="dot" w:pos="9346"/>
      </w:tabs>
      <w:spacing w:before="240" w:after="240"/>
      <w:ind w:left="720" w:right="1440" w:hanging="720"/>
      <w:jc w:val="both"/>
    </w:pPr>
    <w:rPr>
      <w:rFonts w:eastAsia="Times New Roman" w:cs="Times New Roman"/>
      <w:noProof/>
      <w:sz w:val="26"/>
      <w:szCs w:val="26"/>
    </w:rPr>
  </w:style>
  <w:style w:type="paragraph" w:styleId="TOC2">
    <w:name w:val="toc 2"/>
    <w:basedOn w:val="Normal"/>
    <w:next w:val="Normal"/>
    <w:autoRedefine/>
    <w:uiPriority w:val="39"/>
    <w:unhideWhenUsed/>
    <w:rsid w:val="00006442"/>
    <w:pPr>
      <w:tabs>
        <w:tab w:val="right" w:leader="dot" w:pos="9346"/>
      </w:tabs>
      <w:spacing w:before="240" w:after="240"/>
      <w:ind w:left="1440" w:right="1440" w:hanging="720"/>
      <w:jc w:val="both"/>
    </w:pPr>
    <w:rPr>
      <w:rFonts w:eastAsia="Times New Roman" w:cs="Times New Roman"/>
      <w:sz w:val="26"/>
    </w:rPr>
  </w:style>
  <w:style w:type="paragraph" w:styleId="TOC3">
    <w:name w:val="toc 3"/>
    <w:basedOn w:val="Normal"/>
    <w:next w:val="Normal"/>
    <w:autoRedefine/>
    <w:uiPriority w:val="39"/>
    <w:unhideWhenUsed/>
    <w:rsid w:val="00006442"/>
    <w:pPr>
      <w:tabs>
        <w:tab w:val="right" w:leader="dot" w:pos="9350"/>
      </w:tabs>
      <w:spacing w:before="240" w:after="240"/>
      <w:ind w:left="2160" w:right="1440" w:hanging="720"/>
      <w:jc w:val="both"/>
    </w:pPr>
    <w:rPr>
      <w:rFonts w:eastAsia="Times New Roman" w:cs="Times New Roman"/>
      <w:sz w:val="26"/>
    </w:rPr>
  </w:style>
  <w:style w:type="paragraph" w:styleId="TOC5">
    <w:name w:val="toc 5"/>
    <w:basedOn w:val="Normal"/>
    <w:next w:val="Normal"/>
    <w:autoRedefine/>
    <w:uiPriority w:val="39"/>
    <w:unhideWhenUsed/>
    <w:rsid w:val="00C04E56"/>
    <w:pPr>
      <w:ind w:left="880"/>
      <w:jc w:val="both"/>
    </w:pPr>
    <w:rPr>
      <w:rFonts w:ascii="Calibri" w:eastAsia="Times New Roman" w:hAnsi="Calibri" w:cs="Times New Roman"/>
    </w:rPr>
  </w:style>
  <w:style w:type="paragraph" w:styleId="BodyText">
    <w:name w:val="Body Text"/>
    <w:basedOn w:val="Normal"/>
    <w:link w:val="BodyTextChar"/>
    <w:uiPriority w:val="99"/>
    <w:semiHidden/>
    <w:unhideWhenUsed/>
    <w:rsid w:val="007031A0"/>
    <w:pPr>
      <w:spacing w:after="120"/>
    </w:pPr>
  </w:style>
  <w:style w:type="character" w:customStyle="1" w:styleId="BodyTextChar">
    <w:name w:val="Body Text Char"/>
    <w:basedOn w:val="DefaultParagraphFont"/>
    <w:link w:val="BodyText"/>
    <w:uiPriority w:val="99"/>
    <w:semiHidden/>
    <w:rsid w:val="007031A0"/>
  </w:style>
  <w:style w:type="paragraph" w:styleId="BodyTextFirstIndent">
    <w:name w:val="Body Text First Indent"/>
    <w:basedOn w:val="BodyText"/>
    <w:link w:val="BodyTextFirstIndentChar"/>
    <w:uiPriority w:val="99"/>
    <w:unhideWhenUsed/>
    <w:rsid w:val="007031A0"/>
    <w:pPr>
      <w:spacing w:after="0" w:line="480" w:lineRule="auto"/>
      <w:ind w:firstLine="720"/>
      <w:jc w:val="both"/>
    </w:pPr>
    <w:rPr>
      <w:rFonts w:eastAsia="Times New Roman" w:cs="Times New Roman"/>
      <w:sz w:val="26"/>
      <w:szCs w:val="20"/>
      <w:lang w:val="x-none" w:eastAsia="x-none"/>
    </w:rPr>
  </w:style>
  <w:style w:type="character" w:customStyle="1" w:styleId="BodyTextFirstIndentChar">
    <w:name w:val="Body Text First Indent Char"/>
    <w:basedOn w:val="BodyTextChar"/>
    <w:link w:val="BodyTextFirstIndent"/>
    <w:uiPriority w:val="99"/>
    <w:rsid w:val="007031A0"/>
    <w:rPr>
      <w:rFonts w:ascii="Times New Roman" w:eastAsia="Times New Roman" w:hAnsi="Times New Roman" w:cs="Times New Roman"/>
      <w:sz w:val="26"/>
      <w:szCs w:val="20"/>
      <w:lang w:val="x-none" w:eastAsia="x-none"/>
    </w:rPr>
  </w:style>
  <w:style w:type="paragraph" w:customStyle="1" w:styleId="textstyle">
    <w:name w:val="text style"/>
    <w:basedOn w:val="Normal"/>
    <w:link w:val="textstyleChar"/>
    <w:autoRedefine/>
    <w:rsid w:val="00CC061B"/>
    <w:pPr>
      <w:spacing w:line="480" w:lineRule="auto"/>
    </w:pPr>
    <w:rPr>
      <w:rFonts w:eastAsia="Times New Roman" w:cs="Times New Roman"/>
      <w:sz w:val="26"/>
      <w:szCs w:val="24"/>
      <w:lang w:val="x-none" w:eastAsia="x-none"/>
    </w:rPr>
  </w:style>
  <w:style w:type="character" w:customStyle="1" w:styleId="textstyleChar">
    <w:name w:val="text style Char"/>
    <w:link w:val="textstyle"/>
    <w:locked/>
    <w:rsid w:val="00CC061B"/>
    <w:rPr>
      <w:rFonts w:ascii="Times New Roman" w:eastAsia="Times New Roman" w:hAnsi="Times New Roman" w:cs="Times New Roman"/>
      <w:sz w:val="26"/>
      <w:szCs w:val="24"/>
      <w:lang w:val="x-none" w:eastAsia="x-none"/>
    </w:rPr>
  </w:style>
  <w:style w:type="character" w:customStyle="1" w:styleId="Heading2Char">
    <w:name w:val="Heading 2 Char"/>
    <w:basedOn w:val="DefaultParagraphFont"/>
    <w:link w:val="Heading2"/>
    <w:uiPriority w:val="9"/>
    <w:rsid w:val="001A6DE0"/>
    <w:rPr>
      <w:rFonts w:ascii="Times New Roman" w:eastAsia="Calibri" w:hAnsi="Times New Roman" w:cstheme="majorBidi"/>
      <w:b/>
      <w:bCs/>
      <w:sz w:val="28"/>
      <w:szCs w:val="28"/>
    </w:rPr>
  </w:style>
  <w:style w:type="character" w:customStyle="1" w:styleId="Heading3Char">
    <w:name w:val="Heading 3 Char"/>
    <w:basedOn w:val="DefaultParagraphFont"/>
    <w:link w:val="Heading3"/>
    <w:uiPriority w:val="9"/>
    <w:rsid w:val="00E77986"/>
    <w:rPr>
      <w:rFonts w:ascii="Times New Roman" w:eastAsia="Calibri" w:hAnsi="Times New Roman" w:cstheme="majorBidi"/>
      <w:b/>
      <w:bCs/>
      <w:sz w:val="28"/>
      <w:szCs w:val="28"/>
    </w:rPr>
  </w:style>
  <w:style w:type="character" w:customStyle="1" w:styleId="Heading4Char">
    <w:name w:val="Heading 4 Char"/>
    <w:basedOn w:val="DefaultParagraphFont"/>
    <w:link w:val="Heading4"/>
    <w:uiPriority w:val="9"/>
    <w:rsid w:val="00E77986"/>
    <w:rPr>
      <w:rFonts w:ascii="Times New Roman" w:eastAsia="Calibri" w:hAnsi="Times New Roman" w:cstheme="majorBidi"/>
      <w:b/>
      <w:bCs/>
      <w:iCs/>
      <w:sz w:val="28"/>
    </w:rPr>
  </w:style>
  <w:style w:type="paragraph" w:customStyle="1" w:styleId="Blockquote">
    <w:name w:val="Block quote"/>
    <w:basedOn w:val="Normal"/>
    <w:autoRedefine/>
    <w:rsid w:val="00862BD7"/>
    <w:pPr>
      <w:spacing w:after="240"/>
      <w:ind w:left="1440" w:right="1440"/>
    </w:pPr>
    <w:rPr>
      <w:rFonts w:cs="Times New Roman"/>
      <w:sz w:val="26"/>
      <w:szCs w:val="26"/>
    </w:rPr>
  </w:style>
  <w:style w:type="character" w:customStyle="1" w:styleId="Heading5Char">
    <w:name w:val="Heading 5 Char"/>
    <w:basedOn w:val="DefaultParagraphFont"/>
    <w:link w:val="Heading5"/>
    <w:uiPriority w:val="9"/>
    <w:rsid w:val="00334C6A"/>
    <w:rPr>
      <w:rFonts w:ascii="Times New Roman" w:eastAsiaTheme="majorEastAsia" w:hAnsi="Times New Roman" w:cstheme="majorBidi"/>
      <w:b/>
      <w:sz w:val="26"/>
    </w:rPr>
  </w:style>
  <w:style w:type="paragraph" w:customStyle="1" w:styleId="Headign4">
    <w:name w:val="Headign 4"/>
    <w:basedOn w:val="Heading5"/>
    <w:rsid w:val="00E77986"/>
    <w:rPr>
      <w:rFonts w:eastAsia="Calibri"/>
    </w:rPr>
  </w:style>
  <w:style w:type="paragraph" w:styleId="TOC4">
    <w:name w:val="toc 4"/>
    <w:basedOn w:val="Normal"/>
    <w:next w:val="Normal"/>
    <w:autoRedefine/>
    <w:uiPriority w:val="39"/>
    <w:unhideWhenUsed/>
    <w:rsid w:val="00006442"/>
    <w:pPr>
      <w:tabs>
        <w:tab w:val="right" w:leader="dot" w:pos="9350"/>
      </w:tabs>
      <w:spacing w:before="240" w:after="240"/>
      <w:ind w:left="2880" w:right="1440" w:hanging="7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zkravitz@taftlaw.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myurick@taftlaw.com" TargetMode="External"/><Relationship Id="rId2" Type="http://schemas.openxmlformats.org/officeDocument/2006/relationships/numbering" Target="numbering.xml"/><Relationship Id="rId16" Type="http://schemas.openxmlformats.org/officeDocument/2006/relationships/hyperlink" Target="mailto:devin.parram@puc.state.oh.u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Puc\shares\Departments\Attorney%20General\Attorneys\Parram\Open%20Commission%20Cases\Gas\DEO,%2011-5843-GA-RDR%20(AMR)\werner.margard@%20puc.state.oh.us" TargetMode="External"/><Relationship Id="rId23" Type="http://schemas.openxmlformats.org/officeDocument/2006/relationships/fontTable" Target="fontTable.xml"/><Relationship Id="rId10" Type="http://schemas.openxmlformats.org/officeDocument/2006/relationships/hyperlink" Target="mailto:devin.parram@puc.state.oh.us" TargetMode="External"/><Relationship Id="rId19" Type="http://schemas.openxmlformats.org/officeDocument/2006/relationships/hyperlink" Target="mailto:serio@occ.state.oh.us" TargetMode="External"/><Relationship Id="rId4" Type="http://schemas.microsoft.com/office/2007/relationships/stylesWithEffects" Target="stylesWithEffects.xml"/><Relationship Id="rId9" Type="http://schemas.openxmlformats.org/officeDocument/2006/relationships/hyperlink" Target="mailto:werner.margard@puc.state.oh.us" TargetMode="Externa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law.cornell.edu/jureeka/index.php?doc=USPubLaws&amp;cong=107&amp;no=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60B7-BAA6-4DA8-8552-83F48673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48</Pages>
  <Words>8106</Words>
  <Characters>46205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54203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Parram</dc:creator>
  <cp:lastModifiedBy>Keeton, Kim</cp:lastModifiedBy>
  <cp:revision>6</cp:revision>
  <cp:lastPrinted>2013-08-19T19:18:00Z</cp:lastPrinted>
  <dcterms:created xsi:type="dcterms:W3CDTF">2013-08-19T18:47:00Z</dcterms:created>
  <dcterms:modified xsi:type="dcterms:W3CDTF">2013-08-19T19:19:00Z</dcterms:modified>
</cp:coreProperties>
</file>