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45" w:rsidRDefault="00432045" w:rsidP="00432045">
      <w:pPr>
        <w:pStyle w:val="List"/>
        <w:ind w:left="0" w:firstLine="0"/>
        <w:jc w:val="center"/>
        <w:rPr>
          <w:b/>
          <w:bCs/>
        </w:rPr>
      </w:pPr>
      <w:bookmarkStart w:id="0" w:name="_GoBack"/>
      <w:bookmarkEnd w:id="0"/>
      <w:r>
        <w:rPr>
          <w:b/>
          <w:bCs/>
        </w:rPr>
        <w:t>BEFORE</w:t>
      </w:r>
    </w:p>
    <w:p w:rsidR="00432045" w:rsidRDefault="00432045" w:rsidP="00432045">
      <w:pPr>
        <w:pStyle w:val="List"/>
        <w:ind w:left="0" w:firstLine="0"/>
        <w:jc w:val="center"/>
      </w:pPr>
      <w:r>
        <w:rPr>
          <w:b/>
          <w:bCs/>
        </w:rPr>
        <w:t xml:space="preserve">THE PUBLIC UTILITIES COMMISSION OF </w:t>
      </w:r>
      <w:smartTag w:uri="urn:schemas-microsoft-com:office:smarttags" w:element="place">
        <w:smartTag w:uri="urn:schemas-microsoft-com:office:smarttags" w:element="State">
          <w:r>
            <w:rPr>
              <w:b/>
              <w:bCs/>
            </w:rPr>
            <w:t>OHIO</w:t>
          </w:r>
        </w:smartTag>
      </w:smartTag>
    </w:p>
    <w:p w:rsidR="00432045" w:rsidRDefault="00432045" w:rsidP="0043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tbl>
      <w:tblPr>
        <w:tblW w:w="0" w:type="auto"/>
        <w:tblLayout w:type="fixed"/>
        <w:tblLook w:val="0000" w:firstRow="0" w:lastRow="0" w:firstColumn="0" w:lastColumn="0" w:noHBand="0" w:noVBand="0"/>
      </w:tblPr>
      <w:tblGrid>
        <w:gridCol w:w="4860"/>
        <w:gridCol w:w="365"/>
        <w:gridCol w:w="4019"/>
      </w:tblGrid>
      <w:tr w:rsidR="003938CC" w:rsidRPr="003938CC" w:rsidTr="00162578">
        <w:trPr>
          <w:trHeight w:val="1201"/>
        </w:trPr>
        <w:tc>
          <w:tcPr>
            <w:tcW w:w="4860" w:type="dxa"/>
          </w:tcPr>
          <w:p w:rsidR="003938CC" w:rsidRPr="003938CC" w:rsidRDefault="003938CC" w:rsidP="003938CC">
            <w:pPr>
              <w:rPr>
                <w:sz w:val="24"/>
              </w:rPr>
            </w:pPr>
            <w:r w:rsidRPr="003938CC">
              <w:rPr>
                <w:sz w:val="24"/>
              </w:rPr>
              <w:t>In the Matter of the Regulations of the Purchased Gas Adjustment Clauses Contained Within the Rate Schedules of Brainard Gas Corporation and Related Matters.</w:t>
            </w:r>
          </w:p>
        </w:tc>
        <w:tc>
          <w:tcPr>
            <w:tcW w:w="365" w:type="dxa"/>
          </w:tcPr>
          <w:p w:rsidR="003938CC" w:rsidRPr="003938CC" w:rsidRDefault="003938CC" w:rsidP="003938CC">
            <w:pPr>
              <w:rPr>
                <w:sz w:val="24"/>
              </w:rPr>
            </w:pPr>
            <w:r w:rsidRPr="003938CC">
              <w:rPr>
                <w:sz w:val="24"/>
              </w:rPr>
              <w:t>)</w:t>
            </w:r>
          </w:p>
          <w:p w:rsidR="003938CC" w:rsidRPr="003938CC" w:rsidRDefault="003938CC" w:rsidP="003938CC">
            <w:pPr>
              <w:rPr>
                <w:sz w:val="24"/>
              </w:rPr>
            </w:pPr>
            <w:r w:rsidRPr="003938CC">
              <w:rPr>
                <w:sz w:val="24"/>
              </w:rPr>
              <w:t>)</w:t>
            </w:r>
          </w:p>
          <w:p w:rsidR="003938CC" w:rsidRPr="003938CC" w:rsidRDefault="003938CC" w:rsidP="003938CC">
            <w:pPr>
              <w:rPr>
                <w:sz w:val="24"/>
              </w:rPr>
            </w:pPr>
            <w:r w:rsidRPr="003938CC">
              <w:rPr>
                <w:sz w:val="24"/>
              </w:rPr>
              <w:t>)</w:t>
            </w:r>
          </w:p>
          <w:p w:rsidR="003938CC" w:rsidRPr="003938CC" w:rsidRDefault="003938CC" w:rsidP="003938CC">
            <w:pPr>
              <w:rPr>
                <w:sz w:val="24"/>
              </w:rPr>
            </w:pPr>
            <w:r w:rsidRPr="003938CC">
              <w:rPr>
                <w:sz w:val="24"/>
              </w:rPr>
              <w:t>)</w:t>
            </w:r>
          </w:p>
        </w:tc>
        <w:tc>
          <w:tcPr>
            <w:tcW w:w="4019" w:type="dxa"/>
          </w:tcPr>
          <w:p w:rsidR="003938CC" w:rsidRPr="003938CC" w:rsidRDefault="003938CC" w:rsidP="003938CC">
            <w:pPr>
              <w:rPr>
                <w:sz w:val="24"/>
              </w:rPr>
            </w:pPr>
          </w:p>
          <w:p w:rsidR="003938CC" w:rsidRPr="003938CC" w:rsidRDefault="003938CC" w:rsidP="003938CC">
            <w:pPr>
              <w:rPr>
                <w:sz w:val="24"/>
              </w:rPr>
            </w:pPr>
            <w:r w:rsidRPr="003938CC">
              <w:rPr>
                <w:sz w:val="24"/>
              </w:rPr>
              <w:t>Case No. 14-206-GA-GCR</w:t>
            </w:r>
          </w:p>
          <w:p w:rsidR="003938CC" w:rsidRPr="003938CC" w:rsidRDefault="003938CC" w:rsidP="003938CC">
            <w:pPr>
              <w:rPr>
                <w:sz w:val="24"/>
              </w:rPr>
            </w:pPr>
          </w:p>
          <w:p w:rsidR="003938CC" w:rsidRPr="003938CC" w:rsidRDefault="003938CC" w:rsidP="003938CC">
            <w:pPr>
              <w:rPr>
                <w:sz w:val="24"/>
              </w:rPr>
            </w:pPr>
          </w:p>
        </w:tc>
      </w:tr>
    </w:tbl>
    <w:p w:rsidR="003938CC" w:rsidRDefault="003938CC" w:rsidP="0043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tbl>
      <w:tblPr>
        <w:tblW w:w="0" w:type="auto"/>
        <w:tblLayout w:type="fixed"/>
        <w:tblLook w:val="0000" w:firstRow="0" w:lastRow="0" w:firstColumn="0" w:lastColumn="0" w:noHBand="0" w:noVBand="0"/>
      </w:tblPr>
      <w:tblGrid>
        <w:gridCol w:w="4860"/>
        <w:gridCol w:w="365"/>
        <w:gridCol w:w="4019"/>
      </w:tblGrid>
      <w:tr w:rsidR="003938CC" w:rsidRPr="003938CC" w:rsidTr="00162578">
        <w:trPr>
          <w:trHeight w:val="1201"/>
        </w:trPr>
        <w:tc>
          <w:tcPr>
            <w:tcW w:w="4860" w:type="dxa"/>
          </w:tcPr>
          <w:p w:rsidR="003938CC" w:rsidRPr="003938CC" w:rsidRDefault="003938CC" w:rsidP="003938CC">
            <w:pPr>
              <w:rPr>
                <w:sz w:val="24"/>
              </w:rPr>
            </w:pPr>
            <w:r w:rsidRPr="003938CC">
              <w:rPr>
                <w:sz w:val="24"/>
              </w:rPr>
              <w:t>In the Matter of the Regulations of the Purchased Gas Adjustment Clauses Contained Within the Rate Schedules of Northeast Natural Gas Corporation and Related Matters.</w:t>
            </w:r>
          </w:p>
          <w:p w:rsidR="003938CC" w:rsidRPr="003938CC" w:rsidRDefault="003938CC" w:rsidP="003938CC">
            <w:pPr>
              <w:rPr>
                <w:sz w:val="24"/>
              </w:rPr>
            </w:pPr>
          </w:p>
        </w:tc>
        <w:tc>
          <w:tcPr>
            <w:tcW w:w="365" w:type="dxa"/>
          </w:tcPr>
          <w:p w:rsidR="003938CC" w:rsidRPr="003938CC" w:rsidRDefault="003938CC" w:rsidP="003938CC">
            <w:pPr>
              <w:rPr>
                <w:sz w:val="24"/>
              </w:rPr>
            </w:pPr>
            <w:r w:rsidRPr="003938CC">
              <w:rPr>
                <w:sz w:val="24"/>
              </w:rPr>
              <w:t>)</w:t>
            </w:r>
          </w:p>
          <w:p w:rsidR="003938CC" w:rsidRPr="003938CC" w:rsidRDefault="003938CC" w:rsidP="003938CC">
            <w:pPr>
              <w:rPr>
                <w:sz w:val="24"/>
              </w:rPr>
            </w:pPr>
            <w:r w:rsidRPr="003938CC">
              <w:rPr>
                <w:sz w:val="24"/>
              </w:rPr>
              <w:t>)</w:t>
            </w:r>
          </w:p>
          <w:p w:rsidR="003938CC" w:rsidRPr="003938CC" w:rsidRDefault="003938CC" w:rsidP="003938CC">
            <w:pPr>
              <w:rPr>
                <w:sz w:val="24"/>
              </w:rPr>
            </w:pPr>
            <w:r w:rsidRPr="003938CC">
              <w:rPr>
                <w:sz w:val="24"/>
              </w:rPr>
              <w:t>)</w:t>
            </w:r>
          </w:p>
          <w:p w:rsidR="003938CC" w:rsidRPr="003938CC" w:rsidRDefault="003938CC" w:rsidP="003938CC">
            <w:pPr>
              <w:rPr>
                <w:sz w:val="24"/>
              </w:rPr>
            </w:pPr>
            <w:r w:rsidRPr="003938CC">
              <w:rPr>
                <w:sz w:val="24"/>
              </w:rPr>
              <w:t>)</w:t>
            </w:r>
          </w:p>
          <w:p w:rsidR="003938CC" w:rsidRPr="003938CC" w:rsidRDefault="003938CC" w:rsidP="003938CC">
            <w:pPr>
              <w:rPr>
                <w:sz w:val="24"/>
              </w:rPr>
            </w:pPr>
          </w:p>
        </w:tc>
        <w:tc>
          <w:tcPr>
            <w:tcW w:w="4019" w:type="dxa"/>
          </w:tcPr>
          <w:p w:rsidR="003938CC" w:rsidRPr="003938CC" w:rsidRDefault="003938CC" w:rsidP="003938CC">
            <w:pPr>
              <w:rPr>
                <w:sz w:val="24"/>
              </w:rPr>
            </w:pPr>
          </w:p>
          <w:p w:rsidR="003938CC" w:rsidRPr="003938CC" w:rsidRDefault="003938CC" w:rsidP="003938CC">
            <w:pPr>
              <w:rPr>
                <w:sz w:val="24"/>
              </w:rPr>
            </w:pPr>
            <w:r w:rsidRPr="003938CC">
              <w:rPr>
                <w:sz w:val="24"/>
              </w:rPr>
              <w:t>Case No. 14-209-GA-GCR</w:t>
            </w:r>
          </w:p>
          <w:p w:rsidR="003938CC" w:rsidRPr="003938CC" w:rsidRDefault="003938CC" w:rsidP="003938CC">
            <w:pPr>
              <w:rPr>
                <w:sz w:val="24"/>
              </w:rPr>
            </w:pPr>
          </w:p>
          <w:p w:rsidR="003938CC" w:rsidRPr="003938CC" w:rsidRDefault="003938CC" w:rsidP="003938CC">
            <w:pPr>
              <w:rPr>
                <w:sz w:val="24"/>
              </w:rPr>
            </w:pPr>
          </w:p>
          <w:p w:rsidR="003938CC" w:rsidRPr="003938CC" w:rsidRDefault="003938CC" w:rsidP="003938CC">
            <w:pPr>
              <w:rPr>
                <w:sz w:val="24"/>
              </w:rPr>
            </w:pPr>
          </w:p>
        </w:tc>
      </w:tr>
    </w:tbl>
    <w:p w:rsidR="003938CC" w:rsidRDefault="003938CC" w:rsidP="0043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tbl>
      <w:tblPr>
        <w:tblW w:w="0" w:type="auto"/>
        <w:tblLayout w:type="fixed"/>
        <w:tblLook w:val="0000" w:firstRow="0" w:lastRow="0" w:firstColumn="0" w:lastColumn="0" w:noHBand="0" w:noVBand="0"/>
      </w:tblPr>
      <w:tblGrid>
        <w:gridCol w:w="4860"/>
        <w:gridCol w:w="365"/>
        <w:gridCol w:w="4019"/>
      </w:tblGrid>
      <w:tr w:rsidR="003938CC" w:rsidRPr="003938CC" w:rsidTr="00162578">
        <w:trPr>
          <w:trHeight w:val="1201"/>
        </w:trPr>
        <w:tc>
          <w:tcPr>
            <w:tcW w:w="4860" w:type="dxa"/>
          </w:tcPr>
          <w:p w:rsidR="003938CC" w:rsidRPr="003938CC" w:rsidRDefault="003938CC" w:rsidP="003938CC">
            <w:pPr>
              <w:rPr>
                <w:sz w:val="24"/>
              </w:rPr>
            </w:pPr>
            <w:r w:rsidRPr="003938CC">
              <w:rPr>
                <w:sz w:val="24"/>
              </w:rPr>
              <w:t>In the Matter of the Regulation of the Purchased Gas Adjustment Clauses Contained Within the Rate Schedules of Orwell Natural Gas Company and Related Matters.</w:t>
            </w:r>
          </w:p>
          <w:p w:rsidR="003938CC" w:rsidRPr="003938CC" w:rsidRDefault="003938CC" w:rsidP="003938CC">
            <w:pPr>
              <w:rPr>
                <w:sz w:val="24"/>
              </w:rPr>
            </w:pPr>
          </w:p>
        </w:tc>
        <w:tc>
          <w:tcPr>
            <w:tcW w:w="365" w:type="dxa"/>
          </w:tcPr>
          <w:p w:rsidR="003938CC" w:rsidRPr="003938CC" w:rsidRDefault="003938CC" w:rsidP="003938CC">
            <w:pPr>
              <w:rPr>
                <w:sz w:val="24"/>
              </w:rPr>
            </w:pPr>
            <w:r w:rsidRPr="003938CC">
              <w:rPr>
                <w:sz w:val="24"/>
              </w:rPr>
              <w:t>)</w:t>
            </w:r>
          </w:p>
          <w:p w:rsidR="003938CC" w:rsidRPr="003938CC" w:rsidRDefault="003938CC" w:rsidP="003938CC">
            <w:pPr>
              <w:rPr>
                <w:sz w:val="24"/>
              </w:rPr>
            </w:pPr>
            <w:r w:rsidRPr="003938CC">
              <w:rPr>
                <w:sz w:val="24"/>
              </w:rPr>
              <w:t>)</w:t>
            </w:r>
          </w:p>
          <w:p w:rsidR="003938CC" w:rsidRPr="003938CC" w:rsidRDefault="003938CC" w:rsidP="003938CC">
            <w:pPr>
              <w:rPr>
                <w:sz w:val="24"/>
              </w:rPr>
            </w:pPr>
            <w:r w:rsidRPr="003938CC">
              <w:rPr>
                <w:sz w:val="24"/>
              </w:rPr>
              <w:t>)</w:t>
            </w:r>
          </w:p>
          <w:p w:rsidR="003938CC" w:rsidRPr="003938CC" w:rsidRDefault="003938CC" w:rsidP="003938CC">
            <w:pPr>
              <w:rPr>
                <w:sz w:val="24"/>
              </w:rPr>
            </w:pPr>
            <w:r w:rsidRPr="003938CC">
              <w:rPr>
                <w:sz w:val="24"/>
              </w:rPr>
              <w:t>)</w:t>
            </w:r>
          </w:p>
          <w:p w:rsidR="003938CC" w:rsidRPr="003938CC" w:rsidRDefault="003938CC" w:rsidP="003938CC">
            <w:pPr>
              <w:rPr>
                <w:sz w:val="24"/>
              </w:rPr>
            </w:pPr>
          </w:p>
        </w:tc>
        <w:tc>
          <w:tcPr>
            <w:tcW w:w="4019" w:type="dxa"/>
          </w:tcPr>
          <w:p w:rsidR="003938CC" w:rsidRPr="003938CC" w:rsidRDefault="003938CC" w:rsidP="003938CC">
            <w:pPr>
              <w:rPr>
                <w:sz w:val="24"/>
              </w:rPr>
            </w:pPr>
          </w:p>
          <w:p w:rsidR="003938CC" w:rsidRPr="003938CC" w:rsidRDefault="003938CC" w:rsidP="003938CC">
            <w:pPr>
              <w:rPr>
                <w:sz w:val="24"/>
              </w:rPr>
            </w:pPr>
            <w:r w:rsidRPr="003938CC">
              <w:rPr>
                <w:sz w:val="24"/>
              </w:rPr>
              <w:t>Case No. 14-212-GA-GCR</w:t>
            </w:r>
          </w:p>
          <w:p w:rsidR="003938CC" w:rsidRPr="003938CC" w:rsidRDefault="003938CC" w:rsidP="003938CC">
            <w:pPr>
              <w:rPr>
                <w:sz w:val="24"/>
              </w:rPr>
            </w:pPr>
          </w:p>
          <w:p w:rsidR="003938CC" w:rsidRPr="003938CC" w:rsidRDefault="003938CC" w:rsidP="003938CC">
            <w:pPr>
              <w:rPr>
                <w:sz w:val="24"/>
              </w:rPr>
            </w:pPr>
          </w:p>
          <w:p w:rsidR="003938CC" w:rsidRPr="003938CC" w:rsidRDefault="003938CC" w:rsidP="003938CC">
            <w:pPr>
              <w:rPr>
                <w:sz w:val="24"/>
              </w:rPr>
            </w:pPr>
          </w:p>
        </w:tc>
      </w:tr>
    </w:tbl>
    <w:p w:rsidR="003938CC" w:rsidRPr="004472A2" w:rsidRDefault="003938CC" w:rsidP="0043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p w:rsidR="00432045" w:rsidRDefault="00432045" w:rsidP="00432045">
      <w:pPr>
        <w:tabs>
          <w:tab w:val="left" w:pos="4680"/>
        </w:tabs>
        <w:rPr>
          <w:sz w:val="24"/>
          <w:szCs w:val="24"/>
        </w:rPr>
      </w:pPr>
    </w:p>
    <w:p w:rsidR="00432045" w:rsidRDefault="00432045" w:rsidP="00432045">
      <w:pPr>
        <w:pBdr>
          <w:top w:val="single" w:sz="12" w:space="1" w:color="auto"/>
        </w:pBdr>
        <w:tabs>
          <w:tab w:val="left" w:pos="4320"/>
        </w:tabs>
        <w:rPr>
          <w:sz w:val="24"/>
          <w:szCs w:val="24"/>
        </w:rPr>
      </w:pPr>
    </w:p>
    <w:p w:rsidR="00432045" w:rsidRDefault="00432045" w:rsidP="00432045">
      <w:pPr>
        <w:jc w:val="center"/>
        <w:rPr>
          <w:b/>
          <w:bCs/>
          <w:sz w:val="24"/>
          <w:szCs w:val="24"/>
        </w:rPr>
      </w:pPr>
      <w:r>
        <w:rPr>
          <w:b/>
          <w:bCs/>
          <w:sz w:val="24"/>
          <w:szCs w:val="24"/>
        </w:rPr>
        <w:t xml:space="preserve">NOTICE TO TAKE DEPOSITIONS </w:t>
      </w:r>
    </w:p>
    <w:p w:rsidR="00432045" w:rsidRDefault="00432045" w:rsidP="00432045">
      <w:pPr>
        <w:jc w:val="center"/>
        <w:rPr>
          <w:b/>
          <w:bCs/>
          <w:sz w:val="24"/>
          <w:szCs w:val="24"/>
        </w:rPr>
      </w:pPr>
      <w:r>
        <w:rPr>
          <w:b/>
          <w:bCs/>
          <w:sz w:val="24"/>
          <w:szCs w:val="24"/>
        </w:rPr>
        <w:t>AND REQUESTS FOR PRODUCTION OF DOCUMENTS</w:t>
      </w:r>
    </w:p>
    <w:p w:rsidR="00432045" w:rsidRDefault="00432045" w:rsidP="00432045">
      <w:pPr>
        <w:jc w:val="center"/>
        <w:rPr>
          <w:b/>
          <w:bCs/>
          <w:sz w:val="24"/>
          <w:szCs w:val="24"/>
        </w:rPr>
      </w:pPr>
      <w:r>
        <w:rPr>
          <w:b/>
          <w:bCs/>
          <w:sz w:val="24"/>
          <w:szCs w:val="24"/>
        </w:rPr>
        <w:t>BY</w:t>
      </w:r>
    </w:p>
    <w:p w:rsidR="00432045" w:rsidRDefault="00432045" w:rsidP="00432045">
      <w:pPr>
        <w:jc w:val="center"/>
        <w:rPr>
          <w:b/>
          <w:bCs/>
          <w:sz w:val="24"/>
          <w:szCs w:val="24"/>
        </w:rPr>
      </w:pPr>
      <w:r>
        <w:rPr>
          <w:b/>
          <w:bCs/>
          <w:sz w:val="24"/>
          <w:szCs w:val="24"/>
        </w:rPr>
        <w:t>THE OFFICE OF THE OHIO CONSUMERS’ COUNSEL</w:t>
      </w:r>
    </w:p>
    <w:p w:rsidR="00432045" w:rsidRDefault="00432045" w:rsidP="00432045">
      <w:pPr>
        <w:pBdr>
          <w:bottom w:val="single" w:sz="12" w:space="1" w:color="auto"/>
        </w:pBdr>
        <w:tabs>
          <w:tab w:val="left" w:pos="4320"/>
        </w:tabs>
        <w:rPr>
          <w:b/>
          <w:bCs/>
          <w:sz w:val="24"/>
          <w:szCs w:val="24"/>
        </w:rPr>
      </w:pPr>
    </w:p>
    <w:p w:rsidR="00432045" w:rsidRDefault="00432045" w:rsidP="00432045">
      <w:pPr>
        <w:tabs>
          <w:tab w:val="left" w:pos="4320"/>
        </w:tabs>
        <w:rPr>
          <w:sz w:val="24"/>
          <w:szCs w:val="24"/>
        </w:rPr>
      </w:pPr>
    </w:p>
    <w:p w:rsidR="00432045" w:rsidRDefault="00432045" w:rsidP="00432045">
      <w:pPr>
        <w:autoSpaceDE w:val="0"/>
        <w:autoSpaceDN w:val="0"/>
        <w:adjustRightInd w:val="0"/>
        <w:spacing w:line="480" w:lineRule="auto"/>
        <w:ind w:firstLine="720"/>
        <w:rPr>
          <w:sz w:val="24"/>
          <w:szCs w:val="24"/>
        </w:rPr>
      </w:pPr>
      <w:r>
        <w:rPr>
          <w:sz w:val="24"/>
          <w:szCs w:val="24"/>
        </w:rPr>
        <w:t xml:space="preserve">Pursuant to Ohio Adm. Code Rule 4901-1-21(B), please take notice that the Office of the Ohio Consumers’ Counsel (“OCC”) will take the oral deposition of </w:t>
      </w:r>
      <w:r w:rsidR="00132ED0">
        <w:rPr>
          <w:sz w:val="24"/>
        </w:rPr>
        <w:t>all individuals</w:t>
      </w:r>
      <w:r w:rsidR="0008554F">
        <w:rPr>
          <w:sz w:val="24"/>
        </w:rPr>
        <w:t>: 1)</w:t>
      </w:r>
      <w:r w:rsidR="00132ED0">
        <w:rPr>
          <w:sz w:val="24"/>
        </w:rPr>
        <w:t xml:space="preserve"> for whom testimony is filed or will be filed in the above-captioned matters</w:t>
      </w:r>
      <w:r w:rsidR="0008554F">
        <w:rPr>
          <w:sz w:val="24"/>
        </w:rPr>
        <w:t>, 2)</w:t>
      </w:r>
      <w:r w:rsidR="00132ED0">
        <w:rPr>
          <w:sz w:val="24"/>
        </w:rPr>
        <w:t xml:space="preserve"> who</w:t>
      </w:r>
      <w:r w:rsidR="0008554F">
        <w:rPr>
          <w:sz w:val="24"/>
        </w:rPr>
        <w:t>m</w:t>
      </w:r>
      <w:r w:rsidR="00132ED0">
        <w:rPr>
          <w:sz w:val="24"/>
        </w:rPr>
        <w:t xml:space="preserve"> have knowledge and expertise with the subject matter of </w:t>
      </w:r>
      <w:r w:rsidR="00934E07">
        <w:rPr>
          <w:sz w:val="24"/>
        </w:rPr>
        <w:t xml:space="preserve">these </w:t>
      </w:r>
      <w:r w:rsidR="00934E07" w:rsidRPr="00932465">
        <w:rPr>
          <w:sz w:val="24"/>
        </w:rPr>
        <w:t>proceedings</w:t>
      </w:r>
      <w:r w:rsidR="0008554F" w:rsidRPr="00932465">
        <w:rPr>
          <w:sz w:val="24"/>
        </w:rPr>
        <w:t xml:space="preserve">, 3) whom have knowledge regarding the transportation agreement between Orwell and Orwell-Trumbull Pipeline that is dated July 1, 2008 and is identified as Exhibit A in the Complaint that Orwell filed against Orwell-Trumbull in PUCO Case No. 15-0637-GA-COI on March 31, 2015, 4) whom have knowledge about the taps or interconnections that Orwell had with Dominion East Ohio Gas Company d/b/a East </w:t>
      </w:r>
      <w:r w:rsidR="0008554F" w:rsidRPr="00932465">
        <w:rPr>
          <w:sz w:val="24"/>
        </w:rPr>
        <w:lastRenderedPageBreak/>
        <w:t>Ohio Gas Company (“Dominion”), and 5) whom have knowledge regarding interstate,  intrastate, and local purchases</w:t>
      </w:r>
      <w:r w:rsidR="00E03FEF" w:rsidRPr="00932465">
        <w:rPr>
          <w:sz w:val="24"/>
        </w:rPr>
        <w:t>, both volumes and price in the Ohio market</w:t>
      </w:r>
      <w:r w:rsidR="00934E07" w:rsidRPr="00932465">
        <w:rPr>
          <w:sz w:val="24"/>
        </w:rPr>
        <w:t xml:space="preserve"> on behalf of Brainard Gas Corporation (“Brainard”), Northeast Natural Gas Corporation (“Northeast”)</w:t>
      </w:r>
      <w:r w:rsidR="00934E07">
        <w:rPr>
          <w:sz w:val="24"/>
        </w:rPr>
        <w:t xml:space="preserve"> and Orwell Natural Gas Company (“Orwell”) (collectively “the Utilities”)</w:t>
      </w:r>
      <w:r w:rsidR="00057D5A">
        <w:rPr>
          <w:rFonts w:eastAsia="Calibri"/>
          <w:sz w:val="24"/>
          <w:szCs w:val="24"/>
        </w:rPr>
        <w:t xml:space="preserve"> </w:t>
      </w:r>
      <w:r w:rsidR="00132ED0">
        <w:rPr>
          <w:sz w:val="24"/>
        </w:rPr>
        <w:t xml:space="preserve">including, but not limited to, </w:t>
      </w:r>
      <w:r>
        <w:rPr>
          <w:sz w:val="24"/>
          <w:szCs w:val="24"/>
        </w:rPr>
        <w:t>the following individuals:</w:t>
      </w:r>
    </w:p>
    <w:p w:rsidR="00483038" w:rsidRDefault="00934E07" w:rsidP="00432045">
      <w:pPr>
        <w:numPr>
          <w:ilvl w:val="0"/>
          <w:numId w:val="1"/>
        </w:numPr>
        <w:autoSpaceDE w:val="0"/>
        <w:autoSpaceDN w:val="0"/>
        <w:adjustRightInd w:val="0"/>
        <w:ind w:right="720"/>
        <w:rPr>
          <w:sz w:val="24"/>
          <w:szCs w:val="24"/>
        </w:rPr>
      </w:pPr>
      <w:r>
        <w:rPr>
          <w:sz w:val="24"/>
          <w:szCs w:val="24"/>
        </w:rPr>
        <w:t>Marty Whelan</w:t>
      </w:r>
      <w:r w:rsidR="00932465">
        <w:rPr>
          <w:sz w:val="24"/>
          <w:szCs w:val="24"/>
        </w:rPr>
        <w:t>;</w:t>
      </w:r>
      <w:r>
        <w:rPr>
          <w:sz w:val="24"/>
          <w:szCs w:val="24"/>
        </w:rPr>
        <w:t xml:space="preserve"> </w:t>
      </w:r>
    </w:p>
    <w:p w:rsidR="00483038" w:rsidRDefault="00483038" w:rsidP="00483038">
      <w:pPr>
        <w:pStyle w:val="ListParagraph"/>
        <w:rPr>
          <w:sz w:val="24"/>
          <w:szCs w:val="24"/>
        </w:rPr>
      </w:pPr>
    </w:p>
    <w:p w:rsidR="00483038" w:rsidRDefault="00934E07" w:rsidP="00432045">
      <w:pPr>
        <w:numPr>
          <w:ilvl w:val="0"/>
          <w:numId w:val="1"/>
        </w:numPr>
        <w:autoSpaceDE w:val="0"/>
        <w:autoSpaceDN w:val="0"/>
        <w:adjustRightInd w:val="0"/>
        <w:ind w:right="720"/>
        <w:rPr>
          <w:sz w:val="24"/>
          <w:szCs w:val="24"/>
        </w:rPr>
      </w:pPr>
      <w:r>
        <w:rPr>
          <w:sz w:val="24"/>
          <w:szCs w:val="24"/>
        </w:rPr>
        <w:t>Mike Zapitello</w:t>
      </w:r>
      <w:r w:rsidR="00932465">
        <w:rPr>
          <w:sz w:val="24"/>
          <w:szCs w:val="24"/>
        </w:rPr>
        <w:t>;</w:t>
      </w:r>
    </w:p>
    <w:p w:rsidR="00432045" w:rsidRPr="000264A2" w:rsidRDefault="00432045" w:rsidP="000264A2">
      <w:pPr>
        <w:rPr>
          <w:sz w:val="24"/>
          <w:szCs w:val="24"/>
        </w:rPr>
      </w:pPr>
    </w:p>
    <w:p w:rsidR="00432045" w:rsidRPr="00B837C1" w:rsidRDefault="00432045" w:rsidP="000264A2">
      <w:pPr>
        <w:numPr>
          <w:ilvl w:val="0"/>
          <w:numId w:val="1"/>
        </w:numPr>
        <w:spacing w:after="120"/>
        <w:ind w:right="720"/>
        <w:rPr>
          <w:sz w:val="24"/>
          <w:szCs w:val="24"/>
        </w:rPr>
      </w:pPr>
      <w:r w:rsidRPr="00B837C1">
        <w:rPr>
          <w:sz w:val="24"/>
          <w:szCs w:val="24"/>
        </w:rPr>
        <w:t>All pe</w:t>
      </w:r>
      <w:r w:rsidR="00857057">
        <w:rPr>
          <w:sz w:val="24"/>
          <w:szCs w:val="24"/>
        </w:rPr>
        <w:t xml:space="preserve">rsons who will be called by </w:t>
      </w:r>
      <w:r w:rsidR="00934E07">
        <w:rPr>
          <w:sz w:val="24"/>
          <w:szCs w:val="24"/>
        </w:rPr>
        <w:t xml:space="preserve">the Utilities </w:t>
      </w:r>
      <w:r w:rsidRPr="00B837C1">
        <w:rPr>
          <w:sz w:val="24"/>
          <w:szCs w:val="24"/>
        </w:rPr>
        <w:t>to present testimony, including direct, rebuttal, surrebuttal, and any other form of testimon</w:t>
      </w:r>
      <w:r w:rsidRPr="009429E3">
        <w:rPr>
          <w:sz w:val="24"/>
          <w:szCs w:val="24"/>
        </w:rPr>
        <w:t>y filed, or to be filed  in th</w:t>
      </w:r>
      <w:r>
        <w:rPr>
          <w:sz w:val="24"/>
          <w:szCs w:val="24"/>
        </w:rPr>
        <w:t>ese</w:t>
      </w:r>
      <w:r w:rsidRPr="00B837C1">
        <w:rPr>
          <w:sz w:val="24"/>
          <w:szCs w:val="24"/>
        </w:rPr>
        <w:t xml:space="preserve"> proceeding</w:t>
      </w:r>
      <w:r w:rsidR="00932465">
        <w:rPr>
          <w:sz w:val="24"/>
          <w:szCs w:val="24"/>
        </w:rPr>
        <w:t>s;</w:t>
      </w:r>
    </w:p>
    <w:p w:rsidR="00E03FEF" w:rsidRDefault="00432045" w:rsidP="00E03FEF">
      <w:pPr>
        <w:numPr>
          <w:ilvl w:val="0"/>
          <w:numId w:val="1"/>
        </w:numPr>
        <w:tabs>
          <w:tab w:val="left" w:pos="720"/>
        </w:tabs>
        <w:autoSpaceDE w:val="0"/>
        <w:autoSpaceDN w:val="0"/>
        <w:adjustRightInd w:val="0"/>
        <w:spacing w:after="120"/>
        <w:rPr>
          <w:sz w:val="24"/>
          <w:szCs w:val="24"/>
        </w:rPr>
      </w:pPr>
      <w:r w:rsidRPr="00B837C1">
        <w:rPr>
          <w:sz w:val="24"/>
          <w:szCs w:val="24"/>
        </w:rPr>
        <w:t>All persons responsible for answering OCC’s interrogatories and/or responding to requests for production of documents (including responses that state that no documents are responsive to a re</w:t>
      </w:r>
      <w:r w:rsidRPr="009429E3">
        <w:rPr>
          <w:sz w:val="24"/>
          <w:szCs w:val="24"/>
        </w:rPr>
        <w:t>quest to produce) served in th</w:t>
      </w:r>
      <w:r>
        <w:rPr>
          <w:sz w:val="24"/>
          <w:szCs w:val="24"/>
        </w:rPr>
        <w:t>ese</w:t>
      </w:r>
      <w:r w:rsidRPr="00B837C1">
        <w:rPr>
          <w:sz w:val="24"/>
          <w:szCs w:val="24"/>
        </w:rPr>
        <w:t xml:space="preserve"> proceeding</w:t>
      </w:r>
      <w:r>
        <w:rPr>
          <w:sz w:val="24"/>
          <w:szCs w:val="24"/>
        </w:rPr>
        <w:t>s</w:t>
      </w:r>
      <w:r w:rsidR="00932465">
        <w:rPr>
          <w:sz w:val="24"/>
          <w:szCs w:val="24"/>
        </w:rPr>
        <w:t xml:space="preserve"> upon the Company;</w:t>
      </w:r>
    </w:p>
    <w:p w:rsidR="00932465" w:rsidRPr="00932465" w:rsidRDefault="00932465" w:rsidP="00E03FEF">
      <w:pPr>
        <w:numPr>
          <w:ilvl w:val="0"/>
          <w:numId w:val="1"/>
        </w:numPr>
        <w:tabs>
          <w:tab w:val="left" w:pos="720"/>
        </w:tabs>
        <w:autoSpaceDE w:val="0"/>
        <w:autoSpaceDN w:val="0"/>
        <w:adjustRightInd w:val="0"/>
        <w:spacing w:after="120"/>
        <w:rPr>
          <w:sz w:val="24"/>
          <w:szCs w:val="24"/>
        </w:rPr>
      </w:pPr>
      <w:r>
        <w:rPr>
          <w:sz w:val="24"/>
          <w:szCs w:val="24"/>
        </w:rPr>
        <w:t xml:space="preserve">All persons who </w:t>
      </w:r>
      <w:r w:rsidRPr="00932465">
        <w:rPr>
          <w:sz w:val="24"/>
        </w:rPr>
        <w:t>whom have knowledge regarding the transportation agreement between Orwell and Orwell-Trumbull Pipeline that is dated July 1, 2008 and is identified as Exhibit A in the Complaint that Orwell filed against Orwell-Trumbull in PUCO Case No. 15-0637-GA-COI on March 31, 2015</w:t>
      </w:r>
      <w:r>
        <w:rPr>
          <w:sz w:val="24"/>
        </w:rPr>
        <w:t>;</w:t>
      </w:r>
    </w:p>
    <w:p w:rsidR="00932465" w:rsidRPr="00932465" w:rsidRDefault="00932465" w:rsidP="00E03FEF">
      <w:pPr>
        <w:numPr>
          <w:ilvl w:val="0"/>
          <w:numId w:val="1"/>
        </w:numPr>
        <w:tabs>
          <w:tab w:val="left" w:pos="720"/>
        </w:tabs>
        <w:autoSpaceDE w:val="0"/>
        <w:autoSpaceDN w:val="0"/>
        <w:adjustRightInd w:val="0"/>
        <w:spacing w:after="120"/>
        <w:rPr>
          <w:sz w:val="24"/>
          <w:szCs w:val="24"/>
        </w:rPr>
      </w:pPr>
      <w:r>
        <w:rPr>
          <w:sz w:val="24"/>
        </w:rPr>
        <w:t xml:space="preserve">All persons who </w:t>
      </w:r>
      <w:r w:rsidRPr="00932465">
        <w:rPr>
          <w:sz w:val="24"/>
        </w:rPr>
        <w:t>have knowledge about the taps or interconnections that Orwell had with Dominion East Ohio Gas Company d/b/a East Ohio Gas Company (“Dominion”)</w:t>
      </w:r>
      <w:r>
        <w:rPr>
          <w:sz w:val="24"/>
        </w:rPr>
        <w:t xml:space="preserve">; and </w:t>
      </w:r>
    </w:p>
    <w:p w:rsidR="00932465" w:rsidRDefault="00932465" w:rsidP="00E03FEF">
      <w:pPr>
        <w:numPr>
          <w:ilvl w:val="0"/>
          <w:numId w:val="1"/>
        </w:numPr>
        <w:tabs>
          <w:tab w:val="left" w:pos="720"/>
        </w:tabs>
        <w:autoSpaceDE w:val="0"/>
        <w:autoSpaceDN w:val="0"/>
        <w:adjustRightInd w:val="0"/>
        <w:spacing w:after="120"/>
        <w:rPr>
          <w:sz w:val="24"/>
          <w:szCs w:val="24"/>
        </w:rPr>
      </w:pPr>
      <w:r>
        <w:rPr>
          <w:sz w:val="24"/>
        </w:rPr>
        <w:t xml:space="preserve">All persons who </w:t>
      </w:r>
      <w:r w:rsidRPr="00932465">
        <w:rPr>
          <w:sz w:val="24"/>
        </w:rPr>
        <w:t>have knowledge regarding interstate</w:t>
      </w:r>
      <w:r w:rsidR="009915E1" w:rsidRPr="00932465">
        <w:rPr>
          <w:sz w:val="24"/>
        </w:rPr>
        <w:t>, intrastate</w:t>
      </w:r>
      <w:r w:rsidRPr="00932465">
        <w:rPr>
          <w:sz w:val="24"/>
        </w:rPr>
        <w:t>, and local purchases, both volumes and price in the Ohio market</w:t>
      </w:r>
      <w:r>
        <w:rPr>
          <w:sz w:val="24"/>
        </w:rPr>
        <w:t>.</w:t>
      </w:r>
    </w:p>
    <w:p w:rsidR="00E03FEF" w:rsidRPr="00E03FEF" w:rsidRDefault="00E03FEF" w:rsidP="00E03FEF">
      <w:pPr>
        <w:tabs>
          <w:tab w:val="left" w:pos="720"/>
        </w:tabs>
        <w:autoSpaceDE w:val="0"/>
        <w:autoSpaceDN w:val="0"/>
        <w:adjustRightInd w:val="0"/>
        <w:spacing w:after="120"/>
        <w:ind w:left="1440"/>
        <w:rPr>
          <w:sz w:val="24"/>
          <w:szCs w:val="24"/>
        </w:rPr>
      </w:pPr>
    </w:p>
    <w:p w:rsidR="00432045" w:rsidRDefault="00432045" w:rsidP="00432045">
      <w:pPr>
        <w:autoSpaceDE w:val="0"/>
        <w:autoSpaceDN w:val="0"/>
        <w:adjustRightInd w:val="0"/>
        <w:spacing w:line="480" w:lineRule="auto"/>
        <w:ind w:firstLine="720"/>
        <w:rPr>
          <w:sz w:val="24"/>
          <w:szCs w:val="24"/>
        </w:rPr>
      </w:pPr>
      <w:r w:rsidRPr="00B837C1">
        <w:rPr>
          <w:sz w:val="24"/>
          <w:szCs w:val="24"/>
        </w:rPr>
        <w:t>OCC seeks to conduct the deposition</w:t>
      </w:r>
      <w:r w:rsidR="00934E07">
        <w:rPr>
          <w:sz w:val="24"/>
          <w:szCs w:val="24"/>
        </w:rPr>
        <w:t xml:space="preserve"> of Mike Zapitello</w:t>
      </w:r>
      <w:r w:rsidRPr="00B837C1">
        <w:rPr>
          <w:sz w:val="24"/>
          <w:szCs w:val="24"/>
        </w:rPr>
        <w:t xml:space="preserve"> upon oral examination at OCC’s offices, 10 W. Broad St., 18</w:t>
      </w:r>
      <w:r w:rsidRPr="00B837C1">
        <w:rPr>
          <w:sz w:val="24"/>
          <w:szCs w:val="24"/>
          <w:vertAlign w:val="superscript"/>
        </w:rPr>
        <w:t>th</w:t>
      </w:r>
      <w:r w:rsidR="00932465">
        <w:rPr>
          <w:sz w:val="24"/>
          <w:szCs w:val="24"/>
        </w:rPr>
        <w:t xml:space="preserve"> Floor, Columbus, Ohio, at 9</w:t>
      </w:r>
      <w:r w:rsidRPr="00B837C1">
        <w:rPr>
          <w:sz w:val="24"/>
          <w:szCs w:val="24"/>
        </w:rPr>
        <w:t xml:space="preserve">:00 </w:t>
      </w:r>
      <w:r w:rsidR="00932465">
        <w:rPr>
          <w:sz w:val="24"/>
          <w:szCs w:val="24"/>
        </w:rPr>
        <w:t>a</w:t>
      </w:r>
      <w:r w:rsidRPr="00B837C1">
        <w:rPr>
          <w:sz w:val="24"/>
          <w:szCs w:val="24"/>
        </w:rPr>
        <w:t xml:space="preserve">.m. </w:t>
      </w:r>
      <w:r w:rsidRPr="00F972A2">
        <w:rPr>
          <w:sz w:val="24"/>
          <w:szCs w:val="24"/>
        </w:rPr>
        <w:t xml:space="preserve">beginning on </w:t>
      </w:r>
      <w:r w:rsidR="00932465" w:rsidRPr="00932465">
        <w:rPr>
          <w:sz w:val="24"/>
          <w:szCs w:val="24"/>
        </w:rPr>
        <w:t>Thurs</w:t>
      </w:r>
      <w:r w:rsidR="00CE3227" w:rsidRPr="00932465">
        <w:rPr>
          <w:sz w:val="24"/>
          <w:szCs w:val="24"/>
        </w:rPr>
        <w:t xml:space="preserve">day May </w:t>
      </w:r>
      <w:r w:rsidR="00932465" w:rsidRPr="00932465">
        <w:rPr>
          <w:sz w:val="24"/>
          <w:szCs w:val="24"/>
        </w:rPr>
        <w:t>7</w:t>
      </w:r>
      <w:r w:rsidR="00CE3227" w:rsidRPr="00932465">
        <w:rPr>
          <w:sz w:val="24"/>
          <w:szCs w:val="24"/>
        </w:rPr>
        <w:t>,</w:t>
      </w:r>
      <w:r w:rsidR="00934E07" w:rsidRPr="00932465">
        <w:rPr>
          <w:sz w:val="24"/>
          <w:szCs w:val="24"/>
        </w:rPr>
        <w:t xml:space="preserve"> 2015</w:t>
      </w:r>
      <w:r w:rsidRPr="00932465">
        <w:rPr>
          <w:sz w:val="24"/>
          <w:szCs w:val="24"/>
        </w:rPr>
        <w:t>,</w:t>
      </w:r>
      <w:r w:rsidR="00132ED0" w:rsidRPr="00932465">
        <w:rPr>
          <w:sz w:val="24"/>
          <w:szCs w:val="24"/>
        </w:rPr>
        <w:t xml:space="preserve"> </w:t>
      </w:r>
      <w:r w:rsidRPr="00932465">
        <w:rPr>
          <w:sz w:val="24"/>
          <w:szCs w:val="24"/>
        </w:rPr>
        <w:t xml:space="preserve">or such other time </w:t>
      </w:r>
      <w:r w:rsidR="00057D5A" w:rsidRPr="00932465">
        <w:rPr>
          <w:sz w:val="24"/>
          <w:szCs w:val="24"/>
        </w:rPr>
        <w:t xml:space="preserve">or place </w:t>
      </w:r>
      <w:r w:rsidRPr="00932465">
        <w:rPr>
          <w:sz w:val="24"/>
          <w:szCs w:val="24"/>
        </w:rPr>
        <w:t>that is mutual</w:t>
      </w:r>
      <w:r w:rsidR="00934E07" w:rsidRPr="00932465">
        <w:rPr>
          <w:sz w:val="24"/>
          <w:szCs w:val="24"/>
        </w:rPr>
        <w:t xml:space="preserve">ly agreed upon by the Parties. </w:t>
      </w:r>
      <w:r w:rsidRPr="00932465">
        <w:rPr>
          <w:sz w:val="24"/>
          <w:szCs w:val="24"/>
        </w:rPr>
        <w:t>The deposition</w:t>
      </w:r>
      <w:r w:rsidR="00934E07" w:rsidRPr="00932465">
        <w:rPr>
          <w:sz w:val="24"/>
          <w:szCs w:val="24"/>
        </w:rPr>
        <w:t xml:space="preserve"> of Marty Whelan</w:t>
      </w:r>
      <w:r w:rsidR="00132ED0" w:rsidRPr="00932465">
        <w:rPr>
          <w:sz w:val="24"/>
          <w:szCs w:val="24"/>
        </w:rPr>
        <w:t xml:space="preserve"> </w:t>
      </w:r>
      <w:r w:rsidRPr="00932465">
        <w:rPr>
          <w:sz w:val="24"/>
          <w:szCs w:val="24"/>
        </w:rPr>
        <w:t>s</w:t>
      </w:r>
      <w:r w:rsidR="00132ED0" w:rsidRPr="00932465">
        <w:rPr>
          <w:sz w:val="24"/>
          <w:szCs w:val="24"/>
        </w:rPr>
        <w:t>hall follow</w:t>
      </w:r>
      <w:r w:rsidRPr="00932465">
        <w:rPr>
          <w:sz w:val="24"/>
          <w:szCs w:val="24"/>
        </w:rPr>
        <w:t xml:space="preserve"> </w:t>
      </w:r>
      <w:r w:rsidR="00934E07" w:rsidRPr="00932465">
        <w:rPr>
          <w:sz w:val="24"/>
          <w:szCs w:val="24"/>
        </w:rPr>
        <w:t xml:space="preserve">immediately upon completion of Mr. </w:t>
      </w:r>
      <w:r w:rsidR="00932465" w:rsidRPr="00932465">
        <w:rPr>
          <w:sz w:val="24"/>
          <w:szCs w:val="24"/>
        </w:rPr>
        <w:t>Zapitello’s deposition, or at 2</w:t>
      </w:r>
      <w:r w:rsidR="00932465">
        <w:rPr>
          <w:sz w:val="24"/>
          <w:szCs w:val="24"/>
        </w:rPr>
        <w:t>:00 p</w:t>
      </w:r>
      <w:r w:rsidR="00934E07" w:rsidRPr="00932465">
        <w:rPr>
          <w:sz w:val="24"/>
          <w:szCs w:val="24"/>
        </w:rPr>
        <w:t xml:space="preserve">.m. on </w:t>
      </w:r>
      <w:r w:rsidR="00CE3227" w:rsidRPr="00932465">
        <w:rPr>
          <w:sz w:val="24"/>
          <w:szCs w:val="24"/>
        </w:rPr>
        <w:t>T</w:t>
      </w:r>
      <w:r w:rsidR="00932465" w:rsidRPr="00932465">
        <w:rPr>
          <w:sz w:val="24"/>
          <w:szCs w:val="24"/>
        </w:rPr>
        <w:t>hurs</w:t>
      </w:r>
      <w:r w:rsidR="00CE3227" w:rsidRPr="00932465">
        <w:rPr>
          <w:sz w:val="24"/>
          <w:szCs w:val="24"/>
        </w:rPr>
        <w:t xml:space="preserve">day </w:t>
      </w:r>
      <w:r w:rsidR="00934E07" w:rsidRPr="00932465">
        <w:rPr>
          <w:sz w:val="24"/>
          <w:szCs w:val="24"/>
        </w:rPr>
        <w:t>M</w:t>
      </w:r>
      <w:r w:rsidR="00CE3227" w:rsidRPr="00932465">
        <w:rPr>
          <w:sz w:val="24"/>
          <w:szCs w:val="24"/>
        </w:rPr>
        <w:t xml:space="preserve">ay </w:t>
      </w:r>
      <w:r w:rsidR="00932465" w:rsidRPr="00932465">
        <w:rPr>
          <w:sz w:val="24"/>
          <w:szCs w:val="24"/>
        </w:rPr>
        <w:t>7</w:t>
      </w:r>
      <w:r w:rsidR="00934E07" w:rsidRPr="00932465">
        <w:rPr>
          <w:sz w:val="24"/>
          <w:szCs w:val="24"/>
        </w:rPr>
        <w:t>, 2015</w:t>
      </w:r>
      <w:r w:rsidR="00057D5A" w:rsidRPr="00932465">
        <w:rPr>
          <w:sz w:val="24"/>
          <w:szCs w:val="24"/>
        </w:rPr>
        <w:t xml:space="preserve"> at OCC’s offices, 10 W. Broad St., 18</w:t>
      </w:r>
      <w:r w:rsidR="00057D5A" w:rsidRPr="00932465">
        <w:rPr>
          <w:sz w:val="24"/>
          <w:szCs w:val="24"/>
          <w:vertAlign w:val="superscript"/>
        </w:rPr>
        <w:t>th</w:t>
      </w:r>
      <w:r w:rsidR="00057D5A" w:rsidRPr="00932465">
        <w:rPr>
          <w:sz w:val="24"/>
          <w:szCs w:val="24"/>
        </w:rPr>
        <w:t xml:space="preserve"> Floor, Columbus, Ohio, or such other time or place that is mutually </w:t>
      </w:r>
      <w:r w:rsidR="00057D5A" w:rsidRPr="00932465">
        <w:rPr>
          <w:sz w:val="24"/>
          <w:szCs w:val="24"/>
        </w:rPr>
        <w:lastRenderedPageBreak/>
        <w:t>agreed upon by the Parties.</w:t>
      </w:r>
      <w:r w:rsidR="00132ED0" w:rsidRPr="00932465">
        <w:rPr>
          <w:sz w:val="24"/>
          <w:szCs w:val="24"/>
        </w:rPr>
        <w:t xml:space="preserve"> </w:t>
      </w:r>
      <w:r w:rsidR="00934E07" w:rsidRPr="00932465">
        <w:rPr>
          <w:sz w:val="24"/>
          <w:szCs w:val="24"/>
        </w:rPr>
        <w:t>The deposition of any other witnesses shall begin upon the completion of the de</w:t>
      </w:r>
      <w:r w:rsidR="00932465">
        <w:rPr>
          <w:sz w:val="24"/>
          <w:szCs w:val="24"/>
        </w:rPr>
        <w:t>position of Mr. Whelan, or at 9</w:t>
      </w:r>
      <w:r w:rsidR="00934E07" w:rsidRPr="00932465">
        <w:rPr>
          <w:sz w:val="24"/>
          <w:szCs w:val="24"/>
        </w:rPr>
        <w:t xml:space="preserve">:00 a.m. on </w:t>
      </w:r>
      <w:r w:rsidR="00932465" w:rsidRPr="00932465">
        <w:rPr>
          <w:sz w:val="24"/>
          <w:szCs w:val="24"/>
        </w:rPr>
        <w:t>Friday May 8</w:t>
      </w:r>
      <w:r w:rsidR="00934E07" w:rsidRPr="00932465">
        <w:rPr>
          <w:sz w:val="24"/>
          <w:szCs w:val="24"/>
        </w:rPr>
        <w:t>, 2015.</w:t>
      </w:r>
      <w:r w:rsidR="00934E07">
        <w:rPr>
          <w:sz w:val="24"/>
          <w:szCs w:val="24"/>
        </w:rPr>
        <w:t xml:space="preserve"> </w:t>
      </w:r>
      <w:r w:rsidR="00132ED0">
        <w:rPr>
          <w:sz w:val="24"/>
          <w:szCs w:val="24"/>
        </w:rPr>
        <w:t xml:space="preserve">These depositions </w:t>
      </w:r>
      <w:r w:rsidRPr="00B837C1">
        <w:rPr>
          <w:sz w:val="24"/>
          <w:szCs w:val="24"/>
        </w:rPr>
        <w:t xml:space="preserve">will continue, from day to day, except for holidays </w:t>
      </w:r>
      <w:r w:rsidRPr="009429E3">
        <w:rPr>
          <w:sz w:val="24"/>
          <w:szCs w:val="24"/>
        </w:rPr>
        <w:t xml:space="preserve">and weekends, until completed. </w:t>
      </w:r>
      <w:r w:rsidRPr="00B837C1">
        <w:rPr>
          <w:sz w:val="24"/>
          <w:szCs w:val="24"/>
        </w:rPr>
        <w:t>Each deponent will appear at the OCC at the designated time and date with all requested documents (identified below) and remain present until deposed</w:t>
      </w:r>
      <w:r w:rsidR="00CE3227">
        <w:t xml:space="preserve">. </w:t>
      </w:r>
    </w:p>
    <w:p w:rsidR="00432045" w:rsidRDefault="00432045" w:rsidP="00432045">
      <w:pPr>
        <w:pStyle w:val="InsideAddress"/>
        <w:spacing w:line="480" w:lineRule="auto"/>
      </w:pPr>
      <w:r>
        <w:tab/>
        <w:t xml:space="preserve">The depositions will be taken of the aforementioned deponents on relevant topics </w:t>
      </w:r>
      <w:r>
        <w:rPr>
          <w:szCs w:val="20"/>
        </w:rPr>
        <w:t>within the scope of these</w:t>
      </w:r>
      <w:r w:rsidRPr="00156BD5">
        <w:rPr>
          <w:szCs w:val="20"/>
        </w:rPr>
        <w:t xml:space="preserve"> proceeding</w:t>
      </w:r>
      <w:r>
        <w:rPr>
          <w:szCs w:val="20"/>
        </w:rPr>
        <w:t>s</w:t>
      </w:r>
      <w:r w:rsidRPr="00156BD5">
        <w:rPr>
          <w:szCs w:val="20"/>
        </w:rPr>
        <w:t>, including but not limited to, the subject matter of the deponent’s testimony and the deponent’s knowledge and expertise</w:t>
      </w:r>
      <w:r>
        <w:rPr>
          <w:szCs w:val="20"/>
        </w:rPr>
        <w:t xml:space="preserve"> with the subject matter of these</w:t>
      </w:r>
      <w:r w:rsidRPr="00156BD5">
        <w:rPr>
          <w:szCs w:val="20"/>
        </w:rPr>
        <w:t xml:space="preserve"> proceeding</w:t>
      </w:r>
      <w:r>
        <w:rPr>
          <w:szCs w:val="20"/>
        </w:rPr>
        <w:t>s</w:t>
      </w:r>
      <w:r w:rsidR="00934E07">
        <w:rPr>
          <w:szCs w:val="20"/>
        </w:rPr>
        <w:t xml:space="preserve">. </w:t>
      </w:r>
      <w:r>
        <w:t>The depositions will be taken upon oral examination (as upon cross-examination) before an officer authorized by law to take depositions.</w:t>
      </w:r>
    </w:p>
    <w:p w:rsidR="00432045" w:rsidRDefault="00432045" w:rsidP="00432045">
      <w:pPr>
        <w:spacing w:line="480" w:lineRule="auto"/>
        <w:ind w:firstLine="720"/>
        <w:rPr>
          <w:sz w:val="24"/>
          <w:szCs w:val="24"/>
        </w:rPr>
      </w:pPr>
      <w:r>
        <w:rPr>
          <w:sz w:val="24"/>
          <w:szCs w:val="24"/>
        </w:rPr>
        <w:t>Pursuant to Ohio Adm. Code Rules 4901-1-21(E) and 4901-1-20, each deponent is requested to produce, two hours prior to his/her deposition, all documents relating to his/her responsibilities</w:t>
      </w:r>
      <w:r w:rsidR="00F91FB2">
        <w:rPr>
          <w:sz w:val="24"/>
          <w:szCs w:val="24"/>
        </w:rPr>
        <w:t xml:space="preserve"> </w:t>
      </w:r>
      <w:r>
        <w:rPr>
          <w:sz w:val="24"/>
          <w:szCs w:val="24"/>
        </w:rPr>
        <w:t xml:space="preserve">with respect to Case Nos. </w:t>
      </w:r>
      <w:r w:rsidR="00934E07">
        <w:rPr>
          <w:sz w:val="24"/>
          <w:szCs w:val="24"/>
        </w:rPr>
        <w:t>14-206-GA-GCR, 14-209-GA-GCR and 14-212-GA-GCR</w:t>
      </w:r>
      <w:r>
        <w:rPr>
          <w:sz w:val="24"/>
          <w:szCs w:val="24"/>
        </w:rPr>
        <w:t xml:space="preserve"> and responses to discovery that were authored by the deponent or were provided to OCC</w:t>
      </w:r>
      <w:r w:rsidR="00934E07">
        <w:rPr>
          <w:sz w:val="24"/>
          <w:szCs w:val="24"/>
        </w:rPr>
        <w:t xml:space="preserve"> with input from the deponent. </w:t>
      </w:r>
      <w:r>
        <w:rPr>
          <w:sz w:val="24"/>
          <w:szCs w:val="24"/>
        </w:rPr>
        <w:t>Additionally, the deponent shall bring documents, including, but not limited to, the results of any studies done for these proceedings and any backup documents, including raw data for such studies, any documents relied upon or cited in the pre-filed testimony, and any workpapers that support the pre-filed testimony.</w:t>
      </w:r>
    </w:p>
    <w:p w:rsidR="00FA35D6" w:rsidRDefault="00FA35D6">
      <w:pPr>
        <w:spacing w:after="200" w:line="276" w:lineRule="auto"/>
        <w:rPr>
          <w:sz w:val="24"/>
          <w:szCs w:val="24"/>
        </w:rPr>
      </w:pPr>
      <w:r>
        <w:rPr>
          <w:sz w:val="24"/>
          <w:szCs w:val="24"/>
        </w:rPr>
        <w:br w:type="page"/>
      </w:r>
    </w:p>
    <w:p w:rsidR="003938CC" w:rsidRPr="003938CC" w:rsidRDefault="003938CC" w:rsidP="003938CC">
      <w:pPr>
        <w:widowControl w:val="0"/>
        <w:spacing w:line="480" w:lineRule="atLeast"/>
        <w:ind w:left="3600" w:right="-672" w:firstLine="720"/>
        <w:rPr>
          <w:sz w:val="24"/>
          <w:szCs w:val="24"/>
        </w:rPr>
      </w:pPr>
      <w:r w:rsidRPr="003938CC">
        <w:rPr>
          <w:sz w:val="24"/>
          <w:szCs w:val="24"/>
        </w:rPr>
        <w:t>Respectfully submitted,</w:t>
      </w:r>
    </w:p>
    <w:p w:rsidR="003938CC" w:rsidRPr="003938CC" w:rsidRDefault="003938CC" w:rsidP="003938CC">
      <w:pPr>
        <w:tabs>
          <w:tab w:val="left" w:pos="4320"/>
        </w:tabs>
        <w:spacing w:before="240"/>
        <w:rPr>
          <w:sz w:val="24"/>
          <w:szCs w:val="24"/>
        </w:rPr>
      </w:pPr>
      <w:r w:rsidRPr="003938CC">
        <w:rPr>
          <w:sz w:val="24"/>
          <w:szCs w:val="24"/>
        </w:rPr>
        <w:tab/>
        <w:t>BRUCE J. WESTON</w:t>
      </w:r>
    </w:p>
    <w:p w:rsidR="003938CC" w:rsidRPr="003938CC" w:rsidRDefault="003938CC" w:rsidP="003938CC">
      <w:pPr>
        <w:tabs>
          <w:tab w:val="left" w:pos="4320"/>
        </w:tabs>
        <w:rPr>
          <w:sz w:val="24"/>
          <w:szCs w:val="24"/>
        </w:rPr>
      </w:pPr>
      <w:r w:rsidRPr="003938CC">
        <w:rPr>
          <w:sz w:val="24"/>
          <w:szCs w:val="24"/>
        </w:rPr>
        <w:tab/>
        <w:t>OHIO CONSUMERS’ COUNSEL</w:t>
      </w:r>
    </w:p>
    <w:p w:rsidR="003938CC" w:rsidRPr="003938CC" w:rsidRDefault="003938CC" w:rsidP="003938CC">
      <w:pPr>
        <w:tabs>
          <w:tab w:val="left" w:pos="4320"/>
        </w:tabs>
        <w:rPr>
          <w:sz w:val="24"/>
          <w:szCs w:val="24"/>
        </w:rPr>
      </w:pPr>
      <w:r w:rsidRPr="003938CC">
        <w:rPr>
          <w:sz w:val="24"/>
          <w:szCs w:val="24"/>
        </w:rPr>
        <w:tab/>
      </w:r>
    </w:p>
    <w:p w:rsidR="003938CC" w:rsidRPr="003938CC" w:rsidRDefault="003938CC" w:rsidP="003938CC">
      <w:pPr>
        <w:tabs>
          <w:tab w:val="left" w:pos="4320"/>
        </w:tabs>
        <w:rPr>
          <w:i/>
          <w:sz w:val="24"/>
          <w:szCs w:val="24"/>
          <w:u w:val="single"/>
        </w:rPr>
      </w:pPr>
      <w:r w:rsidRPr="003938CC">
        <w:rPr>
          <w:sz w:val="24"/>
          <w:szCs w:val="24"/>
        </w:rPr>
        <w:tab/>
      </w:r>
      <w:r w:rsidRPr="003938CC">
        <w:rPr>
          <w:i/>
          <w:sz w:val="24"/>
          <w:szCs w:val="24"/>
          <w:u w:val="single"/>
        </w:rPr>
        <w:t>/s/ Joseph P. Serio</w:t>
      </w:r>
      <w:r w:rsidRPr="003938CC">
        <w:rPr>
          <w:i/>
          <w:sz w:val="24"/>
          <w:szCs w:val="24"/>
          <w:u w:val="single"/>
        </w:rPr>
        <w:tab/>
      </w:r>
      <w:r w:rsidRPr="003938CC">
        <w:rPr>
          <w:i/>
          <w:sz w:val="24"/>
          <w:szCs w:val="24"/>
          <w:u w:val="single"/>
        </w:rPr>
        <w:tab/>
      </w:r>
      <w:r w:rsidRPr="003938CC">
        <w:rPr>
          <w:i/>
          <w:sz w:val="24"/>
          <w:szCs w:val="24"/>
          <w:u w:val="single"/>
        </w:rPr>
        <w:tab/>
      </w:r>
      <w:r w:rsidRPr="003938CC">
        <w:rPr>
          <w:i/>
          <w:sz w:val="24"/>
          <w:szCs w:val="24"/>
          <w:u w:val="single"/>
        </w:rPr>
        <w:tab/>
      </w:r>
    </w:p>
    <w:p w:rsidR="003938CC" w:rsidRPr="003938CC" w:rsidRDefault="003938CC" w:rsidP="003938CC">
      <w:pPr>
        <w:tabs>
          <w:tab w:val="left" w:pos="4320"/>
        </w:tabs>
        <w:ind w:left="4320"/>
        <w:rPr>
          <w:sz w:val="24"/>
          <w:szCs w:val="24"/>
        </w:rPr>
      </w:pPr>
      <w:r w:rsidRPr="003938CC">
        <w:rPr>
          <w:sz w:val="24"/>
          <w:szCs w:val="24"/>
        </w:rPr>
        <w:t>Joseph P. Serio (Reg. No. 0036959)</w:t>
      </w:r>
      <w:r w:rsidRPr="003938CC">
        <w:rPr>
          <w:sz w:val="24"/>
          <w:szCs w:val="24"/>
        </w:rPr>
        <w:br/>
        <w:t>Counsel of Record</w:t>
      </w:r>
    </w:p>
    <w:p w:rsidR="003938CC" w:rsidRPr="003938CC" w:rsidRDefault="003938CC" w:rsidP="003938CC">
      <w:pPr>
        <w:tabs>
          <w:tab w:val="left" w:pos="4320"/>
        </w:tabs>
        <w:rPr>
          <w:sz w:val="24"/>
          <w:szCs w:val="24"/>
        </w:rPr>
      </w:pPr>
      <w:r w:rsidRPr="003938CC">
        <w:rPr>
          <w:sz w:val="24"/>
          <w:szCs w:val="24"/>
        </w:rPr>
        <w:tab/>
        <w:t>Assistant Consumers’ Counsel</w:t>
      </w:r>
    </w:p>
    <w:p w:rsidR="003938CC" w:rsidRPr="003938CC" w:rsidRDefault="003938CC" w:rsidP="003938CC">
      <w:pPr>
        <w:keepNext/>
        <w:ind w:left="3240" w:right="-648" w:firstLine="720"/>
        <w:outlineLvl w:val="0"/>
        <w:rPr>
          <w:b/>
          <w:sz w:val="24"/>
          <w:szCs w:val="24"/>
        </w:rPr>
      </w:pPr>
      <w:r w:rsidRPr="003938CC">
        <w:rPr>
          <w:b/>
          <w:sz w:val="24"/>
          <w:szCs w:val="24"/>
        </w:rPr>
        <w:tab/>
      </w:r>
    </w:p>
    <w:p w:rsidR="003938CC" w:rsidRPr="003938CC" w:rsidRDefault="003938CC" w:rsidP="003938CC">
      <w:pPr>
        <w:keepNext/>
        <w:ind w:left="3240" w:right="-648" w:firstLine="720"/>
        <w:outlineLvl w:val="0"/>
        <w:rPr>
          <w:b/>
          <w:sz w:val="24"/>
          <w:szCs w:val="24"/>
        </w:rPr>
      </w:pPr>
      <w:r w:rsidRPr="003938CC">
        <w:rPr>
          <w:b/>
          <w:sz w:val="24"/>
          <w:szCs w:val="24"/>
        </w:rPr>
        <w:tab/>
        <w:t>Office of the Ohio Consumers’ Counsel</w:t>
      </w:r>
    </w:p>
    <w:p w:rsidR="003938CC" w:rsidRPr="003938CC" w:rsidRDefault="003938CC" w:rsidP="003938CC">
      <w:pPr>
        <w:keepNext/>
        <w:ind w:left="3240" w:right="-648" w:firstLine="720"/>
        <w:outlineLvl w:val="0"/>
        <w:rPr>
          <w:sz w:val="24"/>
          <w:szCs w:val="24"/>
        </w:rPr>
      </w:pPr>
      <w:r w:rsidRPr="003938CC">
        <w:rPr>
          <w:sz w:val="24"/>
          <w:szCs w:val="24"/>
        </w:rPr>
        <w:tab/>
        <w:t>10 West Broad Street, Suite 1800</w:t>
      </w:r>
    </w:p>
    <w:p w:rsidR="003938CC" w:rsidRPr="003938CC" w:rsidRDefault="003938CC" w:rsidP="003938CC">
      <w:pPr>
        <w:keepNext/>
        <w:ind w:left="3240" w:right="-648" w:firstLine="720"/>
        <w:outlineLvl w:val="0"/>
        <w:rPr>
          <w:sz w:val="24"/>
          <w:szCs w:val="24"/>
        </w:rPr>
      </w:pPr>
      <w:r w:rsidRPr="003938CC">
        <w:rPr>
          <w:sz w:val="24"/>
          <w:szCs w:val="24"/>
        </w:rPr>
        <w:tab/>
      </w:r>
      <w:smartTag w:uri="urn:schemas-microsoft-com:office:smarttags" w:element="place">
        <w:smartTag w:uri="urn:schemas-microsoft-com:office:smarttags" w:element="City">
          <w:r w:rsidRPr="003938CC">
            <w:rPr>
              <w:sz w:val="24"/>
              <w:szCs w:val="24"/>
            </w:rPr>
            <w:t>Columbus</w:t>
          </w:r>
        </w:smartTag>
        <w:r w:rsidRPr="003938CC">
          <w:rPr>
            <w:sz w:val="24"/>
            <w:szCs w:val="24"/>
          </w:rPr>
          <w:t xml:space="preserve">, </w:t>
        </w:r>
        <w:smartTag w:uri="urn:schemas-microsoft-com:office:smarttags" w:element="State">
          <w:r w:rsidRPr="003938CC">
            <w:rPr>
              <w:sz w:val="24"/>
              <w:szCs w:val="24"/>
            </w:rPr>
            <w:t>Ohio</w:t>
          </w:r>
        </w:smartTag>
        <w:r w:rsidRPr="003938CC">
          <w:rPr>
            <w:sz w:val="24"/>
            <w:szCs w:val="24"/>
          </w:rPr>
          <w:t xml:space="preserve"> </w:t>
        </w:r>
        <w:smartTag w:uri="urn:schemas-microsoft-com:office:smarttags" w:element="PostalCode">
          <w:r w:rsidRPr="003938CC">
            <w:rPr>
              <w:sz w:val="24"/>
              <w:szCs w:val="24"/>
            </w:rPr>
            <w:t>43215-3485</w:t>
          </w:r>
        </w:smartTag>
      </w:smartTag>
    </w:p>
    <w:p w:rsidR="003938CC" w:rsidRPr="003938CC" w:rsidRDefault="003938CC" w:rsidP="003938CC">
      <w:pPr>
        <w:autoSpaceDE w:val="0"/>
        <w:autoSpaceDN w:val="0"/>
        <w:adjustRightInd w:val="0"/>
        <w:ind w:left="3600" w:firstLine="720"/>
        <w:rPr>
          <w:sz w:val="24"/>
          <w:szCs w:val="24"/>
        </w:rPr>
      </w:pPr>
      <w:r w:rsidRPr="003938CC">
        <w:rPr>
          <w:sz w:val="24"/>
          <w:szCs w:val="24"/>
        </w:rPr>
        <w:t>Telephone Serio: (614) 466-9565</w:t>
      </w:r>
    </w:p>
    <w:p w:rsidR="003938CC" w:rsidRPr="003938CC" w:rsidRDefault="0063097A" w:rsidP="003938CC">
      <w:pPr>
        <w:autoSpaceDE w:val="0"/>
        <w:autoSpaceDN w:val="0"/>
        <w:adjustRightInd w:val="0"/>
        <w:ind w:left="3600" w:firstLine="720"/>
        <w:rPr>
          <w:sz w:val="24"/>
          <w:szCs w:val="24"/>
        </w:rPr>
      </w:pPr>
      <w:hyperlink r:id="rId8" w:history="1">
        <w:r w:rsidR="003938CC" w:rsidRPr="003938CC">
          <w:rPr>
            <w:color w:val="0000FF"/>
            <w:sz w:val="24"/>
            <w:szCs w:val="24"/>
            <w:u w:val="single"/>
          </w:rPr>
          <w:t>joseph.serio@occ.ohio.gov</w:t>
        </w:r>
      </w:hyperlink>
    </w:p>
    <w:p w:rsidR="003938CC" w:rsidRPr="003938CC" w:rsidRDefault="003938CC" w:rsidP="003938CC">
      <w:pPr>
        <w:ind w:left="4320"/>
        <w:rPr>
          <w:sz w:val="24"/>
          <w:szCs w:val="24"/>
        </w:rPr>
      </w:pPr>
      <w:r w:rsidRPr="003938CC">
        <w:rPr>
          <w:sz w:val="24"/>
          <w:szCs w:val="24"/>
        </w:rPr>
        <w:t>(will accept service via email)</w:t>
      </w:r>
    </w:p>
    <w:p w:rsidR="003938CC" w:rsidRPr="003938CC" w:rsidRDefault="003938CC" w:rsidP="003938CC">
      <w:pPr>
        <w:autoSpaceDE w:val="0"/>
        <w:autoSpaceDN w:val="0"/>
        <w:adjustRightInd w:val="0"/>
        <w:ind w:left="3600" w:firstLine="720"/>
        <w:rPr>
          <w:sz w:val="24"/>
          <w:szCs w:val="24"/>
        </w:rPr>
      </w:pPr>
    </w:p>
    <w:p w:rsidR="003938CC" w:rsidRPr="003938CC" w:rsidRDefault="003938CC" w:rsidP="003938CC">
      <w:pPr>
        <w:rPr>
          <w:sz w:val="24"/>
        </w:rPr>
      </w:pPr>
    </w:p>
    <w:p w:rsidR="00432045" w:rsidRDefault="00432045" w:rsidP="00432045">
      <w:pPr>
        <w:tabs>
          <w:tab w:val="left" w:pos="4320"/>
        </w:tabs>
        <w:jc w:val="center"/>
      </w:pPr>
      <w:r w:rsidRPr="00CE5E6D">
        <w:rPr>
          <w:i/>
          <w:iCs/>
          <w:color w:val="000000"/>
          <w:sz w:val="24"/>
          <w:szCs w:val="24"/>
          <w:u w:val="single"/>
        </w:rPr>
        <w:br w:type="page"/>
      </w:r>
      <w:r>
        <w:rPr>
          <w:b/>
          <w:bCs/>
          <w:u w:val="single"/>
        </w:rPr>
        <w:t>CERTIFICATE OF SERVICE</w:t>
      </w:r>
    </w:p>
    <w:p w:rsidR="00432045" w:rsidRDefault="00432045" w:rsidP="00432045">
      <w:pPr>
        <w:autoSpaceDE w:val="0"/>
        <w:autoSpaceDN w:val="0"/>
        <w:adjustRightInd w:val="0"/>
        <w:ind w:firstLine="4320"/>
        <w:jc w:val="center"/>
        <w:rPr>
          <w:sz w:val="24"/>
          <w:szCs w:val="24"/>
          <w:u w:val="single"/>
        </w:rPr>
      </w:pPr>
    </w:p>
    <w:p w:rsidR="00432045" w:rsidRDefault="00432045" w:rsidP="00432045">
      <w:pPr>
        <w:keepNext/>
        <w:spacing w:line="480" w:lineRule="auto"/>
        <w:ind w:firstLine="720"/>
        <w:outlineLvl w:val="2"/>
        <w:rPr>
          <w:sz w:val="24"/>
          <w:szCs w:val="24"/>
        </w:rPr>
      </w:pPr>
      <w:r>
        <w:rPr>
          <w:sz w:val="24"/>
          <w:szCs w:val="24"/>
        </w:rPr>
        <w:t xml:space="preserve">I hereby certify that a copy of the foregoing Notice to Take Depositions and Requests for Production of Documents was served via electronic service upon the parties this </w:t>
      </w:r>
      <w:r w:rsidR="00CE3227">
        <w:rPr>
          <w:sz w:val="24"/>
          <w:szCs w:val="24"/>
        </w:rPr>
        <w:t>1</w:t>
      </w:r>
      <w:r w:rsidR="00CE3227" w:rsidRPr="00CE3227">
        <w:rPr>
          <w:sz w:val="24"/>
          <w:szCs w:val="24"/>
          <w:vertAlign w:val="superscript"/>
        </w:rPr>
        <w:t>st</w:t>
      </w:r>
      <w:r w:rsidR="00CE3227">
        <w:rPr>
          <w:sz w:val="24"/>
          <w:szCs w:val="24"/>
        </w:rPr>
        <w:t xml:space="preserve"> </w:t>
      </w:r>
      <w:r>
        <w:rPr>
          <w:sz w:val="24"/>
          <w:szCs w:val="24"/>
        </w:rPr>
        <w:t xml:space="preserve">day of </w:t>
      </w:r>
      <w:r w:rsidR="00CE3227">
        <w:rPr>
          <w:sz w:val="24"/>
          <w:szCs w:val="24"/>
        </w:rPr>
        <w:t>May</w:t>
      </w:r>
      <w:r>
        <w:rPr>
          <w:sz w:val="24"/>
          <w:szCs w:val="24"/>
        </w:rPr>
        <w:t xml:space="preserve"> 201</w:t>
      </w:r>
      <w:r w:rsidR="003938CC">
        <w:rPr>
          <w:sz w:val="24"/>
          <w:szCs w:val="24"/>
        </w:rPr>
        <w:t>5</w:t>
      </w:r>
      <w:r w:rsidR="00CE3227">
        <w:rPr>
          <w:sz w:val="24"/>
          <w:szCs w:val="24"/>
        </w:rPr>
        <w:t>.</w:t>
      </w:r>
    </w:p>
    <w:p w:rsidR="00432045" w:rsidRDefault="00432045" w:rsidP="00432045">
      <w:pPr>
        <w:rPr>
          <w:sz w:val="24"/>
          <w:szCs w:val="24"/>
        </w:rPr>
      </w:pPr>
    </w:p>
    <w:p w:rsidR="00432045" w:rsidRDefault="00432045" w:rsidP="00432045">
      <w:pPr>
        <w:tabs>
          <w:tab w:val="left" w:pos="4320"/>
        </w:tabs>
        <w:rPr>
          <w:i/>
          <w:iCs/>
          <w:sz w:val="24"/>
          <w:szCs w:val="24"/>
          <w:u w:val="single"/>
        </w:rPr>
      </w:pPr>
      <w:r>
        <w:rPr>
          <w:sz w:val="24"/>
          <w:szCs w:val="24"/>
        </w:rPr>
        <w:tab/>
      </w:r>
      <w:r>
        <w:rPr>
          <w:i/>
          <w:sz w:val="24"/>
          <w:szCs w:val="24"/>
          <w:u w:val="single"/>
        </w:rPr>
        <w:t xml:space="preserve">/s/ </w:t>
      </w:r>
      <w:r w:rsidR="003938CC">
        <w:rPr>
          <w:i/>
          <w:sz w:val="24"/>
          <w:szCs w:val="24"/>
          <w:u w:val="single"/>
        </w:rPr>
        <w:t>Joseph P. Serio</w:t>
      </w:r>
      <w:r>
        <w:rPr>
          <w:i/>
          <w:iCs/>
          <w:sz w:val="24"/>
          <w:szCs w:val="24"/>
          <w:u w:val="single"/>
        </w:rPr>
        <w:tab/>
      </w:r>
      <w:r>
        <w:rPr>
          <w:i/>
          <w:iCs/>
          <w:sz w:val="24"/>
          <w:szCs w:val="24"/>
          <w:u w:val="single"/>
        </w:rPr>
        <w:tab/>
      </w:r>
      <w:r>
        <w:rPr>
          <w:i/>
          <w:iCs/>
          <w:sz w:val="24"/>
          <w:szCs w:val="24"/>
          <w:u w:val="single"/>
        </w:rPr>
        <w:tab/>
      </w:r>
    </w:p>
    <w:p w:rsidR="00432045" w:rsidRDefault="00432045" w:rsidP="00432045">
      <w:pPr>
        <w:tabs>
          <w:tab w:val="left" w:pos="4320"/>
        </w:tabs>
        <w:rPr>
          <w:sz w:val="24"/>
          <w:szCs w:val="24"/>
        </w:rPr>
      </w:pPr>
      <w:r>
        <w:rPr>
          <w:sz w:val="24"/>
          <w:szCs w:val="24"/>
        </w:rPr>
        <w:tab/>
      </w:r>
      <w:r w:rsidR="003938CC">
        <w:rPr>
          <w:sz w:val="24"/>
          <w:szCs w:val="24"/>
        </w:rPr>
        <w:t>Joseph P. Serio</w:t>
      </w:r>
      <w:r>
        <w:rPr>
          <w:sz w:val="24"/>
          <w:szCs w:val="24"/>
        </w:rPr>
        <w:t xml:space="preserve"> </w:t>
      </w:r>
    </w:p>
    <w:p w:rsidR="00432045" w:rsidRDefault="00432045" w:rsidP="00432045">
      <w:pPr>
        <w:tabs>
          <w:tab w:val="left" w:pos="4320"/>
        </w:tabs>
        <w:rPr>
          <w:sz w:val="24"/>
          <w:szCs w:val="24"/>
        </w:rPr>
      </w:pPr>
      <w:r>
        <w:rPr>
          <w:sz w:val="24"/>
          <w:szCs w:val="24"/>
        </w:rPr>
        <w:tab/>
        <w:t>Assistant Consumers’ Counsel</w:t>
      </w:r>
    </w:p>
    <w:p w:rsidR="00432045" w:rsidRDefault="00432045" w:rsidP="00432045">
      <w:pPr>
        <w:jc w:val="center"/>
        <w:rPr>
          <w:b/>
          <w:bCs/>
          <w:sz w:val="24"/>
          <w:szCs w:val="24"/>
          <w:u w:val="single"/>
        </w:rPr>
      </w:pPr>
    </w:p>
    <w:p w:rsidR="00432045" w:rsidRDefault="00432045" w:rsidP="00432045">
      <w:pPr>
        <w:jc w:val="center"/>
        <w:rPr>
          <w:b/>
          <w:bCs/>
          <w:sz w:val="24"/>
          <w:szCs w:val="24"/>
          <w:u w:val="single"/>
        </w:rPr>
      </w:pPr>
      <w:r>
        <w:rPr>
          <w:b/>
          <w:bCs/>
          <w:sz w:val="24"/>
          <w:szCs w:val="24"/>
          <w:u w:val="single"/>
        </w:rPr>
        <w:t>SERVICE LIST</w:t>
      </w:r>
    </w:p>
    <w:p w:rsidR="00A70420" w:rsidRDefault="00A70420"/>
    <w:tbl>
      <w:tblPr>
        <w:tblW w:w="9324" w:type="dxa"/>
        <w:tblLayout w:type="fixed"/>
        <w:tblLook w:val="0000" w:firstRow="0" w:lastRow="0" w:firstColumn="0" w:lastColumn="0" w:noHBand="0" w:noVBand="0"/>
      </w:tblPr>
      <w:tblGrid>
        <w:gridCol w:w="4608"/>
        <w:gridCol w:w="4716"/>
      </w:tblGrid>
      <w:tr w:rsidR="00563CAE" w:rsidRPr="00563CAE" w:rsidTr="00162578">
        <w:trPr>
          <w:cantSplit/>
        </w:trPr>
        <w:tc>
          <w:tcPr>
            <w:tcW w:w="4608" w:type="dxa"/>
          </w:tcPr>
          <w:p w:rsidR="00563CAE" w:rsidRPr="00563CAE" w:rsidRDefault="00FA35D6" w:rsidP="00563CAE">
            <w:pPr>
              <w:rPr>
                <w:sz w:val="24"/>
              </w:rPr>
            </w:pPr>
            <w:r>
              <w:rPr>
                <w:sz w:val="24"/>
              </w:rPr>
              <w:t>Werner Margard</w:t>
            </w:r>
          </w:p>
          <w:p w:rsidR="00563CAE" w:rsidRPr="00563CAE" w:rsidRDefault="00563CAE" w:rsidP="00563CAE">
            <w:pPr>
              <w:rPr>
                <w:sz w:val="24"/>
              </w:rPr>
            </w:pPr>
            <w:r w:rsidRPr="00563CAE">
              <w:rPr>
                <w:sz w:val="24"/>
              </w:rPr>
              <w:t>Attorney General’s Office</w:t>
            </w:r>
          </w:p>
          <w:p w:rsidR="00563CAE" w:rsidRPr="00563CAE" w:rsidRDefault="00563CAE" w:rsidP="00563CAE">
            <w:pPr>
              <w:rPr>
                <w:sz w:val="24"/>
              </w:rPr>
            </w:pPr>
            <w:r w:rsidRPr="00563CAE">
              <w:rPr>
                <w:sz w:val="24"/>
              </w:rPr>
              <w:t>Public Utilities Section</w:t>
            </w:r>
          </w:p>
          <w:p w:rsidR="00563CAE" w:rsidRPr="00563CAE" w:rsidRDefault="00563CAE" w:rsidP="00563CAE">
            <w:pPr>
              <w:rPr>
                <w:sz w:val="24"/>
              </w:rPr>
            </w:pPr>
            <w:r w:rsidRPr="00563CAE">
              <w:rPr>
                <w:sz w:val="24"/>
              </w:rPr>
              <w:t>180 East Broad Street, 6</w:t>
            </w:r>
            <w:r w:rsidRPr="00563CAE">
              <w:rPr>
                <w:sz w:val="24"/>
                <w:vertAlign w:val="superscript"/>
              </w:rPr>
              <w:t>th</w:t>
            </w:r>
            <w:r w:rsidRPr="00563CAE">
              <w:rPr>
                <w:sz w:val="24"/>
              </w:rPr>
              <w:t xml:space="preserve"> Floor</w:t>
            </w:r>
          </w:p>
          <w:p w:rsidR="00563CAE" w:rsidRDefault="00563CAE" w:rsidP="00563CAE">
            <w:pPr>
              <w:tabs>
                <w:tab w:val="left" w:pos="4320"/>
              </w:tabs>
              <w:rPr>
                <w:sz w:val="24"/>
              </w:rPr>
            </w:pPr>
            <w:r w:rsidRPr="00563CAE">
              <w:rPr>
                <w:sz w:val="24"/>
              </w:rPr>
              <w:t>Columbus, Ohio 43215</w:t>
            </w:r>
          </w:p>
          <w:p w:rsidR="00FA35D6" w:rsidRDefault="0063097A" w:rsidP="00563CAE">
            <w:pPr>
              <w:tabs>
                <w:tab w:val="left" w:pos="4320"/>
              </w:tabs>
              <w:rPr>
                <w:sz w:val="24"/>
              </w:rPr>
            </w:pPr>
            <w:hyperlink r:id="rId9" w:history="1">
              <w:r w:rsidR="00FA35D6" w:rsidRPr="00E451A4">
                <w:rPr>
                  <w:rStyle w:val="Hyperlink"/>
                  <w:sz w:val="24"/>
                </w:rPr>
                <w:t>Werner.margard@puc.state.oh.us</w:t>
              </w:r>
            </w:hyperlink>
          </w:p>
          <w:p w:rsidR="00563CAE" w:rsidRDefault="00563CAE" w:rsidP="00563CAE">
            <w:pPr>
              <w:tabs>
                <w:tab w:val="left" w:pos="4320"/>
              </w:tabs>
              <w:rPr>
                <w:sz w:val="24"/>
              </w:rPr>
            </w:pPr>
          </w:p>
          <w:p w:rsidR="00FA35D6" w:rsidRDefault="00FA35D6" w:rsidP="00563CAE">
            <w:pPr>
              <w:tabs>
                <w:tab w:val="left" w:pos="4320"/>
              </w:tabs>
              <w:rPr>
                <w:sz w:val="24"/>
              </w:rPr>
            </w:pPr>
          </w:p>
          <w:p w:rsidR="00FA35D6" w:rsidRDefault="00FA35D6" w:rsidP="00563CAE">
            <w:pPr>
              <w:tabs>
                <w:tab w:val="left" w:pos="4320"/>
              </w:tabs>
              <w:rPr>
                <w:sz w:val="24"/>
              </w:rPr>
            </w:pPr>
          </w:p>
          <w:p w:rsidR="00FA35D6" w:rsidRDefault="00FA35D6" w:rsidP="00563CAE">
            <w:pPr>
              <w:tabs>
                <w:tab w:val="left" w:pos="4320"/>
              </w:tabs>
              <w:rPr>
                <w:sz w:val="24"/>
              </w:rPr>
            </w:pPr>
            <w:r>
              <w:rPr>
                <w:sz w:val="24"/>
              </w:rPr>
              <w:t>Attorney Examiner:</w:t>
            </w:r>
          </w:p>
          <w:p w:rsidR="00FA35D6" w:rsidRDefault="00FA35D6" w:rsidP="00563CAE">
            <w:pPr>
              <w:tabs>
                <w:tab w:val="left" w:pos="4320"/>
              </w:tabs>
              <w:rPr>
                <w:sz w:val="24"/>
              </w:rPr>
            </w:pPr>
          </w:p>
          <w:p w:rsidR="00FA35D6" w:rsidRDefault="0063097A" w:rsidP="00563CAE">
            <w:pPr>
              <w:tabs>
                <w:tab w:val="left" w:pos="4320"/>
              </w:tabs>
              <w:rPr>
                <w:sz w:val="24"/>
              </w:rPr>
            </w:pPr>
            <w:hyperlink r:id="rId10" w:history="1">
              <w:r w:rsidR="00FA35D6" w:rsidRPr="00E451A4">
                <w:rPr>
                  <w:rStyle w:val="Hyperlink"/>
                  <w:sz w:val="24"/>
                </w:rPr>
                <w:t>Scott.farkas@puc.state.oh.us</w:t>
              </w:r>
            </w:hyperlink>
          </w:p>
          <w:p w:rsidR="00FA35D6" w:rsidRPr="00563CAE" w:rsidRDefault="00FA35D6" w:rsidP="00563CAE">
            <w:pPr>
              <w:tabs>
                <w:tab w:val="left" w:pos="4320"/>
              </w:tabs>
              <w:rPr>
                <w:sz w:val="24"/>
              </w:rPr>
            </w:pPr>
          </w:p>
          <w:p w:rsidR="00563CAE" w:rsidRPr="00563CAE" w:rsidRDefault="00563CAE" w:rsidP="00563CAE">
            <w:pPr>
              <w:tabs>
                <w:tab w:val="left" w:pos="4320"/>
              </w:tabs>
              <w:rPr>
                <w:sz w:val="24"/>
              </w:rPr>
            </w:pPr>
          </w:p>
          <w:p w:rsidR="00563CAE" w:rsidRPr="00563CAE" w:rsidRDefault="00563CAE" w:rsidP="00563CAE">
            <w:pPr>
              <w:tabs>
                <w:tab w:val="left" w:pos="4320"/>
              </w:tabs>
              <w:rPr>
                <w:sz w:val="24"/>
              </w:rPr>
            </w:pPr>
          </w:p>
        </w:tc>
        <w:tc>
          <w:tcPr>
            <w:tcW w:w="4716" w:type="dxa"/>
          </w:tcPr>
          <w:p w:rsidR="00563CAE" w:rsidRPr="00563CAE" w:rsidRDefault="00563CAE" w:rsidP="00563CAE">
            <w:pPr>
              <w:tabs>
                <w:tab w:val="left" w:pos="4320"/>
              </w:tabs>
              <w:rPr>
                <w:sz w:val="24"/>
              </w:rPr>
            </w:pPr>
            <w:r w:rsidRPr="00563CAE">
              <w:rPr>
                <w:sz w:val="24"/>
              </w:rPr>
              <w:t>Mark S. Yurick</w:t>
            </w:r>
          </w:p>
          <w:p w:rsidR="00563CAE" w:rsidRPr="00563CAE" w:rsidRDefault="00563CAE" w:rsidP="00563CAE">
            <w:pPr>
              <w:tabs>
                <w:tab w:val="left" w:pos="4320"/>
              </w:tabs>
              <w:rPr>
                <w:sz w:val="24"/>
              </w:rPr>
            </w:pPr>
            <w:r w:rsidRPr="00563CAE">
              <w:rPr>
                <w:sz w:val="24"/>
              </w:rPr>
              <w:t>Taft Stettinius &amp; Hollister LLP</w:t>
            </w:r>
          </w:p>
          <w:p w:rsidR="00563CAE" w:rsidRPr="00563CAE" w:rsidRDefault="00563CAE" w:rsidP="00563CAE">
            <w:pPr>
              <w:tabs>
                <w:tab w:val="left" w:pos="4320"/>
              </w:tabs>
              <w:rPr>
                <w:sz w:val="24"/>
              </w:rPr>
            </w:pPr>
            <w:r w:rsidRPr="00563CAE">
              <w:rPr>
                <w:sz w:val="24"/>
              </w:rPr>
              <w:t>65 East State St., Suite 1000</w:t>
            </w:r>
          </w:p>
          <w:p w:rsidR="00563CAE" w:rsidRPr="00563CAE" w:rsidRDefault="00563CAE" w:rsidP="00563CAE">
            <w:pPr>
              <w:tabs>
                <w:tab w:val="left" w:pos="4320"/>
              </w:tabs>
              <w:rPr>
                <w:sz w:val="24"/>
              </w:rPr>
            </w:pPr>
            <w:r w:rsidRPr="00563CAE">
              <w:rPr>
                <w:sz w:val="24"/>
              </w:rPr>
              <w:t>Columbus, Ohio 43215</w:t>
            </w:r>
          </w:p>
          <w:p w:rsidR="00563CAE" w:rsidRPr="00563CAE" w:rsidRDefault="0063097A" w:rsidP="00563CAE">
            <w:pPr>
              <w:tabs>
                <w:tab w:val="left" w:pos="4320"/>
              </w:tabs>
              <w:rPr>
                <w:sz w:val="24"/>
              </w:rPr>
            </w:pPr>
            <w:hyperlink r:id="rId11" w:history="1">
              <w:r w:rsidR="00563CAE" w:rsidRPr="00563CAE">
                <w:rPr>
                  <w:color w:val="0000FF"/>
                  <w:sz w:val="24"/>
                  <w:u w:val="single"/>
                </w:rPr>
                <w:t>myurick@taftlaw.com</w:t>
              </w:r>
            </w:hyperlink>
          </w:p>
          <w:p w:rsidR="00563CAE" w:rsidRPr="00563CAE" w:rsidRDefault="00563CAE" w:rsidP="00563CAE">
            <w:pPr>
              <w:tabs>
                <w:tab w:val="left" w:pos="4320"/>
              </w:tabs>
              <w:rPr>
                <w:b/>
                <w:i/>
                <w:sz w:val="24"/>
              </w:rPr>
            </w:pPr>
          </w:p>
          <w:p w:rsidR="00563CAE" w:rsidRPr="00563CAE" w:rsidRDefault="00563CAE" w:rsidP="00563CAE">
            <w:pPr>
              <w:tabs>
                <w:tab w:val="left" w:pos="4320"/>
              </w:tabs>
              <w:rPr>
                <w:sz w:val="24"/>
              </w:rPr>
            </w:pPr>
          </w:p>
        </w:tc>
      </w:tr>
    </w:tbl>
    <w:p w:rsidR="0063781A" w:rsidRDefault="0063781A"/>
    <w:sectPr w:rsidR="0063781A" w:rsidSect="00032CA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439" w:rsidRDefault="00831439">
      <w:r>
        <w:separator/>
      </w:r>
    </w:p>
  </w:endnote>
  <w:endnote w:type="continuationSeparator" w:id="0">
    <w:p w:rsidR="00831439" w:rsidRDefault="0083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64" w:rsidRDefault="00E60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4B" w:rsidRDefault="00432045">
    <w:pPr>
      <w:pStyle w:val="Footer"/>
      <w:framePr w:wrap="auto"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3097A">
      <w:rPr>
        <w:rStyle w:val="PageNumber"/>
        <w:noProof/>
        <w:sz w:val="24"/>
        <w:szCs w:val="24"/>
      </w:rPr>
      <w:t>2</w:t>
    </w:r>
    <w:r>
      <w:rPr>
        <w:rStyle w:val="PageNumber"/>
        <w:sz w:val="24"/>
        <w:szCs w:val="24"/>
      </w:rPr>
      <w:fldChar w:fldCharType="end"/>
    </w:r>
  </w:p>
  <w:p w:rsidR="008A154B" w:rsidRDefault="006309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64" w:rsidRDefault="00E60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439" w:rsidRDefault="00831439">
      <w:r>
        <w:separator/>
      </w:r>
    </w:p>
  </w:footnote>
  <w:footnote w:type="continuationSeparator" w:id="0">
    <w:p w:rsidR="00831439" w:rsidRDefault="00831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64" w:rsidRDefault="00E60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64" w:rsidRDefault="00E608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64" w:rsidRDefault="00E60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568B"/>
    <w:multiLevelType w:val="hybridMultilevel"/>
    <w:tmpl w:val="C2E8EFF6"/>
    <w:lvl w:ilvl="0" w:tplc="3BE2A6C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45"/>
    <w:rsid w:val="000264A2"/>
    <w:rsid w:val="00031AD5"/>
    <w:rsid w:val="000354AE"/>
    <w:rsid w:val="00057D5A"/>
    <w:rsid w:val="00066556"/>
    <w:rsid w:val="0008554F"/>
    <w:rsid w:val="00090C0B"/>
    <w:rsid w:val="000932FF"/>
    <w:rsid w:val="00132ED0"/>
    <w:rsid w:val="001F719F"/>
    <w:rsid w:val="00265A3E"/>
    <w:rsid w:val="003052E6"/>
    <w:rsid w:val="0031040D"/>
    <w:rsid w:val="003938CC"/>
    <w:rsid w:val="00402A8E"/>
    <w:rsid w:val="00432045"/>
    <w:rsid w:val="00445A38"/>
    <w:rsid w:val="00483038"/>
    <w:rsid w:val="00563CAE"/>
    <w:rsid w:val="005C0AA8"/>
    <w:rsid w:val="005D68D1"/>
    <w:rsid w:val="005F406A"/>
    <w:rsid w:val="006050AE"/>
    <w:rsid w:val="0063097A"/>
    <w:rsid w:val="0063781A"/>
    <w:rsid w:val="00647C4C"/>
    <w:rsid w:val="006D6D85"/>
    <w:rsid w:val="0076084B"/>
    <w:rsid w:val="00772A29"/>
    <w:rsid w:val="007B02A0"/>
    <w:rsid w:val="007E41E0"/>
    <w:rsid w:val="0082241A"/>
    <w:rsid w:val="00831439"/>
    <w:rsid w:val="00853AC6"/>
    <w:rsid w:val="00857057"/>
    <w:rsid w:val="00857706"/>
    <w:rsid w:val="0088542F"/>
    <w:rsid w:val="008A7EE4"/>
    <w:rsid w:val="008E72DA"/>
    <w:rsid w:val="00932465"/>
    <w:rsid w:val="00934E07"/>
    <w:rsid w:val="00944824"/>
    <w:rsid w:val="009576EA"/>
    <w:rsid w:val="009915E1"/>
    <w:rsid w:val="009937E4"/>
    <w:rsid w:val="009C0C51"/>
    <w:rsid w:val="009D0BCC"/>
    <w:rsid w:val="009F77A5"/>
    <w:rsid w:val="00A70420"/>
    <w:rsid w:val="00B224CE"/>
    <w:rsid w:val="00C85480"/>
    <w:rsid w:val="00CE3227"/>
    <w:rsid w:val="00CF7D50"/>
    <w:rsid w:val="00D60C50"/>
    <w:rsid w:val="00DD0088"/>
    <w:rsid w:val="00E03FEF"/>
    <w:rsid w:val="00E60864"/>
    <w:rsid w:val="00E643CE"/>
    <w:rsid w:val="00ED157A"/>
    <w:rsid w:val="00F3566C"/>
    <w:rsid w:val="00F64254"/>
    <w:rsid w:val="00F74A53"/>
    <w:rsid w:val="00F91B92"/>
    <w:rsid w:val="00F91FB2"/>
    <w:rsid w:val="00FA35D6"/>
    <w:rsid w:val="00FF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2045"/>
    <w:pPr>
      <w:tabs>
        <w:tab w:val="center" w:pos="4320"/>
        <w:tab w:val="right" w:pos="8640"/>
      </w:tabs>
    </w:pPr>
  </w:style>
  <w:style w:type="character" w:customStyle="1" w:styleId="FooterChar">
    <w:name w:val="Footer Char"/>
    <w:basedOn w:val="DefaultParagraphFont"/>
    <w:link w:val="Footer"/>
    <w:uiPriority w:val="99"/>
    <w:rsid w:val="00432045"/>
    <w:rPr>
      <w:rFonts w:ascii="Times New Roman" w:eastAsia="Times New Roman" w:hAnsi="Times New Roman" w:cs="Times New Roman"/>
      <w:sz w:val="20"/>
      <w:szCs w:val="20"/>
    </w:rPr>
  </w:style>
  <w:style w:type="character" w:styleId="PageNumber">
    <w:name w:val="page number"/>
    <w:uiPriority w:val="99"/>
    <w:rsid w:val="00432045"/>
    <w:rPr>
      <w:rFonts w:cs="Times New Roman"/>
    </w:rPr>
  </w:style>
  <w:style w:type="character" w:styleId="Hyperlink">
    <w:name w:val="Hyperlink"/>
    <w:uiPriority w:val="99"/>
    <w:rsid w:val="00432045"/>
    <w:rPr>
      <w:rFonts w:cs="Times New Roman"/>
      <w:color w:val="0000FF"/>
      <w:u w:val="single"/>
    </w:rPr>
  </w:style>
  <w:style w:type="paragraph" w:styleId="BodyTextIndent3">
    <w:name w:val="Body Text Indent 3"/>
    <w:basedOn w:val="Normal"/>
    <w:link w:val="BodyTextIndent3Char"/>
    <w:uiPriority w:val="99"/>
    <w:rsid w:val="00432045"/>
    <w:pPr>
      <w:spacing w:after="120"/>
      <w:ind w:left="360"/>
    </w:pPr>
    <w:rPr>
      <w:sz w:val="16"/>
      <w:szCs w:val="16"/>
    </w:rPr>
  </w:style>
  <w:style w:type="character" w:customStyle="1" w:styleId="BodyTextIndent3Char">
    <w:name w:val="Body Text Indent 3 Char"/>
    <w:basedOn w:val="DefaultParagraphFont"/>
    <w:link w:val="BodyTextIndent3"/>
    <w:uiPriority w:val="99"/>
    <w:rsid w:val="00432045"/>
    <w:rPr>
      <w:rFonts w:ascii="Times New Roman" w:eastAsia="Times New Roman" w:hAnsi="Times New Roman" w:cs="Times New Roman"/>
      <w:sz w:val="16"/>
      <w:szCs w:val="16"/>
    </w:rPr>
  </w:style>
  <w:style w:type="paragraph" w:customStyle="1" w:styleId="InsideAddress">
    <w:name w:val="Inside Address"/>
    <w:basedOn w:val="Normal"/>
    <w:uiPriority w:val="99"/>
    <w:rsid w:val="00432045"/>
    <w:rPr>
      <w:rFonts w:ascii="Times" w:hAnsi="Times" w:cs="Times"/>
      <w:sz w:val="24"/>
      <w:szCs w:val="24"/>
    </w:rPr>
  </w:style>
  <w:style w:type="paragraph" w:styleId="Header">
    <w:name w:val="header"/>
    <w:basedOn w:val="Normal"/>
    <w:link w:val="HeaderChar"/>
    <w:uiPriority w:val="99"/>
    <w:rsid w:val="00432045"/>
    <w:pPr>
      <w:tabs>
        <w:tab w:val="center" w:pos="4320"/>
        <w:tab w:val="right" w:pos="8640"/>
      </w:tabs>
    </w:pPr>
  </w:style>
  <w:style w:type="character" w:customStyle="1" w:styleId="HeaderChar">
    <w:name w:val="Header Char"/>
    <w:basedOn w:val="DefaultParagraphFont"/>
    <w:link w:val="Header"/>
    <w:uiPriority w:val="99"/>
    <w:rsid w:val="00432045"/>
    <w:rPr>
      <w:rFonts w:ascii="Times New Roman" w:eastAsia="Times New Roman" w:hAnsi="Times New Roman" w:cs="Times New Roman"/>
      <w:sz w:val="20"/>
      <w:szCs w:val="20"/>
    </w:rPr>
  </w:style>
  <w:style w:type="paragraph" w:styleId="List">
    <w:name w:val="List"/>
    <w:basedOn w:val="Normal"/>
    <w:uiPriority w:val="99"/>
    <w:rsid w:val="00432045"/>
    <w:pPr>
      <w:ind w:left="360" w:hanging="360"/>
    </w:pPr>
    <w:rPr>
      <w:sz w:val="24"/>
      <w:szCs w:val="24"/>
    </w:rPr>
  </w:style>
  <w:style w:type="paragraph" w:styleId="ListParagraph">
    <w:name w:val="List Paragraph"/>
    <w:basedOn w:val="Normal"/>
    <w:uiPriority w:val="34"/>
    <w:qFormat/>
    <w:rsid w:val="00432045"/>
    <w:pPr>
      <w:ind w:left="720"/>
    </w:pPr>
  </w:style>
  <w:style w:type="paragraph" w:styleId="BalloonText">
    <w:name w:val="Balloon Text"/>
    <w:basedOn w:val="Normal"/>
    <w:link w:val="BalloonTextChar"/>
    <w:uiPriority w:val="99"/>
    <w:semiHidden/>
    <w:unhideWhenUsed/>
    <w:rsid w:val="0063781A"/>
    <w:rPr>
      <w:rFonts w:ascii="Tahoma" w:hAnsi="Tahoma" w:cs="Tahoma"/>
      <w:sz w:val="16"/>
      <w:szCs w:val="16"/>
    </w:rPr>
  </w:style>
  <w:style w:type="character" w:customStyle="1" w:styleId="BalloonTextChar">
    <w:name w:val="Balloon Text Char"/>
    <w:basedOn w:val="DefaultParagraphFont"/>
    <w:link w:val="BalloonText"/>
    <w:uiPriority w:val="99"/>
    <w:semiHidden/>
    <w:rsid w:val="0063781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65A3E"/>
    <w:rPr>
      <w:sz w:val="16"/>
      <w:szCs w:val="16"/>
    </w:rPr>
  </w:style>
  <w:style w:type="paragraph" w:styleId="CommentText">
    <w:name w:val="annotation text"/>
    <w:basedOn w:val="Normal"/>
    <w:link w:val="CommentTextChar"/>
    <w:uiPriority w:val="99"/>
    <w:semiHidden/>
    <w:unhideWhenUsed/>
    <w:rsid w:val="00265A3E"/>
  </w:style>
  <w:style w:type="character" w:customStyle="1" w:styleId="CommentTextChar">
    <w:name w:val="Comment Text Char"/>
    <w:basedOn w:val="DefaultParagraphFont"/>
    <w:link w:val="CommentText"/>
    <w:uiPriority w:val="99"/>
    <w:semiHidden/>
    <w:rsid w:val="00265A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A3E"/>
    <w:rPr>
      <w:b/>
      <w:bCs/>
    </w:rPr>
  </w:style>
  <w:style w:type="character" w:customStyle="1" w:styleId="CommentSubjectChar">
    <w:name w:val="Comment Subject Char"/>
    <w:basedOn w:val="CommentTextChar"/>
    <w:link w:val="CommentSubject"/>
    <w:uiPriority w:val="99"/>
    <w:semiHidden/>
    <w:rsid w:val="00265A3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2045"/>
    <w:pPr>
      <w:tabs>
        <w:tab w:val="center" w:pos="4320"/>
        <w:tab w:val="right" w:pos="8640"/>
      </w:tabs>
    </w:pPr>
  </w:style>
  <w:style w:type="character" w:customStyle="1" w:styleId="FooterChar">
    <w:name w:val="Footer Char"/>
    <w:basedOn w:val="DefaultParagraphFont"/>
    <w:link w:val="Footer"/>
    <w:uiPriority w:val="99"/>
    <w:rsid w:val="00432045"/>
    <w:rPr>
      <w:rFonts w:ascii="Times New Roman" w:eastAsia="Times New Roman" w:hAnsi="Times New Roman" w:cs="Times New Roman"/>
      <w:sz w:val="20"/>
      <w:szCs w:val="20"/>
    </w:rPr>
  </w:style>
  <w:style w:type="character" w:styleId="PageNumber">
    <w:name w:val="page number"/>
    <w:uiPriority w:val="99"/>
    <w:rsid w:val="00432045"/>
    <w:rPr>
      <w:rFonts w:cs="Times New Roman"/>
    </w:rPr>
  </w:style>
  <w:style w:type="character" w:styleId="Hyperlink">
    <w:name w:val="Hyperlink"/>
    <w:uiPriority w:val="99"/>
    <w:rsid w:val="00432045"/>
    <w:rPr>
      <w:rFonts w:cs="Times New Roman"/>
      <w:color w:val="0000FF"/>
      <w:u w:val="single"/>
    </w:rPr>
  </w:style>
  <w:style w:type="paragraph" w:styleId="BodyTextIndent3">
    <w:name w:val="Body Text Indent 3"/>
    <w:basedOn w:val="Normal"/>
    <w:link w:val="BodyTextIndent3Char"/>
    <w:uiPriority w:val="99"/>
    <w:rsid w:val="00432045"/>
    <w:pPr>
      <w:spacing w:after="120"/>
      <w:ind w:left="360"/>
    </w:pPr>
    <w:rPr>
      <w:sz w:val="16"/>
      <w:szCs w:val="16"/>
    </w:rPr>
  </w:style>
  <w:style w:type="character" w:customStyle="1" w:styleId="BodyTextIndent3Char">
    <w:name w:val="Body Text Indent 3 Char"/>
    <w:basedOn w:val="DefaultParagraphFont"/>
    <w:link w:val="BodyTextIndent3"/>
    <w:uiPriority w:val="99"/>
    <w:rsid w:val="00432045"/>
    <w:rPr>
      <w:rFonts w:ascii="Times New Roman" w:eastAsia="Times New Roman" w:hAnsi="Times New Roman" w:cs="Times New Roman"/>
      <w:sz w:val="16"/>
      <w:szCs w:val="16"/>
    </w:rPr>
  </w:style>
  <w:style w:type="paragraph" w:customStyle="1" w:styleId="InsideAddress">
    <w:name w:val="Inside Address"/>
    <w:basedOn w:val="Normal"/>
    <w:uiPriority w:val="99"/>
    <w:rsid w:val="00432045"/>
    <w:rPr>
      <w:rFonts w:ascii="Times" w:hAnsi="Times" w:cs="Times"/>
      <w:sz w:val="24"/>
      <w:szCs w:val="24"/>
    </w:rPr>
  </w:style>
  <w:style w:type="paragraph" w:styleId="Header">
    <w:name w:val="header"/>
    <w:basedOn w:val="Normal"/>
    <w:link w:val="HeaderChar"/>
    <w:uiPriority w:val="99"/>
    <w:rsid w:val="00432045"/>
    <w:pPr>
      <w:tabs>
        <w:tab w:val="center" w:pos="4320"/>
        <w:tab w:val="right" w:pos="8640"/>
      </w:tabs>
    </w:pPr>
  </w:style>
  <w:style w:type="character" w:customStyle="1" w:styleId="HeaderChar">
    <w:name w:val="Header Char"/>
    <w:basedOn w:val="DefaultParagraphFont"/>
    <w:link w:val="Header"/>
    <w:uiPriority w:val="99"/>
    <w:rsid w:val="00432045"/>
    <w:rPr>
      <w:rFonts w:ascii="Times New Roman" w:eastAsia="Times New Roman" w:hAnsi="Times New Roman" w:cs="Times New Roman"/>
      <w:sz w:val="20"/>
      <w:szCs w:val="20"/>
    </w:rPr>
  </w:style>
  <w:style w:type="paragraph" w:styleId="List">
    <w:name w:val="List"/>
    <w:basedOn w:val="Normal"/>
    <w:uiPriority w:val="99"/>
    <w:rsid w:val="00432045"/>
    <w:pPr>
      <w:ind w:left="360" w:hanging="360"/>
    </w:pPr>
    <w:rPr>
      <w:sz w:val="24"/>
      <w:szCs w:val="24"/>
    </w:rPr>
  </w:style>
  <w:style w:type="paragraph" w:styleId="ListParagraph">
    <w:name w:val="List Paragraph"/>
    <w:basedOn w:val="Normal"/>
    <w:uiPriority w:val="34"/>
    <w:qFormat/>
    <w:rsid w:val="00432045"/>
    <w:pPr>
      <w:ind w:left="720"/>
    </w:pPr>
  </w:style>
  <w:style w:type="paragraph" w:styleId="BalloonText">
    <w:name w:val="Balloon Text"/>
    <w:basedOn w:val="Normal"/>
    <w:link w:val="BalloonTextChar"/>
    <w:uiPriority w:val="99"/>
    <w:semiHidden/>
    <w:unhideWhenUsed/>
    <w:rsid w:val="0063781A"/>
    <w:rPr>
      <w:rFonts w:ascii="Tahoma" w:hAnsi="Tahoma" w:cs="Tahoma"/>
      <w:sz w:val="16"/>
      <w:szCs w:val="16"/>
    </w:rPr>
  </w:style>
  <w:style w:type="character" w:customStyle="1" w:styleId="BalloonTextChar">
    <w:name w:val="Balloon Text Char"/>
    <w:basedOn w:val="DefaultParagraphFont"/>
    <w:link w:val="BalloonText"/>
    <w:uiPriority w:val="99"/>
    <w:semiHidden/>
    <w:rsid w:val="0063781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65A3E"/>
    <w:rPr>
      <w:sz w:val="16"/>
      <w:szCs w:val="16"/>
    </w:rPr>
  </w:style>
  <w:style w:type="paragraph" w:styleId="CommentText">
    <w:name w:val="annotation text"/>
    <w:basedOn w:val="Normal"/>
    <w:link w:val="CommentTextChar"/>
    <w:uiPriority w:val="99"/>
    <w:semiHidden/>
    <w:unhideWhenUsed/>
    <w:rsid w:val="00265A3E"/>
  </w:style>
  <w:style w:type="character" w:customStyle="1" w:styleId="CommentTextChar">
    <w:name w:val="Comment Text Char"/>
    <w:basedOn w:val="DefaultParagraphFont"/>
    <w:link w:val="CommentText"/>
    <w:uiPriority w:val="99"/>
    <w:semiHidden/>
    <w:rsid w:val="00265A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A3E"/>
    <w:rPr>
      <w:b/>
      <w:bCs/>
    </w:rPr>
  </w:style>
  <w:style w:type="character" w:customStyle="1" w:styleId="CommentSubjectChar">
    <w:name w:val="Comment Subject Char"/>
    <w:basedOn w:val="CommentTextChar"/>
    <w:link w:val="CommentSubject"/>
    <w:uiPriority w:val="99"/>
    <w:semiHidden/>
    <w:rsid w:val="00265A3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serio@occ.ohio.gov"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yurick@taftlaw.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cott.farkas@puc.state.oh.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erner.margard@puc.state.oh.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5022</Characters>
  <Application>Microsoft Office Word</Application>
  <DocSecurity>0</DocSecurity>
  <Lines>170</Lines>
  <Paragraphs>66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5899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2015-05-01T19:09:00Z</dcterms:created>
  <dcterms:modified xsi:type="dcterms:W3CDTF">2015-05-01T19:09:00Z</dcterms:modified>
  <cp:category> </cp:category>
  <cp:contentStatus> </cp:contentStatus>
</cp:coreProperties>
</file>