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88BD37" w14:textId="77777777" w:rsidR="0024187C" w:rsidRPr="0024187C" w:rsidRDefault="0024187C" w:rsidP="0024187C">
      <w:pPr>
        <w:jc w:val="center"/>
        <w:rPr>
          <w:b/>
        </w:rPr>
      </w:pPr>
      <w:bookmarkStart w:id="0" w:name="_GoBack"/>
      <w:bookmarkEnd w:id="0"/>
      <w:r w:rsidRPr="0024187C">
        <w:rPr>
          <w:b/>
        </w:rPr>
        <w:t>BEFORE</w:t>
      </w:r>
    </w:p>
    <w:p w14:paraId="4ACFBE0C" w14:textId="77777777" w:rsidR="0024187C" w:rsidRPr="0024187C" w:rsidRDefault="0024187C" w:rsidP="0024187C">
      <w:pPr>
        <w:jc w:val="center"/>
        <w:rPr>
          <w:b/>
        </w:rPr>
      </w:pPr>
      <w:r w:rsidRPr="0024187C">
        <w:rPr>
          <w:b/>
        </w:rPr>
        <w:t>THE PUBLIC UTILITIES COMMISSION OF OHIO</w:t>
      </w:r>
    </w:p>
    <w:p w14:paraId="1EBAAEC0" w14:textId="77777777" w:rsidR="0024187C" w:rsidRPr="0024187C" w:rsidRDefault="0024187C" w:rsidP="0024187C">
      <w:pPr>
        <w:jc w:val="center"/>
        <w:rPr>
          <w:b/>
        </w:rPr>
      </w:pPr>
    </w:p>
    <w:p w14:paraId="7ACEADCD" w14:textId="77777777" w:rsidR="0024187C" w:rsidRPr="0024187C" w:rsidRDefault="0024187C" w:rsidP="0024187C">
      <w:pPr>
        <w:jc w:val="center"/>
        <w:rPr>
          <w:b/>
        </w:rPr>
      </w:pPr>
    </w:p>
    <w:p w14:paraId="65EE7833" w14:textId="77777777" w:rsidR="0024187C" w:rsidRPr="0024187C" w:rsidRDefault="0024187C" w:rsidP="0024187C">
      <w:pPr>
        <w:tabs>
          <w:tab w:val="left" w:pos="4680"/>
        </w:tabs>
        <w:jc w:val="left"/>
      </w:pPr>
      <w:r w:rsidRPr="0024187C">
        <w:t>In the Matter of the Application of Duke</w:t>
      </w:r>
      <w:r w:rsidRPr="0024187C">
        <w:tab/>
        <w:t>)</w:t>
      </w:r>
    </w:p>
    <w:p w14:paraId="08861792" w14:textId="77777777" w:rsidR="0024187C" w:rsidRPr="0024187C" w:rsidRDefault="0024187C" w:rsidP="0024187C">
      <w:pPr>
        <w:tabs>
          <w:tab w:val="left" w:pos="4680"/>
        </w:tabs>
        <w:jc w:val="left"/>
      </w:pPr>
      <w:r w:rsidRPr="0024187C">
        <w:t>Energy Ohio, Inc., for Approval to Modify</w:t>
      </w:r>
      <w:r w:rsidRPr="0024187C">
        <w:tab/>
        <w:t>)</w:t>
      </w:r>
      <w:r w:rsidRPr="0024187C">
        <w:tab/>
      </w:r>
      <w:r w:rsidRPr="0024187C">
        <w:tab/>
        <w:t>Case No. 17-872-EL-RDR</w:t>
      </w:r>
    </w:p>
    <w:p w14:paraId="1B42E3C1" w14:textId="77777777" w:rsidR="0024187C" w:rsidRPr="0024187C" w:rsidRDefault="0024187C" w:rsidP="0024187C">
      <w:pPr>
        <w:tabs>
          <w:tab w:val="left" w:pos="4680"/>
        </w:tabs>
        <w:jc w:val="left"/>
      </w:pPr>
      <w:r w:rsidRPr="0024187C">
        <w:t>Rider PSR.</w:t>
      </w:r>
      <w:r w:rsidRPr="0024187C">
        <w:tab/>
        <w:t>)</w:t>
      </w:r>
    </w:p>
    <w:p w14:paraId="702820ED" w14:textId="77777777" w:rsidR="0024187C" w:rsidRPr="0024187C" w:rsidRDefault="0024187C" w:rsidP="0024187C">
      <w:pPr>
        <w:tabs>
          <w:tab w:val="left" w:pos="4680"/>
        </w:tabs>
        <w:jc w:val="left"/>
      </w:pPr>
    </w:p>
    <w:p w14:paraId="4E841EAE" w14:textId="77777777" w:rsidR="0024187C" w:rsidRPr="0024187C" w:rsidRDefault="0024187C" w:rsidP="0024187C">
      <w:pPr>
        <w:tabs>
          <w:tab w:val="left" w:pos="4680"/>
        </w:tabs>
        <w:jc w:val="left"/>
      </w:pPr>
      <w:r w:rsidRPr="0024187C">
        <w:t>In the Matter of the Application of Duke</w:t>
      </w:r>
      <w:r w:rsidRPr="0024187C">
        <w:tab/>
        <w:t>)</w:t>
      </w:r>
    </w:p>
    <w:p w14:paraId="3D99D958" w14:textId="77777777" w:rsidR="0024187C" w:rsidRPr="0024187C" w:rsidRDefault="0024187C" w:rsidP="0024187C">
      <w:pPr>
        <w:tabs>
          <w:tab w:val="left" w:pos="4680"/>
        </w:tabs>
        <w:jc w:val="left"/>
      </w:pPr>
      <w:r w:rsidRPr="0024187C">
        <w:t>Energy Ohio, Inc., for Approval to Amend</w:t>
      </w:r>
      <w:r w:rsidRPr="0024187C">
        <w:tab/>
        <w:t>)</w:t>
      </w:r>
      <w:r w:rsidRPr="0024187C">
        <w:tab/>
      </w:r>
      <w:r w:rsidRPr="0024187C">
        <w:tab/>
        <w:t>Case No. 17-873-EL-ATA</w:t>
      </w:r>
    </w:p>
    <w:p w14:paraId="5233E088" w14:textId="77777777" w:rsidR="0024187C" w:rsidRPr="0024187C" w:rsidRDefault="0024187C" w:rsidP="0024187C">
      <w:pPr>
        <w:tabs>
          <w:tab w:val="left" w:pos="4680"/>
        </w:tabs>
        <w:jc w:val="left"/>
      </w:pPr>
      <w:r w:rsidRPr="0024187C">
        <w:t>Rider PSR.</w:t>
      </w:r>
      <w:r w:rsidRPr="0024187C">
        <w:tab/>
        <w:t>)</w:t>
      </w:r>
    </w:p>
    <w:p w14:paraId="2B3999E6" w14:textId="77777777" w:rsidR="0024187C" w:rsidRPr="0024187C" w:rsidRDefault="0024187C" w:rsidP="0024187C">
      <w:pPr>
        <w:tabs>
          <w:tab w:val="left" w:pos="4680"/>
        </w:tabs>
        <w:jc w:val="left"/>
      </w:pPr>
    </w:p>
    <w:p w14:paraId="5BD1D3E3" w14:textId="77777777" w:rsidR="0024187C" w:rsidRPr="0024187C" w:rsidRDefault="0024187C" w:rsidP="0024187C">
      <w:pPr>
        <w:tabs>
          <w:tab w:val="left" w:pos="4680"/>
        </w:tabs>
        <w:jc w:val="left"/>
      </w:pPr>
      <w:r w:rsidRPr="0024187C">
        <w:t>In the Matter of the Application of Duke</w:t>
      </w:r>
      <w:r w:rsidRPr="0024187C">
        <w:tab/>
        <w:t>)</w:t>
      </w:r>
    </w:p>
    <w:p w14:paraId="1BBA824F" w14:textId="77777777" w:rsidR="0024187C" w:rsidRPr="0024187C" w:rsidRDefault="0024187C" w:rsidP="0024187C">
      <w:pPr>
        <w:tabs>
          <w:tab w:val="left" w:pos="4680"/>
        </w:tabs>
        <w:jc w:val="left"/>
      </w:pPr>
      <w:r w:rsidRPr="0024187C">
        <w:t>Energy Ohio, Inc., for Approval to Change</w:t>
      </w:r>
      <w:r w:rsidRPr="0024187C">
        <w:tab/>
        <w:t>)</w:t>
      </w:r>
      <w:r w:rsidRPr="0024187C">
        <w:tab/>
      </w:r>
      <w:r w:rsidRPr="0024187C">
        <w:tab/>
        <w:t>Case No. 17-874-EL-AAM</w:t>
      </w:r>
    </w:p>
    <w:p w14:paraId="5D25D82E" w14:textId="77777777" w:rsidR="0024187C" w:rsidRPr="0024187C" w:rsidRDefault="0024187C" w:rsidP="0024187C">
      <w:pPr>
        <w:tabs>
          <w:tab w:val="left" w:pos="4680"/>
        </w:tabs>
        <w:jc w:val="left"/>
      </w:pPr>
      <w:r w:rsidRPr="0024187C">
        <w:t>Accounting Methods.</w:t>
      </w:r>
      <w:r w:rsidRPr="0024187C">
        <w:tab/>
        <w:t>)</w:t>
      </w:r>
    </w:p>
    <w:p w14:paraId="0FE3417E" w14:textId="77777777" w:rsidR="0024187C" w:rsidRPr="0024187C" w:rsidRDefault="0024187C" w:rsidP="0024187C">
      <w:pPr>
        <w:tabs>
          <w:tab w:val="left" w:pos="4680"/>
        </w:tabs>
        <w:jc w:val="left"/>
      </w:pPr>
    </w:p>
    <w:p w14:paraId="1C543E04" w14:textId="77777777" w:rsidR="0024187C" w:rsidRPr="0024187C" w:rsidRDefault="0024187C" w:rsidP="0024187C">
      <w:pPr>
        <w:jc w:val="left"/>
        <w:rPr>
          <w:b/>
        </w:rPr>
      </w:pPr>
      <w:r w:rsidRPr="0024187C">
        <w:rPr>
          <w:b/>
        </w:rPr>
        <w:t>______________________________________________________________________</w:t>
      </w:r>
    </w:p>
    <w:p w14:paraId="66DBDE9E" w14:textId="77777777" w:rsidR="0024187C" w:rsidRPr="0024187C" w:rsidRDefault="0024187C" w:rsidP="0024187C">
      <w:pPr>
        <w:jc w:val="left"/>
        <w:rPr>
          <w:b/>
        </w:rPr>
      </w:pPr>
    </w:p>
    <w:p w14:paraId="1BF831F6" w14:textId="37924736" w:rsidR="00DA1651" w:rsidRDefault="00116A68" w:rsidP="00DA1651">
      <w:pPr>
        <w:jc w:val="center"/>
        <w:rPr>
          <w:rFonts w:ascii="Arial Bold" w:hAnsi="Arial Bold"/>
          <w:b/>
          <w:smallCaps/>
          <w:sz w:val="28"/>
          <w:szCs w:val="28"/>
        </w:rPr>
      </w:pPr>
      <w:r>
        <w:rPr>
          <w:rFonts w:ascii="Arial Bold" w:hAnsi="Arial Bold"/>
          <w:b/>
          <w:smallCaps/>
          <w:sz w:val="28"/>
          <w:szCs w:val="28"/>
        </w:rPr>
        <w:t>Motion</w:t>
      </w:r>
      <w:r w:rsidR="00A43143">
        <w:rPr>
          <w:rFonts w:ascii="Arial Bold" w:hAnsi="Arial Bold"/>
          <w:b/>
          <w:smallCaps/>
          <w:sz w:val="28"/>
          <w:szCs w:val="28"/>
        </w:rPr>
        <w:t>s</w:t>
      </w:r>
      <w:r>
        <w:rPr>
          <w:rFonts w:ascii="Arial Bold" w:hAnsi="Arial Bold"/>
          <w:b/>
          <w:smallCaps/>
          <w:sz w:val="28"/>
          <w:szCs w:val="28"/>
        </w:rPr>
        <w:t xml:space="preserve"> of Industrial Energy Users-Ohio</w:t>
      </w:r>
      <w:r w:rsidR="00745B7B">
        <w:rPr>
          <w:rFonts w:ascii="Arial Bold" w:hAnsi="Arial Bold"/>
          <w:b/>
          <w:smallCaps/>
          <w:sz w:val="28"/>
          <w:szCs w:val="28"/>
        </w:rPr>
        <w:t>, the Office of the Ohio Consumers’ Counsel, Ohio Partners for Affordable Energy</w:t>
      </w:r>
      <w:r w:rsidR="00107AD6">
        <w:rPr>
          <w:rFonts w:ascii="Arial Bold" w:hAnsi="Arial Bold"/>
          <w:b/>
          <w:smallCaps/>
          <w:sz w:val="28"/>
          <w:szCs w:val="28"/>
        </w:rPr>
        <w:t>,</w:t>
      </w:r>
      <w:r w:rsidR="00D437D5">
        <w:rPr>
          <w:rFonts w:ascii="Arial Bold" w:hAnsi="Arial Bold"/>
          <w:b/>
          <w:smallCaps/>
          <w:sz w:val="28"/>
          <w:szCs w:val="28"/>
        </w:rPr>
        <w:t xml:space="preserve"> The Kroger Co.,</w:t>
      </w:r>
      <w:r>
        <w:rPr>
          <w:rFonts w:ascii="Arial Bold" w:hAnsi="Arial Bold"/>
          <w:b/>
          <w:smallCaps/>
          <w:sz w:val="28"/>
          <w:szCs w:val="28"/>
        </w:rPr>
        <w:t xml:space="preserve"> </w:t>
      </w:r>
      <w:r w:rsidR="00107AD6">
        <w:rPr>
          <w:rFonts w:ascii="Arial Bold" w:hAnsi="Arial Bold"/>
          <w:b/>
          <w:smallCaps/>
          <w:sz w:val="28"/>
          <w:szCs w:val="28"/>
        </w:rPr>
        <w:t>and Ohio Manufacturers</w:t>
      </w:r>
      <w:r w:rsidR="005F05F4">
        <w:rPr>
          <w:rFonts w:ascii="Arial Bold" w:hAnsi="Arial Bold"/>
          <w:b/>
          <w:smallCaps/>
          <w:sz w:val="28"/>
          <w:szCs w:val="28"/>
        </w:rPr>
        <w:t>’ Association</w:t>
      </w:r>
      <w:r w:rsidR="00107AD6">
        <w:rPr>
          <w:rFonts w:ascii="Arial Bold" w:hAnsi="Arial Bold"/>
          <w:b/>
          <w:smallCaps/>
          <w:sz w:val="28"/>
          <w:szCs w:val="28"/>
        </w:rPr>
        <w:t xml:space="preserve"> Energy Group </w:t>
      </w:r>
      <w:r w:rsidR="00A43143">
        <w:rPr>
          <w:rFonts w:ascii="Arial Bold" w:hAnsi="Arial Bold"/>
          <w:b/>
          <w:smallCaps/>
          <w:sz w:val="28"/>
          <w:szCs w:val="28"/>
        </w:rPr>
        <w:t xml:space="preserve">for an Order </w:t>
      </w:r>
      <w:r>
        <w:rPr>
          <w:rFonts w:ascii="Arial Bold" w:hAnsi="Arial Bold"/>
          <w:b/>
          <w:smallCaps/>
          <w:sz w:val="28"/>
          <w:szCs w:val="28"/>
        </w:rPr>
        <w:t>Dismiss</w:t>
      </w:r>
      <w:r w:rsidR="00A43143">
        <w:rPr>
          <w:rFonts w:ascii="Arial Bold" w:hAnsi="Arial Bold"/>
          <w:b/>
          <w:smallCaps/>
          <w:sz w:val="28"/>
          <w:szCs w:val="28"/>
        </w:rPr>
        <w:t>ing</w:t>
      </w:r>
      <w:r>
        <w:rPr>
          <w:rFonts w:ascii="Arial Bold" w:hAnsi="Arial Bold"/>
          <w:b/>
          <w:smallCaps/>
          <w:sz w:val="28"/>
          <w:szCs w:val="28"/>
        </w:rPr>
        <w:t xml:space="preserve"> the Application or in the Alternative Stay</w:t>
      </w:r>
      <w:r w:rsidR="00454532">
        <w:rPr>
          <w:rFonts w:ascii="Arial Bold" w:hAnsi="Arial Bold"/>
          <w:b/>
          <w:smallCaps/>
          <w:sz w:val="28"/>
          <w:szCs w:val="28"/>
        </w:rPr>
        <w:t>ing</w:t>
      </w:r>
      <w:r>
        <w:rPr>
          <w:rFonts w:ascii="Arial Bold" w:hAnsi="Arial Bold"/>
          <w:b/>
          <w:smallCaps/>
          <w:sz w:val="28"/>
          <w:szCs w:val="28"/>
        </w:rPr>
        <w:t xml:space="preserve"> the Proceeding</w:t>
      </w:r>
    </w:p>
    <w:p w14:paraId="1BA166B0" w14:textId="77777777" w:rsidR="00DA1651" w:rsidRDefault="00DA1651" w:rsidP="00DA1651">
      <w:pPr>
        <w:jc w:val="center"/>
        <w:rPr>
          <w:rFonts w:ascii="Arial Bold" w:hAnsi="Arial Bold"/>
          <w:b/>
          <w:smallCaps/>
          <w:sz w:val="28"/>
          <w:szCs w:val="28"/>
        </w:rPr>
      </w:pPr>
      <w:r>
        <w:rPr>
          <w:rFonts w:ascii="Arial Bold" w:hAnsi="Arial Bold"/>
          <w:b/>
          <w:smallCaps/>
          <w:sz w:val="28"/>
          <w:szCs w:val="28"/>
        </w:rPr>
        <w:t>and</w:t>
      </w:r>
    </w:p>
    <w:p w14:paraId="50F439C1" w14:textId="2FDB0B2A" w:rsidR="00040F84" w:rsidRDefault="00DA1651" w:rsidP="00040F84">
      <w:pPr>
        <w:spacing w:after="120"/>
        <w:jc w:val="center"/>
        <w:rPr>
          <w:rFonts w:ascii="Arial Bold" w:hAnsi="Arial Bold"/>
          <w:b/>
          <w:smallCaps/>
          <w:sz w:val="28"/>
          <w:szCs w:val="28"/>
        </w:rPr>
      </w:pPr>
      <w:r>
        <w:rPr>
          <w:rFonts w:ascii="Arial Bold" w:hAnsi="Arial Bold"/>
          <w:b/>
          <w:smallCaps/>
          <w:sz w:val="28"/>
          <w:szCs w:val="28"/>
        </w:rPr>
        <w:t>Memorandum in Support</w:t>
      </w:r>
    </w:p>
    <w:p w14:paraId="01481710" w14:textId="1FB0B441" w:rsidR="00040F84" w:rsidRDefault="00040F84" w:rsidP="00040F84">
      <w:pPr>
        <w:spacing w:after="120"/>
        <w:jc w:val="center"/>
        <w:rPr>
          <w:rFonts w:ascii="Arial Bold" w:hAnsi="Arial Bold"/>
          <w:b/>
          <w:smallCaps/>
          <w:sz w:val="28"/>
          <w:szCs w:val="28"/>
        </w:rPr>
      </w:pPr>
      <w:r>
        <w:rPr>
          <w:rFonts w:ascii="Arial Bold" w:hAnsi="Arial Bold"/>
          <w:b/>
          <w:smallCaps/>
          <w:sz w:val="28"/>
          <w:szCs w:val="28"/>
        </w:rPr>
        <w:t>PUBLIC VERSION</w:t>
      </w:r>
    </w:p>
    <w:p w14:paraId="3A6C8291" w14:textId="77777777" w:rsidR="0024187C" w:rsidRPr="0024187C" w:rsidRDefault="0024187C" w:rsidP="0024187C">
      <w:pPr>
        <w:jc w:val="left"/>
        <w:rPr>
          <w:b/>
        </w:rPr>
      </w:pPr>
      <w:r w:rsidRPr="0024187C">
        <w:rPr>
          <w:b/>
        </w:rPr>
        <w:t>______________________________________________________________________</w:t>
      </w:r>
    </w:p>
    <w:p w14:paraId="583DD9E0" w14:textId="13C1A8D4" w:rsidR="0024187C" w:rsidRPr="0024187C" w:rsidRDefault="0024187C" w:rsidP="0024187C">
      <w:pPr>
        <w:jc w:val="left"/>
      </w:pPr>
    </w:p>
    <w:p w14:paraId="57DC5AD0" w14:textId="77777777" w:rsidR="0024187C" w:rsidRPr="0024187C" w:rsidRDefault="0024187C" w:rsidP="0024187C">
      <w:pPr>
        <w:jc w:val="left"/>
      </w:pPr>
    </w:p>
    <w:p w14:paraId="787D454D" w14:textId="77777777" w:rsidR="00042E93" w:rsidRDefault="0024187C" w:rsidP="0024187C">
      <w:pPr>
        <w:jc w:val="left"/>
      </w:pPr>
      <w:r w:rsidRPr="0024187C">
        <w:t>Frank P. Darr (Reg. No. 0025469)</w:t>
      </w:r>
    </w:p>
    <w:p w14:paraId="54D96A3E" w14:textId="00AFEF55" w:rsidR="0024187C" w:rsidRPr="0024187C" w:rsidRDefault="0024187C" w:rsidP="0024187C">
      <w:pPr>
        <w:jc w:val="left"/>
      </w:pPr>
      <w:r w:rsidRPr="0024187C">
        <w:t>(Counsel of Record)</w:t>
      </w:r>
    </w:p>
    <w:p w14:paraId="33CDACA8" w14:textId="77777777" w:rsidR="0024187C" w:rsidRPr="0024187C" w:rsidRDefault="0024187C" w:rsidP="00042E93">
      <w:pPr>
        <w:widowControl w:val="0"/>
        <w:jc w:val="left"/>
        <w:rPr>
          <w:rFonts w:eastAsia="Calibri" w:cs="Arial"/>
          <w:bCs/>
        </w:rPr>
      </w:pPr>
      <w:r w:rsidRPr="0024187C">
        <w:rPr>
          <w:rFonts w:eastAsia="Calibri" w:cs="Arial"/>
          <w:bCs/>
        </w:rPr>
        <w:t>Matthew R. Pritchard (Reg. No. 0088070)</w:t>
      </w:r>
    </w:p>
    <w:p w14:paraId="74658497" w14:textId="77777777" w:rsidR="0024187C" w:rsidRPr="0024187C" w:rsidRDefault="0024187C" w:rsidP="00042E93">
      <w:pPr>
        <w:widowControl w:val="0"/>
        <w:jc w:val="left"/>
        <w:rPr>
          <w:rFonts w:eastAsia="Calibri" w:cs="Arial"/>
          <w:b/>
          <w:bCs/>
          <w:smallCaps/>
        </w:rPr>
      </w:pPr>
      <w:r w:rsidRPr="0024187C">
        <w:rPr>
          <w:rFonts w:eastAsia="Calibri" w:cs="Arial"/>
          <w:bCs/>
          <w:smallCaps/>
        </w:rPr>
        <w:t>McNees Wallace &amp; Nurick LLC</w:t>
      </w:r>
    </w:p>
    <w:p w14:paraId="759C93B5" w14:textId="77777777" w:rsidR="0024187C" w:rsidRPr="0024187C" w:rsidRDefault="0024187C" w:rsidP="00042E93">
      <w:pPr>
        <w:widowControl w:val="0"/>
        <w:jc w:val="left"/>
        <w:rPr>
          <w:rFonts w:eastAsia="Calibri" w:cs="Arial"/>
          <w:b/>
          <w:bCs/>
        </w:rPr>
      </w:pPr>
      <w:r w:rsidRPr="0024187C">
        <w:rPr>
          <w:rFonts w:eastAsia="Calibri" w:cs="Arial"/>
          <w:bCs/>
        </w:rPr>
        <w:t>21 East State Street, 17</w:t>
      </w:r>
      <w:r w:rsidRPr="0024187C">
        <w:rPr>
          <w:rFonts w:eastAsia="Calibri" w:cs="Arial"/>
          <w:bCs/>
          <w:vertAlign w:val="superscript"/>
        </w:rPr>
        <w:t>TH</w:t>
      </w:r>
      <w:r w:rsidRPr="0024187C">
        <w:rPr>
          <w:rFonts w:eastAsia="Calibri" w:cs="Arial"/>
          <w:bCs/>
        </w:rPr>
        <w:t xml:space="preserve"> Floor</w:t>
      </w:r>
    </w:p>
    <w:p w14:paraId="12DB7487" w14:textId="77777777" w:rsidR="0024187C" w:rsidRPr="0024187C" w:rsidRDefault="0024187C" w:rsidP="00042E93">
      <w:pPr>
        <w:tabs>
          <w:tab w:val="left" w:pos="-1440"/>
          <w:tab w:val="left" w:pos="-720"/>
          <w:tab w:val="left" w:pos="5040"/>
          <w:tab w:val="center" w:pos="7200"/>
        </w:tabs>
        <w:overflowPunct w:val="0"/>
        <w:autoSpaceDE w:val="0"/>
        <w:autoSpaceDN w:val="0"/>
        <w:adjustRightInd w:val="0"/>
        <w:jc w:val="left"/>
        <w:rPr>
          <w:rFonts w:eastAsia="Calibri" w:cs="Arial"/>
        </w:rPr>
      </w:pPr>
      <w:r w:rsidRPr="0024187C">
        <w:rPr>
          <w:rFonts w:eastAsia="Calibri" w:cs="Arial"/>
        </w:rPr>
        <w:t>Columbus, OH  43215</w:t>
      </w:r>
    </w:p>
    <w:p w14:paraId="08121692" w14:textId="77777777" w:rsidR="0024187C" w:rsidRPr="0024187C" w:rsidRDefault="0024187C" w:rsidP="00042E93">
      <w:pPr>
        <w:tabs>
          <w:tab w:val="left" w:pos="-1440"/>
          <w:tab w:val="left" w:pos="-720"/>
          <w:tab w:val="left" w:pos="5040"/>
          <w:tab w:val="center" w:pos="7200"/>
        </w:tabs>
        <w:overflowPunct w:val="0"/>
        <w:autoSpaceDE w:val="0"/>
        <w:autoSpaceDN w:val="0"/>
        <w:adjustRightInd w:val="0"/>
        <w:jc w:val="left"/>
        <w:rPr>
          <w:rFonts w:eastAsia="Calibri" w:cs="Arial"/>
        </w:rPr>
      </w:pPr>
      <w:r w:rsidRPr="0024187C">
        <w:rPr>
          <w:rFonts w:eastAsia="Calibri" w:cs="Arial"/>
        </w:rPr>
        <w:t>Telephone:  (614) 469-8000</w:t>
      </w:r>
    </w:p>
    <w:p w14:paraId="38F88301" w14:textId="77777777" w:rsidR="0024187C" w:rsidRPr="0024187C" w:rsidRDefault="0024187C" w:rsidP="00042E93">
      <w:pPr>
        <w:tabs>
          <w:tab w:val="left" w:pos="-1440"/>
          <w:tab w:val="left" w:pos="-720"/>
          <w:tab w:val="left" w:pos="5040"/>
          <w:tab w:val="center" w:pos="7200"/>
        </w:tabs>
        <w:overflowPunct w:val="0"/>
        <w:autoSpaceDE w:val="0"/>
        <w:autoSpaceDN w:val="0"/>
        <w:adjustRightInd w:val="0"/>
        <w:jc w:val="left"/>
        <w:rPr>
          <w:rFonts w:eastAsia="Calibri" w:cs="Arial"/>
          <w:color w:val="000000"/>
        </w:rPr>
      </w:pPr>
      <w:r w:rsidRPr="0024187C">
        <w:rPr>
          <w:rFonts w:eastAsia="Calibri" w:cs="Arial"/>
          <w:color w:val="000000"/>
        </w:rPr>
        <w:t>Telecopier:  (614) 469-4653</w:t>
      </w:r>
    </w:p>
    <w:p w14:paraId="30C69E66" w14:textId="6FEBFA22" w:rsidR="0024187C" w:rsidRPr="0024187C" w:rsidRDefault="00042E93" w:rsidP="00042E93">
      <w:pPr>
        <w:tabs>
          <w:tab w:val="left" w:pos="-1440"/>
          <w:tab w:val="left" w:pos="-720"/>
          <w:tab w:val="left" w:pos="5040"/>
          <w:tab w:val="center" w:pos="7200"/>
        </w:tabs>
        <w:overflowPunct w:val="0"/>
        <w:autoSpaceDE w:val="0"/>
        <w:autoSpaceDN w:val="0"/>
        <w:adjustRightInd w:val="0"/>
        <w:jc w:val="left"/>
        <w:rPr>
          <w:rFonts w:eastAsia="Calibri" w:cs="Arial"/>
          <w:color w:val="000000"/>
        </w:rPr>
      </w:pPr>
      <w:r>
        <w:rPr>
          <w:rFonts w:eastAsia="Calibri" w:cs="Arial"/>
        </w:rPr>
        <w:t>f</w:t>
      </w:r>
      <w:r w:rsidR="0024187C" w:rsidRPr="0024187C">
        <w:rPr>
          <w:rFonts w:eastAsia="Calibri" w:cs="Arial"/>
        </w:rPr>
        <w:t>darr@mwncmh.com</w:t>
      </w:r>
    </w:p>
    <w:p w14:paraId="4EB76B26" w14:textId="77777777" w:rsidR="0024187C" w:rsidRPr="0024187C" w:rsidRDefault="0024187C" w:rsidP="00BC1116">
      <w:pPr>
        <w:tabs>
          <w:tab w:val="left" w:pos="-1440"/>
          <w:tab w:val="left" w:pos="-720"/>
          <w:tab w:val="left" w:pos="5040"/>
          <w:tab w:val="center" w:pos="7200"/>
        </w:tabs>
        <w:overflowPunct w:val="0"/>
        <w:autoSpaceDE w:val="0"/>
        <w:autoSpaceDN w:val="0"/>
        <w:adjustRightInd w:val="0"/>
        <w:jc w:val="left"/>
        <w:rPr>
          <w:rFonts w:eastAsia="Calibri" w:cs="Arial"/>
          <w:color w:val="000000"/>
        </w:rPr>
      </w:pPr>
      <w:r w:rsidRPr="0024187C">
        <w:rPr>
          <w:rFonts w:eastAsia="Calibri" w:cs="Arial"/>
          <w:color w:val="000000"/>
        </w:rPr>
        <w:t>(willing to accept service by e-mail)</w:t>
      </w:r>
    </w:p>
    <w:p w14:paraId="6D965E34" w14:textId="77777777" w:rsidR="0024187C" w:rsidRPr="0024187C" w:rsidRDefault="0024187C" w:rsidP="00BC1116">
      <w:pPr>
        <w:tabs>
          <w:tab w:val="left" w:pos="-1440"/>
          <w:tab w:val="left" w:pos="-720"/>
          <w:tab w:val="left" w:pos="5040"/>
          <w:tab w:val="center" w:pos="7200"/>
        </w:tabs>
        <w:overflowPunct w:val="0"/>
        <w:autoSpaceDE w:val="0"/>
        <w:autoSpaceDN w:val="0"/>
        <w:adjustRightInd w:val="0"/>
        <w:jc w:val="left"/>
        <w:rPr>
          <w:rFonts w:eastAsia="Calibri" w:cs="Arial"/>
          <w:color w:val="000000"/>
        </w:rPr>
      </w:pPr>
      <w:r w:rsidRPr="0024187C">
        <w:rPr>
          <w:rFonts w:eastAsia="Calibri" w:cs="Arial"/>
        </w:rPr>
        <w:t>mpritchard@mwncmh.com</w:t>
      </w:r>
    </w:p>
    <w:p w14:paraId="0B6CF226" w14:textId="7CC3E248" w:rsidR="001312C7" w:rsidRDefault="0024187C" w:rsidP="001312C7">
      <w:pPr>
        <w:tabs>
          <w:tab w:val="left" w:pos="-1440"/>
          <w:tab w:val="left" w:pos="-720"/>
          <w:tab w:val="left" w:pos="5040"/>
          <w:tab w:val="center" w:pos="7200"/>
        </w:tabs>
        <w:overflowPunct w:val="0"/>
        <w:autoSpaceDE w:val="0"/>
        <w:autoSpaceDN w:val="0"/>
        <w:adjustRightInd w:val="0"/>
        <w:jc w:val="left"/>
        <w:rPr>
          <w:rFonts w:eastAsia="Calibri" w:cs="Arial"/>
          <w:color w:val="000000"/>
        </w:rPr>
      </w:pPr>
      <w:r w:rsidRPr="0024187C">
        <w:rPr>
          <w:rFonts w:eastAsia="Calibri" w:cs="Arial"/>
          <w:color w:val="000000"/>
        </w:rPr>
        <w:t>(willing to accept service by e-mail)</w:t>
      </w:r>
    </w:p>
    <w:p w14:paraId="2CAE7945" w14:textId="77777777" w:rsidR="00C11A29" w:rsidRDefault="00C11A29" w:rsidP="001312C7">
      <w:pPr>
        <w:tabs>
          <w:tab w:val="left" w:pos="-1440"/>
          <w:tab w:val="left" w:pos="-720"/>
          <w:tab w:val="left" w:pos="5040"/>
          <w:tab w:val="center" w:pos="7200"/>
        </w:tabs>
        <w:overflowPunct w:val="0"/>
        <w:autoSpaceDE w:val="0"/>
        <w:autoSpaceDN w:val="0"/>
        <w:adjustRightInd w:val="0"/>
        <w:jc w:val="left"/>
        <w:rPr>
          <w:rFonts w:cs="Arial"/>
          <w:b/>
          <w:smallCaps/>
          <w:color w:val="000000"/>
        </w:rPr>
      </w:pPr>
    </w:p>
    <w:p w14:paraId="5D9E63CD" w14:textId="4DD2D7D2" w:rsidR="00BC1116" w:rsidRPr="001312C7" w:rsidRDefault="0024187C" w:rsidP="001312C7">
      <w:pPr>
        <w:tabs>
          <w:tab w:val="left" w:pos="-1440"/>
          <w:tab w:val="left" w:pos="-720"/>
          <w:tab w:val="left" w:pos="5040"/>
          <w:tab w:val="center" w:pos="7200"/>
        </w:tabs>
        <w:overflowPunct w:val="0"/>
        <w:autoSpaceDE w:val="0"/>
        <w:autoSpaceDN w:val="0"/>
        <w:adjustRightInd w:val="0"/>
        <w:jc w:val="left"/>
        <w:rPr>
          <w:rFonts w:eastAsia="Calibri" w:cs="Arial"/>
          <w:color w:val="000000"/>
        </w:rPr>
      </w:pPr>
      <w:r w:rsidRPr="0024187C">
        <w:rPr>
          <w:rFonts w:cs="Arial"/>
          <w:b/>
          <w:smallCaps/>
          <w:color w:val="000000"/>
        </w:rPr>
        <w:t>On Behalf of Industrial Energy Users-Ohio</w:t>
      </w:r>
    </w:p>
    <w:p w14:paraId="1704DC80" w14:textId="3AF35D5C" w:rsidR="00BC1116" w:rsidRPr="00E07024" w:rsidRDefault="007A4569" w:rsidP="00BC1116">
      <w:pPr>
        <w:pStyle w:val="Footer"/>
        <w:spacing w:before="240"/>
        <w:rPr>
          <w:rFonts w:cs="Arial"/>
        </w:rPr>
      </w:pPr>
      <w:r w:rsidRPr="00E07024">
        <w:rPr>
          <w:rFonts w:cs="Arial"/>
        </w:rPr>
        <w:lastRenderedPageBreak/>
        <w:t>Bruce Weston</w:t>
      </w:r>
      <w:r w:rsidR="00BC1116" w:rsidRPr="00E07024">
        <w:rPr>
          <w:rFonts w:cs="Arial"/>
        </w:rPr>
        <w:t xml:space="preserve"> (</w:t>
      </w:r>
      <w:r w:rsidRPr="00E07024">
        <w:rPr>
          <w:rFonts w:cs="Arial"/>
        </w:rPr>
        <w:t xml:space="preserve">Reg. No. </w:t>
      </w:r>
      <w:r w:rsidR="00BC1116" w:rsidRPr="00E07024">
        <w:rPr>
          <w:rFonts w:cs="Arial"/>
        </w:rPr>
        <w:t>0016973)</w:t>
      </w:r>
    </w:p>
    <w:p w14:paraId="308BD578" w14:textId="3ADD66A4" w:rsidR="00BC1116" w:rsidRPr="00E07024" w:rsidRDefault="00606585" w:rsidP="00BC1116">
      <w:pPr>
        <w:rPr>
          <w:rFonts w:cs="Arial"/>
        </w:rPr>
      </w:pPr>
      <w:r>
        <w:rPr>
          <w:rFonts w:cs="Arial"/>
        </w:rPr>
        <w:t>Ohio Consumers’ Counsel</w:t>
      </w:r>
    </w:p>
    <w:p w14:paraId="4DB2353B" w14:textId="6D24A067" w:rsidR="00BC1116" w:rsidRPr="00E07024" w:rsidRDefault="00BC1116" w:rsidP="00BC1116">
      <w:pPr>
        <w:rPr>
          <w:rFonts w:cs="Arial"/>
        </w:rPr>
      </w:pPr>
    </w:p>
    <w:p w14:paraId="48B0E5D6" w14:textId="5657CF24" w:rsidR="00BC1116" w:rsidRPr="00E07024" w:rsidRDefault="00BC1116" w:rsidP="00BC1116">
      <w:pPr>
        <w:rPr>
          <w:rFonts w:cs="Arial"/>
        </w:rPr>
      </w:pPr>
      <w:r w:rsidRPr="00E07024">
        <w:rPr>
          <w:rFonts w:cs="Arial"/>
        </w:rPr>
        <w:t>William J. Michael (</w:t>
      </w:r>
      <w:r w:rsidR="007A4569" w:rsidRPr="00E07024">
        <w:rPr>
          <w:rFonts w:cs="Arial"/>
        </w:rPr>
        <w:t xml:space="preserve">Reg. No. </w:t>
      </w:r>
      <w:r w:rsidRPr="00E07024">
        <w:rPr>
          <w:rFonts w:cs="Arial"/>
        </w:rPr>
        <w:t>0070921)</w:t>
      </w:r>
    </w:p>
    <w:p w14:paraId="456E0E92" w14:textId="3E70FCD5" w:rsidR="00BC1116" w:rsidRPr="00E07024" w:rsidRDefault="00BC1116" w:rsidP="001312C7">
      <w:pPr>
        <w:rPr>
          <w:rFonts w:cs="Arial"/>
        </w:rPr>
      </w:pPr>
      <w:r w:rsidRPr="00E07024">
        <w:rPr>
          <w:rFonts w:cs="Arial"/>
        </w:rPr>
        <w:t>Counsel of Record</w:t>
      </w:r>
    </w:p>
    <w:p w14:paraId="0FA0471B" w14:textId="4F4DF0EC" w:rsidR="007A4569" w:rsidRPr="00E07024" w:rsidRDefault="007A4569" w:rsidP="001312C7">
      <w:pPr>
        <w:rPr>
          <w:rFonts w:cs="Arial"/>
        </w:rPr>
      </w:pPr>
      <w:r w:rsidRPr="00E07024">
        <w:rPr>
          <w:rFonts w:cs="Arial"/>
        </w:rPr>
        <w:t xml:space="preserve">Jodi Bair (Reg. No. </w:t>
      </w:r>
      <w:r w:rsidR="00E07024" w:rsidRPr="00E07024">
        <w:rPr>
          <w:rFonts w:cs="Arial"/>
        </w:rPr>
        <w:t>0062921)</w:t>
      </w:r>
    </w:p>
    <w:p w14:paraId="531EA54F" w14:textId="06F8AE09" w:rsidR="00BC1116" w:rsidRPr="00E07024" w:rsidRDefault="00BC1116" w:rsidP="001312C7">
      <w:pPr>
        <w:rPr>
          <w:rFonts w:cs="Arial"/>
        </w:rPr>
      </w:pPr>
      <w:r w:rsidRPr="00E07024">
        <w:rPr>
          <w:rFonts w:cs="Arial"/>
        </w:rPr>
        <w:t>Kevin Moore (</w:t>
      </w:r>
      <w:r w:rsidR="007A4569" w:rsidRPr="00E07024">
        <w:rPr>
          <w:rFonts w:cs="Arial"/>
        </w:rPr>
        <w:t xml:space="preserve">Reg. No. </w:t>
      </w:r>
      <w:r w:rsidRPr="00E07024">
        <w:rPr>
          <w:rFonts w:cs="Arial"/>
        </w:rPr>
        <w:t>0089228)</w:t>
      </w:r>
    </w:p>
    <w:p w14:paraId="59B89C97" w14:textId="487ED2E1" w:rsidR="00BC1116" w:rsidRPr="00E07024" w:rsidRDefault="00BC1116" w:rsidP="001312C7">
      <w:pPr>
        <w:rPr>
          <w:rFonts w:cs="Arial"/>
        </w:rPr>
      </w:pPr>
      <w:r w:rsidRPr="00E07024">
        <w:rPr>
          <w:rFonts w:cs="Arial"/>
        </w:rPr>
        <w:t>Assistant Consumers’ Counsel</w:t>
      </w:r>
    </w:p>
    <w:p w14:paraId="14B93A10" w14:textId="06FAED29" w:rsidR="001312C7" w:rsidRPr="00AD5C1F" w:rsidRDefault="00BC1116" w:rsidP="00885D2B">
      <w:r w:rsidRPr="00AD5C1F">
        <w:t>Office of the Ohio Consumers’ Counsel</w:t>
      </w:r>
    </w:p>
    <w:p w14:paraId="180D85EA" w14:textId="246012AD" w:rsidR="00BC1116" w:rsidRPr="00AD5C1F" w:rsidRDefault="00BC1116" w:rsidP="00885D2B">
      <w:r w:rsidRPr="00AD5C1F">
        <w:t>10 West Broad Street, Suite 1800</w:t>
      </w:r>
    </w:p>
    <w:p w14:paraId="59D73002" w14:textId="4F8E68E0" w:rsidR="00BC1116" w:rsidRPr="00E07024" w:rsidRDefault="00BC1116" w:rsidP="00885D2B">
      <w:r w:rsidRPr="00AD5C1F">
        <w:t>Columbus, Ohio</w:t>
      </w:r>
      <w:r w:rsidRPr="00E07024">
        <w:t xml:space="preserve"> 43215-3485</w:t>
      </w:r>
    </w:p>
    <w:p w14:paraId="2F5999F0" w14:textId="77777777" w:rsidR="00BC1116" w:rsidRPr="00E07024" w:rsidRDefault="00BC1116" w:rsidP="001312C7">
      <w:pPr>
        <w:autoSpaceDE w:val="0"/>
        <w:autoSpaceDN w:val="0"/>
        <w:rPr>
          <w:rFonts w:cs="Arial"/>
        </w:rPr>
      </w:pPr>
      <w:r w:rsidRPr="00E07024">
        <w:rPr>
          <w:rFonts w:cs="Arial"/>
        </w:rPr>
        <w:t>Telephone [Michael]:  (614) 466-1291</w:t>
      </w:r>
    </w:p>
    <w:p w14:paraId="1B736488" w14:textId="77777777" w:rsidR="00BC1116" w:rsidRPr="00E07024" w:rsidRDefault="00BC1116" w:rsidP="001312C7">
      <w:pPr>
        <w:autoSpaceDE w:val="0"/>
        <w:autoSpaceDN w:val="0"/>
        <w:rPr>
          <w:rFonts w:cs="Arial"/>
        </w:rPr>
      </w:pPr>
      <w:r w:rsidRPr="00E07024">
        <w:rPr>
          <w:rFonts w:cs="Arial"/>
        </w:rPr>
        <w:t>Telephone [Bair]:  (614) 466-9559</w:t>
      </w:r>
    </w:p>
    <w:p w14:paraId="34E46ECD" w14:textId="77777777" w:rsidR="00BC1116" w:rsidRPr="00E07024" w:rsidRDefault="00BC1116" w:rsidP="001312C7">
      <w:pPr>
        <w:autoSpaceDE w:val="0"/>
        <w:autoSpaceDN w:val="0"/>
        <w:rPr>
          <w:rFonts w:cs="Arial"/>
        </w:rPr>
      </w:pPr>
      <w:r w:rsidRPr="00E07024">
        <w:rPr>
          <w:rFonts w:cs="Arial"/>
        </w:rPr>
        <w:t>Telephone [Moore]:  (614) 387-2965</w:t>
      </w:r>
    </w:p>
    <w:p w14:paraId="3A7B8D8F" w14:textId="77777777" w:rsidR="00BC1116" w:rsidRPr="00E07024" w:rsidRDefault="00F34FE4" w:rsidP="001312C7">
      <w:pPr>
        <w:autoSpaceDE w:val="0"/>
        <w:autoSpaceDN w:val="0"/>
        <w:rPr>
          <w:rFonts w:cs="Arial"/>
        </w:rPr>
      </w:pPr>
      <w:hyperlink r:id="rId8" w:history="1">
        <w:r w:rsidR="00BC1116" w:rsidRPr="00E07024">
          <w:rPr>
            <w:rStyle w:val="Hyperlink"/>
            <w:rFonts w:cs="Arial"/>
          </w:rPr>
          <w:t>william.michael@occ.ohio.gov</w:t>
        </w:r>
      </w:hyperlink>
    </w:p>
    <w:p w14:paraId="30F26DAF" w14:textId="77777777" w:rsidR="00BC1116" w:rsidRPr="00E07024" w:rsidRDefault="00F34FE4" w:rsidP="001312C7">
      <w:pPr>
        <w:autoSpaceDE w:val="0"/>
        <w:autoSpaceDN w:val="0"/>
        <w:rPr>
          <w:rFonts w:cs="Arial"/>
        </w:rPr>
      </w:pPr>
      <w:hyperlink r:id="rId9" w:history="1">
        <w:r w:rsidR="00BC1116" w:rsidRPr="00E07024">
          <w:rPr>
            <w:rStyle w:val="Hyperlink"/>
            <w:rFonts w:cs="Arial"/>
          </w:rPr>
          <w:t>Jodi.bair@occ.ohio.gov</w:t>
        </w:r>
      </w:hyperlink>
    </w:p>
    <w:p w14:paraId="5F669808" w14:textId="77777777" w:rsidR="00BC1116" w:rsidRPr="00E07024" w:rsidRDefault="00F34FE4" w:rsidP="001312C7">
      <w:pPr>
        <w:autoSpaceDE w:val="0"/>
        <w:autoSpaceDN w:val="0"/>
        <w:rPr>
          <w:rFonts w:cs="Arial"/>
        </w:rPr>
      </w:pPr>
      <w:hyperlink r:id="rId10" w:history="1">
        <w:r w:rsidR="00BC1116" w:rsidRPr="00E07024">
          <w:rPr>
            <w:rStyle w:val="Hyperlink"/>
            <w:rFonts w:cs="Arial"/>
          </w:rPr>
          <w:t>Kevin.moore@occ.ohio.gov</w:t>
        </w:r>
      </w:hyperlink>
    </w:p>
    <w:p w14:paraId="7BF13729" w14:textId="50A3C9C9" w:rsidR="001B2C6F" w:rsidRPr="00E07024" w:rsidRDefault="00C60FE6" w:rsidP="001312C7">
      <w:pPr>
        <w:jc w:val="left"/>
        <w:rPr>
          <w:rFonts w:cs="Arial"/>
        </w:rPr>
      </w:pPr>
      <w:r>
        <w:rPr>
          <w:rFonts w:cs="Arial"/>
        </w:rPr>
        <w:t>(a</w:t>
      </w:r>
      <w:r w:rsidR="00BC1116" w:rsidRPr="00E07024">
        <w:rPr>
          <w:rFonts w:cs="Arial"/>
        </w:rPr>
        <w:t>ll will accept service via email)</w:t>
      </w:r>
    </w:p>
    <w:p w14:paraId="457EC70A" w14:textId="77777777" w:rsidR="00C11A29" w:rsidRDefault="00C11A29" w:rsidP="001312C7">
      <w:pPr>
        <w:jc w:val="left"/>
        <w:rPr>
          <w:rFonts w:cs="Arial"/>
          <w:b/>
          <w:smallCaps/>
        </w:rPr>
      </w:pPr>
    </w:p>
    <w:p w14:paraId="1CCD3DB2" w14:textId="5CB5CCCD" w:rsidR="001312C7" w:rsidRDefault="001312C7" w:rsidP="001312C7">
      <w:pPr>
        <w:jc w:val="left"/>
        <w:rPr>
          <w:rFonts w:cs="Arial"/>
          <w:b/>
          <w:smallCaps/>
        </w:rPr>
      </w:pPr>
      <w:r w:rsidRPr="00E07024">
        <w:rPr>
          <w:rFonts w:cs="Arial"/>
          <w:b/>
          <w:smallCaps/>
        </w:rPr>
        <w:t>On Behalf of the Office of the Ohio Consumers’ Counsel</w:t>
      </w:r>
    </w:p>
    <w:p w14:paraId="76338B02" w14:textId="77777777" w:rsidR="00E07024" w:rsidRPr="00E07024" w:rsidRDefault="00E07024" w:rsidP="001312C7">
      <w:pPr>
        <w:jc w:val="left"/>
        <w:rPr>
          <w:rFonts w:cs="Arial"/>
          <w:b/>
          <w:smallCaps/>
        </w:rPr>
      </w:pPr>
    </w:p>
    <w:p w14:paraId="7B7D4563" w14:textId="113CF6B2" w:rsidR="0025009C" w:rsidRDefault="0025009C" w:rsidP="0025009C">
      <w:pPr>
        <w:rPr>
          <w:rFonts w:cs="Arial"/>
        </w:rPr>
      </w:pPr>
      <w:r>
        <w:rPr>
          <w:rFonts w:cs="Arial"/>
        </w:rPr>
        <w:t>Colleen L. Mooney</w:t>
      </w:r>
      <w:r w:rsidR="00C11A29">
        <w:rPr>
          <w:rFonts w:cs="Arial"/>
        </w:rPr>
        <w:t xml:space="preserve"> (</w:t>
      </w:r>
      <w:r>
        <w:rPr>
          <w:rFonts w:cs="Arial"/>
        </w:rPr>
        <w:t>Reg. No. 0015668</w:t>
      </w:r>
      <w:r w:rsidR="00C11A29">
        <w:rPr>
          <w:rFonts w:cs="Arial"/>
        </w:rPr>
        <w:t>)</w:t>
      </w:r>
    </w:p>
    <w:p w14:paraId="02E12721" w14:textId="77777777" w:rsidR="0025009C" w:rsidRDefault="0025009C" w:rsidP="0025009C">
      <w:pPr>
        <w:rPr>
          <w:rFonts w:cs="Arial"/>
        </w:rPr>
      </w:pPr>
      <w:r>
        <w:rPr>
          <w:rFonts w:cs="Arial"/>
        </w:rPr>
        <w:t>PO Box 12451</w:t>
      </w:r>
    </w:p>
    <w:p w14:paraId="12A6D663" w14:textId="30409662" w:rsidR="0025009C" w:rsidRDefault="0025009C" w:rsidP="0025009C">
      <w:pPr>
        <w:rPr>
          <w:rFonts w:cs="Arial"/>
        </w:rPr>
      </w:pPr>
      <w:r>
        <w:rPr>
          <w:rFonts w:cs="Arial"/>
        </w:rPr>
        <w:t>Columbus, OH 43212-2451</w:t>
      </w:r>
    </w:p>
    <w:p w14:paraId="4DCF403E" w14:textId="208E2B5D" w:rsidR="00A03779" w:rsidRDefault="00052EF5" w:rsidP="00A03779">
      <w:pPr>
        <w:pStyle w:val="PlainText"/>
      </w:pPr>
      <w:r>
        <w:t>Telephone</w:t>
      </w:r>
      <w:r w:rsidR="00B312DC">
        <w:t>:</w:t>
      </w:r>
      <w:r w:rsidR="00A03779">
        <w:t xml:space="preserve">  614-488-5739</w:t>
      </w:r>
    </w:p>
    <w:p w14:paraId="0922578B" w14:textId="62818EC6" w:rsidR="00FD7FA5" w:rsidRDefault="00FD7FA5" w:rsidP="00A03779">
      <w:pPr>
        <w:pStyle w:val="PlainText"/>
      </w:pPr>
      <w:r>
        <w:t>cmooney@ohiopartners.org</w:t>
      </w:r>
    </w:p>
    <w:p w14:paraId="257B4CB1" w14:textId="0488BEB0" w:rsidR="0025009C" w:rsidRDefault="0025009C" w:rsidP="0025009C">
      <w:pPr>
        <w:rPr>
          <w:rFonts w:cs="Arial"/>
        </w:rPr>
      </w:pPr>
      <w:r>
        <w:rPr>
          <w:rFonts w:cs="Arial"/>
        </w:rPr>
        <w:t>(</w:t>
      </w:r>
      <w:r w:rsidR="00052EF5">
        <w:rPr>
          <w:rFonts w:cs="Arial"/>
        </w:rPr>
        <w:t>will accept service via email</w:t>
      </w:r>
      <w:r>
        <w:rPr>
          <w:rFonts w:cs="Arial"/>
        </w:rPr>
        <w:t>)</w:t>
      </w:r>
    </w:p>
    <w:p w14:paraId="46F3EC7A" w14:textId="77777777" w:rsidR="00C11A29" w:rsidRDefault="00C11A29" w:rsidP="00052EF5">
      <w:pPr>
        <w:rPr>
          <w:rFonts w:ascii="Arial Bold" w:hAnsi="Arial Bold" w:cs="Arial"/>
          <w:b/>
          <w:smallCaps/>
        </w:rPr>
      </w:pPr>
    </w:p>
    <w:p w14:paraId="75A27A6A" w14:textId="1BC09A80" w:rsidR="00052EF5" w:rsidRDefault="00052EF5" w:rsidP="00052EF5">
      <w:pPr>
        <w:rPr>
          <w:rFonts w:ascii="Arial Bold" w:hAnsi="Arial Bold" w:cs="Arial"/>
          <w:b/>
          <w:smallCaps/>
        </w:rPr>
      </w:pPr>
      <w:r w:rsidRPr="00652ECF">
        <w:rPr>
          <w:rFonts w:ascii="Arial Bold" w:hAnsi="Arial Bold" w:cs="Arial"/>
          <w:b/>
          <w:smallCaps/>
        </w:rPr>
        <w:t>On Behalf of Ohio Partners for Affordable Energy</w:t>
      </w:r>
    </w:p>
    <w:p w14:paraId="445D086D" w14:textId="77777777" w:rsidR="0022211A" w:rsidRDefault="0022211A" w:rsidP="0022211A">
      <w:pPr>
        <w:rPr>
          <w:rFonts w:ascii="Arial Bold" w:hAnsi="Arial Bold" w:cs="Arial"/>
          <w:b/>
          <w:smallCaps/>
        </w:rPr>
      </w:pPr>
    </w:p>
    <w:p w14:paraId="10FDC590" w14:textId="2708A040" w:rsidR="00107AD6" w:rsidRPr="00AD5C1F" w:rsidRDefault="0022211A" w:rsidP="0022211A">
      <w:pPr>
        <w:rPr>
          <w:rFonts w:cs="Arial"/>
        </w:rPr>
      </w:pPr>
      <w:r w:rsidRPr="00885D2B">
        <w:rPr>
          <w:rFonts w:cs="Arial"/>
        </w:rPr>
        <w:t>K</w:t>
      </w:r>
      <w:r w:rsidR="00107AD6" w:rsidRPr="00AD5C1F">
        <w:rPr>
          <w:rFonts w:cs="Arial"/>
        </w:rPr>
        <w:t xml:space="preserve">imberly W. Bojko </w:t>
      </w:r>
      <w:r w:rsidR="00C11A29">
        <w:rPr>
          <w:rFonts w:cs="Arial"/>
        </w:rPr>
        <w:t xml:space="preserve">(Reg. No. </w:t>
      </w:r>
      <w:r w:rsidR="00107AD6" w:rsidRPr="00AD5C1F">
        <w:rPr>
          <w:rFonts w:cs="Arial"/>
        </w:rPr>
        <w:t>0069402) (Counsel of Record)</w:t>
      </w:r>
    </w:p>
    <w:p w14:paraId="7290EC7E" w14:textId="012F5B1E" w:rsidR="00107AD6" w:rsidRPr="00AD5C1F" w:rsidRDefault="00107AD6" w:rsidP="00107AD6">
      <w:pPr>
        <w:rPr>
          <w:rFonts w:cs="Arial"/>
        </w:rPr>
      </w:pPr>
      <w:r w:rsidRPr="00AD5C1F">
        <w:rPr>
          <w:rFonts w:cs="Arial"/>
        </w:rPr>
        <w:t>James D. Perko, Jr. (</w:t>
      </w:r>
      <w:r w:rsidR="00C11A29">
        <w:rPr>
          <w:rFonts w:cs="Arial"/>
        </w:rPr>
        <w:t xml:space="preserve">Reg. No. </w:t>
      </w:r>
      <w:r w:rsidRPr="00AD5C1F">
        <w:rPr>
          <w:rFonts w:cs="Arial"/>
        </w:rPr>
        <w:t>0093312)</w:t>
      </w:r>
    </w:p>
    <w:p w14:paraId="3CCD8D0B" w14:textId="5A341E90" w:rsidR="00107AD6" w:rsidRPr="00AD5C1F" w:rsidRDefault="00107AD6" w:rsidP="00107AD6">
      <w:pPr>
        <w:rPr>
          <w:rFonts w:cs="Arial"/>
        </w:rPr>
      </w:pPr>
      <w:r w:rsidRPr="00AD5C1F">
        <w:rPr>
          <w:rFonts w:cs="Arial"/>
        </w:rPr>
        <w:t>Carpenter Lipps &amp; Leland LLP</w:t>
      </w:r>
    </w:p>
    <w:p w14:paraId="34A8AECC" w14:textId="44EC90C3" w:rsidR="00107AD6" w:rsidRPr="00AD5C1F" w:rsidRDefault="00107AD6" w:rsidP="00107AD6">
      <w:pPr>
        <w:rPr>
          <w:rFonts w:cs="Arial"/>
        </w:rPr>
      </w:pPr>
      <w:r w:rsidRPr="00AD5C1F">
        <w:rPr>
          <w:rFonts w:cs="Arial"/>
        </w:rPr>
        <w:t>280 Plaza, Suite 1300</w:t>
      </w:r>
    </w:p>
    <w:p w14:paraId="46468CBE" w14:textId="24A6479E" w:rsidR="00107AD6" w:rsidRPr="00AD5C1F" w:rsidRDefault="00107AD6" w:rsidP="00107AD6">
      <w:pPr>
        <w:rPr>
          <w:rFonts w:cs="Arial"/>
        </w:rPr>
      </w:pPr>
      <w:r w:rsidRPr="00AD5C1F">
        <w:rPr>
          <w:rFonts w:cs="Arial"/>
        </w:rPr>
        <w:t>280 North High Street</w:t>
      </w:r>
    </w:p>
    <w:p w14:paraId="1B923D8D" w14:textId="630167C6" w:rsidR="00107AD6" w:rsidRPr="00AD5C1F" w:rsidRDefault="00107AD6" w:rsidP="00107AD6">
      <w:pPr>
        <w:rPr>
          <w:rFonts w:cs="Arial"/>
        </w:rPr>
      </w:pPr>
      <w:r w:rsidRPr="00AD5C1F">
        <w:rPr>
          <w:rFonts w:cs="Arial"/>
        </w:rPr>
        <w:t>Columbus, Ohio 43215</w:t>
      </w:r>
    </w:p>
    <w:p w14:paraId="54500C9C" w14:textId="7FBC9504" w:rsidR="00107AD6" w:rsidRPr="00AD5C1F" w:rsidRDefault="00107AD6" w:rsidP="00107AD6">
      <w:pPr>
        <w:rPr>
          <w:rFonts w:cs="Arial"/>
        </w:rPr>
      </w:pPr>
      <w:r w:rsidRPr="00AD5C1F">
        <w:rPr>
          <w:rFonts w:cs="Arial"/>
        </w:rPr>
        <w:t>(614) 365-4100</w:t>
      </w:r>
    </w:p>
    <w:p w14:paraId="1E0093F7" w14:textId="1E76183E" w:rsidR="00107AD6" w:rsidRPr="00AD5C1F" w:rsidRDefault="00F34FE4" w:rsidP="00107AD6">
      <w:pPr>
        <w:rPr>
          <w:rFonts w:cs="Arial"/>
        </w:rPr>
      </w:pPr>
      <w:hyperlink r:id="rId11" w:history="1">
        <w:r w:rsidR="00107AD6" w:rsidRPr="00AD5C1F">
          <w:rPr>
            <w:rStyle w:val="Hyperlink"/>
            <w:rFonts w:cs="Arial"/>
          </w:rPr>
          <w:t>Bojko@carpenterlipps.com</w:t>
        </w:r>
      </w:hyperlink>
    </w:p>
    <w:p w14:paraId="173935A9" w14:textId="54589693" w:rsidR="00107AD6" w:rsidRPr="00AD5C1F" w:rsidRDefault="00F34FE4" w:rsidP="00107AD6">
      <w:pPr>
        <w:rPr>
          <w:rFonts w:cs="Arial"/>
        </w:rPr>
      </w:pPr>
      <w:hyperlink r:id="rId12" w:history="1">
        <w:r w:rsidR="00107AD6" w:rsidRPr="00AD5C1F">
          <w:rPr>
            <w:rStyle w:val="Hyperlink"/>
            <w:rFonts w:cs="Arial"/>
          </w:rPr>
          <w:t>Perko@carpenterlipps.com</w:t>
        </w:r>
      </w:hyperlink>
    </w:p>
    <w:p w14:paraId="08CC6073" w14:textId="15ECE89D" w:rsidR="00107AD6" w:rsidRPr="00AD5C1F" w:rsidRDefault="00107AD6" w:rsidP="00107AD6">
      <w:pPr>
        <w:rPr>
          <w:rFonts w:cs="Arial"/>
        </w:rPr>
      </w:pPr>
      <w:r w:rsidRPr="00AD5C1F">
        <w:rPr>
          <w:rFonts w:cs="Arial"/>
        </w:rPr>
        <w:t>(</w:t>
      </w:r>
      <w:r w:rsidR="00C60FE6" w:rsidRPr="00AD5C1F">
        <w:rPr>
          <w:rFonts w:cs="Arial"/>
        </w:rPr>
        <w:t xml:space="preserve">will </w:t>
      </w:r>
      <w:r w:rsidRPr="00AD5C1F">
        <w:rPr>
          <w:rFonts w:cs="Arial"/>
        </w:rPr>
        <w:t xml:space="preserve">accept service </w:t>
      </w:r>
      <w:r w:rsidR="00C11A29">
        <w:rPr>
          <w:rFonts w:cs="Arial"/>
        </w:rPr>
        <w:t>via</w:t>
      </w:r>
      <w:r w:rsidR="00C11A29" w:rsidRPr="00AD5C1F">
        <w:rPr>
          <w:rFonts w:cs="Arial"/>
        </w:rPr>
        <w:t xml:space="preserve"> </w:t>
      </w:r>
      <w:r w:rsidRPr="00AD5C1F">
        <w:rPr>
          <w:rFonts w:cs="Arial"/>
        </w:rPr>
        <w:t>email)</w:t>
      </w:r>
    </w:p>
    <w:p w14:paraId="0A4CA2BB" w14:textId="77777777" w:rsidR="00C11A29" w:rsidRDefault="00C11A29" w:rsidP="00107AD6">
      <w:pPr>
        <w:rPr>
          <w:rFonts w:ascii="Arial Bold" w:hAnsi="Arial Bold" w:cs="Arial"/>
          <w:b/>
          <w:smallCaps/>
        </w:rPr>
      </w:pPr>
    </w:p>
    <w:p w14:paraId="50348E75" w14:textId="54D55825" w:rsidR="00AD5C1F" w:rsidRPr="00AD5C1F" w:rsidRDefault="00AD5C1F" w:rsidP="00107AD6">
      <w:pPr>
        <w:rPr>
          <w:rFonts w:ascii="Arial Bold" w:hAnsi="Arial Bold"/>
          <w:b/>
          <w:smallCaps/>
        </w:rPr>
      </w:pPr>
      <w:r w:rsidRPr="00AD5C1F">
        <w:rPr>
          <w:rFonts w:ascii="Arial Bold" w:hAnsi="Arial Bold" w:cs="Arial"/>
          <w:b/>
          <w:smallCaps/>
        </w:rPr>
        <w:t>On Behalf of Ohio Manufacture</w:t>
      </w:r>
      <w:r w:rsidR="009547C0">
        <w:rPr>
          <w:rFonts w:ascii="Arial Bold" w:hAnsi="Arial Bold" w:cs="Arial"/>
          <w:b/>
          <w:smallCaps/>
        </w:rPr>
        <w:t>r</w:t>
      </w:r>
      <w:r w:rsidRPr="00AD5C1F">
        <w:rPr>
          <w:rFonts w:ascii="Arial Bold" w:hAnsi="Arial Bold" w:cs="Arial"/>
          <w:b/>
          <w:smallCaps/>
        </w:rPr>
        <w:t>s’ Association Energy Group</w:t>
      </w:r>
    </w:p>
    <w:p w14:paraId="3B7FE618" w14:textId="77777777" w:rsidR="00107AD6" w:rsidRPr="00652ECF" w:rsidRDefault="00107AD6" w:rsidP="00052EF5">
      <w:pPr>
        <w:rPr>
          <w:rFonts w:ascii="Arial Bold" w:hAnsi="Arial Bold" w:cs="Arial"/>
          <w:b/>
          <w:smallCaps/>
        </w:rPr>
      </w:pPr>
    </w:p>
    <w:p w14:paraId="006236E0" w14:textId="77777777" w:rsidR="00C11A29" w:rsidRDefault="00C11A29" w:rsidP="00C11A29">
      <w:pPr>
        <w:autoSpaceDE w:val="0"/>
        <w:autoSpaceDN w:val="0"/>
        <w:adjustRightInd w:val="0"/>
        <w:snapToGrid w:val="0"/>
        <w:jc w:val="left"/>
        <w:rPr>
          <w:rFonts w:ascii="Times-Roman" w:eastAsia="Times New Roman" w:hAnsi="Times-Roman" w:cs="Times-Roman"/>
          <w:color w:val="000000"/>
          <w:lang w:val="x-none"/>
        </w:rPr>
      </w:pPr>
      <w:r>
        <w:rPr>
          <w:rFonts w:ascii="Times-Roman" w:eastAsia="Times New Roman" w:hAnsi="Times-Roman" w:cs="Times-Roman"/>
          <w:color w:val="000000"/>
          <w:lang w:val="x-none"/>
        </w:rPr>
        <w:t>Angela Paul Whitfield (0068774) (Counsel of Record)</w:t>
      </w:r>
    </w:p>
    <w:p w14:paraId="52DFF1D6" w14:textId="77777777" w:rsidR="00C11A29" w:rsidRDefault="00C11A29" w:rsidP="00C11A29">
      <w:pPr>
        <w:autoSpaceDE w:val="0"/>
        <w:autoSpaceDN w:val="0"/>
        <w:adjustRightInd w:val="0"/>
        <w:snapToGrid w:val="0"/>
        <w:jc w:val="left"/>
        <w:rPr>
          <w:rFonts w:ascii="Times-Roman" w:eastAsia="Times New Roman" w:hAnsi="Times-Roman" w:cs="Times-Roman"/>
          <w:color w:val="000000"/>
          <w:lang w:val="x-none"/>
        </w:rPr>
      </w:pPr>
      <w:r>
        <w:rPr>
          <w:rFonts w:ascii="Times-Roman" w:eastAsia="Times New Roman" w:hAnsi="Times-Roman" w:cs="Times-Roman"/>
          <w:color w:val="000000"/>
          <w:lang w:val="x-none"/>
        </w:rPr>
        <w:t>Carpenter Lipps &amp; Leland LLP</w:t>
      </w:r>
    </w:p>
    <w:p w14:paraId="744D7D00" w14:textId="77777777" w:rsidR="00C11A29" w:rsidRDefault="00C11A29" w:rsidP="00C11A29">
      <w:pPr>
        <w:autoSpaceDE w:val="0"/>
        <w:autoSpaceDN w:val="0"/>
        <w:adjustRightInd w:val="0"/>
        <w:snapToGrid w:val="0"/>
        <w:jc w:val="left"/>
        <w:rPr>
          <w:rFonts w:ascii="Times-Roman" w:eastAsia="Times New Roman" w:hAnsi="Times-Roman" w:cs="Times-Roman"/>
          <w:color w:val="000000"/>
          <w:lang w:val="x-none"/>
        </w:rPr>
      </w:pPr>
      <w:r>
        <w:rPr>
          <w:rFonts w:ascii="Times-Roman" w:eastAsia="Times New Roman" w:hAnsi="Times-Roman" w:cs="Times-Roman"/>
          <w:color w:val="000000"/>
          <w:lang w:val="x-none"/>
        </w:rPr>
        <w:t>280 North High Street, Suite 1300</w:t>
      </w:r>
    </w:p>
    <w:p w14:paraId="5BC1648E" w14:textId="77777777" w:rsidR="00C11A29" w:rsidRDefault="00C11A29" w:rsidP="00C11A29">
      <w:pPr>
        <w:autoSpaceDE w:val="0"/>
        <w:autoSpaceDN w:val="0"/>
        <w:adjustRightInd w:val="0"/>
        <w:snapToGrid w:val="0"/>
        <w:jc w:val="left"/>
        <w:rPr>
          <w:rFonts w:ascii="Times-Roman" w:eastAsia="Times New Roman" w:hAnsi="Times-Roman" w:cs="Times-Roman"/>
          <w:color w:val="000000"/>
          <w:lang w:val="x-none"/>
        </w:rPr>
      </w:pPr>
      <w:r>
        <w:rPr>
          <w:rFonts w:ascii="Times-Roman" w:eastAsia="Times New Roman" w:hAnsi="Times-Roman" w:cs="Times-Roman"/>
          <w:color w:val="000000"/>
          <w:lang w:val="x-none"/>
        </w:rPr>
        <w:lastRenderedPageBreak/>
        <w:t>Columbus, Ohio 43215</w:t>
      </w:r>
    </w:p>
    <w:p w14:paraId="253B89A8" w14:textId="77777777" w:rsidR="00C11A29" w:rsidRDefault="00C11A29" w:rsidP="00C11A29">
      <w:pPr>
        <w:autoSpaceDE w:val="0"/>
        <w:autoSpaceDN w:val="0"/>
        <w:adjustRightInd w:val="0"/>
        <w:snapToGrid w:val="0"/>
        <w:jc w:val="left"/>
        <w:rPr>
          <w:rFonts w:ascii="Times-Roman" w:eastAsia="Times New Roman" w:hAnsi="Times-Roman" w:cs="Times-Roman"/>
          <w:color w:val="000000"/>
          <w:lang w:val="x-none"/>
        </w:rPr>
      </w:pPr>
      <w:r>
        <w:rPr>
          <w:rFonts w:ascii="Times-Roman" w:eastAsia="Times New Roman" w:hAnsi="Times-Roman" w:cs="Times-Roman"/>
          <w:color w:val="000000"/>
          <w:lang w:val="x-none"/>
        </w:rPr>
        <w:t>Telephone: (614) 365-4100</w:t>
      </w:r>
    </w:p>
    <w:p w14:paraId="781CC559" w14:textId="77777777" w:rsidR="00C11A29" w:rsidRDefault="00C11A29" w:rsidP="00C11A29">
      <w:pPr>
        <w:autoSpaceDE w:val="0"/>
        <w:autoSpaceDN w:val="0"/>
        <w:adjustRightInd w:val="0"/>
        <w:snapToGrid w:val="0"/>
        <w:jc w:val="left"/>
        <w:rPr>
          <w:rFonts w:ascii="Times-Roman" w:eastAsia="Times New Roman" w:hAnsi="Times-Roman" w:cs="Times-Roman"/>
          <w:color w:val="0000FF"/>
          <w:lang w:val="x-none"/>
        </w:rPr>
      </w:pPr>
      <w:r>
        <w:rPr>
          <w:rFonts w:ascii="Times-Roman" w:eastAsia="Times New Roman" w:hAnsi="Times-Roman" w:cs="Times-Roman"/>
          <w:color w:val="000000"/>
          <w:lang w:val="x-none"/>
        </w:rPr>
        <w:t xml:space="preserve">Email: </w:t>
      </w:r>
      <w:r>
        <w:rPr>
          <w:rFonts w:ascii="Times-Roman" w:eastAsia="Times New Roman" w:hAnsi="Times-Roman" w:cs="Times-Roman"/>
          <w:color w:val="0000FF"/>
          <w:lang w:val="x-none"/>
        </w:rPr>
        <w:t>paul@carpenterlipps.com</w:t>
      </w:r>
    </w:p>
    <w:p w14:paraId="02CBE6F0" w14:textId="3B32E0CC" w:rsidR="00C11A29" w:rsidRDefault="00C11A29" w:rsidP="00C11A29">
      <w:pPr>
        <w:autoSpaceDE w:val="0"/>
        <w:autoSpaceDN w:val="0"/>
        <w:adjustRightInd w:val="0"/>
        <w:snapToGrid w:val="0"/>
        <w:jc w:val="left"/>
        <w:rPr>
          <w:rFonts w:ascii="Times-Roman" w:eastAsia="Times New Roman" w:hAnsi="Times-Roman" w:cs="Times-Roman"/>
          <w:color w:val="000000"/>
          <w:lang w:val="x-none"/>
        </w:rPr>
      </w:pPr>
      <w:r>
        <w:rPr>
          <w:rFonts w:ascii="Times-Roman" w:eastAsia="Times New Roman" w:hAnsi="Times-Roman" w:cs="Times-Roman"/>
          <w:color w:val="000000"/>
          <w:lang w:val="x-none"/>
        </w:rPr>
        <w:t>(</w:t>
      </w:r>
      <w:r>
        <w:rPr>
          <w:rFonts w:ascii="Times-Roman" w:eastAsia="Times New Roman" w:hAnsi="Times-Roman" w:cs="Times-Roman"/>
          <w:color w:val="000000"/>
        </w:rPr>
        <w:t xml:space="preserve">will </w:t>
      </w:r>
      <w:r>
        <w:rPr>
          <w:rFonts w:ascii="Times-Roman" w:eastAsia="Times New Roman" w:hAnsi="Times-Roman" w:cs="Times-Roman"/>
          <w:color w:val="000000"/>
          <w:lang w:val="x-none"/>
        </w:rPr>
        <w:t xml:space="preserve">accept service </w:t>
      </w:r>
      <w:r>
        <w:rPr>
          <w:rFonts w:ascii="Times-Roman" w:eastAsia="Times New Roman" w:hAnsi="Times-Roman" w:cs="Times-Roman"/>
          <w:color w:val="000000"/>
        </w:rPr>
        <w:t>via</w:t>
      </w:r>
      <w:r>
        <w:rPr>
          <w:rFonts w:ascii="Times-Roman" w:eastAsia="Times New Roman" w:hAnsi="Times-Roman" w:cs="Times-Roman"/>
          <w:color w:val="000000"/>
          <w:lang w:val="x-none"/>
        </w:rPr>
        <w:t xml:space="preserve"> email)</w:t>
      </w:r>
    </w:p>
    <w:p w14:paraId="29E6CA74" w14:textId="77777777" w:rsidR="00C11A29" w:rsidRDefault="00C11A29" w:rsidP="00C11A29">
      <w:pPr>
        <w:autoSpaceDE w:val="0"/>
        <w:autoSpaceDN w:val="0"/>
        <w:adjustRightInd w:val="0"/>
        <w:snapToGrid w:val="0"/>
        <w:jc w:val="left"/>
        <w:rPr>
          <w:rFonts w:ascii="Times-Roman" w:eastAsia="Times New Roman" w:hAnsi="Times-Roman" w:cs="Times-Roman"/>
          <w:color w:val="000000"/>
          <w:lang w:val="x-none"/>
        </w:rPr>
      </w:pPr>
    </w:p>
    <w:p w14:paraId="6367458D" w14:textId="7FA93AC1" w:rsidR="00C11A29" w:rsidRPr="00885D2B" w:rsidRDefault="00C11A29" w:rsidP="00C11A29">
      <w:pPr>
        <w:autoSpaceDE w:val="0"/>
        <w:autoSpaceDN w:val="0"/>
        <w:adjustRightInd w:val="0"/>
        <w:snapToGrid w:val="0"/>
        <w:jc w:val="left"/>
        <w:rPr>
          <w:rFonts w:eastAsia="Times New Roman" w:cs="Arial"/>
          <w:b/>
          <w:smallCaps/>
          <w:color w:val="000000"/>
          <w:lang w:val="x-none"/>
        </w:rPr>
      </w:pPr>
      <w:r>
        <w:rPr>
          <w:rFonts w:eastAsia="Times New Roman" w:cs="Arial"/>
          <w:b/>
          <w:smallCaps/>
          <w:color w:val="000000"/>
        </w:rPr>
        <w:t>On Behalf of</w:t>
      </w:r>
      <w:r w:rsidRPr="00885D2B">
        <w:rPr>
          <w:rFonts w:eastAsia="Times New Roman" w:cs="Arial"/>
          <w:b/>
          <w:smallCaps/>
          <w:color w:val="000000"/>
          <w:lang w:val="x-none"/>
        </w:rPr>
        <w:t xml:space="preserve"> The Kroger Co.</w:t>
      </w:r>
    </w:p>
    <w:p w14:paraId="678A2412" w14:textId="6B07B7EB" w:rsidR="00A72395" w:rsidRPr="00885D2B" w:rsidRDefault="00A72395" w:rsidP="00BC1116">
      <w:pPr>
        <w:jc w:val="left"/>
        <w:rPr>
          <w:rFonts w:cs="Arial"/>
        </w:rPr>
      </w:pPr>
    </w:p>
    <w:p w14:paraId="22279F65" w14:textId="77777777" w:rsidR="00A72395" w:rsidRDefault="00A72395" w:rsidP="00BC1116">
      <w:pPr>
        <w:jc w:val="left"/>
        <w:rPr>
          <w:rFonts w:cs="Arial"/>
          <w:b/>
          <w:smallCaps/>
          <w:color w:val="000000"/>
        </w:rPr>
        <w:sectPr w:rsidR="00A72395">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pgNumType w:start="1"/>
          <w:cols w:space="720"/>
          <w:titlePg/>
          <w:docGrid w:linePitch="360"/>
        </w:sectPr>
      </w:pPr>
    </w:p>
    <w:p w14:paraId="2FE0AED6" w14:textId="77777777" w:rsidR="0056245F" w:rsidRDefault="0056245F" w:rsidP="0056245F">
      <w:pPr>
        <w:pStyle w:val="TOCHeading"/>
      </w:pPr>
      <w:bookmarkStart w:id="1" w:name="TOCHeading_1"/>
      <w:r>
        <w:lastRenderedPageBreak/>
        <w:t>TABLE OF CONTENTS</w:t>
      </w:r>
    </w:p>
    <w:p w14:paraId="23F271AF" w14:textId="77777777" w:rsidR="0056245F" w:rsidRDefault="0056245F" w:rsidP="0056245F">
      <w:pPr>
        <w:pStyle w:val="TOCPage"/>
      </w:pPr>
      <w:bookmarkStart w:id="2" w:name="TOCPage_1"/>
      <w:bookmarkEnd w:id="1"/>
      <w:r>
        <w:t>Page</w:t>
      </w:r>
    </w:p>
    <w:bookmarkEnd w:id="2"/>
    <w:p w14:paraId="663CB63D" w14:textId="5C5B2D5E" w:rsidR="0056245F" w:rsidRDefault="0056245F" w:rsidP="0056245F">
      <w:pPr>
        <w:pStyle w:val="TOC1"/>
        <w:tabs>
          <w:tab w:val="right" w:leader="dot" w:pos="9360"/>
        </w:tabs>
        <w:rPr>
          <w:rFonts w:asciiTheme="minorHAnsi" w:eastAsiaTheme="minorEastAsia" w:hAnsiTheme="minorHAnsi"/>
          <w:noProof/>
          <w:sz w:val="22"/>
          <w:szCs w:val="22"/>
        </w:rPr>
      </w:pPr>
      <w:r>
        <w:fldChar w:fldCharType="begin"/>
      </w:r>
      <w:r>
        <w:instrText xml:space="preserve"> TOC \t "Heading 1,1,Heading 2,2,Heading 3,3,Heading 4,4" </w:instrText>
      </w:r>
      <w:r>
        <w:fldChar w:fldCharType="separate"/>
      </w:r>
      <w:bookmarkStart w:id="3" w:name="TOCLocation_1"/>
      <w:r w:rsidRPr="00B17625">
        <w:rPr>
          <w:noProof/>
          <w:color w:val="010000"/>
        </w:rPr>
        <w:t>I.</w:t>
      </w:r>
      <w:r>
        <w:rPr>
          <w:rFonts w:asciiTheme="minorHAnsi" w:eastAsiaTheme="minorEastAsia" w:hAnsiTheme="minorHAnsi"/>
          <w:noProof/>
          <w:sz w:val="22"/>
          <w:szCs w:val="22"/>
        </w:rPr>
        <w:tab/>
      </w:r>
      <w:r w:rsidRPr="005A6FC3">
        <w:rPr>
          <w:caps/>
          <w:noProof/>
        </w:rPr>
        <w:t>Introduction</w:t>
      </w:r>
      <w:r>
        <w:rPr>
          <w:noProof/>
        </w:rPr>
        <w:tab/>
      </w:r>
      <w:r>
        <w:rPr>
          <w:noProof/>
        </w:rPr>
        <w:fldChar w:fldCharType="begin"/>
      </w:r>
      <w:r>
        <w:rPr>
          <w:noProof/>
        </w:rPr>
        <w:instrText xml:space="preserve"> PAGEREF _Toc482013091 \h </w:instrText>
      </w:r>
      <w:r>
        <w:rPr>
          <w:noProof/>
        </w:rPr>
      </w:r>
      <w:r>
        <w:rPr>
          <w:noProof/>
        </w:rPr>
        <w:fldChar w:fldCharType="separate"/>
      </w:r>
      <w:r w:rsidR="000E2345">
        <w:rPr>
          <w:noProof/>
        </w:rPr>
        <w:t>7</w:t>
      </w:r>
      <w:r>
        <w:rPr>
          <w:noProof/>
        </w:rPr>
        <w:fldChar w:fldCharType="end"/>
      </w:r>
    </w:p>
    <w:p w14:paraId="42282BBC" w14:textId="5BF7070E" w:rsidR="0056245F" w:rsidRPr="005A6FC3" w:rsidRDefault="0056245F" w:rsidP="0056245F">
      <w:pPr>
        <w:pStyle w:val="TOC1"/>
        <w:tabs>
          <w:tab w:val="right" w:leader="dot" w:pos="9360"/>
        </w:tabs>
        <w:rPr>
          <w:rFonts w:asciiTheme="minorHAnsi" w:eastAsiaTheme="minorEastAsia" w:hAnsiTheme="minorHAnsi"/>
          <w:caps/>
          <w:noProof/>
          <w:sz w:val="22"/>
          <w:szCs w:val="22"/>
        </w:rPr>
      </w:pPr>
      <w:r w:rsidRPr="00B17625">
        <w:rPr>
          <w:noProof/>
          <w:color w:val="010000"/>
        </w:rPr>
        <w:t>II.</w:t>
      </w:r>
      <w:r>
        <w:rPr>
          <w:rFonts w:asciiTheme="minorHAnsi" w:eastAsiaTheme="minorEastAsia" w:hAnsiTheme="minorHAnsi"/>
          <w:noProof/>
          <w:sz w:val="22"/>
          <w:szCs w:val="22"/>
        </w:rPr>
        <w:tab/>
      </w:r>
      <w:r w:rsidRPr="005A6FC3">
        <w:rPr>
          <w:caps/>
          <w:noProof/>
        </w:rPr>
        <w:t>Duke Has Repackaged its Rejected Request for Above-Market Generation-Related Wholesale Costs</w:t>
      </w:r>
      <w:r w:rsidRPr="005A6FC3">
        <w:rPr>
          <w:caps/>
          <w:noProof/>
        </w:rPr>
        <w:tab/>
      </w:r>
      <w:r w:rsidRPr="005A6FC3">
        <w:rPr>
          <w:caps/>
          <w:noProof/>
        </w:rPr>
        <w:fldChar w:fldCharType="begin"/>
      </w:r>
      <w:r w:rsidRPr="005A6FC3">
        <w:rPr>
          <w:caps/>
          <w:noProof/>
        </w:rPr>
        <w:instrText xml:space="preserve"> PAGEREF _Toc482013092 \h </w:instrText>
      </w:r>
      <w:r w:rsidRPr="005A6FC3">
        <w:rPr>
          <w:caps/>
          <w:noProof/>
        </w:rPr>
      </w:r>
      <w:r w:rsidRPr="005A6FC3">
        <w:rPr>
          <w:caps/>
          <w:noProof/>
        </w:rPr>
        <w:fldChar w:fldCharType="separate"/>
      </w:r>
      <w:r w:rsidR="000E2345">
        <w:rPr>
          <w:caps/>
          <w:noProof/>
        </w:rPr>
        <w:t>8</w:t>
      </w:r>
      <w:r w:rsidRPr="005A6FC3">
        <w:rPr>
          <w:caps/>
          <w:noProof/>
        </w:rPr>
        <w:fldChar w:fldCharType="end"/>
      </w:r>
    </w:p>
    <w:p w14:paraId="1A22A284" w14:textId="78B79B97" w:rsidR="0056245F" w:rsidRPr="005A6FC3" w:rsidRDefault="0056245F" w:rsidP="0056245F">
      <w:pPr>
        <w:pStyle w:val="TOC1"/>
        <w:tabs>
          <w:tab w:val="right" w:leader="dot" w:pos="9360"/>
        </w:tabs>
        <w:rPr>
          <w:rFonts w:asciiTheme="minorHAnsi" w:eastAsiaTheme="minorEastAsia" w:hAnsiTheme="minorHAnsi"/>
          <w:caps/>
          <w:noProof/>
          <w:sz w:val="22"/>
          <w:szCs w:val="22"/>
        </w:rPr>
      </w:pPr>
      <w:r w:rsidRPr="005A6FC3">
        <w:rPr>
          <w:caps/>
          <w:noProof/>
          <w:color w:val="010000"/>
        </w:rPr>
        <w:t>III.</w:t>
      </w:r>
      <w:r w:rsidRPr="005A6FC3">
        <w:rPr>
          <w:rFonts w:asciiTheme="minorHAnsi" w:eastAsiaTheme="minorEastAsia" w:hAnsiTheme="minorHAnsi"/>
          <w:caps/>
          <w:noProof/>
          <w:sz w:val="22"/>
          <w:szCs w:val="22"/>
        </w:rPr>
        <w:tab/>
      </w:r>
      <w:r w:rsidRPr="005A6FC3">
        <w:rPr>
          <w:caps/>
          <w:noProof/>
        </w:rPr>
        <w:t>The Commission should dismiss an application when the application and supporting materials demonstrate that the Commission is without authority to grant the relief requested</w:t>
      </w:r>
      <w:r w:rsidRPr="005A6FC3">
        <w:rPr>
          <w:caps/>
          <w:noProof/>
        </w:rPr>
        <w:tab/>
      </w:r>
      <w:r w:rsidRPr="005A6FC3">
        <w:rPr>
          <w:caps/>
          <w:noProof/>
        </w:rPr>
        <w:fldChar w:fldCharType="begin"/>
      </w:r>
      <w:r w:rsidRPr="005A6FC3">
        <w:rPr>
          <w:caps/>
          <w:noProof/>
        </w:rPr>
        <w:instrText xml:space="preserve"> PAGEREF _Toc482013093 \h </w:instrText>
      </w:r>
      <w:r w:rsidRPr="005A6FC3">
        <w:rPr>
          <w:caps/>
          <w:noProof/>
        </w:rPr>
      </w:r>
      <w:r w:rsidRPr="005A6FC3">
        <w:rPr>
          <w:caps/>
          <w:noProof/>
        </w:rPr>
        <w:fldChar w:fldCharType="separate"/>
      </w:r>
      <w:r w:rsidR="000E2345">
        <w:rPr>
          <w:caps/>
          <w:noProof/>
        </w:rPr>
        <w:t>10</w:t>
      </w:r>
      <w:r w:rsidRPr="005A6FC3">
        <w:rPr>
          <w:caps/>
          <w:noProof/>
        </w:rPr>
        <w:fldChar w:fldCharType="end"/>
      </w:r>
    </w:p>
    <w:p w14:paraId="3DC165EA" w14:textId="3A2B1075" w:rsidR="0056245F" w:rsidRDefault="0056245F" w:rsidP="0056245F">
      <w:pPr>
        <w:pStyle w:val="TOC1"/>
        <w:tabs>
          <w:tab w:val="right" w:leader="dot" w:pos="9360"/>
        </w:tabs>
        <w:rPr>
          <w:rFonts w:asciiTheme="minorHAnsi" w:eastAsiaTheme="minorEastAsia" w:hAnsiTheme="minorHAnsi"/>
          <w:noProof/>
          <w:sz w:val="22"/>
          <w:szCs w:val="22"/>
        </w:rPr>
      </w:pPr>
      <w:r w:rsidRPr="005A6FC3">
        <w:rPr>
          <w:caps/>
          <w:noProof/>
          <w:color w:val="010000"/>
        </w:rPr>
        <w:t>IV.</w:t>
      </w:r>
      <w:r w:rsidRPr="005A6FC3">
        <w:rPr>
          <w:rFonts w:asciiTheme="minorHAnsi" w:eastAsiaTheme="minorEastAsia" w:hAnsiTheme="minorHAnsi"/>
          <w:caps/>
          <w:noProof/>
          <w:sz w:val="22"/>
          <w:szCs w:val="22"/>
        </w:rPr>
        <w:tab/>
      </w:r>
      <w:r w:rsidRPr="005A6FC3">
        <w:rPr>
          <w:caps/>
          <w:noProof/>
        </w:rPr>
        <w:t>Duke’s Application should be dismissed because the Commission lacks authority under state and federal law to grant the relief requested</w:t>
      </w:r>
      <w:r>
        <w:rPr>
          <w:noProof/>
        </w:rPr>
        <w:tab/>
      </w:r>
      <w:r>
        <w:rPr>
          <w:noProof/>
        </w:rPr>
        <w:fldChar w:fldCharType="begin"/>
      </w:r>
      <w:r>
        <w:rPr>
          <w:noProof/>
        </w:rPr>
        <w:instrText xml:space="preserve"> PAGEREF _Toc482013094 \h </w:instrText>
      </w:r>
      <w:r>
        <w:rPr>
          <w:noProof/>
        </w:rPr>
      </w:r>
      <w:r>
        <w:rPr>
          <w:noProof/>
        </w:rPr>
        <w:fldChar w:fldCharType="separate"/>
      </w:r>
      <w:r w:rsidR="000E2345">
        <w:rPr>
          <w:noProof/>
        </w:rPr>
        <w:t>13</w:t>
      </w:r>
      <w:r>
        <w:rPr>
          <w:noProof/>
        </w:rPr>
        <w:fldChar w:fldCharType="end"/>
      </w:r>
    </w:p>
    <w:p w14:paraId="3F6F922E" w14:textId="5D6C15DB" w:rsidR="0056245F" w:rsidRDefault="0056245F" w:rsidP="0056245F">
      <w:pPr>
        <w:pStyle w:val="TOC2"/>
        <w:rPr>
          <w:rFonts w:asciiTheme="minorHAnsi" w:eastAsiaTheme="minorEastAsia" w:hAnsiTheme="minorHAnsi"/>
          <w:noProof/>
          <w:sz w:val="22"/>
          <w:szCs w:val="22"/>
        </w:rPr>
      </w:pPr>
      <w:r w:rsidRPr="00B17625">
        <w:rPr>
          <w:noProof/>
          <w:color w:val="010000"/>
        </w:rPr>
        <w:t>A.</w:t>
      </w:r>
      <w:r>
        <w:rPr>
          <w:rFonts w:asciiTheme="minorHAnsi" w:eastAsiaTheme="minorEastAsia" w:hAnsiTheme="minorHAnsi"/>
          <w:noProof/>
          <w:sz w:val="22"/>
          <w:szCs w:val="22"/>
        </w:rPr>
        <w:tab/>
      </w:r>
      <w:r>
        <w:rPr>
          <w:noProof/>
        </w:rPr>
        <w:t>The Commission is without authority to establish a mechanism for the recovery of Duke’s above-market generation-related wholesale costs of OVEC</w:t>
      </w:r>
      <w:r>
        <w:rPr>
          <w:noProof/>
        </w:rPr>
        <w:tab/>
      </w:r>
      <w:r>
        <w:rPr>
          <w:noProof/>
        </w:rPr>
        <w:fldChar w:fldCharType="begin"/>
      </w:r>
      <w:r>
        <w:rPr>
          <w:noProof/>
        </w:rPr>
        <w:instrText xml:space="preserve"> PAGEREF _Toc482013095 \h </w:instrText>
      </w:r>
      <w:r>
        <w:rPr>
          <w:noProof/>
        </w:rPr>
      </w:r>
      <w:r>
        <w:rPr>
          <w:noProof/>
        </w:rPr>
        <w:fldChar w:fldCharType="separate"/>
      </w:r>
      <w:r w:rsidR="000E2345">
        <w:rPr>
          <w:noProof/>
        </w:rPr>
        <w:t>14</w:t>
      </w:r>
      <w:r>
        <w:rPr>
          <w:noProof/>
        </w:rPr>
        <w:fldChar w:fldCharType="end"/>
      </w:r>
    </w:p>
    <w:p w14:paraId="3647D630" w14:textId="152D374E" w:rsidR="0056245F" w:rsidRDefault="0056245F" w:rsidP="005A6FC3">
      <w:pPr>
        <w:pStyle w:val="TOC3"/>
        <w:tabs>
          <w:tab w:val="right" w:leader="dot" w:pos="9360"/>
        </w:tabs>
        <w:rPr>
          <w:rFonts w:asciiTheme="minorHAnsi" w:eastAsiaTheme="minorEastAsia" w:hAnsiTheme="minorHAnsi"/>
          <w:noProof/>
          <w:sz w:val="22"/>
          <w:szCs w:val="22"/>
        </w:rPr>
      </w:pPr>
      <w:r w:rsidRPr="00B17625">
        <w:rPr>
          <w:noProof/>
          <w:color w:val="010000"/>
        </w:rPr>
        <w:t>1.</w:t>
      </w:r>
      <w:r>
        <w:rPr>
          <w:rFonts w:asciiTheme="minorHAnsi" w:eastAsiaTheme="minorEastAsia" w:hAnsiTheme="minorHAnsi"/>
          <w:noProof/>
          <w:sz w:val="22"/>
          <w:szCs w:val="22"/>
        </w:rPr>
        <w:tab/>
      </w:r>
      <w:r>
        <w:rPr>
          <w:noProof/>
        </w:rPr>
        <w:t>The general jurisdiction and traditional rate setting statutes do not extend the Commission’s jurisdiction to the pricing of wholesa</w:t>
      </w:r>
      <w:r w:rsidR="005A6FC3">
        <w:rPr>
          <w:noProof/>
        </w:rPr>
        <w:t>le electric generation services</w:t>
      </w:r>
      <w:r w:rsidR="005A6FC3">
        <w:rPr>
          <w:noProof/>
        </w:rPr>
        <w:tab/>
      </w:r>
      <w:r>
        <w:rPr>
          <w:noProof/>
        </w:rPr>
        <w:fldChar w:fldCharType="begin"/>
      </w:r>
      <w:r>
        <w:rPr>
          <w:noProof/>
        </w:rPr>
        <w:instrText xml:space="preserve"> PAGEREF _Toc482013096 \h </w:instrText>
      </w:r>
      <w:r>
        <w:rPr>
          <w:noProof/>
        </w:rPr>
      </w:r>
      <w:r>
        <w:rPr>
          <w:noProof/>
        </w:rPr>
        <w:fldChar w:fldCharType="separate"/>
      </w:r>
      <w:r w:rsidR="000E2345">
        <w:rPr>
          <w:noProof/>
        </w:rPr>
        <w:t>14</w:t>
      </w:r>
      <w:r>
        <w:rPr>
          <w:noProof/>
        </w:rPr>
        <w:fldChar w:fldCharType="end"/>
      </w:r>
    </w:p>
    <w:p w14:paraId="7CF0C35B" w14:textId="1C2B8ADE" w:rsidR="0056245F" w:rsidRDefault="0056245F" w:rsidP="005A6FC3">
      <w:pPr>
        <w:pStyle w:val="TOC3"/>
        <w:tabs>
          <w:tab w:val="right" w:leader="dot" w:pos="9360"/>
        </w:tabs>
        <w:rPr>
          <w:rFonts w:asciiTheme="minorHAnsi" w:eastAsiaTheme="minorEastAsia" w:hAnsiTheme="minorHAnsi"/>
          <w:noProof/>
          <w:sz w:val="22"/>
          <w:szCs w:val="22"/>
        </w:rPr>
      </w:pPr>
      <w:r w:rsidRPr="00B17625">
        <w:rPr>
          <w:noProof/>
          <w:color w:val="010000"/>
        </w:rPr>
        <w:t>2.</w:t>
      </w:r>
      <w:r>
        <w:rPr>
          <w:rFonts w:asciiTheme="minorHAnsi" w:eastAsiaTheme="minorEastAsia" w:hAnsiTheme="minorHAnsi"/>
          <w:noProof/>
          <w:sz w:val="22"/>
          <w:szCs w:val="22"/>
        </w:rPr>
        <w:tab/>
      </w:r>
      <w:r>
        <w:rPr>
          <w:noProof/>
        </w:rPr>
        <w:t xml:space="preserve">The Commission’s assertion of jurisdiction to price capacity service of AEP-Ohio does not provide a rationale for the Commission to assert jurisdiction to protect Duke from the </w:t>
      </w:r>
      <w:r w:rsidR="005A6FC3">
        <w:rPr>
          <w:noProof/>
        </w:rPr>
        <w:t>losses it incurs under the ICPA</w:t>
      </w:r>
      <w:r w:rsidR="005A6FC3">
        <w:rPr>
          <w:noProof/>
        </w:rPr>
        <w:tab/>
      </w:r>
      <w:r>
        <w:rPr>
          <w:noProof/>
        </w:rPr>
        <w:fldChar w:fldCharType="begin"/>
      </w:r>
      <w:r>
        <w:rPr>
          <w:noProof/>
        </w:rPr>
        <w:instrText xml:space="preserve"> PAGEREF _Toc482013097 \h </w:instrText>
      </w:r>
      <w:r>
        <w:rPr>
          <w:noProof/>
        </w:rPr>
      </w:r>
      <w:r>
        <w:rPr>
          <w:noProof/>
        </w:rPr>
        <w:fldChar w:fldCharType="separate"/>
      </w:r>
      <w:r w:rsidR="000E2345">
        <w:rPr>
          <w:noProof/>
        </w:rPr>
        <w:t>16</w:t>
      </w:r>
      <w:r>
        <w:rPr>
          <w:noProof/>
        </w:rPr>
        <w:fldChar w:fldCharType="end"/>
      </w:r>
    </w:p>
    <w:p w14:paraId="3B8364AF" w14:textId="088630B5" w:rsidR="0056245F" w:rsidRDefault="0056245F" w:rsidP="005A6FC3">
      <w:pPr>
        <w:pStyle w:val="TOC3"/>
        <w:tabs>
          <w:tab w:val="right" w:leader="dot" w:pos="9360"/>
        </w:tabs>
        <w:rPr>
          <w:rFonts w:asciiTheme="minorHAnsi" w:eastAsiaTheme="minorEastAsia" w:hAnsiTheme="minorHAnsi"/>
          <w:noProof/>
          <w:sz w:val="22"/>
          <w:szCs w:val="22"/>
        </w:rPr>
      </w:pPr>
      <w:r w:rsidRPr="00B17625">
        <w:rPr>
          <w:noProof/>
          <w:color w:val="010000"/>
        </w:rPr>
        <w:t>3.</w:t>
      </w:r>
      <w:r>
        <w:rPr>
          <w:rFonts w:asciiTheme="minorHAnsi" w:eastAsiaTheme="minorEastAsia" w:hAnsiTheme="minorHAnsi"/>
          <w:noProof/>
          <w:sz w:val="22"/>
          <w:szCs w:val="22"/>
        </w:rPr>
        <w:tab/>
      </w:r>
      <w:r>
        <w:rPr>
          <w:noProof/>
        </w:rPr>
        <w:t xml:space="preserve">Duke’s Application fails to demonstrate a basis for the Commission to assert jurisdiction to increase Duke’s compensation to cover </w:t>
      </w:r>
      <w:r w:rsidR="005A6FC3">
        <w:rPr>
          <w:noProof/>
        </w:rPr>
        <w:t>its losses associated with OVEC</w:t>
      </w:r>
      <w:r w:rsidR="005A6FC3">
        <w:rPr>
          <w:noProof/>
        </w:rPr>
        <w:tab/>
      </w:r>
      <w:r>
        <w:rPr>
          <w:noProof/>
        </w:rPr>
        <w:fldChar w:fldCharType="begin"/>
      </w:r>
      <w:r>
        <w:rPr>
          <w:noProof/>
        </w:rPr>
        <w:instrText xml:space="preserve"> PAGEREF _Toc482013098 \h </w:instrText>
      </w:r>
      <w:r>
        <w:rPr>
          <w:noProof/>
        </w:rPr>
      </w:r>
      <w:r>
        <w:rPr>
          <w:noProof/>
        </w:rPr>
        <w:fldChar w:fldCharType="separate"/>
      </w:r>
      <w:r w:rsidR="000E2345">
        <w:rPr>
          <w:noProof/>
        </w:rPr>
        <w:t>18</w:t>
      </w:r>
      <w:r>
        <w:rPr>
          <w:noProof/>
        </w:rPr>
        <w:fldChar w:fldCharType="end"/>
      </w:r>
    </w:p>
    <w:p w14:paraId="3ABA5355" w14:textId="73970C85" w:rsidR="0056245F" w:rsidRDefault="0056245F" w:rsidP="0056245F">
      <w:pPr>
        <w:pStyle w:val="TOC2"/>
        <w:rPr>
          <w:rFonts w:asciiTheme="minorHAnsi" w:eastAsiaTheme="minorEastAsia" w:hAnsiTheme="minorHAnsi"/>
          <w:noProof/>
          <w:sz w:val="22"/>
          <w:szCs w:val="22"/>
        </w:rPr>
      </w:pPr>
      <w:r w:rsidRPr="00B17625">
        <w:rPr>
          <w:noProof/>
          <w:color w:val="010000"/>
        </w:rPr>
        <w:t>B.</w:t>
      </w:r>
      <w:r>
        <w:rPr>
          <w:rFonts w:asciiTheme="minorHAnsi" w:eastAsiaTheme="minorEastAsia" w:hAnsiTheme="minorHAnsi"/>
          <w:noProof/>
          <w:sz w:val="22"/>
          <w:szCs w:val="22"/>
        </w:rPr>
        <w:tab/>
      </w:r>
      <w:r>
        <w:rPr>
          <w:noProof/>
        </w:rPr>
        <w:t>The Commission is without authority under its general jurisdiction or its traditional rate making authority to establish a recovery mechanism for a service that has been declared competitive</w:t>
      </w:r>
      <w:r>
        <w:rPr>
          <w:noProof/>
        </w:rPr>
        <w:tab/>
      </w:r>
      <w:r>
        <w:rPr>
          <w:noProof/>
        </w:rPr>
        <w:fldChar w:fldCharType="begin"/>
      </w:r>
      <w:r>
        <w:rPr>
          <w:noProof/>
        </w:rPr>
        <w:instrText xml:space="preserve"> PAGEREF _Toc482013099 \h </w:instrText>
      </w:r>
      <w:r>
        <w:rPr>
          <w:noProof/>
        </w:rPr>
      </w:r>
      <w:r>
        <w:rPr>
          <w:noProof/>
        </w:rPr>
        <w:fldChar w:fldCharType="separate"/>
      </w:r>
      <w:r w:rsidR="000E2345">
        <w:rPr>
          <w:noProof/>
        </w:rPr>
        <w:t>18</w:t>
      </w:r>
      <w:r>
        <w:rPr>
          <w:noProof/>
        </w:rPr>
        <w:fldChar w:fldCharType="end"/>
      </w:r>
    </w:p>
    <w:p w14:paraId="191BC1D7" w14:textId="0EDA905D" w:rsidR="0056245F" w:rsidRDefault="0056245F" w:rsidP="0056245F">
      <w:pPr>
        <w:pStyle w:val="TOC2"/>
        <w:rPr>
          <w:rFonts w:asciiTheme="minorHAnsi" w:eastAsiaTheme="minorEastAsia" w:hAnsiTheme="minorHAnsi"/>
          <w:noProof/>
          <w:sz w:val="22"/>
          <w:szCs w:val="22"/>
        </w:rPr>
      </w:pPr>
      <w:r w:rsidRPr="00B17625">
        <w:rPr>
          <w:noProof/>
          <w:color w:val="010000"/>
        </w:rPr>
        <w:t>C.</w:t>
      </w:r>
      <w:r>
        <w:rPr>
          <w:rFonts w:asciiTheme="minorHAnsi" w:eastAsiaTheme="minorEastAsia" w:hAnsiTheme="minorHAnsi"/>
          <w:noProof/>
          <w:sz w:val="22"/>
          <w:szCs w:val="22"/>
        </w:rPr>
        <w:tab/>
      </w:r>
      <w:r>
        <w:rPr>
          <w:noProof/>
        </w:rPr>
        <w:t>The Commission is without authority to authorize transition revenue or its equivalent</w:t>
      </w:r>
      <w:r>
        <w:rPr>
          <w:noProof/>
        </w:rPr>
        <w:tab/>
      </w:r>
      <w:r>
        <w:rPr>
          <w:noProof/>
        </w:rPr>
        <w:fldChar w:fldCharType="begin"/>
      </w:r>
      <w:r>
        <w:rPr>
          <w:noProof/>
        </w:rPr>
        <w:instrText xml:space="preserve"> PAGEREF _Toc482013100 \h </w:instrText>
      </w:r>
      <w:r>
        <w:rPr>
          <w:noProof/>
        </w:rPr>
      </w:r>
      <w:r>
        <w:rPr>
          <w:noProof/>
        </w:rPr>
        <w:fldChar w:fldCharType="separate"/>
      </w:r>
      <w:r w:rsidR="000E2345">
        <w:rPr>
          <w:noProof/>
        </w:rPr>
        <w:t>21</w:t>
      </w:r>
      <w:r>
        <w:rPr>
          <w:noProof/>
        </w:rPr>
        <w:fldChar w:fldCharType="end"/>
      </w:r>
    </w:p>
    <w:p w14:paraId="58E82667" w14:textId="617BD97F" w:rsidR="0056245F" w:rsidRDefault="0056245F" w:rsidP="0056245F">
      <w:pPr>
        <w:pStyle w:val="TOC2"/>
        <w:rPr>
          <w:rFonts w:asciiTheme="minorHAnsi" w:eastAsiaTheme="minorEastAsia" w:hAnsiTheme="minorHAnsi"/>
          <w:noProof/>
          <w:sz w:val="22"/>
          <w:szCs w:val="22"/>
        </w:rPr>
      </w:pPr>
      <w:r w:rsidRPr="00B17625">
        <w:rPr>
          <w:rFonts w:eastAsia="Calibri" w:cs="Times New Roman"/>
          <w:noProof/>
          <w:color w:val="010000"/>
        </w:rPr>
        <w:t>D.</w:t>
      </w:r>
      <w:r>
        <w:rPr>
          <w:rFonts w:asciiTheme="minorHAnsi" w:eastAsiaTheme="minorEastAsia" w:hAnsiTheme="minorHAnsi"/>
          <w:noProof/>
          <w:sz w:val="22"/>
          <w:szCs w:val="22"/>
        </w:rPr>
        <w:tab/>
      </w:r>
      <w:r w:rsidRPr="00B17625">
        <w:rPr>
          <w:noProof/>
        </w:rPr>
        <w:t>The Commission is prohibited from authorizing Duke to recover an anticompetitive subsidy or generation-related revenue through a distribution-like rate in violation of R.C. 4928.02(H)</w:t>
      </w:r>
      <w:r>
        <w:rPr>
          <w:noProof/>
        </w:rPr>
        <w:tab/>
      </w:r>
      <w:r>
        <w:rPr>
          <w:noProof/>
        </w:rPr>
        <w:fldChar w:fldCharType="begin"/>
      </w:r>
      <w:r>
        <w:rPr>
          <w:noProof/>
        </w:rPr>
        <w:instrText xml:space="preserve"> PAGEREF _Toc482013101 \h </w:instrText>
      </w:r>
      <w:r>
        <w:rPr>
          <w:noProof/>
        </w:rPr>
      </w:r>
      <w:r>
        <w:rPr>
          <w:noProof/>
        </w:rPr>
        <w:fldChar w:fldCharType="separate"/>
      </w:r>
      <w:r w:rsidR="000E2345">
        <w:rPr>
          <w:noProof/>
        </w:rPr>
        <w:t>23</w:t>
      </w:r>
      <w:r>
        <w:rPr>
          <w:noProof/>
        </w:rPr>
        <w:fldChar w:fldCharType="end"/>
      </w:r>
    </w:p>
    <w:p w14:paraId="5D161A54" w14:textId="148AC4DF" w:rsidR="0056245F" w:rsidRDefault="0056245F" w:rsidP="0056245F">
      <w:pPr>
        <w:pStyle w:val="TOC2"/>
        <w:rPr>
          <w:rFonts w:asciiTheme="minorHAnsi" w:eastAsiaTheme="minorEastAsia" w:hAnsiTheme="minorHAnsi"/>
          <w:noProof/>
          <w:sz w:val="22"/>
          <w:szCs w:val="22"/>
        </w:rPr>
      </w:pPr>
      <w:r w:rsidRPr="00B17625">
        <w:rPr>
          <w:noProof/>
          <w:color w:val="010000"/>
        </w:rPr>
        <w:t>E.</w:t>
      </w:r>
      <w:r>
        <w:rPr>
          <w:rFonts w:asciiTheme="minorHAnsi" w:eastAsiaTheme="minorEastAsia" w:hAnsiTheme="minorHAnsi"/>
          <w:noProof/>
          <w:sz w:val="22"/>
          <w:szCs w:val="22"/>
        </w:rPr>
        <w:tab/>
      </w:r>
      <w:r>
        <w:rPr>
          <w:noProof/>
        </w:rPr>
        <w:t>A Commission order authorizing a wholesale rate other than that approved by FERC is preempted by federal law</w:t>
      </w:r>
      <w:r>
        <w:rPr>
          <w:noProof/>
        </w:rPr>
        <w:tab/>
      </w:r>
      <w:r>
        <w:rPr>
          <w:noProof/>
        </w:rPr>
        <w:fldChar w:fldCharType="begin"/>
      </w:r>
      <w:r>
        <w:rPr>
          <w:noProof/>
        </w:rPr>
        <w:instrText xml:space="preserve"> PAGEREF _Toc482013102 \h </w:instrText>
      </w:r>
      <w:r>
        <w:rPr>
          <w:noProof/>
        </w:rPr>
      </w:r>
      <w:r>
        <w:rPr>
          <w:noProof/>
        </w:rPr>
        <w:fldChar w:fldCharType="separate"/>
      </w:r>
      <w:r w:rsidR="000E2345">
        <w:rPr>
          <w:noProof/>
        </w:rPr>
        <w:t>25</w:t>
      </w:r>
      <w:r>
        <w:rPr>
          <w:noProof/>
        </w:rPr>
        <w:fldChar w:fldCharType="end"/>
      </w:r>
    </w:p>
    <w:p w14:paraId="33FCEB59" w14:textId="23529334" w:rsidR="0056245F" w:rsidRDefault="0056245F" w:rsidP="0056245F">
      <w:pPr>
        <w:pStyle w:val="TOC2"/>
        <w:rPr>
          <w:rFonts w:asciiTheme="minorHAnsi" w:eastAsiaTheme="minorEastAsia" w:hAnsiTheme="minorHAnsi"/>
          <w:noProof/>
          <w:sz w:val="22"/>
          <w:szCs w:val="22"/>
        </w:rPr>
      </w:pPr>
      <w:r w:rsidRPr="00B17625">
        <w:rPr>
          <w:noProof/>
          <w:color w:val="010000"/>
        </w:rPr>
        <w:t>F.</w:t>
      </w:r>
      <w:r>
        <w:rPr>
          <w:rFonts w:asciiTheme="minorHAnsi" w:eastAsiaTheme="minorEastAsia" w:hAnsiTheme="minorHAnsi"/>
          <w:noProof/>
          <w:sz w:val="22"/>
          <w:szCs w:val="22"/>
        </w:rPr>
        <w:tab/>
      </w:r>
      <w:r>
        <w:rPr>
          <w:noProof/>
        </w:rPr>
        <w:t xml:space="preserve">Duke seeks an untimely rehearing of the </w:t>
      </w:r>
      <w:r w:rsidRPr="00B17625">
        <w:rPr>
          <w:i/>
          <w:noProof/>
        </w:rPr>
        <w:t>Duke ESP III</w:t>
      </w:r>
      <w:r>
        <w:rPr>
          <w:noProof/>
        </w:rPr>
        <w:t xml:space="preserve"> Opinion and Order</w:t>
      </w:r>
      <w:r>
        <w:rPr>
          <w:noProof/>
        </w:rPr>
        <w:tab/>
      </w:r>
      <w:r>
        <w:rPr>
          <w:noProof/>
        </w:rPr>
        <w:fldChar w:fldCharType="begin"/>
      </w:r>
      <w:r>
        <w:rPr>
          <w:noProof/>
        </w:rPr>
        <w:instrText xml:space="preserve"> PAGEREF _Toc482013103 \h </w:instrText>
      </w:r>
      <w:r>
        <w:rPr>
          <w:noProof/>
        </w:rPr>
      </w:r>
      <w:r>
        <w:rPr>
          <w:noProof/>
        </w:rPr>
        <w:fldChar w:fldCharType="separate"/>
      </w:r>
      <w:r w:rsidR="000E2345">
        <w:rPr>
          <w:noProof/>
        </w:rPr>
        <w:t>27</w:t>
      </w:r>
      <w:r>
        <w:rPr>
          <w:noProof/>
        </w:rPr>
        <w:fldChar w:fldCharType="end"/>
      </w:r>
    </w:p>
    <w:p w14:paraId="08DD7F37" w14:textId="6003E61F" w:rsidR="0056245F" w:rsidRDefault="0056245F" w:rsidP="0056245F">
      <w:pPr>
        <w:pStyle w:val="TOC2"/>
        <w:rPr>
          <w:rFonts w:asciiTheme="minorHAnsi" w:eastAsiaTheme="minorEastAsia" w:hAnsiTheme="minorHAnsi"/>
          <w:noProof/>
          <w:sz w:val="22"/>
          <w:szCs w:val="22"/>
        </w:rPr>
      </w:pPr>
      <w:r w:rsidRPr="00B17625">
        <w:rPr>
          <w:noProof/>
          <w:color w:val="010000"/>
        </w:rPr>
        <w:lastRenderedPageBreak/>
        <w:t>G.</w:t>
      </w:r>
      <w:r>
        <w:rPr>
          <w:rFonts w:asciiTheme="minorHAnsi" w:eastAsiaTheme="minorEastAsia" w:hAnsiTheme="minorHAnsi"/>
          <w:noProof/>
          <w:sz w:val="22"/>
          <w:szCs w:val="22"/>
        </w:rPr>
        <w:tab/>
      </w:r>
      <w:r>
        <w:rPr>
          <w:noProof/>
        </w:rPr>
        <w:t>Because the Application and supporting materials fail to demonstrate a basis for relief from the Commission, the Commission should dismiss the Application</w:t>
      </w:r>
      <w:r>
        <w:rPr>
          <w:noProof/>
        </w:rPr>
        <w:tab/>
      </w:r>
      <w:r>
        <w:rPr>
          <w:noProof/>
        </w:rPr>
        <w:fldChar w:fldCharType="begin"/>
      </w:r>
      <w:r>
        <w:rPr>
          <w:noProof/>
        </w:rPr>
        <w:instrText xml:space="preserve"> PAGEREF _Toc482013104 \h </w:instrText>
      </w:r>
      <w:r>
        <w:rPr>
          <w:noProof/>
        </w:rPr>
      </w:r>
      <w:r>
        <w:rPr>
          <w:noProof/>
        </w:rPr>
        <w:fldChar w:fldCharType="separate"/>
      </w:r>
      <w:r w:rsidR="000E2345">
        <w:rPr>
          <w:noProof/>
        </w:rPr>
        <w:t>29</w:t>
      </w:r>
      <w:r>
        <w:rPr>
          <w:noProof/>
        </w:rPr>
        <w:fldChar w:fldCharType="end"/>
      </w:r>
    </w:p>
    <w:p w14:paraId="34661834" w14:textId="6C30F5EB" w:rsidR="0056245F" w:rsidRPr="005A6FC3" w:rsidRDefault="0056245F" w:rsidP="005A6FC3">
      <w:pPr>
        <w:pStyle w:val="TOC1"/>
        <w:tabs>
          <w:tab w:val="right" w:leader="dot" w:pos="9360"/>
        </w:tabs>
        <w:rPr>
          <w:rFonts w:asciiTheme="minorHAnsi" w:eastAsiaTheme="minorEastAsia" w:hAnsiTheme="minorHAnsi"/>
          <w:caps/>
          <w:noProof/>
          <w:sz w:val="22"/>
          <w:szCs w:val="22"/>
        </w:rPr>
      </w:pPr>
      <w:r w:rsidRPr="00B17625">
        <w:rPr>
          <w:noProof/>
          <w:color w:val="010000"/>
        </w:rPr>
        <w:t>V.</w:t>
      </w:r>
      <w:r>
        <w:rPr>
          <w:rFonts w:asciiTheme="minorHAnsi" w:eastAsiaTheme="minorEastAsia" w:hAnsiTheme="minorHAnsi"/>
          <w:noProof/>
          <w:sz w:val="22"/>
          <w:szCs w:val="22"/>
        </w:rPr>
        <w:tab/>
      </w:r>
      <w:r w:rsidRPr="005A6FC3">
        <w:rPr>
          <w:caps/>
          <w:noProof/>
        </w:rPr>
        <w:t xml:space="preserve">Duke’s Application should be stayed until the Commission and the Supreme Court of Ohio have reviewed the Commission’s order authorizing </w:t>
      </w:r>
      <w:r w:rsidR="005A6FC3" w:rsidRPr="005A6FC3">
        <w:rPr>
          <w:caps/>
          <w:noProof/>
        </w:rPr>
        <w:t>the PSR as a term of Duke’s ESP</w:t>
      </w:r>
      <w:r w:rsidR="005A6FC3" w:rsidRPr="005A6FC3">
        <w:rPr>
          <w:caps/>
          <w:noProof/>
        </w:rPr>
        <w:tab/>
      </w:r>
      <w:r w:rsidRPr="005A6FC3">
        <w:rPr>
          <w:caps/>
          <w:noProof/>
        </w:rPr>
        <w:fldChar w:fldCharType="begin"/>
      </w:r>
      <w:r w:rsidRPr="005A6FC3">
        <w:rPr>
          <w:caps/>
          <w:noProof/>
        </w:rPr>
        <w:instrText xml:space="preserve"> PAGEREF _Toc482013105 \h </w:instrText>
      </w:r>
      <w:r w:rsidRPr="005A6FC3">
        <w:rPr>
          <w:caps/>
          <w:noProof/>
        </w:rPr>
      </w:r>
      <w:r w:rsidRPr="005A6FC3">
        <w:rPr>
          <w:caps/>
          <w:noProof/>
        </w:rPr>
        <w:fldChar w:fldCharType="separate"/>
      </w:r>
      <w:r w:rsidR="000E2345">
        <w:rPr>
          <w:caps/>
          <w:noProof/>
        </w:rPr>
        <w:t>30</w:t>
      </w:r>
      <w:r w:rsidRPr="005A6FC3">
        <w:rPr>
          <w:caps/>
          <w:noProof/>
        </w:rPr>
        <w:fldChar w:fldCharType="end"/>
      </w:r>
    </w:p>
    <w:p w14:paraId="4BBB57B6" w14:textId="041CC86F" w:rsidR="0056245F" w:rsidRDefault="0056245F" w:rsidP="005A6FC3">
      <w:pPr>
        <w:pStyle w:val="TOC1"/>
        <w:tabs>
          <w:tab w:val="right" w:leader="dot" w:pos="9360"/>
        </w:tabs>
        <w:rPr>
          <w:rFonts w:asciiTheme="minorHAnsi" w:eastAsiaTheme="minorEastAsia" w:hAnsiTheme="minorHAnsi"/>
          <w:noProof/>
          <w:sz w:val="22"/>
          <w:szCs w:val="22"/>
        </w:rPr>
      </w:pPr>
      <w:r w:rsidRPr="005A6FC3">
        <w:rPr>
          <w:caps/>
          <w:noProof/>
          <w:color w:val="010000"/>
        </w:rPr>
        <w:t>VI.</w:t>
      </w:r>
      <w:r w:rsidRPr="005A6FC3">
        <w:rPr>
          <w:rFonts w:asciiTheme="minorHAnsi" w:eastAsiaTheme="minorEastAsia" w:hAnsiTheme="minorHAnsi"/>
          <w:caps/>
          <w:noProof/>
          <w:sz w:val="22"/>
          <w:szCs w:val="22"/>
        </w:rPr>
        <w:tab/>
      </w:r>
      <w:r w:rsidR="005A6FC3" w:rsidRPr="005A6FC3">
        <w:rPr>
          <w:caps/>
          <w:noProof/>
        </w:rPr>
        <w:t>Conclusion</w:t>
      </w:r>
      <w:r w:rsidR="005A6FC3">
        <w:rPr>
          <w:noProof/>
        </w:rPr>
        <w:tab/>
      </w:r>
      <w:r>
        <w:rPr>
          <w:noProof/>
        </w:rPr>
        <w:fldChar w:fldCharType="begin"/>
      </w:r>
      <w:r>
        <w:rPr>
          <w:noProof/>
        </w:rPr>
        <w:instrText xml:space="preserve"> PAGEREF _Toc482013106 \h </w:instrText>
      </w:r>
      <w:r>
        <w:rPr>
          <w:noProof/>
        </w:rPr>
      </w:r>
      <w:r>
        <w:rPr>
          <w:noProof/>
        </w:rPr>
        <w:fldChar w:fldCharType="separate"/>
      </w:r>
      <w:r w:rsidR="000E2345">
        <w:rPr>
          <w:noProof/>
        </w:rPr>
        <w:t>32</w:t>
      </w:r>
      <w:r>
        <w:rPr>
          <w:noProof/>
        </w:rPr>
        <w:fldChar w:fldCharType="end"/>
      </w:r>
    </w:p>
    <w:bookmarkEnd w:id="3"/>
    <w:p w14:paraId="4733C93C" w14:textId="77777777" w:rsidR="0056245F" w:rsidRDefault="0056245F" w:rsidP="0056245F">
      <w:pPr>
        <w:tabs>
          <w:tab w:val="left" w:pos="8640"/>
        </w:tabs>
        <w:sectPr w:rsidR="0056245F" w:rsidSect="0056245F">
          <w:pgSz w:w="12240" w:h="15840"/>
          <w:pgMar w:top="1440" w:right="1440" w:bottom="1440" w:left="1440" w:header="720" w:footer="720" w:gutter="0"/>
          <w:pgNumType w:fmt="lowerRoman" w:start="1"/>
          <w:cols w:space="720"/>
          <w:titlePg/>
          <w:docGrid w:linePitch="326"/>
        </w:sectPr>
      </w:pPr>
      <w:r>
        <w:fldChar w:fldCharType="end"/>
      </w:r>
    </w:p>
    <w:p w14:paraId="336E23CC" w14:textId="7936D26E" w:rsidR="0056245F" w:rsidRDefault="0056245F" w:rsidP="0056245F"/>
    <w:p w14:paraId="4EB1FA54" w14:textId="569F2C2A" w:rsidR="0056245F" w:rsidRDefault="0056245F" w:rsidP="0056245F"/>
    <w:p w14:paraId="36C4795D" w14:textId="73D1B24C" w:rsidR="00116A68" w:rsidRPr="0024187C" w:rsidRDefault="00116A68" w:rsidP="00116A68">
      <w:pPr>
        <w:jc w:val="center"/>
        <w:rPr>
          <w:b/>
        </w:rPr>
      </w:pPr>
      <w:r w:rsidRPr="0024187C">
        <w:rPr>
          <w:b/>
        </w:rPr>
        <w:t>BEFORE</w:t>
      </w:r>
    </w:p>
    <w:p w14:paraId="2A70C8AB" w14:textId="77777777" w:rsidR="00116A68" w:rsidRPr="0024187C" w:rsidRDefault="00116A68" w:rsidP="00116A68">
      <w:pPr>
        <w:jc w:val="center"/>
        <w:rPr>
          <w:b/>
        </w:rPr>
      </w:pPr>
      <w:r w:rsidRPr="0024187C">
        <w:rPr>
          <w:b/>
        </w:rPr>
        <w:t>THE PUBLIC UTILITIES COMMISSION OF OHIO</w:t>
      </w:r>
    </w:p>
    <w:p w14:paraId="43CF0078" w14:textId="77777777" w:rsidR="00116A68" w:rsidRPr="0024187C" w:rsidRDefault="00116A68" w:rsidP="00116A68">
      <w:pPr>
        <w:jc w:val="center"/>
        <w:rPr>
          <w:b/>
        </w:rPr>
      </w:pPr>
    </w:p>
    <w:p w14:paraId="7751C5D8" w14:textId="77777777" w:rsidR="00116A68" w:rsidRPr="0024187C" w:rsidRDefault="00116A68" w:rsidP="00116A68">
      <w:pPr>
        <w:jc w:val="center"/>
        <w:rPr>
          <w:b/>
        </w:rPr>
      </w:pPr>
    </w:p>
    <w:p w14:paraId="171FEFE6" w14:textId="77777777" w:rsidR="00116A68" w:rsidRPr="0024187C" w:rsidRDefault="00116A68" w:rsidP="00116A68">
      <w:pPr>
        <w:tabs>
          <w:tab w:val="left" w:pos="4680"/>
        </w:tabs>
        <w:jc w:val="left"/>
      </w:pPr>
      <w:r w:rsidRPr="0024187C">
        <w:t>In the Matter of the Application of Duke</w:t>
      </w:r>
      <w:r w:rsidRPr="0024187C">
        <w:tab/>
        <w:t>)</w:t>
      </w:r>
    </w:p>
    <w:p w14:paraId="3F430AEB" w14:textId="77777777" w:rsidR="00116A68" w:rsidRPr="0024187C" w:rsidRDefault="00116A68" w:rsidP="00116A68">
      <w:pPr>
        <w:tabs>
          <w:tab w:val="left" w:pos="4680"/>
        </w:tabs>
        <w:jc w:val="left"/>
      </w:pPr>
      <w:r w:rsidRPr="0024187C">
        <w:t>Energy Ohio, Inc., for Approval to Modify</w:t>
      </w:r>
      <w:r w:rsidRPr="0024187C">
        <w:tab/>
        <w:t>)</w:t>
      </w:r>
      <w:r w:rsidRPr="0024187C">
        <w:tab/>
      </w:r>
      <w:r w:rsidRPr="0024187C">
        <w:tab/>
        <w:t>Case No. 17-872-EL-RDR</w:t>
      </w:r>
    </w:p>
    <w:p w14:paraId="0A06B456" w14:textId="77777777" w:rsidR="00116A68" w:rsidRPr="0024187C" w:rsidRDefault="00116A68" w:rsidP="00116A68">
      <w:pPr>
        <w:tabs>
          <w:tab w:val="left" w:pos="4680"/>
        </w:tabs>
        <w:jc w:val="left"/>
      </w:pPr>
      <w:r w:rsidRPr="0024187C">
        <w:t>Rider PSR.</w:t>
      </w:r>
      <w:r w:rsidRPr="0024187C">
        <w:tab/>
        <w:t>)</w:t>
      </w:r>
    </w:p>
    <w:p w14:paraId="3E410E59" w14:textId="77777777" w:rsidR="00116A68" w:rsidRPr="0024187C" w:rsidRDefault="00116A68" w:rsidP="00116A68">
      <w:pPr>
        <w:tabs>
          <w:tab w:val="left" w:pos="4680"/>
        </w:tabs>
        <w:jc w:val="left"/>
      </w:pPr>
    </w:p>
    <w:p w14:paraId="60D054A1" w14:textId="77777777" w:rsidR="00116A68" w:rsidRPr="0024187C" w:rsidRDefault="00116A68" w:rsidP="00116A68">
      <w:pPr>
        <w:tabs>
          <w:tab w:val="left" w:pos="4680"/>
        </w:tabs>
        <w:jc w:val="left"/>
      </w:pPr>
      <w:r w:rsidRPr="0024187C">
        <w:t>In the Matter of the Application of Duke</w:t>
      </w:r>
      <w:r w:rsidRPr="0024187C">
        <w:tab/>
        <w:t>)</w:t>
      </w:r>
    </w:p>
    <w:p w14:paraId="334B9EB3" w14:textId="77777777" w:rsidR="00116A68" w:rsidRPr="0024187C" w:rsidRDefault="00116A68" w:rsidP="00116A68">
      <w:pPr>
        <w:tabs>
          <w:tab w:val="left" w:pos="4680"/>
        </w:tabs>
        <w:jc w:val="left"/>
      </w:pPr>
      <w:r w:rsidRPr="0024187C">
        <w:t>Energy Ohio, Inc., for Approval to Amend</w:t>
      </w:r>
      <w:r w:rsidRPr="0024187C">
        <w:tab/>
        <w:t>)</w:t>
      </w:r>
      <w:r w:rsidRPr="0024187C">
        <w:tab/>
      </w:r>
      <w:r w:rsidRPr="0024187C">
        <w:tab/>
        <w:t>Case No. 17-873-EL-ATA</w:t>
      </w:r>
    </w:p>
    <w:p w14:paraId="7713F651" w14:textId="77777777" w:rsidR="00116A68" w:rsidRPr="0024187C" w:rsidRDefault="00116A68" w:rsidP="00116A68">
      <w:pPr>
        <w:tabs>
          <w:tab w:val="left" w:pos="4680"/>
        </w:tabs>
        <w:jc w:val="left"/>
      </w:pPr>
      <w:r w:rsidRPr="0024187C">
        <w:t>Rider PSR.</w:t>
      </w:r>
      <w:r w:rsidRPr="0024187C">
        <w:tab/>
        <w:t>)</w:t>
      </w:r>
    </w:p>
    <w:p w14:paraId="53DD7198" w14:textId="77777777" w:rsidR="00116A68" w:rsidRPr="0024187C" w:rsidRDefault="00116A68" w:rsidP="00116A68">
      <w:pPr>
        <w:tabs>
          <w:tab w:val="left" w:pos="4680"/>
        </w:tabs>
        <w:jc w:val="left"/>
      </w:pPr>
    </w:p>
    <w:p w14:paraId="715BAAE8" w14:textId="77777777" w:rsidR="00116A68" w:rsidRPr="0024187C" w:rsidRDefault="00116A68" w:rsidP="00116A68">
      <w:pPr>
        <w:tabs>
          <w:tab w:val="left" w:pos="4680"/>
        </w:tabs>
        <w:jc w:val="left"/>
      </w:pPr>
      <w:r w:rsidRPr="0024187C">
        <w:t>In the Matter of the Application of Duke</w:t>
      </w:r>
      <w:r w:rsidRPr="0024187C">
        <w:tab/>
        <w:t>)</w:t>
      </w:r>
    </w:p>
    <w:p w14:paraId="64B88C8D" w14:textId="77777777" w:rsidR="00116A68" w:rsidRPr="0024187C" w:rsidRDefault="00116A68" w:rsidP="00116A68">
      <w:pPr>
        <w:tabs>
          <w:tab w:val="left" w:pos="4680"/>
        </w:tabs>
        <w:jc w:val="left"/>
      </w:pPr>
      <w:r w:rsidRPr="0024187C">
        <w:t>Energy Ohio, Inc., for Approval to Change</w:t>
      </w:r>
      <w:r w:rsidRPr="0024187C">
        <w:tab/>
        <w:t>)</w:t>
      </w:r>
      <w:r w:rsidRPr="0024187C">
        <w:tab/>
      </w:r>
      <w:r w:rsidRPr="0024187C">
        <w:tab/>
        <w:t>Case No. 17-874-EL-AAM</w:t>
      </w:r>
    </w:p>
    <w:p w14:paraId="16F4EA3F" w14:textId="77777777" w:rsidR="00116A68" w:rsidRPr="0024187C" w:rsidRDefault="00116A68" w:rsidP="00116A68">
      <w:pPr>
        <w:tabs>
          <w:tab w:val="left" w:pos="4680"/>
        </w:tabs>
        <w:jc w:val="left"/>
      </w:pPr>
      <w:r w:rsidRPr="0024187C">
        <w:t>Accounting Methods.</w:t>
      </w:r>
      <w:r w:rsidRPr="0024187C">
        <w:tab/>
        <w:t>)</w:t>
      </w:r>
    </w:p>
    <w:p w14:paraId="4CCB3160" w14:textId="77777777" w:rsidR="00116A68" w:rsidRPr="0024187C" w:rsidRDefault="00116A68" w:rsidP="00116A68">
      <w:pPr>
        <w:tabs>
          <w:tab w:val="left" w:pos="4680"/>
        </w:tabs>
        <w:jc w:val="left"/>
      </w:pPr>
    </w:p>
    <w:p w14:paraId="2A321C73" w14:textId="77777777" w:rsidR="00116A68" w:rsidRPr="0024187C" w:rsidRDefault="00116A68" w:rsidP="00116A68">
      <w:pPr>
        <w:jc w:val="left"/>
        <w:rPr>
          <w:b/>
        </w:rPr>
      </w:pPr>
      <w:r w:rsidRPr="0024187C">
        <w:rPr>
          <w:b/>
        </w:rPr>
        <w:t>______________________________________________________________________</w:t>
      </w:r>
    </w:p>
    <w:p w14:paraId="5F7A22D2" w14:textId="77777777" w:rsidR="00116A68" w:rsidRPr="0024187C" w:rsidRDefault="00116A68" w:rsidP="00116A68">
      <w:pPr>
        <w:jc w:val="left"/>
        <w:rPr>
          <w:b/>
        </w:rPr>
      </w:pPr>
    </w:p>
    <w:p w14:paraId="3FB5FD2D" w14:textId="17FB3C5F" w:rsidR="0099466F" w:rsidRDefault="0099466F" w:rsidP="0099466F">
      <w:pPr>
        <w:jc w:val="center"/>
        <w:rPr>
          <w:rFonts w:ascii="Arial Bold" w:hAnsi="Arial Bold"/>
          <w:b/>
          <w:smallCaps/>
          <w:sz w:val="28"/>
          <w:szCs w:val="28"/>
        </w:rPr>
      </w:pPr>
      <w:r>
        <w:rPr>
          <w:rFonts w:ascii="Arial Bold" w:hAnsi="Arial Bold"/>
          <w:b/>
          <w:smallCaps/>
          <w:sz w:val="28"/>
          <w:szCs w:val="28"/>
        </w:rPr>
        <w:t xml:space="preserve">Motions of Industrial Energy Users-Ohio, the Office of the Ohio Consumers’ Counsel, Ohio Partners for Affordable Energy, </w:t>
      </w:r>
      <w:r w:rsidR="00D437D5">
        <w:rPr>
          <w:rFonts w:ascii="Arial Bold" w:hAnsi="Arial Bold"/>
          <w:b/>
          <w:smallCaps/>
          <w:sz w:val="28"/>
          <w:szCs w:val="28"/>
        </w:rPr>
        <w:t xml:space="preserve">The Kroger Co., </w:t>
      </w:r>
      <w:r>
        <w:rPr>
          <w:rFonts w:ascii="Arial Bold" w:hAnsi="Arial Bold"/>
          <w:b/>
          <w:smallCaps/>
          <w:sz w:val="28"/>
          <w:szCs w:val="28"/>
        </w:rPr>
        <w:t>and Ohio Manufacturers</w:t>
      </w:r>
      <w:r w:rsidR="005F05F4">
        <w:rPr>
          <w:rFonts w:ascii="Arial Bold" w:hAnsi="Arial Bold"/>
          <w:b/>
          <w:smallCaps/>
          <w:sz w:val="28"/>
          <w:szCs w:val="28"/>
        </w:rPr>
        <w:t>’ Association</w:t>
      </w:r>
      <w:r>
        <w:rPr>
          <w:rFonts w:ascii="Arial Bold" w:hAnsi="Arial Bold"/>
          <w:b/>
          <w:smallCaps/>
          <w:sz w:val="28"/>
          <w:szCs w:val="28"/>
        </w:rPr>
        <w:t xml:space="preserve"> Energy Group for an Order Dismissing the Application or in the Alternative </w:t>
      </w:r>
      <w:r w:rsidR="00454532">
        <w:rPr>
          <w:rFonts w:ascii="Arial Bold" w:hAnsi="Arial Bold"/>
          <w:b/>
          <w:smallCaps/>
          <w:sz w:val="28"/>
          <w:szCs w:val="28"/>
        </w:rPr>
        <w:t>staying</w:t>
      </w:r>
      <w:r>
        <w:rPr>
          <w:rFonts w:ascii="Arial Bold" w:hAnsi="Arial Bold"/>
          <w:b/>
          <w:smallCaps/>
          <w:sz w:val="28"/>
          <w:szCs w:val="28"/>
        </w:rPr>
        <w:t xml:space="preserve"> the Proceeding</w:t>
      </w:r>
    </w:p>
    <w:p w14:paraId="0F19B6DF" w14:textId="77777777" w:rsidR="00116A68" w:rsidRPr="0024187C" w:rsidRDefault="00116A68" w:rsidP="00116A68">
      <w:pPr>
        <w:jc w:val="left"/>
        <w:rPr>
          <w:b/>
        </w:rPr>
      </w:pPr>
      <w:r w:rsidRPr="0024187C">
        <w:rPr>
          <w:b/>
        </w:rPr>
        <w:t>______________________________________________________________________</w:t>
      </w:r>
    </w:p>
    <w:p w14:paraId="6889307F" w14:textId="77777777" w:rsidR="00116A68" w:rsidRPr="0024187C" w:rsidRDefault="00116A68" w:rsidP="00116A68">
      <w:pPr>
        <w:jc w:val="left"/>
      </w:pPr>
    </w:p>
    <w:p w14:paraId="72166DC5" w14:textId="77777777" w:rsidR="00525CF5" w:rsidRDefault="00525CF5" w:rsidP="00525CF5"/>
    <w:p w14:paraId="617E2583" w14:textId="531C98D0" w:rsidR="00525CF5" w:rsidRDefault="00525CF5" w:rsidP="00525CF5">
      <w:pPr>
        <w:spacing w:line="480" w:lineRule="auto"/>
      </w:pPr>
      <w:r>
        <w:tab/>
      </w:r>
      <w:r w:rsidR="009A28FB">
        <w:t>Under Rule 4901-1-12, Ohio Administrative Code (“O.A.C.”)</w:t>
      </w:r>
      <w:r w:rsidR="00E141B1">
        <w:t xml:space="preserve">, </w:t>
      </w:r>
      <w:r>
        <w:t>Industrial Energy Users-Ohio (“IEU-Ohio</w:t>
      </w:r>
      <w:r w:rsidRPr="00AC1A40">
        <w:t>”)</w:t>
      </w:r>
      <w:r w:rsidR="00AC1A40" w:rsidRPr="00AC1A40">
        <w:t xml:space="preserve">, the Office of the Ohio Consumers’ Counsel (“OCC”), Ohio Partners for Affordable Energy (“OPAE”), </w:t>
      </w:r>
      <w:r w:rsidR="00D437D5">
        <w:t>The Kroger Co.</w:t>
      </w:r>
      <w:r w:rsidR="00885D2B">
        <w:t xml:space="preserve"> </w:t>
      </w:r>
      <w:r w:rsidR="00D437D5">
        <w:t xml:space="preserve">(“Kroger”), </w:t>
      </w:r>
      <w:r w:rsidR="00AC1A40" w:rsidRPr="00AC1A40">
        <w:t>and Ohio Manufacturers</w:t>
      </w:r>
      <w:r w:rsidR="005F05F4">
        <w:t>’ Association</w:t>
      </w:r>
      <w:r w:rsidR="00AC1A40" w:rsidRPr="00AC1A40">
        <w:t xml:space="preserve"> Energy Group (“OMAEG”)</w:t>
      </w:r>
      <w:r w:rsidR="0085718E">
        <w:t xml:space="preserve"> (collectively “Joint Movants”) move</w:t>
      </w:r>
      <w:r>
        <w:t xml:space="preserve"> the Public Utilities Co</w:t>
      </w:r>
      <w:r w:rsidR="005F05F4">
        <w:t>mmission of Ohio (“Commission”)</w:t>
      </w:r>
      <w:r>
        <w:t xml:space="preserve"> </w:t>
      </w:r>
      <w:r w:rsidR="007354E8">
        <w:t>for an order dismissing</w:t>
      </w:r>
      <w:r>
        <w:t xml:space="preserve"> </w:t>
      </w:r>
      <w:r w:rsidR="00E141B1">
        <w:t>the Application</w:t>
      </w:r>
      <w:r w:rsidR="00513A07">
        <w:t>s</w:t>
      </w:r>
      <w:r w:rsidR="00A742B3">
        <w:t xml:space="preserve"> (for purposes of this Motion and the supporting Memorandum in </w:t>
      </w:r>
      <w:r w:rsidR="00A2696B">
        <w:t>Support</w:t>
      </w:r>
      <w:r w:rsidR="00A742B3">
        <w:t>, the Applications will be referred to collectively as the Application)</w:t>
      </w:r>
      <w:r w:rsidR="00E141B1">
        <w:t>.</w:t>
      </w:r>
      <w:r>
        <w:t xml:space="preserve">  </w:t>
      </w:r>
      <w:r w:rsidR="00B65483">
        <w:t xml:space="preserve">In the alternative, </w:t>
      </w:r>
      <w:r w:rsidR="0085718E">
        <w:t>Joint Movants</w:t>
      </w:r>
      <w:r w:rsidR="00B65483">
        <w:t xml:space="preserve"> move the Commission </w:t>
      </w:r>
      <w:r w:rsidR="00A43143">
        <w:t xml:space="preserve">for an order </w:t>
      </w:r>
      <w:r w:rsidR="00B65483">
        <w:t>stay</w:t>
      </w:r>
      <w:r w:rsidR="007C629D">
        <w:t>ing</w:t>
      </w:r>
      <w:r w:rsidR="00B65483">
        <w:t xml:space="preserve"> this proceeding until such time as the Commission issues an entry on rehearing in Case Numbers </w:t>
      </w:r>
      <w:r w:rsidR="00C206BD">
        <w:t xml:space="preserve">14-841-EL-SSO, </w:t>
      </w:r>
      <w:r w:rsidR="00C206BD" w:rsidRPr="00BE7721">
        <w:rPr>
          <w:i/>
        </w:rPr>
        <w:t>et al</w:t>
      </w:r>
      <w:r w:rsidR="00BE7721">
        <w:t xml:space="preserve">., and </w:t>
      </w:r>
      <w:r w:rsidR="00BE7721">
        <w:lastRenderedPageBreak/>
        <w:t>appellate review is completed</w:t>
      </w:r>
      <w:r w:rsidR="00C206BD">
        <w:t>.  The reasons supporting these Motions are set out in the accompanying Memorandum in Support.</w:t>
      </w:r>
    </w:p>
    <w:p w14:paraId="3F71F1AD" w14:textId="77777777" w:rsidR="00C7044E" w:rsidRPr="00B95AA1" w:rsidRDefault="00C7044E" w:rsidP="00C7044E">
      <w:pPr>
        <w:ind w:left="3600" w:firstLine="720"/>
        <w:rPr>
          <w:rFonts w:eastAsia="Times New Roman" w:cs="Arial"/>
          <w:lang w:val="x-none" w:eastAsia="x-none"/>
        </w:rPr>
      </w:pPr>
      <w:r w:rsidRPr="00B95AA1">
        <w:rPr>
          <w:rFonts w:eastAsia="Times New Roman" w:cs="Arial"/>
          <w:lang w:val="x-none" w:eastAsia="x-none"/>
        </w:rPr>
        <w:t>Respectfully submitted,</w:t>
      </w:r>
    </w:p>
    <w:p w14:paraId="11514095" w14:textId="77777777" w:rsidR="00C7044E" w:rsidRPr="00B95AA1" w:rsidRDefault="00C7044E" w:rsidP="00C7044E">
      <w:pPr>
        <w:rPr>
          <w:rFonts w:eastAsia="Times New Roman" w:cs="Times New Roman"/>
          <w:lang w:eastAsia="x-none"/>
        </w:rPr>
      </w:pPr>
    </w:p>
    <w:p w14:paraId="75275996" w14:textId="77777777" w:rsidR="00C7044E" w:rsidRPr="00B95AA1" w:rsidRDefault="00C7044E" w:rsidP="00C7044E">
      <w:pPr>
        <w:tabs>
          <w:tab w:val="left" w:pos="4320"/>
          <w:tab w:val="right" w:pos="8640"/>
        </w:tabs>
        <w:ind w:left="4320"/>
        <w:rPr>
          <w:rFonts w:eastAsia="Calibri" w:cs="Arial"/>
          <w:i/>
        </w:rPr>
      </w:pPr>
      <w:r w:rsidRPr="00B95AA1">
        <w:rPr>
          <w:rFonts w:eastAsia="Calibri" w:cs="Arial"/>
          <w:i/>
          <w:u w:val="single"/>
        </w:rPr>
        <w:t xml:space="preserve">/s/ </w:t>
      </w:r>
      <w:r>
        <w:rPr>
          <w:rFonts w:eastAsia="Calibri" w:cs="Arial"/>
          <w:i/>
          <w:u w:val="single"/>
        </w:rPr>
        <w:t>Frank P. Darr</w:t>
      </w:r>
      <w:r w:rsidRPr="00B95AA1">
        <w:rPr>
          <w:rFonts w:eastAsia="Calibri" w:cs="Arial"/>
          <w:i/>
          <w:u w:val="single"/>
        </w:rPr>
        <w:tab/>
      </w:r>
      <w:r w:rsidRPr="00B95AA1">
        <w:rPr>
          <w:rFonts w:eastAsia="Calibri" w:cs="Arial"/>
          <w:i/>
        </w:rPr>
        <w:t xml:space="preserve"> </w:t>
      </w:r>
    </w:p>
    <w:p w14:paraId="01A4B7F2" w14:textId="77777777" w:rsidR="00C7044E" w:rsidRDefault="00C7044E" w:rsidP="00C7044E">
      <w:pPr>
        <w:ind w:left="3600" w:firstLine="720"/>
      </w:pPr>
      <w:r>
        <w:t>Frank P. Darr (Reg. No. 0025469)</w:t>
      </w:r>
    </w:p>
    <w:p w14:paraId="27317A7C" w14:textId="77777777" w:rsidR="00C7044E" w:rsidRDefault="00C7044E" w:rsidP="00C7044E">
      <w:r>
        <w:tab/>
      </w:r>
      <w:r>
        <w:tab/>
      </w:r>
      <w:r>
        <w:tab/>
      </w:r>
      <w:r>
        <w:tab/>
      </w:r>
      <w:r>
        <w:tab/>
      </w:r>
      <w:r>
        <w:tab/>
        <w:t>(Counsel of Record)</w:t>
      </w:r>
    </w:p>
    <w:p w14:paraId="3034AA09" w14:textId="77777777" w:rsidR="00C7044E" w:rsidRDefault="00C7044E" w:rsidP="00C7044E">
      <w:pPr>
        <w:widowControl w:val="0"/>
        <w:ind w:left="4320"/>
        <w:rPr>
          <w:rFonts w:eastAsia="Calibri" w:cs="Arial"/>
          <w:bCs/>
        </w:rPr>
      </w:pPr>
      <w:r w:rsidRPr="00B95AA1">
        <w:rPr>
          <w:rFonts w:eastAsia="Calibri" w:cs="Arial"/>
          <w:bCs/>
        </w:rPr>
        <w:t>Matthew R. Pritchard (Reg. No. 0088070)</w:t>
      </w:r>
    </w:p>
    <w:p w14:paraId="6F6BE914" w14:textId="77777777" w:rsidR="00C7044E" w:rsidRPr="00B95AA1" w:rsidRDefault="00C7044E" w:rsidP="00C7044E">
      <w:pPr>
        <w:widowControl w:val="0"/>
        <w:ind w:left="4320"/>
        <w:rPr>
          <w:rFonts w:eastAsia="Calibri" w:cs="Arial"/>
          <w:b/>
          <w:bCs/>
          <w:smallCaps/>
        </w:rPr>
      </w:pPr>
      <w:r w:rsidRPr="00B95AA1">
        <w:rPr>
          <w:rFonts w:eastAsia="Calibri" w:cs="Arial"/>
          <w:bCs/>
          <w:smallCaps/>
        </w:rPr>
        <w:t>McNees Wallace &amp; Nurick LLC</w:t>
      </w:r>
    </w:p>
    <w:p w14:paraId="19D9A99A" w14:textId="77777777" w:rsidR="00C7044E" w:rsidRPr="00B95AA1" w:rsidRDefault="00C7044E" w:rsidP="00C7044E">
      <w:pPr>
        <w:widowControl w:val="0"/>
        <w:ind w:left="4320"/>
        <w:rPr>
          <w:rFonts w:eastAsia="Calibri" w:cs="Arial"/>
          <w:b/>
          <w:bCs/>
        </w:rPr>
      </w:pPr>
      <w:r w:rsidRPr="00B95AA1">
        <w:rPr>
          <w:rFonts w:eastAsia="Calibri" w:cs="Arial"/>
          <w:bCs/>
        </w:rPr>
        <w:t>21 East State Street, 17</w:t>
      </w:r>
      <w:r w:rsidRPr="00B95AA1">
        <w:rPr>
          <w:rFonts w:eastAsia="Calibri" w:cs="Arial"/>
          <w:bCs/>
          <w:vertAlign w:val="superscript"/>
        </w:rPr>
        <w:t>TH</w:t>
      </w:r>
      <w:r w:rsidRPr="00B95AA1">
        <w:rPr>
          <w:rFonts w:eastAsia="Calibri" w:cs="Arial"/>
          <w:bCs/>
        </w:rPr>
        <w:t xml:space="preserve"> Floor</w:t>
      </w:r>
    </w:p>
    <w:p w14:paraId="4E4C4872" w14:textId="77777777" w:rsidR="00C7044E" w:rsidRPr="00B95AA1" w:rsidRDefault="00C7044E" w:rsidP="00C7044E">
      <w:pPr>
        <w:tabs>
          <w:tab w:val="left" w:pos="-1440"/>
          <w:tab w:val="left" w:pos="-720"/>
          <w:tab w:val="left" w:pos="5040"/>
          <w:tab w:val="center" w:pos="7200"/>
        </w:tabs>
        <w:overflowPunct w:val="0"/>
        <w:autoSpaceDE w:val="0"/>
        <w:autoSpaceDN w:val="0"/>
        <w:adjustRightInd w:val="0"/>
        <w:ind w:left="4320"/>
        <w:rPr>
          <w:rFonts w:eastAsia="Calibri" w:cs="Arial"/>
        </w:rPr>
      </w:pPr>
      <w:r w:rsidRPr="00B95AA1">
        <w:rPr>
          <w:rFonts w:eastAsia="Calibri" w:cs="Arial"/>
        </w:rPr>
        <w:t>Columbus, OH  43215</w:t>
      </w:r>
    </w:p>
    <w:p w14:paraId="5F840C89" w14:textId="77777777" w:rsidR="00C7044E" w:rsidRPr="00B95AA1" w:rsidRDefault="00C7044E" w:rsidP="00C7044E">
      <w:pPr>
        <w:tabs>
          <w:tab w:val="left" w:pos="-1440"/>
          <w:tab w:val="left" w:pos="-720"/>
          <w:tab w:val="left" w:pos="5040"/>
          <w:tab w:val="center" w:pos="7200"/>
        </w:tabs>
        <w:overflowPunct w:val="0"/>
        <w:autoSpaceDE w:val="0"/>
        <w:autoSpaceDN w:val="0"/>
        <w:adjustRightInd w:val="0"/>
        <w:ind w:left="4320"/>
        <w:rPr>
          <w:rFonts w:eastAsia="Calibri" w:cs="Arial"/>
        </w:rPr>
      </w:pPr>
      <w:r w:rsidRPr="00B95AA1">
        <w:rPr>
          <w:rFonts w:eastAsia="Calibri" w:cs="Arial"/>
        </w:rPr>
        <w:t>Telephone:  (614) 469-8000</w:t>
      </w:r>
    </w:p>
    <w:p w14:paraId="67E1DCC7" w14:textId="77777777" w:rsidR="00C7044E" w:rsidRPr="00B95AA1" w:rsidRDefault="00C7044E" w:rsidP="00C7044E">
      <w:pPr>
        <w:tabs>
          <w:tab w:val="left" w:pos="-1440"/>
          <w:tab w:val="left" w:pos="-720"/>
          <w:tab w:val="left" w:pos="5040"/>
          <w:tab w:val="center" w:pos="7200"/>
        </w:tabs>
        <w:overflowPunct w:val="0"/>
        <w:autoSpaceDE w:val="0"/>
        <w:autoSpaceDN w:val="0"/>
        <w:adjustRightInd w:val="0"/>
        <w:ind w:left="4320"/>
        <w:rPr>
          <w:rFonts w:eastAsia="Calibri" w:cs="Arial"/>
          <w:color w:val="000000"/>
        </w:rPr>
      </w:pPr>
      <w:r w:rsidRPr="00B95AA1">
        <w:rPr>
          <w:rFonts w:eastAsia="Calibri" w:cs="Arial"/>
          <w:color w:val="000000"/>
        </w:rPr>
        <w:t>Telecopier:  (614) 469-4653</w:t>
      </w:r>
    </w:p>
    <w:p w14:paraId="5EDFA58B" w14:textId="77777777" w:rsidR="00C7044E" w:rsidRDefault="00C7044E" w:rsidP="00C7044E">
      <w:pPr>
        <w:tabs>
          <w:tab w:val="left" w:pos="-1440"/>
          <w:tab w:val="left" w:pos="-720"/>
          <w:tab w:val="left" w:pos="5040"/>
          <w:tab w:val="center" w:pos="7200"/>
        </w:tabs>
        <w:overflowPunct w:val="0"/>
        <w:autoSpaceDE w:val="0"/>
        <w:autoSpaceDN w:val="0"/>
        <w:adjustRightInd w:val="0"/>
        <w:ind w:left="4320"/>
        <w:rPr>
          <w:rFonts w:eastAsia="Calibri" w:cs="Arial"/>
          <w:color w:val="000000"/>
        </w:rPr>
      </w:pPr>
      <w:r w:rsidRPr="003748B6">
        <w:rPr>
          <w:rFonts w:eastAsia="Calibri" w:cs="Arial"/>
        </w:rPr>
        <w:t>fdarr@mwncmh.com</w:t>
      </w:r>
    </w:p>
    <w:p w14:paraId="44DEAAE0" w14:textId="77777777" w:rsidR="00C7044E" w:rsidRDefault="00C7044E" w:rsidP="00C7044E">
      <w:pPr>
        <w:tabs>
          <w:tab w:val="left" w:pos="-1440"/>
          <w:tab w:val="left" w:pos="-720"/>
          <w:tab w:val="left" w:pos="5040"/>
          <w:tab w:val="center" w:pos="7200"/>
        </w:tabs>
        <w:overflowPunct w:val="0"/>
        <w:autoSpaceDE w:val="0"/>
        <w:autoSpaceDN w:val="0"/>
        <w:adjustRightInd w:val="0"/>
        <w:ind w:left="4320"/>
        <w:rPr>
          <w:rFonts w:eastAsia="Calibri" w:cs="Arial"/>
          <w:color w:val="000000"/>
        </w:rPr>
      </w:pPr>
      <w:r>
        <w:rPr>
          <w:rFonts w:eastAsia="Calibri" w:cs="Arial"/>
          <w:color w:val="000000"/>
        </w:rPr>
        <w:t>(willing to accept service by e-mail)</w:t>
      </w:r>
    </w:p>
    <w:p w14:paraId="2D4E2400" w14:textId="77777777" w:rsidR="00C7044E" w:rsidRDefault="00C7044E" w:rsidP="00C7044E">
      <w:pPr>
        <w:tabs>
          <w:tab w:val="left" w:pos="-1440"/>
          <w:tab w:val="left" w:pos="-720"/>
          <w:tab w:val="left" w:pos="5040"/>
          <w:tab w:val="center" w:pos="7200"/>
        </w:tabs>
        <w:overflowPunct w:val="0"/>
        <w:autoSpaceDE w:val="0"/>
        <w:autoSpaceDN w:val="0"/>
        <w:adjustRightInd w:val="0"/>
        <w:ind w:left="4320"/>
        <w:rPr>
          <w:rFonts w:eastAsia="Calibri" w:cs="Arial"/>
          <w:color w:val="000000"/>
        </w:rPr>
      </w:pPr>
      <w:r w:rsidRPr="003748B6">
        <w:rPr>
          <w:rFonts w:eastAsia="Calibri" w:cs="Arial"/>
        </w:rPr>
        <w:t>mpritchard@mwncmh.com</w:t>
      </w:r>
    </w:p>
    <w:p w14:paraId="29C7D890" w14:textId="77777777" w:rsidR="00C7044E" w:rsidRPr="00B95AA1" w:rsidRDefault="00C7044E" w:rsidP="00C7044E">
      <w:pPr>
        <w:tabs>
          <w:tab w:val="left" w:pos="-1440"/>
          <w:tab w:val="left" w:pos="-720"/>
          <w:tab w:val="left" w:pos="5040"/>
          <w:tab w:val="center" w:pos="7200"/>
        </w:tabs>
        <w:overflowPunct w:val="0"/>
        <w:autoSpaceDE w:val="0"/>
        <w:autoSpaceDN w:val="0"/>
        <w:adjustRightInd w:val="0"/>
        <w:ind w:left="4320"/>
        <w:rPr>
          <w:rFonts w:eastAsia="Calibri" w:cs="Arial"/>
          <w:color w:val="000000"/>
        </w:rPr>
      </w:pPr>
      <w:r w:rsidRPr="00B95AA1">
        <w:rPr>
          <w:rFonts w:eastAsia="Calibri" w:cs="Arial"/>
          <w:color w:val="000000"/>
        </w:rPr>
        <w:t>(willing to accept service by e-mail)</w:t>
      </w:r>
    </w:p>
    <w:p w14:paraId="72CBC781" w14:textId="77777777" w:rsidR="00C7044E" w:rsidRPr="00B95AA1" w:rsidRDefault="00C7044E" w:rsidP="00C7044E">
      <w:pPr>
        <w:tabs>
          <w:tab w:val="left" w:pos="-1440"/>
          <w:tab w:val="left" w:pos="-720"/>
          <w:tab w:val="left" w:pos="4680"/>
          <w:tab w:val="left" w:pos="5040"/>
        </w:tabs>
        <w:rPr>
          <w:rFonts w:eastAsia="Calibri" w:cs="Arial"/>
        </w:rPr>
      </w:pPr>
    </w:p>
    <w:p w14:paraId="604A4703" w14:textId="6437DBF3" w:rsidR="00086DC8" w:rsidRDefault="00C7044E" w:rsidP="00D437D5">
      <w:pPr>
        <w:tabs>
          <w:tab w:val="left" w:pos="-1440"/>
          <w:tab w:val="left" w:pos="-720"/>
          <w:tab w:val="left" w:pos="4320"/>
        </w:tabs>
        <w:ind w:left="4320" w:hanging="4320"/>
        <w:rPr>
          <w:rFonts w:eastAsia="Calibri" w:cs="Arial"/>
          <w:b/>
        </w:rPr>
      </w:pPr>
      <w:r w:rsidRPr="00B95AA1">
        <w:rPr>
          <w:rFonts w:eastAsia="Calibri" w:cs="Arial"/>
        </w:rPr>
        <w:tab/>
      </w:r>
      <w:r w:rsidR="00D437D5">
        <w:rPr>
          <w:rFonts w:eastAsia="Calibri" w:cs="Arial"/>
          <w:b/>
        </w:rPr>
        <w:t>On Behalf of</w:t>
      </w:r>
      <w:r w:rsidRPr="00B95AA1">
        <w:rPr>
          <w:rFonts w:eastAsia="Calibri" w:cs="Arial"/>
          <w:b/>
        </w:rPr>
        <w:t xml:space="preserve"> Industrial Energy Users-Ohio</w:t>
      </w:r>
    </w:p>
    <w:p w14:paraId="3867C41F" w14:textId="77777777" w:rsidR="00086DC8" w:rsidRPr="00E07024" w:rsidRDefault="00086DC8" w:rsidP="00086DC8">
      <w:pPr>
        <w:pStyle w:val="Footer"/>
        <w:spacing w:before="240"/>
        <w:ind w:left="4320"/>
        <w:rPr>
          <w:rFonts w:cs="Arial"/>
        </w:rPr>
      </w:pPr>
      <w:r w:rsidRPr="00E07024">
        <w:rPr>
          <w:rFonts w:cs="Arial"/>
        </w:rPr>
        <w:t>Bruce Weston (Reg. No. 0016973)</w:t>
      </w:r>
    </w:p>
    <w:p w14:paraId="7FDB98A6" w14:textId="77777777" w:rsidR="00086DC8" w:rsidRPr="00E07024" w:rsidRDefault="00086DC8" w:rsidP="00086DC8">
      <w:pPr>
        <w:ind w:left="4320"/>
        <w:rPr>
          <w:rFonts w:cs="Arial"/>
        </w:rPr>
      </w:pPr>
      <w:r>
        <w:rPr>
          <w:rFonts w:cs="Arial"/>
        </w:rPr>
        <w:t>Ohio Consumers’ Counsel</w:t>
      </w:r>
    </w:p>
    <w:p w14:paraId="353CEA26" w14:textId="77777777" w:rsidR="00D437D5" w:rsidRDefault="00D437D5" w:rsidP="00086DC8">
      <w:pPr>
        <w:ind w:left="4320"/>
        <w:rPr>
          <w:rFonts w:cs="Arial"/>
          <w:i/>
          <w:iCs/>
          <w:u w:val="single"/>
        </w:rPr>
      </w:pPr>
    </w:p>
    <w:p w14:paraId="267C0BC5" w14:textId="6606FDA1" w:rsidR="00086DC8" w:rsidRPr="00E07024" w:rsidRDefault="00086DC8" w:rsidP="00086DC8">
      <w:pPr>
        <w:ind w:left="4320"/>
        <w:rPr>
          <w:rFonts w:cs="Arial"/>
        </w:rPr>
      </w:pPr>
      <w:r w:rsidRPr="00E07024">
        <w:rPr>
          <w:rFonts w:cs="Arial"/>
          <w:i/>
          <w:iCs/>
          <w:u w:val="single"/>
        </w:rPr>
        <w:t>/s/ William J. Michael</w:t>
      </w:r>
      <w:r w:rsidRPr="00E07024">
        <w:rPr>
          <w:rFonts w:cs="Arial"/>
        </w:rPr>
        <w:t>__________________</w:t>
      </w:r>
    </w:p>
    <w:p w14:paraId="7FDC5AF5" w14:textId="77777777" w:rsidR="00086DC8" w:rsidRPr="00E07024" w:rsidRDefault="00086DC8" w:rsidP="00086DC8">
      <w:pPr>
        <w:ind w:left="4320"/>
        <w:rPr>
          <w:rFonts w:cs="Arial"/>
        </w:rPr>
      </w:pPr>
      <w:r w:rsidRPr="00E07024">
        <w:rPr>
          <w:rFonts w:cs="Arial"/>
        </w:rPr>
        <w:t>William J. Michael (Reg. No. 0070921)</w:t>
      </w:r>
    </w:p>
    <w:p w14:paraId="439A5367" w14:textId="77777777" w:rsidR="00086DC8" w:rsidRPr="00E07024" w:rsidRDefault="00086DC8" w:rsidP="00086DC8">
      <w:pPr>
        <w:ind w:left="4320"/>
        <w:rPr>
          <w:rFonts w:cs="Arial"/>
        </w:rPr>
      </w:pPr>
      <w:r w:rsidRPr="00E07024">
        <w:rPr>
          <w:rFonts w:cs="Arial"/>
        </w:rPr>
        <w:t>Counsel of Record</w:t>
      </w:r>
    </w:p>
    <w:p w14:paraId="127E6D90" w14:textId="77777777" w:rsidR="00086DC8" w:rsidRPr="00E07024" w:rsidRDefault="00086DC8" w:rsidP="00086DC8">
      <w:pPr>
        <w:ind w:left="4320"/>
        <w:rPr>
          <w:rFonts w:cs="Arial"/>
        </w:rPr>
      </w:pPr>
      <w:r w:rsidRPr="00E07024">
        <w:rPr>
          <w:rFonts w:cs="Arial"/>
        </w:rPr>
        <w:t>Jodi Bair (Reg. No. 0062921)</w:t>
      </w:r>
    </w:p>
    <w:p w14:paraId="173DEA4F" w14:textId="77777777" w:rsidR="00086DC8" w:rsidRPr="00E07024" w:rsidRDefault="00086DC8" w:rsidP="00086DC8">
      <w:pPr>
        <w:ind w:left="4320"/>
        <w:rPr>
          <w:rFonts w:cs="Arial"/>
        </w:rPr>
      </w:pPr>
      <w:r w:rsidRPr="00E07024">
        <w:rPr>
          <w:rFonts w:cs="Arial"/>
        </w:rPr>
        <w:t>Kevin Moore (Reg. No. 0089228)</w:t>
      </w:r>
    </w:p>
    <w:p w14:paraId="3D5286A1" w14:textId="77777777" w:rsidR="00086DC8" w:rsidRPr="00E07024" w:rsidRDefault="00086DC8" w:rsidP="00086DC8">
      <w:pPr>
        <w:ind w:left="4320"/>
        <w:rPr>
          <w:rFonts w:cs="Arial"/>
        </w:rPr>
      </w:pPr>
      <w:r w:rsidRPr="00E07024">
        <w:rPr>
          <w:rFonts w:cs="Arial"/>
        </w:rPr>
        <w:t>Assistant Consumers’ Counsel</w:t>
      </w:r>
    </w:p>
    <w:p w14:paraId="2203B597" w14:textId="77777777" w:rsidR="00086DC8" w:rsidRPr="00AD5C1F" w:rsidRDefault="00086DC8" w:rsidP="00885D2B">
      <w:pPr>
        <w:ind w:left="3600" w:firstLine="720"/>
      </w:pPr>
      <w:r w:rsidRPr="00AD5C1F">
        <w:t>Office of the Ohio Consumers’ Counsel</w:t>
      </w:r>
    </w:p>
    <w:p w14:paraId="035A394D" w14:textId="77777777" w:rsidR="00086DC8" w:rsidRPr="00AD5C1F" w:rsidRDefault="00086DC8" w:rsidP="00885D2B">
      <w:pPr>
        <w:ind w:left="3600" w:firstLine="720"/>
      </w:pPr>
      <w:r w:rsidRPr="00AD5C1F">
        <w:t>10 West Broad Street, Suite 1800</w:t>
      </w:r>
    </w:p>
    <w:p w14:paraId="3754F17A" w14:textId="77777777" w:rsidR="00086DC8" w:rsidRPr="00E07024" w:rsidRDefault="00086DC8" w:rsidP="00885D2B">
      <w:pPr>
        <w:ind w:left="3600" w:firstLine="720"/>
      </w:pPr>
      <w:r w:rsidRPr="00AD5C1F">
        <w:t>Columbus, Ohio</w:t>
      </w:r>
      <w:r w:rsidRPr="00E07024">
        <w:t xml:space="preserve"> 43215-3485</w:t>
      </w:r>
    </w:p>
    <w:p w14:paraId="50C09921" w14:textId="77777777" w:rsidR="00086DC8" w:rsidRPr="00E07024" w:rsidRDefault="00086DC8" w:rsidP="00086DC8">
      <w:pPr>
        <w:autoSpaceDE w:val="0"/>
        <w:autoSpaceDN w:val="0"/>
        <w:ind w:left="4320"/>
        <w:rPr>
          <w:rFonts w:cs="Arial"/>
        </w:rPr>
      </w:pPr>
      <w:r w:rsidRPr="00E07024">
        <w:rPr>
          <w:rFonts w:cs="Arial"/>
        </w:rPr>
        <w:t>Telephone [Michael]:  (614) 466-1291</w:t>
      </w:r>
    </w:p>
    <w:p w14:paraId="07BF6F98" w14:textId="77777777" w:rsidR="00086DC8" w:rsidRPr="00E07024" w:rsidRDefault="00086DC8" w:rsidP="00086DC8">
      <w:pPr>
        <w:autoSpaceDE w:val="0"/>
        <w:autoSpaceDN w:val="0"/>
        <w:ind w:left="4320"/>
        <w:rPr>
          <w:rFonts w:cs="Arial"/>
        </w:rPr>
      </w:pPr>
      <w:r w:rsidRPr="00E07024">
        <w:rPr>
          <w:rFonts w:cs="Arial"/>
        </w:rPr>
        <w:t>Telephone [Bair]:  (614) 466-9559</w:t>
      </w:r>
    </w:p>
    <w:p w14:paraId="5628BD36" w14:textId="77777777" w:rsidR="00086DC8" w:rsidRPr="00E07024" w:rsidRDefault="00086DC8" w:rsidP="00086DC8">
      <w:pPr>
        <w:autoSpaceDE w:val="0"/>
        <w:autoSpaceDN w:val="0"/>
        <w:ind w:left="4320"/>
        <w:rPr>
          <w:rFonts w:cs="Arial"/>
        </w:rPr>
      </w:pPr>
      <w:r w:rsidRPr="00E07024">
        <w:rPr>
          <w:rFonts w:cs="Arial"/>
        </w:rPr>
        <w:t>Telephone [Moore]:  (614) 387-2965</w:t>
      </w:r>
    </w:p>
    <w:p w14:paraId="73EF93C9" w14:textId="77777777" w:rsidR="00086DC8" w:rsidRPr="00E07024" w:rsidRDefault="00F34FE4" w:rsidP="00086DC8">
      <w:pPr>
        <w:autoSpaceDE w:val="0"/>
        <w:autoSpaceDN w:val="0"/>
        <w:ind w:left="4320"/>
        <w:rPr>
          <w:rFonts w:cs="Arial"/>
        </w:rPr>
      </w:pPr>
      <w:hyperlink r:id="rId19" w:history="1">
        <w:r w:rsidR="00086DC8" w:rsidRPr="00E07024">
          <w:rPr>
            <w:rStyle w:val="Hyperlink"/>
            <w:rFonts w:cs="Arial"/>
          </w:rPr>
          <w:t>william.michael@occ.ohio.gov</w:t>
        </w:r>
      </w:hyperlink>
    </w:p>
    <w:p w14:paraId="490577AF" w14:textId="77777777" w:rsidR="00086DC8" w:rsidRPr="00E07024" w:rsidRDefault="00F34FE4" w:rsidP="00086DC8">
      <w:pPr>
        <w:autoSpaceDE w:val="0"/>
        <w:autoSpaceDN w:val="0"/>
        <w:ind w:left="4320"/>
        <w:rPr>
          <w:rFonts w:cs="Arial"/>
        </w:rPr>
      </w:pPr>
      <w:hyperlink r:id="rId20" w:history="1">
        <w:r w:rsidR="00086DC8" w:rsidRPr="00E07024">
          <w:rPr>
            <w:rStyle w:val="Hyperlink"/>
            <w:rFonts w:cs="Arial"/>
          </w:rPr>
          <w:t>Jodi.bair@occ.ohio.gov</w:t>
        </w:r>
      </w:hyperlink>
    </w:p>
    <w:p w14:paraId="71CD638A" w14:textId="77777777" w:rsidR="00086DC8" w:rsidRPr="00E07024" w:rsidRDefault="00F34FE4" w:rsidP="00086DC8">
      <w:pPr>
        <w:autoSpaceDE w:val="0"/>
        <w:autoSpaceDN w:val="0"/>
        <w:ind w:left="4320"/>
        <w:rPr>
          <w:rFonts w:cs="Arial"/>
        </w:rPr>
      </w:pPr>
      <w:hyperlink r:id="rId21" w:history="1">
        <w:r w:rsidR="00086DC8" w:rsidRPr="00E07024">
          <w:rPr>
            <w:rStyle w:val="Hyperlink"/>
            <w:rFonts w:cs="Arial"/>
          </w:rPr>
          <w:t>Kevin.moore@occ.ohio.gov</w:t>
        </w:r>
      </w:hyperlink>
    </w:p>
    <w:p w14:paraId="6F70A5B5" w14:textId="77777777" w:rsidR="00086DC8" w:rsidRPr="00E07024" w:rsidRDefault="00086DC8" w:rsidP="00086DC8">
      <w:pPr>
        <w:ind w:left="4320"/>
        <w:jc w:val="left"/>
        <w:rPr>
          <w:rFonts w:cs="Arial"/>
        </w:rPr>
      </w:pPr>
      <w:r>
        <w:rPr>
          <w:rFonts w:cs="Arial"/>
        </w:rPr>
        <w:t>(a</w:t>
      </w:r>
      <w:r w:rsidRPr="00E07024">
        <w:rPr>
          <w:rFonts w:cs="Arial"/>
        </w:rPr>
        <w:t>ll will accept service via email)</w:t>
      </w:r>
    </w:p>
    <w:p w14:paraId="66B72936" w14:textId="77777777" w:rsidR="00D437D5" w:rsidRDefault="00D437D5" w:rsidP="00086DC8">
      <w:pPr>
        <w:ind w:left="4320"/>
        <w:jc w:val="left"/>
        <w:rPr>
          <w:rFonts w:cs="Arial"/>
          <w:b/>
          <w:smallCaps/>
        </w:rPr>
      </w:pPr>
    </w:p>
    <w:p w14:paraId="4F920544" w14:textId="448613EC" w:rsidR="00086DC8" w:rsidRDefault="00086DC8" w:rsidP="00086DC8">
      <w:pPr>
        <w:ind w:left="4320"/>
        <w:jc w:val="left"/>
        <w:rPr>
          <w:rFonts w:cs="Arial"/>
          <w:b/>
          <w:smallCaps/>
        </w:rPr>
      </w:pPr>
      <w:r w:rsidRPr="00E07024">
        <w:rPr>
          <w:rFonts w:cs="Arial"/>
          <w:b/>
          <w:smallCaps/>
        </w:rPr>
        <w:t>On Behalf of the Office of the Ohio Consumers’ Counsel</w:t>
      </w:r>
    </w:p>
    <w:p w14:paraId="70F152F4" w14:textId="77777777" w:rsidR="00D437D5" w:rsidRPr="00885D2B" w:rsidRDefault="00D437D5" w:rsidP="00086DC8">
      <w:pPr>
        <w:ind w:left="4320"/>
        <w:jc w:val="left"/>
        <w:rPr>
          <w:rFonts w:cs="Arial"/>
        </w:rPr>
      </w:pPr>
    </w:p>
    <w:p w14:paraId="62EE172A" w14:textId="4F72217D" w:rsidR="00086DC8" w:rsidRPr="00885D2B" w:rsidRDefault="00D437D5" w:rsidP="00086DC8">
      <w:pPr>
        <w:ind w:left="4320"/>
        <w:jc w:val="left"/>
        <w:rPr>
          <w:rFonts w:cs="Arial"/>
          <w:i/>
          <w:u w:val="single"/>
        </w:rPr>
      </w:pPr>
      <w:r w:rsidRPr="00885D2B">
        <w:rPr>
          <w:rFonts w:cs="Arial"/>
          <w:i/>
          <w:u w:val="single"/>
        </w:rPr>
        <w:t>/s/ Colleen L. Mooney</w:t>
      </w:r>
      <w:r w:rsidRPr="00885D2B">
        <w:rPr>
          <w:rFonts w:cs="Arial"/>
          <w:i/>
          <w:u w:val="single"/>
        </w:rPr>
        <w:tab/>
      </w:r>
      <w:r w:rsidRPr="00885D2B">
        <w:rPr>
          <w:rFonts w:cs="Arial"/>
          <w:i/>
          <w:u w:val="single"/>
        </w:rPr>
        <w:tab/>
      </w:r>
      <w:r w:rsidRPr="00885D2B">
        <w:rPr>
          <w:rFonts w:cs="Arial"/>
          <w:i/>
          <w:u w:val="single"/>
        </w:rPr>
        <w:tab/>
      </w:r>
      <w:r w:rsidRPr="00885D2B">
        <w:rPr>
          <w:rFonts w:cs="Arial"/>
          <w:i/>
          <w:u w:val="single"/>
        </w:rPr>
        <w:tab/>
      </w:r>
    </w:p>
    <w:p w14:paraId="65CFCC5B" w14:textId="6E54EE46" w:rsidR="00086DC8" w:rsidRDefault="00086DC8" w:rsidP="00D437D5">
      <w:pPr>
        <w:ind w:left="4320"/>
        <w:rPr>
          <w:rFonts w:cs="Arial"/>
        </w:rPr>
      </w:pPr>
      <w:r>
        <w:rPr>
          <w:rFonts w:cs="Arial"/>
        </w:rPr>
        <w:t>Colleen L. Mooney</w:t>
      </w:r>
      <w:r w:rsidR="00D437D5">
        <w:rPr>
          <w:rFonts w:cs="Arial"/>
        </w:rPr>
        <w:t xml:space="preserve"> (</w:t>
      </w:r>
      <w:r>
        <w:rPr>
          <w:rFonts w:cs="Arial"/>
        </w:rPr>
        <w:t>Reg. No. 0015668</w:t>
      </w:r>
      <w:r w:rsidR="00D437D5">
        <w:rPr>
          <w:rFonts w:cs="Arial"/>
        </w:rPr>
        <w:t>)</w:t>
      </w:r>
    </w:p>
    <w:p w14:paraId="6FDFA5C8" w14:textId="77777777" w:rsidR="00086DC8" w:rsidRDefault="00086DC8" w:rsidP="00086DC8">
      <w:pPr>
        <w:ind w:left="4320"/>
        <w:rPr>
          <w:rFonts w:cs="Arial"/>
        </w:rPr>
      </w:pPr>
      <w:r>
        <w:rPr>
          <w:rFonts w:cs="Arial"/>
        </w:rPr>
        <w:lastRenderedPageBreak/>
        <w:t>PO Box 12451</w:t>
      </w:r>
    </w:p>
    <w:p w14:paraId="71E7EAFB" w14:textId="77777777" w:rsidR="00086DC8" w:rsidRDefault="00086DC8" w:rsidP="00086DC8">
      <w:pPr>
        <w:ind w:left="4320"/>
        <w:rPr>
          <w:rFonts w:cs="Arial"/>
        </w:rPr>
      </w:pPr>
      <w:r>
        <w:rPr>
          <w:rFonts w:cs="Arial"/>
        </w:rPr>
        <w:t>Columbus, OH 43212-2451</w:t>
      </w:r>
    </w:p>
    <w:p w14:paraId="692E8CCD" w14:textId="77777777" w:rsidR="00086DC8" w:rsidRDefault="00086DC8" w:rsidP="00086DC8">
      <w:pPr>
        <w:pStyle w:val="PlainText"/>
        <w:ind w:left="4320"/>
      </w:pPr>
      <w:r>
        <w:t>Telephone:  614-488-5739</w:t>
      </w:r>
    </w:p>
    <w:p w14:paraId="39DC8AC9" w14:textId="77777777" w:rsidR="00086DC8" w:rsidRDefault="00086DC8" w:rsidP="00086DC8">
      <w:pPr>
        <w:pStyle w:val="PlainText"/>
        <w:ind w:left="4320"/>
      </w:pPr>
      <w:r>
        <w:t>cmooney@ohiopartners.org</w:t>
      </w:r>
    </w:p>
    <w:p w14:paraId="5CC51397" w14:textId="77777777" w:rsidR="00086DC8" w:rsidRDefault="00086DC8" w:rsidP="00086DC8">
      <w:pPr>
        <w:ind w:left="4320"/>
        <w:rPr>
          <w:rFonts w:cs="Arial"/>
        </w:rPr>
      </w:pPr>
      <w:r>
        <w:rPr>
          <w:rFonts w:cs="Arial"/>
        </w:rPr>
        <w:t>(will accept service via email)</w:t>
      </w:r>
    </w:p>
    <w:p w14:paraId="2EAC1C39" w14:textId="77777777" w:rsidR="00D437D5" w:rsidRDefault="00D437D5" w:rsidP="00086DC8">
      <w:pPr>
        <w:ind w:left="4320"/>
        <w:rPr>
          <w:rFonts w:ascii="Arial Bold" w:hAnsi="Arial Bold" w:cs="Arial"/>
          <w:b/>
          <w:smallCaps/>
        </w:rPr>
      </w:pPr>
    </w:p>
    <w:p w14:paraId="0F8D6824" w14:textId="7F6A5E2F" w:rsidR="00086DC8" w:rsidRDefault="00086DC8" w:rsidP="00885D2B">
      <w:pPr>
        <w:ind w:left="4320"/>
        <w:jc w:val="left"/>
        <w:rPr>
          <w:rFonts w:ascii="Arial Bold" w:hAnsi="Arial Bold" w:cs="Arial"/>
          <w:b/>
          <w:smallCaps/>
        </w:rPr>
      </w:pPr>
      <w:r w:rsidRPr="00652ECF">
        <w:rPr>
          <w:rFonts w:ascii="Arial Bold" w:hAnsi="Arial Bold" w:cs="Arial"/>
          <w:b/>
          <w:smallCaps/>
        </w:rPr>
        <w:t>On Behalf of Ohio Partners for Affordable Energy</w:t>
      </w:r>
    </w:p>
    <w:p w14:paraId="3EE0F037" w14:textId="77777777" w:rsidR="00086DC8" w:rsidRDefault="00086DC8" w:rsidP="00086DC8">
      <w:pPr>
        <w:ind w:left="4320"/>
        <w:rPr>
          <w:rFonts w:ascii="Arial Bold" w:hAnsi="Arial Bold" w:cs="Arial"/>
          <w:b/>
          <w:smallCaps/>
        </w:rPr>
      </w:pPr>
    </w:p>
    <w:p w14:paraId="566C3E3A" w14:textId="5F1CA2BF" w:rsidR="00086DC8" w:rsidRPr="00885D2B" w:rsidRDefault="00D437D5" w:rsidP="00086DC8">
      <w:pPr>
        <w:ind w:left="4320"/>
        <w:rPr>
          <w:rFonts w:cs="Arial"/>
          <w:i/>
          <w:u w:val="single"/>
        </w:rPr>
      </w:pPr>
      <w:r w:rsidRPr="00DB59E0">
        <w:rPr>
          <w:rFonts w:cs="Arial"/>
          <w:i/>
          <w:u w:val="single"/>
        </w:rPr>
        <w:t>/s/ Kimberly W. Bojko</w:t>
      </w:r>
      <w:r w:rsidRPr="00DB59E0">
        <w:rPr>
          <w:rFonts w:cs="Arial"/>
          <w:i/>
          <w:u w:val="single"/>
        </w:rPr>
        <w:tab/>
      </w:r>
      <w:r w:rsidRPr="00DB59E0">
        <w:rPr>
          <w:rFonts w:cs="Arial"/>
          <w:i/>
          <w:u w:val="single"/>
        </w:rPr>
        <w:tab/>
      </w:r>
      <w:r w:rsidRPr="00DB59E0">
        <w:rPr>
          <w:rFonts w:cs="Arial"/>
          <w:i/>
          <w:u w:val="single"/>
        </w:rPr>
        <w:tab/>
      </w:r>
      <w:r w:rsidRPr="00DB59E0">
        <w:rPr>
          <w:rFonts w:cs="Arial"/>
          <w:i/>
          <w:u w:val="single"/>
        </w:rPr>
        <w:tab/>
      </w:r>
    </w:p>
    <w:p w14:paraId="1FE54D42" w14:textId="771B760E" w:rsidR="00D437D5" w:rsidRDefault="00086DC8" w:rsidP="00086DC8">
      <w:pPr>
        <w:ind w:left="4320"/>
        <w:rPr>
          <w:rFonts w:cs="Arial"/>
        </w:rPr>
      </w:pPr>
      <w:r>
        <w:rPr>
          <w:rFonts w:cs="Arial"/>
          <w:color w:val="1F497D"/>
        </w:rPr>
        <w:t>K</w:t>
      </w:r>
      <w:r w:rsidRPr="00AD5C1F">
        <w:rPr>
          <w:rFonts w:cs="Arial"/>
        </w:rPr>
        <w:t>imberly W. Bojko (</w:t>
      </w:r>
      <w:r w:rsidR="00D437D5">
        <w:rPr>
          <w:rFonts w:cs="Arial"/>
        </w:rPr>
        <w:t xml:space="preserve">Reg. No. </w:t>
      </w:r>
      <w:r w:rsidRPr="00AD5C1F">
        <w:rPr>
          <w:rFonts w:cs="Arial"/>
        </w:rPr>
        <w:t xml:space="preserve">0069402) </w:t>
      </w:r>
    </w:p>
    <w:p w14:paraId="119C2585" w14:textId="65CDB6A9" w:rsidR="00086DC8" w:rsidRPr="00AD5C1F" w:rsidRDefault="00086DC8" w:rsidP="00086DC8">
      <w:pPr>
        <w:ind w:left="4320"/>
        <w:rPr>
          <w:rFonts w:cs="Arial"/>
        </w:rPr>
      </w:pPr>
      <w:r w:rsidRPr="00AD5C1F">
        <w:rPr>
          <w:rFonts w:cs="Arial"/>
        </w:rPr>
        <w:t>(Counsel of Record)</w:t>
      </w:r>
    </w:p>
    <w:p w14:paraId="2E5808C1" w14:textId="750BA116" w:rsidR="00086DC8" w:rsidRPr="00AD5C1F" w:rsidRDefault="00086DC8" w:rsidP="00086DC8">
      <w:pPr>
        <w:ind w:left="4320"/>
        <w:rPr>
          <w:rFonts w:cs="Arial"/>
        </w:rPr>
      </w:pPr>
      <w:r w:rsidRPr="00AD5C1F">
        <w:rPr>
          <w:rFonts w:cs="Arial"/>
        </w:rPr>
        <w:t>James D. Perko, Jr. (</w:t>
      </w:r>
      <w:r w:rsidR="00D437D5">
        <w:rPr>
          <w:rFonts w:cs="Arial"/>
        </w:rPr>
        <w:t>Reg. No.</w:t>
      </w:r>
      <w:r w:rsidRPr="00AD5C1F">
        <w:rPr>
          <w:rFonts w:cs="Arial"/>
        </w:rPr>
        <w:t>0093312)</w:t>
      </w:r>
    </w:p>
    <w:p w14:paraId="025498C0" w14:textId="77777777" w:rsidR="00086DC8" w:rsidRPr="00AD5C1F" w:rsidRDefault="00086DC8" w:rsidP="00086DC8">
      <w:pPr>
        <w:ind w:left="4320"/>
        <w:rPr>
          <w:rFonts w:cs="Arial"/>
        </w:rPr>
      </w:pPr>
      <w:r w:rsidRPr="00AD5C1F">
        <w:rPr>
          <w:rFonts w:cs="Arial"/>
        </w:rPr>
        <w:t>Carpenter Lipps &amp; Leland LLP</w:t>
      </w:r>
    </w:p>
    <w:p w14:paraId="0274BFEA" w14:textId="77777777" w:rsidR="00086DC8" w:rsidRPr="00AD5C1F" w:rsidRDefault="00086DC8" w:rsidP="00086DC8">
      <w:pPr>
        <w:ind w:left="4320"/>
        <w:rPr>
          <w:rFonts w:cs="Arial"/>
        </w:rPr>
      </w:pPr>
      <w:r w:rsidRPr="00AD5C1F">
        <w:rPr>
          <w:rFonts w:cs="Arial"/>
        </w:rPr>
        <w:t>280 Plaza, Suite 1300</w:t>
      </w:r>
    </w:p>
    <w:p w14:paraId="53F33665" w14:textId="77777777" w:rsidR="00086DC8" w:rsidRPr="00AD5C1F" w:rsidRDefault="00086DC8" w:rsidP="00086DC8">
      <w:pPr>
        <w:ind w:left="4320"/>
        <w:rPr>
          <w:rFonts w:cs="Arial"/>
        </w:rPr>
      </w:pPr>
      <w:r w:rsidRPr="00AD5C1F">
        <w:rPr>
          <w:rFonts w:cs="Arial"/>
        </w:rPr>
        <w:t>280 North High Street</w:t>
      </w:r>
    </w:p>
    <w:p w14:paraId="347AAEFB" w14:textId="77777777" w:rsidR="00086DC8" w:rsidRPr="00AD5C1F" w:rsidRDefault="00086DC8" w:rsidP="00086DC8">
      <w:pPr>
        <w:ind w:left="4320"/>
        <w:rPr>
          <w:rFonts w:cs="Arial"/>
        </w:rPr>
      </w:pPr>
      <w:r w:rsidRPr="00AD5C1F">
        <w:rPr>
          <w:rFonts w:cs="Arial"/>
        </w:rPr>
        <w:t>Columbus, Ohio 43215</w:t>
      </w:r>
    </w:p>
    <w:p w14:paraId="6197B3C4" w14:textId="77777777" w:rsidR="00086DC8" w:rsidRPr="00AD5C1F" w:rsidRDefault="00086DC8" w:rsidP="00086DC8">
      <w:pPr>
        <w:ind w:left="4320"/>
        <w:rPr>
          <w:rFonts w:cs="Arial"/>
        </w:rPr>
      </w:pPr>
      <w:r w:rsidRPr="00AD5C1F">
        <w:rPr>
          <w:rFonts w:cs="Arial"/>
        </w:rPr>
        <w:t>(614) 365-4100</w:t>
      </w:r>
    </w:p>
    <w:p w14:paraId="13D84537" w14:textId="77777777" w:rsidR="00086DC8" w:rsidRPr="00AD5C1F" w:rsidRDefault="00F34FE4" w:rsidP="00086DC8">
      <w:pPr>
        <w:ind w:left="4320"/>
        <w:rPr>
          <w:rFonts w:cs="Arial"/>
        </w:rPr>
      </w:pPr>
      <w:hyperlink r:id="rId22" w:history="1">
        <w:r w:rsidR="00086DC8" w:rsidRPr="00AD5C1F">
          <w:rPr>
            <w:rStyle w:val="Hyperlink"/>
            <w:rFonts w:cs="Arial"/>
          </w:rPr>
          <w:t>Bojko@carpenterlipps.com</w:t>
        </w:r>
      </w:hyperlink>
    </w:p>
    <w:p w14:paraId="6AE40EBE" w14:textId="77777777" w:rsidR="00086DC8" w:rsidRPr="00AD5C1F" w:rsidRDefault="00F34FE4" w:rsidP="00086DC8">
      <w:pPr>
        <w:ind w:left="4320"/>
        <w:rPr>
          <w:rFonts w:cs="Arial"/>
        </w:rPr>
      </w:pPr>
      <w:hyperlink r:id="rId23" w:history="1">
        <w:r w:rsidR="00086DC8" w:rsidRPr="00AD5C1F">
          <w:rPr>
            <w:rStyle w:val="Hyperlink"/>
            <w:rFonts w:cs="Arial"/>
          </w:rPr>
          <w:t>Perko@carpenterlipps.com</w:t>
        </w:r>
      </w:hyperlink>
    </w:p>
    <w:p w14:paraId="4A167EF7" w14:textId="0787439E" w:rsidR="00086DC8" w:rsidRPr="00AD5C1F" w:rsidRDefault="00086DC8" w:rsidP="00086DC8">
      <w:pPr>
        <w:ind w:left="4320"/>
        <w:rPr>
          <w:rFonts w:cs="Arial"/>
        </w:rPr>
      </w:pPr>
      <w:r w:rsidRPr="00AD5C1F">
        <w:rPr>
          <w:rFonts w:cs="Arial"/>
        </w:rPr>
        <w:t>(will accept service by email)</w:t>
      </w:r>
    </w:p>
    <w:p w14:paraId="7CC6F9C9" w14:textId="77777777" w:rsidR="00D437D5" w:rsidRDefault="00D437D5" w:rsidP="00086DC8">
      <w:pPr>
        <w:ind w:left="4320"/>
        <w:rPr>
          <w:rFonts w:ascii="Arial Bold" w:hAnsi="Arial Bold" w:cs="Arial"/>
          <w:b/>
          <w:smallCaps/>
        </w:rPr>
      </w:pPr>
    </w:p>
    <w:p w14:paraId="5C11B1F4" w14:textId="2563679A" w:rsidR="00086DC8" w:rsidRPr="00AD5C1F" w:rsidRDefault="00086DC8" w:rsidP="00885D2B">
      <w:pPr>
        <w:ind w:left="4320"/>
        <w:jc w:val="left"/>
        <w:rPr>
          <w:rFonts w:ascii="Arial Bold" w:hAnsi="Arial Bold"/>
          <w:b/>
          <w:smallCaps/>
        </w:rPr>
      </w:pPr>
      <w:r w:rsidRPr="00AD5C1F">
        <w:rPr>
          <w:rFonts w:ascii="Arial Bold" w:hAnsi="Arial Bold" w:cs="Arial"/>
          <w:b/>
          <w:smallCaps/>
        </w:rPr>
        <w:t>On Behalf of Ohio Manufacture</w:t>
      </w:r>
      <w:r w:rsidR="009547C0">
        <w:rPr>
          <w:rFonts w:ascii="Arial Bold" w:hAnsi="Arial Bold" w:cs="Arial"/>
          <w:b/>
          <w:smallCaps/>
        </w:rPr>
        <w:t>r</w:t>
      </w:r>
      <w:r w:rsidRPr="00AD5C1F">
        <w:rPr>
          <w:rFonts w:ascii="Arial Bold" w:hAnsi="Arial Bold" w:cs="Arial"/>
          <w:b/>
          <w:smallCaps/>
        </w:rPr>
        <w:t>s’ Association Energy Group</w:t>
      </w:r>
    </w:p>
    <w:p w14:paraId="09674785" w14:textId="75A5E7B1" w:rsidR="00086DC8" w:rsidRDefault="00086DC8" w:rsidP="00C7044E">
      <w:pPr>
        <w:tabs>
          <w:tab w:val="left" w:pos="-1440"/>
          <w:tab w:val="left" w:pos="-720"/>
          <w:tab w:val="left" w:pos="4320"/>
        </w:tabs>
        <w:ind w:left="4320" w:hanging="4320"/>
        <w:rPr>
          <w:rFonts w:eastAsia="Calibri" w:cs="Arial"/>
          <w:b/>
        </w:rPr>
      </w:pPr>
    </w:p>
    <w:p w14:paraId="44E78733" w14:textId="220661D7" w:rsidR="00D437D5" w:rsidRPr="00885D2B" w:rsidRDefault="00D437D5" w:rsidP="00885D2B">
      <w:pPr>
        <w:autoSpaceDE w:val="0"/>
        <w:autoSpaceDN w:val="0"/>
        <w:adjustRightInd w:val="0"/>
        <w:snapToGrid w:val="0"/>
        <w:ind w:left="3600" w:firstLine="720"/>
        <w:jc w:val="left"/>
        <w:rPr>
          <w:rFonts w:ascii="Times-Roman" w:eastAsia="Times New Roman" w:hAnsi="Times-Roman" w:cs="Times-Roman"/>
          <w:i/>
          <w:color w:val="000000"/>
          <w:u w:val="single"/>
        </w:rPr>
      </w:pPr>
      <w:r w:rsidRPr="00885D2B">
        <w:rPr>
          <w:rFonts w:ascii="Times-Roman" w:eastAsia="Times New Roman" w:hAnsi="Times-Roman" w:cs="Times-Roman"/>
          <w:i/>
          <w:color w:val="000000"/>
          <w:u w:val="single"/>
        </w:rPr>
        <w:t>/s/ Angela Paul Whitfield</w:t>
      </w:r>
      <w:r>
        <w:rPr>
          <w:rFonts w:ascii="Times-Roman" w:eastAsia="Times New Roman" w:hAnsi="Times-Roman" w:cs="Times-Roman"/>
          <w:i/>
          <w:color w:val="000000"/>
          <w:u w:val="single"/>
        </w:rPr>
        <w:tab/>
      </w:r>
      <w:r>
        <w:rPr>
          <w:rFonts w:ascii="Times-Roman" w:eastAsia="Times New Roman" w:hAnsi="Times-Roman" w:cs="Times-Roman"/>
          <w:i/>
          <w:color w:val="000000"/>
          <w:u w:val="single"/>
        </w:rPr>
        <w:tab/>
      </w:r>
      <w:r>
        <w:rPr>
          <w:rFonts w:ascii="Times-Roman" w:eastAsia="Times New Roman" w:hAnsi="Times-Roman" w:cs="Times-Roman"/>
          <w:i/>
          <w:color w:val="000000"/>
          <w:u w:val="single"/>
        </w:rPr>
        <w:tab/>
      </w:r>
      <w:r>
        <w:rPr>
          <w:rFonts w:ascii="Times-Roman" w:eastAsia="Times New Roman" w:hAnsi="Times-Roman" w:cs="Times-Roman"/>
          <w:i/>
          <w:color w:val="000000"/>
          <w:u w:val="single"/>
        </w:rPr>
        <w:tab/>
      </w:r>
    </w:p>
    <w:p w14:paraId="188C0706" w14:textId="4FE2A52D" w:rsidR="00D437D5" w:rsidRDefault="00D437D5" w:rsidP="00885D2B">
      <w:pPr>
        <w:autoSpaceDE w:val="0"/>
        <w:autoSpaceDN w:val="0"/>
        <w:adjustRightInd w:val="0"/>
        <w:snapToGrid w:val="0"/>
        <w:ind w:left="3600" w:firstLine="720"/>
        <w:jc w:val="left"/>
        <w:rPr>
          <w:rFonts w:ascii="Times-Roman" w:eastAsia="Times New Roman" w:hAnsi="Times-Roman" w:cs="Times-Roman"/>
          <w:color w:val="000000"/>
          <w:lang w:val="x-none"/>
        </w:rPr>
      </w:pPr>
      <w:r>
        <w:rPr>
          <w:rFonts w:ascii="Times-Roman" w:eastAsia="Times New Roman" w:hAnsi="Times-Roman" w:cs="Times-Roman"/>
          <w:color w:val="000000"/>
          <w:lang w:val="x-none"/>
        </w:rPr>
        <w:t>Angela Paul Whitfield (</w:t>
      </w:r>
      <w:r>
        <w:rPr>
          <w:rFonts w:ascii="Times-Roman" w:eastAsia="Times New Roman" w:hAnsi="Times-Roman" w:cs="Times-Roman"/>
          <w:color w:val="000000"/>
        </w:rPr>
        <w:t xml:space="preserve">Reg. No. </w:t>
      </w:r>
      <w:r>
        <w:rPr>
          <w:rFonts w:ascii="Times-Roman" w:eastAsia="Times New Roman" w:hAnsi="Times-Roman" w:cs="Times-Roman"/>
          <w:color w:val="000000"/>
          <w:lang w:val="x-none"/>
        </w:rPr>
        <w:t xml:space="preserve">0068774) </w:t>
      </w:r>
    </w:p>
    <w:p w14:paraId="01981D71" w14:textId="3AEC5BD6" w:rsidR="00D437D5" w:rsidRDefault="00D437D5" w:rsidP="00885D2B">
      <w:pPr>
        <w:autoSpaceDE w:val="0"/>
        <w:autoSpaceDN w:val="0"/>
        <w:adjustRightInd w:val="0"/>
        <w:snapToGrid w:val="0"/>
        <w:ind w:left="3600" w:firstLine="720"/>
        <w:jc w:val="left"/>
        <w:rPr>
          <w:rFonts w:ascii="Times-Roman" w:eastAsia="Times New Roman" w:hAnsi="Times-Roman" w:cs="Times-Roman"/>
          <w:color w:val="000000"/>
          <w:lang w:val="x-none"/>
        </w:rPr>
      </w:pPr>
      <w:r>
        <w:rPr>
          <w:rFonts w:ascii="Times-Roman" w:eastAsia="Times New Roman" w:hAnsi="Times-Roman" w:cs="Times-Roman"/>
          <w:color w:val="000000"/>
          <w:lang w:val="x-none"/>
        </w:rPr>
        <w:t>(Counsel of Record)</w:t>
      </w:r>
    </w:p>
    <w:p w14:paraId="43AE1892" w14:textId="77777777" w:rsidR="00D437D5" w:rsidRDefault="00D437D5" w:rsidP="00885D2B">
      <w:pPr>
        <w:autoSpaceDE w:val="0"/>
        <w:autoSpaceDN w:val="0"/>
        <w:adjustRightInd w:val="0"/>
        <w:snapToGrid w:val="0"/>
        <w:ind w:left="3600" w:firstLine="720"/>
        <w:jc w:val="left"/>
        <w:rPr>
          <w:rFonts w:ascii="Times-Roman" w:eastAsia="Times New Roman" w:hAnsi="Times-Roman" w:cs="Times-Roman"/>
          <w:color w:val="000000"/>
          <w:lang w:val="x-none"/>
        </w:rPr>
      </w:pPr>
      <w:r>
        <w:rPr>
          <w:rFonts w:ascii="Times-Roman" w:eastAsia="Times New Roman" w:hAnsi="Times-Roman" w:cs="Times-Roman"/>
          <w:color w:val="000000"/>
          <w:lang w:val="x-none"/>
        </w:rPr>
        <w:t>Carpenter Lipps &amp; Leland LLP</w:t>
      </w:r>
    </w:p>
    <w:p w14:paraId="08F16C70" w14:textId="77777777" w:rsidR="00D437D5" w:rsidRDefault="00D437D5" w:rsidP="00885D2B">
      <w:pPr>
        <w:autoSpaceDE w:val="0"/>
        <w:autoSpaceDN w:val="0"/>
        <w:adjustRightInd w:val="0"/>
        <w:snapToGrid w:val="0"/>
        <w:ind w:left="3600" w:firstLine="720"/>
        <w:jc w:val="left"/>
        <w:rPr>
          <w:rFonts w:ascii="Times-Roman" w:eastAsia="Times New Roman" w:hAnsi="Times-Roman" w:cs="Times-Roman"/>
          <w:color w:val="000000"/>
          <w:lang w:val="x-none"/>
        </w:rPr>
      </w:pPr>
      <w:r>
        <w:rPr>
          <w:rFonts w:ascii="Times-Roman" w:eastAsia="Times New Roman" w:hAnsi="Times-Roman" w:cs="Times-Roman"/>
          <w:color w:val="000000"/>
          <w:lang w:val="x-none"/>
        </w:rPr>
        <w:t>280 North High Street, Suite 1300</w:t>
      </w:r>
    </w:p>
    <w:p w14:paraId="30D9C9FF" w14:textId="77777777" w:rsidR="00D437D5" w:rsidRDefault="00D437D5" w:rsidP="00885D2B">
      <w:pPr>
        <w:autoSpaceDE w:val="0"/>
        <w:autoSpaceDN w:val="0"/>
        <w:adjustRightInd w:val="0"/>
        <w:snapToGrid w:val="0"/>
        <w:ind w:left="3600" w:firstLine="720"/>
        <w:jc w:val="left"/>
        <w:rPr>
          <w:rFonts w:ascii="Times-Roman" w:eastAsia="Times New Roman" w:hAnsi="Times-Roman" w:cs="Times-Roman"/>
          <w:color w:val="000000"/>
          <w:lang w:val="x-none"/>
        </w:rPr>
      </w:pPr>
      <w:r>
        <w:rPr>
          <w:rFonts w:ascii="Times-Roman" w:eastAsia="Times New Roman" w:hAnsi="Times-Roman" w:cs="Times-Roman"/>
          <w:color w:val="000000"/>
          <w:lang w:val="x-none"/>
        </w:rPr>
        <w:t>Columbus, Ohio 43215</w:t>
      </w:r>
    </w:p>
    <w:p w14:paraId="2E271627" w14:textId="77777777" w:rsidR="00D437D5" w:rsidRDefault="00D437D5" w:rsidP="00885D2B">
      <w:pPr>
        <w:autoSpaceDE w:val="0"/>
        <w:autoSpaceDN w:val="0"/>
        <w:adjustRightInd w:val="0"/>
        <w:snapToGrid w:val="0"/>
        <w:ind w:left="3600" w:firstLine="720"/>
        <w:jc w:val="left"/>
        <w:rPr>
          <w:rFonts w:ascii="Times-Roman" w:eastAsia="Times New Roman" w:hAnsi="Times-Roman" w:cs="Times-Roman"/>
          <w:color w:val="000000"/>
          <w:lang w:val="x-none"/>
        </w:rPr>
      </w:pPr>
      <w:r>
        <w:rPr>
          <w:rFonts w:ascii="Times-Roman" w:eastAsia="Times New Roman" w:hAnsi="Times-Roman" w:cs="Times-Roman"/>
          <w:color w:val="000000"/>
          <w:lang w:val="x-none"/>
        </w:rPr>
        <w:t>Telephone: (614) 365-4100</w:t>
      </w:r>
    </w:p>
    <w:p w14:paraId="2C8999D4" w14:textId="77777777" w:rsidR="00D437D5" w:rsidRDefault="00D437D5" w:rsidP="00885D2B">
      <w:pPr>
        <w:autoSpaceDE w:val="0"/>
        <w:autoSpaceDN w:val="0"/>
        <w:adjustRightInd w:val="0"/>
        <w:snapToGrid w:val="0"/>
        <w:ind w:left="3600" w:firstLine="720"/>
        <w:jc w:val="left"/>
        <w:rPr>
          <w:rFonts w:ascii="Times-Roman" w:eastAsia="Times New Roman" w:hAnsi="Times-Roman" w:cs="Times-Roman"/>
          <w:color w:val="0000FF"/>
          <w:lang w:val="x-none"/>
        </w:rPr>
      </w:pPr>
      <w:r>
        <w:rPr>
          <w:rFonts w:ascii="Times-Roman" w:eastAsia="Times New Roman" w:hAnsi="Times-Roman" w:cs="Times-Roman"/>
          <w:color w:val="000000"/>
          <w:lang w:val="x-none"/>
        </w:rPr>
        <w:t xml:space="preserve">Email: </w:t>
      </w:r>
      <w:r>
        <w:rPr>
          <w:rFonts w:ascii="Times-Roman" w:eastAsia="Times New Roman" w:hAnsi="Times-Roman" w:cs="Times-Roman"/>
          <w:color w:val="0000FF"/>
          <w:lang w:val="x-none"/>
        </w:rPr>
        <w:t>paul@carpenterlipps.com</w:t>
      </w:r>
    </w:p>
    <w:p w14:paraId="35DF34AE" w14:textId="77777777" w:rsidR="00D437D5" w:rsidRDefault="00D437D5" w:rsidP="00885D2B">
      <w:pPr>
        <w:autoSpaceDE w:val="0"/>
        <w:autoSpaceDN w:val="0"/>
        <w:adjustRightInd w:val="0"/>
        <w:snapToGrid w:val="0"/>
        <w:ind w:left="3600" w:firstLine="720"/>
        <w:jc w:val="left"/>
        <w:rPr>
          <w:rFonts w:ascii="Times-Roman" w:eastAsia="Times New Roman" w:hAnsi="Times-Roman" w:cs="Times-Roman"/>
          <w:color w:val="000000"/>
          <w:lang w:val="x-none"/>
        </w:rPr>
      </w:pPr>
      <w:r>
        <w:rPr>
          <w:rFonts w:ascii="Times-Roman" w:eastAsia="Times New Roman" w:hAnsi="Times-Roman" w:cs="Times-Roman"/>
          <w:color w:val="000000"/>
          <w:lang w:val="x-none"/>
        </w:rPr>
        <w:t>(</w:t>
      </w:r>
      <w:r>
        <w:rPr>
          <w:rFonts w:ascii="Times-Roman" w:eastAsia="Times New Roman" w:hAnsi="Times-Roman" w:cs="Times-Roman"/>
          <w:color w:val="000000"/>
        </w:rPr>
        <w:t xml:space="preserve">will </w:t>
      </w:r>
      <w:r>
        <w:rPr>
          <w:rFonts w:ascii="Times-Roman" w:eastAsia="Times New Roman" w:hAnsi="Times-Roman" w:cs="Times-Roman"/>
          <w:color w:val="000000"/>
          <w:lang w:val="x-none"/>
        </w:rPr>
        <w:t xml:space="preserve">accept service </w:t>
      </w:r>
      <w:r>
        <w:rPr>
          <w:rFonts w:ascii="Times-Roman" w:eastAsia="Times New Roman" w:hAnsi="Times-Roman" w:cs="Times-Roman"/>
          <w:color w:val="000000"/>
        </w:rPr>
        <w:t>via</w:t>
      </w:r>
      <w:r>
        <w:rPr>
          <w:rFonts w:ascii="Times-Roman" w:eastAsia="Times New Roman" w:hAnsi="Times-Roman" w:cs="Times-Roman"/>
          <w:color w:val="000000"/>
          <w:lang w:val="x-none"/>
        </w:rPr>
        <w:t xml:space="preserve"> email)</w:t>
      </w:r>
    </w:p>
    <w:p w14:paraId="4EF4C8CF" w14:textId="77777777" w:rsidR="00D437D5" w:rsidRDefault="00D437D5" w:rsidP="00D437D5">
      <w:pPr>
        <w:autoSpaceDE w:val="0"/>
        <w:autoSpaceDN w:val="0"/>
        <w:adjustRightInd w:val="0"/>
        <w:snapToGrid w:val="0"/>
        <w:jc w:val="left"/>
        <w:rPr>
          <w:rFonts w:ascii="Times-Roman" w:eastAsia="Times New Roman" w:hAnsi="Times-Roman" w:cs="Times-Roman"/>
          <w:color w:val="000000"/>
          <w:lang w:val="x-none"/>
        </w:rPr>
      </w:pPr>
    </w:p>
    <w:p w14:paraId="1FC87F9F" w14:textId="77777777" w:rsidR="00D437D5" w:rsidRPr="00C02AD6" w:rsidRDefault="00D437D5" w:rsidP="00885D2B">
      <w:pPr>
        <w:autoSpaceDE w:val="0"/>
        <w:autoSpaceDN w:val="0"/>
        <w:adjustRightInd w:val="0"/>
        <w:snapToGrid w:val="0"/>
        <w:ind w:left="3600" w:firstLine="720"/>
        <w:jc w:val="left"/>
        <w:rPr>
          <w:rFonts w:eastAsia="Times New Roman" w:cs="Arial"/>
          <w:b/>
          <w:smallCaps/>
          <w:color w:val="000000"/>
          <w:lang w:val="x-none"/>
        </w:rPr>
      </w:pPr>
      <w:r>
        <w:rPr>
          <w:rFonts w:eastAsia="Times New Roman" w:cs="Arial"/>
          <w:b/>
          <w:smallCaps/>
          <w:color w:val="000000"/>
        </w:rPr>
        <w:t>On Behalf of</w:t>
      </w:r>
      <w:r w:rsidRPr="00C02AD6">
        <w:rPr>
          <w:rFonts w:eastAsia="Times New Roman" w:cs="Arial"/>
          <w:b/>
          <w:smallCaps/>
          <w:color w:val="000000"/>
          <w:lang w:val="x-none"/>
        </w:rPr>
        <w:t xml:space="preserve"> The Kroger Co.</w:t>
      </w:r>
    </w:p>
    <w:p w14:paraId="78B66B35" w14:textId="19C49183" w:rsidR="00D437D5" w:rsidRPr="00885D2B" w:rsidRDefault="00D437D5" w:rsidP="00C7044E">
      <w:pPr>
        <w:tabs>
          <w:tab w:val="left" w:pos="-1440"/>
          <w:tab w:val="left" w:pos="-720"/>
          <w:tab w:val="left" w:pos="4320"/>
        </w:tabs>
        <w:ind w:left="4320" w:hanging="4320"/>
        <w:rPr>
          <w:rFonts w:eastAsia="Calibri" w:cs="Arial"/>
        </w:rPr>
      </w:pPr>
    </w:p>
    <w:p w14:paraId="4C70DF4A" w14:textId="77777777" w:rsidR="00C206BD" w:rsidRDefault="00C206BD">
      <w:pPr>
        <w:jc w:val="left"/>
      </w:pPr>
      <w:r>
        <w:br w:type="page"/>
      </w:r>
    </w:p>
    <w:p w14:paraId="2132EF4E" w14:textId="77777777" w:rsidR="00C7044E" w:rsidRPr="0024187C" w:rsidRDefault="00C7044E" w:rsidP="00C7044E">
      <w:pPr>
        <w:jc w:val="center"/>
        <w:rPr>
          <w:b/>
        </w:rPr>
      </w:pPr>
      <w:r w:rsidRPr="0024187C">
        <w:rPr>
          <w:b/>
        </w:rPr>
        <w:lastRenderedPageBreak/>
        <w:t>BEFORE</w:t>
      </w:r>
    </w:p>
    <w:p w14:paraId="3A133983" w14:textId="77777777" w:rsidR="00C7044E" w:rsidRPr="0024187C" w:rsidRDefault="00C7044E" w:rsidP="00C7044E">
      <w:pPr>
        <w:jc w:val="center"/>
        <w:rPr>
          <w:b/>
        </w:rPr>
      </w:pPr>
      <w:r w:rsidRPr="0024187C">
        <w:rPr>
          <w:b/>
        </w:rPr>
        <w:t>THE PUBLIC UTILITIES COMMISSION OF OHIO</w:t>
      </w:r>
    </w:p>
    <w:p w14:paraId="0E921695" w14:textId="77777777" w:rsidR="00C7044E" w:rsidRPr="0024187C" w:rsidRDefault="00C7044E" w:rsidP="00C7044E">
      <w:pPr>
        <w:jc w:val="center"/>
        <w:rPr>
          <w:b/>
        </w:rPr>
      </w:pPr>
    </w:p>
    <w:p w14:paraId="15790A41" w14:textId="77777777" w:rsidR="00C7044E" w:rsidRPr="0024187C" w:rsidRDefault="00C7044E" w:rsidP="00C7044E">
      <w:pPr>
        <w:jc w:val="center"/>
        <w:rPr>
          <w:b/>
        </w:rPr>
      </w:pPr>
    </w:p>
    <w:p w14:paraId="5F8B14F6" w14:textId="77777777" w:rsidR="00C7044E" w:rsidRPr="0024187C" w:rsidRDefault="00C7044E" w:rsidP="00C7044E">
      <w:pPr>
        <w:tabs>
          <w:tab w:val="left" w:pos="4680"/>
        </w:tabs>
        <w:jc w:val="left"/>
      </w:pPr>
      <w:r w:rsidRPr="0024187C">
        <w:t>In the Matter of the Application of Duke</w:t>
      </w:r>
      <w:r w:rsidRPr="0024187C">
        <w:tab/>
        <w:t>)</w:t>
      </w:r>
    </w:p>
    <w:p w14:paraId="75B007CB" w14:textId="77777777" w:rsidR="00C7044E" w:rsidRPr="0024187C" w:rsidRDefault="00C7044E" w:rsidP="00C7044E">
      <w:pPr>
        <w:tabs>
          <w:tab w:val="left" w:pos="4680"/>
        </w:tabs>
        <w:jc w:val="left"/>
      </w:pPr>
      <w:r w:rsidRPr="0024187C">
        <w:t>Energy Ohio, Inc., for Approval to Modify</w:t>
      </w:r>
      <w:r w:rsidRPr="0024187C">
        <w:tab/>
        <w:t>)</w:t>
      </w:r>
      <w:r w:rsidRPr="0024187C">
        <w:tab/>
      </w:r>
      <w:r w:rsidRPr="0024187C">
        <w:tab/>
        <w:t>Case No. 17-872-EL-RDR</w:t>
      </w:r>
    </w:p>
    <w:p w14:paraId="7D27DC32" w14:textId="77777777" w:rsidR="00C7044E" w:rsidRPr="0024187C" w:rsidRDefault="00C7044E" w:rsidP="00C7044E">
      <w:pPr>
        <w:tabs>
          <w:tab w:val="left" w:pos="4680"/>
        </w:tabs>
        <w:jc w:val="left"/>
      </w:pPr>
      <w:r w:rsidRPr="0024187C">
        <w:t>Rider PSR.</w:t>
      </w:r>
      <w:r w:rsidRPr="0024187C">
        <w:tab/>
        <w:t>)</w:t>
      </w:r>
    </w:p>
    <w:p w14:paraId="7D376844" w14:textId="77777777" w:rsidR="00C7044E" w:rsidRPr="0024187C" w:rsidRDefault="00C7044E" w:rsidP="00C7044E">
      <w:pPr>
        <w:tabs>
          <w:tab w:val="left" w:pos="4680"/>
        </w:tabs>
        <w:jc w:val="left"/>
      </w:pPr>
    </w:p>
    <w:p w14:paraId="51A7ED84" w14:textId="77777777" w:rsidR="00C7044E" w:rsidRPr="0024187C" w:rsidRDefault="00C7044E" w:rsidP="00C7044E">
      <w:pPr>
        <w:tabs>
          <w:tab w:val="left" w:pos="4680"/>
        </w:tabs>
        <w:jc w:val="left"/>
      </w:pPr>
      <w:r w:rsidRPr="0024187C">
        <w:t>In the Matter of the Application of Duke</w:t>
      </w:r>
      <w:r w:rsidRPr="0024187C">
        <w:tab/>
        <w:t>)</w:t>
      </w:r>
    </w:p>
    <w:p w14:paraId="324FC1B0" w14:textId="77777777" w:rsidR="00C7044E" w:rsidRPr="0024187C" w:rsidRDefault="00C7044E" w:rsidP="00C7044E">
      <w:pPr>
        <w:tabs>
          <w:tab w:val="left" w:pos="4680"/>
        </w:tabs>
        <w:jc w:val="left"/>
      </w:pPr>
      <w:r w:rsidRPr="0024187C">
        <w:t>Energy Ohio, Inc., for Approval to Amend</w:t>
      </w:r>
      <w:r w:rsidRPr="0024187C">
        <w:tab/>
        <w:t>)</w:t>
      </w:r>
      <w:r w:rsidRPr="0024187C">
        <w:tab/>
      </w:r>
      <w:r w:rsidRPr="0024187C">
        <w:tab/>
        <w:t>Case No. 17-873-EL-ATA</w:t>
      </w:r>
    </w:p>
    <w:p w14:paraId="38C64385" w14:textId="77777777" w:rsidR="00C7044E" w:rsidRPr="0024187C" w:rsidRDefault="00C7044E" w:rsidP="00C7044E">
      <w:pPr>
        <w:tabs>
          <w:tab w:val="left" w:pos="4680"/>
        </w:tabs>
        <w:jc w:val="left"/>
      </w:pPr>
      <w:r w:rsidRPr="0024187C">
        <w:t>Rider PSR.</w:t>
      </w:r>
      <w:r w:rsidRPr="0024187C">
        <w:tab/>
        <w:t>)</w:t>
      </w:r>
    </w:p>
    <w:p w14:paraId="29192334" w14:textId="77777777" w:rsidR="00C7044E" w:rsidRPr="0024187C" w:rsidRDefault="00C7044E" w:rsidP="00C7044E">
      <w:pPr>
        <w:tabs>
          <w:tab w:val="left" w:pos="4680"/>
        </w:tabs>
        <w:jc w:val="left"/>
      </w:pPr>
    </w:p>
    <w:p w14:paraId="44684C38" w14:textId="77777777" w:rsidR="00C7044E" w:rsidRPr="0024187C" w:rsidRDefault="00C7044E" w:rsidP="00C7044E">
      <w:pPr>
        <w:tabs>
          <w:tab w:val="left" w:pos="4680"/>
        </w:tabs>
        <w:jc w:val="left"/>
      </w:pPr>
      <w:r w:rsidRPr="0024187C">
        <w:t>In the Matter of the Application of Duke</w:t>
      </w:r>
      <w:r w:rsidRPr="0024187C">
        <w:tab/>
        <w:t>)</w:t>
      </w:r>
    </w:p>
    <w:p w14:paraId="7040E160" w14:textId="77777777" w:rsidR="00C7044E" w:rsidRPr="0024187C" w:rsidRDefault="00C7044E" w:rsidP="00C7044E">
      <w:pPr>
        <w:tabs>
          <w:tab w:val="left" w:pos="4680"/>
        </w:tabs>
        <w:jc w:val="left"/>
      </w:pPr>
      <w:r w:rsidRPr="0024187C">
        <w:t>Energy Ohio, Inc., for Approval to Change</w:t>
      </w:r>
      <w:r w:rsidRPr="0024187C">
        <w:tab/>
        <w:t>)</w:t>
      </w:r>
      <w:r w:rsidRPr="0024187C">
        <w:tab/>
      </w:r>
      <w:r w:rsidRPr="0024187C">
        <w:tab/>
        <w:t>Case No. 17-874-EL-AAM</w:t>
      </w:r>
    </w:p>
    <w:p w14:paraId="04130256" w14:textId="77777777" w:rsidR="00C7044E" w:rsidRPr="0024187C" w:rsidRDefault="00C7044E" w:rsidP="00C7044E">
      <w:pPr>
        <w:tabs>
          <w:tab w:val="left" w:pos="4680"/>
        </w:tabs>
        <w:jc w:val="left"/>
      </w:pPr>
      <w:r w:rsidRPr="0024187C">
        <w:t>Accounting Methods.</w:t>
      </w:r>
      <w:r w:rsidRPr="0024187C">
        <w:tab/>
        <w:t>)</w:t>
      </w:r>
    </w:p>
    <w:p w14:paraId="684D446D" w14:textId="77777777" w:rsidR="007551C3" w:rsidRPr="00720419" w:rsidRDefault="007551C3" w:rsidP="00720419"/>
    <w:p w14:paraId="774709B9" w14:textId="77777777" w:rsidR="007551C3" w:rsidRDefault="00720419" w:rsidP="007551C3">
      <w:pPr>
        <w:rPr>
          <w:b/>
        </w:rPr>
      </w:pPr>
      <w:r>
        <w:rPr>
          <w:b/>
        </w:rPr>
        <w:t>______________________________________________________________________</w:t>
      </w:r>
    </w:p>
    <w:p w14:paraId="7B4CEF45" w14:textId="77777777" w:rsidR="00720419" w:rsidRPr="000F2E9D" w:rsidRDefault="00720419" w:rsidP="007551C3">
      <w:pPr>
        <w:rPr>
          <w:b/>
        </w:rPr>
      </w:pPr>
    </w:p>
    <w:p w14:paraId="51842E04" w14:textId="77777777" w:rsidR="007551C3" w:rsidRDefault="007551C3" w:rsidP="007551C3">
      <w:pPr>
        <w:jc w:val="center"/>
        <w:rPr>
          <w:rFonts w:ascii="Arial Bold" w:hAnsi="Arial Bold"/>
          <w:b/>
          <w:smallCaps/>
          <w:sz w:val="28"/>
          <w:szCs w:val="28"/>
        </w:rPr>
      </w:pPr>
      <w:r>
        <w:rPr>
          <w:rFonts w:ascii="Arial Bold" w:hAnsi="Arial Bold"/>
          <w:b/>
          <w:smallCaps/>
          <w:sz w:val="28"/>
          <w:szCs w:val="28"/>
        </w:rPr>
        <w:t>Memorandum in Support</w:t>
      </w:r>
    </w:p>
    <w:p w14:paraId="56E62459" w14:textId="77777777" w:rsidR="007551C3" w:rsidRPr="008810B2" w:rsidRDefault="007551C3" w:rsidP="007551C3">
      <w:pPr>
        <w:pBdr>
          <w:bottom w:val="single" w:sz="12" w:space="1" w:color="auto"/>
        </w:pBdr>
        <w:jc w:val="center"/>
        <w:rPr>
          <w:rFonts w:ascii="Arial Bold" w:hAnsi="Arial Bold"/>
          <w:b/>
          <w:smallCaps/>
        </w:rPr>
      </w:pPr>
    </w:p>
    <w:p w14:paraId="560D3C74" w14:textId="77777777" w:rsidR="007551C3" w:rsidRDefault="007551C3" w:rsidP="00525CF5">
      <w:pPr>
        <w:spacing w:line="480" w:lineRule="auto"/>
      </w:pPr>
    </w:p>
    <w:p w14:paraId="54D50AFA" w14:textId="77777777" w:rsidR="00B43C9D" w:rsidRDefault="00B43C9D" w:rsidP="00D437D5">
      <w:pPr>
        <w:pStyle w:val="Heading1"/>
      </w:pPr>
      <w:bookmarkStart w:id="4" w:name="_Toc480385198"/>
      <w:bookmarkStart w:id="5" w:name="_Toc482013091"/>
      <w:r>
        <w:t>Introduction</w:t>
      </w:r>
      <w:bookmarkEnd w:id="4"/>
      <w:bookmarkEnd w:id="5"/>
    </w:p>
    <w:p w14:paraId="0C12F4B0" w14:textId="2F498205" w:rsidR="003977BF" w:rsidRDefault="00BB74BD" w:rsidP="00525CF5">
      <w:pPr>
        <w:spacing w:line="480" w:lineRule="auto"/>
      </w:pPr>
      <w:r>
        <w:tab/>
      </w:r>
      <w:r w:rsidR="006E3836">
        <w:t>In the Application</w:t>
      </w:r>
      <w:r w:rsidR="00513A07">
        <w:t>s</w:t>
      </w:r>
      <w:r w:rsidR="006E3836">
        <w:t xml:space="preserve"> in this case, </w:t>
      </w:r>
      <w:r>
        <w:t>Duke Energy Ohio, Inc. (“Duke”)</w:t>
      </w:r>
      <w:r w:rsidR="006E3836">
        <w:t xml:space="preserve"> </w:t>
      </w:r>
      <w:r>
        <w:t xml:space="preserve">seeks </w:t>
      </w:r>
      <w:r w:rsidR="00513A07">
        <w:t xml:space="preserve">once again </w:t>
      </w:r>
      <w:r>
        <w:t xml:space="preserve">to saddle customers with the </w:t>
      </w:r>
      <w:r w:rsidR="00161BF3">
        <w:t>wholesale price risk</w:t>
      </w:r>
      <w:r w:rsidR="00C74E3A">
        <w:t xml:space="preserve"> </w:t>
      </w:r>
      <w:r w:rsidR="004C7F0D">
        <w:t>related to</w:t>
      </w:r>
      <w:r w:rsidR="00C74E3A">
        <w:t xml:space="preserve"> </w:t>
      </w:r>
      <w:r w:rsidR="004C7F0D">
        <w:t>Duke’s</w:t>
      </w:r>
      <w:r w:rsidR="00C74E3A">
        <w:t xml:space="preserve"> interest in the Ohio Valley Electric Corporation (“OVEC”)</w:t>
      </w:r>
      <w:r w:rsidR="004C7F0D">
        <w:t xml:space="preserve"> through 2040</w:t>
      </w:r>
      <w:r w:rsidR="00C74E3A">
        <w:t xml:space="preserve">.  </w:t>
      </w:r>
      <w:r w:rsidR="00B73268">
        <w:t xml:space="preserve">Three years </w:t>
      </w:r>
      <w:r w:rsidR="00041581">
        <w:t>ago,</w:t>
      </w:r>
      <w:r w:rsidR="00B73268">
        <w:t xml:space="preserve"> </w:t>
      </w:r>
      <w:r w:rsidR="00130A90">
        <w:t>Duke submitted</w:t>
      </w:r>
      <w:r w:rsidR="00B73268">
        <w:t xml:space="preserve"> a </w:t>
      </w:r>
      <w:r w:rsidR="00F4301B">
        <w:t xml:space="preserve">similar </w:t>
      </w:r>
      <w:r w:rsidR="00B73268">
        <w:t xml:space="preserve">request to the </w:t>
      </w:r>
      <w:r w:rsidR="002E5893">
        <w:t>Commission</w:t>
      </w:r>
      <w:r w:rsidR="00B73268">
        <w:t xml:space="preserve"> seeking a so called "Price Stabilization Rider"</w:t>
      </w:r>
      <w:r w:rsidR="00A742B3">
        <w:t xml:space="preserve"> (“PSR”)</w:t>
      </w:r>
      <w:r w:rsidR="00B73268">
        <w:t xml:space="preserve"> </w:t>
      </w:r>
      <w:r w:rsidR="00F4301B">
        <w:t xml:space="preserve">in its electric security plan.  </w:t>
      </w:r>
      <w:r w:rsidR="00DF5973">
        <w:t>Finding that Duke failed to show that such a charge would produce rate stability or be in the public interest under R.C. 4928.143, t</w:t>
      </w:r>
      <w:r w:rsidR="00513A07">
        <w:t xml:space="preserve">he </w:t>
      </w:r>
      <w:r w:rsidR="002E5893">
        <w:t>Commission</w:t>
      </w:r>
      <w:r w:rsidR="00513A07">
        <w:t xml:space="preserve"> denied Duke's request</w:t>
      </w:r>
      <w:r w:rsidR="004C7F0D">
        <w:t>.</w:t>
      </w:r>
      <w:r w:rsidR="000E1AA0">
        <w:t xml:space="preserve"> </w:t>
      </w:r>
      <w:r w:rsidR="0036276A">
        <w:t xml:space="preserve"> The lawfulness</w:t>
      </w:r>
      <w:r w:rsidR="008359FE">
        <w:t xml:space="preserve"> and reasonableness</w:t>
      </w:r>
      <w:r w:rsidR="0036276A">
        <w:t xml:space="preserve"> of that decision </w:t>
      </w:r>
      <w:r w:rsidR="00513A07">
        <w:t xml:space="preserve">is still under review by the </w:t>
      </w:r>
      <w:r w:rsidR="00736826">
        <w:t>Commission</w:t>
      </w:r>
      <w:r w:rsidR="00513A07">
        <w:t>.</w:t>
      </w:r>
      <w:r w:rsidR="00513A07">
        <w:rPr>
          <w:rStyle w:val="FootnoteReference"/>
        </w:rPr>
        <w:footnoteReference w:id="1"/>
      </w:r>
    </w:p>
    <w:p w14:paraId="4E41AB93" w14:textId="5FE72E06" w:rsidR="00BB74BD" w:rsidRDefault="00DE4C63" w:rsidP="003B68A3">
      <w:pPr>
        <w:spacing w:line="480" w:lineRule="auto"/>
        <w:ind w:firstLine="720"/>
      </w:pPr>
      <w:r>
        <w:t xml:space="preserve">In what is nothing more than an untimely application for rehearing, </w:t>
      </w:r>
      <w:r w:rsidR="000E1AA0">
        <w:t xml:space="preserve">Duke </w:t>
      </w:r>
      <w:r>
        <w:t xml:space="preserve">now </w:t>
      </w:r>
      <w:r w:rsidR="003B6059">
        <w:t xml:space="preserve">requests authorization to shift the price risk associated with its interest in OVEC from its </w:t>
      </w:r>
      <w:r w:rsidR="003B6059">
        <w:lastRenderedPageBreak/>
        <w:t xml:space="preserve">shareholder to </w:t>
      </w:r>
      <w:r w:rsidR="000831B1">
        <w:t>its</w:t>
      </w:r>
      <w:r w:rsidR="003B6059">
        <w:t xml:space="preserve"> retail customers through</w:t>
      </w:r>
      <w:r w:rsidR="00F4301B">
        <w:t xml:space="preserve"> June 30, 2040.</w:t>
      </w:r>
      <w:r w:rsidR="00513A07">
        <w:t xml:space="preserve">  Duke </w:t>
      </w:r>
      <w:r w:rsidR="000E1AA0">
        <w:t xml:space="preserve">claims that the </w:t>
      </w:r>
      <w:r w:rsidR="003B6059">
        <w:t>Commission</w:t>
      </w:r>
      <w:r w:rsidR="000E1AA0">
        <w:t xml:space="preserve"> may</w:t>
      </w:r>
      <w:r w:rsidR="00513A07">
        <w:t xml:space="preserve"> </w:t>
      </w:r>
      <w:r w:rsidR="000E1AA0">
        <w:t xml:space="preserve">authorize </w:t>
      </w:r>
      <w:r w:rsidR="00F4301B">
        <w:t xml:space="preserve">the </w:t>
      </w:r>
      <w:r w:rsidR="00E10283">
        <w:t>PSR based</w:t>
      </w:r>
      <w:r w:rsidR="000E1AA0">
        <w:t xml:space="preserve"> on the </w:t>
      </w:r>
      <w:r w:rsidR="003C6094">
        <w:t>Commission’s general</w:t>
      </w:r>
      <w:r w:rsidR="000E1AA0">
        <w:t xml:space="preserve"> jurisdiction and traditional rate setting authority</w:t>
      </w:r>
      <w:r w:rsidR="004C39CE">
        <w:t xml:space="preserve">. </w:t>
      </w:r>
      <w:r w:rsidR="000E1AA0">
        <w:t xml:space="preserve"> </w:t>
      </w:r>
      <w:r w:rsidR="004C39CE">
        <w:t>T</w:t>
      </w:r>
      <w:r w:rsidR="002070F9">
        <w:t>hose</w:t>
      </w:r>
      <w:r w:rsidR="000E1AA0">
        <w:t xml:space="preserve"> claims are </w:t>
      </w:r>
      <w:r w:rsidR="004A4E08">
        <w:t xml:space="preserve">legally </w:t>
      </w:r>
      <w:r w:rsidR="00513A07">
        <w:t>unsound</w:t>
      </w:r>
      <w:r w:rsidR="000E1AA0">
        <w:t xml:space="preserve">.  </w:t>
      </w:r>
      <w:r w:rsidR="005F05F4">
        <w:t>B</w:t>
      </w:r>
      <w:r w:rsidR="00A83C47">
        <w:t xml:space="preserve">oth state and federal law prohibit the Commission from increasing Duke’s compensation for </w:t>
      </w:r>
      <w:r w:rsidR="004A4E08">
        <w:t xml:space="preserve">a </w:t>
      </w:r>
      <w:r w:rsidR="00A83C47">
        <w:t xml:space="preserve">wholesale electric generation service.  </w:t>
      </w:r>
      <w:r w:rsidR="00ED7919">
        <w:t>Because the</w:t>
      </w:r>
      <w:r w:rsidR="001533DA">
        <w:t xml:space="preserve"> </w:t>
      </w:r>
      <w:r w:rsidR="00ED7919">
        <w:t>Application and supporting materials</w:t>
      </w:r>
      <w:r w:rsidR="001533DA">
        <w:t xml:space="preserve"> demonstrate that the </w:t>
      </w:r>
      <w:r w:rsidR="004A4E08">
        <w:t>Commission</w:t>
      </w:r>
      <w:r w:rsidR="00513A07">
        <w:t xml:space="preserve"> </w:t>
      </w:r>
      <w:r w:rsidR="001875AE">
        <w:t>is without</w:t>
      </w:r>
      <w:r w:rsidR="00513A07">
        <w:t xml:space="preserve"> </w:t>
      </w:r>
      <w:r w:rsidR="001533DA">
        <w:t>authority to grant the relief Duke is seeking</w:t>
      </w:r>
      <w:r w:rsidR="00D816C6">
        <w:t>, the Commission should dismiss the Application</w:t>
      </w:r>
      <w:r w:rsidR="00513A07">
        <w:t xml:space="preserve">.  Alternatively, the </w:t>
      </w:r>
      <w:r w:rsidR="007C22B3">
        <w:t>Commission</w:t>
      </w:r>
      <w:r w:rsidR="00513A07">
        <w:t xml:space="preserve"> should </w:t>
      </w:r>
      <w:r w:rsidR="00D816C6">
        <w:t xml:space="preserve">stay this proceeding until the Commission </w:t>
      </w:r>
      <w:r w:rsidR="00483F7E">
        <w:t xml:space="preserve">and Supreme Court of Ohio </w:t>
      </w:r>
      <w:r w:rsidR="00D816C6">
        <w:t>address the lawfulness of the PSR</w:t>
      </w:r>
      <w:r w:rsidR="0036276A">
        <w:t xml:space="preserve"> in Duke’s pending ESP case</w:t>
      </w:r>
      <w:r w:rsidR="005F7F79">
        <w:t>.</w:t>
      </w:r>
      <w:r w:rsidR="00207FE1">
        <w:t xml:space="preserve">  </w:t>
      </w:r>
    </w:p>
    <w:p w14:paraId="4860039D" w14:textId="77777777" w:rsidR="00B43C9D" w:rsidRDefault="00A02BD3" w:rsidP="00D437D5">
      <w:pPr>
        <w:pStyle w:val="Heading1"/>
      </w:pPr>
      <w:bookmarkStart w:id="6" w:name="_Toc480385199"/>
      <w:bookmarkStart w:id="7" w:name="_Toc482013092"/>
      <w:r>
        <w:t xml:space="preserve">Duke </w:t>
      </w:r>
      <w:r w:rsidR="00FA2F6F">
        <w:t xml:space="preserve">Has Repackaged its </w:t>
      </w:r>
      <w:r w:rsidR="00910285">
        <w:t>Rejected</w:t>
      </w:r>
      <w:r w:rsidR="00FA2F6F">
        <w:t xml:space="preserve"> Request for</w:t>
      </w:r>
      <w:r w:rsidR="00B43C9D">
        <w:t xml:space="preserve"> Above-Market </w:t>
      </w:r>
      <w:r w:rsidR="0086481D">
        <w:t>Generation-</w:t>
      </w:r>
      <w:r w:rsidR="00B43C9D">
        <w:t>Related Wholesale Costs</w:t>
      </w:r>
      <w:bookmarkEnd w:id="6"/>
      <w:bookmarkEnd w:id="7"/>
      <w:r w:rsidR="00B43C9D">
        <w:t xml:space="preserve"> </w:t>
      </w:r>
    </w:p>
    <w:p w14:paraId="26777661" w14:textId="31F06905" w:rsidR="0085211D" w:rsidRDefault="00B424AE" w:rsidP="00672046">
      <w:pPr>
        <w:spacing w:line="480" w:lineRule="auto"/>
        <w:ind w:firstLine="720"/>
      </w:pPr>
      <w:r>
        <w:t xml:space="preserve">In its 2014 </w:t>
      </w:r>
      <w:r w:rsidR="000A3414">
        <w:t xml:space="preserve">ESP case, Duke sought authorization of </w:t>
      </w:r>
      <w:r w:rsidR="005E1111">
        <w:t xml:space="preserve">a </w:t>
      </w:r>
      <w:r w:rsidR="000A3414">
        <w:t xml:space="preserve">rider that would permit </w:t>
      </w:r>
      <w:r w:rsidR="00DA1651">
        <w:t xml:space="preserve">it </w:t>
      </w:r>
      <w:r w:rsidR="000A3414">
        <w:t xml:space="preserve">to recover the net above-market wholesale costs it incurred </w:t>
      </w:r>
      <w:r w:rsidR="00A83C47">
        <w:t>because of</w:t>
      </w:r>
      <w:r w:rsidR="000A3414">
        <w:t xml:space="preserve"> its election to retain an interest in coal-fired generation facilities operated by OVEC</w:t>
      </w:r>
      <w:r w:rsidR="004F6721">
        <w:t>.  Duke claimed that</w:t>
      </w:r>
      <w:r w:rsidR="0036276A">
        <w:t xml:space="preserve"> the rider would “stabilize” retail rates</w:t>
      </w:r>
      <w:r w:rsidR="00B73268">
        <w:t xml:space="preserve"> and was </w:t>
      </w:r>
      <w:r w:rsidR="00191727">
        <w:t>a</w:t>
      </w:r>
      <w:r w:rsidR="00B73268">
        <w:t xml:space="preserve"> </w:t>
      </w:r>
      <w:r w:rsidR="001875AE">
        <w:t>lawful and reasonable</w:t>
      </w:r>
      <w:r w:rsidR="00B73268">
        <w:t xml:space="preserve"> provision of an </w:t>
      </w:r>
      <w:r w:rsidR="001875AE">
        <w:t>ESP</w:t>
      </w:r>
      <w:r w:rsidR="000A3414">
        <w:t xml:space="preserve">.  </w:t>
      </w:r>
      <w:r w:rsidR="00F4301B">
        <w:t xml:space="preserve">Duke sought to implement the PSR for a period </w:t>
      </w:r>
      <w:r w:rsidR="0085211D">
        <w:t>that was to last as long as it is taking power from OVEC</w:t>
      </w:r>
      <w:r w:rsidR="00F4301B">
        <w:t xml:space="preserve">.  </w:t>
      </w:r>
      <w:r w:rsidR="000A3414" w:rsidRPr="006D6528">
        <w:rPr>
          <w:i/>
        </w:rPr>
        <w:t>In the Matter of the Application of Duke Energy Ohio, Inc., for Authority to Establish a Standard Service Offer Pursuant to R.C. 4928.143 in the Form of an Electric Security Plan, Accounting Modifications, and Tariffs for Generation Service</w:t>
      </w:r>
      <w:r w:rsidR="000A3414">
        <w:t xml:space="preserve">, Case Nos. 14-841-EL-SSO, </w:t>
      </w:r>
      <w:r w:rsidR="000A3414" w:rsidRPr="00A1395A">
        <w:rPr>
          <w:i/>
        </w:rPr>
        <w:t>et al.</w:t>
      </w:r>
      <w:r w:rsidR="000A3414">
        <w:t xml:space="preserve">, Opinion and Order at </w:t>
      </w:r>
      <w:r w:rsidR="00ED5DEF">
        <w:t xml:space="preserve">15 </w:t>
      </w:r>
      <w:r w:rsidR="000A3414">
        <w:t>(Apr. 2, 2015) (“</w:t>
      </w:r>
      <w:r w:rsidR="000A3414" w:rsidRPr="00612FBF">
        <w:rPr>
          <w:i/>
        </w:rPr>
        <w:t>Duke ESP III</w:t>
      </w:r>
      <w:r w:rsidR="00136E2C">
        <w:t>”)</w:t>
      </w:r>
      <w:r w:rsidR="000A3414">
        <w:t xml:space="preserve">.  </w:t>
      </w:r>
      <w:r w:rsidR="00DD38B9">
        <w:t>Customers and generation competitors urged the Commission to reject the request on grounds that</w:t>
      </w:r>
      <w:r w:rsidR="003C6D22">
        <w:t xml:space="preserve"> the rider </w:t>
      </w:r>
      <w:r w:rsidR="00614919">
        <w:t xml:space="preserve">unlawfully and </w:t>
      </w:r>
      <w:r w:rsidR="00B73268">
        <w:t xml:space="preserve">unreasonably </w:t>
      </w:r>
      <w:r w:rsidR="00041581">
        <w:t>shifted the</w:t>
      </w:r>
      <w:r w:rsidR="001761F4">
        <w:t xml:space="preserve"> price risk of the OVEC facilities to retail customers, that </w:t>
      </w:r>
      <w:r w:rsidR="00DD38B9">
        <w:t>the Commission lacked authority to approve the rider under both state and federal law</w:t>
      </w:r>
      <w:r w:rsidR="001761F4">
        <w:t>,</w:t>
      </w:r>
      <w:r w:rsidR="00DD38B9">
        <w:t xml:space="preserve"> </w:t>
      </w:r>
      <w:r w:rsidR="00B73268">
        <w:t xml:space="preserve">that the rider unlawfully collected transition charges from </w:t>
      </w:r>
      <w:r w:rsidR="00B73268">
        <w:lastRenderedPageBreak/>
        <w:t xml:space="preserve">customers, </w:t>
      </w:r>
      <w:r w:rsidR="00DD38B9">
        <w:t xml:space="preserve">and </w:t>
      </w:r>
      <w:r w:rsidR="001761F4">
        <w:t xml:space="preserve">that </w:t>
      </w:r>
      <w:r w:rsidR="00812E81">
        <w:t xml:space="preserve">Duke had failed to show that the rider provided any customer benefits.  </w:t>
      </w:r>
      <w:r w:rsidR="00812E81" w:rsidRPr="00B424AE">
        <w:rPr>
          <w:i/>
        </w:rPr>
        <w:t>Id</w:t>
      </w:r>
      <w:r w:rsidR="00812E81">
        <w:t>.</w:t>
      </w:r>
      <w:r w:rsidR="00136E2C">
        <w:t xml:space="preserve">, Opinion and Order </w:t>
      </w:r>
      <w:r w:rsidR="00812E81">
        <w:t>at 15-</w:t>
      </w:r>
      <w:r w:rsidR="00ED5DEF">
        <w:t xml:space="preserve">42. </w:t>
      </w:r>
    </w:p>
    <w:p w14:paraId="500520A2" w14:textId="40126C8F" w:rsidR="006E1409" w:rsidRDefault="00672046" w:rsidP="00672046">
      <w:pPr>
        <w:spacing w:line="480" w:lineRule="auto"/>
        <w:ind w:firstLine="720"/>
      </w:pPr>
      <w:r>
        <w:t>A</w:t>
      </w:r>
      <w:r w:rsidR="00ED5DEF">
        <w:t xml:space="preserve">lthough the Commission </w:t>
      </w:r>
      <w:r w:rsidR="00B73268">
        <w:t xml:space="preserve">found </w:t>
      </w:r>
      <w:r w:rsidR="00ED5DEF">
        <w:t xml:space="preserve">the </w:t>
      </w:r>
      <w:r w:rsidR="00650C52">
        <w:t xml:space="preserve">inaptly named </w:t>
      </w:r>
      <w:r w:rsidR="00ED5DEF">
        <w:t>PSR</w:t>
      </w:r>
      <w:r w:rsidR="00927CAC">
        <w:t xml:space="preserve"> </w:t>
      </w:r>
      <w:r w:rsidR="00B73268">
        <w:t xml:space="preserve">was a permissible </w:t>
      </w:r>
      <w:r>
        <w:t xml:space="preserve">term of </w:t>
      </w:r>
      <w:r w:rsidR="00B73268">
        <w:t xml:space="preserve">Duke's </w:t>
      </w:r>
      <w:r>
        <w:t>ESP</w:t>
      </w:r>
      <w:r w:rsidR="004E642B">
        <w:t xml:space="preserve"> and authorized a placeholder rider for the term of the ESP</w:t>
      </w:r>
      <w:r>
        <w:t xml:space="preserve">, </w:t>
      </w:r>
      <w:r w:rsidR="004E642B">
        <w:t>it rejected</w:t>
      </w:r>
      <w:r>
        <w:t xml:space="preserve"> Duke’s request to saddle retail </w:t>
      </w:r>
      <w:r w:rsidR="00112492">
        <w:t>customers</w:t>
      </w:r>
      <w:r>
        <w:t xml:space="preserve"> with the wholesale losses Duke incurred </w:t>
      </w:r>
      <w:r w:rsidR="00927CAC">
        <w:t>because of</w:t>
      </w:r>
      <w:r>
        <w:t xml:space="preserve"> its ret</w:t>
      </w:r>
      <w:r w:rsidR="00B73268">
        <w:t xml:space="preserve">ained </w:t>
      </w:r>
      <w:r>
        <w:t xml:space="preserve">interest in OVEC.  </w:t>
      </w:r>
      <w:r w:rsidR="00BB74BD" w:rsidRPr="00BB74BD">
        <w:rPr>
          <w:i/>
        </w:rPr>
        <w:t>Id</w:t>
      </w:r>
      <w:r w:rsidR="00BB74BD">
        <w:t>.</w:t>
      </w:r>
      <w:r w:rsidR="00136E2C">
        <w:t>, Opinion and Order</w:t>
      </w:r>
      <w:r w:rsidR="00BB74BD">
        <w:t xml:space="preserve"> at </w:t>
      </w:r>
      <w:r w:rsidR="00DD38B9">
        <w:t>46-47</w:t>
      </w:r>
      <w:r w:rsidR="005E1111">
        <w:t xml:space="preserve">. </w:t>
      </w:r>
      <w:r w:rsidR="00DD38B9">
        <w:t xml:space="preserve"> </w:t>
      </w:r>
      <w:r w:rsidR="00DB42BA">
        <w:t>The</w:t>
      </w:r>
      <w:r w:rsidR="00B73268">
        <w:t xml:space="preserve"> </w:t>
      </w:r>
      <w:r w:rsidR="00112492">
        <w:t>Commission</w:t>
      </w:r>
      <w:r w:rsidR="00467C14">
        <w:t xml:space="preserve"> found that</w:t>
      </w:r>
      <w:r w:rsidR="00C210B0">
        <w:t xml:space="preserve"> “t</w:t>
      </w:r>
      <w:r>
        <w:t xml:space="preserve">he rider may result in a net cost to customers, with little offsetting benefit from the rider’s intended purpose” over the rider’s proposed </w:t>
      </w:r>
      <w:r w:rsidR="00041581">
        <w:t>three-year</w:t>
      </w:r>
      <w:r>
        <w:t xml:space="preserve"> term.  </w:t>
      </w:r>
      <w:r w:rsidRPr="00D7002A">
        <w:rPr>
          <w:i/>
        </w:rPr>
        <w:t>Id</w:t>
      </w:r>
      <w:r>
        <w:t xml:space="preserve">. at 46.  </w:t>
      </w:r>
      <w:r w:rsidR="00897626">
        <w:t xml:space="preserve">Underlying the </w:t>
      </w:r>
      <w:r w:rsidR="00203DD8">
        <w:t>Commission</w:t>
      </w:r>
      <w:r w:rsidR="00897626">
        <w:t xml:space="preserve">'s conclusions was its concern that there was great uncertainty and speculation in projecting the net impact of the proposal.  </w:t>
      </w:r>
      <w:r w:rsidR="00897626" w:rsidRPr="00F04842">
        <w:rPr>
          <w:i/>
        </w:rPr>
        <w:t>Id</w:t>
      </w:r>
      <w:r w:rsidR="00897626">
        <w:t xml:space="preserve">.  </w:t>
      </w:r>
      <w:r>
        <w:t xml:space="preserve">Based on the record before </w:t>
      </w:r>
      <w:r w:rsidR="00B73268">
        <w:t xml:space="preserve">it, the </w:t>
      </w:r>
      <w:r w:rsidR="00112492">
        <w:t>Commission</w:t>
      </w:r>
      <w:r>
        <w:t xml:space="preserve"> was not “persuaded that the PSR proposal put forth by Duke in the present proceedings would, in fact, promote stability, as Duke claims, or </w:t>
      </w:r>
      <w:r w:rsidR="00DF0A30">
        <w:t>that it</w:t>
      </w:r>
      <w:r>
        <w:t xml:space="preserve"> is in the public interest.</w:t>
      </w:r>
      <w:r w:rsidR="00DF0A30">
        <w:t>”</w:t>
      </w:r>
      <w:r>
        <w:t xml:space="preserve">  </w:t>
      </w:r>
      <w:r w:rsidRPr="004211DE">
        <w:rPr>
          <w:i/>
        </w:rPr>
        <w:t>Id</w:t>
      </w:r>
      <w:r>
        <w:t xml:space="preserve">.  </w:t>
      </w:r>
    </w:p>
    <w:p w14:paraId="77D34EEB" w14:textId="77777777" w:rsidR="00672046" w:rsidRDefault="00A227B2" w:rsidP="00672046">
      <w:pPr>
        <w:spacing w:line="480" w:lineRule="auto"/>
        <w:ind w:firstLine="720"/>
      </w:pPr>
      <w:r>
        <w:t>In response to the Commission’s</w:t>
      </w:r>
      <w:r w:rsidR="00375DB8">
        <w:t xml:space="preserve"> ESP Order, customers and</w:t>
      </w:r>
      <w:r w:rsidR="00CA6BC3">
        <w:t xml:space="preserve"> competitors filed applications for rehearing challenging the Commission’s authorization of the rider</w:t>
      </w:r>
      <w:r w:rsidR="00375DB8">
        <w:t xml:space="preserve">. </w:t>
      </w:r>
      <w:r w:rsidR="00553B10">
        <w:t xml:space="preserve"> </w:t>
      </w:r>
      <w:r w:rsidR="000323E2">
        <w:t>Likewise</w:t>
      </w:r>
      <w:r w:rsidR="00553B10">
        <w:t xml:space="preserve">, </w:t>
      </w:r>
      <w:r w:rsidR="00375DB8">
        <w:t xml:space="preserve">Duke </w:t>
      </w:r>
      <w:r w:rsidR="00553B10">
        <w:t xml:space="preserve">sought rehearing of </w:t>
      </w:r>
      <w:r w:rsidR="00375DB8">
        <w:t>the Commission’s decision to set the rider at zero.</w:t>
      </w:r>
      <w:r w:rsidR="00553B10">
        <w:t xml:space="preserve">  </w:t>
      </w:r>
      <w:r w:rsidR="005E1111">
        <w:t xml:space="preserve">In </w:t>
      </w:r>
      <w:r>
        <w:t xml:space="preserve">two related </w:t>
      </w:r>
      <w:r w:rsidR="005E1111">
        <w:t>assig</w:t>
      </w:r>
      <w:r w:rsidR="00A02828">
        <w:t>n</w:t>
      </w:r>
      <w:r w:rsidR="005E1111">
        <w:t>ments of error</w:t>
      </w:r>
      <w:r w:rsidR="00A02828">
        <w:t xml:space="preserve"> concerning the PSR</w:t>
      </w:r>
      <w:r w:rsidR="005E1111">
        <w:t>, Duke argued that the Commission erred</w:t>
      </w:r>
      <w:r w:rsidR="00A02828">
        <w:t xml:space="preserve"> because it failed to allow Duke to offer a “hedge” that Duke claimed was fully supported by the record.  </w:t>
      </w:r>
      <w:r w:rsidR="00553B10">
        <w:t xml:space="preserve">The Commission granted rehearing </w:t>
      </w:r>
      <w:r w:rsidR="00484866">
        <w:t xml:space="preserve">of the applications for rehearing of both the customers and Duke </w:t>
      </w:r>
      <w:r w:rsidR="00553B10">
        <w:t xml:space="preserve">for the purpose of further consideration.  </w:t>
      </w:r>
      <w:r w:rsidR="00C34E5C" w:rsidRPr="00A1395A">
        <w:rPr>
          <w:i/>
        </w:rPr>
        <w:t>Id</w:t>
      </w:r>
      <w:r w:rsidR="00C34E5C">
        <w:t xml:space="preserve">., </w:t>
      </w:r>
      <w:r w:rsidR="00672046">
        <w:t>Entry on Rehearing at 2-3 (May 28, 2015).</w:t>
      </w:r>
    </w:p>
    <w:p w14:paraId="00877932" w14:textId="136977DD" w:rsidR="00E73CB6" w:rsidRDefault="007551C3" w:rsidP="007551C3">
      <w:pPr>
        <w:spacing w:line="480" w:lineRule="auto"/>
      </w:pPr>
      <w:r>
        <w:tab/>
      </w:r>
      <w:r w:rsidR="00C15027">
        <w:t>T</w:t>
      </w:r>
      <w:r w:rsidR="00C00535">
        <w:t xml:space="preserve">he Commission has not </w:t>
      </w:r>
      <w:r w:rsidR="00586C06">
        <w:t xml:space="preserve">issued </w:t>
      </w:r>
      <w:r w:rsidR="00C00535">
        <w:t>a final appealable order addressing the applications for rehearing</w:t>
      </w:r>
      <w:r w:rsidR="00E063B4">
        <w:t>.  Nonetheless</w:t>
      </w:r>
      <w:r w:rsidR="00586C06">
        <w:t xml:space="preserve">, in this proceeding, </w:t>
      </w:r>
      <w:r w:rsidR="00AD3619">
        <w:t xml:space="preserve">Duke </w:t>
      </w:r>
      <w:r w:rsidR="000B29EE">
        <w:t xml:space="preserve">seeks to implement </w:t>
      </w:r>
      <w:r w:rsidR="00586C06">
        <w:t xml:space="preserve">the </w:t>
      </w:r>
      <w:r w:rsidR="00586C06">
        <w:lastRenderedPageBreak/>
        <w:t>PSR rider again</w:t>
      </w:r>
      <w:r w:rsidR="000B29EE">
        <w:t xml:space="preserve"> based on</w:t>
      </w:r>
      <w:r w:rsidR="00586C06">
        <w:t xml:space="preserve"> </w:t>
      </w:r>
      <w:r w:rsidR="002A13D7">
        <w:t>a new legal theory</w:t>
      </w:r>
      <w:r w:rsidR="000B29EE">
        <w:t>.  Under this new theory, it alleges the Commission has</w:t>
      </w:r>
      <w:r w:rsidR="00586C06">
        <w:t xml:space="preserve"> authority to implement the PSR outside of </w:t>
      </w:r>
      <w:r w:rsidR="000B29EE">
        <w:t>an</w:t>
      </w:r>
      <w:r w:rsidR="00586C06">
        <w:t xml:space="preserve"> </w:t>
      </w:r>
      <w:r w:rsidR="000B29EE">
        <w:t>ESP</w:t>
      </w:r>
      <w:r w:rsidR="00586C06">
        <w:t xml:space="preserve">. </w:t>
      </w:r>
      <w:r w:rsidR="000B29EE">
        <w:t xml:space="preserve"> In support of that end, </w:t>
      </w:r>
      <w:r w:rsidR="00586C06">
        <w:t xml:space="preserve">Duke </w:t>
      </w:r>
      <w:r w:rsidR="00C3480B">
        <w:t>invok</w:t>
      </w:r>
      <w:r w:rsidR="00586C06">
        <w:t>es</w:t>
      </w:r>
      <w:r w:rsidR="00C3480B">
        <w:t xml:space="preserve"> the Commission’s general jurisdiction and rate setting statutes </w:t>
      </w:r>
      <w:r w:rsidR="002A13D7">
        <w:t xml:space="preserve">as </w:t>
      </w:r>
      <w:r w:rsidR="00D64CCB">
        <w:t>the</w:t>
      </w:r>
      <w:r w:rsidR="002A13D7">
        <w:t xml:space="preserve"> basis for </w:t>
      </w:r>
      <w:r w:rsidR="00D64CCB">
        <w:t xml:space="preserve">Commission approval </w:t>
      </w:r>
      <w:r w:rsidR="00677E59">
        <w:t xml:space="preserve">of </w:t>
      </w:r>
      <w:r w:rsidR="005F05F4">
        <w:t>the PSR</w:t>
      </w:r>
      <w:r w:rsidR="00586C06">
        <w:t xml:space="preserve">.  Duke also seeks </w:t>
      </w:r>
      <w:r w:rsidR="00677E59">
        <w:t>a</w:t>
      </w:r>
      <w:r w:rsidR="0007612C">
        <w:t xml:space="preserve">mendments </w:t>
      </w:r>
      <w:r w:rsidR="00586C06">
        <w:t>to its</w:t>
      </w:r>
      <w:r w:rsidR="0094781E">
        <w:t xml:space="preserve"> PSR</w:t>
      </w:r>
      <w:r w:rsidR="00197C7E">
        <w:t xml:space="preserve"> including </w:t>
      </w:r>
      <w:r w:rsidR="001D6604">
        <w:t xml:space="preserve">the removal of a </w:t>
      </w:r>
      <w:r w:rsidR="00197C7E">
        <w:t xml:space="preserve">requirement that </w:t>
      </w:r>
      <w:r w:rsidR="001D6604">
        <w:t xml:space="preserve">the rider </w:t>
      </w:r>
      <w:r w:rsidR="00197C7E">
        <w:t>be severable from the current ESP</w:t>
      </w:r>
      <w:r w:rsidR="009B1B20">
        <w:t>,</w:t>
      </w:r>
      <w:r w:rsidR="0094781E">
        <w:t xml:space="preserve"> </w:t>
      </w:r>
      <w:r w:rsidR="00CA45DF">
        <w:t>and</w:t>
      </w:r>
      <w:r w:rsidR="009B1B20">
        <w:t xml:space="preserve"> seeks </w:t>
      </w:r>
      <w:r>
        <w:t>authorization</w:t>
      </w:r>
      <w:r w:rsidR="000621AB">
        <w:t xml:space="preserve"> to defer and then</w:t>
      </w:r>
      <w:r>
        <w:t xml:space="preserve"> bill and collect </w:t>
      </w:r>
      <w:r w:rsidR="00586C06">
        <w:t xml:space="preserve">from customers </w:t>
      </w:r>
      <w:r w:rsidR="006B5A0A">
        <w:t xml:space="preserve">an undisclosed amount </w:t>
      </w:r>
      <w:r w:rsidR="00CA45DF">
        <w:t xml:space="preserve">through 2040.  </w:t>
      </w:r>
      <w:r w:rsidR="0024497B">
        <w:t>Application</w:t>
      </w:r>
      <w:r w:rsidR="00DA1651">
        <w:t>,</w:t>
      </w:r>
      <w:r w:rsidR="0024497B">
        <w:t xml:space="preserve"> </w:t>
      </w:r>
      <w:r w:rsidR="00197C7E" w:rsidRPr="00A1395A">
        <w:rPr>
          <w:i/>
        </w:rPr>
        <w:t>passim</w:t>
      </w:r>
      <w:r w:rsidR="004A6949">
        <w:rPr>
          <w:i/>
        </w:rPr>
        <w:t>.</w:t>
      </w:r>
      <w:r w:rsidR="0024497B">
        <w:t xml:space="preserve">  </w:t>
      </w:r>
    </w:p>
    <w:p w14:paraId="68413553" w14:textId="58C242D4" w:rsidR="00A703D5" w:rsidRDefault="00EC5A34" w:rsidP="00E73CB6">
      <w:pPr>
        <w:spacing w:line="480" w:lineRule="auto"/>
        <w:ind w:firstLine="720"/>
      </w:pPr>
      <w:r>
        <w:t>Although</w:t>
      </w:r>
      <w:r w:rsidR="000323E2">
        <w:t xml:space="preserve"> Duke invokes the Commission’s general rate</w:t>
      </w:r>
      <w:r w:rsidR="00EE6589">
        <w:t xml:space="preserve"> </w:t>
      </w:r>
      <w:r w:rsidR="000323E2">
        <w:t>making authority as the legal basis for its requested relief</w:t>
      </w:r>
      <w:r>
        <w:t>,</w:t>
      </w:r>
      <w:r w:rsidR="00E40DDB">
        <w:t xml:space="preserve"> </w:t>
      </w:r>
      <w:r w:rsidR="009554FA">
        <w:rPr>
          <w:i/>
        </w:rPr>
        <w:t>i</w:t>
      </w:r>
      <w:r w:rsidR="000323E2" w:rsidRPr="00E73CB6">
        <w:rPr>
          <w:i/>
        </w:rPr>
        <w:t>d</w:t>
      </w:r>
      <w:r w:rsidR="000323E2">
        <w:t>.</w:t>
      </w:r>
      <w:r w:rsidR="006C6541">
        <w:t xml:space="preserve"> at 2</w:t>
      </w:r>
      <w:r w:rsidR="00E40DDB">
        <w:t>,</w:t>
      </w:r>
      <w:r w:rsidR="00E73CB6">
        <w:rPr>
          <w:rStyle w:val="FootnoteReference"/>
        </w:rPr>
        <w:footnoteReference w:id="2"/>
      </w:r>
      <w:r w:rsidR="00E40DDB">
        <w:t xml:space="preserve"> t</w:t>
      </w:r>
      <w:r w:rsidR="000323E2">
        <w:t xml:space="preserve">he </w:t>
      </w:r>
      <w:r w:rsidR="001C7B7C">
        <w:t>outcome</w:t>
      </w:r>
      <w:r w:rsidR="000323E2">
        <w:t xml:space="preserve"> that </w:t>
      </w:r>
      <w:r w:rsidR="001C7B7C">
        <w:t xml:space="preserve">Duke </w:t>
      </w:r>
      <w:r w:rsidR="000323E2">
        <w:t xml:space="preserve">seeks is the same </w:t>
      </w:r>
      <w:r w:rsidR="00E40DDB">
        <w:t>one</w:t>
      </w:r>
      <w:r w:rsidR="000323E2">
        <w:t xml:space="preserve"> </w:t>
      </w:r>
      <w:r w:rsidR="00C15027">
        <w:t>that it sought in 2014</w:t>
      </w:r>
      <w:r w:rsidR="000323E2">
        <w:t xml:space="preserve">.  </w:t>
      </w:r>
      <w:r w:rsidR="005830BC">
        <w:t xml:space="preserve">Authorization would permit Duke to collect from distribution customers through 2040 the difference between the cost Duke is incurring because of its management’s decision to retain an interest in OVEC and the revenue Duke receives from liquidating the generation attributes of its OVEC interest in the wholesale markets of PJM Interconnection, LLC (“PJM”).  </w:t>
      </w:r>
      <w:r w:rsidR="00140E6E">
        <w:t>Application at 5.</w:t>
      </w:r>
      <w:r w:rsidR="00102324">
        <w:t xml:space="preserve">  </w:t>
      </w:r>
      <w:r w:rsidR="00CA45DF">
        <w:t xml:space="preserve">As Duke freely admits, </w:t>
      </w:r>
      <w:r w:rsidR="009B1B20">
        <w:t>the revenue it</w:t>
      </w:r>
      <w:r w:rsidR="0024497B">
        <w:t xml:space="preserve"> seeks to collect</w:t>
      </w:r>
      <w:r w:rsidR="00CA45DF">
        <w:t xml:space="preserve"> is generation-related</w:t>
      </w:r>
      <w:r w:rsidR="00502490">
        <w:t>,</w:t>
      </w:r>
      <w:r w:rsidR="00CA45DF">
        <w:t xml:space="preserve"> and </w:t>
      </w:r>
      <w:r w:rsidR="00502490">
        <w:t>the relief</w:t>
      </w:r>
      <w:r w:rsidR="00624037">
        <w:t>, if granted,</w:t>
      </w:r>
      <w:r w:rsidR="00502490">
        <w:t xml:space="preserve"> </w:t>
      </w:r>
      <w:r w:rsidR="006B5A0A">
        <w:t xml:space="preserve">will </w:t>
      </w:r>
      <w:r w:rsidR="00502490">
        <w:t xml:space="preserve">shift the </w:t>
      </w:r>
      <w:r w:rsidR="00FF0CC3">
        <w:t xml:space="preserve">price </w:t>
      </w:r>
      <w:r w:rsidR="00502490">
        <w:t>risk associated with the OVEC facilities from Duke’s stockholder</w:t>
      </w:r>
      <w:r w:rsidR="006B5A0A">
        <w:t xml:space="preserve"> </w:t>
      </w:r>
      <w:r w:rsidR="008B4009">
        <w:t xml:space="preserve">to </w:t>
      </w:r>
      <w:r w:rsidR="00FF0CC3">
        <w:t xml:space="preserve">retail </w:t>
      </w:r>
      <w:r w:rsidR="008B4009">
        <w:t>ratepayers</w:t>
      </w:r>
      <w:r w:rsidR="00AD3619">
        <w:t xml:space="preserve">.  </w:t>
      </w:r>
      <w:r w:rsidR="00CA45DF" w:rsidRPr="004C0F71">
        <w:t>Wathen</w:t>
      </w:r>
      <w:r w:rsidR="004C0F71" w:rsidRPr="004C0F71">
        <w:t xml:space="preserve"> Testimony at </w:t>
      </w:r>
      <w:r w:rsidR="00680BF7" w:rsidRPr="004C0F71">
        <w:t xml:space="preserve">7 &amp; </w:t>
      </w:r>
      <w:r w:rsidR="00A703D5" w:rsidRPr="004C0F71">
        <w:t>11-12</w:t>
      </w:r>
      <w:r w:rsidR="00CA45DF" w:rsidRPr="004C0F71">
        <w:t>.</w:t>
      </w:r>
      <w:r w:rsidR="00CA45DF">
        <w:t xml:space="preserve">  </w:t>
      </w:r>
    </w:p>
    <w:p w14:paraId="28A799E8" w14:textId="77777777" w:rsidR="006E329E" w:rsidRDefault="006E329E" w:rsidP="00D437D5">
      <w:pPr>
        <w:pStyle w:val="Heading1"/>
      </w:pPr>
      <w:bookmarkStart w:id="8" w:name="_Toc480385200"/>
      <w:bookmarkStart w:id="9" w:name="_Toc482013093"/>
      <w:r>
        <w:t xml:space="preserve">The Commission should dismiss </w:t>
      </w:r>
      <w:r w:rsidR="008B4009">
        <w:t>an application</w:t>
      </w:r>
      <w:r>
        <w:t xml:space="preserve"> </w:t>
      </w:r>
      <w:r w:rsidR="00B524B8" w:rsidRPr="00CE2C12">
        <w:t>when the application and supporting materials demonstrate that the Commission is without authority to grant the relief</w:t>
      </w:r>
      <w:r w:rsidR="00B524B8">
        <w:t xml:space="preserve"> requested</w:t>
      </w:r>
      <w:bookmarkEnd w:id="8"/>
      <w:bookmarkEnd w:id="9"/>
      <w:r w:rsidR="00B524B8">
        <w:t xml:space="preserve"> </w:t>
      </w:r>
    </w:p>
    <w:p w14:paraId="40C815AC" w14:textId="77777777" w:rsidR="00CE2C12" w:rsidRPr="00CE2C12" w:rsidRDefault="00CE2C12" w:rsidP="00CE2C12">
      <w:pPr>
        <w:spacing w:line="480" w:lineRule="auto"/>
        <w:ind w:firstLine="720"/>
      </w:pPr>
      <w:r w:rsidRPr="00CE2C12">
        <w:lastRenderedPageBreak/>
        <w:t>The General Assembly has afforded the Commission broad authority to manage its docket.  R.C. 4901.13</w:t>
      </w:r>
      <w:r w:rsidR="00283E9A">
        <w:t xml:space="preserve"> provides that</w:t>
      </w:r>
      <w:r w:rsidRPr="00CE2C12">
        <w:t xml:space="preserve"> the "commission may adopt and publish rules to govern its proceedings and to regulate the mode and manner of all … hearings relating to parties before it."  "Under R.C. 4901.13 the commission has broad discretion in the conduct of its hearings."</w:t>
      </w:r>
      <w:r w:rsidR="00B65EC9">
        <w:rPr>
          <w:vertAlign w:val="superscript"/>
        </w:rPr>
        <w:t xml:space="preserve">  </w:t>
      </w:r>
      <w:r w:rsidR="00B65EC9" w:rsidRPr="00176AB8">
        <w:rPr>
          <w:i/>
        </w:rPr>
        <w:t>Duff v. Pub. Util. Comm’n of Ohio</w:t>
      </w:r>
      <w:r w:rsidR="00B65EC9">
        <w:t xml:space="preserve">, 56 Ohio St.2d 367, 379 </w:t>
      </w:r>
      <w:r w:rsidR="00B65EC9" w:rsidRPr="007F140B">
        <w:t>(1978)</w:t>
      </w:r>
      <w:r w:rsidR="00B65EC9">
        <w:t>.</w:t>
      </w:r>
      <w:r w:rsidRPr="00CE2C12">
        <w:t xml:space="preserve">  </w:t>
      </w:r>
      <w:r w:rsidR="00DE5B21">
        <w:t>“I</w:t>
      </w:r>
      <w:r w:rsidRPr="00CE2C12">
        <w:t xml:space="preserve">t is well-settled that pursuant to R.C. 4901.13, the commission has the discretion to decide how, in light of its internal organization and docket considerations, it may best proceed to manage and expedite the orderly flow of its business, avoid undue delay and eliminate unnecessary duplication of effort.”  </w:t>
      </w:r>
      <w:r w:rsidRPr="00176AB8">
        <w:rPr>
          <w:i/>
        </w:rPr>
        <w:t>Toledo Coalition for Safe Energy v. Pub. Util. Comm’n of Ohio</w:t>
      </w:r>
      <w:r>
        <w:t>,</w:t>
      </w:r>
      <w:r w:rsidRPr="007F140B">
        <w:t xml:space="preserve"> </w:t>
      </w:r>
      <w:r>
        <w:t>69 Ohio St.2d 559, 560 (1982) (internal citation omitted).</w:t>
      </w:r>
    </w:p>
    <w:p w14:paraId="56F450C2" w14:textId="77777777" w:rsidR="00CE2C12" w:rsidRPr="00CE2C12" w:rsidRDefault="00CE2C12" w:rsidP="00CE2C12">
      <w:pPr>
        <w:spacing w:line="480" w:lineRule="auto"/>
      </w:pPr>
      <w:r w:rsidRPr="00CE2C12">
        <w:tab/>
        <w:t>In practice, the Commission has frequently granted motions to dismiss without hearing when an applicant has sought relief that the Commission could not lawfully authorize.</w:t>
      </w:r>
    </w:p>
    <w:p w14:paraId="75CB042E" w14:textId="77777777" w:rsidR="00CE2C12" w:rsidRPr="00CE2C12" w:rsidRDefault="00A17D91" w:rsidP="00CE2C12">
      <w:pPr>
        <w:spacing w:line="480" w:lineRule="auto"/>
        <w:ind w:firstLine="720"/>
      </w:pPr>
      <w:r>
        <w:t>In a 2009 case</w:t>
      </w:r>
      <w:r w:rsidR="00CE2C12" w:rsidRPr="00CE2C12">
        <w:t xml:space="preserve">, the Commission granted a motion to dismiss filed by several intervenors of an EDU’s application for inclusion of certain projects in its energy efficiency and peak demand reduction (“EE/PDR”) compliance plan because the application demonstrated that the projects did not meet statutory requirements.  </w:t>
      </w:r>
      <w:r w:rsidR="00086B55" w:rsidRPr="00F938FB">
        <w:rPr>
          <w:i/>
        </w:rPr>
        <w:t xml:space="preserve">In the Matter of the Energy Efficiency and Peak Demand Reduction Program Portfolio of Ohio Edison Company, </w:t>
      </w:r>
      <w:r w:rsidR="00086B55">
        <w:rPr>
          <w:i/>
        </w:rPr>
        <w:t>T</w:t>
      </w:r>
      <w:r w:rsidR="00086B55" w:rsidRPr="00F938FB">
        <w:rPr>
          <w:i/>
        </w:rPr>
        <w:t xml:space="preserve">he Cleveland Electric Illuminating Company, and </w:t>
      </w:r>
      <w:r w:rsidR="00086B55">
        <w:rPr>
          <w:i/>
        </w:rPr>
        <w:t>T</w:t>
      </w:r>
      <w:r w:rsidR="00086B55" w:rsidRPr="00F938FB">
        <w:rPr>
          <w:i/>
        </w:rPr>
        <w:t>he Toledo Edison Company</w:t>
      </w:r>
      <w:r w:rsidR="00086B55">
        <w:t>, Case Nos. 09</w:t>
      </w:r>
      <w:r w:rsidR="00086B55">
        <w:noBreakHyphen/>
        <w:t>384</w:t>
      </w:r>
      <w:r w:rsidR="00086B55">
        <w:noBreakHyphen/>
        <w:t>EL</w:t>
      </w:r>
      <w:r w:rsidR="00086B55">
        <w:noBreakHyphen/>
        <w:t xml:space="preserve">EEC, </w:t>
      </w:r>
      <w:r w:rsidR="00086B55" w:rsidRPr="00FE5B6E">
        <w:rPr>
          <w:i/>
        </w:rPr>
        <w:t>et al</w:t>
      </w:r>
      <w:r w:rsidR="00086B55">
        <w:t>., Entry at 2-3 (Dec. 16, 2009).</w:t>
      </w:r>
    </w:p>
    <w:p w14:paraId="086C5386" w14:textId="77777777" w:rsidR="00CE2C12" w:rsidRPr="00CE2C12" w:rsidRDefault="00CE2C12" w:rsidP="00CE2C12">
      <w:pPr>
        <w:spacing w:line="480" w:lineRule="auto"/>
      </w:pPr>
      <w:r w:rsidRPr="00CE2C12">
        <w:tab/>
        <w:t xml:space="preserve">In a 2011 case, the Commission granted a motion to dismiss a request by the Office of the Ohio Consumers’ Counsel (“OCC”) for a show cause order against AT&amp;T Ohio because an intervening change of law rendered the request for the show cause </w:t>
      </w:r>
      <w:r w:rsidRPr="00CE2C12">
        <w:lastRenderedPageBreak/>
        <w:t xml:space="preserve">order moot.  </w:t>
      </w:r>
      <w:r w:rsidR="00086B55" w:rsidRPr="00401325">
        <w:rPr>
          <w:i/>
        </w:rPr>
        <w:t>In the Matter of the Application of AT&amp;T Ohio for Approval of an Alternative Form of Regulation of Basic Local Exchange Service and Other Tier 1 Services Pursuant to Chapter 4901:1-4, Ohio Administrative Code</w:t>
      </w:r>
      <w:r w:rsidR="00086B55">
        <w:t xml:space="preserve">, Case Nos. 06-1013-TP-BLS, </w:t>
      </w:r>
      <w:r w:rsidR="00086B55" w:rsidRPr="00FE5B6E">
        <w:rPr>
          <w:i/>
        </w:rPr>
        <w:t>et al</w:t>
      </w:r>
      <w:r w:rsidR="00086B55">
        <w:t>., Entry at 4 (May 19, 2011).</w:t>
      </w:r>
    </w:p>
    <w:p w14:paraId="3ECCE411" w14:textId="77777777" w:rsidR="00CE2C12" w:rsidRPr="00CE2C12" w:rsidRDefault="00CE2C12" w:rsidP="00CE2C12">
      <w:pPr>
        <w:spacing w:line="480" w:lineRule="auto"/>
      </w:pPr>
      <w:r w:rsidRPr="00CE2C12">
        <w:tab/>
        <w:t xml:space="preserve">In a 2004 case, the Commission granted a motion </w:t>
      </w:r>
      <w:r w:rsidR="0013585B" w:rsidRPr="00CE2C12">
        <w:t xml:space="preserve">filed by a </w:t>
      </w:r>
      <w:r w:rsidR="0013585B">
        <w:t xml:space="preserve">railroad </w:t>
      </w:r>
      <w:r w:rsidR="00D94661" w:rsidRPr="00CE2C12">
        <w:t xml:space="preserve">track owner </w:t>
      </w:r>
      <w:r w:rsidR="00D94661">
        <w:t>seeking dismissal of</w:t>
      </w:r>
      <w:r w:rsidRPr="00CE2C12">
        <w:t xml:space="preserve"> an application </w:t>
      </w:r>
      <w:r w:rsidR="00D94661">
        <w:t>for</w:t>
      </w:r>
      <w:r w:rsidR="00D94661" w:rsidRPr="00CE2C12">
        <w:t xml:space="preserve"> </w:t>
      </w:r>
      <w:r w:rsidRPr="00CE2C12">
        <w:t xml:space="preserve">an exemption of the requirement for school buses and carriers of hazardous materials </w:t>
      </w:r>
      <w:r w:rsidR="00F52DC8">
        <w:t>to stop</w:t>
      </w:r>
      <w:r w:rsidRPr="00CE2C12">
        <w:t xml:space="preserve"> at a railroad crossing.  The dismissal was granted after the Commission Staff submitted a letter demonstrating that the crossing did not meet the statutory requirements for an exemption.  </w:t>
      </w:r>
      <w:r w:rsidR="00086B55" w:rsidRPr="00401325">
        <w:rPr>
          <w:i/>
        </w:rPr>
        <w:t>In the Matter of a Request for an Exemption from Stopping for School Buses and Other Motor Vehicles at the Highway/Railroad Grade Crossing Located at U.S. Route 6</w:t>
      </w:r>
      <w:r w:rsidR="00086B55">
        <w:rPr>
          <w:i/>
        </w:rPr>
        <w:t xml:space="preserve"> (477-636E)</w:t>
      </w:r>
      <w:r w:rsidR="00086B55" w:rsidRPr="00401325">
        <w:rPr>
          <w:i/>
        </w:rPr>
        <w:t>, Village of Napoleon, Henry County</w:t>
      </w:r>
      <w:r w:rsidR="00086B55">
        <w:t>, Case No. 03-2524-RR-RCP, Entry at 1 (June 2, 2004).</w:t>
      </w:r>
    </w:p>
    <w:p w14:paraId="55563658" w14:textId="77777777" w:rsidR="00CE2C12" w:rsidRPr="00CE2C12" w:rsidRDefault="00CE2C12" w:rsidP="00CE2C12">
      <w:pPr>
        <w:spacing w:line="480" w:lineRule="auto"/>
      </w:pPr>
      <w:r w:rsidRPr="00CE2C12">
        <w:tab/>
        <w:t xml:space="preserve">In a 1989 case, the Commission granted a motion to dismiss an application seeking a boundary change for a telephone exchange because the application failed to state sufficient facts to support a finding that service was inadequate as required by the applicable statutes.  </w:t>
      </w:r>
      <w:r w:rsidR="00086B55" w:rsidRPr="00401325">
        <w:rPr>
          <w:i/>
        </w:rPr>
        <w:t>In the Matter of the Petition of Thelma Penwell and Other Subscribers of the Amanda Exchange of GTE North Inc., Requesting a Boundary Change</w:t>
      </w:r>
      <w:r w:rsidR="00086B55">
        <w:t>, 1989 Ohio PUC LEXIS 818 (Aug. 9, 1989).</w:t>
      </w:r>
    </w:p>
    <w:p w14:paraId="676FA376" w14:textId="77777777" w:rsidR="006E329E" w:rsidRDefault="00720419" w:rsidP="00720419">
      <w:pPr>
        <w:tabs>
          <w:tab w:val="left" w:pos="720"/>
        </w:tabs>
        <w:spacing w:line="480" w:lineRule="auto"/>
      </w:pPr>
      <w:r>
        <w:tab/>
      </w:r>
      <w:r w:rsidR="00CE2C12" w:rsidRPr="00CE2C12">
        <w:t>This litany of cases demonstrates that the Commission has frequently and properly exercised its authority to dismiss an application without hearing when the application and supporting materials demonstrate that the Commission is without authority to grant the relief</w:t>
      </w:r>
      <w:r w:rsidR="00AE177F">
        <w:t xml:space="preserve"> requested in the application.</w:t>
      </w:r>
      <w:r w:rsidR="006E329E" w:rsidRPr="00722B48">
        <w:rPr>
          <w:vertAlign w:val="superscript"/>
        </w:rPr>
        <w:footnoteReference w:id="3"/>
      </w:r>
    </w:p>
    <w:p w14:paraId="40DEC95F" w14:textId="77777777" w:rsidR="00672046" w:rsidRDefault="00A25637" w:rsidP="00D437D5">
      <w:pPr>
        <w:pStyle w:val="Heading1"/>
      </w:pPr>
      <w:bookmarkStart w:id="10" w:name="_Toc480385201"/>
      <w:bookmarkStart w:id="11" w:name="_Toc482013094"/>
      <w:r>
        <w:lastRenderedPageBreak/>
        <w:t xml:space="preserve">Duke’s Application should be dismissed because the Commission lacks authority under state </w:t>
      </w:r>
      <w:r w:rsidR="009F407D">
        <w:t xml:space="preserve">and federal </w:t>
      </w:r>
      <w:r>
        <w:t>law to grant the relief requested</w:t>
      </w:r>
      <w:bookmarkEnd w:id="10"/>
      <w:bookmarkEnd w:id="11"/>
    </w:p>
    <w:p w14:paraId="3DE023BE" w14:textId="77777777" w:rsidR="00D81143" w:rsidRDefault="00720419" w:rsidP="00720419">
      <w:pPr>
        <w:tabs>
          <w:tab w:val="left" w:pos="720"/>
        </w:tabs>
        <w:spacing w:line="480" w:lineRule="auto"/>
      </w:pPr>
      <w:r>
        <w:tab/>
      </w:r>
      <w:r w:rsidR="00F91F6E">
        <w:t>To support its request for authorization of a generation-related charge</w:t>
      </w:r>
      <w:r w:rsidR="00EC6D6B">
        <w:t xml:space="preserve">, </w:t>
      </w:r>
      <w:r w:rsidR="00B4009A">
        <w:t xml:space="preserve">Duke </w:t>
      </w:r>
      <w:r w:rsidR="00EC6D6B">
        <w:t>for</w:t>
      </w:r>
      <w:r w:rsidR="00324AF5">
        <w:t>e</w:t>
      </w:r>
      <w:r w:rsidR="00EC6D6B">
        <w:t>goes seeking relief under R.C. 4928.143, the provision under which the Commission authorized the PSR as a term of the curre</w:t>
      </w:r>
      <w:r w:rsidR="00324AF5">
        <w:t>nt ESP</w:t>
      </w:r>
      <w:r w:rsidR="00024184">
        <w:t xml:space="preserve">.  </w:t>
      </w:r>
      <w:r w:rsidR="00324AF5" w:rsidRPr="0060366E">
        <w:rPr>
          <w:i/>
        </w:rPr>
        <w:t>Duke ESP III</w:t>
      </w:r>
      <w:r w:rsidR="0060366E">
        <w:t>,</w:t>
      </w:r>
      <w:r w:rsidR="00324AF5">
        <w:t xml:space="preserve"> </w:t>
      </w:r>
      <w:r w:rsidR="001F3A2C">
        <w:t xml:space="preserve">Opinion and </w:t>
      </w:r>
      <w:r w:rsidR="00324AF5">
        <w:t>Order at 46</w:t>
      </w:r>
      <w:r w:rsidR="00507A21">
        <w:t>-4</w:t>
      </w:r>
      <w:r w:rsidR="00324AF5">
        <w:t>7</w:t>
      </w:r>
      <w:r w:rsidR="00817275">
        <w:t xml:space="preserve">. </w:t>
      </w:r>
      <w:r w:rsidR="00EC6D6B">
        <w:t xml:space="preserve"> </w:t>
      </w:r>
      <w:r w:rsidR="00F72DE0">
        <w:t xml:space="preserve">Duke instead invokes the Commission’s general jurisdiction, R.C. 4905.04 through 4905.06, the Commission’s general authority over utility accounts, R.C. 4905.13, and </w:t>
      </w:r>
      <w:r w:rsidR="00955F0E">
        <w:t xml:space="preserve">the </w:t>
      </w:r>
      <w:r w:rsidR="00F72DE0">
        <w:t xml:space="preserve">traditional rate setting statute, R.C. 4909.18.  Application at 2.  </w:t>
      </w:r>
      <w:r w:rsidR="002C5062">
        <w:t>According to Duke, “[</w:t>
      </w:r>
      <w:r w:rsidR="00FF0CC3">
        <w:t>its</w:t>
      </w:r>
      <w:r w:rsidR="002C5062">
        <w:t xml:space="preserve">] Application completely disassociates Rider PSR from the current ESP, thereby ensuring ‘that all other provisions of its ESP will continue.’”  Wathen Testimony at 10.  </w:t>
      </w:r>
      <w:r w:rsidR="00885AF1">
        <w:t xml:space="preserve">See, also, </w:t>
      </w:r>
      <w:r w:rsidR="009C4F34">
        <w:t>Application</w:t>
      </w:r>
      <w:r w:rsidR="00885AF1">
        <w:t xml:space="preserve"> at 8 (requested relief “disassociates the rider proceeding from the [Duke] ESP III proceeding”).  </w:t>
      </w:r>
    </w:p>
    <w:p w14:paraId="5AC80EE2" w14:textId="77777777" w:rsidR="00B4009A" w:rsidRDefault="00D81143" w:rsidP="00720419">
      <w:pPr>
        <w:tabs>
          <w:tab w:val="left" w:pos="720"/>
        </w:tabs>
        <w:spacing w:line="480" w:lineRule="auto"/>
      </w:pPr>
      <w:r>
        <w:tab/>
      </w:r>
      <w:r w:rsidR="006D5823">
        <w:t>The</w:t>
      </w:r>
      <w:r w:rsidR="00E06F9F">
        <w:t xml:space="preserve"> Commission</w:t>
      </w:r>
      <w:r w:rsidR="006D5823">
        <w:t>, however,</w:t>
      </w:r>
      <w:r w:rsidR="00E06F9F">
        <w:t xml:space="preserve"> is not authorized by</w:t>
      </w:r>
      <w:r w:rsidR="00903BF2">
        <w:t xml:space="preserve"> the general jurisdiction or traditional rate making statute</w:t>
      </w:r>
      <w:r w:rsidR="007122D4">
        <w:t>s</w:t>
      </w:r>
      <w:r w:rsidR="00903BF2">
        <w:t xml:space="preserve"> to provide the relief </w:t>
      </w:r>
      <w:r w:rsidR="006D5823">
        <w:t xml:space="preserve">Duke </w:t>
      </w:r>
      <w:r w:rsidR="00903BF2">
        <w:t>requests</w:t>
      </w:r>
      <w:r w:rsidR="00182F37">
        <w:t>.</w:t>
      </w:r>
      <w:r>
        <w:t xml:space="preserve">  Additionally, authorization of the rider would violate </w:t>
      </w:r>
      <w:r w:rsidR="007122D4">
        <w:t xml:space="preserve">statutory </w:t>
      </w:r>
      <w:r>
        <w:t xml:space="preserve">prohibitions </w:t>
      </w:r>
      <w:r w:rsidR="009B7BC9">
        <w:t xml:space="preserve">of orders authorizing an EDU to bill and collect </w:t>
      </w:r>
      <w:r w:rsidR="00B21452">
        <w:t>transition revenue or its equivalent</w:t>
      </w:r>
      <w:r w:rsidR="006C015A" w:rsidRPr="006C015A">
        <w:t xml:space="preserve"> </w:t>
      </w:r>
      <w:r w:rsidR="006C015A">
        <w:t>and unlawful subsidies</w:t>
      </w:r>
      <w:r w:rsidR="00B21452">
        <w:t xml:space="preserve">.  </w:t>
      </w:r>
      <w:r w:rsidR="00DD231F">
        <w:t xml:space="preserve">Authorization of the charge is also preempted by federal law.  </w:t>
      </w:r>
      <w:r w:rsidR="00B21452">
        <w:t xml:space="preserve">Further, </w:t>
      </w:r>
      <w:r w:rsidR="00242AAB">
        <w:t xml:space="preserve">Duke’s application to modify terms of the PSR approved in the </w:t>
      </w:r>
      <w:r w:rsidR="00242AAB" w:rsidRPr="00A1395A">
        <w:rPr>
          <w:i/>
        </w:rPr>
        <w:t>Duke ESP III Case</w:t>
      </w:r>
      <w:r w:rsidR="00242AAB">
        <w:t xml:space="preserve"> is an untimely application for rehearing. </w:t>
      </w:r>
      <w:r w:rsidR="00B21452">
        <w:t xml:space="preserve"> </w:t>
      </w:r>
      <w:r w:rsidR="009F407D">
        <w:t>For several reasons, therefore, the Commission should dismiss the Application.</w:t>
      </w:r>
    </w:p>
    <w:p w14:paraId="47EFCC4B" w14:textId="77777777" w:rsidR="00850D8C" w:rsidRDefault="00850D8C" w:rsidP="00D437D5">
      <w:pPr>
        <w:pStyle w:val="Heading2"/>
      </w:pPr>
      <w:bookmarkStart w:id="12" w:name="_Toc480385202"/>
      <w:bookmarkStart w:id="13" w:name="_Toc482013095"/>
      <w:r>
        <w:lastRenderedPageBreak/>
        <w:t>The Commission is without authority to establish a mechanism for the recovery of Duke’s above-market generation-related wholesale costs</w:t>
      </w:r>
      <w:bookmarkEnd w:id="12"/>
      <w:r w:rsidR="00B4731E">
        <w:t xml:space="preserve"> of OVEC</w:t>
      </w:r>
      <w:bookmarkEnd w:id="13"/>
    </w:p>
    <w:p w14:paraId="557D2B11" w14:textId="77777777" w:rsidR="00333182" w:rsidRDefault="00720419" w:rsidP="00720419">
      <w:pPr>
        <w:tabs>
          <w:tab w:val="left" w:pos="720"/>
        </w:tabs>
        <w:spacing w:line="480" w:lineRule="auto"/>
      </w:pPr>
      <w:r>
        <w:tab/>
      </w:r>
      <w:r w:rsidR="0015031A">
        <w:t xml:space="preserve">The Commission is a creature of statute and may exercise only that authority granted to </w:t>
      </w:r>
      <w:r w:rsidR="007F06D7">
        <w:t>it</w:t>
      </w:r>
      <w:r w:rsidR="0015031A">
        <w:t xml:space="preserve"> by statute.  </w:t>
      </w:r>
      <w:r w:rsidR="0015031A">
        <w:rPr>
          <w:rFonts w:cs="Arial"/>
          <w:i/>
        </w:rPr>
        <w:t>Lucas County Commissioners v. Pub. Util. Comm’n of Ohio</w:t>
      </w:r>
      <w:r w:rsidR="0015031A">
        <w:rPr>
          <w:rFonts w:cs="Arial"/>
        </w:rPr>
        <w:t xml:space="preserve">, 80 Ohio St.3d 344, 347 (1997).  </w:t>
      </w:r>
      <w:r w:rsidR="00932D76" w:rsidRPr="00932D76">
        <w:t xml:space="preserve">R.C. 4905.04, 4905.05, </w:t>
      </w:r>
      <w:r w:rsidR="00B54B90">
        <w:t xml:space="preserve">and </w:t>
      </w:r>
      <w:r w:rsidR="00932D76" w:rsidRPr="00932D76">
        <w:t>4905.06</w:t>
      </w:r>
      <w:r w:rsidR="00B54B90">
        <w:t xml:space="preserve"> </w:t>
      </w:r>
      <w:r w:rsidR="00932D76" w:rsidRPr="00932D76">
        <w:t>and R.C. Chapters 4909 and 4928 all apply to public utilities</w:t>
      </w:r>
      <w:r w:rsidR="006B1A7F">
        <w:t xml:space="preserve"> </w:t>
      </w:r>
      <w:r w:rsidR="00932D76" w:rsidRPr="00932D76">
        <w:t xml:space="preserve">as that term is defined in R.C. 4905.02 and 4905.03.  </w:t>
      </w:r>
      <w:r w:rsidR="0049454F">
        <w:t>As defined by these statutes, t</w:t>
      </w:r>
      <w:r w:rsidR="000676F2">
        <w:t xml:space="preserve">he authority of the Commission does not extend to </w:t>
      </w:r>
      <w:r w:rsidR="00E374D9">
        <w:t xml:space="preserve">the authorization of a mechanism to protect Duke from </w:t>
      </w:r>
      <w:r w:rsidR="00DC011D">
        <w:t>wholesale price risk</w:t>
      </w:r>
      <w:r w:rsidR="00E374D9">
        <w:t xml:space="preserve"> because it retained an interest in OVEC.  This conclusion holds </w:t>
      </w:r>
      <w:r w:rsidR="0048434A">
        <w:t xml:space="preserve">even under the Commission’s reading of </w:t>
      </w:r>
      <w:r w:rsidR="00A57631">
        <w:t>the jurisdictional statutes</w:t>
      </w:r>
      <w:r w:rsidR="0048434A">
        <w:t xml:space="preserve"> </w:t>
      </w:r>
      <w:r w:rsidR="00A57631">
        <w:t xml:space="preserve">in the </w:t>
      </w:r>
      <w:r w:rsidR="00A57631" w:rsidRPr="00EF390A">
        <w:rPr>
          <w:i/>
        </w:rPr>
        <w:t>AEP-Ohio Capacity Charge Case</w:t>
      </w:r>
      <w:r w:rsidR="000676F2">
        <w:t>.</w:t>
      </w:r>
      <w:r w:rsidR="00626DC0">
        <w:rPr>
          <w:rStyle w:val="FootnoteReference"/>
        </w:rPr>
        <w:footnoteReference w:id="4"/>
      </w:r>
    </w:p>
    <w:p w14:paraId="3DEA1281" w14:textId="77777777" w:rsidR="00AF30C7" w:rsidRDefault="00AF30C7" w:rsidP="00D437D5">
      <w:pPr>
        <w:pStyle w:val="Heading3"/>
      </w:pPr>
      <w:bookmarkStart w:id="14" w:name="_Toc482013096"/>
      <w:r>
        <w:t xml:space="preserve">The general jurisdiction and traditional rate setting </w:t>
      </w:r>
      <w:r w:rsidR="0043451A">
        <w:t>statutes</w:t>
      </w:r>
      <w:r>
        <w:t xml:space="preserve"> do not extend the Commission’s jurisdiction to the pricing of wholesale electric generation services</w:t>
      </w:r>
      <w:bookmarkEnd w:id="14"/>
    </w:p>
    <w:p w14:paraId="57D4A4D8" w14:textId="77777777" w:rsidR="00333182" w:rsidRDefault="00720419" w:rsidP="00720419">
      <w:pPr>
        <w:tabs>
          <w:tab w:val="left" w:pos="720"/>
        </w:tabs>
        <w:spacing w:line="480" w:lineRule="auto"/>
      </w:pPr>
      <w:r>
        <w:tab/>
      </w:r>
      <w:r w:rsidR="00333182" w:rsidRPr="00333182">
        <w:t xml:space="preserve">Under R.C. 4905.02, “every corporation, company, copartnership, person, or association, the lessees, trustees, or receivers of the foregoing, defined in Section 4905.03 of the Revised Code, including any public utility that operates its utility not for profit,” is a public utility.  </w:t>
      </w:r>
      <w:r w:rsidR="00976FC1">
        <w:t xml:space="preserve">As identified by R.C. 4905.03, a public utility includes </w:t>
      </w:r>
      <w:r w:rsidR="00C53E2B">
        <w:t>a company “</w:t>
      </w:r>
      <w:r w:rsidR="0062444F" w:rsidRPr="0062444F">
        <w:t xml:space="preserve">engaged in the business of supplying electricity for light, heat, or power purposes to consumers within this state, including supplying electric transmission service for electricity </w:t>
      </w:r>
      <w:r w:rsidR="0062444F" w:rsidRPr="00AC56F2">
        <w:rPr>
          <w:i/>
        </w:rPr>
        <w:t>delivered to consumers in this state</w:t>
      </w:r>
      <w:r w:rsidR="0062444F">
        <w:t>.</w:t>
      </w:r>
      <w:r w:rsidR="00AC56F2">
        <w:t>”  R.C. 4905.03(C)</w:t>
      </w:r>
      <w:r w:rsidR="000F0FD9">
        <w:t xml:space="preserve"> (emphasis added)</w:t>
      </w:r>
      <w:r w:rsidR="00AC56F2">
        <w:t>.</w:t>
      </w:r>
      <w:r w:rsidR="00522D0F">
        <w:t xml:space="preserve"> </w:t>
      </w:r>
      <w:r w:rsidR="00ED12D8">
        <w:t xml:space="preserve"> </w:t>
      </w:r>
      <w:r w:rsidR="00412E5B">
        <w:t>(</w:t>
      </w:r>
      <w:r w:rsidR="002050B0">
        <w:t>T</w:t>
      </w:r>
      <w:r w:rsidR="005C1D38">
        <w:t>hese definition</w:t>
      </w:r>
      <w:r w:rsidR="002050B0">
        <w:t xml:space="preserve">s </w:t>
      </w:r>
      <w:r w:rsidR="00412E5B">
        <w:t xml:space="preserve">also expressly exempt from </w:t>
      </w:r>
      <w:r w:rsidR="00685805">
        <w:t xml:space="preserve">Commission jurisdiction </w:t>
      </w:r>
      <w:r w:rsidR="00ED12D8">
        <w:t xml:space="preserve">a regional transmission organization.  </w:t>
      </w:r>
      <w:r w:rsidR="00ED12D8" w:rsidRPr="00394D32">
        <w:rPr>
          <w:i/>
        </w:rPr>
        <w:t>Id</w:t>
      </w:r>
      <w:r w:rsidR="00ED12D8">
        <w:t>.</w:t>
      </w:r>
      <w:r w:rsidR="00412E5B">
        <w:t>)</w:t>
      </w:r>
      <w:r w:rsidR="00ED12D8">
        <w:t xml:space="preserve">  </w:t>
      </w:r>
      <w:r w:rsidR="00333182" w:rsidRPr="00333182">
        <w:t xml:space="preserve">The functional definitions </w:t>
      </w:r>
      <w:r w:rsidR="00522D0F">
        <w:t>thus</w:t>
      </w:r>
      <w:r w:rsidR="00333182" w:rsidRPr="00333182">
        <w:t xml:space="preserve"> specify that </w:t>
      </w:r>
      <w:r w:rsidR="002E7AA3">
        <w:t>Commission regulation</w:t>
      </w:r>
      <w:r w:rsidR="00333182" w:rsidRPr="00333182">
        <w:t xml:space="preserve"> is </w:t>
      </w:r>
      <w:r w:rsidR="00333182" w:rsidRPr="00333182">
        <w:lastRenderedPageBreak/>
        <w:t xml:space="preserve">confined to persons engaged in the business of performing the </w:t>
      </w:r>
      <w:r w:rsidR="00DB01C7">
        <w:t>provision of supplying electricity to end-use customers</w:t>
      </w:r>
      <w:r w:rsidR="00333182" w:rsidRPr="00333182">
        <w:t xml:space="preserve"> in Ohio. </w:t>
      </w:r>
    </w:p>
    <w:p w14:paraId="13C4E556" w14:textId="77777777" w:rsidR="00113B9E" w:rsidRDefault="00720419" w:rsidP="00720419">
      <w:pPr>
        <w:tabs>
          <w:tab w:val="left" w:pos="720"/>
        </w:tabs>
        <w:spacing w:line="480" w:lineRule="auto"/>
      </w:pPr>
      <w:r>
        <w:tab/>
      </w:r>
      <w:r w:rsidR="000434BB">
        <w:t xml:space="preserve">Although Duke states it is offering retail customers something it refers to as “price mitigation,” Application at 8, </w:t>
      </w:r>
      <w:r w:rsidR="00794F85">
        <w:t xml:space="preserve">the Application and supporting materials demonstrate </w:t>
      </w:r>
      <w:r w:rsidR="003226F6">
        <w:t>that the</w:t>
      </w:r>
      <w:r w:rsidR="00E82BBB">
        <w:t xml:space="preserve"> true nature of the rider </w:t>
      </w:r>
      <w:r w:rsidR="00051075">
        <w:t xml:space="preserve">is </w:t>
      </w:r>
      <w:r w:rsidR="00E82BBB">
        <w:t xml:space="preserve">to assure that </w:t>
      </w:r>
      <w:r w:rsidR="00513422">
        <w:t xml:space="preserve">Duke </w:t>
      </w:r>
      <w:r w:rsidR="00E82BBB">
        <w:t xml:space="preserve">is held harmless from the </w:t>
      </w:r>
      <w:r w:rsidR="00BC2249">
        <w:t xml:space="preserve">wholesale contract </w:t>
      </w:r>
      <w:r w:rsidR="00E82BBB">
        <w:t xml:space="preserve">costs associated with its decision to retain its interest in </w:t>
      </w:r>
      <w:r w:rsidR="00DA1651">
        <w:t>OVEC.</w:t>
      </w:r>
      <w:r w:rsidR="00212881">
        <w:t xml:space="preserve">  </w:t>
      </w:r>
      <w:r w:rsidR="00351170">
        <w:t xml:space="preserve">As Duke itself explains, </w:t>
      </w:r>
      <w:r w:rsidR="006B4CF4">
        <w:t xml:space="preserve">the generation it receives from OVEC is not and will not be used to provide any generation supply to retail customers.  Wathen Testimony at 4.  </w:t>
      </w:r>
      <w:r w:rsidR="007D10E4">
        <w:t xml:space="preserve">Rather, Duke is seeking to bill and collect the difference between the costs </w:t>
      </w:r>
      <w:r w:rsidR="00F63AF2">
        <w:t xml:space="preserve">and </w:t>
      </w:r>
      <w:r w:rsidR="007D10E4">
        <w:t>revenue</w:t>
      </w:r>
      <w:r w:rsidR="00081C69">
        <w:t xml:space="preserve"> related to its interest in OVEC</w:t>
      </w:r>
      <w:r w:rsidR="00CB32C9">
        <w:t xml:space="preserve">.  Application at 2 n.1.  </w:t>
      </w:r>
      <w:r w:rsidR="001F7CB8">
        <w:t>T</w:t>
      </w:r>
      <w:r w:rsidR="00D2258C">
        <w:t xml:space="preserve">he costs are determined by a wholesale contract, the </w:t>
      </w:r>
      <w:r w:rsidR="00364524">
        <w:t>FERC-</w:t>
      </w:r>
      <w:r w:rsidR="00FB29FB">
        <w:t xml:space="preserve">approved </w:t>
      </w:r>
      <w:r w:rsidR="00342B77">
        <w:t>Inter-Company Power Agreement (“</w:t>
      </w:r>
      <w:r w:rsidR="00D2258C">
        <w:t>ICPA</w:t>
      </w:r>
      <w:r w:rsidR="00342B77">
        <w:t>”)</w:t>
      </w:r>
      <w:r w:rsidR="00D2258C">
        <w:t xml:space="preserve">.  </w:t>
      </w:r>
      <w:r w:rsidR="001F7CB8">
        <w:t xml:space="preserve">Application at 4.  </w:t>
      </w:r>
      <w:r w:rsidR="00D2258C">
        <w:t xml:space="preserve">The revenue is determined by the wholesale energy and capacity auctions </w:t>
      </w:r>
      <w:r w:rsidR="00FB29FB">
        <w:t>established under the FERC-approved</w:t>
      </w:r>
      <w:r w:rsidR="00D2258C">
        <w:t xml:space="preserve"> PJM tariffs.</w:t>
      </w:r>
      <w:r w:rsidR="00346670">
        <w:t xml:space="preserve">  Application at 5</w:t>
      </w:r>
      <w:r w:rsidR="003726F0">
        <w:t xml:space="preserve"> &amp; Wathen Testimony at 4</w:t>
      </w:r>
      <w:r w:rsidR="00346670">
        <w:t>.</w:t>
      </w:r>
      <w:r w:rsidR="00906452">
        <w:rPr>
          <w:rStyle w:val="FootnoteReference"/>
        </w:rPr>
        <w:footnoteReference w:id="5"/>
      </w:r>
      <w:r w:rsidR="00DD3CA3">
        <w:t xml:space="preserve">  </w:t>
      </w:r>
      <w:r w:rsidR="00D92069">
        <w:t xml:space="preserve">To </w:t>
      </w:r>
      <w:r w:rsidR="00CA5122">
        <w:t>insulate Duke from the price risk it has because of its interest in OVEC</w:t>
      </w:r>
      <w:r w:rsidR="00D92069">
        <w:t>, Duke would bill and collect the difference under the PSR from retail customers</w:t>
      </w:r>
      <w:r w:rsidR="003726F0">
        <w:t>.</w:t>
      </w:r>
      <w:r w:rsidR="00DD3CA3">
        <w:t xml:space="preserve">  </w:t>
      </w:r>
      <w:r w:rsidR="002D4443">
        <w:t xml:space="preserve">Application at 5 &amp; </w:t>
      </w:r>
      <w:r w:rsidR="002D4443" w:rsidRPr="00EF390A">
        <w:t xml:space="preserve">Wathen Testimony </w:t>
      </w:r>
      <w:r w:rsidR="00E84C96">
        <w:t>at 7 (rider subject to true up)</w:t>
      </w:r>
      <w:r w:rsidR="001F7CB8">
        <w:t>.</w:t>
      </w:r>
      <w:r w:rsidR="003B23F4">
        <w:t xml:space="preserve">  </w:t>
      </w:r>
    </w:p>
    <w:p w14:paraId="039ED92E" w14:textId="07D8BBAD" w:rsidR="006A75C0" w:rsidRDefault="00720419" w:rsidP="00720419">
      <w:pPr>
        <w:tabs>
          <w:tab w:val="left" w:pos="720"/>
        </w:tabs>
        <w:spacing w:line="480" w:lineRule="auto"/>
      </w:pPr>
      <w:r>
        <w:tab/>
      </w:r>
      <w:r w:rsidR="00C962B4">
        <w:t>Retail customers do not receive any service for their payments because t</w:t>
      </w:r>
      <w:r w:rsidR="0044192F">
        <w:t>he “price mitigation” that Duke is offering its retail customers is wholly illusory</w:t>
      </w:r>
      <w:r w:rsidR="004B5FB4">
        <w:t xml:space="preserve"> both in the immediate and extended term</w:t>
      </w:r>
      <w:r w:rsidR="00394D32">
        <w:t xml:space="preserve">.  </w:t>
      </w:r>
      <w:r w:rsidR="004B5FB4">
        <w:t>In the near term, a</w:t>
      </w:r>
      <w:r w:rsidR="00394D32">
        <w:t>s t</w:t>
      </w:r>
      <w:r w:rsidR="00EF294F">
        <w:t xml:space="preserve">he Commission </w:t>
      </w:r>
      <w:r w:rsidR="00342B77">
        <w:t xml:space="preserve">already </w:t>
      </w:r>
      <w:r w:rsidR="00F23204">
        <w:t xml:space="preserve">has </w:t>
      </w:r>
      <w:r w:rsidR="00EF294F">
        <w:t>determined</w:t>
      </w:r>
      <w:r w:rsidR="00394D32">
        <w:t>,</w:t>
      </w:r>
      <w:r w:rsidR="00EF294F">
        <w:t xml:space="preserve"> Duke failed to show that </w:t>
      </w:r>
      <w:r w:rsidR="008E21AE">
        <w:t>the</w:t>
      </w:r>
      <w:r w:rsidR="00EF294F">
        <w:t xml:space="preserve"> rider </w:t>
      </w:r>
      <w:r w:rsidR="001B3334">
        <w:t xml:space="preserve">would be </w:t>
      </w:r>
      <w:r w:rsidR="00AF6DEA">
        <w:t>anything other than</w:t>
      </w:r>
      <w:r w:rsidR="001B3334">
        <w:t xml:space="preserve"> a</w:t>
      </w:r>
      <w:r w:rsidR="00EF294F">
        <w:t xml:space="preserve"> cost to retail customers during the term of the ESP.  </w:t>
      </w:r>
      <w:r w:rsidR="00EF294F" w:rsidRPr="0060366E">
        <w:rPr>
          <w:i/>
        </w:rPr>
        <w:t>Duke ESP III</w:t>
      </w:r>
      <w:r w:rsidR="0060366E" w:rsidRPr="0060366E">
        <w:rPr>
          <w:i/>
        </w:rPr>
        <w:t>,</w:t>
      </w:r>
      <w:r w:rsidR="00EF294F">
        <w:t xml:space="preserve"> Opinion and Order at 47.  </w:t>
      </w:r>
      <w:r w:rsidR="00E66782">
        <w:rPr>
          <w:noProof/>
          <w:color w:val="000000"/>
          <w:highlight w:val="black"/>
        </w:rPr>
        <w:t xml:space="preserve">''''''''' '''''''''''''' ''''''''''' '''''''''''''''''''''''' ''''' '''''''''''''''''''''' ''''''''' ''''''' ''''''''''''''''  '''''''''''''''''''''' ''''' '''''''''''''''''' ''''''''' ''''''''''''''''''''''' ''''' ''''''''''''''''' ''''' '''''''' </w:t>
      </w:r>
      <w:r w:rsidR="00E66782">
        <w:rPr>
          <w:noProof/>
          <w:color w:val="000000"/>
          <w:highlight w:val="black"/>
        </w:rPr>
        <w:lastRenderedPageBreak/>
        <w:t xml:space="preserve">'''''''''''''''''''''''''' ''''''''''''''' ''''''''' ''''''''''''''''''' '''''''''''''''' '''''''''''''' '''''' '''''''''''''' '''''''''' ''''' '''''''''''''''''''' '''''''''''''''''' '''''''''''''''''''''' '''''''''''''''''''''''''' '''''''' '''''''''''''''''''''''''' '''''''' ''''''''' ''''''''''''''''' '''''''''''''''''''' '''' '''''''''''' ''''''''' '''' '''''''' ''' '''''''''' ''''' ''''''''''''''''''''''''''  '''''''''''''''' ''''''''''''''''''''''''''' ''''' '''''''''''''''' ''''' ''''''''''''' ''''''' ''''''''''''''''' ''''' '''''''''''' '''''''''''''''' '''''''''''' ''''''''' ''''' '''''''''' ''''''''''''' ''''''''' ''''''''''''''' </w:t>
      </w:r>
      <w:r w:rsidR="00096570">
        <w:t xml:space="preserve"> </w:t>
      </w:r>
    </w:p>
    <w:p w14:paraId="7FFE7161" w14:textId="77777777" w:rsidR="00212881" w:rsidRDefault="006A75C0" w:rsidP="00720419">
      <w:pPr>
        <w:tabs>
          <w:tab w:val="left" w:pos="720"/>
        </w:tabs>
        <w:spacing w:line="480" w:lineRule="auto"/>
      </w:pPr>
      <w:r>
        <w:tab/>
      </w:r>
      <w:r w:rsidR="00D34711">
        <w:t>Rather than providing customers a “service,”</w:t>
      </w:r>
      <w:r w:rsidR="00525237">
        <w:t xml:space="preserve"> the PSR would reassign the market risk of OVEC to customers.  </w:t>
      </w:r>
      <w:r w:rsidR="008B01D5">
        <w:t>As Duke itself explains</w:t>
      </w:r>
      <w:r w:rsidR="007E4C03">
        <w:t>,</w:t>
      </w:r>
      <w:r w:rsidR="00EC4A6B">
        <w:t xml:space="preserve"> “</w:t>
      </w:r>
      <w:r w:rsidR="008B01D5">
        <w:t>[a]</w:t>
      </w:r>
      <w:r w:rsidR="00EC4A6B">
        <w:t>s long as Rider PSR is active, Duke Energy Ohio’s shareholders [</w:t>
      </w:r>
      <w:r w:rsidR="00EC4A6B" w:rsidRPr="00ED12D8">
        <w:rPr>
          <w:i/>
        </w:rPr>
        <w:t>sic</w:t>
      </w:r>
      <w:r w:rsidR="00EC4A6B">
        <w:t>]</w:t>
      </w:r>
      <w:r w:rsidR="007E4C03">
        <w:rPr>
          <w:rStyle w:val="FootnoteReference"/>
        </w:rPr>
        <w:footnoteReference w:id="6"/>
      </w:r>
      <w:r w:rsidR="00EC4A6B">
        <w:t xml:space="preserve"> gain nothing and lose nothing related to the Company’s participation in the ICPA.”  Wathen Testimony at 12.  </w:t>
      </w:r>
    </w:p>
    <w:p w14:paraId="5F5094DE" w14:textId="77777777" w:rsidR="00336F20" w:rsidRDefault="00336F20" w:rsidP="00336F20">
      <w:pPr>
        <w:tabs>
          <w:tab w:val="left" w:pos="720"/>
        </w:tabs>
        <w:spacing w:line="480" w:lineRule="auto"/>
      </w:pPr>
      <w:r>
        <w:tab/>
        <w:t xml:space="preserve">The Commission’s jurisdiction is limited to the regulation of electric services provided by electric light companies to retail customers.  This Application has nothing to do with the provision of retail electric service; OVEC-related generation is not part of the package that Duke is proposing to provide its retail customers.  Rather, Duke is seeking to transfer its wholesale </w:t>
      </w:r>
      <w:r w:rsidR="00AC63F4">
        <w:t xml:space="preserve">price </w:t>
      </w:r>
      <w:r>
        <w:t xml:space="preserve">risk to retail customers.  Based upon the well-understood </w:t>
      </w:r>
      <w:r w:rsidR="003D10BE">
        <w:t>statutes</w:t>
      </w:r>
      <w:r>
        <w:t xml:space="preserve"> defining the types of entities and transactions over which the Commission may exercise authority, the Commission is without jurisdiction to approve a transfer of wholesale </w:t>
      </w:r>
      <w:r w:rsidR="00BD553A">
        <w:t xml:space="preserve">price </w:t>
      </w:r>
      <w:r>
        <w:t>risk unrelated to any retail service to Duke’s retail customers.</w:t>
      </w:r>
    </w:p>
    <w:p w14:paraId="316BE197" w14:textId="77777777" w:rsidR="00336F20" w:rsidRDefault="00D01B88" w:rsidP="00D437D5">
      <w:pPr>
        <w:pStyle w:val="Heading3"/>
      </w:pPr>
      <w:bookmarkStart w:id="15" w:name="_Toc482013097"/>
      <w:r>
        <w:t>The Commission’s assertion of jurisdiction to price capacity</w:t>
      </w:r>
      <w:r w:rsidR="00041021">
        <w:t xml:space="preserve"> service of AEP-Ohio</w:t>
      </w:r>
      <w:r>
        <w:t xml:space="preserve"> </w:t>
      </w:r>
      <w:r w:rsidR="00041021">
        <w:t xml:space="preserve">does not provide a rationale for the Commission to assert jurisdiction to </w:t>
      </w:r>
      <w:r w:rsidR="00C53F0E">
        <w:t>protect Duke from the losses it incurs under the ICPA</w:t>
      </w:r>
      <w:bookmarkEnd w:id="15"/>
    </w:p>
    <w:p w14:paraId="12BA28A3" w14:textId="77777777" w:rsidR="00C31D36" w:rsidRDefault="00C31D36" w:rsidP="00C31D36">
      <w:pPr>
        <w:tabs>
          <w:tab w:val="left" w:pos="720"/>
        </w:tabs>
        <w:spacing w:line="480" w:lineRule="auto"/>
      </w:pPr>
      <w:r>
        <w:tab/>
        <w:t xml:space="preserve">The Commission’s approval of a price for capacity service used by competitive retail electric service providers of AEP-Ohio does not alter the conclusion that the Commission is without authority to </w:t>
      </w:r>
      <w:r w:rsidR="009C1170">
        <w:t>insulate Duke from the price risk</w:t>
      </w:r>
      <w:r w:rsidR="004B62FB">
        <w:t xml:space="preserve"> </w:t>
      </w:r>
      <w:r w:rsidR="00991F2C">
        <w:t>arising from</w:t>
      </w:r>
      <w:r w:rsidR="004B62FB">
        <w:t xml:space="preserve"> its </w:t>
      </w:r>
      <w:r w:rsidR="004B62FB">
        <w:lastRenderedPageBreak/>
        <w:t>interest in OVEC</w:t>
      </w:r>
      <w:r>
        <w:t xml:space="preserve">.  Although the Commission </w:t>
      </w:r>
      <w:r w:rsidR="0048434A">
        <w:t>i</w:t>
      </w:r>
      <w:r>
        <w:t xml:space="preserve">n the </w:t>
      </w:r>
      <w:r w:rsidRPr="00491F3D">
        <w:rPr>
          <w:i/>
        </w:rPr>
        <w:t>AEP-Ohio Capacity Case</w:t>
      </w:r>
      <w:r>
        <w:t xml:space="preserve"> claimed jurisdiction under its general jurisdiction and traditional rate making </w:t>
      </w:r>
      <w:r w:rsidR="001B7013">
        <w:t xml:space="preserve">statutes </w:t>
      </w:r>
      <w:r>
        <w:t>to set a price for wholesale capacity service,</w:t>
      </w:r>
      <w:r w:rsidR="00DC05D8">
        <w:rPr>
          <w:rStyle w:val="FootnoteReference"/>
        </w:rPr>
        <w:footnoteReference w:id="7"/>
      </w:r>
      <w:r w:rsidR="00DC05D8">
        <w:t xml:space="preserve"> </w:t>
      </w:r>
      <w:r>
        <w:t xml:space="preserve">it limited that claim to setting a state compensation mechanism under a provision of the PJM Reliability Assurance Agreement (“RAA”).  </w:t>
      </w:r>
      <w:r w:rsidR="00626DC0">
        <w:rPr>
          <w:i/>
        </w:rPr>
        <w:t>AEP-Ohio Capacity Charge Case</w:t>
      </w:r>
      <w:r>
        <w:t xml:space="preserve">, Opinion and Order at 13 &amp; 22 (July 2, 2012).  According to the Commission, “the RAA acknowledges the authority of a state regulatory jurisdiction, such as the Commission, to establish a state compensation mechanism.”  </w:t>
      </w:r>
      <w:r w:rsidRPr="00491F3D">
        <w:rPr>
          <w:i/>
        </w:rPr>
        <w:t>Id</w:t>
      </w:r>
      <w:r>
        <w:t xml:space="preserve">.  </w:t>
      </w:r>
      <w:r w:rsidR="00A719AB">
        <w:t xml:space="preserve">The assertion of jurisdiction over capacity </w:t>
      </w:r>
      <w:r w:rsidR="00E669AC">
        <w:t>prices</w:t>
      </w:r>
      <w:r w:rsidR="00A719AB">
        <w:t>, however, did not go any further tha</w:t>
      </w:r>
      <w:r w:rsidR="007E4961">
        <w:t>n</w:t>
      </w:r>
      <w:r w:rsidR="00A719AB">
        <w:t xml:space="preserve"> what </w:t>
      </w:r>
      <w:r w:rsidR="00E669AC">
        <w:t>the Commission</w:t>
      </w:r>
      <w:r w:rsidR="00A719AB">
        <w:t xml:space="preserve"> claimed arose under the RAA.</w:t>
      </w:r>
      <w:r>
        <w:t xml:space="preserve">  To the contrary, the Commission recognized “that, pursuant to the [Federal Power Act], electric sales for resale and other wholesale transactions are generally subject to the exclusive jurisdiction of FERC.”  </w:t>
      </w:r>
      <w:r w:rsidRPr="00491F3D">
        <w:rPr>
          <w:i/>
        </w:rPr>
        <w:t>Id</w:t>
      </w:r>
      <w:r>
        <w:t>.</w:t>
      </w:r>
    </w:p>
    <w:p w14:paraId="0AB5B355" w14:textId="77777777" w:rsidR="00C31D36" w:rsidRDefault="00C31D36" w:rsidP="00C31D36">
      <w:pPr>
        <w:tabs>
          <w:tab w:val="left" w:pos="720"/>
        </w:tabs>
        <w:spacing w:line="480" w:lineRule="auto"/>
      </w:pPr>
      <w:r>
        <w:tab/>
      </w:r>
      <w:r w:rsidR="00E669AC">
        <w:t>Insensitive to the limits of the Commission’s jurisdiction</w:t>
      </w:r>
      <w:r w:rsidR="004B4E47">
        <w:t xml:space="preserve"> outlined in the </w:t>
      </w:r>
      <w:r w:rsidR="004B4E47" w:rsidRPr="00FE0E77">
        <w:rPr>
          <w:i/>
        </w:rPr>
        <w:t>AEP-Ohio Capacity Case</w:t>
      </w:r>
      <w:r w:rsidR="00E669AC">
        <w:t xml:space="preserve">, </w:t>
      </w:r>
      <w:r w:rsidR="00386B2D">
        <w:t xml:space="preserve">Duke asserts that the Commission can increase or decrease the amounts that Duke will be compensated for wholesale generation.  </w:t>
      </w:r>
      <w:r w:rsidR="00616013">
        <w:t>Duke’s Application</w:t>
      </w:r>
      <w:r w:rsidR="00386B2D">
        <w:t>, however,</w:t>
      </w:r>
      <w:r w:rsidR="00616013">
        <w:t xml:space="preserve"> does not present a request that falls within the narrow extension of jurisdiction the </w:t>
      </w:r>
      <w:r w:rsidR="00616013">
        <w:lastRenderedPageBreak/>
        <w:t xml:space="preserve">Commission asserted in the </w:t>
      </w:r>
      <w:r w:rsidR="00616013" w:rsidRPr="00DA1651">
        <w:rPr>
          <w:i/>
        </w:rPr>
        <w:t xml:space="preserve">AEP-Ohio Capacity </w:t>
      </w:r>
      <w:r w:rsidR="001B7013" w:rsidRPr="00DA1651">
        <w:rPr>
          <w:i/>
        </w:rPr>
        <w:t xml:space="preserve">Charge </w:t>
      </w:r>
      <w:r w:rsidR="00616013" w:rsidRPr="00DA1651">
        <w:rPr>
          <w:i/>
        </w:rPr>
        <w:t>Case</w:t>
      </w:r>
      <w:r w:rsidR="00616013">
        <w:t xml:space="preserve">.  </w:t>
      </w:r>
      <w:r w:rsidR="00386B2D">
        <w:t xml:space="preserve">In particular, </w:t>
      </w:r>
      <w:r>
        <w:t xml:space="preserve">Duke has not pointed to any provision in a FERC-approved tariff or a FERC order that </w:t>
      </w:r>
      <w:r w:rsidR="00121FF3">
        <w:t>acknowledges</w:t>
      </w:r>
      <w:r w:rsidR="00B1030A">
        <w:t xml:space="preserve"> a state commission’s authority </w:t>
      </w:r>
      <w:r w:rsidR="00DA1651">
        <w:t>to</w:t>
      </w:r>
      <w:r w:rsidR="00B1030A">
        <w:t xml:space="preserve"> hold Duke harmless from the costs of the ICPA.  </w:t>
      </w:r>
    </w:p>
    <w:p w14:paraId="77AD8D9B" w14:textId="77777777" w:rsidR="00B4731E" w:rsidRDefault="00D0395F" w:rsidP="00D437D5">
      <w:pPr>
        <w:pStyle w:val="Heading3"/>
      </w:pPr>
      <w:bookmarkStart w:id="16" w:name="_Toc482013098"/>
      <w:r>
        <w:t>Duke’s Application fails to demonstrate a basis for the Commission to assert jurisdiction to increase Duke’s compensation to cover its losses associated with OVEC</w:t>
      </w:r>
      <w:bookmarkEnd w:id="16"/>
    </w:p>
    <w:p w14:paraId="581E6952" w14:textId="77777777" w:rsidR="00121FF3" w:rsidRDefault="00121FF3" w:rsidP="00C31D36">
      <w:pPr>
        <w:tabs>
          <w:tab w:val="left" w:pos="720"/>
        </w:tabs>
        <w:spacing w:line="480" w:lineRule="auto"/>
      </w:pPr>
      <w:r>
        <w:tab/>
        <w:t>O</w:t>
      </w:r>
      <w:r w:rsidR="004B3869">
        <w:t xml:space="preserve">hio law limits the Commission’s jurisdiction to </w:t>
      </w:r>
      <w:r w:rsidR="00683E3B">
        <w:t>entities</w:t>
      </w:r>
      <w:r w:rsidR="00B954F6">
        <w:t xml:space="preserve"> </w:t>
      </w:r>
      <w:r w:rsidR="00B954F6" w:rsidRPr="0062444F">
        <w:t>supplying electricity for light, heat, or power purposes to consumers within this state</w:t>
      </w:r>
      <w:r w:rsidR="00B954F6">
        <w:t xml:space="preserve">.  </w:t>
      </w:r>
      <w:r w:rsidR="00903296">
        <w:t xml:space="preserve">Under these jurisdictional statutes, the Commission is without jurisdiction to address Duke’s Application because </w:t>
      </w:r>
      <w:r w:rsidR="008076F5">
        <w:t xml:space="preserve">the proposed rider is designed solely to protect the shareholder of Duke from </w:t>
      </w:r>
      <w:r w:rsidR="00483A22">
        <w:t>wholesale price risk from</w:t>
      </w:r>
      <w:r w:rsidR="008076F5">
        <w:t xml:space="preserve"> its retained interest in OVEC.  </w:t>
      </w:r>
      <w:r w:rsidR="00F62375">
        <w:t>Protection from price risk</w:t>
      </w:r>
      <w:r w:rsidR="00B954F6">
        <w:t xml:space="preserve"> </w:t>
      </w:r>
      <w:r w:rsidR="00F62375">
        <w:t xml:space="preserve">has </w:t>
      </w:r>
      <w:r w:rsidR="00B954F6">
        <w:t>no relation to any service provided to retail customers in Ohio</w:t>
      </w:r>
      <w:r w:rsidR="00F966F3">
        <w:t>.</w:t>
      </w:r>
      <w:r w:rsidR="00B954F6">
        <w:t xml:space="preserve">  Moreover, the Commission’s recent sally into pricing wholesale capacity service does not change the conclusion that </w:t>
      </w:r>
      <w:r w:rsidR="00683E3B">
        <w:t xml:space="preserve">Commission is without authority to increase Duke’s compensation to cover its wholesale generation-related </w:t>
      </w:r>
      <w:r w:rsidR="00F404C3">
        <w:t>losses</w:t>
      </w:r>
      <w:r w:rsidR="00683E3B">
        <w:t>.</w:t>
      </w:r>
      <w:r w:rsidR="00701CC0">
        <w:t xml:space="preserve">  </w:t>
      </w:r>
      <w:r w:rsidR="0064384E">
        <w:t xml:space="preserve">In the </w:t>
      </w:r>
      <w:r w:rsidR="0064384E" w:rsidRPr="00A8530A">
        <w:rPr>
          <w:i/>
        </w:rPr>
        <w:t xml:space="preserve">AEP-Ohio Capacity </w:t>
      </w:r>
      <w:r w:rsidR="00A8530A">
        <w:rPr>
          <w:i/>
        </w:rPr>
        <w:t xml:space="preserve">Charge </w:t>
      </w:r>
      <w:r w:rsidR="0064384E" w:rsidRPr="00A8530A">
        <w:rPr>
          <w:i/>
        </w:rPr>
        <w:t>Case</w:t>
      </w:r>
      <w:r w:rsidR="0064384E">
        <w:t>, t</w:t>
      </w:r>
      <w:r w:rsidR="00701CC0">
        <w:t xml:space="preserve">he Commission asserted jurisdiction to price capacity service </w:t>
      </w:r>
      <w:r w:rsidR="0064384E">
        <w:t>because the RAA</w:t>
      </w:r>
      <w:r w:rsidR="00701CC0">
        <w:t xml:space="preserve"> acknowledged </w:t>
      </w:r>
      <w:r w:rsidR="00482CB7">
        <w:t xml:space="preserve">the authority of a state to establish a state compensation mechanism.  </w:t>
      </w:r>
      <w:r w:rsidR="0064384E">
        <w:t>No similar “acknowledgement”</w:t>
      </w:r>
      <w:r w:rsidR="006B6210">
        <w:t xml:space="preserve"> in the ICPA or other</w:t>
      </w:r>
      <w:r w:rsidR="0064384E">
        <w:t xml:space="preserve"> FERC-approved tariff provides the Commission with a similar basis to assert jurisdiction to protect Duke from the </w:t>
      </w:r>
      <w:r w:rsidR="009C1170">
        <w:t>wholesale price risk it has because it retains an interest in OVEC</w:t>
      </w:r>
      <w:r w:rsidR="008076F5">
        <w:t>.</w:t>
      </w:r>
      <w:r w:rsidR="00482CB7">
        <w:t xml:space="preserve"> </w:t>
      </w:r>
      <w:r w:rsidR="00701CC0">
        <w:t xml:space="preserve"> </w:t>
      </w:r>
    </w:p>
    <w:p w14:paraId="21BB4BED" w14:textId="77777777" w:rsidR="00850D8C" w:rsidRDefault="00850D8C" w:rsidP="00D437D5">
      <w:pPr>
        <w:pStyle w:val="Heading2"/>
      </w:pPr>
      <w:bookmarkStart w:id="17" w:name="_Toc480385203"/>
      <w:bookmarkStart w:id="18" w:name="_Toc482013099"/>
      <w:r>
        <w:t xml:space="preserve">The Commission is without authority </w:t>
      </w:r>
      <w:r w:rsidR="0015031A">
        <w:t xml:space="preserve">under its general jurisdiction or its traditional rate making authority </w:t>
      </w:r>
      <w:r>
        <w:t>to establish a recovery mechanism for a service that has been declared competitive</w:t>
      </w:r>
      <w:bookmarkEnd w:id="17"/>
      <w:bookmarkEnd w:id="18"/>
      <w:r>
        <w:t xml:space="preserve"> </w:t>
      </w:r>
    </w:p>
    <w:p w14:paraId="295C9479" w14:textId="77777777" w:rsidR="0012167C" w:rsidRDefault="00720419" w:rsidP="00720419">
      <w:pPr>
        <w:tabs>
          <w:tab w:val="left" w:pos="720"/>
        </w:tabs>
        <w:spacing w:line="480" w:lineRule="auto"/>
      </w:pPr>
      <w:r>
        <w:rPr>
          <w:rFonts w:cs="Arial"/>
        </w:rPr>
        <w:tab/>
      </w:r>
      <w:r w:rsidR="00A97635">
        <w:rPr>
          <w:rFonts w:cs="Arial"/>
        </w:rPr>
        <w:t>While Duke initially sought authority to bill and collect the PSR under the Commission’s authority to approve a</w:t>
      </w:r>
      <w:r w:rsidR="00651D2D">
        <w:rPr>
          <w:rFonts w:cs="Arial"/>
        </w:rPr>
        <w:t>n</w:t>
      </w:r>
      <w:r w:rsidR="00A97635">
        <w:rPr>
          <w:rFonts w:cs="Arial"/>
        </w:rPr>
        <w:t xml:space="preserve"> ESP, this Application asserts that the Commission can grant </w:t>
      </w:r>
      <w:r w:rsidR="00651D2D">
        <w:rPr>
          <w:rFonts w:cs="Arial"/>
        </w:rPr>
        <w:t>Duke relief</w:t>
      </w:r>
      <w:r w:rsidR="00A97635">
        <w:rPr>
          <w:rFonts w:cs="Arial"/>
        </w:rPr>
        <w:t xml:space="preserve"> under the </w:t>
      </w:r>
      <w:r w:rsidR="00651D2D">
        <w:rPr>
          <w:rFonts w:cs="Arial"/>
        </w:rPr>
        <w:t xml:space="preserve">Commission’s </w:t>
      </w:r>
      <w:r w:rsidR="00A97635">
        <w:rPr>
          <w:rFonts w:cs="Arial"/>
        </w:rPr>
        <w:t xml:space="preserve">general jurisdiction and traditional rate setting statutes.  Application at 2.  </w:t>
      </w:r>
      <w:r w:rsidR="00044688">
        <w:rPr>
          <w:rFonts w:cs="Arial"/>
        </w:rPr>
        <w:t>Under</w:t>
      </w:r>
      <w:r w:rsidR="005B4118">
        <w:t xml:space="preserve"> </w:t>
      </w:r>
      <w:r w:rsidR="00182F37">
        <w:t>R.C. 4928.01</w:t>
      </w:r>
      <w:r w:rsidR="00B87D4A">
        <w:t>,</w:t>
      </w:r>
      <w:r w:rsidR="005B4118">
        <w:rPr>
          <w:vertAlign w:val="superscript"/>
        </w:rPr>
        <w:footnoteReference w:id="8"/>
      </w:r>
      <w:r w:rsidR="005B4118">
        <w:t xml:space="preserve"> </w:t>
      </w:r>
      <w:r w:rsidR="00182F37">
        <w:t xml:space="preserve">R.C. </w:t>
      </w:r>
      <w:r w:rsidR="00B87D4A">
        <w:t>4928.03,</w:t>
      </w:r>
      <w:r w:rsidR="00CB2D5F">
        <w:rPr>
          <w:rStyle w:val="FootnoteReference"/>
        </w:rPr>
        <w:footnoteReference w:id="9"/>
      </w:r>
      <w:r w:rsidR="005B4118">
        <w:t xml:space="preserve"> </w:t>
      </w:r>
      <w:r w:rsidR="00B87D4A">
        <w:t>and R.C. 4928.05(A)(1),</w:t>
      </w:r>
      <w:r w:rsidR="00CB2D5F">
        <w:rPr>
          <w:vertAlign w:val="superscript"/>
        </w:rPr>
        <w:footnoteReference w:id="10"/>
      </w:r>
      <w:r w:rsidR="00B87D4A">
        <w:t xml:space="preserve"> </w:t>
      </w:r>
      <w:r w:rsidR="00651D2D">
        <w:t xml:space="preserve">however, </w:t>
      </w:r>
      <w:r w:rsidR="005B4118">
        <w:t>the Commission may not lawfully supervise or regulate any service involved in supplying or arranging for the supply of electricity to ultimate consumers in Ohio, from the point of generation to the point of consumption, once such service is declared competitive</w:t>
      </w:r>
      <w:r w:rsidR="0018557D">
        <w:t>,</w:t>
      </w:r>
      <w:r w:rsidR="005B4118">
        <w:t xml:space="preserve"> except in certain statutorily defined circumstances</w:t>
      </w:r>
      <w:r w:rsidR="001E3053">
        <w:t xml:space="preserve"> that are not applicable to Duke’s Application</w:t>
      </w:r>
      <w:r w:rsidR="005B4118">
        <w:t xml:space="preserve">.  </w:t>
      </w:r>
    </w:p>
    <w:p w14:paraId="5FB8A379" w14:textId="41D2E376" w:rsidR="0031142B" w:rsidRDefault="0012167C" w:rsidP="00720419">
      <w:pPr>
        <w:tabs>
          <w:tab w:val="left" w:pos="720"/>
        </w:tabs>
        <w:spacing w:line="480" w:lineRule="auto"/>
      </w:pPr>
      <w:r>
        <w:tab/>
      </w:r>
      <w:r w:rsidR="0083524E">
        <w:rPr>
          <w:rFonts w:cs="Arial"/>
        </w:rPr>
        <w:t>“‘Retail electric service’ means any service involved in supplying or arranging for the supply of electricity to ultimate consumers in this state, from the point of generation to the point of consumption.</w:t>
      </w:r>
      <w:r w:rsidR="005A52E0">
        <w:rPr>
          <w:rFonts w:cs="Arial"/>
        </w:rPr>
        <w:t>”</w:t>
      </w:r>
      <w:r w:rsidR="0083524E">
        <w:rPr>
          <w:rFonts w:cs="Arial"/>
        </w:rPr>
        <w:t xml:space="preserve">  </w:t>
      </w:r>
      <w:r w:rsidR="00827D58">
        <w:t xml:space="preserve">As provided by R.C. 4928.03, </w:t>
      </w:r>
      <w:r w:rsidR="0083524E">
        <w:t xml:space="preserve">retail electric </w:t>
      </w:r>
      <w:r w:rsidR="00827D58">
        <w:t>generation s</w:t>
      </w:r>
      <w:r w:rsidR="0083524E">
        <w:t>ervice is a competitive service.  The declaration that retail electric generation service is competitive substantially limits the Commission’s aut</w:t>
      </w:r>
      <w:r w:rsidR="004040A4">
        <w:t xml:space="preserve">hority to regulate that service because </w:t>
      </w:r>
      <w:r w:rsidR="00044688">
        <w:t>R.C.</w:t>
      </w:r>
      <w:r w:rsidR="0031142B">
        <w:t xml:space="preserve"> 4928.05</w:t>
      </w:r>
      <w:r w:rsidR="00883CD1">
        <w:t>(A)(1)</w:t>
      </w:r>
      <w:r w:rsidR="0031142B">
        <w:t xml:space="preserve"> </w:t>
      </w:r>
      <w:r w:rsidR="00E832EE">
        <w:t>specifically precludes the Commission from regulating such a service under Chapter 4909 of the Revised Code, its traditional rate setting statutes</w:t>
      </w:r>
      <w:r w:rsidR="00AF6DEA">
        <w:t>,</w:t>
      </w:r>
      <w:r w:rsidR="00E832EE">
        <w:t xml:space="preserve"> and </w:t>
      </w:r>
      <w:r w:rsidR="00C82449">
        <w:t>provides</w:t>
      </w:r>
      <w:r w:rsidR="0031142B">
        <w:t xml:space="preserve"> that </w:t>
      </w:r>
      <w:r w:rsidR="00C82449">
        <w:t xml:space="preserve">a </w:t>
      </w:r>
      <w:r w:rsidR="0031142B">
        <w:t xml:space="preserve">competitive retail electric </w:t>
      </w:r>
      <w:r w:rsidR="00827D58">
        <w:t>service</w:t>
      </w:r>
      <w:r w:rsidR="00C82449">
        <w:t xml:space="preserve"> </w:t>
      </w:r>
      <w:r w:rsidR="00827D58">
        <w:t>is</w:t>
      </w:r>
      <w:r w:rsidR="0031142B">
        <w:t xml:space="preserve"> not subject to the Commission’s </w:t>
      </w:r>
      <w:r w:rsidR="00E832EE">
        <w:t xml:space="preserve">price </w:t>
      </w:r>
      <w:r w:rsidR="0031142B">
        <w:t xml:space="preserve">regulation except as may be allowed in </w:t>
      </w:r>
      <w:r w:rsidR="004779D5">
        <w:t>R.C.</w:t>
      </w:r>
      <w:r w:rsidR="0031142B">
        <w:t xml:space="preserve"> 4928.141 to 4928.144.</w:t>
      </w:r>
    </w:p>
    <w:p w14:paraId="496437AB" w14:textId="77777777" w:rsidR="005B4118" w:rsidRDefault="00720419" w:rsidP="00720419">
      <w:pPr>
        <w:tabs>
          <w:tab w:val="left" w:pos="720"/>
        </w:tabs>
        <w:spacing w:line="480" w:lineRule="auto"/>
      </w:pPr>
      <w:r>
        <w:tab/>
      </w:r>
      <w:r w:rsidR="00EF48F0">
        <w:t>R.C. 4928.05(A)(1) does provide that the Commission retain</w:t>
      </w:r>
      <w:r w:rsidR="00E13CF6">
        <w:t>s</w:t>
      </w:r>
      <w:r w:rsidR="00EF48F0">
        <w:t xml:space="preserve"> authority over a competitive service under </w:t>
      </w:r>
      <w:r w:rsidR="00B22559">
        <w:t xml:space="preserve">R.C. 4905.06, </w:t>
      </w:r>
      <w:r w:rsidR="00EF48F0">
        <w:t>but that authority is</w:t>
      </w:r>
      <w:r w:rsidR="005B4118">
        <w:t xml:space="preserve"> limited to </w:t>
      </w:r>
      <w:r w:rsidR="005B4118" w:rsidRPr="00C77137">
        <w:rPr>
          <w:rFonts w:cs="Arial"/>
        </w:rPr>
        <w:t>supervising “the adequacy or accommodation afforded by [the] service, the safety and security of the public and [the utility’s] employees, and [the utility’s] compliance with all laws, orders of the commission, franchises, and charter requirements.”</w:t>
      </w:r>
      <w:r w:rsidR="005B4118">
        <w:t xml:space="preserve">  </w:t>
      </w:r>
      <w:r w:rsidR="004F319F">
        <w:t>R.C. 4905.06 does not</w:t>
      </w:r>
      <w:r w:rsidR="008F7A65">
        <w:t xml:space="preserve"> </w:t>
      </w:r>
      <w:r w:rsidR="009D0307">
        <w:t xml:space="preserve">include rate setting </w:t>
      </w:r>
      <w:r w:rsidR="004F319F">
        <w:t>authority</w:t>
      </w:r>
      <w:r w:rsidR="00955713">
        <w:t>,</w:t>
      </w:r>
      <w:r w:rsidR="008F7A65">
        <w:t xml:space="preserve"> and such authority cannot be implied because</w:t>
      </w:r>
      <w:r w:rsidR="005B4118">
        <w:t xml:space="preserve"> the Commission’s ability to regulate competitive retail electric rates is limited to the Commission’s authority under </w:t>
      </w:r>
      <w:r w:rsidR="004A37BF">
        <w:t>R.C. 4928.141 to 4928.144</w:t>
      </w:r>
      <w:r w:rsidR="005B4118">
        <w:t>.  As the Supreme Court</w:t>
      </w:r>
      <w:r w:rsidR="00955713">
        <w:t xml:space="preserve"> of</w:t>
      </w:r>
      <w:r w:rsidR="005B4118">
        <w:t xml:space="preserve"> </w:t>
      </w:r>
      <w:r w:rsidR="00955713">
        <w:t xml:space="preserve">Ohio </w:t>
      </w:r>
      <w:r w:rsidR="005B4118">
        <w:t xml:space="preserve">has held, when the General Assembly enacts ratemaking statutes, the Commission cannot usurp those statutes by relying on its general supervisory authority.  </w:t>
      </w:r>
      <w:r w:rsidR="00EE111F">
        <w:rPr>
          <w:i/>
        </w:rPr>
        <w:t>Columbus S. Power Co. v. Pub. Util. Comm.</w:t>
      </w:r>
      <w:r w:rsidR="00EE111F">
        <w:t xml:space="preserve">, 67 Ohio St.3d, 535, 620 N.E.2d 835, 840 (1993).  </w:t>
      </w:r>
    </w:p>
    <w:p w14:paraId="24B86561" w14:textId="77777777" w:rsidR="008C6085" w:rsidRDefault="009D5F5C" w:rsidP="00720419">
      <w:pPr>
        <w:tabs>
          <w:tab w:val="left" w:pos="720"/>
        </w:tabs>
        <w:spacing w:line="480" w:lineRule="auto"/>
      </w:pPr>
      <w:r>
        <w:tab/>
      </w:r>
      <w:r w:rsidR="007978D9">
        <w:t>Although</w:t>
      </w:r>
      <w:r>
        <w:t xml:space="preserve"> Duke has invoked the Commission’s general jurisdiction and </w:t>
      </w:r>
      <w:r w:rsidR="00901E8A">
        <w:t>traditional</w:t>
      </w:r>
      <w:r>
        <w:t xml:space="preserve"> rate making authority to </w:t>
      </w:r>
      <w:r w:rsidR="007978D9">
        <w:t>support its request for relief,</w:t>
      </w:r>
      <w:r>
        <w:t xml:space="preserve"> Application at 2</w:t>
      </w:r>
      <w:r w:rsidR="007978D9">
        <w:t>,</w:t>
      </w:r>
      <w:r>
        <w:t xml:space="preserve"> </w:t>
      </w:r>
      <w:r w:rsidR="007978D9">
        <w:t>t</w:t>
      </w:r>
      <w:r w:rsidR="000E2A5C">
        <w:t>he Commission is without authority to establish prices or set rates for a retail electric generation service under Chapters 4905 or 4909</w:t>
      </w:r>
      <w:r w:rsidR="001070DF">
        <w:t xml:space="preserve">. </w:t>
      </w:r>
      <w:r w:rsidR="00CF7EA8">
        <w:t xml:space="preserve"> R.C. 4928.05(A)(1)</w:t>
      </w:r>
      <w:r w:rsidR="00184E43">
        <w:t xml:space="preserve">.  </w:t>
      </w:r>
      <w:r w:rsidR="00FB13F7">
        <w:t>Accordingly, the relief that Duke is seeking is unavailable</w:t>
      </w:r>
      <w:r w:rsidR="00520521">
        <w:t xml:space="preserve"> under the general jurisdiction and </w:t>
      </w:r>
      <w:r w:rsidR="00F97EAE">
        <w:t>rate setting statutes</w:t>
      </w:r>
      <w:r w:rsidR="00FB13F7">
        <w:t>.</w:t>
      </w:r>
    </w:p>
    <w:p w14:paraId="5115EDF0" w14:textId="77777777" w:rsidR="00240F7F" w:rsidRDefault="00240F7F" w:rsidP="00D437D5">
      <w:pPr>
        <w:pStyle w:val="Heading2"/>
      </w:pPr>
      <w:bookmarkStart w:id="19" w:name="_Toc480385204"/>
      <w:bookmarkStart w:id="20" w:name="_Toc482013100"/>
      <w:r>
        <w:t>The Commission is without authority to authorize transition revenue or its equivalent</w:t>
      </w:r>
      <w:bookmarkEnd w:id="19"/>
      <w:bookmarkEnd w:id="20"/>
    </w:p>
    <w:p w14:paraId="5155F6C3" w14:textId="77777777" w:rsidR="000A7F59" w:rsidRDefault="00720419" w:rsidP="00720419">
      <w:pPr>
        <w:tabs>
          <w:tab w:val="left" w:pos="720"/>
        </w:tabs>
        <w:spacing w:line="480" w:lineRule="auto"/>
        <w:rPr>
          <w:rFonts w:eastAsia="Calibri" w:cs="Times New Roman"/>
        </w:rPr>
      </w:pPr>
      <w:r>
        <w:rPr>
          <w:rFonts w:eastAsia="Calibri" w:cs="Times New Roman"/>
        </w:rPr>
        <w:tab/>
      </w:r>
      <w:r w:rsidR="00187637">
        <w:rPr>
          <w:rFonts w:eastAsia="Calibri" w:cs="Times New Roman"/>
        </w:rPr>
        <w:t xml:space="preserve">After the Commission granted rehearing in the </w:t>
      </w:r>
      <w:r w:rsidR="00187637" w:rsidRPr="00352FF9">
        <w:rPr>
          <w:rFonts w:eastAsia="Calibri" w:cs="Times New Roman"/>
          <w:i/>
        </w:rPr>
        <w:t>Duke ESP III Case</w:t>
      </w:r>
      <w:r w:rsidR="00187637">
        <w:rPr>
          <w:rFonts w:eastAsia="Calibri" w:cs="Times New Roman"/>
        </w:rPr>
        <w:t xml:space="preserve">, the Supreme Court of Ohio </w:t>
      </w:r>
      <w:r w:rsidR="000A7F59">
        <w:rPr>
          <w:rFonts w:eastAsia="Calibri" w:cs="Times New Roman"/>
        </w:rPr>
        <w:t>reversed Commission orders authorizing EDUs to increase their revenue based on lost generation revenue calculations</w:t>
      </w:r>
      <w:r w:rsidR="009E66BB">
        <w:rPr>
          <w:rFonts w:eastAsia="Calibri" w:cs="Times New Roman"/>
        </w:rPr>
        <w:t xml:space="preserve"> </w:t>
      </w:r>
      <w:r w:rsidR="00352FF9">
        <w:rPr>
          <w:rFonts w:eastAsia="Calibri" w:cs="Times New Roman"/>
        </w:rPr>
        <w:t xml:space="preserve">because </w:t>
      </w:r>
      <w:r w:rsidR="00170FEB">
        <w:rPr>
          <w:rFonts w:eastAsia="Calibri" w:cs="Times New Roman"/>
        </w:rPr>
        <w:t>R.C. 4928.38</w:t>
      </w:r>
      <w:r w:rsidR="00AA6AA0">
        <w:rPr>
          <w:rFonts w:eastAsia="Calibri" w:cs="Times New Roman"/>
        </w:rPr>
        <w:t xml:space="preserve"> prohibits </w:t>
      </w:r>
      <w:r w:rsidR="00822B25">
        <w:rPr>
          <w:rFonts w:eastAsia="Calibri" w:cs="Times New Roman"/>
        </w:rPr>
        <w:t xml:space="preserve">the authorization of transition revenue or its equivalent </w:t>
      </w:r>
      <w:r w:rsidR="00AA6AA0">
        <w:rPr>
          <w:rFonts w:eastAsia="Calibri" w:cs="Times New Roman"/>
        </w:rPr>
        <w:t>except as provided in an electric transition plan</w:t>
      </w:r>
      <w:r w:rsidR="000A7F59">
        <w:rPr>
          <w:rFonts w:eastAsia="Calibri" w:cs="Times New Roman"/>
        </w:rPr>
        <w:t xml:space="preserve">.  </w:t>
      </w:r>
      <w:r w:rsidR="003335AD">
        <w:rPr>
          <w:rFonts w:eastAsia="Calibri" w:cs="Times New Roman"/>
        </w:rPr>
        <w:t xml:space="preserve">Despite the Court’s rejection of such authorizations, </w:t>
      </w:r>
      <w:r w:rsidR="000A7F59">
        <w:rPr>
          <w:rFonts w:eastAsia="Calibri" w:cs="Times New Roman"/>
        </w:rPr>
        <w:t>D</w:t>
      </w:r>
      <w:r w:rsidR="009E66BB">
        <w:rPr>
          <w:rFonts w:eastAsia="Calibri" w:cs="Times New Roman"/>
        </w:rPr>
        <w:t>uke’s Application in this case seeks a similar unlawful result.</w:t>
      </w:r>
    </w:p>
    <w:p w14:paraId="69E88A3A" w14:textId="63BA706F" w:rsidR="000A7452" w:rsidRPr="007D6F37" w:rsidRDefault="000A7F59" w:rsidP="00720419">
      <w:pPr>
        <w:tabs>
          <w:tab w:val="left" w:pos="720"/>
        </w:tabs>
        <w:spacing w:line="480" w:lineRule="auto"/>
        <w:rPr>
          <w:rFonts w:eastAsia="Calibri" w:cs="Times New Roman"/>
        </w:rPr>
      </w:pPr>
      <w:r>
        <w:rPr>
          <w:rFonts w:eastAsia="Calibri" w:cs="Times New Roman"/>
        </w:rPr>
        <w:tab/>
      </w:r>
      <w:r w:rsidR="000A7452" w:rsidRPr="007D6F37">
        <w:rPr>
          <w:rFonts w:eastAsia="Calibri" w:cs="Times New Roman"/>
        </w:rPr>
        <w:t xml:space="preserve">The </w:t>
      </w:r>
      <w:r w:rsidR="00DA1651">
        <w:rPr>
          <w:rFonts w:eastAsia="Calibri" w:cs="Times New Roman"/>
        </w:rPr>
        <w:t xml:space="preserve">statutory </w:t>
      </w:r>
      <w:r w:rsidR="000A7452" w:rsidRPr="007D6F37">
        <w:rPr>
          <w:rFonts w:eastAsia="Calibri" w:cs="Times New Roman"/>
        </w:rPr>
        <w:t xml:space="preserve">procedures for asserting a claim </w:t>
      </w:r>
      <w:r w:rsidR="00DA1651">
        <w:rPr>
          <w:rFonts w:eastAsia="Calibri" w:cs="Times New Roman"/>
        </w:rPr>
        <w:t xml:space="preserve">for transition revenue </w:t>
      </w:r>
      <w:r w:rsidR="000A7452" w:rsidRPr="007D6F37">
        <w:rPr>
          <w:rFonts w:eastAsia="Calibri" w:cs="Times New Roman"/>
        </w:rPr>
        <w:t xml:space="preserve">specifically limited </w:t>
      </w:r>
      <w:r w:rsidR="000A7452">
        <w:rPr>
          <w:rFonts w:eastAsia="Calibri" w:cs="Times New Roman"/>
        </w:rPr>
        <w:t>Duke</w:t>
      </w:r>
      <w:r w:rsidR="000A7452" w:rsidRPr="007D6F37">
        <w:rPr>
          <w:rFonts w:eastAsia="Calibri" w:cs="Times New Roman"/>
        </w:rPr>
        <w:t xml:space="preserve"> to </w:t>
      </w:r>
      <w:r w:rsidR="00DA1651">
        <w:rPr>
          <w:rFonts w:eastAsia="Calibri" w:cs="Times New Roman"/>
        </w:rPr>
        <w:t>one claim</w:t>
      </w:r>
      <w:r w:rsidR="000A7452" w:rsidRPr="007D6F37">
        <w:rPr>
          <w:rFonts w:eastAsia="Calibri" w:cs="Times New Roman"/>
        </w:rPr>
        <w:t xml:space="preserve"> in </w:t>
      </w:r>
      <w:r w:rsidR="00AF6DEA">
        <w:rPr>
          <w:rFonts w:eastAsia="Calibri" w:cs="Times New Roman"/>
        </w:rPr>
        <w:t>an</w:t>
      </w:r>
      <w:r w:rsidR="000A7452" w:rsidRPr="007D6F37">
        <w:rPr>
          <w:rFonts w:eastAsia="Calibri" w:cs="Times New Roman"/>
        </w:rPr>
        <w:t xml:space="preserve"> electric transition plan.  </w:t>
      </w:r>
      <w:r w:rsidR="00DA1651" w:rsidRPr="007D6F37">
        <w:rPr>
          <w:rFonts w:eastAsia="Calibri" w:cs="Times New Roman"/>
        </w:rPr>
        <w:t xml:space="preserve">R.C. 4928.31 to </w:t>
      </w:r>
      <w:r w:rsidR="00DA1651">
        <w:rPr>
          <w:rFonts w:eastAsia="Calibri" w:cs="Times New Roman"/>
        </w:rPr>
        <w:t xml:space="preserve">R.C. </w:t>
      </w:r>
      <w:r w:rsidR="00DA1651" w:rsidRPr="007D6F37">
        <w:rPr>
          <w:rFonts w:eastAsia="Calibri" w:cs="Times New Roman"/>
        </w:rPr>
        <w:t>4928.40</w:t>
      </w:r>
      <w:r w:rsidR="00DA1651">
        <w:rPr>
          <w:rFonts w:eastAsia="Calibri" w:cs="Times New Roman"/>
        </w:rPr>
        <w:t xml:space="preserve">.  </w:t>
      </w:r>
      <w:r w:rsidR="000A7452" w:rsidRPr="007D6F37">
        <w:rPr>
          <w:rFonts w:eastAsia="Calibri" w:cs="Times New Roman"/>
        </w:rPr>
        <w:t xml:space="preserve">Any lawful recovery of either generation-related transition revenue or regulatory assets could not continue after they were scheduled to terminate under </w:t>
      </w:r>
      <w:r w:rsidR="00F97EAE">
        <w:rPr>
          <w:rFonts w:eastAsia="Calibri" w:cs="Times New Roman"/>
        </w:rPr>
        <w:t>that</w:t>
      </w:r>
      <w:r w:rsidR="00F97EAE" w:rsidRPr="007D6F37">
        <w:rPr>
          <w:rFonts w:eastAsia="Calibri" w:cs="Times New Roman"/>
        </w:rPr>
        <w:t xml:space="preserve"> </w:t>
      </w:r>
      <w:r w:rsidR="000A7452" w:rsidRPr="007D6F37">
        <w:rPr>
          <w:rFonts w:eastAsia="Calibri" w:cs="Times New Roman"/>
        </w:rPr>
        <w:t xml:space="preserve">plan.  </w:t>
      </w:r>
      <w:r w:rsidR="000A7452" w:rsidRPr="005837EA">
        <w:rPr>
          <w:rFonts w:cs="Arial"/>
        </w:rPr>
        <w:t>R.C. 4928.141 &amp; R.C. 4928.40(A).</w:t>
      </w:r>
      <w:r w:rsidR="000A7452">
        <w:rPr>
          <w:rFonts w:cs="Arial"/>
        </w:rPr>
        <w:t xml:space="preserve">  </w:t>
      </w:r>
      <w:r w:rsidR="000A7452" w:rsidRPr="007D6F37">
        <w:rPr>
          <w:rFonts w:eastAsia="Calibri" w:cs="Times New Roman"/>
        </w:rPr>
        <w:t>Following the Market Development Period (“MDP”), moreover, the Commission cannot lawfully “authorize the receipt of transition revenues or any equivalent revenues by an electric utility.”</w:t>
      </w:r>
      <w:r w:rsidR="00566E7B">
        <w:rPr>
          <w:rFonts w:eastAsia="Calibri" w:cs="Times New Roman"/>
        </w:rPr>
        <w:t xml:space="preserve">  R.C. 4928.38.</w:t>
      </w:r>
      <w:r w:rsidR="000A7452" w:rsidRPr="007D6F37">
        <w:rPr>
          <w:rFonts w:eastAsia="Calibri" w:cs="Times New Roman"/>
        </w:rPr>
        <w:t xml:space="preserve">  “With the termination of that approved revenue source, the utility shall be fully on its own in the competitive market.”</w:t>
      </w:r>
      <w:r w:rsidR="00566E7B">
        <w:rPr>
          <w:rFonts w:eastAsia="Calibri" w:cs="Times New Roman"/>
          <w:vertAlign w:val="superscript"/>
        </w:rPr>
        <w:t xml:space="preserve"> </w:t>
      </w:r>
      <w:r w:rsidR="00566E7B">
        <w:rPr>
          <w:rFonts w:eastAsia="Calibri" w:cs="Times New Roman"/>
        </w:rPr>
        <w:t xml:space="preserve">  </w:t>
      </w:r>
      <w:r w:rsidR="00566E7B" w:rsidRPr="00566E7B">
        <w:rPr>
          <w:rFonts w:eastAsia="Calibri" w:cs="Times New Roman"/>
          <w:i/>
        </w:rPr>
        <w:t>Id</w:t>
      </w:r>
      <w:r w:rsidR="00566E7B">
        <w:rPr>
          <w:rFonts w:eastAsia="Calibri" w:cs="Times New Roman"/>
        </w:rPr>
        <w:t>.</w:t>
      </w:r>
    </w:p>
    <w:p w14:paraId="190BC8C9" w14:textId="77777777" w:rsidR="004758BC" w:rsidRDefault="00566E4E" w:rsidP="00566E4E">
      <w:pPr>
        <w:tabs>
          <w:tab w:val="left" w:pos="720"/>
        </w:tabs>
        <w:spacing w:line="480" w:lineRule="auto"/>
        <w:rPr>
          <w:rFonts w:eastAsia="Times New Roman" w:cs="Times New Roman"/>
          <w:bCs/>
          <w:color w:val="000000"/>
        </w:rPr>
      </w:pPr>
      <w:r>
        <w:rPr>
          <w:rFonts w:eastAsia="Calibri" w:cs="Times New Roman"/>
          <w:bCs/>
        </w:rPr>
        <w:tab/>
      </w:r>
      <w:r w:rsidR="00B92A19">
        <w:rPr>
          <w:rFonts w:eastAsia="Calibri" w:cs="Times New Roman"/>
          <w:bCs/>
        </w:rPr>
        <w:t>In 2016, the Supreme Court of Ohio</w:t>
      </w:r>
      <w:r w:rsidR="005E505C">
        <w:rPr>
          <w:rFonts w:eastAsia="Calibri" w:cs="Times New Roman"/>
          <w:bCs/>
        </w:rPr>
        <w:t xml:space="preserve"> applied R.C. 4928.38 twice to reverse order</w:t>
      </w:r>
      <w:r w:rsidR="00EF116C">
        <w:rPr>
          <w:rFonts w:eastAsia="Calibri" w:cs="Times New Roman"/>
          <w:bCs/>
        </w:rPr>
        <w:t>s</w:t>
      </w:r>
      <w:r w:rsidR="005E505C">
        <w:rPr>
          <w:rFonts w:eastAsia="Calibri" w:cs="Times New Roman"/>
          <w:bCs/>
        </w:rPr>
        <w:t xml:space="preserve"> of the Commission on the basis that the Commission had unlawfully authorized an EDU to bill and collect transition revenue or its equivalent.  </w:t>
      </w:r>
      <w:r w:rsidR="004758BC">
        <w:rPr>
          <w:rFonts w:eastAsia="Calibri" w:cs="Times New Roman"/>
          <w:bCs/>
        </w:rPr>
        <w:t xml:space="preserve">In the </w:t>
      </w:r>
      <w:r w:rsidR="004758BC" w:rsidRPr="00DB138C">
        <w:rPr>
          <w:rFonts w:eastAsia="Calibri" w:cs="Times New Roman"/>
          <w:bCs/>
          <w:i/>
        </w:rPr>
        <w:t>Columbus Southern Case</w:t>
      </w:r>
      <w:r w:rsidR="004758BC">
        <w:rPr>
          <w:rFonts w:eastAsia="Calibri" w:cs="Times New Roman"/>
          <w:bCs/>
        </w:rPr>
        <w:t xml:space="preserve">, </w:t>
      </w:r>
      <w:r w:rsidR="004758BC">
        <w:rPr>
          <w:rFonts w:eastAsia="Times New Roman" w:cs="Times New Roman"/>
          <w:bCs/>
          <w:color w:val="000000"/>
        </w:rPr>
        <w:t xml:space="preserve">the Court looked at the true nature of the challenged Retail Stability Rider (“RSR”) to determine if </w:t>
      </w:r>
      <w:r w:rsidR="009F0FDB">
        <w:rPr>
          <w:rFonts w:eastAsia="Times New Roman" w:cs="Times New Roman"/>
          <w:bCs/>
          <w:color w:val="000000"/>
        </w:rPr>
        <w:t>the authorization of the rider</w:t>
      </w:r>
      <w:r w:rsidR="004758BC">
        <w:rPr>
          <w:rFonts w:eastAsia="Times New Roman" w:cs="Times New Roman"/>
          <w:bCs/>
          <w:color w:val="000000"/>
        </w:rPr>
        <w:t xml:space="preserve"> </w:t>
      </w:r>
      <w:r w:rsidR="009F0FDB">
        <w:rPr>
          <w:rFonts w:eastAsia="Times New Roman" w:cs="Times New Roman"/>
          <w:bCs/>
          <w:color w:val="000000"/>
        </w:rPr>
        <w:t>violated R.C. 4928.38</w:t>
      </w:r>
      <w:r w:rsidR="004758BC">
        <w:rPr>
          <w:rFonts w:eastAsia="Times New Roman" w:cs="Times New Roman"/>
          <w:bCs/>
          <w:color w:val="000000"/>
        </w:rPr>
        <w:t xml:space="preserve">.  The Court found that AEP-Ohio “proposed the RSR as a means to ensure that the company was not financially harmed during its transition to a fully competitive generation market </w:t>
      </w:r>
      <w:r w:rsidR="00F74746">
        <w:rPr>
          <w:rFonts w:eastAsia="Times New Roman" w:cs="Times New Roman"/>
          <w:bCs/>
          <w:color w:val="000000"/>
        </w:rPr>
        <w:t>over the three-year ESP period.”</w:t>
      </w:r>
      <w:r w:rsidR="004758BC">
        <w:rPr>
          <w:rFonts w:eastAsia="Times New Roman" w:cs="Times New Roman"/>
          <w:bCs/>
          <w:color w:val="000000"/>
        </w:rPr>
        <w:t xml:space="preserve">  </w:t>
      </w:r>
      <w:r w:rsidR="00C16CF6">
        <w:rPr>
          <w:rFonts w:eastAsia="Times New Roman" w:cs="Times New Roman"/>
          <w:bCs/>
          <w:i/>
          <w:color w:val="000000"/>
        </w:rPr>
        <w:t>Columbus Southern Case</w:t>
      </w:r>
      <w:r w:rsidR="00F74746">
        <w:rPr>
          <w:rFonts w:eastAsia="Times New Roman" w:cs="Times New Roman"/>
          <w:bCs/>
          <w:color w:val="000000"/>
        </w:rPr>
        <w:t xml:space="preserve"> at ¶ 23.  </w:t>
      </w:r>
      <w:r w:rsidR="004758BC">
        <w:rPr>
          <w:rFonts w:eastAsia="Times New Roman" w:cs="Times New Roman"/>
          <w:bCs/>
          <w:color w:val="000000"/>
        </w:rPr>
        <w:t xml:space="preserve">To achieve this result, AEP-Ohio requested that the Commission “guarantee recovery of lost revenue” </w:t>
      </w:r>
      <w:r w:rsidR="00C226DA">
        <w:rPr>
          <w:rFonts w:eastAsia="Times New Roman" w:cs="Times New Roman"/>
          <w:bCs/>
          <w:color w:val="000000"/>
        </w:rPr>
        <w:t xml:space="preserve">related to three sources of generation revenue </w:t>
      </w:r>
      <w:r w:rsidR="004758BC">
        <w:rPr>
          <w:rFonts w:eastAsia="Times New Roman" w:cs="Times New Roman"/>
          <w:bCs/>
          <w:color w:val="000000"/>
        </w:rPr>
        <w:t xml:space="preserve">through the RSR:  retail nonfuel generation revenues, decreased capacity revenue, and revenue lost due to customer switching.  </w:t>
      </w:r>
      <w:r w:rsidR="00F74746">
        <w:rPr>
          <w:rFonts w:eastAsia="Times New Roman" w:cs="Times New Roman"/>
          <w:bCs/>
          <w:i/>
          <w:color w:val="000000"/>
        </w:rPr>
        <w:t>Id.</w:t>
      </w:r>
      <w:r w:rsidR="00F74746">
        <w:rPr>
          <w:rFonts w:eastAsia="Times New Roman" w:cs="Times New Roman"/>
          <w:bCs/>
          <w:color w:val="000000"/>
        </w:rPr>
        <w:t xml:space="preserve"> at ¶ 23-24.  </w:t>
      </w:r>
      <w:r w:rsidR="004758BC">
        <w:rPr>
          <w:rFonts w:eastAsia="Times New Roman" w:cs="Times New Roman"/>
          <w:bCs/>
          <w:color w:val="000000"/>
        </w:rPr>
        <w:t xml:space="preserve">“According to [AEP-Ohio’s] witnesses, the RSR was designed to generate enough revenue for the company to achieve a certain rate of return on its generation assets as it transitions to full auction pricing for energy and capacity by June 2015.”  </w:t>
      </w:r>
      <w:r w:rsidR="00434B54">
        <w:rPr>
          <w:rFonts w:eastAsia="Times New Roman" w:cs="Times New Roman"/>
          <w:bCs/>
          <w:i/>
          <w:color w:val="000000"/>
        </w:rPr>
        <w:t>Id.</w:t>
      </w:r>
      <w:r w:rsidR="00434B54">
        <w:rPr>
          <w:rFonts w:eastAsia="Times New Roman" w:cs="Times New Roman"/>
          <w:bCs/>
          <w:color w:val="000000"/>
        </w:rPr>
        <w:t xml:space="preserve"> at ¶ 23.</w:t>
      </w:r>
    </w:p>
    <w:p w14:paraId="74228834" w14:textId="77777777" w:rsidR="004758BC" w:rsidRDefault="004758BC" w:rsidP="00720419">
      <w:pPr>
        <w:tabs>
          <w:tab w:val="left" w:pos="720"/>
        </w:tabs>
        <w:spacing w:line="480" w:lineRule="auto"/>
        <w:rPr>
          <w:rFonts w:eastAsia="Times New Roman" w:cs="Times New Roman"/>
          <w:bCs/>
          <w:i/>
          <w:color w:val="000000"/>
        </w:rPr>
      </w:pPr>
      <w:r>
        <w:rPr>
          <w:rFonts w:eastAsia="Times New Roman" w:cs="Times New Roman"/>
          <w:bCs/>
          <w:color w:val="000000"/>
        </w:rPr>
        <w:tab/>
        <w:t xml:space="preserve">Based on the nature of AEP-Ohio’s RSR, the Court held that the record supported a finding that the Commission unlawfully authorized AEP-Ohio to collect transition revenue or its equivalent.  </w:t>
      </w:r>
      <w:r w:rsidR="00434B54">
        <w:rPr>
          <w:rFonts w:eastAsia="Times New Roman" w:cs="Times New Roman"/>
          <w:bCs/>
          <w:i/>
          <w:color w:val="000000"/>
        </w:rPr>
        <w:t>Id.</w:t>
      </w:r>
      <w:r w:rsidR="00434B54">
        <w:rPr>
          <w:rFonts w:eastAsia="Times New Roman" w:cs="Times New Roman"/>
          <w:bCs/>
          <w:color w:val="000000"/>
        </w:rPr>
        <w:t xml:space="preserve"> at ¶ 22.  </w:t>
      </w:r>
      <w:r>
        <w:rPr>
          <w:rFonts w:eastAsia="Times New Roman" w:cs="Times New Roman"/>
          <w:bCs/>
          <w:color w:val="000000"/>
        </w:rPr>
        <w:t xml:space="preserve">The Court found that the nature of the RSR served the same purpose as transition revenue:  both were designed to aid in transitioning to a competitive market.  </w:t>
      </w:r>
      <w:r w:rsidR="00434B54">
        <w:rPr>
          <w:rFonts w:eastAsia="Times New Roman" w:cs="Times New Roman"/>
          <w:bCs/>
          <w:i/>
          <w:color w:val="000000"/>
        </w:rPr>
        <w:t>Id.</w:t>
      </w:r>
      <w:r w:rsidR="00434B54">
        <w:rPr>
          <w:rFonts w:eastAsia="Times New Roman" w:cs="Times New Roman"/>
          <w:bCs/>
          <w:color w:val="000000"/>
        </w:rPr>
        <w:t xml:space="preserve"> at ¶ 22-23.  </w:t>
      </w:r>
      <w:r>
        <w:rPr>
          <w:rFonts w:eastAsia="Times New Roman" w:cs="Times New Roman"/>
          <w:bCs/>
          <w:color w:val="000000"/>
        </w:rPr>
        <w:t xml:space="preserve">The Court also noted that transition revenue represented costs that would not be recovered in a competitive market and the RSR provided AEP-Ohio with revenue lost in the competitive market.  </w:t>
      </w:r>
      <w:r w:rsidR="00434B54">
        <w:rPr>
          <w:rFonts w:eastAsia="Times New Roman" w:cs="Times New Roman"/>
          <w:bCs/>
          <w:i/>
          <w:color w:val="000000"/>
        </w:rPr>
        <w:t xml:space="preserve">Id. </w:t>
      </w:r>
      <w:r w:rsidR="00434B54">
        <w:rPr>
          <w:rFonts w:eastAsia="Times New Roman" w:cs="Times New Roman"/>
          <w:bCs/>
          <w:color w:val="000000"/>
        </w:rPr>
        <w:t xml:space="preserve">at ¶ 22-23.  </w:t>
      </w:r>
      <w:r>
        <w:rPr>
          <w:rFonts w:eastAsia="Times New Roman" w:cs="Times New Roman"/>
          <w:bCs/>
          <w:color w:val="000000"/>
        </w:rPr>
        <w:t>“Based on [this] record,” the Court concluded that AEP-Ohio’s RSR “recovers the eq</w:t>
      </w:r>
      <w:r w:rsidR="009C040C">
        <w:rPr>
          <w:rFonts w:eastAsia="Times New Roman" w:cs="Times New Roman"/>
          <w:bCs/>
          <w:color w:val="000000"/>
        </w:rPr>
        <w:t>uivalent of transition revenue</w:t>
      </w:r>
      <w:r>
        <w:rPr>
          <w:rFonts w:eastAsia="Times New Roman" w:cs="Times New Roman"/>
          <w:bCs/>
          <w:color w:val="000000"/>
        </w:rPr>
        <w:t xml:space="preserve">.”  </w:t>
      </w:r>
      <w:r w:rsidR="007F58DC">
        <w:rPr>
          <w:rFonts w:eastAsia="Times New Roman" w:cs="Times New Roman"/>
          <w:bCs/>
          <w:i/>
          <w:color w:val="000000"/>
        </w:rPr>
        <w:t xml:space="preserve">Id. </w:t>
      </w:r>
      <w:r w:rsidR="007F58DC">
        <w:rPr>
          <w:rFonts w:eastAsia="Times New Roman" w:cs="Times New Roman"/>
          <w:bCs/>
          <w:color w:val="000000"/>
        </w:rPr>
        <w:t>at</w:t>
      </w:r>
      <w:r w:rsidR="007F58DC">
        <w:rPr>
          <w:rFonts w:eastAsia="Times New Roman" w:cs="Times New Roman"/>
          <w:bCs/>
          <w:i/>
          <w:color w:val="000000"/>
        </w:rPr>
        <w:t xml:space="preserve"> ¶ 25.</w:t>
      </w:r>
    </w:p>
    <w:p w14:paraId="6BD03424" w14:textId="77777777" w:rsidR="004758BC" w:rsidRDefault="004758BC" w:rsidP="004758BC">
      <w:pPr>
        <w:spacing w:line="480" w:lineRule="auto"/>
      </w:pPr>
      <w:r>
        <w:rPr>
          <w:rFonts w:eastAsia="Times New Roman" w:cs="Times New Roman"/>
          <w:bCs/>
          <w:color w:val="000000"/>
        </w:rPr>
        <w:tab/>
      </w:r>
      <w:r w:rsidR="009E45D9">
        <w:rPr>
          <w:rFonts w:eastAsia="Times New Roman" w:cs="Times New Roman"/>
          <w:bCs/>
          <w:color w:val="000000"/>
        </w:rPr>
        <w:t>In a review of an order approving an ESP for Dayton Power and Light Company (“DP&amp;L”)</w:t>
      </w:r>
      <w:r>
        <w:rPr>
          <w:rFonts w:eastAsia="Times New Roman" w:cs="Times New Roman"/>
          <w:bCs/>
          <w:color w:val="000000"/>
        </w:rPr>
        <w:t xml:space="preserve">, </w:t>
      </w:r>
      <w:r w:rsidR="00BF0FBB">
        <w:rPr>
          <w:rFonts w:eastAsia="Times New Roman" w:cs="Times New Roman"/>
          <w:bCs/>
          <w:color w:val="000000"/>
        </w:rPr>
        <w:t xml:space="preserve">the Court again reversed the Commission.  In the DP&amp;L ESP order, the Commission had authorized </w:t>
      </w:r>
      <w:r w:rsidR="009C040C">
        <w:rPr>
          <w:rFonts w:eastAsia="Times New Roman" w:cs="Times New Roman"/>
          <w:bCs/>
          <w:color w:val="000000"/>
        </w:rPr>
        <w:t xml:space="preserve">the Service Stability Rider </w:t>
      </w:r>
      <w:r w:rsidR="007A2424">
        <w:rPr>
          <w:rFonts w:eastAsia="Times New Roman" w:cs="Times New Roman"/>
          <w:bCs/>
          <w:color w:val="000000"/>
        </w:rPr>
        <w:t>(“SSR”)</w:t>
      </w:r>
      <w:r w:rsidR="00BF0FBB">
        <w:rPr>
          <w:rFonts w:eastAsia="Times New Roman" w:cs="Times New Roman"/>
          <w:bCs/>
          <w:color w:val="000000"/>
        </w:rPr>
        <w:t>, a rider that permitted DP&amp;L</w:t>
      </w:r>
      <w:r w:rsidR="00850CE8">
        <w:rPr>
          <w:rFonts w:eastAsia="Times New Roman" w:cs="Times New Roman"/>
          <w:bCs/>
          <w:color w:val="000000"/>
        </w:rPr>
        <w:t xml:space="preserve"> to </w:t>
      </w:r>
      <w:r w:rsidR="000B5218">
        <w:rPr>
          <w:rFonts w:eastAsia="Times New Roman" w:cs="Times New Roman"/>
          <w:bCs/>
          <w:color w:val="000000"/>
        </w:rPr>
        <w:t>replace</w:t>
      </w:r>
      <w:r w:rsidR="007A2424">
        <w:rPr>
          <w:rFonts w:eastAsia="Times New Roman" w:cs="Times New Roman"/>
          <w:bCs/>
          <w:color w:val="000000"/>
        </w:rPr>
        <w:t xml:space="preserve"> </w:t>
      </w:r>
      <w:r>
        <w:rPr>
          <w:rFonts w:eastAsia="Times New Roman" w:cs="Times New Roman"/>
          <w:bCs/>
          <w:color w:val="000000"/>
        </w:rPr>
        <w:t>revenue DP&amp;L was not receiving in the competitive generation market primarily related to “increased [customer] switching, declining wholesale prices, and declining capacity prices.”</w:t>
      </w:r>
      <w:r>
        <w:rPr>
          <w:rStyle w:val="FootnoteReference"/>
          <w:rFonts w:eastAsia="Times New Roman" w:cs="Times New Roman"/>
          <w:bCs/>
          <w:color w:val="000000"/>
        </w:rPr>
        <w:footnoteReference w:id="11"/>
      </w:r>
      <w:r>
        <w:rPr>
          <w:rFonts w:eastAsia="Times New Roman" w:cs="Times New Roman"/>
          <w:bCs/>
          <w:color w:val="000000"/>
        </w:rPr>
        <w:t xml:space="preserve">  </w:t>
      </w:r>
      <w:r w:rsidR="0001320C">
        <w:rPr>
          <w:rFonts w:eastAsia="Times New Roman" w:cs="Times New Roman"/>
          <w:bCs/>
          <w:color w:val="000000"/>
        </w:rPr>
        <w:t>R</w:t>
      </w:r>
      <w:r w:rsidR="00B64AFD">
        <w:rPr>
          <w:rFonts w:eastAsia="Times New Roman" w:cs="Times New Roman"/>
          <w:bCs/>
          <w:color w:val="000000"/>
        </w:rPr>
        <w:t>eversing the order approving the SS</w:t>
      </w:r>
      <w:r w:rsidR="0062452C">
        <w:rPr>
          <w:rFonts w:eastAsia="Times New Roman" w:cs="Times New Roman"/>
          <w:bCs/>
          <w:color w:val="000000"/>
        </w:rPr>
        <w:t>R</w:t>
      </w:r>
      <w:r w:rsidR="00747552">
        <w:rPr>
          <w:rFonts w:eastAsia="Times New Roman" w:cs="Times New Roman"/>
          <w:bCs/>
          <w:color w:val="000000"/>
        </w:rPr>
        <w:t>, t</w:t>
      </w:r>
      <w:r>
        <w:rPr>
          <w:rFonts w:eastAsia="Times New Roman" w:cs="Times New Roman"/>
          <w:bCs/>
          <w:color w:val="000000"/>
        </w:rPr>
        <w:t xml:space="preserve">he Court </w:t>
      </w:r>
      <w:r w:rsidR="0062452C">
        <w:rPr>
          <w:rFonts w:eastAsia="Times New Roman" w:cs="Times New Roman"/>
          <w:bCs/>
          <w:color w:val="000000"/>
        </w:rPr>
        <w:t>held</w:t>
      </w:r>
      <w:r>
        <w:rPr>
          <w:rFonts w:eastAsia="Times New Roman" w:cs="Times New Roman"/>
          <w:bCs/>
          <w:color w:val="000000"/>
        </w:rPr>
        <w:t xml:space="preserve"> that “[t]he decision of the Public Utilities Commission is reversed on the authority of [</w:t>
      </w:r>
      <w:r>
        <w:rPr>
          <w:rFonts w:eastAsia="Times New Roman" w:cs="Times New Roman"/>
          <w:bCs/>
          <w:i/>
          <w:color w:val="000000"/>
        </w:rPr>
        <w:t>Columbus Southern</w:t>
      </w:r>
      <w:r>
        <w:rPr>
          <w:rFonts w:eastAsia="Times New Roman" w:cs="Times New Roman"/>
          <w:bCs/>
          <w:color w:val="000000"/>
        </w:rPr>
        <w:t>].”</w:t>
      </w:r>
      <w:r w:rsidR="007F58DC">
        <w:rPr>
          <w:rFonts w:eastAsia="Times New Roman" w:cs="Times New Roman"/>
          <w:bCs/>
          <w:color w:val="000000"/>
        </w:rPr>
        <w:t xml:space="preserve"> </w:t>
      </w:r>
      <w:r w:rsidR="007F58DC" w:rsidRPr="007F58DC">
        <w:rPr>
          <w:rFonts w:cs="Arial"/>
          <w:bCs/>
          <w:i/>
        </w:rPr>
        <w:t xml:space="preserve"> </w:t>
      </w:r>
      <w:r w:rsidR="007F58DC" w:rsidRPr="005C1E97">
        <w:rPr>
          <w:rFonts w:cs="Arial"/>
          <w:bCs/>
          <w:i/>
        </w:rPr>
        <w:t>In re Application of Dayton Power &amp; Light Co</w:t>
      </w:r>
      <w:r w:rsidR="007F58DC" w:rsidRPr="007434EF">
        <w:rPr>
          <w:rFonts w:cs="Arial"/>
          <w:bCs/>
        </w:rPr>
        <w:t xml:space="preserve">., 147 Ohio St.3d </w:t>
      </w:r>
      <w:r w:rsidR="007F58DC">
        <w:rPr>
          <w:rFonts w:cs="Arial"/>
          <w:bCs/>
        </w:rPr>
        <w:t>166, 2016-Ohio-3490</w:t>
      </w:r>
      <w:r w:rsidR="007F58DC">
        <w:t>, ¶ 1.</w:t>
      </w:r>
    </w:p>
    <w:p w14:paraId="2D6D2FA8" w14:textId="77777777" w:rsidR="00467781" w:rsidRDefault="003822B8" w:rsidP="000A7452">
      <w:pPr>
        <w:spacing w:line="480" w:lineRule="auto"/>
        <w:ind w:firstLine="720"/>
        <w:rPr>
          <w:rFonts w:eastAsia="Calibri" w:cs="Times New Roman"/>
          <w:bCs/>
        </w:rPr>
      </w:pPr>
      <w:r>
        <w:rPr>
          <w:rFonts w:eastAsia="Calibri" w:cs="Times New Roman"/>
          <w:bCs/>
        </w:rPr>
        <w:t>I</w:t>
      </w:r>
      <w:r w:rsidR="00467781">
        <w:rPr>
          <w:rFonts w:eastAsia="Calibri" w:cs="Times New Roman"/>
          <w:bCs/>
        </w:rPr>
        <w:t xml:space="preserve">n </w:t>
      </w:r>
      <w:r w:rsidR="0001320C">
        <w:rPr>
          <w:rFonts w:eastAsia="Calibri" w:cs="Times New Roman"/>
          <w:bCs/>
        </w:rPr>
        <w:t>its</w:t>
      </w:r>
      <w:r w:rsidR="00467781">
        <w:rPr>
          <w:rFonts w:eastAsia="Calibri" w:cs="Times New Roman"/>
          <w:bCs/>
        </w:rPr>
        <w:t xml:space="preserve"> Application</w:t>
      </w:r>
      <w:r w:rsidR="0001320C">
        <w:rPr>
          <w:rFonts w:eastAsia="Calibri" w:cs="Times New Roman"/>
          <w:bCs/>
        </w:rPr>
        <w:t xml:space="preserve"> in this case</w:t>
      </w:r>
      <w:r w:rsidR="00467781">
        <w:rPr>
          <w:rFonts w:eastAsia="Calibri" w:cs="Times New Roman"/>
          <w:bCs/>
        </w:rPr>
        <w:t xml:space="preserve">, </w:t>
      </w:r>
      <w:r>
        <w:rPr>
          <w:rFonts w:eastAsia="Calibri" w:cs="Times New Roman"/>
          <w:bCs/>
        </w:rPr>
        <w:t xml:space="preserve">Duke seeks </w:t>
      </w:r>
      <w:r w:rsidR="00546384">
        <w:rPr>
          <w:rFonts w:eastAsia="Calibri" w:cs="Times New Roman"/>
          <w:bCs/>
        </w:rPr>
        <w:t>a charge to recover</w:t>
      </w:r>
      <w:r>
        <w:rPr>
          <w:rFonts w:eastAsia="Calibri" w:cs="Times New Roman"/>
          <w:bCs/>
        </w:rPr>
        <w:t xml:space="preserve"> the </w:t>
      </w:r>
      <w:r w:rsidR="002B638A">
        <w:rPr>
          <w:rFonts w:eastAsia="Calibri" w:cs="Times New Roman"/>
          <w:bCs/>
        </w:rPr>
        <w:t xml:space="preserve">difference of the OVEC costs and the PJM revenue.  </w:t>
      </w:r>
      <w:r w:rsidR="008D0580">
        <w:rPr>
          <w:rFonts w:eastAsia="Calibri" w:cs="Times New Roman"/>
          <w:bCs/>
        </w:rPr>
        <w:t xml:space="preserve">The difference is the amount that Duke would be unable to recover in the competitive wholesale generation market.  </w:t>
      </w:r>
      <w:r w:rsidR="00E17B81">
        <w:rPr>
          <w:rFonts w:eastAsia="Calibri" w:cs="Times New Roman"/>
          <w:bCs/>
        </w:rPr>
        <w:t>The</w:t>
      </w:r>
      <w:r w:rsidR="002B638A">
        <w:rPr>
          <w:rFonts w:eastAsia="Calibri" w:cs="Times New Roman"/>
          <w:bCs/>
        </w:rPr>
        <w:t xml:space="preserve"> </w:t>
      </w:r>
      <w:r w:rsidR="00A45AA3">
        <w:rPr>
          <w:rFonts w:eastAsia="Calibri" w:cs="Times New Roman"/>
          <w:bCs/>
        </w:rPr>
        <w:t>charge</w:t>
      </w:r>
      <w:r w:rsidR="004859C9">
        <w:rPr>
          <w:rFonts w:eastAsia="Calibri" w:cs="Times New Roman"/>
          <w:bCs/>
        </w:rPr>
        <w:t xml:space="preserve"> </w:t>
      </w:r>
      <w:r w:rsidR="00E17B81">
        <w:rPr>
          <w:rFonts w:eastAsia="Calibri" w:cs="Times New Roman"/>
          <w:bCs/>
        </w:rPr>
        <w:t xml:space="preserve">to recover the difference would thus </w:t>
      </w:r>
      <w:r w:rsidR="004859C9">
        <w:rPr>
          <w:rFonts w:eastAsia="Calibri" w:cs="Times New Roman"/>
          <w:bCs/>
        </w:rPr>
        <w:t>insulate Duke from m</w:t>
      </w:r>
      <w:r w:rsidR="002B638A">
        <w:rPr>
          <w:rFonts w:eastAsia="Calibri" w:cs="Times New Roman"/>
          <w:bCs/>
        </w:rPr>
        <w:t>arket risk</w:t>
      </w:r>
      <w:r w:rsidR="009643AE">
        <w:rPr>
          <w:rFonts w:eastAsia="Calibri" w:cs="Times New Roman"/>
          <w:bCs/>
        </w:rPr>
        <w:t xml:space="preserve"> and guarantee it revenue that would otherwise be lost.  </w:t>
      </w:r>
      <w:r w:rsidR="00AA239B">
        <w:rPr>
          <w:rFonts w:eastAsia="Calibri" w:cs="Times New Roman"/>
          <w:bCs/>
        </w:rPr>
        <w:t>If approved, therefore, the rider will permit</w:t>
      </w:r>
      <w:r w:rsidR="00A45AA3">
        <w:rPr>
          <w:rFonts w:eastAsia="Calibri" w:cs="Times New Roman"/>
          <w:bCs/>
        </w:rPr>
        <w:t xml:space="preserve"> Duke</w:t>
      </w:r>
      <w:r w:rsidR="00AA239B">
        <w:rPr>
          <w:rFonts w:eastAsia="Calibri" w:cs="Times New Roman"/>
          <w:bCs/>
        </w:rPr>
        <w:t xml:space="preserve"> to bill and collect </w:t>
      </w:r>
      <w:r>
        <w:rPr>
          <w:rFonts w:eastAsia="Calibri" w:cs="Times New Roman"/>
          <w:bCs/>
        </w:rPr>
        <w:t xml:space="preserve">transition revenue or its equivalent.  </w:t>
      </w:r>
      <w:r w:rsidR="00094286">
        <w:rPr>
          <w:rFonts w:eastAsia="Calibri" w:cs="Times New Roman"/>
          <w:bCs/>
        </w:rPr>
        <w:t>Accordingly</w:t>
      </w:r>
      <w:r w:rsidR="00077BAA">
        <w:rPr>
          <w:rFonts w:eastAsia="Calibri" w:cs="Times New Roman"/>
          <w:bCs/>
        </w:rPr>
        <w:t xml:space="preserve">, </w:t>
      </w:r>
      <w:r w:rsidR="00A45AA3">
        <w:rPr>
          <w:rFonts w:eastAsia="Calibri" w:cs="Times New Roman"/>
          <w:bCs/>
        </w:rPr>
        <w:t>authorization of such a charge is prohibited by R.C. 4928.38</w:t>
      </w:r>
      <w:r w:rsidR="00077BAA">
        <w:rPr>
          <w:rFonts w:eastAsia="Calibri" w:cs="Times New Roman"/>
          <w:bCs/>
        </w:rPr>
        <w:t>.</w:t>
      </w:r>
    </w:p>
    <w:p w14:paraId="50CA0D22" w14:textId="77777777" w:rsidR="00F5292D" w:rsidRPr="00EA0C58" w:rsidRDefault="00F5292D" w:rsidP="00D437D5">
      <w:pPr>
        <w:pStyle w:val="Heading2"/>
        <w:rPr>
          <w:rFonts w:eastAsia="Calibri" w:cs="Times New Roman"/>
        </w:rPr>
      </w:pPr>
      <w:bookmarkStart w:id="21" w:name="_Toc480385205"/>
      <w:bookmarkStart w:id="22" w:name="_Toc482013101"/>
      <w:r w:rsidRPr="00EA0C58">
        <w:rPr>
          <w:rFonts w:eastAsia="Times New Roman"/>
        </w:rPr>
        <w:t>The Commission is prohibited from authorizing Duke to recover</w:t>
      </w:r>
      <w:r w:rsidR="00662415">
        <w:rPr>
          <w:rFonts w:eastAsia="Times New Roman"/>
        </w:rPr>
        <w:t xml:space="preserve"> an</w:t>
      </w:r>
      <w:r w:rsidR="00EA0C58">
        <w:rPr>
          <w:rFonts w:eastAsia="Times New Roman"/>
        </w:rPr>
        <w:t xml:space="preserve"> anticompetitive subsidy or</w:t>
      </w:r>
      <w:r w:rsidRPr="00EA0C58">
        <w:rPr>
          <w:rFonts w:eastAsia="Times New Roman"/>
        </w:rPr>
        <w:t xml:space="preserve"> generation-related revenue through a distribution-like rate in violation of R.C. 4928.02(H)</w:t>
      </w:r>
      <w:bookmarkEnd w:id="21"/>
      <w:bookmarkEnd w:id="22"/>
    </w:p>
    <w:p w14:paraId="7266A7AB" w14:textId="77777777" w:rsidR="009E18E2" w:rsidRDefault="00E22F5A" w:rsidP="00E22F5A">
      <w:pPr>
        <w:spacing w:line="480" w:lineRule="auto"/>
        <w:ind w:firstLine="720"/>
        <w:rPr>
          <w:rFonts w:eastAsia="Calibri" w:cs="Times New Roman"/>
        </w:rPr>
      </w:pPr>
      <w:r w:rsidRPr="00E22F5A">
        <w:rPr>
          <w:rFonts w:eastAsia="Calibri" w:cs="Times New Roman"/>
        </w:rPr>
        <w:t xml:space="preserve">R.C. 4928.02(H) states the state policy to ensure effective competition in the provision of retail electric service.  The first clause of the division provides that it is the policy of the State to ensure effective competition in the provision of retail electric service by avoiding anticompetitive subsidies flowing from a noncompetitive retail electric service to a </w:t>
      </w:r>
      <w:r w:rsidR="00662415">
        <w:rPr>
          <w:rFonts w:eastAsia="Calibri" w:cs="Times New Roman"/>
        </w:rPr>
        <w:t>competitive retail electric service</w:t>
      </w:r>
      <w:r w:rsidRPr="00E22F5A">
        <w:rPr>
          <w:rFonts w:eastAsia="Calibri" w:cs="Times New Roman"/>
        </w:rPr>
        <w:t xml:space="preserve"> or </w:t>
      </w:r>
      <w:r w:rsidR="0006676B">
        <w:rPr>
          <w:rFonts w:eastAsia="Calibri" w:cs="Times New Roman"/>
        </w:rPr>
        <w:t xml:space="preserve">to </w:t>
      </w:r>
      <w:r w:rsidRPr="00E22F5A">
        <w:rPr>
          <w:rFonts w:eastAsia="Calibri" w:cs="Times New Roman"/>
        </w:rPr>
        <w:t>a product or service other than retail electric service</w:t>
      </w:r>
      <w:r w:rsidR="0006676B">
        <w:rPr>
          <w:rFonts w:eastAsia="Calibri" w:cs="Times New Roman"/>
        </w:rPr>
        <w:t>,</w:t>
      </w:r>
      <w:r w:rsidRPr="00E22F5A">
        <w:rPr>
          <w:rFonts w:eastAsia="Calibri" w:cs="Times New Roman"/>
        </w:rPr>
        <w:t xml:space="preserve"> </w:t>
      </w:r>
      <w:r w:rsidR="0006676B">
        <w:rPr>
          <w:rFonts w:eastAsia="Calibri" w:cs="Times New Roman"/>
        </w:rPr>
        <w:t>and</w:t>
      </w:r>
      <w:r w:rsidR="0006676B" w:rsidRPr="00E22F5A">
        <w:rPr>
          <w:rFonts w:eastAsia="Calibri" w:cs="Times New Roman"/>
        </w:rPr>
        <w:t xml:space="preserve"> </w:t>
      </w:r>
      <w:r w:rsidRPr="00E22F5A">
        <w:rPr>
          <w:rFonts w:eastAsia="Calibri" w:cs="Times New Roman"/>
        </w:rPr>
        <w:t>vice versa.  The second clause prohibits the recovery of any generation-related costs through distribution or transmission rates.</w:t>
      </w:r>
      <w:r w:rsidRPr="00E22F5A">
        <w:rPr>
          <w:rFonts w:eastAsia="Calibri" w:cs="Times New Roman"/>
          <w:vertAlign w:val="superscript"/>
        </w:rPr>
        <w:footnoteReference w:id="12"/>
      </w:r>
      <w:r w:rsidRPr="00E22F5A">
        <w:rPr>
          <w:rFonts w:eastAsia="Calibri" w:cs="Times New Roman"/>
        </w:rPr>
        <w:t xml:space="preserve">  </w:t>
      </w:r>
    </w:p>
    <w:p w14:paraId="673B2E8D" w14:textId="77777777" w:rsidR="00E22F5A" w:rsidRPr="007428AC" w:rsidRDefault="009E18E2" w:rsidP="00E22F5A">
      <w:pPr>
        <w:spacing w:line="480" w:lineRule="auto"/>
        <w:ind w:firstLine="720"/>
        <w:rPr>
          <w:rFonts w:eastAsia="Calibri" w:cs="Times New Roman"/>
        </w:rPr>
      </w:pPr>
      <w:r>
        <w:rPr>
          <w:rFonts w:eastAsia="Calibri" w:cs="Times New Roman"/>
        </w:rPr>
        <w:t>If</w:t>
      </w:r>
      <w:r w:rsidR="00E22F5A" w:rsidRPr="007428AC">
        <w:rPr>
          <w:rFonts w:eastAsia="Calibri" w:cs="Times New Roman"/>
        </w:rPr>
        <w:t xml:space="preserve"> approved, </w:t>
      </w:r>
      <w:r w:rsidR="00336EB8">
        <w:rPr>
          <w:rFonts w:eastAsia="Calibri" w:cs="Times New Roman"/>
        </w:rPr>
        <w:t>the PSR</w:t>
      </w:r>
      <w:r w:rsidR="00E22F5A" w:rsidRPr="007428AC">
        <w:rPr>
          <w:rFonts w:eastAsia="Calibri" w:cs="Times New Roman"/>
        </w:rPr>
        <w:t xml:space="preserve"> would require all retail distribution customers to incur a charge or credit designed to collect the difference of </w:t>
      </w:r>
      <w:r w:rsidR="00E22F5A">
        <w:rPr>
          <w:rFonts w:eastAsia="Calibri" w:cs="Times New Roman"/>
        </w:rPr>
        <w:t>Duke’s</w:t>
      </w:r>
      <w:r w:rsidR="00E22F5A" w:rsidRPr="007428AC">
        <w:rPr>
          <w:rFonts w:eastAsia="Calibri" w:cs="Times New Roman"/>
        </w:rPr>
        <w:t xml:space="preserve"> costs and wholesale revenue </w:t>
      </w:r>
      <w:r w:rsidR="00E22F5A">
        <w:rPr>
          <w:rFonts w:eastAsia="Calibri" w:cs="Times New Roman"/>
        </w:rPr>
        <w:t>f</w:t>
      </w:r>
      <w:r>
        <w:rPr>
          <w:rFonts w:eastAsia="Calibri" w:cs="Times New Roman"/>
        </w:rPr>
        <w:t>or a generation-related service</w:t>
      </w:r>
      <w:r w:rsidR="00E22F5A" w:rsidRPr="007428AC">
        <w:rPr>
          <w:rFonts w:eastAsia="Calibri" w:cs="Times New Roman"/>
        </w:rPr>
        <w:t xml:space="preserve">.  When the difference is a charge, </w:t>
      </w:r>
      <w:r w:rsidR="00E22F5A">
        <w:rPr>
          <w:rFonts w:eastAsia="Calibri" w:cs="Times New Roman"/>
        </w:rPr>
        <w:t>Duke</w:t>
      </w:r>
      <w:r w:rsidR="00E22F5A" w:rsidRPr="007428AC">
        <w:rPr>
          <w:rFonts w:eastAsia="Calibri" w:cs="Times New Roman"/>
        </w:rPr>
        <w:t xml:space="preserve"> would recover the </w:t>
      </w:r>
      <w:r w:rsidR="00E22F5A">
        <w:rPr>
          <w:rFonts w:eastAsia="Calibri" w:cs="Times New Roman"/>
        </w:rPr>
        <w:t xml:space="preserve">above-market wholesale </w:t>
      </w:r>
      <w:r w:rsidR="00E22F5A" w:rsidRPr="007428AC">
        <w:rPr>
          <w:rFonts w:eastAsia="Calibri" w:cs="Times New Roman"/>
        </w:rPr>
        <w:t xml:space="preserve">costs that exceed the market prices for the </w:t>
      </w:r>
      <w:r w:rsidR="00E22F5A">
        <w:rPr>
          <w:rFonts w:eastAsia="Calibri" w:cs="Times New Roman"/>
        </w:rPr>
        <w:t>generation</w:t>
      </w:r>
      <w:r w:rsidR="00E22F5A" w:rsidRPr="007428AC">
        <w:rPr>
          <w:rFonts w:eastAsia="Calibri" w:cs="Times New Roman"/>
        </w:rPr>
        <w:t xml:space="preserve">, a subsidy to </w:t>
      </w:r>
      <w:r w:rsidR="00E22F5A">
        <w:rPr>
          <w:rFonts w:eastAsia="Calibri" w:cs="Times New Roman"/>
        </w:rPr>
        <w:t>Duke</w:t>
      </w:r>
      <w:r w:rsidR="00E22F5A" w:rsidRPr="007428AC">
        <w:rPr>
          <w:rFonts w:eastAsia="Calibri" w:cs="Times New Roman"/>
        </w:rPr>
        <w:t xml:space="preserve">.  When the difference is a credit (as unlikely as that may be), retail customers would receive a subsidy of any wholesale revenue that exceeds </w:t>
      </w:r>
      <w:r w:rsidR="00E22F5A">
        <w:rPr>
          <w:rFonts w:eastAsia="Calibri" w:cs="Times New Roman"/>
        </w:rPr>
        <w:t xml:space="preserve">Duke’s costs.  </w:t>
      </w:r>
      <w:r w:rsidR="00E22F5A" w:rsidRPr="007428AC">
        <w:rPr>
          <w:rFonts w:eastAsia="Calibri" w:cs="Times New Roman"/>
        </w:rPr>
        <w:t xml:space="preserve">In either case, the result </w:t>
      </w:r>
      <w:r w:rsidR="00DE3DB9">
        <w:rPr>
          <w:rFonts w:eastAsia="Calibri" w:cs="Times New Roman"/>
        </w:rPr>
        <w:t>violates</w:t>
      </w:r>
      <w:r w:rsidR="00E22F5A">
        <w:rPr>
          <w:rFonts w:eastAsia="Calibri" w:cs="Times New Roman"/>
        </w:rPr>
        <w:t xml:space="preserve"> the first clause of R.C. 4928.02(H).</w:t>
      </w:r>
      <w:r w:rsidR="008F24FD">
        <w:rPr>
          <w:rFonts w:eastAsia="Calibri" w:cs="Times New Roman"/>
        </w:rPr>
        <w:t xml:space="preserve">  See, also, </w:t>
      </w:r>
      <w:r w:rsidR="00930C65" w:rsidRPr="00887485">
        <w:rPr>
          <w:bCs/>
          <w:i/>
        </w:rPr>
        <w:t>In the Matter of the Application of Ohio Power Company for Approval of the Shutdown of Unit 5 of the Philip Sporn Generating Station and to Establish a Plant Shutdown Rider</w:t>
      </w:r>
      <w:r w:rsidR="00930C65" w:rsidRPr="00887485">
        <w:rPr>
          <w:bCs/>
        </w:rPr>
        <w:t>, Case No. 10-1454-EL-RDR, Finding and Order at 1</w:t>
      </w:r>
      <w:r w:rsidR="00930C65">
        <w:rPr>
          <w:bCs/>
        </w:rPr>
        <w:t>9</w:t>
      </w:r>
      <w:r w:rsidR="00930C65" w:rsidRPr="00887485">
        <w:rPr>
          <w:bCs/>
        </w:rPr>
        <w:t xml:space="preserve"> (Jan. 11, 2012)</w:t>
      </w:r>
      <w:r w:rsidR="00930C65">
        <w:rPr>
          <w:bCs/>
        </w:rPr>
        <w:t>.</w:t>
      </w:r>
    </w:p>
    <w:p w14:paraId="6475B28F" w14:textId="77777777" w:rsidR="00E22F5A" w:rsidRPr="007428AC" w:rsidRDefault="00E22F5A" w:rsidP="00E22F5A">
      <w:pPr>
        <w:spacing w:line="480" w:lineRule="auto"/>
        <w:ind w:firstLine="720"/>
        <w:rPr>
          <w:rFonts w:eastAsia="Calibri" w:cs="Times New Roman"/>
        </w:rPr>
      </w:pPr>
      <w:r w:rsidRPr="007428AC">
        <w:rPr>
          <w:rFonts w:eastAsia="Calibri" w:cs="Times New Roman"/>
        </w:rPr>
        <w:t xml:space="preserve">The authorization of the </w:t>
      </w:r>
      <w:r>
        <w:rPr>
          <w:rFonts w:eastAsia="Calibri" w:cs="Times New Roman"/>
        </w:rPr>
        <w:t>PSR</w:t>
      </w:r>
      <w:r w:rsidRPr="007428AC">
        <w:rPr>
          <w:rFonts w:eastAsia="Calibri" w:cs="Times New Roman"/>
        </w:rPr>
        <w:t xml:space="preserve"> also</w:t>
      </w:r>
      <w:r w:rsidR="008F24FD">
        <w:rPr>
          <w:rFonts w:eastAsia="Calibri" w:cs="Times New Roman"/>
        </w:rPr>
        <w:t xml:space="preserve"> would violate</w:t>
      </w:r>
      <w:r w:rsidRPr="007428AC">
        <w:rPr>
          <w:rFonts w:eastAsia="Calibri" w:cs="Times New Roman"/>
        </w:rPr>
        <w:t xml:space="preserve"> the purpose of the second clause of R.C. 4928.02(H)</w:t>
      </w:r>
      <w:r w:rsidR="00B05834">
        <w:rPr>
          <w:rFonts w:eastAsia="Calibri" w:cs="Times New Roman"/>
        </w:rPr>
        <w:t xml:space="preserve"> that prevents the recovery of generation-related costs through a distribution </w:t>
      </w:r>
      <w:r w:rsidR="008115D4">
        <w:rPr>
          <w:rFonts w:eastAsia="Calibri" w:cs="Times New Roman"/>
        </w:rPr>
        <w:t>rate</w:t>
      </w:r>
      <w:r w:rsidRPr="007428AC">
        <w:rPr>
          <w:rFonts w:eastAsia="Calibri" w:cs="Times New Roman"/>
        </w:rPr>
        <w:t xml:space="preserve">.  </w:t>
      </w:r>
      <w:r w:rsidR="0007276D">
        <w:rPr>
          <w:rFonts w:eastAsia="Calibri" w:cs="Times New Roman"/>
        </w:rPr>
        <w:t xml:space="preserve">Though generation-related, </w:t>
      </w:r>
      <w:r w:rsidR="0062452C">
        <w:rPr>
          <w:rFonts w:eastAsia="Calibri" w:cs="Times New Roman"/>
        </w:rPr>
        <w:t xml:space="preserve">the charge for which </w:t>
      </w:r>
      <w:r w:rsidR="0007276D">
        <w:rPr>
          <w:rFonts w:eastAsia="Calibri" w:cs="Times New Roman"/>
        </w:rPr>
        <w:t xml:space="preserve">Duke seeks authorization </w:t>
      </w:r>
      <w:r w:rsidR="0062452C">
        <w:rPr>
          <w:rFonts w:eastAsia="Calibri" w:cs="Times New Roman"/>
        </w:rPr>
        <w:t>would be</w:t>
      </w:r>
      <w:r w:rsidR="00BC0822">
        <w:rPr>
          <w:rFonts w:eastAsia="Calibri" w:cs="Times New Roman"/>
        </w:rPr>
        <w:t xml:space="preserve"> nonbypassable</w:t>
      </w:r>
      <w:r w:rsidR="0007276D">
        <w:rPr>
          <w:rFonts w:eastAsia="Calibri" w:cs="Times New Roman"/>
        </w:rPr>
        <w:t xml:space="preserve">.  </w:t>
      </w:r>
      <w:r w:rsidR="00757FDF">
        <w:rPr>
          <w:rFonts w:eastAsia="Calibri" w:cs="Times New Roman"/>
        </w:rPr>
        <w:t>Wathen Testimony at 11</w:t>
      </w:r>
      <w:r w:rsidR="0007276D">
        <w:rPr>
          <w:rFonts w:eastAsia="Calibri" w:cs="Times New Roman"/>
        </w:rPr>
        <w:t xml:space="preserve">.  </w:t>
      </w:r>
      <w:r>
        <w:rPr>
          <w:rFonts w:eastAsia="Calibri" w:cs="Times New Roman"/>
        </w:rPr>
        <w:t xml:space="preserve">Because the charge </w:t>
      </w:r>
      <w:r w:rsidR="0007276D">
        <w:rPr>
          <w:rFonts w:eastAsia="Calibri" w:cs="Times New Roman"/>
        </w:rPr>
        <w:t>would be</w:t>
      </w:r>
      <w:r>
        <w:rPr>
          <w:rFonts w:eastAsia="Calibri" w:cs="Times New Roman"/>
        </w:rPr>
        <w:t xml:space="preserve"> unavoidable, it</w:t>
      </w:r>
      <w:r w:rsidRPr="007428AC">
        <w:rPr>
          <w:rFonts w:eastAsia="Calibri" w:cs="Times New Roman"/>
        </w:rPr>
        <w:t xml:space="preserve"> </w:t>
      </w:r>
      <w:r w:rsidR="0007276D">
        <w:rPr>
          <w:rFonts w:eastAsia="Calibri" w:cs="Times New Roman"/>
        </w:rPr>
        <w:t>would operate</w:t>
      </w:r>
      <w:r w:rsidRPr="007428AC">
        <w:rPr>
          <w:rFonts w:eastAsia="Calibri" w:cs="Times New Roman"/>
        </w:rPr>
        <w:t xml:space="preserve"> in </w:t>
      </w:r>
      <w:r w:rsidR="008115D4" w:rsidRPr="007428AC">
        <w:rPr>
          <w:rFonts w:eastAsia="Calibri" w:cs="Times New Roman"/>
        </w:rPr>
        <w:t>the same</w:t>
      </w:r>
      <w:r w:rsidRPr="007428AC">
        <w:rPr>
          <w:rFonts w:eastAsia="Calibri" w:cs="Times New Roman"/>
        </w:rPr>
        <w:t xml:space="preserve"> manner as a distribution charge</w:t>
      </w:r>
      <w:r>
        <w:rPr>
          <w:rFonts w:eastAsia="Calibri" w:cs="Times New Roman"/>
        </w:rPr>
        <w:t xml:space="preserve">: </w:t>
      </w:r>
      <w:r w:rsidR="00DE3DB9">
        <w:rPr>
          <w:rFonts w:eastAsia="Calibri" w:cs="Times New Roman"/>
        </w:rPr>
        <w:t xml:space="preserve"> </w:t>
      </w:r>
      <w:r>
        <w:rPr>
          <w:rFonts w:eastAsia="Calibri" w:cs="Times New Roman"/>
        </w:rPr>
        <w:t>all distribution customers of Duke would be required to pay the charge</w:t>
      </w:r>
      <w:r w:rsidRPr="007428AC">
        <w:rPr>
          <w:rFonts w:eastAsia="Calibri" w:cs="Times New Roman"/>
        </w:rPr>
        <w:t xml:space="preserve">.  </w:t>
      </w:r>
      <w:r w:rsidR="00F71370">
        <w:rPr>
          <w:rFonts w:eastAsia="Calibri" w:cs="Times New Roman"/>
        </w:rPr>
        <w:t>Accordingly, the charge would violate the express prohibition of such charges in R.C. 4928.02(H).</w:t>
      </w:r>
    </w:p>
    <w:p w14:paraId="125001E7" w14:textId="77777777" w:rsidR="006E21C5" w:rsidRDefault="007C4368" w:rsidP="00D437D5">
      <w:pPr>
        <w:pStyle w:val="Heading2"/>
      </w:pPr>
      <w:bookmarkStart w:id="23" w:name="_Toc482013102"/>
      <w:bookmarkStart w:id="24" w:name="_Toc480385206"/>
      <w:r>
        <w:t xml:space="preserve">A Commission order authorizing a wholesale rate other than that approved by FERC </w:t>
      </w:r>
      <w:r w:rsidR="00BF76FD">
        <w:t xml:space="preserve">is preempted by </w:t>
      </w:r>
      <w:r w:rsidR="009826EF">
        <w:t>federal law</w:t>
      </w:r>
      <w:bookmarkEnd w:id="23"/>
      <w:r w:rsidR="009826EF">
        <w:t xml:space="preserve"> </w:t>
      </w:r>
      <w:bookmarkEnd w:id="24"/>
    </w:p>
    <w:p w14:paraId="2265A840" w14:textId="77777777" w:rsidR="009F7E2E" w:rsidRDefault="009F7E2E" w:rsidP="009F7E2E">
      <w:pPr>
        <w:spacing w:line="480" w:lineRule="auto"/>
        <w:ind w:firstLine="720"/>
        <w:rPr>
          <w:rFonts w:eastAsia="Calibri" w:cs="Times New Roman"/>
        </w:rPr>
      </w:pPr>
      <w:r>
        <w:rPr>
          <w:rFonts w:eastAsia="Calibri"/>
          <w:shd w:val="clear" w:color="auto" w:fill="FFFFFF"/>
        </w:rPr>
        <w:t>Under the Supremacy Clause</w:t>
      </w:r>
      <w:r w:rsidR="008858A3">
        <w:rPr>
          <w:rFonts w:eastAsia="Calibri"/>
          <w:shd w:val="clear" w:color="auto" w:fill="FFFFFF"/>
        </w:rPr>
        <w:t xml:space="preserve">, </w:t>
      </w:r>
      <w:r w:rsidR="007517AB">
        <w:rPr>
          <w:rFonts w:eastAsia="Calibri"/>
          <w:shd w:val="clear" w:color="auto" w:fill="FFFFFF"/>
        </w:rPr>
        <w:t>the second clause</w:t>
      </w:r>
      <w:r w:rsidR="008858A3">
        <w:rPr>
          <w:rFonts w:eastAsia="Calibri"/>
          <w:shd w:val="clear" w:color="auto" w:fill="FFFFFF"/>
        </w:rPr>
        <w:t xml:space="preserve"> of Article VI</w:t>
      </w:r>
      <w:r>
        <w:rPr>
          <w:rFonts w:eastAsia="Calibri"/>
          <w:shd w:val="clear" w:color="auto" w:fill="FFFFFF"/>
        </w:rPr>
        <w:t xml:space="preserve"> of the United States Constitution, federal law </w:t>
      </w:r>
      <w:r w:rsidR="007517AB">
        <w:rPr>
          <w:rFonts w:eastAsia="Calibri"/>
          <w:shd w:val="clear" w:color="auto" w:fill="FFFFFF"/>
        </w:rPr>
        <w:t xml:space="preserve">“shall be the supreme Law of the Land” </w:t>
      </w:r>
      <w:r w:rsidR="00853D9D">
        <w:rPr>
          <w:rFonts w:eastAsia="Calibri"/>
          <w:shd w:val="clear" w:color="auto" w:fill="FFFFFF"/>
        </w:rPr>
        <w:t>and “</w:t>
      </w:r>
      <w:r w:rsidR="00853D9D" w:rsidRPr="00853D9D">
        <w:rPr>
          <w:rFonts w:eastAsia="Calibri"/>
          <w:shd w:val="clear" w:color="auto" w:fill="FFFFFF"/>
        </w:rPr>
        <w:t>and the Judges in every State shall be bound thereby, any Thing in the Constitution or Laws of any State to the Contrary notwithstanding</w:t>
      </w:r>
      <w:r w:rsidR="00853D9D">
        <w:rPr>
          <w:rFonts w:eastAsia="Calibri"/>
          <w:shd w:val="clear" w:color="auto" w:fill="FFFFFF"/>
        </w:rPr>
        <w:t>.”  Und</w:t>
      </w:r>
      <w:r w:rsidR="0045269C">
        <w:rPr>
          <w:rFonts w:eastAsia="Calibri"/>
          <w:shd w:val="clear" w:color="auto" w:fill="FFFFFF"/>
        </w:rPr>
        <w:t xml:space="preserve">er this authority, federal law </w:t>
      </w:r>
      <w:r>
        <w:rPr>
          <w:rFonts w:eastAsia="Calibri"/>
          <w:shd w:val="clear" w:color="auto" w:fill="FFFFFF"/>
        </w:rPr>
        <w:t>preempts state legislation and regulating authority (1) if Congress, in enacting a federal statute, has expressed a clear intent to preempt state law; (2) if it is clear, despite the absence of explicit pre-emptive language, that Congress has intended, by legislating comprehensively, to occupy an entire field of regulation and has left no room for the states to supplement the federal law; and (3) if compliance with both state and federal law is impossible or when compliance with state law stands as an obstacle to the accomplishment and execution of the full purposes and objectives of the federal policies embodied in the laws at issue.</w:t>
      </w:r>
      <w:r w:rsidR="0045269C" w:rsidRPr="0045269C">
        <w:rPr>
          <w:i/>
        </w:rPr>
        <w:t xml:space="preserve"> </w:t>
      </w:r>
      <w:r w:rsidR="0045269C">
        <w:rPr>
          <w:i/>
        </w:rPr>
        <w:t xml:space="preserve"> Marketing Research Services, Inc. v. Pub. Util. Comm’n of Ohio</w:t>
      </w:r>
      <w:r w:rsidR="0045269C">
        <w:t xml:space="preserve">, 34 Ohio St.3d 52, </w:t>
      </w:r>
      <w:r w:rsidR="00D03180">
        <w:t xml:space="preserve">54 </w:t>
      </w:r>
      <w:r w:rsidR="0045269C">
        <w:t>(1987).</w:t>
      </w:r>
    </w:p>
    <w:p w14:paraId="30F474F8" w14:textId="77777777" w:rsidR="009F7E2E" w:rsidRDefault="009F7E2E" w:rsidP="00566E4E">
      <w:pPr>
        <w:tabs>
          <w:tab w:val="left" w:pos="720"/>
        </w:tabs>
        <w:spacing w:line="480" w:lineRule="auto"/>
        <w:rPr>
          <w:rFonts w:cs="Arial"/>
        </w:rPr>
      </w:pPr>
      <w:r>
        <w:tab/>
        <w:t xml:space="preserve">In </w:t>
      </w:r>
      <w:r>
        <w:rPr>
          <w:i/>
        </w:rPr>
        <w:t xml:space="preserve">Hughes v. Talen Energy Marketing </w:t>
      </w:r>
      <w:r>
        <w:t xml:space="preserve">LLC, </w:t>
      </w:r>
      <w:r w:rsidR="00111799">
        <w:t>136 S.Ct. 1288</w:t>
      </w:r>
      <w:r>
        <w:t xml:space="preserve"> (2016), the United States Supreme Court </w:t>
      </w:r>
      <w:r w:rsidR="00F52CFE">
        <w:t>affirmed decisions finding that a state commission</w:t>
      </w:r>
      <w:r w:rsidR="00B06214">
        <w:t>’s order guaranteeing a “cost-based” wholesale price</w:t>
      </w:r>
      <w:r w:rsidR="00F52CFE">
        <w:t xml:space="preserve"> </w:t>
      </w:r>
      <w:r w:rsidR="00BA5F0D">
        <w:t xml:space="preserve">is preempted </w:t>
      </w:r>
      <w:r w:rsidR="00B06214">
        <w:t>by the</w:t>
      </w:r>
      <w:r>
        <w:t xml:space="preserve"> Federal Power Act (“FPA”).  In </w:t>
      </w:r>
      <w:r w:rsidR="00BC0822">
        <w:rPr>
          <w:i/>
        </w:rPr>
        <w:t>Talen</w:t>
      </w:r>
      <w:r>
        <w:t>, the Maryland Public Service Commission (“Maryland Commission”) had required the incumbe</w:t>
      </w:r>
      <w:r w:rsidR="00F149F4">
        <w:t>nt utilities to enter into 20-</w:t>
      </w:r>
      <w:r>
        <w:t>year contract</w:t>
      </w:r>
      <w:r w:rsidR="00617766">
        <w:t>s</w:t>
      </w:r>
      <w:r>
        <w:t xml:space="preserve"> with a company (“generator”) proposing to construct a new generation plant in the state.  </w:t>
      </w:r>
      <w:r w:rsidR="008B5863">
        <w:rPr>
          <w:i/>
        </w:rPr>
        <w:t xml:space="preserve">Id. </w:t>
      </w:r>
      <w:r w:rsidR="008B5863">
        <w:t>at 1294-95</w:t>
      </w:r>
      <w:r w:rsidR="00033A2D">
        <w:t>.</w:t>
      </w:r>
      <w:r w:rsidR="00D274E9">
        <w:t xml:space="preserve">  </w:t>
      </w:r>
      <w:r>
        <w:t>The contract guaranteed that the generator would receive the contract price for capacity and not the wholesale price.</w:t>
      </w:r>
      <w:r w:rsidR="00D274E9">
        <w:t xml:space="preserve">  </w:t>
      </w:r>
      <w:r w:rsidR="00D274E9" w:rsidRPr="001802B0">
        <w:rPr>
          <w:i/>
        </w:rPr>
        <w:t>Id</w:t>
      </w:r>
      <w:r w:rsidR="008B5863">
        <w:t>. at 1295</w:t>
      </w:r>
      <w:r w:rsidR="00D274E9">
        <w:t>.</w:t>
      </w:r>
      <w:r>
        <w:t xml:space="preserve">  </w:t>
      </w:r>
      <w:r w:rsidR="00543F12">
        <w:t>I</w:t>
      </w:r>
      <w:r>
        <w:t>f the wholesale price “</w:t>
      </w:r>
      <w:r w:rsidR="00543F12">
        <w:t>[fell]</w:t>
      </w:r>
      <w:r>
        <w:t xml:space="preserve"> below the price guaranteed in the contract</w:t>
      </w:r>
      <w:r w:rsidR="00543F12">
        <w:t>,</w:t>
      </w:r>
      <w:r>
        <w:t xml:space="preserve">” the utilities </w:t>
      </w:r>
      <w:r w:rsidR="00CB060F">
        <w:t xml:space="preserve">would pay </w:t>
      </w:r>
      <w:r>
        <w:t>the generator the difference and then “pass the costs of these required payments along to Maryland consumers in the form of higher retail prices.”</w:t>
      </w:r>
      <w:r w:rsidR="00D274E9">
        <w:t xml:space="preserve">  </w:t>
      </w:r>
      <w:r w:rsidR="00D274E9" w:rsidRPr="001802B0">
        <w:rPr>
          <w:i/>
        </w:rPr>
        <w:t>Id</w:t>
      </w:r>
      <w:r w:rsidR="00D274E9">
        <w:t xml:space="preserve">.  </w:t>
      </w:r>
      <w:r>
        <w:t>If the w</w:t>
      </w:r>
      <w:r w:rsidR="00543F12">
        <w:t>holesale capacity price “exceed[ed]</w:t>
      </w:r>
      <w:r>
        <w:t xml:space="preserve"> the price guaranteed in the contract</w:t>
      </w:r>
      <w:r w:rsidR="00543F12">
        <w:t>,</w:t>
      </w:r>
      <w:r>
        <w:t xml:space="preserve">” the generator </w:t>
      </w:r>
      <w:r w:rsidR="00CB060F">
        <w:t xml:space="preserve">would </w:t>
      </w:r>
      <w:r>
        <w:t>pay the utilities the difference and the utilities would “then pass the savings along to consumers in the form of lower retail prices.”</w:t>
      </w:r>
      <w:r w:rsidR="00D274E9">
        <w:t xml:space="preserve">  </w:t>
      </w:r>
      <w:r w:rsidR="00D274E9" w:rsidRPr="001802B0">
        <w:rPr>
          <w:i/>
        </w:rPr>
        <w:t>Id</w:t>
      </w:r>
      <w:r w:rsidR="00D274E9">
        <w:t>.</w:t>
      </w:r>
    </w:p>
    <w:p w14:paraId="2D382024" w14:textId="77777777" w:rsidR="005770D4" w:rsidRDefault="009F7E2E" w:rsidP="008305E2">
      <w:pPr>
        <w:spacing w:line="480" w:lineRule="auto"/>
      </w:pPr>
      <w:r>
        <w:tab/>
        <w:t>The Court found tha</w:t>
      </w:r>
      <w:r w:rsidR="00637EE5">
        <w:t xml:space="preserve">t the contract “guarantees [the </w:t>
      </w:r>
      <w:r>
        <w:t>generator] a rate distinct from the clearing price [in the PJM capacity auction] for its interstate sales of capacity to PJM” and thus concluded that the Maryland Commission had “set[] an interstate wholesale rate.”</w:t>
      </w:r>
      <w:r w:rsidR="003D6C6A">
        <w:t xml:space="preserve">  </w:t>
      </w:r>
      <w:r w:rsidR="003D6C6A" w:rsidRPr="00BF7F82">
        <w:rPr>
          <w:i/>
        </w:rPr>
        <w:t>Id</w:t>
      </w:r>
      <w:r w:rsidR="003D6C6A">
        <w:t xml:space="preserve">. </w:t>
      </w:r>
      <w:r w:rsidR="00BF7F82">
        <w:t>at 1297</w:t>
      </w:r>
      <w:r w:rsidR="00D274E9">
        <w:t>.</w:t>
      </w:r>
      <w:r>
        <w:t xml:space="preserve">  </w:t>
      </w:r>
      <w:r w:rsidR="00E71AA3">
        <w:t>Because the Maryland Commission had set the wholesale rate, t</w:t>
      </w:r>
      <w:r w:rsidR="00423048">
        <w:t xml:space="preserve">he Court </w:t>
      </w:r>
      <w:r w:rsidR="00E71AA3">
        <w:t xml:space="preserve">affirmed lower court decisions finding that </w:t>
      </w:r>
      <w:r w:rsidR="00423048">
        <w:t xml:space="preserve">the Commission’s order was preempted by the FPA.  </w:t>
      </w:r>
      <w:r w:rsidR="006516E7">
        <w:t>“States interfere with FERC’s authority by disregarding interstate whol</w:t>
      </w:r>
      <w:r w:rsidR="006C4F85">
        <w:t xml:space="preserve">esale rates FERC has deemed just and unreasonable, even when States exercise their traditional authority over retail rates or, as </w:t>
      </w:r>
      <w:r w:rsidR="00D8613B">
        <w:t>here, in-state generation.</w:t>
      </w:r>
      <w:r w:rsidR="009A04C9">
        <w:t>”</w:t>
      </w:r>
      <w:r w:rsidR="00D8613B">
        <w:t xml:space="preserve">  </w:t>
      </w:r>
      <w:r w:rsidR="00D8613B" w:rsidRPr="00D8613B">
        <w:rPr>
          <w:i/>
        </w:rPr>
        <w:t>Id</w:t>
      </w:r>
      <w:r w:rsidR="00D8613B">
        <w:t>. at 1299</w:t>
      </w:r>
      <w:r w:rsidR="006C4F85">
        <w:t xml:space="preserve">.  </w:t>
      </w:r>
    </w:p>
    <w:p w14:paraId="5D35DAF2" w14:textId="77777777" w:rsidR="008305E2" w:rsidRDefault="005770D4" w:rsidP="008305E2">
      <w:pPr>
        <w:spacing w:line="480" w:lineRule="auto"/>
      </w:pPr>
      <w:r>
        <w:tab/>
      </w:r>
      <w:r w:rsidR="002E7801">
        <w:t xml:space="preserve">Like the “contract for differences” the United States Supreme Court held was preempted by the </w:t>
      </w:r>
      <w:r>
        <w:t>FPA</w:t>
      </w:r>
      <w:r w:rsidR="002E7801">
        <w:t>, Duke’s request seeks to augment Duke’s revenue for the difference between its wholesale costs and</w:t>
      </w:r>
      <w:r w:rsidR="00616169">
        <w:t xml:space="preserve"> its wholesale revenue and </w:t>
      </w:r>
      <w:r w:rsidR="00261C97">
        <w:t xml:space="preserve">bill </w:t>
      </w:r>
      <w:r w:rsidR="00616169">
        <w:t xml:space="preserve">that difference </w:t>
      </w:r>
      <w:r w:rsidR="00261C97">
        <w:t xml:space="preserve">to </w:t>
      </w:r>
      <w:r w:rsidR="00417F9C">
        <w:t>retail</w:t>
      </w:r>
      <w:r w:rsidR="00616169">
        <w:t xml:space="preserve"> customers. </w:t>
      </w:r>
      <w:r w:rsidR="004669A9">
        <w:t xml:space="preserve"> Application at 2 n.1.  </w:t>
      </w:r>
      <w:r w:rsidR="002D7B09">
        <w:t xml:space="preserve">In years in which the OVEC costs exceed the PJM revenue, the PSR would be a nonbypassable retail charge and increase Duke’s compensation for its share of the wholesale capacity and energy it receives </w:t>
      </w:r>
      <w:r w:rsidR="00417F9C">
        <w:t xml:space="preserve">from </w:t>
      </w:r>
      <w:r w:rsidR="002D7B09">
        <w:t>OVEC</w:t>
      </w:r>
      <w:r w:rsidR="00616169">
        <w:t xml:space="preserve">.  </w:t>
      </w:r>
      <w:r w:rsidR="009142EA">
        <w:t xml:space="preserve">In years in which the OVEC costs are less than the PJM revenue, the PSR would be a nonbypassable retail credit and decrease Duke’s compensation.  </w:t>
      </w:r>
      <w:r w:rsidR="00795F5A">
        <w:t xml:space="preserve">By </w:t>
      </w:r>
      <w:r w:rsidR="003D2E37">
        <w:t xml:space="preserve">indirectly </w:t>
      </w:r>
      <w:r w:rsidR="00795F5A">
        <w:t xml:space="preserve">setting the </w:t>
      </w:r>
      <w:r w:rsidR="00261C97">
        <w:t xml:space="preserve">revenue </w:t>
      </w:r>
      <w:r w:rsidR="00795F5A">
        <w:t xml:space="preserve">for wholesale capacity and energy that Duke receives for its </w:t>
      </w:r>
      <w:r w:rsidR="00487899">
        <w:t xml:space="preserve">interest in OVEC, </w:t>
      </w:r>
      <w:r w:rsidR="00D14949">
        <w:t>t</w:t>
      </w:r>
      <w:r w:rsidR="003D2E37">
        <w:t xml:space="preserve">he revenue that Duke is seeking in this Application is effectively “tethered” to the wholesale rate.  </w:t>
      </w:r>
      <w:r w:rsidR="00726A00">
        <w:rPr>
          <w:i/>
        </w:rPr>
        <w:t xml:space="preserve">Talen, </w:t>
      </w:r>
      <w:r w:rsidR="00726A00">
        <w:t>136 S.Ct. at 1299</w:t>
      </w:r>
      <w:r w:rsidR="003D2E37">
        <w:t xml:space="preserve">.  As a result, </w:t>
      </w:r>
      <w:r w:rsidR="00487899">
        <w:t xml:space="preserve">the Commission would interfere </w:t>
      </w:r>
      <w:r w:rsidR="000823E2">
        <w:t>with and invade a field that is within the exclusive authority of FERC</w:t>
      </w:r>
      <w:r w:rsidR="00487899">
        <w:t xml:space="preserve">.  </w:t>
      </w:r>
    </w:p>
    <w:p w14:paraId="761D55E5" w14:textId="77777777" w:rsidR="003F58F7" w:rsidRDefault="00487899" w:rsidP="008305E2">
      <w:pPr>
        <w:spacing w:line="480" w:lineRule="auto"/>
      </w:pPr>
      <w:r>
        <w:tab/>
      </w:r>
      <w:r w:rsidR="00FD4CD3">
        <w:t>Duke cannot</w:t>
      </w:r>
      <w:r>
        <w:t xml:space="preserve"> sidestep </w:t>
      </w:r>
      <w:r w:rsidR="00FD4CD3">
        <w:t>federal law</w:t>
      </w:r>
      <w:r>
        <w:t xml:space="preserve"> by</w:t>
      </w:r>
      <w:r w:rsidR="007F3DA0">
        <w:t xml:space="preserve"> claiming </w:t>
      </w:r>
      <w:r w:rsidR="000823E2">
        <w:t>that the Commission’s authorization of the PSR would</w:t>
      </w:r>
      <w:r w:rsidR="007F3DA0">
        <w:t xml:space="preserve"> not affect the </w:t>
      </w:r>
      <w:r w:rsidR="007C31F6">
        <w:t>OVEC</w:t>
      </w:r>
      <w:r w:rsidR="007F3DA0">
        <w:t xml:space="preserve"> contract rate that assigns costs to </w:t>
      </w:r>
      <w:r w:rsidR="007C31F6">
        <w:t>Duke or alter the prices paid by PJM to Duke</w:t>
      </w:r>
      <w:r w:rsidR="000823E2">
        <w:t>.</w:t>
      </w:r>
      <w:r w:rsidR="00C912AA">
        <w:t xml:space="preserve"> </w:t>
      </w:r>
      <w:r w:rsidR="000823E2">
        <w:t xml:space="preserve"> </w:t>
      </w:r>
      <w:r w:rsidR="00C912AA">
        <w:t xml:space="preserve">Wathen </w:t>
      </w:r>
      <w:r w:rsidR="004669A9">
        <w:t>Testimony</w:t>
      </w:r>
      <w:r w:rsidR="00C912AA">
        <w:t xml:space="preserve"> at 6 and 11-16</w:t>
      </w:r>
      <w:r w:rsidR="00F95C9E">
        <w:t xml:space="preserve">.  </w:t>
      </w:r>
      <w:r w:rsidR="008969DC">
        <w:t xml:space="preserve">As in </w:t>
      </w:r>
      <w:r w:rsidR="008969DC" w:rsidRPr="00726A00">
        <w:rPr>
          <w:i/>
        </w:rPr>
        <w:t>Talen</w:t>
      </w:r>
      <w:r w:rsidR="008969DC">
        <w:t xml:space="preserve">, the retail revenue that would be produced </w:t>
      </w:r>
      <w:r w:rsidR="002E1293">
        <w:t xml:space="preserve">by the PSR would supplement the stream of revenue Duke would receive from PJM for the OVEC generation. </w:t>
      </w:r>
      <w:r w:rsidR="008969DC">
        <w:t xml:space="preserve"> </w:t>
      </w:r>
      <w:r w:rsidR="003F58F7">
        <w:t xml:space="preserve">“The </w:t>
      </w:r>
      <w:r w:rsidR="00C57906">
        <w:t>[Federal Power Act]</w:t>
      </w:r>
      <w:r w:rsidR="003F58F7">
        <w:t xml:space="preserve"> leaves no room either for direct state regulation of the prices of interstate wholesales or for regulation that would indirectly achieve the same result.”  </w:t>
      </w:r>
      <w:r w:rsidR="006B6B0D">
        <w:rPr>
          <w:i/>
        </w:rPr>
        <w:t xml:space="preserve">Talen, </w:t>
      </w:r>
      <w:r w:rsidR="006B6B0D">
        <w:t>136 S.Ct. at 1297</w:t>
      </w:r>
      <w:r w:rsidR="003F58F7">
        <w:t xml:space="preserve"> (c</w:t>
      </w:r>
      <w:r w:rsidR="003F58F7">
        <w:rPr>
          <w:i/>
        </w:rPr>
        <w:t>iting FERC v. EPSA</w:t>
      </w:r>
      <w:r w:rsidR="00686DE0">
        <w:t>, 577 U.S. __, __,slip op., at 26 (2016)</w:t>
      </w:r>
      <w:r w:rsidR="003F58F7">
        <w:t>).</w:t>
      </w:r>
    </w:p>
    <w:p w14:paraId="5E75262E" w14:textId="77777777" w:rsidR="00487899" w:rsidRDefault="00566E4E" w:rsidP="00566E4E">
      <w:pPr>
        <w:tabs>
          <w:tab w:val="left" w:pos="720"/>
        </w:tabs>
        <w:spacing w:line="480" w:lineRule="auto"/>
      </w:pPr>
      <w:r>
        <w:tab/>
      </w:r>
      <w:r w:rsidR="003F58F7">
        <w:t>No</w:t>
      </w:r>
      <w:r w:rsidR="00326C9B">
        <w:t>r</w:t>
      </w:r>
      <w:r w:rsidR="003F58F7">
        <w:t xml:space="preserve"> can Duke sidestep </w:t>
      </w:r>
      <w:r w:rsidR="00151D37">
        <w:t>federal law</w:t>
      </w:r>
      <w:r w:rsidR="003F58F7">
        <w:t xml:space="preserve"> by pointing to the alleged positive effects of the continuing operation of the OVEC facilities.  </w:t>
      </w:r>
      <w:r w:rsidR="00CD2591">
        <w:t>Wathen Testimony at 11-17</w:t>
      </w:r>
      <w:r w:rsidR="00D3292F" w:rsidRPr="00D3292F">
        <w:t xml:space="preserve"> </w:t>
      </w:r>
      <w:r w:rsidR="00D3292F">
        <w:t>(arguing that the rider will assist in maintaining employment at the plants, sustaining local tax revenue, and supporting coal-fired resources)</w:t>
      </w:r>
      <w:r w:rsidR="00CD2591">
        <w:t xml:space="preserve">.  </w:t>
      </w:r>
      <w:r w:rsidR="004B3989">
        <w:t>However legitimate</w:t>
      </w:r>
      <w:r w:rsidR="00FD4CD3">
        <w:t xml:space="preserve"> the positive effects </w:t>
      </w:r>
      <w:r w:rsidR="00625D24">
        <w:t>of</w:t>
      </w:r>
      <w:r w:rsidR="00FD4CD3">
        <w:t xml:space="preserve"> the rider may </w:t>
      </w:r>
      <w:r w:rsidR="00793B1D">
        <w:t>be</w:t>
      </w:r>
      <w:r w:rsidR="00216FEF">
        <w:t xml:space="preserve"> </w:t>
      </w:r>
      <w:r w:rsidR="004B3989">
        <w:t xml:space="preserve">(and each of these claims is likely to be contested if the Commission fails to dismiss the Application), </w:t>
      </w:r>
      <w:r w:rsidR="00216FEF">
        <w:t>the Commission may not disregard the rates established</w:t>
      </w:r>
      <w:r w:rsidR="00A258CB">
        <w:t xml:space="preserve"> by FERC and supplement them with above market revenue.  </w:t>
      </w:r>
      <w:r w:rsidR="006B6B0D">
        <w:rPr>
          <w:i/>
        </w:rPr>
        <w:t xml:space="preserve">Talen, </w:t>
      </w:r>
      <w:r w:rsidR="006B6B0D">
        <w:t xml:space="preserve">136 S.Ct. at </w:t>
      </w:r>
      <w:r w:rsidR="000E25B2">
        <w:t>1298</w:t>
      </w:r>
      <w:r w:rsidR="00CD2591">
        <w:t>.</w:t>
      </w:r>
      <w:r w:rsidR="007C74B5">
        <w:t xml:space="preserve"> </w:t>
      </w:r>
    </w:p>
    <w:p w14:paraId="4F469371" w14:textId="77777777" w:rsidR="004E5E5C" w:rsidRDefault="00BF76FD" w:rsidP="00D437D5">
      <w:pPr>
        <w:pStyle w:val="Heading2"/>
      </w:pPr>
      <w:bookmarkStart w:id="25" w:name="_Toc480385207"/>
      <w:bookmarkStart w:id="26" w:name="_Toc482013103"/>
      <w:r>
        <w:t>Duke</w:t>
      </w:r>
      <w:r w:rsidR="004E5E5C">
        <w:t xml:space="preserve"> seeks </w:t>
      </w:r>
      <w:r>
        <w:t xml:space="preserve">an </w:t>
      </w:r>
      <w:r w:rsidR="004E5E5C">
        <w:t xml:space="preserve">untimely rehearing of the </w:t>
      </w:r>
      <w:r w:rsidR="004E5E5C" w:rsidRPr="004B01FD">
        <w:rPr>
          <w:i/>
        </w:rPr>
        <w:t>Duke ESP III</w:t>
      </w:r>
      <w:r w:rsidR="004E5E5C">
        <w:t xml:space="preserve"> Opinion and Order</w:t>
      </w:r>
      <w:bookmarkEnd w:id="25"/>
      <w:bookmarkEnd w:id="26"/>
    </w:p>
    <w:p w14:paraId="619342FF" w14:textId="335E6576" w:rsidR="004E5E5C" w:rsidRDefault="004E5E5C" w:rsidP="004E5E5C">
      <w:pPr>
        <w:spacing w:line="480" w:lineRule="auto"/>
        <w:ind w:firstLine="720"/>
      </w:pPr>
      <w:r>
        <w:t>Under R.C. 4903.10, any party may seek rehearing with respect to any matter determined in a proceeding in a Commission order.  The application for rehearing</w:t>
      </w:r>
      <w:r w:rsidR="00263E7C">
        <w:t>, however,</w:t>
      </w:r>
      <w:r>
        <w:t xml:space="preserve"> must be filed within thirty days of</w:t>
      </w:r>
      <w:r w:rsidR="00C40B94">
        <w:t xml:space="preserve"> that order.  Failure to file a timely</w:t>
      </w:r>
      <w:r>
        <w:t xml:space="preserve"> application for rehearing bars any further “cause of action arising out of any order of the commission, other than in support of the order.”  R.C. 4903.10.</w:t>
      </w:r>
    </w:p>
    <w:p w14:paraId="697E0E85" w14:textId="242E92EB" w:rsidR="004E5E5C" w:rsidRDefault="004E5E5C" w:rsidP="004E5E5C">
      <w:pPr>
        <w:spacing w:line="480" w:lineRule="auto"/>
        <w:ind w:firstLine="720"/>
      </w:pPr>
      <w:r>
        <w:t xml:space="preserve">In the </w:t>
      </w:r>
      <w:r w:rsidRPr="001802B0">
        <w:rPr>
          <w:i/>
        </w:rPr>
        <w:t>Duke ESP III Case</w:t>
      </w:r>
      <w:r>
        <w:t xml:space="preserve">, the Commission approved a </w:t>
      </w:r>
      <w:r w:rsidR="00F41C4B">
        <w:t xml:space="preserve">placeholder </w:t>
      </w:r>
      <w:r>
        <w:t>PSR</w:t>
      </w:r>
      <w:r w:rsidR="00F41C4B">
        <w:t xml:space="preserve"> for a </w:t>
      </w:r>
      <w:r w:rsidR="00041581">
        <w:t>three-year</w:t>
      </w:r>
      <w:r w:rsidR="00F41C4B">
        <w:t xml:space="preserve"> term as part of Duke's ESP with zero costs being collected from customers</w:t>
      </w:r>
      <w:r>
        <w:t xml:space="preserve">, but denied Duke’s request to collect above-market generation-related costs it is incurring as a result of its interest in OVEC.  The Commission also specified the terms and conditions under which it would </w:t>
      </w:r>
      <w:r w:rsidR="00A6745E">
        <w:t xml:space="preserve">consider </w:t>
      </w:r>
      <w:r>
        <w:t xml:space="preserve">an application seeking to </w:t>
      </w:r>
      <w:r w:rsidR="00A6745E">
        <w:t>implement the rider</w:t>
      </w:r>
      <w:r>
        <w:t xml:space="preserve">.  </w:t>
      </w:r>
      <w:r w:rsidRPr="00D66A18">
        <w:rPr>
          <w:i/>
        </w:rPr>
        <w:t>Duke ESP III</w:t>
      </w:r>
      <w:r w:rsidR="00D66A18">
        <w:rPr>
          <w:i/>
        </w:rPr>
        <w:t>,</w:t>
      </w:r>
      <w:r>
        <w:t xml:space="preserve"> Opinion and Order at 46-47.</w:t>
      </w:r>
      <w:r w:rsidR="00F41C4B">
        <w:t xml:space="preserve"> </w:t>
      </w:r>
    </w:p>
    <w:p w14:paraId="23FFF503" w14:textId="4583215C" w:rsidR="004E5E5C" w:rsidRDefault="004E5E5C" w:rsidP="004E5E5C">
      <w:pPr>
        <w:spacing w:line="480" w:lineRule="auto"/>
        <w:ind w:firstLine="720"/>
      </w:pPr>
      <w:r>
        <w:t xml:space="preserve">Duke sought rehearing of the Commission’s Opinion and Order in the </w:t>
      </w:r>
      <w:r w:rsidR="00263E7C" w:rsidRPr="001802B0">
        <w:rPr>
          <w:i/>
        </w:rPr>
        <w:t xml:space="preserve">Duke </w:t>
      </w:r>
      <w:r w:rsidRPr="001802B0">
        <w:rPr>
          <w:i/>
        </w:rPr>
        <w:t>ESP III Case</w:t>
      </w:r>
      <w:r>
        <w:t xml:space="preserve">.  In its application for rehearing, it presented two assignments of error concerning the PSR.  The first complained that the Commission’s decision to set the rider at zero “prohibits [Duke] from offering its customers a hedge against volatile wholesale prices.”  </w:t>
      </w:r>
      <w:r w:rsidR="003B6D13">
        <w:rPr>
          <w:i/>
        </w:rPr>
        <w:t>Duke ESP III</w:t>
      </w:r>
      <w:r>
        <w:t xml:space="preserve">, Application for Rehearing of Duke Energy Ohio, Inc. at 2 (May 4, 2015).  The second complained that setting the rider at zero was unreasonable because there was “sufficient record … available” to support a charge.  </w:t>
      </w:r>
      <w:r w:rsidRPr="00263E7C">
        <w:rPr>
          <w:i/>
        </w:rPr>
        <w:t>Id</w:t>
      </w:r>
      <w:r>
        <w:t xml:space="preserve">.  Duke did not seek rehearing concerning the legal authority on which the Commission could approve the PSR; it did not </w:t>
      </w:r>
      <w:r w:rsidR="0084192A">
        <w:t xml:space="preserve">seek </w:t>
      </w:r>
      <w:r>
        <w:t>rehearing of the</w:t>
      </w:r>
      <w:r w:rsidR="00F41C4B">
        <w:t xml:space="preserve"> length </w:t>
      </w:r>
      <w:r>
        <w:t>of the PSR; and it did not seek rehearing of the requirement that the PSR be severable</w:t>
      </w:r>
      <w:r w:rsidR="00F41C4B">
        <w:t xml:space="preserve"> from the ESP</w:t>
      </w:r>
      <w:r>
        <w:t xml:space="preserve">.  In this Application, however, it seeks </w:t>
      </w:r>
      <w:r w:rsidR="0084192A">
        <w:t>all</w:t>
      </w:r>
      <w:r>
        <w:t xml:space="preserve"> three modifications.  Application at 2, 7, and 9.</w:t>
      </w:r>
    </w:p>
    <w:p w14:paraId="2D672EC3" w14:textId="77777777" w:rsidR="004E5E5C" w:rsidRDefault="004E5E5C" w:rsidP="004E5E5C">
      <w:pPr>
        <w:spacing w:line="480" w:lineRule="auto"/>
        <w:ind w:firstLine="720"/>
      </w:pPr>
      <w:r>
        <w:t xml:space="preserve">Duke’s attempt to rewrite the terms and conditions of the </w:t>
      </w:r>
      <w:r w:rsidRPr="004B01FD">
        <w:rPr>
          <w:i/>
        </w:rPr>
        <w:t>Duke ESP III</w:t>
      </w:r>
      <w:r>
        <w:t xml:space="preserve"> Opinion and Order is an untimely application for rehearing, and </w:t>
      </w:r>
      <w:r w:rsidR="002E2921">
        <w:t>another</w:t>
      </w:r>
      <w:r>
        <w:t xml:space="preserve"> example of Duke’s efforts to rewrite prior Commission orders affecting it.  </w:t>
      </w:r>
      <w:r w:rsidR="00610B30">
        <w:t>Previously</w:t>
      </w:r>
      <w:r w:rsidR="002E2921">
        <w:t xml:space="preserve">, </w:t>
      </w:r>
      <w:r>
        <w:t xml:space="preserve">Duke filed </w:t>
      </w:r>
      <w:r w:rsidR="002E2921">
        <w:t>an</w:t>
      </w:r>
      <w:r>
        <w:t xml:space="preserve"> application for increased compensation for capacity service</w:t>
      </w:r>
      <w:r w:rsidR="002E2921" w:rsidRPr="002E2921">
        <w:t xml:space="preserve"> </w:t>
      </w:r>
      <w:r w:rsidR="002E2921">
        <w:t xml:space="preserve">after the Commission’s decision approving a price for capacity used to serve </w:t>
      </w:r>
      <w:r w:rsidR="00464A75">
        <w:t>competitive retail electric service</w:t>
      </w:r>
      <w:r w:rsidR="002E2921">
        <w:t xml:space="preserve"> providers for AEP-Ohio</w:t>
      </w:r>
      <w:r>
        <w:t xml:space="preserve">.  </w:t>
      </w:r>
      <w:r w:rsidRPr="00263E7C">
        <w:rPr>
          <w:i/>
        </w:rPr>
        <w:t>In the Matter of the Application of Duke Energy Ohio, Inc., for Establishment of a Charge Pursuant to Section 4909.18, Revised Code</w:t>
      </w:r>
      <w:r>
        <w:t xml:space="preserve">, Case Nos. 12-2400-EL-UNC, </w:t>
      </w:r>
      <w:r w:rsidRPr="001802B0">
        <w:rPr>
          <w:i/>
        </w:rPr>
        <w:t>et al</w:t>
      </w:r>
      <w:r>
        <w:t xml:space="preserve">., Application (Aug. 29, 2012).  </w:t>
      </w:r>
      <w:r w:rsidR="0084192A">
        <w:t xml:space="preserve">Several parties moved to dismiss the application based on the claim that </w:t>
      </w:r>
      <w:r>
        <w:t xml:space="preserve">the application was an untimely application for rehearing of the Commission’s order approving a prior ESP settlement.  </w:t>
      </w:r>
      <w:r w:rsidR="00A90A8F">
        <w:t xml:space="preserve">The Commission agreed.  </w:t>
      </w:r>
      <w:r w:rsidR="00464A75">
        <w:t xml:space="preserve">Finding </w:t>
      </w:r>
      <w:r w:rsidR="00A90A8F">
        <w:t>that</w:t>
      </w:r>
      <w:r>
        <w:t xml:space="preserve"> Duke had </w:t>
      </w:r>
      <w:r w:rsidR="00464A75">
        <w:t xml:space="preserve">settled </w:t>
      </w:r>
      <w:r>
        <w:t xml:space="preserve">the ESP that set capacity compensation with full knowledge </w:t>
      </w:r>
      <w:r w:rsidR="004E24C5">
        <w:t xml:space="preserve">of </w:t>
      </w:r>
      <w:r>
        <w:t xml:space="preserve">and involvement in </w:t>
      </w:r>
      <w:r w:rsidR="009069D9">
        <w:t xml:space="preserve">other </w:t>
      </w:r>
      <w:r>
        <w:t xml:space="preserve">proceedings seeking a cost-based capacity charge, the Commission </w:t>
      </w:r>
      <w:r w:rsidR="009069D9">
        <w:t>held</w:t>
      </w:r>
      <w:r>
        <w:t xml:space="preserve"> “that Duke’s application should be denied and dismissed as it is a late-filed application for rehearing of our November 22, 2011 Order in the Duke ESP Case, in contravention of the requirements mandated by R.C. 4903.10.”  </w:t>
      </w:r>
      <w:r w:rsidRPr="001802B0">
        <w:rPr>
          <w:i/>
        </w:rPr>
        <w:t>Id</w:t>
      </w:r>
      <w:r>
        <w:t xml:space="preserve">., Opinion and Order at 32 (Feb 13, 2014). </w:t>
      </w:r>
    </w:p>
    <w:p w14:paraId="6A79AAEE" w14:textId="0E9C72AE" w:rsidR="004E5E5C" w:rsidRDefault="002077DE" w:rsidP="004E5E5C">
      <w:pPr>
        <w:spacing w:line="480" w:lineRule="auto"/>
        <w:ind w:firstLine="720"/>
      </w:pPr>
      <w:r>
        <w:t xml:space="preserve">The Application in this case suffers from the same infirmity that led to the </w:t>
      </w:r>
      <w:r w:rsidR="00E3670A">
        <w:t>prior case’s dismissal</w:t>
      </w:r>
      <w:r w:rsidR="004E5E5C">
        <w:t xml:space="preserve">.  In the </w:t>
      </w:r>
      <w:r w:rsidR="004E5E5C" w:rsidRPr="009069D9">
        <w:rPr>
          <w:i/>
        </w:rPr>
        <w:t>Duke ESP III Case</w:t>
      </w:r>
      <w:r w:rsidR="004E5E5C">
        <w:t xml:space="preserve">, Duke </w:t>
      </w:r>
      <w:r w:rsidR="005719A8">
        <w:t>sought a</w:t>
      </w:r>
      <w:r w:rsidR="004524BB">
        <w:t xml:space="preserve"> long term PSR but </w:t>
      </w:r>
      <w:r w:rsidR="004E5E5C">
        <w:t xml:space="preserve">received authorization of a PSR for the </w:t>
      </w:r>
      <w:r w:rsidR="00041581">
        <w:t>three-year</w:t>
      </w:r>
      <w:r w:rsidR="004524BB">
        <w:t xml:space="preserve"> </w:t>
      </w:r>
      <w:r w:rsidR="004E5E5C">
        <w:t xml:space="preserve">term of the ESP under R.C. 4928.143(B)(2)(d), conditioned on the severability of the rider.  Through its application for rehearing, it did not seek to alter the </w:t>
      </w:r>
      <w:r w:rsidR="00F5259F">
        <w:t xml:space="preserve">legal </w:t>
      </w:r>
      <w:r w:rsidR="004E5E5C">
        <w:t>basis for the rider, the</w:t>
      </w:r>
      <w:r w:rsidR="004524BB">
        <w:t xml:space="preserve"> </w:t>
      </w:r>
      <w:r w:rsidR="00E47D58">
        <w:t>term</w:t>
      </w:r>
      <w:r w:rsidR="004524BB">
        <w:t xml:space="preserve"> </w:t>
      </w:r>
      <w:r w:rsidR="004E5E5C">
        <w:t xml:space="preserve">of the rider, or the requirement that the rider be severable.  In this Application, however, it in effect seeks reconsideration, or rehearing, of </w:t>
      </w:r>
      <w:r w:rsidR="00BE60AF">
        <w:t xml:space="preserve">both </w:t>
      </w:r>
      <w:r w:rsidR="004E5E5C">
        <w:t xml:space="preserve">the legal basis and the terms and conditions of the rider.  </w:t>
      </w:r>
      <w:r w:rsidR="007E35C6">
        <w:t>It is too late for such reconsideration.  Because t</w:t>
      </w:r>
      <w:r w:rsidR="004E5E5C">
        <w:t>he Application is a late-filed application for rehearing</w:t>
      </w:r>
      <w:r w:rsidR="00214856">
        <w:t>, the relief that Duke seeks is barred</w:t>
      </w:r>
      <w:r w:rsidR="00214856" w:rsidRPr="00214856">
        <w:t xml:space="preserve"> </w:t>
      </w:r>
      <w:r w:rsidR="00214856">
        <w:t>by R.C. 4903.10</w:t>
      </w:r>
      <w:r w:rsidR="004E5E5C">
        <w:t>.</w:t>
      </w:r>
    </w:p>
    <w:p w14:paraId="589F6039" w14:textId="77777777" w:rsidR="00793B1D" w:rsidRDefault="005C53ED" w:rsidP="00D437D5">
      <w:pPr>
        <w:pStyle w:val="Heading2"/>
      </w:pPr>
      <w:bookmarkStart w:id="27" w:name="_Toc480385208"/>
      <w:bookmarkStart w:id="28" w:name="_Toc482013104"/>
      <w:r>
        <w:t xml:space="preserve">Because the Application and supporting materials fail to </w:t>
      </w:r>
      <w:r w:rsidR="00FB7411">
        <w:t xml:space="preserve">demonstrate </w:t>
      </w:r>
      <w:r>
        <w:t>a basis for relief from the Commission, t</w:t>
      </w:r>
      <w:r w:rsidR="00793B1D">
        <w:t>he Commission should dismiss the Application</w:t>
      </w:r>
      <w:bookmarkEnd w:id="27"/>
      <w:bookmarkEnd w:id="28"/>
    </w:p>
    <w:p w14:paraId="753B5CE5" w14:textId="77777777" w:rsidR="00793B1D" w:rsidRDefault="00566E4E" w:rsidP="00566E4E">
      <w:pPr>
        <w:tabs>
          <w:tab w:val="left" w:pos="720"/>
        </w:tabs>
        <w:spacing w:line="480" w:lineRule="auto"/>
      </w:pPr>
      <w:r>
        <w:tab/>
      </w:r>
      <w:r w:rsidR="00793B1D">
        <w:t xml:space="preserve">Duke seeks </w:t>
      </w:r>
      <w:r w:rsidR="009B3D48">
        <w:t>a</w:t>
      </w:r>
      <w:r w:rsidR="007738A4">
        <w:t xml:space="preserve">uthorization </w:t>
      </w:r>
      <w:r w:rsidR="005458D8">
        <w:t>to shift the price risk associated with its continued interest in OVEC to retail customers</w:t>
      </w:r>
      <w:r w:rsidR="006863A7">
        <w:t xml:space="preserve">.  </w:t>
      </w:r>
      <w:r w:rsidR="007738A4">
        <w:t xml:space="preserve">As the legal basis for </w:t>
      </w:r>
      <w:r w:rsidR="00E62DDE">
        <w:t xml:space="preserve">this transfer </w:t>
      </w:r>
      <w:r w:rsidR="005458D8">
        <w:t>of risk to</w:t>
      </w:r>
      <w:r w:rsidR="00E62DDE">
        <w:t xml:space="preserve"> customers</w:t>
      </w:r>
      <w:r w:rsidR="007738A4">
        <w:t xml:space="preserve">, </w:t>
      </w:r>
      <w:r w:rsidR="005838E1">
        <w:t xml:space="preserve">Duke invokes the Commission’s general jurisdiction and traditional rate making authority.  </w:t>
      </w:r>
      <w:r w:rsidR="005865BE">
        <w:t xml:space="preserve">The Application is both an untimely application for rehearing and unwarranted </w:t>
      </w:r>
      <w:r w:rsidR="003D5C34">
        <w:t xml:space="preserve">under Ohio law.  </w:t>
      </w:r>
      <w:r w:rsidR="00B15B80">
        <w:t xml:space="preserve">The Commission </w:t>
      </w:r>
      <w:r w:rsidR="00024E95">
        <w:t xml:space="preserve">has no authority to </w:t>
      </w:r>
      <w:r w:rsidR="005865BE">
        <w:t>approve such a rider</w:t>
      </w:r>
      <w:r w:rsidR="00024E95">
        <w:t xml:space="preserve"> </w:t>
      </w:r>
      <w:r w:rsidR="00B15B80">
        <w:t xml:space="preserve">based on either its general jurisdiction or its traditional rate authority.  R.C. </w:t>
      </w:r>
      <w:r w:rsidR="00024E95">
        <w:t xml:space="preserve">4905.02, 4905.03, and </w:t>
      </w:r>
      <w:r w:rsidR="00B15B80">
        <w:t>4928.05(A)(1)</w:t>
      </w:r>
      <w:r w:rsidR="005838E1">
        <w:t>.</w:t>
      </w:r>
      <w:r w:rsidR="00B15B80">
        <w:t xml:space="preserve">  Moreover, the </w:t>
      </w:r>
      <w:r w:rsidR="00B43CD8">
        <w:t>Commission may not authorize</w:t>
      </w:r>
      <w:r w:rsidR="009E6973">
        <w:t xml:space="preserve"> an</w:t>
      </w:r>
      <w:r w:rsidR="00CC63ED">
        <w:t xml:space="preserve"> unlawful subsidy of Duke’s interest in generation facilities</w:t>
      </w:r>
      <w:r w:rsidR="000E203E">
        <w:t xml:space="preserve"> or</w:t>
      </w:r>
      <w:r w:rsidR="00B43CD8">
        <w:t xml:space="preserve"> the receipt of transition revenue or its equivalent</w:t>
      </w:r>
      <w:r w:rsidR="000E203E">
        <w:t>.  R.C. 4928.02(H)</w:t>
      </w:r>
      <w:r w:rsidR="00DE451C">
        <w:t xml:space="preserve"> and</w:t>
      </w:r>
      <w:r w:rsidR="000E203E">
        <w:t xml:space="preserve"> 4928.38.  The Commission also may not</w:t>
      </w:r>
      <w:r w:rsidR="00B43CD8">
        <w:t xml:space="preserve"> directly or indirectly interfere with federally-approved wholesale rates for generation service</w:t>
      </w:r>
      <w:r w:rsidR="0016146F">
        <w:t>s.  U.S. Const., Art. VI, cl. 2</w:t>
      </w:r>
      <w:r w:rsidR="00B43CD8">
        <w:t>.</w:t>
      </w:r>
      <w:r w:rsidR="00CC63ED">
        <w:t xml:space="preserve">  </w:t>
      </w:r>
      <w:r w:rsidR="00EC27C5">
        <w:t>Because Duke</w:t>
      </w:r>
      <w:r w:rsidR="00EC27C5" w:rsidRPr="00CE2C12">
        <w:t xml:space="preserve"> </w:t>
      </w:r>
      <w:r w:rsidR="00EC27C5">
        <w:t xml:space="preserve">cannot </w:t>
      </w:r>
      <w:r w:rsidR="00EC27C5" w:rsidRPr="00CE2C12">
        <w:t xml:space="preserve">demonstrate that the Commission </w:t>
      </w:r>
      <w:r w:rsidR="00EC27C5">
        <w:t>has</w:t>
      </w:r>
      <w:r w:rsidR="00EC27C5" w:rsidRPr="00CE2C12">
        <w:t xml:space="preserve"> authority to grant the relief</w:t>
      </w:r>
      <w:r w:rsidR="00EC27C5">
        <w:t xml:space="preserve"> Duke has requested</w:t>
      </w:r>
      <w:r w:rsidR="007D1602">
        <w:t xml:space="preserve">, the Commission should </w:t>
      </w:r>
      <w:r w:rsidR="007D1602" w:rsidRPr="00CE2C12">
        <w:t xml:space="preserve">dismiss </w:t>
      </w:r>
      <w:r w:rsidR="007D1602">
        <w:t>the</w:t>
      </w:r>
      <w:r w:rsidR="009E6973">
        <w:t xml:space="preserve"> A</w:t>
      </w:r>
      <w:r w:rsidR="007D1602" w:rsidRPr="00CE2C12">
        <w:t>pplication</w:t>
      </w:r>
      <w:r w:rsidR="007D1602">
        <w:t>.</w:t>
      </w:r>
    </w:p>
    <w:p w14:paraId="0167B681" w14:textId="77777777" w:rsidR="00A25637" w:rsidRDefault="00A25637" w:rsidP="00D437D5">
      <w:pPr>
        <w:pStyle w:val="Heading1"/>
      </w:pPr>
      <w:bookmarkStart w:id="29" w:name="_Toc480385209"/>
      <w:bookmarkStart w:id="30" w:name="_Toc482013105"/>
      <w:r>
        <w:t>Duke’s Application should be stayed until the Commission and the Supreme Court of Ohio have reviewed the Commission’s order authorizing the PSR as a term of Duke’s ESP</w:t>
      </w:r>
      <w:bookmarkEnd w:id="29"/>
      <w:bookmarkEnd w:id="30"/>
    </w:p>
    <w:p w14:paraId="02D12957" w14:textId="77777777" w:rsidR="004F5E5D" w:rsidRDefault="00566E4E" w:rsidP="00566E4E">
      <w:pPr>
        <w:tabs>
          <w:tab w:val="left" w:pos="720"/>
        </w:tabs>
        <w:spacing w:line="480" w:lineRule="auto"/>
      </w:pPr>
      <w:r>
        <w:tab/>
      </w:r>
      <w:r w:rsidR="004F5E5D">
        <w:t>For the convenience of the Commission and the parties, the Commission may stay a proceeding</w:t>
      </w:r>
      <w:r w:rsidR="00B532DF">
        <w:t xml:space="preserve"> while matters affecting the outcome of the proceeding are </w:t>
      </w:r>
      <w:r w:rsidR="00FF5419">
        <w:t xml:space="preserve">the </w:t>
      </w:r>
      <w:r w:rsidR="00B532DF">
        <w:t xml:space="preserve">subject </w:t>
      </w:r>
      <w:r w:rsidR="00FF5419">
        <w:t xml:space="preserve">of </w:t>
      </w:r>
      <w:r w:rsidR="00B532DF">
        <w:t xml:space="preserve">an application for rehearing </w:t>
      </w:r>
      <w:r w:rsidR="00742136">
        <w:t xml:space="preserve">in a </w:t>
      </w:r>
      <w:r w:rsidR="00B532DF">
        <w:t>related proceeding</w:t>
      </w:r>
      <w:r w:rsidR="004F5E5D">
        <w:t xml:space="preserve">. </w:t>
      </w:r>
      <w:r w:rsidR="00742136">
        <w:t xml:space="preserve"> </w:t>
      </w:r>
      <w:r w:rsidR="00B532DF" w:rsidRPr="00352ABD">
        <w:rPr>
          <w:i/>
        </w:rPr>
        <w:t>In the Matter of the Application of Ohio Edison Company to Amend its Residential Tariff Nos. 10, 12</w:t>
      </w:r>
      <w:r w:rsidR="00B532DF">
        <w:t>,</w:t>
      </w:r>
      <w:r w:rsidR="00805D7E">
        <w:t xml:space="preserve"> and 17</w:t>
      </w:r>
      <w:r w:rsidR="00861366">
        <w:t>,</w:t>
      </w:r>
      <w:r w:rsidR="00B532DF">
        <w:t xml:space="preserve"> 1990 Ohio PUC LEXIS 974 (Aug. 30, 1990)</w:t>
      </w:r>
      <w:r w:rsidR="00352ABD">
        <w:t xml:space="preserve"> (“</w:t>
      </w:r>
      <w:r w:rsidR="00352ABD" w:rsidRPr="00352ABD">
        <w:rPr>
          <w:i/>
        </w:rPr>
        <w:t>Edison Tariff Case</w:t>
      </w:r>
      <w:r w:rsidR="00352ABD">
        <w:t>”)</w:t>
      </w:r>
      <w:r w:rsidR="00B532DF">
        <w:t xml:space="preserve">.  The stay </w:t>
      </w:r>
      <w:r w:rsidR="00742136">
        <w:t>affords</w:t>
      </w:r>
      <w:r w:rsidR="00B532DF">
        <w:t xml:space="preserve"> </w:t>
      </w:r>
      <w:r w:rsidR="00742136">
        <w:t>the C</w:t>
      </w:r>
      <w:r w:rsidR="00B532DF">
        <w:t xml:space="preserve">ommission the opportunity “to re-evaluate” its decision in the related case “prior to </w:t>
      </w:r>
      <w:r w:rsidR="00D864E0">
        <w:t xml:space="preserve">the staff’s </w:t>
      </w:r>
      <w:r w:rsidR="00B532DF">
        <w:t>devoting what might prove to be wasted or unnecessary</w:t>
      </w:r>
      <w:r w:rsidR="00B532DF" w:rsidRPr="00B532DF">
        <w:t xml:space="preserve"> </w:t>
      </w:r>
      <w:r w:rsidR="00B532DF">
        <w:t>time and effort in reviewing [an] application in this proceeding</w:t>
      </w:r>
      <w:r w:rsidR="004F5E5D">
        <w:t>.</w:t>
      </w:r>
      <w:r w:rsidR="00B532DF">
        <w:t xml:space="preserve">”  </w:t>
      </w:r>
      <w:r w:rsidR="00B532DF" w:rsidRPr="00AE720A">
        <w:rPr>
          <w:i/>
        </w:rPr>
        <w:t>Id</w:t>
      </w:r>
      <w:r w:rsidR="00B532DF">
        <w:t xml:space="preserve">. at *5-*6.  A stay is particularly appropriate if the prior case and the case in which a stay is sought present related issues and common parties.  </w:t>
      </w:r>
      <w:r w:rsidR="00727CE1" w:rsidRPr="00727CE1">
        <w:rPr>
          <w:i/>
        </w:rPr>
        <w:t>In the Matter of the Complaint of Columbus Southern Power Company v. Consolidated Electric Cooperative</w:t>
      </w:r>
      <w:r w:rsidR="00727CE1">
        <w:t xml:space="preserve">, Inc., 2007 Ohio PUC LEXIS 372 </w:t>
      </w:r>
      <w:r w:rsidR="00864783">
        <w:t xml:space="preserve">at *1 </w:t>
      </w:r>
      <w:r w:rsidR="00727CE1">
        <w:t xml:space="preserve">(May 16, 2007); </w:t>
      </w:r>
      <w:r w:rsidR="00B532DF" w:rsidRPr="00727CE1">
        <w:rPr>
          <w:i/>
        </w:rPr>
        <w:t>In the Matter of the Complaint of Pravin V. Shah v. The Cleveland Electric Illuminating Company</w:t>
      </w:r>
      <w:r w:rsidR="00B532DF">
        <w:t xml:space="preserve">, 2004 Ohio PUC LEXIS 252 at *1-*2 (July 21, 2004); </w:t>
      </w:r>
      <w:r w:rsidR="00B532DF" w:rsidRPr="00727CE1">
        <w:rPr>
          <w:i/>
        </w:rPr>
        <w:t>In the Matter of the Complaint of The Ohio Home Builders Association and Medina Builders, LLC v. Ohio Edison Company, The Cleveland Electric Illuminating Company, and The Toledo Edison Company</w:t>
      </w:r>
      <w:r w:rsidR="00727CE1">
        <w:t xml:space="preserve">, 2001 Ohio PUC LEXIS 917 </w:t>
      </w:r>
      <w:r w:rsidR="00864783">
        <w:t xml:space="preserve">at *2 </w:t>
      </w:r>
      <w:r w:rsidR="00727CE1">
        <w:t>(Dec. 18, 2001).</w:t>
      </w:r>
    </w:p>
    <w:p w14:paraId="2D2BA41B" w14:textId="75E51BAF" w:rsidR="00133F7C" w:rsidRDefault="00566E4E" w:rsidP="00566E4E">
      <w:pPr>
        <w:tabs>
          <w:tab w:val="left" w:pos="720"/>
        </w:tabs>
        <w:spacing w:line="480" w:lineRule="auto"/>
      </w:pPr>
      <w:r>
        <w:tab/>
      </w:r>
      <w:r w:rsidR="00727CE1">
        <w:t xml:space="preserve">The issues and parties in this proceeding are common with </w:t>
      </w:r>
      <w:r w:rsidR="003D5C34">
        <w:t xml:space="preserve">those </w:t>
      </w:r>
      <w:r w:rsidR="00727CE1">
        <w:t xml:space="preserve">in the </w:t>
      </w:r>
      <w:r w:rsidR="00E416F2" w:rsidRPr="00AE720A">
        <w:rPr>
          <w:i/>
        </w:rPr>
        <w:t>Duke ESP III</w:t>
      </w:r>
      <w:r w:rsidR="00727CE1" w:rsidRPr="00AE720A">
        <w:rPr>
          <w:i/>
        </w:rPr>
        <w:t xml:space="preserve"> </w:t>
      </w:r>
      <w:r w:rsidR="005701F4" w:rsidRPr="00AE720A">
        <w:rPr>
          <w:i/>
        </w:rPr>
        <w:t>Case</w:t>
      </w:r>
      <w:r w:rsidR="00727CE1">
        <w:t xml:space="preserve">.  In this case, Duke is seeking, again, to implement the PSR to </w:t>
      </w:r>
      <w:r w:rsidR="006B0D2F">
        <w:t>t</w:t>
      </w:r>
      <w:r w:rsidR="003A1928">
        <w:t>ransfer the price risk of OVEC to its retail customers</w:t>
      </w:r>
      <w:r w:rsidR="00727CE1">
        <w:t xml:space="preserve">.  Once again, </w:t>
      </w:r>
      <w:r w:rsidR="00573E19">
        <w:t xml:space="preserve">the </w:t>
      </w:r>
      <w:r w:rsidR="00A37515">
        <w:t>Joint Movants</w:t>
      </w:r>
      <w:r w:rsidR="00573E19">
        <w:t xml:space="preserve"> are</w:t>
      </w:r>
      <w:r w:rsidR="00727CE1">
        <w:t xml:space="preserve"> contesting Duke’s efforts to transfer </w:t>
      </w:r>
      <w:r w:rsidR="00ED6404">
        <w:t xml:space="preserve">that </w:t>
      </w:r>
      <w:r w:rsidR="00727CE1">
        <w:t xml:space="preserve">risk.  </w:t>
      </w:r>
      <w:r w:rsidR="00352ABD">
        <w:t>At issue</w:t>
      </w:r>
      <w:r w:rsidR="00ED6404">
        <w:t xml:space="preserve"> in both cases</w:t>
      </w:r>
      <w:r w:rsidR="00352ABD">
        <w:t xml:space="preserve"> </w:t>
      </w:r>
      <w:r w:rsidR="00545FC3">
        <w:t>is</w:t>
      </w:r>
      <w:r w:rsidR="00352ABD">
        <w:t xml:space="preserve"> the lawfulness of the </w:t>
      </w:r>
      <w:r w:rsidR="00545FC3">
        <w:t xml:space="preserve">authorization of </w:t>
      </w:r>
      <w:r w:rsidR="00573E19">
        <w:t xml:space="preserve">a </w:t>
      </w:r>
      <w:r w:rsidR="00545FC3">
        <w:t xml:space="preserve">rate to collect above-market </w:t>
      </w:r>
      <w:r w:rsidR="00133F7C">
        <w:t xml:space="preserve">generation-related </w:t>
      </w:r>
      <w:r w:rsidR="00545FC3">
        <w:t xml:space="preserve">wholesale </w:t>
      </w:r>
      <w:r w:rsidR="00133F7C">
        <w:t>costs</w:t>
      </w:r>
      <w:r w:rsidR="00352ABD">
        <w:t xml:space="preserve"> under both state and federal law.  </w:t>
      </w:r>
    </w:p>
    <w:p w14:paraId="7E43794E" w14:textId="77777777" w:rsidR="0025169A" w:rsidRDefault="00133F7C" w:rsidP="00566E4E">
      <w:pPr>
        <w:tabs>
          <w:tab w:val="left" w:pos="720"/>
        </w:tabs>
        <w:spacing w:line="480" w:lineRule="auto"/>
      </w:pPr>
      <w:r>
        <w:tab/>
      </w:r>
      <w:r w:rsidR="005F3FBA">
        <w:t xml:space="preserve">The </w:t>
      </w:r>
      <w:r w:rsidR="005F3FBA" w:rsidRPr="00430F77">
        <w:rPr>
          <w:i/>
        </w:rPr>
        <w:t>Duke ESP III Case</w:t>
      </w:r>
      <w:r w:rsidR="005F3FBA">
        <w:t xml:space="preserve"> remains pending under an entry granting rehearing.  </w:t>
      </w:r>
      <w:r w:rsidR="00506150">
        <w:t xml:space="preserve">In the interim since the Commission granted rehearing, moreover, </w:t>
      </w:r>
      <w:r w:rsidR="00727CE1">
        <w:t>the Supreme Court</w:t>
      </w:r>
      <w:r w:rsidR="00352ABD">
        <w:t xml:space="preserve"> of</w:t>
      </w:r>
      <w:r w:rsidR="00727CE1">
        <w:t xml:space="preserve"> </w:t>
      </w:r>
      <w:r w:rsidR="00506150">
        <w:t>Ohio has twice</w:t>
      </w:r>
      <w:r w:rsidR="00352ABD">
        <w:t xml:space="preserve"> </w:t>
      </w:r>
      <w:r w:rsidR="00506150">
        <w:t>reversed</w:t>
      </w:r>
      <w:r w:rsidR="00727CE1">
        <w:t xml:space="preserve"> the Commission’s attempts to authorize electric distribution utilities to collect above-market </w:t>
      </w:r>
      <w:r w:rsidR="005D081D">
        <w:t>generation-</w:t>
      </w:r>
      <w:r w:rsidR="00727CE1">
        <w:t xml:space="preserve">related revenue from retail customers.  </w:t>
      </w:r>
    </w:p>
    <w:p w14:paraId="7D91A08D" w14:textId="1013D399" w:rsidR="004F5E5D" w:rsidRDefault="00566E4E" w:rsidP="00566E4E">
      <w:pPr>
        <w:tabs>
          <w:tab w:val="left" w:pos="720"/>
        </w:tabs>
        <w:spacing w:line="480" w:lineRule="auto"/>
        <w:rPr>
          <w:i/>
        </w:rPr>
      </w:pPr>
      <w:r>
        <w:tab/>
      </w:r>
      <w:r w:rsidR="0025169A">
        <w:t xml:space="preserve">Under these circumstances, a decision reversing </w:t>
      </w:r>
      <w:r w:rsidR="00AF6DEA">
        <w:t xml:space="preserve">the authorization of </w:t>
      </w:r>
      <w:r w:rsidR="0025169A">
        <w:t xml:space="preserve">the PSR </w:t>
      </w:r>
      <w:r w:rsidR="00AF6DEA">
        <w:t xml:space="preserve">in the </w:t>
      </w:r>
      <w:r w:rsidR="00AF6DEA" w:rsidRPr="00AF6DEA">
        <w:rPr>
          <w:i/>
        </w:rPr>
        <w:t>Duke ESP III Case</w:t>
      </w:r>
      <w:r w:rsidR="00AF6DEA">
        <w:t xml:space="preserve"> </w:t>
      </w:r>
      <w:r w:rsidR="0025169A">
        <w:t xml:space="preserve">may also end Duke’s ambitions in this case.  </w:t>
      </w:r>
      <w:r w:rsidR="00727CE1">
        <w:t>At the very least, the Commission’</w:t>
      </w:r>
      <w:r w:rsidR="00352ABD">
        <w:t>s entry on rehearing</w:t>
      </w:r>
      <w:r w:rsidR="00727CE1">
        <w:t xml:space="preserve"> </w:t>
      </w:r>
      <w:r w:rsidR="00742136">
        <w:t xml:space="preserve">in the ESP case </w:t>
      </w:r>
      <w:r w:rsidR="00352ABD">
        <w:t>may</w:t>
      </w:r>
      <w:r w:rsidR="00727CE1">
        <w:t xml:space="preserve"> serve to frame the issues that parties and the Commission Staff should </w:t>
      </w:r>
      <w:r w:rsidR="00352ABD">
        <w:t>address</w:t>
      </w:r>
      <w:r w:rsidR="00727CE1">
        <w:t xml:space="preserve"> in this </w:t>
      </w:r>
      <w:r w:rsidR="00352ABD">
        <w:t xml:space="preserve">proceeding.  </w:t>
      </w:r>
      <w:r w:rsidR="00D7289E">
        <w:t>Accordingly</w:t>
      </w:r>
      <w:r w:rsidR="00352ABD">
        <w:t>, the Commission should stay this proceeding to prevent wasted time and effort</w:t>
      </w:r>
      <w:r w:rsidR="008851E8">
        <w:t xml:space="preserve"> if it does not dismiss the Application</w:t>
      </w:r>
      <w:r w:rsidR="00352ABD">
        <w:t xml:space="preserve">.  </w:t>
      </w:r>
      <w:r w:rsidR="00352ABD" w:rsidRPr="00352ABD">
        <w:rPr>
          <w:i/>
        </w:rPr>
        <w:t>Edison Tariff Case</w:t>
      </w:r>
      <w:r w:rsidR="00352ABD">
        <w:rPr>
          <w:i/>
        </w:rPr>
        <w:t xml:space="preserve">, </w:t>
      </w:r>
      <w:r w:rsidR="00352ABD" w:rsidRPr="00352ABD">
        <w:t>at *5-*6</w:t>
      </w:r>
      <w:r w:rsidR="00352ABD">
        <w:rPr>
          <w:i/>
        </w:rPr>
        <w:t>.</w:t>
      </w:r>
    </w:p>
    <w:p w14:paraId="56C94984" w14:textId="559E4EE7" w:rsidR="00352ABD" w:rsidRPr="00352ABD" w:rsidRDefault="00566E4E" w:rsidP="00566E4E">
      <w:pPr>
        <w:tabs>
          <w:tab w:val="left" w:pos="720"/>
        </w:tabs>
        <w:spacing w:line="480" w:lineRule="auto"/>
      </w:pPr>
      <w:r>
        <w:tab/>
      </w:r>
      <w:r w:rsidR="00C32224">
        <w:t xml:space="preserve">Moreover, the stay should remain in effect until the Supreme Court of Ohio has completed review of the </w:t>
      </w:r>
      <w:r w:rsidR="00C32224" w:rsidRPr="004A0EF0">
        <w:rPr>
          <w:i/>
        </w:rPr>
        <w:t>Duke ESP III</w:t>
      </w:r>
      <w:r w:rsidR="00C32224">
        <w:t xml:space="preserve"> </w:t>
      </w:r>
      <w:r w:rsidR="00AF6DEA" w:rsidRPr="00AF6DEA">
        <w:rPr>
          <w:i/>
        </w:rPr>
        <w:t>Case</w:t>
      </w:r>
      <w:r w:rsidR="00AF6DEA">
        <w:t xml:space="preserve"> decisions</w:t>
      </w:r>
      <w:r w:rsidR="00C32224">
        <w:t xml:space="preserve">.  </w:t>
      </w:r>
      <w:r w:rsidR="008D3A34">
        <w:t xml:space="preserve">If the Commission does not reverse its authorization of the </w:t>
      </w:r>
      <w:r w:rsidR="00015C7E">
        <w:t>PSR</w:t>
      </w:r>
      <w:r w:rsidR="008D3A34">
        <w:t xml:space="preserve">, </w:t>
      </w:r>
      <w:r w:rsidR="00D7289E">
        <w:t>customers</w:t>
      </w:r>
      <w:r w:rsidR="008D3A34">
        <w:t xml:space="preserve"> have already signaled </w:t>
      </w:r>
      <w:r w:rsidR="00186931">
        <w:t xml:space="preserve">with their applications for rehearing in the ESP case </w:t>
      </w:r>
      <w:r w:rsidR="002038B9">
        <w:t xml:space="preserve">that </w:t>
      </w:r>
      <w:r w:rsidR="008D3A34">
        <w:t xml:space="preserve">they will seek </w:t>
      </w:r>
      <w:r w:rsidR="005B60B2">
        <w:t xml:space="preserve">judicial </w:t>
      </w:r>
      <w:r w:rsidR="008D3A34">
        <w:t xml:space="preserve">review.  </w:t>
      </w:r>
      <w:r w:rsidR="00BA6A08">
        <w:t xml:space="preserve">Likewise, Duke has signaled its intention to pursue the review of </w:t>
      </w:r>
      <w:r w:rsidR="000117EF">
        <w:t xml:space="preserve">a </w:t>
      </w:r>
      <w:r w:rsidR="00BA6A08">
        <w:t xml:space="preserve">decision reversing the authorization of rider by filing this Application.  </w:t>
      </w:r>
      <w:r w:rsidR="008D3A34">
        <w:t>Moreover, t</w:t>
      </w:r>
      <w:r w:rsidR="0021416E">
        <w:t>he Commission itself has deferred the federal law issue</w:t>
      </w:r>
      <w:r w:rsidR="00824CBB">
        <w:t xml:space="preserve"> presented by the authorization of the PSR</w:t>
      </w:r>
      <w:r w:rsidR="0021416E">
        <w:t xml:space="preserve"> to the Court.  </w:t>
      </w:r>
      <w:r w:rsidR="0021416E" w:rsidRPr="004A0EF0">
        <w:rPr>
          <w:i/>
        </w:rPr>
        <w:t>Duke ESP III</w:t>
      </w:r>
      <w:r w:rsidR="004A0EF0">
        <w:t>,</w:t>
      </w:r>
      <w:r w:rsidR="0021416E">
        <w:t xml:space="preserve"> </w:t>
      </w:r>
      <w:r w:rsidR="008B38C4">
        <w:t>Opinion and Order</w:t>
      </w:r>
      <w:r w:rsidR="0021416E">
        <w:t xml:space="preserve"> at </w:t>
      </w:r>
      <w:r w:rsidR="008B38C4">
        <w:t>48</w:t>
      </w:r>
      <w:r w:rsidR="0021416E">
        <w:t xml:space="preserve">.  </w:t>
      </w:r>
      <w:r w:rsidR="00890088">
        <w:t xml:space="preserve">To assure that time and effort </w:t>
      </w:r>
      <w:r w:rsidR="001C6BF5">
        <w:t>are</w:t>
      </w:r>
      <w:r w:rsidR="00890088">
        <w:t xml:space="preserve"> not wasted in this proceeding, a</w:t>
      </w:r>
      <w:r w:rsidR="004744E5">
        <w:t xml:space="preserve">ny action on this case should not advance until the Court has addressed the </w:t>
      </w:r>
      <w:r w:rsidR="00015C7E">
        <w:t xml:space="preserve">issues raised by the PSR, and in particular the </w:t>
      </w:r>
      <w:r w:rsidR="004744E5">
        <w:t>federal issue that the Commission deferred.</w:t>
      </w:r>
    </w:p>
    <w:p w14:paraId="03163662" w14:textId="77777777" w:rsidR="00995A82" w:rsidRDefault="00995A82" w:rsidP="00D437D5">
      <w:pPr>
        <w:pStyle w:val="Heading1"/>
      </w:pPr>
      <w:bookmarkStart w:id="31" w:name="_Toc480385210"/>
      <w:bookmarkStart w:id="32" w:name="_Toc482013106"/>
      <w:r>
        <w:t>Conclusion</w:t>
      </w:r>
      <w:bookmarkEnd w:id="31"/>
      <w:bookmarkEnd w:id="32"/>
    </w:p>
    <w:p w14:paraId="0630F086" w14:textId="77777777" w:rsidR="004744E5" w:rsidRDefault="00566E4E" w:rsidP="00566E4E">
      <w:pPr>
        <w:tabs>
          <w:tab w:val="left" w:pos="720"/>
        </w:tabs>
        <w:spacing w:line="480" w:lineRule="auto"/>
      </w:pPr>
      <w:r>
        <w:tab/>
      </w:r>
      <w:r w:rsidR="004744E5">
        <w:t xml:space="preserve">For the reasons discussed above, the Commission should dismiss the Application.  </w:t>
      </w:r>
      <w:r w:rsidR="00A27FE9">
        <w:t>In the alternative</w:t>
      </w:r>
      <w:r w:rsidR="004744E5">
        <w:t>, the Commission should stay this proceeding</w:t>
      </w:r>
      <w:r w:rsidR="00A27FE9" w:rsidRPr="00A27FE9">
        <w:t xml:space="preserve"> </w:t>
      </w:r>
      <w:r w:rsidR="00A27FE9">
        <w:t xml:space="preserve">while the </w:t>
      </w:r>
      <w:r w:rsidR="00A27FE9" w:rsidRPr="00C3587B">
        <w:rPr>
          <w:i/>
        </w:rPr>
        <w:t>Duke ESP III Case</w:t>
      </w:r>
      <w:r w:rsidR="00A27FE9">
        <w:t xml:space="preserve"> remains under review by the Commission and the Court</w:t>
      </w:r>
      <w:r w:rsidR="004744E5">
        <w:t>.</w:t>
      </w:r>
    </w:p>
    <w:p w14:paraId="1E87EA86" w14:textId="77777777" w:rsidR="00566E4E" w:rsidRDefault="00566E4E" w:rsidP="00566E4E">
      <w:pPr>
        <w:ind w:left="3600" w:firstLine="720"/>
        <w:rPr>
          <w:rFonts w:eastAsia="Times New Roman" w:cs="Arial"/>
          <w:lang w:val="x-none" w:eastAsia="x-none"/>
        </w:rPr>
      </w:pPr>
      <w:r>
        <w:rPr>
          <w:rFonts w:eastAsia="Times New Roman" w:cs="Arial"/>
          <w:lang w:val="x-none" w:eastAsia="x-none"/>
        </w:rPr>
        <w:t>Respectfully submitted,</w:t>
      </w:r>
    </w:p>
    <w:p w14:paraId="5F3CD6BC" w14:textId="77777777" w:rsidR="00566E4E" w:rsidRDefault="00566E4E" w:rsidP="00566E4E">
      <w:pPr>
        <w:rPr>
          <w:rFonts w:eastAsia="Times New Roman" w:cs="Times New Roman"/>
          <w:lang w:eastAsia="x-none"/>
        </w:rPr>
      </w:pPr>
    </w:p>
    <w:p w14:paraId="3C06C081" w14:textId="77777777" w:rsidR="00566E4E" w:rsidRDefault="00566E4E" w:rsidP="00566E4E">
      <w:pPr>
        <w:tabs>
          <w:tab w:val="left" w:pos="4320"/>
          <w:tab w:val="right" w:pos="8640"/>
        </w:tabs>
        <w:ind w:left="4320"/>
        <w:rPr>
          <w:rFonts w:eastAsia="Calibri" w:cs="Arial"/>
          <w:i/>
        </w:rPr>
      </w:pPr>
      <w:r>
        <w:rPr>
          <w:rFonts w:eastAsia="Calibri" w:cs="Arial"/>
          <w:i/>
          <w:u w:val="single"/>
        </w:rPr>
        <w:t>/s/ Frank P. Darr</w:t>
      </w:r>
      <w:r>
        <w:rPr>
          <w:rFonts w:eastAsia="Calibri" w:cs="Arial"/>
          <w:i/>
          <w:u w:val="single"/>
        </w:rPr>
        <w:tab/>
      </w:r>
      <w:r>
        <w:rPr>
          <w:rFonts w:eastAsia="Calibri" w:cs="Arial"/>
          <w:i/>
        </w:rPr>
        <w:t xml:space="preserve"> </w:t>
      </w:r>
    </w:p>
    <w:p w14:paraId="6A13DAB2" w14:textId="77777777" w:rsidR="00566E4E" w:rsidRDefault="00566E4E" w:rsidP="00566E4E">
      <w:pPr>
        <w:ind w:left="3600" w:firstLine="720"/>
      </w:pPr>
      <w:r>
        <w:t>Frank P. Darr (Reg. No. 0025469)</w:t>
      </w:r>
    </w:p>
    <w:p w14:paraId="16B9C398" w14:textId="77777777" w:rsidR="00566E4E" w:rsidRDefault="00566E4E" w:rsidP="00566E4E">
      <w:r>
        <w:tab/>
      </w:r>
      <w:r>
        <w:tab/>
      </w:r>
      <w:r>
        <w:tab/>
      </w:r>
      <w:r>
        <w:tab/>
      </w:r>
      <w:r>
        <w:tab/>
      </w:r>
      <w:r>
        <w:tab/>
        <w:t>(Counsel of Record)</w:t>
      </w:r>
    </w:p>
    <w:p w14:paraId="6F916B64" w14:textId="77777777" w:rsidR="00566E4E" w:rsidRDefault="00566E4E" w:rsidP="00566E4E">
      <w:pPr>
        <w:widowControl w:val="0"/>
        <w:ind w:left="4320"/>
        <w:rPr>
          <w:rFonts w:eastAsia="Calibri" w:cs="Arial"/>
          <w:bCs/>
        </w:rPr>
      </w:pPr>
      <w:r>
        <w:rPr>
          <w:rFonts w:eastAsia="Calibri" w:cs="Arial"/>
          <w:bCs/>
        </w:rPr>
        <w:t>Matthew R. Pritchard (Reg. No. 0088070)</w:t>
      </w:r>
    </w:p>
    <w:p w14:paraId="38D1DEFA" w14:textId="77777777" w:rsidR="00566E4E" w:rsidRDefault="00566E4E" w:rsidP="00566E4E">
      <w:pPr>
        <w:widowControl w:val="0"/>
        <w:ind w:left="4320"/>
        <w:rPr>
          <w:rFonts w:eastAsia="Calibri" w:cs="Arial"/>
          <w:b/>
          <w:bCs/>
          <w:smallCaps/>
        </w:rPr>
      </w:pPr>
      <w:r>
        <w:rPr>
          <w:rFonts w:eastAsia="Calibri" w:cs="Arial"/>
          <w:bCs/>
          <w:smallCaps/>
        </w:rPr>
        <w:t>McNees Wallace &amp; Nurick LLC</w:t>
      </w:r>
    </w:p>
    <w:p w14:paraId="6663FC34" w14:textId="77777777" w:rsidR="00566E4E" w:rsidRDefault="00566E4E" w:rsidP="00566E4E">
      <w:pPr>
        <w:widowControl w:val="0"/>
        <w:ind w:left="4320"/>
        <w:rPr>
          <w:rFonts w:eastAsia="Calibri" w:cs="Arial"/>
          <w:b/>
          <w:bCs/>
        </w:rPr>
      </w:pPr>
      <w:r>
        <w:rPr>
          <w:rFonts w:eastAsia="Calibri" w:cs="Arial"/>
          <w:bCs/>
        </w:rPr>
        <w:t>21 East State Street, 17</w:t>
      </w:r>
      <w:r>
        <w:rPr>
          <w:rFonts w:eastAsia="Calibri" w:cs="Arial"/>
          <w:bCs/>
          <w:vertAlign w:val="superscript"/>
        </w:rPr>
        <w:t>TH</w:t>
      </w:r>
      <w:r>
        <w:rPr>
          <w:rFonts w:eastAsia="Calibri" w:cs="Arial"/>
          <w:bCs/>
        </w:rPr>
        <w:t xml:space="preserve"> Floor</w:t>
      </w:r>
    </w:p>
    <w:p w14:paraId="24CF3980" w14:textId="77777777" w:rsidR="00566E4E" w:rsidRDefault="00566E4E" w:rsidP="00566E4E">
      <w:pPr>
        <w:tabs>
          <w:tab w:val="left" w:pos="-1440"/>
          <w:tab w:val="left" w:pos="-720"/>
          <w:tab w:val="left" w:pos="5040"/>
          <w:tab w:val="center" w:pos="7200"/>
        </w:tabs>
        <w:overflowPunct w:val="0"/>
        <w:autoSpaceDE w:val="0"/>
        <w:autoSpaceDN w:val="0"/>
        <w:adjustRightInd w:val="0"/>
        <w:ind w:left="4320"/>
        <w:rPr>
          <w:rFonts w:eastAsia="Calibri" w:cs="Arial"/>
        </w:rPr>
      </w:pPr>
      <w:r>
        <w:rPr>
          <w:rFonts w:eastAsia="Calibri" w:cs="Arial"/>
        </w:rPr>
        <w:t>Columbus, OH  43215</w:t>
      </w:r>
    </w:p>
    <w:p w14:paraId="3CDD987A" w14:textId="77777777" w:rsidR="00566E4E" w:rsidRDefault="00566E4E" w:rsidP="00566E4E">
      <w:pPr>
        <w:tabs>
          <w:tab w:val="left" w:pos="-1440"/>
          <w:tab w:val="left" w:pos="-720"/>
          <w:tab w:val="left" w:pos="5040"/>
          <w:tab w:val="center" w:pos="7200"/>
        </w:tabs>
        <w:overflowPunct w:val="0"/>
        <w:autoSpaceDE w:val="0"/>
        <w:autoSpaceDN w:val="0"/>
        <w:adjustRightInd w:val="0"/>
        <w:ind w:left="4320"/>
        <w:rPr>
          <w:rFonts w:eastAsia="Calibri" w:cs="Arial"/>
        </w:rPr>
      </w:pPr>
      <w:r>
        <w:rPr>
          <w:rFonts w:eastAsia="Calibri" w:cs="Arial"/>
        </w:rPr>
        <w:t>Telephone:  (614) 469-8000</w:t>
      </w:r>
    </w:p>
    <w:p w14:paraId="1C2F43E8" w14:textId="77777777" w:rsidR="00566E4E" w:rsidRDefault="00566E4E" w:rsidP="00566E4E">
      <w:pPr>
        <w:tabs>
          <w:tab w:val="left" w:pos="-1440"/>
          <w:tab w:val="left" w:pos="-720"/>
          <w:tab w:val="left" w:pos="5040"/>
          <w:tab w:val="center" w:pos="7200"/>
        </w:tabs>
        <w:overflowPunct w:val="0"/>
        <w:autoSpaceDE w:val="0"/>
        <w:autoSpaceDN w:val="0"/>
        <w:adjustRightInd w:val="0"/>
        <w:ind w:left="4320"/>
        <w:rPr>
          <w:rFonts w:eastAsia="Calibri" w:cs="Arial"/>
          <w:color w:val="000000"/>
        </w:rPr>
      </w:pPr>
      <w:r>
        <w:rPr>
          <w:rFonts w:eastAsia="Calibri" w:cs="Arial"/>
          <w:color w:val="000000"/>
        </w:rPr>
        <w:t>Telecopier:  (614) 469-4653</w:t>
      </w:r>
    </w:p>
    <w:p w14:paraId="5C4CEEFA" w14:textId="77777777" w:rsidR="00566E4E" w:rsidRDefault="00566E4E" w:rsidP="00566E4E">
      <w:pPr>
        <w:tabs>
          <w:tab w:val="left" w:pos="-1440"/>
          <w:tab w:val="left" w:pos="-720"/>
          <w:tab w:val="left" w:pos="5040"/>
          <w:tab w:val="center" w:pos="7200"/>
        </w:tabs>
        <w:overflowPunct w:val="0"/>
        <w:autoSpaceDE w:val="0"/>
        <w:autoSpaceDN w:val="0"/>
        <w:adjustRightInd w:val="0"/>
        <w:ind w:left="4320"/>
        <w:rPr>
          <w:rFonts w:eastAsia="Calibri" w:cs="Arial"/>
          <w:color w:val="000000"/>
        </w:rPr>
      </w:pPr>
      <w:r>
        <w:rPr>
          <w:rFonts w:eastAsia="Calibri" w:cs="Arial"/>
        </w:rPr>
        <w:t>fdarr@mwncmh.com</w:t>
      </w:r>
    </w:p>
    <w:p w14:paraId="0E78C28B" w14:textId="77777777" w:rsidR="00566E4E" w:rsidRDefault="00566E4E" w:rsidP="00566E4E">
      <w:pPr>
        <w:tabs>
          <w:tab w:val="left" w:pos="-1440"/>
          <w:tab w:val="left" w:pos="-720"/>
          <w:tab w:val="left" w:pos="5040"/>
          <w:tab w:val="center" w:pos="7200"/>
        </w:tabs>
        <w:overflowPunct w:val="0"/>
        <w:autoSpaceDE w:val="0"/>
        <w:autoSpaceDN w:val="0"/>
        <w:adjustRightInd w:val="0"/>
        <w:ind w:left="4320"/>
        <w:rPr>
          <w:rFonts w:eastAsia="Calibri" w:cs="Arial"/>
          <w:color w:val="000000"/>
        </w:rPr>
      </w:pPr>
      <w:r>
        <w:rPr>
          <w:rFonts w:eastAsia="Calibri" w:cs="Arial"/>
          <w:color w:val="000000"/>
        </w:rPr>
        <w:t>(willing to accept service by e-mail)</w:t>
      </w:r>
    </w:p>
    <w:p w14:paraId="49CBFA2E" w14:textId="77777777" w:rsidR="00566E4E" w:rsidRDefault="00566E4E" w:rsidP="00566E4E">
      <w:pPr>
        <w:tabs>
          <w:tab w:val="left" w:pos="-1440"/>
          <w:tab w:val="left" w:pos="-720"/>
          <w:tab w:val="left" w:pos="5040"/>
          <w:tab w:val="center" w:pos="7200"/>
        </w:tabs>
        <w:overflowPunct w:val="0"/>
        <w:autoSpaceDE w:val="0"/>
        <w:autoSpaceDN w:val="0"/>
        <w:adjustRightInd w:val="0"/>
        <w:ind w:left="4320"/>
        <w:rPr>
          <w:rFonts w:eastAsia="Calibri" w:cs="Arial"/>
          <w:color w:val="000000"/>
        </w:rPr>
      </w:pPr>
      <w:r>
        <w:rPr>
          <w:rFonts w:eastAsia="Calibri" w:cs="Arial"/>
        </w:rPr>
        <w:t>mpritchard@mwncmh.com</w:t>
      </w:r>
    </w:p>
    <w:p w14:paraId="31498C94" w14:textId="77777777" w:rsidR="00566E4E" w:rsidRDefault="00566E4E" w:rsidP="00566E4E">
      <w:pPr>
        <w:tabs>
          <w:tab w:val="left" w:pos="-1440"/>
          <w:tab w:val="left" w:pos="-720"/>
          <w:tab w:val="left" w:pos="5040"/>
          <w:tab w:val="center" w:pos="7200"/>
        </w:tabs>
        <w:overflowPunct w:val="0"/>
        <w:autoSpaceDE w:val="0"/>
        <w:autoSpaceDN w:val="0"/>
        <w:adjustRightInd w:val="0"/>
        <w:ind w:left="4320"/>
        <w:rPr>
          <w:rFonts w:eastAsia="Calibri" w:cs="Arial"/>
          <w:color w:val="000000"/>
        </w:rPr>
      </w:pPr>
      <w:r>
        <w:rPr>
          <w:rFonts w:eastAsia="Calibri" w:cs="Arial"/>
          <w:color w:val="000000"/>
        </w:rPr>
        <w:t>(willing to accept service by e-mail)</w:t>
      </w:r>
    </w:p>
    <w:p w14:paraId="6DA2E9BF" w14:textId="77777777" w:rsidR="00566E4E" w:rsidRDefault="00566E4E" w:rsidP="00566E4E">
      <w:pPr>
        <w:tabs>
          <w:tab w:val="left" w:pos="-1440"/>
          <w:tab w:val="left" w:pos="-720"/>
          <w:tab w:val="left" w:pos="4680"/>
          <w:tab w:val="left" w:pos="5040"/>
        </w:tabs>
        <w:rPr>
          <w:rFonts w:eastAsia="Calibri" w:cs="Arial"/>
        </w:rPr>
      </w:pPr>
    </w:p>
    <w:p w14:paraId="7869C649" w14:textId="252D1D8B" w:rsidR="00086DC8" w:rsidRPr="00DB59E0" w:rsidRDefault="00566E4E" w:rsidP="00D437D5">
      <w:pPr>
        <w:tabs>
          <w:tab w:val="left" w:pos="-1440"/>
          <w:tab w:val="left" w:pos="-720"/>
          <w:tab w:val="left" w:pos="4320"/>
        </w:tabs>
        <w:ind w:left="4320" w:hanging="4320"/>
        <w:rPr>
          <w:rFonts w:ascii="Arial Bold" w:eastAsia="Calibri" w:hAnsi="Arial Bold" w:cs="Arial"/>
          <w:b/>
          <w:smallCaps/>
        </w:rPr>
      </w:pPr>
      <w:r>
        <w:rPr>
          <w:rFonts w:eastAsia="Calibri" w:cs="Arial"/>
        </w:rPr>
        <w:tab/>
      </w:r>
      <w:r w:rsidR="00D437D5" w:rsidRPr="00DB59E0">
        <w:rPr>
          <w:rFonts w:ascii="Arial Bold" w:eastAsia="Calibri" w:hAnsi="Arial Bold" w:cs="Arial"/>
          <w:b/>
          <w:smallCaps/>
        </w:rPr>
        <w:t>On Behalf of</w:t>
      </w:r>
      <w:r w:rsidRPr="00DB59E0">
        <w:rPr>
          <w:rFonts w:ascii="Arial Bold" w:eastAsia="Calibri" w:hAnsi="Arial Bold" w:cs="Arial"/>
          <w:b/>
          <w:smallCaps/>
        </w:rPr>
        <w:t xml:space="preserve"> Industrial Energy Users-Ohio</w:t>
      </w:r>
    </w:p>
    <w:p w14:paraId="027D00A2" w14:textId="77777777" w:rsidR="00086DC8" w:rsidRPr="00E07024" w:rsidRDefault="00086DC8" w:rsidP="00086DC8">
      <w:pPr>
        <w:pStyle w:val="Footer"/>
        <w:spacing w:before="240"/>
        <w:ind w:left="4320"/>
        <w:rPr>
          <w:rFonts w:cs="Arial"/>
        </w:rPr>
      </w:pPr>
      <w:r w:rsidRPr="00E07024">
        <w:rPr>
          <w:rFonts w:cs="Arial"/>
        </w:rPr>
        <w:t>Bruce Weston (Reg. No. 0016973)</w:t>
      </w:r>
    </w:p>
    <w:p w14:paraId="108DFADB" w14:textId="77777777" w:rsidR="00086DC8" w:rsidRPr="00E07024" w:rsidRDefault="00086DC8" w:rsidP="00086DC8">
      <w:pPr>
        <w:ind w:left="4320"/>
        <w:rPr>
          <w:rFonts w:cs="Arial"/>
        </w:rPr>
      </w:pPr>
      <w:r>
        <w:rPr>
          <w:rFonts w:cs="Arial"/>
        </w:rPr>
        <w:t>Ohio Consumers’ Counsel</w:t>
      </w:r>
    </w:p>
    <w:p w14:paraId="078DD5FF" w14:textId="77777777" w:rsidR="00D437D5" w:rsidRDefault="00D437D5" w:rsidP="00086DC8">
      <w:pPr>
        <w:ind w:left="4320"/>
        <w:rPr>
          <w:rFonts w:cs="Arial"/>
          <w:i/>
          <w:iCs/>
          <w:u w:val="single"/>
        </w:rPr>
      </w:pPr>
    </w:p>
    <w:p w14:paraId="31DD5949" w14:textId="6EF9FDE3" w:rsidR="00086DC8" w:rsidRPr="00E07024" w:rsidRDefault="00086DC8" w:rsidP="00086DC8">
      <w:pPr>
        <w:ind w:left="4320"/>
        <w:rPr>
          <w:rFonts w:cs="Arial"/>
        </w:rPr>
      </w:pPr>
      <w:r w:rsidRPr="00E07024">
        <w:rPr>
          <w:rFonts w:cs="Arial"/>
          <w:i/>
          <w:iCs/>
          <w:u w:val="single"/>
        </w:rPr>
        <w:t>/s/ William J. Michael</w:t>
      </w:r>
      <w:r w:rsidRPr="00E07024">
        <w:rPr>
          <w:rFonts w:cs="Arial"/>
        </w:rPr>
        <w:t>__________________</w:t>
      </w:r>
    </w:p>
    <w:p w14:paraId="13B71911" w14:textId="77777777" w:rsidR="00086DC8" w:rsidRPr="00E07024" w:rsidRDefault="00086DC8" w:rsidP="00086DC8">
      <w:pPr>
        <w:ind w:left="4320"/>
        <w:rPr>
          <w:rFonts w:cs="Arial"/>
        </w:rPr>
      </w:pPr>
      <w:r w:rsidRPr="00E07024">
        <w:rPr>
          <w:rFonts w:cs="Arial"/>
        </w:rPr>
        <w:t>William J. Michael (Reg. No. 0070921)</w:t>
      </w:r>
    </w:p>
    <w:p w14:paraId="724968F4" w14:textId="77777777" w:rsidR="00086DC8" w:rsidRPr="00E07024" w:rsidRDefault="00086DC8" w:rsidP="00086DC8">
      <w:pPr>
        <w:ind w:left="4320"/>
        <w:rPr>
          <w:rFonts w:cs="Arial"/>
        </w:rPr>
      </w:pPr>
      <w:r w:rsidRPr="00E07024">
        <w:rPr>
          <w:rFonts w:cs="Arial"/>
        </w:rPr>
        <w:t>Counsel of Record</w:t>
      </w:r>
    </w:p>
    <w:p w14:paraId="054C594C" w14:textId="77777777" w:rsidR="00086DC8" w:rsidRPr="00E07024" w:rsidRDefault="00086DC8" w:rsidP="00086DC8">
      <w:pPr>
        <w:ind w:left="4320"/>
        <w:rPr>
          <w:rFonts w:cs="Arial"/>
        </w:rPr>
      </w:pPr>
      <w:r w:rsidRPr="00E07024">
        <w:rPr>
          <w:rFonts w:cs="Arial"/>
        </w:rPr>
        <w:t>Jodi Bair (Reg. No. 0062921)</w:t>
      </w:r>
    </w:p>
    <w:p w14:paraId="5D0A6770" w14:textId="77777777" w:rsidR="00086DC8" w:rsidRPr="00E07024" w:rsidRDefault="00086DC8" w:rsidP="00086DC8">
      <w:pPr>
        <w:ind w:left="4320"/>
        <w:rPr>
          <w:rFonts w:cs="Arial"/>
        </w:rPr>
      </w:pPr>
      <w:r w:rsidRPr="00E07024">
        <w:rPr>
          <w:rFonts w:cs="Arial"/>
        </w:rPr>
        <w:t>Kevin Moore (Reg. No. 0089228)</w:t>
      </w:r>
    </w:p>
    <w:p w14:paraId="732F21AE" w14:textId="77777777" w:rsidR="00086DC8" w:rsidRPr="00E07024" w:rsidRDefault="00086DC8" w:rsidP="00086DC8">
      <w:pPr>
        <w:ind w:left="4320"/>
        <w:rPr>
          <w:rFonts w:cs="Arial"/>
        </w:rPr>
      </w:pPr>
      <w:r w:rsidRPr="00E07024">
        <w:rPr>
          <w:rFonts w:cs="Arial"/>
        </w:rPr>
        <w:t>Assistant Consumers’ Counsel</w:t>
      </w:r>
    </w:p>
    <w:p w14:paraId="722C02EC" w14:textId="77777777" w:rsidR="00086DC8" w:rsidRPr="00AD5C1F" w:rsidRDefault="00086DC8" w:rsidP="00DB59E0">
      <w:pPr>
        <w:ind w:left="3600" w:firstLine="720"/>
      </w:pPr>
      <w:r w:rsidRPr="00AD5C1F">
        <w:t>Office of the Ohio Consumers’ Counsel</w:t>
      </w:r>
    </w:p>
    <w:p w14:paraId="1D791B89" w14:textId="77777777" w:rsidR="00086DC8" w:rsidRPr="00AD5C1F" w:rsidRDefault="00086DC8" w:rsidP="00DB59E0">
      <w:pPr>
        <w:ind w:left="3600" w:firstLine="720"/>
      </w:pPr>
      <w:r w:rsidRPr="00AD5C1F">
        <w:t>10 West Broad Street, Suite 1800</w:t>
      </w:r>
    </w:p>
    <w:p w14:paraId="4A221DBA" w14:textId="77777777" w:rsidR="00086DC8" w:rsidRPr="00E07024" w:rsidRDefault="00086DC8" w:rsidP="00DB59E0">
      <w:pPr>
        <w:ind w:left="3600" w:firstLine="720"/>
      </w:pPr>
      <w:r w:rsidRPr="00AD5C1F">
        <w:t>Columbus, Ohio</w:t>
      </w:r>
      <w:r w:rsidRPr="00E07024">
        <w:t xml:space="preserve"> 43215-3485</w:t>
      </w:r>
    </w:p>
    <w:p w14:paraId="19DB42F0" w14:textId="77777777" w:rsidR="00086DC8" w:rsidRPr="00E07024" w:rsidRDefault="00086DC8" w:rsidP="00086DC8">
      <w:pPr>
        <w:autoSpaceDE w:val="0"/>
        <w:autoSpaceDN w:val="0"/>
        <w:ind w:left="4320"/>
        <w:rPr>
          <w:rFonts w:cs="Arial"/>
        </w:rPr>
      </w:pPr>
      <w:r w:rsidRPr="00E07024">
        <w:rPr>
          <w:rFonts w:cs="Arial"/>
        </w:rPr>
        <w:t>Telephone [Michael]:  (614) 466-1291</w:t>
      </w:r>
    </w:p>
    <w:p w14:paraId="0BA3A6EA" w14:textId="77777777" w:rsidR="00086DC8" w:rsidRPr="00E07024" w:rsidRDefault="00086DC8" w:rsidP="00086DC8">
      <w:pPr>
        <w:autoSpaceDE w:val="0"/>
        <w:autoSpaceDN w:val="0"/>
        <w:ind w:left="4320"/>
        <w:rPr>
          <w:rFonts w:cs="Arial"/>
        </w:rPr>
      </w:pPr>
      <w:r w:rsidRPr="00E07024">
        <w:rPr>
          <w:rFonts w:cs="Arial"/>
        </w:rPr>
        <w:t>Telephone [Bair]:  (614) 466-9559</w:t>
      </w:r>
    </w:p>
    <w:p w14:paraId="20471B8D" w14:textId="77777777" w:rsidR="00086DC8" w:rsidRPr="00E07024" w:rsidRDefault="00086DC8" w:rsidP="00086DC8">
      <w:pPr>
        <w:autoSpaceDE w:val="0"/>
        <w:autoSpaceDN w:val="0"/>
        <w:ind w:left="4320"/>
        <w:rPr>
          <w:rFonts w:cs="Arial"/>
        </w:rPr>
      </w:pPr>
      <w:r w:rsidRPr="00E07024">
        <w:rPr>
          <w:rFonts w:cs="Arial"/>
        </w:rPr>
        <w:t>Telephone [Moore]:  (614) 387-2965</w:t>
      </w:r>
    </w:p>
    <w:p w14:paraId="62F8C112" w14:textId="77777777" w:rsidR="00086DC8" w:rsidRPr="00E07024" w:rsidRDefault="00F34FE4" w:rsidP="00086DC8">
      <w:pPr>
        <w:autoSpaceDE w:val="0"/>
        <w:autoSpaceDN w:val="0"/>
        <w:ind w:left="4320"/>
        <w:rPr>
          <w:rFonts w:cs="Arial"/>
        </w:rPr>
      </w:pPr>
      <w:hyperlink r:id="rId24" w:history="1">
        <w:r w:rsidR="00086DC8" w:rsidRPr="00E07024">
          <w:rPr>
            <w:rStyle w:val="Hyperlink"/>
            <w:rFonts w:cs="Arial"/>
          </w:rPr>
          <w:t>william.michael@occ.ohio.gov</w:t>
        </w:r>
      </w:hyperlink>
    </w:p>
    <w:p w14:paraId="7C13A900" w14:textId="77777777" w:rsidR="00086DC8" w:rsidRPr="00E07024" w:rsidRDefault="00F34FE4" w:rsidP="00086DC8">
      <w:pPr>
        <w:autoSpaceDE w:val="0"/>
        <w:autoSpaceDN w:val="0"/>
        <w:ind w:left="4320"/>
        <w:rPr>
          <w:rFonts w:cs="Arial"/>
        </w:rPr>
      </w:pPr>
      <w:hyperlink r:id="rId25" w:history="1">
        <w:r w:rsidR="00086DC8" w:rsidRPr="00E07024">
          <w:rPr>
            <w:rStyle w:val="Hyperlink"/>
            <w:rFonts w:cs="Arial"/>
          </w:rPr>
          <w:t>Jodi.bair@occ.ohio.gov</w:t>
        </w:r>
      </w:hyperlink>
    </w:p>
    <w:p w14:paraId="1947608F" w14:textId="77777777" w:rsidR="00086DC8" w:rsidRPr="00E07024" w:rsidRDefault="00F34FE4" w:rsidP="00086DC8">
      <w:pPr>
        <w:autoSpaceDE w:val="0"/>
        <w:autoSpaceDN w:val="0"/>
        <w:ind w:left="4320"/>
        <w:rPr>
          <w:rFonts w:cs="Arial"/>
        </w:rPr>
      </w:pPr>
      <w:hyperlink r:id="rId26" w:history="1">
        <w:r w:rsidR="00086DC8" w:rsidRPr="00E07024">
          <w:rPr>
            <w:rStyle w:val="Hyperlink"/>
            <w:rFonts w:cs="Arial"/>
          </w:rPr>
          <w:t>Kevin.moore@occ.ohio.gov</w:t>
        </w:r>
      </w:hyperlink>
    </w:p>
    <w:p w14:paraId="625015A7" w14:textId="77777777" w:rsidR="00086DC8" w:rsidRPr="00E07024" w:rsidRDefault="00086DC8" w:rsidP="00086DC8">
      <w:pPr>
        <w:ind w:left="4320"/>
        <w:jc w:val="left"/>
        <w:rPr>
          <w:rFonts w:cs="Arial"/>
        </w:rPr>
      </w:pPr>
      <w:r>
        <w:rPr>
          <w:rFonts w:cs="Arial"/>
        </w:rPr>
        <w:t>(a</w:t>
      </w:r>
      <w:r w:rsidRPr="00E07024">
        <w:rPr>
          <w:rFonts w:cs="Arial"/>
        </w:rPr>
        <w:t>ll will accept service via email)</w:t>
      </w:r>
    </w:p>
    <w:p w14:paraId="7390D217" w14:textId="77777777" w:rsidR="00D437D5" w:rsidRDefault="00D437D5" w:rsidP="00086DC8">
      <w:pPr>
        <w:ind w:left="4320"/>
        <w:jc w:val="left"/>
        <w:rPr>
          <w:rFonts w:cs="Arial"/>
          <w:b/>
          <w:smallCaps/>
        </w:rPr>
      </w:pPr>
    </w:p>
    <w:p w14:paraId="355BA15A" w14:textId="571C4BB2" w:rsidR="00086DC8" w:rsidRDefault="00086DC8" w:rsidP="00086DC8">
      <w:pPr>
        <w:ind w:left="4320"/>
        <w:jc w:val="left"/>
        <w:rPr>
          <w:rFonts w:cs="Arial"/>
          <w:b/>
          <w:smallCaps/>
        </w:rPr>
      </w:pPr>
      <w:r w:rsidRPr="00E07024">
        <w:rPr>
          <w:rFonts w:cs="Arial"/>
          <w:b/>
          <w:smallCaps/>
        </w:rPr>
        <w:t>On Behalf of the Office of the Ohio Consumers’ Counsel</w:t>
      </w:r>
    </w:p>
    <w:p w14:paraId="2D0BCD45" w14:textId="77777777" w:rsidR="00D437D5" w:rsidRDefault="00D437D5" w:rsidP="00086DC8">
      <w:pPr>
        <w:ind w:left="4320"/>
        <w:jc w:val="left"/>
        <w:rPr>
          <w:rFonts w:cs="Arial"/>
          <w:b/>
          <w:smallCaps/>
        </w:rPr>
      </w:pPr>
    </w:p>
    <w:p w14:paraId="062E017B" w14:textId="325A7BFE" w:rsidR="00086DC8" w:rsidRPr="00DB59E0" w:rsidRDefault="00D437D5" w:rsidP="00086DC8">
      <w:pPr>
        <w:ind w:left="4320"/>
        <w:jc w:val="left"/>
        <w:rPr>
          <w:rFonts w:cs="Arial"/>
          <w:smallCaps/>
        </w:rPr>
      </w:pPr>
      <w:r w:rsidRPr="00DB59E0">
        <w:rPr>
          <w:rFonts w:cs="Arial"/>
          <w:i/>
          <w:u w:val="single"/>
        </w:rPr>
        <w:t>/s/ Colleen L. Mooney</w:t>
      </w:r>
      <w:r>
        <w:rPr>
          <w:rFonts w:cs="Arial"/>
          <w:u w:val="single"/>
        </w:rPr>
        <w:tab/>
      </w:r>
      <w:r>
        <w:rPr>
          <w:rFonts w:cs="Arial"/>
          <w:smallCaps/>
        </w:rPr>
        <w:t>________________</w:t>
      </w:r>
    </w:p>
    <w:p w14:paraId="2369E3A8" w14:textId="73D33249" w:rsidR="00086DC8" w:rsidRDefault="00086DC8" w:rsidP="00D437D5">
      <w:pPr>
        <w:ind w:left="4320"/>
        <w:rPr>
          <w:rFonts w:cs="Arial"/>
        </w:rPr>
      </w:pPr>
      <w:r>
        <w:rPr>
          <w:rFonts w:cs="Arial"/>
        </w:rPr>
        <w:t>Colleen L. Mooney</w:t>
      </w:r>
      <w:r w:rsidR="00D437D5">
        <w:rPr>
          <w:rFonts w:cs="Arial"/>
        </w:rPr>
        <w:t xml:space="preserve"> (</w:t>
      </w:r>
      <w:r>
        <w:rPr>
          <w:rFonts w:cs="Arial"/>
        </w:rPr>
        <w:t>Reg. No. 0015668</w:t>
      </w:r>
      <w:r w:rsidR="00D437D5">
        <w:rPr>
          <w:rFonts w:cs="Arial"/>
        </w:rPr>
        <w:t>)</w:t>
      </w:r>
    </w:p>
    <w:p w14:paraId="304F6598" w14:textId="77777777" w:rsidR="00086DC8" w:rsidRDefault="00086DC8" w:rsidP="00086DC8">
      <w:pPr>
        <w:ind w:left="4320"/>
        <w:rPr>
          <w:rFonts w:cs="Arial"/>
        </w:rPr>
      </w:pPr>
      <w:r>
        <w:rPr>
          <w:rFonts w:cs="Arial"/>
        </w:rPr>
        <w:t>PO Box 12451</w:t>
      </w:r>
    </w:p>
    <w:p w14:paraId="70F94F95" w14:textId="77777777" w:rsidR="00086DC8" w:rsidRDefault="00086DC8" w:rsidP="00086DC8">
      <w:pPr>
        <w:ind w:left="4320"/>
        <w:rPr>
          <w:rFonts w:cs="Arial"/>
        </w:rPr>
      </w:pPr>
      <w:r>
        <w:rPr>
          <w:rFonts w:cs="Arial"/>
        </w:rPr>
        <w:t>Columbus, OH 43212-2451</w:t>
      </w:r>
    </w:p>
    <w:p w14:paraId="276EFF64" w14:textId="77777777" w:rsidR="00086DC8" w:rsidRDefault="00086DC8" w:rsidP="00086DC8">
      <w:pPr>
        <w:pStyle w:val="PlainText"/>
        <w:ind w:left="4320"/>
      </w:pPr>
      <w:r>
        <w:t>Telephone:  614-488-5739</w:t>
      </w:r>
    </w:p>
    <w:p w14:paraId="68486755" w14:textId="77777777" w:rsidR="00086DC8" w:rsidRDefault="00086DC8" w:rsidP="00086DC8">
      <w:pPr>
        <w:pStyle w:val="PlainText"/>
        <w:ind w:left="4320"/>
      </w:pPr>
      <w:r>
        <w:t>cmooney@ohiopartners.org</w:t>
      </w:r>
    </w:p>
    <w:p w14:paraId="3CB11713" w14:textId="77777777" w:rsidR="00086DC8" w:rsidRDefault="00086DC8" w:rsidP="00086DC8">
      <w:pPr>
        <w:ind w:left="4320"/>
        <w:rPr>
          <w:rFonts w:cs="Arial"/>
        </w:rPr>
      </w:pPr>
      <w:r>
        <w:rPr>
          <w:rFonts w:cs="Arial"/>
        </w:rPr>
        <w:t>(will accept service via email)</w:t>
      </w:r>
    </w:p>
    <w:p w14:paraId="2D220372" w14:textId="77777777" w:rsidR="00D437D5" w:rsidRDefault="00D437D5" w:rsidP="00086DC8">
      <w:pPr>
        <w:ind w:left="4320"/>
        <w:rPr>
          <w:rFonts w:ascii="Arial Bold" w:hAnsi="Arial Bold" w:cs="Arial"/>
          <w:b/>
          <w:smallCaps/>
        </w:rPr>
      </w:pPr>
    </w:p>
    <w:p w14:paraId="70CEFCA8" w14:textId="30119230" w:rsidR="00086DC8" w:rsidRDefault="00086DC8" w:rsidP="00DB59E0">
      <w:pPr>
        <w:ind w:left="4320"/>
        <w:jc w:val="left"/>
        <w:rPr>
          <w:rFonts w:ascii="Arial Bold" w:hAnsi="Arial Bold" w:cs="Arial"/>
          <w:b/>
          <w:smallCaps/>
        </w:rPr>
      </w:pPr>
      <w:r w:rsidRPr="00652ECF">
        <w:rPr>
          <w:rFonts w:ascii="Arial Bold" w:hAnsi="Arial Bold" w:cs="Arial"/>
          <w:b/>
          <w:smallCaps/>
        </w:rPr>
        <w:t>On Behalf of Ohio Partners for Affordable Energy</w:t>
      </w:r>
    </w:p>
    <w:p w14:paraId="4FBFA12E" w14:textId="77777777" w:rsidR="00086DC8" w:rsidRDefault="00086DC8" w:rsidP="00086DC8">
      <w:pPr>
        <w:ind w:left="4320"/>
        <w:rPr>
          <w:rFonts w:ascii="Arial Bold" w:hAnsi="Arial Bold" w:cs="Arial"/>
          <w:b/>
          <w:smallCaps/>
        </w:rPr>
      </w:pPr>
    </w:p>
    <w:p w14:paraId="13E4E7DA" w14:textId="083D0D9D" w:rsidR="00D437D5" w:rsidRPr="00DB59E0" w:rsidRDefault="00D437D5" w:rsidP="00DB59E0">
      <w:pPr>
        <w:ind w:left="4320"/>
        <w:jc w:val="left"/>
        <w:rPr>
          <w:rFonts w:cs="Arial"/>
        </w:rPr>
      </w:pPr>
      <w:r w:rsidRPr="00DB59E0">
        <w:rPr>
          <w:rFonts w:cs="Arial"/>
          <w:i/>
          <w:u w:val="single"/>
        </w:rPr>
        <w:t>/s/ Kimberly W. Bojko</w:t>
      </w:r>
      <w:r>
        <w:rPr>
          <w:rFonts w:cs="Arial"/>
          <w:smallCaps/>
        </w:rPr>
        <w:t>____________________</w:t>
      </w:r>
    </w:p>
    <w:p w14:paraId="0716E8EC" w14:textId="39BFF348" w:rsidR="00D437D5" w:rsidRDefault="00086DC8" w:rsidP="00DB59E0">
      <w:pPr>
        <w:ind w:left="4320"/>
        <w:jc w:val="left"/>
        <w:rPr>
          <w:rFonts w:cs="Arial"/>
        </w:rPr>
      </w:pPr>
      <w:r>
        <w:rPr>
          <w:rFonts w:cs="Arial"/>
          <w:color w:val="1F497D"/>
        </w:rPr>
        <w:t>K</w:t>
      </w:r>
      <w:r w:rsidRPr="00AD5C1F">
        <w:rPr>
          <w:rFonts w:cs="Arial"/>
        </w:rPr>
        <w:t>imberly W. Bojko (</w:t>
      </w:r>
      <w:r w:rsidR="00D437D5">
        <w:rPr>
          <w:rFonts w:cs="Arial"/>
        </w:rPr>
        <w:t xml:space="preserve">Reg. No. </w:t>
      </w:r>
      <w:r w:rsidRPr="00AD5C1F">
        <w:rPr>
          <w:rFonts w:cs="Arial"/>
        </w:rPr>
        <w:t xml:space="preserve">0069402) </w:t>
      </w:r>
    </w:p>
    <w:p w14:paraId="189D41D3" w14:textId="28455692" w:rsidR="00086DC8" w:rsidRPr="00AD5C1F" w:rsidRDefault="00086DC8" w:rsidP="00DB59E0">
      <w:pPr>
        <w:ind w:left="4320"/>
        <w:jc w:val="left"/>
        <w:rPr>
          <w:rFonts w:cs="Arial"/>
        </w:rPr>
      </w:pPr>
      <w:r w:rsidRPr="00AD5C1F">
        <w:rPr>
          <w:rFonts w:cs="Arial"/>
        </w:rPr>
        <w:t>(Counsel of Record)</w:t>
      </w:r>
    </w:p>
    <w:p w14:paraId="63F2FC77" w14:textId="01F1B8B5" w:rsidR="00086DC8" w:rsidRPr="00AD5C1F" w:rsidRDefault="00086DC8" w:rsidP="00DB59E0">
      <w:pPr>
        <w:ind w:left="4320"/>
        <w:jc w:val="left"/>
        <w:rPr>
          <w:rFonts w:cs="Arial"/>
        </w:rPr>
      </w:pPr>
      <w:r w:rsidRPr="00AD5C1F">
        <w:rPr>
          <w:rFonts w:cs="Arial"/>
        </w:rPr>
        <w:t>James D. Perko, Jr. (</w:t>
      </w:r>
      <w:r w:rsidR="00D437D5">
        <w:rPr>
          <w:rFonts w:cs="Arial"/>
        </w:rPr>
        <w:t xml:space="preserve">Reg. No. </w:t>
      </w:r>
      <w:r w:rsidRPr="00AD5C1F">
        <w:rPr>
          <w:rFonts w:cs="Arial"/>
        </w:rPr>
        <w:t>0093312)</w:t>
      </w:r>
    </w:p>
    <w:p w14:paraId="7BCC3FA3" w14:textId="77777777" w:rsidR="00086DC8" w:rsidRPr="00AD5C1F" w:rsidRDefault="00086DC8" w:rsidP="00DB59E0">
      <w:pPr>
        <w:ind w:left="4320"/>
        <w:jc w:val="left"/>
        <w:rPr>
          <w:rFonts w:cs="Arial"/>
        </w:rPr>
      </w:pPr>
      <w:r w:rsidRPr="00AD5C1F">
        <w:rPr>
          <w:rFonts w:cs="Arial"/>
        </w:rPr>
        <w:t>Carpenter Lipps &amp; Leland LLP</w:t>
      </w:r>
    </w:p>
    <w:p w14:paraId="65B24B52" w14:textId="77777777" w:rsidR="00086DC8" w:rsidRPr="00AD5C1F" w:rsidRDefault="00086DC8" w:rsidP="00DB59E0">
      <w:pPr>
        <w:ind w:left="4320"/>
        <w:jc w:val="left"/>
        <w:rPr>
          <w:rFonts w:cs="Arial"/>
        </w:rPr>
      </w:pPr>
      <w:r w:rsidRPr="00AD5C1F">
        <w:rPr>
          <w:rFonts w:cs="Arial"/>
        </w:rPr>
        <w:t>280 Plaza, Suite 1300</w:t>
      </w:r>
    </w:p>
    <w:p w14:paraId="0400736A" w14:textId="77777777" w:rsidR="00086DC8" w:rsidRPr="00AD5C1F" w:rsidRDefault="00086DC8" w:rsidP="00DB59E0">
      <w:pPr>
        <w:ind w:left="4320"/>
        <w:jc w:val="left"/>
        <w:rPr>
          <w:rFonts w:cs="Arial"/>
        </w:rPr>
      </w:pPr>
      <w:r w:rsidRPr="00AD5C1F">
        <w:rPr>
          <w:rFonts w:cs="Arial"/>
        </w:rPr>
        <w:t>280 North High Street</w:t>
      </w:r>
    </w:p>
    <w:p w14:paraId="20586F32" w14:textId="77777777" w:rsidR="00086DC8" w:rsidRPr="00AD5C1F" w:rsidRDefault="00086DC8" w:rsidP="00DB59E0">
      <w:pPr>
        <w:ind w:left="4320"/>
        <w:jc w:val="left"/>
        <w:rPr>
          <w:rFonts w:cs="Arial"/>
        </w:rPr>
      </w:pPr>
      <w:r w:rsidRPr="00AD5C1F">
        <w:rPr>
          <w:rFonts w:cs="Arial"/>
        </w:rPr>
        <w:t>Columbus, Ohio 43215</w:t>
      </w:r>
    </w:p>
    <w:p w14:paraId="7BAE81CA" w14:textId="77777777" w:rsidR="00086DC8" w:rsidRPr="00AD5C1F" w:rsidRDefault="00086DC8" w:rsidP="00DB59E0">
      <w:pPr>
        <w:ind w:left="4320"/>
        <w:jc w:val="left"/>
        <w:rPr>
          <w:rFonts w:cs="Arial"/>
        </w:rPr>
      </w:pPr>
      <w:r w:rsidRPr="00AD5C1F">
        <w:rPr>
          <w:rFonts w:cs="Arial"/>
        </w:rPr>
        <w:t>(614) 365-4100</w:t>
      </w:r>
    </w:p>
    <w:p w14:paraId="70B61E29" w14:textId="77777777" w:rsidR="00086DC8" w:rsidRPr="00AD5C1F" w:rsidRDefault="00F34FE4" w:rsidP="00DB59E0">
      <w:pPr>
        <w:ind w:left="4320"/>
        <w:jc w:val="left"/>
        <w:rPr>
          <w:rFonts w:cs="Arial"/>
        </w:rPr>
      </w:pPr>
      <w:hyperlink r:id="rId27" w:history="1">
        <w:r w:rsidR="00086DC8" w:rsidRPr="00AD5C1F">
          <w:rPr>
            <w:rStyle w:val="Hyperlink"/>
            <w:rFonts w:cs="Arial"/>
          </w:rPr>
          <w:t>Bojko@carpenterlipps.com</w:t>
        </w:r>
      </w:hyperlink>
    </w:p>
    <w:p w14:paraId="15B00DCC" w14:textId="77777777" w:rsidR="00086DC8" w:rsidRPr="00AD5C1F" w:rsidRDefault="00F34FE4" w:rsidP="00DB59E0">
      <w:pPr>
        <w:ind w:left="4320"/>
        <w:jc w:val="left"/>
        <w:rPr>
          <w:rFonts w:cs="Arial"/>
        </w:rPr>
      </w:pPr>
      <w:hyperlink r:id="rId28" w:history="1">
        <w:r w:rsidR="00086DC8" w:rsidRPr="00AD5C1F">
          <w:rPr>
            <w:rStyle w:val="Hyperlink"/>
            <w:rFonts w:cs="Arial"/>
          </w:rPr>
          <w:t>Perko@carpenterlipps.com</w:t>
        </w:r>
      </w:hyperlink>
    </w:p>
    <w:p w14:paraId="1E0E0B2D" w14:textId="156DBA44" w:rsidR="00086DC8" w:rsidRPr="00AD5C1F" w:rsidRDefault="00086DC8" w:rsidP="00DB59E0">
      <w:pPr>
        <w:ind w:left="4320"/>
        <w:jc w:val="left"/>
        <w:rPr>
          <w:rFonts w:cs="Arial"/>
        </w:rPr>
      </w:pPr>
      <w:r w:rsidRPr="00AD5C1F">
        <w:rPr>
          <w:rFonts w:cs="Arial"/>
        </w:rPr>
        <w:t>(will acce</w:t>
      </w:r>
      <w:r w:rsidR="00D437D5">
        <w:rPr>
          <w:rFonts w:cs="Arial"/>
        </w:rPr>
        <w:t>p</w:t>
      </w:r>
      <w:r w:rsidRPr="00AD5C1F">
        <w:rPr>
          <w:rFonts w:cs="Arial"/>
        </w:rPr>
        <w:t xml:space="preserve">t service </w:t>
      </w:r>
      <w:r w:rsidR="00D437D5">
        <w:rPr>
          <w:rFonts w:cs="Arial"/>
        </w:rPr>
        <w:t>via</w:t>
      </w:r>
      <w:r w:rsidR="00D437D5" w:rsidRPr="00AD5C1F">
        <w:rPr>
          <w:rFonts w:cs="Arial"/>
        </w:rPr>
        <w:t xml:space="preserve"> </w:t>
      </w:r>
      <w:r w:rsidRPr="00AD5C1F">
        <w:rPr>
          <w:rFonts w:cs="Arial"/>
        </w:rPr>
        <w:t>email)</w:t>
      </w:r>
    </w:p>
    <w:p w14:paraId="4B4E3BDB" w14:textId="77777777" w:rsidR="00D437D5" w:rsidRDefault="00D437D5" w:rsidP="00DB59E0">
      <w:pPr>
        <w:ind w:left="4320"/>
        <w:jc w:val="left"/>
        <w:rPr>
          <w:rFonts w:ascii="Arial Bold" w:hAnsi="Arial Bold" w:cs="Arial"/>
          <w:b/>
          <w:smallCaps/>
        </w:rPr>
      </w:pPr>
    </w:p>
    <w:p w14:paraId="1BCF7C71" w14:textId="11E07D24" w:rsidR="00086DC8" w:rsidRDefault="00086DC8" w:rsidP="00DB59E0">
      <w:pPr>
        <w:ind w:left="4320"/>
        <w:jc w:val="left"/>
        <w:rPr>
          <w:rFonts w:ascii="Arial Bold" w:hAnsi="Arial Bold" w:cs="Arial"/>
          <w:b/>
          <w:smallCaps/>
        </w:rPr>
      </w:pPr>
      <w:r w:rsidRPr="00AD5C1F">
        <w:rPr>
          <w:rFonts w:ascii="Arial Bold" w:hAnsi="Arial Bold" w:cs="Arial"/>
          <w:b/>
          <w:smallCaps/>
        </w:rPr>
        <w:t>On Behalf of Ohio Manufacture</w:t>
      </w:r>
      <w:r w:rsidR="00E6033A">
        <w:rPr>
          <w:rFonts w:ascii="Arial Bold" w:hAnsi="Arial Bold" w:cs="Arial"/>
          <w:b/>
          <w:smallCaps/>
        </w:rPr>
        <w:t>r</w:t>
      </w:r>
      <w:r w:rsidRPr="00AD5C1F">
        <w:rPr>
          <w:rFonts w:ascii="Arial Bold" w:hAnsi="Arial Bold" w:cs="Arial"/>
          <w:b/>
          <w:smallCaps/>
        </w:rPr>
        <w:t>s’ Association Energy Group</w:t>
      </w:r>
    </w:p>
    <w:p w14:paraId="3DEA463F" w14:textId="65D9C9DC" w:rsidR="00D437D5" w:rsidRDefault="00D437D5" w:rsidP="00DB59E0">
      <w:pPr>
        <w:ind w:left="4320"/>
        <w:jc w:val="left"/>
        <w:rPr>
          <w:rFonts w:ascii="Arial Bold" w:hAnsi="Arial Bold" w:cs="Arial"/>
          <w:b/>
          <w:smallCaps/>
        </w:rPr>
      </w:pPr>
    </w:p>
    <w:p w14:paraId="169F3B30" w14:textId="4CA26AD8" w:rsidR="00D437D5" w:rsidRPr="00DB59E0" w:rsidRDefault="00D437D5" w:rsidP="00DB59E0">
      <w:pPr>
        <w:autoSpaceDE w:val="0"/>
        <w:autoSpaceDN w:val="0"/>
        <w:adjustRightInd w:val="0"/>
        <w:snapToGrid w:val="0"/>
        <w:ind w:left="3600" w:firstLine="720"/>
        <w:jc w:val="left"/>
        <w:rPr>
          <w:rFonts w:ascii="Times-Roman" w:eastAsia="Times New Roman" w:hAnsi="Times-Roman" w:cs="Times-Roman"/>
          <w:i/>
          <w:color w:val="000000"/>
          <w:u w:val="single"/>
        </w:rPr>
      </w:pPr>
      <w:r w:rsidRPr="00DB59E0">
        <w:rPr>
          <w:rFonts w:ascii="Times-Roman" w:eastAsia="Times New Roman" w:hAnsi="Times-Roman" w:cs="Times-Roman"/>
          <w:i/>
          <w:color w:val="000000"/>
          <w:u w:val="single"/>
        </w:rPr>
        <w:t>/s/ Angela Paul Whitfield</w:t>
      </w:r>
      <w:r w:rsidRPr="00DB59E0">
        <w:rPr>
          <w:rFonts w:ascii="Times-Roman" w:eastAsia="Times New Roman" w:hAnsi="Times-Roman" w:cs="Times-Roman"/>
          <w:i/>
          <w:color w:val="000000"/>
          <w:u w:val="single"/>
        </w:rPr>
        <w:tab/>
      </w:r>
      <w:r w:rsidRPr="00DB59E0">
        <w:rPr>
          <w:rFonts w:ascii="Times-Roman" w:eastAsia="Times New Roman" w:hAnsi="Times-Roman" w:cs="Times-Roman"/>
          <w:i/>
          <w:color w:val="000000"/>
          <w:u w:val="single"/>
        </w:rPr>
        <w:tab/>
      </w:r>
      <w:r w:rsidRPr="00DB59E0">
        <w:rPr>
          <w:rFonts w:ascii="Times-Roman" w:eastAsia="Times New Roman" w:hAnsi="Times-Roman" w:cs="Times-Roman"/>
          <w:i/>
          <w:color w:val="000000"/>
          <w:u w:val="single"/>
        </w:rPr>
        <w:tab/>
      </w:r>
      <w:r w:rsidRPr="00DB59E0">
        <w:rPr>
          <w:rFonts w:ascii="Times-Roman" w:eastAsia="Times New Roman" w:hAnsi="Times-Roman" w:cs="Times-Roman"/>
          <w:i/>
          <w:color w:val="000000"/>
          <w:u w:val="single"/>
        </w:rPr>
        <w:tab/>
      </w:r>
    </w:p>
    <w:p w14:paraId="111DD01B" w14:textId="70AF7819" w:rsidR="00D437D5" w:rsidRDefault="00D437D5" w:rsidP="00DB59E0">
      <w:pPr>
        <w:autoSpaceDE w:val="0"/>
        <w:autoSpaceDN w:val="0"/>
        <w:adjustRightInd w:val="0"/>
        <w:snapToGrid w:val="0"/>
        <w:ind w:left="3600" w:firstLine="720"/>
        <w:jc w:val="left"/>
        <w:rPr>
          <w:rFonts w:ascii="Times-Roman" w:eastAsia="Times New Roman" w:hAnsi="Times-Roman" w:cs="Times-Roman"/>
          <w:color w:val="000000"/>
          <w:lang w:val="x-none"/>
        </w:rPr>
      </w:pPr>
      <w:r>
        <w:rPr>
          <w:rFonts w:ascii="Times-Roman" w:eastAsia="Times New Roman" w:hAnsi="Times-Roman" w:cs="Times-Roman"/>
          <w:color w:val="000000"/>
          <w:lang w:val="x-none"/>
        </w:rPr>
        <w:t xml:space="preserve">Angela Paul Whitfield (0068774) </w:t>
      </w:r>
    </w:p>
    <w:p w14:paraId="1FC1D0E1" w14:textId="1C9EBF4E" w:rsidR="00D437D5" w:rsidRDefault="00D437D5" w:rsidP="00DB59E0">
      <w:pPr>
        <w:autoSpaceDE w:val="0"/>
        <w:autoSpaceDN w:val="0"/>
        <w:adjustRightInd w:val="0"/>
        <w:snapToGrid w:val="0"/>
        <w:ind w:left="3600" w:firstLine="720"/>
        <w:jc w:val="left"/>
        <w:rPr>
          <w:rFonts w:ascii="Times-Roman" w:eastAsia="Times New Roman" w:hAnsi="Times-Roman" w:cs="Times-Roman"/>
          <w:color w:val="000000"/>
          <w:lang w:val="x-none"/>
        </w:rPr>
      </w:pPr>
      <w:r>
        <w:rPr>
          <w:rFonts w:ascii="Times-Roman" w:eastAsia="Times New Roman" w:hAnsi="Times-Roman" w:cs="Times-Roman"/>
          <w:color w:val="000000"/>
          <w:lang w:val="x-none"/>
        </w:rPr>
        <w:t>(Counsel of Record)</w:t>
      </w:r>
    </w:p>
    <w:p w14:paraId="697712BD" w14:textId="77777777" w:rsidR="00D437D5" w:rsidRDefault="00D437D5" w:rsidP="00DB59E0">
      <w:pPr>
        <w:autoSpaceDE w:val="0"/>
        <w:autoSpaceDN w:val="0"/>
        <w:adjustRightInd w:val="0"/>
        <w:snapToGrid w:val="0"/>
        <w:ind w:left="3600" w:firstLine="720"/>
        <w:jc w:val="left"/>
        <w:rPr>
          <w:rFonts w:ascii="Times-Roman" w:eastAsia="Times New Roman" w:hAnsi="Times-Roman" w:cs="Times-Roman"/>
          <w:color w:val="000000"/>
          <w:lang w:val="x-none"/>
        </w:rPr>
      </w:pPr>
      <w:r>
        <w:rPr>
          <w:rFonts w:ascii="Times-Roman" w:eastAsia="Times New Roman" w:hAnsi="Times-Roman" w:cs="Times-Roman"/>
          <w:color w:val="000000"/>
          <w:lang w:val="x-none"/>
        </w:rPr>
        <w:t>Carpenter Lipps &amp; Leland LLP</w:t>
      </w:r>
    </w:p>
    <w:p w14:paraId="1816D60C" w14:textId="77777777" w:rsidR="00D437D5" w:rsidRDefault="00D437D5" w:rsidP="00DB59E0">
      <w:pPr>
        <w:autoSpaceDE w:val="0"/>
        <w:autoSpaceDN w:val="0"/>
        <w:adjustRightInd w:val="0"/>
        <w:snapToGrid w:val="0"/>
        <w:ind w:left="3600" w:firstLine="720"/>
        <w:jc w:val="left"/>
        <w:rPr>
          <w:rFonts w:ascii="Times-Roman" w:eastAsia="Times New Roman" w:hAnsi="Times-Roman" w:cs="Times-Roman"/>
          <w:color w:val="000000"/>
          <w:lang w:val="x-none"/>
        </w:rPr>
      </w:pPr>
      <w:r>
        <w:rPr>
          <w:rFonts w:ascii="Times-Roman" w:eastAsia="Times New Roman" w:hAnsi="Times-Roman" w:cs="Times-Roman"/>
          <w:color w:val="000000"/>
          <w:lang w:val="x-none"/>
        </w:rPr>
        <w:t>280 North High Street, Suite 1300</w:t>
      </w:r>
    </w:p>
    <w:p w14:paraId="3F1E47BA" w14:textId="77777777" w:rsidR="00D437D5" w:rsidRDefault="00D437D5" w:rsidP="00DB59E0">
      <w:pPr>
        <w:autoSpaceDE w:val="0"/>
        <w:autoSpaceDN w:val="0"/>
        <w:adjustRightInd w:val="0"/>
        <w:snapToGrid w:val="0"/>
        <w:ind w:left="3600" w:firstLine="720"/>
        <w:jc w:val="left"/>
        <w:rPr>
          <w:rFonts w:ascii="Times-Roman" w:eastAsia="Times New Roman" w:hAnsi="Times-Roman" w:cs="Times-Roman"/>
          <w:color w:val="000000"/>
          <w:lang w:val="x-none"/>
        </w:rPr>
      </w:pPr>
      <w:r>
        <w:rPr>
          <w:rFonts w:ascii="Times-Roman" w:eastAsia="Times New Roman" w:hAnsi="Times-Roman" w:cs="Times-Roman"/>
          <w:color w:val="000000"/>
          <w:lang w:val="x-none"/>
        </w:rPr>
        <w:t>Columbus, Ohio 43215</w:t>
      </w:r>
    </w:p>
    <w:p w14:paraId="07B27B59" w14:textId="77777777" w:rsidR="00D437D5" w:rsidRDefault="00D437D5" w:rsidP="00DB59E0">
      <w:pPr>
        <w:autoSpaceDE w:val="0"/>
        <w:autoSpaceDN w:val="0"/>
        <w:adjustRightInd w:val="0"/>
        <w:snapToGrid w:val="0"/>
        <w:ind w:left="3600" w:firstLine="720"/>
        <w:jc w:val="left"/>
        <w:rPr>
          <w:rFonts w:ascii="Times-Roman" w:eastAsia="Times New Roman" w:hAnsi="Times-Roman" w:cs="Times-Roman"/>
          <w:color w:val="000000"/>
          <w:lang w:val="x-none"/>
        </w:rPr>
      </w:pPr>
      <w:r>
        <w:rPr>
          <w:rFonts w:ascii="Times-Roman" w:eastAsia="Times New Roman" w:hAnsi="Times-Roman" w:cs="Times-Roman"/>
          <w:color w:val="000000"/>
          <w:lang w:val="x-none"/>
        </w:rPr>
        <w:t>Telephone: (614) 365-4100</w:t>
      </w:r>
    </w:p>
    <w:p w14:paraId="6532B176" w14:textId="77777777" w:rsidR="00D437D5" w:rsidRDefault="00D437D5" w:rsidP="00DB59E0">
      <w:pPr>
        <w:autoSpaceDE w:val="0"/>
        <w:autoSpaceDN w:val="0"/>
        <w:adjustRightInd w:val="0"/>
        <w:snapToGrid w:val="0"/>
        <w:ind w:left="3600" w:firstLine="720"/>
        <w:jc w:val="left"/>
        <w:rPr>
          <w:rFonts w:ascii="Times-Roman" w:eastAsia="Times New Roman" w:hAnsi="Times-Roman" w:cs="Times-Roman"/>
          <w:color w:val="0000FF"/>
          <w:lang w:val="x-none"/>
        </w:rPr>
      </w:pPr>
      <w:r>
        <w:rPr>
          <w:rFonts w:ascii="Times-Roman" w:eastAsia="Times New Roman" w:hAnsi="Times-Roman" w:cs="Times-Roman"/>
          <w:color w:val="000000"/>
          <w:lang w:val="x-none"/>
        </w:rPr>
        <w:t xml:space="preserve">Email: </w:t>
      </w:r>
      <w:r>
        <w:rPr>
          <w:rFonts w:ascii="Times-Roman" w:eastAsia="Times New Roman" w:hAnsi="Times-Roman" w:cs="Times-Roman"/>
          <w:color w:val="0000FF"/>
          <w:lang w:val="x-none"/>
        </w:rPr>
        <w:t>paul@carpenterlipps.com</w:t>
      </w:r>
    </w:p>
    <w:p w14:paraId="64CEFB8B" w14:textId="77777777" w:rsidR="00D437D5" w:rsidRDefault="00D437D5" w:rsidP="00DB59E0">
      <w:pPr>
        <w:autoSpaceDE w:val="0"/>
        <w:autoSpaceDN w:val="0"/>
        <w:adjustRightInd w:val="0"/>
        <w:snapToGrid w:val="0"/>
        <w:ind w:left="3600" w:firstLine="720"/>
        <w:jc w:val="left"/>
        <w:rPr>
          <w:rFonts w:ascii="Times-Roman" w:eastAsia="Times New Roman" w:hAnsi="Times-Roman" w:cs="Times-Roman"/>
          <w:color w:val="000000"/>
          <w:lang w:val="x-none"/>
        </w:rPr>
      </w:pPr>
      <w:r>
        <w:rPr>
          <w:rFonts w:ascii="Times-Roman" w:eastAsia="Times New Roman" w:hAnsi="Times-Roman" w:cs="Times-Roman"/>
          <w:color w:val="000000"/>
          <w:lang w:val="x-none"/>
        </w:rPr>
        <w:t>(</w:t>
      </w:r>
      <w:r>
        <w:rPr>
          <w:rFonts w:ascii="Times-Roman" w:eastAsia="Times New Roman" w:hAnsi="Times-Roman" w:cs="Times-Roman"/>
          <w:color w:val="000000"/>
        </w:rPr>
        <w:t xml:space="preserve">will </w:t>
      </w:r>
      <w:r>
        <w:rPr>
          <w:rFonts w:ascii="Times-Roman" w:eastAsia="Times New Roman" w:hAnsi="Times-Roman" w:cs="Times-Roman"/>
          <w:color w:val="000000"/>
          <w:lang w:val="x-none"/>
        </w:rPr>
        <w:t xml:space="preserve">accept service </w:t>
      </w:r>
      <w:r>
        <w:rPr>
          <w:rFonts w:ascii="Times-Roman" w:eastAsia="Times New Roman" w:hAnsi="Times-Roman" w:cs="Times-Roman"/>
          <w:color w:val="000000"/>
        </w:rPr>
        <w:t>via</w:t>
      </w:r>
      <w:r>
        <w:rPr>
          <w:rFonts w:ascii="Times-Roman" w:eastAsia="Times New Roman" w:hAnsi="Times-Roman" w:cs="Times-Roman"/>
          <w:color w:val="000000"/>
          <w:lang w:val="x-none"/>
        </w:rPr>
        <w:t xml:space="preserve"> email)</w:t>
      </w:r>
    </w:p>
    <w:p w14:paraId="7394F11D" w14:textId="77777777" w:rsidR="00D437D5" w:rsidRDefault="00D437D5" w:rsidP="00D437D5">
      <w:pPr>
        <w:autoSpaceDE w:val="0"/>
        <w:autoSpaceDN w:val="0"/>
        <w:adjustRightInd w:val="0"/>
        <w:snapToGrid w:val="0"/>
        <w:jc w:val="left"/>
        <w:rPr>
          <w:rFonts w:ascii="Times-Roman" w:eastAsia="Times New Roman" w:hAnsi="Times-Roman" w:cs="Times-Roman"/>
          <w:color w:val="000000"/>
          <w:lang w:val="x-none"/>
        </w:rPr>
      </w:pPr>
    </w:p>
    <w:p w14:paraId="33F2DBC6" w14:textId="77777777" w:rsidR="00D437D5" w:rsidRPr="00C02AD6" w:rsidRDefault="00D437D5" w:rsidP="00DB59E0">
      <w:pPr>
        <w:autoSpaceDE w:val="0"/>
        <w:autoSpaceDN w:val="0"/>
        <w:adjustRightInd w:val="0"/>
        <w:snapToGrid w:val="0"/>
        <w:ind w:left="3600" w:firstLine="720"/>
        <w:jc w:val="left"/>
        <w:rPr>
          <w:rFonts w:eastAsia="Times New Roman" w:cs="Arial"/>
          <w:b/>
          <w:smallCaps/>
          <w:color w:val="000000"/>
          <w:lang w:val="x-none"/>
        </w:rPr>
      </w:pPr>
      <w:r>
        <w:rPr>
          <w:rFonts w:eastAsia="Times New Roman" w:cs="Arial"/>
          <w:b/>
          <w:smallCaps/>
          <w:color w:val="000000"/>
        </w:rPr>
        <w:t>On Behalf of</w:t>
      </w:r>
      <w:r w:rsidRPr="00C02AD6">
        <w:rPr>
          <w:rFonts w:eastAsia="Times New Roman" w:cs="Arial"/>
          <w:b/>
          <w:smallCaps/>
          <w:color w:val="000000"/>
          <w:lang w:val="x-none"/>
        </w:rPr>
        <w:t xml:space="preserve"> The Kroger Co.</w:t>
      </w:r>
    </w:p>
    <w:p w14:paraId="6F21F3C1" w14:textId="77777777" w:rsidR="00D437D5" w:rsidRPr="00DB59E0" w:rsidRDefault="00D437D5" w:rsidP="00DB59E0">
      <w:pPr>
        <w:ind w:left="4320"/>
        <w:jc w:val="left"/>
      </w:pPr>
    </w:p>
    <w:p w14:paraId="56F59B9B" w14:textId="5AC98531" w:rsidR="00566E4E" w:rsidRDefault="00566E4E" w:rsidP="00566E4E">
      <w:pPr>
        <w:rPr>
          <w:rFonts w:eastAsia="Calibri" w:cs="Arial"/>
          <w:b/>
        </w:rPr>
        <w:sectPr w:rsidR="00566E4E" w:rsidSect="0056245F">
          <w:pgSz w:w="12240" w:h="15840"/>
          <w:pgMar w:top="1440" w:right="1440" w:bottom="1440" w:left="1440" w:header="720" w:footer="720" w:gutter="0"/>
          <w:pgNumType w:start="4"/>
          <w:cols w:space="720"/>
          <w:titlePg/>
          <w:docGrid w:linePitch="326"/>
        </w:sectPr>
      </w:pPr>
    </w:p>
    <w:p w14:paraId="7D856AAE" w14:textId="77777777" w:rsidR="00C26C52" w:rsidRDefault="00C26C52" w:rsidP="00C26C52">
      <w:pPr>
        <w:jc w:val="center"/>
        <w:rPr>
          <w:rFonts w:eastAsia="Calibri" w:cs="Arial"/>
          <w:b/>
        </w:rPr>
      </w:pPr>
      <w:bookmarkStart w:id="33" w:name="_Toc385406742"/>
      <w:bookmarkStart w:id="34" w:name="_Toc381606702"/>
      <w:r>
        <w:rPr>
          <w:rFonts w:eastAsia="Calibri" w:cs="Arial"/>
          <w:b/>
        </w:rPr>
        <w:t>CERTIFICATE OF SERVICE</w:t>
      </w:r>
    </w:p>
    <w:p w14:paraId="025A9B30" w14:textId="77777777" w:rsidR="00C26C52" w:rsidRDefault="00C26C52" w:rsidP="00C26C52">
      <w:pPr>
        <w:jc w:val="center"/>
        <w:rPr>
          <w:rFonts w:eastAsia="Calibri" w:cs="Arial"/>
          <w:b/>
        </w:rPr>
      </w:pPr>
    </w:p>
    <w:p w14:paraId="69002B38" w14:textId="77777777" w:rsidR="00C26C52" w:rsidRDefault="00C26C52" w:rsidP="00C26C52">
      <w:pPr>
        <w:jc w:val="center"/>
        <w:rPr>
          <w:rFonts w:eastAsia="Calibri" w:cs="Arial"/>
          <w:b/>
        </w:rPr>
      </w:pPr>
    </w:p>
    <w:bookmarkEnd w:id="33"/>
    <w:bookmarkEnd w:id="34"/>
    <w:p w14:paraId="4686F8AF" w14:textId="33CECAFD" w:rsidR="00C26C52" w:rsidRDefault="00C26C52" w:rsidP="00526079">
      <w:pPr>
        <w:spacing w:line="480" w:lineRule="auto"/>
        <w:ind w:firstLine="720"/>
        <w:rPr>
          <w:smallCaps/>
          <w:lang w:eastAsia="x-none"/>
        </w:rPr>
      </w:pPr>
      <w:r>
        <w:rPr>
          <w:lang w:val="x-none" w:eastAsia="x-none"/>
        </w:rPr>
        <w:t xml:space="preserve">In accordance with Rule 4901-1-05, Ohio Administrative Code, the PUCO's e-filing system will electronically serve notice of the filing of this document upon the following parties.  In addition, I hereby certify that a service copy of the </w:t>
      </w:r>
      <w:r w:rsidRPr="00526079">
        <w:rPr>
          <w:lang w:val="x-none" w:eastAsia="x-none"/>
        </w:rPr>
        <w:t xml:space="preserve">foregoing </w:t>
      </w:r>
      <w:r w:rsidRPr="00526079">
        <w:rPr>
          <w:i/>
          <w:szCs w:val="28"/>
        </w:rPr>
        <w:t>Motions of Industrial Energy Users-Ohio, the Office of the Ohio Consumers’ Counsel, Ohio Partners for Affordable Energy, The Kroger Co., and Ohio Manufacturers</w:t>
      </w:r>
      <w:r w:rsidR="00AF6DEA">
        <w:rPr>
          <w:i/>
          <w:szCs w:val="28"/>
        </w:rPr>
        <w:t>’ Association</w:t>
      </w:r>
      <w:r w:rsidRPr="00526079">
        <w:rPr>
          <w:i/>
          <w:szCs w:val="28"/>
        </w:rPr>
        <w:t xml:space="preserve"> Energy Group for an Order Dismissing the Application or in the Alternative </w:t>
      </w:r>
      <w:r w:rsidR="001C6BF5">
        <w:rPr>
          <w:i/>
          <w:szCs w:val="28"/>
        </w:rPr>
        <w:t>Staying</w:t>
      </w:r>
      <w:r w:rsidRPr="00526079">
        <w:rPr>
          <w:i/>
          <w:szCs w:val="28"/>
        </w:rPr>
        <w:t xml:space="preserve"> the Proceeding</w:t>
      </w:r>
      <w:r>
        <w:rPr>
          <w:i/>
          <w:lang w:eastAsia="x-none"/>
        </w:rPr>
        <w:t xml:space="preserve"> </w:t>
      </w:r>
      <w:r>
        <w:rPr>
          <w:lang w:val="x-none" w:eastAsia="x-none"/>
        </w:rPr>
        <w:t>was sent by, or on behalf of, the undersigned counsel for IEU-Ohio to the following parties of record this</w:t>
      </w:r>
      <w:r>
        <w:rPr>
          <w:lang w:eastAsia="x-none"/>
        </w:rPr>
        <w:t xml:space="preserve"> __</w:t>
      </w:r>
      <w:r>
        <w:rPr>
          <w:lang w:val="x-none" w:eastAsia="x-none"/>
        </w:rPr>
        <w:t xml:space="preserve"> day of </w:t>
      </w:r>
      <w:r>
        <w:rPr>
          <w:lang w:eastAsia="x-none"/>
        </w:rPr>
        <w:t>_____ 2017</w:t>
      </w:r>
      <w:r>
        <w:rPr>
          <w:lang w:val="x-none" w:eastAsia="x-none"/>
        </w:rPr>
        <w:t xml:space="preserve">, </w:t>
      </w:r>
      <w:r>
        <w:rPr>
          <w:i/>
          <w:lang w:val="x-none" w:eastAsia="x-none"/>
        </w:rPr>
        <w:t>via</w:t>
      </w:r>
      <w:r>
        <w:rPr>
          <w:lang w:val="x-none" w:eastAsia="x-none"/>
        </w:rPr>
        <w:t xml:space="preserve"> electronic transmission. </w:t>
      </w:r>
    </w:p>
    <w:p w14:paraId="42FF2D49" w14:textId="77777777" w:rsidR="00C26C52" w:rsidRDefault="00C26C52" w:rsidP="00C26C52">
      <w:pPr>
        <w:tabs>
          <w:tab w:val="left" w:pos="-1440"/>
          <w:tab w:val="left" w:pos="-720"/>
          <w:tab w:val="left" w:pos="5040"/>
          <w:tab w:val="center" w:pos="7200"/>
        </w:tabs>
        <w:rPr>
          <w:rFonts w:eastAsia="Calibri"/>
          <w:i/>
          <w:u w:val="single"/>
        </w:rPr>
      </w:pPr>
      <w:r>
        <w:rPr>
          <w:rFonts w:eastAsia="Calibri"/>
        </w:rPr>
        <w:tab/>
      </w:r>
      <w:r>
        <w:rPr>
          <w:rFonts w:eastAsia="Calibri"/>
          <w:i/>
          <w:u w:val="single"/>
        </w:rPr>
        <w:t>/s/ Frank P. Darr</w:t>
      </w:r>
      <w:r>
        <w:rPr>
          <w:rFonts w:eastAsia="Calibri"/>
          <w:i/>
          <w:u w:val="single"/>
        </w:rPr>
        <w:tab/>
      </w:r>
      <w:r>
        <w:rPr>
          <w:rFonts w:eastAsia="Calibri"/>
          <w:i/>
          <w:u w:val="single"/>
        </w:rPr>
        <w:tab/>
      </w:r>
      <w:r>
        <w:rPr>
          <w:rFonts w:eastAsia="Calibri"/>
          <w:i/>
          <w:u w:val="single"/>
        </w:rPr>
        <w:tab/>
      </w:r>
      <w:r>
        <w:rPr>
          <w:rFonts w:eastAsia="Calibri"/>
          <w:i/>
          <w:u w:val="single"/>
        </w:rPr>
        <w:tab/>
      </w:r>
    </w:p>
    <w:p w14:paraId="52792FF2" w14:textId="72F07A76" w:rsidR="00C26C52" w:rsidRDefault="00DB59E0" w:rsidP="00C26C52">
      <w:pPr>
        <w:tabs>
          <w:tab w:val="left" w:pos="-1440"/>
          <w:tab w:val="left" w:pos="-720"/>
          <w:tab w:val="left" w:pos="5040"/>
          <w:tab w:val="center" w:pos="7200"/>
        </w:tabs>
        <w:jc w:val="center"/>
        <w:rPr>
          <w:rFonts w:eastAsia="Calibri"/>
        </w:rPr>
      </w:pPr>
      <w:r>
        <w:rPr>
          <w:rFonts w:eastAsia="Calibri"/>
        </w:rPr>
        <w:tab/>
      </w:r>
      <w:r w:rsidR="00C26C52">
        <w:rPr>
          <w:rFonts w:eastAsia="Calibri"/>
        </w:rPr>
        <w:t>Frank P. Darr</w:t>
      </w:r>
    </w:p>
    <w:p w14:paraId="1032B963" w14:textId="77777777" w:rsidR="00C26C52" w:rsidRDefault="00C26C52" w:rsidP="00C26C52">
      <w:pPr>
        <w:tabs>
          <w:tab w:val="left" w:pos="-1440"/>
          <w:tab w:val="left" w:pos="-720"/>
          <w:tab w:val="left" w:pos="5040"/>
          <w:tab w:val="center" w:pos="7200"/>
        </w:tabs>
        <w:rPr>
          <w:rFonts w:eastAsia="Calibri"/>
        </w:rPr>
        <w:sectPr w:rsidR="00C26C52" w:rsidSect="00C26C52">
          <w:headerReference w:type="even" r:id="rId29"/>
          <w:headerReference w:type="default" r:id="rId30"/>
          <w:footerReference w:type="even" r:id="rId31"/>
          <w:footerReference w:type="default" r:id="rId32"/>
          <w:headerReference w:type="first" r:id="rId33"/>
          <w:footerReference w:type="first" r:id="rId34"/>
          <w:pgSz w:w="12240" w:h="15840" w:code="1"/>
          <w:pgMar w:top="1440" w:right="1440" w:bottom="1141" w:left="1440" w:header="720" w:footer="720" w:gutter="0"/>
          <w:pgNumType w:start="1"/>
          <w:cols w:space="720"/>
          <w:titlePg/>
          <w:docGrid w:linePitch="326"/>
        </w:sectPr>
      </w:pPr>
    </w:p>
    <w:p w14:paraId="35136E76" w14:textId="79AA2AA3" w:rsidR="00C26C52" w:rsidRDefault="00C26C52" w:rsidP="00C26C52">
      <w:pPr>
        <w:tabs>
          <w:tab w:val="left" w:pos="-1440"/>
          <w:tab w:val="left" w:pos="-720"/>
          <w:tab w:val="left" w:pos="5040"/>
          <w:tab w:val="center" w:pos="7200"/>
        </w:tabs>
        <w:rPr>
          <w:rFonts w:eastAsia="Calibri"/>
        </w:rPr>
      </w:pPr>
    </w:p>
    <w:p w14:paraId="458186CC" w14:textId="77777777" w:rsidR="00C26C52" w:rsidRDefault="00C26C52" w:rsidP="00DB59E0">
      <w:pPr>
        <w:jc w:val="left"/>
        <w:rPr>
          <w:rFonts w:cs="Arial"/>
          <w:color w:val="000000"/>
        </w:rPr>
      </w:pPr>
      <w:r>
        <w:rPr>
          <w:rFonts w:cs="Arial"/>
          <w:color w:val="000000"/>
        </w:rPr>
        <w:t>Amy B. Spiller</w:t>
      </w:r>
    </w:p>
    <w:p w14:paraId="151D2976" w14:textId="77777777" w:rsidR="00C26C52" w:rsidRDefault="00C26C52" w:rsidP="00DB59E0">
      <w:pPr>
        <w:jc w:val="left"/>
        <w:rPr>
          <w:rFonts w:cs="Arial"/>
          <w:color w:val="000000"/>
        </w:rPr>
      </w:pPr>
      <w:r>
        <w:rPr>
          <w:rFonts w:cs="Arial"/>
          <w:color w:val="000000"/>
        </w:rPr>
        <w:t>Deputy General Counsel</w:t>
      </w:r>
    </w:p>
    <w:p w14:paraId="1ACC562E" w14:textId="77777777" w:rsidR="00C26C52" w:rsidRDefault="00C26C52" w:rsidP="00DB59E0">
      <w:pPr>
        <w:jc w:val="left"/>
        <w:rPr>
          <w:rFonts w:cs="Arial"/>
          <w:color w:val="000000"/>
        </w:rPr>
      </w:pPr>
      <w:r>
        <w:rPr>
          <w:rFonts w:cs="Arial"/>
          <w:color w:val="000000"/>
        </w:rPr>
        <w:t>Jeanne W. Kingery</w:t>
      </w:r>
    </w:p>
    <w:p w14:paraId="2C12F309" w14:textId="77777777" w:rsidR="00C26C52" w:rsidRDefault="00C26C52" w:rsidP="00DB59E0">
      <w:pPr>
        <w:jc w:val="left"/>
        <w:rPr>
          <w:rFonts w:cs="Arial"/>
          <w:color w:val="000000"/>
        </w:rPr>
      </w:pPr>
      <w:r>
        <w:rPr>
          <w:rFonts w:cs="Arial"/>
          <w:color w:val="000000"/>
        </w:rPr>
        <w:t>Elizabeth H. Watts</w:t>
      </w:r>
    </w:p>
    <w:p w14:paraId="6E026F51" w14:textId="77777777" w:rsidR="00C26C52" w:rsidRDefault="00C26C52" w:rsidP="00DB59E0">
      <w:pPr>
        <w:jc w:val="left"/>
        <w:rPr>
          <w:rFonts w:cs="Arial"/>
          <w:color w:val="000000"/>
        </w:rPr>
      </w:pPr>
      <w:r>
        <w:rPr>
          <w:rFonts w:cs="Arial"/>
          <w:color w:val="000000"/>
        </w:rPr>
        <w:t>Rocco D’Ascenzo</w:t>
      </w:r>
    </w:p>
    <w:p w14:paraId="6E756877" w14:textId="77777777" w:rsidR="00C26C52" w:rsidRDefault="00C26C52" w:rsidP="00DB59E0">
      <w:pPr>
        <w:jc w:val="left"/>
        <w:rPr>
          <w:rFonts w:cs="Arial"/>
          <w:color w:val="000000"/>
        </w:rPr>
      </w:pPr>
      <w:r>
        <w:rPr>
          <w:rFonts w:cs="Arial"/>
          <w:color w:val="000000"/>
        </w:rPr>
        <w:t>139 E. Fourth Street</w:t>
      </w:r>
    </w:p>
    <w:p w14:paraId="293588C1" w14:textId="77777777" w:rsidR="00C26C52" w:rsidRDefault="00C26C52" w:rsidP="00DB59E0">
      <w:pPr>
        <w:jc w:val="left"/>
        <w:rPr>
          <w:rFonts w:cs="Arial"/>
          <w:color w:val="000000"/>
        </w:rPr>
      </w:pPr>
      <w:r>
        <w:rPr>
          <w:rFonts w:cs="Arial"/>
          <w:color w:val="000000"/>
        </w:rPr>
        <w:t>1303-Main</w:t>
      </w:r>
    </w:p>
    <w:p w14:paraId="05CC20C5" w14:textId="77777777" w:rsidR="00C26C52" w:rsidRDefault="00C26C52" w:rsidP="00DB59E0">
      <w:pPr>
        <w:jc w:val="left"/>
        <w:rPr>
          <w:rFonts w:cs="Arial"/>
          <w:color w:val="000000"/>
        </w:rPr>
      </w:pPr>
      <w:r>
        <w:rPr>
          <w:rFonts w:cs="Arial"/>
          <w:color w:val="000000"/>
        </w:rPr>
        <w:t>Cincinnati, OH  45202</w:t>
      </w:r>
    </w:p>
    <w:p w14:paraId="0311D214" w14:textId="77777777" w:rsidR="00C26C52" w:rsidRDefault="00C26C52" w:rsidP="00DB59E0">
      <w:pPr>
        <w:jc w:val="left"/>
        <w:rPr>
          <w:rFonts w:cs="Arial"/>
          <w:color w:val="000000"/>
        </w:rPr>
      </w:pPr>
      <w:r>
        <w:rPr>
          <w:rFonts w:cs="Arial"/>
        </w:rPr>
        <w:t>Amy.spiller@duke-energy.com</w:t>
      </w:r>
    </w:p>
    <w:p w14:paraId="5DB4F8B2" w14:textId="77777777" w:rsidR="00C26C52" w:rsidRDefault="00C26C52" w:rsidP="00DB59E0">
      <w:pPr>
        <w:jc w:val="left"/>
        <w:rPr>
          <w:rFonts w:cs="Arial"/>
          <w:color w:val="000000"/>
        </w:rPr>
      </w:pPr>
      <w:r>
        <w:rPr>
          <w:rFonts w:cs="Arial"/>
        </w:rPr>
        <w:t>Jeanne.kingery@duke-energy.com</w:t>
      </w:r>
    </w:p>
    <w:p w14:paraId="02B59DAF" w14:textId="77777777" w:rsidR="00C26C52" w:rsidRDefault="00C26C52" w:rsidP="00DB59E0">
      <w:pPr>
        <w:jc w:val="left"/>
        <w:rPr>
          <w:rFonts w:cs="Arial"/>
          <w:color w:val="000000"/>
        </w:rPr>
      </w:pPr>
      <w:r>
        <w:rPr>
          <w:rFonts w:cs="Arial"/>
        </w:rPr>
        <w:t>Elizabeth.watts@duke-energy.com</w:t>
      </w:r>
    </w:p>
    <w:p w14:paraId="0C6F04F7" w14:textId="77777777" w:rsidR="00C26C52" w:rsidRDefault="00C26C52" w:rsidP="00DB59E0">
      <w:pPr>
        <w:jc w:val="left"/>
        <w:rPr>
          <w:rFonts w:cs="Arial"/>
          <w:color w:val="000000"/>
        </w:rPr>
      </w:pPr>
      <w:r>
        <w:rPr>
          <w:rFonts w:cs="Arial"/>
          <w:color w:val="000000"/>
        </w:rPr>
        <w:t>Rocco.d’ascenzo@duke-energy.com</w:t>
      </w:r>
    </w:p>
    <w:p w14:paraId="1A1E28AA" w14:textId="77777777" w:rsidR="00C26C52" w:rsidRDefault="00C26C52" w:rsidP="00DB59E0">
      <w:pPr>
        <w:jc w:val="left"/>
        <w:rPr>
          <w:rFonts w:cs="Arial"/>
          <w:color w:val="000000"/>
        </w:rPr>
      </w:pPr>
    </w:p>
    <w:p w14:paraId="120ABD52" w14:textId="77777777" w:rsidR="00C26C52" w:rsidRDefault="00C26C52" w:rsidP="00DB59E0">
      <w:pPr>
        <w:jc w:val="left"/>
        <w:rPr>
          <w:rFonts w:ascii="Arial Bold" w:hAnsi="Arial Bold" w:cs="Arial"/>
          <w:b/>
          <w:smallCaps/>
          <w:color w:val="000000"/>
        </w:rPr>
      </w:pPr>
      <w:r>
        <w:rPr>
          <w:rFonts w:ascii="Arial Bold" w:hAnsi="Arial Bold" w:cs="Arial"/>
          <w:b/>
          <w:smallCaps/>
          <w:color w:val="000000"/>
        </w:rPr>
        <w:t>Counsel for Duke Energy Ohio, Inc.</w:t>
      </w:r>
    </w:p>
    <w:p w14:paraId="410DA687" w14:textId="77777777" w:rsidR="00C26C52" w:rsidRDefault="00C26C52" w:rsidP="00DB59E0">
      <w:pPr>
        <w:jc w:val="left"/>
        <w:rPr>
          <w:rFonts w:cs="Arial"/>
          <w:color w:val="000000"/>
        </w:rPr>
      </w:pPr>
    </w:p>
    <w:p w14:paraId="43BA5FEC" w14:textId="77777777" w:rsidR="00C26C52" w:rsidRDefault="00C26C52" w:rsidP="00DB59E0">
      <w:pPr>
        <w:jc w:val="left"/>
        <w:rPr>
          <w:rFonts w:cs="Arial"/>
          <w:color w:val="000000"/>
        </w:rPr>
      </w:pPr>
      <w:r>
        <w:rPr>
          <w:rFonts w:cs="Arial"/>
          <w:color w:val="000000"/>
        </w:rPr>
        <w:t>William Wright</w:t>
      </w:r>
    </w:p>
    <w:p w14:paraId="5FFEBED8" w14:textId="77777777" w:rsidR="00C26C52" w:rsidRDefault="00C26C52" w:rsidP="00DB59E0">
      <w:pPr>
        <w:jc w:val="left"/>
        <w:rPr>
          <w:rFonts w:cs="Arial"/>
          <w:color w:val="000000"/>
        </w:rPr>
      </w:pPr>
      <w:r>
        <w:rPr>
          <w:rFonts w:cs="Arial"/>
          <w:color w:val="000000"/>
        </w:rPr>
        <w:t>Public Utilities Section</w:t>
      </w:r>
    </w:p>
    <w:p w14:paraId="4AEC43B4" w14:textId="77777777" w:rsidR="00C26C52" w:rsidRDefault="00C26C52" w:rsidP="00DB59E0">
      <w:pPr>
        <w:jc w:val="left"/>
        <w:rPr>
          <w:rFonts w:cs="Arial"/>
          <w:color w:val="000000"/>
        </w:rPr>
      </w:pPr>
      <w:r>
        <w:rPr>
          <w:rFonts w:cs="Arial"/>
          <w:color w:val="000000"/>
        </w:rPr>
        <w:t>Attorney General’s Office</w:t>
      </w:r>
    </w:p>
    <w:p w14:paraId="64EE250F" w14:textId="77777777" w:rsidR="00C26C52" w:rsidRDefault="00C26C52" w:rsidP="00DB59E0">
      <w:pPr>
        <w:jc w:val="left"/>
        <w:rPr>
          <w:rFonts w:cs="Arial"/>
          <w:color w:val="000000"/>
        </w:rPr>
      </w:pPr>
      <w:r>
        <w:rPr>
          <w:rFonts w:cs="Arial"/>
          <w:color w:val="000000"/>
        </w:rPr>
        <w:t>30 East Broad Street, 16</w:t>
      </w:r>
      <w:r>
        <w:rPr>
          <w:rFonts w:cs="Arial"/>
          <w:color w:val="000000"/>
          <w:vertAlign w:val="superscript"/>
        </w:rPr>
        <w:t>th</w:t>
      </w:r>
      <w:r>
        <w:rPr>
          <w:rFonts w:cs="Arial"/>
          <w:color w:val="000000"/>
        </w:rPr>
        <w:t xml:space="preserve"> Floor</w:t>
      </w:r>
    </w:p>
    <w:p w14:paraId="1F109408" w14:textId="77777777" w:rsidR="00C26C52" w:rsidRDefault="00C26C52" w:rsidP="00DB59E0">
      <w:pPr>
        <w:jc w:val="left"/>
        <w:rPr>
          <w:rFonts w:cs="Arial"/>
          <w:color w:val="000000"/>
        </w:rPr>
      </w:pPr>
      <w:r>
        <w:rPr>
          <w:rFonts w:cs="Arial"/>
          <w:color w:val="000000"/>
        </w:rPr>
        <w:t>Columbus, Ohio 43215</w:t>
      </w:r>
    </w:p>
    <w:p w14:paraId="5A0BB9BE" w14:textId="77777777" w:rsidR="00C26C52" w:rsidRDefault="00C26C52" w:rsidP="00DB59E0">
      <w:pPr>
        <w:jc w:val="left"/>
        <w:rPr>
          <w:rFonts w:cs="Arial"/>
          <w:color w:val="000000"/>
        </w:rPr>
      </w:pPr>
      <w:r>
        <w:rPr>
          <w:rFonts w:cs="Arial"/>
        </w:rPr>
        <w:t>William.wright@ohioattorneygeneral.gov</w:t>
      </w:r>
    </w:p>
    <w:p w14:paraId="0EE188C4" w14:textId="77777777" w:rsidR="00C26C52" w:rsidRDefault="00C26C52" w:rsidP="00DB59E0">
      <w:pPr>
        <w:jc w:val="left"/>
        <w:rPr>
          <w:rFonts w:cs="Arial"/>
          <w:color w:val="000000"/>
        </w:rPr>
      </w:pPr>
    </w:p>
    <w:p w14:paraId="7D487967" w14:textId="77777777" w:rsidR="00C26C52" w:rsidRDefault="00C26C52" w:rsidP="00DB59E0">
      <w:pPr>
        <w:jc w:val="left"/>
        <w:rPr>
          <w:rFonts w:ascii="Arial Bold" w:hAnsi="Arial Bold" w:cs="Arial"/>
          <w:b/>
          <w:smallCaps/>
          <w:color w:val="000000"/>
        </w:rPr>
      </w:pPr>
      <w:r>
        <w:rPr>
          <w:rFonts w:ascii="Arial Bold" w:hAnsi="Arial Bold" w:cs="Arial"/>
          <w:b/>
          <w:smallCaps/>
          <w:color w:val="000000"/>
        </w:rPr>
        <w:t>Counsel for the Staff of the Public Utilities Commission of Ohio</w:t>
      </w:r>
    </w:p>
    <w:p w14:paraId="60665914" w14:textId="6D90FEEF" w:rsidR="00C26C52" w:rsidRDefault="00526079" w:rsidP="00DB59E0">
      <w:pPr>
        <w:jc w:val="left"/>
        <w:rPr>
          <w:rFonts w:cs="Arial"/>
          <w:color w:val="000000"/>
        </w:rPr>
      </w:pPr>
      <w:r>
        <w:rPr>
          <w:rFonts w:cs="Arial"/>
          <w:color w:val="000000"/>
        </w:rPr>
        <w:br w:type="column"/>
      </w:r>
    </w:p>
    <w:p w14:paraId="51744D6D" w14:textId="47B442F4" w:rsidR="00C26C52" w:rsidRDefault="00C26C52" w:rsidP="00DB59E0">
      <w:pPr>
        <w:jc w:val="left"/>
      </w:pPr>
      <w:r>
        <w:t>Kimberly W. Bojko (0069402)</w:t>
      </w:r>
    </w:p>
    <w:p w14:paraId="75CB1D6B" w14:textId="77777777" w:rsidR="00C26C52" w:rsidRDefault="00C26C52" w:rsidP="00DB59E0">
      <w:pPr>
        <w:jc w:val="left"/>
      </w:pPr>
      <w:r>
        <w:t>Counsel of Record</w:t>
      </w:r>
    </w:p>
    <w:p w14:paraId="0C349560" w14:textId="77777777" w:rsidR="00C26C52" w:rsidRDefault="00C26C52" w:rsidP="00DB59E0">
      <w:pPr>
        <w:jc w:val="left"/>
      </w:pPr>
      <w:r>
        <w:t>James D. Perko, Jr. (0093312)</w:t>
      </w:r>
    </w:p>
    <w:p w14:paraId="58532EF5" w14:textId="77777777" w:rsidR="00C26C52" w:rsidRDefault="00C26C52" w:rsidP="00DB59E0">
      <w:pPr>
        <w:jc w:val="left"/>
      </w:pPr>
      <w:r>
        <w:t>Carpenter Lipps &amp; Leland LLP</w:t>
      </w:r>
    </w:p>
    <w:p w14:paraId="0A3D57DB" w14:textId="77777777" w:rsidR="00C26C52" w:rsidRDefault="00C26C52" w:rsidP="00DB59E0">
      <w:pPr>
        <w:jc w:val="left"/>
      </w:pPr>
      <w:r>
        <w:t>280 Plaza, Suite 1300</w:t>
      </w:r>
    </w:p>
    <w:p w14:paraId="6E6020C8" w14:textId="77777777" w:rsidR="00C26C52" w:rsidRDefault="00C26C52" w:rsidP="00DB59E0">
      <w:pPr>
        <w:jc w:val="left"/>
      </w:pPr>
      <w:r>
        <w:t>280 North High Street</w:t>
      </w:r>
    </w:p>
    <w:p w14:paraId="78D689A5" w14:textId="77777777" w:rsidR="00C26C52" w:rsidRDefault="00C26C52" w:rsidP="00DB59E0">
      <w:pPr>
        <w:jc w:val="left"/>
      </w:pPr>
      <w:r>
        <w:t>Columbus, Ohio  43215</w:t>
      </w:r>
    </w:p>
    <w:p w14:paraId="596B7BD8" w14:textId="77777777" w:rsidR="00C26C52" w:rsidRDefault="00C26C52" w:rsidP="00DB59E0">
      <w:pPr>
        <w:jc w:val="left"/>
      </w:pPr>
      <w:r>
        <w:t>Bojko@carpenterlipps.com</w:t>
      </w:r>
    </w:p>
    <w:p w14:paraId="0B7B05E2" w14:textId="77777777" w:rsidR="00C26C52" w:rsidRDefault="00C26C52" w:rsidP="00DB59E0">
      <w:pPr>
        <w:jc w:val="left"/>
      </w:pPr>
      <w:r>
        <w:t>Perko@carpenterlipps.com</w:t>
      </w:r>
    </w:p>
    <w:p w14:paraId="099D5E9C" w14:textId="77777777" w:rsidR="00C26C52" w:rsidRDefault="00C26C52" w:rsidP="00DB59E0">
      <w:pPr>
        <w:jc w:val="left"/>
      </w:pPr>
    </w:p>
    <w:p w14:paraId="7543404A" w14:textId="77777777" w:rsidR="00C26C52" w:rsidRDefault="00C26C52" w:rsidP="00DB59E0">
      <w:pPr>
        <w:jc w:val="left"/>
        <w:rPr>
          <w:rFonts w:ascii="Arial Bold" w:hAnsi="Arial Bold"/>
          <w:b/>
          <w:smallCaps/>
        </w:rPr>
      </w:pPr>
      <w:r>
        <w:rPr>
          <w:rFonts w:ascii="Arial Bold" w:hAnsi="Arial Bold"/>
          <w:b/>
          <w:smallCaps/>
        </w:rPr>
        <w:t>Counsel for the Ohio Manufacturers’ Association Energy Group</w:t>
      </w:r>
    </w:p>
    <w:p w14:paraId="30064AE0" w14:textId="77777777" w:rsidR="00C26C52" w:rsidRDefault="00C26C52" w:rsidP="00DB59E0">
      <w:pPr>
        <w:jc w:val="left"/>
        <w:rPr>
          <w:rFonts w:ascii="Arial Bold" w:hAnsi="Arial Bold"/>
          <w:b/>
          <w:smallCaps/>
        </w:rPr>
      </w:pPr>
    </w:p>
    <w:p w14:paraId="7C732DBE" w14:textId="77777777" w:rsidR="00C26C52" w:rsidRDefault="00C26C52" w:rsidP="00DB59E0">
      <w:pPr>
        <w:jc w:val="left"/>
        <w:rPr>
          <w:rFonts w:cs="Arial"/>
        </w:rPr>
      </w:pPr>
      <w:r>
        <w:rPr>
          <w:rFonts w:cs="Arial"/>
        </w:rPr>
        <w:t>Angela Paul Whitfield (0068774)</w:t>
      </w:r>
    </w:p>
    <w:p w14:paraId="69AEBEF8" w14:textId="77777777" w:rsidR="00C26C52" w:rsidRDefault="00C26C52" w:rsidP="00DB59E0">
      <w:pPr>
        <w:jc w:val="left"/>
        <w:rPr>
          <w:rFonts w:cs="Arial"/>
        </w:rPr>
      </w:pPr>
      <w:r>
        <w:rPr>
          <w:rFonts w:cs="Arial"/>
        </w:rPr>
        <w:t>Counsel of Record</w:t>
      </w:r>
    </w:p>
    <w:p w14:paraId="6FE10E20" w14:textId="77777777" w:rsidR="00C26C52" w:rsidRDefault="00C26C52" w:rsidP="00DB59E0">
      <w:pPr>
        <w:jc w:val="left"/>
        <w:rPr>
          <w:rFonts w:cs="Arial"/>
        </w:rPr>
      </w:pPr>
      <w:r>
        <w:rPr>
          <w:rFonts w:cs="Arial"/>
        </w:rPr>
        <w:t>Carpenter Lipps &amp; Leland LLP</w:t>
      </w:r>
    </w:p>
    <w:p w14:paraId="27E7E041" w14:textId="77777777" w:rsidR="00C26C52" w:rsidRDefault="00C26C52" w:rsidP="00DB59E0">
      <w:pPr>
        <w:jc w:val="left"/>
        <w:rPr>
          <w:rFonts w:cs="Arial"/>
        </w:rPr>
      </w:pPr>
      <w:r>
        <w:rPr>
          <w:rFonts w:cs="Arial"/>
        </w:rPr>
        <w:t>280 North High Street, Suite 1300</w:t>
      </w:r>
    </w:p>
    <w:p w14:paraId="0592F68F" w14:textId="77777777" w:rsidR="00C26C52" w:rsidRDefault="00C26C52" w:rsidP="00DB59E0">
      <w:pPr>
        <w:jc w:val="left"/>
        <w:rPr>
          <w:rFonts w:cs="Arial"/>
        </w:rPr>
      </w:pPr>
      <w:r>
        <w:rPr>
          <w:rFonts w:cs="Arial"/>
        </w:rPr>
        <w:t>Columbus, Ohio  43215</w:t>
      </w:r>
    </w:p>
    <w:p w14:paraId="7209705D" w14:textId="77777777" w:rsidR="00C26C52" w:rsidRDefault="00C26C52" w:rsidP="00DB59E0">
      <w:pPr>
        <w:jc w:val="left"/>
        <w:rPr>
          <w:rFonts w:cs="Arial"/>
        </w:rPr>
      </w:pPr>
      <w:r>
        <w:rPr>
          <w:rFonts w:cs="Arial"/>
        </w:rPr>
        <w:t>paul@carpenterlipps.com</w:t>
      </w:r>
    </w:p>
    <w:p w14:paraId="6F288443" w14:textId="77777777" w:rsidR="00C26C52" w:rsidRDefault="00C26C52" w:rsidP="00DB59E0">
      <w:pPr>
        <w:jc w:val="left"/>
        <w:rPr>
          <w:rFonts w:cs="Arial"/>
        </w:rPr>
      </w:pPr>
    </w:p>
    <w:p w14:paraId="0066EE83" w14:textId="77777777" w:rsidR="00C26C52" w:rsidRDefault="00C26C52" w:rsidP="00DB59E0">
      <w:pPr>
        <w:jc w:val="left"/>
        <w:rPr>
          <w:rFonts w:ascii="Arial Bold" w:hAnsi="Arial Bold" w:cs="Arial"/>
          <w:b/>
          <w:smallCaps/>
        </w:rPr>
      </w:pPr>
      <w:r>
        <w:rPr>
          <w:rFonts w:ascii="Arial Bold" w:hAnsi="Arial Bold" w:cs="Arial"/>
          <w:b/>
          <w:smallCaps/>
        </w:rPr>
        <w:t>Counsel for The Kroger Co.</w:t>
      </w:r>
    </w:p>
    <w:p w14:paraId="07D8C7EC" w14:textId="77777777" w:rsidR="00C26C52" w:rsidRDefault="00C26C52" w:rsidP="00DB59E0">
      <w:pPr>
        <w:jc w:val="left"/>
        <w:rPr>
          <w:rFonts w:ascii="Arial Bold" w:hAnsi="Arial Bold" w:cs="Arial"/>
          <w:b/>
          <w:smallCaps/>
        </w:rPr>
      </w:pPr>
    </w:p>
    <w:p w14:paraId="68CF9555" w14:textId="77777777" w:rsidR="00526079" w:rsidRDefault="00526079" w:rsidP="00C26C52">
      <w:pPr>
        <w:jc w:val="left"/>
        <w:rPr>
          <w:rFonts w:cs="Arial"/>
        </w:rPr>
        <w:sectPr w:rsidR="00526079" w:rsidSect="00C26C52">
          <w:type w:val="continuous"/>
          <w:pgSz w:w="12240" w:h="15840" w:code="1"/>
          <w:pgMar w:top="1440" w:right="1440" w:bottom="1141" w:left="1440" w:header="720" w:footer="720" w:gutter="0"/>
          <w:pgNumType w:start="1"/>
          <w:cols w:num="2" w:space="720"/>
          <w:titlePg/>
          <w:docGrid w:linePitch="326"/>
        </w:sectPr>
      </w:pPr>
    </w:p>
    <w:p w14:paraId="227A6248" w14:textId="752D602D" w:rsidR="00C26C52" w:rsidRDefault="00C26C52" w:rsidP="00DB59E0">
      <w:pPr>
        <w:jc w:val="left"/>
        <w:rPr>
          <w:rFonts w:cs="Arial"/>
        </w:rPr>
      </w:pPr>
      <w:r>
        <w:rPr>
          <w:rFonts w:cs="Arial"/>
        </w:rPr>
        <w:t>Michael L. Kurtz, Esq.</w:t>
      </w:r>
    </w:p>
    <w:p w14:paraId="4C193931" w14:textId="77777777" w:rsidR="00C26C52" w:rsidRDefault="00C26C52" w:rsidP="00DB59E0">
      <w:pPr>
        <w:jc w:val="left"/>
        <w:rPr>
          <w:rFonts w:cs="Arial"/>
        </w:rPr>
      </w:pPr>
      <w:r>
        <w:rPr>
          <w:rFonts w:cs="Arial"/>
        </w:rPr>
        <w:t>Kurt J. Boehm, Esq.</w:t>
      </w:r>
    </w:p>
    <w:p w14:paraId="7EB3DD9C" w14:textId="77777777" w:rsidR="00C26C52" w:rsidRDefault="00C26C52" w:rsidP="00DB59E0">
      <w:pPr>
        <w:jc w:val="left"/>
        <w:rPr>
          <w:rFonts w:cs="Arial"/>
        </w:rPr>
      </w:pPr>
      <w:r>
        <w:rPr>
          <w:rFonts w:cs="Arial"/>
        </w:rPr>
        <w:t>Jody Kyler Cohn, Esq.</w:t>
      </w:r>
    </w:p>
    <w:p w14:paraId="554992DF" w14:textId="77777777" w:rsidR="00C26C52" w:rsidRDefault="00C26C52" w:rsidP="00DB59E0">
      <w:pPr>
        <w:jc w:val="left"/>
        <w:rPr>
          <w:rFonts w:cs="Arial"/>
        </w:rPr>
      </w:pPr>
      <w:r>
        <w:rPr>
          <w:rFonts w:cs="Arial"/>
        </w:rPr>
        <w:t>Boehm, Kurtz &amp; Lowry</w:t>
      </w:r>
    </w:p>
    <w:p w14:paraId="02944FC1" w14:textId="77777777" w:rsidR="00C26C52" w:rsidRDefault="00C26C52" w:rsidP="00DB59E0">
      <w:pPr>
        <w:jc w:val="left"/>
        <w:rPr>
          <w:rFonts w:cs="Arial"/>
        </w:rPr>
      </w:pPr>
      <w:r>
        <w:rPr>
          <w:rFonts w:cs="Arial"/>
        </w:rPr>
        <w:t>36 East Seventh Street, Suite 1510</w:t>
      </w:r>
    </w:p>
    <w:p w14:paraId="0EC45152" w14:textId="77777777" w:rsidR="00C26C52" w:rsidRDefault="00C26C52" w:rsidP="00DB59E0">
      <w:pPr>
        <w:jc w:val="left"/>
        <w:rPr>
          <w:rFonts w:cs="Arial"/>
        </w:rPr>
      </w:pPr>
      <w:r>
        <w:rPr>
          <w:rFonts w:cs="Arial"/>
        </w:rPr>
        <w:t>Cincinnati, Ohio  45202</w:t>
      </w:r>
    </w:p>
    <w:p w14:paraId="1C705EBB" w14:textId="77777777" w:rsidR="00C26C52" w:rsidRDefault="00C26C52" w:rsidP="00DB59E0">
      <w:pPr>
        <w:jc w:val="left"/>
        <w:rPr>
          <w:rFonts w:cs="Arial"/>
        </w:rPr>
      </w:pPr>
      <w:r>
        <w:rPr>
          <w:rFonts w:cs="Arial"/>
        </w:rPr>
        <w:t>mkurtz@BKLlawfirm.com</w:t>
      </w:r>
    </w:p>
    <w:p w14:paraId="1DEEEF4C" w14:textId="77777777" w:rsidR="00C26C52" w:rsidRDefault="00C26C52" w:rsidP="00DB59E0">
      <w:pPr>
        <w:jc w:val="left"/>
        <w:rPr>
          <w:rFonts w:cs="Arial"/>
        </w:rPr>
      </w:pPr>
      <w:r>
        <w:rPr>
          <w:rFonts w:cs="Arial"/>
        </w:rPr>
        <w:t>kboehm@BKLlawfirm.com</w:t>
      </w:r>
    </w:p>
    <w:p w14:paraId="725EF566" w14:textId="77777777" w:rsidR="00C26C52" w:rsidRDefault="00C26C52" w:rsidP="00DB59E0">
      <w:pPr>
        <w:jc w:val="left"/>
        <w:rPr>
          <w:rFonts w:cs="Arial"/>
        </w:rPr>
      </w:pPr>
      <w:r>
        <w:rPr>
          <w:rFonts w:cs="Arial"/>
        </w:rPr>
        <w:t>jkylercohn@BKLlawfirm.com</w:t>
      </w:r>
    </w:p>
    <w:p w14:paraId="3FF92C23" w14:textId="77777777" w:rsidR="00C26C52" w:rsidRDefault="00C26C52" w:rsidP="00DB59E0">
      <w:pPr>
        <w:jc w:val="left"/>
        <w:rPr>
          <w:rFonts w:cs="Arial"/>
        </w:rPr>
      </w:pPr>
    </w:p>
    <w:p w14:paraId="551F0BB6" w14:textId="77777777" w:rsidR="00C26C52" w:rsidRDefault="00C26C52" w:rsidP="00DB59E0">
      <w:pPr>
        <w:jc w:val="left"/>
        <w:rPr>
          <w:rFonts w:ascii="Arial Bold" w:hAnsi="Arial Bold" w:cs="Arial"/>
          <w:b/>
          <w:smallCaps/>
        </w:rPr>
      </w:pPr>
      <w:r>
        <w:rPr>
          <w:rFonts w:ascii="Arial Bold" w:hAnsi="Arial Bold" w:cs="Arial"/>
          <w:b/>
          <w:smallCaps/>
        </w:rPr>
        <w:t>Counsel for the Ohio Energy Group</w:t>
      </w:r>
    </w:p>
    <w:p w14:paraId="23112C85" w14:textId="77777777" w:rsidR="00C26C52" w:rsidRDefault="00C26C52" w:rsidP="00DB59E0">
      <w:pPr>
        <w:jc w:val="left"/>
        <w:rPr>
          <w:rFonts w:cs="Arial"/>
        </w:rPr>
      </w:pPr>
    </w:p>
    <w:p w14:paraId="64E5B744" w14:textId="77777777" w:rsidR="00C26C52" w:rsidRDefault="00C26C52" w:rsidP="00DB59E0">
      <w:pPr>
        <w:jc w:val="left"/>
        <w:rPr>
          <w:rFonts w:cs="Arial"/>
        </w:rPr>
      </w:pPr>
      <w:r>
        <w:rPr>
          <w:rFonts w:cs="Arial"/>
        </w:rPr>
        <w:t>Colleen L. Mooney</w:t>
      </w:r>
    </w:p>
    <w:p w14:paraId="5BB49A72" w14:textId="77777777" w:rsidR="00C26C52" w:rsidRDefault="00C26C52" w:rsidP="00DB59E0">
      <w:pPr>
        <w:jc w:val="left"/>
        <w:rPr>
          <w:rFonts w:cs="Arial"/>
        </w:rPr>
      </w:pPr>
      <w:r>
        <w:rPr>
          <w:rFonts w:cs="Arial"/>
        </w:rPr>
        <w:t>Ohio Partners for Affordable Energy</w:t>
      </w:r>
    </w:p>
    <w:p w14:paraId="3A95F316" w14:textId="77777777" w:rsidR="00C26C52" w:rsidRDefault="00C26C52" w:rsidP="00DB59E0">
      <w:pPr>
        <w:jc w:val="left"/>
        <w:rPr>
          <w:rFonts w:cs="Arial"/>
        </w:rPr>
      </w:pPr>
      <w:r>
        <w:rPr>
          <w:rFonts w:cs="Arial"/>
        </w:rPr>
        <w:t>P.O. Box 12451</w:t>
      </w:r>
    </w:p>
    <w:p w14:paraId="259B6D82" w14:textId="77777777" w:rsidR="00C26C52" w:rsidRDefault="00C26C52" w:rsidP="00DB59E0">
      <w:pPr>
        <w:jc w:val="left"/>
        <w:rPr>
          <w:rFonts w:cs="Arial"/>
        </w:rPr>
      </w:pPr>
      <w:r>
        <w:rPr>
          <w:rFonts w:cs="Arial"/>
        </w:rPr>
        <w:t>Columbus, Ohio  43212-2451</w:t>
      </w:r>
    </w:p>
    <w:p w14:paraId="56C4D7E3" w14:textId="77777777" w:rsidR="00C26C52" w:rsidRDefault="00F34FE4" w:rsidP="00DB59E0">
      <w:pPr>
        <w:jc w:val="left"/>
        <w:rPr>
          <w:rFonts w:cs="Arial"/>
        </w:rPr>
      </w:pPr>
      <w:hyperlink r:id="rId35" w:history="1">
        <w:r w:rsidR="00C26C52">
          <w:rPr>
            <w:rStyle w:val="Hyperlink"/>
            <w:rFonts w:cs="Arial"/>
          </w:rPr>
          <w:t>cmooney@ohiopartners.org</w:t>
        </w:r>
      </w:hyperlink>
    </w:p>
    <w:p w14:paraId="589AFA20" w14:textId="77777777" w:rsidR="00C26C52" w:rsidRDefault="00C26C52" w:rsidP="00DB59E0">
      <w:pPr>
        <w:jc w:val="left"/>
        <w:rPr>
          <w:rFonts w:cs="Arial"/>
        </w:rPr>
      </w:pPr>
    </w:p>
    <w:p w14:paraId="4C7A9596" w14:textId="77777777" w:rsidR="00C26C52" w:rsidRDefault="00C26C52" w:rsidP="00DB59E0">
      <w:pPr>
        <w:jc w:val="left"/>
        <w:rPr>
          <w:rFonts w:ascii="Arial Bold" w:hAnsi="Arial Bold" w:cs="Arial"/>
          <w:b/>
          <w:smallCaps/>
        </w:rPr>
      </w:pPr>
      <w:r>
        <w:rPr>
          <w:rFonts w:ascii="Arial Bold" w:hAnsi="Arial Bold" w:cs="Arial"/>
          <w:b/>
          <w:smallCaps/>
        </w:rPr>
        <w:t>Counsel for the Ohio Partners for Affordable Energy</w:t>
      </w:r>
    </w:p>
    <w:p w14:paraId="15C96DEB" w14:textId="77777777" w:rsidR="00C26C52" w:rsidRDefault="00C26C52" w:rsidP="00DB59E0">
      <w:pPr>
        <w:jc w:val="left"/>
        <w:rPr>
          <w:rFonts w:ascii="Arial Bold" w:hAnsi="Arial Bold" w:cs="Arial"/>
          <w:b/>
          <w:smallCaps/>
        </w:rPr>
      </w:pPr>
    </w:p>
    <w:p w14:paraId="6B8A7C5A" w14:textId="77777777" w:rsidR="00C26C52" w:rsidRDefault="00C26C52" w:rsidP="00DB59E0">
      <w:pPr>
        <w:jc w:val="left"/>
        <w:rPr>
          <w:rFonts w:cs="Arial"/>
        </w:rPr>
      </w:pPr>
      <w:r>
        <w:rPr>
          <w:rFonts w:cs="Arial"/>
        </w:rPr>
        <w:t>BRUCE WESTON (0016973)</w:t>
      </w:r>
    </w:p>
    <w:p w14:paraId="3AD17A70" w14:textId="77777777" w:rsidR="00C26C52" w:rsidRDefault="00C26C52" w:rsidP="00DB59E0">
      <w:pPr>
        <w:jc w:val="left"/>
        <w:rPr>
          <w:rFonts w:cs="Arial"/>
        </w:rPr>
      </w:pPr>
      <w:r>
        <w:rPr>
          <w:rFonts w:cs="Arial"/>
        </w:rPr>
        <w:t>OHIO CONSUMERS’ COUNSEL</w:t>
      </w:r>
    </w:p>
    <w:p w14:paraId="1152EA57" w14:textId="77777777" w:rsidR="00C26C52" w:rsidRDefault="00C26C52" w:rsidP="00DB59E0">
      <w:pPr>
        <w:jc w:val="left"/>
        <w:rPr>
          <w:rFonts w:cs="Arial"/>
        </w:rPr>
      </w:pPr>
    </w:p>
    <w:p w14:paraId="34F4C24E" w14:textId="77777777" w:rsidR="00C26C52" w:rsidRDefault="00C26C52" w:rsidP="00DB59E0">
      <w:pPr>
        <w:jc w:val="left"/>
        <w:rPr>
          <w:rFonts w:cs="Arial"/>
        </w:rPr>
      </w:pPr>
      <w:r>
        <w:rPr>
          <w:rFonts w:cs="Arial"/>
        </w:rPr>
        <w:t>William J. Michael</w:t>
      </w:r>
    </w:p>
    <w:p w14:paraId="2CCEF4BE" w14:textId="77777777" w:rsidR="00C26C52" w:rsidRDefault="00C26C52" w:rsidP="00DB59E0">
      <w:pPr>
        <w:jc w:val="left"/>
        <w:rPr>
          <w:rFonts w:cs="Arial"/>
        </w:rPr>
      </w:pPr>
      <w:r>
        <w:rPr>
          <w:rFonts w:cs="Arial"/>
        </w:rPr>
        <w:t>Counsel of Record</w:t>
      </w:r>
    </w:p>
    <w:p w14:paraId="1A8FDEAA" w14:textId="77777777" w:rsidR="00C26C52" w:rsidRDefault="00C26C52" w:rsidP="00DB59E0">
      <w:pPr>
        <w:jc w:val="left"/>
        <w:rPr>
          <w:rFonts w:cs="Arial"/>
        </w:rPr>
      </w:pPr>
      <w:r>
        <w:rPr>
          <w:rFonts w:cs="Arial"/>
        </w:rPr>
        <w:t>Jodi Bair (0062921)</w:t>
      </w:r>
    </w:p>
    <w:p w14:paraId="1C5DD7BB" w14:textId="77777777" w:rsidR="00C26C52" w:rsidRDefault="00C26C52" w:rsidP="00DB59E0">
      <w:pPr>
        <w:jc w:val="left"/>
        <w:rPr>
          <w:rFonts w:cs="Arial"/>
        </w:rPr>
      </w:pPr>
      <w:r>
        <w:rPr>
          <w:rFonts w:cs="Arial"/>
        </w:rPr>
        <w:t>Kevin Moore (0089228)</w:t>
      </w:r>
    </w:p>
    <w:p w14:paraId="5729EEB5" w14:textId="77777777" w:rsidR="00C26C52" w:rsidRDefault="00C26C52" w:rsidP="00DB59E0">
      <w:pPr>
        <w:jc w:val="left"/>
        <w:rPr>
          <w:rFonts w:cs="Arial"/>
        </w:rPr>
      </w:pPr>
      <w:r>
        <w:rPr>
          <w:rFonts w:cs="Arial"/>
        </w:rPr>
        <w:t>Assistant Consumers’ Counsel</w:t>
      </w:r>
    </w:p>
    <w:p w14:paraId="7EB7846B" w14:textId="77777777" w:rsidR="00C26C52" w:rsidRDefault="00C26C52" w:rsidP="00DB59E0">
      <w:pPr>
        <w:jc w:val="left"/>
        <w:rPr>
          <w:rFonts w:cs="Arial"/>
        </w:rPr>
      </w:pPr>
      <w:r>
        <w:rPr>
          <w:rFonts w:cs="Arial"/>
        </w:rPr>
        <w:t>Office of the Ohio Consumers’ Counsel</w:t>
      </w:r>
    </w:p>
    <w:p w14:paraId="616007F0" w14:textId="77777777" w:rsidR="00C26C52" w:rsidRDefault="00C26C52" w:rsidP="00DB59E0">
      <w:pPr>
        <w:jc w:val="left"/>
        <w:rPr>
          <w:rFonts w:cs="Arial"/>
        </w:rPr>
      </w:pPr>
      <w:r>
        <w:rPr>
          <w:rFonts w:cs="Arial"/>
        </w:rPr>
        <w:t>10 West Broad Street, Suite 1800</w:t>
      </w:r>
    </w:p>
    <w:p w14:paraId="3C1D60D3" w14:textId="77777777" w:rsidR="00C26C52" w:rsidRDefault="00C26C52" w:rsidP="00DB59E0">
      <w:pPr>
        <w:jc w:val="left"/>
        <w:rPr>
          <w:rFonts w:cs="Arial"/>
        </w:rPr>
      </w:pPr>
      <w:r>
        <w:rPr>
          <w:rFonts w:cs="Arial"/>
        </w:rPr>
        <w:t>Columbus, Ohio  43215-3485</w:t>
      </w:r>
    </w:p>
    <w:p w14:paraId="4E1841F0" w14:textId="77777777" w:rsidR="00C26C52" w:rsidRDefault="00C26C52" w:rsidP="00DB59E0">
      <w:pPr>
        <w:jc w:val="left"/>
        <w:rPr>
          <w:rFonts w:cs="Arial"/>
        </w:rPr>
      </w:pPr>
      <w:r>
        <w:rPr>
          <w:rFonts w:cs="Arial"/>
        </w:rPr>
        <w:t>William.michael@occ.ohio.gov</w:t>
      </w:r>
    </w:p>
    <w:p w14:paraId="13A67260" w14:textId="77777777" w:rsidR="00C26C52" w:rsidRDefault="00C26C52" w:rsidP="00DB59E0">
      <w:pPr>
        <w:jc w:val="left"/>
        <w:rPr>
          <w:rFonts w:cs="Arial"/>
        </w:rPr>
      </w:pPr>
      <w:r>
        <w:rPr>
          <w:rFonts w:cs="Arial"/>
        </w:rPr>
        <w:t>Jodi.bair@occ.ohio.gov</w:t>
      </w:r>
    </w:p>
    <w:p w14:paraId="737E8CB6" w14:textId="77777777" w:rsidR="00C26C52" w:rsidRDefault="00C26C52" w:rsidP="00DB59E0">
      <w:pPr>
        <w:jc w:val="left"/>
        <w:rPr>
          <w:rFonts w:cs="Arial"/>
        </w:rPr>
      </w:pPr>
      <w:r>
        <w:rPr>
          <w:rFonts w:cs="Arial"/>
        </w:rPr>
        <w:t>Kevin.moore@occ.ohio.gov</w:t>
      </w:r>
    </w:p>
    <w:p w14:paraId="58E91907" w14:textId="77777777" w:rsidR="00C26C52" w:rsidRDefault="00C26C52" w:rsidP="00DB59E0">
      <w:pPr>
        <w:jc w:val="left"/>
        <w:rPr>
          <w:rFonts w:cs="Arial"/>
        </w:rPr>
      </w:pPr>
    </w:p>
    <w:p w14:paraId="01720594" w14:textId="77777777" w:rsidR="00C26C52" w:rsidRDefault="00C26C52" w:rsidP="00DB59E0">
      <w:pPr>
        <w:jc w:val="left"/>
        <w:rPr>
          <w:rFonts w:ascii="Arial Bold" w:hAnsi="Arial Bold" w:cs="Arial"/>
          <w:b/>
          <w:smallCaps/>
        </w:rPr>
      </w:pPr>
      <w:r>
        <w:rPr>
          <w:rFonts w:ascii="Arial Bold" w:hAnsi="Arial Bold" w:cs="Arial"/>
          <w:b/>
          <w:smallCaps/>
        </w:rPr>
        <w:t>Counsel for the Office of the Ohio Consumers’ Counsel</w:t>
      </w:r>
    </w:p>
    <w:p w14:paraId="0E4C9EB0" w14:textId="00DF10CF" w:rsidR="00C26C52" w:rsidRDefault="00C26C52" w:rsidP="00DB59E0">
      <w:pPr>
        <w:jc w:val="left"/>
        <w:rPr>
          <w:rFonts w:cs="Arial"/>
        </w:rPr>
      </w:pPr>
    </w:p>
    <w:p w14:paraId="5E39AE41" w14:textId="78F66955" w:rsidR="00377475" w:rsidRDefault="00377475" w:rsidP="00377475">
      <w:pPr>
        <w:jc w:val="left"/>
        <w:rPr>
          <w:rFonts w:cs="Arial"/>
        </w:rPr>
      </w:pPr>
      <w:r>
        <w:rPr>
          <w:rFonts w:cs="Arial"/>
        </w:rPr>
        <w:br w:type="column"/>
        <w:t>Richard L. Sites</w:t>
      </w:r>
    </w:p>
    <w:p w14:paraId="65DECF66" w14:textId="77777777" w:rsidR="00377475" w:rsidRDefault="00377475" w:rsidP="00377475">
      <w:pPr>
        <w:jc w:val="left"/>
        <w:rPr>
          <w:rFonts w:cs="Arial"/>
        </w:rPr>
      </w:pPr>
      <w:r>
        <w:rPr>
          <w:rFonts w:cs="Arial"/>
        </w:rPr>
        <w:t>Regulatory Counsel</w:t>
      </w:r>
    </w:p>
    <w:p w14:paraId="2FC76974" w14:textId="77777777" w:rsidR="00377475" w:rsidRDefault="00377475" w:rsidP="00377475">
      <w:pPr>
        <w:jc w:val="left"/>
        <w:rPr>
          <w:rFonts w:cs="Arial"/>
        </w:rPr>
      </w:pPr>
      <w:r>
        <w:rPr>
          <w:rFonts w:cs="Arial"/>
        </w:rPr>
        <w:t>Ohio Hospital Association</w:t>
      </w:r>
    </w:p>
    <w:p w14:paraId="1025421D" w14:textId="77777777" w:rsidR="00377475" w:rsidRDefault="00377475" w:rsidP="00377475">
      <w:pPr>
        <w:jc w:val="left"/>
        <w:rPr>
          <w:rFonts w:cs="Arial"/>
        </w:rPr>
      </w:pPr>
      <w:r>
        <w:rPr>
          <w:rFonts w:cs="Arial"/>
        </w:rPr>
        <w:t>155 East Broad Street, 3</w:t>
      </w:r>
      <w:r>
        <w:rPr>
          <w:rFonts w:cs="Arial"/>
          <w:vertAlign w:val="superscript"/>
        </w:rPr>
        <w:t>rd</w:t>
      </w:r>
      <w:r>
        <w:rPr>
          <w:rFonts w:cs="Arial"/>
        </w:rPr>
        <w:t xml:space="preserve"> Floor</w:t>
      </w:r>
    </w:p>
    <w:p w14:paraId="00660424" w14:textId="77777777" w:rsidR="00377475" w:rsidRDefault="00377475" w:rsidP="00377475">
      <w:pPr>
        <w:jc w:val="left"/>
        <w:rPr>
          <w:rFonts w:cs="Arial"/>
        </w:rPr>
      </w:pPr>
      <w:r>
        <w:rPr>
          <w:rFonts w:cs="Arial"/>
        </w:rPr>
        <w:t>Columbus, Ohio  43215-3620</w:t>
      </w:r>
    </w:p>
    <w:p w14:paraId="64B995FE" w14:textId="77777777" w:rsidR="00377475" w:rsidRDefault="00377475" w:rsidP="00377475">
      <w:pPr>
        <w:jc w:val="left"/>
        <w:rPr>
          <w:rFonts w:cs="Arial"/>
        </w:rPr>
      </w:pPr>
      <w:r>
        <w:rPr>
          <w:rFonts w:cs="Arial"/>
        </w:rPr>
        <w:t>rick.sites@ohiohospitals.org</w:t>
      </w:r>
    </w:p>
    <w:p w14:paraId="3EBC24F7" w14:textId="77777777" w:rsidR="00377475" w:rsidRDefault="00377475" w:rsidP="00377475">
      <w:pPr>
        <w:jc w:val="left"/>
        <w:rPr>
          <w:rFonts w:cs="Arial"/>
        </w:rPr>
      </w:pPr>
    </w:p>
    <w:p w14:paraId="52E2EAFA" w14:textId="77777777" w:rsidR="00377475" w:rsidRDefault="00377475" w:rsidP="00377475">
      <w:pPr>
        <w:jc w:val="left"/>
        <w:rPr>
          <w:rFonts w:cs="Arial"/>
        </w:rPr>
      </w:pPr>
      <w:r>
        <w:rPr>
          <w:rFonts w:cs="Arial"/>
        </w:rPr>
        <w:t>Dylan F. Borchers</w:t>
      </w:r>
    </w:p>
    <w:p w14:paraId="665D4B17" w14:textId="77777777" w:rsidR="00377475" w:rsidRDefault="00377475" w:rsidP="00377475">
      <w:pPr>
        <w:jc w:val="left"/>
        <w:rPr>
          <w:rFonts w:cs="Arial"/>
        </w:rPr>
      </w:pPr>
      <w:r>
        <w:rPr>
          <w:rFonts w:cs="Arial"/>
        </w:rPr>
        <w:t>Devin D. Parram</w:t>
      </w:r>
    </w:p>
    <w:p w14:paraId="24169C21" w14:textId="77777777" w:rsidR="00377475" w:rsidRDefault="00377475" w:rsidP="00377475">
      <w:pPr>
        <w:jc w:val="left"/>
        <w:rPr>
          <w:rFonts w:cs="Arial"/>
        </w:rPr>
      </w:pPr>
      <w:r>
        <w:rPr>
          <w:rFonts w:cs="Arial"/>
        </w:rPr>
        <w:t>Bricker &amp; Eckler LLP</w:t>
      </w:r>
    </w:p>
    <w:p w14:paraId="1270719D" w14:textId="77777777" w:rsidR="00377475" w:rsidRDefault="00377475" w:rsidP="00377475">
      <w:pPr>
        <w:jc w:val="left"/>
        <w:rPr>
          <w:rFonts w:cs="Arial"/>
        </w:rPr>
      </w:pPr>
      <w:r>
        <w:rPr>
          <w:rFonts w:cs="Arial"/>
        </w:rPr>
        <w:t>100 South Third Street</w:t>
      </w:r>
    </w:p>
    <w:p w14:paraId="7EC33C6B" w14:textId="77777777" w:rsidR="00377475" w:rsidRDefault="00377475" w:rsidP="00377475">
      <w:pPr>
        <w:jc w:val="left"/>
        <w:rPr>
          <w:rFonts w:cs="Arial"/>
        </w:rPr>
      </w:pPr>
      <w:r>
        <w:rPr>
          <w:rFonts w:cs="Arial"/>
        </w:rPr>
        <w:t>Columbus, Ohio  43215-4291</w:t>
      </w:r>
    </w:p>
    <w:p w14:paraId="22F1D167" w14:textId="77777777" w:rsidR="00377475" w:rsidRDefault="00377475" w:rsidP="00377475">
      <w:pPr>
        <w:jc w:val="left"/>
        <w:rPr>
          <w:rFonts w:cs="Arial"/>
        </w:rPr>
      </w:pPr>
      <w:r>
        <w:rPr>
          <w:rFonts w:cs="Arial"/>
        </w:rPr>
        <w:t>dborchers@bricker.com</w:t>
      </w:r>
    </w:p>
    <w:p w14:paraId="31FB3210" w14:textId="77777777" w:rsidR="00377475" w:rsidRDefault="00377475" w:rsidP="00377475">
      <w:pPr>
        <w:jc w:val="left"/>
        <w:rPr>
          <w:rFonts w:cs="Arial"/>
        </w:rPr>
      </w:pPr>
      <w:r>
        <w:rPr>
          <w:rFonts w:cs="Arial"/>
        </w:rPr>
        <w:t>dparram@bricker.com</w:t>
      </w:r>
    </w:p>
    <w:p w14:paraId="0CBC5AE5" w14:textId="77777777" w:rsidR="00377475" w:rsidRDefault="00377475" w:rsidP="00377475">
      <w:pPr>
        <w:jc w:val="left"/>
        <w:rPr>
          <w:rFonts w:cs="Arial"/>
        </w:rPr>
      </w:pPr>
    </w:p>
    <w:p w14:paraId="30F7B6D1" w14:textId="77777777" w:rsidR="00377475" w:rsidRDefault="00377475" w:rsidP="00377475">
      <w:pPr>
        <w:jc w:val="left"/>
        <w:rPr>
          <w:rFonts w:ascii="Arial Bold" w:hAnsi="Arial Bold" w:cs="Arial"/>
          <w:b/>
          <w:smallCaps/>
        </w:rPr>
      </w:pPr>
      <w:r>
        <w:rPr>
          <w:rFonts w:ascii="Arial Bold" w:hAnsi="Arial Bold" w:cs="Arial"/>
          <w:b/>
          <w:smallCaps/>
        </w:rPr>
        <w:t>Counsel for the Ohio Hospital Association</w:t>
      </w:r>
    </w:p>
    <w:p w14:paraId="089478DE" w14:textId="58D3CBD8" w:rsidR="00377475" w:rsidRDefault="00377475" w:rsidP="00DB59E0">
      <w:pPr>
        <w:jc w:val="left"/>
        <w:rPr>
          <w:rFonts w:cs="Arial"/>
        </w:rPr>
      </w:pPr>
    </w:p>
    <w:p w14:paraId="564CA5BD" w14:textId="77777777" w:rsidR="002C595C" w:rsidRPr="002C595C" w:rsidRDefault="002C595C" w:rsidP="002C595C">
      <w:pPr>
        <w:jc w:val="left"/>
        <w:rPr>
          <w:rFonts w:eastAsia="Calibri" w:cs="Arial"/>
        </w:rPr>
      </w:pPr>
      <w:r w:rsidRPr="002C595C">
        <w:rPr>
          <w:rFonts w:eastAsia="Calibri" w:cs="Arial"/>
        </w:rPr>
        <w:t>Mark A. Whitt (0067996)</w:t>
      </w:r>
    </w:p>
    <w:p w14:paraId="557F3972" w14:textId="77777777" w:rsidR="002C595C" w:rsidRPr="002C595C" w:rsidRDefault="002C595C" w:rsidP="002C595C">
      <w:pPr>
        <w:jc w:val="left"/>
        <w:rPr>
          <w:rFonts w:eastAsia="Calibri" w:cs="Arial"/>
        </w:rPr>
      </w:pPr>
      <w:r w:rsidRPr="002C595C">
        <w:rPr>
          <w:rFonts w:eastAsia="Calibri" w:cs="Arial"/>
        </w:rPr>
        <w:t>Andrew J. Campbell (0081485)</w:t>
      </w:r>
    </w:p>
    <w:p w14:paraId="0CCBB8F0" w14:textId="77777777" w:rsidR="002C595C" w:rsidRPr="002C595C" w:rsidRDefault="002C595C" w:rsidP="002C595C">
      <w:pPr>
        <w:jc w:val="left"/>
        <w:rPr>
          <w:rFonts w:eastAsia="Calibri" w:cs="Arial"/>
        </w:rPr>
      </w:pPr>
      <w:r w:rsidRPr="002C595C">
        <w:rPr>
          <w:rFonts w:eastAsia="Calibri" w:cs="Arial"/>
        </w:rPr>
        <w:t>Rebekah J. Glover (0088798)</w:t>
      </w:r>
    </w:p>
    <w:p w14:paraId="7E827F96" w14:textId="77777777" w:rsidR="002C595C" w:rsidRPr="002C595C" w:rsidRDefault="002C595C" w:rsidP="002C595C">
      <w:pPr>
        <w:jc w:val="left"/>
        <w:rPr>
          <w:rFonts w:eastAsia="Calibri" w:cs="Arial"/>
        </w:rPr>
      </w:pPr>
      <w:r w:rsidRPr="002C595C">
        <w:rPr>
          <w:rFonts w:eastAsia="Calibri" w:cs="Arial"/>
        </w:rPr>
        <w:t>Whitt Sturtevant LLP</w:t>
      </w:r>
    </w:p>
    <w:p w14:paraId="6F65AABB" w14:textId="77777777" w:rsidR="002C595C" w:rsidRPr="002C595C" w:rsidRDefault="002C595C" w:rsidP="002C595C">
      <w:pPr>
        <w:jc w:val="left"/>
        <w:rPr>
          <w:rFonts w:eastAsia="Calibri" w:cs="Arial"/>
        </w:rPr>
      </w:pPr>
      <w:r w:rsidRPr="002C595C">
        <w:rPr>
          <w:rFonts w:eastAsia="Calibri" w:cs="Arial"/>
        </w:rPr>
        <w:t>The KeyBank Building, Suite 1590</w:t>
      </w:r>
    </w:p>
    <w:p w14:paraId="2A53B0E9" w14:textId="77777777" w:rsidR="002C595C" w:rsidRPr="002C595C" w:rsidRDefault="002C595C" w:rsidP="002C595C">
      <w:pPr>
        <w:jc w:val="left"/>
        <w:rPr>
          <w:rFonts w:eastAsia="Calibri" w:cs="Arial"/>
        </w:rPr>
      </w:pPr>
      <w:r w:rsidRPr="002C595C">
        <w:rPr>
          <w:rFonts w:eastAsia="Calibri" w:cs="Arial"/>
        </w:rPr>
        <w:t>88 East Broad Street</w:t>
      </w:r>
    </w:p>
    <w:p w14:paraId="67B6A08D" w14:textId="77777777" w:rsidR="002C595C" w:rsidRPr="002C595C" w:rsidRDefault="002C595C" w:rsidP="002C595C">
      <w:pPr>
        <w:jc w:val="left"/>
        <w:rPr>
          <w:rFonts w:eastAsia="Calibri" w:cs="Arial"/>
        </w:rPr>
      </w:pPr>
      <w:r w:rsidRPr="002C595C">
        <w:rPr>
          <w:rFonts w:eastAsia="Calibri" w:cs="Arial"/>
        </w:rPr>
        <w:t>Columbus, Ohio  43215</w:t>
      </w:r>
    </w:p>
    <w:p w14:paraId="643A2D1E" w14:textId="77777777" w:rsidR="002C595C" w:rsidRPr="002C595C" w:rsidRDefault="002C595C" w:rsidP="002C595C">
      <w:pPr>
        <w:jc w:val="left"/>
        <w:rPr>
          <w:rFonts w:eastAsia="Calibri" w:cs="Arial"/>
        </w:rPr>
      </w:pPr>
      <w:r w:rsidRPr="002C595C">
        <w:rPr>
          <w:rFonts w:eastAsia="Calibri" w:cs="Arial"/>
        </w:rPr>
        <w:t>whitt@whitt-sturtevant.com</w:t>
      </w:r>
    </w:p>
    <w:p w14:paraId="26E1C752" w14:textId="77777777" w:rsidR="002C595C" w:rsidRPr="002C595C" w:rsidRDefault="002C595C" w:rsidP="002C595C">
      <w:pPr>
        <w:jc w:val="left"/>
        <w:rPr>
          <w:rFonts w:eastAsia="Calibri" w:cs="Arial"/>
        </w:rPr>
      </w:pPr>
      <w:r w:rsidRPr="002C595C">
        <w:rPr>
          <w:rFonts w:eastAsia="Calibri" w:cs="Arial"/>
        </w:rPr>
        <w:t>campbell@whitt-sturtevant.com</w:t>
      </w:r>
    </w:p>
    <w:p w14:paraId="3EA84C16" w14:textId="77777777" w:rsidR="002C595C" w:rsidRPr="002C595C" w:rsidRDefault="002C595C" w:rsidP="002C595C">
      <w:pPr>
        <w:jc w:val="left"/>
        <w:rPr>
          <w:rFonts w:eastAsia="Calibri" w:cs="Arial"/>
        </w:rPr>
      </w:pPr>
      <w:r w:rsidRPr="002C595C">
        <w:rPr>
          <w:rFonts w:eastAsia="Calibri" w:cs="Arial"/>
        </w:rPr>
        <w:t>glover@whitt-sturtevant.com</w:t>
      </w:r>
    </w:p>
    <w:p w14:paraId="597BC3C7" w14:textId="77777777" w:rsidR="002C595C" w:rsidRPr="002C595C" w:rsidRDefault="002C595C" w:rsidP="002C595C">
      <w:pPr>
        <w:jc w:val="left"/>
        <w:rPr>
          <w:rFonts w:eastAsia="Calibri" w:cs="Arial"/>
        </w:rPr>
      </w:pPr>
    </w:p>
    <w:p w14:paraId="7C1296AF" w14:textId="77777777" w:rsidR="002C595C" w:rsidRPr="002C595C" w:rsidRDefault="002C595C" w:rsidP="002C595C">
      <w:pPr>
        <w:jc w:val="left"/>
        <w:rPr>
          <w:rFonts w:ascii="Arial Bold" w:eastAsia="Calibri" w:hAnsi="Arial Bold" w:cs="Arial"/>
          <w:b/>
          <w:smallCaps/>
        </w:rPr>
      </w:pPr>
      <w:r w:rsidRPr="002C595C">
        <w:rPr>
          <w:rFonts w:ascii="Arial Bold" w:eastAsia="Calibri" w:hAnsi="Arial Bold" w:cs="Arial"/>
          <w:b/>
          <w:smallCaps/>
        </w:rPr>
        <w:t>Counsel for Retail Energy Supply Association</w:t>
      </w:r>
    </w:p>
    <w:p w14:paraId="50400073" w14:textId="77777777" w:rsidR="002C595C" w:rsidRDefault="002C595C" w:rsidP="00DB59E0">
      <w:pPr>
        <w:jc w:val="left"/>
        <w:rPr>
          <w:rFonts w:cs="Arial"/>
        </w:rPr>
      </w:pPr>
    </w:p>
    <w:p w14:paraId="741C5B97" w14:textId="199C8FEC" w:rsidR="00C26C52" w:rsidRDefault="00C26C52" w:rsidP="00DB59E0">
      <w:pPr>
        <w:jc w:val="left"/>
        <w:rPr>
          <w:rFonts w:cs="Arial"/>
        </w:rPr>
      </w:pPr>
    </w:p>
    <w:p w14:paraId="7EF29E09" w14:textId="77777777" w:rsidR="00C26C52" w:rsidRDefault="00C26C52" w:rsidP="00DB59E0">
      <w:pPr>
        <w:jc w:val="left"/>
        <w:rPr>
          <w:rFonts w:ascii="Arial Bold" w:hAnsi="Arial Bold" w:cs="Arial"/>
          <w:b/>
          <w:smallCaps/>
        </w:rPr>
      </w:pPr>
      <w:r>
        <w:rPr>
          <w:rFonts w:ascii="Arial Bold" w:hAnsi="Arial Bold" w:cs="Arial"/>
          <w:b/>
          <w:smallCaps/>
        </w:rPr>
        <w:t>Attorney Examiner:</w:t>
      </w:r>
    </w:p>
    <w:p w14:paraId="3CA5B056" w14:textId="77777777" w:rsidR="00C26C52" w:rsidRDefault="00C26C52" w:rsidP="00DB59E0">
      <w:pPr>
        <w:jc w:val="left"/>
        <w:rPr>
          <w:rFonts w:cs="Arial"/>
        </w:rPr>
      </w:pPr>
      <w:r>
        <w:rPr>
          <w:rFonts w:cs="Arial"/>
        </w:rPr>
        <w:t>Nicholas.Walstra@puc.state.oh.us</w:t>
      </w:r>
    </w:p>
    <w:p w14:paraId="3A423704" w14:textId="77777777" w:rsidR="00BE257E" w:rsidRDefault="00BE257E" w:rsidP="00DB59E0">
      <w:pPr>
        <w:jc w:val="left"/>
      </w:pPr>
    </w:p>
    <w:sectPr w:rsidR="00BE257E" w:rsidSect="00DB59E0">
      <w:pgSz w:w="12240" w:h="15840" w:code="1"/>
      <w:pgMar w:top="1440" w:right="1440" w:bottom="1141" w:left="1440" w:header="720" w:footer="720" w:gutter="0"/>
      <w:pgNumType w:start="1"/>
      <w:cols w:num="2"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A37AFA" w14:textId="77777777" w:rsidR="000831B1" w:rsidRDefault="000831B1" w:rsidP="00717B0C">
      <w:r>
        <w:separator/>
      </w:r>
    </w:p>
  </w:endnote>
  <w:endnote w:type="continuationSeparator" w:id="0">
    <w:p w14:paraId="7C68D4A5" w14:textId="77777777" w:rsidR="000831B1" w:rsidRDefault="000831B1" w:rsidP="00717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B126A" w14:textId="77777777" w:rsidR="000831B1" w:rsidRDefault="000831B1">
    <w:pPr>
      <w:pStyle w:val="Footer"/>
    </w:pPr>
    <w:r>
      <w:rPr>
        <w:noProof/>
        <w:sz w:val="16"/>
      </w:rPr>
      <w:t>{C30194:3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4D549" w14:textId="78E03D28" w:rsidR="000831B1" w:rsidRPr="00566E4E" w:rsidRDefault="000E2345" w:rsidP="00566E4E">
    <w:pPr>
      <w:pStyle w:val="Footer"/>
      <w:jc w:val="left"/>
    </w:pPr>
    <w:r w:rsidRPr="000E2345">
      <w:rPr>
        <w:noProof/>
        <w:vanish/>
        <w:sz w:val="16"/>
      </w:rPr>
      <w:t>{</w:t>
    </w:r>
    <w:r w:rsidRPr="000E2345">
      <w:rPr>
        <w:noProof/>
        <w:sz w:val="16"/>
      </w:rPr>
      <w:t>C0101590:3</w:t>
    </w:r>
    <w:r w:rsidRPr="000E2345">
      <w:rPr>
        <w:noProof/>
        <w:vanish/>
        <w:sz w:val="16"/>
      </w:rPr>
      <w:t>}</w:t>
    </w:r>
    <w:r w:rsidR="000831B1">
      <w:tab/>
    </w:r>
    <w:sdt>
      <w:sdtPr>
        <w:id w:val="-310720962"/>
        <w:docPartObj>
          <w:docPartGallery w:val="Page Numbers (Bottom of Page)"/>
          <w:docPartUnique/>
        </w:docPartObj>
      </w:sdtPr>
      <w:sdtEndPr>
        <w:rPr>
          <w:noProof/>
        </w:rPr>
      </w:sdtEndPr>
      <w:sdtContent>
        <w:r w:rsidR="000831B1" w:rsidRPr="00566E4E">
          <w:fldChar w:fldCharType="begin"/>
        </w:r>
        <w:r w:rsidR="000831B1" w:rsidRPr="00566E4E">
          <w:instrText xml:space="preserve"> PAGE   \* MERGEFORMAT </w:instrText>
        </w:r>
        <w:r w:rsidR="000831B1" w:rsidRPr="00566E4E">
          <w:fldChar w:fldCharType="separate"/>
        </w:r>
        <w:r>
          <w:rPr>
            <w:noProof/>
          </w:rPr>
          <w:t>2</w:t>
        </w:r>
        <w:r w:rsidR="000831B1" w:rsidRPr="00566E4E">
          <w:rPr>
            <w:noProof/>
          </w:rPr>
          <w:fldChar w:fldCharType="end"/>
        </w:r>
      </w:sdtContent>
    </w:sdt>
  </w:p>
  <w:p w14:paraId="6E17242A" w14:textId="77777777" w:rsidR="000831B1" w:rsidRPr="00566E4E" w:rsidRDefault="000831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7AB60" w14:textId="59F337DA" w:rsidR="000831B1" w:rsidRPr="005A6FC3" w:rsidRDefault="000E2345" w:rsidP="005A6FC3">
    <w:pPr>
      <w:pStyle w:val="Footer"/>
      <w:tabs>
        <w:tab w:val="clear" w:pos="9360"/>
        <w:tab w:val="right" w:pos="8640"/>
      </w:tabs>
      <w:jc w:val="left"/>
    </w:pPr>
    <w:r w:rsidRPr="000E2345">
      <w:rPr>
        <w:noProof/>
        <w:vanish/>
        <w:sz w:val="16"/>
      </w:rPr>
      <w:t>{</w:t>
    </w:r>
    <w:r w:rsidRPr="000E2345">
      <w:rPr>
        <w:noProof/>
        <w:sz w:val="16"/>
      </w:rPr>
      <w:t>C0101590:3</w:t>
    </w:r>
    <w:r w:rsidRPr="000E2345">
      <w:rPr>
        <w:noProof/>
        <w:vanish/>
        <w:sz w:val="16"/>
      </w:rPr>
      <w:t>}</w:t>
    </w:r>
    <w:r w:rsidR="000831B1">
      <w:tab/>
    </w:r>
    <w:sdt>
      <w:sdtPr>
        <w:id w:val="379368795"/>
        <w:docPartObj>
          <w:docPartGallery w:val="Page Numbers (Bottom of Page)"/>
          <w:docPartUnique/>
        </w:docPartObj>
      </w:sdtPr>
      <w:sdtEndPr>
        <w:rPr>
          <w:noProof/>
        </w:rPr>
      </w:sdtEndPr>
      <w:sdtContent>
        <w:r w:rsidR="000831B1" w:rsidRPr="005A6FC3">
          <w:fldChar w:fldCharType="begin"/>
        </w:r>
        <w:r w:rsidR="000831B1" w:rsidRPr="005A6FC3">
          <w:instrText xml:space="preserve"> PAGE   \* MERGEFORMAT </w:instrText>
        </w:r>
        <w:r w:rsidR="000831B1" w:rsidRPr="005A6FC3">
          <w:fldChar w:fldCharType="separate"/>
        </w:r>
        <w:r>
          <w:rPr>
            <w:noProof/>
          </w:rPr>
          <w:t>1</w:t>
        </w:r>
        <w:r w:rsidR="000831B1" w:rsidRPr="005A6FC3">
          <w:rPr>
            <w:noProof/>
          </w:rPr>
          <w:fldChar w:fldCharType="end"/>
        </w:r>
      </w:sdtContent>
    </w:sdt>
  </w:p>
  <w:p w14:paraId="6D6CC92A" w14:textId="2266AB55" w:rsidR="000831B1" w:rsidRPr="005A6FC3" w:rsidRDefault="000831B1" w:rsidP="0084192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43B98" w14:textId="77777777" w:rsidR="000831B1" w:rsidRDefault="000831B1">
    <w:pPr>
      <w:pStyle w:val="Footer"/>
      <w:framePr w:wrap="around" w:vAnchor="text" w:hAnchor="margin" w:xAlign="center" w:y="1"/>
      <w:rPr>
        <w:rStyle w:val="PageNumber"/>
      </w:rPr>
    </w:pPr>
    <w:r>
      <w:rPr>
        <w:rStyle w:val="PageNumber"/>
        <w:noProof/>
        <w:sz w:val="16"/>
      </w:rPr>
      <w:t>{C29267:2 }</w:t>
    </w: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400F04F8" w14:textId="77777777" w:rsidR="000831B1" w:rsidRDefault="000831B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2E5E2" w14:textId="1AE16C2A" w:rsidR="000831B1" w:rsidRPr="007B3617" w:rsidRDefault="000E2345" w:rsidP="007B3617">
    <w:pPr>
      <w:pStyle w:val="Footer"/>
      <w:jc w:val="left"/>
    </w:pPr>
    <w:r w:rsidRPr="000E2345">
      <w:rPr>
        <w:rStyle w:val="PageNumber"/>
        <w:noProof/>
        <w:vanish/>
        <w:sz w:val="16"/>
      </w:rPr>
      <w:t>{</w:t>
    </w:r>
    <w:r w:rsidRPr="000E2345">
      <w:rPr>
        <w:rStyle w:val="PageNumber"/>
        <w:noProof/>
        <w:sz w:val="16"/>
      </w:rPr>
      <w:t>C0101590:3</w:t>
    </w:r>
    <w:r w:rsidRPr="000E2345">
      <w:rPr>
        <w:rStyle w:val="PageNumber"/>
        <w:noProof/>
        <w:vanish/>
        <w:sz w:val="16"/>
      </w:rPr>
      <w:t>}</w:t>
    </w:r>
    <w:r w:rsidR="000831B1">
      <w:rPr>
        <w:rStyle w:val="PageNumber"/>
        <w:noProof/>
        <w:sz w:val="16"/>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12704" w14:textId="5D1F345E" w:rsidR="000831B1" w:rsidRPr="003748B6" w:rsidRDefault="000E2345" w:rsidP="0084192A">
    <w:pPr>
      <w:pStyle w:val="Footer"/>
    </w:pPr>
    <w:r w:rsidRPr="000E2345">
      <w:rPr>
        <w:noProof/>
        <w:vanish/>
        <w:sz w:val="16"/>
      </w:rPr>
      <w:t>{</w:t>
    </w:r>
    <w:r w:rsidRPr="000E2345">
      <w:rPr>
        <w:noProof/>
        <w:sz w:val="16"/>
      </w:rPr>
      <w:t>C0101590:3</w:t>
    </w:r>
    <w:r w:rsidRPr="000E2345">
      <w:rPr>
        <w:noProof/>
        <w:vanish/>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82C371" w14:textId="77777777" w:rsidR="000831B1" w:rsidRDefault="000831B1" w:rsidP="00717B0C">
      <w:pPr>
        <w:rPr>
          <w:noProof/>
        </w:rPr>
      </w:pPr>
      <w:r>
        <w:rPr>
          <w:noProof/>
        </w:rPr>
        <w:separator/>
      </w:r>
    </w:p>
  </w:footnote>
  <w:footnote w:type="continuationSeparator" w:id="0">
    <w:p w14:paraId="24C6685E" w14:textId="77777777" w:rsidR="000831B1" w:rsidRDefault="000831B1" w:rsidP="00717B0C">
      <w:r>
        <w:continuationSeparator/>
      </w:r>
    </w:p>
  </w:footnote>
  <w:footnote w:id="1">
    <w:p w14:paraId="0747A915" w14:textId="7D257FDB" w:rsidR="000831B1" w:rsidRDefault="000831B1">
      <w:pPr>
        <w:pStyle w:val="FootnoteText"/>
      </w:pPr>
      <w:r>
        <w:rPr>
          <w:rStyle w:val="FootnoteReference"/>
        </w:rPr>
        <w:footnoteRef/>
      </w:r>
      <w:r>
        <w:t xml:space="preserve"> The Commission granted rehearing to afford itself more time to consider the issues raised by parties.</w:t>
      </w:r>
    </w:p>
  </w:footnote>
  <w:footnote w:id="2">
    <w:p w14:paraId="632E4F90" w14:textId="77777777" w:rsidR="000831B1" w:rsidRDefault="000831B1">
      <w:pPr>
        <w:pStyle w:val="FootnoteText"/>
      </w:pPr>
      <w:r>
        <w:rPr>
          <w:rStyle w:val="FootnoteReference"/>
        </w:rPr>
        <w:footnoteRef/>
      </w:r>
      <w:r>
        <w:t xml:space="preserve"> The Application and supporting testimony are not wholly consistent concerning the legal authority that Duke is invoking.  In supporting testimony, for example, Mr. Wathen points to the Commission’s authorization of the PSR in Duke’s prior electric security plan case as the authority for the collection proposed in this case.  </w:t>
      </w:r>
      <w:r w:rsidRPr="0041634F">
        <w:t>Direct Testimony of William Don Wathen, Jr. on Behalf of Duke Energy Ohio, Inc. at 5 (Mar. 31, 2017) (“Wathen Testimony”).</w:t>
      </w:r>
      <w:r>
        <w:t xml:space="preserve">  </w:t>
      </w:r>
    </w:p>
  </w:footnote>
  <w:footnote w:id="3">
    <w:p w14:paraId="02AF255A" w14:textId="77777777" w:rsidR="000831B1" w:rsidRDefault="000831B1" w:rsidP="00566E4E">
      <w:pPr>
        <w:pStyle w:val="FootnoteText"/>
        <w:spacing w:after="200"/>
      </w:pPr>
      <w:r>
        <w:rPr>
          <w:rStyle w:val="FootnoteReference"/>
        </w:rPr>
        <w:footnoteRef/>
      </w:r>
      <w:r>
        <w:t xml:space="preserve"> In one instance, a former Commissioner chastised the Commission for failing to summarily dismiss a Duke application that parties moved to dismiss because the relief Duke sought would violate terms of an approved stipulation.  </w:t>
      </w:r>
      <w:r>
        <w:rPr>
          <w:i/>
        </w:rPr>
        <w:t>In the Matter of the Application of Duke Energy Ohio, Inc., for the Establishment of a Charge Pursuant to Section 4909.18, Revised Code</w:t>
      </w:r>
      <w:r>
        <w:t xml:space="preserve">, Case Nos. 12-2400-EL-UNC, </w:t>
      </w:r>
      <w:r>
        <w:rPr>
          <w:i/>
        </w:rPr>
        <w:t>et al.,</w:t>
      </w:r>
      <w:r>
        <w:t xml:space="preserve"> Concurring Opinion of Commissioner Lynn Slaby (Feb. 13, 2014).  </w:t>
      </w:r>
    </w:p>
  </w:footnote>
  <w:footnote w:id="4">
    <w:p w14:paraId="14389F9A" w14:textId="77777777" w:rsidR="000831B1" w:rsidRDefault="000831B1">
      <w:pPr>
        <w:pStyle w:val="FootnoteText"/>
      </w:pPr>
      <w:r>
        <w:rPr>
          <w:rStyle w:val="FootnoteReference"/>
        </w:rPr>
        <w:footnoteRef/>
      </w:r>
      <w:r>
        <w:t xml:space="preserve"> </w:t>
      </w:r>
      <w:r w:rsidRPr="00491F3D">
        <w:rPr>
          <w:i/>
        </w:rPr>
        <w:t>In the Matter of the Commission Review of the Capacity Charges of Ohio Power Company and Columbus Southern Power Company</w:t>
      </w:r>
      <w:r>
        <w:t>, Case No. 10-2929-EL-UNC, Opinion and Order at 13 &amp; 22 (July 2, 2012) (“</w:t>
      </w:r>
      <w:r w:rsidRPr="00491F3D">
        <w:rPr>
          <w:i/>
        </w:rPr>
        <w:t xml:space="preserve">AEP-Ohio Capacity </w:t>
      </w:r>
      <w:r>
        <w:rPr>
          <w:i/>
        </w:rPr>
        <w:t xml:space="preserve">Charge </w:t>
      </w:r>
      <w:r w:rsidRPr="00491F3D">
        <w:rPr>
          <w:i/>
        </w:rPr>
        <w:t>Case</w:t>
      </w:r>
      <w:r>
        <w:t>”)</w:t>
      </w:r>
    </w:p>
  </w:footnote>
  <w:footnote w:id="5">
    <w:p w14:paraId="5B4F8960" w14:textId="77777777" w:rsidR="000831B1" w:rsidRDefault="000831B1">
      <w:pPr>
        <w:pStyle w:val="FootnoteText"/>
      </w:pPr>
      <w:r>
        <w:rPr>
          <w:rStyle w:val="FootnoteReference"/>
        </w:rPr>
        <w:footnoteRef/>
      </w:r>
      <w:r>
        <w:t xml:space="preserve"> According to Duke, neither of these wholesale arrangements is subject to Commission review.  Wathen Testimony at 6-7.  </w:t>
      </w:r>
    </w:p>
  </w:footnote>
  <w:footnote w:id="6">
    <w:p w14:paraId="1555FBB9" w14:textId="77777777" w:rsidR="000831B1" w:rsidRDefault="000831B1">
      <w:pPr>
        <w:pStyle w:val="FootnoteText"/>
      </w:pPr>
      <w:r>
        <w:rPr>
          <w:rStyle w:val="FootnoteReference"/>
        </w:rPr>
        <w:footnoteRef/>
      </w:r>
      <w:r>
        <w:t xml:space="preserve"> Because Duke is a wholly-owned subsidiary of Duke Energy Corporation, it has only one shareholder.  Duke Energy Corporation, Form 10-K for Year Ended Dec. 31, 2016 at 38 (viewed Apr. 13, 2017: </w:t>
      </w:r>
      <w:r w:rsidRPr="0083032C">
        <w:t>https://www.duke-energy.com/_/media/pdfs/our-company/investors/2016-duke-energy-form-10-k.pdf</w:t>
      </w:r>
      <w:r>
        <w:t>).</w:t>
      </w:r>
    </w:p>
  </w:footnote>
  <w:footnote w:id="7">
    <w:p w14:paraId="1EA6A580" w14:textId="77777777" w:rsidR="000831B1" w:rsidRDefault="000831B1" w:rsidP="00DC05D8">
      <w:pPr>
        <w:pStyle w:val="FootnoteText"/>
        <w:spacing w:after="200"/>
      </w:pPr>
      <w:r>
        <w:rPr>
          <w:rStyle w:val="FootnoteReference"/>
        </w:rPr>
        <w:footnoteRef/>
      </w:r>
      <w:r>
        <w:t xml:space="preserve"> The Commission’s authority to assert jurisdiction under the RAA was questioned.  </w:t>
      </w:r>
      <w:r w:rsidRPr="001D2878">
        <w:rPr>
          <w:i/>
        </w:rPr>
        <w:t>See</w:t>
      </w:r>
      <w:r w:rsidRPr="00491F3D">
        <w:rPr>
          <w:i/>
        </w:rPr>
        <w:t xml:space="preserve"> AEP-Ohio Capacity </w:t>
      </w:r>
      <w:r>
        <w:rPr>
          <w:i/>
        </w:rPr>
        <w:t xml:space="preserve">Charge </w:t>
      </w:r>
      <w:r w:rsidRPr="00491F3D">
        <w:rPr>
          <w:i/>
        </w:rPr>
        <w:t>Case</w:t>
      </w:r>
      <w:r>
        <w:t xml:space="preserve">, Industrial Energy Users-Ohio’s Application for Rehearing of the July 2, 2012 Opinion and Order and Memorandum in Support (Aug. 1, 2012).  Although the Commission’s decision was affirmed on appeal, the Court did not address the Commission’s jurisdiction under the general jurisdiction statutes or R.C. Chapter 4909.  The Court affirmed that the Commission properly applied R.C. 4905.26 as a procedural matter, but did not address whether that statute was applicable to a wholesale transaction.  </w:t>
      </w:r>
      <w:r w:rsidRPr="00491F3D">
        <w:rPr>
          <w:i/>
        </w:rPr>
        <w:t>In re Comm. Rev. of Capacity Charges of Ohio Power Co</w:t>
      </w:r>
      <w:r>
        <w:t xml:space="preserve">., </w:t>
      </w:r>
      <w:r w:rsidRPr="00430873">
        <w:t>147 Ohio St.3d 59</w:t>
      </w:r>
      <w:r w:rsidRPr="00930C65">
        <w:t>, 2016-Ohio-1607</w:t>
      </w:r>
      <w:r w:rsidRPr="00430873">
        <w:t xml:space="preserve"> (2016)</w:t>
      </w:r>
      <w:r>
        <w:t xml:space="preserve">.  Likewise, the Court did not address the Commission’s authority under the general jurisdiction or traditional rate setting statutes in the related appeal addressing the deferral and recovery of the above-market portion of the capacity costs through a term of an electric security plan.  </w:t>
      </w:r>
      <w:r w:rsidRPr="00421400">
        <w:rPr>
          <w:i/>
        </w:rPr>
        <w:t>In re Application of Columbus S. Power Co</w:t>
      </w:r>
      <w:r>
        <w:t>., 147 Ohio St.3d 439, 2016-Ohio-1608 (2016) (“</w:t>
      </w:r>
      <w:r w:rsidRPr="00A912ED">
        <w:rPr>
          <w:i/>
        </w:rPr>
        <w:t>Columbus Southern Case</w:t>
      </w:r>
      <w:r>
        <w:t xml:space="preserve">”).  The latter case is of no relevance to the Application since Duke has invoked only the general jurisdiction and traditional rate making statutes as a basis for relief.  Application at 2.  The real import of the Court’s decision in </w:t>
      </w:r>
      <w:r w:rsidRPr="005A52E0">
        <w:rPr>
          <w:i/>
        </w:rPr>
        <w:t xml:space="preserve">Columbus Southern Case </w:t>
      </w:r>
      <w:r>
        <w:t>was its reversal of the Commission’s order authorizing above-market generation-related revenue because it afforded AEP-Ohio transition revenue or its equivalent.  That decision serves as an additional basis for dismissing the application, discussed below.</w:t>
      </w:r>
    </w:p>
  </w:footnote>
  <w:footnote w:id="8">
    <w:p w14:paraId="7A27E94D" w14:textId="77777777" w:rsidR="000831B1" w:rsidRDefault="000831B1" w:rsidP="00566E4E">
      <w:pPr>
        <w:pStyle w:val="FootnoteText"/>
        <w:spacing w:after="200"/>
        <w:rPr>
          <w:rFonts w:cs="Arial"/>
        </w:rPr>
      </w:pPr>
      <w:r>
        <w:rPr>
          <w:rStyle w:val="FootnoteReference"/>
          <w:rFonts w:cs="Arial"/>
        </w:rPr>
        <w:footnoteRef/>
      </w:r>
      <w:r>
        <w:rPr>
          <w:rFonts w:cs="Arial"/>
        </w:rPr>
        <w:t xml:space="preserve"> “‘Retail electric service’ means any service involved in supplying or arranging for the supply of electricity to ultimate consumers in this state, from the point of generation to the point of consumption.  For the purposes of this chapter, retail electric service includes one or more of the following service components: generation service, aggregation service, power marketing service, power brokerage service, transmission service, distribution service, ancillary service, metering service, and billing and collection service.”  Section 4928.01(A)(27), Revised Code.</w:t>
      </w:r>
    </w:p>
    <w:p w14:paraId="682E2BF3" w14:textId="77777777" w:rsidR="000831B1" w:rsidRDefault="000831B1" w:rsidP="00566E4E">
      <w:pPr>
        <w:pStyle w:val="FootnoteText"/>
        <w:spacing w:after="200"/>
        <w:rPr>
          <w:rFonts w:cs="Arial"/>
        </w:rPr>
      </w:pPr>
      <w:r>
        <w:rPr>
          <w:rFonts w:cs="Arial"/>
        </w:rPr>
        <w:t>“Competitive retail electric service” means a component of retail electric service that is competitive as provided under division (B) of Section 4928.01, Revised Code.</w:t>
      </w:r>
    </w:p>
  </w:footnote>
  <w:footnote w:id="9">
    <w:p w14:paraId="4E590894" w14:textId="77777777" w:rsidR="000831B1" w:rsidRDefault="000831B1" w:rsidP="00566E4E">
      <w:pPr>
        <w:pStyle w:val="FootnoteText"/>
        <w:spacing w:after="200"/>
      </w:pPr>
      <w:r>
        <w:rPr>
          <w:rStyle w:val="FootnoteReference"/>
        </w:rPr>
        <w:footnoteRef/>
      </w:r>
      <w:r>
        <w:t xml:space="preserve"> R.C. 4928.03 provides:</w:t>
      </w:r>
    </w:p>
    <w:p w14:paraId="48AB06E8" w14:textId="77777777" w:rsidR="000831B1" w:rsidRDefault="000831B1" w:rsidP="00566E4E">
      <w:pPr>
        <w:pStyle w:val="FootnoteText"/>
        <w:spacing w:after="200"/>
        <w:ind w:left="720" w:right="720"/>
      </w:pPr>
      <w:r w:rsidRPr="00D9573E">
        <w:t xml:space="preserve">Beginning on the starting date of competitive retail electric service, retail electric generation, aggregation, power marketing, and power brokerage services supplied to consumers within the certified territory of an electric utility are competitive retail electric services that the consumers may obtain subject to this chapter from any supplier or suppliers. In accordance with a filing under division (F) of section </w:t>
      </w:r>
      <w:hyperlink r:id="rId1" w:tooltip="4933.81" w:history="1">
        <w:r w:rsidRPr="00D9573E">
          <w:rPr>
            <w:rStyle w:val="Hyperlink"/>
          </w:rPr>
          <w:t>4933.81</w:t>
        </w:r>
      </w:hyperlink>
      <w:r w:rsidRPr="00D9573E">
        <w:t xml:space="preserve"> of the Revised Code, retail electric generation, aggregation, power marketing, or power brokerage services supplied to consumers within the certified territory of an electric cooperative that has made the filing are competitive retail electric services that the consumers may obtain subject to this chapter from any supplier or suppliers. Beginning on the starting date of competitive retail electric service and notwithstanding any other provision of law, each consumer in this state and the suppliers to a consumer shall have comparable and nondiscriminatory access to noncompetitive retail electric services of an electric utility in this state within its certified territory for the purpose of satisfying the consumer's electricity requirements in keeping with the policy specified in section </w:t>
      </w:r>
      <w:hyperlink r:id="rId2" w:tooltip="4928.02" w:history="1">
        <w:r w:rsidRPr="00D9573E">
          <w:rPr>
            <w:rStyle w:val="Hyperlink"/>
          </w:rPr>
          <w:t>4928.02</w:t>
        </w:r>
      </w:hyperlink>
      <w:r w:rsidRPr="00D9573E">
        <w:t xml:space="preserve"> of the Revised Code.</w:t>
      </w:r>
    </w:p>
  </w:footnote>
  <w:footnote w:id="10">
    <w:p w14:paraId="6434D6C2" w14:textId="77777777" w:rsidR="000831B1" w:rsidRDefault="000831B1" w:rsidP="00566E4E">
      <w:pPr>
        <w:pStyle w:val="FootnoteText"/>
        <w:spacing w:after="200"/>
        <w:rPr>
          <w:rFonts w:cs="Arial"/>
        </w:rPr>
      </w:pPr>
      <w:r>
        <w:rPr>
          <w:rStyle w:val="FootnoteReference"/>
          <w:rFonts w:cs="Arial"/>
        </w:rPr>
        <w:footnoteRef/>
      </w:r>
      <w:r>
        <w:rPr>
          <w:rFonts w:cs="Arial"/>
        </w:rPr>
        <w:t xml:space="preserve"> R.C. 4928.05(A)(1) provides: </w:t>
      </w:r>
    </w:p>
    <w:p w14:paraId="5A1FC091" w14:textId="77777777" w:rsidR="000831B1" w:rsidRDefault="000831B1" w:rsidP="00566E4E">
      <w:pPr>
        <w:pStyle w:val="FootnoteText"/>
        <w:spacing w:after="200"/>
        <w:ind w:left="720" w:right="720"/>
        <w:rPr>
          <w:rFonts w:cs="Arial"/>
        </w:rPr>
      </w:pPr>
      <w:r>
        <w:rPr>
          <w:rFonts w:cs="Arial"/>
        </w:rPr>
        <w:t xml:space="preserve">On and after the starting date of competitive retail electric service, a competitive retail electric service supplied by an electric utility or electric services company shall not be subject to supervision and regulation by a municipal corporation under Chapter 743. of the Revised Code or by the public utilities commission under Chapters 4901. to 4909., 4933., 4935., and 4963. of the Revised Code, except sections </w:t>
      </w:r>
      <w:hyperlink r:id="rId3" w:tooltip="4905.10" w:history="1">
        <w:r>
          <w:rPr>
            <w:rStyle w:val="Hyperlink"/>
            <w:rFonts w:cs="Arial"/>
          </w:rPr>
          <w:t>4905.10</w:t>
        </w:r>
      </w:hyperlink>
      <w:r>
        <w:rPr>
          <w:rFonts w:cs="Arial"/>
        </w:rPr>
        <w:t xml:space="preserve"> and </w:t>
      </w:r>
      <w:hyperlink r:id="rId4" w:tooltip="4905.31" w:history="1">
        <w:r>
          <w:rPr>
            <w:rStyle w:val="Hyperlink"/>
            <w:rFonts w:cs="Arial"/>
          </w:rPr>
          <w:t>4905.31</w:t>
        </w:r>
      </w:hyperlink>
      <w:r>
        <w:rPr>
          <w:rFonts w:cs="Arial"/>
        </w:rPr>
        <w:t xml:space="preserve">, division (B) of section </w:t>
      </w:r>
      <w:hyperlink r:id="rId5" w:tooltip="4905.33" w:history="1">
        <w:r>
          <w:rPr>
            <w:rStyle w:val="Hyperlink"/>
            <w:rFonts w:cs="Arial"/>
          </w:rPr>
          <w:t>4905.33</w:t>
        </w:r>
      </w:hyperlink>
      <w:r>
        <w:rPr>
          <w:rFonts w:cs="Arial"/>
        </w:rPr>
        <w:t xml:space="preserve">, and sections </w:t>
      </w:r>
      <w:hyperlink r:id="rId6" w:tooltip="4905.35" w:history="1">
        <w:r>
          <w:rPr>
            <w:rStyle w:val="Hyperlink"/>
            <w:rFonts w:cs="Arial"/>
          </w:rPr>
          <w:t>4905.35</w:t>
        </w:r>
      </w:hyperlink>
      <w:r>
        <w:rPr>
          <w:rFonts w:cs="Arial"/>
        </w:rPr>
        <w:t xml:space="preserve"> and </w:t>
      </w:r>
      <w:hyperlink r:id="rId7" w:tooltip="4933.81" w:history="1">
        <w:r>
          <w:rPr>
            <w:rStyle w:val="Hyperlink"/>
            <w:rFonts w:cs="Arial"/>
          </w:rPr>
          <w:t>4933.81</w:t>
        </w:r>
      </w:hyperlink>
      <w:r>
        <w:rPr>
          <w:rFonts w:cs="Arial"/>
        </w:rPr>
        <w:t xml:space="preserve"> to </w:t>
      </w:r>
      <w:hyperlink r:id="rId8" w:tooltip="4933.90" w:history="1">
        <w:r>
          <w:rPr>
            <w:rStyle w:val="Hyperlink"/>
            <w:rFonts w:cs="Arial"/>
          </w:rPr>
          <w:t>4933.90</w:t>
        </w:r>
      </w:hyperlink>
      <w:r>
        <w:rPr>
          <w:rFonts w:cs="Arial"/>
        </w:rPr>
        <w:t xml:space="preserve"> ; except sections </w:t>
      </w:r>
      <w:hyperlink r:id="rId9" w:tooltip="4905.06" w:history="1">
        <w:r>
          <w:rPr>
            <w:rStyle w:val="Hyperlink"/>
            <w:rFonts w:cs="Arial"/>
          </w:rPr>
          <w:t>4905.06</w:t>
        </w:r>
      </w:hyperlink>
      <w:r>
        <w:rPr>
          <w:rFonts w:cs="Arial"/>
        </w:rPr>
        <w:t xml:space="preserve">, </w:t>
      </w:r>
      <w:hyperlink r:id="rId10" w:tooltip="4935.03" w:history="1">
        <w:r>
          <w:rPr>
            <w:rStyle w:val="Hyperlink"/>
            <w:rFonts w:cs="Arial"/>
          </w:rPr>
          <w:t>4935.03</w:t>
        </w:r>
      </w:hyperlink>
      <w:r>
        <w:rPr>
          <w:rFonts w:cs="Arial"/>
        </w:rPr>
        <w:t xml:space="preserve">, </w:t>
      </w:r>
      <w:hyperlink r:id="rId11" w:tooltip="4963.40" w:history="1">
        <w:r>
          <w:rPr>
            <w:rStyle w:val="Hyperlink"/>
            <w:rFonts w:cs="Arial"/>
          </w:rPr>
          <w:t>4963.40</w:t>
        </w:r>
      </w:hyperlink>
      <w:r>
        <w:rPr>
          <w:rFonts w:cs="Arial"/>
        </w:rPr>
        <w:t xml:space="preserve">, and </w:t>
      </w:r>
      <w:hyperlink r:id="rId12" w:tooltip="4963.41" w:history="1">
        <w:r>
          <w:rPr>
            <w:rStyle w:val="Hyperlink"/>
            <w:rFonts w:cs="Arial"/>
          </w:rPr>
          <w:t>4963.41</w:t>
        </w:r>
      </w:hyperlink>
      <w:r>
        <w:rPr>
          <w:rFonts w:cs="Arial"/>
        </w:rPr>
        <w:t xml:space="preserve"> of the Revised Code only to the extent related to service reliability and public safety; and except as otherwise provided in this chapter. The commission’s authority to enforce those excepted provisions with respect to a competitive retail electric service shall be such authority as is provided for their enforcement under Chapters 4901. to 4909., 4933., 4935., and 4963. of the Revised Code and this chapter. Nothing in this division shall be construed to limit the commission’s authority under sections </w:t>
      </w:r>
      <w:hyperlink r:id="rId13" w:tooltip="4928.141" w:history="1">
        <w:r>
          <w:rPr>
            <w:rStyle w:val="Hyperlink"/>
            <w:rFonts w:cs="Arial"/>
          </w:rPr>
          <w:t>4928.141</w:t>
        </w:r>
      </w:hyperlink>
      <w:r>
        <w:rPr>
          <w:rFonts w:cs="Arial"/>
        </w:rPr>
        <w:t xml:space="preserve"> to </w:t>
      </w:r>
      <w:hyperlink r:id="rId14" w:tooltip="4928.144" w:history="1">
        <w:r>
          <w:rPr>
            <w:rStyle w:val="Hyperlink"/>
            <w:rFonts w:cs="Arial"/>
          </w:rPr>
          <w:t>4928.144</w:t>
        </w:r>
      </w:hyperlink>
      <w:r>
        <w:rPr>
          <w:rFonts w:cs="Arial"/>
        </w:rPr>
        <w:t xml:space="preserve"> of the Revised Code. On and after the starting date of competitive retail electric service, a competitive retail electric service supplied by an electric cooperative shall not be subject to supervision and regulation by the commission under Chapters 4901. to 4909., 4933., 4935., and 4963. of the Revised Code, except as otherwise expressly provided in sections </w:t>
      </w:r>
      <w:hyperlink r:id="rId15" w:tooltip="4928.01" w:history="1">
        <w:r>
          <w:rPr>
            <w:rStyle w:val="Hyperlink"/>
            <w:rFonts w:cs="Arial"/>
          </w:rPr>
          <w:t>4928.01</w:t>
        </w:r>
      </w:hyperlink>
      <w:r>
        <w:rPr>
          <w:rFonts w:cs="Arial"/>
        </w:rPr>
        <w:t xml:space="preserve"> to </w:t>
      </w:r>
      <w:hyperlink r:id="rId16" w:tooltip="4928.10" w:history="1">
        <w:r>
          <w:rPr>
            <w:rStyle w:val="Hyperlink"/>
            <w:rFonts w:cs="Arial"/>
          </w:rPr>
          <w:t>4928.10</w:t>
        </w:r>
      </w:hyperlink>
      <w:r>
        <w:rPr>
          <w:rFonts w:cs="Arial"/>
        </w:rPr>
        <w:t xml:space="preserve"> and </w:t>
      </w:r>
      <w:hyperlink r:id="rId17" w:tooltip="4928.16" w:history="1">
        <w:r>
          <w:rPr>
            <w:rStyle w:val="Hyperlink"/>
            <w:rFonts w:cs="Arial"/>
          </w:rPr>
          <w:t>4928.16</w:t>
        </w:r>
      </w:hyperlink>
      <w:r>
        <w:rPr>
          <w:rFonts w:cs="Arial"/>
        </w:rPr>
        <w:t xml:space="preserve"> of the Revised Code.</w:t>
      </w:r>
    </w:p>
  </w:footnote>
  <w:footnote w:id="11">
    <w:p w14:paraId="0F2B70B1" w14:textId="77777777" w:rsidR="000831B1" w:rsidRDefault="000831B1" w:rsidP="00566E4E">
      <w:pPr>
        <w:pStyle w:val="FootnoteText"/>
        <w:spacing w:after="200"/>
      </w:pPr>
      <w:r>
        <w:rPr>
          <w:rStyle w:val="FootnoteReference"/>
        </w:rPr>
        <w:footnoteRef/>
      </w:r>
      <w:r>
        <w:t xml:space="preserve"> </w:t>
      </w:r>
      <w:r>
        <w:rPr>
          <w:rFonts w:eastAsia="Times New Roman" w:cs="Times New Roman"/>
          <w:bCs/>
          <w:i/>
          <w:color w:val="000000"/>
        </w:rPr>
        <w:t>In the Matter of the Application of The Dayton Power and Light Company for Approval of its Electric Security Plan</w:t>
      </w:r>
      <w:r>
        <w:rPr>
          <w:rFonts w:eastAsia="Times New Roman" w:cs="Times New Roman"/>
          <w:bCs/>
          <w:color w:val="000000"/>
        </w:rPr>
        <w:t xml:space="preserve">, Case Nos. 12-426-EL-SSO, </w:t>
      </w:r>
      <w:r w:rsidRPr="0023785E">
        <w:rPr>
          <w:rFonts w:eastAsia="Times New Roman" w:cs="Times New Roman"/>
          <w:bCs/>
          <w:i/>
          <w:color w:val="000000"/>
        </w:rPr>
        <w:t>et al.</w:t>
      </w:r>
      <w:r>
        <w:rPr>
          <w:rFonts w:eastAsia="Times New Roman" w:cs="Times New Roman"/>
          <w:bCs/>
          <w:color w:val="000000"/>
        </w:rPr>
        <w:t xml:space="preserve">, Opinion and Order at 17 (Sept. 4, 2013) (“DP&amp;L ESP II Order”). This description is largely similar to that describing the charge the Court rejected in </w:t>
      </w:r>
      <w:r>
        <w:rPr>
          <w:rFonts w:eastAsia="Times New Roman" w:cs="Times New Roman"/>
          <w:bCs/>
          <w:i/>
          <w:color w:val="000000"/>
        </w:rPr>
        <w:t>Columbus Southern</w:t>
      </w:r>
      <w:r>
        <w:rPr>
          <w:rFonts w:eastAsia="Times New Roman" w:cs="Times New Roman"/>
          <w:bCs/>
          <w:color w:val="000000"/>
        </w:rPr>
        <w:t xml:space="preserve">, at ¶ 24 (in calculating a revenue requirement for AEP-Ohio’s charge, the Commission focused on three generation-related factors:  nonfuel generation revenue, capacity revenues, and customer switching).  DP&amp;L also confirmed during the hearing that the SSR charge was driven solely by its generation business as it admitted that its revenue from its other two utility lines of business, transmission and distribution, were adequate and would remain so.  </w:t>
      </w:r>
      <w:r>
        <w:rPr>
          <w:rFonts w:eastAsia="Times New Roman" w:cs="Times New Roman"/>
          <w:bCs/>
          <w:i/>
          <w:color w:val="000000"/>
        </w:rPr>
        <w:t>In the Matter of the Application of The Dayton Power and Light Company for Approval of its Electric Security Plan</w:t>
      </w:r>
      <w:r>
        <w:rPr>
          <w:rFonts w:eastAsia="Times New Roman" w:cs="Times New Roman"/>
          <w:bCs/>
          <w:color w:val="000000"/>
        </w:rPr>
        <w:t>, Supreme Court Case No. 2014-1505, First Merit Brief of Appellant Industrial Energy Users-Ohio at 17-18 (</w:t>
      </w:r>
      <w:r>
        <w:rPr>
          <w:rFonts w:eastAsia="Times New Roman" w:cs="Times New Roman"/>
          <w:bCs/>
          <w:i/>
          <w:color w:val="000000"/>
        </w:rPr>
        <w:t>citing</w:t>
      </w:r>
      <w:r>
        <w:rPr>
          <w:rFonts w:eastAsia="Times New Roman" w:cs="Times New Roman"/>
          <w:bCs/>
          <w:color w:val="000000"/>
        </w:rPr>
        <w:t xml:space="preserve"> DP&amp;L Ex. 1 at 13 (Supp. at 2); Tr. Vol. I at 118 (Supp. at 73); Tr. Vol. I at 150 (Supp. at 81)).</w:t>
      </w:r>
    </w:p>
  </w:footnote>
  <w:footnote w:id="12">
    <w:p w14:paraId="108EED00" w14:textId="77777777" w:rsidR="000831B1" w:rsidRPr="005837EA" w:rsidRDefault="000831B1" w:rsidP="00566E4E">
      <w:pPr>
        <w:pStyle w:val="FootnoteText"/>
        <w:spacing w:after="200"/>
        <w:rPr>
          <w:rFonts w:cs="Arial"/>
        </w:rPr>
      </w:pPr>
      <w:r w:rsidRPr="005837EA">
        <w:rPr>
          <w:rStyle w:val="FootnoteReference"/>
          <w:rFonts w:cs="Arial"/>
        </w:rPr>
        <w:footnoteRef/>
      </w:r>
      <w:r w:rsidRPr="005837EA">
        <w:rPr>
          <w:rFonts w:cs="Arial"/>
        </w:rPr>
        <w:t xml:space="preserve"> </w:t>
      </w:r>
      <w:r w:rsidRPr="005837EA">
        <w:rPr>
          <w:rFonts w:cs="Arial"/>
          <w:i/>
        </w:rPr>
        <w:t>See Elyria Foundry Co. v. Pub. Util. Comm’n of Ohio</w:t>
      </w:r>
      <w:r w:rsidRPr="005837EA">
        <w:rPr>
          <w:rFonts w:cs="Arial"/>
        </w:rPr>
        <w:t>, 114 Ohio St.3d 305 (2007).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B2F9E" w14:textId="77777777" w:rsidR="000831B1" w:rsidRDefault="000831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91A87" w14:textId="77777777" w:rsidR="000831B1" w:rsidRDefault="000831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2174F" w14:textId="77777777" w:rsidR="000831B1" w:rsidRDefault="000831B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2088A" w14:textId="77777777" w:rsidR="000831B1" w:rsidRDefault="000831B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085BD" w14:textId="77777777" w:rsidR="000831B1" w:rsidRDefault="000831B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28BE" w14:textId="77777777" w:rsidR="000831B1" w:rsidRDefault="000831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10F9F"/>
    <w:multiLevelType w:val="multilevel"/>
    <w:tmpl w:val="03808096"/>
    <w:name w:val="IEU-Ohio Headings-Scheme 1"/>
    <w:lvl w:ilvl="0">
      <w:start w:val="1"/>
      <w:numFmt w:val="upperRoman"/>
      <w:pStyle w:val="Heading1"/>
      <w:lvlText w:val="%1."/>
      <w:lvlJc w:val="left"/>
      <w:pPr>
        <w:tabs>
          <w:tab w:val="num" w:pos="720"/>
        </w:tabs>
        <w:ind w:left="720" w:hanging="720"/>
      </w:pPr>
      <w:rPr>
        <w:b/>
        <w:caps w:val="0"/>
        <w:vanish w:val="0"/>
        <w:color w:val="010000"/>
        <w:u w:val="none"/>
      </w:rPr>
    </w:lvl>
    <w:lvl w:ilvl="1">
      <w:start w:val="1"/>
      <w:numFmt w:val="upperLetter"/>
      <w:pStyle w:val="Heading2"/>
      <w:lvlText w:val="%2."/>
      <w:lvlJc w:val="left"/>
      <w:pPr>
        <w:tabs>
          <w:tab w:val="num" w:pos="1440"/>
        </w:tabs>
        <w:ind w:left="1440" w:hanging="720"/>
      </w:pPr>
      <w:rPr>
        <w:b/>
        <w:caps w:val="0"/>
        <w:vanish w:val="0"/>
        <w:color w:val="010000"/>
        <w:u w:val="none"/>
      </w:rPr>
    </w:lvl>
    <w:lvl w:ilvl="2">
      <w:start w:val="1"/>
      <w:numFmt w:val="decimal"/>
      <w:pStyle w:val="Heading3"/>
      <w:lvlText w:val="%3."/>
      <w:lvlJc w:val="left"/>
      <w:pPr>
        <w:tabs>
          <w:tab w:val="num" w:pos="2160"/>
        </w:tabs>
        <w:ind w:left="2160" w:hanging="720"/>
      </w:pPr>
      <w:rPr>
        <w:b/>
        <w:i w:val="0"/>
        <w:caps w:val="0"/>
        <w:vanish w:val="0"/>
        <w:color w:val="010000"/>
        <w:u w:val="none"/>
      </w:rPr>
    </w:lvl>
    <w:lvl w:ilvl="3">
      <w:start w:val="1"/>
      <w:numFmt w:val="lowerLetter"/>
      <w:pStyle w:val="Heading4"/>
      <w:lvlText w:val="%4."/>
      <w:lvlJc w:val="left"/>
      <w:pPr>
        <w:tabs>
          <w:tab w:val="num" w:pos="2880"/>
        </w:tabs>
        <w:ind w:left="2880" w:hanging="720"/>
      </w:pPr>
      <w:rPr>
        <w:b/>
        <w:i/>
        <w:caps w:val="0"/>
        <w:vanish w:val="0"/>
        <w:color w:val="010000"/>
        <w:u w:val="none"/>
      </w:rPr>
    </w:lvl>
    <w:lvl w:ilvl="4">
      <w:start w:val="1"/>
      <w:numFmt w:val="lowerRoman"/>
      <w:pStyle w:val="Heading5"/>
      <w:lvlText w:val="%5."/>
      <w:lvlJc w:val="left"/>
      <w:pPr>
        <w:tabs>
          <w:tab w:val="num" w:pos="3600"/>
        </w:tabs>
        <w:ind w:left="3600" w:hanging="720"/>
      </w:pPr>
      <w:rPr>
        <w:caps w:val="0"/>
        <w:vanish w:val="0"/>
        <w:color w:val="010000"/>
        <w:u w:val="none"/>
      </w:rPr>
    </w:lvl>
    <w:lvl w:ilvl="5">
      <w:start w:val="1"/>
      <w:numFmt w:val="lowerLetter"/>
      <w:pStyle w:val="Heading6"/>
      <w:lvlText w:val="(%6)"/>
      <w:lvlJc w:val="left"/>
      <w:pPr>
        <w:tabs>
          <w:tab w:val="num" w:pos="4320"/>
        </w:tabs>
        <w:ind w:left="4320" w:hanging="720"/>
      </w:pPr>
      <w:rPr>
        <w:caps w:val="0"/>
        <w:vanish w:val="0"/>
        <w:color w:val="010000"/>
        <w:u w:val="none"/>
      </w:rPr>
    </w:lvl>
    <w:lvl w:ilvl="6">
      <w:start w:val="1"/>
      <w:numFmt w:val="decimal"/>
      <w:pStyle w:val="Heading7"/>
      <w:lvlText w:val="(%7)"/>
      <w:lvlJc w:val="left"/>
      <w:pPr>
        <w:tabs>
          <w:tab w:val="num" w:pos="5040"/>
        </w:tabs>
        <w:ind w:left="5040" w:hanging="720"/>
      </w:pPr>
      <w:rPr>
        <w:caps w:val="0"/>
        <w:vanish w:val="0"/>
        <w:color w:val="010000"/>
        <w:u w:val="none"/>
      </w:rPr>
    </w:lvl>
    <w:lvl w:ilvl="7">
      <w:start w:val="1"/>
      <w:numFmt w:val="lowerRoman"/>
      <w:pStyle w:val="Heading8"/>
      <w:lvlText w:val="%8)"/>
      <w:lvlJc w:val="left"/>
      <w:pPr>
        <w:tabs>
          <w:tab w:val="num" w:pos="5760"/>
        </w:tabs>
        <w:ind w:left="5760" w:hanging="720"/>
      </w:pPr>
      <w:rPr>
        <w:caps w:val="0"/>
        <w:vanish w:val="0"/>
        <w:color w:val="010000"/>
        <w:u w:val="none"/>
      </w:rPr>
    </w:lvl>
    <w:lvl w:ilvl="8">
      <w:start w:val="1"/>
      <w:numFmt w:val="lowerLetter"/>
      <w:pStyle w:val="Heading9"/>
      <w:lvlText w:val="%9)"/>
      <w:lvlJc w:val="left"/>
      <w:pPr>
        <w:tabs>
          <w:tab w:val="num" w:pos="6480"/>
        </w:tabs>
        <w:ind w:left="6480" w:hanging="720"/>
      </w:pPr>
      <w:rPr>
        <w:caps w:val="0"/>
        <w:vanish w:val="0"/>
        <w:color w:val="010000"/>
        <w:u w:val="none"/>
      </w:rPr>
    </w:lvl>
  </w:abstractNum>
  <w:abstractNum w:abstractNumId="1" w15:restartNumberingAfterBreak="0">
    <w:nsid w:val="4320632E"/>
    <w:multiLevelType w:val="hybridMultilevel"/>
    <w:tmpl w:val="9EC20BDC"/>
    <w:lvl w:ilvl="0" w:tplc="AFAA89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2A45C1"/>
    <w:multiLevelType w:val="hybridMultilevel"/>
    <w:tmpl w:val="905CA1B8"/>
    <w:lvl w:ilvl="0" w:tplc="ACC69C1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40519CC"/>
    <w:multiLevelType w:val="hybridMultilevel"/>
    <w:tmpl w:val="259AFE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BE00C5"/>
    <w:multiLevelType w:val="hybridMultilevel"/>
    <w:tmpl w:val="9EC20BDC"/>
    <w:lvl w:ilvl="0" w:tplc="AFAA89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dedNumberingSchemes" w:val="&lt;?xml version=&quot;1.0&quot; encoding=&quot;utf-16&quot;?&gt;&lt;ArrayOfAddedNumberingScheme xmlns:xsi=&quot;http://www.w3.org/2001/XMLSchema-instance&quot; xmlns:xsd=&quot;http://www.w3.org/2001/XMLSchema&quot;&gt;&lt;AddedNumberingScheme&gt;&lt;SelectedNumberingScheme&gt;&lt;LastUpdated&gt;0001-01-01T00:00:00&lt;/LastUpdated&gt;&lt;NumberingSchemeID&gt;1&lt;/NumberingSchemeID&gt;&lt;SortOrder&gt;0&lt;/SortOrder&gt;&lt;Name&gt;IEU-Ohio Headings&lt;/Name&gt;&lt;Description&gt; &lt;/Description&gt;&lt;FilterID&gt;0&lt;/FilterID&gt;&lt;CustomTOCAttached&gt;false&lt;/CustomTOCAttached&gt;&lt;DefaultTOCSchemeID&gt;0&lt;/DefaultTOCSchemeID&gt;&lt;BitMapID&gt;2&lt;/BitMapID&gt;&lt;Hidden&gt;false&lt;/Hidden&gt;&lt;ListIndexUsed&gt;0&lt;/ListIndexUsed&gt;&lt;CapturedDocument&gt;M:\CLIENTS\18480\0067\C46880.DOCX&lt;/CapturedDocument&gt;&lt;CreatedByEndUser&gt;true&lt;/CreatedByEndUser&gt;&lt;ConnectionType&gt;User&lt;/ConnectionType&gt;&lt;EnforceSchemeFont&gt;false&lt;/EnforceSchemeFont&gt;&lt;/SelectedNumberingScheme&gt;&lt;SelectedSchemeFilter&gt;&lt;LastUpdated&gt;0001-01-01T00:00:00&lt;/LastUpdated&gt;&lt;FilterID&gt;2&lt;/FilterID&gt;&lt;FilterName&gt;User-Defined Numbering Schemes&lt;/FilterName&gt;&lt;FilterNameFrench&gt;Schémas de numérotation définis par l'utilisateur&lt;/FilterNameFrench&gt;&lt;UserDatabaseOnly&gt;true&lt;/UserDatabaseOnly&gt;&lt;Default&gt;true&lt;/Default&gt;&lt;SortPosition&gt;2&lt;/SortPosition&gt;&lt;/SelectedSchemeFilter&gt;&lt;SelectedNumberingSchemeOptions /&gt;&lt;Index&gt;1&lt;/Index&gt;&lt;/AddedNumberingScheme&gt;&lt;/ArrayOfAddedNumberingScheme&gt;"/>
    <w:docVar w:name="CenterLevel1TOC" w:val="False"/>
    <w:docVar w:name="EnforceSchemeFont" w:val="False"/>
    <w:docVar w:name="ExcludeDirectFormattingInTOC1" w:val="False"/>
    <w:docVar w:name="IncludeTOCAndPageHeadings" w:val="True"/>
    <w:docVar w:name="LastSchemeChoice" w:val="IEU-Ohio Headings"/>
    <w:docVar w:name="LastSchemeUniqueID" w:val="1"/>
    <w:docVar w:name="LegacyNa" w:val="False"/>
    <w:docVar w:name="NoNumberLevel1TOC" w:val="False"/>
    <w:docVar w:name="TOCFormatConst" w:val="0"/>
    <w:docVar w:name="TOCFormatPreference" w:val="Leave TOC styles 'as is' in current document (default)"/>
    <w:docVar w:name="TOCHeadingAllCaps" w:val="True"/>
    <w:docVar w:name="TOCHeadingUnderlined" w:val="True"/>
    <w:docVar w:name="TOCIncludeSectionBreaks1" w:val="False"/>
    <w:docVar w:name="TOCPageUnderlined" w:val="False"/>
    <w:docVar w:name="TOCPosition" w:val="1"/>
    <w:docVar w:name="TOCRun" w:val="True"/>
    <w:docVar w:name="TOCSpecialLevels1" w:val="False"/>
    <w:docVar w:name="UnderlineTOCLevel1" w:val="False"/>
    <w:docVar w:name="UpperLevelTOC" w:val="4"/>
  </w:docVars>
  <w:rsids>
    <w:rsidRoot w:val="00525CF5"/>
    <w:rsid w:val="000010E3"/>
    <w:rsid w:val="000117EF"/>
    <w:rsid w:val="0001320C"/>
    <w:rsid w:val="00014812"/>
    <w:rsid w:val="00015C7E"/>
    <w:rsid w:val="00016308"/>
    <w:rsid w:val="00017D0C"/>
    <w:rsid w:val="000201A4"/>
    <w:rsid w:val="00024184"/>
    <w:rsid w:val="00024E34"/>
    <w:rsid w:val="00024E95"/>
    <w:rsid w:val="000323E2"/>
    <w:rsid w:val="00033A2D"/>
    <w:rsid w:val="00034580"/>
    <w:rsid w:val="0004024A"/>
    <w:rsid w:val="00040F84"/>
    <w:rsid w:val="00041021"/>
    <w:rsid w:val="00041581"/>
    <w:rsid w:val="00042E93"/>
    <w:rsid w:val="000434BB"/>
    <w:rsid w:val="00044688"/>
    <w:rsid w:val="00044EEF"/>
    <w:rsid w:val="00047529"/>
    <w:rsid w:val="00051075"/>
    <w:rsid w:val="00052EF5"/>
    <w:rsid w:val="00054658"/>
    <w:rsid w:val="00055EA5"/>
    <w:rsid w:val="00056B76"/>
    <w:rsid w:val="000621AB"/>
    <w:rsid w:val="00062B21"/>
    <w:rsid w:val="0006476E"/>
    <w:rsid w:val="00066180"/>
    <w:rsid w:val="0006676B"/>
    <w:rsid w:val="000676F2"/>
    <w:rsid w:val="0007276D"/>
    <w:rsid w:val="00076039"/>
    <w:rsid w:val="0007612C"/>
    <w:rsid w:val="00077BAA"/>
    <w:rsid w:val="00081C69"/>
    <w:rsid w:val="000823E2"/>
    <w:rsid w:val="000831B1"/>
    <w:rsid w:val="00086B55"/>
    <w:rsid w:val="00086DC8"/>
    <w:rsid w:val="00090F6B"/>
    <w:rsid w:val="00094286"/>
    <w:rsid w:val="00096440"/>
    <w:rsid w:val="00096570"/>
    <w:rsid w:val="000A1500"/>
    <w:rsid w:val="000A3414"/>
    <w:rsid w:val="000A7452"/>
    <w:rsid w:val="000A7D1E"/>
    <w:rsid w:val="000A7F59"/>
    <w:rsid w:val="000B2873"/>
    <w:rsid w:val="000B29EE"/>
    <w:rsid w:val="000B5218"/>
    <w:rsid w:val="000B6C07"/>
    <w:rsid w:val="000C5B57"/>
    <w:rsid w:val="000D11FC"/>
    <w:rsid w:val="000D5E39"/>
    <w:rsid w:val="000E1AA0"/>
    <w:rsid w:val="000E203E"/>
    <w:rsid w:val="000E2345"/>
    <w:rsid w:val="000E25B2"/>
    <w:rsid w:val="000E2A5C"/>
    <w:rsid w:val="000F0FD9"/>
    <w:rsid w:val="00101DF9"/>
    <w:rsid w:val="00101EEB"/>
    <w:rsid w:val="00102324"/>
    <w:rsid w:val="00103806"/>
    <w:rsid w:val="00106D5E"/>
    <w:rsid w:val="001070DF"/>
    <w:rsid w:val="00107AD6"/>
    <w:rsid w:val="00110A61"/>
    <w:rsid w:val="00111799"/>
    <w:rsid w:val="00112492"/>
    <w:rsid w:val="00113B9E"/>
    <w:rsid w:val="00116A68"/>
    <w:rsid w:val="00116EA3"/>
    <w:rsid w:val="0012167C"/>
    <w:rsid w:val="00121FF3"/>
    <w:rsid w:val="00124937"/>
    <w:rsid w:val="00130A90"/>
    <w:rsid w:val="001312C7"/>
    <w:rsid w:val="0013279A"/>
    <w:rsid w:val="00133F7C"/>
    <w:rsid w:val="0013585B"/>
    <w:rsid w:val="00136E2C"/>
    <w:rsid w:val="00140E6E"/>
    <w:rsid w:val="00142600"/>
    <w:rsid w:val="00142775"/>
    <w:rsid w:val="00145F6C"/>
    <w:rsid w:val="0015031A"/>
    <w:rsid w:val="00151D37"/>
    <w:rsid w:val="001533DA"/>
    <w:rsid w:val="00155CB8"/>
    <w:rsid w:val="00156F12"/>
    <w:rsid w:val="0016146F"/>
    <w:rsid w:val="00161BF3"/>
    <w:rsid w:val="00164764"/>
    <w:rsid w:val="00167418"/>
    <w:rsid w:val="00170692"/>
    <w:rsid w:val="00170FEB"/>
    <w:rsid w:val="0017344A"/>
    <w:rsid w:val="001761F4"/>
    <w:rsid w:val="001802B0"/>
    <w:rsid w:val="00180D74"/>
    <w:rsid w:val="00182F37"/>
    <w:rsid w:val="00184E43"/>
    <w:rsid w:val="0018557D"/>
    <w:rsid w:val="00186931"/>
    <w:rsid w:val="001875AE"/>
    <w:rsid w:val="00187637"/>
    <w:rsid w:val="001876D9"/>
    <w:rsid w:val="00191727"/>
    <w:rsid w:val="001958D8"/>
    <w:rsid w:val="00197C7E"/>
    <w:rsid w:val="001A7615"/>
    <w:rsid w:val="001B2C6F"/>
    <w:rsid w:val="001B2E25"/>
    <w:rsid w:val="001B3334"/>
    <w:rsid w:val="001B36B5"/>
    <w:rsid w:val="001B4D28"/>
    <w:rsid w:val="001B7013"/>
    <w:rsid w:val="001C07A9"/>
    <w:rsid w:val="001C24F7"/>
    <w:rsid w:val="001C6BF5"/>
    <w:rsid w:val="001C7B7C"/>
    <w:rsid w:val="001D0068"/>
    <w:rsid w:val="001D1E69"/>
    <w:rsid w:val="001D2CEC"/>
    <w:rsid w:val="001D46AC"/>
    <w:rsid w:val="001D6542"/>
    <w:rsid w:val="001D6604"/>
    <w:rsid w:val="001D6B5B"/>
    <w:rsid w:val="001E3053"/>
    <w:rsid w:val="001E321A"/>
    <w:rsid w:val="001F152A"/>
    <w:rsid w:val="001F3A2C"/>
    <w:rsid w:val="001F40FB"/>
    <w:rsid w:val="001F7CB8"/>
    <w:rsid w:val="002038B9"/>
    <w:rsid w:val="00203DD8"/>
    <w:rsid w:val="002050B0"/>
    <w:rsid w:val="00205649"/>
    <w:rsid w:val="002070F9"/>
    <w:rsid w:val="002077DE"/>
    <w:rsid w:val="00207FE1"/>
    <w:rsid w:val="0021094F"/>
    <w:rsid w:val="00212881"/>
    <w:rsid w:val="0021416E"/>
    <w:rsid w:val="00214856"/>
    <w:rsid w:val="00216FEF"/>
    <w:rsid w:val="00217E3F"/>
    <w:rsid w:val="0022211A"/>
    <w:rsid w:val="002267A4"/>
    <w:rsid w:val="00232585"/>
    <w:rsid w:val="00236658"/>
    <w:rsid w:val="00240F7F"/>
    <w:rsid w:val="0024187C"/>
    <w:rsid w:val="00242AAB"/>
    <w:rsid w:val="0024497B"/>
    <w:rsid w:val="00244DB4"/>
    <w:rsid w:val="00247A9A"/>
    <w:rsid w:val="0025009C"/>
    <w:rsid w:val="0025169A"/>
    <w:rsid w:val="00261C97"/>
    <w:rsid w:val="00263E7C"/>
    <w:rsid w:val="0026759D"/>
    <w:rsid w:val="00281F29"/>
    <w:rsid w:val="00282304"/>
    <w:rsid w:val="00283E9A"/>
    <w:rsid w:val="002854AC"/>
    <w:rsid w:val="00287693"/>
    <w:rsid w:val="002906BA"/>
    <w:rsid w:val="002A13D7"/>
    <w:rsid w:val="002A6BDF"/>
    <w:rsid w:val="002B51D3"/>
    <w:rsid w:val="002B5447"/>
    <w:rsid w:val="002B638A"/>
    <w:rsid w:val="002C0868"/>
    <w:rsid w:val="002C0E1A"/>
    <w:rsid w:val="002C1656"/>
    <w:rsid w:val="002C5062"/>
    <w:rsid w:val="002C595C"/>
    <w:rsid w:val="002C7C2D"/>
    <w:rsid w:val="002D1666"/>
    <w:rsid w:val="002D23AC"/>
    <w:rsid w:val="002D4443"/>
    <w:rsid w:val="002D5ADE"/>
    <w:rsid w:val="002D7B09"/>
    <w:rsid w:val="002E1293"/>
    <w:rsid w:val="002E2921"/>
    <w:rsid w:val="002E2B07"/>
    <w:rsid w:val="002E5893"/>
    <w:rsid w:val="002E7801"/>
    <w:rsid w:val="002E7AA3"/>
    <w:rsid w:val="002F4776"/>
    <w:rsid w:val="0030702C"/>
    <w:rsid w:val="003101FC"/>
    <w:rsid w:val="0031142B"/>
    <w:rsid w:val="00311722"/>
    <w:rsid w:val="0031435B"/>
    <w:rsid w:val="00314462"/>
    <w:rsid w:val="00314A1D"/>
    <w:rsid w:val="00317FFB"/>
    <w:rsid w:val="003226F6"/>
    <w:rsid w:val="00324AF5"/>
    <w:rsid w:val="003250CC"/>
    <w:rsid w:val="0032569C"/>
    <w:rsid w:val="00326C9B"/>
    <w:rsid w:val="00326D3E"/>
    <w:rsid w:val="00326E4A"/>
    <w:rsid w:val="003278D3"/>
    <w:rsid w:val="00327A33"/>
    <w:rsid w:val="00327DDE"/>
    <w:rsid w:val="00333182"/>
    <w:rsid w:val="003331B7"/>
    <w:rsid w:val="003335AD"/>
    <w:rsid w:val="00336EB8"/>
    <w:rsid w:val="00336F20"/>
    <w:rsid w:val="003375CC"/>
    <w:rsid w:val="00342B77"/>
    <w:rsid w:val="003439F5"/>
    <w:rsid w:val="00346670"/>
    <w:rsid w:val="00346A90"/>
    <w:rsid w:val="003509AC"/>
    <w:rsid w:val="00351170"/>
    <w:rsid w:val="00352ABD"/>
    <w:rsid w:val="00352FF9"/>
    <w:rsid w:val="003542E0"/>
    <w:rsid w:val="00354328"/>
    <w:rsid w:val="00357E9B"/>
    <w:rsid w:val="0036276A"/>
    <w:rsid w:val="00364524"/>
    <w:rsid w:val="003726F0"/>
    <w:rsid w:val="00375DB8"/>
    <w:rsid w:val="00377475"/>
    <w:rsid w:val="00381775"/>
    <w:rsid w:val="003822B8"/>
    <w:rsid w:val="003860FC"/>
    <w:rsid w:val="00386B2D"/>
    <w:rsid w:val="0039068C"/>
    <w:rsid w:val="00390C67"/>
    <w:rsid w:val="00392BD1"/>
    <w:rsid w:val="00394C32"/>
    <w:rsid w:val="00394D32"/>
    <w:rsid w:val="003962C8"/>
    <w:rsid w:val="003977BF"/>
    <w:rsid w:val="003A1928"/>
    <w:rsid w:val="003A4942"/>
    <w:rsid w:val="003A7F4C"/>
    <w:rsid w:val="003B1E21"/>
    <w:rsid w:val="003B23F4"/>
    <w:rsid w:val="003B6059"/>
    <w:rsid w:val="003B68A3"/>
    <w:rsid w:val="003B6D13"/>
    <w:rsid w:val="003C0968"/>
    <w:rsid w:val="003C6094"/>
    <w:rsid w:val="003C6B26"/>
    <w:rsid w:val="003C6D22"/>
    <w:rsid w:val="003D10BE"/>
    <w:rsid w:val="003D2C29"/>
    <w:rsid w:val="003D2E37"/>
    <w:rsid w:val="003D37AE"/>
    <w:rsid w:val="003D4AD6"/>
    <w:rsid w:val="003D5775"/>
    <w:rsid w:val="003D5C34"/>
    <w:rsid w:val="003D60D8"/>
    <w:rsid w:val="003D6C6A"/>
    <w:rsid w:val="003E112F"/>
    <w:rsid w:val="003F39FF"/>
    <w:rsid w:val="003F58F7"/>
    <w:rsid w:val="004034B3"/>
    <w:rsid w:val="004040A4"/>
    <w:rsid w:val="00412E5B"/>
    <w:rsid w:val="004161C7"/>
    <w:rsid w:val="0041634F"/>
    <w:rsid w:val="00417F9C"/>
    <w:rsid w:val="00417FD2"/>
    <w:rsid w:val="00417FDE"/>
    <w:rsid w:val="004211DE"/>
    <w:rsid w:val="00421400"/>
    <w:rsid w:val="00423048"/>
    <w:rsid w:val="0042509C"/>
    <w:rsid w:val="00430873"/>
    <w:rsid w:val="00430F77"/>
    <w:rsid w:val="0043451A"/>
    <w:rsid w:val="00434B54"/>
    <w:rsid w:val="00441364"/>
    <w:rsid w:val="0044192F"/>
    <w:rsid w:val="00443777"/>
    <w:rsid w:val="004524BB"/>
    <w:rsid w:val="0045269C"/>
    <w:rsid w:val="00454532"/>
    <w:rsid w:val="004554CC"/>
    <w:rsid w:val="00464933"/>
    <w:rsid w:val="00464A75"/>
    <w:rsid w:val="004669A9"/>
    <w:rsid w:val="00467781"/>
    <w:rsid w:val="00467C14"/>
    <w:rsid w:val="004744E5"/>
    <w:rsid w:val="004745B0"/>
    <w:rsid w:val="004758BC"/>
    <w:rsid w:val="00475B47"/>
    <w:rsid w:val="004779D5"/>
    <w:rsid w:val="004824D2"/>
    <w:rsid w:val="00482CB7"/>
    <w:rsid w:val="00483A22"/>
    <w:rsid w:val="00483F7E"/>
    <w:rsid w:val="0048434A"/>
    <w:rsid w:val="00484866"/>
    <w:rsid w:val="004859C9"/>
    <w:rsid w:val="004872B1"/>
    <w:rsid w:val="00487899"/>
    <w:rsid w:val="00491F3D"/>
    <w:rsid w:val="0049454F"/>
    <w:rsid w:val="00497387"/>
    <w:rsid w:val="004A0EF0"/>
    <w:rsid w:val="004A325D"/>
    <w:rsid w:val="004A37BF"/>
    <w:rsid w:val="004A4E08"/>
    <w:rsid w:val="004A6949"/>
    <w:rsid w:val="004B01FD"/>
    <w:rsid w:val="004B159A"/>
    <w:rsid w:val="004B3655"/>
    <w:rsid w:val="004B3869"/>
    <w:rsid w:val="004B3989"/>
    <w:rsid w:val="004B4E47"/>
    <w:rsid w:val="004B5FB4"/>
    <w:rsid w:val="004B62FB"/>
    <w:rsid w:val="004C0F71"/>
    <w:rsid w:val="004C39CE"/>
    <w:rsid w:val="004C6685"/>
    <w:rsid w:val="004C7F0D"/>
    <w:rsid w:val="004D342E"/>
    <w:rsid w:val="004D3656"/>
    <w:rsid w:val="004E041A"/>
    <w:rsid w:val="004E24C5"/>
    <w:rsid w:val="004E5E5C"/>
    <w:rsid w:val="004E642B"/>
    <w:rsid w:val="004F1B3A"/>
    <w:rsid w:val="004F319F"/>
    <w:rsid w:val="004F5E5D"/>
    <w:rsid w:val="004F6721"/>
    <w:rsid w:val="004F6E43"/>
    <w:rsid w:val="00502490"/>
    <w:rsid w:val="00506150"/>
    <w:rsid w:val="005062C3"/>
    <w:rsid w:val="005068B3"/>
    <w:rsid w:val="00507A19"/>
    <w:rsid w:val="00507A21"/>
    <w:rsid w:val="00513422"/>
    <w:rsid w:val="00513A07"/>
    <w:rsid w:val="005175FD"/>
    <w:rsid w:val="00520521"/>
    <w:rsid w:val="00522D0F"/>
    <w:rsid w:val="00525237"/>
    <w:rsid w:val="0052566F"/>
    <w:rsid w:val="00525CF5"/>
    <w:rsid w:val="00526079"/>
    <w:rsid w:val="0052644C"/>
    <w:rsid w:val="00533F6F"/>
    <w:rsid w:val="00535E7E"/>
    <w:rsid w:val="00536C28"/>
    <w:rsid w:val="00543F12"/>
    <w:rsid w:val="0054462C"/>
    <w:rsid w:val="005458D8"/>
    <w:rsid w:val="00545FC3"/>
    <w:rsid w:val="00546384"/>
    <w:rsid w:val="00546AE6"/>
    <w:rsid w:val="00553B10"/>
    <w:rsid w:val="00556F55"/>
    <w:rsid w:val="0056245F"/>
    <w:rsid w:val="00566E4E"/>
    <w:rsid w:val="00566E7B"/>
    <w:rsid w:val="005701F4"/>
    <w:rsid w:val="005719A8"/>
    <w:rsid w:val="00573E19"/>
    <w:rsid w:val="005763C8"/>
    <w:rsid w:val="005770D4"/>
    <w:rsid w:val="005776BB"/>
    <w:rsid w:val="00580A15"/>
    <w:rsid w:val="005830BC"/>
    <w:rsid w:val="005838E1"/>
    <w:rsid w:val="005865BE"/>
    <w:rsid w:val="00586B20"/>
    <w:rsid w:val="00586C06"/>
    <w:rsid w:val="005922CB"/>
    <w:rsid w:val="00592E2E"/>
    <w:rsid w:val="005960C7"/>
    <w:rsid w:val="005A414B"/>
    <w:rsid w:val="005A52E0"/>
    <w:rsid w:val="005A6FC3"/>
    <w:rsid w:val="005B2DA1"/>
    <w:rsid w:val="005B2F3D"/>
    <w:rsid w:val="005B39D0"/>
    <w:rsid w:val="005B4118"/>
    <w:rsid w:val="005B451F"/>
    <w:rsid w:val="005B4907"/>
    <w:rsid w:val="005B60B2"/>
    <w:rsid w:val="005B7C8C"/>
    <w:rsid w:val="005C0531"/>
    <w:rsid w:val="005C1BBA"/>
    <w:rsid w:val="005C1D38"/>
    <w:rsid w:val="005C53ED"/>
    <w:rsid w:val="005C5680"/>
    <w:rsid w:val="005D081D"/>
    <w:rsid w:val="005D7BCD"/>
    <w:rsid w:val="005E0551"/>
    <w:rsid w:val="005E1111"/>
    <w:rsid w:val="005E505C"/>
    <w:rsid w:val="005F05F4"/>
    <w:rsid w:val="005F0F99"/>
    <w:rsid w:val="005F1DB2"/>
    <w:rsid w:val="005F3FBA"/>
    <w:rsid w:val="005F513A"/>
    <w:rsid w:val="005F66BB"/>
    <w:rsid w:val="005F7F79"/>
    <w:rsid w:val="006001A3"/>
    <w:rsid w:val="0060366E"/>
    <w:rsid w:val="00606585"/>
    <w:rsid w:val="00606EEE"/>
    <w:rsid w:val="00610B30"/>
    <w:rsid w:val="00612588"/>
    <w:rsid w:val="00612FBF"/>
    <w:rsid w:val="00614919"/>
    <w:rsid w:val="00616013"/>
    <w:rsid w:val="00616169"/>
    <w:rsid w:val="006164D3"/>
    <w:rsid w:val="00617766"/>
    <w:rsid w:val="00624037"/>
    <w:rsid w:val="0062444F"/>
    <w:rsid w:val="0062452C"/>
    <w:rsid w:val="00625D24"/>
    <w:rsid w:val="00626DC0"/>
    <w:rsid w:val="00632372"/>
    <w:rsid w:val="00633ED6"/>
    <w:rsid w:val="00637EE5"/>
    <w:rsid w:val="00642DE4"/>
    <w:rsid w:val="00643346"/>
    <w:rsid w:val="0064384E"/>
    <w:rsid w:val="0064672C"/>
    <w:rsid w:val="00650C52"/>
    <w:rsid w:val="00650D55"/>
    <w:rsid w:val="006516E7"/>
    <w:rsid w:val="00651D2D"/>
    <w:rsid w:val="00652ECF"/>
    <w:rsid w:val="00661185"/>
    <w:rsid w:val="00662415"/>
    <w:rsid w:val="00662741"/>
    <w:rsid w:val="00665D58"/>
    <w:rsid w:val="00672046"/>
    <w:rsid w:val="00677E59"/>
    <w:rsid w:val="00680BF7"/>
    <w:rsid w:val="00683E3B"/>
    <w:rsid w:val="0068403C"/>
    <w:rsid w:val="00685805"/>
    <w:rsid w:val="006863A7"/>
    <w:rsid w:val="00686DE0"/>
    <w:rsid w:val="00687681"/>
    <w:rsid w:val="0069496C"/>
    <w:rsid w:val="006A196E"/>
    <w:rsid w:val="006A64ED"/>
    <w:rsid w:val="006A6F63"/>
    <w:rsid w:val="006A75C0"/>
    <w:rsid w:val="006B0B57"/>
    <w:rsid w:val="006B0D2F"/>
    <w:rsid w:val="006B1A7F"/>
    <w:rsid w:val="006B1DF5"/>
    <w:rsid w:val="006B2DAC"/>
    <w:rsid w:val="006B4CF4"/>
    <w:rsid w:val="006B5A0A"/>
    <w:rsid w:val="006B6210"/>
    <w:rsid w:val="006B6B0D"/>
    <w:rsid w:val="006C015A"/>
    <w:rsid w:val="006C1D56"/>
    <w:rsid w:val="006C49C9"/>
    <w:rsid w:val="006C4F85"/>
    <w:rsid w:val="006C525C"/>
    <w:rsid w:val="006C6541"/>
    <w:rsid w:val="006D5823"/>
    <w:rsid w:val="006D6528"/>
    <w:rsid w:val="006E1409"/>
    <w:rsid w:val="006E21C5"/>
    <w:rsid w:val="006E22A7"/>
    <w:rsid w:val="006E329E"/>
    <w:rsid w:val="006E3836"/>
    <w:rsid w:val="006E716C"/>
    <w:rsid w:val="006F33A1"/>
    <w:rsid w:val="006F6778"/>
    <w:rsid w:val="007008EF"/>
    <w:rsid w:val="00701CC0"/>
    <w:rsid w:val="00703ABA"/>
    <w:rsid w:val="00703FB9"/>
    <w:rsid w:val="00711D31"/>
    <w:rsid w:val="007122D4"/>
    <w:rsid w:val="00717B0C"/>
    <w:rsid w:val="00720419"/>
    <w:rsid w:val="0072189A"/>
    <w:rsid w:val="00722B48"/>
    <w:rsid w:val="00726499"/>
    <w:rsid w:val="00726A00"/>
    <w:rsid w:val="00727975"/>
    <w:rsid w:val="00727CE1"/>
    <w:rsid w:val="007354E8"/>
    <w:rsid w:val="00736826"/>
    <w:rsid w:val="00741CCF"/>
    <w:rsid w:val="00742136"/>
    <w:rsid w:val="007427CE"/>
    <w:rsid w:val="007430E9"/>
    <w:rsid w:val="00743642"/>
    <w:rsid w:val="00743E9A"/>
    <w:rsid w:val="00745B7B"/>
    <w:rsid w:val="0074694C"/>
    <w:rsid w:val="00747552"/>
    <w:rsid w:val="00747E43"/>
    <w:rsid w:val="007517AB"/>
    <w:rsid w:val="00752579"/>
    <w:rsid w:val="007525BD"/>
    <w:rsid w:val="007551C3"/>
    <w:rsid w:val="00757FDF"/>
    <w:rsid w:val="0076355A"/>
    <w:rsid w:val="00763560"/>
    <w:rsid w:val="0076452F"/>
    <w:rsid w:val="0076723E"/>
    <w:rsid w:val="007705BD"/>
    <w:rsid w:val="007738A4"/>
    <w:rsid w:val="007747EE"/>
    <w:rsid w:val="00776A07"/>
    <w:rsid w:val="00780E19"/>
    <w:rsid w:val="0079069A"/>
    <w:rsid w:val="00793B1D"/>
    <w:rsid w:val="00794F85"/>
    <w:rsid w:val="00795F5A"/>
    <w:rsid w:val="007978D9"/>
    <w:rsid w:val="007A1AA1"/>
    <w:rsid w:val="007A2424"/>
    <w:rsid w:val="007A2DD8"/>
    <w:rsid w:val="007A3A52"/>
    <w:rsid w:val="007A4569"/>
    <w:rsid w:val="007A5737"/>
    <w:rsid w:val="007A704A"/>
    <w:rsid w:val="007B3617"/>
    <w:rsid w:val="007B53B9"/>
    <w:rsid w:val="007C05B2"/>
    <w:rsid w:val="007C08E4"/>
    <w:rsid w:val="007C22B3"/>
    <w:rsid w:val="007C31F6"/>
    <w:rsid w:val="007C4368"/>
    <w:rsid w:val="007C629D"/>
    <w:rsid w:val="007C6987"/>
    <w:rsid w:val="007C74B5"/>
    <w:rsid w:val="007D10E4"/>
    <w:rsid w:val="007D1602"/>
    <w:rsid w:val="007D1CC2"/>
    <w:rsid w:val="007D3CAD"/>
    <w:rsid w:val="007E35C6"/>
    <w:rsid w:val="007E455E"/>
    <w:rsid w:val="007E4961"/>
    <w:rsid w:val="007E4C03"/>
    <w:rsid w:val="007E6D85"/>
    <w:rsid w:val="007E7BF0"/>
    <w:rsid w:val="007F06D7"/>
    <w:rsid w:val="007F3DA0"/>
    <w:rsid w:val="007F5058"/>
    <w:rsid w:val="007F58DC"/>
    <w:rsid w:val="007F5C99"/>
    <w:rsid w:val="00801500"/>
    <w:rsid w:val="008029EE"/>
    <w:rsid w:val="00805D7E"/>
    <w:rsid w:val="008076F5"/>
    <w:rsid w:val="008115D4"/>
    <w:rsid w:val="00812E81"/>
    <w:rsid w:val="00814F36"/>
    <w:rsid w:val="00817275"/>
    <w:rsid w:val="00822B25"/>
    <w:rsid w:val="00824CBB"/>
    <w:rsid w:val="00827D58"/>
    <w:rsid w:val="0083032C"/>
    <w:rsid w:val="008305E2"/>
    <w:rsid w:val="00830FEB"/>
    <w:rsid w:val="00831C7F"/>
    <w:rsid w:val="0083524E"/>
    <w:rsid w:val="008359FE"/>
    <w:rsid w:val="00840F66"/>
    <w:rsid w:val="0084192A"/>
    <w:rsid w:val="00846404"/>
    <w:rsid w:val="00850CE8"/>
    <w:rsid w:val="00850D8C"/>
    <w:rsid w:val="00851231"/>
    <w:rsid w:val="00851E1C"/>
    <w:rsid w:val="0085211D"/>
    <w:rsid w:val="00853D9D"/>
    <w:rsid w:val="0085718E"/>
    <w:rsid w:val="00857AE0"/>
    <w:rsid w:val="00861366"/>
    <w:rsid w:val="00864783"/>
    <w:rsid w:val="0086481D"/>
    <w:rsid w:val="008665D6"/>
    <w:rsid w:val="00870BC9"/>
    <w:rsid w:val="008718E7"/>
    <w:rsid w:val="008741BB"/>
    <w:rsid w:val="00883B75"/>
    <w:rsid w:val="00883CD1"/>
    <w:rsid w:val="008851E8"/>
    <w:rsid w:val="008858A3"/>
    <w:rsid w:val="00885AF1"/>
    <w:rsid w:val="00885D2B"/>
    <w:rsid w:val="00890088"/>
    <w:rsid w:val="00890579"/>
    <w:rsid w:val="008930ED"/>
    <w:rsid w:val="00894EA5"/>
    <w:rsid w:val="008969DC"/>
    <w:rsid w:val="00896CCB"/>
    <w:rsid w:val="00897626"/>
    <w:rsid w:val="008A0B2D"/>
    <w:rsid w:val="008A47BB"/>
    <w:rsid w:val="008A5464"/>
    <w:rsid w:val="008A6FFA"/>
    <w:rsid w:val="008B01D5"/>
    <w:rsid w:val="008B38C4"/>
    <w:rsid w:val="008B4009"/>
    <w:rsid w:val="008B5863"/>
    <w:rsid w:val="008C0588"/>
    <w:rsid w:val="008C0A80"/>
    <w:rsid w:val="008C0D0C"/>
    <w:rsid w:val="008C5F63"/>
    <w:rsid w:val="008C6085"/>
    <w:rsid w:val="008D0580"/>
    <w:rsid w:val="008D3A34"/>
    <w:rsid w:val="008D5CF0"/>
    <w:rsid w:val="008E21AE"/>
    <w:rsid w:val="008E22A5"/>
    <w:rsid w:val="008E2C66"/>
    <w:rsid w:val="008E3BF4"/>
    <w:rsid w:val="008E4D9A"/>
    <w:rsid w:val="008E5157"/>
    <w:rsid w:val="008E6497"/>
    <w:rsid w:val="008F24FD"/>
    <w:rsid w:val="008F4097"/>
    <w:rsid w:val="008F7A65"/>
    <w:rsid w:val="00901E8A"/>
    <w:rsid w:val="00903296"/>
    <w:rsid w:val="00903BF2"/>
    <w:rsid w:val="00906452"/>
    <w:rsid w:val="009069D9"/>
    <w:rsid w:val="009075B6"/>
    <w:rsid w:val="00910285"/>
    <w:rsid w:val="009136EB"/>
    <w:rsid w:val="00913F50"/>
    <w:rsid w:val="0091425C"/>
    <w:rsid w:val="009142EA"/>
    <w:rsid w:val="00914C7E"/>
    <w:rsid w:val="00916A3B"/>
    <w:rsid w:val="00923C48"/>
    <w:rsid w:val="00925B65"/>
    <w:rsid w:val="00927CAC"/>
    <w:rsid w:val="00930C65"/>
    <w:rsid w:val="00932D76"/>
    <w:rsid w:val="00940459"/>
    <w:rsid w:val="0094537D"/>
    <w:rsid w:val="0094781E"/>
    <w:rsid w:val="009544FB"/>
    <w:rsid w:val="009547C0"/>
    <w:rsid w:val="00954834"/>
    <w:rsid w:val="009554FA"/>
    <w:rsid w:val="00955713"/>
    <w:rsid w:val="00955F0E"/>
    <w:rsid w:val="00957DDA"/>
    <w:rsid w:val="00962697"/>
    <w:rsid w:val="009643AE"/>
    <w:rsid w:val="00970CF1"/>
    <w:rsid w:val="00972FFC"/>
    <w:rsid w:val="00976FC1"/>
    <w:rsid w:val="009771C7"/>
    <w:rsid w:val="009826EF"/>
    <w:rsid w:val="00982DEF"/>
    <w:rsid w:val="00984C05"/>
    <w:rsid w:val="00984E88"/>
    <w:rsid w:val="00991A08"/>
    <w:rsid w:val="00991F2C"/>
    <w:rsid w:val="00992187"/>
    <w:rsid w:val="0099466F"/>
    <w:rsid w:val="00995A82"/>
    <w:rsid w:val="009A04C9"/>
    <w:rsid w:val="009A28FB"/>
    <w:rsid w:val="009A7630"/>
    <w:rsid w:val="009B1B20"/>
    <w:rsid w:val="009B2AAA"/>
    <w:rsid w:val="009B3D48"/>
    <w:rsid w:val="009B5507"/>
    <w:rsid w:val="009B686A"/>
    <w:rsid w:val="009B7BC9"/>
    <w:rsid w:val="009C040C"/>
    <w:rsid w:val="009C1128"/>
    <w:rsid w:val="009C1170"/>
    <w:rsid w:val="009C4F34"/>
    <w:rsid w:val="009D0307"/>
    <w:rsid w:val="009D137A"/>
    <w:rsid w:val="009D5F5C"/>
    <w:rsid w:val="009E0B41"/>
    <w:rsid w:val="009E18E2"/>
    <w:rsid w:val="009E45D9"/>
    <w:rsid w:val="009E4C77"/>
    <w:rsid w:val="009E4C7E"/>
    <w:rsid w:val="009E66BB"/>
    <w:rsid w:val="009E6973"/>
    <w:rsid w:val="009F005C"/>
    <w:rsid w:val="009F00FE"/>
    <w:rsid w:val="009F08F6"/>
    <w:rsid w:val="009F0FDB"/>
    <w:rsid w:val="009F1FFE"/>
    <w:rsid w:val="009F2DFC"/>
    <w:rsid w:val="009F2E71"/>
    <w:rsid w:val="009F407D"/>
    <w:rsid w:val="009F4AC2"/>
    <w:rsid w:val="009F4E61"/>
    <w:rsid w:val="009F7E2E"/>
    <w:rsid w:val="00A02828"/>
    <w:rsid w:val="00A02BD3"/>
    <w:rsid w:val="00A03779"/>
    <w:rsid w:val="00A03F56"/>
    <w:rsid w:val="00A05BD1"/>
    <w:rsid w:val="00A10D6F"/>
    <w:rsid w:val="00A1395A"/>
    <w:rsid w:val="00A14850"/>
    <w:rsid w:val="00A16EF5"/>
    <w:rsid w:val="00A17D91"/>
    <w:rsid w:val="00A227B2"/>
    <w:rsid w:val="00A24610"/>
    <w:rsid w:val="00A25637"/>
    <w:rsid w:val="00A258CB"/>
    <w:rsid w:val="00A2696B"/>
    <w:rsid w:val="00A27FE9"/>
    <w:rsid w:val="00A3684E"/>
    <w:rsid w:val="00A36B58"/>
    <w:rsid w:val="00A37131"/>
    <w:rsid w:val="00A37515"/>
    <w:rsid w:val="00A428BB"/>
    <w:rsid w:val="00A43143"/>
    <w:rsid w:val="00A45AA3"/>
    <w:rsid w:val="00A47E6A"/>
    <w:rsid w:val="00A556F3"/>
    <w:rsid w:val="00A57631"/>
    <w:rsid w:val="00A62B23"/>
    <w:rsid w:val="00A64BA1"/>
    <w:rsid w:val="00A6745E"/>
    <w:rsid w:val="00A703D5"/>
    <w:rsid w:val="00A719AB"/>
    <w:rsid w:val="00A72395"/>
    <w:rsid w:val="00A742B3"/>
    <w:rsid w:val="00A7634F"/>
    <w:rsid w:val="00A76AD6"/>
    <w:rsid w:val="00A80EF3"/>
    <w:rsid w:val="00A82D36"/>
    <w:rsid w:val="00A83C47"/>
    <w:rsid w:val="00A85262"/>
    <w:rsid w:val="00A8530A"/>
    <w:rsid w:val="00A85878"/>
    <w:rsid w:val="00A90A8F"/>
    <w:rsid w:val="00A90F81"/>
    <w:rsid w:val="00A912ED"/>
    <w:rsid w:val="00A93780"/>
    <w:rsid w:val="00A97635"/>
    <w:rsid w:val="00AA10B1"/>
    <w:rsid w:val="00AA239B"/>
    <w:rsid w:val="00AA6AA0"/>
    <w:rsid w:val="00AB338D"/>
    <w:rsid w:val="00AC1A40"/>
    <w:rsid w:val="00AC38CA"/>
    <w:rsid w:val="00AC56F2"/>
    <w:rsid w:val="00AC63F4"/>
    <w:rsid w:val="00AC68B2"/>
    <w:rsid w:val="00AD071A"/>
    <w:rsid w:val="00AD3619"/>
    <w:rsid w:val="00AD438F"/>
    <w:rsid w:val="00AD46C1"/>
    <w:rsid w:val="00AD5C1F"/>
    <w:rsid w:val="00AE177F"/>
    <w:rsid w:val="00AE4E97"/>
    <w:rsid w:val="00AE720A"/>
    <w:rsid w:val="00AF30C7"/>
    <w:rsid w:val="00AF3D5B"/>
    <w:rsid w:val="00AF5CC4"/>
    <w:rsid w:val="00AF6DEA"/>
    <w:rsid w:val="00AF784C"/>
    <w:rsid w:val="00B05834"/>
    <w:rsid w:val="00B06214"/>
    <w:rsid w:val="00B074F9"/>
    <w:rsid w:val="00B07D7A"/>
    <w:rsid w:val="00B1030A"/>
    <w:rsid w:val="00B114B0"/>
    <w:rsid w:val="00B142BC"/>
    <w:rsid w:val="00B15B80"/>
    <w:rsid w:val="00B21452"/>
    <w:rsid w:val="00B22559"/>
    <w:rsid w:val="00B22902"/>
    <w:rsid w:val="00B254BC"/>
    <w:rsid w:val="00B30A03"/>
    <w:rsid w:val="00B312DC"/>
    <w:rsid w:val="00B4009A"/>
    <w:rsid w:val="00B42257"/>
    <w:rsid w:val="00B424AE"/>
    <w:rsid w:val="00B43C9D"/>
    <w:rsid w:val="00B43CD8"/>
    <w:rsid w:val="00B45BB3"/>
    <w:rsid w:val="00B4731E"/>
    <w:rsid w:val="00B524B8"/>
    <w:rsid w:val="00B52500"/>
    <w:rsid w:val="00B532DF"/>
    <w:rsid w:val="00B54B90"/>
    <w:rsid w:val="00B56F59"/>
    <w:rsid w:val="00B6048D"/>
    <w:rsid w:val="00B63030"/>
    <w:rsid w:val="00B635B9"/>
    <w:rsid w:val="00B64AFD"/>
    <w:rsid w:val="00B65483"/>
    <w:rsid w:val="00B65EC9"/>
    <w:rsid w:val="00B67BB5"/>
    <w:rsid w:val="00B73268"/>
    <w:rsid w:val="00B87D4A"/>
    <w:rsid w:val="00B90C46"/>
    <w:rsid w:val="00B90E40"/>
    <w:rsid w:val="00B9135A"/>
    <w:rsid w:val="00B92A19"/>
    <w:rsid w:val="00B942DF"/>
    <w:rsid w:val="00B944A2"/>
    <w:rsid w:val="00B954F6"/>
    <w:rsid w:val="00B97932"/>
    <w:rsid w:val="00BA224C"/>
    <w:rsid w:val="00BA5F0D"/>
    <w:rsid w:val="00BA6A08"/>
    <w:rsid w:val="00BB71AD"/>
    <w:rsid w:val="00BB74BD"/>
    <w:rsid w:val="00BC002B"/>
    <w:rsid w:val="00BC0822"/>
    <w:rsid w:val="00BC1116"/>
    <w:rsid w:val="00BC12CA"/>
    <w:rsid w:val="00BC2249"/>
    <w:rsid w:val="00BC2987"/>
    <w:rsid w:val="00BC2BB8"/>
    <w:rsid w:val="00BC3F4D"/>
    <w:rsid w:val="00BD553A"/>
    <w:rsid w:val="00BD7A68"/>
    <w:rsid w:val="00BE257E"/>
    <w:rsid w:val="00BE25A0"/>
    <w:rsid w:val="00BE60AF"/>
    <w:rsid w:val="00BE7721"/>
    <w:rsid w:val="00BF0FBB"/>
    <w:rsid w:val="00BF5BBE"/>
    <w:rsid w:val="00BF6135"/>
    <w:rsid w:val="00BF76FD"/>
    <w:rsid w:val="00BF7F82"/>
    <w:rsid w:val="00C00535"/>
    <w:rsid w:val="00C032F6"/>
    <w:rsid w:val="00C0405A"/>
    <w:rsid w:val="00C04BDB"/>
    <w:rsid w:val="00C059F7"/>
    <w:rsid w:val="00C07C42"/>
    <w:rsid w:val="00C11A29"/>
    <w:rsid w:val="00C15027"/>
    <w:rsid w:val="00C153D7"/>
    <w:rsid w:val="00C16CF6"/>
    <w:rsid w:val="00C206BD"/>
    <w:rsid w:val="00C210B0"/>
    <w:rsid w:val="00C226DA"/>
    <w:rsid w:val="00C23A15"/>
    <w:rsid w:val="00C23C11"/>
    <w:rsid w:val="00C267B3"/>
    <w:rsid w:val="00C26C52"/>
    <w:rsid w:val="00C30014"/>
    <w:rsid w:val="00C31D36"/>
    <w:rsid w:val="00C32224"/>
    <w:rsid w:val="00C3480B"/>
    <w:rsid w:val="00C3482F"/>
    <w:rsid w:val="00C34E5C"/>
    <w:rsid w:val="00C3587B"/>
    <w:rsid w:val="00C40B94"/>
    <w:rsid w:val="00C41025"/>
    <w:rsid w:val="00C421A4"/>
    <w:rsid w:val="00C42DFF"/>
    <w:rsid w:val="00C474E8"/>
    <w:rsid w:val="00C51B52"/>
    <w:rsid w:val="00C53E2B"/>
    <w:rsid w:val="00C53F0E"/>
    <w:rsid w:val="00C57906"/>
    <w:rsid w:val="00C60FE6"/>
    <w:rsid w:val="00C618F8"/>
    <w:rsid w:val="00C63410"/>
    <w:rsid w:val="00C634F4"/>
    <w:rsid w:val="00C646ED"/>
    <w:rsid w:val="00C65391"/>
    <w:rsid w:val="00C66185"/>
    <w:rsid w:val="00C7044E"/>
    <w:rsid w:val="00C73334"/>
    <w:rsid w:val="00C74E3A"/>
    <w:rsid w:val="00C76269"/>
    <w:rsid w:val="00C77137"/>
    <w:rsid w:val="00C82449"/>
    <w:rsid w:val="00C8466A"/>
    <w:rsid w:val="00C912AA"/>
    <w:rsid w:val="00C9244F"/>
    <w:rsid w:val="00C926B6"/>
    <w:rsid w:val="00C934D4"/>
    <w:rsid w:val="00C9443A"/>
    <w:rsid w:val="00C962B4"/>
    <w:rsid w:val="00CA0CFC"/>
    <w:rsid w:val="00CA0DF8"/>
    <w:rsid w:val="00CA45DF"/>
    <w:rsid w:val="00CA5122"/>
    <w:rsid w:val="00CA6BC3"/>
    <w:rsid w:val="00CB060F"/>
    <w:rsid w:val="00CB2D5F"/>
    <w:rsid w:val="00CB301E"/>
    <w:rsid w:val="00CB32C9"/>
    <w:rsid w:val="00CB3CFD"/>
    <w:rsid w:val="00CB3E31"/>
    <w:rsid w:val="00CC0361"/>
    <w:rsid w:val="00CC0A0B"/>
    <w:rsid w:val="00CC4007"/>
    <w:rsid w:val="00CC63ED"/>
    <w:rsid w:val="00CC6F75"/>
    <w:rsid w:val="00CD2591"/>
    <w:rsid w:val="00CD438E"/>
    <w:rsid w:val="00CD50A8"/>
    <w:rsid w:val="00CD7898"/>
    <w:rsid w:val="00CE1B22"/>
    <w:rsid w:val="00CE2C12"/>
    <w:rsid w:val="00CE3A8C"/>
    <w:rsid w:val="00CF5646"/>
    <w:rsid w:val="00CF74DC"/>
    <w:rsid w:val="00CF7EA8"/>
    <w:rsid w:val="00D01798"/>
    <w:rsid w:val="00D01B88"/>
    <w:rsid w:val="00D03180"/>
    <w:rsid w:val="00D0343F"/>
    <w:rsid w:val="00D0395F"/>
    <w:rsid w:val="00D06372"/>
    <w:rsid w:val="00D14949"/>
    <w:rsid w:val="00D2258C"/>
    <w:rsid w:val="00D274E9"/>
    <w:rsid w:val="00D27C07"/>
    <w:rsid w:val="00D3292F"/>
    <w:rsid w:val="00D3328F"/>
    <w:rsid w:val="00D34711"/>
    <w:rsid w:val="00D437D5"/>
    <w:rsid w:val="00D5136F"/>
    <w:rsid w:val="00D5144F"/>
    <w:rsid w:val="00D57937"/>
    <w:rsid w:val="00D64CCB"/>
    <w:rsid w:val="00D66A18"/>
    <w:rsid w:val="00D7002A"/>
    <w:rsid w:val="00D7270E"/>
    <w:rsid w:val="00D7289E"/>
    <w:rsid w:val="00D73A8D"/>
    <w:rsid w:val="00D748F2"/>
    <w:rsid w:val="00D74AE0"/>
    <w:rsid w:val="00D81143"/>
    <w:rsid w:val="00D816C6"/>
    <w:rsid w:val="00D8335F"/>
    <w:rsid w:val="00D84999"/>
    <w:rsid w:val="00D85B1D"/>
    <w:rsid w:val="00D8613B"/>
    <w:rsid w:val="00D864E0"/>
    <w:rsid w:val="00D87891"/>
    <w:rsid w:val="00D87B5E"/>
    <w:rsid w:val="00D92069"/>
    <w:rsid w:val="00D94661"/>
    <w:rsid w:val="00D9573E"/>
    <w:rsid w:val="00D96664"/>
    <w:rsid w:val="00DA1651"/>
    <w:rsid w:val="00DA3E61"/>
    <w:rsid w:val="00DB01C7"/>
    <w:rsid w:val="00DB138C"/>
    <w:rsid w:val="00DB42BA"/>
    <w:rsid w:val="00DB4FDE"/>
    <w:rsid w:val="00DB59E0"/>
    <w:rsid w:val="00DB7365"/>
    <w:rsid w:val="00DC011D"/>
    <w:rsid w:val="00DC05D8"/>
    <w:rsid w:val="00DC60C0"/>
    <w:rsid w:val="00DC6865"/>
    <w:rsid w:val="00DD0A9E"/>
    <w:rsid w:val="00DD1782"/>
    <w:rsid w:val="00DD231F"/>
    <w:rsid w:val="00DD38B9"/>
    <w:rsid w:val="00DD3CA3"/>
    <w:rsid w:val="00DD56A5"/>
    <w:rsid w:val="00DD7795"/>
    <w:rsid w:val="00DE1164"/>
    <w:rsid w:val="00DE3DB9"/>
    <w:rsid w:val="00DE451C"/>
    <w:rsid w:val="00DE4C63"/>
    <w:rsid w:val="00DE5B21"/>
    <w:rsid w:val="00DE7057"/>
    <w:rsid w:val="00DF0553"/>
    <w:rsid w:val="00DF0A30"/>
    <w:rsid w:val="00DF17A7"/>
    <w:rsid w:val="00DF22D0"/>
    <w:rsid w:val="00DF3671"/>
    <w:rsid w:val="00DF5973"/>
    <w:rsid w:val="00DF75D7"/>
    <w:rsid w:val="00E0372F"/>
    <w:rsid w:val="00E05DFB"/>
    <w:rsid w:val="00E063B4"/>
    <w:rsid w:val="00E06F9F"/>
    <w:rsid w:val="00E07024"/>
    <w:rsid w:val="00E10283"/>
    <w:rsid w:val="00E1102A"/>
    <w:rsid w:val="00E11615"/>
    <w:rsid w:val="00E13CF2"/>
    <w:rsid w:val="00E13CF6"/>
    <w:rsid w:val="00E141B1"/>
    <w:rsid w:val="00E15EE5"/>
    <w:rsid w:val="00E1664A"/>
    <w:rsid w:val="00E17B81"/>
    <w:rsid w:val="00E202D5"/>
    <w:rsid w:val="00E22F5A"/>
    <w:rsid w:val="00E27803"/>
    <w:rsid w:val="00E33B16"/>
    <w:rsid w:val="00E3626E"/>
    <w:rsid w:val="00E3670A"/>
    <w:rsid w:val="00E37316"/>
    <w:rsid w:val="00E374D9"/>
    <w:rsid w:val="00E37B89"/>
    <w:rsid w:val="00E40DDB"/>
    <w:rsid w:val="00E4121B"/>
    <w:rsid w:val="00E416F2"/>
    <w:rsid w:val="00E44585"/>
    <w:rsid w:val="00E47829"/>
    <w:rsid w:val="00E47D58"/>
    <w:rsid w:val="00E53896"/>
    <w:rsid w:val="00E549E1"/>
    <w:rsid w:val="00E6033A"/>
    <w:rsid w:val="00E62DDE"/>
    <w:rsid w:val="00E63FE1"/>
    <w:rsid w:val="00E656AA"/>
    <w:rsid w:val="00E66782"/>
    <w:rsid w:val="00E669AC"/>
    <w:rsid w:val="00E71AA3"/>
    <w:rsid w:val="00E73CB6"/>
    <w:rsid w:val="00E75295"/>
    <w:rsid w:val="00E82BBB"/>
    <w:rsid w:val="00E832EE"/>
    <w:rsid w:val="00E84C96"/>
    <w:rsid w:val="00E856CE"/>
    <w:rsid w:val="00E92B6B"/>
    <w:rsid w:val="00EA0C58"/>
    <w:rsid w:val="00EA167D"/>
    <w:rsid w:val="00EB2850"/>
    <w:rsid w:val="00EB55AD"/>
    <w:rsid w:val="00EC1410"/>
    <w:rsid w:val="00EC27C5"/>
    <w:rsid w:val="00EC4A6B"/>
    <w:rsid w:val="00EC56C7"/>
    <w:rsid w:val="00EC5A34"/>
    <w:rsid w:val="00EC6D6B"/>
    <w:rsid w:val="00ED06B5"/>
    <w:rsid w:val="00ED12D8"/>
    <w:rsid w:val="00ED5DEF"/>
    <w:rsid w:val="00ED6279"/>
    <w:rsid w:val="00ED6404"/>
    <w:rsid w:val="00ED7919"/>
    <w:rsid w:val="00EE0167"/>
    <w:rsid w:val="00EE111F"/>
    <w:rsid w:val="00EE19CF"/>
    <w:rsid w:val="00EE6589"/>
    <w:rsid w:val="00EE766F"/>
    <w:rsid w:val="00EF116C"/>
    <w:rsid w:val="00EF1796"/>
    <w:rsid w:val="00EF294F"/>
    <w:rsid w:val="00EF390A"/>
    <w:rsid w:val="00EF48F0"/>
    <w:rsid w:val="00EF74FE"/>
    <w:rsid w:val="00F00E03"/>
    <w:rsid w:val="00F04842"/>
    <w:rsid w:val="00F104F5"/>
    <w:rsid w:val="00F1078C"/>
    <w:rsid w:val="00F14707"/>
    <w:rsid w:val="00F149F4"/>
    <w:rsid w:val="00F23204"/>
    <w:rsid w:val="00F237D0"/>
    <w:rsid w:val="00F24D50"/>
    <w:rsid w:val="00F27204"/>
    <w:rsid w:val="00F30701"/>
    <w:rsid w:val="00F3143D"/>
    <w:rsid w:val="00F32ADE"/>
    <w:rsid w:val="00F36DC7"/>
    <w:rsid w:val="00F404C3"/>
    <w:rsid w:val="00F4176B"/>
    <w:rsid w:val="00F41B17"/>
    <w:rsid w:val="00F41C4B"/>
    <w:rsid w:val="00F4301B"/>
    <w:rsid w:val="00F4343F"/>
    <w:rsid w:val="00F43764"/>
    <w:rsid w:val="00F460B7"/>
    <w:rsid w:val="00F50721"/>
    <w:rsid w:val="00F5259F"/>
    <w:rsid w:val="00F5292D"/>
    <w:rsid w:val="00F52CFE"/>
    <w:rsid w:val="00F52DC8"/>
    <w:rsid w:val="00F62375"/>
    <w:rsid w:val="00F63193"/>
    <w:rsid w:val="00F63AF2"/>
    <w:rsid w:val="00F64881"/>
    <w:rsid w:val="00F66B63"/>
    <w:rsid w:val="00F67F6A"/>
    <w:rsid w:val="00F70AD1"/>
    <w:rsid w:val="00F71370"/>
    <w:rsid w:val="00F72DE0"/>
    <w:rsid w:val="00F74746"/>
    <w:rsid w:val="00F7564B"/>
    <w:rsid w:val="00F76EF1"/>
    <w:rsid w:val="00F83C5C"/>
    <w:rsid w:val="00F91F6E"/>
    <w:rsid w:val="00F95C9E"/>
    <w:rsid w:val="00F966F3"/>
    <w:rsid w:val="00F97EAE"/>
    <w:rsid w:val="00FA05AB"/>
    <w:rsid w:val="00FA1F37"/>
    <w:rsid w:val="00FA2F6F"/>
    <w:rsid w:val="00FA7A70"/>
    <w:rsid w:val="00FB1306"/>
    <w:rsid w:val="00FB13F7"/>
    <w:rsid w:val="00FB29FB"/>
    <w:rsid w:val="00FB307D"/>
    <w:rsid w:val="00FB33DF"/>
    <w:rsid w:val="00FB69B6"/>
    <w:rsid w:val="00FB7411"/>
    <w:rsid w:val="00FC1750"/>
    <w:rsid w:val="00FD4CD3"/>
    <w:rsid w:val="00FD7FA5"/>
    <w:rsid w:val="00FE0E77"/>
    <w:rsid w:val="00FE471E"/>
    <w:rsid w:val="00FE5291"/>
    <w:rsid w:val="00FF0436"/>
    <w:rsid w:val="00FF09BB"/>
    <w:rsid w:val="00FF0CC3"/>
    <w:rsid w:val="00FF0D9A"/>
    <w:rsid w:val="00FF15BD"/>
    <w:rsid w:val="00FF2428"/>
    <w:rsid w:val="00FF5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1BD34"/>
  <w15:docId w15:val="{4E4446E9-D58A-48C7-B3BC-04AE039AB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25CF5"/>
    <w:pPr>
      <w:jc w:val="both"/>
    </w:pPr>
  </w:style>
  <w:style w:type="paragraph" w:styleId="Heading1">
    <w:name w:val="heading 1"/>
    <w:basedOn w:val="Normal"/>
    <w:next w:val="Normal"/>
    <w:link w:val="Heading1Char"/>
    <w:uiPriority w:val="9"/>
    <w:qFormat/>
    <w:rsid w:val="00720419"/>
    <w:pPr>
      <w:numPr>
        <w:numId w:val="5"/>
      </w:numPr>
      <w:spacing w:after="240"/>
      <w:outlineLvl w:val="0"/>
    </w:pPr>
    <w:rPr>
      <w:rFonts w:eastAsiaTheme="majorEastAsia" w:cs="Arial"/>
      <w:b/>
      <w:caps/>
      <w:szCs w:val="32"/>
      <w:u w:val="single"/>
    </w:rPr>
  </w:style>
  <w:style w:type="paragraph" w:styleId="Heading2">
    <w:name w:val="heading 2"/>
    <w:basedOn w:val="Normal"/>
    <w:next w:val="Normal"/>
    <w:link w:val="Heading2Char"/>
    <w:uiPriority w:val="9"/>
    <w:unhideWhenUsed/>
    <w:qFormat/>
    <w:rsid w:val="00720419"/>
    <w:pPr>
      <w:numPr>
        <w:ilvl w:val="1"/>
        <w:numId w:val="5"/>
      </w:numPr>
      <w:tabs>
        <w:tab w:val="left" w:pos="1440"/>
      </w:tabs>
      <w:spacing w:after="240"/>
      <w:outlineLvl w:val="1"/>
    </w:pPr>
    <w:rPr>
      <w:rFonts w:eastAsiaTheme="majorEastAsia" w:cs="Arial"/>
      <w:b/>
      <w:szCs w:val="26"/>
    </w:rPr>
  </w:style>
  <w:style w:type="paragraph" w:styleId="Heading3">
    <w:name w:val="heading 3"/>
    <w:basedOn w:val="Normal"/>
    <w:next w:val="Normal"/>
    <w:link w:val="Heading3Char"/>
    <w:uiPriority w:val="9"/>
    <w:unhideWhenUsed/>
    <w:qFormat/>
    <w:rsid w:val="00720419"/>
    <w:pPr>
      <w:numPr>
        <w:ilvl w:val="2"/>
        <w:numId w:val="5"/>
      </w:numPr>
      <w:tabs>
        <w:tab w:val="left" w:pos="2160"/>
      </w:tabs>
      <w:spacing w:after="240"/>
      <w:outlineLvl w:val="2"/>
    </w:pPr>
    <w:rPr>
      <w:rFonts w:eastAsiaTheme="majorEastAsia" w:cs="Arial"/>
      <w:b/>
    </w:rPr>
  </w:style>
  <w:style w:type="paragraph" w:styleId="Heading4">
    <w:name w:val="heading 4"/>
    <w:basedOn w:val="Normal"/>
    <w:next w:val="Normal"/>
    <w:link w:val="Heading4Char"/>
    <w:uiPriority w:val="9"/>
    <w:semiHidden/>
    <w:unhideWhenUsed/>
    <w:qFormat/>
    <w:rsid w:val="00720419"/>
    <w:pPr>
      <w:numPr>
        <w:ilvl w:val="3"/>
        <w:numId w:val="5"/>
      </w:numPr>
      <w:tabs>
        <w:tab w:val="left" w:pos="2880"/>
      </w:tabs>
      <w:spacing w:after="240"/>
      <w:outlineLvl w:val="3"/>
    </w:pPr>
    <w:rPr>
      <w:rFonts w:eastAsiaTheme="majorEastAsia" w:cs="Arial"/>
      <w:b/>
      <w:i/>
      <w:iCs/>
    </w:rPr>
  </w:style>
  <w:style w:type="paragraph" w:styleId="Heading5">
    <w:name w:val="heading 5"/>
    <w:basedOn w:val="Normal"/>
    <w:next w:val="Normal"/>
    <w:link w:val="Heading5Char"/>
    <w:uiPriority w:val="9"/>
    <w:semiHidden/>
    <w:unhideWhenUsed/>
    <w:qFormat/>
    <w:rsid w:val="00720419"/>
    <w:pPr>
      <w:numPr>
        <w:ilvl w:val="4"/>
        <w:numId w:val="5"/>
      </w:numPr>
      <w:tabs>
        <w:tab w:val="left" w:pos="3600"/>
      </w:tabs>
      <w:spacing w:after="240"/>
      <w:outlineLvl w:val="4"/>
    </w:pPr>
    <w:rPr>
      <w:rFonts w:eastAsiaTheme="majorEastAsia" w:cs="Arial"/>
      <w:color w:val="243F60"/>
    </w:rPr>
  </w:style>
  <w:style w:type="paragraph" w:styleId="Heading6">
    <w:name w:val="heading 6"/>
    <w:basedOn w:val="Normal"/>
    <w:next w:val="Normal"/>
    <w:link w:val="Heading6Char"/>
    <w:uiPriority w:val="9"/>
    <w:semiHidden/>
    <w:unhideWhenUsed/>
    <w:qFormat/>
    <w:rsid w:val="00720419"/>
    <w:pPr>
      <w:numPr>
        <w:ilvl w:val="5"/>
        <w:numId w:val="5"/>
      </w:numPr>
      <w:tabs>
        <w:tab w:val="left" w:pos="4320"/>
      </w:tabs>
      <w:spacing w:after="240"/>
      <w:outlineLvl w:val="5"/>
    </w:pPr>
    <w:rPr>
      <w:rFonts w:eastAsiaTheme="majorEastAsia" w:cs="Arial"/>
      <w:color w:val="243F60"/>
    </w:rPr>
  </w:style>
  <w:style w:type="paragraph" w:styleId="Heading7">
    <w:name w:val="heading 7"/>
    <w:basedOn w:val="Normal"/>
    <w:next w:val="Normal"/>
    <w:link w:val="Heading7Char"/>
    <w:uiPriority w:val="9"/>
    <w:semiHidden/>
    <w:unhideWhenUsed/>
    <w:qFormat/>
    <w:rsid w:val="00720419"/>
    <w:pPr>
      <w:numPr>
        <w:ilvl w:val="6"/>
        <w:numId w:val="5"/>
      </w:numPr>
      <w:tabs>
        <w:tab w:val="left" w:pos="5040"/>
      </w:tabs>
      <w:spacing w:after="240"/>
      <w:outlineLvl w:val="6"/>
    </w:pPr>
    <w:rPr>
      <w:rFonts w:eastAsiaTheme="majorEastAsia" w:cs="Arial"/>
      <w:iCs/>
      <w:color w:val="404040"/>
    </w:rPr>
  </w:style>
  <w:style w:type="paragraph" w:styleId="Heading8">
    <w:name w:val="heading 8"/>
    <w:basedOn w:val="Normal"/>
    <w:next w:val="Normal"/>
    <w:link w:val="Heading8Char"/>
    <w:uiPriority w:val="9"/>
    <w:semiHidden/>
    <w:unhideWhenUsed/>
    <w:qFormat/>
    <w:rsid w:val="00720419"/>
    <w:pPr>
      <w:numPr>
        <w:ilvl w:val="7"/>
        <w:numId w:val="5"/>
      </w:numPr>
      <w:tabs>
        <w:tab w:val="left" w:pos="5760"/>
      </w:tabs>
      <w:spacing w:after="240"/>
      <w:outlineLvl w:val="7"/>
    </w:pPr>
    <w:rPr>
      <w:rFonts w:eastAsiaTheme="majorEastAsia" w:cs="Arial"/>
      <w:color w:val="404040"/>
      <w:szCs w:val="21"/>
    </w:rPr>
  </w:style>
  <w:style w:type="paragraph" w:styleId="Heading9">
    <w:name w:val="heading 9"/>
    <w:basedOn w:val="Normal"/>
    <w:next w:val="Normal"/>
    <w:link w:val="Heading9Char"/>
    <w:uiPriority w:val="9"/>
    <w:semiHidden/>
    <w:unhideWhenUsed/>
    <w:qFormat/>
    <w:rsid w:val="00720419"/>
    <w:pPr>
      <w:numPr>
        <w:ilvl w:val="8"/>
        <w:numId w:val="5"/>
      </w:numPr>
      <w:tabs>
        <w:tab w:val="left" w:pos="6480"/>
      </w:tabs>
      <w:spacing w:after="240"/>
      <w:outlineLvl w:val="8"/>
    </w:pPr>
    <w:rPr>
      <w:rFonts w:eastAsiaTheme="majorEastAsia" w:cs="Arial"/>
      <w:iCs/>
      <w:color w:val="40404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 Char,Footnote Text Char1 Char Char Char1,Footnote Text Char Char Char Char Char1,Footnote Text Char2 Char1 Char Char Char Char,Footnote Text Char1,Footnote Text Char Char,ft,ft Char,fn,char"/>
    <w:basedOn w:val="Normal"/>
    <w:link w:val="FootnoteTextChar"/>
    <w:uiPriority w:val="99"/>
    <w:unhideWhenUsed/>
    <w:qFormat/>
    <w:rsid w:val="00717B0C"/>
    <w:rPr>
      <w:sz w:val="20"/>
      <w:szCs w:val="20"/>
    </w:rPr>
  </w:style>
  <w:style w:type="character" w:customStyle="1" w:styleId="FootnoteTextChar">
    <w:name w:val="Footnote Text Char"/>
    <w:aliases w:val="Footnote Text Char1 Char Char,Footnote Text Char Char Char Char,Footnote Text Char1 Char Char Char1 Char,Footnote Text Char Char Char Char Char1 Char,Footnote Text Char2 Char1 Char Char Char Char Char,Footnote Text Char1 Char1,fn Char"/>
    <w:basedOn w:val="DefaultParagraphFont"/>
    <w:link w:val="FootnoteText"/>
    <w:uiPriority w:val="99"/>
    <w:rsid w:val="00717B0C"/>
    <w:rPr>
      <w:sz w:val="20"/>
      <w:szCs w:val="20"/>
    </w:rPr>
  </w:style>
  <w:style w:type="character" w:styleId="FootnoteReference">
    <w:name w:val="footnote reference"/>
    <w:aliases w:val="o,fr,(NECG) Footnote Reference,Style 17,Style 20,Style 13,Style 12,o1,fr1,o2,fr2,o3,fr3,Style 15,Style 8,Style 9,Style 18,Style 7,Style 19,Style 28,Style 42,Style 11,Style 16,Styl,Footnote Reference (EIS),fnr,Footnote reference (EA),."/>
    <w:basedOn w:val="DefaultParagraphFont"/>
    <w:uiPriority w:val="99"/>
    <w:unhideWhenUsed/>
    <w:rsid w:val="00717B0C"/>
    <w:rPr>
      <w:vertAlign w:val="superscript"/>
    </w:rPr>
  </w:style>
  <w:style w:type="paragraph" w:styleId="ListParagraph">
    <w:name w:val="List Paragraph"/>
    <w:basedOn w:val="Normal"/>
    <w:uiPriority w:val="34"/>
    <w:qFormat/>
    <w:rsid w:val="00B43C9D"/>
    <w:pPr>
      <w:ind w:left="720"/>
      <w:contextualSpacing/>
    </w:pPr>
  </w:style>
  <w:style w:type="paragraph" w:styleId="Header">
    <w:name w:val="header"/>
    <w:basedOn w:val="Normal"/>
    <w:link w:val="HeaderChar"/>
    <w:unhideWhenUsed/>
    <w:rsid w:val="002A6BDF"/>
    <w:pPr>
      <w:tabs>
        <w:tab w:val="center" w:pos="4680"/>
        <w:tab w:val="right" w:pos="9360"/>
      </w:tabs>
    </w:pPr>
  </w:style>
  <w:style w:type="character" w:customStyle="1" w:styleId="HeaderChar">
    <w:name w:val="Header Char"/>
    <w:basedOn w:val="DefaultParagraphFont"/>
    <w:link w:val="Header"/>
    <w:rsid w:val="002A6BDF"/>
  </w:style>
  <w:style w:type="paragraph" w:styleId="Footer">
    <w:name w:val="footer"/>
    <w:basedOn w:val="Normal"/>
    <w:link w:val="FooterChar"/>
    <w:uiPriority w:val="99"/>
    <w:unhideWhenUsed/>
    <w:rsid w:val="002A6BDF"/>
    <w:pPr>
      <w:tabs>
        <w:tab w:val="center" w:pos="4680"/>
        <w:tab w:val="right" w:pos="9360"/>
      </w:tabs>
    </w:pPr>
  </w:style>
  <w:style w:type="character" w:customStyle="1" w:styleId="FooterChar">
    <w:name w:val="Footer Char"/>
    <w:basedOn w:val="DefaultParagraphFont"/>
    <w:link w:val="Footer"/>
    <w:uiPriority w:val="99"/>
    <w:rsid w:val="002A6BDF"/>
  </w:style>
  <w:style w:type="character" w:customStyle="1" w:styleId="Heading1Char">
    <w:name w:val="Heading 1 Char"/>
    <w:basedOn w:val="DefaultParagraphFont"/>
    <w:link w:val="Heading1"/>
    <w:uiPriority w:val="9"/>
    <w:rsid w:val="00722B48"/>
    <w:rPr>
      <w:rFonts w:eastAsiaTheme="majorEastAsia" w:cs="Arial"/>
      <w:b/>
      <w:caps/>
      <w:szCs w:val="32"/>
      <w:u w:val="single"/>
    </w:rPr>
  </w:style>
  <w:style w:type="character" w:styleId="Hyperlink">
    <w:name w:val="Hyperlink"/>
    <w:basedOn w:val="DefaultParagraphFont"/>
    <w:uiPriority w:val="99"/>
    <w:unhideWhenUsed/>
    <w:rsid w:val="005B4118"/>
    <w:rPr>
      <w:color w:val="0000FF" w:themeColor="hyperlink"/>
      <w:u w:val="single"/>
    </w:rPr>
  </w:style>
  <w:style w:type="paragraph" w:styleId="NormalWeb">
    <w:name w:val="Normal (Web)"/>
    <w:basedOn w:val="Normal"/>
    <w:uiPriority w:val="99"/>
    <w:semiHidden/>
    <w:unhideWhenUsed/>
    <w:rsid w:val="00333182"/>
    <w:pPr>
      <w:jc w:val="left"/>
    </w:pPr>
    <w:rPr>
      <w:rFonts w:ascii="Times New Roman" w:hAnsi="Times New Roman" w:cs="Times New Roman"/>
    </w:rPr>
  </w:style>
  <w:style w:type="character" w:customStyle="1" w:styleId="Heading2Char">
    <w:name w:val="Heading 2 Char"/>
    <w:basedOn w:val="DefaultParagraphFont"/>
    <w:link w:val="Heading2"/>
    <w:uiPriority w:val="9"/>
    <w:rsid w:val="00720419"/>
    <w:rPr>
      <w:rFonts w:eastAsiaTheme="majorEastAsia" w:cs="Arial"/>
      <w:b/>
      <w:szCs w:val="26"/>
    </w:rPr>
  </w:style>
  <w:style w:type="character" w:customStyle="1" w:styleId="Heading3Char">
    <w:name w:val="Heading 3 Char"/>
    <w:basedOn w:val="DefaultParagraphFont"/>
    <w:link w:val="Heading3"/>
    <w:uiPriority w:val="9"/>
    <w:rsid w:val="00720419"/>
    <w:rPr>
      <w:rFonts w:eastAsiaTheme="majorEastAsia" w:cs="Arial"/>
      <w:b/>
    </w:rPr>
  </w:style>
  <w:style w:type="character" w:customStyle="1" w:styleId="Heading4Char">
    <w:name w:val="Heading 4 Char"/>
    <w:basedOn w:val="DefaultParagraphFont"/>
    <w:link w:val="Heading4"/>
    <w:uiPriority w:val="9"/>
    <w:semiHidden/>
    <w:rsid w:val="00720419"/>
    <w:rPr>
      <w:rFonts w:eastAsiaTheme="majorEastAsia" w:cs="Arial"/>
      <w:b/>
      <w:i/>
      <w:iCs/>
    </w:rPr>
  </w:style>
  <w:style w:type="character" w:customStyle="1" w:styleId="Heading5Char">
    <w:name w:val="Heading 5 Char"/>
    <w:basedOn w:val="DefaultParagraphFont"/>
    <w:link w:val="Heading5"/>
    <w:uiPriority w:val="9"/>
    <w:semiHidden/>
    <w:rsid w:val="00720419"/>
    <w:rPr>
      <w:rFonts w:eastAsiaTheme="majorEastAsia" w:cs="Arial"/>
      <w:color w:val="243F60"/>
    </w:rPr>
  </w:style>
  <w:style w:type="character" w:customStyle="1" w:styleId="Heading6Char">
    <w:name w:val="Heading 6 Char"/>
    <w:basedOn w:val="DefaultParagraphFont"/>
    <w:link w:val="Heading6"/>
    <w:uiPriority w:val="9"/>
    <w:semiHidden/>
    <w:rsid w:val="00720419"/>
    <w:rPr>
      <w:rFonts w:eastAsiaTheme="majorEastAsia" w:cs="Arial"/>
      <w:color w:val="243F60"/>
    </w:rPr>
  </w:style>
  <w:style w:type="character" w:customStyle="1" w:styleId="Heading7Char">
    <w:name w:val="Heading 7 Char"/>
    <w:basedOn w:val="DefaultParagraphFont"/>
    <w:link w:val="Heading7"/>
    <w:uiPriority w:val="9"/>
    <w:semiHidden/>
    <w:rsid w:val="00720419"/>
    <w:rPr>
      <w:rFonts w:eastAsiaTheme="majorEastAsia" w:cs="Arial"/>
      <w:iCs/>
      <w:color w:val="404040"/>
    </w:rPr>
  </w:style>
  <w:style w:type="character" w:customStyle="1" w:styleId="Heading8Char">
    <w:name w:val="Heading 8 Char"/>
    <w:basedOn w:val="DefaultParagraphFont"/>
    <w:link w:val="Heading8"/>
    <w:uiPriority w:val="9"/>
    <w:semiHidden/>
    <w:rsid w:val="00720419"/>
    <w:rPr>
      <w:rFonts w:eastAsiaTheme="majorEastAsia" w:cs="Arial"/>
      <w:color w:val="404040"/>
      <w:szCs w:val="21"/>
    </w:rPr>
  </w:style>
  <w:style w:type="character" w:customStyle="1" w:styleId="Heading9Char">
    <w:name w:val="Heading 9 Char"/>
    <w:basedOn w:val="DefaultParagraphFont"/>
    <w:link w:val="Heading9"/>
    <w:uiPriority w:val="9"/>
    <w:semiHidden/>
    <w:rsid w:val="00720419"/>
    <w:rPr>
      <w:rFonts w:eastAsiaTheme="majorEastAsia" w:cs="Arial"/>
      <w:iCs/>
      <w:color w:val="404040"/>
      <w:szCs w:val="21"/>
    </w:rPr>
  </w:style>
  <w:style w:type="character" w:styleId="PageNumber">
    <w:name w:val="page number"/>
    <w:basedOn w:val="DefaultParagraphFont"/>
    <w:rsid w:val="00566E4E"/>
  </w:style>
  <w:style w:type="paragraph" w:styleId="BalloonText">
    <w:name w:val="Balloon Text"/>
    <w:basedOn w:val="Normal"/>
    <w:link w:val="BalloonTextChar"/>
    <w:uiPriority w:val="99"/>
    <w:semiHidden/>
    <w:unhideWhenUsed/>
    <w:rsid w:val="00A47E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7E6A"/>
    <w:rPr>
      <w:rFonts w:ascii="Segoe UI" w:hAnsi="Segoe UI" w:cs="Segoe UI"/>
      <w:sz w:val="18"/>
      <w:szCs w:val="18"/>
    </w:rPr>
  </w:style>
  <w:style w:type="character" w:styleId="CommentReference">
    <w:name w:val="annotation reference"/>
    <w:basedOn w:val="DefaultParagraphFont"/>
    <w:uiPriority w:val="99"/>
    <w:semiHidden/>
    <w:unhideWhenUsed/>
    <w:rsid w:val="00D74AE0"/>
    <w:rPr>
      <w:sz w:val="16"/>
      <w:szCs w:val="16"/>
    </w:rPr>
  </w:style>
  <w:style w:type="paragraph" w:styleId="CommentText">
    <w:name w:val="annotation text"/>
    <w:basedOn w:val="Normal"/>
    <w:link w:val="CommentTextChar"/>
    <w:uiPriority w:val="99"/>
    <w:semiHidden/>
    <w:unhideWhenUsed/>
    <w:rsid w:val="00D74AE0"/>
    <w:rPr>
      <w:sz w:val="20"/>
      <w:szCs w:val="20"/>
    </w:rPr>
  </w:style>
  <w:style w:type="character" w:customStyle="1" w:styleId="CommentTextChar">
    <w:name w:val="Comment Text Char"/>
    <w:basedOn w:val="DefaultParagraphFont"/>
    <w:link w:val="CommentText"/>
    <w:uiPriority w:val="99"/>
    <w:semiHidden/>
    <w:rsid w:val="00D74AE0"/>
    <w:rPr>
      <w:sz w:val="20"/>
      <w:szCs w:val="20"/>
    </w:rPr>
  </w:style>
  <w:style w:type="paragraph" w:styleId="CommentSubject">
    <w:name w:val="annotation subject"/>
    <w:basedOn w:val="CommentText"/>
    <w:next w:val="CommentText"/>
    <w:link w:val="CommentSubjectChar"/>
    <w:uiPriority w:val="99"/>
    <w:semiHidden/>
    <w:unhideWhenUsed/>
    <w:rsid w:val="00D74AE0"/>
    <w:rPr>
      <w:b/>
      <w:bCs/>
    </w:rPr>
  </w:style>
  <w:style w:type="character" w:customStyle="1" w:styleId="CommentSubjectChar">
    <w:name w:val="Comment Subject Char"/>
    <w:basedOn w:val="CommentTextChar"/>
    <w:link w:val="CommentSubject"/>
    <w:uiPriority w:val="99"/>
    <w:semiHidden/>
    <w:rsid w:val="00D74AE0"/>
    <w:rPr>
      <w:b/>
      <w:bCs/>
      <w:sz w:val="20"/>
      <w:szCs w:val="20"/>
    </w:rPr>
  </w:style>
  <w:style w:type="paragraph" w:styleId="Revision">
    <w:name w:val="Revision"/>
    <w:hidden/>
    <w:uiPriority w:val="99"/>
    <w:semiHidden/>
    <w:rsid w:val="00D74AE0"/>
  </w:style>
  <w:style w:type="paragraph" w:styleId="TOCHeading">
    <w:name w:val="TOC Heading"/>
    <w:basedOn w:val="Normal"/>
    <w:next w:val="TOC1"/>
    <w:uiPriority w:val="39"/>
    <w:unhideWhenUsed/>
    <w:qFormat/>
    <w:rsid w:val="00A3684E"/>
    <w:pPr>
      <w:keepNext/>
      <w:keepLines/>
      <w:spacing w:before="240" w:after="240"/>
      <w:jc w:val="center"/>
    </w:pPr>
    <w:rPr>
      <w:rFonts w:cs="Arial"/>
      <w:b/>
      <w:caps/>
      <w:color w:val="000000"/>
      <w:u w:val="single"/>
    </w:rPr>
  </w:style>
  <w:style w:type="paragraph" w:styleId="TOC1">
    <w:name w:val="toc 1"/>
    <w:basedOn w:val="Normal"/>
    <w:next w:val="Normal"/>
    <w:autoRedefine/>
    <w:uiPriority w:val="39"/>
    <w:unhideWhenUsed/>
    <w:rsid w:val="0056245F"/>
    <w:pPr>
      <w:tabs>
        <w:tab w:val="left" w:pos="720"/>
      </w:tabs>
      <w:spacing w:after="100"/>
      <w:ind w:left="720" w:right="720" w:hanging="720"/>
    </w:pPr>
  </w:style>
  <w:style w:type="paragraph" w:styleId="TOC2">
    <w:name w:val="toc 2"/>
    <w:basedOn w:val="Normal"/>
    <w:next w:val="Normal"/>
    <w:autoRedefine/>
    <w:uiPriority w:val="39"/>
    <w:unhideWhenUsed/>
    <w:rsid w:val="0056245F"/>
    <w:pPr>
      <w:tabs>
        <w:tab w:val="left" w:pos="1440"/>
        <w:tab w:val="right" w:leader="dot" w:pos="9360"/>
      </w:tabs>
      <w:spacing w:after="100"/>
      <w:ind w:left="1440" w:right="720" w:hanging="720"/>
    </w:pPr>
  </w:style>
  <w:style w:type="paragraph" w:styleId="TOC3">
    <w:name w:val="toc 3"/>
    <w:basedOn w:val="Normal"/>
    <w:next w:val="Normal"/>
    <w:autoRedefine/>
    <w:uiPriority w:val="39"/>
    <w:unhideWhenUsed/>
    <w:rsid w:val="0056245F"/>
    <w:pPr>
      <w:tabs>
        <w:tab w:val="left" w:pos="960"/>
      </w:tabs>
      <w:spacing w:after="100"/>
      <w:ind w:left="2160" w:right="720" w:hanging="720"/>
    </w:pPr>
  </w:style>
  <w:style w:type="paragraph" w:styleId="TOC4">
    <w:name w:val="toc 4"/>
    <w:basedOn w:val="Normal"/>
    <w:next w:val="Normal"/>
    <w:autoRedefine/>
    <w:uiPriority w:val="39"/>
    <w:semiHidden/>
    <w:unhideWhenUsed/>
    <w:rsid w:val="00A3684E"/>
    <w:pPr>
      <w:spacing w:after="100"/>
      <w:ind w:left="720"/>
    </w:pPr>
  </w:style>
  <w:style w:type="paragraph" w:styleId="TOC5">
    <w:name w:val="toc 5"/>
    <w:basedOn w:val="Normal"/>
    <w:next w:val="Normal"/>
    <w:autoRedefine/>
    <w:uiPriority w:val="39"/>
    <w:semiHidden/>
    <w:unhideWhenUsed/>
    <w:rsid w:val="00A3684E"/>
    <w:pPr>
      <w:spacing w:after="100"/>
      <w:ind w:left="960"/>
    </w:pPr>
  </w:style>
  <w:style w:type="paragraph" w:styleId="TOC6">
    <w:name w:val="toc 6"/>
    <w:basedOn w:val="Normal"/>
    <w:next w:val="Normal"/>
    <w:autoRedefine/>
    <w:uiPriority w:val="39"/>
    <w:semiHidden/>
    <w:unhideWhenUsed/>
    <w:rsid w:val="00A3684E"/>
    <w:pPr>
      <w:spacing w:after="100"/>
      <w:ind w:left="1200"/>
    </w:pPr>
  </w:style>
  <w:style w:type="paragraph" w:styleId="TOC7">
    <w:name w:val="toc 7"/>
    <w:basedOn w:val="Normal"/>
    <w:next w:val="Normal"/>
    <w:autoRedefine/>
    <w:uiPriority w:val="39"/>
    <w:semiHidden/>
    <w:unhideWhenUsed/>
    <w:rsid w:val="00A3684E"/>
    <w:pPr>
      <w:spacing w:after="100"/>
      <w:ind w:left="1440"/>
    </w:pPr>
  </w:style>
  <w:style w:type="paragraph" w:styleId="TOC8">
    <w:name w:val="toc 8"/>
    <w:basedOn w:val="Normal"/>
    <w:next w:val="Normal"/>
    <w:autoRedefine/>
    <w:uiPriority w:val="39"/>
    <w:semiHidden/>
    <w:unhideWhenUsed/>
    <w:rsid w:val="00A3684E"/>
    <w:pPr>
      <w:spacing w:after="100"/>
      <w:ind w:left="1680"/>
    </w:pPr>
  </w:style>
  <w:style w:type="paragraph" w:styleId="TOC9">
    <w:name w:val="toc 9"/>
    <w:basedOn w:val="Normal"/>
    <w:next w:val="Normal"/>
    <w:autoRedefine/>
    <w:uiPriority w:val="39"/>
    <w:semiHidden/>
    <w:unhideWhenUsed/>
    <w:rsid w:val="00A3684E"/>
    <w:pPr>
      <w:spacing w:after="100"/>
      <w:ind w:left="1920"/>
    </w:pPr>
  </w:style>
  <w:style w:type="paragraph" w:customStyle="1" w:styleId="TOCPage">
    <w:name w:val="TOC Page"/>
    <w:basedOn w:val="Normal"/>
    <w:next w:val="Normal"/>
    <w:link w:val="TOCPageChar"/>
    <w:rsid w:val="00A3684E"/>
    <w:pPr>
      <w:spacing w:after="240"/>
      <w:ind w:left="4320" w:hanging="4320"/>
      <w:jc w:val="right"/>
    </w:pPr>
    <w:rPr>
      <w:rFonts w:cs="Arial"/>
      <w:b/>
      <w:bCs/>
    </w:rPr>
  </w:style>
  <w:style w:type="character" w:customStyle="1" w:styleId="TOCPageChar">
    <w:name w:val="TOC Page Char"/>
    <w:basedOn w:val="DefaultParagraphFont"/>
    <w:link w:val="TOCPage"/>
    <w:rsid w:val="00A3684E"/>
    <w:rPr>
      <w:rFonts w:cs="Arial"/>
      <w:b/>
      <w:bCs/>
    </w:rPr>
  </w:style>
  <w:style w:type="paragraph" w:styleId="PlainText">
    <w:name w:val="Plain Text"/>
    <w:basedOn w:val="Normal"/>
    <w:link w:val="PlainTextChar"/>
    <w:uiPriority w:val="99"/>
    <w:semiHidden/>
    <w:unhideWhenUsed/>
    <w:rsid w:val="00A03779"/>
    <w:pPr>
      <w:jc w:val="left"/>
    </w:pPr>
    <w:rPr>
      <w:rFonts w:cs="Arial"/>
    </w:rPr>
  </w:style>
  <w:style w:type="character" w:customStyle="1" w:styleId="PlainTextChar">
    <w:name w:val="Plain Text Char"/>
    <w:basedOn w:val="DefaultParagraphFont"/>
    <w:link w:val="PlainText"/>
    <w:uiPriority w:val="99"/>
    <w:semiHidden/>
    <w:rsid w:val="00A03779"/>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138513">
      <w:bodyDiv w:val="1"/>
      <w:marLeft w:val="0"/>
      <w:marRight w:val="0"/>
      <w:marTop w:val="0"/>
      <w:marBottom w:val="0"/>
      <w:divBdr>
        <w:top w:val="none" w:sz="0" w:space="0" w:color="auto"/>
        <w:left w:val="none" w:sz="0" w:space="0" w:color="auto"/>
        <w:bottom w:val="none" w:sz="0" w:space="0" w:color="auto"/>
        <w:right w:val="none" w:sz="0" w:space="0" w:color="auto"/>
      </w:divBdr>
    </w:div>
    <w:div w:id="180050930">
      <w:bodyDiv w:val="1"/>
      <w:marLeft w:val="0"/>
      <w:marRight w:val="0"/>
      <w:marTop w:val="0"/>
      <w:marBottom w:val="0"/>
      <w:divBdr>
        <w:top w:val="none" w:sz="0" w:space="0" w:color="auto"/>
        <w:left w:val="none" w:sz="0" w:space="0" w:color="auto"/>
        <w:bottom w:val="none" w:sz="0" w:space="0" w:color="auto"/>
        <w:right w:val="none" w:sz="0" w:space="0" w:color="auto"/>
      </w:divBdr>
    </w:div>
    <w:div w:id="489713876">
      <w:bodyDiv w:val="1"/>
      <w:marLeft w:val="0"/>
      <w:marRight w:val="0"/>
      <w:marTop w:val="0"/>
      <w:marBottom w:val="0"/>
      <w:divBdr>
        <w:top w:val="none" w:sz="0" w:space="0" w:color="auto"/>
        <w:left w:val="none" w:sz="0" w:space="0" w:color="auto"/>
        <w:bottom w:val="none" w:sz="0" w:space="0" w:color="auto"/>
        <w:right w:val="none" w:sz="0" w:space="0" w:color="auto"/>
      </w:divBdr>
    </w:div>
    <w:div w:id="720251915">
      <w:bodyDiv w:val="1"/>
      <w:marLeft w:val="0"/>
      <w:marRight w:val="0"/>
      <w:marTop w:val="0"/>
      <w:marBottom w:val="0"/>
      <w:divBdr>
        <w:top w:val="none" w:sz="0" w:space="0" w:color="auto"/>
        <w:left w:val="none" w:sz="0" w:space="0" w:color="auto"/>
        <w:bottom w:val="none" w:sz="0" w:space="0" w:color="auto"/>
        <w:right w:val="none" w:sz="0" w:space="0" w:color="auto"/>
      </w:divBdr>
    </w:div>
    <w:div w:id="1082408423">
      <w:bodyDiv w:val="1"/>
      <w:marLeft w:val="0"/>
      <w:marRight w:val="0"/>
      <w:marTop w:val="0"/>
      <w:marBottom w:val="0"/>
      <w:divBdr>
        <w:top w:val="none" w:sz="0" w:space="0" w:color="auto"/>
        <w:left w:val="none" w:sz="0" w:space="0" w:color="auto"/>
        <w:bottom w:val="none" w:sz="0" w:space="0" w:color="auto"/>
        <w:right w:val="none" w:sz="0" w:space="0" w:color="auto"/>
      </w:divBdr>
    </w:div>
    <w:div w:id="1108546074">
      <w:bodyDiv w:val="1"/>
      <w:marLeft w:val="0"/>
      <w:marRight w:val="0"/>
      <w:marTop w:val="0"/>
      <w:marBottom w:val="0"/>
      <w:divBdr>
        <w:top w:val="none" w:sz="0" w:space="0" w:color="auto"/>
        <w:left w:val="none" w:sz="0" w:space="0" w:color="auto"/>
        <w:bottom w:val="none" w:sz="0" w:space="0" w:color="auto"/>
        <w:right w:val="none" w:sz="0" w:space="0" w:color="auto"/>
      </w:divBdr>
    </w:div>
    <w:div w:id="1186943370">
      <w:bodyDiv w:val="1"/>
      <w:marLeft w:val="0"/>
      <w:marRight w:val="0"/>
      <w:marTop w:val="0"/>
      <w:marBottom w:val="0"/>
      <w:divBdr>
        <w:top w:val="none" w:sz="0" w:space="0" w:color="auto"/>
        <w:left w:val="none" w:sz="0" w:space="0" w:color="auto"/>
        <w:bottom w:val="none" w:sz="0" w:space="0" w:color="auto"/>
        <w:right w:val="none" w:sz="0" w:space="0" w:color="auto"/>
      </w:divBdr>
    </w:div>
    <w:div w:id="1235161844">
      <w:bodyDiv w:val="1"/>
      <w:marLeft w:val="0"/>
      <w:marRight w:val="0"/>
      <w:marTop w:val="0"/>
      <w:marBottom w:val="0"/>
      <w:divBdr>
        <w:top w:val="none" w:sz="0" w:space="0" w:color="auto"/>
        <w:left w:val="none" w:sz="0" w:space="0" w:color="auto"/>
        <w:bottom w:val="none" w:sz="0" w:space="0" w:color="auto"/>
        <w:right w:val="none" w:sz="0" w:space="0" w:color="auto"/>
      </w:divBdr>
    </w:div>
    <w:div w:id="1586962011">
      <w:bodyDiv w:val="1"/>
      <w:marLeft w:val="0"/>
      <w:marRight w:val="0"/>
      <w:marTop w:val="0"/>
      <w:marBottom w:val="0"/>
      <w:divBdr>
        <w:top w:val="none" w:sz="0" w:space="0" w:color="auto"/>
        <w:left w:val="none" w:sz="0" w:space="0" w:color="auto"/>
        <w:bottom w:val="none" w:sz="0" w:space="0" w:color="auto"/>
        <w:right w:val="none" w:sz="0" w:space="0" w:color="auto"/>
      </w:divBdr>
    </w:div>
    <w:div w:id="199919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lliam.michael@occ.ohio.gov"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mailto:Kevin.moore@occ.ohio.gov" TargetMode="External"/><Relationship Id="rId3" Type="http://schemas.openxmlformats.org/officeDocument/2006/relationships/styles" Target="styles.xml"/><Relationship Id="rId21" Type="http://schemas.openxmlformats.org/officeDocument/2006/relationships/hyperlink" Target="mailto:Kevin.moore@occ.ohio.gov" TargetMode="External"/><Relationship Id="rId34"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mailto:Perko@carpenterlipps.com" TargetMode="External"/><Relationship Id="rId17" Type="http://schemas.openxmlformats.org/officeDocument/2006/relationships/header" Target="header3.xml"/><Relationship Id="rId25" Type="http://schemas.openxmlformats.org/officeDocument/2006/relationships/hyperlink" Target="mailto:Jodi.bair@occ.ohio.gov" TargetMode="External"/><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mailto:Jodi.bair@occ.ohio.gov"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ojko@carpenterlipps.com" TargetMode="External"/><Relationship Id="rId24" Type="http://schemas.openxmlformats.org/officeDocument/2006/relationships/hyperlink" Target="mailto:william.michael@occ.ohio.gov" TargetMode="External"/><Relationship Id="rId32" Type="http://schemas.openxmlformats.org/officeDocument/2006/relationships/footer" Target="footer5.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mailto:Perko@carpenterlipps.com" TargetMode="External"/><Relationship Id="rId28" Type="http://schemas.openxmlformats.org/officeDocument/2006/relationships/hyperlink" Target="mailto:Perko@carpenterlipps.com" TargetMode="External"/><Relationship Id="rId36" Type="http://schemas.openxmlformats.org/officeDocument/2006/relationships/fontTable" Target="fontTable.xml"/><Relationship Id="rId10" Type="http://schemas.openxmlformats.org/officeDocument/2006/relationships/hyperlink" Target="mailto:Kevin.moore@occ.ohio.gov" TargetMode="External"/><Relationship Id="rId19" Type="http://schemas.openxmlformats.org/officeDocument/2006/relationships/hyperlink" Target="mailto:william.michael@occ.ohio.gov"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Jodi.bair@occ.ohio.gov" TargetMode="External"/><Relationship Id="rId14" Type="http://schemas.openxmlformats.org/officeDocument/2006/relationships/header" Target="header2.xml"/><Relationship Id="rId22" Type="http://schemas.openxmlformats.org/officeDocument/2006/relationships/hyperlink" Target="mailto:Bojko@carpenterlipps.com" TargetMode="External"/><Relationship Id="rId27" Type="http://schemas.openxmlformats.org/officeDocument/2006/relationships/hyperlink" Target="mailto:Bojko@carpenterlipps.com" TargetMode="External"/><Relationship Id="rId30" Type="http://schemas.openxmlformats.org/officeDocument/2006/relationships/header" Target="header5.xml"/><Relationship Id="rId35" Type="http://schemas.openxmlformats.org/officeDocument/2006/relationships/hyperlink" Target="mailto:cmooney@ohiopartners.org"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codes.ohio.gov/orc/4933.90" TargetMode="External"/><Relationship Id="rId13" Type="http://schemas.openxmlformats.org/officeDocument/2006/relationships/hyperlink" Target="http://codes.ohio.gov/orc/4928.141" TargetMode="External"/><Relationship Id="rId3" Type="http://schemas.openxmlformats.org/officeDocument/2006/relationships/hyperlink" Target="http://codes.ohio.gov/orc/4905.10" TargetMode="External"/><Relationship Id="rId7" Type="http://schemas.openxmlformats.org/officeDocument/2006/relationships/hyperlink" Target="http://codes.ohio.gov/orc/4933.81" TargetMode="External"/><Relationship Id="rId12" Type="http://schemas.openxmlformats.org/officeDocument/2006/relationships/hyperlink" Target="http://codes.ohio.gov/orc/4963.41" TargetMode="External"/><Relationship Id="rId17" Type="http://schemas.openxmlformats.org/officeDocument/2006/relationships/hyperlink" Target="http://codes.ohio.gov/orc/4928.16" TargetMode="External"/><Relationship Id="rId2" Type="http://schemas.openxmlformats.org/officeDocument/2006/relationships/hyperlink" Target="http://codes.ohio.gov/orc/4928.02" TargetMode="External"/><Relationship Id="rId16" Type="http://schemas.openxmlformats.org/officeDocument/2006/relationships/hyperlink" Target="http://codes.ohio.gov/orc/4928.10" TargetMode="External"/><Relationship Id="rId1" Type="http://schemas.openxmlformats.org/officeDocument/2006/relationships/hyperlink" Target="http://codes.ohio.gov/orc/4933.81" TargetMode="External"/><Relationship Id="rId6" Type="http://schemas.openxmlformats.org/officeDocument/2006/relationships/hyperlink" Target="http://codes.ohio.gov/orc/4905.35" TargetMode="External"/><Relationship Id="rId11" Type="http://schemas.openxmlformats.org/officeDocument/2006/relationships/hyperlink" Target="http://codes.ohio.gov/orc/4963.40" TargetMode="External"/><Relationship Id="rId5" Type="http://schemas.openxmlformats.org/officeDocument/2006/relationships/hyperlink" Target="http://codes.ohio.gov/orc/4905.33" TargetMode="External"/><Relationship Id="rId15" Type="http://schemas.openxmlformats.org/officeDocument/2006/relationships/hyperlink" Target="http://codes.ohio.gov/orc/4928.01" TargetMode="External"/><Relationship Id="rId10" Type="http://schemas.openxmlformats.org/officeDocument/2006/relationships/hyperlink" Target="http://codes.ohio.gov/orc/4935.03" TargetMode="External"/><Relationship Id="rId4" Type="http://schemas.openxmlformats.org/officeDocument/2006/relationships/hyperlink" Target="http://codes.ohio.gov/orc/4905.31" TargetMode="External"/><Relationship Id="rId9" Type="http://schemas.openxmlformats.org/officeDocument/2006/relationships/hyperlink" Target="http://codes.ohio.gov/orc/4905.06" TargetMode="External"/><Relationship Id="rId14" Type="http://schemas.openxmlformats.org/officeDocument/2006/relationships/hyperlink" Target="http://codes.ohio.gov/orc/4928.1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82ACB9B-EEAA-4213-8C81-EDB01225EF55}">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42BF4-09C2-45F4-808A-8575A6172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1</Pages>
  <Words>8790</Words>
  <Characters>49108</Characters>
  <Application>Microsoft Office Word</Application>
  <DocSecurity>0</DocSecurity>
  <PresentationFormat>15|.DOCX</PresentationFormat>
  <Lines>1049</Lines>
  <Paragraphs>420</Paragraphs>
  <ScaleCrop>false</ScaleCrop>
  <HeadingPairs>
    <vt:vector size="2" baseType="variant">
      <vt:variant>
        <vt:lpstr>Title</vt:lpstr>
      </vt:variant>
      <vt:variant>
        <vt:i4>1</vt:i4>
      </vt:variant>
    </vt:vector>
  </HeadingPairs>
  <TitlesOfParts>
    <vt:vector size="1" baseType="lpstr">
      <vt:lpstr>Duke PSR Application; motion to dismiss (C0101590-3).DOCX</vt:lpstr>
    </vt:vector>
  </TitlesOfParts>
  <Company>Office of the Ohio Consumers' Counsel</Company>
  <LinksUpToDate>false</LinksUpToDate>
  <CharactersWithSpaces>57869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Duke PSR Application; motion to dismiss (C0101590-3).DOCX</dc:title>
  <dc:subject>C0101590:3</dc:subject>
  <dc:creator>Karen Bowman</dc:creator>
  <cp:lastModifiedBy>Bowman, Karen</cp:lastModifiedBy>
  <cp:revision>45</cp:revision>
  <cp:lastPrinted>2017-05-09T16:32:00Z</cp:lastPrinted>
  <dcterms:created xsi:type="dcterms:W3CDTF">2017-04-28T15:37:00Z</dcterms:created>
  <dcterms:modified xsi:type="dcterms:W3CDTF">2017-05-09T16:33:00Z</dcterms:modified>
</cp:coreProperties>
</file>