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80CB4" w:rsidRPr="00A37932" w:rsidP="00A37932" w14:paraId="3B7FDB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bookmarkStart w:id="0" w:name="_GoBack"/>
      <w:bookmarkEnd w:id="0"/>
      <w:r w:rsidRPr="00A37932">
        <w:rPr>
          <w:rFonts w:ascii="Times New Roman" w:eastAsia="Courier New" w:hAnsi="Times New Roman" w:cs="Times New Roman"/>
          <w:b/>
          <w:bCs/>
          <w:sz w:val="24"/>
          <w:szCs w:val="24"/>
        </w:rPr>
        <w:t>BEFORE</w:t>
      </w:r>
    </w:p>
    <w:p w:rsidR="00680CB4" w:rsidRPr="00A37932" w:rsidP="00A37932" w14:paraId="330718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A37932">
        <w:rPr>
          <w:rFonts w:ascii="Times New Roman" w:eastAsia="Courier New" w:hAnsi="Times New Roman" w:cs="Times New Roman"/>
          <w:b/>
          <w:bCs/>
          <w:sz w:val="24"/>
          <w:szCs w:val="24"/>
        </w:rPr>
        <w:t>THE PUBLIC UTILITIES COMMISSION OF OHIO</w:t>
      </w:r>
    </w:p>
    <w:p w:rsidR="00680CB4" w:rsidRPr="00A37932" w:rsidP="00A37932" w14:paraId="323442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360" w:type="dxa"/>
        <w:tblLook w:val="01E0"/>
      </w:tblPr>
      <w:tblGrid>
        <w:gridCol w:w="4561"/>
        <w:gridCol w:w="299"/>
        <w:gridCol w:w="4500"/>
      </w:tblGrid>
      <w:tr w14:paraId="2A862E50" w14:textId="77777777" w:rsidTr="00F439DB">
        <w:tblPrEx>
          <w:tblW w:w="9360" w:type="dxa"/>
          <w:tblLook w:val="01E0"/>
        </w:tblPrEx>
        <w:trPr>
          <w:trHeight w:val="807"/>
        </w:trPr>
        <w:tc>
          <w:tcPr>
            <w:tcW w:w="4561" w:type="dxa"/>
            <w:shd w:val="clear" w:color="auto" w:fill="auto"/>
          </w:tcPr>
          <w:p w:rsidR="00680CB4" w:rsidRPr="00A37932" w:rsidP="00A37932" w14:paraId="19D53925" w14:textId="71609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A37932">
              <w:rPr>
                <w:rFonts w:ascii="Times New Roman" w:eastAsia="Courier New" w:hAnsi="Times New Roman" w:cs="Times New Roman"/>
                <w:sz w:val="24"/>
                <w:szCs w:val="24"/>
              </w:rPr>
              <w:t>In The Matter Of The Application Of Columbia Gas of Ohio, Inc. For Approval To Change Accounting Methods.</w:t>
            </w:r>
          </w:p>
        </w:tc>
        <w:tc>
          <w:tcPr>
            <w:tcW w:w="299" w:type="dxa"/>
            <w:shd w:val="clear" w:color="auto" w:fill="auto"/>
          </w:tcPr>
          <w:p w:rsidR="00680CB4" w:rsidRPr="00A37932" w:rsidP="00A37932" w14:paraId="23FE01EE" w14:textId="46C9C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p w:rsidR="00680CB4" w:rsidRPr="00A37932" w:rsidP="00A37932" w14:paraId="629CD7DB" w14:textId="419DE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p w:rsidR="00680CB4" w:rsidRPr="00A37932" w:rsidP="00A37932" w14:paraId="3611E8F1" w14:textId="3B9D9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4500" w:type="dxa"/>
            <w:shd w:val="clear" w:color="auto" w:fill="auto"/>
          </w:tcPr>
          <w:p w:rsidR="00680CB4" w:rsidRPr="00A37932" w:rsidP="00A37932" w14:paraId="68222D1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680CB4" w:rsidRPr="00A37932" w:rsidP="00A37932" w14:paraId="0229508F" w14:textId="07E0E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A37932">
              <w:rPr>
                <w:rFonts w:ascii="Times New Roman" w:eastAsia="Courier New" w:hAnsi="Times New Roman" w:cs="Times New Roman"/>
                <w:sz w:val="24"/>
                <w:szCs w:val="24"/>
              </w:rPr>
              <w:t>Case No.</w:t>
            </w:r>
            <w:r w:rsidR="00D12D64">
              <w:rPr>
                <w:rFonts w:ascii="Times New Roman" w:eastAsia="Courier New" w:hAnsi="Times New Roman" w:cs="Times New Roman"/>
                <w:sz w:val="24"/>
                <w:szCs w:val="24"/>
              </w:rPr>
              <w:t xml:space="preserve"> </w:t>
            </w:r>
            <w:r w:rsidRPr="00A37932">
              <w:rPr>
                <w:rFonts w:ascii="Times New Roman" w:eastAsia="Courier New" w:hAnsi="Times New Roman" w:cs="Times New Roman"/>
                <w:sz w:val="24"/>
                <w:szCs w:val="24"/>
              </w:rPr>
              <w:t>20-1104-GA-AAM</w:t>
            </w:r>
          </w:p>
          <w:p w:rsidR="00680CB4" w:rsidP="00A37932" w14:paraId="443553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2C49C3" w:rsidRPr="00A37932" w:rsidP="00A37932" w14:paraId="67906BD8" w14:textId="797CC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680CB4" w:rsidRPr="00A37932" w:rsidP="00A37932" w14:paraId="78AB7BAA" w14:textId="77777777">
      <w:pPr>
        <w:pBdr>
          <w:top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p>
    <w:p w:rsidR="00680CB4" w:rsidP="00A37932" w14:paraId="6FC8EE60" w14:textId="2D7F76E4">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sidRPr="00A37932">
        <w:rPr>
          <w:rFonts w:ascii="Times New Roman" w:eastAsia="Times New Roman" w:hAnsi="Times New Roman" w:cs="Times New Roman"/>
          <w:b/>
          <w:spacing w:val="-3"/>
          <w:sz w:val="24"/>
          <w:szCs w:val="24"/>
        </w:rPr>
        <w:t>COMMENTS REGARDING</w:t>
      </w:r>
      <w:r w:rsidR="00D12D64">
        <w:rPr>
          <w:rFonts w:ascii="Times New Roman" w:eastAsia="Times New Roman" w:hAnsi="Times New Roman" w:cs="Times New Roman"/>
          <w:b/>
          <w:spacing w:val="-3"/>
          <w:sz w:val="24"/>
          <w:szCs w:val="24"/>
        </w:rPr>
        <w:t xml:space="preserve"> </w:t>
      </w:r>
      <w:r w:rsidR="007C5EED">
        <w:rPr>
          <w:rFonts w:ascii="Times New Roman" w:eastAsia="Times New Roman" w:hAnsi="Times New Roman" w:cs="Times New Roman"/>
          <w:b/>
          <w:spacing w:val="-3"/>
          <w:sz w:val="24"/>
          <w:szCs w:val="24"/>
        </w:rPr>
        <w:t xml:space="preserve">THE </w:t>
      </w:r>
      <w:r w:rsidRPr="00A37932">
        <w:rPr>
          <w:rFonts w:ascii="Times New Roman" w:eastAsia="Times New Roman" w:hAnsi="Times New Roman" w:cs="Times New Roman"/>
          <w:b/>
          <w:spacing w:val="-3"/>
          <w:sz w:val="24"/>
          <w:szCs w:val="24"/>
        </w:rPr>
        <w:t xml:space="preserve">APPLICATION </w:t>
      </w:r>
      <w:r w:rsidR="00EA61E5">
        <w:rPr>
          <w:rFonts w:ascii="Times New Roman" w:eastAsia="Times New Roman" w:hAnsi="Times New Roman" w:cs="Times New Roman"/>
          <w:b/>
          <w:spacing w:val="-3"/>
          <w:sz w:val="24"/>
          <w:szCs w:val="24"/>
        </w:rPr>
        <w:t xml:space="preserve">OF </w:t>
      </w:r>
      <w:r w:rsidRPr="00A37932" w:rsidR="00EA61E5">
        <w:rPr>
          <w:rFonts w:ascii="Times New Roman" w:eastAsia="Times New Roman" w:hAnsi="Times New Roman" w:cs="Times New Roman"/>
          <w:b/>
          <w:spacing w:val="-3"/>
          <w:sz w:val="24"/>
          <w:szCs w:val="24"/>
        </w:rPr>
        <w:t xml:space="preserve">COLUMBIA GAS </w:t>
      </w:r>
      <w:r w:rsidRPr="00A37932">
        <w:rPr>
          <w:rFonts w:ascii="Times New Roman" w:eastAsia="Times New Roman" w:hAnsi="Times New Roman" w:cs="Times New Roman"/>
          <w:b/>
          <w:spacing w:val="-3"/>
          <w:sz w:val="24"/>
          <w:szCs w:val="24"/>
        </w:rPr>
        <w:t>FOR APPROVAL TO CHANGE ACCOUNTING METHODS</w:t>
      </w:r>
      <w:r w:rsidR="00EA61E5">
        <w:rPr>
          <w:rFonts w:ascii="Times New Roman" w:eastAsia="Times New Roman" w:hAnsi="Times New Roman" w:cs="Times New Roman"/>
          <w:b/>
          <w:spacing w:val="-3"/>
          <w:sz w:val="24"/>
          <w:szCs w:val="24"/>
        </w:rPr>
        <w:t xml:space="preserve"> AFFECTING CONSUMERS</w:t>
      </w:r>
    </w:p>
    <w:p w:rsidR="00D12D64" w:rsidP="00A37932" w14:paraId="19B04CFE" w14:textId="5904C3A8">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xml:space="preserve">BY </w:t>
      </w:r>
    </w:p>
    <w:p w:rsidR="00D12D64" w:rsidRPr="00A37932" w:rsidP="00A37932" w14:paraId="26D2F746" w14:textId="2E700F57">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sidRPr="00A37932">
        <w:rPr>
          <w:rFonts w:ascii="Times New Roman" w:eastAsia="Times New Roman" w:hAnsi="Times New Roman" w:cs="Times New Roman"/>
          <w:b/>
          <w:spacing w:val="-3"/>
          <w:sz w:val="24"/>
          <w:szCs w:val="24"/>
        </w:rPr>
        <w:t xml:space="preserve">THE </w:t>
      </w:r>
      <w:r>
        <w:rPr>
          <w:rFonts w:ascii="Times New Roman" w:eastAsia="Times New Roman" w:hAnsi="Times New Roman" w:cs="Times New Roman"/>
          <w:b/>
          <w:spacing w:val="-3"/>
          <w:sz w:val="24"/>
          <w:szCs w:val="24"/>
        </w:rPr>
        <w:t xml:space="preserve">OFFICE OF THE </w:t>
      </w:r>
      <w:r w:rsidRPr="00A37932">
        <w:rPr>
          <w:rFonts w:ascii="Times New Roman" w:eastAsia="Times New Roman" w:hAnsi="Times New Roman" w:cs="Times New Roman"/>
          <w:b/>
          <w:spacing w:val="-3"/>
          <w:sz w:val="24"/>
          <w:szCs w:val="24"/>
        </w:rPr>
        <w:t>OHIO CONSUMERS’ COUNSEL</w:t>
      </w:r>
    </w:p>
    <w:p w:rsidR="00680CB4" w:rsidRPr="00A37932" w:rsidP="00A37932" w14:paraId="5D77BACA" w14:textId="77777777">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p>
    <w:p w:rsidR="00680CB4" w:rsidRPr="00A37932" w:rsidP="00A37932" w14:paraId="0A6DD748" w14:textId="77777777">
      <w:pPr>
        <w:spacing w:after="0"/>
        <w:rPr>
          <w:rFonts w:ascii="Times New Roman" w:eastAsia="Times New Roman" w:hAnsi="Times New Roman" w:cs="Times New Roman"/>
          <w:b/>
          <w:sz w:val="24"/>
          <w:szCs w:val="24"/>
        </w:rPr>
      </w:pPr>
      <w:r w:rsidRPr="00A37932">
        <w:rPr>
          <w:rFonts w:ascii="Times New Roman" w:eastAsia="Times New Roman" w:hAnsi="Times New Roman" w:cs="Times New Roman"/>
          <w:b/>
          <w:spacing w:val="-3"/>
          <w:sz w:val="24"/>
          <w:szCs w:val="24"/>
        </w:rPr>
        <w:t xml:space="preserve"> </w:t>
      </w:r>
    </w:p>
    <w:p w:rsidR="00EB7721" w:rsidP="00EB7721" w14:paraId="6FEB4B2D" w14:textId="5931BD81">
      <w:pPr>
        <w:autoSpaceDE w:val="0"/>
        <w:autoSpaceDN w:val="0"/>
        <w:adjustRightInd w:val="0"/>
        <w:spacing w:after="0" w:line="480" w:lineRule="auto"/>
        <w:ind w:firstLine="720"/>
        <w:rPr>
          <w:rFonts w:ascii="Times New Roman" w:hAnsi="Times New Roman" w:cs="Times New Roman"/>
          <w:sz w:val="24"/>
          <w:szCs w:val="24"/>
        </w:rPr>
      </w:pPr>
      <w:r w:rsidRPr="00A37932">
        <w:rPr>
          <w:rFonts w:ascii="Times New Roman" w:hAnsi="Times New Roman" w:cs="Times New Roman"/>
          <w:sz w:val="24"/>
          <w:szCs w:val="24"/>
        </w:rPr>
        <w:t>Columbia Gas of Ohio (“Columbia”)</w:t>
      </w:r>
      <w:r w:rsidR="00F646E5">
        <w:rPr>
          <w:rFonts w:ascii="Times New Roman" w:hAnsi="Times New Roman" w:cs="Times New Roman"/>
          <w:sz w:val="24"/>
          <w:szCs w:val="24"/>
        </w:rPr>
        <w:t xml:space="preserve">, which will resume disconnections of </w:t>
      </w:r>
      <w:r w:rsidR="00386C18">
        <w:rPr>
          <w:rFonts w:ascii="Times New Roman" w:hAnsi="Times New Roman" w:cs="Times New Roman"/>
          <w:sz w:val="24"/>
          <w:szCs w:val="24"/>
        </w:rPr>
        <w:t>consumers</w:t>
      </w:r>
      <w:r w:rsidR="00F646E5">
        <w:rPr>
          <w:rFonts w:ascii="Times New Roman" w:hAnsi="Times New Roman" w:cs="Times New Roman"/>
          <w:sz w:val="24"/>
          <w:szCs w:val="24"/>
        </w:rPr>
        <w:t xml:space="preserve"> on </w:t>
      </w:r>
      <w:r w:rsidR="007C5EED">
        <w:rPr>
          <w:rFonts w:ascii="Times New Roman" w:hAnsi="Times New Roman" w:cs="Times New Roman"/>
          <w:sz w:val="24"/>
          <w:szCs w:val="24"/>
        </w:rPr>
        <w:t>July 29</w:t>
      </w:r>
      <w:r w:rsidR="00F646E5">
        <w:rPr>
          <w:rFonts w:ascii="Times New Roman" w:hAnsi="Times New Roman" w:cs="Times New Roman"/>
          <w:sz w:val="24"/>
          <w:szCs w:val="24"/>
        </w:rPr>
        <w:t>, 2020,</w:t>
      </w:r>
      <w:r>
        <w:rPr>
          <w:rFonts w:ascii="Times New Roman" w:hAnsi="Times New Roman" w:cs="Times New Roman"/>
          <w:sz w:val="24"/>
          <w:szCs w:val="24"/>
        </w:rPr>
        <w:t xml:space="preserve"> seeks to defer expenses and foregone revenue related to its </w:t>
      </w:r>
      <w:r w:rsidR="008B13B7">
        <w:rPr>
          <w:rFonts w:ascii="Times New Roman" w:hAnsi="Times New Roman" w:cs="Times New Roman"/>
          <w:sz w:val="24"/>
          <w:szCs w:val="24"/>
        </w:rPr>
        <w:t xml:space="preserve">coronavirus </w:t>
      </w:r>
      <w:r>
        <w:rPr>
          <w:rFonts w:ascii="Times New Roman" w:hAnsi="Times New Roman" w:cs="Times New Roman"/>
          <w:sz w:val="24"/>
          <w:szCs w:val="24"/>
        </w:rPr>
        <w:t>Emergency Plan</w:t>
      </w:r>
      <w:r w:rsidR="008C0E39">
        <w:rPr>
          <w:rFonts w:ascii="Times New Roman" w:hAnsi="Times New Roman" w:cs="Times New Roman"/>
          <w:sz w:val="24"/>
          <w:szCs w:val="24"/>
        </w:rPr>
        <w:t>,</w:t>
      </w:r>
      <w:r>
        <w:rPr>
          <w:rFonts w:ascii="Times New Roman" w:hAnsi="Times New Roman" w:cs="Times New Roman"/>
          <w:sz w:val="24"/>
          <w:szCs w:val="24"/>
        </w:rPr>
        <w:t xml:space="preserve"> for collection from</w:t>
      </w:r>
      <w:r w:rsidR="00544BAD">
        <w:rPr>
          <w:rFonts w:ascii="Times New Roman" w:hAnsi="Times New Roman" w:cs="Times New Roman"/>
          <w:sz w:val="24"/>
          <w:szCs w:val="24"/>
        </w:rPr>
        <w:t xml:space="preserve"> consumers</w:t>
      </w:r>
      <w:r>
        <w:rPr>
          <w:rFonts w:ascii="Times New Roman" w:hAnsi="Times New Roman" w:cs="Times New Roman"/>
          <w:sz w:val="24"/>
          <w:szCs w:val="24"/>
        </w:rPr>
        <w:t xml:space="preserve"> in the future. Columbia’s application should be denied.</w:t>
      </w:r>
    </w:p>
    <w:p w:rsidR="000C11F0" w:rsidP="000C11F0" w14:paraId="3CB2A096" w14:textId="3794B65C">
      <w:pPr>
        <w:autoSpaceDE w:val="0"/>
        <w:autoSpaceDN w:val="0"/>
        <w:adjustRightInd w:val="0"/>
        <w:spacing w:after="0" w:line="480" w:lineRule="auto"/>
        <w:ind w:firstLine="720"/>
        <w:rPr>
          <w:rFonts w:ascii="Times New Roman" w:hAnsi="Times New Roman" w:cs="Times New Roman"/>
          <w:sz w:val="24"/>
          <w:szCs w:val="24"/>
        </w:rPr>
      </w:pPr>
      <w:r w:rsidRPr="00FF11DD">
        <w:rPr>
          <w:rFonts w:ascii="Times New Roman" w:hAnsi="Times New Roman" w:cs="Times New Roman"/>
          <w:sz w:val="24"/>
          <w:szCs w:val="24"/>
        </w:rPr>
        <w:t>In these difficult times when</w:t>
      </w:r>
      <w:r w:rsidR="00427D8E">
        <w:rPr>
          <w:rFonts w:ascii="Times New Roman" w:hAnsi="Times New Roman" w:cs="Times New Roman"/>
          <w:sz w:val="24"/>
          <w:szCs w:val="24"/>
        </w:rPr>
        <w:t xml:space="preserve"> Columbia’s </w:t>
      </w:r>
      <w:r w:rsidRPr="00FF11DD">
        <w:rPr>
          <w:rFonts w:ascii="Times New Roman" w:hAnsi="Times New Roman" w:cs="Times New Roman"/>
          <w:sz w:val="24"/>
          <w:szCs w:val="24"/>
        </w:rPr>
        <w:t>consumers</w:t>
      </w:r>
      <w:r w:rsidR="00427D8E">
        <w:rPr>
          <w:rFonts w:ascii="Times New Roman" w:hAnsi="Times New Roman" w:cs="Times New Roman"/>
          <w:sz w:val="24"/>
          <w:szCs w:val="24"/>
        </w:rPr>
        <w:t xml:space="preserve"> in 61 counties throughout Ohio</w:t>
      </w:r>
      <w:r w:rsidRPr="00FF11DD">
        <w:rPr>
          <w:rFonts w:ascii="Times New Roman" w:hAnsi="Times New Roman" w:cs="Times New Roman"/>
          <w:sz w:val="24"/>
          <w:szCs w:val="24"/>
        </w:rPr>
        <w:t xml:space="preserve"> are facing unprecedented health, safety, and financial worries, the PUCO should be especially</w:t>
      </w:r>
      <w:r w:rsidR="00427D8E">
        <w:rPr>
          <w:rFonts w:ascii="Times New Roman" w:hAnsi="Times New Roman" w:cs="Times New Roman"/>
          <w:sz w:val="24"/>
          <w:szCs w:val="24"/>
        </w:rPr>
        <w:t xml:space="preserve"> vigilant to </w:t>
      </w:r>
      <w:r w:rsidR="00C604EE">
        <w:rPr>
          <w:rFonts w:ascii="Times New Roman" w:hAnsi="Times New Roman" w:cs="Times New Roman"/>
          <w:sz w:val="24"/>
          <w:szCs w:val="24"/>
        </w:rPr>
        <w:t>en</w:t>
      </w:r>
      <w:r w:rsidR="00427D8E">
        <w:rPr>
          <w:rFonts w:ascii="Times New Roman" w:hAnsi="Times New Roman" w:cs="Times New Roman"/>
          <w:sz w:val="24"/>
          <w:szCs w:val="24"/>
        </w:rPr>
        <w:t xml:space="preserve">sure that </w:t>
      </w:r>
      <w:r w:rsidR="00544BAD">
        <w:rPr>
          <w:rFonts w:ascii="Times New Roman" w:hAnsi="Times New Roman" w:cs="Times New Roman"/>
          <w:sz w:val="24"/>
          <w:szCs w:val="24"/>
        </w:rPr>
        <w:t>consumers</w:t>
      </w:r>
      <w:r w:rsidR="00427D8E">
        <w:rPr>
          <w:rFonts w:ascii="Times New Roman" w:hAnsi="Times New Roman" w:cs="Times New Roman"/>
          <w:sz w:val="24"/>
          <w:szCs w:val="24"/>
        </w:rPr>
        <w:t xml:space="preserve"> will not overpay for gas utility service</w:t>
      </w:r>
      <w:r w:rsidR="00F45838">
        <w:rPr>
          <w:rFonts w:ascii="Times New Roman" w:hAnsi="Times New Roman" w:cs="Times New Roman"/>
          <w:sz w:val="24"/>
          <w:szCs w:val="24"/>
        </w:rPr>
        <w:t>.</w:t>
      </w:r>
      <w:r w:rsidR="008C0E39">
        <w:rPr>
          <w:rFonts w:ascii="Times New Roman" w:hAnsi="Times New Roman" w:cs="Times New Roman"/>
          <w:sz w:val="24"/>
          <w:szCs w:val="24"/>
        </w:rPr>
        <w:t xml:space="preserve"> And the PUCO should be cautious in responding to utility requests to insulate their finances</w:t>
      </w:r>
      <w:r w:rsidR="00EB7721">
        <w:rPr>
          <w:rFonts w:ascii="Times New Roman" w:hAnsi="Times New Roman" w:cs="Times New Roman"/>
          <w:sz w:val="24"/>
          <w:szCs w:val="24"/>
        </w:rPr>
        <w:t>, at consumer expense,</w:t>
      </w:r>
      <w:r w:rsidR="008C0E39">
        <w:rPr>
          <w:rFonts w:ascii="Times New Roman" w:hAnsi="Times New Roman" w:cs="Times New Roman"/>
          <w:sz w:val="24"/>
          <w:szCs w:val="24"/>
        </w:rPr>
        <w:t xml:space="preserve"> from the economic pain that consumers and businesses in Ohio are suffering. </w:t>
      </w:r>
      <w:r>
        <w:rPr>
          <w:rFonts w:ascii="Times New Roman" w:hAnsi="Times New Roman" w:cs="Times New Roman"/>
          <w:sz w:val="24"/>
          <w:szCs w:val="24"/>
        </w:rPr>
        <w:t>In this regard, t</w:t>
      </w:r>
      <w:r w:rsidR="00F45838">
        <w:rPr>
          <w:rFonts w:ascii="Times New Roman" w:hAnsi="Times New Roman" w:cs="Times New Roman"/>
          <w:sz w:val="24"/>
          <w:szCs w:val="24"/>
        </w:rPr>
        <w:t xml:space="preserve">he PUCO should </w:t>
      </w:r>
      <w:r>
        <w:rPr>
          <w:rFonts w:ascii="Times New Roman" w:hAnsi="Times New Roman" w:cs="Times New Roman"/>
          <w:sz w:val="24"/>
          <w:szCs w:val="24"/>
        </w:rPr>
        <w:t>be skeptical about utility proposals for government to</w:t>
      </w:r>
      <w:r w:rsidR="00427D8E">
        <w:rPr>
          <w:rFonts w:ascii="Times New Roman" w:hAnsi="Times New Roman" w:cs="Times New Roman"/>
          <w:sz w:val="24"/>
          <w:szCs w:val="24"/>
        </w:rPr>
        <w:t xml:space="preserve"> </w:t>
      </w:r>
      <w:r w:rsidRPr="00FF11DD">
        <w:rPr>
          <w:rFonts w:ascii="Times New Roman" w:hAnsi="Times New Roman" w:cs="Times New Roman"/>
          <w:sz w:val="24"/>
          <w:szCs w:val="24"/>
        </w:rPr>
        <w:t>“cushion the pandemic’s impact”</w:t>
      </w:r>
      <w:r>
        <w:rPr>
          <w:rStyle w:val="FootnoteReference"/>
          <w:rFonts w:ascii="Times New Roman" w:hAnsi="Times New Roman" w:cs="Times New Roman"/>
          <w:sz w:val="24"/>
          <w:szCs w:val="24"/>
        </w:rPr>
        <w:footnoteReference w:id="2"/>
      </w:r>
      <w:r w:rsidRPr="00FF11DD">
        <w:rPr>
          <w:rFonts w:ascii="Times New Roman" w:hAnsi="Times New Roman" w:cs="Times New Roman"/>
          <w:sz w:val="24"/>
          <w:szCs w:val="24"/>
        </w:rPr>
        <w:t xml:space="preserve"> or </w:t>
      </w:r>
      <w:r>
        <w:rPr>
          <w:rFonts w:ascii="Times New Roman" w:hAnsi="Times New Roman" w:cs="Times New Roman"/>
          <w:sz w:val="24"/>
          <w:szCs w:val="24"/>
        </w:rPr>
        <w:t>to allow</w:t>
      </w:r>
      <w:r w:rsidRPr="00FF11DD">
        <w:rPr>
          <w:rFonts w:ascii="Times New Roman" w:hAnsi="Times New Roman" w:cs="Times New Roman"/>
          <w:sz w:val="24"/>
          <w:szCs w:val="24"/>
        </w:rPr>
        <w:t xml:space="preserve"> </w:t>
      </w:r>
      <w:r w:rsidR="00F3219E">
        <w:rPr>
          <w:rFonts w:ascii="Times New Roman" w:hAnsi="Times New Roman" w:cs="Times New Roman"/>
          <w:sz w:val="24"/>
          <w:szCs w:val="24"/>
        </w:rPr>
        <w:t>utilities</w:t>
      </w:r>
      <w:r w:rsidRPr="00FF11DD">
        <w:rPr>
          <w:rFonts w:ascii="Times New Roman" w:hAnsi="Times New Roman" w:cs="Times New Roman"/>
          <w:sz w:val="24"/>
          <w:szCs w:val="24"/>
        </w:rPr>
        <w:t xml:space="preserve"> to “reap a windfall”</w:t>
      </w:r>
      <w:r w:rsidR="00DF2B42">
        <w:rPr>
          <w:rFonts w:ascii="Times New Roman" w:hAnsi="Times New Roman" w:cs="Times New Roman"/>
          <w:sz w:val="24"/>
          <w:szCs w:val="24"/>
        </w:rPr>
        <w:t xml:space="preserve"> at </w:t>
      </w:r>
      <w:r w:rsidR="00544BAD">
        <w:rPr>
          <w:rFonts w:ascii="Times New Roman" w:hAnsi="Times New Roman" w:cs="Times New Roman"/>
          <w:sz w:val="24"/>
          <w:szCs w:val="24"/>
        </w:rPr>
        <w:t>consumers</w:t>
      </w:r>
      <w:r w:rsidR="00DF2B42">
        <w:rPr>
          <w:rFonts w:ascii="Times New Roman" w:hAnsi="Times New Roman" w:cs="Times New Roman"/>
          <w:sz w:val="24"/>
          <w:szCs w:val="24"/>
        </w:rPr>
        <w:t xml:space="preserve">’ expense </w:t>
      </w:r>
      <w:r w:rsidRPr="00FF11DD">
        <w:rPr>
          <w:rFonts w:ascii="Times New Roman" w:hAnsi="Times New Roman" w:cs="Times New Roman"/>
          <w:sz w:val="24"/>
          <w:szCs w:val="24"/>
        </w:rPr>
        <w:t>(as a former President of the National Association of Regulatory Utility Commissioners recently warned).</w:t>
      </w:r>
      <w:r>
        <w:rPr>
          <w:rStyle w:val="FootnoteReference"/>
          <w:rFonts w:ascii="Times New Roman" w:hAnsi="Times New Roman" w:cs="Times New Roman"/>
          <w:sz w:val="24"/>
          <w:szCs w:val="24"/>
        </w:rPr>
        <w:footnoteReference w:id="3"/>
      </w:r>
      <w:r w:rsidR="00123496">
        <w:rPr>
          <w:rFonts w:ascii="Times New Roman" w:hAnsi="Times New Roman" w:cs="Times New Roman"/>
          <w:sz w:val="24"/>
          <w:szCs w:val="24"/>
        </w:rPr>
        <w:t xml:space="preserve"> </w:t>
      </w:r>
    </w:p>
    <w:p w:rsidR="000C11F0" w:rsidP="000C11F0" w14:paraId="55BC89B8" w14:textId="1EFD45B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Columbia’s proposal</w:t>
      </w:r>
      <w:r w:rsidR="00CC7CC0">
        <w:rPr>
          <w:rFonts w:ascii="Times New Roman" w:hAnsi="Times New Roman" w:cs="Times New Roman"/>
          <w:sz w:val="24"/>
          <w:szCs w:val="24"/>
        </w:rPr>
        <w:t xml:space="preserve"> fails</w:t>
      </w:r>
      <w:r w:rsidR="00461DED">
        <w:rPr>
          <w:rFonts w:ascii="Times New Roman" w:hAnsi="Times New Roman" w:cs="Times New Roman"/>
          <w:sz w:val="24"/>
          <w:szCs w:val="24"/>
        </w:rPr>
        <w:t xml:space="preserve"> </w:t>
      </w:r>
      <w:r w:rsidR="00CC7CC0">
        <w:rPr>
          <w:rFonts w:ascii="Times New Roman" w:hAnsi="Times New Roman" w:cs="Times New Roman"/>
          <w:sz w:val="24"/>
          <w:szCs w:val="24"/>
        </w:rPr>
        <w:t>to</w:t>
      </w:r>
      <w:r w:rsidR="00A55C98">
        <w:rPr>
          <w:rFonts w:ascii="Times New Roman" w:hAnsi="Times New Roman" w:cs="Times New Roman"/>
          <w:sz w:val="24"/>
          <w:szCs w:val="24"/>
        </w:rPr>
        <w:t xml:space="preserve"> </w:t>
      </w:r>
      <w:r w:rsidR="00CC7CC0">
        <w:rPr>
          <w:rFonts w:ascii="Times New Roman" w:hAnsi="Times New Roman" w:cs="Times New Roman"/>
          <w:sz w:val="24"/>
          <w:szCs w:val="24"/>
        </w:rPr>
        <w:t xml:space="preserve">satisfy </w:t>
      </w:r>
      <w:r w:rsidR="004F6FFB">
        <w:rPr>
          <w:rFonts w:ascii="Times New Roman" w:hAnsi="Times New Roman" w:cs="Times New Roman"/>
          <w:sz w:val="24"/>
          <w:szCs w:val="24"/>
        </w:rPr>
        <w:t xml:space="preserve">the </w:t>
      </w:r>
      <w:r>
        <w:rPr>
          <w:rFonts w:ascii="Times New Roman" w:hAnsi="Times New Roman" w:cs="Times New Roman"/>
          <w:sz w:val="24"/>
          <w:szCs w:val="24"/>
        </w:rPr>
        <w:t xml:space="preserve">PUCO’s </w:t>
      </w:r>
      <w:r w:rsidR="004F6FFB">
        <w:rPr>
          <w:rFonts w:ascii="Times New Roman" w:hAnsi="Times New Roman" w:cs="Times New Roman"/>
          <w:sz w:val="24"/>
          <w:szCs w:val="24"/>
        </w:rPr>
        <w:t xml:space="preserve">deferral standards </w:t>
      </w:r>
      <w:r>
        <w:rPr>
          <w:rFonts w:ascii="Times New Roman" w:hAnsi="Times New Roman" w:cs="Times New Roman"/>
          <w:sz w:val="24"/>
          <w:szCs w:val="24"/>
        </w:rPr>
        <w:t xml:space="preserve">including </w:t>
      </w:r>
      <w:r w:rsidR="00461DED">
        <w:rPr>
          <w:rFonts w:ascii="Times New Roman" w:hAnsi="Times New Roman" w:cs="Times New Roman"/>
          <w:sz w:val="24"/>
          <w:szCs w:val="24"/>
        </w:rPr>
        <w:t>requirement</w:t>
      </w:r>
      <w:r w:rsidR="00CC7CC0">
        <w:rPr>
          <w:rFonts w:ascii="Times New Roman" w:hAnsi="Times New Roman" w:cs="Times New Roman"/>
          <w:sz w:val="24"/>
          <w:szCs w:val="24"/>
        </w:rPr>
        <w:t>s</w:t>
      </w:r>
      <w:r w:rsidR="00461DED">
        <w:rPr>
          <w:rFonts w:ascii="Times New Roman" w:hAnsi="Times New Roman" w:cs="Times New Roman"/>
          <w:sz w:val="24"/>
          <w:szCs w:val="24"/>
        </w:rPr>
        <w:t xml:space="preserve"> set forth in </w:t>
      </w:r>
      <w:r w:rsidR="004F6FFB">
        <w:rPr>
          <w:rFonts w:ascii="Times New Roman" w:hAnsi="Times New Roman" w:cs="Times New Roman"/>
          <w:sz w:val="24"/>
          <w:szCs w:val="24"/>
        </w:rPr>
        <w:t xml:space="preserve">the </w:t>
      </w:r>
      <w:r w:rsidRPr="00A37932" w:rsidR="00555C79">
        <w:rPr>
          <w:rFonts w:ascii="Times New Roman" w:hAnsi="Times New Roman" w:cs="Times New Roman"/>
          <w:sz w:val="24"/>
          <w:szCs w:val="24"/>
        </w:rPr>
        <w:t xml:space="preserve">PUCO’s </w:t>
      </w:r>
      <w:r w:rsidR="00152954">
        <w:rPr>
          <w:rFonts w:ascii="Times New Roman" w:hAnsi="Times New Roman" w:cs="Times New Roman"/>
          <w:sz w:val="24"/>
          <w:szCs w:val="24"/>
        </w:rPr>
        <w:t xml:space="preserve">May 20, 2020 Order in </w:t>
      </w:r>
      <w:r w:rsidRPr="00A37932" w:rsidR="00555C79">
        <w:rPr>
          <w:rFonts w:ascii="Times New Roman" w:hAnsi="Times New Roman" w:cs="Times New Roman"/>
          <w:sz w:val="24"/>
          <w:szCs w:val="24"/>
        </w:rPr>
        <w:t>Case No. 20-637-GA-UNC (“</w:t>
      </w:r>
      <w:r w:rsidR="00152954">
        <w:rPr>
          <w:rFonts w:ascii="Times New Roman" w:hAnsi="Times New Roman" w:cs="Times New Roman"/>
          <w:sz w:val="24"/>
          <w:szCs w:val="24"/>
        </w:rPr>
        <w:t>Emergency Plan Order</w:t>
      </w:r>
      <w:r w:rsidRPr="00A37932" w:rsidR="00555C79">
        <w:rPr>
          <w:rFonts w:ascii="Times New Roman" w:hAnsi="Times New Roman" w:cs="Times New Roman"/>
          <w:sz w:val="24"/>
          <w:szCs w:val="24"/>
        </w:rPr>
        <w:t>”)</w:t>
      </w:r>
      <w:r w:rsidR="00DF2B42">
        <w:rPr>
          <w:rFonts w:ascii="Times New Roman" w:hAnsi="Times New Roman" w:cs="Times New Roman"/>
          <w:sz w:val="24"/>
          <w:szCs w:val="24"/>
        </w:rPr>
        <w:t xml:space="preserve"> </w:t>
      </w:r>
      <w:r>
        <w:rPr>
          <w:rFonts w:ascii="Times New Roman" w:hAnsi="Times New Roman" w:cs="Times New Roman"/>
          <w:sz w:val="24"/>
          <w:szCs w:val="24"/>
        </w:rPr>
        <w:t>in which the PUCO</w:t>
      </w:r>
      <w:r w:rsidR="00461DED">
        <w:rPr>
          <w:rFonts w:ascii="Times New Roman" w:hAnsi="Times New Roman" w:cs="Times New Roman"/>
          <w:sz w:val="24"/>
          <w:szCs w:val="24"/>
        </w:rPr>
        <w:t xml:space="preserve"> approv</w:t>
      </w:r>
      <w:r w:rsidR="00DF2B42">
        <w:rPr>
          <w:rFonts w:ascii="Times New Roman" w:hAnsi="Times New Roman" w:cs="Times New Roman"/>
          <w:sz w:val="24"/>
          <w:szCs w:val="24"/>
        </w:rPr>
        <w:t>ed</w:t>
      </w:r>
      <w:r w:rsidR="00461DED">
        <w:rPr>
          <w:rFonts w:ascii="Times New Roman" w:hAnsi="Times New Roman" w:cs="Times New Roman"/>
          <w:sz w:val="24"/>
          <w:szCs w:val="24"/>
        </w:rPr>
        <w:t xml:space="preserve"> Columbia’s Emergency Plan</w:t>
      </w:r>
      <w:r w:rsidR="003E4624">
        <w:rPr>
          <w:rFonts w:ascii="Times New Roman" w:hAnsi="Times New Roman" w:cs="Times New Roman"/>
          <w:sz w:val="24"/>
          <w:szCs w:val="24"/>
        </w:rPr>
        <w:t>.</w:t>
      </w:r>
      <w:r w:rsidR="005B3DBE">
        <w:rPr>
          <w:rFonts w:ascii="Times New Roman" w:hAnsi="Times New Roman" w:cs="Times New Roman"/>
          <w:sz w:val="24"/>
          <w:szCs w:val="24"/>
        </w:rPr>
        <w:t xml:space="preserve"> Additionally, </w:t>
      </w:r>
      <w:r w:rsidR="00152954">
        <w:rPr>
          <w:rFonts w:ascii="Times New Roman" w:hAnsi="Times New Roman" w:cs="Times New Roman"/>
          <w:sz w:val="24"/>
          <w:szCs w:val="24"/>
        </w:rPr>
        <w:t>Columbia’</w:t>
      </w:r>
      <w:r w:rsidR="005B3DBE">
        <w:rPr>
          <w:rFonts w:ascii="Times New Roman" w:hAnsi="Times New Roman" w:cs="Times New Roman"/>
          <w:sz w:val="24"/>
          <w:szCs w:val="24"/>
        </w:rPr>
        <w:t xml:space="preserve">s request to defer </w:t>
      </w:r>
      <w:r w:rsidR="003820D0">
        <w:rPr>
          <w:rFonts w:ascii="Times New Roman" w:hAnsi="Times New Roman" w:cs="Times New Roman"/>
          <w:sz w:val="24"/>
          <w:szCs w:val="24"/>
        </w:rPr>
        <w:t>“</w:t>
      </w:r>
      <w:r w:rsidR="005B3DBE">
        <w:rPr>
          <w:rFonts w:ascii="Times New Roman" w:hAnsi="Times New Roman" w:cs="Times New Roman"/>
          <w:sz w:val="24"/>
          <w:szCs w:val="24"/>
        </w:rPr>
        <w:t>foregone revenue</w:t>
      </w:r>
      <w:r w:rsidR="003820D0">
        <w:rPr>
          <w:rFonts w:ascii="Times New Roman" w:hAnsi="Times New Roman" w:cs="Times New Roman"/>
          <w:sz w:val="24"/>
          <w:szCs w:val="24"/>
        </w:rPr>
        <w:t>” should be denied</w:t>
      </w:r>
      <w:r w:rsidR="00FF11DD">
        <w:rPr>
          <w:rFonts w:ascii="Times New Roman" w:hAnsi="Times New Roman" w:cs="Times New Roman"/>
          <w:sz w:val="24"/>
          <w:szCs w:val="24"/>
        </w:rPr>
        <w:t xml:space="preserve"> because c</w:t>
      </w:r>
      <w:r w:rsidR="007C5EED">
        <w:rPr>
          <w:rFonts w:ascii="Times New Roman" w:hAnsi="Times New Roman" w:cs="Times New Roman"/>
          <w:sz w:val="24"/>
          <w:szCs w:val="24"/>
        </w:rPr>
        <w:t>onsumers</w:t>
      </w:r>
      <w:r w:rsidR="00FF11DD">
        <w:rPr>
          <w:rFonts w:ascii="Times New Roman" w:hAnsi="Times New Roman" w:cs="Times New Roman"/>
          <w:sz w:val="24"/>
          <w:szCs w:val="24"/>
        </w:rPr>
        <w:t xml:space="preserve"> should not become guarantors of revenues and earnings for utilities</w:t>
      </w:r>
      <w:r w:rsidR="003820D0">
        <w:rPr>
          <w:rFonts w:ascii="Times New Roman" w:hAnsi="Times New Roman" w:cs="Times New Roman"/>
          <w:sz w:val="24"/>
          <w:szCs w:val="24"/>
        </w:rPr>
        <w:t>.</w:t>
      </w:r>
      <w:r w:rsidR="00123496">
        <w:rPr>
          <w:rFonts w:ascii="Times New Roman" w:hAnsi="Times New Roman" w:cs="Times New Roman"/>
          <w:sz w:val="24"/>
          <w:szCs w:val="24"/>
        </w:rPr>
        <w:t xml:space="preserve"> </w:t>
      </w:r>
    </w:p>
    <w:p w:rsidR="003E4624" w:rsidP="00013B0C" w14:paraId="7D4FD6C7" w14:textId="721AB3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PUCO allows for the deferrals (</w:t>
      </w:r>
      <w:r w:rsidR="000C11F0">
        <w:rPr>
          <w:rFonts w:ascii="Times New Roman" w:hAnsi="Times New Roman" w:cs="Times New Roman"/>
          <w:sz w:val="24"/>
          <w:szCs w:val="24"/>
        </w:rPr>
        <w:t>and it</w:t>
      </w:r>
      <w:r>
        <w:rPr>
          <w:rFonts w:ascii="Times New Roman" w:hAnsi="Times New Roman" w:cs="Times New Roman"/>
          <w:sz w:val="24"/>
          <w:szCs w:val="24"/>
        </w:rPr>
        <w:t xml:space="preserve"> should not)</w:t>
      </w:r>
      <w:r w:rsidR="000C11F0">
        <w:rPr>
          <w:rFonts w:ascii="Times New Roman" w:hAnsi="Times New Roman" w:cs="Times New Roman"/>
          <w:sz w:val="24"/>
          <w:szCs w:val="24"/>
        </w:rPr>
        <w:t>, then</w:t>
      </w:r>
      <w:r>
        <w:rPr>
          <w:rFonts w:ascii="Times New Roman" w:hAnsi="Times New Roman" w:cs="Times New Roman"/>
          <w:sz w:val="24"/>
          <w:szCs w:val="24"/>
        </w:rPr>
        <w:t xml:space="preserve"> it should implement protections for c</w:t>
      </w:r>
      <w:r w:rsidR="007C5EED">
        <w:rPr>
          <w:rFonts w:ascii="Times New Roman" w:hAnsi="Times New Roman" w:cs="Times New Roman"/>
          <w:sz w:val="24"/>
          <w:szCs w:val="24"/>
        </w:rPr>
        <w:t>onsumers</w:t>
      </w:r>
      <w:r>
        <w:rPr>
          <w:rFonts w:ascii="Times New Roman" w:hAnsi="Times New Roman" w:cs="Times New Roman"/>
          <w:sz w:val="24"/>
          <w:szCs w:val="24"/>
        </w:rPr>
        <w:t xml:space="preserve"> including requiring the foregone revenues to be offset with revenue increases experienced during the emergency. And before approving the deferrals for collection from c</w:t>
      </w:r>
      <w:r w:rsidR="007C5EED">
        <w:rPr>
          <w:rFonts w:ascii="Times New Roman" w:hAnsi="Times New Roman" w:cs="Times New Roman"/>
          <w:sz w:val="24"/>
          <w:szCs w:val="24"/>
        </w:rPr>
        <w:t>onsumers</w:t>
      </w:r>
      <w:r>
        <w:rPr>
          <w:rFonts w:ascii="Times New Roman" w:hAnsi="Times New Roman" w:cs="Times New Roman"/>
          <w:sz w:val="24"/>
          <w:szCs w:val="24"/>
        </w:rPr>
        <w:t>, the PUCO should examine Columbia’s earnings during the period to assess whether charging c</w:t>
      </w:r>
      <w:r w:rsidR="00013B0C">
        <w:rPr>
          <w:rFonts w:ascii="Times New Roman" w:hAnsi="Times New Roman" w:cs="Times New Roman"/>
          <w:sz w:val="24"/>
          <w:szCs w:val="24"/>
        </w:rPr>
        <w:t>onsumers</w:t>
      </w:r>
      <w:r>
        <w:rPr>
          <w:rFonts w:ascii="Times New Roman" w:hAnsi="Times New Roman" w:cs="Times New Roman"/>
          <w:sz w:val="24"/>
          <w:szCs w:val="24"/>
        </w:rPr>
        <w:t xml:space="preserve"> for foregone revenue recovery is just and reasonable. </w:t>
      </w:r>
      <w:r w:rsidRPr="00A37932" w:rsidR="000C11F0">
        <w:rPr>
          <w:rFonts w:ascii="Times New Roman" w:hAnsi="Times New Roman" w:cs="Times New Roman"/>
          <w:sz w:val="24"/>
          <w:szCs w:val="24"/>
        </w:rPr>
        <w:t xml:space="preserve">The </w:t>
      </w:r>
      <w:r w:rsidR="000C11F0">
        <w:rPr>
          <w:rFonts w:ascii="Times New Roman" w:hAnsi="Times New Roman" w:cs="Times New Roman"/>
          <w:sz w:val="24"/>
          <w:szCs w:val="24"/>
        </w:rPr>
        <w:t xml:space="preserve">Office of the </w:t>
      </w:r>
      <w:r w:rsidRPr="00A37932" w:rsidR="000C11F0">
        <w:rPr>
          <w:rFonts w:ascii="Times New Roman" w:hAnsi="Times New Roman" w:cs="Times New Roman"/>
          <w:sz w:val="24"/>
          <w:szCs w:val="24"/>
        </w:rPr>
        <w:t>Ohio Consumers’ Counsel (“OCC”), the state advocate</w:t>
      </w:r>
      <w:r w:rsidR="000C11F0">
        <w:rPr>
          <w:rFonts w:ascii="Times New Roman" w:hAnsi="Times New Roman" w:cs="Times New Roman"/>
          <w:sz w:val="24"/>
          <w:szCs w:val="24"/>
        </w:rPr>
        <w:t xml:space="preserve"> for</w:t>
      </w:r>
      <w:r w:rsidRPr="00A37932" w:rsidR="000C11F0">
        <w:rPr>
          <w:rFonts w:ascii="Times New Roman" w:hAnsi="Times New Roman" w:cs="Times New Roman"/>
          <w:sz w:val="24"/>
          <w:szCs w:val="24"/>
        </w:rPr>
        <w:t xml:space="preserve"> </w:t>
      </w:r>
      <w:r w:rsidR="000C11F0">
        <w:rPr>
          <w:rFonts w:ascii="Times New Roman" w:hAnsi="Times New Roman" w:cs="Times New Roman"/>
          <w:sz w:val="24"/>
          <w:szCs w:val="24"/>
        </w:rPr>
        <w:t>the</w:t>
      </w:r>
      <w:r w:rsidRPr="00A37932" w:rsidR="000C11F0">
        <w:rPr>
          <w:rFonts w:ascii="Times New Roman" w:hAnsi="Times New Roman" w:cs="Times New Roman"/>
          <w:sz w:val="24"/>
          <w:szCs w:val="24"/>
        </w:rPr>
        <w:t xml:space="preserve"> </w:t>
      </w:r>
      <w:r w:rsidR="000C11F0">
        <w:rPr>
          <w:rFonts w:ascii="Times New Roman" w:hAnsi="Times New Roman" w:cs="Times New Roman"/>
          <w:sz w:val="24"/>
          <w:szCs w:val="24"/>
        </w:rPr>
        <w:t>consumers of Columbia Gas</w:t>
      </w:r>
      <w:r w:rsidRPr="00A37932" w:rsidR="000C11F0">
        <w:rPr>
          <w:rFonts w:ascii="Times New Roman" w:hAnsi="Times New Roman" w:cs="Times New Roman"/>
          <w:sz w:val="24"/>
          <w:szCs w:val="24"/>
        </w:rPr>
        <w:t xml:space="preserve">, </w:t>
      </w:r>
      <w:r w:rsidR="000C11F0">
        <w:rPr>
          <w:rFonts w:ascii="Times New Roman" w:hAnsi="Times New Roman" w:cs="Times New Roman"/>
          <w:sz w:val="24"/>
          <w:szCs w:val="24"/>
        </w:rPr>
        <w:t>comment</w:t>
      </w:r>
      <w:r w:rsidR="00721B32">
        <w:rPr>
          <w:rFonts w:ascii="Times New Roman" w:hAnsi="Times New Roman" w:cs="Times New Roman"/>
          <w:sz w:val="24"/>
          <w:szCs w:val="24"/>
        </w:rPr>
        <w:t>s</w:t>
      </w:r>
      <w:r w:rsidR="000C11F0">
        <w:rPr>
          <w:rFonts w:ascii="Times New Roman" w:hAnsi="Times New Roman" w:cs="Times New Roman"/>
          <w:sz w:val="24"/>
          <w:szCs w:val="24"/>
        </w:rPr>
        <w:t xml:space="preserve"> as follows.</w:t>
      </w:r>
    </w:p>
    <w:p w:rsidR="00123496" w:rsidRPr="00A37932" w:rsidP="00123496" w14:paraId="0558887D" w14:textId="77777777">
      <w:pPr>
        <w:autoSpaceDE w:val="0"/>
        <w:autoSpaceDN w:val="0"/>
        <w:adjustRightInd w:val="0"/>
        <w:spacing w:after="0" w:line="240" w:lineRule="auto"/>
        <w:ind w:firstLine="720"/>
        <w:rPr>
          <w:rFonts w:ascii="Times New Roman" w:hAnsi="Times New Roman" w:cs="Times New Roman"/>
          <w:sz w:val="24"/>
          <w:szCs w:val="24"/>
        </w:rPr>
      </w:pPr>
    </w:p>
    <w:p w:rsidR="00BA0C2C" w:rsidRPr="003E4624" w:rsidP="003E4624" w14:paraId="636D3197" w14:textId="77777777">
      <w:pPr>
        <w:pStyle w:val="ListParagraph"/>
        <w:numPr>
          <w:ilvl w:val="0"/>
          <w:numId w:val="1"/>
        </w:numPr>
        <w:autoSpaceDE w:val="0"/>
        <w:autoSpaceDN w:val="0"/>
        <w:adjustRightInd w:val="0"/>
        <w:spacing w:after="0" w:line="480" w:lineRule="auto"/>
        <w:ind w:left="720"/>
        <w:jc w:val="both"/>
        <w:rPr>
          <w:rFonts w:ascii="Times New Roman" w:hAnsi="Times New Roman" w:cs="Times New Roman"/>
          <w:b/>
          <w:bCs/>
          <w:sz w:val="24"/>
          <w:szCs w:val="24"/>
        </w:rPr>
      </w:pPr>
      <w:r w:rsidRPr="003E4624">
        <w:rPr>
          <w:rFonts w:ascii="Times New Roman" w:hAnsi="Times New Roman" w:cs="Times New Roman"/>
          <w:b/>
          <w:bCs/>
          <w:sz w:val="24"/>
          <w:szCs w:val="24"/>
        </w:rPr>
        <w:t>HISTORY</w:t>
      </w:r>
    </w:p>
    <w:p w:rsidR="00BA0C2C" w:rsidRPr="00A37932" w:rsidP="003E4624" w14:paraId="6F1466CA" w14:textId="6AA9A71B">
      <w:pPr>
        <w:autoSpaceDE w:val="0"/>
        <w:autoSpaceDN w:val="0"/>
        <w:adjustRightInd w:val="0"/>
        <w:spacing w:after="0" w:line="480" w:lineRule="auto"/>
        <w:ind w:firstLine="720"/>
        <w:rPr>
          <w:rFonts w:ascii="Times New Roman" w:hAnsi="Times New Roman" w:cs="Times New Roman"/>
          <w:sz w:val="24"/>
          <w:szCs w:val="24"/>
        </w:rPr>
      </w:pPr>
      <w:r w:rsidRPr="00A37932">
        <w:rPr>
          <w:rFonts w:ascii="Times New Roman" w:hAnsi="Times New Roman" w:cs="Times New Roman"/>
          <w:sz w:val="24"/>
          <w:szCs w:val="24"/>
        </w:rPr>
        <w:t>On March 9, 2020, Governor DeWine declared a state of emergency to protect the health and safety of Ohioans from the dangerous effect of the coronavirus pandemic.</w:t>
      </w:r>
      <w:r>
        <w:rPr>
          <w:rStyle w:val="FootnoteReference"/>
          <w:rFonts w:ascii="Times New Roman" w:hAnsi="Times New Roman" w:cs="Times New Roman"/>
          <w:sz w:val="24"/>
          <w:szCs w:val="24"/>
        </w:rPr>
        <w:footnoteReference w:id="4"/>
      </w:r>
      <w:r w:rsidRPr="00A37932">
        <w:rPr>
          <w:rFonts w:ascii="Times New Roman" w:hAnsi="Times New Roman" w:cs="Times New Roman"/>
          <w:sz w:val="24"/>
          <w:szCs w:val="24"/>
        </w:rPr>
        <w:t xml:space="preserve"> As part of the state-declared emergency, the Governor directed state agencies to develop and implement procedures, including suspending or adopting temporary rules, to prevent or alleviate the public health threat caused by the coronavirus.</w:t>
      </w:r>
      <w:r>
        <w:rPr>
          <w:rStyle w:val="FootnoteReference"/>
          <w:rFonts w:ascii="Times New Roman" w:hAnsi="Times New Roman" w:cs="Times New Roman"/>
          <w:sz w:val="24"/>
          <w:szCs w:val="24"/>
        </w:rPr>
        <w:footnoteReference w:id="5"/>
      </w:r>
    </w:p>
    <w:p w:rsidR="00BA0C2C" w:rsidRPr="00A37932" w:rsidP="00D12D64" w14:paraId="7CB833AA" w14:textId="097CB285">
      <w:pPr>
        <w:autoSpaceDE w:val="0"/>
        <w:autoSpaceDN w:val="0"/>
        <w:adjustRightInd w:val="0"/>
        <w:spacing w:after="0" w:line="480" w:lineRule="auto"/>
        <w:ind w:firstLine="720"/>
        <w:rPr>
          <w:rFonts w:ascii="Times New Roman" w:hAnsi="Times New Roman" w:cs="Times New Roman"/>
          <w:sz w:val="24"/>
          <w:szCs w:val="24"/>
        </w:rPr>
      </w:pPr>
      <w:r w:rsidRPr="00A37932">
        <w:rPr>
          <w:rFonts w:ascii="Times New Roman" w:hAnsi="Times New Roman" w:cs="Times New Roman"/>
          <w:sz w:val="24"/>
          <w:szCs w:val="24"/>
        </w:rPr>
        <w:t xml:space="preserve">On March 12, 2020, the PUCO opened Case No. 20-591-AU-UNC. In that case, the PUCO directed </w:t>
      </w:r>
      <w:r w:rsidR="00BB71AE">
        <w:rPr>
          <w:rFonts w:ascii="Times New Roman" w:hAnsi="Times New Roman" w:cs="Times New Roman"/>
          <w:sz w:val="24"/>
          <w:szCs w:val="24"/>
        </w:rPr>
        <w:t>p</w:t>
      </w:r>
      <w:r w:rsidRPr="00A37932">
        <w:rPr>
          <w:rFonts w:ascii="Times New Roman" w:hAnsi="Times New Roman" w:cs="Times New Roman"/>
          <w:sz w:val="24"/>
          <w:szCs w:val="24"/>
        </w:rPr>
        <w:t xml:space="preserve">ublic </w:t>
      </w:r>
      <w:r w:rsidR="00BB71AE">
        <w:rPr>
          <w:rFonts w:ascii="Times New Roman" w:hAnsi="Times New Roman" w:cs="Times New Roman"/>
          <w:sz w:val="24"/>
          <w:szCs w:val="24"/>
        </w:rPr>
        <w:t>u</w:t>
      </w:r>
      <w:r w:rsidRPr="00A37932">
        <w:rPr>
          <w:rFonts w:ascii="Times New Roman" w:hAnsi="Times New Roman" w:cs="Times New Roman"/>
          <w:sz w:val="24"/>
          <w:szCs w:val="24"/>
        </w:rPr>
        <w:t xml:space="preserve">tilities to review their service disconnection policies, practices, and tariffs to promptly seek approval to suspend requirements that may “impose a service continuity </w:t>
      </w:r>
      <w:r w:rsidRPr="00A37932">
        <w:rPr>
          <w:rFonts w:ascii="Times New Roman" w:hAnsi="Times New Roman" w:cs="Times New Roman"/>
          <w:sz w:val="24"/>
          <w:szCs w:val="24"/>
        </w:rPr>
        <w:t>hardship on residential and non-residential customers” or “create unnecessary COVID-19 risks associated with social contact.”</w:t>
      </w:r>
      <w:r>
        <w:rPr>
          <w:rStyle w:val="FootnoteReference"/>
          <w:rFonts w:ascii="Times New Roman" w:hAnsi="Times New Roman" w:cs="Times New Roman"/>
          <w:sz w:val="24"/>
          <w:szCs w:val="24"/>
        </w:rPr>
        <w:footnoteReference w:id="6"/>
      </w:r>
      <w:r w:rsidRPr="00A37932">
        <w:rPr>
          <w:rFonts w:ascii="Times New Roman" w:hAnsi="Times New Roman" w:cs="Times New Roman"/>
          <w:sz w:val="24"/>
          <w:szCs w:val="24"/>
        </w:rPr>
        <w:t xml:space="preserve"> The PUCO also extended the winter reconnection order through May 1, 2020 and ordered </w:t>
      </w:r>
      <w:r w:rsidR="00BB71AE">
        <w:rPr>
          <w:rFonts w:ascii="Times New Roman" w:hAnsi="Times New Roman" w:cs="Times New Roman"/>
          <w:sz w:val="24"/>
          <w:szCs w:val="24"/>
        </w:rPr>
        <w:t>p</w:t>
      </w:r>
      <w:r w:rsidRPr="00A37932">
        <w:rPr>
          <w:rFonts w:ascii="Times New Roman" w:hAnsi="Times New Roman" w:cs="Times New Roman"/>
          <w:sz w:val="24"/>
          <w:szCs w:val="24"/>
        </w:rPr>
        <w:t xml:space="preserve">ublic </w:t>
      </w:r>
      <w:r w:rsidR="00BB71AE">
        <w:rPr>
          <w:rFonts w:ascii="Times New Roman" w:hAnsi="Times New Roman" w:cs="Times New Roman"/>
          <w:sz w:val="24"/>
          <w:szCs w:val="24"/>
        </w:rPr>
        <w:t>u</w:t>
      </w:r>
      <w:r w:rsidRPr="00A37932">
        <w:rPr>
          <w:rFonts w:ascii="Times New Roman" w:hAnsi="Times New Roman" w:cs="Times New Roman"/>
          <w:sz w:val="24"/>
          <w:szCs w:val="24"/>
        </w:rPr>
        <w:t xml:space="preserve">tilities to “ensure that utility service to </w:t>
      </w:r>
      <w:r w:rsidR="00544BAD">
        <w:rPr>
          <w:rFonts w:ascii="Times New Roman" w:hAnsi="Times New Roman" w:cs="Times New Roman"/>
          <w:sz w:val="24"/>
          <w:szCs w:val="24"/>
        </w:rPr>
        <w:t>consumers</w:t>
      </w:r>
      <w:r w:rsidRPr="00A37932">
        <w:rPr>
          <w:rFonts w:ascii="Times New Roman" w:hAnsi="Times New Roman" w:cs="Times New Roman"/>
          <w:sz w:val="24"/>
          <w:szCs w:val="24"/>
        </w:rPr>
        <w:t xml:space="preserve"> is maintained during the state of emergency.”</w:t>
      </w:r>
      <w:r>
        <w:rPr>
          <w:rStyle w:val="FootnoteReference"/>
          <w:rFonts w:ascii="Times New Roman" w:hAnsi="Times New Roman" w:cs="Times New Roman"/>
          <w:sz w:val="24"/>
          <w:szCs w:val="24"/>
        </w:rPr>
        <w:footnoteReference w:id="7"/>
      </w:r>
    </w:p>
    <w:p w:rsidR="00BA0C2C" w:rsidRPr="00A37932" w:rsidP="00D12D64" w14:paraId="36D31DAB" w14:textId="0FD94786">
      <w:pPr>
        <w:autoSpaceDE w:val="0"/>
        <w:autoSpaceDN w:val="0"/>
        <w:adjustRightInd w:val="0"/>
        <w:spacing w:after="0" w:line="480" w:lineRule="auto"/>
        <w:ind w:firstLine="720"/>
        <w:rPr>
          <w:rFonts w:ascii="Times New Roman" w:hAnsi="Times New Roman" w:cs="Times New Roman"/>
          <w:sz w:val="24"/>
          <w:szCs w:val="24"/>
        </w:rPr>
      </w:pPr>
      <w:r w:rsidRPr="00A37932">
        <w:rPr>
          <w:rFonts w:ascii="Times New Roman" w:hAnsi="Times New Roman" w:cs="Times New Roman"/>
          <w:sz w:val="24"/>
          <w:szCs w:val="24"/>
        </w:rPr>
        <w:t xml:space="preserve">On March 18, 2020, Columbia filed its </w:t>
      </w:r>
      <w:r w:rsidR="00BB71AE">
        <w:rPr>
          <w:rFonts w:ascii="Times New Roman" w:hAnsi="Times New Roman" w:cs="Times New Roman"/>
          <w:sz w:val="24"/>
          <w:szCs w:val="24"/>
        </w:rPr>
        <w:t xml:space="preserve">coronavirus emergency plan </w:t>
      </w:r>
      <w:r w:rsidRPr="00A37932">
        <w:rPr>
          <w:rFonts w:ascii="Times New Roman" w:hAnsi="Times New Roman" w:cs="Times New Roman"/>
          <w:sz w:val="24"/>
          <w:szCs w:val="24"/>
        </w:rPr>
        <w:t>by filing its Motion to Suspend in Case No. 20-0637-GA-UNC (“</w:t>
      </w:r>
      <w:r w:rsidR="00F7735B">
        <w:rPr>
          <w:rFonts w:ascii="Times New Roman" w:hAnsi="Times New Roman" w:cs="Times New Roman"/>
          <w:sz w:val="24"/>
          <w:szCs w:val="24"/>
        </w:rPr>
        <w:t xml:space="preserve">Emergency </w:t>
      </w:r>
      <w:r w:rsidRPr="00A37932">
        <w:rPr>
          <w:rFonts w:ascii="Times New Roman" w:hAnsi="Times New Roman" w:cs="Times New Roman"/>
          <w:sz w:val="24"/>
          <w:szCs w:val="24"/>
        </w:rPr>
        <w:t xml:space="preserve">Plan”). Columbia’s </w:t>
      </w:r>
      <w:r w:rsidR="00BB71AE">
        <w:rPr>
          <w:rFonts w:ascii="Times New Roman" w:hAnsi="Times New Roman" w:cs="Times New Roman"/>
          <w:sz w:val="24"/>
          <w:szCs w:val="24"/>
        </w:rPr>
        <w:t xml:space="preserve">Emergency </w:t>
      </w:r>
      <w:r w:rsidRPr="00A37932">
        <w:rPr>
          <w:rFonts w:ascii="Times New Roman" w:hAnsi="Times New Roman" w:cs="Times New Roman"/>
          <w:sz w:val="24"/>
          <w:szCs w:val="24"/>
        </w:rPr>
        <w:t>Plan sought the suspension of the following regulations during this emergency:</w:t>
      </w:r>
    </w:p>
    <w:p w:rsidR="00917F99" w:rsidRPr="00A37932" w:rsidP="00A37932" w14:paraId="202D9A1C" w14:textId="77777777">
      <w:pPr>
        <w:kinsoku w:val="0"/>
        <w:overflowPunct w:val="0"/>
        <w:autoSpaceDE w:val="0"/>
        <w:autoSpaceDN w:val="0"/>
        <w:adjustRightInd w:val="0"/>
        <w:spacing w:after="0" w:line="240" w:lineRule="auto"/>
        <w:ind w:left="39"/>
        <w:rPr>
          <w:rFonts w:ascii="Times New Roman" w:hAnsi="Times New Roman" w:cs="Times New Roman"/>
          <w:b/>
          <w:bCs/>
          <w:sz w:val="24"/>
          <w:szCs w:val="24"/>
        </w:rPr>
      </w:pPr>
      <w:r w:rsidRPr="00A37932">
        <w:rPr>
          <w:rFonts w:ascii="Times New Roman" w:hAnsi="Times New Roman" w:cs="Times New Roman"/>
          <w:b/>
          <w:bCs/>
          <w:sz w:val="24"/>
          <w:szCs w:val="24"/>
        </w:rPr>
        <w:t>Enumerated Rules for Suspension</w:t>
      </w:r>
    </w:p>
    <w:p w:rsidR="00917F99" w:rsidRPr="00A37932" w:rsidP="00A37932" w14:paraId="107DDDF2" w14:textId="77777777">
      <w:pPr>
        <w:kinsoku w:val="0"/>
        <w:overflowPunct w:val="0"/>
        <w:autoSpaceDE w:val="0"/>
        <w:autoSpaceDN w:val="0"/>
        <w:adjustRightInd w:val="0"/>
        <w:spacing w:after="0" w:line="240" w:lineRule="auto"/>
        <w:rPr>
          <w:rFonts w:ascii="Times New Roman" w:hAnsi="Times New Roman" w:cs="Times New Roman"/>
          <w:b/>
          <w:bCs/>
          <w:sz w:val="24"/>
          <w:szCs w:val="24"/>
        </w:rPr>
      </w:pPr>
    </w:p>
    <w:tbl>
      <w:tblPr>
        <w:tblW w:w="0" w:type="auto"/>
        <w:tblInd w:w="105" w:type="dxa"/>
        <w:tblLayout w:type="fixed"/>
        <w:tblCellMar>
          <w:left w:w="0" w:type="dxa"/>
          <w:right w:w="0" w:type="dxa"/>
        </w:tblCellMar>
        <w:tblLook w:val="0000"/>
      </w:tblPr>
      <w:tblGrid>
        <w:gridCol w:w="1975"/>
        <w:gridCol w:w="4320"/>
        <w:gridCol w:w="2335"/>
      </w:tblGrid>
      <w:tr w14:paraId="3D5BD238" w14:textId="77777777">
        <w:tblPrEx>
          <w:tblW w:w="0" w:type="auto"/>
          <w:tblInd w:w="105" w:type="dxa"/>
          <w:tblLayout w:type="fixed"/>
          <w:tblCellMar>
            <w:left w:w="0" w:type="dxa"/>
            <w:right w:w="0" w:type="dxa"/>
          </w:tblCellMar>
          <w:tblLook w:val="0000"/>
        </w:tblPrEx>
        <w:trPr>
          <w:trHeight w:hRule="exact" w:val="650"/>
        </w:trPr>
        <w:tc>
          <w:tcPr>
            <w:tcW w:w="1975" w:type="dxa"/>
            <w:tcBorders>
              <w:top w:val="single" w:sz="4" w:space="0" w:color="000000"/>
              <w:left w:val="single" w:sz="4" w:space="0" w:color="000000"/>
              <w:bottom w:val="single" w:sz="4" w:space="0" w:color="000000"/>
              <w:right w:val="single" w:sz="4" w:space="0" w:color="000000"/>
            </w:tcBorders>
          </w:tcPr>
          <w:p w:rsidR="00917F99" w:rsidRPr="00A37932" w:rsidP="00A37932" w14:paraId="47B8421D"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b/>
                <w:bCs/>
                <w:sz w:val="24"/>
                <w:szCs w:val="24"/>
              </w:rPr>
              <w:t>Rule</w:t>
            </w:r>
          </w:p>
        </w:tc>
        <w:tc>
          <w:tcPr>
            <w:tcW w:w="4320" w:type="dxa"/>
            <w:tcBorders>
              <w:top w:val="single" w:sz="4" w:space="0" w:color="000000"/>
              <w:left w:val="single" w:sz="4" w:space="0" w:color="000000"/>
              <w:bottom w:val="single" w:sz="4" w:space="0" w:color="000000"/>
              <w:right w:val="single" w:sz="4" w:space="0" w:color="000000"/>
            </w:tcBorders>
          </w:tcPr>
          <w:p w:rsidR="00917F99" w:rsidRPr="00A37932" w:rsidP="00A37932" w14:paraId="02CD2B08"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b/>
                <w:bCs/>
                <w:sz w:val="24"/>
                <w:szCs w:val="24"/>
              </w:rPr>
              <w:t>Rule Name</w:t>
            </w:r>
          </w:p>
        </w:tc>
        <w:tc>
          <w:tcPr>
            <w:tcW w:w="2335" w:type="dxa"/>
            <w:tcBorders>
              <w:top w:val="single" w:sz="4" w:space="0" w:color="000000"/>
              <w:left w:val="single" w:sz="4" w:space="0" w:color="000000"/>
              <w:bottom w:val="single" w:sz="4" w:space="0" w:color="000000"/>
              <w:right w:val="single" w:sz="3" w:space="0" w:color="000000"/>
            </w:tcBorders>
          </w:tcPr>
          <w:p w:rsidR="00917F99" w:rsidRPr="00A37932" w:rsidP="00A37932" w14:paraId="13F872E1" w14:textId="77777777">
            <w:pPr>
              <w:kinsoku w:val="0"/>
              <w:overflowPunct w:val="0"/>
              <w:autoSpaceDE w:val="0"/>
              <w:autoSpaceDN w:val="0"/>
              <w:adjustRightInd w:val="0"/>
              <w:spacing w:after="0" w:line="320" w:lineRule="exact"/>
              <w:ind w:left="103" w:right="143"/>
              <w:rPr>
                <w:rFonts w:ascii="Times New Roman" w:hAnsi="Times New Roman" w:cs="Times New Roman"/>
                <w:sz w:val="24"/>
                <w:szCs w:val="24"/>
              </w:rPr>
            </w:pPr>
            <w:r w:rsidRPr="00A37932">
              <w:rPr>
                <w:rFonts w:ascii="Times New Roman" w:hAnsi="Times New Roman" w:cs="Times New Roman"/>
                <w:b/>
                <w:bCs/>
                <w:sz w:val="24"/>
                <w:szCs w:val="24"/>
              </w:rPr>
              <w:t>Service Continuity or Social Contact</w:t>
            </w:r>
          </w:p>
        </w:tc>
      </w:tr>
      <w:tr w14:paraId="00D90918" w14:textId="77777777">
        <w:tblPrEx>
          <w:tblW w:w="0" w:type="auto"/>
          <w:tblInd w:w="105" w:type="dxa"/>
          <w:tblLayout w:type="fixed"/>
          <w:tblCellMar>
            <w:left w:w="0" w:type="dxa"/>
            <w:right w:w="0" w:type="dxa"/>
          </w:tblCellMar>
          <w:tblLook w:val="0000"/>
        </w:tblPrEx>
        <w:trPr>
          <w:trHeight w:hRule="exact" w:val="331"/>
        </w:trPr>
        <w:tc>
          <w:tcPr>
            <w:tcW w:w="1975" w:type="dxa"/>
            <w:tcBorders>
              <w:top w:val="single" w:sz="4" w:space="0" w:color="000000"/>
              <w:left w:val="single" w:sz="4" w:space="0" w:color="000000"/>
              <w:bottom w:val="single" w:sz="4" w:space="0" w:color="000000"/>
              <w:right w:val="single" w:sz="4" w:space="0" w:color="000000"/>
            </w:tcBorders>
          </w:tcPr>
          <w:p w:rsidR="00917F99" w:rsidRPr="00A37932" w:rsidP="00A37932" w14:paraId="069C8CD5"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4901:1-13-04(D)</w:t>
            </w:r>
          </w:p>
        </w:tc>
        <w:tc>
          <w:tcPr>
            <w:tcW w:w="4320" w:type="dxa"/>
            <w:tcBorders>
              <w:top w:val="single" w:sz="4" w:space="0" w:color="000000"/>
              <w:left w:val="single" w:sz="4" w:space="0" w:color="000000"/>
              <w:bottom w:val="single" w:sz="4" w:space="0" w:color="000000"/>
              <w:right w:val="single" w:sz="4" w:space="0" w:color="000000"/>
            </w:tcBorders>
          </w:tcPr>
          <w:p w:rsidR="00917F99" w:rsidRPr="00A37932" w:rsidP="00A37932" w14:paraId="3ED37CBA"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Meter Test at Customer’s Request</w:t>
            </w:r>
          </w:p>
        </w:tc>
        <w:tc>
          <w:tcPr>
            <w:tcW w:w="2335" w:type="dxa"/>
            <w:tcBorders>
              <w:top w:val="single" w:sz="4" w:space="0" w:color="000000"/>
              <w:left w:val="single" w:sz="4" w:space="0" w:color="000000"/>
              <w:bottom w:val="single" w:sz="4" w:space="0" w:color="000000"/>
              <w:right w:val="single" w:sz="3" w:space="0" w:color="000000"/>
            </w:tcBorders>
          </w:tcPr>
          <w:p w:rsidR="00917F99" w:rsidRPr="00A37932" w:rsidP="00A37932" w14:paraId="5264D1FF"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Social Contact</w:t>
            </w:r>
          </w:p>
        </w:tc>
      </w:tr>
      <w:tr w14:paraId="00D2F7C2" w14:textId="77777777">
        <w:tblPrEx>
          <w:tblW w:w="0" w:type="auto"/>
          <w:tblInd w:w="105" w:type="dxa"/>
          <w:tblLayout w:type="fixed"/>
          <w:tblCellMar>
            <w:left w:w="0" w:type="dxa"/>
            <w:right w:w="0" w:type="dxa"/>
          </w:tblCellMar>
          <w:tblLook w:val="0000"/>
        </w:tblPrEx>
        <w:trPr>
          <w:trHeight w:hRule="exact" w:val="329"/>
        </w:trPr>
        <w:tc>
          <w:tcPr>
            <w:tcW w:w="1975" w:type="dxa"/>
            <w:tcBorders>
              <w:top w:val="single" w:sz="4" w:space="0" w:color="000000"/>
              <w:left w:val="single" w:sz="4" w:space="0" w:color="000000"/>
              <w:bottom w:val="single" w:sz="4" w:space="0" w:color="000000"/>
              <w:right w:val="single" w:sz="4" w:space="0" w:color="000000"/>
            </w:tcBorders>
          </w:tcPr>
          <w:p w:rsidR="00917F99" w:rsidRPr="00A37932" w:rsidP="00A37932" w14:paraId="213E8EF3"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4901:1-13-04(G)</w:t>
            </w:r>
          </w:p>
        </w:tc>
        <w:tc>
          <w:tcPr>
            <w:tcW w:w="4320" w:type="dxa"/>
            <w:tcBorders>
              <w:top w:val="single" w:sz="4" w:space="0" w:color="000000"/>
              <w:left w:val="single" w:sz="4" w:space="0" w:color="000000"/>
              <w:bottom w:val="single" w:sz="4" w:space="0" w:color="000000"/>
              <w:right w:val="single" w:sz="4" w:space="0" w:color="000000"/>
            </w:tcBorders>
          </w:tcPr>
          <w:p w:rsidR="00917F99" w:rsidRPr="00A37932" w:rsidP="00A37932" w14:paraId="77FEC0B7"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Meter Reading</w:t>
            </w:r>
          </w:p>
        </w:tc>
        <w:tc>
          <w:tcPr>
            <w:tcW w:w="2335" w:type="dxa"/>
            <w:tcBorders>
              <w:top w:val="single" w:sz="4" w:space="0" w:color="000000"/>
              <w:left w:val="single" w:sz="4" w:space="0" w:color="000000"/>
              <w:bottom w:val="single" w:sz="4" w:space="0" w:color="000000"/>
              <w:right w:val="single" w:sz="3" w:space="0" w:color="000000"/>
            </w:tcBorders>
          </w:tcPr>
          <w:p w:rsidR="00917F99" w:rsidRPr="00A37932" w:rsidP="00A37932" w14:paraId="033419EB"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Social Contact</w:t>
            </w:r>
          </w:p>
        </w:tc>
      </w:tr>
      <w:tr w14:paraId="5B20E1A2" w14:textId="77777777">
        <w:tblPrEx>
          <w:tblW w:w="0" w:type="auto"/>
          <w:tblInd w:w="105" w:type="dxa"/>
          <w:tblLayout w:type="fixed"/>
          <w:tblCellMar>
            <w:left w:w="0" w:type="dxa"/>
            <w:right w:w="0" w:type="dxa"/>
          </w:tblCellMar>
          <w:tblLook w:val="0000"/>
        </w:tblPrEx>
        <w:trPr>
          <w:trHeight w:hRule="exact" w:val="331"/>
        </w:trPr>
        <w:tc>
          <w:tcPr>
            <w:tcW w:w="1975" w:type="dxa"/>
            <w:tcBorders>
              <w:top w:val="single" w:sz="4" w:space="0" w:color="000000"/>
              <w:left w:val="single" w:sz="4" w:space="0" w:color="000000"/>
              <w:bottom w:val="single" w:sz="4" w:space="0" w:color="000000"/>
              <w:right w:val="single" w:sz="4" w:space="0" w:color="000000"/>
            </w:tcBorders>
          </w:tcPr>
          <w:p w:rsidR="00917F99" w:rsidRPr="00A37932" w:rsidP="00A37932" w14:paraId="38778779"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4901:1-13-05(A)</w:t>
            </w:r>
          </w:p>
        </w:tc>
        <w:tc>
          <w:tcPr>
            <w:tcW w:w="4320" w:type="dxa"/>
            <w:tcBorders>
              <w:top w:val="single" w:sz="4" w:space="0" w:color="000000"/>
              <w:left w:val="single" w:sz="4" w:space="0" w:color="000000"/>
              <w:bottom w:val="single" w:sz="4" w:space="0" w:color="000000"/>
              <w:right w:val="single" w:sz="4" w:space="0" w:color="000000"/>
            </w:tcBorders>
          </w:tcPr>
          <w:p w:rsidR="00917F99" w:rsidRPr="00A37932" w:rsidP="00A37932" w14:paraId="5C950E0F"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New Service Requests</w:t>
            </w:r>
          </w:p>
        </w:tc>
        <w:tc>
          <w:tcPr>
            <w:tcW w:w="2335" w:type="dxa"/>
            <w:tcBorders>
              <w:top w:val="single" w:sz="4" w:space="0" w:color="000000"/>
              <w:left w:val="single" w:sz="4" w:space="0" w:color="000000"/>
              <w:bottom w:val="single" w:sz="4" w:space="0" w:color="000000"/>
              <w:right w:val="single" w:sz="3" w:space="0" w:color="000000"/>
            </w:tcBorders>
          </w:tcPr>
          <w:p w:rsidR="00917F99" w:rsidRPr="00A37932" w:rsidP="00A37932" w14:paraId="5D492BC4"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Social Contact</w:t>
            </w:r>
          </w:p>
        </w:tc>
      </w:tr>
      <w:tr w14:paraId="1C5CCBEA" w14:textId="77777777">
        <w:tblPrEx>
          <w:tblW w:w="0" w:type="auto"/>
          <w:tblInd w:w="105" w:type="dxa"/>
          <w:tblLayout w:type="fixed"/>
          <w:tblCellMar>
            <w:left w:w="0" w:type="dxa"/>
            <w:right w:w="0" w:type="dxa"/>
          </w:tblCellMar>
          <w:tblLook w:val="0000"/>
        </w:tblPrEx>
        <w:trPr>
          <w:trHeight w:hRule="exact" w:val="329"/>
        </w:trPr>
        <w:tc>
          <w:tcPr>
            <w:tcW w:w="1975" w:type="dxa"/>
            <w:tcBorders>
              <w:top w:val="single" w:sz="4" w:space="0" w:color="000000"/>
              <w:left w:val="single" w:sz="4" w:space="0" w:color="000000"/>
              <w:bottom w:val="single" w:sz="4" w:space="0" w:color="000000"/>
              <w:right w:val="single" w:sz="4" w:space="0" w:color="000000"/>
            </w:tcBorders>
          </w:tcPr>
          <w:p w:rsidR="00917F99" w:rsidRPr="00A37932" w:rsidP="00A37932" w14:paraId="177CDF1E"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4901:1-13-05(B)</w:t>
            </w:r>
          </w:p>
        </w:tc>
        <w:tc>
          <w:tcPr>
            <w:tcW w:w="4320" w:type="dxa"/>
            <w:tcBorders>
              <w:top w:val="single" w:sz="4" w:space="0" w:color="000000"/>
              <w:left w:val="single" w:sz="4" w:space="0" w:color="000000"/>
              <w:bottom w:val="single" w:sz="4" w:space="0" w:color="000000"/>
              <w:right w:val="single" w:sz="4" w:space="0" w:color="000000"/>
            </w:tcBorders>
          </w:tcPr>
          <w:p w:rsidR="00917F99" w:rsidRPr="00A37932" w:rsidP="00A37932" w14:paraId="2C883E84"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Telephone Response</w:t>
            </w:r>
          </w:p>
        </w:tc>
        <w:tc>
          <w:tcPr>
            <w:tcW w:w="2335" w:type="dxa"/>
            <w:tcBorders>
              <w:top w:val="single" w:sz="4" w:space="0" w:color="000000"/>
              <w:left w:val="single" w:sz="4" w:space="0" w:color="000000"/>
              <w:bottom w:val="single" w:sz="4" w:space="0" w:color="000000"/>
              <w:right w:val="single" w:sz="3" w:space="0" w:color="000000"/>
            </w:tcBorders>
          </w:tcPr>
          <w:p w:rsidR="00917F99" w:rsidRPr="00A37932" w:rsidP="00A37932" w14:paraId="01D325C6"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Service Continuity</w:t>
            </w:r>
          </w:p>
        </w:tc>
      </w:tr>
      <w:tr w14:paraId="51B2CDE6" w14:textId="77777777">
        <w:tblPrEx>
          <w:tblW w:w="0" w:type="auto"/>
          <w:tblInd w:w="105" w:type="dxa"/>
          <w:tblLayout w:type="fixed"/>
          <w:tblCellMar>
            <w:left w:w="0" w:type="dxa"/>
            <w:right w:w="0" w:type="dxa"/>
          </w:tblCellMar>
          <w:tblLook w:val="0000"/>
        </w:tblPrEx>
        <w:trPr>
          <w:trHeight w:hRule="exact" w:val="650"/>
        </w:trPr>
        <w:tc>
          <w:tcPr>
            <w:tcW w:w="1975" w:type="dxa"/>
            <w:tcBorders>
              <w:top w:val="single" w:sz="4" w:space="0" w:color="000000"/>
              <w:left w:val="single" w:sz="4" w:space="0" w:color="000000"/>
              <w:bottom w:val="single" w:sz="4" w:space="0" w:color="000000"/>
              <w:right w:val="single" w:sz="4" w:space="0" w:color="000000"/>
            </w:tcBorders>
          </w:tcPr>
          <w:p w:rsidR="00917F99" w:rsidRPr="00A37932" w:rsidP="00A37932" w14:paraId="2F077F37"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4901:1-13-05(C)</w:t>
            </w:r>
          </w:p>
        </w:tc>
        <w:tc>
          <w:tcPr>
            <w:tcW w:w="4320" w:type="dxa"/>
            <w:tcBorders>
              <w:top w:val="single" w:sz="4" w:space="0" w:color="000000"/>
              <w:left w:val="single" w:sz="4" w:space="0" w:color="000000"/>
              <w:bottom w:val="single" w:sz="4" w:space="0" w:color="000000"/>
              <w:right w:val="single" w:sz="4" w:space="0" w:color="000000"/>
            </w:tcBorders>
          </w:tcPr>
          <w:p w:rsidR="00917F99" w:rsidRPr="00A37932" w:rsidP="00A37932" w14:paraId="4DA83C18" w14:textId="3599B368">
            <w:pPr>
              <w:kinsoku w:val="0"/>
              <w:overflowPunct w:val="0"/>
              <w:autoSpaceDE w:val="0"/>
              <w:autoSpaceDN w:val="0"/>
              <w:adjustRightInd w:val="0"/>
              <w:spacing w:after="0" w:line="237" w:lineRule="auto"/>
              <w:ind w:left="103"/>
              <w:rPr>
                <w:rFonts w:ascii="Times New Roman" w:hAnsi="Times New Roman" w:cs="Times New Roman"/>
                <w:sz w:val="24"/>
                <w:szCs w:val="24"/>
              </w:rPr>
            </w:pPr>
            <w:r w:rsidRPr="00A37932">
              <w:rPr>
                <w:rFonts w:ascii="Times New Roman" w:hAnsi="Times New Roman" w:cs="Times New Roman"/>
                <w:sz w:val="24"/>
                <w:szCs w:val="24"/>
              </w:rPr>
              <w:t>Scheduled Appointments with Customers</w:t>
            </w:r>
          </w:p>
        </w:tc>
        <w:tc>
          <w:tcPr>
            <w:tcW w:w="2335" w:type="dxa"/>
            <w:tcBorders>
              <w:top w:val="single" w:sz="4" w:space="0" w:color="000000"/>
              <w:left w:val="single" w:sz="4" w:space="0" w:color="000000"/>
              <w:bottom w:val="single" w:sz="4" w:space="0" w:color="000000"/>
              <w:right w:val="single" w:sz="3" w:space="0" w:color="000000"/>
            </w:tcBorders>
          </w:tcPr>
          <w:p w:rsidR="00917F99" w:rsidRPr="00A37932" w:rsidP="00A37932" w14:paraId="4A1639C3"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Social Contact</w:t>
            </w:r>
          </w:p>
        </w:tc>
      </w:tr>
      <w:tr w14:paraId="04862962" w14:textId="77777777">
        <w:tblPrEx>
          <w:tblW w:w="0" w:type="auto"/>
          <w:tblInd w:w="105" w:type="dxa"/>
          <w:tblLayout w:type="fixed"/>
          <w:tblCellMar>
            <w:left w:w="0" w:type="dxa"/>
            <w:right w:w="0" w:type="dxa"/>
          </w:tblCellMar>
          <w:tblLook w:val="0000"/>
        </w:tblPrEx>
        <w:trPr>
          <w:trHeight w:hRule="exact" w:val="331"/>
        </w:trPr>
        <w:tc>
          <w:tcPr>
            <w:tcW w:w="1975" w:type="dxa"/>
            <w:tcBorders>
              <w:top w:val="single" w:sz="4" w:space="0" w:color="000000"/>
              <w:left w:val="single" w:sz="4" w:space="0" w:color="000000"/>
              <w:bottom w:val="single" w:sz="4" w:space="0" w:color="000000"/>
              <w:right w:val="single" w:sz="4" w:space="0" w:color="000000"/>
            </w:tcBorders>
          </w:tcPr>
          <w:p w:rsidR="00917F99" w:rsidRPr="00A37932" w:rsidP="00A37932" w14:paraId="5391C526"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4901:1-13-05(D)</w:t>
            </w:r>
          </w:p>
        </w:tc>
        <w:tc>
          <w:tcPr>
            <w:tcW w:w="4320" w:type="dxa"/>
            <w:tcBorders>
              <w:top w:val="single" w:sz="4" w:space="0" w:color="000000"/>
              <w:left w:val="single" w:sz="4" w:space="0" w:color="000000"/>
              <w:bottom w:val="single" w:sz="4" w:space="0" w:color="000000"/>
              <w:right w:val="single" w:sz="4" w:space="0" w:color="000000"/>
            </w:tcBorders>
          </w:tcPr>
          <w:p w:rsidR="00917F99" w:rsidRPr="00A37932" w:rsidP="00A37932" w14:paraId="1A451F6B"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Repairs of Service Lines Leaks</w:t>
            </w:r>
          </w:p>
        </w:tc>
        <w:tc>
          <w:tcPr>
            <w:tcW w:w="2335" w:type="dxa"/>
            <w:tcBorders>
              <w:top w:val="single" w:sz="4" w:space="0" w:color="000000"/>
              <w:left w:val="single" w:sz="4" w:space="0" w:color="000000"/>
              <w:bottom w:val="single" w:sz="4" w:space="0" w:color="000000"/>
              <w:right w:val="single" w:sz="3" w:space="0" w:color="000000"/>
            </w:tcBorders>
          </w:tcPr>
          <w:p w:rsidR="00917F99" w:rsidRPr="00A37932" w:rsidP="00A37932" w14:paraId="68D312D3"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Social Contact</w:t>
            </w:r>
          </w:p>
        </w:tc>
      </w:tr>
      <w:tr w14:paraId="0B91AA14" w14:textId="77777777">
        <w:tblPrEx>
          <w:tblW w:w="0" w:type="auto"/>
          <w:tblInd w:w="105" w:type="dxa"/>
          <w:tblLayout w:type="fixed"/>
          <w:tblCellMar>
            <w:left w:w="0" w:type="dxa"/>
            <w:right w:w="0" w:type="dxa"/>
          </w:tblCellMar>
          <w:tblLook w:val="0000"/>
        </w:tblPrEx>
        <w:trPr>
          <w:trHeight w:hRule="exact" w:val="648"/>
        </w:trPr>
        <w:tc>
          <w:tcPr>
            <w:tcW w:w="1975" w:type="dxa"/>
            <w:tcBorders>
              <w:top w:val="single" w:sz="4" w:space="0" w:color="000000"/>
              <w:left w:val="single" w:sz="4" w:space="0" w:color="000000"/>
              <w:bottom w:val="single" w:sz="4" w:space="0" w:color="000000"/>
              <w:right w:val="single" w:sz="4" w:space="0" w:color="000000"/>
            </w:tcBorders>
          </w:tcPr>
          <w:p w:rsidR="00917F99" w:rsidRPr="00A37932" w:rsidP="00A37932" w14:paraId="29EE4A54"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4901:1-13-08(E)</w:t>
            </w:r>
          </w:p>
        </w:tc>
        <w:tc>
          <w:tcPr>
            <w:tcW w:w="4320" w:type="dxa"/>
            <w:tcBorders>
              <w:top w:val="single" w:sz="4" w:space="0" w:color="000000"/>
              <w:left w:val="single" w:sz="4" w:space="0" w:color="000000"/>
              <w:bottom w:val="single" w:sz="4" w:space="0" w:color="000000"/>
              <w:right w:val="single" w:sz="4" w:space="0" w:color="000000"/>
            </w:tcBorders>
          </w:tcPr>
          <w:p w:rsidR="00917F99" w:rsidRPr="00A37932" w:rsidP="00A37932" w14:paraId="35A6350F" w14:textId="77777777">
            <w:pPr>
              <w:kinsoku w:val="0"/>
              <w:overflowPunct w:val="0"/>
              <w:autoSpaceDE w:val="0"/>
              <w:autoSpaceDN w:val="0"/>
              <w:adjustRightInd w:val="0"/>
              <w:spacing w:after="0" w:line="320" w:lineRule="exact"/>
              <w:ind w:left="103" w:right="465"/>
              <w:rPr>
                <w:rFonts w:ascii="Times New Roman" w:hAnsi="Times New Roman" w:cs="Times New Roman"/>
                <w:sz w:val="24"/>
                <w:szCs w:val="24"/>
              </w:rPr>
            </w:pPr>
            <w:r w:rsidRPr="00A37932">
              <w:rPr>
                <w:rFonts w:ascii="Times New Roman" w:hAnsi="Times New Roman" w:cs="Times New Roman"/>
                <w:sz w:val="24"/>
                <w:szCs w:val="24"/>
              </w:rPr>
              <w:t>Reconnection of Small Commercial Customers</w:t>
            </w:r>
          </w:p>
        </w:tc>
        <w:tc>
          <w:tcPr>
            <w:tcW w:w="2335" w:type="dxa"/>
            <w:tcBorders>
              <w:top w:val="single" w:sz="4" w:space="0" w:color="000000"/>
              <w:left w:val="single" w:sz="4" w:space="0" w:color="000000"/>
              <w:bottom w:val="single" w:sz="4" w:space="0" w:color="000000"/>
              <w:right w:val="single" w:sz="3" w:space="0" w:color="000000"/>
            </w:tcBorders>
          </w:tcPr>
          <w:p w:rsidR="00917F99" w:rsidRPr="00A37932" w:rsidP="00A37932" w14:paraId="444E514C"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Social Contact</w:t>
            </w:r>
          </w:p>
        </w:tc>
      </w:tr>
      <w:tr w14:paraId="5C9086BD" w14:textId="77777777">
        <w:tblPrEx>
          <w:tblW w:w="0" w:type="auto"/>
          <w:tblInd w:w="105" w:type="dxa"/>
          <w:tblLayout w:type="fixed"/>
          <w:tblCellMar>
            <w:left w:w="0" w:type="dxa"/>
            <w:right w:w="0" w:type="dxa"/>
          </w:tblCellMar>
          <w:tblLook w:val="0000"/>
        </w:tblPrEx>
        <w:trPr>
          <w:trHeight w:hRule="exact" w:val="331"/>
        </w:trPr>
        <w:tc>
          <w:tcPr>
            <w:tcW w:w="1975" w:type="dxa"/>
            <w:tcBorders>
              <w:top w:val="single" w:sz="4" w:space="0" w:color="000000"/>
              <w:left w:val="single" w:sz="4" w:space="0" w:color="000000"/>
              <w:bottom w:val="single" w:sz="3" w:space="0" w:color="000000"/>
              <w:right w:val="single" w:sz="4" w:space="0" w:color="000000"/>
            </w:tcBorders>
          </w:tcPr>
          <w:p w:rsidR="00917F99" w:rsidRPr="00A37932" w:rsidP="00A37932" w14:paraId="6E367018"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4901:1-16-04(I)</w:t>
            </w:r>
          </w:p>
        </w:tc>
        <w:tc>
          <w:tcPr>
            <w:tcW w:w="4320" w:type="dxa"/>
            <w:tcBorders>
              <w:top w:val="single" w:sz="4" w:space="0" w:color="000000"/>
              <w:left w:val="single" w:sz="4" w:space="0" w:color="000000"/>
              <w:bottom w:val="single" w:sz="3" w:space="0" w:color="000000"/>
              <w:right w:val="single" w:sz="4" w:space="0" w:color="000000"/>
            </w:tcBorders>
          </w:tcPr>
          <w:p w:rsidR="00917F99" w:rsidRPr="00A37932" w:rsidP="00A37932" w14:paraId="397736B7"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Remediation of Leaks</w:t>
            </w:r>
          </w:p>
        </w:tc>
        <w:tc>
          <w:tcPr>
            <w:tcW w:w="2335" w:type="dxa"/>
            <w:tcBorders>
              <w:top w:val="single" w:sz="4" w:space="0" w:color="000000"/>
              <w:left w:val="single" w:sz="4" w:space="0" w:color="000000"/>
              <w:bottom w:val="single" w:sz="3" w:space="0" w:color="000000"/>
              <w:right w:val="single" w:sz="3" w:space="0" w:color="000000"/>
            </w:tcBorders>
          </w:tcPr>
          <w:p w:rsidR="00917F99" w:rsidRPr="00A37932" w:rsidP="00A37932" w14:paraId="2D7AD6D5"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Social Contact</w:t>
            </w:r>
          </w:p>
        </w:tc>
      </w:tr>
      <w:tr w14:paraId="51A281D5" w14:textId="77777777">
        <w:tblPrEx>
          <w:tblW w:w="0" w:type="auto"/>
          <w:tblInd w:w="105" w:type="dxa"/>
          <w:tblLayout w:type="fixed"/>
          <w:tblCellMar>
            <w:left w:w="0" w:type="dxa"/>
            <w:right w:w="0" w:type="dxa"/>
          </w:tblCellMar>
          <w:tblLook w:val="0000"/>
        </w:tblPrEx>
        <w:trPr>
          <w:trHeight w:hRule="exact" w:val="329"/>
        </w:trPr>
        <w:tc>
          <w:tcPr>
            <w:tcW w:w="1975" w:type="dxa"/>
            <w:tcBorders>
              <w:top w:val="single" w:sz="3" w:space="0" w:color="000000"/>
              <w:left w:val="single" w:sz="4" w:space="0" w:color="000000"/>
              <w:bottom w:val="single" w:sz="4" w:space="0" w:color="000000"/>
              <w:right w:val="single" w:sz="4" w:space="0" w:color="000000"/>
            </w:tcBorders>
          </w:tcPr>
          <w:p w:rsidR="00917F99" w:rsidRPr="00A37932" w:rsidP="00A37932" w14:paraId="2F8DE6F0"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4901:1-18-07(A)</w:t>
            </w:r>
          </w:p>
        </w:tc>
        <w:tc>
          <w:tcPr>
            <w:tcW w:w="4320" w:type="dxa"/>
            <w:tcBorders>
              <w:top w:val="single" w:sz="3" w:space="0" w:color="000000"/>
              <w:left w:val="single" w:sz="4" w:space="0" w:color="000000"/>
              <w:bottom w:val="single" w:sz="4" w:space="0" w:color="000000"/>
              <w:right w:val="single" w:sz="4" w:space="0" w:color="000000"/>
            </w:tcBorders>
          </w:tcPr>
          <w:p w:rsidR="00917F99" w:rsidRPr="00A37932" w:rsidP="00A37932" w14:paraId="71E15CB3"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Reconnection of Service</w:t>
            </w:r>
          </w:p>
        </w:tc>
        <w:tc>
          <w:tcPr>
            <w:tcW w:w="2335" w:type="dxa"/>
            <w:tcBorders>
              <w:top w:val="single" w:sz="3" w:space="0" w:color="000000"/>
              <w:left w:val="single" w:sz="4" w:space="0" w:color="000000"/>
              <w:bottom w:val="single" w:sz="4" w:space="0" w:color="000000"/>
              <w:right w:val="single" w:sz="3" w:space="0" w:color="000000"/>
            </w:tcBorders>
          </w:tcPr>
          <w:p w:rsidR="00917F99" w:rsidRPr="00A37932" w:rsidP="00A37932" w14:paraId="6DAE4539"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Social Contact</w:t>
            </w:r>
          </w:p>
        </w:tc>
      </w:tr>
      <w:tr w14:paraId="7D17E2C9" w14:textId="77777777">
        <w:tblPrEx>
          <w:tblW w:w="0" w:type="auto"/>
          <w:tblInd w:w="105" w:type="dxa"/>
          <w:tblLayout w:type="fixed"/>
          <w:tblCellMar>
            <w:left w:w="0" w:type="dxa"/>
            <w:right w:w="0" w:type="dxa"/>
          </w:tblCellMar>
          <w:tblLook w:val="0000"/>
        </w:tblPrEx>
        <w:trPr>
          <w:trHeight w:hRule="exact" w:val="331"/>
        </w:trPr>
        <w:tc>
          <w:tcPr>
            <w:tcW w:w="1975" w:type="dxa"/>
            <w:tcBorders>
              <w:top w:val="single" w:sz="4" w:space="0" w:color="000000"/>
              <w:left w:val="single" w:sz="4" w:space="0" w:color="000000"/>
              <w:bottom w:val="single" w:sz="3" w:space="0" w:color="000000"/>
              <w:right w:val="single" w:sz="4" w:space="0" w:color="000000"/>
            </w:tcBorders>
          </w:tcPr>
          <w:p w:rsidR="00917F99" w:rsidRPr="00A37932" w:rsidP="00A37932" w14:paraId="625BB865"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4901:1-18-07(B)</w:t>
            </w:r>
          </w:p>
        </w:tc>
        <w:tc>
          <w:tcPr>
            <w:tcW w:w="4320" w:type="dxa"/>
            <w:tcBorders>
              <w:top w:val="single" w:sz="4" w:space="0" w:color="000000"/>
              <w:left w:val="single" w:sz="4" w:space="0" w:color="000000"/>
              <w:bottom w:val="single" w:sz="3" w:space="0" w:color="000000"/>
              <w:right w:val="single" w:sz="4" w:space="0" w:color="000000"/>
            </w:tcBorders>
          </w:tcPr>
          <w:p w:rsidR="00917F99" w:rsidRPr="00A37932" w:rsidP="00A37932" w14:paraId="73BDE9BB"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Reconnection of Service</w:t>
            </w:r>
          </w:p>
        </w:tc>
        <w:tc>
          <w:tcPr>
            <w:tcW w:w="2335" w:type="dxa"/>
            <w:tcBorders>
              <w:top w:val="single" w:sz="4" w:space="0" w:color="000000"/>
              <w:left w:val="single" w:sz="4" w:space="0" w:color="000000"/>
              <w:bottom w:val="single" w:sz="3" w:space="0" w:color="000000"/>
              <w:right w:val="single" w:sz="3" w:space="0" w:color="000000"/>
            </w:tcBorders>
          </w:tcPr>
          <w:p w:rsidR="00917F99" w:rsidRPr="00A37932" w:rsidP="00A37932" w14:paraId="57BCB27A"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Social Contact</w:t>
            </w:r>
          </w:p>
        </w:tc>
      </w:tr>
      <w:tr w14:paraId="17448C9C" w14:textId="77777777">
        <w:tblPrEx>
          <w:tblW w:w="0" w:type="auto"/>
          <w:tblInd w:w="105" w:type="dxa"/>
          <w:tblLayout w:type="fixed"/>
          <w:tblCellMar>
            <w:left w:w="0" w:type="dxa"/>
            <w:right w:w="0" w:type="dxa"/>
          </w:tblCellMar>
          <w:tblLook w:val="0000"/>
        </w:tblPrEx>
        <w:trPr>
          <w:trHeight w:hRule="exact" w:val="329"/>
        </w:trPr>
        <w:tc>
          <w:tcPr>
            <w:tcW w:w="1975" w:type="dxa"/>
            <w:tcBorders>
              <w:top w:val="single" w:sz="3" w:space="0" w:color="000000"/>
              <w:left w:val="single" w:sz="4" w:space="0" w:color="000000"/>
              <w:bottom w:val="single" w:sz="4" w:space="0" w:color="000000"/>
              <w:right w:val="single" w:sz="4" w:space="0" w:color="000000"/>
            </w:tcBorders>
          </w:tcPr>
          <w:p w:rsidR="00917F99" w:rsidRPr="00A37932" w:rsidP="00A37932" w14:paraId="18642B83"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4901:1-18-07(C)</w:t>
            </w:r>
          </w:p>
        </w:tc>
        <w:tc>
          <w:tcPr>
            <w:tcW w:w="4320" w:type="dxa"/>
            <w:tcBorders>
              <w:top w:val="single" w:sz="3" w:space="0" w:color="000000"/>
              <w:left w:val="single" w:sz="4" w:space="0" w:color="000000"/>
              <w:bottom w:val="single" w:sz="4" w:space="0" w:color="000000"/>
              <w:right w:val="single" w:sz="4" w:space="0" w:color="000000"/>
            </w:tcBorders>
          </w:tcPr>
          <w:p w:rsidR="00917F99" w:rsidRPr="00A37932" w:rsidP="00A37932" w14:paraId="55E6090B"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Reconnection of Service</w:t>
            </w:r>
          </w:p>
        </w:tc>
        <w:tc>
          <w:tcPr>
            <w:tcW w:w="2335" w:type="dxa"/>
            <w:tcBorders>
              <w:top w:val="single" w:sz="3" w:space="0" w:color="000000"/>
              <w:left w:val="single" w:sz="4" w:space="0" w:color="000000"/>
              <w:bottom w:val="single" w:sz="4" w:space="0" w:color="000000"/>
              <w:right w:val="single" w:sz="3" w:space="0" w:color="000000"/>
            </w:tcBorders>
          </w:tcPr>
          <w:p w:rsidR="00917F99" w:rsidRPr="00A37932" w:rsidP="00A37932" w14:paraId="74F5DDA2"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Service Continuity</w:t>
            </w:r>
          </w:p>
        </w:tc>
      </w:tr>
      <w:tr w14:paraId="6069295B" w14:textId="77777777">
        <w:tblPrEx>
          <w:tblW w:w="0" w:type="auto"/>
          <w:tblInd w:w="105" w:type="dxa"/>
          <w:tblLayout w:type="fixed"/>
          <w:tblCellMar>
            <w:left w:w="0" w:type="dxa"/>
            <w:right w:w="0" w:type="dxa"/>
          </w:tblCellMar>
          <w:tblLook w:val="0000"/>
        </w:tblPrEx>
        <w:trPr>
          <w:trHeight w:hRule="exact" w:val="331"/>
        </w:trPr>
        <w:tc>
          <w:tcPr>
            <w:tcW w:w="1975" w:type="dxa"/>
            <w:tcBorders>
              <w:top w:val="single" w:sz="4" w:space="0" w:color="000000"/>
              <w:left w:val="single" w:sz="4" w:space="0" w:color="000000"/>
              <w:bottom w:val="single" w:sz="3" w:space="0" w:color="000000"/>
              <w:right w:val="single" w:sz="4" w:space="0" w:color="000000"/>
            </w:tcBorders>
          </w:tcPr>
          <w:p w:rsidR="00917F99" w:rsidRPr="00A37932" w:rsidP="00A37932" w14:paraId="3BD300C8"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4901:1-18-12(C)</w:t>
            </w:r>
          </w:p>
        </w:tc>
        <w:tc>
          <w:tcPr>
            <w:tcW w:w="4320" w:type="dxa"/>
            <w:tcBorders>
              <w:top w:val="single" w:sz="4" w:space="0" w:color="000000"/>
              <w:left w:val="single" w:sz="4" w:space="0" w:color="000000"/>
              <w:bottom w:val="single" w:sz="3" w:space="0" w:color="000000"/>
              <w:right w:val="single" w:sz="4" w:space="0" w:color="000000"/>
            </w:tcBorders>
          </w:tcPr>
          <w:p w:rsidR="00917F99" w:rsidRPr="00A37932" w:rsidP="00A37932" w14:paraId="28D1D6C5"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PIPP Eligibility</w:t>
            </w:r>
          </w:p>
        </w:tc>
        <w:tc>
          <w:tcPr>
            <w:tcW w:w="2335" w:type="dxa"/>
            <w:tcBorders>
              <w:top w:val="single" w:sz="4" w:space="0" w:color="000000"/>
              <w:left w:val="single" w:sz="4" w:space="0" w:color="000000"/>
              <w:bottom w:val="single" w:sz="3" w:space="0" w:color="000000"/>
              <w:right w:val="single" w:sz="3" w:space="0" w:color="000000"/>
            </w:tcBorders>
          </w:tcPr>
          <w:p w:rsidR="00917F99" w:rsidRPr="00A37932" w:rsidP="00A37932" w14:paraId="1528FC71"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Service Continuity</w:t>
            </w:r>
          </w:p>
        </w:tc>
      </w:tr>
      <w:tr w14:paraId="1AF18F74" w14:textId="77777777">
        <w:tblPrEx>
          <w:tblW w:w="0" w:type="auto"/>
          <w:tblInd w:w="105" w:type="dxa"/>
          <w:tblLayout w:type="fixed"/>
          <w:tblCellMar>
            <w:left w:w="0" w:type="dxa"/>
            <w:right w:w="0" w:type="dxa"/>
          </w:tblCellMar>
          <w:tblLook w:val="0000"/>
        </w:tblPrEx>
        <w:trPr>
          <w:trHeight w:hRule="exact" w:val="329"/>
        </w:trPr>
        <w:tc>
          <w:tcPr>
            <w:tcW w:w="1975" w:type="dxa"/>
            <w:tcBorders>
              <w:top w:val="single" w:sz="3" w:space="0" w:color="000000"/>
              <w:left w:val="single" w:sz="4" w:space="0" w:color="000000"/>
              <w:bottom w:val="single" w:sz="4" w:space="0" w:color="000000"/>
              <w:right w:val="single" w:sz="4" w:space="0" w:color="000000"/>
            </w:tcBorders>
          </w:tcPr>
          <w:p w:rsidR="00917F99" w:rsidRPr="00A37932" w:rsidP="00A37932" w14:paraId="3D646BA4"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4901:1-18-12(D)</w:t>
            </w:r>
          </w:p>
        </w:tc>
        <w:tc>
          <w:tcPr>
            <w:tcW w:w="4320" w:type="dxa"/>
            <w:tcBorders>
              <w:top w:val="single" w:sz="3" w:space="0" w:color="000000"/>
              <w:left w:val="single" w:sz="4" w:space="0" w:color="000000"/>
              <w:bottom w:val="single" w:sz="4" w:space="0" w:color="000000"/>
              <w:right w:val="single" w:sz="4" w:space="0" w:color="000000"/>
            </w:tcBorders>
          </w:tcPr>
          <w:p w:rsidR="00917F99" w:rsidRPr="00A37932" w:rsidP="00A37932" w14:paraId="5082356A"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PIPP Reverification of Eligibility</w:t>
            </w:r>
          </w:p>
        </w:tc>
        <w:tc>
          <w:tcPr>
            <w:tcW w:w="2335" w:type="dxa"/>
            <w:tcBorders>
              <w:top w:val="single" w:sz="3" w:space="0" w:color="000000"/>
              <w:left w:val="single" w:sz="4" w:space="0" w:color="000000"/>
              <w:bottom w:val="single" w:sz="4" w:space="0" w:color="000000"/>
              <w:right w:val="single" w:sz="3" w:space="0" w:color="000000"/>
            </w:tcBorders>
          </w:tcPr>
          <w:p w:rsidR="00917F99" w:rsidRPr="00A37932" w:rsidP="00A37932" w14:paraId="2E47FE3F"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Service Continuity</w:t>
            </w:r>
          </w:p>
        </w:tc>
      </w:tr>
      <w:tr w14:paraId="4457FF47" w14:textId="77777777">
        <w:tblPrEx>
          <w:tblW w:w="0" w:type="auto"/>
          <w:tblInd w:w="105" w:type="dxa"/>
          <w:tblLayout w:type="fixed"/>
          <w:tblCellMar>
            <w:left w:w="0" w:type="dxa"/>
            <w:right w:w="0" w:type="dxa"/>
          </w:tblCellMar>
          <w:tblLook w:val="0000"/>
        </w:tblPrEx>
        <w:trPr>
          <w:trHeight w:hRule="exact" w:val="331"/>
        </w:trPr>
        <w:tc>
          <w:tcPr>
            <w:tcW w:w="1975" w:type="dxa"/>
            <w:tcBorders>
              <w:top w:val="single" w:sz="4" w:space="0" w:color="000000"/>
              <w:left w:val="single" w:sz="4" w:space="0" w:color="000000"/>
              <w:bottom w:val="single" w:sz="3" w:space="0" w:color="000000"/>
              <w:right w:val="single" w:sz="4" w:space="0" w:color="000000"/>
            </w:tcBorders>
          </w:tcPr>
          <w:p w:rsidR="00917F99" w:rsidRPr="00A37932" w:rsidP="00A37932" w14:paraId="40192371"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4901:1-18-16(D)</w:t>
            </w:r>
          </w:p>
        </w:tc>
        <w:tc>
          <w:tcPr>
            <w:tcW w:w="4320" w:type="dxa"/>
            <w:tcBorders>
              <w:top w:val="single" w:sz="4" w:space="0" w:color="000000"/>
              <w:left w:val="single" w:sz="4" w:space="0" w:color="000000"/>
              <w:bottom w:val="single" w:sz="3" w:space="0" w:color="000000"/>
              <w:right w:val="single" w:sz="4" w:space="0" w:color="000000"/>
            </w:tcBorders>
          </w:tcPr>
          <w:p w:rsidR="00917F99" w:rsidRPr="00A37932" w:rsidP="00A37932" w14:paraId="1F7178C6"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Graduate PIPP Plus Enrollment</w:t>
            </w:r>
          </w:p>
        </w:tc>
        <w:tc>
          <w:tcPr>
            <w:tcW w:w="2335" w:type="dxa"/>
            <w:tcBorders>
              <w:top w:val="single" w:sz="4" w:space="0" w:color="000000"/>
              <w:left w:val="single" w:sz="4" w:space="0" w:color="000000"/>
              <w:bottom w:val="single" w:sz="3" w:space="0" w:color="000000"/>
              <w:right w:val="single" w:sz="3" w:space="0" w:color="000000"/>
            </w:tcBorders>
          </w:tcPr>
          <w:p w:rsidR="00917F99" w:rsidRPr="00A37932" w:rsidP="00A37932" w14:paraId="5F330BC9"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Service Continuity</w:t>
            </w:r>
          </w:p>
        </w:tc>
      </w:tr>
      <w:tr w14:paraId="6A9276D6" w14:textId="77777777">
        <w:tblPrEx>
          <w:tblW w:w="0" w:type="auto"/>
          <w:tblInd w:w="105" w:type="dxa"/>
          <w:tblLayout w:type="fixed"/>
          <w:tblCellMar>
            <w:left w:w="0" w:type="dxa"/>
            <w:right w:w="0" w:type="dxa"/>
          </w:tblCellMar>
          <w:tblLook w:val="0000"/>
        </w:tblPrEx>
        <w:trPr>
          <w:trHeight w:hRule="exact" w:val="329"/>
        </w:trPr>
        <w:tc>
          <w:tcPr>
            <w:tcW w:w="1975" w:type="dxa"/>
            <w:tcBorders>
              <w:top w:val="single" w:sz="3" w:space="0" w:color="000000"/>
              <w:left w:val="single" w:sz="4" w:space="0" w:color="000000"/>
              <w:bottom w:val="single" w:sz="4" w:space="0" w:color="000000"/>
              <w:right w:val="single" w:sz="4" w:space="0" w:color="000000"/>
            </w:tcBorders>
          </w:tcPr>
          <w:p w:rsidR="00917F99" w:rsidRPr="00A37932" w:rsidP="00A37932" w14:paraId="7EE917C9"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4901:1-18-17(A)</w:t>
            </w:r>
          </w:p>
        </w:tc>
        <w:tc>
          <w:tcPr>
            <w:tcW w:w="4320" w:type="dxa"/>
            <w:tcBorders>
              <w:top w:val="single" w:sz="3" w:space="0" w:color="000000"/>
              <w:left w:val="single" w:sz="4" w:space="0" w:color="000000"/>
              <w:bottom w:val="single" w:sz="4" w:space="0" w:color="000000"/>
              <w:right w:val="single" w:sz="4" w:space="0" w:color="000000"/>
            </w:tcBorders>
          </w:tcPr>
          <w:p w:rsidR="00917F99" w:rsidRPr="00A37932" w:rsidP="00A37932" w14:paraId="4F4287C9"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PIPP and Graduate PIPP Termination</w:t>
            </w:r>
          </w:p>
        </w:tc>
        <w:tc>
          <w:tcPr>
            <w:tcW w:w="2335" w:type="dxa"/>
            <w:tcBorders>
              <w:top w:val="single" w:sz="3" w:space="0" w:color="000000"/>
              <w:left w:val="single" w:sz="4" w:space="0" w:color="000000"/>
              <w:bottom w:val="single" w:sz="4" w:space="0" w:color="000000"/>
              <w:right w:val="single" w:sz="3" w:space="0" w:color="000000"/>
            </w:tcBorders>
          </w:tcPr>
          <w:p w:rsidR="00917F99" w:rsidRPr="00A37932" w:rsidP="00A37932" w14:paraId="465FF6F9"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Service Continuity</w:t>
            </w:r>
          </w:p>
        </w:tc>
      </w:tr>
      <w:tr w14:paraId="5DE823C5" w14:textId="77777777">
        <w:tblPrEx>
          <w:tblW w:w="0" w:type="auto"/>
          <w:tblInd w:w="105" w:type="dxa"/>
          <w:tblLayout w:type="fixed"/>
          <w:tblCellMar>
            <w:left w:w="0" w:type="dxa"/>
            <w:right w:w="0" w:type="dxa"/>
          </w:tblCellMar>
          <w:tblLook w:val="0000"/>
        </w:tblPrEx>
        <w:trPr>
          <w:trHeight w:hRule="exact" w:val="331"/>
        </w:trPr>
        <w:tc>
          <w:tcPr>
            <w:tcW w:w="1975" w:type="dxa"/>
            <w:tcBorders>
              <w:top w:val="single" w:sz="4" w:space="0" w:color="000000"/>
              <w:left w:val="single" w:sz="4" w:space="0" w:color="000000"/>
              <w:bottom w:val="single" w:sz="3" w:space="0" w:color="000000"/>
              <w:right w:val="single" w:sz="4" w:space="0" w:color="000000"/>
            </w:tcBorders>
          </w:tcPr>
          <w:p w:rsidR="00917F99" w:rsidRPr="00A37932" w:rsidP="00A37932" w14:paraId="0FE5DB6B"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4901:1-18-17(B)</w:t>
            </w:r>
          </w:p>
        </w:tc>
        <w:tc>
          <w:tcPr>
            <w:tcW w:w="4320" w:type="dxa"/>
            <w:tcBorders>
              <w:top w:val="single" w:sz="4" w:space="0" w:color="000000"/>
              <w:left w:val="single" w:sz="4" w:space="0" w:color="000000"/>
              <w:bottom w:val="single" w:sz="3" w:space="0" w:color="000000"/>
              <w:right w:val="single" w:sz="4" w:space="0" w:color="000000"/>
            </w:tcBorders>
          </w:tcPr>
          <w:p w:rsidR="00917F99" w:rsidRPr="00A37932" w:rsidP="00A37932" w14:paraId="001F4C07" w14:textId="77777777">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PIPP and Graduate PIPP Termination</w:t>
            </w:r>
          </w:p>
        </w:tc>
        <w:tc>
          <w:tcPr>
            <w:tcW w:w="2335" w:type="dxa"/>
            <w:tcBorders>
              <w:top w:val="single" w:sz="4" w:space="0" w:color="000000"/>
              <w:left w:val="single" w:sz="4" w:space="0" w:color="000000"/>
              <w:bottom w:val="single" w:sz="3" w:space="0" w:color="000000"/>
              <w:right w:val="single" w:sz="3" w:space="0" w:color="000000"/>
            </w:tcBorders>
          </w:tcPr>
          <w:p w:rsidR="00917F99" w:rsidRPr="00A37932" w:rsidP="00A37932" w14:paraId="4BB445D7" w14:textId="178A435C">
            <w:pPr>
              <w:kinsoku w:val="0"/>
              <w:overflowPunct w:val="0"/>
              <w:autoSpaceDE w:val="0"/>
              <w:autoSpaceDN w:val="0"/>
              <w:adjustRightInd w:val="0"/>
              <w:spacing w:after="0" w:line="240" w:lineRule="auto"/>
              <w:ind w:left="103"/>
              <w:rPr>
                <w:rFonts w:ascii="Times New Roman" w:hAnsi="Times New Roman" w:cs="Times New Roman"/>
                <w:sz w:val="24"/>
                <w:szCs w:val="24"/>
              </w:rPr>
            </w:pPr>
            <w:r w:rsidRPr="00A37932">
              <w:rPr>
                <w:rFonts w:ascii="Times New Roman" w:hAnsi="Times New Roman" w:cs="Times New Roman"/>
                <w:sz w:val="24"/>
                <w:szCs w:val="24"/>
              </w:rPr>
              <w:t>Service Continuity</w:t>
            </w:r>
            <w:r>
              <w:rPr>
                <w:rStyle w:val="FootnoteReference"/>
                <w:rFonts w:ascii="Times New Roman" w:hAnsi="Times New Roman" w:cs="Times New Roman"/>
                <w:sz w:val="24"/>
                <w:szCs w:val="24"/>
              </w:rPr>
              <w:footnoteReference w:id="8"/>
            </w:r>
          </w:p>
        </w:tc>
      </w:tr>
    </w:tbl>
    <w:p w:rsidR="00BA21A7" w:rsidP="00D12D64" w14:paraId="4A8D6DBA" w14:textId="68323885">
      <w:pPr>
        <w:autoSpaceDE w:val="0"/>
        <w:autoSpaceDN w:val="0"/>
        <w:adjustRightInd w:val="0"/>
        <w:spacing w:after="0" w:line="480" w:lineRule="auto"/>
        <w:ind w:firstLine="720"/>
        <w:rPr>
          <w:rFonts w:ascii="Times New Roman" w:hAnsi="Times New Roman" w:cs="Times New Roman"/>
          <w:sz w:val="24"/>
          <w:szCs w:val="24"/>
        </w:rPr>
      </w:pPr>
      <w:r w:rsidRPr="00A37932">
        <w:rPr>
          <w:rFonts w:ascii="Times New Roman" w:hAnsi="Times New Roman" w:cs="Times New Roman"/>
          <w:sz w:val="24"/>
          <w:szCs w:val="24"/>
        </w:rPr>
        <w:t xml:space="preserve">The PUCO approved </w:t>
      </w:r>
      <w:r w:rsidR="00BB3E71">
        <w:rPr>
          <w:rFonts w:ascii="Times New Roman" w:hAnsi="Times New Roman" w:cs="Times New Roman"/>
          <w:sz w:val="24"/>
          <w:szCs w:val="24"/>
        </w:rPr>
        <w:t xml:space="preserve">Columbia’s </w:t>
      </w:r>
      <w:r w:rsidR="00BB71AE">
        <w:rPr>
          <w:rFonts w:ascii="Times New Roman" w:hAnsi="Times New Roman" w:cs="Times New Roman"/>
          <w:sz w:val="24"/>
          <w:szCs w:val="24"/>
        </w:rPr>
        <w:t xml:space="preserve">Emergency </w:t>
      </w:r>
      <w:r w:rsidRPr="00A37932">
        <w:rPr>
          <w:rFonts w:ascii="Times New Roman" w:hAnsi="Times New Roman" w:cs="Times New Roman"/>
          <w:sz w:val="24"/>
          <w:szCs w:val="24"/>
        </w:rPr>
        <w:t>Plan in</w:t>
      </w:r>
      <w:r w:rsidR="00F7735B">
        <w:rPr>
          <w:rFonts w:ascii="Times New Roman" w:hAnsi="Times New Roman" w:cs="Times New Roman"/>
          <w:sz w:val="24"/>
          <w:szCs w:val="24"/>
        </w:rPr>
        <w:t xml:space="preserve"> part</w:t>
      </w:r>
      <w:r w:rsidRPr="00A37932">
        <w:rPr>
          <w:rFonts w:ascii="Times New Roman" w:hAnsi="Times New Roman" w:cs="Times New Roman"/>
          <w:sz w:val="24"/>
          <w:szCs w:val="24"/>
        </w:rPr>
        <w:t>, thereby temporarily suspending the identified rules.</w:t>
      </w:r>
      <w:r w:rsidRPr="00A37932" w:rsidR="003C21ED">
        <w:rPr>
          <w:rFonts w:ascii="Times New Roman" w:hAnsi="Times New Roman" w:cs="Times New Roman"/>
          <w:sz w:val="24"/>
          <w:szCs w:val="24"/>
        </w:rPr>
        <w:t xml:space="preserve"> The </w:t>
      </w:r>
      <w:r w:rsidR="00F7735B">
        <w:rPr>
          <w:rFonts w:ascii="Times New Roman" w:hAnsi="Times New Roman" w:cs="Times New Roman"/>
          <w:sz w:val="24"/>
          <w:szCs w:val="24"/>
        </w:rPr>
        <w:t>Emergency Plan Order</w:t>
      </w:r>
      <w:r w:rsidRPr="00A37932" w:rsidR="003C21ED">
        <w:rPr>
          <w:rFonts w:ascii="Times New Roman" w:hAnsi="Times New Roman" w:cs="Times New Roman"/>
          <w:sz w:val="24"/>
          <w:szCs w:val="24"/>
        </w:rPr>
        <w:t xml:space="preserve"> also </w:t>
      </w:r>
      <w:r w:rsidRPr="00A37932">
        <w:rPr>
          <w:rFonts w:ascii="Times New Roman" w:hAnsi="Times New Roman" w:cs="Times New Roman"/>
          <w:sz w:val="24"/>
          <w:szCs w:val="24"/>
        </w:rPr>
        <w:t xml:space="preserve">specified </w:t>
      </w:r>
      <w:r w:rsidRPr="00A37932" w:rsidR="003C21ED">
        <w:rPr>
          <w:rFonts w:ascii="Times New Roman" w:hAnsi="Times New Roman" w:cs="Times New Roman"/>
          <w:sz w:val="24"/>
          <w:szCs w:val="24"/>
        </w:rPr>
        <w:t>“[i]n the event that Columbia subsequently elects to seek deferral authority or to request recovery of expenses, Columbia is directed to track the costs associated with this emergency in a separate Federal Energy Regulatory Commission account, as well as track any costs the Company avoids due to the emergency.”</w:t>
      </w:r>
      <w:r>
        <w:rPr>
          <w:rStyle w:val="FootnoteReference"/>
          <w:rFonts w:ascii="Times New Roman" w:hAnsi="Times New Roman" w:cs="Times New Roman"/>
          <w:sz w:val="24"/>
          <w:szCs w:val="24"/>
        </w:rPr>
        <w:footnoteReference w:id="9"/>
      </w:r>
      <w:r w:rsidR="00123496">
        <w:rPr>
          <w:rFonts w:ascii="Times New Roman" w:hAnsi="Times New Roman" w:cs="Times New Roman"/>
          <w:sz w:val="24"/>
          <w:szCs w:val="24"/>
        </w:rPr>
        <w:t xml:space="preserve"> </w:t>
      </w:r>
    </w:p>
    <w:p w:rsidR="00CB1F12" w:rsidRPr="00A37932" w:rsidP="00D12D64" w14:paraId="7AC4840E" w14:textId="427BCA8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Later, Columbia filed a “transition” plan to resume pre-emergency operations. Columbia proposed, among other things, to resume disconnecting consumers for nonpayment on </w:t>
      </w:r>
      <w:r w:rsidR="00013B0C">
        <w:rPr>
          <w:rFonts w:ascii="Times New Roman" w:hAnsi="Times New Roman" w:cs="Times New Roman"/>
          <w:sz w:val="24"/>
          <w:szCs w:val="24"/>
        </w:rPr>
        <w:t>July 29</w:t>
      </w:r>
      <w:r>
        <w:rPr>
          <w:rFonts w:ascii="Times New Roman" w:hAnsi="Times New Roman" w:cs="Times New Roman"/>
          <w:sz w:val="24"/>
          <w:szCs w:val="24"/>
        </w:rPr>
        <w:t xml:space="preserve">, 2020. On </w:t>
      </w:r>
      <w:r w:rsidR="00013B0C">
        <w:rPr>
          <w:rFonts w:ascii="Times New Roman" w:hAnsi="Times New Roman" w:cs="Times New Roman"/>
          <w:sz w:val="24"/>
          <w:szCs w:val="24"/>
        </w:rPr>
        <w:t>June 17</w:t>
      </w:r>
      <w:r>
        <w:rPr>
          <w:rFonts w:ascii="Times New Roman" w:hAnsi="Times New Roman" w:cs="Times New Roman"/>
          <w:sz w:val="24"/>
          <w:szCs w:val="24"/>
        </w:rPr>
        <w:t>, 2020, the PUCO issued an order on Columbia’s transition plan, and allowed Columbia to resume disconnections.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917F99" w:rsidP="00D12D64" w14:paraId="7BCB13E9" w14:textId="60C41806">
      <w:pPr>
        <w:autoSpaceDE w:val="0"/>
        <w:autoSpaceDN w:val="0"/>
        <w:adjustRightInd w:val="0"/>
        <w:spacing w:after="0" w:line="480" w:lineRule="auto"/>
        <w:ind w:firstLine="720"/>
        <w:rPr>
          <w:rFonts w:ascii="Times New Roman" w:hAnsi="Times New Roman" w:cs="Times New Roman"/>
          <w:sz w:val="24"/>
          <w:szCs w:val="24"/>
        </w:rPr>
      </w:pPr>
      <w:r w:rsidRPr="00A37932">
        <w:rPr>
          <w:rFonts w:ascii="Times New Roman" w:hAnsi="Times New Roman" w:cs="Times New Roman"/>
          <w:sz w:val="24"/>
          <w:szCs w:val="24"/>
        </w:rPr>
        <w:t xml:space="preserve">On May 29, 2020, </w:t>
      </w:r>
      <w:r w:rsidR="00F7735B">
        <w:rPr>
          <w:rFonts w:ascii="Times New Roman" w:hAnsi="Times New Roman" w:cs="Times New Roman"/>
          <w:sz w:val="24"/>
          <w:szCs w:val="24"/>
        </w:rPr>
        <w:t xml:space="preserve">Columbia </w:t>
      </w:r>
      <w:r w:rsidRPr="00A37932">
        <w:rPr>
          <w:rFonts w:ascii="Times New Roman" w:hAnsi="Times New Roman" w:cs="Times New Roman"/>
          <w:sz w:val="24"/>
          <w:szCs w:val="24"/>
        </w:rPr>
        <w:t>filed</w:t>
      </w:r>
      <w:r w:rsidR="00F7735B">
        <w:rPr>
          <w:rFonts w:ascii="Times New Roman" w:hAnsi="Times New Roman" w:cs="Times New Roman"/>
          <w:sz w:val="24"/>
          <w:szCs w:val="24"/>
        </w:rPr>
        <w:t xml:space="preserve"> its A</w:t>
      </w:r>
      <w:r w:rsidRPr="00A37932">
        <w:rPr>
          <w:rFonts w:ascii="Times New Roman" w:hAnsi="Times New Roman" w:cs="Times New Roman"/>
          <w:sz w:val="24"/>
          <w:szCs w:val="24"/>
        </w:rPr>
        <w:t xml:space="preserve">pplication </w:t>
      </w:r>
      <w:r w:rsidR="00F7735B">
        <w:rPr>
          <w:rFonts w:ascii="Times New Roman" w:hAnsi="Times New Roman" w:cs="Times New Roman"/>
          <w:sz w:val="24"/>
          <w:szCs w:val="24"/>
        </w:rPr>
        <w:t xml:space="preserve">in this case </w:t>
      </w:r>
      <w:r w:rsidRPr="00A37932">
        <w:rPr>
          <w:rFonts w:ascii="Times New Roman" w:hAnsi="Times New Roman" w:cs="Times New Roman"/>
          <w:sz w:val="24"/>
          <w:szCs w:val="24"/>
        </w:rPr>
        <w:t xml:space="preserve">for authority to establish a regulatory asset. </w:t>
      </w:r>
      <w:r w:rsidR="00F7735B">
        <w:rPr>
          <w:rFonts w:ascii="Times New Roman" w:hAnsi="Times New Roman" w:cs="Times New Roman"/>
          <w:sz w:val="24"/>
          <w:szCs w:val="24"/>
        </w:rPr>
        <w:t xml:space="preserve">Columbia </w:t>
      </w:r>
      <w:r w:rsidR="00A37932">
        <w:rPr>
          <w:rFonts w:ascii="Times New Roman" w:hAnsi="Times New Roman" w:cs="Times New Roman"/>
          <w:sz w:val="24"/>
          <w:szCs w:val="24"/>
        </w:rPr>
        <w:t>proposes to accrue expenses and lost revenues</w:t>
      </w:r>
      <w:r w:rsidRPr="00A37932">
        <w:rPr>
          <w:rFonts w:ascii="Times New Roman" w:hAnsi="Times New Roman" w:cs="Times New Roman"/>
          <w:sz w:val="24"/>
          <w:szCs w:val="24"/>
        </w:rPr>
        <w:t xml:space="preserve"> for recovery of any incremental operational costs, including the loss of miscellaneous revenues as a result of </w:t>
      </w:r>
      <w:r w:rsidR="00896FC2">
        <w:rPr>
          <w:rFonts w:ascii="Times New Roman" w:hAnsi="Times New Roman" w:cs="Times New Roman"/>
          <w:sz w:val="24"/>
          <w:szCs w:val="24"/>
        </w:rPr>
        <w:t>the coronavirus</w:t>
      </w:r>
      <w:r w:rsidR="00BB71AE">
        <w:rPr>
          <w:rFonts w:ascii="Times New Roman" w:hAnsi="Times New Roman" w:cs="Times New Roman"/>
          <w:sz w:val="24"/>
          <w:szCs w:val="24"/>
        </w:rPr>
        <w:t xml:space="preserve"> and implementation of the Emergency Plan</w:t>
      </w:r>
      <w:r w:rsidRPr="00A37932">
        <w:rPr>
          <w:rFonts w:ascii="Times New Roman" w:hAnsi="Times New Roman" w:cs="Times New Roman"/>
          <w:sz w:val="24"/>
          <w:szCs w:val="24"/>
        </w:rPr>
        <w:t>.</w:t>
      </w:r>
    </w:p>
    <w:p w:rsidR="00D12D64" w:rsidRPr="00A37932" w:rsidP="00D12D64" w14:paraId="7DB3FA23" w14:textId="77777777">
      <w:pPr>
        <w:autoSpaceDE w:val="0"/>
        <w:autoSpaceDN w:val="0"/>
        <w:adjustRightInd w:val="0"/>
        <w:spacing w:after="0" w:line="240" w:lineRule="auto"/>
        <w:ind w:firstLine="720"/>
        <w:rPr>
          <w:rFonts w:ascii="Times New Roman" w:hAnsi="Times New Roman" w:cs="Times New Roman"/>
          <w:sz w:val="24"/>
          <w:szCs w:val="24"/>
        </w:rPr>
      </w:pPr>
    </w:p>
    <w:p w:rsidR="0081218C" w:rsidRPr="00D12D64" w:rsidP="00D12D64" w14:paraId="61B6F53D" w14:textId="24B5D37A">
      <w:pPr>
        <w:pStyle w:val="ListParagraph"/>
        <w:numPr>
          <w:ilvl w:val="0"/>
          <w:numId w:val="1"/>
        </w:numPr>
        <w:autoSpaceDE w:val="0"/>
        <w:autoSpaceDN w:val="0"/>
        <w:adjustRightInd w:val="0"/>
        <w:spacing w:after="0" w:line="240" w:lineRule="auto"/>
        <w:ind w:left="720"/>
        <w:rPr>
          <w:rFonts w:ascii="Times New Roman" w:hAnsi="Times New Roman" w:cs="Times New Roman"/>
          <w:b/>
          <w:bCs/>
          <w:sz w:val="24"/>
          <w:szCs w:val="24"/>
        </w:rPr>
      </w:pPr>
      <w:r w:rsidRPr="00D12D64">
        <w:rPr>
          <w:rFonts w:ascii="Times New Roman" w:hAnsi="Times New Roman" w:cs="Times New Roman"/>
          <w:b/>
          <w:bCs/>
          <w:sz w:val="24"/>
          <w:szCs w:val="24"/>
        </w:rPr>
        <w:t xml:space="preserve">COLUMBIA’S APPLICATION </w:t>
      </w:r>
      <w:r>
        <w:rPr>
          <w:rFonts w:ascii="Times New Roman" w:hAnsi="Times New Roman" w:cs="Times New Roman"/>
          <w:b/>
          <w:bCs/>
          <w:sz w:val="24"/>
          <w:szCs w:val="24"/>
        </w:rPr>
        <w:t xml:space="preserve">FAILS TO COMPLY WITH THE PUCO’S STANDARDS </w:t>
      </w:r>
      <w:r w:rsidR="00E77D7F">
        <w:rPr>
          <w:rFonts w:ascii="Times New Roman" w:hAnsi="Times New Roman" w:cs="Times New Roman"/>
          <w:b/>
          <w:bCs/>
          <w:sz w:val="24"/>
          <w:szCs w:val="24"/>
        </w:rPr>
        <w:t xml:space="preserve">FOR </w:t>
      </w:r>
      <w:r>
        <w:rPr>
          <w:rFonts w:ascii="Times New Roman" w:hAnsi="Times New Roman" w:cs="Times New Roman"/>
          <w:b/>
          <w:bCs/>
          <w:sz w:val="24"/>
          <w:szCs w:val="24"/>
        </w:rPr>
        <w:t>APPROVING</w:t>
      </w:r>
      <w:r w:rsidRPr="00D12D64">
        <w:rPr>
          <w:rFonts w:ascii="Times New Roman" w:hAnsi="Times New Roman" w:cs="Times New Roman"/>
          <w:b/>
          <w:bCs/>
          <w:sz w:val="24"/>
          <w:szCs w:val="24"/>
        </w:rPr>
        <w:t xml:space="preserve"> DEFERRALS.</w:t>
      </w:r>
    </w:p>
    <w:p w:rsidR="00A37932" w:rsidRPr="00A37932" w:rsidP="00A37932" w14:paraId="56196B4E" w14:textId="77777777">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1218C" w:rsidRPr="00A37932" w:rsidP="00D12D64" w14:paraId="17EC0BD8" w14:textId="036AD6EA">
      <w:pPr>
        <w:autoSpaceDE w:val="0"/>
        <w:autoSpaceDN w:val="0"/>
        <w:adjustRightInd w:val="0"/>
        <w:spacing w:after="0" w:line="480" w:lineRule="auto"/>
        <w:ind w:firstLine="720"/>
        <w:rPr>
          <w:rFonts w:ascii="Times New Roman" w:hAnsi="Times New Roman" w:cs="Times New Roman"/>
          <w:sz w:val="24"/>
          <w:szCs w:val="24"/>
        </w:rPr>
      </w:pPr>
      <w:r w:rsidRPr="00A37932">
        <w:rPr>
          <w:rFonts w:ascii="Times New Roman" w:hAnsi="Times New Roman" w:cs="Times New Roman"/>
          <w:sz w:val="24"/>
          <w:szCs w:val="24"/>
        </w:rPr>
        <w:t xml:space="preserve">The PUCO </w:t>
      </w:r>
      <w:r w:rsidRPr="00A37932" w:rsidR="00BA21A7">
        <w:rPr>
          <w:rFonts w:ascii="Times New Roman" w:hAnsi="Times New Roman" w:cs="Times New Roman"/>
          <w:sz w:val="24"/>
          <w:szCs w:val="24"/>
        </w:rPr>
        <w:t xml:space="preserve">generally employs </w:t>
      </w:r>
      <w:r w:rsidRPr="00A37932">
        <w:rPr>
          <w:rFonts w:ascii="Times New Roman" w:hAnsi="Times New Roman" w:cs="Times New Roman"/>
          <w:sz w:val="24"/>
          <w:szCs w:val="24"/>
        </w:rPr>
        <w:t>a six</w:t>
      </w:r>
      <w:r w:rsidR="00BF37F0">
        <w:rPr>
          <w:rFonts w:ascii="Times New Roman" w:hAnsi="Times New Roman" w:cs="Times New Roman"/>
          <w:sz w:val="24"/>
          <w:szCs w:val="24"/>
        </w:rPr>
        <w:t>-</w:t>
      </w:r>
      <w:r w:rsidRPr="00A37932">
        <w:rPr>
          <w:rFonts w:ascii="Times New Roman" w:hAnsi="Times New Roman" w:cs="Times New Roman"/>
          <w:sz w:val="24"/>
          <w:szCs w:val="24"/>
        </w:rPr>
        <w:t xml:space="preserve">part </w:t>
      </w:r>
      <w:r w:rsidRPr="00A37932" w:rsidR="00BA21A7">
        <w:rPr>
          <w:rFonts w:ascii="Times New Roman" w:hAnsi="Times New Roman" w:cs="Times New Roman"/>
          <w:sz w:val="24"/>
          <w:szCs w:val="24"/>
        </w:rPr>
        <w:t xml:space="preserve">test (“Test”) </w:t>
      </w:r>
      <w:r w:rsidRPr="00A37932">
        <w:rPr>
          <w:rFonts w:ascii="Times New Roman" w:hAnsi="Times New Roman" w:cs="Times New Roman"/>
          <w:sz w:val="24"/>
          <w:szCs w:val="24"/>
        </w:rPr>
        <w:t xml:space="preserve">to determine </w:t>
      </w:r>
      <w:r w:rsidRPr="00A37932" w:rsidR="00BA21A7">
        <w:rPr>
          <w:rFonts w:ascii="Times New Roman" w:hAnsi="Times New Roman" w:cs="Times New Roman"/>
          <w:sz w:val="24"/>
          <w:szCs w:val="24"/>
        </w:rPr>
        <w:t xml:space="preserve">whether </w:t>
      </w:r>
      <w:r w:rsidRPr="00A37932">
        <w:rPr>
          <w:rFonts w:ascii="Times New Roman" w:hAnsi="Times New Roman" w:cs="Times New Roman"/>
          <w:sz w:val="24"/>
          <w:szCs w:val="24"/>
        </w:rPr>
        <w:t>it should permit a public utility to</w:t>
      </w:r>
      <w:r w:rsidR="00FB68C9">
        <w:rPr>
          <w:rFonts w:ascii="Times New Roman" w:hAnsi="Times New Roman" w:cs="Times New Roman"/>
          <w:sz w:val="24"/>
          <w:szCs w:val="24"/>
        </w:rPr>
        <w:t xml:space="preserve"> defer expenses for later collection from </w:t>
      </w:r>
      <w:r w:rsidR="00544BAD">
        <w:rPr>
          <w:rFonts w:ascii="Times New Roman" w:hAnsi="Times New Roman" w:cs="Times New Roman"/>
          <w:sz w:val="24"/>
          <w:szCs w:val="24"/>
        </w:rPr>
        <w:t>consumers</w:t>
      </w:r>
      <w:r w:rsidRPr="00A37932">
        <w:rPr>
          <w:rFonts w:ascii="Times New Roman" w:hAnsi="Times New Roman" w:cs="Times New Roman"/>
          <w:sz w:val="24"/>
          <w:szCs w:val="24"/>
        </w:rPr>
        <w:t xml:space="preserve"> </w:t>
      </w:r>
      <w:r w:rsidR="00BF37F0">
        <w:rPr>
          <w:rFonts w:ascii="Times New Roman" w:hAnsi="Times New Roman" w:cs="Times New Roman"/>
          <w:sz w:val="24"/>
          <w:szCs w:val="24"/>
        </w:rPr>
        <w:t xml:space="preserve">and </w:t>
      </w:r>
      <w:r w:rsidRPr="00A37932" w:rsidR="00BA21A7">
        <w:rPr>
          <w:rFonts w:ascii="Times New Roman" w:hAnsi="Times New Roman" w:cs="Times New Roman"/>
          <w:sz w:val="24"/>
          <w:szCs w:val="24"/>
        </w:rPr>
        <w:t>accrue expenses for later recovery as a regulatory asset</w:t>
      </w:r>
      <w:r w:rsidR="00FC4966">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00123496">
        <w:rPr>
          <w:rFonts w:ascii="Times New Roman" w:hAnsi="Times New Roman" w:cs="Times New Roman"/>
          <w:sz w:val="24"/>
          <w:szCs w:val="24"/>
        </w:rPr>
        <w:t xml:space="preserve"> </w:t>
      </w:r>
      <w:r w:rsidRPr="00A37932" w:rsidR="008C5C5D">
        <w:rPr>
          <w:rFonts w:ascii="Times New Roman" w:hAnsi="Times New Roman" w:cs="Times New Roman"/>
          <w:sz w:val="24"/>
          <w:szCs w:val="24"/>
        </w:rPr>
        <w:t xml:space="preserve">Columbia’s Application does not </w:t>
      </w:r>
      <w:r w:rsidR="00FB68C9">
        <w:rPr>
          <w:rFonts w:ascii="Times New Roman" w:hAnsi="Times New Roman" w:cs="Times New Roman"/>
          <w:sz w:val="24"/>
          <w:szCs w:val="24"/>
        </w:rPr>
        <w:t xml:space="preserve">even </w:t>
      </w:r>
      <w:r w:rsidRPr="00A37932" w:rsidR="008C5C5D">
        <w:rPr>
          <w:rFonts w:ascii="Times New Roman" w:hAnsi="Times New Roman" w:cs="Times New Roman"/>
          <w:sz w:val="24"/>
          <w:szCs w:val="24"/>
        </w:rPr>
        <w:t xml:space="preserve">acknowledge that the Test exists, let alone attempt to </w:t>
      </w:r>
      <w:r w:rsidR="00A37932">
        <w:rPr>
          <w:rFonts w:ascii="Times New Roman" w:hAnsi="Times New Roman" w:cs="Times New Roman"/>
          <w:sz w:val="24"/>
          <w:szCs w:val="24"/>
        </w:rPr>
        <w:t xml:space="preserve">demonstrate </w:t>
      </w:r>
      <w:r w:rsidR="00FC4966">
        <w:rPr>
          <w:rFonts w:ascii="Times New Roman" w:hAnsi="Times New Roman" w:cs="Times New Roman"/>
          <w:sz w:val="24"/>
          <w:szCs w:val="24"/>
        </w:rPr>
        <w:t>the Test</w:t>
      </w:r>
      <w:r w:rsidR="00FB68C9">
        <w:rPr>
          <w:rFonts w:ascii="Times New Roman" w:hAnsi="Times New Roman" w:cs="Times New Roman"/>
          <w:sz w:val="24"/>
          <w:szCs w:val="24"/>
        </w:rPr>
        <w:t xml:space="preserve"> is satisfied, </w:t>
      </w:r>
      <w:r w:rsidR="00BF37F0">
        <w:rPr>
          <w:rFonts w:ascii="Times New Roman" w:hAnsi="Times New Roman" w:cs="Times New Roman"/>
          <w:sz w:val="24"/>
          <w:szCs w:val="24"/>
        </w:rPr>
        <w:t>so right there Columbia’s Application should be denied</w:t>
      </w:r>
      <w:r w:rsidR="00FB68C9">
        <w:rPr>
          <w:rFonts w:ascii="Times New Roman" w:hAnsi="Times New Roman" w:cs="Times New Roman"/>
          <w:sz w:val="24"/>
          <w:szCs w:val="24"/>
        </w:rPr>
        <w:t xml:space="preserve">. </w:t>
      </w:r>
    </w:p>
    <w:p w:rsidR="0086561D" w:rsidP="00D12D64" w14:paraId="2BE8BB9A" w14:textId="4DBEE63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w:t>
      </w:r>
      <w:r w:rsidRPr="00A37932" w:rsidR="008C5C5D">
        <w:rPr>
          <w:rFonts w:ascii="Times New Roman" w:hAnsi="Times New Roman" w:cs="Times New Roman"/>
          <w:sz w:val="24"/>
          <w:szCs w:val="24"/>
        </w:rPr>
        <w:t xml:space="preserve">Staff filed </w:t>
      </w:r>
      <w:r w:rsidR="000E2014">
        <w:rPr>
          <w:rFonts w:ascii="Times New Roman" w:hAnsi="Times New Roman" w:cs="Times New Roman"/>
          <w:sz w:val="24"/>
          <w:szCs w:val="24"/>
        </w:rPr>
        <w:t xml:space="preserve">its </w:t>
      </w:r>
      <w:r w:rsidRPr="00A37932" w:rsidR="008C5C5D">
        <w:rPr>
          <w:rFonts w:ascii="Times New Roman" w:hAnsi="Times New Roman" w:cs="Times New Roman"/>
          <w:sz w:val="24"/>
          <w:szCs w:val="24"/>
        </w:rPr>
        <w:t>Staff Report on June 10, 2020</w:t>
      </w:r>
      <w:r w:rsidRPr="00A37932" w:rsidR="00A415A6">
        <w:rPr>
          <w:rFonts w:ascii="Times New Roman" w:hAnsi="Times New Roman" w:cs="Times New Roman"/>
          <w:sz w:val="24"/>
          <w:szCs w:val="24"/>
        </w:rPr>
        <w:t xml:space="preserve">. The Staff </w:t>
      </w:r>
      <w:r w:rsidR="00A37932">
        <w:rPr>
          <w:rFonts w:ascii="Times New Roman" w:hAnsi="Times New Roman" w:cs="Times New Roman"/>
          <w:sz w:val="24"/>
          <w:szCs w:val="24"/>
        </w:rPr>
        <w:t xml:space="preserve">notes </w:t>
      </w:r>
      <w:r w:rsidRPr="00A37932" w:rsidR="00A415A6">
        <w:rPr>
          <w:rFonts w:ascii="Times New Roman" w:hAnsi="Times New Roman" w:cs="Times New Roman"/>
          <w:sz w:val="24"/>
          <w:szCs w:val="24"/>
        </w:rPr>
        <w:t xml:space="preserve">that Columbia’s Application; (1) fails to request a specific </w:t>
      </w:r>
      <w:r w:rsidRPr="00A37932" w:rsidR="009679D1">
        <w:rPr>
          <w:rFonts w:ascii="Times New Roman" w:hAnsi="Times New Roman" w:cs="Times New Roman"/>
          <w:sz w:val="24"/>
          <w:szCs w:val="24"/>
        </w:rPr>
        <w:t xml:space="preserve">mechanism </w:t>
      </w:r>
      <w:r w:rsidRPr="00A37932" w:rsidR="00A415A6">
        <w:rPr>
          <w:rFonts w:ascii="Times New Roman" w:hAnsi="Times New Roman" w:cs="Times New Roman"/>
          <w:sz w:val="24"/>
          <w:szCs w:val="24"/>
        </w:rPr>
        <w:t>through which to recover foregone revenues; and (2) fails to address</w:t>
      </w:r>
      <w:r w:rsidRPr="00A37932" w:rsidR="008C5C5D">
        <w:rPr>
          <w:rFonts w:ascii="Times New Roman" w:hAnsi="Times New Roman" w:cs="Times New Roman"/>
          <w:sz w:val="24"/>
          <w:szCs w:val="24"/>
        </w:rPr>
        <w:t xml:space="preserve"> </w:t>
      </w:r>
      <w:r w:rsidRPr="00A37932" w:rsidR="00A415A6">
        <w:rPr>
          <w:rFonts w:ascii="Times New Roman" w:hAnsi="Times New Roman" w:cs="Times New Roman"/>
          <w:sz w:val="24"/>
          <w:szCs w:val="24"/>
        </w:rPr>
        <w:t xml:space="preserve">requirements of the </w:t>
      </w:r>
      <w:r w:rsidRPr="00A37932" w:rsidR="008C5C5D">
        <w:rPr>
          <w:rFonts w:ascii="Times New Roman" w:hAnsi="Times New Roman" w:cs="Times New Roman"/>
          <w:sz w:val="24"/>
          <w:szCs w:val="24"/>
        </w:rPr>
        <w:t>Test</w:t>
      </w:r>
      <w:r w:rsidRPr="00A37932" w:rsidR="009679D1">
        <w:rPr>
          <w:rFonts w:ascii="Times New Roman" w:hAnsi="Times New Roman" w:cs="Times New Roman"/>
          <w:sz w:val="24"/>
          <w:szCs w:val="24"/>
        </w:rPr>
        <w:t xml:space="preserve">. </w:t>
      </w:r>
      <w:r>
        <w:rPr>
          <w:rFonts w:ascii="Times New Roman" w:hAnsi="Times New Roman" w:cs="Times New Roman"/>
          <w:sz w:val="24"/>
          <w:szCs w:val="24"/>
        </w:rPr>
        <w:t>T</w:t>
      </w:r>
      <w:r w:rsidR="000E5A1E">
        <w:rPr>
          <w:rFonts w:ascii="Times New Roman" w:hAnsi="Times New Roman" w:cs="Times New Roman"/>
          <w:sz w:val="24"/>
          <w:szCs w:val="24"/>
        </w:rPr>
        <w:t xml:space="preserve">he </w:t>
      </w:r>
      <w:r w:rsidRPr="00A37932" w:rsidR="00E7492F">
        <w:rPr>
          <w:rFonts w:ascii="Times New Roman" w:hAnsi="Times New Roman" w:cs="Times New Roman"/>
          <w:sz w:val="24"/>
          <w:szCs w:val="24"/>
        </w:rPr>
        <w:t xml:space="preserve">Staff </w:t>
      </w:r>
      <w:r w:rsidRPr="00A37932" w:rsidR="009679D1">
        <w:rPr>
          <w:rFonts w:ascii="Times New Roman" w:hAnsi="Times New Roman" w:cs="Times New Roman"/>
          <w:sz w:val="24"/>
          <w:szCs w:val="24"/>
        </w:rPr>
        <w:t>nonetheless attempts to analyze Columbia’s proposal against the Test</w:t>
      </w:r>
      <w:r w:rsidR="00FC4966">
        <w:rPr>
          <w:rFonts w:ascii="Times New Roman" w:hAnsi="Times New Roman" w:cs="Times New Roman"/>
          <w:sz w:val="24"/>
          <w:szCs w:val="24"/>
        </w:rPr>
        <w:t xml:space="preserve">. </w:t>
      </w:r>
      <w:r w:rsidR="000E5A1E">
        <w:rPr>
          <w:rFonts w:ascii="Times New Roman" w:hAnsi="Times New Roman" w:cs="Times New Roman"/>
          <w:sz w:val="24"/>
          <w:szCs w:val="24"/>
        </w:rPr>
        <w:t xml:space="preserve">The </w:t>
      </w:r>
      <w:r w:rsidR="00A37932">
        <w:rPr>
          <w:rFonts w:ascii="Times New Roman" w:hAnsi="Times New Roman" w:cs="Times New Roman"/>
          <w:sz w:val="24"/>
          <w:szCs w:val="24"/>
        </w:rPr>
        <w:t xml:space="preserve">Staff concludes that </w:t>
      </w:r>
      <w:r w:rsidRPr="00A37932" w:rsidR="00E7492F">
        <w:rPr>
          <w:rFonts w:ascii="Times New Roman" w:hAnsi="Times New Roman" w:cs="Times New Roman"/>
          <w:sz w:val="24"/>
          <w:szCs w:val="24"/>
        </w:rPr>
        <w:t xml:space="preserve">it is currently unclear </w:t>
      </w:r>
      <w:r w:rsidRPr="00A37932" w:rsidR="009679D1">
        <w:rPr>
          <w:rFonts w:ascii="Times New Roman" w:hAnsi="Times New Roman" w:cs="Times New Roman"/>
          <w:sz w:val="24"/>
          <w:szCs w:val="24"/>
        </w:rPr>
        <w:t xml:space="preserve">whether </w:t>
      </w:r>
      <w:r w:rsidRPr="00A37932" w:rsidR="00E7492F">
        <w:rPr>
          <w:rFonts w:ascii="Times New Roman" w:hAnsi="Times New Roman" w:cs="Times New Roman"/>
          <w:sz w:val="24"/>
          <w:szCs w:val="24"/>
        </w:rPr>
        <w:t>Columbia meets the p</w:t>
      </w:r>
      <w:r w:rsidRPr="00A37932" w:rsidR="009679D1">
        <w:rPr>
          <w:rFonts w:ascii="Times New Roman" w:hAnsi="Times New Roman" w:cs="Times New Roman"/>
          <w:sz w:val="24"/>
          <w:szCs w:val="24"/>
        </w:rPr>
        <w:t>rov</w:t>
      </w:r>
      <w:r w:rsidR="00A37932">
        <w:rPr>
          <w:rFonts w:ascii="Times New Roman" w:hAnsi="Times New Roman" w:cs="Times New Roman"/>
          <w:sz w:val="24"/>
          <w:szCs w:val="24"/>
        </w:rPr>
        <w:t>i</w:t>
      </w:r>
      <w:r w:rsidRPr="00A37932" w:rsidR="009679D1">
        <w:rPr>
          <w:rFonts w:ascii="Times New Roman" w:hAnsi="Times New Roman" w:cs="Times New Roman"/>
          <w:sz w:val="24"/>
          <w:szCs w:val="24"/>
        </w:rPr>
        <w:t>sions</w:t>
      </w:r>
      <w:r w:rsidRPr="00A37932" w:rsidR="00E7492F">
        <w:rPr>
          <w:rFonts w:ascii="Times New Roman" w:hAnsi="Times New Roman" w:cs="Times New Roman"/>
          <w:sz w:val="24"/>
          <w:szCs w:val="24"/>
        </w:rPr>
        <w:t xml:space="preserve"> of the Test. </w:t>
      </w:r>
      <w:r w:rsidR="000E5A1E">
        <w:rPr>
          <w:rFonts w:ascii="Times New Roman" w:hAnsi="Times New Roman" w:cs="Times New Roman"/>
          <w:sz w:val="24"/>
          <w:szCs w:val="24"/>
        </w:rPr>
        <w:t>For example</w:t>
      </w:r>
      <w:r w:rsidRPr="00A37932" w:rsidR="00E7492F">
        <w:rPr>
          <w:rFonts w:ascii="Times New Roman" w:hAnsi="Times New Roman" w:cs="Times New Roman"/>
          <w:sz w:val="24"/>
          <w:szCs w:val="24"/>
        </w:rPr>
        <w:t xml:space="preserve">, the Staff states </w:t>
      </w:r>
      <w:r w:rsidR="009020AC">
        <w:rPr>
          <w:rFonts w:ascii="Times New Roman" w:hAnsi="Times New Roman" w:cs="Times New Roman"/>
          <w:sz w:val="24"/>
          <w:szCs w:val="24"/>
        </w:rPr>
        <w:t xml:space="preserve">in its Report </w:t>
      </w:r>
      <w:r w:rsidRPr="00A37932" w:rsidR="00E7492F">
        <w:rPr>
          <w:rFonts w:ascii="Times New Roman" w:hAnsi="Times New Roman" w:cs="Times New Roman"/>
          <w:sz w:val="24"/>
          <w:szCs w:val="24"/>
        </w:rPr>
        <w:t xml:space="preserve">that it is unclear </w:t>
      </w:r>
      <w:r w:rsidR="00A37932">
        <w:rPr>
          <w:rFonts w:ascii="Times New Roman" w:hAnsi="Times New Roman" w:cs="Times New Roman"/>
          <w:sz w:val="24"/>
          <w:szCs w:val="24"/>
        </w:rPr>
        <w:t xml:space="preserve">whether </w:t>
      </w:r>
      <w:r w:rsidRPr="00A37932" w:rsidR="00E7492F">
        <w:rPr>
          <w:rFonts w:ascii="Times New Roman" w:hAnsi="Times New Roman" w:cs="Times New Roman"/>
          <w:sz w:val="24"/>
          <w:szCs w:val="24"/>
        </w:rPr>
        <w:t xml:space="preserve">Columbia can show: (1) if the costs requested to be deferred are material in nature; </w:t>
      </w:r>
      <w:r w:rsidR="001F22F7">
        <w:rPr>
          <w:rFonts w:ascii="Times New Roman" w:hAnsi="Times New Roman" w:cs="Times New Roman"/>
          <w:sz w:val="24"/>
          <w:szCs w:val="24"/>
        </w:rPr>
        <w:t xml:space="preserve">and </w:t>
      </w:r>
      <w:r w:rsidRPr="00A37932" w:rsidR="00E7492F">
        <w:rPr>
          <w:rFonts w:ascii="Times New Roman" w:hAnsi="Times New Roman" w:cs="Times New Roman"/>
          <w:sz w:val="24"/>
          <w:szCs w:val="24"/>
        </w:rPr>
        <w:t>(2) if the c</w:t>
      </w:r>
      <w:r w:rsidRPr="00A37932" w:rsidR="00A415A6">
        <w:rPr>
          <w:rFonts w:ascii="Times New Roman" w:hAnsi="Times New Roman" w:cs="Times New Roman"/>
          <w:sz w:val="24"/>
          <w:szCs w:val="24"/>
        </w:rPr>
        <w:t>osts</w:t>
      </w:r>
      <w:r w:rsidRPr="00A37932" w:rsidR="00E7492F">
        <w:rPr>
          <w:rFonts w:ascii="Times New Roman" w:hAnsi="Times New Roman" w:cs="Times New Roman"/>
          <w:sz w:val="24"/>
          <w:szCs w:val="24"/>
        </w:rPr>
        <w:t xml:space="preserve"> would result in financial harm to Columbia</w:t>
      </w:r>
      <w:r w:rsidR="001F22F7">
        <w:rPr>
          <w:rFonts w:ascii="Times New Roman" w:hAnsi="Times New Roman" w:cs="Times New Roman"/>
          <w:sz w:val="24"/>
          <w:szCs w:val="24"/>
        </w:rPr>
        <w:t>.</w:t>
      </w:r>
      <w:r w:rsidR="00123496">
        <w:rPr>
          <w:rFonts w:ascii="Times New Roman" w:hAnsi="Times New Roman" w:cs="Times New Roman"/>
          <w:sz w:val="24"/>
          <w:szCs w:val="24"/>
        </w:rPr>
        <w:t xml:space="preserve"> </w:t>
      </w:r>
    </w:p>
    <w:p w:rsidR="008C5C5D" w:rsidRPr="00A37932" w:rsidP="00D12D64" w14:paraId="39910861" w14:textId="1C3FE19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w:t>
      </w:r>
      <w:r w:rsidR="0086561D">
        <w:rPr>
          <w:rFonts w:ascii="Times New Roman" w:hAnsi="Times New Roman" w:cs="Times New Roman"/>
          <w:sz w:val="24"/>
          <w:szCs w:val="24"/>
        </w:rPr>
        <w:t xml:space="preserve"> Staff’s</w:t>
      </w:r>
      <w:r>
        <w:rPr>
          <w:rFonts w:ascii="Times New Roman" w:hAnsi="Times New Roman" w:cs="Times New Roman"/>
          <w:sz w:val="24"/>
          <w:szCs w:val="24"/>
        </w:rPr>
        <w:t xml:space="preserve"> </w:t>
      </w:r>
      <w:r w:rsidR="009020AC">
        <w:rPr>
          <w:rFonts w:ascii="Times New Roman" w:hAnsi="Times New Roman" w:cs="Times New Roman"/>
          <w:sz w:val="24"/>
          <w:szCs w:val="24"/>
        </w:rPr>
        <w:t>reservations</w:t>
      </w:r>
      <w:r w:rsidR="0086561D">
        <w:rPr>
          <w:rFonts w:ascii="Times New Roman" w:hAnsi="Times New Roman" w:cs="Times New Roman"/>
          <w:sz w:val="24"/>
          <w:szCs w:val="24"/>
        </w:rPr>
        <w:t xml:space="preserve"> about Columbia’s failure to show it meets the PUCO’s standards (which involve consumer protection)</w:t>
      </w:r>
      <w:r w:rsidR="005B3DBE">
        <w:rPr>
          <w:rFonts w:ascii="Times New Roman" w:hAnsi="Times New Roman" w:cs="Times New Roman"/>
          <w:sz w:val="24"/>
          <w:szCs w:val="24"/>
        </w:rPr>
        <w:t xml:space="preserve">, the </w:t>
      </w:r>
      <w:r w:rsidR="0086561D">
        <w:rPr>
          <w:rFonts w:ascii="Times New Roman" w:hAnsi="Times New Roman" w:cs="Times New Roman"/>
          <w:sz w:val="24"/>
          <w:szCs w:val="24"/>
        </w:rPr>
        <w:t xml:space="preserve">PUCO </w:t>
      </w:r>
      <w:r w:rsidR="005B3DBE">
        <w:rPr>
          <w:rFonts w:ascii="Times New Roman" w:hAnsi="Times New Roman" w:cs="Times New Roman"/>
          <w:sz w:val="24"/>
          <w:szCs w:val="24"/>
        </w:rPr>
        <w:t xml:space="preserve">Staff recommends </w:t>
      </w:r>
      <w:r w:rsidR="0086561D">
        <w:rPr>
          <w:rFonts w:ascii="Times New Roman" w:hAnsi="Times New Roman" w:cs="Times New Roman"/>
          <w:sz w:val="24"/>
          <w:szCs w:val="24"/>
        </w:rPr>
        <w:t xml:space="preserve">approval of Columbia’s </w:t>
      </w:r>
      <w:r w:rsidR="005B3DBE">
        <w:rPr>
          <w:rFonts w:ascii="Times New Roman" w:hAnsi="Times New Roman" w:cs="Times New Roman"/>
          <w:sz w:val="24"/>
          <w:szCs w:val="24"/>
        </w:rPr>
        <w:t>application.</w:t>
      </w:r>
      <w:r w:rsidR="00123496">
        <w:rPr>
          <w:rFonts w:ascii="Times New Roman" w:hAnsi="Times New Roman" w:cs="Times New Roman"/>
          <w:sz w:val="24"/>
          <w:szCs w:val="24"/>
        </w:rPr>
        <w:t xml:space="preserve"> </w:t>
      </w:r>
    </w:p>
    <w:p w:rsidR="005B3DBE" w:rsidP="00D12D64" w14:paraId="6C5AD524" w14:textId="705A659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Columbia </w:t>
      </w:r>
      <w:r w:rsidRPr="00A37932" w:rsidR="009679D1">
        <w:rPr>
          <w:rFonts w:ascii="Times New Roman" w:hAnsi="Times New Roman" w:cs="Times New Roman"/>
          <w:sz w:val="24"/>
          <w:szCs w:val="24"/>
        </w:rPr>
        <w:t>bears the burden of proof to demonstrate that it</w:t>
      </w:r>
      <w:r w:rsidR="000E5A1E">
        <w:rPr>
          <w:rFonts w:ascii="Times New Roman" w:hAnsi="Times New Roman" w:cs="Times New Roman"/>
          <w:sz w:val="24"/>
          <w:szCs w:val="24"/>
        </w:rPr>
        <w:t xml:space="preserve"> fully</w:t>
      </w:r>
      <w:r w:rsidRPr="00A37932" w:rsidR="009679D1">
        <w:rPr>
          <w:rFonts w:ascii="Times New Roman" w:hAnsi="Times New Roman" w:cs="Times New Roman"/>
          <w:sz w:val="24"/>
          <w:szCs w:val="24"/>
        </w:rPr>
        <w:t xml:space="preserve"> satisfies the</w:t>
      </w:r>
      <w:r w:rsidR="00FC4966">
        <w:rPr>
          <w:rFonts w:ascii="Times New Roman" w:hAnsi="Times New Roman" w:cs="Times New Roman"/>
          <w:sz w:val="24"/>
          <w:szCs w:val="24"/>
        </w:rPr>
        <w:t xml:space="preserve"> Test</w:t>
      </w:r>
      <w:r w:rsidRPr="00A37932" w:rsidR="009679D1">
        <w:rPr>
          <w:rFonts w:ascii="Times New Roman" w:hAnsi="Times New Roman" w:cs="Times New Roman"/>
          <w:sz w:val="24"/>
          <w:szCs w:val="24"/>
        </w:rPr>
        <w:t xml:space="preserve"> before it </w:t>
      </w:r>
      <w:r>
        <w:rPr>
          <w:rFonts w:ascii="Times New Roman" w:hAnsi="Times New Roman" w:cs="Times New Roman"/>
          <w:sz w:val="24"/>
          <w:szCs w:val="24"/>
        </w:rPr>
        <w:t xml:space="preserve">should be permitted to defer the </w:t>
      </w:r>
      <w:r w:rsidRPr="00A37932" w:rsidR="009679D1">
        <w:rPr>
          <w:rFonts w:ascii="Times New Roman" w:hAnsi="Times New Roman" w:cs="Times New Roman"/>
          <w:sz w:val="24"/>
          <w:szCs w:val="24"/>
        </w:rPr>
        <w:t>expenses</w:t>
      </w:r>
      <w:r>
        <w:rPr>
          <w:rFonts w:ascii="Times New Roman" w:hAnsi="Times New Roman" w:cs="Times New Roman"/>
          <w:sz w:val="24"/>
          <w:szCs w:val="24"/>
        </w:rPr>
        <w:t xml:space="preserve"> (and foregone revenue) and seek later collection of the expenses</w:t>
      </w:r>
      <w:r w:rsidRPr="00A37932" w:rsidR="009679D1">
        <w:rPr>
          <w:rFonts w:ascii="Times New Roman" w:hAnsi="Times New Roman" w:cs="Times New Roman"/>
          <w:sz w:val="24"/>
          <w:szCs w:val="24"/>
        </w:rPr>
        <w:t xml:space="preserve"> </w:t>
      </w:r>
      <w:r w:rsidR="00497DB8">
        <w:rPr>
          <w:rFonts w:ascii="Times New Roman" w:hAnsi="Times New Roman" w:cs="Times New Roman"/>
          <w:sz w:val="24"/>
          <w:szCs w:val="24"/>
        </w:rPr>
        <w:t xml:space="preserve">from </w:t>
      </w:r>
      <w:r w:rsidR="00544BAD">
        <w:rPr>
          <w:rFonts w:ascii="Times New Roman" w:hAnsi="Times New Roman" w:cs="Times New Roman"/>
          <w:sz w:val="24"/>
          <w:szCs w:val="24"/>
        </w:rPr>
        <w:t>consumers</w:t>
      </w:r>
      <w:r w:rsidR="00497DB8">
        <w:rPr>
          <w:rFonts w:ascii="Times New Roman" w:hAnsi="Times New Roman" w:cs="Times New Roman"/>
          <w:sz w:val="24"/>
          <w:szCs w:val="24"/>
        </w:rPr>
        <w:t>.</w:t>
      </w:r>
      <w:r w:rsidRPr="00A37932" w:rsidR="009679D1">
        <w:rPr>
          <w:rFonts w:ascii="Times New Roman" w:hAnsi="Times New Roman" w:cs="Times New Roman"/>
          <w:sz w:val="24"/>
          <w:szCs w:val="24"/>
        </w:rPr>
        <w:t xml:space="preserve"> In this case, </w:t>
      </w:r>
      <w:r w:rsidR="002C6939">
        <w:rPr>
          <w:rFonts w:ascii="Times New Roman" w:hAnsi="Times New Roman" w:cs="Times New Roman"/>
          <w:sz w:val="24"/>
          <w:szCs w:val="24"/>
        </w:rPr>
        <w:t xml:space="preserve">Columbia </w:t>
      </w:r>
      <w:r w:rsidRPr="00A37932" w:rsidR="009679D1">
        <w:rPr>
          <w:rFonts w:ascii="Times New Roman" w:hAnsi="Times New Roman" w:cs="Times New Roman"/>
          <w:sz w:val="24"/>
          <w:szCs w:val="24"/>
        </w:rPr>
        <w:t>made no effort to meet that burden. And</w:t>
      </w:r>
      <w:r w:rsidR="00792E6E">
        <w:rPr>
          <w:rFonts w:ascii="Times New Roman" w:hAnsi="Times New Roman" w:cs="Times New Roman"/>
          <w:sz w:val="24"/>
          <w:szCs w:val="24"/>
        </w:rPr>
        <w:t>, not surprisingly,</w:t>
      </w:r>
      <w:r w:rsidRPr="00A37932" w:rsidR="009679D1">
        <w:rPr>
          <w:rFonts w:ascii="Times New Roman" w:hAnsi="Times New Roman" w:cs="Times New Roman"/>
          <w:sz w:val="24"/>
          <w:szCs w:val="24"/>
        </w:rPr>
        <w:t xml:space="preserve"> </w:t>
      </w:r>
      <w:r w:rsidR="000E5A1E">
        <w:rPr>
          <w:rFonts w:ascii="Times New Roman" w:hAnsi="Times New Roman" w:cs="Times New Roman"/>
          <w:sz w:val="24"/>
          <w:szCs w:val="24"/>
        </w:rPr>
        <w:t xml:space="preserve">the </w:t>
      </w:r>
      <w:r w:rsidRPr="00A37932" w:rsidR="008203F5">
        <w:rPr>
          <w:rFonts w:ascii="Times New Roman" w:hAnsi="Times New Roman" w:cs="Times New Roman"/>
          <w:sz w:val="24"/>
          <w:szCs w:val="24"/>
        </w:rPr>
        <w:t xml:space="preserve">Staff was </w:t>
      </w:r>
      <w:r w:rsidRPr="00A37932" w:rsidR="009679D1">
        <w:rPr>
          <w:rFonts w:ascii="Times New Roman" w:hAnsi="Times New Roman" w:cs="Times New Roman"/>
          <w:sz w:val="24"/>
          <w:szCs w:val="24"/>
        </w:rPr>
        <w:t>unable to</w:t>
      </w:r>
      <w:r w:rsidRPr="00A37932" w:rsidR="008203F5">
        <w:rPr>
          <w:rFonts w:ascii="Times New Roman" w:hAnsi="Times New Roman" w:cs="Times New Roman"/>
          <w:sz w:val="24"/>
          <w:szCs w:val="24"/>
        </w:rPr>
        <w:t xml:space="preserve"> </w:t>
      </w:r>
      <w:r w:rsidR="00497DB8">
        <w:rPr>
          <w:rFonts w:ascii="Times New Roman" w:hAnsi="Times New Roman" w:cs="Times New Roman"/>
          <w:sz w:val="24"/>
          <w:szCs w:val="24"/>
        </w:rPr>
        <w:t>conclude</w:t>
      </w:r>
      <w:r w:rsidRPr="00A37932" w:rsidR="008203F5">
        <w:rPr>
          <w:rFonts w:ascii="Times New Roman" w:hAnsi="Times New Roman" w:cs="Times New Roman"/>
          <w:sz w:val="24"/>
          <w:szCs w:val="24"/>
        </w:rPr>
        <w:t xml:space="preserve"> that </w:t>
      </w:r>
      <w:r w:rsidR="002C6939">
        <w:rPr>
          <w:rFonts w:ascii="Times New Roman" w:hAnsi="Times New Roman" w:cs="Times New Roman"/>
          <w:sz w:val="24"/>
          <w:szCs w:val="24"/>
        </w:rPr>
        <w:t>Columbia</w:t>
      </w:r>
      <w:r w:rsidRPr="00A37932" w:rsidR="008203F5">
        <w:rPr>
          <w:rFonts w:ascii="Times New Roman" w:hAnsi="Times New Roman" w:cs="Times New Roman"/>
          <w:sz w:val="24"/>
          <w:szCs w:val="24"/>
        </w:rPr>
        <w:t xml:space="preserve"> </w:t>
      </w:r>
      <w:r w:rsidR="00A37932">
        <w:rPr>
          <w:rFonts w:ascii="Times New Roman" w:hAnsi="Times New Roman" w:cs="Times New Roman"/>
          <w:sz w:val="24"/>
          <w:szCs w:val="24"/>
        </w:rPr>
        <w:t>has actually met that</w:t>
      </w:r>
      <w:r w:rsidRPr="00A37932" w:rsidR="008203F5">
        <w:rPr>
          <w:rFonts w:ascii="Times New Roman" w:hAnsi="Times New Roman" w:cs="Times New Roman"/>
          <w:sz w:val="24"/>
          <w:szCs w:val="24"/>
        </w:rPr>
        <w:t xml:space="preserve"> burden.</w:t>
      </w:r>
      <w:r w:rsidR="00123496">
        <w:rPr>
          <w:rFonts w:ascii="Times New Roman" w:hAnsi="Times New Roman" w:cs="Times New Roman"/>
          <w:sz w:val="24"/>
          <w:szCs w:val="24"/>
        </w:rPr>
        <w:t xml:space="preserve"> </w:t>
      </w:r>
      <w:r>
        <w:rPr>
          <w:rFonts w:ascii="Times New Roman" w:hAnsi="Times New Roman" w:cs="Times New Roman"/>
          <w:sz w:val="24"/>
          <w:szCs w:val="24"/>
        </w:rPr>
        <w:t xml:space="preserve">Because Columbia did not show that its deferral request complies with the PUCO standards, its request should be denied. </w:t>
      </w:r>
      <w:r w:rsidR="00797C93">
        <w:rPr>
          <w:rFonts w:ascii="Times New Roman" w:hAnsi="Times New Roman" w:cs="Times New Roman"/>
          <w:sz w:val="24"/>
          <w:szCs w:val="24"/>
        </w:rPr>
        <w:t>Columbia does not deserve a pass on the standards</w:t>
      </w:r>
      <w:r w:rsidR="0086561D">
        <w:rPr>
          <w:rFonts w:ascii="Times New Roman" w:hAnsi="Times New Roman" w:cs="Times New Roman"/>
          <w:sz w:val="24"/>
          <w:szCs w:val="24"/>
        </w:rPr>
        <w:t xml:space="preserve"> involving consumer protection,</w:t>
      </w:r>
      <w:r w:rsidR="00797C93">
        <w:rPr>
          <w:rFonts w:ascii="Times New Roman" w:hAnsi="Times New Roman" w:cs="Times New Roman"/>
          <w:sz w:val="24"/>
          <w:szCs w:val="24"/>
        </w:rPr>
        <w:t xml:space="preserve"> as the </w:t>
      </w:r>
      <w:r w:rsidR="0086561D">
        <w:rPr>
          <w:rFonts w:ascii="Times New Roman" w:hAnsi="Times New Roman" w:cs="Times New Roman"/>
          <w:sz w:val="24"/>
          <w:szCs w:val="24"/>
        </w:rPr>
        <w:t xml:space="preserve">PUCO </w:t>
      </w:r>
      <w:r w:rsidR="00797C93">
        <w:rPr>
          <w:rFonts w:ascii="Times New Roman" w:hAnsi="Times New Roman" w:cs="Times New Roman"/>
          <w:sz w:val="24"/>
          <w:szCs w:val="24"/>
        </w:rPr>
        <w:t xml:space="preserve">Staff gives </w:t>
      </w:r>
      <w:r w:rsidR="0086561D">
        <w:rPr>
          <w:rFonts w:ascii="Times New Roman" w:hAnsi="Times New Roman" w:cs="Times New Roman"/>
          <w:sz w:val="24"/>
          <w:szCs w:val="24"/>
        </w:rPr>
        <w:t>it</w:t>
      </w:r>
      <w:r w:rsidR="00797C93">
        <w:rPr>
          <w:rFonts w:ascii="Times New Roman" w:hAnsi="Times New Roman" w:cs="Times New Roman"/>
          <w:sz w:val="24"/>
          <w:szCs w:val="24"/>
        </w:rPr>
        <w:t xml:space="preserve">. The deferral standards must be met. They are not met here. </w:t>
      </w:r>
    </w:p>
    <w:p w:rsidR="008C17E8" w:rsidP="008C17E8" w14:paraId="2BDD376F" w14:textId="77777777">
      <w:pPr>
        <w:autoSpaceDE w:val="0"/>
        <w:autoSpaceDN w:val="0"/>
        <w:adjustRightInd w:val="0"/>
        <w:spacing w:after="0" w:line="240" w:lineRule="auto"/>
        <w:ind w:firstLine="720"/>
        <w:rPr>
          <w:rFonts w:ascii="Times New Roman" w:hAnsi="Times New Roman" w:cs="Times New Roman"/>
          <w:sz w:val="24"/>
          <w:szCs w:val="24"/>
        </w:rPr>
      </w:pPr>
    </w:p>
    <w:p w:rsidR="00E5450A" w:rsidP="00E5450A" w14:paraId="692978E8" w14:textId="79A3B9F8">
      <w:pPr>
        <w:pStyle w:val="ListParagraph"/>
        <w:numPr>
          <w:ilvl w:val="0"/>
          <w:numId w:val="1"/>
        </w:numPr>
        <w:autoSpaceDE w:val="0"/>
        <w:autoSpaceDN w:val="0"/>
        <w:adjustRightInd w:val="0"/>
        <w:spacing w:after="0" w:line="240" w:lineRule="auto"/>
        <w:ind w:left="720"/>
        <w:rPr>
          <w:rFonts w:ascii="Times New Roman" w:eastAsia="Times New Roman" w:hAnsi="Times New Roman" w:cs="Times New Roman"/>
          <w:b/>
          <w:bCs/>
          <w:sz w:val="24"/>
          <w:szCs w:val="24"/>
        </w:rPr>
      </w:pPr>
      <w:r w:rsidRPr="00013B0C">
        <w:rPr>
          <w:rFonts w:ascii="Times New Roman" w:eastAsia="Times New Roman" w:hAnsi="Times New Roman" w:cs="Times New Roman"/>
          <w:b/>
          <w:bCs/>
          <w:sz w:val="24"/>
          <w:szCs w:val="24"/>
        </w:rPr>
        <w:t xml:space="preserve">IF THE PUCO PERMITS COLUMBIA TO DEFER EXPENSES FOR LATER COLLECTION FROM </w:t>
      </w:r>
      <w:r w:rsidR="00386C18">
        <w:rPr>
          <w:rFonts w:ascii="Times New Roman" w:eastAsia="Times New Roman" w:hAnsi="Times New Roman" w:cs="Times New Roman"/>
          <w:b/>
          <w:bCs/>
          <w:sz w:val="24"/>
          <w:szCs w:val="24"/>
        </w:rPr>
        <w:t>CONSUMERS</w:t>
      </w:r>
      <w:r w:rsidRPr="00013B0C">
        <w:rPr>
          <w:rFonts w:ascii="Times New Roman" w:eastAsia="Times New Roman" w:hAnsi="Times New Roman" w:cs="Times New Roman"/>
          <w:b/>
          <w:bCs/>
          <w:sz w:val="24"/>
          <w:szCs w:val="24"/>
        </w:rPr>
        <w:t xml:space="preserve"> (WHICH IT SHOULD NOT), IT SHOULD REDUCE THE POTENTIAL CHARGES FROM THE DEFERRALS WITH OFFSETTING ADJUSTMENTS FOR CONSUMER PROTECTION</w:t>
      </w:r>
      <w:r w:rsidRPr="00013B0C" w:rsidR="0086561D">
        <w:rPr>
          <w:rFonts w:ascii="Times New Roman" w:eastAsia="Times New Roman" w:hAnsi="Times New Roman" w:cs="Times New Roman"/>
          <w:b/>
          <w:bCs/>
          <w:sz w:val="24"/>
          <w:szCs w:val="24"/>
        </w:rPr>
        <w:t xml:space="preserve"> AND ORDER OTHER CONSUMER PROTECTIONS</w:t>
      </w:r>
      <w:r w:rsidRPr="00013B0C">
        <w:rPr>
          <w:rFonts w:ascii="Times New Roman" w:eastAsia="Times New Roman" w:hAnsi="Times New Roman" w:cs="Times New Roman"/>
          <w:b/>
          <w:bCs/>
          <w:sz w:val="24"/>
          <w:szCs w:val="24"/>
        </w:rPr>
        <w:t>.</w:t>
      </w:r>
    </w:p>
    <w:p w:rsidR="004F102E" w:rsidRPr="00013B0C" w:rsidP="004F102E" w14:paraId="19225077" w14:textId="77777777">
      <w:pPr>
        <w:pStyle w:val="ListParagraph"/>
        <w:autoSpaceDE w:val="0"/>
        <w:autoSpaceDN w:val="0"/>
        <w:adjustRightInd w:val="0"/>
        <w:spacing w:after="0" w:line="240" w:lineRule="auto"/>
        <w:rPr>
          <w:rFonts w:ascii="Times New Roman" w:eastAsia="Times New Roman" w:hAnsi="Times New Roman" w:cs="Times New Roman"/>
          <w:b/>
          <w:bCs/>
          <w:sz w:val="24"/>
          <w:szCs w:val="24"/>
        </w:rPr>
      </w:pPr>
    </w:p>
    <w:p w:rsidR="00E5450A" w:rsidP="00E5450A" w14:paraId="45D63F77" w14:textId="2C1D6AF3">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Columbia requests to defer “foregone revenue” </w:t>
      </w:r>
      <w:r w:rsidR="00EB3422">
        <w:rPr>
          <w:rFonts w:ascii="Times New Roman" w:eastAsia="Times New Roman" w:hAnsi="Times New Roman" w:cs="Times New Roman"/>
          <w:sz w:val="24"/>
          <w:szCs w:val="24"/>
        </w:rPr>
        <w:t xml:space="preserve">from late payment charges, </w:t>
      </w:r>
      <w:r>
        <w:rPr>
          <w:rFonts w:ascii="Times New Roman" w:eastAsia="Times New Roman" w:hAnsi="Times New Roman" w:cs="Times New Roman"/>
          <w:sz w:val="24"/>
          <w:szCs w:val="24"/>
        </w:rPr>
        <w:t>for later collection</w:t>
      </w:r>
      <w:r w:rsidR="00EB3422">
        <w:rPr>
          <w:rFonts w:ascii="Times New Roman" w:eastAsia="Times New Roman" w:hAnsi="Times New Roman" w:cs="Times New Roman"/>
          <w:sz w:val="24"/>
          <w:szCs w:val="24"/>
        </w:rPr>
        <w:t xml:space="preserve"> from consumers</w:t>
      </w:r>
      <w:r>
        <w:rPr>
          <w:rFonts w:ascii="Times New Roman" w:eastAsia="Times New Roman" w:hAnsi="Times New Roman" w:cs="Times New Roman"/>
          <w:sz w:val="24"/>
          <w:szCs w:val="24"/>
        </w:rPr>
        <w:t>. This request should be denied outright. U</w:t>
      </w:r>
      <w:r w:rsidRPr="00B468E9">
        <w:rPr>
          <w:rFonts w:ascii="Times New Roman" w:hAnsi="Times New Roman" w:cs="Times New Roman"/>
          <w:sz w:val="24"/>
          <w:szCs w:val="24"/>
        </w:rPr>
        <w:t xml:space="preserve">nder Ohio law revenues are not guaranteed to utilities. </w:t>
      </w:r>
      <w:r w:rsidR="007379EF">
        <w:rPr>
          <w:rFonts w:ascii="Times New Roman" w:hAnsi="Times New Roman" w:cs="Times New Roman"/>
          <w:sz w:val="24"/>
          <w:szCs w:val="24"/>
        </w:rPr>
        <w:t xml:space="preserve">Ratemaking is not supposed to be a dollar for dollar recovery of costs from consumers. </w:t>
      </w:r>
      <w:r>
        <w:rPr>
          <w:rFonts w:ascii="Times New Roman" w:hAnsi="Times New Roman" w:cs="Times New Roman"/>
          <w:sz w:val="24"/>
          <w:szCs w:val="24"/>
        </w:rPr>
        <w:t xml:space="preserve">Utilities are afforded an opportunity to earn a fair and reasonable rate of return on their investment. In return they are obligated to provide safe and reliable service to </w:t>
      </w:r>
      <w:r w:rsidR="00386C18">
        <w:rPr>
          <w:rFonts w:ascii="Times New Roman" w:hAnsi="Times New Roman" w:cs="Times New Roman"/>
          <w:sz w:val="24"/>
          <w:szCs w:val="24"/>
        </w:rPr>
        <w:t>consumers</w:t>
      </w:r>
      <w:r>
        <w:rPr>
          <w:rFonts w:ascii="Times New Roman" w:hAnsi="Times New Roman" w:cs="Times New Roman"/>
          <w:sz w:val="24"/>
          <w:szCs w:val="24"/>
        </w:rPr>
        <w:t>.</w:t>
      </w:r>
      <w:r w:rsidR="00123496">
        <w:rPr>
          <w:rFonts w:ascii="Times New Roman" w:hAnsi="Times New Roman" w:cs="Times New Roman"/>
          <w:sz w:val="24"/>
          <w:szCs w:val="24"/>
        </w:rPr>
        <w:t xml:space="preserve"> </w:t>
      </w:r>
      <w:r>
        <w:rPr>
          <w:rFonts w:ascii="Times New Roman" w:hAnsi="Times New Roman" w:cs="Times New Roman"/>
          <w:sz w:val="24"/>
          <w:szCs w:val="24"/>
        </w:rPr>
        <w:t xml:space="preserve">Absent express statutory </w:t>
      </w:r>
      <w:r w:rsidR="00123496">
        <w:rPr>
          <w:rFonts w:ascii="Times New Roman" w:hAnsi="Times New Roman" w:cs="Times New Roman"/>
          <w:sz w:val="24"/>
          <w:szCs w:val="24"/>
        </w:rPr>
        <w:t>authority,</w:t>
      </w:r>
      <w:r>
        <w:rPr>
          <w:rFonts w:ascii="Times New Roman" w:hAnsi="Times New Roman" w:cs="Times New Roman"/>
          <w:sz w:val="24"/>
          <w:szCs w:val="24"/>
        </w:rPr>
        <w:t xml:space="preserve"> otherwise, that is the regulatory compact under which utilities operate in Ohio. Notably, Columbia does not make the case that there is express authority for it to collect lost revenues related to foregone revenue from late payments. That’s because there is no such authority.</w:t>
      </w:r>
      <w:r w:rsidR="00123496">
        <w:rPr>
          <w:rFonts w:ascii="Times New Roman" w:hAnsi="Times New Roman" w:cs="Times New Roman"/>
          <w:sz w:val="24"/>
          <w:szCs w:val="24"/>
        </w:rPr>
        <w:t xml:space="preserve"> </w:t>
      </w:r>
    </w:p>
    <w:p w:rsidR="00E5450A" w:rsidRPr="00B468E9" w:rsidP="00E5450A" w14:paraId="474D9810" w14:textId="1E91D70A">
      <w:pPr>
        <w:spacing w:after="0" w:line="480" w:lineRule="auto"/>
        <w:ind w:firstLine="720"/>
        <w:rPr>
          <w:rFonts w:ascii="Times New Roman" w:hAnsi="Times New Roman" w:cs="Times New Roman"/>
          <w:sz w:val="24"/>
          <w:szCs w:val="24"/>
        </w:rPr>
      </w:pPr>
      <w:r w:rsidRPr="00B468E9">
        <w:rPr>
          <w:rFonts w:ascii="Times New Roman" w:hAnsi="Times New Roman" w:cs="Times New Roman"/>
          <w:sz w:val="24"/>
          <w:szCs w:val="24"/>
        </w:rPr>
        <w:t>In this regard, on June 28, 2020, the Indiana Commission denied requests by all electric utilities to create a regulatory asset for lost revenues similar to what</w:t>
      </w:r>
      <w:r>
        <w:rPr>
          <w:rFonts w:ascii="Times New Roman" w:hAnsi="Times New Roman" w:cs="Times New Roman"/>
          <w:sz w:val="24"/>
          <w:szCs w:val="24"/>
        </w:rPr>
        <w:t xml:space="preserve"> Columbia</w:t>
      </w:r>
      <w:r w:rsidRPr="00B468E9">
        <w:rPr>
          <w:rFonts w:ascii="Times New Roman" w:hAnsi="Times New Roman" w:cs="Times New Roman"/>
          <w:sz w:val="24"/>
          <w:szCs w:val="24"/>
        </w:rPr>
        <w:t xml:space="preserve"> is requesting in this application.</w:t>
      </w:r>
      <w:r>
        <w:rPr>
          <w:rStyle w:val="FootnoteReference"/>
          <w:rFonts w:ascii="Times New Roman" w:hAnsi="Times New Roman" w:cs="Times New Roman"/>
          <w:sz w:val="24"/>
          <w:szCs w:val="24"/>
        </w:rPr>
        <w:footnoteReference w:id="12"/>
      </w:r>
      <w:r w:rsidRPr="00B468E9">
        <w:rPr>
          <w:rFonts w:ascii="Times New Roman" w:hAnsi="Times New Roman" w:cs="Times New Roman"/>
          <w:sz w:val="24"/>
          <w:szCs w:val="24"/>
        </w:rPr>
        <w:t xml:space="preserve"> The Indiana Commission found that recovery of lost revenues is asking </w:t>
      </w:r>
      <w:r w:rsidR="00386C18">
        <w:rPr>
          <w:rFonts w:ascii="Times New Roman" w:hAnsi="Times New Roman" w:cs="Times New Roman"/>
          <w:sz w:val="24"/>
          <w:szCs w:val="24"/>
        </w:rPr>
        <w:t>consumers</w:t>
      </w:r>
      <w:r w:rsidRPr="00B468E9">
        <w:rPr>
          <w:rFonts w:ascii="Times New Roman" w:hAnsi="Times New Roman" w:cs="Times New Roman"/>
          <w:sz w:val="24"/>
          <w:szCs w:val="24"/>
        </w:rPr>
        <w:t xml:space="preserve"> to go beyond their obligation to pay for service they did not receive and that such charges are not in the public interest absent a financial emergency to the utility that impacts its ability to provide safe and reliable service.</w:t>
      </w:r>
      <w:r>
        <w:rPr>
          <w:rStyle w:val="FootnoteReference"/>
          <w:rFonts w:ascii="Times New Roman" w:hAnsi="Times New Roman" w:cs="Times New Roman"/>
          <w:sz w:val="24"/>
          <w:szCs w:val="24"/>
        </w:rPr>
        <w:footnoteReference w:id="13"/>
      </w:r>
      <w:r w:rsidRPr="00B468E9">
        <w:rPr>
          <w:rFonts w:ascii="Times New Roman" w:hAnsi="Times New Roman" w:cs="Times New Roman"/>
          <w:sz w:val="24"/>
          <w:szCs w:val="24"/>
        </w:rPr>
        <w:t xml:space="preserve"> That is a good ruling for ratemaking balance and consumer protection.</w:t>
      </w:r>
    </w:p>
    <w:p w:rsidR="00E5450A" w:rsidP="00E5450A" w14:paraId="06CF83DE" w14:textId="4175ED6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event that the PUCO determines to allow Columbia to defer foregone revenues for late payment charges that were waived during the emergency, the PUCO should put guardrails on the deferrals to protect consumers from potentially paying too much money to Columbia</w:t>
      </w:r>
      <w:r w:rsidR="00FF11DD">
        <w:rPr>
          <w:rFonts w:ascii="Times New Roman" w:hAnsi="Times New Roman" w:cs="Times New Roman"/>
          <w:sz w:val="24"/>
          <w:szCs w:val="24"/>
        </w:rPr>
        <w:t>.</w:t>
      </w:r>
    </w:p>
    <w:p w:rsidR="007379EF" w:rsidP="00E5450A" w14:paraId="0CB9389D" w14:textId="6CCEF718">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consumer protections should include that Columbia will track not only the costs avoided during the emergency but also the revenues it </w:t>
      </w:r>
      <w:r w:rsidR="00FF11DD">
        <w:rPr>
          <w:rFonts w:ascii="Times New Roman" w:hAnsi="Times New Roman" w:cs="Times New Roman"/>
          <w:sz w:val="24"/>
          <w:szCs w:val="24"/>
        </w:rPr>
        <w:t>collects from c</w:t>
      </w:r>
      <w:r w:rsidR="00285D5C">
        <w:rPr>
          <w:rFonts w:ascii="Times New Roman" w:hAnsi="Times New Roman" w:cs="Times New Roman"/>
          <w:sz w:val="24"/>
          <w:szCs w:val="24"/>
        </w:rPr>
        <w:t>onsumers</w:t>
      </w:r>
      <w:r w:rsidR="00FF11DD">
        <w:rPr>
          <w:rFonts w:ascii="Times New Roman" w:hAnsi="Times New Roman" w:cs="Times New Roman"/>
          <w:sz w:val="24"/>
          <w:szCs w:val="24"/>
        </w:rPr>
        <w:t xml:space="preserve"> </w:t>
      </w:r>
      <w:r>
        <w:rPr>
          <w:rFonts w:ascii="Times New Roman" w:hAnsi="Times New Roman" w:cs="Times New Roman"/>
          <w:sz w:val="24"/>
          <w:szCs w:val="24"/>
        </w:rPr>
        <w:t xml:space="preserve">during the emergency. Such revenues </w:t>
      </w:r>
      <w:r w:rsidRPr="00FF11DD">
        <w:rPr>
          <w:rFonts w:ascii="Times New Roman" w:eastAsia="Times New Roman" w:hAnsi="Times New Roman" w:cs="Times New Roman"/>
          <w:sz w:val="24"/>
          <w:szCs w:val="24"/>
        </w:rPr>
        <w:t>could potentially offset the claimed foregone revenue from late payment fees.</w:t>
      </w:r>
    </w:p>
    <w:p w:rsidR="005360B8" w:rsidP="00370858" w14:paraId="39954297" w14:textId="05B924B0">
      <w:pPr>
        <w:autoSpaceDE w:val="0"/>
        <w:autoSpaceDN w:val="0"/>
        <w:adjustRightInd w:val="0"/>
        <w:spacing w:after="0" w:line="480" w:lineRule="auto"/>
        <w:ind w:firstLine="720"/>
        <w:rPr>
          <w:rFonts w:ascii="Times New Roman" w:eastAsia="Times New Roman" w:hAnsi="Times New Roman" w:cs="Times New Roman"/>
          <w:sz w:val="24"/>
          <w:szCs w:val="24"/>
        </w:rPr>
      </w:pPr>
      <w:r w:rsidRPr="00FF11DD">
        <w:rPr>
          <w:rFonts w:ascii="Times New Roman" w:eastAsia="Times New Roman" w:hAnsi="Times New Roman" w:cs="Times New Roman"/>
          <w:sz w:val="24"/>
          <w:szCs w:val="24"/>
        </w:rPr>
        <w:t>For example, the PUCO’s moratorium on c</w:t>
      </w:r>
      <w:r w:rsidR="00285D5C">
        <w:rPr>
          <w:rFonts w:ascii="Times New Roman" w:eastAsia="Times New Roman" w:hAnsi="Times New Roman" w:cs="Times New Roman"/>
          <w:sz w:val="24"/>
          <w:szCs w:val="24"/>
        </w:rPr>
        <w:t>onsumer</w:t>
      </w:r>
      <w:r w:rsidRPr="00FF11DD">
        <w:rPr>
          <w:rFonts w:ascii="Times New Roman" w:eastAsia="Times New Roman" w:hAnsi="Times New Roman" w:cs="Times New Roman"/>
          <w:sz w:val="24"/>
          <w:szCs w:val="24"/>
        </w:rPr>
        <w:t xml:space="preserve"> disconnections and extension of the winter reconnection provisions means that there are almost certainly more residential c</w:t>
      </w:r>
      <w:r w:rsidR="00285D5C">
        <w:rPr>
          <w:rFonts w:ascii="Times New Roman" w:eastAsia="Times New Roman" w:hAnsi="Times New Roman" w:cs="Times New Roman"/>
          <w:sz w:val="24"/>
          <w:szCs w:val="24"/>
        </w:rPr>
        <w:t>onsumers</w:t>
      </w:r>
      <w:r w:rsidRPr="00FF11DD">
        <w:rPr>
          <w:rFonts w:ascii="Times New Roman" w:eastAsia="Times New Roman" w:hAnsi="Times New Roman" w:cs="Times New Roman"/>
          <w:sz w:val="24"/>
          <w:szCs w:val="24"/>
        </w:rPr>
        <w:t xml:space="preserve"> on Columbia’s distribution system than might otherwise be. Columbia garners revenue from these c</w:t>
      </w:r>
      <w:r w:rsidR="00E8773B">
        <w:rPr>
          <w:rFonts w:ascii="Times New Roman" w:eastAsia="Times New Roman" w:hAnsi="Times New Roman" w:cs="Times New Roman"/>
          <w:sz w:val="24"/>
          <w:szCs w:val="24"/>
        </w:rPr>
        <w:t>onsumers</w:t>
      </w:r>
      <w:r w:rsidRPr="00FF11DD">
        <w:rPr>
          <w:rFonts w:ascii="Times New Roman" w:eastAsia="Times New Roman" w:hAnsi="Times New Roman" w:cs="Times New Roman"/>
          <w:sz w:val="24"/>
          <w:szCs w:val="24"/>
        </w:rPr>
        <w:t xml:space="preserve"> that it would not collect if the c</w:t>
      </w:r>
      <w:r w:rsidR="00E8773B">
        <w:rPr>
          <w:rFonts w:ascii="Times New Roman" w:eastAsia="Times New Roman" w:hAnsi="Times New Roman" w:cs="Times New Roman"/>
          <w:sz w:val="24"/>
          <w:szCs w:val="24"/>
        </w:rPr>
        <w:t>onsumers</w:t>
      </w:r>
      <w:r w:rsidRPr="00FF11DD">
        <w:rPr>
          <w:rFonts w:ascii="Times New Roman" w:eastAsia="Times New Roman" w:hAnsi="Times New Roman" w:cs="Times New Roman"/>
          <w:sz w:val="24"/>
          <w:szCs w:val="24"/>
        </w:rPr>
        <w:t xml:space="preserve"> were otherwise disconnected. When considering collection of the deferrals from c</w:t>
      </w:r>
      <w:r w:rsidR="00E8773B">
        <w:rPr>
          <w:rFonts w:ascii="Times New Roman" w:eastAsia="Times New Roman" w:hAnsi="Times New Roman" w:cs="Times New Roman"/>
          <w:sz w:val="24"/>
          <w:szCs w:val="24"/>
        </w:rPr>
        <w:t>onsumers</w:t>
      </w:r>
      <w:r w:rsidRPr="00FF11DD">
        <w:rPr>
          <w:rFonts w:ascii="Times New Roman" w:eastAsia="Times New Roman" w:hAnsi="Times New Roman" w:cs="Times New Roman"/>
          <w:sz w:val="24"/>
          <w:szCs w:val="24"/>
        </w:rPr>
        <w:t>, the PUCO should consider offsetting revenues as well. This approach is consistent with the PUCO’s ruling that expenses avoided during the emergency should be tracked and used to offset increased expenses.</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highlight w:val="yellow"/>
        </w:rPr>
        <w:t xml:space="preserve"> </w:t>
      </w:r>
    </w:p>
    <w:p w:rsidR="00001B23" w:rsidRPr="00FF11DD" w:rsidP="002B2EEB" w14:paraId="39BE3308" w14:textId="772E0FEB">
      <w:pPr>
        <w:autoSpaceDE w:val="0"/>
        <w:autoSpaceDN w:val="0"/>
        <w:adjustRightInd w:val="0"/>
        <w:spacing w:after="0" w:line="480" w:lineRule="auto"/>
        <w:ind w:firstLine="720"/>
        <w:rPr>
          <w:rFonts w:ascii="Times New Roman" w:hAnsi="Times New Roman" w:cs="Times New Roman"/>
          <w:color w:val="C00000"/>
          <w:sz w:val="24"/>
          <w:szCs w:val="24"/>
        </w:rPr>
      </w:pPr>
      <w:r w:rsidRPr="004F102E">
        <w:rPr>
          <w:rFonts w:ascii="Times New Roman" w:hAnsi="Times New Roman" w:cs="Times New Roman"/>
          <w:sz w:val="24"/>
          <w:szCs w:val="24"/>
        </w:rPr>
        <w:t xml:space="preserve">In </w:t>
      </w:r>
      <w:r w:rsidRPr="00FF11DD">
        <w:rPr>
          <w:rFonts w:ascii="Times New Roman" w:hAnsi="Times New Roman" w:cs="Times New Roman"/>
          <w:sz w:val="24"/>
          <w:szCs w:val="24"/>
        </w:rPr>
        <w:t>addition</w:t>
      </w:r>
      <w:r w:rsidRPr="00FF11DD">
        <w:rPr>
          <w:rFonts w:ascii="Times New Roman" w:hAnsi="Times New Roman" w:cs="Times New Roman"/>
          <w:color w:val="C00000"/>
          <w:sz w:val="24"/>
          <w:szCs w:val="24"/>
        </w:rPr>
        <w:t xml:space="preserve">, </w:t>
      </w:r>
      <w:r w:rsidRPr="003A71E0">
        <w:rPr>
          <w:rFonts w:ascii="Times New Roman" w:hAnsi="Times New Roman" w:cs="Times New Roman"/>
          <w:sz w:val="24"/>
          <w:szCs w:val="24"/>
        </w:rPr>
        <w:t xml:space="preserve">the PUCO should make sure that Columbia has reduced discretionary expenses to minimize cost impacts to </w:t>
      </w:r>
      <w:r w:rsidRPr="003A71E0" w:rsidR="00E8773B">
        <w:rPr>
          <w:rFonts w:ascii="Times New Roman" w:hAnsi="Times New Roman" w:cs="Times New Roman"/>
          <w:sz w:val="24"/>
          <w:szCs w:val="24"/>
        </w:rPr>
        <w:t>consumers</w:t>
      </w:r>
      <w:r w:rsidRPr="003A71E0">
        <w:rPr>
          <w:rFonts w:ascii="Times New Roman" w:hAnsi="Times New Roman" w:cs="Times New Roman"/>
          <w:sz w:val="24"/>
          <w:szCs w:val="24"/>
        </w:rPr>
        <w:t xml:space="preserve">. Columbia should not </w:t>
      </w:r>
      <w:r w:rsidRPr="003A71E0" w:rsidR="007379EF">
        <w:rPr>
          <w:rFonts w:ascii="Times New Roman" w:hAnsi="Times New Roman" w:cs="Times New Roman"/>
          <w:sz w:val="24"/>
          <w:szCs w:val="24"/>
        </w:rPr>
        <w:t xml:space="preserve">charge consumers for </w:t>
      </w:r>
      <w:r w:rsidRPr="003A71E0">
        <w:rPr>
          <w:rFonts w:ascii="Times New Roman" w:hAnsi="Times New Roman" w:cs="Times New Roman"/>
          <w:sz w:val="24"/>
          <w:szCs w:val="24"/>
        </w:rPr>
        <w:t xml:space="preserve">coronavirus costs if it has taken a </w:t>
      </w:r>
      <w:r w:rsidRPr="003A71E0" w:rsidR="002B2EEB">
        <w:rPr>
          <w:rFonts w:ascii="Times New Roman" w:hAnsi="Times New Roman" w:cs="Times New Roman"/>
          <w:sz w:val="24"/>
          <w:szCs w:val="24"/>
        </w:rPr>
        <w:t>“</w:t>
      </w:r>
      <w:r w:rsidRPr="003A71E0">
        <w:rPr>
          <w:rFonts w:ascii="Times New Roman" w:hAnsi="Times New Roman" w:cs="Times New Roman"/>
          <w:sz w:val="24"/>
          <w:szCs w:val="24"/>
        </w:rPr>
        <w:t>business as usual</w:t>
      </w:r>
      <w:r w:rsidRPr="003A71E0" w:rsidR="002B2EEB">
        <w:rPr>
          <w:rFonts w:ascii="Times New Roman" w:hAnsi="Times New Roman" w:cs="Times New Roman"/>
          <w:sz w:val="24"/>
          <w:szCs w:val="24"/>
        </w:rPr>
        <w:t>”</w:t>
      </w:r>
      <w:r w:rsidRPr="003A71E0">
        <w:rPr>
          <w:rFonts w:ascii="Times New Roman" w:hAnsi="Times New Roman" w:cs="Times New Roman"/>
          <w:sz w:val="24"/>
          <w:szCs w:val="24"/>
        </w:rPr>
        <w:t xml:space="preserve"> approach to managing its costs. For example, Columbia should </w:t>
      </w:r>
      <w:r w:rsidRPr="003A71E0" w:rsidR="002B2EEB">
        <w:rPr>
          <w:rFonts w:ascii="Times New Roman" w:hAnsi="Times New Roman" w:cs="Times New Roman"/>
          <w:sz w:val="24"/>
          <w:szCs w:val="24"/>
        </w:rPr>
        <w:t>be required to</w:t>
      </w:r>
      <w:r w:rsidRPr="003A71E0">
        <w:rPr>
          <w:rFonts w:ascii="Times New Roman" w:hAnsi="Times New Roman" w:cs="Times New Roman"/>
          <w:sz w:val="24"/>
          <w:szCs w:val="24"/>
        </w:rPr>
        <w:t xml:space="preserve"> demonstrate that it has:</w:t>
      </w:r>
      <w:r w:rsidR="00123496">
        <w:rPr>
          <w:rFonts w:ascii="Times New Roman" w:hAnsi="Times New Roman" w:cs="Times New Roman"/>
          <w:sz w:val="24"/>
          <w:szCs w:val="24"/>
        </w:rPr>
        <w:t xml:space="preserve"> </w:t>
      </w:r>
      <w:r w:rsidRPr="003A71E0">
        <w:rPr>
          <w:rFonts w:ascii="Times New Roman" w:hAnsi="Times New Roman" w:cs="Times New Roman"/>
          <w:sz w:val="24"/>
          <w:szCs w:val="24"/>
        </w:rPr>
        <w:t>refinanced outstanding debt (to take advantage of lower interest rates); considered using of short-term debt to cover any extraordinary expenses or revenue losses; reduced allocation of costs from shared services or parent organizations due to cost reductions experienced at those entities; reduced O&amp;M travel</w:t>
      </w:r>
      <w:r w:rsidRPr="003A71E0" w:rsidR="002B2EEB">
        <w:rPr>
          <w:rFonts w:ascii="Times New Roman" w:hAnsi="Times New Roman" w:cs="Times New Roman"/>
          <w:sz w:val="24"/>
          <w:szCs w:val="24"/>
        </w:rPr>
        <w:t>;</w:t>
      </w:r>
      <w:r w:rsidRPr="003A71E0">
        <w:rPr>
          <w:rFonts w:ascii="Times New Roman" w:hAnsi="Times New Roman" w:cs="Times New Roman"/>
          <w:sz w:val="24"/>
          <w:szCs w:val="24"/>
        </w:rPr>
        <w:t xml:space="preserve"> reduced office expenses including power, office supplies, etc.; and reduced incentive pay or employee bonuses to reflect current economic circumstances.</w:t>
      </w:r>
    </w:p>
    <w:p w:rsidR="00E5450A" w:rsidP="00E5450A" w14:paraId="197E362D" w14:textId="69982374">
      <w:pPr>
        <w:autoSpaceDE w:val="0"/>
        <w:autoSpaceDN w:val="0"/>
        <w:adjustRightInd w:val="0"/>
        <w:spacing w:after="0" w:line="480" w:lineRule="auto"/>
        <w:rPr>
          <w:rFonts w:ascii="Times New Roman" w:eastAsia="Times New Roman" w:hAnsi="Times New Roman" w:cs="Times New Roman"/>
          <w:sz w:val="24"/>
          <w:szCs w:val="24"/>
        </w:rPr>
      </w:pPr>
      <w:r w:rsidRPr="00013B0C">
        <w:rPr>
          <w:rFonts w:ascii="Times New Roman" w:eastAsia="Times New Roman" w:hAnsi="Times New Roman" w:cs="Times New Roman"/>
          <w:sz w:val="24"/>
          <w:szCs w:val="24"/>
        </w:rPr>
        <w:tab/>
        <w:t>The PUCO should also examine the earnings of Columbia during the emergency period. It would not be just and reasonable to require c</w:t>
      </w:r>
      <w:r w:rsidR="00E8773B">
        <w:rPr>
          <w:rFonts w:ascii="Times New Roman" w:eastAsia="Times New Roman" w:hAnsi="Times New Roman" w:cs="Times New Roman"/>
          <w:sz w:val="24"/>
          <w:szCs w:val="24"/>
        </w:rPr>
        <w:t>onsumers</w:t>
      </w:r>
      <w:r w:rsidRPr="00013B0C">
        <w:rPr>
          <w:rFonts w:ascii="Times New Roman" w:eastAsia="Times New Roman" w:hAnsi="Times New Roman" w:cs="Times New Roman"/>
          <w:sz w:val="24"/>
          <w:szCs w:val="24"/>
        </w:rPr>
        <w:t xml:space="preserve"> to guarantee foregone revenues during a period where the utility’s earnings are sound and not impacting the utility’s ability to provide safe and reliable service. C</w:t>
      </w:r>
      <w:r w:rsidR="00E8773B">
        <w:rPr>
          <w:rFonts w:ascii="Times New Roman" w:eastAsia="Times New Roman" w:hAnsi="Times New Roman" w:cs="Times New Roman"/>
          <w:sz w:val="24"/>
          <w:szCs w:val="24"/>
        </w:rPr>
        <w:t>onsumers</w:t>
      </w:r>
      <w:r w:rsidRPr="00013B0C">
        <w:rPr>
          <w:rFonts w:ascii="Times New Roman" w:eastAsia="Times New Roman" w:hAnsi="Times New Roman" w:cs="Times New Roman"/>
          <w:sz w:val="24"/>
          <w:szCs w:val="24"/>
        </w:rPr>
        <w:t xml:space="preserve"> and shareholders alike should share the costs of the pandemic.</w:t>
      </w:r>
      <w:r w:rsidR="00123496">
        <w:rPr>
          <w:rFonts w:ascii="Times New Roman" w:eastAsia="Times New Roman" w:hAnsi="Times New Roman" w:cs="Times New Roman"/>
          <w:sz w:val="24"/>
          <w:szCs w:val="24"/>
          <w:highlight w:val="yellow"/>
        </w:rPr>
        <w:t xml:space="preserve"> </w:t>
      </w:r>
    </w:p>
    <w:p w:rsidR="005360B8" w:rsidP="00FF11DD" w14:paraId="1CC10D40" w14:textId="5A09E56F">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Finally, </w:t>
      </w:r>
      <w:r w:rsidRPr="002170C5">
        <w:rPr>
          <w:rFonts w:ascii="Times New Roman" w:hAnsi="Times New Roman"/>
          <w:sz w:val="24"/>
          <w:szCs w:val="24"/>
        </w:rPr>
        <w:t>Columbia</w:t>
      </w:r>
      <w:r>
        <w:rPr>
          <w:rFonts w:ascii="Times New Roman" w:hAnsi="Times New Roman"/>
          <w:sz w:val="24"/>
          <w:szCs w:val="24"/>
        </w:rPr>
        <w:t xml:space="preserve"> should be required to file</w:t>
      </w:r>
      <w:r w:rsidRPr="002170C5">
        <w:rPr>
          <w:rFonts w:ascii="Times New Roman" w:hAnsi="Times New Roman"/>
          <w:sz w:val="24"/>
          <w:szCs w:val="24"/>
        </w:rPr>
        <w:t xml:space="preserve"> cost tracking reports </w:t>
      </w:r>
      <w:r>
        <w:rPr>
          <w:rFonts w:ascii="Times New Roman" w:hAnsi="Times New Roman"/>
          <w:sz w:val="24"/>
          <w:szCs w:val="24"/>
        </w:rPr>
        <w:t>quarterly with the PUCO that</w:t>
      </w:r>
      <w:r w:rsidRPr="002170C5">
        <w:rPr>
          <w:rFonts w:ascii="Times New Roman" w:hAnsi="Times New Roman"/>
          <w:sz w:val="24"/>
          <w:szCs w:val="24"/>
        </w:rPr>
        <w:t xml:space="preserve"> have clear and concise cost categories that are clearly defined, and</w:t>
      </w:r>
      <w:r>
        <w:rPr>
          <w:rFonts w:ascii="Times New Roman" w:hAnsi="Times New Roman"/>
          <w:sz w:val="24"/>
          <w:szCs w:val="24"/>
        </w:rPr>
        <w:t xml:space="preserve"> in</w:t>
      </w:r>
      <w:r w:rsidRPr="002170C5">
        <w:rPr>
          <w:rFonts w:ascii="Times New Roman" w:hAnsi="Times New Roman"/>
          <w:sz w:val="24"/>
          <w:szCs w:val="24"/>
        </w:rPr>
        <w:t xml:space="preserve"> direct response to the </w:t>
      </w:r>
      <w:r>
        <w:rPr>
          <w:rFonts w:ascii="Times New Roman" w:hAnsi="Times New Roman"/>
          <w:sz w:val="24"/>
          <w:szCs w:val="24"/>
        </w:rPr>
        <w:t>coronavirus</w:t>
      </w:r>
      <w:r w:rsidRPr="002170C5">
        <w:rPr>
          <w:rFonts w:ascii="Times New Roman" w:hAnsi="Times New Roman"/>
          <w:sz w:val="24"/>
          <w:szCs w:val="24"/>
        </w:rPr>
        <w:t xml:space="preserve"> pandemic</w:t>
      </w:r>
      <w:r>
        <w:rPr>
          <w:rFonts w:ascii="Times New Roman" w:hAnsi="Times New Roman"/>
          <w:sz w:val="24"/>
          <w:szCs w:val="24"/>
        </w:rPr>
        <w:t>. Further, c</w:t>
      </w:r>
      <w:r w:rsidRPr="002170C5">
        <w:rPr>
          <w:rFonts w:ascii="Times New Roman" w:hAnsi="Times New Roman"/>
          <w:sz w:val="24"/>
          <w:szCs w:val="24"/>
        </w:rPr>
        <w:t xml:space="preserve">arrying charges, if </w:t>
      </w:r>
      <w:r>
        <w:rPr>
          <w:rFonts w:ascii="Times New Roman" w:hAnsi="Times New Roman"/>
          <w:sz w:val="24"/>
          <w:szCs w:val="24"/>
        </w:rPr>
        <w:t>permitted at all</w:t>
      </w:r>
      <w:r w:rsidR="007379EF">
        <w:rPr>
          <w:rFonts w:ascii="Times New Roman" w:hAnsi="Times New Roman"/>
          <w:sz w:val="24"/>
          <w:szCs w:val="24"/>
        </w:rPr>
        <w:t xml:space="preserve"> (and they should not be)</w:t>
      </w:r>
      <w:r w:rsidRPr="002170C5">
        <w:rPr>
          <w:rFonts w:ascii="Times New Roman" w:hAnsi="Times New Roman"/>
          <w:sz w:val="24"/>
          <w:szCs w:val="24"/>
        </w:rPr>
        <w:t>, should be limited to the short-term debt costs applied to the deferred regulatory asset</w:t>
      </w:r>
      <w:r>
        <w:rPr>
          <w:rFonts w:ascii="Times New Roman" w:hAnsi="Times New Roman"/>
          <w:sz w:val="24"/>
          <w:szCs w:val="24"/>
        </w:rPr>
        <w:t>.</w:t>
      </w:r>
    </w:p>
    <w:p w:rsidR="00D12D64" w:rsidRPr="00A37932" w:rsidP="00D12D64" w14:paraId="05BFC1A9" w14:textId="6C848318">
      <w:pPr>
        <w:autoSpaceDE w:val="0"/>
        <w:autoSpaceDN w:val="0"/>
        <w:adjustRightInd w:val="0"/>
        <w:spacing w:after="0" w:line="240" w:lineRule="auto"/>
        <w:ind w:firstLine="720"/>
        <w:rPr>
          <w:rFonts w:ascii="Times New Roman" w:hAnsi="Times New Roman" w:cs="Times New Roman"/>
          <w:sz w:val="24"/>
          <w:szCs w:val="24"/>
        </w:rPr>
      </w:pPr>
    </w:p>
    <w:p w:rsidR="0081218C" w:rsidRPr="00D12D64" w:rsidP="00D12D64" w14:paraId="6BAE2117" w14:textId="43E378FB">
      <w:pPr>
        <w:pStyle w:val="ListParagraph"/>
        <w:numPr>
          <w:ilvl w:val="0"/>
          <w:numId w:val="1"/>
        </w:numPr>
        <w:autoSpaceDE w:val="0"/>
        <w:autoSpaceDN w:val="0"/>
        <w:adjustRightInd w:val="0"/>
        <w:spacing w:after="0" w:line="240" w:lineRule="auto"/>
        <w:ind w:left="720"/>
        <w:rPr>
          <w:rFonts w:ascii="Times New Roman" w:hAnsi="Times New Roman" w:cs="Times New Roman"/>
          <w:b/>
          <w:bCs/>
          <w:sz w:val="24"/>
          <w:szCs w:val="24"/>
        </w:rPr>
      </w:pPr>
      <w:r w:rsidRPr="00D12D64">
        <w:rPr>
          <w:rFonts w:ascii="Times New Roman" w:hAnsi="Times New Roman" w:cs="Times New Roman"/>
          <w:b/>
          <w:bCs/>
          <w:sz w:val="24"/>
          <w:szCs w:val="24"/>
        </w:rPr>
        <w:t xml:space="preserve">COLUMBIA’S APPLICATION </w:t>
      </w:r>
      <w:r w:rsidRPr="00D12D64" w:rsidR="00ED3A96">
        <w:rPr>
          <w:rFonts w:ascii="Times New Roman" w:hAnsi="Times New Roman" w:cs="Times New Roman"/>
          <w:b/>
          <w:bCs/>
          <w:sz w:val="24"/>
          <w:szCs w:val="24"/>
        </w:rPr>
        <w:t xml:space="preserve">ALSO </w:t>
      </w:r>
      <w:r w:rsidRPr="00D12D64">
        <w:rPr>
          <w:rFonts w:ascii="Times New Roman" w:hAnsi="Times New Roman" w:cs="Times New Roman"/>
          <w:b/>
          <w:bCs/>
          <w:sz w:val="24"/>
          <w:szCs w:val="24"/>
        </w:rPr>
        <w:t xml:space="preserve">DOES NOT COMPLY WITH THE </w:t>
      </w:r>
      <w:r w:rsidRPr="00D12D64" w:rsidR="00D016A1">
        <w:rPr>
          <w:rFonts w:ascii="Times New Roman" w:hAnsi="Times New Roman" w:cs="Times New Roman"/>
          <w:b/>
          <w:bCs/>
          <w:sz w:val="24"/>
          <w:szCs w:val="24"/>
        </w:rPr>
        <w:t>PUCO’S</w:t>
      </w:r>
      <w:r w:rsidR="004A7E28">
        <w:rPr>
          <w:rFonts w:ascii="Times New Roman" w:hAnsi="Times New Roman" w:cs="Times New Roman"/>
          <w:b/>
          <w:bCs/>
          <w:sz w:val="24"/>
          <w:szCs w:val="24"/>
        </w:rPr>
        <w:t xml:space="preserve"> </w:t>
      </w:r>
      <w:r w:rsidR="00E60D71">
        <w:rPr>
          <w:rFonts w:ascii="Times New Roman" w:hAnsi="Times New Roman" w:cs="Times New Roman"/>
          <w:b/>
          <w:bCs/>
          <w:sz w:val="24"/>
          <w:szCs w:val="24"/>
        </w:rPr>
        <w:t>EMERGENCY PLAN ORDER</w:t>
      </w:r>
      <w:r w:rsidR="007379EF">
        <w:rPr>
          <w:rFonts w:ascii="Times New Roman" w:hAnsi="Times New Roman" w:cs="Times New Roman"/>
          <w:b/>
          <w:bCs/>
          <w:sz w:val="24"/>
          <w:szCs w:val="24"/>
        </w:rPr>
        <w:t xml:space="preserve"> </w:t>
      </w:r>
      <w:r w:rsidR="007379EF">
        <w:rPr>
          <w:rFonts w:ascii="Times New Roman" w:hAnsi="Times New Roman" w:cs="Times New Roman"/>
          <w:b/>
          <w:bCs/>
          <w:sz w:val="24"/>
          <w:szCs w:val="24"/>
        </w:rPr>
        <w:tab/>
        <w:t>REGARDING POTENTIAL CHARGES TO CONSUMERS</w:t>
      </w:r>
      <w:r w:rsidRPr="00D12D64">
        <w:rPr>
          <w:rFonts w:ascii="Times New Roman" w:hAnsi="Times New Roman" w:cs="Times New Roman"/>
          <w:b/>
          <w:bCs/>
          <w:sz w:val="24"/>
          <w:szCs w:val="24"/>
        </w:rPr>
        <w:t>.</w:t>
      </w:r>
    </w:p>
    <w:p w:rsidR="00D016A1" w:rsidRPr="00A37932" w:rsidP="00D016A1" w14:paraId="0AC05885" w14:textId="77777777">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65DDD" w:rsidP="00D12D64" w14:paraId="6533A836" w14:textId="49918154">
      <w:pPr>
        <w:autoSpaceDE w:val="0"/>
        <w:autoSpaceDN w:val="0"/>
        <w:adjustRightInd w:val="0"/>
        <w:spacing w:after="0" w:line="480" w:lineRule="auto"/>
        <w:ind w:firstLine="720"/>
        <w:rPr>
          <w:rFonts w:ascii="Times New Roman" w:hAnsi="Times New Roman" w:cs="Times New Roman"/>
          <w:sz w:val="24"/>
          <w:szCs w:val="24"/>
        </w:rPr>
      </w:pPr>
      <w:r w:rsidRPr="00A37932">
        <w:rPr>
          <w:rFonts w:ascii="Times New Roman" w:hAnsi="Times New Roman" w:cs="Times New Roman"/>
          <w:sz w:val="24"/>
          <w:szCs w:val="24"/>
        </w:rPr>
        <w:t xml:space="preserve">Columbia’s </w:t>
      </w:r>
      <w:r w:rsidR="00E60D71">
        <w:rPr>
          <w:rFonts w:ascii="Times New Roman" w:hAnsi="Times New Roman" w:cs="Times New Roman"/>
          <w:sz w:val="24"/>
          <w:szCs w:val="24"/>
        </w:rPr>
        <w:t>Ap</w:t>
      </w:r>
      <w:r w:rsidRPr="00A37932">
        <w:rPr>
          <w:rFonts w:ascii="Times New Roman" w:hAnsi="Times New Roman" w:cs="Times New Roman"/>
          <w:sz w:val="24"/>
          <w:szCs w:val="24"/>
        </w:rPr>
        <w:t xml:space="preserve">plication </w:t>
      </w:r>
      <w:r w:rsidR="00E60D71">
        <w:rPr>
          <w:rFonts w:ascii="Times New Roman" w:hAnsi="Times New Roman" w:cs="Times New Roman"/>
          <w:sz w:val="24"/>
          <w:szCs w:val="24"/>
        </w:rPr>
        <w:t xml:space="preserve">also </w:t>
      </w:r>
      <w:r w:rsidRPr="00A37932">
        <w:rPr>
          <w:rFonts w:ascii="Times New Roman" w:hAnsi="Times New Roman" w:cs="Times New Roman"/>
          <w:sz w:val="24"/>
          <w:szCs w:val="24"/>
        </w:rPr>
        <w:t>fails to acknowledge the</w:t>
      </w:r>
      <w:r w:rsidR="00E60D71">
        <w:rPr>
          <w:rFonts w:ascii="Times New Roman" w:hAnsi="Times New Roman" w:cs="Times New Roman"/>
          <w:sz w:val="24"/>
          <w:szCs w:val="24"/>
        </w:rPr>
        <w:t xml:space="preserve"> Emergency Plan Order</w:t>
      </w:r>
      <w:r w:rsidRPr="00A37932">
        <w:rPr>
          <w:rFonts w:ascii="Times New Roman" w:hAnsi="Times New Roman" w:cs="Times New Roman"/>
          <w:sz w:val="24"/>
          <w:szCs w:val="24"/>
        </w:rPr>
        <w:t xml:space="preserve">, </w:t>
      </w:r>
      <w:r w:rsidRPr="00A37932" w:rsidR="00E668A2">
        <w:rPr>
          <w:rFonts w:ascii="Times New Roman" w:hAnsi="Times New Roman" w:cs="Times New Roman"/>
          <w:sz w:val="24"/>
          <w:szCs w:val="24"/>
        </w:rPr>
        <w:t xml:space="preserve">which </w:t>
      </w:r>
      <w:r w:rsidRPr="00A37932" w:rsidR="00FB7F9F">
        <w:rPr>
          <w:rFonts w:ascii="Times New Roman" w:hAnsi="Times New Roman" w:cs="Times New Roman"/>
          <w:sz w:val="24"/>
          <w:szCs w:val="24"/>
        </w:rPr>
        <w:t xml:space="preserve">does question </w:t>
      </w:r>
      <w:r w:rsidRPr="00A37932" w:rsidR="00233917">
        <w:rPr>
          <w:rFonts w:ascii="Times New Roman" w:hAnsi="Times New Roman" w:cs="Times New Roman"/>
          <w:sz w:val="24"/>
          <w:szCs w:val="24"/>
        </w:rPr>
        <w:t>w</w:t>
      </w:r>
      <w:r w:rsidRPr="00A37932" w:rsidR="00E668A2">
        <w:rPr>
          <w:rFonts w:ascii="Times New Roman" w:hAnsi="Times New Roman" w:cs="Times New Roman"/>
          <w:sz w:val="24"/>
          <w:szCs w:val="24"/>
        </w:rPr>
        <w:t xml:space="preserve">hether the current level of </w:t>
      </w:r>
      <w:r w:rsidR="00D016A1">
        <w:rPr>
          <w:rFonts w:ascii="Times New Roman" w:hAnsi="Times New Roman" w:cs="Times New Roman"/>
          <w:sz w:val="24"/>
          <w:szCs w:val="24"/>
        </w:rPr>
        <w:t xml:space="preserve">operating expenses, </w:t>
      </w:r>
      <w:r w:rsidRPr="00A37932" w:rsidR="00E668A2">
        <w:rPr>
          <w:rFonts w:ascii="Times New Roman" w:hAnsi="Times New Roman" w:cs="Times New Roman"/>
          <w:sz w:val="24"/>
          <w:szCs w:val="24"/>
        </w:rPr>
        <w:t xml:space="preserve">included in </w:t>
      </w:r>
      <w:r w:rsidR="00365169">
        <w:rPr>
          <w:rFonts w:ascii="Times New Roman" w:hAnsi="Times New Roman" w:cs="Times New Roman"/>
          <w:sz w:val="24"/>
          <w:szCs w:val="24"/>
        </w:rPr>
        <w:t xml:space="preserve">Columbia’s </w:t>
      </w:r>
      <w:r w:rsidRPr="00A37932" w:rsidR="00FB7F9F">
        <w:rPr>
          <w:rFonts w:ascii="Times New Roman" w:hAnsi="Times New Roman" w:cs="Times New Roman"/>
          <w:sz w:val="24"/>
          <w:szCs w:val="24"/>
        </w:rPr>
        <w:t>l</w:t>
      </w:r>
      <w:r w:rsidRPr="00A37932" w:rsidR="00E668A2">
        <w:rPr>
          <w:rFonts w:ascii="Times New Roman" w:hAnsi="Times New Roman" w:cs="Times New Roman"/>
          <w:sz w:val="24"/>
          <w:szCs w:val="24"/>
        </w:rPr>
        <w:t>ast rate case</w:t>
      </w:r>
      <w:r w:rsidR="00D016A1">
        <w:rPr>
          <w:rFonts w:ascii="Times New Roman" w:hAnsi="Times New Roman" w:cs="Times New Roman"/>
          <w:sz w:val="24"/>
          <w:szCs w:val="24"/>
        </w:rPr>
        <w:t>,</w:t>
      </w:r>
      <w:r w:rsidRPr="00A37932" w:rsidR="00E668A2">
        <w:rPr>
          <w:rFonts w:ascii="Times New Roman" w:hAnsi="Times New Roman" w:cs="Times New Roman"/>
          <w:sz w:val="24"/>
          <w:szCs w:val="24"/>
        </w:rPr>
        <w:t xml:space="preserve"> </w:t>
      </w:r>
      <w:r w:rsidR="006950AF">
        <w:rPr>
          <w:rFonts w:ascii="Times New Roman" w:hAnsi="Times New Roman" w:cs="Times New Roman"/>
          <w:sz w:val="24"/>
          <w:szCs w:val="24"/>
        </w:rPr>
        <w:t xml:space="preserve">will </w:t>
      </w:r>
      <w:r w:rsidRPr="00A37932" w:rsidR="00FB7F9F">
        <w:rPr>
          <w:rFonts w:ascii="Times New Roman" w:hAnsi="Times New Roman" w:cs="Times New Roman"/>
          <w:sz w:val="24"/>
          <w:szCs w:val="24"/>
        </w:rPr>
        <w:t>actually</w:t>
      </w:r>
      <w:r w:rsidR="00D016A1">
        <w:rPr>
          <w:rFonts w:ascii="Times New Roman" w:hAnsi="Times New Roman" w:cs="Times New Roman"/>
          <w:sz w:val="24"/>
          <w:szCs w:val="24"/>
        </w:rPr>
        <w:t xml:space="preserve"> </w:t>
      </w:r>
      <w:r w:rsidR="006950AF">
        <w:rPr>
          <w:rFonts w:ascii="Times New Roman" w:hAnsi="Times New Roman" w:cs="Times New Roman"/>
          <w:sz w:val="24"/>
          <w:szCs w:val="24"/>
        </w:rPr>
        <w:t xml:space="preserve">prove </w:t>
      </w:r>
      <w:r w:rsidRPr="00A37932" w:rsidR="00E668A2">
        <w:rPr>
          <w:rFonts w:ascii="Times New Roman" w:hAnsi="Times New Roman" w:cs="Times New Roman"/>
          <w:sz w:val="24"/>
          <w:szCs w:val="24"/>
        </w:rPr>
        <w:t>insufficient</w:t>
      </w:r>
      <w:r w:rsidR="00365169">
        <w:rPr>
          <w:rFonts w:ascii="Times New Roman" w:hAnsi="Times New Roman" w:cs="Times New Roman"/>
          <w:sz w:val="24"/>
          <w:szCs w:val="24"/>
        </w:rPr>
        <w:t xml:space="preserve"> to allow Columbia a reasonable rate of return during the crisis period</w:t>
      </w:r>
      <w:r w:rsidRPr="00A37932" w:rsidR="00C621A1">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A37932" w:rsidR="00C621A1">
        <w:rPr>
          <w:rFonts w:ascii="Times New Roman" w:hAnsi="Times New Roman" w:cs="Times New Roman"/>
          <w:sz w:val="24"/>
          <w:szCs w:val="24"/>
        </w:rPr>
        <w:t xml:space="preserve"> </w:t>
      </w:r>
      <w:r w:rsidR="00D016A1">
        <w:rPr>
          <w:rFonts w:ascii="Times New Roman" w:hAnsi="Times New Roman" w:cs="Times New Roman"/>
          <w:sz w:val="24"/>
          <w:szCs w:val="24"/>
        </w:rPr>
        <w:t>The PUCO should also require,</w:t>
      </w:r>
      <w:r w:rsidR="005628A6">
        <w:rPr>
          <w:rFonts w:ascii="Times New Roman" w:hAnsi="Times New Roman" w:cs="Times New Roman"/>
          <w:sz w:val="24"/>
          <w:szCs w:val="24"/>
        </w:rPr>
        <w:t xml:space="preserve"> before </w:t>
      </w:r>
      <w:r w:rsidR="001D6051">
        <w:rPr>
          <w:rFonts w:ascii="Times New Roman" w:hAnsi="Times New Roman" w:cs="Times New Roman"/>
          <w:sz w:val="24"/>
          <w:szCs w:val="24"/>
        </w:rPr>
        <w:t xml:space="preserve">it </w:t>
      </w:r>
      <w:r w:rsidR="00D016A1">
        <w:rPr>
          <w:rFonts w:ascii="Times New Roman" w:hAnsi="Times New Roman" w:cs="Times New Roman"/>
          <w:sz w:val="24"/>
          <w:szCs w:val="24"/>
        </w:rPr>
        <w:t>authoriz</w:t>
      </w:r>
      <w:r w:rsidR="001D6051">
        <w:rPr>
          <w:rFonts w:ascii="Times New Roman" w:hAnsi="Times New Roman" w:cs="Times New Roman"/>
          <w:sz w:val="24"/>
          <w:szCs w:val="24"/>
        </w:rPr>
        <w:t>es</w:t>
      </w:r>
      <w:r w:rsidR="00D016A1">
        <w:rPr>
          <w:rFonts w:ascii="Times New Roman" w:hAnsi="Times New Roman" w:cs="Times New Roman"/>
          <w:sz w:val="24"/>
          <w:szCs w:val="24"/>
        </w:rPr>
        <w:t xml:space="preserve"> </w:t>
      </w:r>
      <w:r w:rsidRPr="00A37932">
        <w:rPr>
          <w:rFonts w:ascii="Times New Roman" w:hAnsi="Times New Roman" w:cs="Times New Roman"/>
          <w:sz w:val="24"/>
          <w:szCs w:val="24"/>
        </w:rPr>
        <w:t xml:space="preserve">the </w:t>
      </w:r>
      <w:r w:rsidR="00797C93">
        <w:rPr>
          <w:rFonts w:ascii="Times New Roman" w:hAnsi="Times New Roman" w:cs="Times New Roman"/>
          <w:sz w:val="24"/>
          <w:szCs w:val="24"/>
        </w:rPr>
        <w:t>deferral of expenses</w:t>
      </w:r>
      <w:r w:rsidRPr="00A37932" w:rsidR="00233917">
        <w:rPr>
          <w:rFonts w:ascii="Times New Roman" w:hAnsi="Times New Roman" w:cs="Times New Roman"/>
          <w:sz w:val="24"/>
          <w:szCs w:val="24"/>
        </w:rPr>
        <w:t xml:space="preserve">, </w:t>
      </w:r>
      <w:r w:rsidR="00D016A1">
        <w:rPr>
          <w:rFonts w:ascii="Times New Roman" w:hAnsi="Times New Roman" w:cs="Times New Roman"/>
          <w:sz w:val="24"/>
          <w:szCs w:val="24"/>
        </w:rPr>
        <w:t xml:space="preserve">that </w:t>
      </w:r>
      <w:r w:rsidRPr="00A37932" w:rsidR="00C621A1">
        <w:rPr>
          <w:rFonts w:ascii="Times New Roman" w:hAnsi="Times New Roman" w:cs="Times New Roman"/>
          <w:sz w:val="24"/>
          <w:szCs w:val="24"/>
        </w:rPr>
        <w:t xml:space="preserve">Columbia </w:t>
      </w:r>
      <w:r w:rsidR="00797C93">
        <w:rPr>
          <w:rFonts w:ascii="Times New Roman" w:hAnsi="Times New Roman" w:cs="Times New Roman"/>
          <w:sz w:val="24"/>
          <w:szCs w:val="24"/>
        </w:rPr>
        <w:t>meet the pre-conditions the PUCO established in</w:t>
      </w:r>
      <w:r w:rsidR="004A7E28">
        <w:rPr>
          <w:rFonts w:ascii="Times New Roman" w:hAnsi="Times New Roman" w:cs="Times New Roman"/>
          <w:sz w:val="24"/>
          <w:szCs w:val="24"/>
        </w:rPr>
        <w:t xml:space="preserve"> </w:t>
      </w:r>
      <w:r w:rsidR="00E60D71">
        <w:rPr>
          <w:rFonts w:ascii="Times New Roman" w:hAnsi="Times New Roman" w:cs="Times New Roman"/>
          <w:sz w:val="24"/>
          <w:szCs w:val="24"/>
        </w:rPr>
        <w:t>the Emergency Plan Order</w:t>
      </w:r>
      <w:r w:rsidR="00797C93">
        <w:rPr>
          <w:rFonts w:ascii="Times New Roman" w:hAnsi="Times New Roman" w:cs="Times New Roman"/>
          <w:sz w:val="24"/>
          <w:szCs w:val="24"/>
        </w:rPr>
        <w:t xml:space="preserve">. </w:t>
      </w:r>
      <w:r w:rsidRPr="00A37932" w:rsidR="006E2635">
        <w:rPr>
          <w:rFonts w:ascii="Times New Roman" w:hAnsi="Times New Roman" w:cs="Times New Roman"/>
          <w:sz w:val="24"/>
          <w:szCs w:val="24"/>
        </w:rPr>
        <w:t xml:space="preserve">Specifically, the </w:t>
      </w:r>
      <w:r w:rsidR="00E60D71">
        <w:rPr>
          <w:rFonts w:ascii="Times New Roman" w:hAnsi="Times New Roman" w:cs="Times New Roman"/>
          <w:sz w:val="24"/>
          <w:szCs w:val="24"/>
        </w:rPr>
        <w:t xml:space="preserve">Emergency Plan Order </w:t>
      </w:r>
      <w:r w:rsidRPr="00A37932" w:rsidR="00233917">
        <w:rPr>
          <w:rFonts w:ascii="Times New Roman" w:hAnsi="Times New Roman" w:cs="Times New Roman"/>
          <w:sz w:val="24"/>
          <w:szCs w:val="24"/>
        </w:rPr>
        <w:t>stated that “[i]n the event that Columbia subsequently elects to seek deferral authority or to request recovery of expenses, Columbia is directed to track the costs associated with this emergency in a separate Federal Energy Regulatory Commission account, as well as track any costs the Company avoids due to the emergency.”</w:t>
      </w:r>
      <w:r>
        <w:rPr>
          <w:rStyle w:val="FootnoteReference"/>
          <w:rFonts w:ascii="Times New Roman" w:hAnsi="Times New Roman" w:cs="Times New Roman"/>
          <w:sz w:val="24"/>
          <w:szCs w:val="24"/>
        </w:rPr>
        <w:footnoteReference w:id="16"/>
      </w:r>
      <w:r w:rsidR="00123496">
        <w:rPr>
          <w:rFonts w:ascii="Times New Roman" w:hAnsi="Times New Roman" w:cs="Times New Roman"/>
          <w:sz w:val="24"/>
          <w:szCs w:val="24"/>
        </w:rPr>
        <w:t xml:space="preserve"> </w:t>
      </w:r>
    </w:p>
    <w:p w:rsidR="003A7EF0" w:rsidRPr="004F102E" w:rsidP="004F102E" w14:paraId="3F509EE0" w14:textId="717BFE25">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sz w:val="24"/>
          <w:szCs w:val="24"/>
        </w:rPr>
        <w:t xml:space="preserve">But </w:t>
      </w:r>
      <w:r w:rsidRPr="00A37932" w:rsidR="006E2635">
        <w:rPr>
          <w:rFonts w:ascii="Times New Roman" w:hAnsi="Times New Roman" w:cs="Times New Roman"/>
          <w:sz w:val="24"/>
          <w:szCs w:val="24"/>
        </w:rPr>
        <w:t xml:space="preserve">Columbia </w:t>
      </w:r>
      <w:r>
        <w:rPr>
          <w:rFonts w:ascii="Times New Roman" w:hAnsi="Times New Roman" w:cs="Times New Roman"/>
          <w:sz w:val="24"/>
          <w:szCs w:val="24"/>
        </w:rPr>
        <w:t>did</w:t>
      </w:r>
      <w:r w:rsidR="004A7E28">
        <w:rPr>
          <w:rFonts w:ascii="Times New Roman" w:hAnsi="Times New Roman" w:cs="Times New Roman"/>
          <w:sz w:val="24"/>
          <w:szCs w:val="24"/>
        </w:rPr>
        <w:t xml:space="preserve"> </w:t>
      </w:r>
      <w:r w:rsidRPr="00A37932" w:rsidR="006E2635">
        <w:rPr>
          <w:rFonts w:ascii="Times New Roman" w:hAnsi="Times New Roman" w:cs="Times New Roman"/>
          <w:sz w:val="24"/>
          <w:szCs w:val="24"/>
        </w:rPr>
        <w:t>not provide financial information</w:t>
      </w:r>
      <w:r>
        <w:rPr>
          <w:rFonts w:ascii="Times New Roman" w:hAnsi="Times New Roman" w:cs="Times New Roman"/>
          <w:sz w:val="24"/>
          <w:szCs w:val="24"/>
        </w:rPr>
        <w:t xml:space="preserve"> in the Application</w:t>
      </w:r>
      <w:r w:rsidRPr="00A37932" w:rsidR="00693310">
        <w:rPr>
          <w:rFonts w:ascii="Times New Roman" w:hAnsi="Times New Roman" w:cs="Times New Roman"/>
          <w:sz w:val="24"/>
          <w:szCs w:val="24"/>
        </w:rPr>
        <w:t>,</w:t>
      </w:r>
      <w:r w:rsidR="00CE6A33">
        <w:rPr>
          <w:rFonts w:ascii="Times New Roman" w:hAnsi="Times New Roman" w:cs="Times New Roman"/>
          <w:sz w:val="24"/>
          <w:szCs w:val="24"/>
        </w:rPr>
        <w:t xml:space="preserve"> and thus, there is no way </w:t>
      </w:r>
      <w:r w:rsidR="00D016A1">
        <w:rPr>
          <w:rFonts w:ascii="Times New Roman" w:hAnsi="Times New Roman" w:cs="Times New Roman"/>
          <w:sz w:val="24"/>
          <w:szCs w:val="24"/>
        </w:rPr>
        <w:t>to compare and offset</w:t>
      </w:r>
      <w:r w:rsidRPr="00A37932" w:rsidR="00693310">
        <w:rPr>
          <w:rFonts w:ascii="Times New Roman" w:hAnsi="Times New Roman" w:cs="Times New Roman"/>
          <w:sz w:val="24"/>
          <w:szCs w:val="24"/>
        </w:rPr>
        <w:t xml:space="preserve">: (1) </w:t>
      </w:r>
      <w:r w:rsidRPr="00A37932" w:rsidR="0069082A">
        <w:rPr>
          <w:rFonts w:ascii="Times New Roman" w:hAnsi="Times New Roman" w:cs="Times New Roman"/>
          <w:sz w:val="24"/>
          <w:szCs w:val="24"/>
        </w:rPr>
        <w:t xml:space="preserve">expenses caused due to the emergency; and (2) costs </w:t>
      </w:r>
      <w:r w:rsidR="00D016A1">
        <w:rPr>
          <w:rFonts w:ascii="Times New Roman" w:hAnsi="Times New Roman" w:cs="Times New Roman"/>
          <w:sz w:val="24"/>
          <w:szCs w:val="24"/>
        </w:rPr>
        <w:t>avoided</w:t>
      </w:r>
      <w:r w:rsidRPr="00A37932" w:rsidR="0069082A">
        <w:rPr>
          <w:rFonts w:ascii="Times New Roman" w:hAnsi="Times New Roman" w:cs="Times New Roman"/>
          <w:sz w:val="24"/>
          <w:szCs w:val="24"/>
        </w:rPr>
        <w:t xml:space="preserve"> due to the emergency. Furthermore</w:t>
      </w:r>
      <w:r w:rsidRPr="00A37932" w:rsidR="00C621A1">
        <w:rPr>
          <w:rFonts w:ascii="Times New Roman" w:hAnsi="Times New Roman" w:cs="Times New Roman"/>
          <w:sz w:val="24"/>
          <w:szCs w:val="24"/>
        </w:rPr>
        <w:t xml:space="preserve">, </w:t>
      </w:r>
      <w:r w:rsidR="00D016A1">
        <w:rPr>
          <w:rFonts w:ascii="Times New Roman" w:hAnsi="Times New Roman" w:cs="Times New Roman"/>
          <w:sz w:val="24"/>
          <w:szCs w:val="24"/>
        </w:rPr>
        <w:t xml:space="preserve">both </w:t>
      </w:r>
      <w:r w:rsidRPr="00A37932" w:rsidR="00C621A1">
        <w:rPr>
          <w:rFonts w:ascii="Times New Roman" w:hAnsi="Times New Roman" w:cs="Times New Roman"/>
          <w:sz w:val="24"/>
          <w:szCs w:val="24"/>
        </w:rPr>
        <w:t xml:space="preserve">the Staff and intervening parties </w:t>
      </w:r>
      <w:r w:rsidR="00D016A1">
        <w:rPr>
          <w:rFonts w:ascii="Times New Roman" w:hAnsi="Times New Roman" w:cs="Times New Roman"/>
          <w:sz w:val="24"/>
          <w:szCs w:val="24"/>
        </w:rPr>
        <w:t xml:space="preserve">should be permitted </w:t>
      </w:r>
      <w:r w:rsidRPr="00A37932" w:rsidR="00C621A1">
        <w:rPr>
          <w:rFonts w:ascii="Times New Roman" w:hAnsi="Times New Roman" w:cs="Times New Roman"/>
          <w:sz w:val="24"/>
          <w:szCs w:val="24"/>
        </w:rPr>
        <w:t xml:space="preserve">to </w:t>
      </w:r>
      <w:r w:rsidR="00D016A1">
        <w:rPr>
          <w:rFonts w:ascii="Times New Roman" w:hAnsi="Times New Roman" w:cs="Times New Roman"/>
          <w:sz w:val="24"/>
          <w:szCs w:val="24"/>
        </w:rPr>
        <w:t xml:space="preserve">later </w:t>
      </w:r>
      <w:r w:rsidRPr="00A37932" w:rsidR="00C621A1">
        <w:rPr>
          <w:rFonts w:ascii="Times New Roman" w:hAnsi="Times New Roman" w:cs="Times New Roman"/>
          <w:sz w:val="24"/>
          <w:szCs w:val="24"/>
        </w:rPr>
        <w:t>challenge: (1) what line items Columbi</w:t>
      </w:r>
      <w:r w:rsidR="00E64FE1">
        <w:rPr>
          <w:rFonts w:ascii="Times New Roman" w:hAnsi="Times New Roman" w:cs="Times New Roman"/>
          <w:sz w:val="24"/>
          <w:szCs w:val="24"/>
        </w:rPr>
        <w:t>a</w:t>
      </w:r>
      <w:r w:rsidRPr="00A37932" w:rsidR="00C621A1">
        <w:rPr>
          <w:rFonts w:ascii="Times New Roman" w:hAnsi="Times New Roman" w:cs="Times New Roman"/>
          <w:sz w:val="24"/>
          <w:szCs w:val="24"/>
        </w:rPr>
        <w:t xml:space="preserve"> is seeking to recover; (2) how Columbia is tracking this information;</w:t>
      </w:r>
      <w:r w:rsidRPr="00A37932" w:rsidR="00693310">
        <w:rPr>
          <w:rFonts w:ascii="Times New Roman" w:hAnsi="Times New Roman" w:cs="Times New Roman"/>
          <w:sz w:val="24"/>
          <w:szCs w:val="24"/>
        </w:rPr>
        <w:t xml:space="preserve"> (3) line items in which Columbia </w:t>
      </w:r>
      <w:r w:rsidR="00D016A1">
        <w:rPr>
          <w:rFonts w:ascii="Times New Roman" w:hAnsi="Times New Roman" w:cs="Times New Roman"/>
          <w:sz w:val="24"/>
          <w:szCs w:val="24"/>
        </w:rPr>
        <w:t xml:space="preserve">may seek </w:t>
      </w:r>
      <w:r w:rsidRPr="00A37932" w:rsidR="00693310">
        <w:rPr>
          <w:rFonts w:ascii="Times New Roman" w:hAnsi="Times New Roman" w:cs="Times New Roman"/>
          <w:sz w:val="24"/>
          <w:szCs w:val="24"/>
        </w:rPr>
        <w:t>double recovery; (4) Columbia’s claims of losses due to the emergency; and (5) items Columbia isn’t tracking</w:t>
      </w:r>
      <w:r w:rsidR="00D016A1">
        <w:rPr>
          <w:rFonts w:ascii="Times New Roman" w:hAnsi="Times New Roman" w:cs="Times New Roman"/>
          <w:sz w:val="24"/>
          <w:szCs w:val="24"/>
        </w:rPr>
        <w:t xml:space="preserve">, but </w:t>
      </w:r>
      <w:r w:rsidRPr="00A37932" w:rsidR="00693310">
        <w:rPr>
          <w:rFonts w:ascii="Times New Roman" w:hAnsi="Times New Roman" w:cs="Times New Roman"/>
          <w:sz w:val="24"/>
          <w:szCs w:val="24"/>
        </w:rPr>
        <w:t xml:space="preserve">should. </w:t>
      </w:r>
      <w:r w:rsidR="00BE47B3">
        <w:rPr>
          <w:rFonts w:ascii="Times New Roman" w:hAnsi="Times New Roman" w:cs="Times New Roman"/>
          <w:sz w:val="24"/>
          <w:szCs w:val="24"/>
        </w:rPr>
        <w:t>In sum</w:t>
      </w:r>
      <w:r w:rsidR="00D70394">
        <w:rPr>
          <w:rFonts w:ascii="Times New Roman" w:hAnsi="Times New Roman" w:cs="Times New Roman"/>
          <w:sz w:val="24"/>
          <w:szCs w:val="24"/>
        </w:rPr>
        <w:t xml:space="preserve">, prior to its </w:t>
      </w:r>
      <w:r w:rsidR="004A7E28">
        <w:rPr>
          <w:rFonts w:ascii="Times New Roman" w:hAnsi="Times New Roman" w:cs="Times New Roman"/>
          <w:sz w:val="24"/>
          <w:szCs w:val="24"/>
        </w:rPr>
        <w:t>collecting d</w:t>
      </w:r>
      <w:r w:rsidR="00D70394">
        <w:rPr>
          <w:rFonts w:ascii="Times New Roman" w:hAnsi="Times New Roman" w:cs="Times New Roman"/>
          <w:sz w:val="24"/>
          <w:szCs w:val="24"/>
        </w:rPr>
        <w:t>eferred expense</w:t>
      </w:r>
      <w:r w:rsidR="004A7E28">
        <w:rPr>
          <w:rFonts w:ascii="Times New Roman" w:hAnsi="Times New Roman" w:cs="Times New Roman"/>
          <w:sz w:val="24"/>
          <w:szCs w:val="24"/>
        </w:rPr>
        <w:t xml:space="preserve">s from </w:t>
      </w:r>
      <w:r w:rsidR="00544BAD">
        <w:rPr>
          <w:rFonts w:ascii="Times New Roman" w:hAnsi="Times New Roman" w:cs="Times New Roman"/>
          <w:sz w:val="24"/>
          <w:szCs w:val="24"/>
        </w:rPr>
        <w:t>consumers</w:t>
      </w:r>
      <w:r w:rsidR="00D70394">
        <w:rPr>
          <w:rFonts w:ascii="Times New Roman" w:hAnsi="Times New Roman" w:cs="Times New Roman"/>
          <w:sz w:val="24"/>
          <w:szCs w:val="24"/>
        </w:rPr>
        <w:t>, it is incumbent upon Columbia to recognize well-established regulatory standards, demonstrate that it has met those standards, and then properly account for any increased expense or foregone revenues.</w:t>
      </w:r>
      <w:r w:rsidR="00363AA0">
        <w:rPr>
          <w:rFonts w:ascii="Times New Roman" w:hAnsi="Times New Roman" w:cs="Times New Roman"/>
          <w:sz w:val="24"/>
          <w:szCs w:val="24"/>
        </w:rPr>
        <w:t xml:space="preserve"> </w:t>
      </w:r>
    </w:p>
    <w:p w:rsidR="0082377F" w:rsidP="0082377F" w14:paraId="1CB94586" w14:textId="77777777">
      <w:pPr>
        <w:autoSpaceDE w:val="0"/>
        <w:autoSpaceDN w:val="0"/>
        <w:adjustRightInd w:val="0"/>
        <w:spacing w:after="0" w:line="240" w:lineRule="auto"/>
        <w:ind w:firstLine="720"/>
        <w:rPr>
          <w:rFonts w:ascii="Times New Roman" w:hAnsi="Times New Roman" w:cs="Times New Roman"/>
          <w:sz w:val="24"/>
          <w:szCs w:val="24"/>
        </w:rPr>
      </w:pPr>
    </w:p>
    <w:p w:rsidR="00865DDD" w:rsidP="002C49C3" w14:paraId="646600F5" w14:textId="0EF57CCB">
      <w:pPr>
        <w:pStyle w:val="ListParagraph"/>
        <w:numPr>
          <w:ilvl w:val="0"/>
          <w:numId w:val="1"/>
        </w:numPr>
        <w:autoSpaceDE w:val="0"/>
        <w:autoSpaceDN w:val="0"/>
        <w:adjustRightInd w:val="0"/>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rPr>
        <w:t>CONCLUSION</w:t>
      </w:r>
    </w:p>
    <w:p w:rsidR="00CE6A33" w:rsidRPr="00FF11DD" w:rsidP="00CE6A33" w14:paraId="7AC1314A" w14:textId="6BE01A60">
      <w:pPr>
        <w:autoSpaceDE w:val="0"/>
        <w:autoSpaceDN w:val="0"/>
        <w:adjustRightInd w:val="0"/>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In these times </w:t>
      </w:r>
      <w:r w:rsidR="001D6051">
        <w:rPr>
          <w:rFonts w:ascii="Times New Roman" w:hAnsi="Times New Roman" w:cs="Times New Roman"/>
          <w:sz w:val="24"/>
          <w:szCs w:val="24"/>
        </w:rPr>
        <w:t xml:space="preserve">of difficulty and suffering </w:t>
      </w:r>
      <w:r>
        <w:rPr>
          <w:rFonts w:ascii="Times New Roman" w:hAnsi="Times New Roman" w:cs="Times New Roman"/>
          <w:sz w:val="24"/>
          <w:szCs w:val="24"/>
        </w:rPr>
        <w:t xml:space="preserve">for </w:t>
      </w:r>
      <w:r w:rsidR="001D6051">
        <w:rPr>
          <w:rFonts w:ascii="Times New Roman" w:hAnsi="Times New Roman" w:cs="Times New Roman"/>
          <w:sz w:val="24"/>
          <w:szCs w:val="24"/>
        </w:rPr>
        <w:t xml:space="preserve">many </w:t>
      </w:r>
      <w:r>
        <w:rPr>
          <w:rFonts w:ascii="Times New Roman" w:hAnsi="Times New Roman" w:cs="Times New Roman"/>
          <w:sz w:val="24"/>
          <w:szCs w:val="24"/>
        </w:rPr>
        <w:t xml:space="preserve">Ohio utility consumers, the PUCO should </w:t>
      </w:r>
      <w:r w:rsidR="001D6051">
        <w:rPr>
          <w:rFonts w:ascii="Times New Roman" w:hAnsi="Times New Roman" w:cs="Times New Roman"/>
          <w:sz w:val="24"/>
          <w:szCs w:val="24"/>
        </w:rPr>
        <w:t>not be expecting those consumers to also make their utilities financially whole from the consequences of the crisis and economic downturn.</w:t>
      </w:r>
      <w:r>
        <w:rPr>
          <w:rFonts w:ascii="Times New Roman" w:hAnsi="Times New Roman" w:cs="Times New Roman"/>
          <w:sz w:val="24"/>
          <w:szCs w:val="24"/>
        </w:rPr>
        <w:t xml:space="preserve"> </w:t>
      </w:r>
      <w:r w:rsidR="00421D20">
        <w:rPr>
          <w:rFonts w:ascii="Times New Roman" w:hAnsi="Times New Roman" w:cs="Times New Roman"/>
          <w:sz w:val="24"/>
          <w:szCs w:val="24"/>
        </w:rPr>
        <w:t xml:space="preserve">Therefore, for the protection of </w:t>
      </w:r>
      <w:r>
        <w:rPr>
          <w:rFonts w:ascii="Times New Roman" w:hAnsi="Times New Roman" w:cs="Times New Roman"/>
          <w:sz w:val="24"/>
          <w:szCs w:val="24"/>
        </w:rPr>
        <w:t>Columbia’s</w:t>
      </w:r>
      <w:r w:rsidRPr="00FF11DD">
        <w:rPr>
          <w:rFonts w:ascii="Times New Roman" w:hAnsi="Times New Roman" w:cs="Times New Roman"/>
          <w:sz w:val="24"/>
          <w:szCs w:val="24"/>
        </w:rPr>
        <w:t xml:space="preserve"> </w:t>
      </w:r>
      <w:r>
        <w:rPr>
          <w:rFonts w:ascii="Times New Roman" w:hAnsi="Times New Roman" w:cs="Times New Roman"/>
          <w:sz w:val="24"/>
          <w:szCs w:val="24"/>
        </w:rPr>
        <w:t>1.3 million residential</w:t>
      </w:r>
      <w:r w:rsidR="00544BAD">
        <w:rPr>
          <w:rFonts w:ascii="Times New Roman" w:hAnsi="Times New Roman" w:cs="Times New Roman"/>
          <w:sz w:val="24"/>
          <w:szCs w:val="24"/>
        </w:rPr>
        <w:t xml:space="preserve"> consumers</w:t>
      </w:r>
      <w:r w:rsidRPr="00FF11DD">
        <w:rPr>
          <w:rFonts w:ascii="Times New Roman" w:hAnsi="Times New Roman" w:cs="Times New Roman"/>
          <w:sz w:val="24"/>
          <w:szCs w:val="24"/>
        </w:rPr>
        <w:t>, the PUCO should deny</w:t>
      </w:r>
      <w:r>
        <w:rPr>
          <w:rFonts w:ascii="Times New Roman" w:hAnsi="Times New Roman" w:cs="Times New Roman"/>
          <w:sz w:val="24"/>
          <w:szCs w:val="24"/>
        </w:rPr>
        <w:t xml:space="preserve"> Columbia’s</w:t>
      </w:r>
      <w:r w:rsidRPr="00FF11DD">
        <w:rPr>
          <w:rFonts w:ascii="Times New Roman" w:hAnsi="Times New Roman" w:cs="Times New Roman"/>
          <w:sz w:val="24"/>
          <w:szCs w:val="24"/>
        </w:rPr>
        <w:t xml:space="preserve"> </w:t>
      </w:r>
      <w:r w:rsidR="00421D20">
        <w:rPr>
          <w:rFonts w:ascii="Times New Roman" w:hAnsi="Times New Roman" w:cs="Times New Roman"/>
          <w:sz w:val="24"/>
          <w:szCs w:val="24"/>
        </w:rPr>
        <w:t xml:space="preserve">Application for </w:t>
      </w:r>
      <w:r>
        <w:rPr>
          <w:rFonts w:ascii="Times New Roman" w:hAnsi="Times New Roman" w:cs="Times New Roman"/>
          <w:sz w:val="24"/>
          <w:szCs w:val="24"/>
        </w:rPr>
        <w:t>deferral authority</w:t>
      </w:r>
      <w:r w:rsidRPr="00FF11DD">
        <w:rPr>
          <w:rFonts w:ascii="Times New Roman" w:hAnsi="Times New Roman" w:cs="Times New Roman"/>
          <w:sz w:val="24"/>
          <w:szCs w:val="24"/>
        </w:rPr>
        <w:t>.</w:t>
      </w:r>
    </w:p>
    <w:p w:rsidR="00D12D64" w:rsidRPr="00D12D64" w:rsidP="00D12D64" w14:paraId="21CF25D9" w14:textId="77777777">
      <w:pPr>
        <w:pStyle w:val="BodyTextIndent3"/>
        <w:widowControl w:val="0"/>
        <w:spacing w:after="0" w:line="480" w:lineRule="auto"/>
        <w:ind w:left="3600" w:right="-312"/>
        <w:rPr>
          <w:rFonts w:ascii="Times New Roman" w:hAnsi="Times New Roman" w:cs="Times New Roman"/>
          <w:sz w:val="24"/>
          <w:szCs w:val="24"/>
        </w:rPr>
      </w:pPr>
      <w:r w:rsidRPr="00D12D64">
        <w:rPr>
          <w:rFonts w:ascii="Times New Roman" w:hAnsi="Times New Roman" w:cs="Times New Roman"/>
          <w:sz w:val="24"/>
          <w:szCs w:val="24"/>
        </w:rPr>
        <w:t>Respectfully submitted,</w:t>
      </w:r>
    </w:p>
    <w:p w:rsidR="00D12D64" w:rsidRPr="00D12D64" w:rsidP="00D12D64" w14:paraId="22EBBA9E" w14:textId="77777777">
      <w:pPr>
        <w:pStyle w:val="Footer"/>
        <w:tabs>
          <w:tab w:val="left" w:pos="4320"/>
        </w:tabs>
        <w:ind w:left="3600"/>
        <w:rPr>
          <w:rFonts w:ascii="Times New Roman" w:hAnsi="Times New Roman" w:cs="Times New Roman"/>
          <w:sz w:val="24"/>
          <w:szCs w:val="24"/>
        </w:rPr>
      </w:pPr>
      <w:r w:rsidRPr="00D12D64">
        <w:rPr>
          <w:rFonts w:ascii="Times New Roman" w:hAnsi="Times New Roman" w:cs="Times New Roman"/>
          <w:sz w:val="24"/>
          <w:szCs w:val="24"/>
        </w:rPr>
        <w:t>Bruce Weston (0016973)</w:t>
      </w:r>
    </w:p>
    <w:p w:rsidR="00D12D64" w:rsidRPr="00D12D64" w:rsidP="00D12D64" w14:paraId="48630F7F" w14:textId="77777777">
      <w:pPr>
        <w:tabs>
          <w:tab w:val="left" w:pos="4320"/>
        </w:tabs>
        <w:spacing w:after="0"/>
        <w:ind w:left="3600"/>
        <w:rPr>
          <w:rFonts w:ascii="Times New Roman" w:hAnsi="Times New Roman" w:cs="Times New Roman"/>
          <w:sz w:val="24"/>
          <w:szCs w:val="24"/>
        </w:rPr>
      </w:pPr>
      <w:r w:rsidRPr="00D12D64">
        <w:rPr>
          <w:rFonts w:ascii="Times New Roman" w:hAnsi="Times New Roman" w:cs="Times New Roman"/>
          <w:sz w:val="24"/>
          <w:szCs w:val="24"/>
        </w:rPr>
        <w:t>Ohio Consumers’ Counsel</w:t>
      </w:r>
    </w:p>
    <w:p w:rsidR="00D12D64" w:rsidRPr="00D12D64" w:rsidP="00D12D64" w14:paraId="1B565BA6" w14:textId="77777777">
      <w:pPr>
        <w:tabs>
          <w:tab w:val="left" w:pos="4320"/>
        </w:tabs>
        <w:spacing w:after="0"/>
        <w:ind w:left="3600"/>
        <w:rPr>
          <w:rFonts w:ascii="Times New Roman" w:hAnsi="Times New Roman" w:cs="Times New Roman"/>
          <w:sz w:val="24"/>
          <w:szCs w:val="24"/>
        </w:rPr>
      </w:pPr>
      <w:r w:rsidRPr="00D12D64">
        <w:rPr>
          <w:rFonts w:ascii="Times New Roman" w:hAnsi="Times New Roman" w:cs="Times New Roman"/>
          <w:sz w:val="24"/>
          <w:szCs w:val="24"/>
        </w:rPr>
        <w:tab/>
      </w:r>
    </w:p>
    <w:p w:rsidR="00D12D64" w:rsidRPr="00D12D64" w:rsidP="00D12D64" w14:paraId="5B06A0FB" w14:textId="77777777">
      <w:pPr>
        <w:tabs>
          <w:tab w:val="left" w:pos="4320"/>
        </w:tabs>
        <w:spacing w:after="0"/>
        <w:ind w:left="3600"/>
        <w:rPr>
          <w:rFonts w:ascii="Times New Roman" w:hAnsi="Times New Roman" w:cs="Times New Roman"/>
          <w:sz w:val="24"/>
          <w:szCs w:val="24"/>
        </w:rPr>
      </w:pPr>
      <w:r w:rsidRPr="00D12D64">
        <w:rPr>
          <w:rFonts w:ascii="Times New Roman" w:hAnsi="Times New Roman" w:cs="Times New Roman"/>
          <w:i/>
          <w:sz w:val="24"/>
          <w:szCs w:val="24"/>
          <w:u w:val="single"/>
        </w:rPr>
        <w:t>/s/ Angela D. O’Brien</w:t>
      </w:r>
      <w:r w:rsidRPr="00D12D64">
        <w:rPr>
          <w:rFonts w:ascii="Times New Roman" w:hAnsi="Times New Roman" w:cs="Times New Roman"/>
          <w:i/>
          <w:sz w:val="24"/>
          <w:szCs w:val="24"/>
          <w:u w:val="single"/>
        </w:rPr>
        <w:tab/>
      </w:r>
      <w:r w:rsidRPr="00D12D64">
        <w:rPr>
          <w:rFonts w:ascii="Times New Roman" w:hAnsi="Times New Roman" w:cs="Times New Roman"/>
          <w:i/>
          <w:sz w:val="24"/>
          <w:szCs w:val="24"/>
          <w:u w:val="single"/>
        </w:rPr>
        <w:tab/>
      </w:r>
      <w:r w:rsidRPr="00D12D64">
        <w:rPr>
          <w:rFonts w:ascii="Times New Roman" w:hAnsi="Times New Roman" w:cs="Times New Roman"/>
          <w:sz w:val="24"/>
          <w:szCs w:val="24"/>
        </w:rPr>
        <w:t xml:space="preserve"> </w:t>
      </w:r>
    </w:p>
    <w:p w:rsidR="00D12D64" w:rsidRPr="00D12D64" w:rsidP="00D12D64" w14:paraId="285AA76F" w14:textId="77777777">
      <w:pPr>
        <w:tabs>
          <w:tab w:val="left" w:pos="4320"/>
        </w:tabs>
        <w:spacing w:after="0"/>
        <w:ind w:left="3600"/>
        <w:rPr>
          <w:rFonts w:ascii="Times New Roman" w:hAnsi="Times New Roman" w:cs="Times New Roman"/>
          <w:sz w:val="24"/>
          <w:szCs w:val="24"/>
        </w:rPr>
      </w:pPr>
      <w:r w:rsidRPr="00D12D64">
        <w:rPr>
          <w:rFonts w:ascii="Times New Roman" w:hAnsi="Times New Roman" w:cs="Times New Roman"/>
          <w:sz w:val="24"/>
          <w:szCs w:val="24"/>
        </w:rPr>
        <w:t>Angela D. O’Brien (0097579)</w:t>
      </w:r>
    </w:p>
    <w:p w:rsidR="00D12D64" w:rsidRPr="00D12D64" w:rsidP="00D12D64" w14:paraId="38D61688" w14:textId="77777777">
      <w:pPr>
        <w:tabs>
          <w:tab w:val="left" w:pos="4320"/>
        </w:tabs>
        <w:spacing w:after="0"/>
        <w:ind w:left="3600"/>
        <w:rPr>
          <w:rFonts w:ascii="Times New Roman" w:hAnsi="Times New Roman" w:cs="Times New Roman"/>
          <w:sz w:val="24"/>
          <w:szCs w:val="24"/>
        </w:rPr>
      </w:pPr>
      <w:r w:rsidRPr="00D12D64">
        <w:rPr>
          <w:rFonts w:ascii="Times New Roman" w:hAnsi="Times New Roman" w:cs="Times New Roman"/>
          <w:sz w:val="24"/>
          <w:szCs w:val="24"/>
        </w:rPr>
        <w:t xml:space="preserve">Counsel of Record </w:t>
      </w:r>
    </w:p>
    <w:p w:rsidR="00D12D64" w:rsidRPr="00D12D64" w:rsidP="00D12D64" w14:paraId="082B24A5" w14:textId="77777777">
      <w:pPr>
        <w:tabs>
          <w:tab w:val="left" w:pos="4320"/>
        </w:tabs>
        <w:spacing w:after="0"/>
        <w:ind w:left="3600"/>
        <w:rPr>
          <w:rFonts w:ascii="Times New Roman" w:hAnsi="Times New Roman" w:cs="Times New Roman"/>
          <w:sz w:val="24"/>
          <w:szCs w:val="24"/>
        </w:rPr>
      </w:pPr>
      <w:r w:rsidRPr="00D12D64">
        <w:rPr>
          <w:rFonts w:ascii="Times New Roman" w:hAnsi="Times New Roman" w:cs="Times New Roman"/>
          <w:sz w:val="24"/>
          <w:szCs w:val="24"/>
        </w:rPr>
        <w:t>Amy Botschner O’Brien (0074423)</w:t>
      </w:r>
    </w:p>
    <w:p w:rsidR="00D12D64" w:rsidRPr="00D12D64" w:rsidP="00D12D64" w14:paraId="7A297B1F" w14:textId="77777777">
      <w:pPr>
        <w:tabs>
          <w:tab w:val="left" w:pos="4320"/>
        </w:tabs>
        <w:spacing w:after="0"/>
        <w:ind w:left="3600"/>
        <w:rPr>
          <w:rFonts w:ascii="Times New Roman" w:hAnsi="Times New Roman" w:cs="Times New Roman"/>
          <w:sz w:val="24"/>
          <w:szCs w:val="24"/>
        </w:rPr>
      </w:pPr>
      <w:r w:rsidRPr="00D12D64">
        <w:rPr>
          <w:rFonts w:ascii="Times New Roman" w:hAnsi="Times New Roman" w:cs="Times New Roman"/>
          <w:sz w:val="24"/>
          <w:szCs w:val="24"/>
        </w:rPr>
        <w:t>Assistant Consumers’ Counsel</w:t>
      </w:r>
    </w:p>
    <w:p w:rsidR="00D12D64" w:rsidRPr="00D12D64" w:rsidP="00D12D64" w14:paraId="24654269" w14:textId="77777777">
      <w:pPr>
        <w:tabs>
          <w:tab w:val="left" w:pos="4320"/>
        </w:tabs>
        <w:spacing w:after="0"/>
        <w:ind w:left="3600"/>
        <w:rPr>
          <w:rFonts w:ascii="Times New Roman" w:hAnsi="Times New Roman" w:cs="Times New Roman"/>
          <w:sz w:val="24"/>
          <w:szCs w:val="24"/>
        </w:rPr>
      </w:pPr>
      <w:r w:rsidRPr="00D12D64">
        <w:rPr>
          <w:rFonts w:ascii="Times New Roman" w:hAnsi="Times New Roman" w:cs="Times New Roman"/>
          <w:sz w:val="24"/>
          <w:szCs w:val="24"/>
        </w:rPr>
        <w:tab/>
      </w:r>
    </w:p>
    <w:p w:rsidR="00D12D64" w:rsidRPr="00D12D64" w:rsidP="00D12D64" w14:paraId="5BB16A38" w14:textId="77777777">
      <w:pPr>
        <w:pStyle w:val="Heading1"/>
        <w:ind w:left="3600" w:right="-648"/>
        <w:rPr>
          <w:u w:val="none"/>
        </w:rPr>
      </w:pPr>
      <w:r w:rsidRPr="00D12D64">
        <w:rPr>
          <w:u w:val="none"/>
        </w:rPr>
        <w:t>Office of the Ohio Consumers’ Counsel</w:t>
      </w:r>
    </w:p>
    <w:p w:rsidR="00D12D64" w:rsidRPr="00D12D64" w:rsidP="00D12D64" w14:paraId="4044C966" w14:textId="77777777">
      <w:pPr>
        <w:pStyle w:val="Heading1"/>
        <w:ind w:left="3600" w:right="-648"/>
        <w:rPr>
          <w:b w:val="0"/>
          <w:u w:val="none"/>
        </w:rPr>
      </w:pPr>
      <w:r w:rsidRPr="00D12D64">
        <w:rPr>
          <w:b w:val="0"/>
          <w:u w:val="none"/>
        </w:rPr>
        <w:t>65 East State Street, 7th Floor</w:t>
      </w:r>
    </w:p>
    <w:p w:rsidR="00D12D64" w:rsidRPr="00D12D64" w:rsidP="00D12D64" w14:paraId="29EF2CD7" w14:textId="77777777">
      <w:pPr>
        <w:pStyle w:val="Heading1"/>
        <w:ind w:left="3600" w:right="-648"/>
        <w:rPr>
          <w:b w:val="0"/>
          <w:u w:val="none"/>
        </w:rPr>
      </w:pPr>
      <w:r w:rsidRPr="00D12D64">
        <w:rPr>
          <w:b w:val="0"/>
          <w:u w:val="none"/>
        </w:rPr>
        <w:t>Columbus, Ohio 43215-4213</w:t>
      </w:r>
    </w:p>
    <w:p w:rsidR="00D12D64" w:rsidRPr="00D12D64" w:rsidP="00D12D64" w14:paraId="57980554" w14:textId="77777777">
      <w:pPr>
        <w:autoSpaceDE w:val="0"/>
        <w:autoSpaceDN w:val="0"/>
        <w:adjustRightInd w:val="0"/>
        <w:spacing w:after="0"/>
        <w:ind w:left="3600"/>
        <w:rPr>
          <w:rFonts w:ascii="Times New Roman" w:hAnsi="Times New Roman" w:cs="Times New Roman"/>
          <w:sz w:val="24"/>
          <w:szCs w:val="24"/>
        </w:rPr>
      </w:pPr>
      <w:r w:rsidRPr="00D12D64">
        <w:rPr>
          <w:rFonts w:ascii="Times New Roman" w:hAnsi="Times New Roman" w:cs="Times New Roman"/>
          <w:sz w:val="24"/>
          <w:szCs w:val="24"/>
        </w:rPr>
        <w:t>Telephone [O’Brien]: (614) 466-9531</w:t>
      </w:r>
    </w:p>
    <w:p w:rsidR="00D12D64" w:rsidRPr="00D12D64" w:rsidP="00D12D64" w14:paraId="7E113D74" w14:textId="77777777">
      <w:pPr>
        <w:autoSpaceDE w:val="0"/>
        <w:autoSpaceDN w:val="0"/>
        <w:adjustRightInd w:val="0"/>
        <w:spacing w:after="0"/>
        <w:ind w:left="3600"/>
        <w:rPr>
          <w:rFonts w:ascii="Times New Roman" w:hAnsi="Times New Roman" w:cs="Times New Roman"/>
          <w:sz w:val="24"/>
          <w:szCs w:val="24"/>
        </w:rPr>
      </w:pPr>
      <w:r w:rsidRPr="00D12D64">
        <w:rPr>
          <w:rFonts w:ascii="Times New Roman" w:hAnsi="Times New Roman" w:cs="Times New Roman"/>
          <w:sz w:val="24"/>
          <w:szCs w:val="24"/>
        </w:rPr>
        <w:t>Telephone [Botschner O’Brien] (614) 466-9575</w:t>
      </w:r>
    </w:p>
    <w:p w:rsidR="00D12D64" w:rsidRPr="002C49C3" w:rsidP="00D12D64" w14:paraId="766F9874" w14:textId="3570142C">
      <w:pPr>
        <w:autoSpaceDE w:val="0"/>
        <w:autoSpaceDN w:val="0"/>
        <w:adjustRightInd w:val="0"/>
        <w:spacing w:after="0"/>
        <w:ind w:left="3600"/>
        <w:rPr>
          <w:rFonts w:ascii="Times New Roman" w:hAnsi="Times New Roman" w:cs="Times New Roman"/>
          <w:color w:val="0000FF"/>
          <w:sz w:val="24"/>
          <w:szCs w:val="24"/>
          <w:u w:val="single"/>
        </w:rPr>
      </w:pPr>
      <w:r w:rsidRPr="002C49C3">
        <w:rPr>
          <w:rFonts w:ascii="Times New Roman" w:hAnsi="Times New Roman" w:cs="Times New Roman"/>
          <w:color w:val="0000FF"/>
          <w:sz w:val="24"/>
          <w:szCs w:val="24"/>
          <w:u w:val="single"/>
        </w:rPr>
        <w:t>angela.obrien@occ.ohio.gov</w:t>
      </w:r>
    </w:p>
    <w:p w:rsidR="00D12D64" w:rsidRPr="002C49C3" w:rsidP="00D12D64" w14:paraId="32388A29" w14:textId="72FFDA3F">
      <w:pPr>
        <w:autoSpaceDE w:val="0"/>
        <w:autoSpaceDN w:val="0"/>
        <w:adjustRightInd w:val="0"/>
        <w:spacing w:after="0"/>
        <w:ind w:left="3600"/>
        <w:rPr>
          <w:rFonts w:ascii="Times New Roman" w:hAnsi="Times New Roman" w:cs="Times New Roman"/>
          <w:color w:val="0000FF"/>
          <w:sz w:val="24"/>
          <w:szCs w:val="24"/>
          <w:u w:val="single"/>
        </w:rPr>
      </w:pPr>
      <w:r w:rsidRPr="002C49C3">
        <w:rPr>
          <w:rFonts w:ascii="Times New Roman" w:hAnsi="Times New Roman" w:cs="Times New Roman"/>
          <w:color w:val="0000FF"/>
          <w:sz w:val="24"/>
          <w:szCs w:val="24"/>
          <w:u w:val="single"/>
        </w:rPr>
        <w:t>amy.botschner.obrien@occ.ohio.gov</w:t>
      </w:r>
    </w:p>
    <w:p w:rsidR="00D12D64" w:rsidRPr="00D12D64" w:rsidP="00D12D64" w14:paraId="3E190FA6" w14:textId="77777777">
      <w:pPr>
        <w:spacing w:after="0"/>
        <w:ind w:left="3600"/>
        <w:rPr>
          <w:rFonts w:ascii="Times New Roman" w:hAnsi="Times New Roman" w:cs="Times New Roman"/>
          <w:sz w:val="24"/>
          <w:szCs w:val="24"/>
        </w:rPr>
      </w:pPr>
      <w:r w:rsidRPr="00D12D64">
        <w:rPr>
          <w:rFonts w:ascii="Times New Roman" w:hAnsi="Times New Roman" w:cs="Times New Roman"/>
          <w:sz w:val="24"/>
          <w:szCs w:val="24"/>
        </w:rPr>
        <w:t>(willing to accept service by e-mail)</w:t>
      </w:r>
    </w:p>
    <w:p w:rsidR="00D12D64" w:rsidRPr="00D12D64" w:rsidP="00D12D64" w14:paraId="627A3B74" w14:textId="77777777">
      <w:pPr>
        <w:spacing w:after="0"/>
        <w:ind w:firstLine="90"/>
        <w:rPr>
          <w:rFonts w:ascii="Times New Roman" w:hAnsi="Times New Roman" w:cs="Times New Roman"/>
          <w:sz w:val="24"/>
          <w:szCs w:val="24"/>
        </w:rPr>
      </w:pPr>
    </w:p>
    <w:p w:rsidR="00D12D64" w:rsidRPr="00D12D64" w:rsidP="00D12D64" w14:paraId="0647BD6A" w14:textId="77777777">
      <w:pPr>
        <w:spacing w:after="0"/>
        <w:rPr>
          <w:rFonts w:ascii="Times New Roman" w:hAnsi="Times New Roman" w:cs="Times New Roman"/>
          <w:sz w:val="24"/>
          <w:szCs w:val="24"/>
        </w:rPr>
      </w:pPr>
    </w:p>
    <w:p w:rsidR="00D12D64" w:rsidRPr="00D12D64" w:rsidP="00D12D64" w14:paraId="093A510C" w14:textId="77777777">
      <w:pPr>
        <w:spacing w:after="0"/>
        <w:rPr>
          <w:rFonts w:ascii="Times New Roman" w:hAnsi="Times New Roman" w:cs="Times New Roman"/>
          <w:sz w:val="24"/>
          <w:szCs w:val="24"/>
        </w:rPr>
      </w:pPr>
    </w:p>
    <w:p w:rsidR="00D12D64" w:rsidRPr="00D12D64" w:rsidP="00D12D64" w14:paraId="1D43DC0E" w14:textId="77777777">
      <w:pPr>
        <w:spacing w:after="0"/>
        <w:rPr>
          <w:rFonts w:ascii="Times New Roman" w:hAnsi="Times New Roman" w:cs="Times New Roman"/>
          <w:sz w:val="24"/>
          <w:szCs w:val="24"/>
        </w:rPr>
      </w:pPr>
      <w:r w:rsidRPr="00D12D64">
        <w:rPr>
          <w:rFonts w:ascii="Times New Roman" w:hAnsi="Times New Roman" w:cs="Times New Roman"/>
          <w:sz w:val="24"/>
          <w:szCs w:val="24"/>
        </w:rPr>
        <w:br w:type="page"/>
      </w:r>
    </w:p>
    <w:p w:rsidR="00D12D64" w:rsidRPr="00D12D64" w:rsidP="00D12D64" w14:paraId="4F5DBC62" w14:textId="77777777">
      <w:pPr>
        <w:spacing w:after="0"/>
        <w:jc w:val="center"/>
        <w:rPr>
          <w:rFonts w:ascii="Times New Roman" w:hAnsi="Times New Roman" w:cs="Times New Roman"/>
          <w:b/>
          <w:bCs/>
          <w:sz w:val="24"/>
          <w:szCs w:val="24"/>
          <w:u w:val="single"/>
        </w:rPr>
      </w:pPr>
      <w:r w:rsidRPr="00D12D64">
        <w:rPr>
          <w:rFonts w:ascii="Times New Roman" w:hAnsi="Times New Roman" w:cs="Times New Roman"/>
          <w:b/>
          <w:bCs/>
          <w:sz w:val="24"/>
          <w:szCs w:val="24"/>
          <w:u w:val="single"/>
        </w:rPr>
        <w:t>CERTIFICATE OF SERVICE</w:t>
      </w:r>
    </w:p>
    <w:p w:rsidR="00D12D64" w:rsidRPr="00D12D64" w:rsidP="00D12D64" w14:paraId="5A10D763" w14:textId="62D46AEF">
      <w:pPr>
        <w:spacing w:after="0" w:line="480" w:lineRule="atLeast"/>
        <w:rPr>
          <w:rFonts w:ascii="Times New Roman" w:hAnsi="Times New Roman" w:cs="Times New Roman"/>
          <w:sz w:val="24"/>
          <w:szCs w:val="24"/>
        </w:rPr>
      </w:pPr>
      <w:r w:rsidRPr="00D12D64">
        <w:rPr>
          <w:rFonts w:ascii="Times New Roman" w:hAnsi="Times New Roman" w:cs="Times New Roman"/>
          <w:sz w:val="24"/>
          <w:szCs w:val="24"/>
        </w:rPr>
        <w:tab/>
        <w:t xml:space="preserve">I hereby certify that a copy of </w:t>
      </w:r>
      <w:r>
        <w:rPr>
          <w:rFonts w:ascii="Times New Roman" w:hAnsi="Times New Roman" w:cs="Times New Roman"/>
          <w:sz w:val="24"/>
          <w:szCs w:val="24"/>
        </w:rPr>
        <w:t xml:space="preserve">these Comments </w:t>
      </w:r>
      <w:r w:rsidRPr="00D12D64" w:rsidR="002C49C3">
        <w:rPr>
          <w:rFonts w:ascii="Times New Roman" w:hAnsi="Times New Roman" w:cs="Times New Roman"/>
          <w:sz w:val="24"/>
          <w:szCs w:val="24"/>
        </w:rPr>
        <w:t>w</w:t>
      </w:r>
      <w:r w:rsidR="002C49C3">
        <w:rPr>
          <w:rFonts w:ascii="Times New Roman" w:hAnsi="Times New Roman" w:cs="Times New Roman"/>
          <w:sz w:val="24"/>
          <w:szCs w:val="24"/>
        </w:rPr>
        <w:t>as</w:t>
      </w:r>
      <w:r w:rsidRPr="00D12D64">
        <w:rPr>
          <w:rFonts w:ascii="Times New Roman" w:hAnsi="Times New Roman" w:cs="Times New Roman"/>
          <w:sz w:val="24"/>
          <w:szCs w:val="24"/>
        </w:rPr>
        <w:t xml:space="preserve"> served on the persons stated below via electronic transmission, </w:t>
      </w:r>
      <w:r w:rsidR="00123496">
        <w:rPr>
          <w:rFonts w:ascii="Times New Roman" w:hAnsi="Times New Roman" w:cs="Times New Roman"/>
          <w:sz w:val="24"/>
          <w:szCs w:val="24"/>
        </w:rPr>
        <w:t>this 9th</w:t>
      </w:r>
      <w:r w:rsidRPr="008C17E8" w:rsidR="008C17E8">
        <w:rPr>
          <w:rFonts w:ascii="Times New Roman" w:hAnsi="Times New Roman" w:cs="Times New Roman"/>
          <w:sz w:val="24"/>
          <w:szCs w:val="24"/>
        </w:rPr>
        <w:t xml:space="preserve"> </w:t>
      </w:r>
      <w:r w:rsidRPr="00D12D64">
        <w:rPr>
          <w:rFonts w:ascii="Times New Roman" w:hAnsi="Times New Roman" w:cs="Times New Roman"/>
          <w:sz w:val="24"/>
          <w:szCs w:val="24"/>
        </w:rPr>
        <w:t xml:space="preserve">day of </w:t>
      </w:r>
      <w:r w:rsidR="008C17E8">
        <w:rPr>
          <w:rFonts w:ascii="Times New Roman" w:hAnsi="Times New Roman" w:cs="Times New Roman"/>
          <w:sz w:val="24"/>
          <w:szCs w:val="24"/>
        </w:rPr>
        <w:t>July</w:t>
      </w:r>
      <w:r w:rsidRPr="00D12D64">
        <w:rPr>
          <w:rFonts w:ascii="Times New Roman" w:hAnsi="Times New Roman" w:cs="Times New Roman"/>
          <w:sz w:val="24"/>
          <w:szCs w:val="24"/>
        </w:rPr>
        <w:t xml:space="preserve"> 2020.</w:t>
      </w:r>
    </w:p>
    <w:p w:rsidR="00D12D64" w:rsidRPr="00D12D64" w:rsidP="00D12D64" w14:paraId="5323DE5C" w14:textId="77777777">
      <w:pPr>
        <w:spacing w:after="0" w:line="480" w:lineRule="atLeast"/>
        <w:rPr>
          <w:rFonts w:ascii="Times New Roman" w:hAnsi="Times New Roman" w:cs="Times New Roman"/>
          <w:sz w:val="24"/>
          <w:szCs w:val="24"/>
        </w:rPr>
      </w:pPr>
    </w:p>
    <w:p w:rsidR="00D12D64" w:rsidRPr="00D12D64" w:rsidP="00D12D64" w14:paraId="221650C2" w14:textId="77777777">
      <w:pPr>
        <w:tabs>
          <w:tab w:val="left" w:pos="4320"/>
        </w:tabs>
        <w:spacing w:after="0"/>
        <w:rPr>
          <w:rFonts w:ascii="Times New Roman" w:hAnsi="Times New Roman" w:cs="Times New Roman"/>
          <w:i/>
          <w:sz w:val="24"/>
          <w:szCs w:val="24"/>
          <w:u w:val="single"/>
        </w:rPr>
      </w:pPr>
      <w:r w:rsidRPr="00D12D64">
        <w:rPr>
          <w:rFonts w:ascii="Times New Roman" w:hAnsi="Times New Roman" w:cs="Times New Roman"/>
          <w:sz w:val="24"/>
          <w:szCs w:val="24"/>
        </w:rPr>
        <w:tab/>
      </w:r>
      <w:r w:rsidRPr="00D12D64">
        <w:rPr>
          <w:rFonts w:ascii="Times New Roman" w:hAnsi="Times New Roman" w:cs="Times New Roman"/>
          <w:i/>
          <w:sz w:val="24"/>
          <w:szCs w:val="24"/>
          <w:u w:val="single"/>
        </w:rPr>
        <w:t>/s/ Angela D. O’Brien</w:t>
      </w:r>
      <w:r w:rsidRPr="00D12D64">
        <w:rPr>
          <w:rFonts w:ascii="Times New Roman" w:hAnsi="Times New Roman" w:cs="Times New Roman"/>
          <w:i/>
          <w:sz w:val="24"/>
          <w:szCs w:val="24"/>
          <w:u w:val="single"/>
        </w:rPr>
        <w:tab/>
      </w:r>
    </w:p>
    <w:p w:rsidR="00D12D64" w:rsidRPr="00D12D64" w:rsidP="00D12D64" w14:paraId="4D24D414" w14:textId="77777777">
      <w:pPr>
        <w:tabs>
          <w:tab w:val="left" w:pos="4320"/>
        </w:tabs>
        <w:spacing w:after="0"/>
        <w:rPr>
          <w:rFonts w:ascii="Times New Roman" w:hAnsi="Times New Roman" w:cs="Times New Roman"/>
          <w:sz w:val="24"/>
          <w:szCs w:val="24"/>
        </w:rPr>
      </w:pPr>
      <w:r w:rsidRPr="00D12D64">
        <w:rPr>
          <w:rFonts w:ascii="Times New Roman" w:hAnsi="Times New Roman" w:cs="Times New Roman"/>
          <w:sz w:val="24"/>
          <w:szCs w:val="24"/>
        </w:rPr>
        <w:tab/>
        <w:t>Angela D. O’Brien</w:t>
      </w:r>
    </w:p>
    <w:p w:rsidR="00D12D64" w:rsidRPr="00D12D64" w:rsidP="00D12D64" w14:paraId="18E8E68C" w14:textId="77777777">
      <w:pPr>
        <w:tabs>
          <w:tab w:val="left" w:pos="4320"/>
        </w:tabs>
        <w:spacing w:after="0"/>
        <w:rPr>
          <w:rFonts w:ascii="Times New Roman" w:hAnsi="Times New Roman" w:cs="Times New Roman"/>
          <w:sz w:val="24"/>
          <w:szCs w:val="24"/>
        </w:rPr>
      </w:pPr>
      <w:r w:rsidRPr="00D12D64">
        <w:rPr>
          <w:rFonts w:ascii="Times New Roman" w:hAnsi="Times New Roman" w:cs="Times New Roman"/>
          <w:sz w:val="24"/>
          <w:szCs w:val="24"/>
        </w:rPr>
        <w:tab/>
        <w:t>Assistant Consumers’ Counsel</w:t>
      </w:r>
    </w:p>
    <w:p w:rsidR="00D12D64" w:rsidRPr="00D12D64" w:rsidP="00D12D64" w14:paraId="39E15630" w14:textId="77777777">
      <w:pPr>
        <w:pStyle w:val="CommentSubject"/>
        <w:rPr>
          <w:szCs w:val="24"/>
        </w:rPr>
      </w:pPr>
    </w:p>
    <w:p w:rsidR="00D12D64" w:rsidRPr="00D12D64" w:rsidP="00D12D64" w14:paraId="14B4344D" w14:textId="77777777">
      <w:pPr>
        <w:spacing w:after="0"/>
        <w:rPr>
          <w:rFonts w:ascii="Times New Roman" w:hAnsi="Times New Roman" w:cs="Times New Roman"/>
          <w:sz w:val="24"/>
          <w:szCs w:val="24"/>
        </w:rPr>
      </w:pPr>
      <w:r w:rsidRPr="00D12D64">
        <w:rPr>
          <w:rFonts w:ascii="Times New Roman" w:hAnsi="Times New Roman" w:cs="Times New Roman"/>
          <w:sz w:val="24"/>
          <w:szCs w:val="24"/>
        </w:rPr>
        <w:t>The PUCO’s e-filing system will electronically serve notice of the filing of this document on the following parties:</w:t>
      </w:r>
    </w:p>
    <w:p w:rsidR="00D12D64" w:rsidRPr="00D12D64" w:rsidP="00D12D64" w14:paraId="60471EAD" w14:textId="77777777">
      <w:pPr>
        <w:pStyle w:val="CommentText"/>
      </w:pPr>
    </w:p>
    <w:p w:rsidR="008C17E8" w:rsidRPr="00125D6F" w:rsidP="008C17E8" w14:paraId="50CE4E88" w14:textId="77777777">
      <w:pPr>
        <w:pStyle w:val="CommentText"/>
        <w:jc w:val="center"/>
        <w:rPr>
          <w:b/>
          <w:u w:val="single"/>
        </w:rPr>
      </w:pPr>
      <w:r w:rsidRPr="00125D6F">
        <w:rPr>
          <w:b/>
          <w:u w:val="single"/>
        </w:rPr>
        <w:t>SERVICE LIST</w:t>
      </w:r>
    </w:p>
    <w:p w:rsidR="008C17E8" w:rsidRPr="00125D6F" w:rsidP="008C17E8" w14:paraId="15A790B9"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3770"/>
      </w:tblGrid>
      <w:tr w14:paraId="7820111B" w14:textId="77777777" w:rsidTr="008C17E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60" w:type="dxa"/>
          </w:tcPr>
          <w:p w:rsidR="008C17E8" w:rsidRPr="008C17E8" w:rsidP="00B438EE" w14:paraId="5867D076" w14:textId="77777777">
            <w:pPr>
              <w:rPr>
                <w:rStyle w:val="Hyperlink"/>
                <w:rFonts w:ascii="Times New Roman" w:hAnsi="Times New Roman" w:cs="Times New Roman"/>
                <w:sz w:val="24"/>
                <w:szCs w:val="24"/>
              </w:rPr>
            </w:pPr>
            <w:hyperlink r:id="rId9" w:history="1">
              <w:r w:rsidRPr="008C17E8" w:rsidR="00BE0BF5">
                <w:rPr>
                  <w:rStyle w:val="Hyperlink"/>
                  <w:rFonts w:ascii="Times New Roman" w:hAnsi="Times New Roman" w:cs="Times New Roman"/>
                  <w:sz w:val="24"/>
                  <w:szCs w:val="24"/>
                </w:rPr>
                <w:t>john.jones@ohioattorneygeneral.gov</w:t>
              </w:r>
            </w:hyperlink>
          </w:p>
          <w:p w:rsidR="008C17E8" w:rsidRPr="008C17E8" w:rsidP="00B438EE" w14:paraId="21B5351B" w14:textId="77777777">
            <w:pPr>
              <w:rPr>
                <w:rStyle w:val="Hyperlink"/>
                <w:rFonts w:ascii="Times New Roman" w:hAnsi="Times New Roman" w:cs="Times New Roman"/>
                <w:sz w:val="24"/>
                <w:szCs w:val="24"/>
              </w:rPr>
            </w:pPr>
          </w:p>
          <w:p w:rsidR="008C17E8" w:rsidRPr="008C17E8" w:rsidP="00B438EE" w14:paraId="3FC31869" w14:textId="77777777">
            <w:pPr>
              <w:rPr>
                <w:rStyle w:val="Hyperlink"/>
                <w:rFonts w:ascii="Times New Roman" w:hAnsi="Times New Roman" w:cs="Times New Roman"/>
                <w:color w:val="auto"/>
                <w:sz w:val="24"/>
                <w:szCs w:val="24"/>
                <w:u w:val="none"/>
              </w:rPr>
            </w:pPr>
            <w:r w:rsidRPr="008C17E8">
              <w:rPr>
                <w:rStyle w:val="Hyperlink"/>
                <w:rFonts w:ascii="Times New Roman" w:hAnsi="Times New Roman" w:cs="Times New Roman"/>
                <w:color w:val="auto"/>
                <w:sz w:val="24"/>
                <w:szCs w:val="24"/>
                <w:u w:val="none"/>
              </w:rPr>
              <w:t>Attorney Examiner:</w:t>
            </w:r>
          </w:p>
          <w:p w:rsidR="008C17E8" w:rsidRPr="008C17E8" w:rsidP="00B438EE" w14:paraId="3A8C588D" w14:textId="77777777">
            <w:pPr>
              <w:rPr>
                <w:rFonts w:ascii="Times New Roman" w:hAnsi="Times New Roman" w:cs="Times New Roman"/>
                <w:sz w:val="24"/>
                <w:szCs w:val="24"/>
              </w:rPr>
            </w:pPr>
          </w:p>
          <w:p w:rsidR="008C17E8" w:rsidRPr="008C17E8" w:rsidP="00B438EE" w14:paraId="352DDBFC" w14:textId="77777777">
            <w:pPr>
              <w:spacing w:line="259" w:lineRule="auto"/>
              <w:rPr>
                <w:rFonts w:ascii="Times New Roman" w:hAnsi="Times New Roman" w:cs="Times New Roman"/>
                <w:color w:val="0000FF"/>
                <w:sz w:val="24"/>
                <w:szCs w:val="24"/>
                <w:u w:val="single"/>
              </w:rPr>
            </w:pPr>
            <w:hyperlink r:id="rId10" w:history="1">
              <w:r w:rsidRPr="008C17E8" w:rsidR="00BE0BF5">
                <w:rPr>
                  <w:rStyle w:val="Hyperlink"/>
                  <w:rFonts w:ascii="Times New Roman" w:hAnsi="Times New Roman" w:cs="Times New Roman"/>
                  <w:sz w:val="24"/>
                  <w:szCs w:val="24"/>
                </w:rPr>
                <w:t>greta.see@puco.ohio.gov</w:t>
              </w:r>
            </w:hyperlink>
          </w:p>
          <w:p w:rsidR="008C17E8" w:rsidRPr="00125D6F" w:rsidP="00B438EE" w14:paraId="3B5D2651" w14:textId="77777777">
            <w:pPr>
              <w:pStyle w:val="CommentText"/>
              <w:rPr>
                <w:bCs/>
                <w:u w:val="single"/>
              </w:rPr>
            </w:pPr>
          </w:p>
        </w:tc>
        <w:tc>
          <w:tcPr>
            <w:tcW w:w="3770" w:type="dxa"/>
          </w:tcPr>
          <w:p w:rsidR="008C17E8" w:rsidP="00B438EE" w14:paraId="7F93CE1C" w14:textId="77777777">
            <w:pPr>
              <w:pStyle w:val="CommentText"/>
              <w:rPr>
                <w:bCs/>
              </w:rPr>
            </w:pPr>
            <w:hyperlink r:id="rId11" w:history="1">
              <w:r w:rsidRPr="003051BA" w:rsidR="00BE0BF5">
                <w:rPr>
                  <w:rStyle w:val="Hyperlink"/>
                  <w:bCs/>
                </w:rPr>
                <w:t>josephclark@nisource.com</w:t>
              </w:r>
            </w:hyperlink>
          </w:p>
          <w:p w:rsidR="008C17E8" w:rsidRPr="00125D6F" w:rsidP="00B438EE" w14:paraId="6456FC75" w14:textId="77777777">
            <w:pPr>
              <w:pStyle w:val="CommentText"/>
              <w:rPr>
                <w:bCs/>
              </w:rPr>
            </w:pPr>
          </w:p>
        </w:tc>
      </w:tr>
    </w:tbl>
    <w:p w:rsidR="006F479A" w:rsidRPr="00D12D64" w:rsidP="00D12D64" w14:paraId="3E2E1F47" w14:textId="0A72C6B4">
      <w:pPr>
        <w:autoSpaceDE w:val="0"/>
        <w:autoSpaceDN w:val="0"/>
        <w:adjustRightInd w:val="0"/>
        <w:spacing w:after="0" w:line="480" w:lineRule="auto"/>
        <w:ind w:firstLine="720"/>
        <w:jc w:val="both"/>
        <w:rPr>
          <w:rFonts w:ascii="Times New Roman" w:hAnsi="Times New Roman" w:cs="Times New Roman"/>
          <w:sz w:val="24"/>
          <w:szCs w:val="24"/>
        </w:rPr>
      </w:pPr>
    </w:p>
    <w:p w:rsidR="006F479A" w:rsidRPr="00D12D64" w:rsidP="00D12D64" w14:paraId="703DAE0C" w14:textId="77777777">
      <w:pPr>
        <w:autoSpaceDE w:val="0"/>
        <w:autoSpaceDN w:val="0"/>
        <w:adjustRightInd w:val="0"/>
        <w:spacing w:after="0" w:line="480" w:lineRule="auto"/>
        <w:ind w:firstLine="720"/>
        <w:jc w:val="both"/>
        <w:rPr>
          <w:rFonts w:ascii="Times New Roman" w:hAnsi="Times New Roman" w:cs="Times New Roman"/>
          <w:sz w:val="24"/>
          <w:szCs w:val="24"/>
        </w:rPr>
      </w:pPr>
    </w:p>
    <w:sectPr w:rsidSect="00A64E27">
      <w:footerReference w:type="defaul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5840127"/>
      <w:docPartObj>
        <w:docPartGallery w:val="Page Numbers (Bottom of Page)"/>
        <w:docPartUnique/>
      </w:docPartObj>
    </w:sdtPr>
    <w:sdtEndPr>
      <w:rPr>
        <w:rFonts w:ascii="Times New Roman" w:hAnsi="Times New Roman" w:cs="Times New Roman"/>
        <w:noProof/>
        <w:sz w:val="24"/>
        <w:szCs w:val="24"/>
      </w:rPr>
    </w:sdtEndPr>
    <w:sdtContent>
      <w:p w:rsidR="00A64E27" w:rsidRPr="00A64E27" w14:paraId="15AFD2AE" w14:textId="3FED1C9F">
        <w:pPr>
          <w:pStyle w:val="Footer"/>
          <w:jc w:val="center"/>
          <w:rPr>
            <w:rFonts w:ascii="Times New Roman" w:hAnsi="Times New Roman" w:cs="Times New Roman"/>
            <w:sz w:val="24"/>
            <w:szCs w:val="24"/>
          </w:rPr>
        </w:pPr>
        <w:r w:rsidRPr="00A64E27">
          <w:rPr>
            <w:rFonts w:ascii="Times New Roman" w:hAnsi="Times New Roman" w:cs="Times New Roman"/>
            <w:sz w:val="24"/>
            <w:szCs w:val="24"/>
          </w:rPr>
          <w:fldChar w:fldCharType="begin"/>
        </w:r>
        <w:r w:rsidRPr="00A64E27">
          <w:rPr>
            <w:rFonts w:ascii="Times New Roman" w:hAnsi="Times New Roman" w:cs="Times New Roman"/>
            <w:sz w:val="24"/>
            <w:szCs w:val="24"/>
          </w:rPr>
          <w:instrText xml:space="preserve"> PAGE   \* MERGEFORMAT </w:instrText>
        </w:r>
        <w:r w:rsidRPr="00A64E27">
          <w:rPr>
            <w:rFonts w:ascii="Times New Roman" w:hAnsi="Times New Roman" w:cs="Times New Roman"/>
            <w:sz w:val="24"/>
            <w:szCs w:val="24"/>
          </w:rPr>
          <w:fldChar w:fldCharType="separate"/>
        </w:r>
        <w:r w:rsidRPr="00A64E27">
          <w:rPr>
            <w:rFonts w:ascii="Times New Roman" w:hAnsi="Times New Roman" w:cs="Times New Roman"/>
            <w:noProof/>
            <w:sz w:val="24"/>
            <w:szCs w:val="24"/>
          </w:rPr>
          <w:t>2</w:t>
        </w:r>
        <w:r w:rsidRPr="00A64E2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2B1B" w:rsidP="00BA0C2C" w14:paraId="5FBD5466" w14:textId="77777777">
      <w:pPr>
        <w:spacing w:after="0" w:line="240" w:lineRule="auto"/>
      </w:pPr>
      <w:r>
        <w:separator/>
      </w:r>
    </w:p>
  </w:footnote>
  <w:footnote w:type="continuationSeparator" w:id="1">
    <w:p w:rsidR="009E2B1B" w:rsidP="00BA0C2C" w14:paraId="41F5DBA7" w14:textId="77777777">
      <w:pPr>
        <w:spacing w:after="0" w:line="240" w:lineRule="auto"/>
      </w:pPr>
      <w:r>
        <w:continuationSeparator/>
      </w:r>
    </w:p>
  </w:footnote>
  <w:footnote w:id="2">
    <w:p w:rsidR="006308DC" w:rsidRPr="00123496" w:rsidP="00123496" w14:paraId="71BFA238" w14:textId="77777777">
      <w:pPr>
        <w:spacing w:after="120" w:line="240" w:lineRule="auto"/>
        <w:rPr>
          <w:rFonts w:ascii="Times New Roman" w:hAnsi="Times New Roman" w:cs="Times New Roman"/>
          <w:sz w:val="20"/>
          <w:szCs w:val="20"/>
        </w:rPr>
      </w:pPr>
      <w:r w:rsidRPr="00123496">
        <w:rPr>
          <w:rStyle w:val="FootnoteReference"/>
          <w:rFonts w:ascii="Times New Roman" w:hAnsi="Times New Roman" w:cs="Times New Roman"/>
          <w:sz w:val="20"/>
          <w:szCs w:val="20"/>
        </w:rPr>
        <w:footnoteRef/>
      </w:r>
      <w:r w:rsidRPr="00123496">
        <w:rPr>
          <w:rFonts w:ascii="Times New Roman" w:hAnsi="Times New Roman" w:cs="Times New Roman"/>
          <w:sz w:val="20"/>
          <w:szCs w:val="20"/>
        </w:rPr>
        <w:t xml:space="preserve"> </w:t>
      </w:r>
      <w:r w:rsidRPr="00123496">
        <w:rPr>
          <w:rFonts w:ascii="Times New Roman" w:hAnsi="Times New Roman" w:cs="Times New Roman"/>
          <w:i/>
          <w:iCs/>
          <w:sz w:val="20"/>
          <w:szCs w:val="20"/>
        </w:rPr>
        <w:t>See</w:t>
      </w:r>
      <w:r w:rsidRPr="00123496">
        <w:rPr>
          <w:rFonts w:ascii="Times New Roman" w:hAnsi="Times New Roman" w:cs="Times New Roman"/>
          <w:sz w:val="20"/>
          <w:szCs w:val="20"/>
        </w:rPr>
        <w:t xml:space="preserve"> Kowalski, “Ohio policies cushion the pandemic’s impact on electric utilities,” Energy News Midwest (May 15, 2020), </w:t>
      </w:r>
      <w:hyperlink r:id="rId1" w:history="1">
        <w:r w:rsidRPr="00123496">
          <w:rPr>
            <w:rStyle w:val="Hyperlink"/>
            <w:rFonts w:ascii="Times New Roman" w:hAnsi="Times New Roman" w:cs="Times New Roman"/>
            <w:sz w:val="20"/>
            <w:szCs w:val="20"/>
          </w:rPr>
          <w:t>https://energynews.us/2020/05/15/midwest/ohio-policies-cushion-the-pandemics-impact-on-electric-utilities/</w:t>
        </w:r>
      </w:hyperlink>
      <w:r w:rsidRPr="00123496">
        <w:rPr>
          <w:rFonts w:ascii="Times New Roman" w:hAnsi="Times New Roman" w:cs="Times New Roman"/>
          <w:sz w:val="20"/>
          <w:szCs w:val="20"/>
        </w:rPr>
        <w:t>.</w:t>
      </w:r>
    </w:p>
  </w:footnote>
  <w:footnote w:id="3">
    <w:p w:rsidR="006308DC" w:rsidRPr="00123496" w:rsidP="00123496" w14:paraId="5FBF351A" w14:textId="77777777">
      <w:pPr>
        <w:spacing w:after="120" w:line="240" w:lineRule="auto"/>
        <w:rPr>
          <w:rFonts w:ascii="Times New Roman" w:hAnsi="Times New Roman"/>
          <w:sz w:val="20"/>
        </w:rPr>
      </w:pPr>
      <w:r w:rsidRPr="00123496">
        <w:rPr>
          <w:rStyle w:val="FootnoteReference"/>
          <w:rFonts w:ascii="Times New Roman" w:hAnsi="Times New Roman" w:cs="Times New Roman"/>
          <w:sz w:val="20"/>
          <w:szCs w:val="20"/>
        </w:rPr>
        <w:footnoteRef/>
      </w:r>
      <w:r w:rsidRPr="00123496">
        <w:rPr>
          <w:rFonts w:ascii="Times New Roman" w:hAnsi="Times New Roman" w:cs="Times New Roman"/>
          <w:sz w:val="20"/>
          <w:szCs w:val="20"/>
        </w:rPr>
        <w:t xml:space="preserve"> </w:t>
      </w:r>
      <w:r w:rsidRPr="00123496">
        <w:rPr>
          <w:rFonts w:ascii="Times New Roman" w:hAnsi="Times New Roman" w:cs="Times New Roman"/>
          <w:i/>
          <w:iCs/>
          <w:sz w:val="20"/>
          <w:szCs w:val="20"/>
        </w:rPr>
        <w:t>See</w:t>
      </w:r>
      <w:r w:rsidRPr="00123496">
        <w:rPr>
          <w:rFonts w:ascii="Times New Roman" w:hAnsi="Times New Roman" w:cs="Times New Roman"/>
          <w:sz w:val="20"/>
          <w:szCs w:val="20"/>
        </w:rPr>
        <w:t xml:space="preserve"> Kavulla, “Will regulators allow utilities to reap a windfall because of COVID-19?,” Utility Dive (June 23, 2020), </w:t>
      </w:r>
      <w:hyperlink r:id="rId2" w:history="1">
        <w:r w:rsidRPr="00123496">
          <w:rPr>
            <w:rStyle w:val="Hyperlink"/>
            <w:rFonts w:ascii="Times New Roman" w:hAnsi="Times New Roman" w:cs="Times New Roman"/>
            <w:sz w:val="20"/>
            <w:szCs w:val="20"/>
          </w:rPr>
          <w:t>https://www.utilitydive.com/news/will-regulators-allow-utilities-to-reap-a-windfall-because-of-covid-19/580279/</w:t>
        </w:r>
      </w:hyperlink>
      <w:r w:rsidRPr="00123496">
        <w:rPr>
          <w:rFonts w:ascii="Times New Roman" w:hAnsi="Times New Roman" w:cs="Times New Roman"/>
          <w:sz w:val="20"/>
          <w:szCs w:val="20"/>
        </w:rPr>
        <w:t>.</w:t>
      </w:r>
    </w:p>
  </w:footnote>
  <w:footnote w:id="4">
    <w:p w:rsidR="00BA0C2C" w:rsidRPr="00123496" w:rsidP="00123496" w14:paraId="41A2EA55" w14:textId="77777777">
      <w:pPr>
        <w:pStyle w:val="FootnoteText"/>
        <w:spacing w:after="120"/>
        <w:rPr>
          <w:rFonts w:ascii="Times New Roman" w:hAnsi="Times New Roman" w:cs="Times New Roman"/>
        </w:rPr>
      </w:pPr>
      <w:r w:rsidRPr="00123496">
        <w:rPr>
          <w:rStyle w:val="FootnoteReference"/>
          <w:rFonts w:ascii="Times New Roman" w:hAnsi="Times New Roman" w:cs="Times New Roman"/>
        </w:rPr>
        <w:footnoteRef/>
      </w:r>
      <w:r w:rsidRPr="00123496">
        <w:rPr>
          <w:rFonts w:ascii="Times New Roman" w:hAnsi="Times New Roman" w:cs="Times New Roman"/>
        </w:rPr>
        <w:t xml:space="preserve"> Executive Order 2020-01D.</w:t>
      </w:r>
    </w:p>
  </w:footnote>
  <w:footnote w:id="5">
    <w:p w:rsidR="00BA0C2C" w:rsidRPr="00123496" w:rsidP="00123496" w14:paraId="2204962C" w14:textId="77777777">
      <w:pPr>
        <w:pStyle w:val="FootnoteText"/>
        <w:spacing w:after="120"/>
        <w:rPr>
          <w:rFonts w:ascii="Times New Roman" w:hAnsi="Times New Roman" w:cs="Times New Roman"/>
        </w:rPr>
      </w:pPr>
      <w:r w:rsidRPr="00123496">
        <w:rPr>
          <w:rStyle w:val="FootnoteReference"/>
          <w:rFonts w:ascii="Times New Roman" w:hAnsi="Times New Roman" w:cs="Times New Roman"/>
        </w:rPr>
        <w:footnoteRef/>
      </w:r>
      <w:r w:rsidRPr="00123496">
        <w:rPr>
          <w:rFonts w:ascii="Times New Roman" w:hAnsi="Times New Roman" w:cs="Times New Roman"/>
        </w:rPr>
        <w:t xml:space="preserve"> </w:t>
      </w:r>
      <w:r w:rsidRPr="00123496">
        <w:rPr>
          <w:rFonts w:ascii="Times New Roman" w:hAnsi="Times New Roman" w:cs="Times New Roman"/>
          <w:i/>
          <w:iCs/>
        </w:rPr>
        <w:t>Id.</w:t>
      </w:r>
      <w:r w:rsidRPr="00123496">
        <w:rPr>
          <w:rFonts w:ascii="Times New Roman" w:hAnsi="Times New Roman" w:cs="Times New Roman"/>
        </w:rPr>
        <w:t xml:space="preserve"> at 3.</w:t>
      </w:r>
    </w:p>
  </w:footnote>
  <w:footnote w:id="6">
    <w:p w:rsidR="00BA0C2C" w:rsidRPr="00123496" w:rsidP="00123496" w14:paraId="2501E0EA" w14:textId="471092B3">
      <w:pPr>
        <w:pStyle w:val="FootnoteText"/>
        <w:spacing w:after="120"/>
        <w:rPr>
          <w:rFonts w:ascii="Times New Roman" w:hAnsi="Times New Roman" w:cs="Times New Roman"/>
          <w:i/>
          <w:iCs/>
        </w:rPr>
      </w:pPr>
      <w:r w:rsidRPr="00123496">
        <w:rPr>
          <w:rStyle w:val="FootnoteReference"/>
          <w:rFonts w:ascii="Times New Roman" w:hAnsi="Times New Roman" w:cs="Times New Roman"/>
        </w:rPr>
        <w:footnoteRef/>
      </w:r>
      <w:r w:rsidRPr="00123496">
        <w:rPr>
          <w:rFonts w:ascii="Times New Roman" w:hAnsi="Times New Roman" w:cs="Times New Roman"/>
        </w:rPr>
        <w:t xml:space="preserve"> </w:t>
      </w:r>
      <w:r w:rsidR="00985765">
        <w:rPr>
          <w:rFonts w:ascii="Times New Roman" w:hAnsi="Times New Roman" w:cs="Times New Roman"/>
        </w:rPr>
        <w:t xml:space="preserve">Case No. 20-591-AU-UNC, </w:t>
      </w:r>
      <w:r w:rsidRPr="00123496">
        <w:rPr>
          <w:rFonts w:ascii="Times New Roman" w:hAnsi="Times New Roman" w:cs="Times New Roman"/>
        </w:rPr>
        <w:t>Entry</w:t>
      </w:r>
      <w:r w:rsidR="00EB5D9E">
        <w:rPr>
          <w:rFonts w:ascii="Times New Roman" w:hAnsi="Times New Roman" w:cs="Times New Roman"/>
        </w:rPr>
        <w:t xml:space="preserve"> (March 12, 2020)</w:t>
      </w:r>
      <w:r w:rsidRPr="00123496">
        <w:rPr>
          <w:rFonts w:ascii="Times New Roman" w:hAnsi="Times New Roman" w:cs="Times New Roman"/>
          <w:i/>
          <w:iCs/>
        </w:rPr>
        <w:t xml:space="preserve"> </w:t>
      </w:r>
      <w:r w:rsidRPr="00123496">
        <w:rPr>
          <w:rFonts w:ascii="Times New Roman" w:hAnsi="Times New Roman" w:cs="Times New Roman"/>
        </w:rPr>
        <w:t>at</w:t>
      </w:r>
      <w:r w:rsidRPr="00123496">
        <w:rPr>
          <w:rFonts w:ascii="Times New Roman" w:hAnsi="Times New Roman" w:cs="Times New Roman"/>
          <w:i/>
          <w:iCs/>
        </w:rPr>
        <w:t xml:space="preserve"> </w:t>
      </w:r>
      <w:r w:rsidRPr="00123496">
        <w:rPr>
          <w:rFonts w:ascii="Times New Roman" w:hAnsi="Times New Roman" w:cs="Times New Roman"/>
        </w:rPr>
        <w:t xml:space="preserve">¶ </w:t>
      </w:r>
      <w:r w:rsidR="00EB5D9E">
        <w:rPr>
          <w:rFonts w:ascii="Times New Roman" w:hAnsi="Times New Roman" w:cs="Times New Roman"/>
        </w:rPr>
        <w:t>7</w:t>
      </w:r>
      <w:r w:rsidRPr="00123496">
        <w:rPr>
          <w:rFonts w:ascii="Times New Roman" w:hAnsi="Times New Roman" w:cs="Times New Roman"/>
        </w:rPr>
        <w:t>(</w:t>
      </w:r>
      <w:r w:rsidR="00EB5D9E">
        <w:rPr>
          <w:rFonts w:ascii="Times New Roman" w:hAnsi="Times New Roman" w:cs="Times New Roman"/>
        </w:rPr>
        <w:t>b</w:t>
      </w:r>
      <w:r w:rsidRPr="00123496">
        <w:rPr>
          <w:rFonts w:ascii="Times New Roman" w:hAnsi="Times New Roman" w:cs="Times New Roman"/>
        </w:rPr>
        <w:t>).</w:t>
      </w:r>
    </w:p>
  </w:footnote>
  <w:footnote w:id="7">
    <w:p w:rsidR="00BA0C2C" w:rsidRPr="00123496" w:rsidP="00123496" w14:paraId="541E3D0F" w14:textId="7131E020">
      <w:pPr>
        <w:pStyle w:val="FootnoteText"/>
        <w:spacing w:after="120"/>
        <w:rPr>
          <w:rFonts w:ascii="Times New Roman" w:hAnsi="Times New Roman" w:cs="Times New Roman"/>
          <w:i/>
          <w:iCs/>
        </w:rPr>
      </w:pPr>
      <w:r w:rsidRPr="00123496">
        <w:rPr>
          <w:rStyle w:val="FootnoteReference"/>
          <w:rFonts w:ascii="Times New Roman" w:hAnsi="Times New Roman" w:cs="Times New Roman"/>
        </w:rPr>
        <w:footnoteRef/>
      </w:r>
      <w:r w:rsidRPr="00123496">
        <w:rPr>
          <w:rFonts w:ascii="Times New Roman" w:hAnsi="Times New Roman" w:cs="Times New Roman"/>
        </w:rPr>
        <w:t xml:space="preserve"> </w:t>
      </w:r>
      <w:r w:rsidR="00A344FD">
        <w:rPr>
          <w:rFonts w:ascii="Times New Roman" w:hAnsi="Times New Roman" w:cs="Times New Roman"/>
        </w:rPr>
        <w:t xml:space="preserve">Case No. 20-591-AU-UNC, </w:t>
      </w:r>
      <w:r w:rsidRPr="00123496" w:rsidR="00A344FD">
        <w:rPr>
          <w:rFonts w:ascii="Times New Roman" w:hAnsi="Times New Roman" w:cs="Times New Roman"/>
        </w:rPr>
        <w:t>Entry</w:t>
      </w:r>
      <w:r w:rsidR="00A344FD">
        <w:rPr>
          <w:rFonts w:ascii="Times New Roman" w:hAnsi="Times New Roman" w:cs="Times New Roman"/>
        </w:rPr>
        <w:t xml:space="preserve"> (March 13, 2020)</w:t>
      </w:r>
      <w:r w:rsidRPr="00123496" w:rsidR="00A344FD">
        <w:rPr>
          <w:rFonts w:ascii="Times New Roman" w:hAnsi="Times New Roman" w:cs="Times New Roman"/>
          <w:i/>
          <w:iCs/>
        </w:rPr>
        <w:t xml:space="preserve"> </w:t>
      </w:r>
      <w:r w:rsidRPr="00123496">
        <w:rPr>
          <w:rFonts w:ascii="Times New Roman" w:hAnsi="Times New Roman" w:cs="Times New Roman"/>
        </w:rPr>
        <w:t>at</w:t>
      </w:r>
      <w:r w:rsidRPr="00123496">
        <w:rPr>
          <w:rFonts w:ascii="Times New Roman" w:hAnsi="Times New Roman" w:cs="Times New Roman"/>
          <w:i/>
          <w:iCs/>
        </w:rPr>
        <w:t xml:space="preserve"> ¶ </w:t>
      </w:r>
      <w:r w:rsidR="00A344FD">
        <w:rPr>
          <w:rFonts w:ascii="Times New Roman" w:hAnsi="Times New Roman" w:cs="Times New Roman"/>
        </w:rPr>
        <w:t>6</w:t>
      </w:r>
      <w:r w:rsidRPr="00123496">
        <w:rPr>
          <w:rFonts w:ascii="Times New Roman" w:hAnsi="Times New Roman" w:cs="Times New Roman"/>
        </w:rPr>
        <w:t>(c).</w:t>
      </w:r>
    </w:p>
  </w:footnote>
  <w:footnote w:id="8">
    <w:p w:rsidR="00917F99" w:rsidRPr="00123496" w:rsidP="00123496" w14:paraId="2E46D22D" w14:textId="0655F04B">
      <w:pPr>
        <w:pStyle w:val="FootnoteText"/>
        <w:spacing w:after="120"/>
        <w:rPr>
          <w:rFonts w:ascii="Times New Roman" w:hAnsi="Times New Roman" w:cs="Times New Roman"/>
        </w:rPr>
      </w:pPr>
      <w:r w:rsidRPr="00123496">
        <w:rPr>
          <w:rStyle w:val="FootnoteReference"/>
          <w:rFonts w:ascii="Times New Roman" w:hAnsi="Times New Roman" w:cs="Times New Roman"/>
        </w:rPr>
        <w:footnoteRef/>
      </w:r>
      <w:r w:rsidRPr="00123496">
        <w:rPr>
          <w:rFonts w:ascii="Times New Roman" w:hAnsi="Times New Roman" w:cs="Times New Roman"/>
        </w:rPr>
        <w:t xml:space="preserve"> Columbia</w:t>
      </w:r>
      <w:r w:rsidRPr="00123496" w:rsidR="00C8572A">
        <w:rPr>
          <w:rFonts w:ascii="Times New Roman" w:hAnsi="Times New Roman" w:cs="Times New Roman"/>
        </w:rPr>
        <w:t>’s</w:t>
      </w:r>
      <w:r w:rsidRPr="00123496">
        <w:rPr>
          <w:rFonts w:ascii="Times New Roman" w:hAnsi="Times New Roman" w:cs="Times New Roman"/>
        </w:rPr>
        <w:t xml:space="preserve"> Plan also sought</w:t>
      </w:r>
      <w:r w:rsidRPr="00123496" w:rsidR="00A37932">
        <w:rPr>
          <w:rFonts w:ascii="Times New Roman" w:hAnsi="Times New Roman" w:cs="Times New Roman"/>
        </w:rPr>
        <w:t xml:space="preserve"> </w:t>
      </w:r>
      <w:r w:rsidRPr="00123496">
        <w:rPr>
          <w:rFonts w:ascii="Times New Roman" w:hAnsi="Times New Roman" w:cs="Times New Roman"/>
        </w:rPr>
        <w:t>suspension of the 75% underperforming customer participation threshold for its energy efficien</w:t>
      </w:r>
      <w:r w:rsidR="00985765">
        <w:rPr>
          <w:rFonts w:ascii="Times New Roman" w:hAnsi="Times New Roman" w:cs="Times New Roman"/>
        </w:rPr>
        <w:t>cy</w:t>
      </w:r>
      <w:r w:rsidRPr="00123496">
        <w:rPr>
          <w:rFonts w:ascii="Times New Roman" w:hAnsi="Times New Roman" w:cs="Times New Roman"/>
        </w:rPr>
        <w:t xml:space="preserve"> programs that involved work in </w:t>
      </w:r>
      <w:r w:rsidRPr="00123496" w:rsidR="00544BAD">
        <w:rPr>
          <w:rFonts w:ascii="Times New Roman" w:hAnsi="Times New Roman" w:cs="Times New Roman"/>
        </w:rPr>
        <w:t>consumers</w:t>
      </w:r>
      <w:r w:rsidRPr="00123496">
        <w:rPr>
          <w:rFonts w:ascii="Times New Roman" w:hAnsi="Times New Roman" w:cs="Times New Roman"/>
        </w:rPr>
        <w:t>’ homes.</w:t>
      </w:r>
    </w:p>
  </w:footnote>
  <w:footnote w:id="9">
    <w:p w:rsidR="00F7735B" w:rsidRPr="00123496" w:rsidP="00123496" w14:paraId="76606A51" w14:textId="53779A3A">
      <w:pPr>
        <w:pStyle w:val="FootnoteText"/>
        <w:spacing w:after="120"/>
        <w:rPr>
          <w:rFonts w:ascii="Times New Roman" w:hAnsi="Times New Roman"/>
        </w:rPr>
      </w:pPr>
      <w:r w:rsidRPr="00123496">
        <w:rPr>
          <w:rStyle w:val="FootnoteReference"/>
          <w:rFonts w:ascii="Times New Roman" w:hAnsi="Times New Roman"/>
        </w:rPr>
        <w:footnoteRef/>
      </w:r>
      <w:r w:rsidRPr="00123496">
        <w:rPr>
          <w:rFonts w:ascii="Times New Roman" w:hAnsi="Times New Roman"/>
        </w:rPr>
        <w:t xml:space="preserve"> </w:t>
      </w:r>
      <w:r w:rsidRPr="00123496">
        <w:rPr>
          <w:rFonts w:ascii="Times New Roman" w:hAnsi="Times New Roman" w:cs="Times New Roman"/>
        </w:rPr>
        <w:t xml:space="preserve">Emergency Plan Order, at ¶44. </w:t>
      </w:r>
    </w:p>
  </w:footnote>
  <w:footnote w:id="10">
    <w:p w:rsidR="00013B0C" w:rsidRPr="00123496" w:rsidP="00123496" w14:paraId="0B1ED3B8" w14:textId="4807525D">
      <w:pPr>
        <w:pStyle w:val="FootnoteText"/>
        <w:spacing w:after="120"/>
        <w:rPr>
          <w:rFonts w:ascii="Times New Roman" w:hAnsi="Times New Roman"/>
        </w:rPr>
      </w:pPr>
      <w:r w:rsidRPr="00123496">
        <w:rPr>
          <w:rStyle w:val="FootnoteReference"/>
          <w:rFonts w:ascii="Times New Roman" w:hAnsi="Times New Roman"/>
        </w:rPr>
        <w:footnoteRef/>
      </w:r>
      <w:r w:rsidRPr="00123496">
        <w:rPr>
          <w:rFonts w:ascii="Times New Roman" w:hAnsi="Times New Roman"/>
        </w:rPr>
        <w:t xml:space="preserve"> </w:t>
      </w:r>
      <w:r w:rsidRPr="00123496">
        <w:rPr>
          <w:rFonts w:ascii="Times New Roman" w:hAnsi="Times New Roman" w:cs="Times New Roman"/>
        </w:rPr>
        <w:t>Case No. 20-637-GA-UNC, Supplemental Finding and Order (On June 17, 2020).</w:t>
      </w:r>
    </w:p>
  </w:footnote>
  <w:footnote w:id="11">
    <w:p w:rsidR="00BB71AE" w:rsidRPr="00123496" w:rsidP="00123496" w14:paraId="0599AD06" w14:textId="0E6EF8C2">
      <w:pPr>
        <w:pStyle w:val="FootnoteText"/>
        <w:spacing w:after="120"/>
        <w:rPr>
          <w:rFonts w:ascii="Times New Roman" w:hAnsi="Times New Roman" w:cs="Times New Roman"/>
        </w:rPr>
      </w:pPr>
      <w:r w:rsidRPr="00123496">
        <w:rPr>
          <w:rStyle w:val="FootnoteReference"/>
          <w:rFonts w:ascii="Times New Roman" w:hAnsi="Times New Roman" w:cs="Times New Roman"/>
        </w:rPr>
        <w:footnoteRef/>
      </w:r>
      <w:r w:rsidRPr="00123496">
        <w:rPr>
          <w:rFonts w:ascii="Times New Roman" w:hAnsi="Times New Roman" w:cs="Times New Roman"/>
        </w:rPr>
        <w:t xml:space="preserve"> </w:t>
      </w:r>
      <w:r w:rsidRPr="00123496">
        <w:rPr>
          <w:rFonts w:ascii="Times New Roman" w:hAnsi="Times New Roman" w:cs="Times New Roman"/>
          <w:i/>
          <w:iCs/>
        </w:rPr>
        <w:t xml:space="preserve">See </w:t>
      </w:r>
      <w:r w:rsidRPr="00123496">
        <w:rPr>
          <w:rFonts w:ascii="Times New Roman" w:hAnsi="Times New Roman" w:cs="Times New Roman"/>
        </w:rPr>
        <w:t>Staff Review and Recommendation (June 10, 2020) (“Staff Report”), at 2.</w:t>
      </w:r>
    </w:p>
  </w:footnote>
  <w:footnote w:id="12">
    <w:p w:rsidR="00E5450A" w:rsidRPr="00123496" w:rsidP="00123496" w14:paraId="51A2502F" w14:textId="77777777">
      <w:pPr>
        <w:pStyle w:val="FootnoteText"/>
        <w:spacing w:after="120"/>
        <w:rPr>
          <w:rFonts w:ascii="Times New Roman" w:hAnsi="Times New Roman" w:cs="Times New Roman"/>
        </w:rPr>
      </w:pPr>
      <w:r w:rsidRPr="00123496">
        <w:rPr>
          <w:rStyle w:val="FootnoteReference"/>
          <w:rFonts w:ascii="Times New Roman" w:hAnsi="Times New Roman" w:cs="Times New Roman"/>
        </w:rPr>
        <w:footnoteRef/>
      </w:r>
      <w:r w:rsidRPr="00123496">
        <w:rPr>
          <w:rFonts w:ascii="Times New Roman" w:hAnsi="Times New Roman" w:cs="Times New Roman"/>
          <w:i/>
          <w:iCs/>
        </w:rPr>
        <w:t xml:space="preserve"> Petition of Indiana Office of Utility Consumer Counselor for Generic Investigation into COVID-19 Impacts to be Conducted over Two Phases; Emergency Relief Pursuant to IND. Code § 8-1-2-1133 to Relieve Indiana Ratepayers of the Threat of Utility Service Disconnection and Payment Arrearages During Global Health and Economic Crisis</w:t>
      </w:r>
      <w:r w:rsidRPr="00123496">
        <w:rPr>
          <w:rFonts w:ascii="Times New Roman" w:hAnsi="Times New Roman" w:cs="Times New Roman"/>
        </w:rPr>
        <w:t>, IURC Cause No. 45380, Phase 1 and Interim Emergency Order of the Commission at 8-9 (June 29, 2020).</w:t>
      </w:r>
    </w:p>
  </w:footnote>
  <w:footnote w:id="13">
    <w:p w:rsidR="00E5450A" w:rsidRPr="00123496" w:rsidP="00123496" w14:paraId="5AEAF85C" w14:textId="77777777">
      <w:pPr>
        <w:pStyle w:val="FootnoteText"/>
        <w:spacing w:after="120"/>
        <w:rPr>
          <w:rFonts w:ascii="Times New Roman" w:hAnsi="Times New Roman"/>
        </w:rPr>
      </w:pPr>
      <w:r w:rsidRPr="00123496">
        <w:rPr>
          <w:rStyle w:val="FootnoteReference"/>
          <w:rFonts w:ascii="Times New Roman" w:hAnsi="Times New Roman" w:cs="Times New Roman"/>
        </w:rPr>
        <w:footnoteRef/>
      </w:r>
      <w:r w:rsidRPr="00123496">
        <w:rPr>
          <w:rFonts w:ascii="Times New Roman" w:hAnsi="Times New Roman" w:cs="Times New Roman"/>
          <w:i/>
          <w:iCs/>
        </w:rPr>
        <w:t xml:space="preserve"> Id.</w:t>
      </w:r>
    </w:p>
  </w:footnote>
  <w:footnote w:id="14">
    <w:p w:rsidR="00E5450A" w:rsidRPr="00123496" w:rsidP="00123496" w14:paraId="0346C0BC" w14:textId="46612E72">
      <w:pPr>
        <w:pStyle w:val="FootnoteText"/>
        <w:spacing w:after="120"/>
        <w:rPr>
          <w:rFonts w:ascii="Times New Roman" w:hAnsi="Times New Roman" w:cs="Times New Roman"/>
        </w:rPr>
      </w:pPr>
      <w:r w:rsidRPr="00123496">
        <w:rPr>
          <w:rStyle w:val="FootnoteReference"/>
          <w:rFonts w:ascii="Times New Roman" w:hAnsi="Times New Roman" w:cs="Times New Roman"/>
        </w:rPr>
        <w:footnoteRef/>
      </w:r>
      <w:r w:rsidRPr="00123496">
        <w:rPr>
          <w:rFonts w:ascii="Times New Roman" w:hAnsi="Times New Roman" w:cs="Times New Roman"/>
        </w:rPr>
        <w:t xml:space="preserve"> </w:t>
      </w:r>
      <w:r w:rsidRPr="00123496" w:rsidR="005360B8">
        <w:rPr>
          <w:rFonts w:ascii="Times New Roman" w:hAnsi="Times New Roman" w:cs="Times New Roman"/>
        </w:rPr>
        <w:t>Emergency Plan Order, at ¶44.</w:t>
      </w:r>
    </w:p>
  </w:footnote>
  <w:footnote w:id="15">
    <w:p w:rsidR="00013B0C" w:rsidRPr="00123496" w:rsidP="00123496" w14:paraId="60AA5189" w14:textId="5BEF8C0E">
      <w:pPr>
        <w:pStyle w:val="FootnoteText"/>
        <w:spacing w:after="120"/>
        <w:rPr>
          <w:rFonts w:ascii="Times New Roman" w:hAnsi="Times New Roman" w:cs="Times New Roman"/>
        </w:rPr>
      </w:pPr>
      <w:r w:rsidRPr="00123496">
        <w:rPr>
          <w:rStyle w:val="FootnoteReference"/>
          <w:rFonts w:ascii="Times New Roman" w:hAnsi="Times New Roman" w:cs="Times New Roman"/>
        </w:rPr>
        <w:footnoteRef/>
      </w:r>
      <w:r w:rsidRPr="00123496">
        <w:rPr>
          <w:rFonts w:ascii="Times New Roman" w:hAnsi="Times New Roman" w:cs="Times New Roman"/>
        </w:rPr>
        <w:t xml:space="preserve"> </w:t>
      </w:r>
      <w:r w:rsidRPr="00123496" w:rsidR="00C15791">
        <w:rPr>
          <w:rFonts w:ascii="Times New Roman" w:hAnsi="Times New Roman" w:cs="Times New Roman"/>
          <w:i/>
          <w:iCs/>
        </w:rPr>
        <w:t xml:space="preserve">See </w:t>
      </w:r>
      <w:r w:rsidRPr="00123496" w:rsidR="00C15791">
        <w:rPr>
          <w:rFonts w:ascii="Times New Roman" w:hAnsi="Times New Roman" w:cs="Times New Roman"/>
        </w:rPr>
        <w:t>Emergency Plan Order, at ¶44.</w:t>
      </w:r>
    </w:p>
  </w:footnote>
  <w:footnote w:id="16">
    <w:p w:rsidR="00E60D71" w:rsidRPr="00123496" w:rsidP="00123496" w14:paraId="53D4BD04" w14:textId="29F02C43">
      <w:pPr>
        <w:pStyle w:val="FootnoteText"/>
        <w:spacing w:after="120"/>
        <w:rPr>
          <w:rFonts w:ascii="Times New Roman" w:hAnsi="Times New Roman"/>
        </w:rPr>
      </w:pPr>
      <w:r w:rsidRPr="00123496">
        <w:rPr>
          <w:rStyle w:val="FootnoteReference"/>
          <w:rFonts w:ascii="Times New Roman" w:hAnsi="Times New Roman"/>
        </w:rPr>
        <w:footnoteRef/>
      </w:r>
      <w:r w:rsidRPr="00123496">
        <w:rPr>
          <w:rFonts w:ascii="Times New Roman" w:hAnsi="Times New Roman"/>
        </w:rPr>
        <w:t xml:space="preserve"> </w:t>
      </w:r>
      <w:r w:rsidRPr="00123496" w:rsidR="00865DDD">
        <w:rPr>
          <w:rFonts w:ascii="Times New Roman" w:hAnsi="Times New Roman" w:cs="Times New Roman"/>
        </w:rPr>
        <w:t>Emergency Plan Order</w:t>
      </w:r>
      <w:r w:rsidR="00985765">
        <w:rPr>
          <w:rFonts w:ascii="Times New Roman" w:hAnsi="Times New Roman" w:cs="Times New Roman"/>
        </w:rPr>
        <w:t>,</w:t>
      </w:r>
      <w:r w:rsidRPr="00123496" w:rsidR="00865DDD">
        <w:rPr>
          <w:rFonts w:ascii="Times New Roman" w:hAnsi="Times New Roman" w:cs="Times New Roman"/>
        </w:rPr>
        <w:t xml:space="preserve"> </w:t>
      </w:r>
      <w:r w:rsidRPr="00123496">
        <w:rPr>
          <w:rFonts w:ascii="Times New Roman" w:hAnsi="Times New Roman" w:cs="Times New Roman"/>
        </w:rPr>
        <w:t>at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A44677"/>
    <w:multiLevelType w:val="hybridMultilevel"/>
    <w:tmpl w:val="7626FA84"/>
    <w:lvl w:ilvl="0">
      <w:start w:val="1"/>
      <w:numFmt w:val="decimal"/>
      <w:lvlText w:val="%1)"/>
      <w:lvlJc w:val="left"/>
      <w:pPr>
        <w:ind w:left="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55143"/>
    <w:multiLevelType w:val="hybridMultilevel"/>
    <w:tmpl w:val="67965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145B3D"/>
    <w:multiLevelType w:val="hybridMultilevel"/>
    <w:tmpl w:val="08A28F5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1CB7850"/>
    <w:multiLevelType w:val="hybridMultilevel"/>
    <w:tmpl w:val="D0EC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4"/>
    <w:rsid w:val="00001B23"/>
    <w:rsid w:val="0001049A"/>
    <w:rsid w:val="00013B0C"/>
    <w:rsid w:val="000328B5"/>
    <w:rsid w:val="000447A4"/>
    <w:rsid w:val="000B6D36"/>
    <w:rsid w:val="000B7A37"/>
    <w:rsid w:val="000C11F0"/>
    <w:rsid w:val="000E2014"/>
    <w:rsid w:val="000E355D"/>
    <w:rsid w:val="000E5A1E"/>
    <w:rsid w:val="001117D7"/>
    <w:rsid w:val="00123496"/>
    <w:rsid w:val="00125D6F"/>
    <w:rsid w:val="0014088C"/>
    <w:rsid w:val="00152954"/>
    <w:rsid w:val="00157067"/>
    <w:rsid w:val="0017203E"/>
    <w:rsid w:val="00177397"/>
    <w:rsid w:val="001D6051"/>
    <w:rsid w:val="001F22F7"/>
    <w:rsid w:val="00201162"/>
    <w:rsid w:val="002170C5"/>
    <w:rsid w:val="00233917"/>
    <w:rsid w:val="002444C5"/>
    <w:rsid w:val="00277549"/>
    <w:rsid w:val="0028589E"/>
    <w:rsid w:val="00285D5C"/>
    <w:rsid w:val="002B2EEB"/>
    <w:rsid w:val="002C49C3"/>
    <w:rsid w:val="002C6939"/>
    <w:rsid w:val="002F65DD"/>
    <w:rsid w:val="00300AFE"/>
    <w:rsid w:val="003051BA"/>
    <w:rsid w:val="0031248F"/>
    <w:rsid w:val="00324CFB"/>
    <w:rsid w:val="00363AA0"/>
    <w:rsid w:val="00365169"/>
    <w:rsid w:val="00365CBC"/>
    <w:rsid w:val="00370858"/>
    <w:rsid w:val="003820D0"/>
    <w:rsid w:val="00382701"/>
    <w:rsid w:val="00386C18"/>
    <w:rsid w:val="003A71E0"/>
    <w:rsid w:val="003A7EF0"/>
    <w:rsid w:val="003C21ED"/>
    <w:rsid w:val="003E1CBB"/>
    <w:rsid w:val="003E4624"/>
    <w:rsid w:val="003F58A2"/>
    <w:rsid w:val="00414518"/>
    <w:rsid w:val="00421D20"/>
    <w:rsid w:val="00422002"/>
    <w:rsid w:val="00427D8E"/>
    <w:rsid w:val="00461DED"/>
    <w:rsid w:val="004651D9"/>
    <w:rsid w:val="00487093"/>
    <w:rsid w:val="00497DB8"/>
    <w:rsid w:val="004A7E28"/>
    <w:rsid w:val="004C484B"/>
    <w:rsid w:val="004F102E"/>
    <w:rsid w:val="004F6FFB"/>
    <w:rsid w:val="00512F00"/>
    <w:rsid w:val="00513BE7"/>
    <w:rsid w:val="00515F30"/>
    <w:rsid w:val="005258DA"/>
    <w:rsid w:val="00526530"/>
    <w:rsid w:val="005360B8"/>
    <w:rsid w:val="00540AED"/>
    <w:rsid w:val="00544BAD"/>
    <w:rsid w:val="00555C79"/>
    <w:rsid w:val="005628A6"/>
    <w:rsid w:val="00594A4B"/>
    <w:rsid w:val="005B35B9"/>
    <w:rsid w:val="005B3DBE"/>
    <w:rsid w:val="005C53FE"/>
    <w:rsid w:val="005F59D0"/>
    <w:rsid w:val="00610A82"/>
    <w:rsid w:val="006308DC"/>
    <w:rsid w:val="006611E7"/>
    <w:rsid w:val="00675DFB"/>
    <w:rsid w:val="00680CB4"/>
    <w:rsid w:val="0069082A"/>
    <w:rsid w:val="00693310"/>
    <w:rsid w:val="006950AF"/>
    <w:rsid w:val="006D17E8"/>
    <w:rsid w:val="006E2635"/>
    <w:rsid w:val="006F479A"/>
    <w:rsid w:val="00721B32"/>
    <w:rsid w:val="007379EF"/>
    <w:rsid w:val="00792E6E"/>
    <w:rsid w:val="00797C93"/>
    <w:rsid w:val="007B67A5"/>
    <w:rsid w:val="007C5EED"/>
    <w:rsid w:val="007E10A3"/>
    <w:rsid w:val="0081218C"/>
    <w:rsid w:val="008203F5"/>
    <w:rsid w:val="008227B8"/>
    <w:rsid w:val="0082377F"/>
    <w:rsid w:val="0083649D"/>
    <w:rsid w:val="0086561D"/>
    <w:rsid w:val="00865DDD"/>
    <w:rsid w:val="00896FC2"/>
    <w:rsid w:val="008B13B7"/>
    <w:rsid w:val="008C0E39"/>
    <w:rsid w:val="008C17E8"/>
    <w:rsid w:val="008C5C5D"/>
    <w:rsid w:val="008D419F"/>
    <w:rsid w:val="008F00DF"/>
    <w:rsid w:val="009020AC"/>
    <w:rsid w:val="009101E7"/>
    <w:rsid w:val="009134D9"/>
    <w:rsid w:val="00917F99"/>
    <w:rsid w:val="009679D1"/>
    <w:rsid w:val="00974048"/>
    <w:rsid w:val="00976B2E"/>
    <w:rsid w:val="00985765"/>
    <w:rsid w:val="009A144E"/>
    <w:rsid w:val="009A1D1B"/>
    <w:rsid w:val="009A47E0"/>
    <w:rsid w:val="009B288A"/>
    <w:rsid w:val="009C55D2"/>
    <w:rsid w:val="009E2B1B"/>
    <w:rsid w:val="009E4DAD"/>
    <w:rsid w:val="00A33F80"/>
    <w:rsid w:val="00A344FD"/>
    <w:rsid w:val="00A37932"/>
    <w:rsid w:val="00A415A6"/>
    <w:rsid w:val="00A43218"/>
    <w:rsid w:val="00A50A4A"/>
    <w:rsid w:val="00A55C98"/>
    <w:rsid w:val="00A64E27"/>
    <w:rsid w:val="00A809EE"/>
    <w:rsid w:val="00AA0729"/>
    <w:rsid w:val="00AA5206"/>
    <w:rsid w:val="00AC3D56"/>
    <w:rsid w:val="00AC7F8A"/>
    <w:rsid w:val="00AD5543"/>
    <w:rsid w:val="00B223F9"/>
    <w:rsid w:val="00B3427C"/>
    <w:rsid w:val="00B438EE"/>
    <w:rsid w:val="00B468E9"/>
    <w:rsid w:val="00B469A3"/>
    <w:rsid w:val="00B50152"/>
    <w:rsid w:val="00B63D1C"/>
    <w:rsid w:val="00B648B4"/>
    <w:rsid w:val="00B65E9F"/>
    <w:rsid w:val="00B74234"/>
    <w:rsid w:val="00BA0C2C"/>
    <w:rsid w:val="00BA21A7"/>
    <w:rsid w:val="00BB3E71"/>
    <w:rsid w:val="00BB71AE"/>
    <w:rsid w:val="00BC1035"/>
    <w:rsid w:val="00BC753F"/>
    <w:rsid w:val="00BE0BF5"/>
    <w:rsid w:val="00BE47B3"/>
    <w:rsid w:val="00BF37F0"/>
    <w:rsid w:val="00C15791"/>
    <w:rsid w:val="00C37B28"/>
    <w:rsid w:val="00C604EE"/>
    <w:rsid w:val="00C621A1"/>
    <w:rsid w:val="00C62DE0"/>
    <w:rsid w:val="00C7361B"/>
    <w:rsid w:val="00C8572A"/>
    <w:rsid w:val="00CB0770"/>
    <w:rsid w:val="00CB1F12"/>
    <w:rsid w:val="00CB489E"/>
    <w:rsid w:val="00CC7CC0"/>
    <w:rsid w:val="00CD2833"/>
    <w:rsid w:val="00CE6A33"/>
    <w:rsid w:val="00D016A1"/>
    <w:rsid w:val="00D12D64"/>
    <w:rsid w:val="00D3685C"/>
    <w:rsid w:val="00D41C9C"/>
    <w:rsid w:val="00D52E03"/>
    <w:rsid w:val="00D62755"/>
    <w:rsid w:val="00D70394"/>
    <w:rsid w:val="00D713BA"/>
    <w:rsid w:val="00DF2B42"/>
    <w:rsid w:val="00DF5801"/>
    <w:rsid w:val="00E23BC0"/>
    <w:rsid w:val="00E23E38"/>
    <w:rsid w:val="00E438F1"/>
    <w:rsid w:val="00E5450A"/>
    <w:rsid w:val="00E60D71"/>
    <w:rsid w:val="00E64FE1"/>
    <w:rsid w:val="00E668A2"/>
    <w:rsid w:val="00E7492F"/>
    <w:rsid w:val="00E77D7F"/>
    <w:rsid w:val="00E8773B"/>
    <w:rsid w:val="00E91083"/>
    <w:rsid w:val="00EA61E5"/>
    <w:rsid w:val="00EB3422"/>
    <w:rsid w:val="00EB5D9E"/>
    <w:rsid w:val="00EB7721"/>
    <w:rsid w:val="00ED3A96"/>
    <w:rsid w:val="00EE12AE"/>
    <w:rsid w:val="00EE2FD9"/>
    <w:rsid w:val="00EF1911"/>
    <w:rsid w:val="00EF1DBC"/>
    <w:rsid w:val="00F02E9D"/>
    <w:rsid w:val="00F3219E"/>
    <w:rsid w:val="00F439DB"/>
    <w:rsid w:val="00F45838"/>
    <w:rsid w:val="00F646E5"/>
    <w:rsid w:val="00F67A5D"/>
    <w:rsid w:val="00F7735B"/>
    <w:rsid w:val="00F83B87"/>
    <w:rsid w:val="00FB68C9"/>
    <w:rsid w:val="00FB739E"/>
    <w:rsid w:val="00FB7F9F"/>
    <w:rsid w:val="00FC4966"/>
    <w:rsid w:val="00FD5C2F"/>
    <w:rsid w:val="00FF11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B4"/>
    <w:rPr>
      <w:rFonts w:asciiTheme="minorHAnsi" w:hAnsiTheme="minorHAnsi" w:cstheme="minorBidi"/>
      <w:sz w:val="22"/>
      <w:szCs w:val="22"/>
    </w:rPr>
  </w:style>
  <w:style w:type="paragraph" w:styleId="Heading1">
    <w:name w:val="heading 1"/>
    <w:basedOn w:val="Normal"/>
    <w:next w:val="Normal"/>
    <w:link w:val="Heading1Char"/>
    <w:qFormat/>
    <w:rsid w:val="00D12D64"/>
    <w:pPr>
      <w:keepNext/>
      <w:spacing w:after="0" w:line="240" w:lineRule="auto"/>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2C"/>
    <w:rPr>
      <w:rFonts w:ascii="Segoe UI" w:hAnsi="Segoe UI" w:cs="Segoe UI"/>
      <w:sz w:val="18"/>
      <w:szCs w:val="18"/>
    </w:rPr>
  </w:style>
  <w:style w:type="paragraph" w:styleId="ListParagraph">
    <w:name w:val="List Paragraph"/>
    <w:basedOn w:val="Normal"/>
    <w:uiPriority w:val="34"/>
    <w:qFormat/>
    <w:rsid w:val="00BA0C2C"/>
    <w:pPr>
      <w:ind w:left="720"/>
      <w:contextualSpacing/>
    </w:p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BA0C2C"/>
    <w:pPr>
      <w:spacing w:after="0" w:line="240" w:lineRule="auto"/>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BA0C2C"/>
    <w:rPr>
      <w:rFonts w:asciiTheme="minorHAnsi" w:hAnsiTheme="minorHAnsi" w:cstheme="minorBidi"/>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BA0C2C"/>
    <w:rPr>
      <w:vertAlign w:val="superscript"/>
    </w:rPr>
  </w:style>
  <w:style w:type="paragraph" w:styleId="Header">
    <w:name w:val="header"/>
    <w:basedOn w:val="Normal"/>
    <w:link w:val="HeaderChar"/>
    <w:uiPriority w:val="99"/>
    <w:unhideWhenUsed/>
    <w:rsid w:val="00A64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7"/>
    <w:rPr>
      <w:rFonts w:asciiTheme="minorHAnsi" w:hAnsiTheme="minorHAnsi" w:cstheme="minorBidi"/>
      <w:sz w:val="22"/>
      <w:szCs w:val="22"/>
    </w:rPr>
  </w:style>
  <w:style w:type="paragraph" w:styleId="Footer">
    <w:name w:val="footer"/>
    <w:basedOn w:val="Normal"/>
    <w:link w:val="FooterChar"/>
    <w:uiPriority w:val="99"/>
    <w:unhideWhenUsed/>
    <w:rsid w:val="00A64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7"/>
    <w:rPr>
      <w:rFonts w:asciiTheme="minorHAnsi" w:hAnsiTheme="minorHAnsi" w:cstheme="minorBidi"/>
      <w:sz w:val="22"/>
      <w:szCs w:val="22"/>
    </w:rPr>
  </w:style>
  <w:style w:type="paragraph" w:styleId="BodyText">
    <w:name w:val="Body Text"/>
    <w:basedOn w:val="Normal"/>
    <w:link w:val="BodyTextChar"/>
    <w:uiPriority w:val="1"/>
    <w:qFormat/>
    <w:rsid w:val="00917F99"/>
    <w:pPr>
      <w:autoSpaceDE w:val="0"/>
      <w:autoSpaceDN w:val="0"/>
      <w:adjustRightInd w:val="0"/>
      <w:spacing w:before="2" w:after="0" w:line="240" w:lineRule="auto"/>
    </w:pPr>
    <w:rPr>
      <w:rFonts w:ascii="Palatino Linotype" w:hAnsi="Palatino Linotype" w:cs="Palatino Linotype"/>
      <w:b/>
      <w:bCs/>
      <w:sz w:val="24"/>
      <w:szCs w:val="24"/>
    </w:rPr>
  </w:style>
  <w:style w:type="character" w:customStyle="1" w:styleId="BodyTextChar">
    <w:name w:val="Body Text Char"/>
    <w:basedOn w:val="DefaultParagraphFont"/>
    <w:link w:val="BodyText"/>
    <w:uiPriority w:val="1"/>
    <w:rsid w:val="00917F99"/>
    <w:rPr>
      <w:rFonts w:ascii="Palatino Linotype" w:hAnsi="Palatino Linotype" w:cs="Palatino Linotype"/>
      <w:b/>
      <w:bCs/>
    </w:rPr>
  </w:style>
  <w:style w:type="paragraph" w:customStyle="1" w:styleId="TableParagraph">
    <w:name w:val="Table Paragraph"/>
    <w:basedOn w:val="Normal"/>
    <w:uiPriority w:val="1"/>
    <w:qFormat/>
    <w:rsid w:val="00917F99"/>
    <w:pPr>
      <w:autoSpaceDE w:val="0"/>
      <w:autoSpaceDN w:val="0"/>
      <w:adjustRightInd w:val="0"/>
      <w:spacing w:before="7" w:after="0" w:line="240" w:lineRule="auto"/>
      <w:ind w:left="103"/>
    </w:pPr>
    <w:rPr>
      <w:rFonts w:ascii="Palatino Linotype" w:hAnsi="Palatino Linotype" w:cs="Palatino Linotype"/>
      <w:sz w:val="24"/>
      <w:szCs w:val="24"/>
    </w:rPr>
  </w:style>
  <w:style w:type="paragraph" w:styleId="BodyTextIndent3">
    <w:name w:val="Body Text Indent 3"/>
    <w:basedOn w:val="Normal"/>
    <w:link w:val="BodyTextIndent3Char"/>
    <w:uiPriority w:val="99"/>
    <w:semiHidden/>
    <w:unhideWhenUsed/>
    <w:rsid w:val="00D12D6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12D64"/>
    <w:rPr>
      <w:rFonts w:asciiTheme="minorHAnsi" w:hAnsiTheme="minorHAnsi" w:cstheme="minorBidi"/>
      <w:sz w:val="16"/>
      <w:szCs w:val="16"/>
    </w:rPr>
  </w:style>
  <w:style w:type="character" w:customStyle="1" w:styleId="Heading1Char">
    <w:name w:val="Heading 1 Char"/>
    <w:basedOn w:val="DefaultParagraphFont"/>
    <w:link w:val="Heading1"/>
    <w:rsid w:val="00D12D64"/>
    <w:rPr>
      <w:rFonts w:eastAsia="Times New Roman"/>
      <w:b/>
      <w:u w:val="single"/>
    </w:rPr>
  </w:style>
  <w:style w:type="character" w:styleId="Hyperlink">
    <w:name w:val="Hyperlink"/>
    <w:rsid w:val="00D12D64"/>
    <w:rPr>
      <w:color w:val="0000FF"/>
      <w:u w:val="single"/>
    </w:rPr>
  </w:style>
  <w:style w:type="paragraph" w:styleId="CommentText">
    <w:name w:val="annotation text"/>
    <w:basedOn w:val="Normal"/>
    <w:link w:val="CommentTextChar"/>
    <w:semiHidden/>
    <w:rsid w:val="00D12D64"/>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D12D64"/>
    <w:rPr>
      <w:rFonts w:eastAsia="Times New Roman"/>
    </w:rPr>
  </w:style>
  <w:style w:type="paragraph" w:styleId="CommentSubject">
    <w:name w:val="annotation subject"/>
    <w:basedOn w:val="CommentText"/>
    <w:next w:val="CommentText"/>
    <w:link w:val="CommentSubjectChar"/>
    <w:semiHidden/>
    <w:rsid w:val="00D12D64"/>
    <w:rPr>
      <w:szCs w:val="20"/>
    </w:rPr>
  </w:style>
  <w:style w:type="character" w:customStyle="1" w:styleId="CommentSubjectChar">
    <w:name w:val="Comment Subject Char"/>
    <w:basedOn w:val="CommentTextChar"/>
    <w:link w:val="CommentSubject"/>
    <w:semiHidden/>
    <w:rsid w:val="00D12D64"/>
    <w:rPr>
      <w:rFonts w:eastAsia="Times New Roman"/>
      <w:szCs w:val="20"/>
    </w:rPr>
  </w:style>
  <w:style w:type="table" w:styleId="TableGrid">
    <w:name w:val="Table Grid"/>
    <w:basedOn w:val="TableNormal"/>
    <w:rsid w:val="00D12D64"/>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12D64"/>
    <w:rPr>
      <w:color w:val="605E5C"/>
      <w:shd w:val="clear" w:color="auto" w:fill="E1DFDD"/>
    </w:rPr>
  </w:style>
  <w:style w:type="character" w:styleId="CommentReference">
    <w:name w:val="annotation reference"/>
    <w:basedOn w:val="DefaultParagraphFont"/>
    <w:uiPriority w:val="99"/>
    <w:semiHidden/>
    <w:unhideWhenUsed/>
    <w:rsid w:val="00FB68C9"/>
    <w:rPr>
      <w:sz w:val="16"/>
      <w:szCs w:val="16"/>
    </w:rPr>
  </w:style>
  <w:style w:type="paragraph" w:styleId="NoSpacing">
    <w:name w:val="No Spacing"/>
    <w:uiPriority w:val="1"/>
    <w:qFormat/>
    <w:rsid w:val="00001B23"/>
    <w:pPr>
      <w:spacing w:after="0" w:line="240" w:lineRule="auto"/>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7C5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ta.see@puco.ohio.gov" TargetMode="External" /><Relationship Id="rId11" Type="http://schemas.openxmlformats.org/officeDocument/2006/relationships/hyperlink" Target="mailto:josephclark@nisource.com"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john.jones@ohioattorneygeneral.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energynews.us/2020/05/15/midwest/ohio-policies-cushion-the-pandemics-impact-on-electric-utilities/" TargetMode="External" /><Relationship Id="rId2" Type="http://schemas.openxmlformats.org/officeDocument/2006/relationships/hyperlink" Target="https://www.utilitydive.com/news/will-regulators-allow-utilities-to-reap-a-windfall-because-of-covid-19/58027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C4AD1C1C21A46928A223159CDC59C" ma:contentTypeVersion="10" ma:contentTypeDescription="Create a new document." ma:contentTypeScope="" ma:versionID="d37eca18a5211e4365446125106f636d">
  <xsd:schema xmlns:xsd="http://www.w3.org/2001/XMLSchema" xmlns:xs="http://www.w3.org/2001/XMLSchema" xmlns:p="http://schemas.microsoft.com/office/2006/metadata/properties" xmlns:ns3="082623b5-c3b9-42a3-bfb6-38869d3ca4f5" targetNamespace="http://schemas.microsoft.com/office/2006/metadata/properties" ma:root="true" ma:fieldsID="47892af540cad8fe627df697340b04ec" ns3:_="">
    <xsd:import namespace="082623b5-c3b9-42a3-bfb6-38869d3ca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3b5-c3b9-42a3-bfb6-38869d3c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7F61-40B7-4B1A-8B88-E544E11D2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623b5-c3b9-42a3-bfb6-38869d3ca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D225F-1CF9-444E-8DC2-D4D6802EDE3E}">
  <ds:schemaRefs>
    <ds:schemaRef ds:uri="http://schemas.microsoft.com/sharepoint/v3/contenttype/forms"/>
  </ds:schemaRefs>
</ds:datastoreItem>
</file>

<file path=customXml/itemProps3.xml><?xml version="1.0" encoding="utf-8"?>
<ds:datastoreItem xmlns:ds="http://schemas.openxmlformats.org/officeDocument/2006/customXml" ds:itemID="{10F7A582-1766-4883-BCDC-89A74E4746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562AE4-9D93-40EE-9EEA-0EDDE10E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2020-07-09T20:51:46Z</dcterms:created>
  <dcterms:modified xsi:type="dcterms:W3CDTF">2020-07-09T20:51:46Z</dcterms:modified>
</cp:coreProperties>
</file>