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Pr="000E7E03" w:rsidRDefault="00CB4DCB" w:rsidP="000E7E03">
      <w:pPr>
        <w:pStyle w:val="Title"/>
        <w:spacing w:line="320" w:lineRule="exact"/>
        <w:rPr>
          <w:rFonts w:ascii="Palatino Linotype" w:hAnsi="Palatino Linotype"/>
          <w:spacing w:val="-12"/>
        </w:rPr>
      </w:pPr>
      <w:r w:rsidRPr="000E7E03">
        <w:rPr>
          <w:rFonts w:ascii="Palatino Linotype" w:hAnsi="Palatino Linotype"/>
          <w:spacing w:val="-12"/>
        </w:rPr>
        <w:t>BEFORE</w:t>
      </w:r>
    </w:p>
    <w:p w:rsidR="00CB4DCB" w:rsidRPr="000E7E03" w:rsidRDefault="00CB4DCB" w:rsidP="000E7E03">
      <w:pPr>
        <w:pStyle w:val="Title"/>
        <w:spacing w:line="320" w:lineRule="exact"/>
        <w:rPr>
          <w:rFonts w:ascii="Palatino Linotype" w:hAnsi="Palatino Linotype"/>
        </w:rPr>
      </w:pPr>
      <w:r w:rsidRPr="000E7E03">
        <w:rPr>
          <w:rFonts w:ascii="Palatino Linotype" w:hAnsi="Palatino Linotype"/>
          <w:spacing w:val="-12"/>
        </w:rPr>
        <w:t xml:space="preserve">THE PUBLIC UTILITES COMMISSION OF </w:t>
      </w:r>
      <w:smartTag w:uri="urn:schemas-microsoft-com:office:smarttags" w:element="State">
        <w:smartTag w:uri="urn:schemas-microsoft-com:office:smarttags" w:element="place">
          <w:r w:rsidRPr="000E7E03">
            <w:rPr>
              <w:rFonts w:ascii="Palatino Linotype" w:hAnsi="Palatino Linotype"/>
              <w:spacing w:val="-12"/>
            </w:rPr>
            <w:t>OHIO</w:t>
          </w:r>
        </w:smartTag>
      </w:smartTag>
    </w:p>
    <w:p w:rsidR="00CB4DCB" w:rsidRPr="000E7E03" w:rsidRDefault="00CB4DCB" w:rsidP="000E7E03">
      <w:pPr>
        <w:spacing w:line="320" w:lineRule="exact"/>
        <w:jc w:val="center"/>
        <w:rPr>
          <w:rFonts w:ascii="Palatino Linotype" w:hAnsi="Palatino Linotype"/>
          <w:b/>
          <w:bCs/>
        </w:rPr>
      </w:pPr>
    </w:p>
    <w:p w:rsidR="00CB4DCB" w:rsidRPr="000E7E03" w:rsidRDefault="00CB4DCB" w:rsidP="000E7E03">
      <w:pPr>
        <w:spacing w:line="320" w:lineRule="exact"/>
        <w:jc w:val="center"/>
        <w:rPr>
          <w:rFonts w:ascii="Palatino Linotype" w:hAnsi="Palatino Linotype"/>
          <w:b/>
          <w:bCs/>
        </w:rPr>
      </w:pPr>
    </w:p>
    <w:tbl>
      <w:tblPr>
        <w:tblW w:w="8868" w:type="dxa"/>
        <w:tblLayout w:type="fixed"/>
        <w:tblLook w:val="0000" w:firstRow="0" w:lastRow="0" w:firstColumn="0" w:lastColumn="0" w:noHBand="0" w:noVBand="0"/>
      </w:tblPr>
      <w:tblGrid>
        <w:gridCol w:w="4428"/>
        <w:gridCol w:w="380"/>
        <w:gridCol w:w="4060"/>
      </w:tblGrid>
      <w:tr w:rsidR="00CB4DCB" w:rsidRPr="000E7E03" w:rsidTr="00C34C6D">
        <w:tc>
          <w:tcPr>
            <w:tcW w:w="4428" w:type="dxa"/>
          </w:tcPr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  <w:r w:rsidRPr="000E7E03">
              <w:rPr>
                <w:rFonts w:ascii="Palatino Linotype" w:hAnsi="Palatino Linotype"/>
                <w:spacing w:val="-3"/>
              </w:rPr>
              <w:t xml:space="preserve">In the Matter of the Application of </w:t>
            </w:r>
            <w:smartTag w:uri="urn:schemas-microsoft-com:office:smarttags" w:element="City">
              <w:smartTag w:uri="urn:schemas-microsoft-com:office:smarttags" w:element="place">
                <w:r w:rsidRPr="000E7E03">
                  <w:rPr>
                    <w:rFonts w:ascii="Palatino Linotype" w:hAnsi="Palatino Linotype"/>
                    <w:spacing w:val="-3"/>
                  </w:rPr>
                  <w:t>C</w:t>
                </w:r>
                <w:r w:rsidRPr="000E7E03">
                  <w:rPr>
                    <w:rFonts w:ascii="Palatino Linotype" w:hAnsi="Palatino Linotype"/>
                    <w:spacing w:val="-3"/>
                  </w:rPr>
                  <w:t>o</w:t>
                </w:r>
                <w:r w:rsidRPr="000E7E03">
                  <w:rPr>
                    <w:rFonts w:ascii="Palatino Linotype" w:hAnsi="Palatino Linotype"/>
                    <w:spacing w:val="-3"/>
                  </w:rPr>
                  <w:t>lumbia</w:t>
                </w:r>
              </w:smartTag>
            </w:smartTag>
            <w:r w:rsidRPr="000E7E03">
              <w:rPr>
                <w:rFonts w:ascii="Palatino Linotype" w:hAnsi="Palatino Linotype"/>
                <w:spacing w:val="-3"/>
              </w:rPr>
              <w:t xml:space="preserve"> Gas of Ohio, Inc. for Approval of an Adjustment to its Uncollectible E</w:t>
            </w:r>
            <w:r w:rsidRPr="000E7E03">
              <w:rPr>
                <w:rFonts w:ascii="Palatino Linotype" w:hAnsi="Palatino Linotype"/>
                <w:spacing w:val="-3"/>
              </w:rPr>
              <w:t>x</w:t>
            </w:r>
            <w:r w:rsidRPr="000E7E03">
              <w:rPr>
                <w:rFonts w:ascii="Palatino Linotype" w:hAnsi="Palatino Linotype"/>
                <w:spacing w:val="-3"/>
              </w:rPr>
              <w:t>pense Rider Rate</w:t>
            </w:r>
          </w:p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</w:p>
        </w:tc>
        <w:tc>
          <w:tcPr>
            <w:tcW w:w="380" w:type="dxa"/>
          </w:tcPr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  <w:r w:rsidRPr="000E7E03">
              <w:rPr>
                <w:rFonts w:ascii="Palatino Linotype" w:hAnsi="Palatino Linotype"/>
                <w:spacing w:val="-3"/>
              </w:rPr>
              <w:t>)</w:t>
            </w:r>
          </w:p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  <w:r w:rsidRPr="000E7E03">
              <w:rPr>
                <w:rFonts w:ascii="Palatino Linotype" w:hAnsi="Palatino Linotype"/>
                <w:spacing w:val="-3"/>
              </w:rPr>
              <w:t>)</w:t>
            </w:r>
          </w:p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  <w:r w:rsidRPr="000E7E03">
              <w:rPr>
                <w:rFonts w:ascii="Palatino Linotype" w:hAnsi="Palatino Linotype"/>
                <w:spacing w:val="-3"/>
              </w:rPr>
              <w:t>)</w:t>
            </w:r>
          </w:p>
        </w:tc>
        <w:tc>
          <w:tcPr>
            <w:tcW w:w="4060" w:type="dxa"/>
          </w:tcPr>
          <w:p w:rsidR="00CB4DCB" w:rsidRPr="000E7E03" w:rsidRDefault="00CB4DCB" w:rsidP="000E7E03">
            <w:pPr>
              <w:keepNext/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</w:p>
          <w:p w:rsidR="00CB4DCB" w:rsidRPr="000E7E03" w:rsidRDefault="00CB4DCB" w:rsidP="00250123">
            <w:pPr>
              <w:keepLines/>
              <w:tabs>
                <w:tab w:val="left" w:pos="-720"/>
              </w:tabs>
              <w:spacing w:line="320" w:lineRule="exact"/>
              <w:jc w:val="both"/>
              <w:rPr>
                <w:rFonts w:ascii="Palatino Linotype" w:hAnsi="Palatino Linotype"/>
                <w:spacing w:val="-3"/>
              </w:rPr>
            </w:pPr>
            <w:r w:rsidRPr="000E7E03">
              <w:rPr>
                <w:rFonts w:ascii="Palatino Linotype" w:hAnsi="Palatino Linotype"/>
                <w:spacing w:val="-3"/>
              </w:rPr>
              <w:t xml:space="preserve">Case No. </w:t>
            </w:r>
            <w:r w:rsidR="00D936B6" w:rsidRPr="000E7E03">
              <w:rPr>
                <w:rFonts w:ascii="Palatino Linotype" w:hAnsi="Palatino Linotype"/>
                <w:spacing w:val="-3"/>
              </w:rPr>
              <w:t>1</w:t>
            </w:r>
            <w:r w:rsidR="00D936B6">
              <w:rPr>
                <w:rFonts w:ascii="Palatino Linotype" w:hAnsi="Palatino Linotype"/>
                <w:spacing w:val="-3"/>
              </w:rPr>
              <w:t>2</w:t>
            </w:r>
            <w:r w:rsidRPr="000E7E03">
              <w:rPr>
                <w:rFonts w:ascii="Palatino Linotype" w:hAnsi="Palatino Linotype"/>
                <w:spacing w:val="-3"/>
              </w:rPr>
              <w:t>-</w:t>
            </w:r>
            <w:r w:rsidR="00250123">
              <w:rPr>
                <w:rFonts w:ascii="Palatino Linotype" w:hAnsi="Palatino Linotype"/>
                <w:spacing w:val="-3"/>
              </w:rPr>
              <w:t>321</w:t>
            </w:r>
            <w:r w:rsidRPr="00271A1E">
              <w:rPr>
                <w:rFonts w:ascii="Palatino Linotype" w:hAnsi="Palatino Linotype"/>
                <w:spacing w:val="-3"/>
              </w:rPr>
              <w:t>-</w:t>
            </w:r>
            <w:r w:rsidRPr="000E7E03">
              <w:rPr>
                <w:rFonts w:ascii="Palatino Linotype" w:hAnsi="Palatino Linotype"/>
                <w:spacing w:val="-3"/>
              </w:rPr>
              <w:t>GA-UEX</w:t>
            </w:r>
          </w:p>
        </w:tc>
      </w:tr>
    </w:tbl>
    <w:p w:rsidR="00CB4DCB" w:rsidRPr="000E7E03" w:rsidRDefault="00CB4DCB" w:rsidP="000E7E03">
      <w:pPr>
        <w:pStyle w:val="Heading1"/>
        <w:spacing w:line="320" w:lineRule="exact"/>
        <w:rPr>
          <w:rFonts w:ascii="Palatino Linotype" w:hAnsi="Palatino Linotype"/>
          <w:u w:val="double"/>
        </w:rPr>
      </w:pPr>
      <w:r w:rsidRPr="000E7E03">
        <w:rPr>
          <w:rFonts w:ascii="Palatino Linotype" w:hAnsi="Palatino Linotype"/>
          <w:u w:val="double"/>
        </w:rPr>
        <w:tab/>
      </w:r>
    </w:p>
    <w:p w:rsidR="00CB4DCB" w:rsidRPr="000E7E03" w:rsidRDefault="00CB4DCB" w:rsidP="000E7E03">
      <w:pPr>
        <w:pStyle w:val="Heading1"/>
        <w:spacing w:line="320" w:lineRule="exact"/>
        <w:rPr>
          <w:rFonts w:ascii="Palatino Linotype" w:hAnsi="Palatino Linotype"/>
        </w:rPr>
      </w:pPr>
    </w:p>
    <w:p w:rsidR="00CB4DCB" w:rsidRPr="000E7E03" w:rsidRDefault="00CB4DCB" w:rsidP="000E7E03">
      <w:pPr>
        <w:pStyle w:val="Heading1"/>
        <w:spacing w:line="320" w:lineRule="exact"/>
        <w:rPr>
          <w:rFonts w:ascii="Palatino Linotype" w:hAnsi="Palatino Linotype"/>
          <w:spacing w:val="-12"/>
        </w:rPr>
      </w:pPr>
      <w:r w:rsidRPr="000E7E03">
        <w:rPr>
          <w:rFonts w:ascii="Palatino Linotype" w:hAnsi="Palatino Linotype"/>
          <w:spacing w:val="-12"/>
        </w:rPr>
        <w:t>APPLICATION OF</w:t>
      </w:r>
    </w:p>
    <w:p w:rsidR="00CB4DCB" w:rsidRPr="000E7E03" w:rsidRDefault="00CB4DCB" w:rsidP="000E7E03">
      <w:pPr>
        <w:spacing w:line="320" w:lineRule="exact"/>
        <w:jc w:val="center"/>
        <w:rPr>
          <w:rFonts w:ascii="Palatino Linotype" w:hAnsi="Palatino Linotype"/>
          <w:b/>
          <w:bCs/>
          <w:spacing w:val="-12"/>
        </w:rPr>
      </w:pPr>
      <w:smartTag w:uri="urn:schemas-microsoft-com:office:smarttags" w:element="place">
        <w:smartTag w:uri="urn:schemas-microsoft-com:office:smarttags" w:element="City">
          <w:r w:rsidRPr="000E7E03">
            <w:rPr>
              <w:rFonts w:ascii="Palatino Linotype" w:hAnsi="Palatino Linotype"/>
              <w:b/>
              <w:bCs/>
              <w:spacing w:val="-12"/>
            </w:rPr>
            <w:t>COLUMBIA</w:t>
          </w:r>
        </w:smartTag>
      </w:smartTag>
      <w:r w:rsidRPr="000E7E03">
        <w:rPr>
          <w:rFonts w:ascii="Palatino Linotype" w:hAnsi="Palatino Linotype"/>
          <w:b/>
          <w:bCs/>
          <w:spacing w:val="-12"/>
        </w:rPr>
        <w:t xml:space="preserve"> GAS OF OHIO, INC.</w:t>
      </w:r>
    </w:p>
    <w:p w:rsidR="00CB4DCB" w:rsidRPr="000E7E03" w:rsidRDefault="00CB4DCB" w:rsidP="000E7E03">
      <w:pPr>
        <w:tabs>
          <w:tab w:val="left" w:pos="4680"/>
        </w:tabs>
        <w:spacing w:line="320" w:lineRule="exact"/>
        <w:jc w:val="center"/>
        <w:rPr>
          <w:rFonts w:ascii="Palatino Linotype" w:hAnsi="Palatino Linotype"/>
          <w:b/>
          <w:bCs/>
          <w:u w:val="double"/>
        </w:rPr>
      </w:pPr>
      <w:r w:rsidRPr="000E7E03">
        <w:rPr>
          <w:rFonts w:ascii="Palatino Linotype" w:hAnsi="Palatino Linotype"/>
          <w:b/>
          <w:bCs/>
          <w:u w:val="double"/>
        </w:rPr>
        <w:tab/>
      </w:r>
    </w:p>
    <w:p w:rsidR="00CB4DCB" w:rsidRPr="000E7E03" w:rsidRDefault="00CB4DCB" w:rsidP="000E7E03">
      <w:pPr>
        <w:tabs>
          <w:tab w:val="left" w:pos="4680"/>
        </w:tabs>
        <w:spacing w:line="320" w:lineRule="exact"/>
        <w:jc w:val="center"/>
        <w:rPr>
          <w:rFonts w:ascii="Palatino Linotype" w:hAnsi="Palatino Linotype"/>
          <w:b/>
          <w:bCs/>
        </w:rPr>
      </w:pPr>
    </w:p>
    <w:p w:rsidR="00CB4DCB" w:rsidRPr="000E7E03" w:rsidRDefault="00CB4DCB" w:rsidP="000E7E03">
      <w:pPr>
        <w:tabs>
          <w:tab w:val="left" w:pos="4680"/>
        </w:tabs>
        <w:spacing w:line="320" w:lineRule="exact"/>
        <w:jc w:val="center"/>
        <w:rPr>
          <w:rFonts w:ascii="Palatino Linotype" w:hAnsi="Palatino Linotype"/>
          <w:b/>
          <w:bCs/>
        </w:rPr>
      </w:pPr>
    </w:p>
    <w:p w:rsidR="00CB4DCB" w:rsidRDefault="00CB4DCB" w:rsidP="000E7E03">
      <w:pPr>
        <w:tabs>
          <w:tab w:val="left" w:pos="0"/>
        </w:tabs>
        <w:spacing w:line="320" w:lineRule="exact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  <w:b/>
          <w:bCs/>
        </w:rPr>
        <w:tab/>
      </w:r>
      <w:r w:rsidRPr="000E7E03">
        <w:rPr>
          <w:rFonts w:ascii="Palatino Linotype" w:hAnsi="Palatino Linotype"/>
        </w:rPr>
        <w:t>Columbia Gas of Ohio, Inc. (“Columbia”) hereby submits its annual U</w:t>
      </w:r>
      <w:r w:rsidRPr="000E7E03">
        <w:rPr>
          <w:rFonts w:ascii="Palatino Linotype" w:hAnsi="Palatino Linotype"/>
        </w:rPr>
        <w:t>n</w:t>
      </w:r>
      <w:r w:rsidRPr="000E7E03">
        <w:rPr>
          <w:rFonts w:ascii="Palatino Linotype" w:hAnsi="Palatino Linotype"/>
        </w:rPr>
        <w:t xml:space="preserve">collectible Expense Rider Report, and also requests approval to </w:t>
      </w:r>
      <w:r w:rsidR="004B0559">
        <w:rPr>
          <w:rFonts w:ascii="Palatino Linotype" w:hAnsi="Palatino Linotype"/>
        </w:rPr>
        <w:t xml:space="preserve">increase </w:t>
      </w:r>
      <w:r w:rsidRPr="000E7E03">
        <w:rPr>
          <w:rFonts w:ascii="Palatino Linotype" w:hAnsi="Palatino Linotype"/>
        </w:rPr>
        <w:t>its U</w:t>
      </w:r>
      <w:r w:rsidRPr="000E7E03">
        <w:rPr>
          <w:rFonts w:ascii="Palatino Linotype" w:hAnsi="Palatino Linotype"/>
        </w:rPr>
        <w:t>n</w:t>
      </w:r>
      <w:r w:rsidRPr="000E7E03">
        <w:rPr>
          <w:rFonts w:ascii="Palatino Linotype" w:hAnsi="Palatino Linotype"/>
        </w:rPr>
        <w:t xml:space="preserve">collectible Expense Rider rate. In support of its Application, </w:t>
      </w:r>
      <w:smartTag w:uri="urn:schemas-microsoft-com:office:smarttags" w:element="City">
        <w:smartTag w:uri="urn:schemas-microsoft-com:office:smarttags" w:element="place">
          <w:r w:rsidRPr="000E7E03">
            <w:rPr>
              <w:rFonts w:ascii="Palatino Linotype" w:hAnsi="Palatino Linotype"/>
            </w:rPr>
            <w:t>Columbia</w:t>
          </w:r>
        </w:smartTag>
      </w:smartTag>
      <w:r w:rsidRPr="000E7E03">
        <w:rPr>
          <w:rFonts w:ascii="Palatino Linotype" w:hAnsi="Palatino Linotype"/>
        </w:rPr>
        <w:t xml:space="preserve"> states as follows:</w:t>
      </w:r>
    </w:p>
    <w:p w:rsidR="00250123" w:rsidRPr="000E7E03" w:rsidRDefault="00250123" w:rsidP="000E7E03">
      <w:pPr>
        <w:tabs>
          <w:tab w:val="left" w:pos="0"/>
        </w:tabs>
        <w:spacing w:line="320" w:lineRule="exact"/>
        <w:jc w:val="both"/>
        <w:rPr>
          <w:rFonts w:ascii="Palatino Linotype" w:hAnsi="Palatino Linotype"/>
        </w:rPr>
      </w:pPr>
    </w:p>
    <w:p w:rsidR="00CB4DCB" w:rsidRDefault="009116A3" w:rsidP="000E7E03">
      <w:pPr>
        <w:pStyle w:val="BodyTextIndent2"/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="00CB4DCB" w:rsidRPr="000E7E03">
        <w:rPr>
          <w:rFonts w:ascii="Palatino Linotype" w:hAnsi="Palatino Linotype"/>
        </w:rPr>
        <w:t>By Finding and Order dated December 17, 2003 (the “December 17 O</w:t>
      </w:r>
      <w:r w:rsidR="00CB4DCB" w:rsidRPr="000E7E03">
        <w:rPr>
          <w:rFonts w:ascii="Palatino Linotype" w:hAnsi="Palatino Linotype"/>
        </w:rPr>
        <w:t>r</w:t>
      </w:r>
      <w:r w:rsidR="00CB4DCB" w:rsidRPr="000E7E03">
        <w:rPr>
          <w:rFonts w:ascii="Palatino Linotype" w:hAnsi="Palatino Linotype"/>
        </w:rPr>
        <w:t>der”), in Case No. 03-1127-GA-UNC, the Commission approved, in concept, an Uncollectible Expense Rider for Columbia and several other natural gas comp</w:t>
      </w:r>
      <w:r w:rsidR="00CB4DCB" w:rsidRPr="000E7E03">
        <w:rPr>
          <w:rFonts w:ascii="Palatino Linotype" w:hAnsi="Palatino Linotype"/>
        </w:rPr>
        <w:t>a</w:t>
      </w:r>
      <w:r w:rsidR="00CB4DCB" w:rsidRPr="000E7E03">
        <w:rPr>
          <w:rFonts w:ascii="Palatino Linotype" w:hAnsi="Palatino Linotype"/>
        </w:rPr>
        <w:t>nies.</w:t>
      </w:r>
    </w:p>
    <w:p w:rsidR="00250123" w:rsidRPr="000E7E03" w:rsidRDefault="00250123" w:rsidP="000E7E03">
      <w:pPr>
        <w:pStyle w:val="BodyTextIndent2"/>
        <w:spacing w:line="320" w:lineRule="exact"/>
        <w:rPr>
          <w:rFonts w:ascii="Palatino Linotype" w:hAnsi="Palatino Linotype"/>
        </w:rPr>
      </w:pPr>
    </w:p>
    <w:p w:rsidR="00CB4DCB" w:rsidRDefault="009116A3" w:rsidP="000E7E03">
      <w:pPr>
        <w:pStyle w:val="BodyTextIndent2"/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CB4DCB" w:rsidRPr="000E7E03">
        <w:rPr>
          <w:rFonts w:ascii="Palatino Linotype" w:hAnsi="Palatino Linotype"/>
        </w:rPr>
        <w:t>Pursuant to the December 17 Order, Columbia is required to file an a</w:t>
      </w:r>
      <w:r w:rsidR="00CB4DCB" w:rsidRPr="000E7E03">
        <w:rPr>
          <w:rFonts w:ascii="Palatino Linotype" w:hAnsi="Palatino Linotype"/>
        </w:rPr>
        <w:t>n</w:t>
      </w:r>
      <w:r w:rsidR="00CB4DCB" w:rsidRPr="000E7E03">
        <w:rPr>
          <w:rFonts w:ascii="Palatino Linotype" w:hAnsi="Palatino Linotype"/>
        </w:rPr>
        <w:t>nual report each May that identifies the amounts recovered, deferred and, as a</w:t>
      </w:r>
      <w:r w:rsidR="00CB4DCB" w:rsidRPr="000E7E03">
        <w:rPr>
          <w:rFonts w:ascii="Palatino Linotype" w:hAnsi="Palatino Linotype"/>
        </w:rPr>
        <w:t>p</w:t>
      </w:r>
      <w:r w:rsidR="00CB4DCB" w:rsidRPr="000E7E03">
        <w:rPr>
          <w:rFonts w:ascii="Palatino Linotype" w:hAnsi="Palatino Linotype"/>
        </w:rPr>
        <w:t xml:space="preserve">plicable, amortized pursuant to the Uncollectible Expense Rider. </w:t>
      </w:r>
      <w:proofErr w:type="gramStart"/>
      <w:r w:rsidR="00CB4DCB" w:rsidRPr="000E7E03">
        <w:rPr>
          <w:rFonts w:ascii="Palatino Linotype" w:hAnsi="Palatino Linotype"/>
        </w:rPr>
        <w:t>Attached hereto as Attachment 1 is Columbia’s annual Uncollectible Expense Rider Report.</w:t>
      </w:r>
      <w:proofErr w:type="gramEnd"/>
    </w:p>
    <w:p w:rsidR="00250123" w:rsidRPr="000E7E03" w:rsidRDefault="00250123" w:rsidP="000E7E03">
      <w:pPr>
        <w:pStyle w:val="BodyTextIndent2"/>
        <w:spacing w:line="320" w:lineRule="exact"/>
        <w:rPr>
          <w:rFonts w:ascii="Palatino Linotype" w:hAnsi="Palatino Linotype"/>
        </w:rPr>
      </w:pPr>
    </w:p>
    <w:p w:rsidR="00CB4DCB" w:rsidRDefault="009116A3" w:rsidP="000E7E03">
      <w:pPr>
        <w:pStyle w:val="BodyTextIndent2"/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CB4DCB" w:rsidRPr="000E7E03">
        <w:rPr>
          <w:rFonts w:ascii="Palatino Linotype" w:hAnsi="Palatino Linotype"/>
        </w:rPr>
        <w:t>By Entry dated April 7, 2004, in Case No. 03-2572-GA-ATA, the Co</w:t>
      </w:r>
      <w:r w:rsidR="00CB4DCB" w:rsidRPr="000E7E03">
        <w:rPr>
          <w:rFonts w:ascii="Palatino Linotype" w:hAnsi="Palatino Linotype"/>
        </w:rPr>
        <w:t>m</w:t>
      </w:r>
      <w:r w:rsidR="00CB4DCB" w:rsidRPr="000E7E03">
        <w:rPr>
          <w:rFonts w:ascii="Palatino Linotype" w:hAnsi="Palatino Linotype"/>
        </w:rPr>
        <w:t xml:space="preserve">mission approved </w:t>
      </w:r>
      <w:smartTag w:uri="urn:schemas-microsoft-com:office:smarttags" w:element="place">
        <w:smartTag w:uri="urn:schemas-microsoft-com:office:smarttags" w:element="City">
          <w:r w:rsidR="00CB4DCB" w:rsidRPr="000E7E03">
            <w:rPr>
              <w:rFonts w:ascii="Palatino Linotype" w:hAnsi="Palatino Linotype"/>
            </w:rPr>
            <w:t>Columbia</w:t>
          </w:r>
        </w:smartTag>
      </w:smartTag>
      <w:r w:rsidR="00CB4DCB" w:rsidRPr="000E7E03">
        <w:rPr>
          <w:rFonts w:ascii="Palatino Linotype" w:hAnsi="Palatino Linotype"/>
        </w:rPr>
        <w:t>’s initial Uncollectible Expense Rider rate. However, the December 17</w:t>
      </w:r>
      <w:r w:rsidR="00250123">
        <w:rPr>
          <w:rFonts w:ascii="Palatino Linotype" w:hAnsi="Palatino Linotype"/>
        </w:rPr>
        <w:t xml:space="preserve">, 2003 </w:t>
      </w:r>
      <w:r w:rsidR="00CB4DCB" w:rsidRPr="000E7E03">
        <w:rPr>
          <w:rFonts w:ascii="Palatino Linotype" w:hAnsi="Palatino Linotype"/>
        </w:rPr>
        <w:t>Order further provided utilities with the opportun</w:t>
      </w:r>
      <w:r w:rsidR="00CB4DCB" w:rsidRPr="000E7E03">
        <w:rPr>
          <w:rFonts w:ascii="Palatino Linotype" w:hAnsi="Palatino Linotype"/>
        </w:rPr>
        <w:t>i</w:t>
      </w:r>
      <w:r w:rsidR="00CB4DCB" w:rsidRPr="000E7E03">
        <w:rPr>
          <w:rFonts w:ascii="Palatino Linotype" w:hAnsi="Palatino Linotype"/>
        </w:rPr>
        <w:t xml:space="preserve">ty to adjust their Uncollectible Expense Rider rates. Pursuant to </w:t>
      </w:r>
      <w:smartTag w:uri="urn:schemas-microsoft-com:office:smarttags" w:element="City">
        <w:r w:rsidR="00CB4DCB" w:rsidRPr="000E7E03">
          <w:rPr>
            <w:rFonts w:ascii="Palatino Linotype" w:hAnsi="Palatino Linotype"/>
          </w:rPr>
          <w:t>Columbia</w:t>
        </w:r>
      </w:smartTag>
      <w:r w:rsidR="00CB4DCB" w:rsidRPr="000E7E03">
        <w:rPr>
          <w:rFonts w:ascii="Palatino Linotype" w:hAnsi="Palatino Linotype"/>
        </w:rPr>
        <w:t>’s Uncollec</w:t>
      </w:r>
      <w:r w:rsidR="00CB4DCB" w:rsidRPr="000E7E03">
        <w:rPr>
          <w:rFonts w:ascii="Palatino Linotype" w:hAnsi="Palatino Linotype"/>
        </w:rPr>
        <w:t>t</w:t>
      </w:r>
      <w:r w:rsidR="00CB4DCB" w:rsidRPr="000E7E03">
        <w:rPr>
          <w:rFonts w:ascii="Palatino Linotype" w:hAnsi="Palatino Linotype"/>
        </w:rPr>
        <w:t>ible Expense Rider tariffs</w:t>
      </w:r>
      <w:r w:rsidR="0086187E" w:rsidRPr="000E7E03">
        <w:rPr>
          <w:rFonts w:ascii="Palatino Linotype" w:hAnsi="Palatino Linotype"/>
        </w:rPr>
        <w:t>,</w:t>
      </w:r>
      <w:r w:rsidR="00CB4DCB" w:rsidRPr="000E7E03">
        <w:rPr>
          <w:rStyle w:val="FootnoteReference"/>
          <w:rFonts w:ascii="Palatino Linotype" w:hAnsi="Palatino Linotype"/>
        </w:rPr>
        <w:footnoteReference w:id="1"/>
      </w:r>
      <w:r w:rsidR="00CB4DCB" w:rsidRPr="000E7E03">
        <w:rPr>
          <w:rFonts w:ascii="Palatino Linotype" w:hAnsi="Palatino Linotyp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B4DCB" w:rsidRPr="000E7E03">
            <w:rPr>
              <w:rFonts w:ascii="Palatino Linotype" w:hAnsi="Palatino Linotype"/>
            </w:rPr>
            <w:t>Columbia</w:t>
          </w:r>
        </w:smartTag>
      </w:smartTag>
      <w:r w:rsidR="009025C2" w:rsidRPr="000E7E03">
        <w:rPr>
          <w:rFonts w:ascii="Palatino Linotype" w:hAnsi="Palatino Linotype"/>
        </w:rPr>
        <w:t xml:space="preserve"> shall</w:t>
      </w:r>
      <w:r w:rsidR="00CB4DCB" w:rsidRPr="000E7E03">
        <w:rPr>
          <w:rFonts w:ascii="Palatino Linotype" w:hAnsi="Palatino Linotype"/>
        </w:rPr>
        <w:t xml:space="preserve"> request “approval to change the rate if </w:t>
      </w:r>
      <w:r w:rsidR="00CB4DCB" w:rsidRPr="000E7E03">
        <w:rPr>
          <w:rFonts w:ascii="Palatino Linotype" w:hAnsi="Palatino Linotype"/>
        </w:rPr>
        <w:lastRenderedPageBreak/>
        <w:t>the Company determines that an adjustment of more than plus or minus ten pe</w:t>
      </w:r>
      <w:r w:rsidR="00CB4DCB" w:rsidRPr="000E7E03">
        <w:rPr>
          <w:rFonts w:ascii="Palatino Linotype" w:hAnsi="Palatino Linotype"/>
        </w:rPr>
        <w:t>r</w:t>
      </w:r>
      <w:r w:rsidR="00CB4DCB" w:rsidRPr="000E7E03">
        <w:rPr>
          <w:rFonts w:ascii="Palatino Linotype" w:hAnsi="Palatino Linotype"/>
        </w:rPr>
        <w:t>cent is needed to adjust for prior period over or under-collections.”</w:t>
      </w:r>
    </w:p>
    <w:p w:rsidR="00250123" w:rsidRPr="000E7E03" w:rsidRDefault="00250123" w:rsidP="000E7E03">
      <w:pPr>
        <w:pStyle w:val="BodyTextIndent2"/>
        <w:spacing w:line="320" w:lineRule="exact"/>
        <w:rPr>
          <w:rFonts w:ascii="Palatino Linotype" w:hAnsi="Palatino Linotype"/>
        </w:rPr>
      </w:pPr>
    </w:p>
    <w:p w:rsidR="00CB4DCB" w:rsidRDefault="009116A3" w:rsidP="000E7E03">
      <w:pPr>
        <w:pStyle w:val="BodyTextIndent2"/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991B08" w:rsidRPr="000E7E03">
        <w:rPr>
          <w:rFonts w:ascii="Palatino Linotype" w:hAnsi="Palatino Linotype"/>
        </w:rPr>
        <w:t xml:space="preserve">On </w:t>
      </w:r>
      <w:r w:rsidR="00244CC4" w:rsidRPr="000E7E03">
        <w:rPr>
          <w:rFonts w:ascii="Palatino Linotype" w:hAnsi="Palatino Linotype"/>
        </w:rPr>
        <w:t xml:space="preserve">April </w:t>
      </w:r>
      <w:r w:rsidR="00F04256" w:rsidRPr="000E7E03">
        <w:rPr>
          <w:rFonts w:ascii="Palatino Linotype" w:hAnsi="Palatino Linotype"/>
        </w:rPr>
        <w:t>2</w:t>
      </w:r>
      <w:r w:rsidR="00A94667">
        <w:rPr>
          <w:rFonts w:ascii="Palatino Linotype" w:hAnsi="Palatino Linotype"/>
        </w:rPr>
        <w:t>0</w:t>
      </w:r>
      <w:r w:rsidR="00CB4DCB" w:rsidRPr="000E7E03">
        <w:rPr>
          <w:rFonts w:ascii="Palatino Linotype" w:hAnsi="Palatino Linotype"/>
        </w:rPr>
        <w:t>,</w:t>
      </w:r>
      <w:r w:rsidR="00244CC4" w:rsidRPr="000E7E03">
        <w:rPr>
          <w:rFonts w:ascii="Palatino Linotype" w:hAnsi="Palatino Linotype"/>
        </w:rPr>
        <w:t xml:space="preserve"> 20</w:t>
      </w:r>
      <w:r w:rsidR="00F04256" w:rsidRPr="000E7E03">
        <w:rPr>
          <w:rFonts w:ascii="Palatino Linotype" w:hAnsi="Palatino Linotype"/>
        </w:rPr>
        <w:t>1</w:t>
      </w:r>
      <w:r w:rsidR="00A94667">
        <w:rPr>
          <w:rFonts w:ascii="Palatino Linotype" w:hAnsi="Palatino Linotype"/>
        </w:rPr>
        <w:t>1</w:t>
      </w:r>
      <w:r w:rsidR="002424D8" w:rsidRPr="000E7E03">
        <w:rPr>
          <w:rFonts w:ascii="Palatino Linotype" w:hAnsi="Palatino Linotype"/>
        </w:rPr>
        <w:t>,</w:t>
      </w:r>
      <w:r w:rsidR="00CB4DCB" w:rsidRPr="000E7E03">
        <w:rPr>
          <w:rFonts w:ascii="Palatino Linotype" w:hAnsi="Palatino Linotype"/>
        </w:rPr>
        <w:t xml:space="preserve"> Columbia filed an Application for Approval of an Adjustment to its Uncollectible Expense Rider </w:t>
      </w:r>
      <w:r w:rsidR="00C86467">
        <w:rPr>
          <w:rFonts w:ascii="Palatino Linotype" w:hAnsi="Palatino Linotype"/>
        </w:rPr>
        <w:t xml:space="preserve">in Case No. </w:t>
      </w:r>
      <w:r w:rsidR="00A94667">
        <w:rPr>
          <w:rFonts w:ascii="Palatino Linotype" w:hAnsi="Palatino Linotype"/>
        </w:rPr>
        <w:t>11</w:t>
      </w:r>
      <w:r w:rsidR="00C86467">
        <w:rPr>
          <w:rFonts w:ascii="Palatino Linotype" w:hAnsi="Palatino Linotype"/>
        </w:rPr>
        <w:t>-</w:t>
      </w:r>
      <w:r w:rsidR="00A94667">
        <w:rPr>
          <w:rFonts w:ascii="Palatino Linotype" w:hAnsi="Palatino Linotype"/>
        </w:rPr>
        <w:t>321</w:t>
      </w:r>
      <w:r w:rsidR="00C86467">
        <w:rPr>
          <w:rFonts w:ascii="Palatino Linotype" w:hAnsi="Palatino Linotype"/>
        </w:rPr>
        <w:t>-GA-UEX</w:t>
      </w:r>
      <w:r w:rsidR="00CB4DCB" w:rsidRPr="000E7E03">
        <w:rPr>
          <w:rFonts w:ascii="Palatino Linotype" w:hAnsi="Palatino Linotype"/>
        </w:rPr>
        <w:t xml:space="preserve">. This filing proposed the establishment of a revised Uncollectible Expense Rider rate of </w:t>
      </w:r>
      <w:r w:rsidR="00E862E9">
        <w:rPr>
          <w:rFonts w:ascii="Palatino Linotype" w:hAnsi="Palatino Linotype"/>
        </w:rPr>
        <w:t>(</w:t>
      </w:r>
      <w:r w:rsidR="00CB4DCB" w:rsidRPr="000E7E03">
        <w:rPr>
          <w:rFonts w:ascii="Palatino Linotype" w:hAnsi="Palatino Linotype"/>
        </w:rPr>
        <w:t>$</w:t>
      </w:r>
      <w:r w:rsidR="00A94667">
        <w:rPr>
          <w:rFonts w:ascii="Palatino Linotype" w:hAnsi="Palatino Linotype"/>
        </w:rPr>
        <w:t>0</w:t>
      </w:r>
      <w:r w:rsidR="00CB4DCB" w:rsidRPr="000E7E03">
        <w:rPr>
          <w:rFonts w:ascii="Palatino Linotype" w:hAnsi="Palatino Linotype"/>
        </w:rPr>
        <w:t>.</w:t>
      </w:r>
      <w:r w:rsidR="00A94667">
        <w:rPr>
          <w:rFonts w:ascii="Palatino Linotype" w:hAnsi="Palatino Linotype"/>
        </w:rPr>
        <w:t>0064</w:t>
      </w:r>
      <w:r w:rsidR="00E862E9">
        <w:rPr>
          <w:rFonts w:ascii="Palatino Linotype" w:hAnsi="Palatino Linotype"/>
        </w:rPr>
        <w:t>)</w:t>
      </w:r>
      <w:r w:rsidR="00CB4DCB" w:rsidRPr="000E7E03">
        <w:rPr>
          <w:rFonts w:ascii="Palatino Linotype" w:hAnsi="Palatino Linotype"/>
        </w:rPr>
        <w:t>/Mcf</w:t>
      </w:r>
      <w:r w:rsidR="00244CC4" w:rsidRPr="000E7E03">
        <w:rPr>
          <w:rFonts w:ascii="Palatino Linotype" w:hAnsi="Palatino Linotype"/>
        </w:rPr>
        <w:t>.</w:t>
      </w:r>
      <w:r w:rsidR="0030488B" w:rsidRPr="000E7E03">
        <w:rPr>
          <w:rFonts w:ascii="Palatino Linotype" w:hAnsi="Palatino Linotype"/>
        </w:rPr>
        <w:t xml:space="preserve"> </w:t>
      </w:r>
      <w:r w:rsidR="00CB4DCB" w:rsidRPr="000E7E03">
        <w:rPr>
          <w:rFonts w:ascii="Palatino Linotype" w:hAnsi="Palatino Linotype"/>
        </w:rPr>
        <w:t xml:space="preserve">By </w:t>
      </w:r>
      <w:r w:rsidR="00E9158E" w:rsidRPr="000E7E03">
        <w:rPr>
          <w:rFonts w:ascii="Palatino Linotype" w:hAnsi="Palatino Linotype"/>
        </w:rPr>
        <w:t>Finding and Order</w:t>
      </w:r>
      <w:r w:rsidR="00CB4DCB" w:rsidRPr="000E7E03">
        <w:rPr>
          <w:rFonts w:ascii="Palatino Linotype" w:hAnsi="Palatino Linotype"/>
        </w:rPr>
        <w:t xml:space="preserve"> dated </w:t>
      </w:r>
      <w:r w:rsidR="00752424" w:rsidRPr="000942C8">
        <w:rPr>
          <w:rFonts w:ascii="Palatino Linotype" w:hAnsi="Palatino Linotype"/>
        </w:rPr>
        <w:t>June 22</w:t>
      </w:r>
      <w:r w:rsidR="00071A5C" w:rsidRPr="00562D24">
        <w:rPr>
          <w:rFonts w:ascii="Palatino Linotype" w:hAnsi="Palatino Linotype"/>
        </w:rPr>
        <w:t>,</w:t>
      </w:r>
      <w:r w:rsidR="00CB4DCB" w:rsidRPr="00562D24">
        <w:rPr>
          <w:rFonts w:ascii="Palatino Linotype" w:hAnsi="Palatino Linotype"/>
        </w:rPr>
        <w:t xml:space="preserve"> 20</w:t>
      </w:r>
      <w:r w:rsidR="00F04256" w:rsidRPr="00562D24">
        <w:rPr>
          <w:rFonts w:ascii="Palatino Linotype" w:hAnsi="Palatino Linotype"/>
        </w:rPr>
        <w:t>1</w:t>
      </w:r>
      <w:r w:rsidR="00752424" w:rsidRPr="00562D24">
        <w:rPr>
          <w:rFonts w:ascii="Palatino Linotype" w:hAnsi="Palatino Linotype"/>
        </w:rPr>
        <w:t>1</w:t>
      </w:r>
      <w:r w:rsidR="0086187E" w:rsidRPr="000E7E03">
        <w:rPr>
          <w:rFonts w:ascii="Palatino Linotype" w:hAnsi="Palatino Linotype"/>
        </w:rPr>
        <w:t>,</w:t>
      </w:r>
      <w:r w:rsidR="00CB4DCB" w:rsidRPr="000E7E03">
        <w:rPr>
          <w:rFonts w:ascii="Palatino Linotype" w:hAnsi="Palatino Linotype"/>
        </w:rPr>
        <w:t xml:space="preserve"> in Case No. </w:t>
      </w:r>
      <w:r w:rsidR="00752424">
        <w:rPr>
          <w:rFonts w:ascii="Palatino Linotype" w:hAnsi="Palatino Linotype"/>
        </w:rPr>
        <w:t>11-321</w:t>
      </w:r>
      <w:r w:rsidR="00CB4DCB" w:rsidRPr="000E7E03">
        <w:rPr>
          <w:rFonts w:ascii="Palatino Linotype" w:hAnsi="Palatino Linotype"/>
        </w:rPr>
        <w:t>-GA-UEX, the Commission approved the application and the revised Uncollect</w:t>
      </w:r>
      <w:r w:rsidR="00CB4DCB" w:rsidRPr="000E7E03">
        <w:rPr>
          <w:rFonts w:ascii="Palatino Linotype" w:hAnsi="Palatino Linotype"/>
        </w:rPr>
        <w:t>i</w:t>
      </w:r>
      <w:r w:rsidR="00CB4DCB" w:rsidRPr="000E7E03">
        <w:rPr>
          <w:rFonts w:ascii="Palatino Linotype" w:hAnsi="Palatino Linotype"/>
        </w:rPr>
        <w:t>ble Expense Rider rate.</w:t>
      </w:r>
    </w:p>
    <w:p w:rsidR="00250123" w:rsidRPr="000E7E03" w:rsidRDefault="00250123" w:rsidP="000E7E03">
      <w:pPr>
        <w:pStyle w:val="BodyTextIndent2"/>
        <w:spacing w:line="320" w:lineRule="exact"/>
        <w:rPr>
          <w:rFonts w:ascii="Palatino Linotype" w:hAnsi="Palatino Linotype"/>
        </w:rPr>
      </w:pPr>
    </w:p>
    <w:p w:rsidR="00CB4DCB" w:rsidRDefault="008147B6" w:rsidP="000E7E03">
      <w:pPr>
        <w:pStyle w:val="BodyTextIndent2"/>
        <w:spacing w:line="320" w:lineRule="exact"/>
        <w:ind w:firstLine="0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ab/>
      </w:r>
      <w:r w:rsidR="009116A3">
        <w:rPr>
          <w:rFonts w:ascii="Palatino Linotype" w:hAnsi="Palatino Linotype"/>
        </w:rPr>
        <w:t xml:space="preserve">5. </w:t>
      </w:r>
      <w:r w:rsidR="00CB4DCB" w:rsidRPr="000E7E03">
        <w:rPr>
          <w:rFonts w:ascii="Palatino Linotype" w:hAnsi="Palatino Linotype"/>
        </w:rPr>
        <w:t xml:space="preserve">Attachment 2 hereto shows that a </w:t>
      </w:r>
      <w:r w:rsidR="00BB28EA">
        <w:rPr>
          <w:rFonts w:ascii="Palatino Linotype" w:hAnsi="Palatino Linotype"/>
        </w:rPr>
        <w:t xml:space="preserve">further decrease </w:t>
      </w:r>
      <w:r w:rsidR="00CB4DCB" w:rsidRPr="000E7E03">
        <w:rPr>
          <w:rFonts w:ascii="Palatino Linotype" w:hAnsi="Palatino Linotype"/>
        </w:rPr>
        <w:t>o</w:t>
      </w:r>
      <w:r w:rsidR="00991B08" w:rsidRPr="000E7E03">
        <w:rPr>
          <w:rFonts w:ascii="Palatino Linotype" w:hAnsi="Palatino Linotype"/>
        </w:rPr>
        <w:t xml:space="preserve">f </w:t>
      </w:r>
      <w:r w:rsidR="000A1AFE">
        <w:rPr>
          <w:rFonts w:ascii="Palatino Linotype" w:hAnsi="Palatino Linotype"/>
        </w:rPr>
        <w:t>$0.</w:t>
      </w:r>
      <w:r w:rsidR="00BB28EA">
        <w:rPr>
          <w:rFonts w:ascii="Palatino Linotype" w:hAnsi="Palatino Linotype"/>
        </w:rPr>
        <w:t>0152</w:t>
      </w:r>
      <w:r w:rsidR="00CB4DCB" w:rsidRPr="000E7E03">
        <w:rPr>
          <w:rFonts w:ascii="Palatino Linotype" w:hAnsi="Palatino Linotype"/>
        </w:rPr>
        <w:t>/Mcf in C</w:t>
      </w:r>
      <w:r w:rsidR="00CB4DCB" w:rsidRPr="000E7E03">
        <w:rPr>
          <w:rFonts w:ascii="Palatino Linotype" w:hAnsi="Palatino Linotype"/>
        </w:rPr>
        <w:t>o</w:t>
      </w:r>
      <w:r w:rsidR="00CB4DCB" w:rsidRPr="000E7E03">
        <w:rPr>
          <w:rFonts w:ascii="Palatino Linotype" w:hAnsi="Palatino Linotype"/>
        </w:rPr>
        <w:t>lumbia’s current Uncollectible Expe</w:t>
      </w:r>
      <w:r w:rsidR="006C1DB4" w:rsidRPr="000E7E03">
        <w:rPr>
          <w:rFonts w:ascii="Palatino Linotype" w:hAnsi="Palatino Linotype"/>
        </w:rPr>
        <w:t>nse Rider is required to pass back prior per</w:t>
      </w:r>
      <w:r w:rsidR="006C1DB4" w:rsidRPr="000E7E03">
        <w:rPr>
          <w:rFonts w:ascii="Palatino Linotype" w:hAnsi="Palatino Linotype"/>
        </w:rPr>
        <w:t>i</w:t>
      </w:r>
      <w:r w:rsidR="006C1DB4" w:rsidRPr="000E7E03">
        <w:rPr>
          <w:rFonts w:ascii="Palatino Linotype" w:hAnsi="Palatino Linotype"/>
        </w:rPr>
        <w:t>od ove</w:t>
      </w:r>
      <w:r w:rsidR="00CB4DCB" w:rsidRPr="000E7E03">
        <w:rPr>
          <w:rFonts w:ascii="Palatino Linotype" w:hAnsi="Palatino Linotype"/>
        </w:rPr>
        <w:t>r-collections. This adjustmen</w:t>
      </w:r>
      <w:r w:rsidR="00747777" w:rsidRPr="000E7E03">
        <w:rPr>
          <w:rFonts w:ascii="Palatino Linotype" w:hAnsi="Palatino Linotype"/>
        </w:rPr>
        <w:t xml:space="preserve">t is based on </w:t>
      </w:r>
      <w:r w:rsidR="007F777A">
        <w:rPr>
          <w:rFonts w:ascii="Palatino Linotype" w:hAnsi="Palatino Linotype"/>
        </w:rPr>
        <w:t xml:space="preserve">a </w:t>
      </w:r>
      <w:r w:rsidR="00465926">
        <w:rPr>
          <w:rFonts w:ascii="Palatino Linotype" w:hAnsi="Palatino Linotype"/>
        </w:rPr>
        <w:t xml:space="preserve">negative </w:t>
      </w:r>
      <w:r w:rsidR="007F777A">
        <w:rPr>
          <w:rFonts w:ascii="Palatino Linotype" w:hAnsi="Palatino Linotype"/>
        </w:rPr>
        <w:t>projected</w:t>
      </w:r>
      <w:r w:rsidR="00CB4DCB" w:rsidRPr="000E7E03">
        <w:rPr>
          <w:rFonts w:ascii="Palatino Linotype" w:hAnsi="Palatino Linotype"/>
        </w:rPr>
        <w:t xml:space="preserve"> balance </w:t>
      </w:r>
      <w:r w:rsidR="00CB4DCB" w:rsidRPr="00562D24">
        <w:rPr>
          <w:rFonts w:ascii="Palatino Linotype" w:hAnsi="Palatino Linotype"/>
        </w:rPr>
        <w:t xml:space="preserve">of </w:t>
      </w:r>
      <w:r w:rsidR="000A1AFE" w:rsidRPr="00562D24">
        <w:rPr>
          <w:rFonts w:ascii="Palatino Linotype" w:hAnsi="Palatino Linotype"/>
        </w:rPr>
        <w:t xml:space="preserve">$3,736,385 </w:t>
      </w:r>
      <w:r w:rsidR="00CB4DCB" w:rsidRPr="00562D24">
        <w:rPr>
          <w:rFonts w:ascii="Palatino Linotype" w:hAnsi="Palatino Linotype"/>
        </w:rPr>
        <w:t>at Ma</w:t>
      </w:r>
      <w:r w:rsidR="004F1CBF" w:rsidRPr="00562D24">
        <w:rPr>
          <w:rFonts w:ascii="Palatino Linotype" w:hAnsi="Palatino Linotype"/>
        </w:rPr>
        <w:t>y</w:t>
      </w:r>
      <w:r w:rsidR="00CB4DCB" w:rsidRPr="00562D24">
        <w:rPr>
          <w:rFonts w:ascii="Palatino Linotype" w:hAnsi="Palatino Linotype"/>
        </w:rPr>
        <w:t xml:space="preserve"> 31, 20</w:t>
      </w:r>
      <w:r w:rsidR="00244CC4" w:rsidRPr="00562D24">
        <w:rPr>
          <w:rFonts w:ascii="Palatino Linotype" w:hAnsi="Palatino Linotype"/>
        </w:rPr>
        <w:t>1</w:t>
      </w:r>
      <w:r w:rsidR="00752424" w:rsidRPr="00562D24">
        <w:rPr>
          <w:rFonts w:ascii="Palatino Linotype" w:hAnsi="Palatino Linotype"/>
        </w:rPr>
        <w:t>2</w:t>
      </w:r>
      <w:r w:rsidR="00303063" w:rsidRPr="00562D24">
        <w:rPr>
          <w:rFonts w:ascii="Palatino Linotype" w:hAnsi="Palatino Linotype"/>
        </w:rPr>
        <w:t>.</w:t>
      </w:r>
      <w:r w:rsidR="0030488B" w:rsidRPr="00562D24">
        <w:rPr>
          <w:rFonts w:ascii="Palatino Linotype" w:hAnsi="Palatino Linotype"/>
        </w:rPr>
        <w:t xml:space="preserve"> </w:t>
      </w:r>
      <w:r w:rsidR="00BB28EA">
        <w:rPr>
          <w:rFonts w:ascii="Palatino Linotype" w:hAnsi="Palatino Linotype"/>
        </w:rPr>
        <w:t xml:space="preserve">The implementation of this adjustment results in a revised Uncollectible Expense Rider of ($0.0216) per Mcf. </w:t>
      </w:r>
      <w:r w:rsidR="00CB4DCB" w:rsidRPr="000942C8">
        <w:rPr>
          <w:rFonts w:ascii="Palatino Linotype" w:hAnsi="Palatino Linotype"/>
        </w:rPr>
        <w:t>Columbia has also pr</w:t>
      </w:r>
      <w:r w:rsidR="00CB4DCB" w:rsidRPr="000942C8">
        <w:rPr>
          <w:rFonts w:ascii="Palatino Linotype" w:hAnsi="Palatino Linotype"/>
        </w:rPr>
        <w:t>e</w:t>
      </w:r>
      <w:r w:rsidR="00CB4DCB" w:rsidRPr="000942C8">
        <w:rPr>
          <w:rFonts w:ascii="Palatino Linotype" w:hAnsi="Palatino Linotype"/>
        </w:rPr>
        <w:t>pared another schedule, attached hereto as Attachment 3, in which Columbia projects uncollectible expenses and recoveries for the twelve-mont</w:t>
      </w:r>
      <w:r w:rsidR="00991B08" w:rsidRPr="000942C8">
        <w:rPr>
          <w:rFonts w:ascii="Palatino Linotype" w:hAnsi="Palatino Linotype"/>
        </w:rPr>
        <w:t>h period en</w:t>
      </w:r>
      <w:r w:rsidR="00991B08" w:rsidRPr="000942C8">
        <w:rPr>
          <w:rFonts w:ascii="Palatino Linotype" w:hAnsi="Palatino Linotype"/>
        </w:rPr>
        <w:t>d</w:t>
      </w:r>
      <w:r w:rsidR="00991B08" w:rsidRPr="000942C8">
        <w:rPr>
          <w:rFonts w:ascii="Palatino Linotype" w:hAnsi="Palatino Linotype"/>
        </w:rPr>
        <w:t>ing Ma</w:t>
      </w:r>
      <w:r w:rsidR="004F1CBF" w:rsidRPr="000942C8">
        <w:rPr>
          <w:rFonts w:ascii="Palatino Linotype" w:hAnsi="Palatino Linotype"/>
        </w:rPr>
        <w:t>y</w:t>
      </w:r>
      <w:r w:rsidR="00991B08" w:rsidRPr="000942C8">
        <w:rPr>
          <w:rFonts w:ascii="Palatino Linotype" w:hAnsi="Palatino Linotype"/>
        </w:rPr>
        <w:t xml:space="preserve"> 31, </w:t>
      </w:r>
      <w:r w:rsidR="00752424" w:rsidRPr="000942C8">
        <w:rPr>
          <w:rFonts w:ascii="Palatino Linotype" w:hAnsi="Palatino Linotype"/>
        </w:rPr>
        <w:t>2013</w:t>
      </w:r>
      <w:r w:rsidR="00CB4DCB" w:rsidRPr="000942C8">
        <w:rPr>
          <w:rFonts w:ascii="Palatino Linotype" w:hAnsi="Palatino Linotype"/>
        </w:rPr>
        <w:t xml:space="preserve">. </w:t>
      </w:r>
      <w:r w:rsidR="00303063" w:rsidRPr="000942C8">
        <w:rPr>
          <w:rFonts w:ascii="Palatino Linotype" w:hAnsi="Palatino Linotype"/>
        </w:rPr>
        <w:t xml:space="preserve">This period was selected since it is anticipated to be the initial twelve month period the new Uncollectible Expense Rider will be in effect. </w:t>
      </w:r>
      <w:r w:rsidR="00CB4DCB" w:rsidRPr="000942C8">
        <w:rPr>
          <w:rFonts w:ascii="Palatino Linotype" w:hAnsi="Palatino Linotype"/>
        </w:rPr>
        <w:t>A</w:t>
      </w:r>
      <w:r w:rsidR="00CB4DCB" w:rsidRPr="000942C8">
        <w:rPr>
          <w:rFonts w:ascii="Palatino Linotype" w:hAnsi="Palatino Linotype"/>
        </w:rPr>
        <w:t>t</w:t>
      </w:r>
      <w:r w:rsidR="00CB4DCB" w:rsidRPr="000942C8">
        <w:rPr>
          <w:rFonts w:ascii="Palatino Linotype" w:hAnsi="Palatino Linotype"/>
        </w:rPr>
        <w:t>tachment 3 shows that absent further adjustment, Columbia</w:t>
      </w:r>
      <w:r w:rsidR="00747777" w:rsidRPr="000942C8">
        <w:rPr>
          <w:rFonts w:ascii="Palatino Linotype" w:hAnsi="Palatino Linotype"/>
        </w:rPr>
        <w:t xml:space="preserve"> will experience an</w:t>
      </w:r>
      <w:r w:rsidR="00A62411" w:rsidRPr="000942C8">
        <w:rPr>
          <w:rFonts w:ascii="Palatino Linotype" w:hAnsi="Palatino Linotype"/>
        </w:rPr>
        <w:t xml:space="preserve"> </w:t>
      </w:r>
      <w:r w:rsidR="00CB4DCB" w:rsidRPr="000942C8">
        <w:rPr>
          <w:rFonts w:ascii="Palatino Linotype" w:hAnsi="Palatino Linotype"/>
        </w:rPr>
        <w:t xml:space="preserve"> </w:t>
      </w:r>
      <w:r w:rsidR="00562D24" w:rsidRPr="000942C8">
        <w:rPr>
          <w:rFonts w:ascii="Palatino Linotype" w:hAnsi="Palatino Linotype"/>
        </w:rPr>
        <w:t>under</w:t>
      </w:r>
      <w:r w:rsidR="00CB4DCB" w:rsidRPr="00562D24">
        <w:rPr>
          <w:rFonts w:ascii="Palatino Linotype" w:hAnsi="Palatino Linotype"/>
        </w:rPr>
        <w:t xml:space="preserve">-collection of </w:t>
      </w:r>
      <w:r w:rsidR="00562D24" w:rsidRPr="000942C8">
        <w:rPr>
          <w:rFonts w:ascii="Palatino Linotype" w:hAnsi="Palatino Linotype"/>
        </w:rPr>
        <w:t xml:space="preserve">$13,508,213 </w:t>
      </w:r>
      <w:r w:rsidR="00CB4DCB" w:rsidRPr="00562D24">
        <w:rPr>
          <w:rFonts w:ascii="Palatino Linotype" w:hAnsi="Palatino Linotype"/>
        </w:rPr>
        <w:t>during the tw</w:t>
      </w:r>
      <w:r w:rsidR="00991B08" w:rsidRPr="00562D24">
        <w:rPr>
          <w:rFonts w:ascii="Palatino Linotype" w:hAnsi="Palatino Linotype"/>
        </w:rPr>
        <w:t>elve months ending Ma</w:t>
      </w:r>
      <w:r w:rsidR="004F1CBF" w:rsidRPr="00562D24">
        <w:rPr>
          <w:rFonts w:ascii="Palatino Linotype" w:hAnsi="Palatino Linotype"/>
        </w:rPr>
        <w:t>y</w:t>
      </w:r>
      <w:r w:rsidR="00991B08" w:rsidRPr="00562D24">
        <w:rPr>
          <w:rFonts w:ascii="Palatino Linotype" w:hAnsi="Palatino Linotype"/>
        </w:rPr>
        <w:t xml:space="preserve"> 31, 201</w:t>
      </w:r>
      <w:r w:rsidR="00752424" w:rsidRPr="000942C8">
        <w:rPr>
          <w:rFonts w:ascii="Palatino Linotype" w:hAnsi="Palatino Linotype"/>
        </w:rPr>
        <w:t>3</w:t>
      </w:r>
      <w:r w:rsidR="00CB4DCB" w:rsidRPr="00562D24">
        <w:rPr>
          <w:rFonts w:ascii="Palatino Linotype" w:hAnsi="Palatino Linotype"/>
        </w:rPr>
        <w:t>. To attempt to preven</w:t>
      </w:r>
      <w:r w:rsidR="00747777" w:rsidRPr="00562D24">
        <w:rPr>
          <w:rFonts w:ascii="Palatino Linotype" w:hAnsi="Palatino Linotype"/>
        </w:rPr>
        <w:t>t this</w:t>
      </w:r>
      <w:r w:rsidR="00CB4DCB" w:rsidRPr="00562D24">
        <w:rPr>
          <w:rFonts w:ascii="Palatino Linotype" w:hAnsi="Palatino Linotype"/>
        </w:rPr>
        <w:t xml:space="preserve"> </w:t>
      </w:r>
      <w:r w:rsidR="00562D24" w:rsidRPr="000942C8">
        <w:rPr>
          <w:rFonts w:ascii="Palatino Linotype" w:hAnsi="Palatino Linotype"/>
        </w:rPr>
        <w:t>under</w:t>
      </w:r>
      <w:r w:rsidR="00CB4DCB" w:rsidRPr="00562D24">
        <w:rPr>
          <w:rFonts w:ascii="Palatino Linotype" w:hAnsi="Palatino Linotype"/>
        </w:rPr>
        <w:t>-collection during the next reporting period</w:t>
      </w:r>
      <w:r w:rsidR="005C7C1C">
        <w:rPr>
          <w:rFonts w:ascii="Palatino Linotype" w:hAnsi="Palatino Linotype"/>
        </w:rPr>
        <w:t xml:space="preserve"> and to pass back the prior period over-collection</w:t>
      </w:r>
      <w:r w:rsidR="00CB4DCB" w:rsidRPr="00562D24">
        <w:rPr>
          <w:rFonts w:ascii="Palatino Linotype" w:hAnsi="Palatino Linotype"/>
        </w:rPr>
        <w:t xml:space="preserve">, Columbia’s current Uncollectible Expense Rider would need to be </w:t>
      </w:r>
      <w:r w:rsidR="00562D24" w:rsidRPr="00562D24">
        <w:rPr>
          <w:rFonts w:ascii="Palatino Linotype" w:hAnsi="Palatino Linotype"/>
        </w:rPr>
        <w:t>increased</w:t>
      </w:r>
      <w:r w:rsidR="00BB28EA">
        <w:rPr>
          <w:rFonts w:ascii="Palatino Linotype" w:hAnsi="Palatino Linotype"/>
        </w:rPr>
        <w:t xml:space="preserve"> by</w:t>
      </w:r>
      <w:r w:rsidR="00562D24" w:rsidRPr="00562D24">
        <w:rPr>
          <w:rFonts w:ascii="Palatino Linotype" w:hAnsi="Palatino Linotype"/>
        </w:rPr>
        <w:t xml:space="preserve"> </w:t>
      </w:r>
      <w:r w:rsidR="00562D24" w:rsidRPr="000942C8">
        <w:rPr>
          <w:rFonts w:ascii="Palatino Linotype" w:hAnsi="Palatino Linotype"/>
        </w:rPr>
        <w:t>$</w:t>
      </w:r>
      <w:r w:rsidR="00BB28EA">
        <w:rPr>
          <w:rFonts w:ascii="Palatino Linotype" w:hAnsi="Palatino Linotype"/>
        </w:rPr>
        <w:t>0.0845</w:t>
      </w:r>
      <w:r w:rsidR="00562D24" w:rsidRPr="000942C8">
        <w:rPr>
          <w:rFonts w:ascii="Palatino Linotype" w:hAnsi="Palatino Linotype"/>
        </w:rPr>
        <w:t xml:space="preserve"> per Mcf</w:t>
      </w:r>
      <w:r w:rsidR="00BB28EA">
        <w:rPr>
          <w:rFonts w:ascii="Palatino Linotype" w:hAnsi="Palatino Linotype"/>
        </w:rPr>
        <w:t>. This change is necessary since it results in an increase greater than 10 percent. The imple</w:t>
      </w:r>
      <w:r w:rsidR="0017032E">
        <w:rPr>
          <w:rFonts w:ascii="Palatino Linotype" w:hAnsi="Palatino Linotype"/>
        </w:rPr>
        <w:t>me</w:t>
      </w:r>
      <w:r w:rsidR="00BB28EA">
        <w:rPr>
          <w:rFonts w:ascii="Palatino Linotype" w:hAnsi="Palatino Linotype"/>
        </w:rPr>
        <w:t>nt</w:t>
      </w:r>
      <w:r w:rsidR="00BB28EA">
        <w:rPr>
          <w:rFonts w:ascii="Palatino Linotype" w:hAnsi="Palatino Linotype"/>
        </w:rPr>
        <w:t>a</w:t>
      </w:r>
      <w:r w:rsidR="00BB28EA">
        <w:rPr>
          <w:rFonts w:ascii="Palatino Linotype" w:hAnsi="Palatino Linotype"/>
        </w:rPr>
        <w:t>tion of this adjustment would result in a rate of $0.0781 per Mcf.</w:t>
      </w:r>
    </w:p>
    <w:p w:rsidR="003E28A5" w:rsidRPr="000E7E03" w:rsidRDefault="003E28A5" w:rsidP="000E7E03">
      <w:pPr>
        <w:pStyle w:val="BodyTextIndent2"/>
        <w:spacing w:line="320" w:lineRule="exact"/>
        <w:ind w:firstLine="0"/>
        <w:rPr>
          <w:rFonts w:ascii="Palatino Linotype" w:hAnsi="Palatino Linotype"/>
        </w:rPr>
      </w:pPr>
    </w:p>
    <w:p w:rsidR="00CB4DCB" w:rsidRDefault="009116A3" w:rsidP="000E7E03">
      <w:pPr>
        <w:spacing w:line="320" w:lineRule="exact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smartTag w:uri="urn:schemas-microsoft-com:office:smarttags" w:element="City">
        <w:smartTag w:uri="urn:schemas-microsoft-com:office:smarttags" w:element="place">
          <w:r w:rsidR="00CB4DCB" w:rsidRPr="000E7E03">
            <w:rPr>
              <w:rFonts w:ascii="Palatino Linotype" w:hAnsi="Palatino Linotype"/>
            </w:rPr>
            <w:t>Columbia</w:t>
          </w:r>
        </w:smartTag>
      </w:smartTag>
      <w:r w:rsidR="00CB4DCB" w:rsidRPr="000E7E03">
        <w:rPr>
          <w:rFonts w:ascii="Palatino Linotype" w:hAnsi="Palatino Linotype"/>
        </w:rPr>
        <w:t xml:space="preserve"> believes that it is reasonable to consider the prospective a</w:t>
      </w:r>
      <w:r w:rsidR="00CB4DCB" w:rsidRPr="000E7E03">
        <w:rPr>
          <w:rFonts w:ascii="Palatino Linotype" w:hAnsi="Palatino Linotype"/>
        </w:rPr>
        <w:t>p</w:t>
      </w:r>
      <w:r w:rsidR="00CB4DCB" w:rsidRPr="000E7E03">
        <w:rPr>
          <w:rFonts w:ascii="Palatino Linotype" w:hAnsi="Palatino Linotype"/>
        </w:rPr>
        <w:t>plication of the Uncollectible Expense Rider in the development of the appropr</w:t>
      </w:r>
      <w:r w:rsidR="00CB4DCB" w:rsidRPr="000E7E03">
        <w:rPr>
          <w:rFonts w:ascii="Palatino Linotype" w:hAnsi="Palatino Linotype"/>
        </w:rPr>
        <w:t>i</w:t>
      </w:r>
      <w:r w:rsidR="00CB4DCB" w:rsidRPr="000E7E03">
        <w:rPr>
          <w:rFonts w:ascii="Palatino Linotype" w:hAnsi="Palatino Linotype"/>
        </w:rPr>
        <w:t xml:space="preserve">ate Uncollectible Expense Rider rate </w:t>
      </w:r>
      <w:r w:rsidR="00C86467">
        <w:rPr>
          <w:rFonts w:ascii="Palatino Linotype" w:hAnsi="Palatino Linotype"/>
        </w:rPr>
        <w:t>because</w:t>
      </w:r>
      <w:r w:rsidR="00CB4DCB" w:rsidRPr="000E7E03">
        <w:rPr>
          <w:rFonts w:ascii="Palatino Linotype" w:hAnsi="Palatino Linotype"/>
        </w:rPr>
        <w:t xml:space="preserve"> it better matches expenses with r</w:t>
      </w:r>
      <w:r w:rsidR="00CB4DCB" w:rsidRPr="000E7E03">
        <w:rPr>
          <w:rFonts w:ascii="Palatino Linotype" w:hAnsi="Palatino Linotype"/>
        </w:rPr>
        <w:t>e</w:t>
      </w:r>
      <w:r w:rsidR="00CB4DCB" w:rsidRPr="000E7E03">
        <w:rPr>
          <w:rFonts w:ascii="Palatino Linotype" w:hAnsi="Palatino Linotype"/>
        </w:rPr>
        <w:t>coveries. The computation of the Uncollectible Expense Rider rate based on the collection year</w:t>
      </w:r>
      <w:r w:rsidR="008147B6" w:rsidRPr="000E7E03">
        <w:rPr>
          <w:rFonts w:ascii="Palatino Linotype" w:hAnsi="Palatino Linotype"/>
        </w:rPr>
        <w:t>:</w:t>
      </w:r>
      <w:r w:rsidR="00CB4DCB" w:rsidRPr="000E7E03">
        <w:rPr>
          <w:rFonts w:ascii="Palatino Linotype" w:hAnsi="Palatino Linotype"/>
        </w:rPr>
        <w:t xml:space="preserve"> (1) properly matches recoveries with expenses; (2) is consistent with the method approved by Commission in Case No. </w:t>
      </w:r>
      <w:r w:rsidR="00752424">
        <w:rPr>
          <w:rFonts w:ascii="Palatino Linotype" w:hAnsi="Palatino Linotype"/>
        </w:rPr>
        <w:t>11-321</w:t>
      </w:r>
      <w:r w:rsidR="00CB4DCB" w:rsidRPr="000E7E03">
        <w:rPr>
          <w:rFonts w:ascii="Palatino Linotype" w:hAnsi="Palatino Linotype"/>
        </w:rPr>
        <w:t>-GA-UEX for d</w:t>
      </w:r>
      <w:r w:rsidR="00CB4DCB" w:rsidRPr="000E7E03">
        <w:rPr>
          <w:rFonts w:ascii="Palatino Linotype" w:hAnsi="Palatino Linotype"/>
        </w:rPr>
        <w:t>e</w:t>
      </w:r>
      <w:r w:rsidR="00CB4DCB" w:rsidRPr="000E7E03">
        <w:rPr>
          <w:rFonts w:ascii="Palatino Linotype" w:hAnsi="Palatino Linotype"/>
        </w:rPr>
        <w:t>termination of Columbia’s current Uncollectible Expense Tracker rate; and, (3) in the aggregate cannot result in over-collection of costs due to the annual true-up program requirements.</w:t>
      </w:r>
      <w:r w:rsidR="0030488B" w:rsidRPr="000E7E03">
        <w:rPr>
          <w:rFonts w:ascii="Palatino Linotype" w:hAnsi="Palatino Linotype"/>
        </w:rPr>
        <w:t xml:space="preserve"> </w:t>
      </w:r>
      <w:r w:rsidR="00CB4DCB" w:rsidRPr="000E7E03">
        <w:rPr>
          <w:rFonts w:ascii="Palatino Linotype" w:hAnsi="Palatino Linotype"/>
        </w:rPr>
        <w:t xml:space="preserve">For this reason, Columbia therefore proposes to </w:t>
      </w:r>
      <w:r w:rsidR="00BB28EA">
        <w:rPr>
          <w:rFonts w:ascii="Palatino Linotype" w:hAnsi="Palatino Linotype"/>
        </w:rPr>
        <w:t>in</w:t>
      </w:r>
      <w:r w:rsidR="00BB28EA" w:rsidRPr="000E7E03">
        <w:rPr>
          <w:rFonts w:ascii="Palatino Linotype" w:hAnsi="Palatino Linotype"/>
        </w:rPr>
        <w:t xml:space="preserve">crease </w:t>
      </w:r>
      <w:r w:rsidR="00CB4DCB" w:rsidRPr="000E7E03">
        <w:rPr>
          <w:rFonts w:ascii="Palatino Linotype" w:hAnsi="Palatino Linotype"/>
        </w:rPr>
        <w:t xml:space="preserve">its Uncollectible Expense Rider rate from </w:t>
      </w:r>
      <w:r w:rsidR="00562D24" w:rsidRPr="00562D24">
        <w:rPr>
          <w:rFonts w:ascii="Palatino Linotype" w:hAnsi="Palatino Linotype"/>
        </w:rPr>
        <w:t>(</w:t>
      </w:r>
      <w:r w:rsidR="00CB4DCB" w:rsidRPr="00562D24">
        <w:rPr>
          <w:rFonts w:ascii="Palatino Linotype" w:hAnsi="Palatino Linotype"/>
        </w:rPr>
        <w:t>$</w:t>
      </w:r>
      <w:r w:rsidR="00562D24" w:rsidRPr="000942C8">
        <w:rPr>
          <w:rFonts w:ascii="Palatino Linotype" w:hAnsi="Palatino Linotype"/>
        </w:rPr>
        <w:t>0.0064)</w:t>
      </w:r>
      <w:r w:rsidR="00071A5C" w:rsidRPr="00562D24">
        <w:rPr>
          <w:rFonts w:ascii="Palatino Linotype" w:hAnsi="Palatino Linotype"/>
        </w:rPr>
        <w:t>/M</w:t>
      </w:r>
      <w:r w:rsidR="00CB4DCB" w:rsidRPr="00562D24">
        <w:rPr>
          <w:rFonts w:ascii="Palatino Linotype" w:hAnsi="Palatino Linotype"/>
        </w:rPr>
        <w:t xml:space="preserve">cf to </w:t>
      </w:r>
      <w:r w:rsidR="00562D24" w:rsidRPr="000942C8">
        <w:rPr>
          <w:rFonts w:ascii="Palatino Linotype" w:hAnsi="Palatino Linotype"/>
        </w:rPr>
        <w:t>$0.0781</w:t>
      </w:r>
      <w:r w:rsidR="00CB4DCB" w:rsidRPr="00562D24">
        <w:rPr>
          <w:rFonts w:ascii="Palatino Linotype" w:hAnsi="Palatino Linotype"/>
        </w:rPr>
        <w:t xml:space="preserve">/Mcf. The rate </w:t>
      </w:r>
      <w:r w:rsidR="00CB4DCB" w:rsidRPr="00562D24">
        <w:rPr>
          <w:rFonts w:ascii="Palatino Linotype" w:hAnsi="Palatino Linotype"/>
        </w:rPr>
        <w:lastRenderedPageBreak/>
        <w:t xml:space="preserve">is comprised of: (1) Columbia’s </w:t>
      </w:r>
      <w:r w:rsidR="004F1CBF" w:rsidRPr="00562D24">
        <w:rPr>
          <w:rFonts w:ascii="Palatino Linotype" w:hAnsi="Palatino Linotype"/>
        </w:rPr>
        <w:t>projected</w:t>
      </w:r>
      <w:r w:rsidR="004F1CBF" w:rsidRPr="000E7E03">
        <w:rPr>
          <w:rFonts w:ascii="Palatino Linotype" w:hAnsi="Palatino Linotype"/>
        </w:rPr>
        <w:t xml:space="preserve"> </w:t>
      </w:r>
      <w:r w:rsidR="00CB4DCB" w:rsidRPr="000E7E03">
        <w:rPr>
          <w:rFonts w:ascii="Palatino Linotype" w:hAnsi="Palatino Linotype"/>
        </w:rPr>
        <w:t>deferred uncollectible expenses at Ma</w:t>
      </w:r>
      <w:r w:rsidR="004F1CBF" w:rsidRPr="000E7E03">
        <w:rPr>
          <w:rFonts w:ascii="Palatino Linotype" w:hAnsi="Palatino Linotype"/>
        </w:rPr>
        <w:t>y</w:t>
      </w:r>
      <w:r w:rsidR="00CB4DCB" w:rsidRPr="000E7E03">
        <w:rPr>
          <w:rFonts w:ascii="Palatino Linotype" w:hAnsi="Palatino Linotype"/>
        </w:rPr>
        <w:t xml:space="preserve"> 31, 20</w:t>
      </w:r>
      <w:r w:rsidR="006A379B" w:rsidRPr="000E7E03">
        <w:rPr>
          <w:rFonts w:ascii="Palatino Linotype" w:hAnsi="Palatino Linotype"/>
        </w:rPr>
        <w:t>1</w:t>
      </w:r>
      <w:r w:rsidR="00752424">
        <w:rPr>
          <w:rFonts w:ascii="Palatino Linotype" w:hAnsi="Palatino Linotype"/>
        </w:rPr>
        <w:t>2</w:t>
      </w:r>
      <w:r w:rsidR="00A62411" w:rsidRPr="000E7E03">
        <w:rPr>
          <w:rFonts w:ascii="Palatino Linotype" w:hAnsi="Palatino Linotype"/>
        </w:rPr>
        <w:t>; and</w:t>
      </w:r>
      <w:r w:rsidR="008147B6" w:rsidRPr="000E7E03">
        <w:rPr>
          <w:rFonts w:ascii="Palatino Linotype" w:hAnsi="Palatino Linotype"/>
        </w:rPr>
        <w:t>,</w:t>
      </w:r>
      <w:r w:rsidR="0030488B" w:rsidRPr="000E7E03">
        <w:rPr>
          <w:rFonts w:ascii="Palatino Linotype" w:hAnsi="Palatino Linotype"/>
        </w:rPr>
        <w:t xml:space="preserve"> </w:t>
      </w:r>
      <w:r w:rsidR="00CB4DCB" w:rsidRPr="000E7E03">
        <w:rPr>
          <w:rFonts w:ascii="Palatino Linotype" w:hAnsi="Palatino Linotype"/>
        </w:rPr>
        <w:t xml:space="preserve">(2) </w:t>
      </w:r>
      <w:r w:rsidR="00071A5C" w:rsidRPr="000E7E03">
        <w:rPr>
          <w:rFonts w:ascii="Palatino Linotype" w:hAnsi="Palatino Linotype"/>
        </w:rPr>
        <w:t xml:space="preserve">Columbia’s </w:t>
      </w:r>
      <w:r w:rsidR="00CB4DCB" w:rsidRPr="000E7E03">
        <w:rPr>
          <w:rFonts w:ascii="Palatino Linotype" w:hAnsi="Palatino Linotype"/>
        </w:rPr>
        <w:t>estimated uncollectible accounts expense for the twelve-m</w:t>
      </w:r>
      <w:r w:rsidR="002E61A9" w:rsidRPr="000E7E03">
        <w:rPr>
          <w:rFonts w:ascii="Palatino Linotype" w:hAnsi="Palatino Linotype"/>
        </w:rPr>
        <w:t>onth period ending Ma</w:t>
      </w:r>
      <w:r w:rsidR="004F1CBF" w:rsidRPr="000E7E03">
        <w:rPr>
          <w:rFonts w:ascii="Palatino Linotype" w:hAnsi="Palatino Linotype"/>
        </w:rPr>
        <w:t>y</w:t>
      </w:r>
      <w:r w:rsidR="002E61A9" w:rsidRPr="000E7E03">
        <w:rPr>
          <w:rFonts w:ascii="Palatino Linotype" w:hAnsi="Palatino Linotype"/>
        </w:rPr>
        <w:t xml:space="preserve"> 31, 201</w:t>
      </w:r>
      <w:r w:rsidR="00752424">
        <w:rPr>
          <w:rFonts w:ascii="Palatino Linotype" w:hAnsi="Palatino Linotype"/>
        </w:rPr>
        <w:t>3</w:t>
      </w:r>
      <w:r w:rsidR="006A379B" w:rsidRPr="000E7E03">
        <w:rPr>
          <w:rFonts w:ascii="Palatino Linotype" w:hAnsi="Palatino Linotype"/>
        </w:rPr>
        <w:t>.</w:t>
      </w:r>
      <w:r w:rsidR="00CB4DCB" w:rsidRPr="000E7E03">
        <w:rPr>
          <w:rFonts w:ascii="Palatino Linotype" w:hAnsi="Palatino Linotype"/>
        </w:rPr>
        <w:t xml:space="preserve"> The calculation of the proposed U</w:t>
      </w:r>
      <w:r w:rsidR="00CB4DCB" w:rsidRPr="000E7E03">
        <w:rPr>
          <w:rFonts w:ascii="Palatino Linotype" w:hAnsi="Palatino Linotype"/>
        </w:rPr>
        <w:t>n</w:t>
      </w:r>
      <w:r w:rsidR="00CB4DCB" w:rsidRPr="000E7E03">
        <w:rPr>
          <w:rFonts w:ascii="Palatino Linotype" w:hAnsi="Palatino Linotype"/>
        </w:rPr>
        <w:t>collectible Expense Rider rate is shown on Attachment </w:t>
      </w:r>
      <w:r w:rsidR="00071A5C" w:rsidRPr="000E7E03">
        <w:rPr>
          <w:rFonts w:ascii="Palatino Linotype" w:hAnsi="Palatino Linotype"/>
        </w:rPr>
        <w:t>4</w:t>
      </w:r>
      <w:r w:rsidR="00CB4DCB" w:rsidRPr="000E7E03">
        <w:rPr>
          <w:rFonts w:ascii="Palatino Linotype" w:hAnsi="Palatino Linotype"/>
        </w:rPr>
        <w:t>.</w:t>
      </w:r>
    </w:p>
    <w:p w:rsidR="003E28A5" w:rsidRPr="000E7E03" w:rsidRDefault="003E28A5" w:rsidP="000E7E03">
      <w:pPr>
        <w:spacing w:line="320" w:lineRule="exact"/>
        <w:ind w:firstLine="720"/>
        <w:jc w:val="both"/>
        <w:rPr>
          <w:rFonts w:ascii="Palatino Linotype" w:hAnsi="Palatino Linotype"/>
        </w:rPr>
      </w:pPr>
    </w:p>
    <w:p w:rsidR="00CB4DCB" w:rsidRDefault="009116A3" w:rsidP="000E7E03">
      <w:pPr>
        <w:pStyle w:val="BodyText"/>
        <w:spacing w:line="320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7. </w:t>
      </w:r>
      <w:r w:rsidR="00CB4DCB" w:rsidRPr="000E7E03">
        <w:rPr>
          <w:rFonts w:ascii="Palatino Linotype" w:hAnsi="Palatino Linotype"/>
        </w:rPr>
        <w:t xml:space="preserve">The resulting Uncollectible Expense Rider rate </w:t>
      </w:r>
      <w:r w:rsidR="00CB4DCB" w:rsidRPr="00562D24">
        <w:rPr>
          <w:rFonts w:ascii="Palatino Linotype" w:hAnsi="Palatino Linotype"/>
        </w:rPr>
        <w:t xml:space="preserve">of </w:t>
      </w:r>
      <w:r w:rsidR="00562D24">
        <w:rPr>
          <w:rFonts w:ascii="Palatino Linotype" w:hAnsi="Palatino Linotype"/>
        </w:rPr>
        <w:t>$0.0781</w:t>
      </w:r>
      <w:r w:rsidR="00CB4DCB" w:rsidRPr="000E7E03">
        <w:rPr>
          <w:rFonts w:ascii="Palatino Linotype" w:hAnsi="Palatino Linotype"/>
        </w:rPr>
        <w:t>/Mcf is just and reasonable and Columbia requests that the Commission expeditiously approve the proposed rate. Clean copies of the proposed tariff sheets and the scored cu</w:t>
      </w:r>
      <w:r w:rsidR="00CB4DCB" w:rsidRPr="000E7E03">
        <w:rPr>
          <w:rFonts w:ascii="Palatino Linotype" w:hAnsi="Palatino Linotype"/>
        </w:rPr>
        <w:t>r</w:t>
      </w:r>
      <w:r w:rsidR="00CB4DCB" w:rsidRPr="000E7E03">
        <w:rPr>
          <w:rFonts w:ascii="Palatino Linotype" w:hAnsi="Palatino Linotype"/>
        </w:rPr>
        <w:t xml:space="preserve">rent tariff sheets are attached hereto as Attachment </w:t>
      </w:r>
      <w:r w:rsidR="00071A5C" w:rsidRPr="000E7E03">
        <w:rPr>
          <w:rFonts w:ascii="Palatino Linotype" w:hAnsi="Palatino Linotype"/>
        </w:rPr>
        <w:t>5</w:t>
      </w:r>
      <w:r w:rsidR="00CB4DCB" w:rsidRPr="000E7E03">
        <w:rPr>
          <w:rFonts w:ascii="Palatino Linotype" w:hAnsi="Palatino Linotype"/>
        </w:rPr>
        <w:t>.</w:t>
      </w:r>
    </w:p>
    <w:p w:rsidR="003E28A5" w:rsidRPr="000E7E03" w:rsidRDefault="003E28A5" w:rsidP="000E7E03">
      <w:pPr>
        <w:pStyle w:val="BodyText"/>
        <w:spacing w:line="320" w:lineRule="exact"/>
        <w:rPr>
          <w:rFonts w:ascii="Palatino Linotype" w:hAnsi="Palatino Linotype"/>
        </w:rPr>
      </w:pPr>
    </w:p>
    <w:p w:rsidR="00CB4DCB" w:rsidRDefault="00CB4DCB" w:rsidP="000E7E03">
      <w:pPr>
        <w:pStyle w:val="BodyText"/>
        <w:spacing w:line="320" w:lineRule="exact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  <w:b/>
          <w:bCs/>
          <w:spacing w:val="-12"/>
        </w:rPr>
        <w:t>WHEREFORE</w:t>
      </w:r>
      <w:r w:rsidRPr="000E7E03">
        <w:rPr>
          <w:rFonts w:ascii="Palatino Linotype" w:hAnsi="Palatino Linotyp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E7E03">
            <w:rPr>
              <w:rFonts w:ascii="Palatino Linotype" w:hAnsi="Palatino Linotype"/>
            </w:rPr>
            <w:t>Columbia</w:t>
          </w:r>
        </w:smartTag>
      </w:smartTag>
      <w:r w:rsidRPr="000E7E03">
        <w:rPr>
          <w:rFonts w:ascii="Palatino Linotype" w:hAnsi="Palatino Linotype"/>
        </w:rPr>
        <w:t xml:space="preserve"> respectfully requests that the Commission a</w:t>
      </w:r>
      <w:r w:rsidRPr="000E7E03">
        <w:rPr>
          <w:rFonts w:ascii="Palatino Linotype" w:hAnsi="Palatino Linotype"/>
        </w:rPr>
        <w:t>p</w:t>
      </w:r>
      <w:r w:rsidRPr="000E7E03">
        <w:rPr>
          <w:rFonts w:ascii="Palatino Linotype" w:hAnsi="Palatino Linotype"/>
        </w:rPr>
        <w:t>prove the proposed Uncollectible Expense Rider rate proposed herein.</w:t>
      </w:r>
    </w:p>
    <w:p w:rsidR="000E7E03" w:rsidRPr="000E7E03" w:rsidRDefault="000E7E03" w:rsidP="000E7E03">
      <w:pPr>
        <w:pStyle w:val="BodyText"/>
        <w:spacing w:line="320" w:lineRule="exact"/>
        <w:rPr>
          <w:rFonts w:ascii="Palatino Linotype" w:hAnsi="Palatino Linotype"/>
        </w:rPr>
      </w:pPr>
    </w:p>
    <w:p w:rsidR="00CB4DCB" w:rsidRDefault="00465926" w:rsidP="000E7E03">
      <w:pPr>
        <w:tabs>
          <w:tab w:val="left" w:pos="0"/>
        </w:tabs>
        <w:spacing w:line="320" w:lineRule="exac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CB4DCB" w:rsidRPr="000E7E03">
        <w:rPr>
          <w:rFonts w:ascii="Palatino Linotype" w:hAnsi="Palatino Linotype"/>
        </w:rPr>
        <w:t>Respectfully submitted,</w:t>
      </w:r>
    </w:p>
    <w:p w:rsidR="000E7E03" w:rsidRDefault="000E7E03" w:rsidP="000E7E03">
      <w:pPr>
        <w:tabs>
          <w:tab w:val="left" w:pos="0"/>
        </w:tabs>
        <w:spacing w:line="320" w:lineRule="exact"/>
        <w:jc w:val="both"/>
        <w:rPr>
          <w:rFonts w:ascii="Palatino Linotype" w:hAnsi="Palatino Linotype"/>
        </w:rPr>
      </w:pPr>
    </w:p>
    <w:p w:rsidR="000E7E03" w:rsidRPr="000E7E03" w:rsidRDefault="000E7E03" w:rsidP="000E7E03">
      <w:pPr>
        <w:tabs>
          <w:tab w:val="left" w:pos="0"/>
        </w:tabs>
        <w:spacing w:line="320" w:lineRule="exact"/>
        <w:jc w:val="both"/>
        <w:rPr>
          <w:rFonts w:ascii="Palatino Linotype" w:hAnsi="Palatino Linotype"/>
        </w:rPr>
      </w:pPr>
    </w:p>
    <w:p w:rsidR="0059068C" w:rsidRDefault="00CB4DCB" w:rsidP="00465926">
      <w:pPr>
        <w:pStyle w:val="BodyTextIndent"/>
        <w:spacing w:line="320" w:lineRule="exact"/>
        <w:ind w:left="4320"/>
        <w:jc w:val="both"/>
        <w:rPr>
          <w:rFonts w:ascii="Palatino Linotype" w:hAnsi="Palatino Linotype"/>
          <w:u w:val="single"/>
        </w:rPr>
      </w:pPr>
      <w:r w:rsidRPr="000E7E03">
        <w:rPr>
          <w:rFonts w:ascii="Palatino Linotype" w:hAnsi="Palatino Linotype"/>
        </w:rPr>
        <w:tab/>
      </w:r>
      <w:r w:rsidR="00B2151A" w:rsidRPr="0059068C">
        <w:rPr>
          <w:rFonts w:ascii="Palatino Linotype" w:hAnsi="Palatino Linotype"/>
          <w:u w:val="single"/>
        </w:rPr>
        <w:t>/s/ Stephen B. Seiple</w:t>
      </w:r>
      <w:r w:rsidR="0059068C">
        <w:rPr>
          <w:rFonts w:ascii="Palatino Linotype" w:hAnsi="Palatino Linotype"/>
          <w:u w:val="single"/>
        </w:rPr>
        <w:tab/>
      </w:r>
      <w:r w:rsidR="0059068C">
        <w:rPr>
          <w:rFonts w:ascii="Palatino Linotype" w:hAnsi="Palatino Linotype"/>
          <w:u w:val="single"/>
        </w:rPr>
        <w:tab/>
      </w:r>
      <w:r w:rsidR="0059068C">
        <w:rPr>
          <w:rFonts w:ascii="Palatino Linotype" w:hAnsi="Palatino Linotype"/>
          <w:u w:val="single"/>
        </w:rPr>
        <w:tab/>
      </w:r>
      <w:r w:rsidR="0059068C">
        <w:rPr>
          <w:rFonts w:ascii="Palatino Linotype" w:hAnsi="Palatino Linotype"/>
          <w:u w:val="single"/>
        </w:rPr>
        <w:tab/>
      </w:r>
    </w:p>
    <w:p w:rsidR="00CB4DCB" w:rsidRPr="000E7E03" w:rsidRDefault="00CB4DCB" w:rsidP="0059068C">
      <w:pPr>
        <w:pStyle w:val="BodyTextIndent"/>
        <w:spacing w:line="320" w:lineRule="exact"/>
        <w:ind w:left="4320" w:firstLine="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 xml:space="preserve">Stephen B. Seiple </w:t>
      </w:r>
      <w:r w:rsidR="0059068C">
        <w:rPr>
          <w:rFonts w:ascii="Palatino Linotype" w:hAnsi="Palatino Linotype"/>
        </w:rPr>
        <w:t>(</w:t>
      </w:r>
      <w:r w:rsidR="00E9158E" w:rsidRPr="000E7E03">
        <w:rPr>
          <w:rFonts w:ascii="Palatino Linotype" w:hAnsi="Palatino Linotype"/>
        </w:rPr>
        <w:t>Counsel of Record</w:t>
      </w:r>
      <w:r w:rsidR="0059068C">
        <w:rPr>
          <w:rFonts w:ascii="Palatino Linotype" w:hAnsi="Palatino Linotype"/>
        </w:rPr>
        <w:t>)</w:t>
      </w:r>
    </w:p>
    <w:p w:rsidR="00CB4DCB" w:rsidRPr="000E7E03" w:rsidRDefault="00CB4DCB" w:rsidP="000E7E03">
      <w:pPr>
        <w:spacing w:line="320" w:lineRule="exact"/>
        <w:ind w:left="5040" w:hanging="504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</w:rPr>
        <w:tab/>
      </w:r>
      <w:r w:rsidRPr="000E7E03">
        <w:rPr>
          <w:rFonts w:ascii="Palatino Linotype" w:hAnsi="Palatino Linotype"/>
        </w:rPr>
        <w:tab/>
      </w:r>
    </w:p>
    <w:p w:rsidR="00CB4DCB" w:rsidRPr="000E7E03" w:rsidRDefault="006A379B" w:rsidP="00465926">
      <w:pPr>
        <w:widowControl w:val="0"/>
        <w:spacing w:line="320" w:lineRule="exact"/>
        <w:ind w:right="-240"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>Stephen B. Seiple</w:t>
      </w:r>
      <w:r w:rsidR="00CB4DCB" w:rsidRPr="000E7E03">
        <w:rPr>
          <w:rFonts w:ascii="Palatino Linotype" w:hAnsi="Palatino Linotype"/>
        </w:rPr>
        <w:t>, Asst</w:t>
      </w:r>
      <w:r w:rsidR="000E7E03">
        <w:rPr>
          <w:rFonts w:ascii="Palatino Linotype" w:hAnsi="Palatino Linotype"/>
        </w:rPr>
        <w:t>.</w:t>
      </w:r>
      <w:r w:rsidR="00CB4DCB" w:rsidRPr="000E7E03">
        <w:rPr>
          <w:rFonts w:ascii="Palatino Linotype" w:hAnsi="Palatino Linotype"/>
        </w:rPr>
        <w:t xml:space="preserve"> General Counsel</w:t>
      </w:r>
    </w:p>
    <w:p w:rsidR="00CB4DCB" w:rsidRPr="000E7E03" w:rsidRDefault="006A379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>Brooke E. Leslie</w:t>
      </w:r>
      <w:r w:rsidR="00CB4DCB" w:rsidRPr="000E7E03">
        <w:rPr>
          <w:rFonts w:ascii="Palatino Linotype" w:hAnsi="Palatino Linotype"/>
        </w:rPr>
        <w:t>, Counsel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>200 Civic Center Drive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smartTag w:uri="urn:schemas-microsoft-com:office:smarttags" w:element="address">
        <w:smartTag w:uri="urn:schemas-microsoft-com:office:smarttags" w:element="Street">
          <w:r w:rsidRPr="000E7E03">
            <w:rPr>
              <w:rFonts w:ascii="Palatino Linotype" w:hAnsi="Palatino Linotype"/>
            </w:rPr>
            <w:t>P.O. Box</w:t>
          </w:r>
        </w:smartTag>
        <w:r w:rsidRPr="000E7E03">
          <w:rPr>
            <w:rFonts w:ascii="Palatino Linotype" w:hAnsi="Palatino Linotype"/>
          </w:rPr>
          <w:t xml:space="preserve"> 117</w:t>
        </w:r>
      </w:smartTag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smartTag w:uri="urn:schemas-microsoft-com:office:smarttags" w:element="place">
        <w:smartTag w:uri="urn:schemas-microsoft-com:office:smarttags" w:element="City">
          <w:r w:rsidRPr="000E7E03">
            <w:rPr>
              <w:rFonts w:ascii="Palatino Linotype" w:hAnsi="Palatino Linotype"/>
            </w:rPr>
            <w:t>Columbus</w:t>
          </w:r>
        </w:smartTag>
        <w:r w:rsidRPr="000E7E03">
          <w:rPr>
            <w:rFonts w:ascii="Palatino Linotype" w:hAnsi="Palatino Linotype"/>
          </w:rPr>
          <w:t xml:space="preserve">, </w:t>
        </w:r>
        <w:smartTag w:uri="urn:schemas-microsoft-com:office:smarttags" w:element="State">
          <w:r w:rsidRPr="000E7E03">
            <w:rPr>
              <w:rFonts w:ascii="Palatino Linotype" w:hAnsi="Palatino Linotype"/>
            </w:rPr>
            <w:t>Ohio</w:t>
          </w:r>
        </w:smartTag>
        <w:r w:rsidRPr="000E7E03">
          <w:rPr>
            <w:rFonts w:ascii="Palatino Linotype" w:hAnsi="Palatino Linotype"/>
          </w:rPr>
          <w:t xml:space="preserve"> </w:t>
        </w:r>
        <w:smartTag w:uri="urn:schemas-microsoft-com:office:smarttags" w:element="PostalCode">
          <w:r w:rsidRPr="000E7E03">
            <w:rPr>
              <w:rFonts w:ascii="Palatino Linotype" w:hAnsi="Palatino Linotype"/>
            </w:rPr>
            <w:t>43216-0117</w:t>
          </w:r>
        </w:smartTag>
      </w:smartTag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>Telephone (614) 460-4648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>Fax: (614) 46</w:t>
      </w:r>
      <w:r w:rsidR="0019617F" w:rsidRPr="000E7E03">
        <w:rPr>
          <w:rFonts w:ascii="Palatino Linotype" w:hAnsi="Palatino Linotype"/>
        </w:rPr>
        <w:t>0</w:t>
      </w:r>
      <w:r w:rsidRPr="000E7E03">
        <w:rPr>
          <w:rFonts w:ascii="Palatino Linotype" w:hAnsi="Palatino Linotype"/>
        </w:rPr>
        <w:t>-6986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 xml:space="preserve">Email: </w:t>
      </w:r>
      <w:r w:rsidR="008147B6" w:rsidRPr="000E7E03">
        <w:rPr>
          <w:rFonts w:ascii="Palatino Linotype" w:hAnsi="Palatino Linotype"/>
        </w:rPr>
        <w:t>sseiple@nisource.com</w:t>
      </w:r>
    </w:p>
    <w:p w:rsidR="008147B6" w:rsidRPr="000E7E03" w:rsidRDefault="008147B6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ab/>
        <w:t>bleslie@nisource.com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</w:p>
    <w:p w:rsidR="00B9722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</w:rPr>
      </w:pPr>
      <w:r w:rsidRPr="000E7E03">
        <w:rPr>
          <w:rFonts w:ascii="Palatino Linotype" w:hAnsi="Palatino Linotype"/>
        </w:rPr>
        <w:t xml:space="preserve">Attorneys for </w:t>
      </w:r>
    </w:p>
    <w:p w:rsidR="00CB4DCB" w:rsidRPr="000E7E03" w:rsidRDefault="00CB4DCB" w:rsidP="00465926">
      <w:pPr>
        <w:widowControl w:val="0"/>
        <w:spacing w:line="320" w:lineRule="exact"/>
        <w:ind w:firstLine="4320"/>
        <w:jc w:val="both"/>
        <w:rPr>
          <w:rFonts w:ascii="Palatino Linotype" w:hAnsi="Palatino Linotype"/>
          <w:spacing w:val="-12"/>
        </w:rPr>
      </w:pPr>
      <w:smartTag w:uri="urn:schemas-microsoft-com:office:smarttags" w:element="place">
        <w:smartTag w:uri="urn:schemas-microsoft-com:office:smarttags" w:element="City">
          <w:r w:rsidRPr="000E7E03">
            <w:rPr>
              <w:rFonts w:ascii="Palatino Linotype" w:hAnsi="Palatino Linotype"/>
              <w:b/>
              <w:spacing w:val="-12"/>
            </w:rPr>
            <w:t>COLUMBIA</w:t>
          </w:r>
        </w:smartTag>
      </w:smartTag>
      <w:r w:rsidRPr="000E7E03">
        <w:rPr>
          <w:rFonts w:ascii="Palatino Linotype" w:hAnsi="Palatino Linotype"/>
          <w:b/>
          <w:spacing w:val="-12"/>
        </w:rPr>
        <w:t xml:space="preserve"> GAS OF OHIO, INC.</w:t>
      </w:r>
    </w:p>
    <w:p w:rsidR="00CB4DCB" w:rsidRPr="000E7E03" w:rsidRDefault="00CB4DCB">
      <w:pPr>
        <w:tabs>
          <w:tab w:val="left" w:pos="0"/>
        </w:tabs>
        <w:spacing w:line="480" w:lineRule="auto"/>
        <w:jc w:val="both"/>
        <w:rPr>
          <w:rFonts w:ascii="Palatino Linotype" w:hAnsi="Palatino Linotype"/>
        </w:rPr>
      </w:pPr>
    </w:p>
    <w:p w:rsidR="00FF0DFD" w:rsidRPr="000E7E03" w:rsidRDefault="00FF0DFD">
      <w:pPr>
        <w:tabs>
          <w:tab w:val="left" w:pos="0"/>
        </w:tabs>
        <w:spacing w:line="480" w:lineRule="auto"/>
        <w:jc w:val="both"/>
        <w:rPr>
          <w:rFonts w:ascii="Palatino Linotype" w:hAnsi="Palatino Linotype"/>
        </w:rPr>
        <w:sectPr w:rsidR="00FF0DFD" w:rsidRPr="000E7E03" w:rsidSect="007D14EA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CB4DCB" w:rsidRPr="00465926" w:rsidRDefault="00CB4DCB" w:rsidP="0086187E">
      <w:pPr>
        <w:pStyle w:val="Heading2"/>
        <w:rPr>
          <w:rFonts w:ascii="Palatino Linotype" w:hAnsi="Palatino Linotype"/>
          <w:spacing w:val="-12"/>
          <w:sz w:val="32"/>
          <w:szCs w:val="32"/>
        </w:rPr>
      </w:pPr>
      <w:r w:rsidRPr="00465926">
        <w:rPr>
          <w:rFonts w:ascii="Palatino Linotype" w:hAnsi="Palatino Linotype"/>
          <w:spacing w:val="-12"/>
          <w:sz w:val="32"/>
          <w:szCs w:val="32"/>
        </w:rPr>
        <w:lastRenderedPageBreak/>
        <w:t>ATTACHMENT 1</w:t>
      </w:r>
      <w:r w:rsidRPr="00465926">
        <w:rPr>
          <w:rFonts w:ascii="Palatino Linotype" w:hAnsi="Palatino Linotype"/>
          <w:sz w:val="32"/>
          <w:szCs w:val="32"/>
        </w:rPr>
        <w:br w:type="page"/>
      </w:r>
      <w:r w:rsidRPr="00465926">
        <w:rPr>
          <w:rFonts w:ascii="Palatino Linotype" w:hAnsi="Palatino Linotype"/>
          <w:spacing w:val="-12"/>
          <w:sz w:val="32"/>
          <w:szCs w:val="32"/>
        </w:rPr>
        <w:lastRenderedPageBreak/>
        <w:t>ATTACHMENT 2</w:t>
      </w:r>
      <w:r w:rsidRPr="00465926">
        <w:rPr>
          <w:rFonts w:ascii="Palatino Linotype" w:hAnsi="Palatino Linotype"/>
          <w:spacing w:val="-12"/>
          <w:sz w:val="32"/>
          <w:szCs w:val="32"/>
        </w:rPr>
        <w:br w:type="page"/>
      </w:r>
      <w:r w:rsidRPr="00465926">
        <w:rPr>
          <w:rFonts w:ascii="Palatino Linotype" w:hAnsi="Palatino Linotype"/>
          <w:spacing w:val="-12"/>
          <w:sz w:val="32"/>
          <w:szCs w:val="32"/>
        </w:rPr>
        <w:lastRenderedPageBreak/>
        <w:t>ATTACHMENT 3</w:t>
      </w:r>
    </w:p>
    <w:p w:rsidR="0086187E" w:rsidRPr="00465926" w:rsidRDefault="00CB4DCB" w:rsidP="0086187E">
      <w:pPr>
        <w:pStyle w:val="Heading3"/>
        <w:jc w:val="center"/>
        <w:rPr>
          <w:rFonts w:ascii="Palatino Linotype" w:hAnsi="Palatino Linotype"/>
          <w:spacing w:val="-12"/>
          <w:sz w:val="32"/>
          <w:szCs w:val="32"/>
        </w:rPr>
        <w:sectPr w:rsidR="0086187E" w:rsidRPr="00465926" w:rsidSect="0086187E"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  <w:r w:rsidRPr="00465926">
        <w:rPr>
          <w:rFonts w:ascii="Palatino Linotype" w:hAnsi="Palatino Linotype"/>
          <w:spacing w:val="-12"/>
          <w:sz w:val="32"/>
          <w:szCs w:val="32"/>
        </w:rPr>
        <w:br w:type="page"/>
      </w:r>
      <w:r w:rsidRPr="00465926">
        <w:rPr>
          <w:rFonts w:ascii="Palatino Linotype" w:hAnsi="Palatino Linotype"/>
          <w:spacing w:val="-12"/>
          <w:sz w:val="32"/>
          <w:szCs w:val="32"/>
        </w:rPr>
        <w:lastRenderedPageBreak/>
        <w:t>ATTACHMENT 4</w:t>
      </w:r>
    </w:p>
    <w:p w:rsidR="00CB4DCB" w:rsidRPr="00465926" w:rsidRDefault="00071A5C" w:rsidP="00CD58DB">
      <w:pPr>
        <w:pStyle w:val="Heading3"/>
        <w:jc w:val="center"/>
        <w:rPr>
          <w:rFonts w:ascii="Palatino Linotype" w:hAnsi="Palatino Linotype"/>
          <w:spacing w:val="-12"/>
          <w:sz w:val="32"/>
          <w:szCs w:val="32"/>
        </w:rPr>
      </w:pPr>
      <w:r w:rsidRPr="00465926">
        <w:rPr>
          <w:rFonts w:ascii="Palatino Linotype" w:hAnsi="Palatino Linotype"/>
          <w:spacing w:val="-12"/>
          <w:sz w:val="32"/>
          <w:szCs w:val="32"/>
        </w:rPr>
        <w:lastRenderedPageBreak/>
        <w:t xml:space="preserve">ATTACHMENT </w:t>
      </w:r>
      <w:r w:rsidR="00EC0C13" w:rsidRPr="00465926">
        <w:rPr>
          <w:rFonts w:ascii="Palatino Linotype" w:hAnsi="Palatino Linotype"/>
          <w:spacing w:val="-12"/>
          <w:sz w:val="32"/>
          <w:szCs w:val="32"/>
        </w:rPr>
        <w:t>5</w:t>
      </w:r>
      <w:bookmarkStart w:id="0" w:name="_GoBack"/>
      <w:bookmarkEnd w:id="0"/>
    </w:p>
    <w:sectPr w:rsidR="00CB4DCB" w:rsidRPr="00465926" w:rsidSect="0086187E">
      <w:pgSz w:w="12240" w:h="15840" w:code="1"/>
      <w:pgMar w:top="1440" w:right="1440" w:bottom="1440" w:left="144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23" w:rsidRDefault="00250123">
      <w:r>
        <w:separator/>
      </w:r>
    </w:p>
  </w:endnote>
  <w:endnote w:type="continuationSeparator" w:id="0">
    <w:p w:rsidR="00250123" w:rsidRDefault="0025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23" w:rsidRDefault="002501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123" w:rsidRDefault="00250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721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4EA" w:rsidRDefault="007D1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14EA" w:rsidRDefault="007D1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23" w:rsidRDefault="00250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23" w:rsidRDefault="00250123">
      <w:r>
        <w:separator/>
      </w:r>
    </w:p>
  </w:footnote>
  <w:footnote w:type="continuationSeparator" w:id="0">
    <w:p w:rsidR="00250123" w:rsidRDefault="00250123">
      <w:r>
        <w:continuationSeparator/>
      </w:r>
    </w:p>
  </w:footnote>
  <w:footnote w:id="1">
    <w:p w:rsidR="00250123" w:rsidRPr="000E7E03" w:rsidRDefault="00250123" w:rsidP="00351296">
      <w:pPr>
        <w:pStyle w:val="FootnoteText"/>
        <w:jc w:val="both"/>
        <w:rPr>
          <w:rFonts w:ascii="Palatino Linotype" w:hAnsi="Palatino Linotype"/>
        </w:rPr>
      </w:pPr>
      <w:r w:rsidRPr="000E7E03">
        <w:rPr>
          <w:rStyle w:val="FootnoteReference"/>
          <w:rFonts w:ascii="Palatino Linotype" w:hAnsi="Palatino Linotype"/>
        </w:rPr>
        <w:footnoteRef/>
      </w:r>
      <w:r w:rsidRPr="000E7E03">
        <w:rPr>
          <w:rFonts w:ascii="Palatino Linotype" w:hAnsi="Palatino Linotype"/>
        </w:rPr>
        <w:t xml:space="preserve"> See Section IV, </w:t>
      </w:r>
      <w:r>
        <w:rPr>
          <w:rFonts w:ascii="Palatino Linotype" w:hAnsi="Palatino Linotype"/>
        </w:rPr>
        <w:t>Eleventh</w:t>
      </w:r>
      <w:r w:rsidRPr="000E7E03">
        <w:rPr>
          <w:rFonts w:ascii="Palatino Linotype" w:hAnsi="Palatino Linotype"/>
        </w:rPr>
        <w:t xml:space="preserve"> Revised Sheet No. 29, for customers served under rate schedules SGS and GS, </w:t>
      </w:r>
      <w:r>
        <w:rPr>
          <w:rFonts w:ascii="Palatino Linotype" w:hAnsi="Palatino Linotype"/>
        </w:rPr>
        <w:t xml:space="preserve">Third </w:t>
      </w:r>
      <w:r w:rsidRPr="000E7E03">
        <w:rPr>
          <w:rFonts w:ascii="Palatino Linotype" w:hAnsi="Palatino Linotype"/>
        </w:rPr>
        <w:t xml:space="preserve">Revised Sheet No. 69, for customers served under rate schedules SGTS and GTS. Please refer to Section VII, </w:t>
      </w:r>
      <w:r>
        <w:rPr>
          <w:rFonts w:ascii="Palatino Linotype" w:hAnsi="Palatino Linotype"/>
        </w:rPr>
        <w:t>Tenth</w:t>
      </w:r>
      <w:r w:rsidRPr="000E7E03">
        <w:rPr>
          <w:rFonts w:ascii="Palatino Linotype" w:hAnsi="Palatino Linotype"/>
        </w:rPr>
        <w:t xml:space="preserve"> Revised Sheet 29, Page 9 of 11, for customers served through Columbia’s CHOICE Program. All tariff sheets include identical billing rates and adjustment provisions.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25"/>
    <w:multiLevelType w:val="hybridMultilevel"/>
    <w:tmpl w:val="AC28E5FC"/>
    <w:lvl w:ilvl="0" w:tplc="C66CC2D2">
      <w:start w:val="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3613BA"/>
    <w:multiLevelType w:val="hybridMultilevel"/>
    <w:tmpl w:val="FDB6B552"/>
    <w:lvl w:ilvl="0" w:tplc="CD6C249C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0C5183"/>
    <w:multiLevelType w:val="hybridMultilevel"/>
    <w:tmpl w:val="1EA4D922"/>
    <w:lvl w:ilvl="0" w:tplc="BEBE2A12">
      <w:start w:val="3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E86780"/>
    <w:multiLevelType w:val="hybridMultilevel"/>
    <w:tmpl w:val="C07C06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83169"/>
    <w:multiLevelType w:val="hybridMultilevel"/>
    <w:tmpl w:val="333E366E"/>
    <w:lvl w:ilvl="0" w:tplc="1AD8208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A209A4"/>
    <w:multiLevelType w:val="hybridMultilevel"/>
    <w:tmpl w:val="3020B55C"/>
    <w:lvl w:ilvl="0" w:tplc="BEBE2A1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69618D"/>
    <w:multiLevelType w:val="hybridMultilevel"/>
    <w:tmpl w:val="9F7CF79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D1F01"/>
    <w:multiLevelType w:val="hybridMultilevel"/>
    <w:tmpl w:val="8C3ED2F0"/>
    <w:lvl w:ilvl="0" w:tplc="CC6E2F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D057A95"/>
    <w:multiLevelType w:val="hybridMultilevel"/>
    <w:tmpl w:val="FD262D3C"/>
    <w:lvl w:ilvl="0" w:tplc="B8FE80C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B3"/>
    <w:rsid w:val="000262CC"/>
    <w:rsid w:val="0004195D"/>
    <w:rsid w:val="00071A5C"/>
    <w:rsid w:val="00092C8C"/>
    <w:rsid w:val="000942C8"/>
    <w:rsid w:val="000A1AFE"/>
    <w:rsid w:val="000C6DC8"/>
    <w:rsid w:val="000E7E03"/>
    <w:rsid w:val="00112D71"/>
    <w:rsid w:val="00161EB1"/>
    <w:rsid w:val="001660EF"/>
    <w:rsid w:val="0017032E"/>
    <w:rsid w:val="00190085"/>
    <w:rsid w:val="0019617F"/>
    <w:rsid w:val="001C698D"/>
    <w:rsid w:val="001F2201"/>
    <w:rsid w:val="00227168"/>
    <w:rsid w:val="002424D8"/>
    <w:rsid w:val="00244CC4"/>
    <w:rsid w:val="00250123"/>
    <w:rsid w:val="00253609"/>
    <w:rsid w:val="00271A1E"/>
    <w:rsid w:val="002B6815"/>
    <w:rsid w:val="002E61A9"/>
    <w:rsid w:val="002E7FA5"/>
    <w:rsid w:val="00303063"/>
    <w:rsid w:val="003047B1"/>
    <w:rsid w:val="0030488B"/>
    <w:rsid w:val="00323718"/>
    <w:rsid w:val="00351296"/>
    <w:rsid w:val="0036701B"/>
    <w:rsid w:val="003813C5"/>
    <w:rsid w:val="003A740E"/>
    <w:rsid w:val="003B6BB6"/>
    <w:rsid w:val="003C4A35"/>
    <w:rsid w:val="003E28A5"/>
    <w:rsid w:val="004561A4"/>
    <w:rsid w:val="00465926"/>
    <w:rsid w:val="0047174B"/>
    <w:rsid w:val="004B0559"/>
    <w:rsid w:val="004F1CBF"/>
    <w:rsid w:val="005012DD"/>
    <w:rsid w:val="00502A1B"/>
    <w:rsid w:val="005079A0"/>
    <w:rsid w:val="00535AEB"/>
    <w:rsid w:val="00561368"/>
    <w:rsid w:val="00562D24"/>
    <w:rsid w:val="0057578A"/>
    <w:rsid w:val="0059068C"/>
    <w:rsid w:val="005C7C1C"/>
    <w:rsid w:val="006424A6"/>
    <w:rsid w:val="006A379B"/>
    <w:rsid w:val="006A7069"/>
    <w:rsid w:val="006C1DB4"/>
    <w:rsid w:val="006E32B0"/>
    <w:rsid w:val="006E7B91"/>
    <w:rsid w:val="00747777"/>
    <w:rsid w:val="00752424"/>
    <w:rsid w:val="00764CDA"/>
    <w:rsid w:val="00775825"/>
    <w:rsid w:val="007A5415"/>
    <w:rsid w:val="007A6848"/>
    <w:rsid w:val="007D14EA"/>
    <w:rsid w:val="007F777A"/>
    <w:rsid w:val="008147B6"/>
    <w:rsid w:val="0086187E"/>
    <w:rsid w:val="0087250A"/>
    <w:rsid w:val="008814E2"/>
    <w:rsid w:val="0088753C"/>
    <w:rsid w:val="008E6C91"/>
    <w:rsid w:val="009025C2"/>
    <w:rsid w:val="0090632C"/>
    <w:rsid w:val="009116A3"/>
    <w:rsid w:val="009809FF"/>
    <w:rsid w:val="00983977"/>
    <w:rsid w:val="00991B08"/>
    <w:rsid w:val="009E3B6A"/>
    <w:rsid w:val="00A459CA"/>
    <w:rsid w:val="00A62411"/>
    <w:rsid w:val="00A723B0"/>
    <w:rsid w:val="00A9269F"/>
    <w:rsid w:val="00A94667"/>
    <w:rsid w:val="00AE7AD9"/>
    <w:rsid w:val="00AF7AD3"/>
    <w:rsid w:val="00B14573"/>
    <w:rsid w:val="00B2151A"/>
    <w:rsid w:val="00B2182C"/>
    <w:rsid w:val="00B7244D"/>
    <w:rsid w:val="00B9722B"/>
    <w:rsid w:val="00BB28EA"/>
    <w:rsid w:val="00BD5BD9"/>
    <w:rsid w:val="00BF3A9F"/>
    <w:rsid w:val="00C34C6D"/>
    <w:rsid w:val="00C5484D"/>
    <w:rsid w:val="00C753D9"/>
    <w:rsid w:val="00C86467"/>
    <w:rsid w:val="00C87468"/>
    <w:rsid w:val="00CA0195"/>
    <w:rsid w:val="00CB4DCB"/>
    <w:rsid w:val="00CD58DB"/>
    <w:rsid w:val="00CE0295"/>
    <w:rsid w:val="00CF686E"/>
    <w:rsid w:val="00D118D5"/>
    <w:rsid w:val="00D13568"/>
    <w:rsid w:val="00D25BCF"/>
    <w:rsid w:val="00D374B3"/>
    <w:rsid w:val="00D936B6"/>
    <w:rsid w:val="00DB1066"/>
    <w:rsid w:val="00DC75B3"/>
    <w:rsid w:val="00E03828"/>
    <w:rsid w:val="00E310C4"/>
    <w:rsid w:val="00E519DB"/>
    <w:rsid w:val="00E8165A"/>
    <w:rsid w:val="00E862E9"/>
    <w:rsid w:val="00E9158E"/>
    <w:rsid w:val="00EA4410"/>
    <w:rsid w:val="00EB50D6"/>
    <w:rsid w:val="00EC0C13"/>
    <w:rsid w:val="00EC771E"/>
    <w:rsid w:val="00F04256"/>
    <w:rsid w:val="00F17106"/>
    <w:rsid w:val="00F66BCB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pacing w:line="480" w:lineRule="auto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line="480" w:lineRule="auto"/>
      <w:outlineLvl w:val="2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</w:tabs>
      <w:spacing w:line="480" w:lineRule="auto"/>
      <w:jc w:val="both"/>
    </w:pPr>
  </w:style>
  <w:style w:type="paragraph" w:styleId="BodyTextIndent">
    <w:name w:val="Body Text Indent"/>
    <w:basedOn w:val="Normal"/>
    <w:pPr>
      <w:ind w:left="5040" w:hanging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firstLine="720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B7244D"/>
    <w:rPr>
      <w:rFonts w:ascii="Tahoma" w:hAnsi="Tahoma" w:cs="Tahoma"/>
      <w:sz w:val="16"/>
      <w:szCs w:val="16"/>
    </w:rPr>
  </w:style>
  <w:style w:type="character" w:styleId="Hyperlink">
    <w:name w:val="Hyperlink"/>
    <w:rsid w:val="008147B6"/>
    <w:rPr>
      <w:color w:val="0000FF"/>
      <w:u w:val="single"/>
    </w:rPr>
  </w:style>
  <w:style w:type="table" w:styleId="TableGrid">
    <w:name w:val="Table Grid"/>
    <w:basedOn w:val="TableNormal"/>
    <w:rsid w:val="00C3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D14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pacing w:line="480" w:lineRule="auto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line="480" w:lineRule="auto"/>
      <w:outlineLvl w:val="2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0"/>
      </w:tabs>
      <w:spacing w:line="480" w:lineRule="auto"/>
      <w:jc w:val="both"/>
    </w:pPr>
  </w:style>
  <w:style w:type="paragraph" w:styleId="BodyTextIndent">
    <w:name w:val="Body Text Indent"/>
    <w:basedOn w:val="Normal"/>
    <w:pPr>
      <w:ind w:left="5040" w:hanging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firstLine="720"/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B7244D"/>
    <w:rPr>
      <w:rFonts w:ascii="Tahoma" w:hAnsi="Tahoma" w:cs="Tahoma"/>
      <w:sz w:val="16"/>
      <w:szCs w:val="16"/>
    </w:rPr>
  </w:style>
  <w:style w:type="character" w:styleId="Hyperlink">
    <w:name w:val="Hyperlink"/>
    <w:rsid w:val="008147B6"/>
    <w:rPr>
      <w:color w:val="0000FF"/>
      <w:u w:val="single"/>
    </w:rPr>
  </w:style>
  <w:style w:type="table" w:styleId="TableGrid">
    <w:name w:val="Table Grid"/>
    <w:basedOn w:val="TableNormal"/>
    <w:rsid w:val="00C3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D1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757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UTILITES COMMISSION OF OHIO</vt:lpstr>
    </vt:vector>
  </TitlesOfParts>
  <Company>Nisource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UTILITES COMMISSION OF OHIO</dc:title>
  <dc:subject/>
  <dc:creator>NiSource</dc:creator>
  <cp:keywords/>
  <dc:description/>
  <cp:lastModifiedBy>Stephen B. Seiple</cp:lastModifiedBy>
  <cp:revision>4</cp:revision>
  <cp:lastPrinted>2012-04-13T13:44:00Z</cp:lastPrinted>
  <dcterms:created xsi:type="dcterms:W3CDTF">2012-04-17T14:03:00Z</dcterms:created>
  <dcterms:modified xsi:type="dcterms:W3CDTF">2012-04-17T14:08:00Z</dcterms:modified>
</cp:coreProperties>
</file>