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0C" w:rsidRDefault="0076570C" w:rsidP="008F3EC7">
      <w:pPr>
        <w:pStyle w:val="Heading1"/>
        <w:rPr>
          <w:caps/>
        </w:rPr>
      </w:pPr>
      <w:bookmarkStart w:id="0" w:name="_Toc177529824"/>
      <w:bookmarkStart w:id="1" w:name="_GoBack"/>
      <w:bookmarkEnd w:id="1"/>
    </w:p>
    <w:tbl>
      <w:tblPr>
        <w:tblW w:w="0" w:type="auto"/>
        <w:tblLook w:val="04A0" w:firstRow="1" w:lastRow="0" w:firstColumn="1" w:lastColumn="0" w:noHBand="0" w:noVBand="1"/>
      </w:tblPr>
      <w:tblGrid>
        <w:gridCol w:w="4697"/>
        <w:gridCol w:w="272"/>
        <w:gridCol w:w="4607"/>
      </w:tblGrid>
      <w:tr w:rsidR="00FE3599" w:rsidTr="005867E5">
        <w:tc>
          <w:tcPr>
            <w:tcW w:w="4698" w:type="dxa"/>
            <w:shd w:val="clear" w:color="auto" w:fill="auto"/>
          </w:tcPr>
          <w:p w:rsidR="005867E5" w:rsidRDefault="005867E5" w:rsidP="005867E5">
            <w:pPr>
              <w:autoSpaceDE w:val="0"/>
              <w:autoSpaceDN w:val="0"/>
              <w:adjustRightInd w:val="0"/>
              <w:spacing w:line="260" w:lineRule="exact"/>
              <w:ind w:left="40" w:right="-20"/>
            </w:pPr>
            <w:r w:rsidRPr="005867E5">
              <w:rPr>
                <w:rFonts w:ascii="Times New Roman" w:hAnsi="Times New Roman"/>
                <w:b/>
                <w:bCs/>
                <w:spacing w:val="-9"/>
                <w:sz w:val="28"/>
                <w:szCs w:val="28"/>
              </w:rPr>
              <w:t>C</w:t>
            </w:r>
            <w:r w:rsidRPr="005867E5">
              <w:rPr>
                <w:rFonts w:ascii="Times New Roman" w:hAnsi="Times New Roman"/>
                <w:b/>
                <w:bCs/>
                <w:spacing w:val="14"/>
                <w:sz w:val="28"/>
                <w:szCs w:val="28"/>
              </w:rPr>
              <w:t>e</w:t>
            </w:r>
            <w:r w:rsidRPr="005867E5">
              <w:rPr>
                <w:rFonts w:ascii="Times New Roman" w:hAnsi="Times New Roman"/>
                <w:b/>
                <w:bCs/>
                <w:spacing w:val="-14"/>
                <w:sz w:val="28"/>
                <w:szCs w:val="28"/>
              </w:rPr>
              <w:t>n</w:t>
            </w:r>
            <w:r w:rsidRPr="005867E5">
              <w:rPr>
                <w:rFonts w:ascii="Times New Roman" w:hAnsi="Times New Roman"/>
                <w:b/>
                <w:bCs/>
                <w:spacing w:val="-5"/>
                <w:sz w:val="28"/>
                <w:szCs w:val="28"/>
              </w:rPr>
              <w:t>t</w:t>
            </w:r>
            <w:r w:rsidRPr="005867E5">
              <w:rPr>
                <w:rFonts w:ascii="Times New Roman" w:hAnsi="Times New Roman"/>
                <w:b/>
                <w:bCs/>
                <w:spacing w:val="-18"/>
                <w:sz w:val="28"/>
                <w:szCs w:val="28"/>
              </w:rPr>
              <w:t>r</w:t>
            </w:r>
            <w:r w:rsidRPr="005867E5">
              <w:rPr>
                <w:rFonts w:ascii="Times New Roman" w:hAnsi="Times New Roman"/>
                <w:b/>
                <w:bCs/>
                <w:sz w:val="28"/>
                <w:szCs w:val="28"/>
              </w:rPr>
              <w:t>a</w:t>
            </w:r>
            <w:r w:rsidRPr="005867E5">
              <w:rPr>
                <w:rFonts w:ascii="Times New Roman" w:hAnsi="Times New Roman"/>
                <w:b/>
                <w:bCs/>
                <w:spacing w:val="-7"/>
                <w:sz w:val="28"/>
                <w:szCs w:val="28"/>
              </w:rPr>
              <w:t>li</w:t>
            </w:r>
            <w:r w:rsidRPr="005867E5">
              <w:rPr>
                <w:rFonts w:ascii="Times New Roman" w:hAnsi="Times New Roman"/>
                <w:b/>
                <w:bCs/>
                <w:spacing w:val="-18"/>
                <w:sz w:val="28"/>
                <w:szCs w:val="28"/>
              </w:rPr>
              <w:t>z</w:t>
            </w:r>
            <w:r w:rsidRPr="005867E5">
              <w:rPr>
                <w:rFonts w:ascii="Times New Roman" w:hAnsi="Times New Roman"/>
                <w:b/>
                <w:bCs/>
                <w:spacing w:val="14"/>
                <w:sz w:val="28"/>
                <w:szCs w:val="28"/>
              </w:rPr>
              <w:t>e</w:t>
            </w:r>
            <w:r w:rsidRPr="005867E5">
              <w:rPr>
                <w:rFonts w:ascii="Times New Roman" w:hAnsi="Times New Roman"/>
                <w:b/>
                <w:bCs/>
                <w:sz w:val="28"/>
                <w:szCs w:val="28"/>
              </w:rPr>
              <w:t xml:space="preserve">d </w:t>
            </w:r>
            <w:r w:rsidRPr="005867E5">
              <w:rPr>
                <w:rFonts w:ascii="Times New Roman" w:hAnsi="Times New Roman"/>
                <w:b/>
                <w:bCs/>
                <w:spacing w:val="-9"/>
                <w:sz w:val="28"/>
                <w:szCs w:val="28"/>
              </w:rPr>
              <w:t>C</w:t>
            </w:r>
            <w:r w:rsidRPr="005867E5">
              <w:rPr>
                <w:rFonts w:ascii="Times New Roman" w:hAnsi="Times New Roman"/>
                <w:b/>
                <w:bCs/>
                <w:sz w:val="28"/>
                <w:szCs w:val="28"/>
              </w:rPr>
              <w:t>a</w:t>
            </w:r>
            <w:r w:rsidRPr="005867E5">
              <w:rPr>
                <w:rFonts w:ascii="Times New Roman" w:hAnsi="Times New Roman"/>
                <w:b/>
                <w:bCs/>
                <w:spacing w:val="-14"/>
                <w:sz w:val="28"/>
                <w:szCs w:val="28"/>
              </w:rPr>
              <w:t>p</w:t>
            </w:r>
            <w:r w:rsidRPr="005867E5">
              <w:rPr>
                <w:rFonts w:ascii="Times New Roman" w:hAnsi="Times New Roman"/>
                <w:b/>
                <w:bCs/>
                <w:sz w:val="28"/>
                <w:szCs w:val="28"/>
              </w:rPr>
              <w:t>a</w:t>
            </w:r>
            <w:r w:rsidRPr="005867E5">
              <w:rPr>
                <w:rFonts w:ascii="Times New Roman" w:hAnsi="Times New Roman"/>
                <w:b/>
                <w:bCs/>
                <w:spacing w:val="-2"/>
                <w:sz w:val="28"/>
                <w:szCs w:val="28"/>
              </w:rPr>
              <w:t>c</w:t>
            </w:r>
            <w:r w:rsidRPr="005867E5">
              <w:rPr>
                <w:rFonts w:ascii="Times New Roman" w:hAnsi="Times New Roman"/>
                <w:b/>
                <w:bCs/>
                <w:spacing w:val="-7"/>
                <w:sz w:val="28"/>
                <w:szCs w:val="28"/>
              </w:rPr>
              <w:t>i</w:t>
            </w:r>
            <w:r w:rsidRPr="005867E5">
              <w:rPr>
                <w:rFonts w:ascii="Times New Roman" w:hAnsi="Times New Roman"/>
                <w:b/>
                <w:bCs/>
                <w:spacing w:val="-5"/>
                <w:sz w:val="28"/>
                <w:szCs w:val="28"/>
              </w:rPr>
              <w:t>t</w:t>
            </w:r>
            <w:r w:rsidRPr="005867E5">
              <w:rPr>
                <w:rFonts w:ascii="Times New Roman" w:hAnsi="Times New Roman"/>
                <w:b/>
                <w:bCs/>
                <w:sz w:val="28"/>
                <w:szCs w:val="28"/>
              </w:rPr>
              <w:t xml:space="preserve">y </w:t>
            </w:r>
            <w:r w:rsidRPr="005867E5">
              <w:rPr>
                <w:rFonts w:ascii="Times New Roman" w:hAnsi="Times New Roman"/>
                <w:b/>
                <w:bCs/>
                <w:spacing w:val="14"/>
                <w:sz w:val="28"/>
                <w:szCs w:val="28"/>
              </w:rPr>
              <w:t>M</w:t>
            </w:r>
            <w:r w:rsidRPr="005867E5">
              <w:rPr>
                <w:rFonts w:ascii="Times New Roman" w:hAnsi="Times New Roman"/>
                <w:b/>
                <w:bCs/>
                <w:sz w:val="28"/>
                <w:szCs w:val="28"/>
              </w:rPr>
              <w:t>a</w:t>
            </w:r>
            <w:r w:rsidRPr="005867E5">
              <w:rPr>
                <w:rFonts w:ascii="Times New Roman" w:hAnsi="Times New Roman"/>
                <w:b/>
                <w:bCs/>
                <w:spacing w:val="-18"/>
                <w:sz w:val="28"/>
                <w:szCs w:val="28"/>
              </w:rPr>
              <w:t>r</w:t>
            </w:r>
            <w:r w:rsidRPr="005867E5">
              <w:rPr>
                <w:rFonts w:ascii="Times New Roman" w:hAnsi="Times New Roman"/>
                <w:b/>
                <w:bCs/>
                <w:spacing w:val="2"/>
                <w:sz w:val="28"/>
                <w:szCs w:val="28"/>
              </w:rPr>
              <w:t>k</w:t>
            </w:r>
            <w:r w:rsidRPr="005867E5">
              <w:rPr>
                <w:rFonts w:ascii="Times New Roman" w:hAnsi="Times New Roman"/>
                <w:b/>
                <w:bCs/>
                <w:spacing w:val="14"/>
                <w:sz w:val="28"/>
                <w:szCs w:val="28"/>
              </w:rPr>
              <w:t>e</w:t>
            </w:r>
            <w:r w:rsidRPr="005867E5">
              <w:rPr>
                <w:rFonts w:ascii="Times New Roman" w:hAnsi="Times New Roman"/>
                <w:b/>
                <w:bCs/>
                <w:spacing w:val="-5"/>
                <w:sz w:val="28"/>
                <w:szCs w:val="28"/>
              </w:rPr>
              <w:t>t</w:t>
            </w:r>
            <w:r w:rsidRPr="005867E5">
              <w:rPr>
                <w:rFonts w:ascii="Times New Roman" w:hAnsi="Times New Roman"/>
                <w:b/>
                <w:bCs/>
                <w:sz w:val="28"/>
                <w:szCs w:val="28"/>
              </w:rPr>
              <w:t>s</w:t>
            </w:r>
            <w:r w:rsidRPr="005867E5">
              <w:rPr>
                <w:rFonts w:ascii="Times New Roman" w:hAnsi="Times New Roman"/>
                <w:b/>
                <w:bCs/>
                <w:spacing w:val="32"/>
                <w:sz w:val="28"/>
                <w:szCs w:val="28"/>
              </w:rPr>
              <w:t xml:space="preserve"> </w:t>
            </w:r>
            <w:r w:rsidRPr="005867E5">
              <w:rPr>
                <w:rFonts w:ascii="Times New Roman" w:hAnsi="Times New Roman"/>
                <w:b/>
                <w:bCs/>
                <w:spacing w:val="-7"/>
                <w:sz w:val="28"/>
                <w:szCs w:val="28"/>
              </w:rPr>
              <w:t>i</w:t>
            </w:r>
            <w:r w:rsidRPr="005867E5">
              <w:rPr>
                <w:rFonts w:ascii="Times New Roman" w:hAnsi="Times New Roman"/>
                <w:b/>
                <w:bCs/>
                <w:sz w:val="28"/>
                <w:szCs w:val="28"/>
              </w:rPr>
              <w:t>n</w:t>
            </w:r>
            <w:r w:rsidRPr="005867E5">
              <w:rPr>
                <w:rFonts w:ascii="Times New Roman" w:hAnsi="Times New Roman"/>
                <w:b/>
                <w:bCs/>
                <w:spacing w:val="7"/>
                <w:sz w:val="28"/>
                <w:szCs w:val="28"/>
              </w:rPr>
              <w:t xml:space="preserve"> R</w:t>
            </w:r>
            <w:r w:rsidRPr="005867E5">
              <w:rPr>
                <w:rFonts w:ascii="Times New Roman" w:hAnsi="Times New Roman"/>
                <w:b/>
                <w:bCs/>
                <w:spacing w:val="14"/>
                <w:sz w:val="28"/>
                <w:szCs w:val="28"/>
              </w:rPr>
              <w:t>e</w:t>
            </w:r>
            <w:r w:rsidRPr="005867E5">
              <w:rPr>
                <w:rFonts w:ascii="Times New Roman" w:hAnsi="Times New Roman"/>
                <w:b/>
                <w:bCs/>
                <w:sz w:val="28"/>
                <w:szCs w:val="28"/>
              </w:rPr>
              <w:t>g</w:t>
            </w:r>
            <w:r w:rsidRPr="005867E5">
              <w:rPr>
                <w:rFonts w:ascii="Times New Roman" w:hAnsi="Times New Roman"/>
                <w:b/>
                <w:bCs/>
                <w:spacing w:val="-7"/>
                <w:sz w:val="28"/>
                <w:szCs w:val="28"/>
              </w:rPr>
              <w:t>i</w:t>
            </w:r>
            <w:r w:rsidRPr="005867E5">
              <w:rPr>
                <w:rFonts w:ascii="Times New Roman" w:hAnsi="Times New Roman"/>
                <w:b/>
                <w:bCs/>
                <w:sz w:val="28"/>
                <w:szCs w:val="28"/>
              </w:rPr>
              <w:t>o</w:t>
            </w:r>
            <w:r w:rsidRPr="005867E5">
              <w:rPr>
                <w:rFonts w:ascii="Times New Roman" w:hAnsi="Times New Roman"/>
                <w:b/>
                <w:bCs/>
                <w:spacing w:val="-14"/>
                <w:sz w:val="28"/>
                <w:szCs w:val="28"/>
              </w:rPr>
              <w:t>n</w:t>
            </w:r>
            <w:r w:rsidRPr="005867E5">
              <w:rPr>
                <w:rFonts w:ascii="Times New Roman" w:hAnsi="Times New Roman"/>
                <w:b/>
                <w:bCs/>
                <w:sz w:val="28"/>
                <w:szCs w:val="28"/>
              </w:rPr>
              <w:t>al</w:t>
            </w:r>
            <w:r w:rsidRPr="005867E5">
              <w:rPr>
                <w:rFonts w:ascii="Times New Roman" w:hAnsi="Times New Roman"/>
                <w:b/>
                <w:bCs/>
                <w:spacing w:val="29"/>
                <w:sz w:val="28"/>
                <w:szCs w:val="28"/>
              </w:rPr>
              <w:t xml:space="preserve"> </w:t>
            </w:r>
            <w:r w:rsidRPr="005867E5">
              <w:rPr>
                <w:rFonts w:ascii="Times New Roman" w:hAnsi="Times New Roman"/>
                <w:b/>
                <w:bCs/>
                <w:spacing w:val="-11"/>
                <w:sz w:val="28"/>
                <w:szCs w:val="28"/>
              </w:rPr>
              <w:t>T</w:t>
            </w:r>
            <w:r w:rsidRPr="005867E5">
              <w:rPr>
                <w:rFonts w:ascii="Times New Roman" w:hAnsi="Times New Roman"/>
                <w:b/>
                <w:bCs/>
                <w:spacing w:val="-18"/>
                <w:sz w:val="28"/>
                <w:szCs w:val="28"/>
              </w:rPr>
              <w:t>r</w:t>
            </w:r>
            <w:r w:rsidRPr="005867E5">
              <w:rPr>
                <w:rFonts w:ascii="Times New Roman" w:hAnsi="Times New Roman"/>
                <w:b/>
                <w:bCs/>
                <w:sz w:val="28"/>
                <w:szCs w:val="28"/>
              </w:rPr>
              <w:t>a</w:t>
            </w:r>
            <w:r w:rsidRPr="005867E5">
              <w:rPr>
                <w:rFonts w:ascii="Times New Roman" w:hAnsi="Times New Roman"/>
                <w:b/>
                <w:bCs/>
                <w:spacing w:val="-14"/>
                <w:sz w:val="28"/>
                <w:szCs w:val="28"/>
              </w:rPr>
              <w:t>n</w:t>
            </w:r>
            <w:r w:rsidRPr="005867E5">
              <w:rPr>
                <w:rFonts w:ascii="Times New Roman" w:hAnsi="Times New Roman"/>
                <w:b/>
                <w:bCs/>
                <w:spacing w:val="12"/>
                <w:sz w:val="28"/>
                <w:szCs w:val="28"/>
              </w:rPr>
              <w:t>s</w:t>
            </w:r>
            <w:r w:rsidRPr="005867E5">
              <w:rPr>
                <w:rFonts w:ascii="Times New Roman" w:hAnsi="Times New Roman"/>
                <w:b/>
                <w:bCs/>
                <w:spacing w:val="-21"/>
                <w:sz w:val="28"/>
                <w:szCs w:val="28"/>
              </w:rPr>
              <w:t>m</w:t>
            </w:r>
            <w:r w:rsidRPr="005867E5">
              <w:rPr>
                <w:rFonts w:ascii="Times New Roman" w:hAnsi="Times New Roman"/>
                <w:b/>
                <w:bCs/>
                <w:spacing w:val="-7"/>
                <w:sz w:val="28"/>
                <w:szCs w:val="28"/>
              </w:rPr>
              <w:t>i</w:t>
            </w:r>
            <w:r w:rsidRPr="005867E5">
              <w:rPr>
                <w:rFonts w:ascii="Times New Roman" w:hAnsi="Times New Roman"/>
                <w:b/>
                <w:bCs/>
                <w:spacing w:val="12"/>
                <w:sz w:val="28"/>
                <w:szCs w:val="28"/>
              </w:rPr>
              <w:t>ss</w:t>
            </w:r>
            <w:r w:rsidRPr="005867E5">
              <w:rPr>
                <w:rFonts w:ascii="Times New Roman" w:hAnsi="Times New Roman"/>
                <w:b/>
                <w:bCs/>
                <w:spacing w:val="-7"/>
                <w:sz w:val="28"/>
                <w:szCs w:val="28"/>
              </w:rPr>
              <w:t>i</w:t>
            </w:r>
            <w:r w:rsidRPr="005867E5">
              <w:rPr>
                <w:rFonts w:ascii="Times New Roman" w:hAnsi="Times New Roman"/>
                <w:b/>
                <w:bCs/>
                <w:sz w:val="28"/>
                <w:szCs w:val="28"/>
              </w:rPr>
              <w:t xml:space="preserve">on Organizations </w:t>
            </w:r>
            <w:r w:rsidRPr="005867E5">
              <w:rPr>
                <w:rFonts w:ascii="Times New Roman" w:hAnsi="Times New Roman"/>
                <w:b/>
                <w:bCs/>
                <w:w w:val="102"/>
                <w:sz w:val="28"/>
                <w:szCs w:val="28"/>
              </w:rPr>
              <w:t>a</w:t>
            </w:r>
            <w:r w:rsidRPr="005867E5">
              <w:rPr>
                <w:rFonts w:ascii="Times New Roman" w:hAnsi="Times New Roman"/>
                <w:b/>
                <w:bCs/>
                <w:spacing w:val="-14"/>
                <w:w w:val="102"/>
                <w:sz w:val="28"/>
                <w:szCs w:val="28"/>
              </w:rPr>
              <w:t>n</w:t>
            </w:r>
            <w:r w:rsidRPr="005867E5">
              <w:rPr>
                <w:rFonts w:ascii="Times New Roman" w:hAnsi="Times New Roman"/>
                <w:b/>
                <w:bCs/>
                <w:w w:val="102"/>
                <w:sz w:val="28"/>
                <w:szCs w:val="28"/>
              </w:rPr>
              <w:t xml:space="preserve">d </w:t>
            </w:r>
            <w:r w:rsidRPr="005867E5">
              <w:rPr>
                <w:rFonts w:ascii="Times New Roman" w:hAnsi="Times New Roman"/>
                <w:b/>
                <w:bCs/>
                <w:spacing w:val="-4"/>
                <w:sz w:val="28"/>
                <w:szCs w:val="28"/>
              </w:rPr>
              <w:t>I</w:t>
            </w:r>
            <w:r w:rsidRPr="005867E5">
              <w:rPr>
                <w:rFonts w:ascii="Times New Roman" w:hAnsi="Times New Roman"/>
                <w:b/>
                <w:bCs/>
                <w:spacing w:val="-14"/>
                <w:sz w:val="28"/>
                <w:szCs w:val="28"/>
              </w:rPr>
              <w:t>nd</w:t>
            </w:r>
            <w:r w:rsidRPr="005867E5">
              <w:rPr>
                <w:rFonts w:ascii="Times New Roman" w:hAnsi="Times New Roman"/>
                <w:b/>
                <w:bCs/>
                <w:spacing w:val="14"/>
                <w:sz w:val="28"/>
                <w:szCs w:val="28"/>
              </w:rPr>
              <w:t>e</w:t>
            </w:r>
            <w:r w:rsidRPr="005867E5">
              <w:rPr>
                <w:rFonts w:ascii="Times New Roman" w:hAnsi="Times New Roman"/>
                <w:b/>
                <w:bCs/>
                <w:spacing w:val="-14"/>
                <w:sz w:val="28"/>
                <w:szCs w:val="28"/>
              </w:rPr>
              <w:t>p</w:t>
            </w:r>
            <w:r w:rsidRPr="005867E5">
              <w:rPr>
                <w:rFonts w:ascii="Times New Roman" w:hAnsi="Times New Roman"/>
                <w:b/>
                <w:bCs/>
                <w:spacing w:val="14"/>
                <w:sz w:val="28"/>
                <w:szCs w:val="28"/>
              </w:rPr>
              <w:t>e</w:t>
            </w:r>
            <w:r w:rsidRPr="005867E5">
              <w:rPr>
                <w:rFonts w:ascii="Times New Roman" w:hAnsi="Times New Roman"/>
                <w:b/>
                <w:bCs/>
                <w:spacing w:val="-14"/>
                <w:sz w:val="28"/>
                <w:szCs w:val="28"/>
              </w:rPr>
              <w:t>nd</w:t>
            </w:r>
            <w:r w:rsidRPr="005867E5">
              <w:rPr>
                <w:rFonts w:ascii="Times New Roman" w:hAnsi="Times New Roman"/>
                <w:b/>
                <w:bCs/>
                <w:spacing w:val="14"/>
                <w:sz w:val="28"/>
                <w:szCs w:val="28"/>
              </w:rPr>
              <w:t>e</w:t>
            </w:r>
            <w:r w:rsidRPr="005867E5">
              <w:rPr>
                <w:rFonts w:ascii="Times New Roman" w:hAnsi="Times New Roman"/>
                <w:b/>
                <w:bCs/>
                <w:spacing w:val="-14"/>
                <w:sz w:val="28"/>
                <w:szCs w:val="28"/>
              </w:rPr>
              <w:t>n</w:t>
            </w:r>
            <w:r w:rsidRPr="005867E5">
              <w:rPr>
                <w:rFonts w:ascii="Times New Roman" w:hAnsi="Times New Roman"/>
                <w:b/>
                <w:bCs/>
                <w:sz w:val="28"/>
                <w:szCs w:val="28"/>
              </w:rPr>
              <w:t xml:space="preserve">t </w:t>
            </w:r>
            <w:r w:rsidRPr="005867E5">
              <w:rPr>
                <w:rFonts w:ascii="Times New Roman" w:hAnsi="Times New Roman"/>
                <w:b/>
                <w:bCs/>
                <w:spacing w:val="2"/>
                <w:sz w:val="28"/>
                <w:szCs w:val="28"/>
              </w:rPr>
              <w:t>S</w:t>
            </w:r>
            <w:r w:rsidRPr="005867E5">
              <w:rPr>
                <w:rFonts w:ascii="Times New Roman" w:hAnsi="Times New Roman"/>
                <w:b/>
                <w:bCs/>
                <w:sz w:val="28"/>
                <w:szCs w:val="28"/>
              </w:rPr>
              <w:t>y</w:t>
            </w:r>
            <w:r w:rsidRPr="005867E5">
              <w:rPr>
                <w:rFonts w:ascii="Times New Roman" w:hAnsi="Times New Roman"/>
                <w:b/>
                <w:bCs/>
                <w:spacing w:val="12"/>
                <w:sz w:val="28"/>
                <w:szCs w:val="28"/>
              </w:rPr>
              <w:t>s</w:t>
            </w:r>
            <w:r w:rsidRPr="005867E5">
              <w:rPr>
                <w:rFonts w:ascii="Times New Roman" w:hAnsi="Times New Roman"/>
                <w:b/>
                <w:bCs/>
                <w:spacing w:val="-5"/>
                <w:sz w:val="28"/>
                <w:szCs w:val="28"/>
              </w:rPr>
              <w:t>t</w:t>
            </w:r>
            <w:r w:rsidRPr="005867E5">
              <w:rPr>
                <w:rFonts w:ascii="Times New Roman" w:hAnsi="Times New Roman"/>
                <w:b/>
                <w:bCs/>
                <w:spacing w:val="14"/>
                <w:sz w:val="28"/>
                <w:szCs w:val="28"/>
              </w:rPr>
              <w:t>e</w:t>
            </w:r>
            <w:r w:rsidRPr="005867E5">
              <w:rPr>
                <w:rFonts w:ascii="Times New Roman" w:hAnsi="Times New Roman"/>
                <w:b/>
                <w:bCs/>
                <w:sz w:val="28"/>
                <w:szCs w:val="28"/>
              </w:rPr>
              <w:t>m</w:t>
            </w:r>
            <w:r w:rsidRPr="005867E5">
              <w:rPr>
                <w:rFonts w:ascii="Times New Roman" w:hAnsi="Times New Roman"/>
                <w:b/>
                <w:bCs/>
                <w:spacing w:val="-5"/>
                <w:sz w:val="28"/>
                <w:szCs w:val="28"/>
              </w:rPr>
              <w:t xml:space="preserve"> </w:t>
            </w:r>
            <w:r w:rsidRPr="005867E5">
              <w:rPr>
                <w:rFonts w:ascii="Times New Roman" w:hAnsi="Times New Roman"/>
                <w:b/>
                <w:bCs/>
                <w:spacing w:val="-7"/>
                <w:w w:val="102"/>
                <w:sz w:val="28"/>
                <w:szCs w:val="28"/>
              </w:rPr>
              <w:t>O</w:t>
            </w:r>
            <w:r w:rsidRPr="005867E5">
              <w:rPr>
                <w:rFonts w:ascii="Times New Roman" w:hAnsi="Times New Roman"/>
                <w:b/>
                <w:bCs/>
                <w:spacing w:val="-14"/>
                <w:w w:val="102"/>
                <w:sz w:val="28"/>
                <w:szCs w:val="28"/>
              </w:rPr>
              <w:t>p</w:t>
            </w:r>
            <w:r w:rsidRPr="005867E5">
              <w:rPr>
                <w:rFonts w:ascii="Times New Roman" w:hAnsi="Times New Roman"/>
                <w:b/>
                <w:bCs/>
                <w:spacing w:val="14"/>
                <w:w w:val="102"/>
                <w:sz w:val="28"/>
                <w:szCs w:val="28"/>
              </w:rPr>
              <w:t>e</w:t>
            </w:r>
            <w:r w:rsidRPr="005867E5">
              <w:rPr>
                <w:rFonts w:ascii="Times New Roman" w:hAnsi="Times New Roman"/>
                <w:b/>
                <w:bCs/>
                <w:spacing w:val="-18"/>
                <w:w w:val="102"/>
                <w:sz w:val="28"/>
                <w:szCs w:val="28"/>
              </w:rPr>
              <w:t>r</w:t>
            </w:r>
            <w:r w:rsidRPr="005867E5">
              <w:rPr>
                <w:rFonts w:ascii="Times New Roman" w:hAnsi="Times New Roman"/>
                <w:b/>
                <w:bCs/>
                <w:w w:val="102"/>
                <w:sz w:val="28"/>
                <w:szCs w:val="28"/>
              </w:rPr>
              <w:t>a</w:t>
            </w:r>
            <w:r w:rsidRPr="005867E5">
              <w:rPr>
                <w:rFonts w:ascii="Times New Roman" w:hAnsi="Times New Roman"/>
                <w:b/>
                <w:bCs/>
                <w:spacing w:val="-5"/>
                <w:w w:val="102"/>
                <w:sz w:val="28"/>
                <w:szCs w:val="28"/>
              </w:rPr>
              <w:t>t</w:t>
            </w:r>
            <w:r w:rsidRPr="005867E5">
              <w:rPr>
                <w:rFonts w:ascii="Times New Roman" w:hAnsi="Times New Roman"/>
                <w:b/>
                <w:bCs/>
                <w:w w:val="102"/>
                <w:sz w:val="28"/>
                <w:szCs w:val="28"/>
              </w:rPr>
              <w:t>o</w:t>
            </w:r>
            <w:r w:rsidRPr="005867E5">
              <w:rPr>
                <w:rFonts w:ascii="Times New Roman" w:hAnsi="Times New Roman"/>
                <w:b/>
                <w:bCs/>
                <w:spacing w:val="-18"/>
                <w:w w:val="102"/>
                <w:sz w:val="28"/>
                <w:szCs w:val="28"/>
              </w:rPr>
              <w:t>r</w:t>
            </w:r>
            <w:r w:rsidRPr="005867E5">
              <w:rPr>
                <w:rFonts w:ascii="Times New Roman" w:hAnsi="Times New Roman"/>
                <w:b/>
                <w:bCs/>
                <w:w w:val="102"/>
                <w:sz w:val="28"/>
                <w:szCs w:val="28"/>
              </w:rPr>
              <w:t>s.</w:t>
            </w:r>
          </w:p>
        </w:tc>
        <w:tc>
          <w:tcPr>
            <w:tcW w:w="270" w:type="dxa"/>
            <w:shd w:val="clear" w:color="auto" w:fill="auto"/>
          </w:tcPr>
          <w:p w:rsidR="005867E5" w:rsidRDefault="005867E5" w:rsidP="0076570C">
            <w:r>
              <w:t>:</w:t>
            </w:r>
          </w:p>
          <w:p w:rsidR="005867E5" w:rsidRDefault="005867E5" w:rsidP="0076570C">
            <w:r>
              <w:t>:</w:t>
            </w:r>
          </w:p>
          <w:p w:rsidR="005867E5" w:rsidRDefault="005867E5" w:rsidP="0076570C">
            <w:r>
              <w:t>:</w:t>
            </w:r>
          </w:p>
          <w:p w:rsidR="005867E5" w:rsidRDefault="005867E5" w:rsidP="0076570C">
            <w:r>
              <w:t>:</w:t>
            </w:r>
          </w:p>
        </w:tc>
        <w:tc>
          <w:tcPr>
            <w:tcW w:w="4608" w:type="dxa"/>
            <w:shd w:val="clear" w:color="auto" w:fill="auto"/>
          </w:tcPr>
          <w:p w:rsidR="005867E5" w:rsidRDefault="005867E5" w:rsidP="0076570C"/>
          <w:p w:rsidR="005867E5" w:rsidRPr="005867E5" w:rsidRDefault="005867E5" w:rsidP="005867E5">
            <w:pPr>
              <w:autoSpaceDE w:val="0"/>
              <w:autoSpaceDN w:val="0"/>
              <w:adjustRightInd w:val="0"/>
              <w:rPr>
                <w:rFonts w:ascii="Times New Roman" w:hAnsi="Times New Roman"/>
                <w:sz w:val="28"/>
                <w:szCs w:val="28"/>
              </w:rPr>
            </w:pPr>
            <w:r w:rsidRPr="005867E5">
              <w:rPr>
                <w:rFonts w:ascii="Times New Roman" w:hAnsi="Times New Roman"/>
                <w:b/>
                <w:bCs/>
                <w:spacing w:val="7"/>
                <w:sz w:val="28"/>
                <w:szCs w:val="28"/>
              </w:rPr>
              <w:t>D</w:t>
            </w:r>
            <w:r w:rsidRPr="005867E5">
              <w:rPr>
                <w:rFonts w:ascii="Times New Roman" w:hAnsi="Times New Roman"/>
                <w:b/>
                <w:bCs/>
                <w:sz w:val="28"/>
                <w:szCs w:val="28"/>
              </w:rPr>
              <w:t>o</w:t>
            </w:r>
            <w:r w:rsidRPr="005867E5">
              <w:rPr>
                <w:rFonts w:ascii="Times New Roman" w:hAnsi="Times New Roman"/>
                <w:b/>
                <w:bCs/>
                <w:spacing w:val="-2"/>
                <w:sz w:val="28"/>
                <w:szCs w:val="28"/>
              </w:rPr>
              <w:t>c</w:t>
            </w:r>
            <w:r w:rsidRPr="005867E5">
              <w:rPr>
                <w:rFonts w:ascii="Times New Roman" w:hAnsi="Times New Roman"/>
                <w:b/>
                <w:bCs/>
                <w:spacing w:val="2"/>
                <w:sz w:val="28"/>
                <w:szCs w:val="28"/>
              </w:rPr>
              <w:t>k</w:t>
            </w:r>
            <w:r w:rsidRPr="005867E5">
              <w:rPr>
                <w:rFonts w:ascii="Times New Roman" w:hAnsi="Times New Roman"/>
                <w:b/>
                <w:bCs/>
                <w:spacing w:val="14"/>
                <w:sz w:val="28"/>
                <w:szCs w:val="28"/>
              </w:rPr>
              <w:t>e</w:t>
            </w:r>
            <w:r w:rsidRPr="005867E5">
              <w:rPr>
                <w:rFonts w:ascii="Times New Roman" w:hAnsi="Times New Roman"/>
                <w:b/>
                <w:bCs/>
                <w:sz w:val="28"/>
                <w:szCs w:val="28"/>
              </w:rPr>
              <w:t>t</w:t>
            </w:r>
            <w:r w:rsidRPr="005867E5">
              <w:rPr>
                <w:rFonts w:ascii="Times New Roman" w:hAnsi="Times New Roman"/>
                <w:b/>
                <w:bCs/>
                <w:spacing w:val="11"/>
                <w:sz w:val="28"/>
                <w:szCs w:val="28"/>
              </w:rPr>
              <w:t xml:space="preserve"> </w:t>
            </w:r>
            <w:r w:rsidRPr="005867E5">
              <w:rPr>
                <w:rFonts w:ascii="Times New Roman" w:hAnsi="Times New Roman"/>
                <w:b/>
                <w:bCs/>
                <w:spacing w:val="7"/>
                <w:sz w:val="28"/>
                <w:szCs w:val="28"/>
              </w:rPr>
              <w:t>N</w:t>
            </w:r>
            <w:r w:rsidRPr="005867E5">
              <w:rPr>
                <w:rFonts w:ascii="Times New Roman" w:hAnsi="Times New Roman"/>
                <w:b/>
                <w:bCs/>
                <w:sz w:val="28"/>
                <w:szCs w:val="28"/>
              </w:rPr>
              <w:t>o.</w:t>
            </w:r>
            <w:r w:rsidRPr="005867E5">
              <w:rPr>
                <w:rFonts w:ascii="Times New Roman" w:hAnsi="Times New Roman"/>
                <w:b/>
                <w:bCs/>
                <w:spacing w:val="9"/>
                <w:sz w:val="28"/>
                <w:szCs w:val="28"/>
              </w:rPr>
              <w:t xml:space="preserve"> </w:t>
            </w:r>
            <w:proofErr w:type="spellStart"/>
            <w:r w:rsidRPr="005867E5">
              <w:rPr>
                <w:rFonts w:ascii="Times New Roman" w:hAnsi="Times New Roman"/>
                <w:b/>
                <w:bCs/>
                <w:spacing w:val="-9"/>
                <w:w w:val="102"/>
                <w:sz w:val="28"/>
                <w:szCs w:val="28"/>
              </w:rPr>
              <w:t>A</w:t>
            </w:r>
            <w:r w:rsidRPr="005867E5">
              <w:rPr>
                <w:rFonts w:ascii="Times New Roman" w:hAnsi="Times New Roman"/>
                <w:b/>
                <w:bCs/>
                <w:spacing w:val="7"/>
                <w:w w:val="102"/>
                <w:sz w:val="28"/>
                <w:szCs w:val="28"/>
              </w:rPr>
              <w:t>D</w:t>
            </w:r>
            <w:r w:rsidRPr="005867E5">
              <w:rPr>
                <w:rFonts w:ascii="Times New Roman" w:hAnsi="Times New Roman"/>
                <w:b/>
                <w:bCs/>
                <w:w w:val="102"/>
                <w:sz w:val="28"/>
                <w:szCs w:val="28"/>
              </w:rPr>
              <w:t>13</w:t>
            </w:r>
            <w:proofErr w:type="spellEnd"/>
            <w:r w:rsidRPr="005867E5">
              <w:rPr>
                <w:rFonts w:ascii="Times New Roman" w:hAnsi="Times New Roman"/>
                <w:b/>
                <w:bCs/>
                <w:spacing w:val="-5"/>
                <w:w w:val="102"/>
                <w:sz w:val="28"/>
                <w:szCs w:val="28"/>
              </w:rPr>
              <w:t>-</w:t>
            </w:r>
            <w:r w:rsidRPr="005867E5">
              <w:rPr>
                <w:rFonts w:ascii="Times New Roman" w:hAnsi="Times New Roman"/>
                <w:b/>
                <w:bCs/>
                <w:w w:val="102"/>
                <w:sz w:val="28"/>
                <w:szCs w:val="28"/>
              </w:rPr>
              <w:t>7</w:t>
            </w:r>
            <w:r w:rsidRPr="005867E5">
              <w:rPr>
                <w:rFonts w:ascii="Times New Roman" w:hAnsi="Times New Roman"/>
                <w:b/>
                <w:bCs/>
                <w:spacing w:val="-5"/>
                <w:w w:val="102"/>
                <w:sz w:val="28"/>
                <w:szCs w:val="28"/>
              </w:rPr>
              <w:t>-</w:t>
            </w:r>
            <w:r w:rsidRPr="005867E5">
              <w:rPr>
                <w:rFonts w:ascii="Times New Roman" w:hAnsi="Times New Roman"/>
                <w:b/>
                <w:bCs/>
                <w:w w:val="102"/>
                <w:sz w:val="28"/>
                <w:szCs w:val="28"/>
              </w:rPr>
              <w:t>000</w:t>
            </w:r>
          </w:p>
          <w:p w:rsidR="005867E5" w:rsidRDefault="005867E5" w:rsidP="0076570C"/>
        </w:tc>
      </w:tr>
    </w:tbl>
    <w:p w:rsidR="0076570C" w:rsidRDefault="0076570C" w:rsidP="0076570C"/>
    <w:p w:rsidR="005867E5" w:rsidRPr="00DF3A2C" w:rsidRDefault="005867E5" w:rsidP="005867E5">
      <w:pPr>
        <w:autoSpaceDE w:val="0"/>
        <w:autoSpaceDN w:val="0"/>
        <w:adjustRightInd w:val="0"/>
        <w:spacing w:line="260" w:lineRule="exact"/>
        <w:ind w:left="40" w:right="-20"/>
        <w:jc w:val="center"/>
        <w:rPr>
          <w:rFonts w:ascii="Times New Roman" w:hAnsi="Times New Roman"/>
          <w:sz w:val="28"/>
          <w:szCs w:val="28"/>
        </w:rPr>
      </w:pPr>
    </w:p>
    <w:p w:rsidR="005867E5" w:rsidRPr="00DF3A2C" w:rsidRDefault="005867E5" w:rsidP="005867E5">
      <w:pPr>
        <w:autoSpaceDE w:val="0"/>
        <w:autoSpaceDN w:val="0"/>
        <w:adjustRightInd w:val="0"/>
        <w:ind w:left="2160" w:right="3261" w:firstLine="720"/>
        <w:jc w:val="center"/>
        <w:rPr>
          <w:rFonts w:ascii="Times New Roman" w:hAnsi="Times New Roman"/>
          <w:sz w:val="28"/>
          <w:szCs w:val="28"/>
        </w:rPr>
      </w:pPr>
    </w:p>
    <w:p w:rsidR="0076570C" w:rsidRDefault="0076570C" w:rsidP="0076570C"/>
    <w:p w:rsidR="0076570C" w:rsidRDefault="0076570C" w:rsidP="0076570C"/>
    <w:p w:rsidR="005867E5" w:rsidRDefault="005867E5" w:rsidP="0076570C"/>
    <w:p w:rsidR="005867E5" w:rsidRDefault="005867E5" w:rsidP="0076570C"/>
    <w:p w:rsidR="005867E5" w:rsidRDefault="005867E5" w:rsidP="0076570C"/>
    <w:p w:rsidR="005867E5" w:rsidRDefault="005867E5" w:rsidP="0076570C"/>
    <w:p w:rsidR="005867E5" w:rsidRDefault="005867E5" w:rsidP="0076570C"/>
    <w:p w:rsidR="0076570C" w:rsidRDefault="0076570C" w:rsidP="0076570C"/>
    <w:p w:rsidR="0076570C" w:rsidRPr="005867E5" w:rsidRDefault="0076570C" w:rsidP="005867E5">
      <w:pPr>
        <w:jc w:val="center"/>
        <w:rPr>
          <w:rFonts w:ascii="Times New Roman Bold" w:hAnsi="Times New Roman Bold"/>
          <w:b/>
          <w:caps/>
          <w:sz w:val="28"/>
          <w:szCs w:val="28"/>
        </w:rPr>
      </w:pPr>
      <w:bookmarkStart w:id="2" w:name="_Toc366218543"/>
      <w:r w:rsidRPr="005867E5">
        <w:rPr>
          <w:rFonts w:ascii="Times New Roman Bold" w:hAnsi="Times New Roman Bold"/>
          <w:b/>
          <w:caps/>
          <w:sz w:val="28"/>
          <w:szCs w:val="28"/>
        </w:rPr>
        <w:t>Mechanics of Current Centralized Capacity Markets</w:t>
      </w:r>
      <w:bookmarkEnd w:id="2"/>
    </w:p>
    <w:p w:rsidR="0076570C" w:rsidRDefault="0076570C" w:rsidP="0076570C"/>
    <w:p w:rsidR="0076570C" w:rsidRDefault="0076570C" w:rsidP="0076570C"/>
    <w:p w:rsidR="0076570C" w:rsidRPr="00C248E8" w:rsidRDefault="0076570C" w:rsidP="0076570C"/>
    <w:p w:rsidR="0076570C" w:rsidRPr="005867E5" w:rsidRDefault="0076570C" w:rsidP="005867E5">
      <w:pPr>
        <w:jc w:val="center"/>
        <w:rPr>
          <w:rFonts w:ascii="Times New Roman" w:hAnsi="Times New Roman"/>
          <w:b/>
          <w:sz w:val="28"/>
          <w:szCs w:val="28"/>
        </w:rPr>
      </w:pPr>
      <w:bookmarkStart w:id="3" w:name="_Toc366218544"/>
      <w:r w:rsidRPr="005867E5">
        <w:rPr>
          <w:rFonts w:ascii="Times New Roman" w:hAnsi="Times New Roman"/>
          <w:b/>
          <w:sz w:val="28"/>
          <w:szCs w:val="28"/>
        </w:rPr>
        <w:t xml:space="preserve">Todd A. </w:t>
      </w:r>
      <w:r w:rsidR="005867E5" w:rsidRPr="005867E5">
        <w:rPr>
          <w:rFonts w:ascii="Times New Roman" w:hAnsi="Times New Roman"/>
          <w:b/>
          <w:sz w:val="28"/>
          <w:szCs w:val="28"/>
        </w:rPr>
        <w:t>Snitchler, Chairman</w:t>
      </w:r>
      <w:r w:rsidRPr="005867E5">
        <w:rPr>
          <w:rFonts w:ascii="Times New Roman" w:hAnsi="Times New Roman"/>
          <w:b/>
          <w:sz w:val="28"/>
          <w:szCs w:val="28"/>
        </w:rPr>
        <w:br/>
        <w:t>Public Utilities Commission of Ohio</w:t>
      </w:r>
      <w:bookmarkEnd w:id="3"/>
    </w:p>
    <w:p w:rsidR="0076570C" w:rsidRPr="005867E5" w:rsidRDefault="0076570C" w:rsidP="0076570C">
      <w:pPr>
        <w:rPr>
          <w:sz w:val="28"/>
          <w:szCs w:val="28"/>
        </w:rPr>
      </w:pPr>
    </w:p>
    <w:p w:rsidR="0076570C" w:rsidRDefault="0076570C" w:rsidP="0076570C"/>
    <w:p w:rsidR="0076570C" w:rsidRPr="0076570C" w:rsidRDefault="0076570C" w:rsidP="0076570C">
      <w:pPr>
        <w:sectPr w:rsidR="0076570C" w:rsidRPr="0076570C" w:rsidSect="000B4113">
          <w:headerReference w:type="default" r:id="rId9"/>
          <w:headerReference w:type="first" r:id="rId10"/>
          <w:footerReference w:type="first" r:id="rId11"/>
          <w:pgSz w:w="12240" w:h="15840" w:code="1"/>
          <w:pgMar w:top="1440" w:right="1440" w:bottom="1440" w:left="1440" w:header="720" w:footer="720" w:gutter="0"/>
          <w:pgNumType w:start="1"/>
          <w:cols w:space="720"/>
          <w:titlePg/>
          <w:docGrid w:linePitch="272"/>
        </w:sectPr>
      </w:pPr>
    </w:p>
    <w:p w:rsidR="006B36B0" w:rsidRDefault="0076570C">
      <w:pPr>
        <w:pStyle w:val="TOC1"/>
        <w:rPr>
          <w:rFonts w:asciiTheme="minorHAnsi" w:eastAsiaTheme="minorEastAsia" w:hAnsiTheme="minorHAnsi" w:cstheme="minorBidi"/>
          <w:noProof/>
          <w:sz w:val="22"/>
          <w:szCs w:val="22"/>
        </w:rPr>
      </w:pPr>
      <w:r>
        <w:rPr>
          <w:szCs w:val="26"/>
        </w:rPr>
        <w:lastRenderedPageBreak/>
        <w:fldChar w:fldCharType="begin"/>
      </w:r>
      <w:r>
        <w:rPr>
          <w:szCs w:val="26"/>
        </w:rPr>
        <w:instrText xml:space="preserve"> TOC \o "1-4" \u </w:instrText>
      </w:r>
      <w:r>
        <w:rPr>
          <w:szCs w:val="26"/>
        </w:rPr>
        <w:fldChar w:fldCharType="separate"/>
      </w:r>
      <w:r w:rsidR="006B36B0">
        <w:rPr>
          <w:noProof/>
        </w:rPr>
        <w:t>DISCUSSION</w:t>
      </w:r>
      <w:r w:rsidR="006B36B0">
        <w:rPr>
          <w:noProof/>
        </w:rPr>
        <w:tab/>
      </w:r>
      <w:r w:rsidR="006B36B0">
        <w:rPr>
          <w:noProof/>
        </w:rPr>
        <w:fldChar w:fldCharType="begin"/>
      </w:r>
      <w:r w:rsidR="006B36B0">
        <w:rPr>
          <w:noProof/>
        </w:rPr>
        <w:instrText xml:space="preserve"> PAGEREF _Toc366221468 \h </w:instrText>
      </w:r>
      <w:r w:rsidR="006B36B0">
        <w:rPr>
          <w:noProof/>
        </w:rPr>
      </w:r>
      <w:r w:rsidR="006B36B0">
        <w:rPr>
          <w:noProof/>
        </w:rPr>
        <w:fldChar w:fldCharType="separate"/>
      </w:r>
      <w:r w:rsidR="00752AE5">
        <w:rPr>
          <w:noProof/>
        </w:rPr>
        <w:t>1</w:t>
      </w:r>
      <w:r w:rsidR="006B36B0">
        <w:rPr>
          <w:noProof/>
        </w:rPr>
        <w:fldChar w:fldCharType="end"/>
      </w:r>
    </w:p>
    <w:p w:rsidR="006B36B0" w:rsidRDefault="006B36B0">
      <w:pPr>
        <w:pStyle w:val="TOC2"/>
        <w:tabs>
          <w:tab w:val="left" w:pos="144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How effective are the existing centralized capacity markets in assuring that resource adequacy needs are met at just and reasonable rates?</w:t>
      </w:r>
      <w:r>
        <w:rPr>
          <w:noProof/>
        </w:rPr>
        <w:tab/>
      </w:r>
      <w:r>
        <w:rPr>
          <w:noProof/>
        </w:rPr>
        <w:fldChar w:fldCharType="begin"/>
      </w:r>
      <w:r>
        <w:rPr>
          <w:noProof/>
        </w:rPr>
        <w:instrText xml:space="preserve"> PAGEREF _Toc366221469 \h </w:instrText>
      </w:r>
      <w:r>
        <w:rPr>
          <w:noProof/>
        </w:rPr>
      </w:r>
      <w:r>
        <w:rPr>
          <w:noProof/>
        </w:rPr>
        <w:fldChar w:fldCharType="separate"/>
      </w:r>
      <w:r w:rsidR="00752AE5">
        <w:rPr>
          <w:noProof/>
        </w:rPr>
        <w:t>1</w:t>
      </w:r>
      <w:r>
        <w:rPr>
          <w:noProof/>
        </w:rPr>
        <w:fldChar w:fldCharType="end"/>
      </w:r>
    </w:p>
    <w:p w:rsidR="006B36B0" w:rsidRDefault="006B36B0">
      <w:pPr>
        <w:pStyle w:val="TOC2"/>
        <w:tabs>
          <w:tab w:val="left" w:pos="144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What modifications, if any, would you recommend be made to capacity markets in general or to specific capacity market design elements?</w:t>
      </w:r>
      <w:r>
        <w:rPr>
          <w:noProof/>
        </w:rPr>
        <w:tab/>
      </w:r>
      <w:r>
        <w:rPr>
          <w:noProof/>
        </w:rPr>
        <w:fldChar w:fldCharType="begin"/>
      </w:r>
      <w:r>
        <w:rPr>
          <w:noProof/>
        </w:rPr>
        <w:instrText xml:space="preserve"> PAGEREF _Toc366221470 \h </w:instrText>
      </w:r>
      <w:r>
        <w:rPr>
          <w:noProof/>
        </w:rPr>
      </w:r>
      <w:r>
        <w:rPr>
          <w:noProof/>
        </w:rPr>
        <w:fldChar w:fldCharType="separate"/>
      </w:r>
      <w:r w:rsidR="00752AE5">
        <w:rPr>
          <w:noProof/>
        </w:rPr>
        <w:t>2</w:t>
      </w:r>
      <w:r>
        <w:rPr>
          <w:noProof/>
        </w:rPr>
        <w:fldChar w:fldCharType="end"/>
      </w:r>
    </w:p>
    <w:p w:rsidR="006B36B0" w:rsidRDefault="006B36B0">
      <w:pPr>
        <w:pStyle w:val="TOC3"/>
        <w:tabs>
          <w:tab w:val="left" w:pos="216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Demand Response</w:t>
      </w:r>
      <w:r>
        <w:rPr>
          <w:noProof/>
        </w:rPr>
        <w:tab/>
      </w:r>
      <w:r>
        <w:rPr>
          <w:noProof/>
        </w:rPr>
        <w:fldChar w:fldCharType="begin"/>
      </w:r>
      <w:r>
        <w:rPr>
          <w:noProof/>
        </w:rPr>
        <w:instrText xml:space="preserve"> PAGEREF _Toc366221471 \h </w:instrText>
      </w:r>
      <w:r>
        <w:rPr>
          <w:noProof/>
        </w:rPr>
      </w:r>
      <w:r>
        <w:rPr>
          <w:noProof/>
        </w:rPr>
        <w:fldChar w:fldCharType="separate"/>
      </w:r>
      <w:r w:rsidR="00752AE5">
        <w:rPr>
          <w:noProof/>
        </w:rPr>
        <w:t>3</w:t>
      </w:r>
      <w:r>
        <w:rPr>
          <w:noProof/>
        </w:rPr>
        <w:fldChar w:fldCharType="end"/>
      </w:r>
    </w:p>
    <w:p w:rsidR="006B36B0" w:rsidRDefault="006B36B0">
      <w:pPr>
        <w:pStyle w:val="TOC3"/>
        <w:tabs>
          <w:tab w:val="left" w:pos="216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Energy Efficiency</w:t>
      </w:r>
      <w:r>
        <w:rPr>
          <w:noProof/>
        </w:rPr>
        <w:tab/>
      </w:r>
      <w:r>
        <w:rPr>
          <w:noProof/>
        </w:rPr>
        <w:fldChar w:fldCharType="begin"/>
      </w:r>
      <w:r>
        <w:rPr>
          <w:noProof/>
        </w:rPr>
        <w:instrText xml:space="preserve"> PAGEREF _Toc366221472 \h </w:instrText>
      </w:r>
      <w:r>
        <w:rPr>
          <w:noProof/>
        </w:rPr>
      </w:r>
      <w:r>
        <w:rPr>
          <w:noProof/>
        </w:rPr>
        <w:fldChar w:fldCharType="separate"/>
      </w:r>
      <w:r w:rsidR="00752AE5">
        <w:rPr>
          <w:noProof/>
        </w:rPr>
        <w:t>6</w:t>
      </w:r>
      <w:r>
        <w:rPr>
          <w:noProof/>
        </w:rPr>
        <w:fldChar w:fldCharType="end"/>
      </w:r>
    </w:p>
    <w:p w:rsidR="006B36B0" w:rsidRDefault="006B36B0">
      <w:pPr>
        <w:pStyle w:val="TOC3"/>
        <w:tabs>
          <w:tab w:val="left" w:pos="216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Replacement Capacity</w:t>
      </w:r>
      <w:r>
        <w:rPr>
          <w:noProof/>
        </w:rPr>
        <w:tab/>
      </w:r>
      <w:r>
        <w:rPr>
          <w:noProof/>
        </w:rPr>
        <w:fldChar w:fldCharType="begin"/>
      </w:r>
      <w:r>
        <w:rPr>
          <w:noProof/>
        </w:rPr>
        <w:instrText xml:space="preserve"> PAGEREF _Toc366221473 \h </w:instrText>
      </w:r>
      <w:r>
        <w:rPr>
          <w:noProof/>
        </w:rPr>
      </w:r>
      <w:r>
        <w:rPr>
          <w:noProof/>
        </w:rPr>
        <w:fldChar w:fldCharType="separate"/>
      </w:r>
      <w:r w:rsidR="00752AE5">
        <w:rPr>
          <w:noProof/>
        </w:rPr>
        <w:t>6</w:t>
      </w:r>
      <w:r>
        <w:rPr>
          <w:noProof/>
        </w:rPr>
        <w:fldChar w:fldCharType="end"/>
      </w:r>
    </w:p>
    <w:p w:rsidR="006B36B0" w:rsidRDefault="006B36B0">
      <w:pPr>
        <w:pStyle w:val="TOC3"/>
        <w:tabs>
          <w:tab w:val="left" w:pos="216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Minimum Offer Price Rule</w:t>
      </w:r>
      <w:r>
        <w:rPr>
          <w:noProof/>
        </w:rPr>
        <w:tab/>
      </w:r>
      <w:r>
        <w:rPr>
          <w:noProof/>
        </w:rPr>
        <w:fldChar w:fldCharType="begin"/>
      </w:r>
      <w:r>
        <w:rPr>
          <w:noProof/>
        </w:rPr>
        <w:instrText xml:space="preserve"> PAGEREF _Toc366221474 \h </w:instrText>
      </w:r>
      <w:r>
        <w:rPr>
          <w:noProof/>
        </w:rPr>
      </w:r>
      <w:r>
        <w:rPr>
          <w:noProof/>
        </w:rPr>
        <w:fldChar w:fldCharType="separate"/>
      </w:r>
      <w:r w:rsidR="00752AE5">
        <w:rPr>
          <w:noProof/>
        </w:rPr>
        <w:t>7</w:t>
      </w:r>
      <w:r>
        <w:rPr>
          <w:noProof/>
        </w:rPr>
        <w:fldChar w:fldCharType="end"/>
      </w:r>
    </w:p>
    <w:p w:rsidR="006B36B0" w:rsidRDefault="006B36B0">
      <w:pPr>
        <w:pStyle w:val="TOC2"/>
        <w:tabs>
          <w:tab w:val="left" w:pos="144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Centralized capacity market design elements necessarily interact with each other and with the energy and ancillary services markets.  Are there problems created by this interaction that should be addressed to improve the functioning of centralized capacity markets or energy markets?</w:t>
      </w:r>
      <w:r>
        <w:rPr>
          <w:noProof/>
        </w:rPr>
        <w:tab/>
      </w:r>
      <w:r>
        <w:rPr>
          <w:noProof/>
        </w:rPr>
        <w:fldChar w:fldCharType="begin"/>
      </w:r>
      <w:r>
        <w:rPr>
          <w:noProof/>
        </w:rPr>
        <w:instrText xml:space="preserve"> PAGEREF _Toc366221475 \h </w:instrText>
      </w:r>
      <w:r>
        <w:rPr>
          <w:noProof/>
        </w:rPr>
      </w:r>
      <w:r>
        <w:rPr>
          <w:noProof/>
        </w:rPr>
        <w:fldChar w:fldCharType="separate"/>
      </w:r>
      <w:r w:rsidR="00752AE5">
        <w:rPr>
          <w:noProof/>
        </w:rPr>
        <w:t>10</w:t>
      </w:r>
      <w:r>
        <w:rPr>
          <w:noProof/>
        </w:rPr>
        <w:fldChar w:fldCharType="end"/>
      </w:r>
    </w:p>
    <w:p w:rsidR="006B36B0" w:rsidRDefault="006B36B0">
      <w:pPr>
        <w:pStyle w:val="TOC2"/>
        <w:tabs>
          <w:tab w:val="left" w:pos="144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Regional capacity markets also interact with each other.  What are the implications of regional differences in capacity market designs?</w:t>
      </w:r>
      <w:r>
        <w:rPr>
          <w:noProof/>
        </w:rPr>
        <w:tab/>
      </w:r>
      <w:r>
        <w:rPr>
          <w:noProof/>
        </w:rPr>
        <w:fldChar w:fldCharType="begin"/>
      </w:r>
      <w:r>
        <w:rPr>
          <w:noProof/>
        </w:rPr>
        <w:instrText xml:space="preserve"> PAGEREF _Toc366221476 \h </w:instrText>
      </w:r>
      <w:r>
        <w:rPr>
          <w:noProof/>
        </w:rPr>
      </w:r>
      <w:r>
        <w:rPr>
          <w:noProof/>
        </w:rPr>
        <w:fldChar w:fldCharType="separate"/>
      </w:r>
      <w:r w:rsidR="00752AE5">
        <w:rPr>
          <w:noProof/>
        </w:rPr>
        <w:t>10</w:t>
      </w:r>
      <w:r>
        <w:rPr>
          <w:noProof/>
        </w:rPr>
        <w:fldChar w:fldCharType="end"/>
      </w:r>
    </w:p>
    <w:p w:rsidR="006B36B0" w:rsidRDefault="006B36B0">
      <w:pPr>
        <w:pStyle w:val="TOC2"/>
        <w:tabs>
          <w:tab w:val="left" w:pos="144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What is the impact on centralized capacity markets of transmission system upgrades and expansions?  Can transmission planning be more effectively integrated with or accounted for in the design elements of centralized capacity markets?</w:t>
      </w:r>
      <w:r>
        <w:rPr>
          <w:noProof/>
        </w:rPr>
        <w:tab/>
      </w:r>
      <w:r>
        <w:rPr>
          <w:noProof/>
        </w:rPr>
        <w:fldChar w:fldCharType="begin"/>
      </w:r>
      <w:r>
        <w:rPr>
          <w:noProof/>
        </w:rPr>
        <w:instrText xml:space="preserve"> PAGEREF _Toc366221477 \h </w:instrText>
      </w:r>
      <w:r>
        <w:rPr>
          <w:noProof/>
        </w:rPr>
      </w:r>
      <w:r>
        <w:rPr>
          <w:noProof/>
        </w:rPr>
        <w:fldChar w:fldCharType="separate"/>
      </w:r>
      <w:r w:rsidR="00752AE5">
        <w:rPr>
          <w:noProof/>
        </w:rPr>
        <w:t>13</w:t>
      </w:r>
      <w:r>
        <w:rPr>
          <w:noProof/>
        </w:rPr>
        <w:fldChar w:fldCharType="end"/>
      </w:r>
    </w:p>
    <w:p w:rsidR="006B36B0" w:rsidRDefault="006B36B0">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_Toc366221478 \h </w:instrText>
      </w:r>
      <w:r>
        <w:rPr>
          <w:noProof/>
        </w:rPr>
      </w:r>
      <w:r>
        <w:rPr>
          <w:noProof/>
        </w:rPr>
        <w:fldChar w:fldCharType="separate"/>
      </w:r>
      <w:r w:rsidR="00752AE5">
        <w:rPr>
          <w:noProof/>
        </w:rPr>
        <w:t>14</w:t>
      </w:r>
      <w:r>
        <w:rPr>
          <w:noProof/>
        </w:rPr>
        <w:fldChar w:fldCharType="end"/>
      </w:r>
    </w:p>
    <w:p w:rsidR="0076570C" w:rsidRPr="0076570C" w:rsidRDefault="0076570C" w:rsidP="0076570C">
      <w:pPr>
        <w:rPr>
          <w:rFonts w:ascii="Times New Roman" w:hAnsi="Times New Roman"/>
          <w:sz w:val="26"/>
          <w:szCs w:val="26"/>
        </w:rPr>
      </w:pPr>
      <w:r>
        <w:rPr>
          <w:rFonts w:ascii="Times New Roman" w:hAnsi="Times New Roman"/>
          <w:sz w:val="26"/>
          <w:szCs w:val="26"/>
        </w:rPr>
        <w:fldChar w:fldCharType="end"/>
      </w:r>
    </w:p>
    <w:p w:rsidR="0076570C" w:rsidRPr="0076570C" w:rsidRDefault="0076570C" w:rsidP="0076570C"/>
    <w:p w:rsidR="0076570C" w:rsidRPr="0076570C" w:rsidRDefault="0076570C" w:rsidP="0076570C">
      <w:pPr>
        <w:sectPr w:rsidR="0076570C" w:rsidRPr="0076570C" w:rsidSect="000B4113">
          <w:head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272"/>
        </w:sectPr>
      </w:pPr>
    </w:p>
    <w:p w:rsidR="005867E5" w:rsidRPr="005867E5" w:rsidRDefault="005867E5" w:rsidP="005867E5">
      <w:pPr>
        <w:jc w:val="center"/>
        <w:rPr>
          <w:rFonts w:ascii="Times New Roman Bold" w:hAnsi="Times New Roman Bold"/>
          <w:b/>
          <w:caps/>
          <w:sz w:val="28"/>
          <w:szCs w:val="28"/>
        </w:rPr>
      </w:pPr>
      <w:r w:rsidRPr="005867E5">
        <w:rPr>
          <w:rFonts w:ascii="Times New Roman Bold" w:hAnsi="Times New Roman Bold"/>
          <w:b/>
          <w:caps/>
          <w:sz w:val="28"/>
          <w:szCs w:val="28"/>
        </w:rPr>
        <w:lastRenderedPageBreak/>
        <w:t>Mechanics of Current Centralized Capacity Markets</w:t>
      </w:r>
    </w:p>
    <w:p w:rsidR="005867E5" w:rsidRDefault="005867E5" w:rsidP="005867E5"/>
    <w:p w:rsidR="005867E5" w:rsidRDefault="005867E5" w:rsidP="005867E5"/>
    <w:p w:rsidR="005867E5" w:rsidRPr="00C248E8" w:rsidRDefault="005867E5" w:rsidP="005867E5"/>
    <w:p w:rsidR="005867E5" w:rsidRPr="005867E5" w:rsidRDefault="005867E5" w:rsidP="005867E5">
      <w:pPr>
        <w:jc w:val="center"/>
        <w:rPr>
          <w:rFonts w:ascii="Times New Roman" w:hAnsi="Times New Roman"/>
          <w:b/>
          <w:sz w:val="28"/>
          <w:szCs w:val="28"/>
        </w:rPr>
      </w:pPr>
      <w:r w:rsidRPr="005867E5">
        <w:rPr>
          <w:rFonts w:ascii="Times New Roman" w:hAnsi="Times New Roman"/>
          <w:b/>
          <w:sz w:val="28"/>
          <w:szCs w:val="28"/>
        </w:rPr>
        <w:t>Todd A. Snitchler, Chairman</w:t>
      </w:r>
      <w:r w:rsidRPr="005867E5">
        <w:rPr>
          <w:rFonts w:ascii="Times New Roman" w:hAnsi="Times New Roman"/>
          <w:b/>
          <w:sz w:val="28"/>
          <w:szCs w:val="28"/>
        </w:rPr>
        <w:br/>
        <w:t>Public Utilities Commission of Ohio</w:t>
      </w:r>
    </w:p>
    <w:p w:rsidR="00C248E8" w:rsidRDefault="00C248E8" w:rsidP="00C248E8"/>
    <w:p w:rsidR="00C248E8" w:rsidRPr="00C248E8" w:rsidRDefault="00C248E8" w:rsidP="00C248E8"/>
    <w:bookmarkEnd w:id="0"/>
    <w:p w:rsidR="008F3EC7" w:rsidRDefault="008F3EC7" w:rsidP="005867E5">
      <w:pPr>
        <w:pStyle w:val="Textstyle"/>
      </w:pPr>
      <w:r>
        <w:tab/>
      </w:r>
      <w:r w:rsidRPr="001350FB">
        <w:t>Good morning.</w:t>
      </w:r>
      <w:r>
        <w:t xml:space="preserve"> </w:t>
      </w:r>
      <w:r w:rsidRPr="001350FB">
        <w:t xml:space="preserve"> My name is Todd Snitchler and I am the Chairman of the Public Utilities Commission of Ohio.  Thank you for inviting me to </w:t>
      </w:r>
      <w:r>
        <w:t xml:space="preserve">explain </w:t>
      </w:r>
      <w:r w:rsidRPr="001350FB">
        <w:t xml:space="preserve">the Ohio Commission’s views of the centralized capacity markets. </w:t>
      </w:r>
    </w:p>
    <w:p w:rsidR="005867E5" w:rsidRPr="001350FB" w:rsidRDefault="005867E5" w:rsidP="005867E5">
      <w:pPr>
        <w:pStyle w:val="Heading1"/>
      </w:pPr>
      <w:bookmarkStart w:id="4" w:name="_Toc366221468"/>
      <w:r>
        <w:t>DISCUSSION</w:t>
      </w:r>
      <w:bookmarkEnd w:id="4"/>
    </w:p>
    <w:p w:rsidR="008F3EC7" w:rsidRPr="001350FB" w:rsidRDefault="008F3EC7" w:rsidP="005867E5">
      <w:pPr>
        <w:pStyle w:val="Heading2"/>
      </w:pPr>
      <w:bookmarkStart w:id="5" w:name="_Toc366221469"/>
      <w:r w:rsidRPr="008F3EC7">
        <w:t>How effective are the existing centralized capacity markets in assuring that resource adequacy needs are met at just and reasonable rates?</w:t>
      </w:r>
      <w:bookmarkEnd w:id="5"/>
      <w:r w:rsidRPr="008F3EC7">
        <w:t xml:space="preserve"> </w:t>
      </w:r>
    </w:p>
    <w:p w:rsidR="008F3EC7" w:rsidRPr="001350FB" w:rsidRDefault="008F3EC7" w:rsidP="005867E5">
      <w:pPr>
        <w:pStyle w:val="Textstyle"/>
      </w:pPr>
      <w:r>
        <w:tab/>
      </w:r>
      <w:r w:rsidRPr="001350FB">
        <w:t>Ohio is a retail choice state for electric generation service</w:t>
      </w:r>
      <w:r>
        <w:t xml:space="preserve">.  </w:t>
      </w:r>
      <w:r w:rsidRPr="001350FB">
        <w:t>Generation ser</w:t>
      </w:r>
      <w:r w:rsidR="007F7B90">
        <w:softHyphen/>
      </w:r>
      <w:r w:rsidRPr="001350FB">
        <w:t xml:space="preserve">vice in Ohio is deregulated, and we have been monitoring the outcomes of PJM’s reliability pricing model (RPM) </w:t>
      </w:r>
      <w:r>
        <w:t xml:space="preserve">auctions with great interest.  </w:t>
      </w:r>
      <w:r w:rsidRPr="001350FB">
        <w:t>To say the least, the auction results have lacked consistent outcomes from year to year.  The results of our monitoring lead me to conclude that it is now time for FERC to initi</w:t>
      </w:r>
      <w:r w:rsidR="00C248E8">
        <w:softHyphen/>
      </w:r>
      <w:r w:rsidRPr="001350FB">
        <w:t>ate a pro</w:t>
      </w:r>
      <w:r w:rsidR="007F7B90">
        <w:softHyphen/>
      </w:r>
      <w:r w:rsidRPr="001350FB">
        <w:t>ceeding to review the policies affecting RPM auctions.  The Ohio Com</w:t>
      </w:r>
      <w:r w:rsidR="00C248E8">
        <w:softHyphen/>
      </w:r>
      <w:r w:rsidRPr="001350FB">
        <w:t>mission is becoming more and more concerned that the price of capacity for mer</w:t>
      </w:r>
      <w:r w:rsidR="00C248E8">
        <w:softHyphen/>
      </w:r>
      <w:r w:rsidRPr="001350FB">
        <w:t>chant gener</w:t>
      </w:r>
      <w:r w:rsidR="007F7B90">
        <w:softHyphen/>
      </w:r>
      <w:r w:rsidRPr="001350FB">
        <w:t xml:space="preserve">ation is below economic levels as a result </w:t>
      </w:r>
      <w:r w:rsidRPr="001E56FD">
        <w:t>of</w:t>
      </w:r>
      <w:r>
        <w:t xml:space="preserve"> FERC</w:t>
      </w:r>
      <w:r w:rsidRPr="001350FB">
        <w:t xml:space="preserve"> policies for other capacity products in the RPM auctions.  I am today, therefore, respectfully requesting that FERC initiate comprehensive proceedings for each regional trans</w:t>
      </w:r>
      <w:r w:rsidR="00C248E8">
        <w:softHyphen/>
      </w:r>
      <w:r w:rsidRPr="001350FB">
        <w:t>mission operator (RTO)</w:t>
      </w:r>
      <w:r>
        <w:t xml:space="preserve"> to</w:t>
      </w:r>
      <w:r w:rsidRPr="001350FB">
        <w:t xml:space="preserve">: (1) review whether  payments to demand response and energy efficiency </w:t>
      </w:r>
      <w:r w:rsidRPr="001350FB">
        <w:lastRenderedPageBreak/>
        <w:t>resources are reasonable, (2) examine whether additional safe</w:t>
      </w:r>
      <w:r w:rsidR="00C248E8">
        <w:softHyphen/>
      </w:r>
      <w:r w:rsidRPr="001350FB">
        <w:t>guards should be established to ensure against financial arbitrage through the pur</w:t>
      </w:r>
      <w:r w:rsidR="00C248E8">
        <w:softHyphen/>
      </w:r>
      <w:r w:rsidRPr="001350FB">
        <w:t>chase of replace</w:t>
      </w:r>
      <w:r w:rsidR="007F7B90">
        <w:softHyphen/>
      </w:r>
      <w:r w:rsidRPr="001350FB">
        <w:t xml:space="preserve">ment capacity, (3) reevaluate whether the </w:t>
      </w:r>
      <w:proofErr w:type="spellStart"/>
      <w:r w:rsidRPr="001350FB">
        <w:t>MOPR</w:t>
      </w:r>
      <w:proofErr w:type="spellEnd"/>
      <w:r w:rsidRPr="001350FB">
        <w:t xml:space="preserve"> exemptions are unfairly eroding the price of capacity </w:t>
      </w:r>
      <w:r>
        <w:t>for</w:t>
      </w:r>
      <w:r w:rsidRPr="001350FB">
        <w:t xml:space="preserve"> merchant generato</w:t>
      </w:r>
      <w:r>
        <w:t>rs</w:t>
      </w:r>
      <w:r w:rsidRPr="001350FB">
        <w:t>, (4) determine whether the seams rules should be amended, and (5) de</w:t>
      </w:r>
      <w:r>
        <w:t>cide</w:t>
      </w:r>
      <w:r w:rsidRPr="001350FB">
        <w:t xml:space="preserve"> whether a long-term RPM market should be established.    </w:t>
      </w:r>
    </w:p>
    <w:p w:rsidR="008F3EC7" w:rsidRPr="008F3EC7" w:rsidRDefault="008F3EC7" w:rsidP="005867E5">
      <w:pPr>
        <w:pStyle w:val="Heading2"/>
      </w:pPr>
      <w:bookmarkStart w:id="6" w:name="_Toc366221470"/>
      <w:r w:rsidRPr="008F3EC7">
        <w:t>What modifications, if any, would you recommend be made to capacity markets in general or to specific capacity mar</w:t>
      </w:r>
      <w:r w:rsidR="00C248E8">
        <w:softHyphen/>
      </w:r>
      <w:r w:rsidRPr="008F3EC7">
        <w:t>ket design elements?</w:t>
      </w:r>
      <w:bookmarkEnd w:id="6"/>
      <w:r w:rsidRPr="008F3EC7">
        <w:t xml:space="preserve"> </w:t>
      </w:r>
    </w:p>
    <w:p w:rsidR="008F3EC7" w:rsidRPr="008F3EC7" w:rsidRDefault="008F3EC7" w:rsidP="005867E5">
      <w:pPr>
        <w:pStyle w:val="Textstyle"/>
      </w:pPr>
      <w:r>
        <w:tab/>
      </w:r>
      <w:r w:rsidRPr="008F3EC7">
        <w:t xml:space="preserve">The Ohio Commission has identified four distinct areas that merit attention. </w:t>
      </w:r>
      <w:r>
        <w:t xml:space="preserve"> </w:t>
      </w:r>
      <w:r w:rsidRPr="008F3EC7">
        <w:t>As markets have evolved to include Demand Response (</w:t>
      </w:r>
      <w:proofErr w:type="spellStart"/>
      <w:r w:rsidRPr="008F3EC7">
        <w:t>DR</w:t>
      </w:r>
      <w:proofErr w:type="spellEnd"/>
      <w:r w:rsidRPr="008F3EC7">
        <w:t>), Energy Efficiency (EE) and other products, it is in our best interest for FERC to ensure that auction bidders are competing on a level playing field</w:t>
      </w:r>
      <w:r w:rsidR="00C248E8" w:rsidRPr="008F3EC7">
        <w:t xml:space="preserve">.  </w:t>
      </w:r>
      <w:r w:rsidRPr="008F3EC7">
        <w:t xml:space="preserve">It is also appropriate to view these comments in proper context. </w:t>
      </w:r>
      <w:r>
        <w:t xml:space="preserve"> </w:t>
      </w:r>
      <w:r w:rsidRPr="008F3EC7">
        <w:t xml:space="preserve">First, </w:t>
      </w:r>
      <w:proofErr w:type="spellStart"/>
      <w:r w:rsidRPr="008F3EC7">
        <w:t>DR</w:t>
      </w:r>
      <w:proofErr w:type="spellEnd"/>
      <w:r w:rsidRPr="008F3EC7">
        <w:t>, EE and other products have a place in the energy marketplace and are helpful in mitigating costs at peak demand</w:t>
      </w:r>
      <w:r w:rsidR="00C248E8" w:rsidRPr="008F3EC7">
        <w:t xml:space="preserve">.  </w:t>
      </w:r>
      <w:r w:rsidRPr="008F3EC7">
        <w:t>Second, successful operation of a reliable energy grid must be built around long-term, sta</w:t>
      </w:r>
      <w:r w:rsidR="00C248E8">
        <w:softHyphen/>
      </w:r>
      <w:r w:rsidRPr="008F3EC7">
        <w:t>ble, high-capacity resources and should not overly rely on peak-shaving tools to design and operate the grid</w:t>
      </w:r>
      <w:r w:rsidR="00C248E8" w:rsidRPr="008F3EC7">
        <w:t xml:space="preserve">.  </w:t>
      </w:r>
      <w:r w:rsidRPr="008F3EC7">
        <w:t xml:space="preserve">Finally, long-term successful operation of the grid </w:t>
      </w:r>
      <w:r w:rsidR="005867E5">
        <w:br w:type="page"/>
      </w:r>
      <w:r w:rsidRPr="008F3EC7">
        <w:lastRenderedPageBreak/>
        <w:t>requires that the system be designed to deliver power to those who seek to use it, rather than encourage a reduction in productivity simply to achieve a larger policy goal.</w:t>
      </w:r>
    </w:p>
    <w:p w:rsidR="008F3EC7" w:rsidRPr="008F3EC7" w:rsidRDefault="008F3EC7" w:rsidP="005867E5">
      <w:pPr>
        <w:pStyle w:val="Heading3"/>
      </w:pPr>
      <w:bookmarkStart w:id="7" w:name="_Toc366221471"/>
      <w:r w:rsidRPr="008F3EC7">
        <w:t>Demand Response</w:t>
      </w:r>
      <w:bookmarkEnd w:id="7"/>
      <w:r w:rsidRPr="008F3EC7">
        <w:t xml:space="preserve"> </w:t>
      </w:r>
    </w:p>
    <w:p w:rsidR="008F3EC7" w:rsidRPr="001350FB" w:rsidRDefault="008F3EC7" w:rsidP="005867E5">
      <w:pPr>
        <w:pStyle w:val="Textstyle"/>
      </w:pPr>
      <w:r>
        <w:tab/>
      </w:r>
      <w:r w:rsidRPr="001350FB">
        <w:t xml:space="preserve">In comments within the past 12 months, the Ohio Commission has requested in two separate proceedings that FERC initiate a comprehensive rulemaking investigation of demand response in the PJM region.  The Ohio Commission maintains that the unlimited Annual </w:t>
      </w:r>
      <w:proofErr w:type="spellStart"/>
      <w:r w:rsidRPr="001350FB">
        <w:t>DR</w:t>
      </w:r>
      <w:proofErr w:type="spellEnd"/>
      <w:r w:rsidRPr="001350FB">
        <w:t xml:space="preserve"> product has an important and valuable role in ensuring reliability via its </w:t>
      </w:r>
      <w:r>
        <w:t xml:space="preserve">participation </w:t>
      </w:r>
      <w:r w:rsidRPr="001350FB">
        <w:t>in the RPM BRA as an ele</w:t>
      </w:r>
      <w:r w:rsidRPr="001350FB">
        <w:softHyphen/>
        <w:t>ment in the capacity resource mix, as does generation</w:t>
      </w:r>
      <w:r w:rsidR="00C248E8">
        <w:t>.</w:t>
      </w:r>
      <w:r w:rsidR="00C248E8" w:rsidRPr="001350FB">
        <w:t xml:space="preserve">  </w:t>
      </w:r>
      <w:r w:rsidRPr="001350FB">
        <w:t xml:space="preserve">The Ohio Commission is concerned, however, that other </w:t>
      </w:r>
      <w:proofErr w:type="spellStart"/>
      <w:r w:rsidRPr="001350FB">
        <w:t>DR</w:t>
      </w:r>
      <w:proofErr w:type="spellEnd"/>
      <w:r w:rsidRPr="001350FB">
        <w:t xml:space="preserve"> products are con</w:t>
      </w:r>
      <w:r w:rsidRPr="001350FB">
        <w:softHyphen/>
        <w:t xml:space="preserve">tributing to </w:t>
      </w:r>
      <w:proofErr w:type="spellStart"/>
      <w:r w:rsidRPr="001350FB">
        <w:t>DR</w:t>
      </w:r>
      <w:proofErr w:type="spellEnd"/>
      <w:r w:rsidRPr="001350FB">
        <w:t xml:space="preserve"> oversaturation to the over</w:t>
      </w:r>
      <w:r w:rsidR="00C248E8">
        <w:softHyphen/>
      </w:r>
      <w:r w:rsidRPr="001350FB">
        <w:t xml:space="preserve">all detriment of reliability because these resources have fewer obligations to deliver, compared with actual generation and the unlimited Annual </w:t>
      </w:r>
      <w:proofErr w:type="spellStart"/>
      <w:r w:rsidRPr="001350FB">
        <w:t>DR</w:t>
      </w:r>
      <w:proofErr w:type="spellEnd"/>
      <w:r w:rsidRPr="001350FB">
        <w:t xml:space="preserve"> product.  </w:t>
      </w:r>
    </w:p>
    <w:p w:rsidR="008F3EC7" w:rsidRDefault="008F3EC7" w:rsidP="005867E5">
      <w:pPr>
        <w:pStyle w:val="Textstyle"/>
      </w:pPr>
      <w:r>
        <w:tab/>
      </w:r>
      <w:r w:rsidRPr="001350FB">
        <w:t>I am today, therefore, renewing the Ohio Commission’s previous requests that FERC initiate a rulemaking investigation to review whether it should signifi</w:t>
      </w:r>
      <w:r w:rsidR="00C248E8">
        <w:softHyphen/>
      </w:r>
      <w:r w:rsidRPr="001350FB">
        <w:t>cantly reduce or begin t</w:t>
      </w:r>
      <w:r>
        <w:t>o</w:t>
      </w:r>
      <w:r w:rsidRPr="001350FB">
        <w:t xml:space="preserve"> phase</w:t>
      </w:r>
      <w:r>
        <w:t xml:space="preserve"> </w:t>
      </w:r>
      <w:r w:rsidRPr="001350FB">
        <w:t xml:space="preserve">out all reduced </w:t>
      </w:r>
      <w:proofErr w:type="spellStart"/>
      <w:r w:rsidRPr="001350FB">
        <w:t>DR</w:t>
      </w:r>
      <w:proofErr w:type="spellEnd"/>
      <w:r w:rsidRPr="001350FB">
        <w:t xml:space="preserve"> capacity resources (i.e., the Limited and Extended Summer </w:t>
      </w:r>
      <w:proofErr w:type="spellStart"/>
      <w:r w:rsidRPr="001350FB">
        <w:t>DR</w:t>
      </w:r>
      <w:proofErr w:type="spellEnd"/>
      <w:r w:rsidRPr="001350FB">
        <w:t xml:space="preserve"> products).  The Ohio Commission maintains that FERC should review whether all capacity products participating in the BRA should ultimately be subject to the same availability requirements as generation, in </w:t>
      </w:r>
      <w:r w:rsidRPr="001350FB">
        <w:lastRenderedPageBreak/>
        <w:t>that they must be physi</w:t>
      </w:r>
      <w:r w:rsidRPr="001350FB">
        <w:softHyphen/>
        <w:t xml:space="preserve">cally available and respond on par with generation.  FERC’s investigation also should work to ensure that penalties for nonperformance are uniform for both </w:t>
      </w:r>
      <w:proofErr w:type="spellStart"/>
      <w:r w:rsidRPr="001350FB">
        <w:t>DR</w:t>
      </w:r>
      <w:proofErr w:type="spellEnd"/>
      <w:r w:rsidRPr="001350FB">
        <w:t xml:space="preserve"> and generation and such penalties are suffi</w:t>
      </w:r>
      <w:r w:rsidRPr="001350FB">
        <w:softHyphen/>
        <w:t>ciently strin</w:t>
      </w:r>
      <w:r w:rsidR="007F7B90">
        <w:softHyphen/>
      </w:r>
      <w:r w:rsidRPr="001350FB">
        <w:t>gent to ensure that all capacity resources meet their respective obli</w:t>
      </w:r>
      <w:r w:rsidRPr="001350FB">
        <w:softHyphen/>
        <w:t xml:space="preserve">gations for delivery.  </w:t>
      </w:r>
    </w:p>
    <w:p w:rsidR="008F3EC7" w:rsidRPr="00D2243C" w:rsidRDefault="008F3EC7" w:rsidP="005867E5">
      <w:pPr>
        <w:pStyle w:val="Textstyle"/>
      </w:pPr>
      <w:r>
        <w:tab/>
      </w:r>
      <w:r w:rsidRPr="00D2243C">
        <w:t>Until the phase</w:t>
      </w:r>
      <w:r>
        <w:t>-</w:t>
      </w:r>
      <w:r w:rsidRPr="00D2243C">
        <w:t xml:space="preserve">out of the Limited and Extended Summer </w:t>
      </w:r>
      <w:proofErr w:type="spellStart"/>
      <w:r w:rsidRPr="00D2243C">
        <w:t>DR</w:t>
      </w:r>
      <w:proofErr w:type="spellEnd"/>
      <w:r w:rsidRPr="00D2243C">
        <w:t xml:space="preserve"> capacity products </w:t>
      </w:r>
      <w:r>
        <w:t>is</w:t>
      </w:r>
      <w:r w:rsidRPr="00D2243C">
        <w:t xml:space="preserve"> effectuated, I recommended that FERC move to significantly </w:t>
      </w:r>
      <w:r>
        <w:t xml:space="preserve">reduce </w:t>
      </w:r>
      <w:r w:rsidRPr="00D2243C">
        <w:t xml:space="preserve">the level </w:t>
      </w:r>
      <w:r>
        <w:t xml:space="preserve">of </w:t>
      </w:r>
      <w:r w:rsidRPr="00D2243C">
        <w:t>compensation for the</w:t>
      </w:r>
      <w:r>
        <w:t>se</w:t>
      </w:r>
      <w:r w:rsidRPr="00D2243C">
        <w:t xml:space="preserve"> products</w:t>
      </w:r>
      <w:r w:rsidR="00C248E8">
        <w:t>.</w:t>
      </w:r>
      <w:r w:rsidR="00C248E8" w:rsidRPr="00D2243C">
        <w:t xml:space="preserve">  </w:t>
      </w:r>
      <w:r>
        <w:t>A</w:t>
      </w:r>
      <w:r w:rsidRPr="00D2243C">
        <w:t>s noted earlier, these</w:t>
      </w:r>
      <w:r>
        <w:t xml:space="preserve"> </w:t>
      </w:r>
      <w:proofErr w:type="spellStart"/>
      <w:r>
        <w:t>DR</w:t>
      </w:r>
      <w:proofErr w:type="spellEnd"/>
      <w:r w:rsidRPr="00D2243C">
        <w:t xml:space="preserve"> product</w:t>
      </w:r>
      <w:r>
        <w:t>s,</w:t>
      </w:r>
      <w:r w:rsidRPr="00D2243C">
        <w:t xml:space="preserve"> </w:t>
      </w:r>
      <w:r>
        <w:t xml:space="preserve">because of the fewer obligations placed on them, are </w:t>
      </w:r>
      <w:r w:rsidRPr="00D2243C">
        <w:t xml:space="preserve">not </w:t>
      </w:r>
      <w:r>
        <w:t>comparable</w:t>
      </w:r>
      <w:r w:rsidRPr="00D2243C">
        <w:t xml:space="preserve"> with physical generation capacity resources.  </w:t>
      </w:r>
      <w:r>
        <w:t>Specifically,</w:t>
      </w:r>
      <w:r w:rsidRPr="00D2243C">
        <w:t xml:space="preserve"> until FERC can phase out these lesser </w:t>
      </w:r>
      <w:proofErr w:type="spellStart"/>
      <w:r w:rsidRPr="00D2243C">
        <w:t>DR</w:t>
      </w:r>
      <w:proofErr w:type="spellEnd"/>
      <w:r w:rsidRPr="00D2243C">
        <w:t xml:space="preserve"> products, FERC should move in the short term to reduce the annual compen</w:t>
      </w:r>
      <w:r w:rsidR="00C248E8">
        <w:softHyphen/>
      </w:r>
      <w:r w:rsidRPr="00D2243C">
        <w:t xml:space="preserve">sation to </w:t>
      </w:r>
      <w:proofErr w:type="spellStart"/>
      <w:r w:rsidRPr="00D2243C">
        <w:t>DR</w:t>
      </w:r>
      <w:proofErr w:type="spellEnd"/>
      <w:r w:rsidRPr="00D2243C">
        <w:t xml:space="preserve"> capacity resources a</w:t>
      </w:r>
      <w:r>
        <w:t xml:space="preserve">vailable on a limited basis.  </w:t>
      </w:r>
      <w:r w:rsidRPr="00D2243C">
        <w:t xml:space="preserve">For example, because the </w:t>
      </w:r>
      <w:r w:rsidR="00DA2E50">
        <w:t>Extended</w:t>
      </w:r>
      <w:r w:rsidRPr="00D2243C">
        <w:t xml:space="preserve"> Summer product is only required to be made available at 10</w:t>
      </w:r>
      <w:r>
        <w:t>-</w:t>
      </w:r>
      <w:r w:rsidRPr="00D2243C">
        <w:t xml:space="preserve">hour increments for an unlimited number of interruptions </w:t>
      </w:r>
      <w:r>
        <w:t>during</w:t>
      </w:r>
      <w:r w:rsidRPr="00D2243C">
        <w:t xml:space="preserve"> a six-month period, the full capacity clearing price should be adjusted downward by at least 50 percent to take into consideration that the product is only available as a capacity resource for a limited number of hours.  FERC should also ensure that the Extended Summer </w:t>
      </w:r>
      <w:proofErr w:type="spellStart"/>
      <w:r w:rsidRPr="00D2243C">
        <w:t>DR</w:t>
      </w:r>
      <w:proofErr w:type="spellEnd"/>
      <w:r w:rsidRPr="00D2243C">
        <w:t xml:space="preserve"> product is only </w:t>
      </w:r>
      <w:r>
        <w:t>eligible</w:t>
      </w:r>
      <w:r w:rsidRPr="00D2243C">
        <w:t xml:space="preserve"> to receive compensation for the six-month period that the product is made available for delivery.  </w:t>
      </w:r>
    </w:p>
    <w:p w:rsidR="008F3EC7" w:rsidRPr="00D2243C" w:rsidRDefault="005867E5" w:rsidP="005867E5">
      <w:pPr>
        <w:pStyle w:val="Textstyle"/>
      </w:pPr>
      <w:r>
        <w:br w:type="page"/>
      </w:r>
      <w:r w:rsidR="008F3EC7">
        <w:lastRenderedPageBreak/>
        <w:tab/>
      </w:r>
      <w:r w:rsidR="008F3EC7" w:rsidRPr="00D2243C">
        <w:t xml:space="preserve">Because the Limited </w:t>
      </w:r>
      <w:proofErr w:type="spellStart"/>
      <w:r w:rsidR="008F3EC7" w:rsidRPr="00D2243C">
        <w:t>DR</w:t>
      </w:r>
      <w:proofErr w:type="spellEnd"/>
      <w:r w:rsidR="008F3EC7" w:rsidRPr="00D2243C">
        <w:t xml:space="preserve"> </w:t>
      </w:r>
      <w:r w:rsidR="008F3EC7">
        <w:t xml:space="preserve">capacity </w:t>
      </w:r>
      <w:r w:rsidR="008F3EC7" w:rsidRPr="00D2243C">
        <w:t>product is only required each delivery year to be made available ten times for up to a six hour-period over a four-month period, the price for this capacity product should be materially reduced.  Even tak</w:t>
      </w:r>
      <w:r w:rsidR="00C248E8">
        <w:softHyphen/>
      </w:r>
      <w:r w:rsidR="008F3EC7" w:rsidRPr="00D2243C">
        <w:t xml:space="preserve">ing into consideration the fact that the Limited </w:t>
      </w:r>
      <w:proofErr w:type="spellStart"/>
      <w:r w:rsidR="008F3EC7" w:rsidRPr="00D2243C">
        <w:t>DR</w:t>
      </w:r>
      <w:proofErr w:type="spellEnd"/>
      <w:r w:rsidR="008F3EC7" w:rsidRPr="00D2243C">
        <w:t xml:space="preserve"> product will be called to deliver only at peak usage times, I believe a 70 percent discount to the full RPM capacity price </w:t>
      </w:r>
      <w:r w:rsidR="008F3EC7">
        <w:t>should be considered</w:t>
      </w:r>
      <w:r w:rsidR="008F3EC7" w:rsidRPr="00D2243C">
        <w:t>.  Consistent with my recommendation concerning com</w:t>
      </w:r>
      <w:r w:rsidR="00C248E8">
        <w:softHyphen/>
      </w:r>
      <w:r w:rsidR="008F3EC7" w:rsidRPr="00D2243C">
        <w:t xml:space="preserve">pensation for the Extended Summer product, I maintain that compensation for Limited </w:t>
      </w:r>
      <w:proofErr w:type="spellStart"/>
      <w:r w:rsidR="008F3EC7" w:rsidRPr="00D2243C">
        <w:t>DR</w:t>
      </w:r>
      <w:proofErr w:type="spellEnd"/>
      <w:r w:rsidR="008F3EC7" w:rsidRPr="00D2243C">
        <w:t xml:space="preserve"> should only be made during the four-month period it is required to deliver as a capacity resource.  Finally, once the reduced </w:t>
      </w:r>
      <w:proofErr w:type="spellStart"/>
      <w:r w:rsidR="008F3EC7" w:rsidRPr="00D2243C">
        <w:t>DR</w:t>
      </w:r>
      <w:proofErr w:type="spellEnd"/>
      <w:r w:rsidR="008F3EC7" w:rsidRPr="00D2243C">
        <w:t xml:space="preserve"> capacity products are eliminated, FERC should move to ensure that the Annual </w:t>
      </w:r>
      <w:proofErr w:type="spellStart"/>
      <w:r w:rsidR="008F3EC7" w:rsidRPr="00D2243C">
        <w:t>DR</w:t>
      </w:r>
      <w:proofErr w:type="spellEnd"/>
      <w:r w:rsidR="008F3EC7" w:rsidRPr="00D2243C">
        <w:t xml:space="preserve"> product is made available on an unlimited basis beyond its 10-hour performance requirement.</w:t>
      </w:r>
    </w:p>
    <w:p w:rsidR="008F3EC7" w:rsidRPr="001350FB" w:rsidRDefault="008F3EC7" w:rsidP="005867E5">
      <w:pPr>
        <w:pStyle w:val="Textstyle"/>
      </w:pPr>
      <w:r>
        <w:tab/>
        <w:t>As discussed in more detail later concerning replacement capacity, FERC should</w:t>
      </w:r>
      <w:r w:rsidRPr="001350FB">
        <w:t xml:space="preserve">:  (1) limit the proliferation </w:t>
      </w:r>
      <w:r>
        <w:t xml:space="preserve">of </w:t>
      </w:r>
      <w:proofErr w:type="spellStart"/>
      <w:r>
        <w:t>DR</w:t>
      </w:r>
      <w:proofErr w:type="spellEnd"/>
      <w:r>
        <w:t xml:space="preserve"> buy-back </w:t>
      </w:r>
      <w:r w:rsidRPr="001350FB">
        <w:t>financial trades in the RPM</w:t>
      </w:r>
      <w:r>
        <w:t>;</w:t>
      </w:r>
      <w:r w:rsidRPr="001350FB">
        <w:t xml:space="preserve"> (2) </w:t>
      </w:r>
      <w:r>
        <w:t xml:space="preserve">establish </w:t>
      </w:r>
      <w:r w:rsidRPr="001350FB">
        <w:t xml:space="preserve">credit requirements for </w:t>
      </w:r>
      <w:proofErr w:type="spellStart"/>
      <w:r w:rsidRPr="001350FB">
        <w:t>DR</w:t>
      </w:r>
      <w:proofErr w:type="spellEnd"/>
      <w:r w:rsidRPr="001350FB">
        <w:t xml:space="preserve"> participants</w:t>
      </w:r>
      <w:r>
        <w:t xml:space="preserve"> that</w:t>
      </w:r>
      <w:r w:rsidRPr="001350FB">
        <w:t xml:space="preserve"> are adequate to cover com</w:t>
      </w:r>
      <w:r w:rsidR="00C248E8">
        <w:softHyphen/>
      </w:r>
      <w:r w:rsidRPr="001350FB">
        <w:t>mitments in the event of a default</w:t>
      </w:r>
      <w:r w:rsidR="00C248E8">
        <w:t>;</w:t>
      </w:r>
      <w:r w:rsidR="00C248E8" w:rsidRPr="001350FB">
        <w:t xml:space="preserve"> and</w:t>
      </w:r>
      <w:r>
        <w:t xml:space="preserve"> (3</w:t>
      </w:r>
      <w:r w:rsidR="00C248E8">
        <w:t>) FERC</w:t>
      </w:r>
      <w:r>
        <w:t xml:space="preserve"> should require </w:t>
      </w:r>
      <w:proofErr w:type="spellStart"/>
      <w:r>
        <w:t>DR</w:t>
      </w:r>
      <w:proofErr w:type="spellEnd"/>
      <w:r>
        <w:t xml:space="preserve"> providers to demonstrate </w:t>
      </w:r>
      <w:bookmarkStart w:id="8" w:name="_Toc339369252"/>
      <w:r w:rsidRPr="001350FB">
        <w:t xml:space="preserve">that </w:t>
      </w:r>
      <w:proofErr w:type="spellStart"/>
      <w:r w:rsidRPr="001350FB">
        <w:t>DR</w:t>
      </w:r>
      <w:proofErr w:type="spellEnd"/>
      <w:r w:rsidRPr="001350FB">
        <w:t xml:space="preserve"> quantities</w:t>
      </w:r>
      <w:r>
        <w:t xml:space="preserve"> offered and cleared in the RPM auctions</w:t>
      </w:r>
      <w:r w:rsidRPr="001350FB">
        <w:t xml:space="preserve"> are phys</w:t>
      </w:r>
      <w:r w:rsidR="00C248E8">
        <w:softHyphen/>
      </w:r>
      <w:r w:rsidRPr="001350FB">
        <w:t xml:space="preserve">ically available and actually deliverable to the </w:t>
      </w:r>
      <w:proofErr w:type="spellStart"/>
      <w:r w:rsidRPr="001350FB">
        <w:t>LDA</w:t>
      </w:r>
      <w:proofErr w:type="spellEnd"/>
      <w:r w:rsidRPr="001350FB">
        <w:t xml:space="preserve"> to which it has offered or committed.  </w:t>
      </w:r>
      <w:bookmarkEnd w:id="8"/>
    </w:p>
    <w:p w:rsidR="008F3EC7" w:rsidRPr="008F3EC7" w:rsidRDefault="008F3EC7" w:rsidP="005867E5">
      <w:pPr>
        <w:pStyle w:val="Heading3"/>
      </w:pPr>
      <w:bookmarkStart w:id="9" w:name="_Toc366221472"/>
      <w:r w:rsidRPr="008F3EC7">
        <w:lastRenderedPageBreak/>
        <w:t>Energy Efficiency</w:t>
      </w:r>
      <w:bookmarkEnd w:id="9"/>
    </w:p>
    <w:p w:rsidR="008F3EC7" w:rsidRPr="001350FB" w:rsidRDefault="008F3EC7" w:rsidP="005867E5">
      <w:pPr>
        <w:pStyle w:val="Textstyle"/>
      </w:pPr>
      <w:r>
        <w:tab/>
      </w:r>
      <w:r w:rsidRPr="001350FB">
        <w:t>Similar to demand response, payments for energy efficiency also deserve scru</w:t>
      </w:r>
      <w:r w:rsidR="00C248E8">
        <w:softHyphen/>
      </w:r>
      <w:r w:rsidRPr="001350FB">
        <w:t>tiny</w:t>
      </w:r>
      <w:r w:rsidR="00C248E8" w:rsidRPr="001350FB">
        <w:t xml:space="preserve">.  </w:t>
      </w:r>
      <w:r w:rsidRPr="001350FB">
        <w:t>FERC should seize this opportunity to investigate whether capacity pay</w:t>
      </w:r>
      <w:r w:rsidR="00C248E8">
        <w:softHyphen/>
      </w:r>
      <w:r w:rsidRPr="001350FB">
        <w:t xml:space="preserve">ments to energy efficiency should be </w:t>
      </w:r>
      <w:r>
        <w:t>adjusted</w:t>
      </w:r>
      <w:r w:rsidRPr="001350FB">
        <w:t xml:space="preserve"> to ensure more economic payments for physical generation resources.  After all, the cost saving associated with investing in energy efficiency should be sufficient monetary incentive to secure such new technologies</w:t>
      </w:r>
      <w:r w:rsidR="00C248E8" w:rsidRPr="001350FB">
        <w:t>.</w:t>
      </w:r>
      <w:r w:rsidR="00C248E8">
        <w:t xml:space="preserve">  </w:t>
      </w:r>
      <w:r>
        <w:t>Offering a secondary source of compensation has the potential to distort market prices and impact long-term system reliability.  Taking into consideration that energy efficiency is not comparable to physical generation that produces electrons I believe that FERC should seek to reduce EE’s RPM com</w:t>
      </w:r>
      <w:r w:rsidR="007F7B90">
        <w:softHyphen/>
      </w:r>
      <w:r>
        <w:t xml:space="preserve">pensation to a reduced percentage of the </w:t>
      </w:r>
      <w:proofErr w:type="spellStart"/>
      <w:r>
        <w:t>BRA’s</w:t>
      </w:r>
      <w:proofErr w:type="spellEnd"/>
      <w:r>
        <w:t xml:space="preserve"> clearing price.</w:t>
      </w:r>
    </w:p>
    <w:p w:rsidR="008F3EC7" w:rsidRPr="008F3EC7" w:rsidRDefault="008F3EC7" w:rsidP="005867E5">
      <w:pPr>
        <w:pStyle w:val="Heading3"/>
      </w:pPr>
      <w:bookmarkStart w:id="10" w:name="_Toc366221473"/>
      <w:r w:rsidRPr="008F3EC7">
        <w:t>Replacement Capacity</w:t>
      </w:r>
      <w:bookmarkEnd w:id="10"/>
    </w:p>
    <w:p w:rsidR="008F3EC7" w:rsidRPr="001350FB" w:rsidRDefault="008F3EC7" w:rsidP="005867E5">
      <w:pPr>
        <w:pStyle w:val="Textstyle"/>
      </w:pPr>
      <w:r>
        <w:tab/>
        <w:t>Concerning replacement capacity</w:t>
      </w:r>
      <w:r w:rsidRPr="001350FB">
        <w:t>, I recommend that FERC generically investi</w:t>
      </w:r>
      <w:r w:rsidR="00C248E8">
        <w:softHyphen/>
      </w:r>
      <w:r w:rsidRPr="001350FB">
        <w:t>gate th</w:t>
      </w:r>
      <w:r>
        <w:t xml:space="preserve">is </w:t>
      </w:r>
      <w:r w:rsidRPr="001350FB">
        <w:t>issue and whether it is being used more frequently as a financial tool to generate additional cash flows</w:t>
      </w:r>
      <w:r>
        <w:t xml:space="preserve"> through financial arbitrage</w:t>
      </w:r>
      <w:r w:rsidRPr="001350FB">
        <w:t xml:space="preserve">, </w:t>
      </w:r>
      <w:r>
        <w:t xml:space="preserve">rather than </w:t>
      </w:r>
      <w:r w:rsidRPr="001350FB">
        <w:t>to provide</w:t>
      </w:r>
      <w:r>
        <w:t xml:space="preserve"> physical</w:t>
      </w:r>
      <w:r w:rsidRPr="001350FB">
        <w:t xml:space="preserve"> resources intended to promote reliability.  That is, FERC should move to ensure that those offering into the RPM auctions actually intend to deliver the physical </w:t>
      </w:r>
      <w:proofErr w:type="spellStart"/>
      <w:r w:rsidRPr="001350FB">
        <w:t>dispatchable</w:t>
      </w:r>
      <w:proofErr w:type="spellEnd"/>
      <w:r w:rsidRPr="001350FB">
        <w:t xml:space="preserve"> capacity product that is offered and cleared in the RPM administrative process.  The capacity market has been premised on maintaining </w:t>
      </w:r>
      <w:r w:rsidRPr="001350FB">
        <w:lastRenderedPageBreak/>
        <w:t xml:space="preserve">reliability by procuring physical capacity products.  Consequently, I believe that FERC should consider placing </w:t>
      </w:r>
      <w:r>
        <w:t xml:space="preserve">a 10 percent cap </w:t>
      </w:r>
      <w:r w:rsidRPr="001350FB">
        <w:t xml:space="preserve">on the purchase of replacement capacity for the various capacity products.  FERC should also </w:t>
      </w:r>
      <w:r>
        <w:t xml:space="preserve">establish </w:t>
      </w:r>
      <w:r w:rsidRPr="001350FB">
        <w:t>penalties for the purchase of replacement capacity for the purpose of meeting RPM com</w:t>
      </w:r>
      <w:r w:rsidR="00C248E8">
        <w:softHyphen/>
      </w:r>
      <w:r w:rsidRPr="001350FB">
        <w:t>mitments</w:t>
      </w:r>
      <w:r>
        <w:t xml:space="preserve"> (i.e., replacement capacity purchases in excess of 10 percent)</w:t>
      </w:r>
      <w:r w:rsidRPr="001350FB">
        <w:t>.</w:t>
      </w:r>
      <w:r w:rsidRPr="001350FB">
        <w:rPr>
          <w:b/>
        </w:rPr>
        <w:t xml:space="preserve"> </w:t>
      </w:r>
      <w:r w:rsidRPr="001350FB">
        <w:t xml:space="preserve"> Finally, to take into consideration the potential for a</w:t>
      </w:r>
      <w:r>
        <w:t xml:space="preserve"> legitimate</w:t>
      </w:r>
      <w:r w:rsidRPr="001350FB">
        <w:t xml:space="preserve"> anomalous event, FERC should </w:t>
      </w:r>
      <w:r>
        <w:t>adopt rules establishing</w:t>
      </w:r>
      <w:r w:rsidRPr="001350FB">
        <w:t xml:space="preserve"> a waiver process so RPM participants can demon</w:t>
      </w:r>
      <w:r w:rsidR="00C248E8">
        <w:softHyphen/>
      </w:r>
      <w:r w:rsidRPr="001350FB">
        <w:t>strate that any excessive purchase of replacement capacity is a unique one-off situ</w:t>
      </w:r>
      <w:r w:rsidR="00C248E8">
        <w:softHyphen/>
      </w:r>
      <w:r w:rsidRPr="001350FB">
        <w:t>ation resulting from an unexpected exogenous</w:t>
      </w:r>
      <w:r>
        <w:t xml:space="preserve"> occurrence</w:t>
      </w:r>
      <w:r w:rsidRPr="001350FB">
        <w:t>, such as a forced gener</w:t>
      </w:r>
      <w:r w:rsidR="00C248E8">
        <w:softHyphen/>
      </w:r>
      <w:r w:rsidRPr="001350FB">
        <w:t>ation outage resulting from an act of nature</w:t>
      </w:r>
      <w:r w:rsidR="00C248E8" w:rsidRPr="001350FB">
        <w:t xml:space="preserve">.  </w:t>
      </w:r>
      <w:r w:rsidRPr="001350FB">
        <w:t xml:space="preserve">For those market participants </w:t>
      </w:r>
      <w:r>
        <w:t>who</w:t>
      </w:r>
      <w:r w:rsidRPr="001350FB">
        <w:t xml:space="preserve"> </w:t>
      </w:r>
      <w:r>
        <w:t>routinely</w:t>
      </w:r>
      <w:r w:rsidRPr="001350FB">
        <w:t xml:space="preserve"> rely on replacement capacity</w:t>
      </w:r>
      <w:r>
        <w:t xml:space="preserve"> in excess of 10 percent</w:t>
      </w:r>
      <w:r w:rsidRPr="001350FB">
        <w:t xml:space="preserve">, FERC should, in the very near term, determine whether such behavior warrants the imposition of </w:t>
      </w:r>
      <w:r>
        <w:t xml:space="preserve">more </w:t>
      </w:r>
      <w:r w:rsidRPr="001350FB">
        <w:t>stringent credit requirements in the case of default.</w:t>
      </w:r>
    </w:p>
    <w:p w:rsidR="008F3EC7" w:rsidRPr="001350FB" w:rsidRDefault="008F3EC7" w:rsidP="005867E5">
      <w:pPr>
        <w:pStyle w:val="Heading3"/>
      </w:pPr>
      <w:bookmarkStart w:id="11" w:name="_Toc366221474"/>
      <w:r w:rsidRPr="001350FB">
        <w:t xml:space="preserve">Minimum </w:t>
      </w:r>
      <w:r w:rsidR="00E97D5E" w:rsidRPr="001350FB">
        <w:t xml:space="preserve">Offer </w:t>
      </w:r>
      <w:r w:rsidRPr="001350FB">
        <w:t>Price Rule</w:t>
      </w:r>
      <w:bookmarkEnd w:id="11"/>
      <w:r w:rsidRPr="001350FB">
        <w:t xml:space="preserve"> </w:t>
      </w:r>
    </w:p>
    <w:p w:rsidR="008F3EC7" w:rsidRDefault="008F3EC7" w:rsidP="005867E5">
      <w:pPr>
        <w:pStyle w:val="Textstyle"/>
      </w:pPr>
      <w:r>
        <w:tab/>
      </w:r>
      <w:r w:rsidRPr="001350FB">
        <w:t xml:space="preserve">I am increasingly concerned about the application of the minimum </w:t>
      </w:r>
      <w:r w:rsidR="00E97D5E" w:rsidRPr="001350FB">
        <w:t xml:space="preserve">offer </w:t>
      </w:r>
      <w:r w:rsidRPr="001350FB">
        <w:t>price rule (</w:t>
      </w:r>
      <w:proofErr w:type="spellStart"/>
      <w:r w:rsidRPr="001350FB">
        <w:t>MOPR</w:t>
      </w:r>
      <w:proofErr w:type="spellEnd"/>
      <w:r w:rsidRPr="001350FB">
        <w:t xml:space="preserve">) and its </w:t>
      </w:r>
      <w:r>
        <w:t>long-term consequences</w:t>
      </w:r>
      <w:r w:rsidRPr="001350FB" w:rsidDel="00146B5F">
        <w:t xml:space="preserve"> </w:t>
      </w:r>
      <w:r w:rsidRPr="001350FB">
        <w:t xml:space="preserve">on merchant generation in PJM.  Specifically, under PJM’s recently revised </w:t>
      </w:r>
      <w:proofErr w:type="spellStart"/>
      <w:r w:rsidRPr="001350FB">
        <w:t>MOPR</w:t>
      </w:r>
      <w:proofErr w:type="spellEnd"/>
      <w:r w:rsidRPr="001350FB">
        <w:t>, vertically integrated util</w:t>
      </w:r>
      <w:r w:rsidR="007F7B90">
        <w:softHyphen/>
      </w:r>
      <w:r w:rsidRPr="001350FB">
        <w:t xml:space="preserve">ities and municipal-owned utilities receive exemptions from </w:t>
      </w:r>
      <w:proofErr w:type="spellStart"/>
      <w:r w:rsidRPr="001350FB">
        <w:t>MOPR</w:t>
      </w:r>
      <w:proofErr w:type="spellEnd"/>
      <w:r w:rsidRPr="001350FB">
        <w:t xml:space="preserve"> while mer</w:t>
      </w:r>
      <w:r w:rsidR="007F7B90">
        <w:softHyphen/>
      </w:r>
      <w:r w:rsidRPr="001350FB">
        <w:t xml:space="preserve">chant and state-sponsored generation must qualify for </w:t>
      </w:r>
      <w:r>
        <w:t xml:space="preserve">the </w:t>
      </w:r>
      <w:r w:rsidRPr="001350FB">
        <w:t>more onerous competi</w:t>
      </w:r>
      <w:r w:rsidR="007F7B90">
        <w:softHyphen/>
      </w:r>
      <w:r w:rsidRPr="001350FB">
        <w:lastRenderedPageBreak/>
        <w:t>tive</w:t>
      </w:r>
      <w:r>
        <w:t xml:space="preserve"> exemp</w:t>
      </w:r>
      <w:r w:rsidR="00C248E8">
        <w:softHyphen/>
      </w:r>
      <w:r>
        <w:t>tion test</w:t>
      </w:r>
      <w:r w:rsidRPr="001350FB">
        <w:t xml:space="preserve"> or unit-specific exemption from </w:t>
      </w:r>
      <w:proofErr w:type="spellStart"/>
      <w:r w:rsidRPr="001350FB">
        <w:t>MOPR</w:t>
      </w:r>
      <w:proofErr w:type="spellEnd"/>
      <w:r w:rsidRPr="001350FB">
        <w:t>.  As the Ohio Commis</w:t>
      </w:r>
      <w:r w:rsidR="007F7B90">
        <w:softHyphen/>
      </w:r>
      <w:r w:rsidRPr="001350FB">
        <w:t>sion previ</w:t>
      </w:r>
      <w:r w:rsidR="00C248E8">
        <w:softHyphen/>
      </w:r>
      <w:r w:rsidRPr="001350FB">
        <w:t xml:space="preserve">ously commented to FERC, it is inherently contradictory to allow state-subsidized generation to bid into a competitive market.  </w:t>
      </w:r>
      <w:r>
        <w:t>I submit, however,</w:t>
      </w:r>
      <w:r w:rsidRPr="001350FB">
        <w:t xml:space="preserve"> that there is no dif</w:t>
      </w:r>
      <w:r w:rsidR="00C248E8">
        <w:softHyphen/>
      </w:r>
      <w:r w:rsidRPr="001350FB">
        <w:t>ference between generation receiving state subsidies and vertically integrated utili</w:t>
      </w:r>
      <w:r w:rsidR="00C248E8">
        <w:softHyphen/>
      </w:r>
      <w:r w:rsidRPr="001350FB">
        <w:t>ties which were built with ratepayer support.  The existence of any subsidies serves to erode the market while failing to send the appropriate</w:t>
      </w:r>
      <w:r>
        <w:t xml:space="preserve"> price</w:t>
      </w:r>
      <w:r w:rsidRPr="001350FB">
        <w:t xml:space="preserve"> sig</w:t>
      </w:r>
      <w:r w:rsidR="007F7B90">
        <w:softHyphen/>
      </w:r>
      <w:r w:rsidRPr="001350FB">
        <w:t>nals for the con</w:t>
      </w:r>
      <w:r w:rsidR="00C248E8">
        <w:softHyphen/>
      </w:r>
      <w:r w:rsidRPr="001350FB">
        <w:t>struction of new, unsubsidized, merchant generation</w:t>
      </w:r>
      <w:r w:rsidR="00C248E8" w:rsidRPr="001350FB">
        <w:t>.</w:t>
      </w:r>
      <w:r w:rsidR="00C248E8">
        <w:t xml:space="preserve">  </w:t>
      </w:r>
      <w:r>
        <w:t>At a mini</w:t>
      </w:r>
      <w:r w:rsidR="007F7B90">
        <w:softHyphen/>
      </w:r>
      <w:r>
        <w:t>mum, I believe all capacity providers should be subject to the same rules to ensure that merchant gen</w:t>
      </w:r>
      <w:r w:rsidR="00C248E8">
        <w:softHyphen/>
      </w:r>
      <w:r>
        <w:t>eration offers are on par with all other generation offers in RPM.</w:t>
      </w:r>
      <w:r w:rsidRPr="001350FB">
        <w:t xml:space="preserve">  </w:t>
      </w:r>
    </w:p>
    <w:p w:rsidR="008F3EC7" w:rsidRDefault="008F3EC7" w:rsidP="005867E5">
      <w:pPr>
        <w:pStyle w:val="Textstyle"/>
      </w:pPr>
      <w:r>
        <w:tab/>
        <w:t>U</w:t>
      </w:r>
      <w:r w:rsidRPr="001350FB">
        <w:t xml:space="preserve">nder the current </w:t>
      </w:r>
      <w:proofErr w:type="spellStart"/>
      <w:r w:rsidRPr="001350FB">
        <w:t>MOPR</w:t>
      </w:r>
      <w:proofErr w:type="spellEnd"/>
      <w:r w:rsidRPr="001350FB">
        <w:t xml:space="preserve"> exemptions, Ohio’s capacity payments are </w:t>
      </w:r>
      <w:r>
        <w:t>poten</w:t>
      </w:r>
      <w:r w:rsidR="00C248E8">
        <w:softHyphen/>
      </w:r>
      <w:r>
        <w:t xml:space="preserve">tially </w:t>
      </w:r>
      <w:r w:rsidRPr="001350FB">
        <w:t xml:space="preserve">subsidizing </w:t>
      </w:r>
      <w:r>
        <w:t xml:space="preserve">new </w:t>
      </w:r>
      <w:r w:rsidRPr="001350FB">
        <w:t>vertically integrated generation.  This is essentially the situ</w:t>
      </w:r>
      <w:r w:rsidR="00C248E8">
        <w:softHyphen/>
      </w:r>
      <w:r w:rsidRPr="001350FB">
        <w:t xml:space="preserve">ation </w:t>
      </w:r>
      <w:r>
        <w:t xml:space="preserve">that </w:t>
      </w:r>
      <w:r w:rsidRPr="001350FB">
        <w:t xml:space="preserve">FERC was attempting to avoid by approving the </w:t>
      </w:r>
      <w:proofErr w:type="spellStart"/>
      <w:r w:rsidRPr="001350FB">
        <w:t>MOPR</w:t>
      </w:r>
      <w:proofErr w:type="spellEnd"/>
      <w:r w:rsidRPr="001350FB">
        <w:t>.</w:t>
      </w:r>
      <w:r>
        <w:t xml:space="preserve">  </w:t>
      </w:r>
      <w:r w:rsidRPr="001350FB">
        <w:t>For example, the results of the last base residual auction highlight that RPM continues to pro</w:t>
      </w:r>
      <w:r w:rsidR="00C248E8">
        <w:softHyphen/>
      </w:r>
      <w:r w:rsidRPr="001350FB">
        <w:t>vide, through imports, a high level of subsidy to vertically integrated and non-physical participants, while failing to provide for a significant increase in new gen</w:t>
      </w:r>
      <w:r w:rsidR="00C248E8">
        <w:softHyphen/>
      </w:r>
      <w:r w:rsidRPr="001350FB">
        <w:t>eration within PJM’s borders.  Specifically, the 2016/2017 Base Residual Auction results reflect a significant increase in capacity imports.  However, there was only 11</w:t>
      </w:r>
      <w:r>
        <w:t>6.60</w:t>
      </w:r>
      <w:r w:rsidRPr="001350FB">
        <w:t xml:space="preserve"> MW of new generation (including existing generation uprates) as compared </w:t>
      </w:r>
      <w:r w:rsidRPr="001350FB">
        <w:lastRenderedPageBreak/>
        <w:t>to the previous auction year, which saw a record for new generation.</w:t>
      </w:r>
      <w:r>
        <w:rPr>
          <w:rStyle w:val="FootnoteReference"/>
          <w:color w:val="020100"/>
          <w:spacing w:val="1"/>
        </w:rPr>
        <w:footnoteReference w:id="1"/>
      </w:r>
      <w:r w:rsidRPr="001350FB">
        <w:t xml:space="preserve">  If existing generation uprates are removed, then the new generation is actually less than the amount that cleared in the previous auction.  In light of the significant number of coal plant retirements, this represents a low and potentially unacceptable amount of new generation</w:t>
      </w:r>
      <w:r>
        <w:t>, with the potential to impact system reliability to such an extent that transmission solutions will not be sufficient to correct the deficiency</w:t>
      </w:r>
      <w:r w:rsidRPr="001350FB">
        <w:t>.</w:t>
      </w:r>
    </w:p>
    <w:p w:rsidR="008F3EC7" w:rsidRDefault="008F3EC7" w:rsidP="005867E5">
      <w:pPr>
        <w:pStyle w:val="Textstyle"/>
      </w:pPr>
      <w:r>
        <w:tab/>
        <w:t>I</w:t>
      </w:r>
      <w:r w:rsidRPr="001350FB">
        <w:t xml:space="preserve"> question whether the RPM is failing to send the proper</w:t>
      </w:r>
      <w:r>
        <w:t xml:space="preserve"> economic</w:t>
      </w:r>
      <w:r w:rsidRPr="001350FB">
        <w:t xml:space="preserve"> price sig</w:t>
      </w:r>
      <w:r w:rsidR="00C248E8">
        <w:softHyphen/>
      </w:r>
      <w:r w:rsidRPr="001350FB">
        <w:t xml:space="preserve">nals to incent merchant generators to build within PJM.  Instead of parsing out participants as </w:t>
      </w:r>
      <w:proofErr w:type="spellStart"/>
      <w:r w:rsidRPr="001350FB">
        <w:t>MOPR</w:t>
      </w:r>
      <w:proofErr w:type="spellEnd"/>
      <w:r w:rsidRPr="001350FB">
        <w:t xml:space="preserve"> currently operates, FERC should focus on ensuring that all participants in a centralized capacity market are subject to the same rules in order for that market to function appropriately.  Consequently, </w:t>
      </w:r>
      <w:r>
        <w:t>I</w:t>
      </w:r>
      <w:r w:rsidRPr="001350FB">
        <w:t xml:space="preserve"> submit that</w:t>
      </w:r>
      <w:r>
        <w:t xml:space="preserve"> discrimina</w:t>
      </w:r>
      <w:r w:rsidR="00C248E8">
        <w:softHyphen/>
      </w:r>
      <w:r>
        <w:t xml:space="preserve">tory treatment of similarly situated facilities should not be allowed.  That is, PJM’s </w:t>
      </w:r>
      <w:proofErr w:type="spellStart"/>
      <w:r>
        <w:t>MOPR</w:t>
      </w:r>
      <w:proofErr w:type="spellEnd"/>
      <w:r>
        <w:t xml:space="preserve"> currently provides an automatic exemption to vertically-integrated and most municipal-owned generation; while requiring merchant generators to seek an essentially open-ended waiver under different requirements</w:t>
      </w:r>
      <w:r w:rsidR="00C248E8">
        <w:t>.</w:t>
      </w:r>
      <w:r w:rsidR="00C248E8" w:rsidRPr="001350FB">
        <w:t xml:space="preserve">  </w:t>
      </w:r>
      <w:r>
        <w:t xml:space="preserve">To the extent that some </w:t>
      </w:r>
      <w:r w:rsidRPr="001350FB">
        <w:t>vertically</w:t>
      </w:r>
      <w:r>
        <w:t>-</w:t>
      </w:r>
      <w:r w:rsidRPr="001350FB">
        <w:t xml:space="preserve">integrated participants </w:t>
      </w:r>
      <w:r>
        <w:t>are unwilling or are unable due to member</w:t>
      </w:r>
      <w:r w:rsidR="00C248E8">
        <w:softHyphen/>
      </w:r>
      <w:r>
        <w:t xml:space="preserve">ship rules to be subject to the same </w:t>
      </w:r>
      <w:proofErr w:type="spellStart"/>
      <w:r>
        <w:t>MOPR</w:t>
      </w:r>
      <w:proofErr w:type="spellEnd"/>
      <w:r>
        <w:t xml:space="preserve"> rules as merchant generators, FERC </w:t>
      </w:r>
      <w:r>
        <w:lastRenderedPageBreak/>
        <w:t xml:space="preserve">should consider if such entities, subject to the varying manners in which different organizations operate, </w:t>
      </w:r>
      <w:r w:rsidRPr="001350FB">
        <w:t>should function as Fixed Resource Requirement (</w:t>
      </w:r>
      <w:proofErr w:type="spellStart"/>
      <w:r w:rsidRPr="001350FB">
        <w:t>FRR</w:t>
      </w:r>
      <w:proofErr w:type="spellEnd"/>
      <w:r w:rsidRPr="001350FB">
        <w:t xml:space="preserve">) companies outside of the RPM market.  </w:t>
      </w:r>
    </w:p>
    <w:p w:rsidR="008F3EC7" w:rsidRPr="008F3EC7" w:rsidRDefault="008F3EC7" w:rsidP="005867E5">
      <w:pPr>
        <w:pStyle w:val="Heading2"/>
      </w:pPr>
      <w:bookmarkStart w:id="12" w:name="_Toc366221475"/>
      <w:r w:rsidRPr="008F3EC7">
        <w:t>Centralized capacity market design elements necessarily interact with each other and with the energy and ancillary services markets</w:t>
      </w:r>
      <w:r w:rsidR="00C248E8" w:rsidRPr="008F3EC7">
        <w:t xml:space="preserve">.  </w:t>
      </w:r>
      <w:r w:rsidRPr="008F3EC7">
        <w:t>Are there problems created by this inter</w:t>
      </w:r>
      <w:r w:rsidR="00C248E8">
        <w:softHyphen/>
      </w:r>
      <w:r w:rsidRPr="008F3EC7">
        <w:t>action that should be addressed to improve the functioning of centralized capacity markets or energy markets?</w:t>
      </w:r>
      <w:bookmarkEnd w:id="12"/>
      <w:r w:rsidRPr="008F3EC7">
        <w:t xml:space="preserve"> </w:t>
      </w:r>
    </w:p>
    <w:p w:rsidR="008F3EC7" w:rsidRPr="008F3EC7" w:rsidRDefault="008F3EC7" w:rsidP="005867E5">
      <w:pPr>
        <w:pStyle w:val="Textstyle"/>
      </w:pPr>
      <w:r w:rsidRPr="008F3EC7">
        <w:rPr>
          <w:b/>
        </w:rPr>
        <w:tab/>
      </w:r>
      <w:r w:rsidRPr="008F3EC7">
        <w:t>The Ohio Commission is unaware of problems in the interaction between the centralized capacity market and energy markets.</w:t>
      </w:r>
    </w:p>
    <w:p w:rsidR="008F3EC7" w:rsidRPr="00CA0BB8" w:rsidRDefault="008F3EC7" w:rsidP="005867E5">
      <w:pPr>
        <w:pStyle w:val="Heading2"/>
      </w:pPr>
      <w:bookmarkStart w:id="13" w:name="_Toc366221476"/>
      <w:r w:rsidRPr="00CA0BB8">
        <w:t>Regional capacity markets also interact with each other</w:t>
      </w:r>
      <w:r w:rsidR="00C248E8" w:rsidRPr="00CA0BB8">
        <w:t xml:space="preserve">.  </w:t>
      </w:r>
      <w:r w:rsidRPr="00CA0BB8">
        <w:t>What are the implications of regional differences in capac</w:t>
      </w:r>
      <w:r w:rsidR="00C248E8">
        <w:softHyphen/>
      </w:r>
      <w:r w:rsidRPr="00CA0BB8">
        <w:t>ity market designs?</w:t>
      </w:r>
      <w:bookmarkEnd w:id="13"/>
      <w:r w:rsidRPr="00CA0BB8">
        <w:t xml:space="preserve"> </w:t>
      </w:r>
    </w:p>
    <w:p w:rsidR="008F3EC7" w:rsidRPr="001350FB" w:rsidRDefault="00CA0BB8" w:rsidP="005867E5">
      <w:pPr>
        <w:pStyle w:val="Textstyle"/>
        <w:rPr>
          <w:b/>
        </w:rPr>
      </w:pPr>
      <w:r>
        <w:tab/>
      </w:r>
      <w:r w:rsidR="008F3EC7" w:rsidRPr="001350FB">
        <w:t>It is inherent that regional capacity markets have differences; this is a func</w:t>
      </w:r>
      <w:r w:rsidR="00C248E8">
        <w:softHyphen/>
      </w:r>
      <w:r w:rsidR="008F3EC7" w:rsidRPr="001350FB">
        <w:t xml:space="preserve">tion of how each regional market developed over time and FERC’s approval of separate market designs proposed by each region.  There </w:t>
      </w:r>
      <w:r w:rsidR="008F3EC7">
        <w:t xml:space="preserve">are very limited </w:t>
      </w:r>
      <w:r w:rsidR="008F3EC7" w:rsidRPr="001350FB">
        <w:t>way</w:t>
      </w:r>
      <w:r w:rsidR="008F3EC7">
        <w:t>s</w:t>
      </w:r>
      <w:r w:rsidR="008F3EC7" w:rsidRPr="001350FB">
        <w:t xml:space="preserve"> to rationally</w:t>
      </w:r>
      <w:r w:rsidR="008F3EC7" w:rsidRPr="001350FB" w:rsidDel="00D4548F">
        <w:t xml:space="preserve"> </w:t>
      </w:r>
      <w:r w:rsidR="008F3EC7" w:rsidRPr="001350FB">
        <w:t>reconcile the current regional differences between capacity markets</w:t>
      </w:r>
      <w:r w:rsidR="007F7B90">
        <w:t>;</w:t>
      </w:r>
      <w:r w:rsidR="008F3EC7">
        <w:t xml:space="preserve"> one </w:t>
      </w:r>
      <w:r w:rsidR="007F7B90">
        <w:t>is</w:t>
      </w:r>
      <w:r w:rsidR="008F3EC7" w:rsidRPr="001350FB">
        <w:t xml:space="preserve"> to create </w:t>
      </w:r>
      <w:r w:rsidR="007F7B90">
        <w:t>a</w:t>
      </w:r>
      <w:r w:rsidR="008F3EC7" w:rsidRPr="001350FB">
        <w:t xml:space="preserve"> single RTO market.  The Ohio Commission avers that FERC </w:t>
      </w:r>
      <w:r w:rsidR="008F3EC7">
        <w:t>should not</w:t>
      </w:r>
      <w:r w:rsidR="008F3EC7" w:rsidRPr="001350FB">
        <w:t xml:space="preserve"> take such an action.  Moreover, there is value in allowing each region to have its own capacity market based on each region’s individual geography, gener</w:t>
      </w:r>
      <w:r w:rsidR="00C248E8">
        <w:softHyphen/>
      </w:r>
      <w:r w:rsidR="008F3EC7" w:rsidRPr="001350FB">
        <w:t>ation, fuel and natural resources, load and other characteristics.</w:t>
      </w:r>
      <w:r w:rsidR="008F3EC7" w:rsidRPr="001350FB">
        <w:rPr>
          <w:b/>
        </w:rPr>
        <w:t xml:space="preserve">     </w:t>
      </w:r>
    </w:p>
    <w:p w:rsidR="008F3EC7" w:rsidRPr="001350FB" w:rsidRDefault="005867E5" w:rsidP="005867E5">
      <w:pPr>
        <w:pStyle w:val="Textstyle"/>
      </w:pPr>
      <w:r>
        <w:br w:type="page"/>
      </w:r>
      <w:r w:rsidR="00CA0BB8">
        <w:lastRenderedPageBreak/>
        <w:tab/>
      </w:r>
      <w:r w:rsidR="008F3EC7" w:rsidRPr="001350FB">
        <w:t xml:space="preserve">The seam between two RTOs, especially those with separate market designs, does create issues for </w:t>
      </w:r>
      <w:r w:rsidR="00CA0BB8">
        <w:t xml:space="preserve">capacity market participants.  </w:t>
      </w:r>
      <w:r w:rsidR="008F3EC7" w:rsidRPr="001350FB">
        <w:t xml:space="preserve">For example, </w:t>
      </w:r>
      <w:r w:rsidR="008F3EC7">
        <w:t>7,</w:t>
      </w:r>
      <w:r w:rsidR="008F3EC7" w:rsidRPr="001350FB">
        <w:t>493.7 MW of capacity imports offered into PJM’s 2016/2017 Base Residual Auction represents an increase of 90.4 percent</w:t>
      </w:r>
      <w:r w:rsidR="008F3EC7">
        <w:t>, or 3,558.4 MW,</w:t>
      </w:r>
      <w:r w:rsidR="008F3EC7" w:rsidRPr="001350FB">
        <w:t xml:space="preserve"> over the imports offered into the 2015/2016 auction.  All but 11 MW of the </w:t>
      </w:r>
      <w:r w:rsidR="008F3EC7">
        <w:t xml:space="preserve">7,482.7 MW of offered </w:t>
      </w:r>
      <w:r w:rsidR="008F3EC7" w:rsidRPr="001350FB">
        <w:t>imports cleared the auction and nearly two thirds of them</w:t>
      </w:r>
      <w:r w:rsidR="008F3EC7">
        <w:t>, or 4,723.1 MW,</w:t>
      </w:r>
      <w:r w:rsidR="008F3EC7" w:rsidRPr="001350FB">
        <w:t xml:space="preserve"> came from MISO.  Because MISO is predominately served by vertically integrated utilities in a devel</w:t>
      </w:r>
      <w:r w:rsidR="00C248E8">
        <w:softHyphen/>
      </w:r>
      <w:r w:rsidR="008F3EC7" w:rsidRPr="001350FB">
        <w:t xml:space="preserve">oping centralized capacity market, PJM’s more mature capacity market with higher prices and longer bidding horizons is attractive to imports.  The result is that PJM’s RPM is increasingly providing funding to participants that fail to provide “iron in </w:t>
      </w:r>
      <w:r w:rsidR="008F3EC7">
        <w:t xml:space="preserve">the </w:t>
      </w:r>
      <w:r w:rsidR="008F3EC7" w:rsidRPr="001350FB">
        <w:t xml:space="preserve">ground” </w:t>
      </w:r>
      <w:r w:rsidR="008F3EC7">
        <w:t>with</w:t>
      </w:r>
      <w:r w:rsidR="008F3EC7" w:rsidRPr="001350FB">
        <w:t xml:space="preserve">in PJM while further eroding the PJM capacity price.  </w:t>
      </w:r>
      <w:r w:rsidR="008F3EC7">
        <w:t>This market behavior reduces the value of membership in PJM and makes participation in the annual auction uncertain and has detrimental impacts on PJM members and ulti</w:t>
      </w:r>
      <w:r w:rsidR="00C248E8">
        <w:softHyphen/>
      </w:r>
      <w:r w:rsidR="008F3EC7">
        <w:t xml:space="preserve">mately energy consumers.  </w:t>
      </w:r>
      <w:r w:rsidR="008F3EC7" w:rsidRPr="001350FB">
        <w:t xml:space="preserve">As stated previously, </w:t>
      </w:r>
      <w:r w:rsidR="008F3EC7">
        <w:t xml:space="preserve">I </w:t>
      </w:r>
      <w:r w:rsidR="008F3EC7" w:rsidRPr="001350FB">
        <w:t>believe that subsidized genera</w:t>
      </w:r>
      <w:r w:rsidR="00C248E8">
        <w:softHyphen/>
      </w:r>
      <w:r w:rsidR="008F3EC7" w:rsidRPr="001350FB">
        <w:t xml:space="preserve">tion offers, such as those submitted by </w:t>
      </w:r>
      <w:proofErr w:type="spellStart"/>
      <w:r w:rsidR="008F3EC7" w:rsidRPr="001350FB">
        <w:t>MISO’s</w:t>
      </w:r>
      <w:proofErr w:type="spellEnd"/>
      <w:r w:rsidR="008F3EC7" w:rsidRPr="001350FB">
        <w:t xml:space="preserve"> vertically integrated utilities, are detrimental to a fully competitive centralized capacity market design and should be further evaluated by FERC.  Furthermore, with only 64 percent of the imports having confirmed firm transmission service at the time of the auction, it is possible that some of the imports may prove to be not only uneconomic, but undeliverable as well</w:t>
      </w:r>
      <w:r w:rsidR="00C248E8" w:rsidRPr="001350FB">
        <w:t>.</w:t>
      </w:r>
      <w:r w:rsidR="00C248E8">
        <w:t xml:space="preserve">  </w:t>
      </w:r>
      <w:r w:rsidR="008F3EC7">
        <w:t>This potential for a serious reliability issue is a cause for caution and con</w:t>
      </w:r>
      <w:r w:rsidR="00C248E8">
        <w:softHyphen/>
      </w:r>
      <w:r w:rsidR="008F3EC7">
        <w:lastRenderedPageBreak/>
        <w:t>cern</w:t>
      </w:r>
      <w:r w:rsidR="00C248E8">
        <w:t xml:space="preserve">.  </w:t>
      </w:r>
      <w:r w:rsidR="008F3EC7">
        <w:t>Therefore, I recommend that FERC require all external resources to have firm transmission service approved by PJM prior to submitting offers into PJM’s RPM.</w:t>
      </w:r>
    </w:p>
    <w:p w:rsidR="008F3EC7" w:rsidRDefault="00CA0BB8" w:rsidP="005867E5">
      <w:pPr>
        <w:pStyle w:val="Textstyle"/>
      </w:pPr>
      <w:r>
        <w:tab/>
      </w:r>
      <w:r w:rsidR="008F3EC7" w:rsidRPr="001350FB">
        <w:t xml:space="preserve">With the rising level of imports from MISO to PJM, </w:t>
      </w:r>
      <w:r w:rsidR="008F3EC7">
        <w:t>I am</w:t>
      </w:r>
      <w:r w:rsidR="008F3EC7" w:rsidRPr="001350FB">
        <w:t xml:space="preserve"> concerned whether there is a capacity deliverability issue between MISO and PJM.  Thus, </w:t>
      </w:r>
      <w:r w:rsidR="008F3EC7">
        <w:t>I</w:t>
      </w:r>
      <w:r w:rsidR="008F3EC7" w:rsidRPr="001350FB">
        <w:t xml:space="preserve"> support the joint comments filed by </w:t>
      </w:r>
      <w:proofErr w:type="spellStart"/>
      <w:r w:rsidR="008F3EC7" w:rsidRPr="001350FB">
        <w:t>OPSI</w:t>
      </w:r>
      <w:proofErr w:type="spellEnd"/>
      <w:r w:rsidR="008F3EC7" w:rsidRPr="001350FB">
        <w:t xml:space="preserve"> and </w:t>
      </w:r>
      <w:proofErr w:type="spellStart"/>
      <w:r w:rsidR="008F3EC7" w:rsidRPr="001350FB">
        <w:t>OMS</w:t>
      </w:r>
      <w:proofErr w:type="spellEnd"/>
      <w:r w:rsidR="008F3EC7" w:rsidRPr="001350FB">
        <w:t xml:space="preserve"> in FERC Docket AD-16 for the FERC Technical Conference on Capacity Deliverability held on June 20, 2013.  Specifi</w:t>
      </w:r>
      <w:r w:rsidR="00C248E8">
        <w:softHyphen/>
      </w:r>
      <w:r w:rsidR="008F3EC7" w:rsidRPr="001350FB">
        <w:t xml:space="preserve">cally, the </w:t>
      </w:r>
      <w:proofErr w:type="spellStart"/>
      <w:r w:rsidR="008F3EC7" w:rsidRPr="001350FB">
        <w:t>OPSI</w:t>
      </w:r>
      <w:proofErr w:type="spellEnd"/>
      <w:r w:rsidR="008F3EC7" w:rsidRPr="001350FB">
        <w:t>/</w:t>
      </w:r>
      <w:proofErr w:type="spellStart"/>
      <w:r w:rsidR="008F3EC7" w:rsidRPr="001350FB">
        <w:t>OMS</w:t>
      </w:r>
      <w:proofErr w:type="spellEnd"/>
      <w:r w:rsidR="008F3EC7" w:rsidRPr="001350FB">
        <w:t xml:space="preserve"> comments call for a more in-depth analysis and initial fact</w:t>
      </w:r>
      <w:r w:rsidR="008F3EC7">
        <w:t>-</w:t>
      </w:r>
      <w:r w:rsidR="008F3EC7" w:rsidRPr="001350FB">
        <w:t xml:space="preserve">finding </w:t>
      </w:r>
      <w:r w:rsidR="008F3EC7">
        <w:t>on</w:t>
      </w:r>
      <w:r w:rsidR="008F3EC7" w:rsidRPr="001350FB">
        <w:t xml:space="preserve"> the following critical issues: (1) the possibility and significance of any cost shifts between the two RTOs; (2) the reliability impact of any proposed revised deliverability schemes; (3) whether further work on capacity deliverability is cost effective; (4) the overall additional incremental joint deliverability benefit over that currently occurring; (5) whether any proposals can be cost effectively and realistically implemented, and (6) the long-term rate impact on each </w:t>
      </w:r>
      <w:proofErr w:type="spellStart"/>
      <w:r w:rsidR="008F3EC7" w:rsidRPr="001350FB">
        <w:t>RTO’s</w:t>
      </w:r>
      <w:proofErr w:type="spellEnd"/>
      <w:r w:rsidR="008F3EC7" w:rsidRPr="001350FB">
        <w:t xml:space="preserve"> retail customers.  It is important to conduct an accurate fact finding that provides RTOs and all stakeholders with the requisite information to advance vital coordination, while still allowing RTOs to maintain their unique characteristics.</w:t>
      </w:r>
    </w:p>
    <w:p w:rsidR="005867E5" w:rsidRDefault="005867E5" w:rsidP="005867E5">
      <w:pPr>
        <w:pStyle w:val="Textstyle"/>
      </w:pPr>
    </w:p>
    <w:p w:rsidR="005867E5" w:rsidRPr="001350FB" w:rsidRDefault="005867E5" w:rsidP="005867E5">
      <w:pPr>
        <w:pStyle w:val="Textstyle"/>
      </w:pPr>
    </w:p>
    <w:p w:rsidR="008F3EC7" w:rsidRPr="008F3EC7" w:rsidRDefault="008F3EC7" w:rsidP="005867E5">
      <w:pPr>
        <w:pStyle w:val="Heading2"/>
      </w:pPr>
      <w:bookmarkStart w:id="14" w:name="_Toc366221477"/>
      <w:r w:rsidRPr="008F3EC7">
        <w:lastRenderedPageBreak/>
        <w:t>What is the impact on centralized capacity markets of trans</w:t>
      </w:r>
      <w:r w:rsidR="00C248E8">
        <w:softHyphen/>
      </w:r>
      <w:r w:rsidRPr="008F3EC7">
        <w:t>mission system upgrades and expansions?</w:t>
      </w:r>
      <w:r w:rsidR="00CA0BB8">
        <w:t xml:space="preserve"> </w:t>
      </w:r>
      <w:r w:rsidRPr="008F3EC7">
        <w:t xml:space="preserve"> Can trans</w:t>
      </w:r>
      <w:r w:rsidR="00C248E8">
        <w:softHyphen/>
      </w:r>
      <w:r w:rsidRPr="008F3EC7">
        <w:t>mission planning be more effectively integrated with or accounted for in the design elements of centralized capacity markets?</w:t>
      </w:r>
      <w:bookmarkEnd w:id="14"/>
      <w:r w:rsidRPr="008F3EC7">
        <w:t xml:space="preserve"> </w:t>
      </w:r>
    </w:p>
    <w:p w:rsidR="008F3EC7" w:rsidRPr="007655E3" w:rsidRDefault="00CA0BB8" w:rsidP="005867E5">
      <w:pPr>
        <w:pStyle w:val="Textstyle"/>
      </w:pPr>
      <w:r>
        <w:tab/>
      </w:r>
      <w:r w:rsidR="008F3EC7" w:rsidRPr="008F3EC7">
        <w:t>In Ohio, the capacity markets have spurred substantial investments in transmis</w:t>
      </w:r>
      <w:r w:rsidR="00C248E8">
        <w:softHyphen/>
      </w:r>
      <w:r w:rsidR="008F3EC7" w:rsidRPr="008F3EC7">
        <w:t>sion but at the expense of new generation to replace retiring coal plants.</w:t>
      </w:r>
      <w:r>
        <w:t xml:space="preserve"> </w:t>
      </w:r>
      <w:r w:rsidR="008F3EC7" w:rsidRPr="008F3EC7">
        <w:t xml:space="preserve"> Many generators see price volatility and too much risk in the one-year capacity market to commit to new generation projects</w:t>
      </w:r>
      <w:r w:rsidR="00C248E8" w:rsidRPr="008F3EC7">
        <w:t xml:space="preserve">.  </w:t>
      </w:r>
      <w:r w:rsidR="008F3EC7" w:rsidRPr="008F3EC7">
        <w:t xml:space="preserve">In contrast, transmission expansion offers a guaranteed rate of return. </w:t>
      </w:r>
      <w:r>
        <w:t xml:space="preserve"> </w:t>
      </w:r>
      <w:r w:rsidR="008F3EC7" w:rsidRPr="007655E3">
        <w:t xml:space="preserve">Because the RPM lacks financial certainty for generation from year to year, it is apparent that companies are relying more on transmission upgrades to relieve congestion and constraints. </w:t>
      </w:r>
      <w:r>
        <w:t xml:space="preserve"> </w:t>
      </w:r>
      <w:r w:rsidR="008F3EC7" w:rsidRPr="008F3EC7">
        <w:t xml:space="preserve">That was shown </w:t>
      </w:r>
      <w:r w:rsidR="008F3EC7" w:rsidRPr="007655E3">
        <w:t xml:space="preserve">in the 2015/2016 RPM </w:t>
      </w:r>
      <w:r w:rsidR="008F3EC7" w:rsidRPr="008F3EC7">
        <w:t xml:space="preserve">in the constrained ATSI zone </w:t>
      </w:r>
      <w:r w:rsidR="008F3EC7" w:rsidRPr="007655E3">
        <w:t>when the clearing price exceeded the (</w:t>
      </w:r>
      <w:proofErr w:type="spellStart"/>
      <w:r w:rsidR="008F3EC7" w:rsidRPr="007655E3">
        <w:t>MOPR</w:t>
      </w:r>
      <w:proofErr w:type="spellEnd"/>
      <w:r w:rsidR="008F3EC7" w:rsidRPr="007655E3">
        <w:t>) rate</w:t>
      </w:r>
      <w:r w:rsidR="00C248E8" w:rsidRPr="007655E3">
        <w:t xml:space="preserve">.  </w:t>
      </w:r>
      <w:r w:rsidR="008F3EC7" w:rsidRPr="007655E3">
        <w:t xml:space="preserve">For example, utilities are pursuing transmission expansion to resolve the constraints in the ATSI zone, as opposed to building new generation facilities in that </w:t>
      </w:r>
      <w:proofErr w:type="spellStart"/>
      <w:r w:rsidR="008F3EC7" w:rsidRPr="007655E3">
        <w:t>LDA</w:t>
      </w:r>
      <w:proofErr w:type="spellEnd"/>
      <w:r w:rsidR="008F3EC7" w:rsidRPr="007655E3">
        <w:t>.</w:t>
      </w:r>
      <w:r>
        <w:t xml:space="preserve"> </w:t>
      </w:r>
      <w:r w:rsidR="008F3EC7" w:rsidRPr="007655E3">
        <w:t xml:space="preserve"> Given that companies are almost exclusively pursuing transmission solutions, I believe that FERC should determine whether a long-term market for new generation capacity resources is warranted.  Specifically, I recommend that FERC investigate whether the three-year-out, one-year-ahead market for capacity should be extended beyond the one-year time frame to three, five, or even  seven years.  FERC should also determine whether a longer RPM timeframe should apply to only new generation resources, to both new and existing </w:t>
      </w:r>
      <w:r w:rsidR="008F3EC7" w:rsidRPr="007655E3">
        <w:lastRenderedPageBreak/>
        <w:t>facilities, or whether new, individual long-term capacity markets should be estab</w:t>
      </w:r>
      <w:r w:rsidR="00C248E8">
        <w:softHyphen/>
      </w:r>
      <w:r w:rsidR="008F3EC7" w:rsidRPr="007655E3">
        <w:t>lished separately for existing and new generation capacity resources to ensure long-term system reliability.  The need to monitor both generation and transmis</w:t>
      </w:r>
      <w:r w:rsidR="00C248E8">
        <w:softHyphen/>
      </w:r>
      <w:r w:rsidR="008F3EC7" w:rsidRPr="007655E3">
        <w:t>sion solutions requires greater cooperation between FERC and state regulators to ensure a proper balance is struck in ensuring system reliability.</w:t>
      </w:r>
    </w:p>
    <w:p w:rsidR="00CA0BB8" w:rsidRDefault="00CA0BB8" w:rsidP="005867E5">
      <w:pPr>
        <w:pStyle w:val="Textstyle"/>
      </w:pPr>
      <w:r>
        <w:tab/>
      </w:r>
      <w:r w:rsidR="008F3EC7" w:rsidRPr="007655E3">
        <w:t>The Ohio Commission maintains that additional time for guaranteed longer term funding will allow for mo</w:t>
      </w:r>
      <w:r w:rsidR="008F3EC7" w:rsidRPr="001350FB">
        <w:t>re certainty in the RPM, will reduce risk, will corre</w:t>
      </w:r>
      <w:r w:rsidR="00C248E8">
        <w:softHyphen/>
      </w:r>
      <w:r w:rsidR="008F3EC7" w:rsidRPr="001350FB">
        <w:t xml:space="preserve">spondingly reduce the cost of capital, and will incent the construction of more new generation resources. </w:t>
      </w:r>
    </w:p>
    <w:p w:rsidR="00CA0BB8" w:rsidRDefault="005867E5" w:rsidP="00CA0BB8">
      <w:pPr>
        <w:pStyle w:val="Heading1"/>
      </w:pPr>
      <w:bookmarkStart w:id="15" w:name="_Toc366221478"/>
      <w:r>
        <w:t>CONCLUSION</w:t>
      </w:r>
      <w:bookmarkEnd w:id="15"/>
    </w:p>
    <w:p w:rsidR="008F3EC7" w:rsidRPr="0095491E" w:rsidRDefault="008F3EC7" w:rsidP="005867E5">
      <w:pPr>
        <w:pStyle w:val="Textstyle"/>
      </w:pPr>
      <w:r>
        <w:tab/>
        <w:t xml:space="preserve">I believe FERC should examine four distinct areas of the capacity market: (1) demand response, (2) energy efficiency, (3) replacement capacity, and the (4) minimum </w:t>
      </w:r>
      <w:r w:rsidR="00E97D5E">
        <w:t xml:space="preserve">offer </w:t>
      </w:r>
      <w:r>
        <w:t>price rule</w:t>
      </w:r>
      <w:r w:rsidR="00C248E8">
        <w:t xml:space="preserve">.  </w:t>
      </w:r>
      <w:r>
        <w:t xml:space="preserve">In regards to demand response, I request </w:t>
      </w:r>
      <w:r w:rsidRPr="001350FB">
        <w:t xml:space="preserve">that FERC </w:t>
      </w:r>
      <w:r>
        <w:t xml:space="preserve">review </w:t>
      </w:r>
      <w:r w:rsidRPr="001350FB">
        <w:t>whether it should significantly reduce or begin t</w:t>
      </w:r>
      <w:r>
        <w:t>o</w:t>
      </w:r>
      <w:r w:rsidRPr="001350FB">
        <w:t xml:space="preserve"> phase</w:t>
      </w:r>
      <w:r>
        <w:t xml:space="preserve"> </w:t>
      </w:r>
      <w:r w:rsidRPr="001350FB">
        <w:t xml:space="preserve">out all reduced </w:t>
      </w:r>
      <w:proofErr w:type="spellStart"/>
      <w:r w:rsidRPr="001350FB">
        <w:t>DR</w:t>
      </w:r>
      <w:proofErr w:type="spellEnd"/>
      <w:r w:rsidRPr="001350FB">
        <w:t xml:space="preserve"> capaci</w:t>
      </w:r>
      <w:r>
        <w:t>ty resources</w:t>
      </w:r>
      <w:r w:rsidRPr="001350FB">
        <w:t xml:space="preserve">.  </w:t>
      </w:r>
      <w:r>
        <w:t>Similarly, I believe FERC should investigate whether capacity payments to energy efficiency should be adjusted to ensure more economic pay</w:t>
      </w:r>
      <w:r w:rsidR="00C248E8">
        <w:softHyphen/>
      </w:r>
      <w:r>
        <w:t>ments for physical generation resources</w:t>
      </w:r>
      <w:r w:rsidR="00C248E8">
        <w:t xml:space="preserve">.  </w:t>
      </w:r>
      <w:r>
        <w:t>Concerning replacement capacity</w:t>
      </w:r>
      <w:r w:rsidRPr="001350FB">
        <w:t xml:space="preserve">, FERC should move to ensure that those offering into the RPM auctions actually intend to deliver the physical </w:t>
      </w:r>
      <w:proofErr w:type="spellStart"/>
      <w:r w:rsidRPr="001350FB">
        <w:t>dispatchable</w:t>
      </w:r>
      <w:proofErr w:type="spellEnd"/>
      <w:r w:rsidRPr="001350FB">
        <w:t xml:space="preserve"> capacity product that is offered and cleared in the RPM </w:t>
      </w:r>
      <w:r>
        <w:t>administrative process</w:t>
      </w:r>
      <w:r w:rsidR="00C248E8">
        <w:t xml:space="preserve">.  </w:t>
      </w:r>
      <w:r>
        <w:t xml:space="preserve">In regards to </w:t>
      </w:r>
      <w:proofErr w:type="spellStart"/>
      <w:r>
        <w:rPr>
          <w:color w:val="020100"/>
          <w:spacing w:val="1"/>
        </w:rPr>
        <w:t>MOPR</w:t>
      </w:r>
      <w:proofErr w:type="spellEnd"/>
      <w:r>
        <w:rPr>
          <w:color w:val="020100"/>
          <w:spacing w:val="1"/>
        </w:rPr>
        <w:t xml:space="preserve">, I believe that FERC should </w:t>
      </w:r>
      <w:r>
        <w:rPr>
          <w:color w:val="020100"/>
          <w:spacing w:val="1"/>
        </w:rPr>
        <w:lastRenderedPageBreak/>
        <w:t>make every effort to ensure that all capacity providers are subject to the same rules.</w:t>
      </w:r>
    </w:p>
    <w:p w:rsidR="008F3EC7" w:rsidRDefault="00CA0BB8" w:rsidP="005867E5">
      <w:pPr>
        <w:pStyle w:val="Textstyle"/>
      </w:pPr>
      <w:r>
        <w:tab/>
      </w:r>
      <w:r w:rsidR="008F3EC7">
        <w:t xml:space="preserve">In addition, FERC should initiate a comprehensive proceeding to determine whether seams rules should be amended. </w:t>
      </w:r>
      <w:r>
        <w:t xml:space="preserve"> </w:t>
      </w:r>
      <w:r w:rsidR="008F3EC7">
        <w:t xml:space="preserve">This proceeding should be an in-depth analysis and initial fact-finding that provides RTOs and all stakeholders with the requisite information to advance vital coordination, while still allowing RTOs to maintain their unique characteristics. </w:t>
      </w:r>
    </w:p>
    <w:p w:rsidR="008F3EC7" w:rsidRDefault="008F3EC7" w:rsidP="005867E5">
      <w:pPr>
        <w:pStyle w:val="Textstyle"/>
      </w:pPr>
      <w:r>
        <w:rPr>
          <w:color w:val="020100"/>
          <w:spacing w:val="1"/>
        </w:rPr>
        <w:tab/>
        <w:t>Finally, FERC should determine whether a long-term market for new genera</w:t>
      </w:r>
      <w:r w:rsidR="00C248E8">
        <w:rPr>
          <w:color w:val="020100"/>
          <w:spacing w:val="1"/>
        </w:rPr>
        <w:softHyphen/>
      </w:r>
      <w:r>
        <w:rPr>
          <w:color w:val="020100"/>
          <w:spacing w:val="1"/>
        </w:rPr>
        <w:t xml:space="preserve">tion capacity resources is warranted. </w:t>
      </w:r>
      <w:r w:rsidR="00CA0BB8">
        <w:rPr>
          <w:color w:val="020100"/>
          <w:spacing w:val="1"/>
        </w:rPr>
        <w:t xml:space="preserve"> </w:t>
      </w:r>
      <w:r w:rsidRPr="001350FB">
        <w:t xml:space="preserve">Specifically, I recommend that FERC investigate whether the </w:t>
      </w:r>
      <w:r>
        <w:t>three</w:t>
      </w:r>
      <w:r w:rsidRPr="001350FB">
        <w:t>-</w:t>
      </w:r>
      <w:r>
        <w:t xml:space="preserve"> or five </w:t>
      </w:r>
      <w:r w:rsidRPr="001350FB">
        <w:t xml:space="preserve">year-out, </w:t>
      </w:r>
      <w:r>
        <w:t>one</w:t>
      </w:r>
      <w:r w:rsidRPr="001350FB">
        <w:t>-year</w:t>
      </w:r>
      <w:r>
        <w:t>-ahead</w:t>
      </w:r>
      <w:r w:rsidRPr="001350FB">
        <w:t xml:space="preserve"> market for capacity should be extended beyond the </w:t>
      </w:r>
      <w:r>
        <w:t>one</w:t>
      </w:r>
      <w:r w:rsidRPr="001350FB">
        <w:t>-year time frame</w:t>
      </w:r>
      <w:r>
        <w:t>.</w:t>
      </w:r>
      <w:r w:rsidRPr="001350FB">
        <w:t xml:space="preserve"> </w:t>
      </w:r>
    </w:p>
    <w:p w:rsidR="005867E5" w:rsidRDefault="005867E5" w:rsidP="005867E5">
      <w:pPr>
        <w:pStyle w:val="Textstyle"/>
      </w:pPr>
    </w:p>
    <w:p w:rsidR="005867E5" w:rsidRPr="005867E5" w:rsidRDefault="00752AE5" w:rsidP="005867E5">
      <w:pPr>
        <w:tabs>
          <w:tab w:val="left" w:pos="9360"/>
        </w:tabs>
        <w:ind w:left="4320"/>
        <w:rPr>
          <w:b/>
          <w:sz w:val="26"/>
          <w:szCs w:val="26"/>
        </w:rPr>
      </w:pPr>
      <w:r w:rsidRPr="00752AE5">
        <w:rPr>
          <w:rFonts w:ascii="Viner Hand ITC" w:hAnsi="Viner Hand ITC"/>
          <w:sz w:val="28"/>
          <w:szCs w:val="28"/>
          <w:u w:val="single"/>
        </w:rPr>
        <w:t>/s/ Todd A. Snitchler</w:t>
      </w:r>
      <w:r w:rsidR="005867E5" w:rsidRPr="005867E5">
        <w:rPr>
          <w:u w:val="single"/>
        </w:rPr>
        <w:tab/>
      </w:r>
      <w:r w:rsidR="005867E5">
        <w:rPr>
          <w:u w:val="single"/>
        </w:rPr>
        <w:br/>
      </w:r>
      <w:r w:rsidR="005867E5" w:rsidRPr="005867E5">
        <w:rPr>
          <w:b/>
          <w:sz w:val="26"/>
          <w:szCs w:val="26"/>
        </w:rPr>
        <w:t>Todd A. Snitchler, Chairman</w:t>
      </w:r>
    </w:p>
    <w:p w:rsidR="005867E5" w:rsidRDefault="005867E5" w:rsidP="005867E5">
      <w:pPr>
        <w:tabs>
          <w:tab w:val="left" w:pos="9360"/>
        </w:tabs>
        <w:ind w:left="4320"/>
        <w:rPr>
          <w:b/>
          <w:sz w:val="26"/>
          <w:szCs w:val="26"/>
        </w:rPr>
      </w:pPr>
      <w:r w:rsidRPr="005867E5">
        <w:rPr>
          <w:b/>
          <w:sz w:val="26"/>
          <w:szCs w:val="26"/>
        </w:rPr>
        <w:t>Public Utilities Commission of Ohio</w:t>
      </w:r>
    </w:p>
    <w:p w:rsidR="005867E5" w:rsidRDefault="005867E5" w:rsidP="005867E5">
      <w:pPr>
        <w:tabs>
          <w:tab w:val="left" w:pos="9360"/>
        </w:tabs>
        <w:ind w:left="4320"/>
        <w:rPr>
          <w:sz w:val="26"/>
          <w:szCs w:val="26"/>
        </w:rPr>
      </w:pPr>
      <w:r>
        <w:rPr>
          <w:sz w:val="26"/>
          <w:szCs w:val="26"/>
        </w:rPr>
        <w:t>180 East Broad Street, 12</w:t>
      </w:r>
      <w:r w:rsidRPr="005867E5">
        <w:rPr>
          <w:sz w:val="26"/>
          <w:szCs w:val="26"/>
          <w:vertAlign w:val="superscript"/>
        </w:rPr>
        <w:t>th</w:t>
      </w:r>
      <w:r>
        <w:rPr>
          <w:sz w:val="26"/>
          <w:szCs w:val="26"/>
        </w:rPr>
        <w:t xml:space="preserve"> Floor</w:t>
      </w:r>
    </w:p>
    <w:p w:rsidR="005867E5" w:rsidRDefault="005867E5" w:rsidP="005867E5">
      <w:pPr>
        <w:tabs>
          <w:tab w:val="left" w:pos="9360"/>
        </w:tabs>
        <w:ind w:left="4320"/>
        <w:rPr>
          <w:sz w:val="26"/>
          <w:szCs w:val="26"/>
        </w:rPr>
      </w:pPr>
      <w:r>
        <w:rPr>
          <w:sz w:val="26"/>
          <w:szCs w:val="26"/>
        </w:rPr>
        <w:t>Columbus, OH  43215-3793</w:t>
      </w:r>
    </w:p>
    <w:p w:rsidR="005867E5" w:rsidRDefault="005867E5" w:rsidP="005867E5">
      <w:pPr>
        <w:tabs>
          <w:tab w:val="left" w:pos="9360"/>
        </w:tabs>
        <w:ind w:left="4320"/>
        <w:rPr>
          <w:sz w:val="26"/>
          <w:szCs w:val="26"/>
        </w:rPr>
      </w:pPr>
      <w:r>
        <w:rPr>
          <w:sz w:val="26"/>
          <w:szCs w:val="26"/>
        </w:rPr>
        <w:t>614.466.3204 (telephone)</w:t>
      </w:r>
    </w:p>
    <w:p w:rsidR="005867E5" w:rsidRDefault="005867E5" w:rsidP="005867E5">
      <w:pPr>
        <w:tabs>
          <w:tab w:val="left" w:pos="9360"/>
        </w:tabs>
        <w:ind w:left="4320"/>
        <w:rPr>
          <w:sz w:val="26"/>
          <w:szCs w:val="26"/>
        </w:rPr>
      </w:pPr>
      <w:r>
        <w:rPr>
          <w:sz w:val="26"/>
          <w:szCs w:val="26"/>
        </w:rPr>
        <w:t>614.466.7366 (fax)</w:t>
      </w:r>
    </w:p>
    <w:p w:rsidR="005867E5" w:rsidRDefault="00596C8F" w:rsidP="005867E5">
      <w:pPr>
        <w:tabs>
          <w:tab w:val="left" w:pos="9360"/>
        </w:tabs>
        <w:ind w:left="4320"/>
        <w:rPr>
          <w:sz w:val="26"/>
          <w:szCs w:val="26"/>
        </w:rPr>
      </w:pPr>
      <w:hyperlink r:id="rId15" w:history="1">
        <w:r w:rsidR="005867E5" w:rsidRPr="002D2A0D">
          <w:rPr>
            <w:rStyle w:val="Hyperlink"/>
            <w:sz w:val="26"/>
            <w:szCs w:val="26"/>
          </w:rPr>
          <w:t>todd.snitchler@puc.state.oh.us</w:t>
        </w:r>
      </w:hyperlink>
    </w:p>
    <w:p w:rsidR="005867E5" w:rsidRDefault="005867E5" w:rsidP="005867E5">
      <w:pPr>
        <w:tabs>
          <w:tab w:val="left" w:pos="9360"/>
        </w:tabs>
        <w:ind w:left="4320"/>
        <w:rPr>
          <w:sz w:val="26"/>
          <w:szCs w:val="26"/>
        </w:rPr>
      </w:pPr>
    </w:p>
    <w:p w:rsidR="005867E5" w:rsidRDefault="005867E5" w:rsidP="005867E5">
      <w:pPr>
        <w:tabs>
          <w:tab w:val="left" w:pos="9360"/>
        </w:tabs>
        <w:ind w:left="4320"/>
        <w:rPr>
          <w:sz w:val="26"/>
          <w:szCs w:val="26"/>
        </w:rPr>
      </w:pPr>
    </w:p>
    <w:p w:rsidR="005867E5" w:rsidRDefault="005867E5" w:rsidP="005867E5">
      <w:pPr>
        <w:tabs>
          <w:tab w:val="left" w:pos="9360"/>
        </w:tabs>
        <w:ind w:left="4320"/>
        <w:rPr>
          <w:sz w:val="26"/>
          <w:szCs w:val="26"/>
        </w:rPr>
      </w:pPr>
    </w:p>
    <w:p w:rsidR="005867E5" w:rsidRPr="005867E5" w:rsidRDefault="005867E5" w:rsidP="005867E5">
      <w:pPr>
        <w:tabs>
          <w:tab w:val="left" w:pos="9360"/>
        </w:tabs>
        <w:rPr>
          <w:sz w:val="26"/>
          <w:szCs w:val="26"/>
        </w:rPr>
      </w:pPr>
      <w:r>
        <w:rPr>
          <w:sz w:val="26"/>
          <w:szCs w:val="26"/>
        </w:rPr>
        <w:t>Dated at Columbus, Ohio this 9</w:t>
      </w:r>
      <w:r w:rsidRPr="005867E5">
        <w:rPr>
          <w:sz w:val="26"/>
          <w:szCs w:val="26"/>
          <w:vertAlign w:val="superscript"/>
        </w:rPr>
        <w:t>th</w:t>
      </w:r>
      <w:r>
        <w:rPr>
          <w:sz w:val="26"/>
          <w:szCs w:val="26"/>
        </w:rPr>
        <w:t xml:space="preserve"> day of September, 2013.</w:t>
      </w:r>
    </w:p>
    <w:sectPr w:rsidR="005867E5" w:rsidRPr="005867E5" w:rsidSect="000B4113">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E2" w:rsidRDefault="007074E2">
      <w:r>
        <w:separator/>
      </w:r>
    </w:p>
  </w:endnote>
  <w:endnote w:type="continuationSeparator" w:id="0">
    <w:p w:rsidR="007074E2" w:rsidRDefault="0070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0C" w:rsidRPr="0076570C" w:rsidRDefault="0076570C" w:rsidP="0076570C">
    <w:pPr>
      <w:pStyle w:val="Footer"/>
      <w:jc w:val="center"/>
      <w:rPr>
        <w:rFonts w:ascii="Times New Roman" w:hAnsi="Times New Roman"/>
        <w:b/>
        <w:sz w:val="26"/>
        <w:szCs w:val="26"/>
      </w:rPr>
    </w:pPr>
    <w:r w:rsidRPr="0076570C">
      <w:rPr>
        <w:rFonts w:ascii="Times New Roman" w:hAnsi="Times New Roman"/>
        <w:b/>
        <w:sz w:val="26"/>
        <w:szCs w:val="26"/>
      </w:rPr>
      <w:t>September 25,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0C" w:rsidRPr="0076570C" w:rsidRDefault="0076570C" w:rsidP="007657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0C" w:rsidRDefault="007657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0C" w:rsidRPr="0076570C" w:rsidRDefault="0076570C" w:rsidP="00765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E2" w:rsidRDefault="007074E2">
      <w:r>
        <w:separator/>
      </w:r>
    </w:p>
  </w:footnote>
  <w:footnote w:type="continuationSeparator" w:id="0">
    <w:p w:rsidR="007074E2" w:rsidRDefault="007074E2">
      <w:r>
        <w:continuationSeparator/>
      </w:r>
    </w:p>
  </w:footnote>
  <w:footnote w:id="1">
    <w:p w:rsidR="008F3EC7" w:rsidRDefault="008F3EC7" w:rsidP="008F3EC7">
      <w:pPr>
        <w:pStyle w:val="FootnoteText"/>
      </w:pPr>
      <w:r>
        <w:rPr>
          <w:rStyle w:val="FootnoteReference"/>
        </w:rPr>
        <w:footnoteRef/>
      </w:r>
      <w:r>
        <w:t xml:space="preserve">  </w:t>
      </w:r>
      <w:r w:rsidR="00CA0BB8">
        <w:tab/>
      </w:r>
      <w:r w:rsidR="00CA0BB8">
        <w:tab/>
      </w:r>
      <w:r w:rsidRPr="00CA0BB8">
        <w:rPr>
          <w:color w:val="020100"/>
          <w:spacing w:val="1"/>
        </w:rPr>
        <w:t xml:space="preserve">See PJM’s 2016/2017 RPM Base Residual Auction Results: </w:t>
      </w:r>
      <w:hyperlink r:id="rId1" w:history="1">
        <w:r w:rsidRPr="00CA0BB8">
          <w:rPr>
            <w:rStyle w:val="Hyperlink"/>
            <w:spacing w:val="1"/>
          </w:rPr>
          <w:t>http://www.pjm.com/sitecore%20modules/web/~/media/committees-groups/task-forces/cstf/20130626/20130626-item-03-2016-2017-base-residual-auction-report.ashx</w:t>
        </w:r>
      </w:hyperlink>
      <w:r w:rsidRPr="00CA0BB8">
        <w:rPr>
          <w:color w:val="020100"/>
          <w:spacing w:val="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E8" w:rsidRPr="00C248E8" w:rsidRDefault="00C248E8" w:rsidP="00C248E8">
    <w:pPr>
      <w:autoSpaceDE w:val="0"/>
      <w:autoSpaceDN w:val="0"/>
      <w:adjustRightInd w:val="0"/>
      <w:jc w:val="right"/>
      <w:rPr>
        <w:rFonts w:ascii="Times New Roman" w:hAnsi="Times New Roman"/>
        <w:sz w:val="24"/>
        <w:szCs w:val="24"/>
      </w:rPr>
    </w:pPr>
    <w:r w:rsidRPr="00C248E8">
      <w:rPr>
        <w:rFonts w:ascii="Times New Roman" w:hAnsi="Times New Roman"/>
        <w:b/>
        <w:bCs/>
        <w:spacing w:val="7"/>
        <w:sz w:val="24"/>
        <w:szCs w:val="24"/>
      </w:rPr>
      <w:t>D</w:t>
    </w:r>
    <w:r w:rsidRPr="00C248E8">
      <w:rPr>
        <w:rFonts w:ascii="Times New Roman" w:hAnsi="Times New Roman"/>
        <w:b/>
        <w:bCs/>
        <w:sz w:val="24"/>
        <w:szCs w:val="24"/>
      </w:rPr>
      <w:t>o</w:t>
    </w:r>
    <w:r w:rsidRPr="00C248E8">
      <w:rPr>
        <w:rFonts w:ascii="Times New Roman" w:hAnsi="Times New Roman"/>
        <w:b/>
        <w:bCs/>
        <w:spacing w:val="-2"/>
        <w:sz w:val="24"/>
        <w:szCs w:val="24"/>
      </w:rPr>
      <w:t>c</w:t>
    </w:r>
    <w:r w:rsidRPr="00C248E8">
      <w:rPr>
        <w:rFonts w:ascii="Times New Roman" w:hAnsi="Times New Roman"/>
        <w:b/>
        <w:bCs/>
        <w:spacing w:val="2"/>
        <w:sz w:val="24"/>
        <w:szCs w:val="24"/>
      </w:rPr>
      <w:t>k</w:t>
    </w:r>
    <w:r w:rsidRPr="00C248E8">
      <w:rPr>
        <w:rFonts w:ascii="Times New Roman" w:hAnsi="Times New Roman"/>
        <w:b/>
        <w:bCs/>
        <w:spacing w:val="14"/>
        <w:sz w:val="24"/>
        <w:szCs w:val="24"/>
      </w:rPr>
      <w:t>e</w:t>
    </w:r>
    <w:r w:rsidRPr="00C248E8">
      <w:rPr>
        <w:rFonts w:ascii="Times New Roman" w:hAnsi="Times New Roman"/>
        <w:b/>
        <w:bCs/>
        <w:sz w:val="24"/>
        <w:szCs w:val="24"/>
      </w:rPr>
      <w:t>t</w:t>
    </w:r>
    <w:r w:rsidRPr="00C248E8">
      <w:rPr>
        <w:rFonts w:ascii="Times New Roman" w:hAnsi="Times New Roman"/>
        <w:b/>
        <w:bCs/>
        <w:spacing w:val="11"/>
        <w:sz w:val="24"/>
        <w:szCs w:val="24"/>
      </w:rPr>
      <w:t xml:space="preserve"> </w:t>
    </w:r>
    <w:r w:rsidRPr="00C248E8">
      <w:rPr>
        <w:rFonts w:ascii="Times New Roman" w:hAnsi="Times New Roman"/>
        <w:b/>
        <w:bCs/>
        <w:spacing w:val="7"/>
        <w:sz w:val="24"/>
        <w:szCs w:val="24"/>
      </w:rPr>
      <w:t>N</w:t>
    </w:r>
    <w:r w:rsidRPr="00C248E8">
      <w:rPr>
        <w:rFonts w:ascii="Times New Roman" w:hAnsi="Times New Roman"/>
        <w:b/>
        <w:bCs/>
        <w:sz w:val="24"/>
        <w:szCs w:val="24"/>
      </w:rPr>
      <w:t>o</w:t>
    </w:r>
    <w:proofErr w:type="gramStart"/>
    <w:r w:rsidRPr="00C248E8">
      <w:rPr>
        <w:rFonts w:ascii="Times New Roman" w:hAnsi="Times New Roman"/>
        <w:b/>
        <w:bCs/>
        <w:sz w:val="24"/>
        <w:szCs w:val="24"/>
      </w:rPr>
      <w:t>.</w:t>
    </w:r>
    <w:r w:rsidRPr="00C248E8">
      <w:rPr>
        <w:rFonts w:ascii="Times New Roman" w:hAnsi="Times New Roman"/>
        <w:b/>
        <w:bCs/>
        <w:spacing w:val="9"/>
        <w:sz w:val="24"/>
        <w:szCs w:val="24"/>
      </w:rPr>
      <w:t xml:space="preserve"> </w:t>
    </w:r>
    <w:proofErr w:type="spellStart"/>
    <w:proofErr w:type="gramEnd"/>
    <w:r w:rsidRPr="00C248E8">
      <w:rPr>
        <w:rFonts w:ascii="Times New Roman" w:hAnsi="Times New Roman"/>
        <w:b/>
        <w:bCs/>
        <w:spacing w:val="-9"/>
        <w:w w:val="102"/>
        <w:sz w:val="24"/>
        <w:szCs w:val="24"/>
      </w:rPr>
      <w:t>A</w:t>
    </w:r>
    <w:r w:rsidRPr="00C248E8">
      <w:rPr>
        <w:rFonts w:ascii="Times New Roman" w:hAnsi="Times New Roman"/>
        <w:b/>
        <w:bCs/>
        <w:spacing w:val="7"/>
        <w:w w:val="102"/>
        <w:sz w:val="24"/>
        <w:szCs w:val="24"/>
      </w:rPr>
      <w:t>D</w:t>
    </w:r>
    <w:r w:rsidRPr="00C248E8">
      <w:rPr>
        <w:rFonts w:ascii="Times New Roman" w:hAnsi="Times New Roman"/>
        <w:b/>
        <w:bCs/>
        <w:w w:val="102"/>
        <w:sz w:val="24"/>
        <w:szCs w:val="24"/>
      </w:rPr>
      <w:t>13</w:t>
    </w:r>
    <w:proofErr w:type="spellEnd"/>
    <w:r w:rsidRPr="00C248E8">
      <w:rPr>
        <w:rFonts w:ascii="Times New Roman" w:hAnsi="Times New Roman"/>
        <w:b/>
        <w:bCs/>
        <w:spacing w:val="-5"/>
        <w:w w:val="102"/>
        <w:sz w:val="24"/>
        <w:szCs w:val="24"/>
      </w:rPr>
      <w:t>-</w:t>
    </w:r>
    <w:r w:rsidRPr="00C248E8">
      <w:rPr>
        <w:rFonts w:ascii="Times New Roman" w:hAnsi="Times New Roman"/>
        <w:b/>
        <w:bCs/>
        <w:w w:val="102"/>
        <w:sz w:val="24"/>
        <w:szCs w:val="24"/>
      </w:rPr>
      <w:t>7</w:t>
    </w:r>
    <w:r w:rsidRPr="00C248E8">
      <w:rPr>
        <w:rFonts w:ascii="Times New Roman" w:hAnsi="Times New Roman"/>
        <w:b/>
        <w:bCs/>
        <w:spacing w:val="-5"/>
        <w:w w:val="102"/>
        <w:sz w:val="24"/>
        <w:szCs w:val="24"/>
      </w:rPr>
      <w:t>-</w:t>
    </w:r>
    <w:r w:rsidRPr="00C248E8">
      <w:rPr>
        <w:rFonts w:ascii="Times New Roman" w:hAnsi="Times New Roman"/>
        <w:b/>
        <w:bCs/>
        <w:w w:val="102"/>
        <w:sz w:val="24"/>
        <w:szCs w:val="24"/>
      </w:rPr>
      <w:t>000</w:t>
    </w:r>
    <w:r>
      <w:rPr>
        <w:rFonts w:ascii="Times New Roman" w:hAnsi="Times New Roman"/>
        <w:b/>
        <w:bCs/>
        <w:w w:val="102"/>
        <w:sz w:val="24"/>
        <w:szCs w:val="24"/>
      </w:rPr>
      <w:br/>
      <w:t>Ohio Commission Comments</w:t>
    </w:r>
  </w:p>
  <w:p w:rsidR="00482F21" w:rsidRPr="00A46BED" w:rsidRDefault="00482F21" w:rsidP="00B8172D">
    <w:pPr>
      <w:pStyle w:val="Header"/>
      <w:jc w:val="right"/>
      <w:rPr>
        <w:rStyle w:val="PageNumber"/>
        <w:rFonts w:ascii="Times New Roman" w:hAnsi="Times New Roman"/>
        <w:b/>
        <w:sz w:val="24"/>
        <w:szCs w:val="24"/>
      </w:rPr>
    </w:pPr>
    <w:r w:rsidRPr="00A46BED">
      <w:rPr>
        <w:rFonts w:ascii="Times New Roman" w:hAnsi="Times New Roman"/>
        <w:b/>
        <w:sz w:val="24"/>
        <w:szCs w:val="24"/>
      </w:rPr>
      <w:t xml:space="preserve">Page </w:t>
    </w:r>
    <w:r w:rsidRPr="00A46BED">
      <w:rPr>
        <w:rStyle w:val="PageNumber"/>
        <w:rFonts w:ascii="Times New Roman" w:hAnsi="Times New Roman"/>
        <w:b/>
        <w:sz w:val="24"/>
        <w:szCs w:val="24"/>
      </w:rPr>
      <w:fldChar w:fldCharType="begin"/>
    </w:r>
    <w:r w:rsidRPr="00A46BED">
      <w:rPr>
        <w:rStyle w:val="PageNumber"/>
        <w:rFonts w:ascii="Times New Roman" w:hAnsi="Times New Roman"/>
        <w:b/>
        <w:sz w:val="24"/>
        <w:szCs w:val="24"/>
      </w:rPr>
      <w:instrText xml:space="preserve"> PAGE </w:instrText>
    </w:r>
    <w:r w:rsidRPr="00A46BED">
      <w:rPr>
        <w:rStyle w:val="PageNumber"/>
        <w:rFonts w:ascii="Times New Roman" w:hAnsi="Times New Roman"/>
        <w:b/>
        <w:sz w:val="24"/>
        <w:szCs w:val="24"/>
      </w:rPr>
      <w:fldChar w:fldCharType="separate"/>
    </w:r>
    <w:r w:rsidR="005867E5">
      <w:rPr>
        <w:rStyle w:val="PageNumber"/>
        <w:rFonts w:ascii="Times New Roman" w:hAnsi="Times New Roman"/>
        <w:b/>
        <w:noProof/>
        <w:sz w:val="24"/>
        <w:szCs w:val="24"/>
      </w:rPr>
      <w:t>2</w:t>
    </w:r>
    <w:r w:rsidRPr="00A46BED">
      <w:rPr>
        <w:rStyle w:val="PageNumber"/>
        <w:rFonts w:ascii="Times New Roman" w:hAnsi="Times New Roman"/>
        <w:b/>
        <w:sz w:val="24"/>
        <w:szCs w:val="24"/>
      </w:rPr>
      <w:fldChar w:fldCharType="end"/>
    </w:r>
    <w:r w:rsidRPr="00A46BED">
      <w:rPr>
        <w:rStyle w:val="PageNumber"/>
        <w:rFonts w:ascii="Times New Roman" w:hAnsi="Times New Roman"/>
        <w:b/>
        <w:sz w:val="24"/>
        <w:szCs w:val="24"/>
      </w:rPr>
      <w:t xml:space="preserve"> of </w:t>
    </w:r>
    <w:r>
      <w:rPr>
        <w:rStyle w:val="PageNumber"/>
        <w:rFonts w:ascii="Times New Roman" w:hAnsi="Times New Roman"/>
        <w:b/>
        <w:sz w:val="24"/>
        <w:szCs w:val="24"/>
      </w:rPr>
      <w:t>6</w:t>
    </w:r>
  </w:p>
  <w:p w:rsidR="00482F21" w:rsidRPr="00A46BED" w:rsidRDefault="00482F21" w:rsidP="00B8172D">
    <w:pPr>
      <w:pStyle w:val="Header"/>
      <w:jc w:val="right"/>
      <w:rPr>
        <w:rFonts w:ascii="Times New Roman" w:hAnsi="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E5" w:rsidRPr="000D2745" w:rsidRDefault="005867E5" w:rsidP="005867E5">
    <w:pPr>
      <w:jc w:val="center"/>
      <w:rPr>
        <w:rFonts w:ascii="Times New Roman" w:hAnsi="Times New Roman"/>
        <w:b/>
        <w:sz w:val="26"/>
        <w:szCs w:val="26"/>
        <w:lang w:bidi="en-US"/>
      </w:rPr>
    </w:pPr>
    <w:r w:rsidRPr="000D2745">
      <w:rPr>
        <w:rFonts w:ascii="Times New Roman" w:hAnsi="Times New Roman"/>
        <w:b/>
        <w:sz w:val="26"/>
        <w:szCs w:val="26"/>
        <w:lang w:bidi="en-US"/>
      </w:rPr>
      <w:t>UNITED STATES OF AMERICA</w:t>
    </w:r>
  </w:p>
  <w:p w:rsidR="005867E5" w:rsidRPr="000D2745" w:rsidRDefault="005867E5" w:rsidP="005867E5">
    <w:pPr>
      <w:jc w:val="center"/>
      <w:rPr>
        <w:rFonts w:ascii="Times New Roman" w:hAnsi="Times New Roman"/>
        <w:b/>
        <w:sz w:val="26"/>
        <w:szCs w:val="26"/>
        <w:lang w:bidi="en-US"/>
      </w:rPr>
    </w:pPr>
    <w:r w:rsidRPr="000D2745">
      <w:rPr>
        <w:rFonts w:ascii="Times New Roman" w:hAnsi="Times New Roman"/>
        <w:b/>
        <w:sz w:val="26"/>
        <w:szCs w:val="26"/>
        <w:lang w:bidi="en-US"/>
      </w:rPr>
      <w:t>BEFORE THE</w:t>
    </w:r>
  </w:p>
  <w:p w:rsidR="005867E5" w:rsidRDefault="005867E5" w:rsidP="005867E5">
    <w:pPr>
      <w:jc w:val="center"/>
      <w:rPr>
        <w:rFonts w:ascii="Times New Roman" w:hAnsi="Times New Roman"/>
        <w:b/>
        <w:sz w:val="26"/>
        <w:szCs w:val="26"/>
        <w:lang w:bidi="en-US"/>
      </w:rPr>
    </w:pPr>
    <w:r w:rsidRPr="000D2745">
      <w:rPr>
        <w:rFonts w:ascii="Times New Roman" w:hAnsi="Times New Roman"/>
        <w:b/>
        <w:sz w:val="26"/>
        <w:szCs w:val="26"/>
        <w:lang w:bidi="en-US"/>
      </w:rPr>
      <w:t>FEDERAL ENERGY REGULATORY COMMISSION</w:t>
    </w:r>
  </w:p>
  <w:p w:rsidR="005867E5" w:rsidRPr="005867E5" w:rsidRDefault="005867E5" w:rsidP="005867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E5" w:rsidRPr="00C248E8" w:rsidRDefault="005867E5" w:rsidP="00C248E8">
    <w:pPr>
      <w:autoSpaceDE w:val="0"/>
      <w:autoSpaceDN w:val="0"/>
      <w:adjustRightInd w:val="0"/>
      <w:jc w:val="right"/>
      <w:rPr>
        <w:rFonts w:ascii="Times New Roman" w:hAnsi="Times New Roman"/>
        <w:sz w:val="24"/>
        <w:szCs w:val="24"/>
      </w:rPr>
    </w:pPr>
    <w:r w:rsidRPr="00C248E8">
      <w:rPr>
        <w:rFonts w:ascii="Times New Roman" w:hAnsi="Times New Roman"/>
        <w:b/>
        <w:bCs/>
        <w:spacing w:val="7"/>
        <w:sz w:val="24"/>
        <w:szCs w:val="24"/>
      </w:rPr>
      <w:t>D</w:t>
    </w:r>
    <w:r w:rsidRPr="00C248E8">
      <w:rPr>
        <w:rFonts w:ascii="Times New Roman" w:hAnsi="Times New Roman"/>
        <w:b/>
        <w:bCs/>
        <w:sz w:val="24"/>
        <w:szCs w:val="24"/>
      </w:rPr>
      <w:t>o</w:t>
    </w:r>
    <w:r w:rsidRPr="00C248E8">
      <w:rPr>
        <w:rFonts w:ascii="Times New Roman" w:hAnsi="Times New Roman"/>
        <w:b/>
        <w:bCs/>
        <w:spacing w:val="-2"/>
        <w:sz w:val="24"/>
        <w:szCs w:val="24"/>
      </w:rPr>
      <w:t>c</w:t>
    </w:r>
    <w:r w:rsidRPr="00C248E8">
      <w:rPr>
        <w:rFonts w:ascii="Times New Roman" w:hAnsi="Times New Roman"/>
        <w:b/>
        <w:bCs/>
        <w:spacing w:val="2"/>
        <w:sz w:val="24"/>
        <w:szCs w:val="24"/>
      </w:rPr>
      <w:t>k</w:t>
    </w:r>
    <w:r w:rsidRPr="00C248E8">
      <w:rPr>
        <w:rFonts w:ascii="Times New Roman" w:hAnsi="Times New Roman"/>
        <w:b/>
        <w:bCs/>
        <w:spacing w:val="14"/>
        <w:sz w:val="24"/>
        <w:szCs w:val="24"/>
      </w:rPr>
      <w:t>e</w:t>
    </w:r>
    <w:r w:rsidRPr="00C248E8">
      <w:rPr>
        <w:rFonts w:ascii="Times New Roman" w:hAnsi="Times New Roman"/>
        <w:b/>
        <w:bCs/>
        <w:sz w:val="24"/>
        <w:szCs w:val="24"/>
      </w:rPr>
      <w:t>t</w:t>
    </w:r>
    <w:r w:rsidRPr="00C248E8">
      <w:rPr>
        <w:rFonts w:ascii="Times New Roman" w:hAnsi="Times New Roman"/>
        <w:b/>
        <w:bCs/>
        <w:spacing w:val="11"/>
        <w:sz w:val="24"/>
        <w:szCs w:val="24"/>
      </w:rPr>
      <w:t xml:space="preserve"> </w:t>
    </w:r>
    <w:r w:rsidRPr="00C248E8">
      <w:rPr>
        <w:rFonts w:ascii="Times New Roman" w:hAnsi="Times New Roman"/>
        <w:b/>
        <w:bCs/>
        <w:spacing w:val="7"/>
        <w:sz w:val="24"/>
        <w:szCs w:val="24"/>
      </w:rPr>
      <w:t>N</w:t>
    </w:r>
    <w:r w:rsidRPr="00C248E8">
      <w:rPr>
        <w:rFonts w:ascii="Times New Roman" w:hAnsi="Times New Roman"/>
        <w:b/>
        <w:bCs/>
        <w:sz w:val="24"/>
        <w:szCs w:val="24"/>
      </w:rPr>
      <w:t>o</w:t>
    </w:r>
    <w:proofErr w:type="gramStart"/>
    <w:r w:rsidRPr="00C248E8">
      <w:rPr>
        <w:rFonts w:ascii="Times New Roman" w:hAnsi="Times New Roman"/>
        <w:b/>
        <w:bCs/>
        <w:sz w:val="24"/>
        <w:szCs w:val="24"/>
      </w:rPr>
      <w:t>.</w:t>
    </w:r>
    <w:r w:rsidRPr="00C248E8">
      <w:rPr>
        <w:rFonts w:ascii="Times New Roman" w:hAnsi="Times New Roman"/>
        <w:b/>
        <w:bCs/>
        <w:spacing w:val="9"/>
        <w:sz w:val="24"/>
        <w:szCs w:val="24"/>
      </w:rPr>
      <w:t xml:space="preserve"> </w:t>
    </w:r>
    <w:proofErr w:type="spellStart"/>
    <w:proofErr w:type="gramEnd"/>
    <w:r w:rsidRPr="00C248E8">
      <w:rPr>
        <w:rFonts w:ascii="Times New Roman" w:hAnsi="Times New Roman"/>
        <w:b/>
        <w:bCs/>
        <w:spacing w:val="-9"/>
        <w:w w:val="102"/>
        <w:sz w:val="24"/>
        <w:szCs w:val="24"/>
      </w:rPr>
      <w:t>A</w:t>
    </w:r>
    <w:r w:rsidRPr="00C248E8">
      <w:rPr>
        <w:rFonts w:ascii="Times New Roman" w:hAnsi="Times New Roman"/>
        <w:b/>
        <w:bCs/>
        <w:spacing w:val="7"/>
        <w:w w:val="102"/>
        <w:sz w:val="24"/>
        <w:szCs w:val="24"/>
      </w:rPr>
      <w:t>D</w:t>
    </w:r>
    <w:r w:rsidRPr="00C248E8">
      <w:rPr>
        <w:rFonts w:ascii="Times New Roman" w:hAnsi="Times New Roman"/>
        <w:b/>
        <w:bCs/>
        <w:w w:val="102"/>
        <w:sz w:val="24"/>
        <w:szCs w:val="24"/>
      </w:rPr>
      <w:t>13</w:t>
    </w:r>
    <w:proofErr w:type="spellEnd"/>
    <w:r w:rsidRPr="00C248E8">
      <w:rPr>
        <w:rFonts w:ascii="Times New Roman" w:hAnsi="Times New Roman"/>
        <w:b/>
        <w:bCs/>
        <w:spacing w:val="-5"/>
        <w:w w:val="102"/>
        <w:sz w:val="24"/>
        <w:szCs w:val="24"/>
      </w:rPr>
      <w:t>-</w:t>
    </w:r>
    <w:r w:rsidRPr="00C248E8">
      <w:rPr>
        <w:rFonts w:ascii="Times New Roman" w:hAnsi="Times New Roman"/>
        <w:b/>
        <w:bCs/>
        <w:w w:val="102"/>
        <w:sz w:val="24"/>
        <w:szCs w:val="24"/>
      </w:rPr>
      <w:t>7</w:t>
    </w:r>
    <w:r w:rsidRPr="00C248E8">
      <w:rPr>
        <w:rFonts w:ascii="Times New Roman" w:hAnsi="Times New Roman"/>
        <w:b/>
        <w:bCs/>
        <w:spacing w:val="-5"/>
        <w:w w:val="102"/>
        <w:sz w:val="24"/>
        <w:szCs w:val="24"/>
      </w:rPr>
      <w:t>-</w:t>
    </w:r>
    <w:r w:rsidRPr="00C248E8">
      <w:rPr>
        <w:rFonts w:ascii="Times New Roman" w:hAnsi="Times New Roman"/>
        <w:b/>
        <w:bCs/>
        <w:w w:val="102"/>
        <w:sz w:val="24"/>
        <w:szCs w:val="24"/>
      </w:rPr>
      <w:t>000</w:t>
    </w:r>
    <w:r>
      <w:rPr>
        <w:rFonts w:ascii="Times New Roman" w:hAnsi="Times New Roman"/>
        <w:b/>
        <w:bCs/>
        <w:w w:val="102"/>
        <w:sz w:val="24"/>
        <w:szCs w:val="24"/>
      </w:rPr>
      <w:br/>
      <w:t>Ohio Commission Comments</w:t>
    </w:r>
  </w:p>
  <w:p w:rsidR="005867E5" w:rsidRPr="00A46BED" w:rsidRDefault="005867E5" w:rsidP="00B8172D">
    <w:pPr>
      <w:pStyle w:val="Header"/>
      <w:jc w:val="right"/>
      <w:rPr>
        <w:rStyle w:val="PageNumber"/>
        <w:rFonts w:ascii="Times New Roman" w:hAnsi="Times New Roman"/>
        <w:b/>
        <w:sz w:val="24"/>
        <w:szCs w:val="24"/>
      </w:rPr>
    </w:pPr>
    <w:r w:rsidRPr="00A46BED">
      <w:rPr>
        <w:rFonts w:ascii="Times New Roman" w:hAnsi="Times New Roman"/>
        <w:b/>
        <w:sz w:val="24"/>
        <w:szCs w:val="24"/>
      </w:rPr>
      <w:t xml:space="preserve">Page </w:t>
    </w:r>
    <w:r w:rsidRPr="00A46BED">
      <w:rPr>
        <w:rStyle w:val="PageNumber"/>
        <w:rFonts w:ascii="Times New Roman" w:hAnsi="Times New Roman"/>
        <w:b/>
        <w:sz w:val="24"/>
        <w:szCs w:val="24"/>
      </w:rPr>
      <w:fldChar w:fldCharType="begin"/>
    </w:r>
    <w:r w:rsidRPr="00A46BED">
      <w:rPr>
        <w:rStyle w:val="PageNumber"/>
        <w:rFonts w:ascii="Times New Roman" w:hAnsi="Times New Roman"/>
        <w:b/>
        <w:sz w:val="24"/>
        <w:szCs w:val="24"/>
      </w:rPr>
      <w:instrText xml:space="preserve"> PAGE </w:instrText>
    </w:r>
    <w:r w:rsidRPr="00A46BED">
      <w:rPr>
        <w:rStyle w:val="PageNumber"/>
        <w:rFonts w:ascii="Times New Roman" w:hAnsi="Times New Roman"/>
        <w:b/>
        <w:sz w:val="24"/>
        <w:szCs w:val="24"/>
      </w:rPr>
      <w:fldChar w:fldCharType="separate"/>
    </w:r>
    <w:r w:rsidR="00FE3599">
      <w:rPr>
        <w:rStyle w:val="PageNumber"/>
        <w:rFonts w:ascii="Times New Roman" w:hAnsi="Times New Roman"/>
        <w:b/>
        <w:noProof/>
        <w:sz w:val="24"/>
        <w:szCs w:val="24"/>
      </w:rPr>
      <w:t>2</w:t>
    </w:r>
    <w:r w:rsidRPr="00A46BED">
      <w:rPr>
        <w:rStyle w:val="PageNumber"/>
        <w:rFonts w:ascii="Times New Roman" w:hAnsi="Times New Roman"/>
        <w:b/>
        <w:sz w:val="24"/>
        <w:szCs w:val="24"/>
      </w:rPr>
      <w:fldChar w:fldCharType="end"/>
    </w:r>
    <w:r w:rsidRPr="00A46BED">
      <w:rPr>
        <w:rStyle w:val="PageNumber"/>
        <w:rFonts w:ascii="Times New Roman" w:hAnsi="Times New Roman"/>
        <w:b/>
        <w:sz w:val="24"/>
        <w:szCs w:val="24"/>
      </w:rPr>
      <w:t xml:space="preserve"> of </w:t>
    </w:r>
    <w:r>
      <w:rPr>
        <w:rStyle w:val="PageNumber"/>
        <w:rFonts w:ascii="Times New Roman" w:hAnsi="Times New Roman"/>
        <w:b/>
        <w:sz w:val="24"/>
        <w:szCs w:val="24"/>
      </w:rPr>
      <w:t>6</w:t>
    </w:r>
  </w:p>
  <w:p w:rsidR="005867E5" w:rsidRPr="00A46BED" w:rsidRDefault="005867E5" w:rsidP="00B8172D">
    <w:pPr>
      <w:pStyle w:val="Header"/>
      <w:jc w:val="right"/>
      <w:rPr>
        <w:rFonts w:ascii="Times New Roman" w:hAnsi="Times New Roman"/>
        <w:b/>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0C" w:rsidRDefault="0076570C" w:rsidP="0076570C">
    <w:pPr>
      <w:autoSpaceDE w:val="0"/>
      <w:autoSpaceDN w:val="0"/>
      <w:adjustRightInd w:val="0"/>
      <w:jc w:val="center"/>
      <w:rPr>
        <w:rFonts w:ascii="Times New Roman" w:hAnsi="Times New Roman"/>
        <w:b/>
        <w:bCs/>
        <w:spacing w:val="-9"/>
        <w:sz w:val="28"/>
        <w:szCs w:val="28"/>
      </w:rPr>
    </w:pPr>
    <w:r>
      <w:rPr>
        <w:rFonts w:ascii="Times New Roman" w:hAnsi="Times New Roman"/>
        <w:b/>
        <w:bCs/>
        <w:spacing w:val="-9"/>
        <w:sz w:val="28"/>
        <w:szCs w:val="28"/>
      </w:rPr>
      <w:t>TABLE OF CONTENTS</w:t>
    </w:r>
  </w:p>
  <w:p w:rsidR="0076570C" w:rsidRPr="00DF3A2C" w:rsidRDefault="0076570C" w:rsidP="0076570C">
    <w:pPr>
      <w:autoSpaceDE w:val="0"/>
      <w:autoSpaceDN w:val="0"/>
      <w:adjustRightInd w:val="0"/>
      <w:jc w:val="right"/>
      <w:rPr>
        <w:rFonts w:ascii="Times New Roman" w:hAnsi="Times New Roman"/>
        <w:sz w:val="28"/>
        <w:szCs w:val="28"/>
      </w:rPr>
    </w:pPr>
    <w:r>
      <w:rPr>
        <w:rFonts w:ascii="Times New Roman" w:hAnsi="Times New Roman"/>
        <w:b/>
        <w:bCs/>
        <w:spacing w:val="-9"/>
        <w:sz w:val="28"/>
        <w:szCs w:val="28"/>
      </w:rPr>
      <w:t>Page</w:t>
    </w:r>
  </w:p>
  <w:p w:rsidR="0076570C" w:rsidRPr="00DF3A2C" w:rsidRDefault="0076570C" w:rsidP="0076570C">
    <w:pPr>
      <w:autoSpaceDE w:val="0"/>
      <w:autoSpaceDN w:val="0"/>
      <w:adjustRightInd w:val="0"/>
      <w:jc w:val="center"/>
      <w:rPr>
        <w:rFonts w:ascii="Times New Roman" w:hAnsi="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E5" w:rsidRPr="00FE3599" w:rsidRDefault="005867E5" w:rsidP="005867E5">
    <w:pPr>
      <w:autoSpaceDE w:val="0"/>
      <w:autoSpaceDN w:val="0"/>
      <w:adjustRightInd w:val="0"/>
      <w:jc w:val="right"/>
      <w:rPr>
        <w:rFonts w:ascii="Times New Roman" w:hAnsi="Times New Roman"/>
        <w:sz w:val="24"/>
        <w:szCs w:val="24"/>
      </w:rPr>
    </w:pPr>
    <w:r w:rsidRPr="00FE3599">
      <w:rPr>
        <w:rFonts w:ascii="Times New Roman" w:hAnsi="Times New Roman"/>
        <w:bCs/>
        <w:spacing w:val="7"/>
        <w:sz w:val="24"/>
        <w:szCs w:val="24"/>
      </w:rPr>
      <w:t>D</w:t>
    </w:r>
    <w:r w:rsidRPr="00FE3599">
      <w:rPr>
        <w:rFonts w:ascii="Times New Roman" w:hAnsi="Times New Roman"/>
        <w:bCs/>
        <w:sz w:val="24"/>
        <w:szCs w:val="24"/>
      </w:rPr>
      <w:t>o</w:t>
    </w:r>
    <w:r w:rsidRPr="00FE3599">
      <w:rPr>
        <w:rFonts w:ascii="Times New Roman" w:hAnsi="Times New Roman"/>
        <w:bCs/>
        <w:spacing w:val="-2"/>
        <w:sz w:val="24"/>
        <w:szCs w:val="24"/>
      </w:rPr>
      <w:t>c</w:t>
    </w:r>
    <w:r w:rsidRPr="00FE3599">
      <w:rPr>
        <w:rFonts w:ascii="Times New Roman" w:hAnsi="Times New Roman"/>
        <w:bCs/>
        <w:spacing w:val="2"/>
        <w:sz w:val="24"/>
        <w:szCs w:val="24"/>
      </w:rPr>
      <w:t>k</w:t>
    </w:r>
    <w:r w:rsidRPr="00FE3599">
      <w:rPr>
        <w:rFonts w:ascii="Times New Roman" w:hAnsi="Times New Roman"/>
        <w:bCs/>
        <w:spacing w:val="14"/>
        <w:sz w:val="24"/>
        <w:szCs w:val="24"/>
      </w:rPr>
      <w:t>e</w:t>
    </w:r>
    <w:r w:rsidRPr="00FE3599">
      <w:rPr>
        <w:rFonts w:ascii="Times New Roman" w:hAnsi="Times New Roman"/>
        <w:bCs/>
        <w:sz w:val="24"/>
        <w:szCs w:val="24"/>
      </w:rPr>
      <w:t>t</w:t>
    </w:r>
    <w:r w:rsidRPr="00FE3599">
      <w:rPr>
        <w:rFonts w:ascii="Times New Roman" w:hAnsi="Times New Roman"/>
        <w:bCs/>
        <w:spacing w:val="11"/>
        <w:sz w:val="24"/>
        <w:szCs w:val="24"/>
      </w:rPr>
      <w:t xml:space="preserve"> </w:t>
    </w:r>
    <w:r w:rsidRPr="00FE3599">
      <w:rPr>
        <w:rFonts w:ascii="Times New Roman" w:hAnsi="Times New Roman"/>
        <w:bCs/>
        <w:spacing w:val="7"/>
        <w:sz w:val="24"/>
        <w:szCs w:val="24"/>
      </w:rPr>
      <w:t>N</w:t>
    </w:r>
    <w:r w:rsidRPr="00FE3599">
      <w:rPr>
        <w:rFonts w:ascii="Times New Roman" w:hAnsi="Times New Roman"/>
        <w:bCs/>
        <w:sz w:val="24"/>
        <w:szCs w:val="24"/>
      </w:rPr>
      <w:t>o</w:t>
    </w:r>
    <w:proofErr w:type="gramStart"/>
    <w:r w:rsidRPr="00FE3599">
      <w:rPr>
        <w:rFonts w:ascii="Times New Roman" w:hAnsi="Times New Roman"/>
        <w:bCs/>
        <w:sz w:val="24"/>
        <w:szCs w:val="24"/>
      </w:rPr>
      <w:t>.</w:t>
    </w:r>
    <w:r w:rsidRPr="00FE3599">
      <w:rPr>
        <w:rFonts w:ascii="Times New Roman" w:hAnsi="Times New Roman"/>
        <w:bCs/>
        <w:spacing w:val="9"/>
        <w:sz w:val="24"/>
        <w:szCs w:val="24"/>
      </w:rPr>
      <w:t xml:space="preserve"> </w:t>
    </w:r>
    <w:proofErr w:type="spellStart"/>
    <w:proofErr w:type="gramEnd"/>
    <w:r w:rsidRPr="00FE3599">
      <w:rPr>
        <w:rFonts w:ascii="Times New Roman" w:hAnsi="Times New Roman"/>
        <w:bCs/>
        <w:spacing w:val="-9"/>
        <w:w w:val="102"/>
        <w:sz w:val="24"/>
        <w:szCs w:val="24"/>
      </w:rPr>
      <w:t>A</w:t>
    </w:r>
    <w:r w:rsidRPr="00FE3599">
      <w:rPr>
        <w:rFonts w:ascii="Times New Roman" w:hAnsi="Times New Roman"/>
        <w:bCs/>
        <w:spacing w:val="7"/>
        <w:w w:val="102"/>
        <w:sz w:val="24"/>
        <w:szCs w:val="24"/>
      </w:rPr>
      <w:t>D</w:t>
    </w:r>
    <w:r w:rsidRPr="00FE3599">
      <w:rPr>
        <w:rFonts w:ascii="Times New Roman" w:hAnsi="Times New Roman"/>
        <w:bCs/>
        <w:w w:val="102"/>
        <w:sz w:val="24"/>
        <w:szCs w:val="24"/>
      </w:rPr>
      <w:t>13</w:t>
    </w:r>
    <w:proofErr w:type="spellEnd"/>
    <w:r w:rsidRPr="00FE3599">
      <w:rPr>
        <w:rFonts w:ascii="Times New Roman" w:hAnsi="Times New Roman"/>
        <w:bCs/>
        <w:spacing w:val="-5"/>
        <w:w w:val="102"/>
        <w:sz w:val="24"/>
        <w:szCs w:val="24"/>
      </w:rPr>
      <w:t>-</w:t>
    </w:r>
    <w:r w:rsidRPr="00FE3599">
      <w:rPr>
        <w:rFonts w:ascii="Times New Roman" w:hAnsi="Times New Roman"/>
        <w:bCs/>
        <w:w w:val="102"/>
        <w:sz w:val="24"/>
        <w:szCs w:val="24"/>
      </w:rPr>
      <w:t>7</w:t>
    </w:r>
    <w:r w:rsidRPr="00FE3599">
      <w:rPr>
        <w:rFonts w:ascii="Times New Roman" w:hAnsi="Times New Roman"/>
        <w:bCs/>
        <w:spacing w:val="-5"/>
        <w:w w:val="102"/>
        <w:sz w:val="24"/>
        <w:szCs w:val="24"/>
      </w:rPr>
      <w:t>-</w:t>
    </w:r>
    <w:r w:rsidRPr="00FE3599">
      <w:rPr>
        <w:rFonts w:ascii="Times New Roman" w:hAnsi="Times New Roman"/>
        <w:bCs/>
        <w:w w:val="102"/>
        <w:sz w:val="24"/>
        <w:szCs w:val="24"/>
      </w:rPr>
      <w:t>000</w:t>
    </w:r>
    <w:r w:rsidRPr="00FE3599">
      <w:rPr>
        <w:rFonts w:ascii="Times New Roman" w:hAnsi="Times New Roman"/>
        <w:bCs/>
        <w:w w:val="102"/>
        <w:sz w:val="24"/>
        <w:szCs w:val="24"/>
      </w:rPr>
      <w:br/>
    </w:r>
    <w:r w:rsidR="005F32C0">
      <w:rPr>
        <w:rFonts w:ascii="Times New Roman" w:hAnsi="Times New Roman"/>
        <w:bCs/>
        <w:w w:val="102"/>
        <w:sz w:val="24"/>
        <w:szCs w:val="24"/>
      </w:rPr>
      <w:t>Todd A. Snitchler</w:t>
    </w:r>
    <w:r w:rsidRPr="00FE3599">
      <w:rPr>
        <w:rFonts w:ascii="Times New Roman" w:hAnsi="Times New Roman"/>
        <w:bCs/>
        <w:w w:val="102"/>
        <w:sz w:val="24"/>
        <w:szCs w:val="24"/>
      </w:rPr>
      <w:t xml:space="preserve"> Comments</w:t>
    </w:r>
  </w:p>
  <w:p w:rsidR="005867E5" w:rsidRPr="005867E5" w:rsidRDefault="005867E5">
    <w:pPr>
      <w:pStyle w:val="Header"/>
      <w:jc w:val="right"/>
      <w:rPr>
        <w:rFonts w:ascii="Times New Roman" w:hAnsi="Times New Roman"/>
        <w:sz w:val="24"/>
        <w:szCs w:val="24"/>
      </w:rPr>
    </w:pPr>
    <w:r w:rsidRPr="005867E5">
      <w:rPr>
        <w:rFonts w:ascii="Times New Roman" w:hAnsi="Times New Roman"/>
        <w:sz w:val="24"/>
        <w:szCs w:val="24"/>
      </w:rPr>
      <w:t xml:space="preserve">Page </w:t>
    </w:r>
    <w:r w:rsidRPr="005867E5">
      <w:rPr>
        <w:rFonts w:ascii="Times New Roman" w:hAnsi="Times New Roman"/>
        <w:bCs/>
        <w:sz w:val="24"/>
        <w:szCs w:val="24"/>
      </w:rPr>
      <w:fldChar w:fldCharType="begin"/>
    </w:r>
    <w:r w:rsidRPr="005867E5">
      <w:rPr>
        <w:rFonts w:ascii="Times New Roman" w:hAnsi="Times New Roman"/>
        <w:bCs/>
        <w:sz w:val="24"/>
        <w:szCs w:val="24"/>
      </w:rPr>
      <w:instrText xml:space="preserve"> PAGE </w:instrText>
    </w:r>
    <w:r w:rsidRPr="005867E5">
      <w:rPr>
        <w:rFonts w:ascii="Times New Roman" w:hAnsi="Times New Roman"/>
        <w:bCs/>
        <w:sz w:val="24"/>
        <w:szCs w:val="24"/>
      </w:rPr>
      <w:fldChar w:fldCharType="separate"/>
    </w:r>
    <w:r w:rsidR="00DA2E50">
      <w:rPr>
        <w:rFonts w:ascii="Times New Roman" w:hAnsi="Times New Roman"/>
        <w:bCs/>
        <w:noProof/>
        <w:sz w:val="24"/>
        <w:szCs w:val="24"/>
      </w:rPr>
      <w:t>4</w:t>
    </w:r>
    <w:r w:rsidRPr="005867E5">
      <w:rPr>
        <w:rFonts w:ascii="Times New Roman" w:hAnsi="Times New Roman"/>
        <w:bCs/>
        <w:sz w:val="24"/>
        <w:szCs w:val="24"/>
      </w:rPr>
      <w:fldChar w:fldCharType="end"/>
    </w:r>
    <w:r w:rsidRPr="005867E5">
      <w:rPr>
        <w:rFonts w:ascii="Times New Roman" w:hAnsi="Times New Roman"/>
        <w:sz w:val="24"/>
        <w:szCs w:val="24"/>
      </w:rPr>
      <w:t xml:space="preserve"> of </w:t>
    </w:r>
    <w:r w:rsidR="00017DAB">
      <w:rPr>
        <w:rFonts w:ascii="Times New Roman" w:hAnsi="Times New Roman"/>
        <w:bCs/>
        <w:sz w:val="24"/>
        <w:szCs w:val="24"/>
      </w:rPr>
      <w:t>15</w:t>
    </w:r>
  </w:p>
  <w:p w:rsidR="0076570C" w:rsidRPr="00A46BED" w:rsidRDefault="0076570C" w:rsidP="00B8172D">
    <w:pPr>
      <w:pStyle w:val="Header"/>
      <w:jc w:val="right"/>
      <w:rPr>
        <w:rFonts w:ascii="Times New Roman" w:hAnsi="Times New Roman"/>
        <w:b/>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0C" w:rsidRPr="0076570C" w:rsidRDefault="0076570C" w:rsidP="00765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428F"/>
    <w:multiLevelType w:val="hybridMultilevel"/>
    <w:tmpl w:val="36060D06"/>
    <w:lvl w:ilvl="0" w:tplc="E8989E74">
      <w:start w:val="1"/>
      <w:numFmt w:val="decimal"/>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3870BE"/>
    <w:multiLevelType w:val="hybridMultilevel"/>
    <w:tmpl w:val="14F66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407085"/>
    <w:multiLevelType w:val="hybridMultilevel"/>
    <w:tmpl w:val="2E9ED9E8"/>
    <w:lvl w:ilvl="0" w:tplc="9542919A">
      <w:start w:val="2"/>
      <w:numFmt w:val="upp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9B302C1"/>
    <w:multiLevelType w:val="hybridMultilevel"/>
    <w:tmpl w:val="08F01AC2"/>
    <w:lvl w:ilvl="0" w:tplc="8794D0B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D50988"/>
    <w:multiLevelType w:val="hybridMultilevel"/>
    <w:tmpl w:val="96F24AD6"/>
    <w:lvl w:ilvl="0" w:tplc="49CA3116">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95582D"/>
    <w:multiLevelType w:val="hybridMultilevel"/>
    <w:tmpl w:val="F47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F3E96"/>
    <w:multiLevelType w:val="hybridMultilevel"/>
    <w:tmpl w:val="71228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484218"/>
    <w:multiLevelType w:val="hybridMultilevel"/>
    <w:tmpl w:val="9F12EEB8"/>
    <w:lvl w:ilvl="0" w:tplc="034E1DAE">
      <w:start w:val="2"/>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C504802">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0E2432"/>
    <w:multiLevelType w:val="hybridMultilevel"/>
    <w:tmpl w:val="97E4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4D11D9"/>
    <w:multiLevelType w:val="hybridMultilevel"/>
    <w:tmpl w:val="4BA45806"/>
    <w:lvl w:ilvl="0" w:tplc="5BD68A38">
      <w:start w:val="1"/>
      <w:numFmt w:val="lowerLetter"/>
      <w:pStyle w:val="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E4E4DD3"/>
    <w:multiLevelType w:val="hybridMultilevel"/>
    <w:tmpl w:val="DFBE2616"/>
    <w:lvl w:ilvl="0" w:tplc="04090001">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5"/>
  </w:num>
  <w:num w:numId="4">
    <w:abstractNumId w:val="8"/>
  </w:num>
  <w:num w:numId="5">
    <w:abstractNumId w:val="3"/>
  </w:num>
  <w:num w:numId="6">
    <w:abstractNumId w:val="1"/>
  </w:num>
  <w:num w:numId="7">
    <w:abstractNumId w:val="6"/>
  </w:num>
  <w:num w:numId="8">
    <w:abstractNumId w:val="7"/>
  </w:num>
  <w:num w:numId="9">
    <w:abstractNumId w:val="4"/>
  </w:num>
  <w:num w:numId="10">
    <w:abstractNumId w:val="0"/>
  </w:num>
  <w:num w:numId="11">
    <w:abstractNumId w:val="9"/>
  </w:num>
  <w:num w:numId="12">
    <w:abstractNumId w:val="9"/>
  </w:num>
  <w:num w:numId="13">
    <w:abstractNumId w:val="9"/>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EC7"/>
    <w:rsid w:val="00007F01"/>
    <w:rsid w:val="00017DAB"/>
    <w:rsid w:val="00037832"/>
    <w:rsid w:val="00076072"/>
    <w:rsid w:val="00076ACA"/>
    <w:rsid w:val="000A72C9"/>
    <w:rsid w:val="000B4113"/>
    <w:rsid w:val="000B5989"/>
    <w:rsid w:val="000E2660"/>
    <w:rsid w:val="00106378"/>
    <w:rsid w:val="00135CA2"/>
    <w:rsid w:val="00153A5E"/>
    <w:rsid w:val="001609DB"/>
    <w:rsid w:val="001A5A19"/>
    <w:rsid w:val="001E059C"/>
    <w:rsid w:val="00201F9F"/>
    <w:rsid w:val="00205025"/>
    <w:rsid w:val="002528DB"/>
    <w:rsid w:val="002647A3"/>
    <w:rsid w:val="002971FD"/>
    <w:rsid w:val="002D7EAA"/>
    <w:rsid w:val="00303765"/>
    <w:rsid w:val="00324D1D"/>
    <w:rsid w:val="00363FB6"/>
    <w:rsid w:val="00380EF0"/>
    <w:rsid w:val="003843E7"/>
    <w:rsid w:val="003B2C56"/>
    <w:rsid w:val="003B45D0"/>
    <w:rsid w:val="00432DD5"/>
    <w:rsid w:val="00441A74"/>
    <w:rsid w:val="00482F21"/>
    <w:rsid w:val="004A0D88"/>
    <w:rsid w:val="004F1EC4"/>
    <w:rsid w:val="005867E5"/>
    <w:rsid w:val="00596C8F"/>
    <w:rsid w:val="005D4586"/>
    <w:rsid w:val="005F32C0"/>
    <w:rsid w:val="00607F81"/>
    <w:rsid w:val="0064115F"/>
    <w:rsid w:val="006427A6"/>
    <w:rsid w:val="00651528"/>
    <w:rsid w:val="006B36B0"/>
    <w:rsid w:val="006F10FC"/>
    <w:rsid w:val="007074E2"/>
    <w:rsid w:val="00752AE5"/>
    <w:rsid w:val="0076570C"/>
    <w:rsid w:val="007F7B90"/>
    <w:rsid w:val="00836EAF"/>
    <w:rsid w:val="00873DD9"/>
    <w:rsid w:val="008743B9"/>
    <w:rsid w:val="008C398C"/>
    <w:rsid w:val="008D6A39"/>
    <w:rsid w:val="008F3EC7"/>
    <w:rsid w:val="009029E5"/>
    <w:rsid w:val="009130DB"/>
    <w:rsid w:val="00991A55"/>
    <w:rsid w:val="009D6A2A"/>
    <w:rsid w:val="00A3393C"/>
    <w:rsid w:val="00A37C37"/>
    <w:rsid w:val="00A46BED"/>
    <w:rsid w:val="00A71758"/>
    <w:rsid w:val="00A90564"/>
    <w:rsid w:val="00A9090D"/>
    <w:rsid w:val="00AA0C58"/>
    <w:rsid w:val="00AA7769"/>
    <w:rsid w:val="00B6570D"/>
    <w:rsid w:val="00B806F5"/>
    <w:rsid w:val="00B8172D"/>
    <w:rsid w:val="00BB7D9D"/>
    <w:rsid w:val="00BE403D"/>
    <w:rsid w:val="00BE67A0"/>
    <w:rsid w:val="00C03FC9"/>
    <w:rsid w:val="00C248E8"/>
    <w:rsid w:val="00C7337D"/>
    <w:rsid w:val="00CA0BB8"/>
    <w:rsid w:val="00CB0D2A"/>
    <w:rsid w:val="00CB0DBF"/>
    <w:rsid w:val="00D829C6"/>
    <w:rsid w:val="00D84779"/>
    <w:rsid w:val="00D87E6C"/>
    <w:rsid w:val="00DA2E50"/>
    <w:rsid w:val="00DA3AC2"/>
    <w:rsid w:val="00DB34F6"/>
    <w:rsid w:val="00DC5262"/>
    <w:rsid w:val="00DD1FFB"/>
    <w:rsid w:val="00E427EA"/>
    <w:rsid w:val="00E97D5E"/>
    <w:rsid w:val="00EA50BB"/>
    <w:rsid w:val="00EB038E"/>
    <w:rsid w:val="00EE79CC"/>
    <w:rsid w:val="00F32501"/>
    <w:rsid w:val="00F62477"/>
    <w:rsid w:val="00FC2A24"/>
    <w:rsid w:val="00FC57A1"/>
    <w:rsid w:val="00FD2A65"/>
    <w:rsid w:val="00FE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477"/>
    <w:pPr>
      <w:widowControl w:val="0"/>
    </w:pPr>
    <w:rPr>
      <w:rFonts w:ascii="Times New (W1)" w:hAnsi="Times New (W1)"/>
    </w:rPr>
  </w:style>
  <w:style w:type="paragraph" w:styleId="Heading1">
    <w:name w:val="heading 1"/>
    <w:basedOn w:val="Normal"/>
    <w:next w:val="Normal"/>
    <w:link w:val="Heading1Char"/>
    <w:autoRedefine/>
    <w:qFormat/>
    <w:rsid w:val="008F3EC7"/>
    <w:pPr>
      <w:keepNext/>
      <w:spacing w:after="240"/>
      <w:jc w:val="center"/>
      <w:outlineLvl w:val="0"/>
    </w:pPr>
    <w:rPr>
      <w:rFonts w:ascii="Times New Roman" w:hAnsi="Times New Roman"/>
      <w:b/>
      <w:bCs/>
      <w:kern w:val="32"/>
      <w:sz w:val="28"/>
      <w:szCs w:val="32"/>
    </w:rPr>
  </w:style>
  <w:style w:type="paragraph" w:styleId="Heading2">
    <w:name w:val="heading 2"/>
    <w:basedOn w:val="Normal"/>
    <w:next w:val="Normal"/>
    <w:link w:val="Heading2Char"/>
    <w:autoRedefine/>
    <w:qFormat/>
    <w:rsid w:val="005867E5"/>
    <w:pPr>
      <w:keepNext/>
      <w:numPr>
        <w:numId w:val="10"/>
      </w:numPr>
      <w:spacing w:before="360" w:after="240"/>
      <w:ind w:right="720" w:hanging="720"/>
      <w:outlineLvl w:val="1"/>
    </w:pPr>
    <w:rPr>
      <w:rFonts w:ascii="Times New Roman" w:hAnsi="Times New Roman"/>
      <w:b/>
      <w:bCs/>
      <w:iCs/>
      <w:color w:val="000000"/>
      <w:sz w:val="28"/>
      <w:szCs w:val="28"/>
    </w:rPr>
  </w:style>
  <w:style w:type="paragraph" w:styleId="Heading3">
    <w:name w:val="heading 3"/>
    <w:basedOn w:val="Normal"/>
    <w:next w:val="Normal"/>
    <w:autoRedefine/>
    <w:qFormat/>
    <w:rsid w:val="005867E5"/>
    <w:pPr>
      <w:keepNext/>
      <w:numPr>
        <w:numId w:val="11"/>
      </w:numPr>
      <w:spacing w:before="360" w:after="240"/>
      <w:ind w:right="720" w:hanging="720"/>
      <w:outlineLvl w:val="2"/>
    </w:pPr>
    <w:rPr>
      <w:rFonts w:ascii="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
    <w:basedOn w:val="Normal"/>
    <w:link w:val="FootnoteTextChar"/>
    <w:autoRedefine/>
    <w:uiPriority w:val="99"/>
    <w:rsid w:val="009D6A2A"/>
    <w:pPr>
      <w:spacing w:before="240" w:after="240"/>
      <w:ind w:left="720" w:hanging="720"/>
    </w:pPr>
    <w:rPr>
      <w:rFonts w:ascii="Times New Roman" w:hAnsi="Times New Roman"/>
    </w:rPr>
  </w:style>
  <w:style w:type="character" w:styleId="FootnoteReference">
    <w:name w:val="footnote reference"/>
    <w:aliases w:val="o,Style 30"/>
    <w:uiPriority w:val="99"/>
    <w:rsid w:val="00F62477"/>
    <w:rPr>
      <w:vertAlign w:val="superscript"/>
    </w:rPr>
  </w:style>
  <w:style w:type="paragraph" w:styleId="Footer">
    <w:name w:val="footer"/>
    <w:basedOn w:val="Normal"/>
    <w:link w:val="FooterChar"/>
    <w:rsid w:val="00F62477"/>
    <w:pPr>
      <w:tabs>
        <w:tab w:val="center" w:pos="4320"/>
        <w:tab w:val="right" w:pos="8640"/>
      </w:tabs>
    </w:pPr>
  </w:style>
  <w:style w:type="character" w:styleId="PageNumber">
    <w:name w:val="page number"/>
    <w:basedOn w:val="DefaultParagraphFont"/>
    <w:rsid w:val="00F62477"/>
  </w:style>
  <w:style w:type="paragraph" w:styleId="Header">
    <w:name w:val="header"/>
    <w:basedOn w:val="Normal"/>
    <w:link w:val="HeaderChar"/>
    <w:uiPriority w:val="99"/>
    <w:unhideWhenUsed/>
    <w:rsid w:val="00F62477"/>
    <w:pPr>
      <w:tabs>
        <w:tab w:val="center" w:pos="4680"/>
        <w:tab w:val="right" w:pos="9360"/>
      </w:tabs>
    </w:pPr>
  </w:style>
  <w:style w:type="character" w:customStyle="1" w:styleId="HeaderChar">
    <w:name w:val="Header Char"/>
    <w:link w:val="Header"/>
    <w:uiPriority w:val="99"/>
    <w:rsid w:val="00F62477"/>
    <w:rPr>
      <w:rFonts w:ascii="Times New (W1)" w:hAnsi="Times New (W1)"/>
      <w:lang w:val="en-US" w:eastAsia="en-US" w:bidi="ar-SA"/>
    </w:rPr>
  </w:style>
  <w:style w:type="paragraph" w:styleId="ListParagraph">
    <w:name w:val="List Paragraph"/>
    <w:basedOn w:val="Normal"/>
    <w:qFormat/>
    <w:rsid w:val="00F62477"/>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
    <w:link w:val="FootnoteText"/>
    <w:uiPriority w:val="99"/>
    <w:semiHidden/>
    <w:rsid w:val="009D6A2A"/>
    <w:rPr>
      <w:lang w:val="en-US" w:eastAsia="en-US" w:bidi="ar-SA"/>
    </w:rPr>
  </w:style>
  <w:style w:type="paragraph" w:customStyle="1" w:styleId="FERCparanumber">
    <w:name w:val="FERC paranumber"/>
    <w:basedOn w:val="Normal"/>
    <w:rsid w:val="00F62477"/>
    <w:pPr>
      <w:numPr>
        <w:numId w:val="1"/>
      </w:numPr>
      <w:autoSpaceDE w:val="0"/>
      <w:autoSpaceDN w:val="0"/>
      <w:adjustRightInd w:val="0"/>
      <w:spacing w:after="240"/>
    </w:pPr>
    <w:rPr>
      <w:sz w:val="26"/>
      <w:szCs w:val="26"/>
    </w:rPr>
  </w:style>
  <w:style w:type="character" w:customStyle="1" w:styleId="FooterChar">
    <w:name w:val="Footer Char"/>
    <w:link w:val="Footer"/>
    <w:rsid w:val="00F62477"/>
    <w:rPr>
      <w:rFonts w:ascii="Times New (W1)" w:hAnsi="Times New (W1)"/>
      <w:lang w:val="en-US" w:eastAsia="en-US" w:bidi="ar-SA"/>
    </w:rPr>
  </w:style>
  <w:style w:type="character" w:customStyle="1" w:styleId="Heading1Char">
    <w:name w:val="Heading 1 Char"/>
    <w:link w:val="Heading1"/>
    <w:rsid w:val="008F3EC7"/>
    <w:rPr>
      <w:b/>
      <w:bCs/>
      <w:kern w:val="32"/>
      <w:sz w:val="28"/>
      <w:szCs w:val="32"/>
    </w:rPr>
  </w:style>
  <w:style w:type="character" w:customStyle="1" w:styleId="Heading2Char">
    <w:name w:val="Heading 2 Char"/>
    <w:link w:val="Heading2"/>
    <w:rsid w:val="005867E5"/>
    <w:rPr>
      <w:b/>
      <w:bCs/>
      <w:iCs/>
      <w:color w:val="000000"/>
      <w:sz w:val="28"/>
      <w:szCs w:val="28"/>
    </w:rPr>
  </w:style>
  <w:style w:type="table" w:styleId="TableGrid">
    <w:name w:val="Table Grid"/>
    <w:basedOn w:val="TableNormal"/>
    <w:rsid w:val="009D6A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Normal"/>
    <w:link w:val="TextstyleChar"/>
    <w:autoRedefine/>
    <w:rsid w:val="005867E5"/>
    <w:pPr>
      <w:spacing w:line="480" w:lineRule="auto"/>
    </w:pPr>
    <w:rPr>
      <w:rFonts w:ascii="Times New Roman" w:hAnsi="Times New Roman"/>
      <w:snapToGrid w:val="0"/>
      <w:sz w:val="28"/>
      <w:szCs w:val="28"/>
    </w:rPr>
  </w:style>
  <w:style w:type="character" w:customStyle="1" w:styleId="TextstyleChar">
    <w:name w:val="Text style Char"/>
    <w:link w:val="Textstyle"/>
    <w:rsid w:val="005867E5"/>
    <w:rPr>
      <w:snapToGrid w:val="0"/>
      <w:sz w:val="28"/>
      <w:szCs w:val="28"/>
    </w:rPr>
  </w:style>
  <w:style w:type="paragraph" w:customStyle="1" w:styleId="Headinjg2">
    <w:name w:val="Headinjg 2"/>
    <w:basedOn w:val="Heading1"/>
    <w:rsid w:val="00303765"/>
  </w:style>
  <w:style w:type="character" w:styleId="Hyperlink">
    <w:name w:val="Hyperlink"/>
    <w:uiPriority w:val="99"/>
    <w:rsid w:val="00303765"/>
    <w:rPr>
      <w:color w:val="0000FF"/>
      <w:u w:val="single"/>
    </w:rPr>
  </w:style>
  <w:style w:type="paragraph" w:styleId="TOC1">
    <w:name w:val="toc 1"/>
    <w:basedOn w:val="Normal"/>
    <w:next w:val="Normal"/>
    <w:autoRedefine/>
    <w:uiPriority w:val="39"/>
    <w:rsid w:val="00EA50BB"/>
    <w:pPr>
      <w:tabs>
        <w:tab w:val="left" w:pos="720"/>
        <w:tab w:val="right" w:leader="dot" w:pos="9350"/>
      </w:tabs>
      <w:spacing w:before="240" w:after="240"/>
      <w:ind w:left="720" w:right="1440" w:hanging="720"/>
    </w:pPr>
    <w:rPr>
      <w:rFonts w:ascii="Times New Roman" w:hAnsi="Times New Roman"/>
      <w:sz w:val="26"/>
    </w:rPr>
  </w:style>
  <w:style w:type="paragraph" w:styleId="TOC2">
    <w:name w:val="toc 2"/>
    <w:basedOn w:val="Normal"/>
    <w:next w:val="Normal"/>
    <w:autoRedefine/>
    <w:uiPriority w:val="39"/>
    <w:rsid w:val="00EA50BB"/>
    <w:pPr>
      <w:tabs>
        <w:tab w:val="right" w:leader="dot" w:pos="9360"/>
      </w:tabs>
      <w:spacing w:before="240" w:after="240"/>
      <w:ind w:left="1440" w:right="1440" w:hanging="720"/>
    </w:pPr>
    <w:rPr>
      <w:rFonts w:ascii="Times New Roman" w:hAnsi="Times New Roman"/>
      <w:sz w:val="26"/>
    </w:rPr>
  </w:style>
  <w:style w:type="paragraph" w:styleId="TOC3">
    <w:name w:val="toc 3"/>
    <w:basedOn w:val="Normal"/>
    <w:next w:val="Normal"/>
    <w:autoRedefine/>
    <w:uiPriority w:val="39"/>
    <w:rsid w:val="00EA50BB"/>
    <w:pPr>
      <w:tabs>
        <w:tab w:val="left" w:pos="960"/>
        <w:tab w:val="right" w:leader="dot" w:pos="9350"/>
      </w:tabs>
      <w:spacing w:before="240" w:after="240"/>
      <w:ind w:left="2160" w:right="1440" w:hanging="720"/>
    </w:pPr>
    <w:rPr>
      <w:rFonts w:ascii="Times New Roman" w:hAnsi="Times New Roman"/>
      <w:sz w:val="26"/>
    </w:rPr>
  </w:style>
  <w:style w:type="paragraph" w:styleId="BalloonText">
    <w:name w:val="Balloon Text"/>
    <w:basedOn w:val="Normal"/>
    <w:semiHidden/>
    <w:rsid w:val="002971FD"/>
    <w:rPr>
      <w:rFonts w:ascii="Tahoma" w:hAnsi="Tahoma" w:cs="Tahoma"/>
      <w:sz w:val="16"/>
      <w:szCs w:val="16"/>
    </w:rPr>
  </w:style>
  <w:style w:type="paragraph" w:customStyle="1" w:styleId="block">
    <w:name w:val="block"/>
    <w:basedOn w:val="Normal"/>
    <w:rsid w:val="00A46BED"/>
    <w:pPr>
      <w:ind w:left="720"/>
    </w:pPr>
    <w:rPr>
      <w:sz w:val="28"/>
      <w:szCs w:val="28"/>
    </w:rPr>
  </w:style>
  <w:style w:type="paragraph" w:customStyle="1" w:styleId="blockquote">
    <w:name w:val="block quote"/>
    <w:basedOn w:val="block"/>
    <w:autoRedefine/>
    <w:rsid w:val="00A46BED"/>
    <w:pPr>
      <w:spacing w:after="240"/>
      <w:ind w:left="1440" w:right="1440"/>
    </w:pPr>
    <w:rPr>
      <w:rFonts w:ascii="Times New Roman" w:hAnsi="Times New Roman"/>
      <w:sz w:val="26"/>
    </w:rPr>
  </w:style>
  <w:style w:type="paragraph" w:customStyle="1" w:styleId="Default">
    <w:name w:val="Default"/>
    <w:rsid w:val="008F3EC7"/>
    <w:pPr>
      <w:autoSpaceDE w:val="0"/>
      <w:autoSpaceDN w:val="0"/>
      <w:adjustRightInd w:val="0"/>
    </w:pPr>
    <w:rPr>
      <w:rFonts w:eastAsia="Calibri"/>
      <w:color w:val="000000"/>
      <w:sz w:val="24"/>
      <w:szCs w:val="24"/>
    </w:rPr>
  </w:style>
  <w:style w:type="paragraph" w:customStyle="1" w:styleId="TEXTSTYLE0">
    <w:name w:val="TEXT STYLE"/>
    <w:basedOn w:val="Normal"/>
    <w:autoRedefine/>
    <w:rsid w:val="008F3EC7"/>
    <w:pPr>
      <w:widowControl/>
      <w:autoSpaceDE w:val="0"/>
      <w:autoSpaceDN w:val="0"/>
      <w:adjustRightInd w:val="0"/>
      <w:spacing w:line="480" w:lineRule="auto"/>
      <w:ind w:firstLine="720"/>
    </w:pPr>
    <w:rPr>
      <w:rFonts w:ascii="Times New Roman" w:eastAsia="Calibri" w:hAnsi="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5119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83">
          <w:marLeft w:val="0"/>
          <w:marRight w:val="0"/>
          <w:marTop w:val="0"/>
          <w:marBottom w:val="0"/>
          <w:divBdr>
            <w:top w:val="none" w:sz="0" w:space="0" w:color="auto"/>
            <w:left w:val="none" w:sz="0" w:space="0" w:color="auto"/>
            <w:bottom w:val="none" w:sz="0" w:space="0" w:color="auto"/>
            <w:right w:val="none" w:sz="0" w:space="0" w:color="auto"/>
          </w:divBdr>
          <w:divsChild>
            <w:div w:id="1334527470">
              <w:marLeft w:val="0"/>
              <w:marRight w:val="0"/>
              <w:marTop w:val="0"/>
              <w:marBottom w:val="0"/>
              <w:divBdr>
                <w:top w:val="none" w:sz="0" w:space="0" w:color="auto"/>
                <w:left w:val="none" w:sz="0" w:space="0" w:color="auto"/>
                <w:bottom w:val="none" w:sz="0" w:space="0" w:color="auto"/>
                <w:right w:val="none" w:sz="0" w:space="0" w:color="auto"/>
              </w:divBdr>
            </w:div>
            <w:div w:id="1868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4715">
      <w:bodyDiv w:val="1"/>
      <w:marLeft w:val="0"/>
      <w:marRight w:val="0"/>
      <w:marTop w:val="0"/>
      <w:marBottom w:val="0"/>
      <w:divBdr>
        <w:top w:val="none" w:sz="0" w:space="0" w:color="auto"/>
        <w:left w:val="none" w:sz="0" w:space="0" w:color="auto"/>
        <w:bottom w:val="none" w:sz="0" w:space="0" w:color="auto"/>
        <w:right w:val="none" w:sz="0" w:space="0" w:color="auto"/>
      </w:divBdr>
      <w:divsChild>
        <w:div w:id="1585138805">
          <w:marLeft w:val="0"/>
          <w:marRight w:val="0"/>
          <w:marTop w:val="0"/>
          <w:marBottom w:val="0"/>
          <w:divBdr>
            <w:top w:val="none" w:sz="0" w:space="0" w:color="auto"/>
            <w:left w:val="none" w:sz="0" w:space="0" w:color="auto"/>
            <w:bottom w:val="none" w:sz="0" w:space="0" w:color="auto"/>
            <w:right w:val="none" w:sz="0" w:space="0" w:color="auto"/>
          </w:divBdr>
          <w:divsChild>
            <w:div w:id="1027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8088">
      <w:bodyDiv w:val="1"/>
      <w:marLeft w:val="0"/>
      <w:marRight w:val="0"/>
      <w:marTop w:val="0"/>
      <w:marBottom w:val="0"/>
      <w:divBdr>
        <w:top w:val="none" w:sz="0" w:space="0" w:color="auto"/>
        <w:left w:val="none" w:sz="0" w:space="0" w:color="auto"/>
        <w:bottom w:val="none" w:sz="0" w:space="0" w:color="auto"/>
        <w:right w:val="none" w:sz="0" w:space="0" w:color="auto"/>
      </w:divBdr>
    </w:div>
    <w:div w:id="2062366772">
      <w:bodyDiv w:val="1"/>
      <w:marLeft w:val="0"/>
      <w:marRight w:val="0"/>
      <w:marTop w:val="0"/>
      <w:marBottom w:val="0"/>
      <w:divBdr>
        <w:top w:val="none" w:sz="0" w:space="0" w:color="auto"/>
        <w:left w:val="none" w:sz="0" w:space="0" w:color="auto"/>
        <w:bottom w:val="none" w:sz="0" w:space="0" w:color="auto"/>
        <w:right w:val="none" w:sz="0" w:space="0" w:color="auto"/>
      </w:divBdr>
      <w:divsChild>
        <w:div w:id="1217358598">
          <w:marLeft w:val="0"/>
          <w:marRight w:val="0"/>
          <w:marTop w:val="0"/>
          <w:marBottom w:val="0"/>
          <w:divBdr>
            <w:top w:val="none" w:sz="0" w:space="0" w:color="auto"/>
            <w:left w:val="none" w:sz="0" w:space="0" w:color="auto"/>
            <w:bottom w:val="none" w:sz="0" w:space="0" w:color="auto"/>
            <w:right w:val="none" w:sz="0" w:space="0" w:color="auto"/>
          </w:divBdr>
          <w:divsChild>
            <w:div w:id="8983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odd.snitchler@puc.state.oh.us" TargetMode="Externa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jm.com/sitecore%20modules/web/~/media/committees-groups/task-forces/cstf/20130626/20130626-item-03-2016-2017-base-residual-auction-report.ash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FERC%20Pleading%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30C5-0927-4767-A650-40F33CE0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FERC Pleading 2011</Template>
  <TotalTime>7</TotalTime>
  <Pages>17</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Public Utilities Commission of Ohio</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Keeton, Kim</dc:creator>
  <cp:lastModifiedBy>Keeton, Kim</cp:lastModifiedBy>
  <cp:revision>9</cp:revision>
  <cp:lastPrinted>2013-09-06T17:00:00Z</cp:lastPrinted>
  <dcterms:created xsi:type="dcterms:W3CDTF">2013-09-06T12:30:00Z</dcterms:created>
  <dcterms:modified xsi:type="dcterms:W3CDTF">2013-09-06T18:36:00Z</dcterms:modified>
</cp:coreProperties>
</file>