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61281" w:rsidRPr="003C7194" w:rsidP="00561281" w14:paraId="0501354C" w14:textId="77777777">
      <w:pPr>
        <w:pStyle w:val="HTMLPreformatted"/>
        <w:jc w:val="center"/>
        <w:rPr>
          <w:rFonts w:ascii="Times New Roman" w:hAnsi="Times New Roman" w:cs="Times New Roman"/>
          <w:b/>
          <w:bCs/>
          <w:sz w:val="24"/>
          <w:szCs w:val="24"/>
        </w:rPr>
      </w:pPr>
      <w:r w:rsidRPr="003C7194">
        <w:rPr>
          <w:rFonts w:ascii="Times New Roman" w:hAnsi="Times New Roman" w:cs="Times New Roman"/>
          <w:b/>
          <w:bCs/>
          <w:sz w:val="24"/>
          <w:szCs w:val="24"/>
        </w:rPr>
        <w:t>BEFORE</w:t>
      </w:r>
    </w:p>
    <w:p w:rsidR="00561281" w:rsidRPr="003C7194" w:rsidP="00561281" w14:paraId="1A6660DB" w14:textId="77777777">
      <w:pPr>
        <w:pStyle w:val="HTMLPreformatted"/>
        <w:jc w:val="center"/>
        <w:rPr>
          <w:rFonts w:ascii="Times New Roman" w:hAnsi="Times New Roman" w:cs="Times New Roman"/>
          <w:b/>
          <w:bCs/>
          <w:sz w:val="24"/>
          <w:szCs w:val="24"/>
        </w:rPr>
      </w:pPr>
      <w:r w:rsidRPr="003C7194">
        <w:rPr>
          <w:rFonts w:ascii="Times New Roman" w:hAnsi="Times New Roman" w:cs="Times New Roman"/>
          <w:b/>
          <w:bCs/>
          <w:sz w:val="24"/>
          <w:szCs w:val="24"/>
        </w:rPr>
        <w:t>THE PUBLIC UTILITIES COMMISSION OF OHIO</w:t>
      </w:r>
    </w:p>
    <w:p w:rsidR="00561281" w:rsidRPr="003C7194" w:rsidP="00561281" w14:paraId="649E6688" w14:textId="77777777">
      <w:pPr>
        <w:pStyle w:val="HTMLPreformatted"/>
        <w:jc w:val="center"/>
        <w:rPr>
          <w:rFonts w:ascii="Times New Roman" w:hAnsi="Times New Roman" w:cs="Times New Roman"/>
          <w:b/>
          <w:bCs/>
          <w:sz w:val="24"/>
          <w:szCs w:val="24"/>
        </w:rPr>
      </w:pPr>
    </w:p>
    <w:p w:rsidR="00561281" w:rsidRPr="003C7194" w:rsidP="00561281" w14:paraId="2BD0595B"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Ohio Power Company</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561281" w:rsidRPr="003C7194" w:rsidP="00561281" w14:paraId="7300CBC0" w14:textId="7329F5A5">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r w:rsidRPr="003C7194">
        <w:rPr>
          <w:rFonts w:ascii="Times New Roman" w:hAnsi="Times New Roman" w:cs="Times New Roman"/>
          <w:sz w:val="24"/>
          <w:szCs w:val="24"/>
        </w:rPr>
        <w:tab/>
        <w:t>Case No. 21-990-EL-CSS</w:t>
      </w:r>
    </w:p>
    <w:p w:rsidR="00561281" w:rsidRPr="003C7194" w:rsidP="00561281" w14:paraId="009580D6"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 xml:space="preserve"> </w:t>
      </w:r>
      <w:r w:rsidRPr="003C7194">
        <w:rPr>
          <w:rFonts w:ascii="Times New Roman" w:hAnsi="Times New Roman" w:cs="Times New Roman"/>
          <w:sz w:val="24"/>
          <w:szCs w:val="24"/>
        </w:rPr>
        <w:tab/>
        <w:t>Complainant,</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561281" w:rsidRPr="003C7194" w:rsidP="00561281" w14:paraId="027C3D6E"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561281" w:rsidRPr="003C7194" w:rsidP="00561281" w14:paraId="734D5477"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 xml:space="preserve"> v.</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561281" w:rsidRPr="003C7194" w:rsidP="00561281" w14:paraId="78AE44B6"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561281" w:rsidRPr="003C7194" w:rsidP="00561281" w14:paraId="508EE5CA"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Nationwide Energy Partners, LLC</w:t>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561281" w:rsidRPr="003C7194" w:rsidP="00561281" w14:paraId="151250F9"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561281" w:rsidRPr="003C7194" w:rsidP="00561281" w14:paraId="7AB92B15"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t>Respondent.</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561281" w:rsidRPr="003C7194" w:rsidP="00561281" w14:paraId="2CB6C189" w14:textId="77777777">
      <w:pPr>
        <w:pStyle w:val="HTMLPreformatted"/>
        <w:rPr>
          <w:rFonts w:ascii="Times New Roman" w:hAnsi="Times New Roman" w:cs="Times New Roman"/>
          <w:sz w:val="24"/>
          <w:szCs w:val="24"/>
        </w:rPr>
      </w:pPr>
    </w:p>
    <w:p w:rsidR="00561281" w:rsidRPr="003C7194" w:rsidP="00561281" w14:paraId="7A2B76D0" w14:textId="77777777">
      <w:pPr>
        <w:pStyle w:val="HTMLPreformatted"/>
        <w:pBdr>
          <w:top w:val="single" w:sz="12" w:space="1" w:color="auto"/>
        </w:pBdr>
        <w:rPr>
          <w:rFonts w:ascii="Times New Roman" w:hAnsi="Times New Roman" w:cs="Times New Roman"/>
          <w:sz w:val="24"/>
          <w:szCs w:val="24"/>
        </w:rPr>
      </w:pPr>
    </w:p>
    <w:p w:rsidR="00561281" w:rsidRPr="003C7194" w:rsidP="003D1799" w14:paraId="0789BF61" w14:textId="47FBD0FA">
      <w:pPr>
        <w:jc w:val="center"/>
        <w:rPr>
          <w:b/>
          <w:bCs/>
          <w:szCs w:val="24"/>
        </w:rPr>
      </w:pPr>
      <w:bookmarkStart w:id="0" w:name="_Hlk112407212"/>
      <w:r w:rsidRPr="003C7194">
        <w:rPr>
          <w:b/>
          <w:bCs/>
          <w:szCs w:val="24"/>
        </w:rPr>
        <w:t>APPLICATION FOR REHEARING</w:t>
      </w:r>
      <w:r w:rsidRPr="003C7194" w:rsidR="003D1799">
        <w:rPr>
          <w:b/>
          <w:bCs/>
          <w:szCs w:val="24"/>
        </w:rPr>
        <w:t xml:space="preserve"> </w:t>
      </w:r>
      <w:r w:rsidRPr="003C7194">
        <w:rPr>
          <w:b/>
          <w:bCs/>
          <w:szCs w:val="24"/>
        </w:rPr>
        <w:t>OF THE PUCO’S ENTRY DENYING OCC’S INTERVENTION</w:t>
      </w:r>
    </w:p>
    <w:p w:rsidR="00561281" w:rsidRPr="003C7194" w:rsidP="00561281" w14:paraId="4A7FA555" w14:textId="77777777">
      <w:pPr>
        <w:jc w:val="center"/>
        <w:rPr>
          <w:b/>
          <w:bCs/>
          <w:szCs w:val="24"/>
        </w:rPr>
      </w:pPr>
      <w:r w:rsidRPr="003C7194">
        <w:rPr>
          <w:b/>
          <w:bCs/>
          <w:szCs w:val="24"/>
        </w:rPr>
        <w:t>BY</w:t>
      </w:r>
    </w:p>
    <w:p w:rsidR="00561281" w:rsidRPr="003C7194" w:rsidP="00561281" w14:paraId="1DF69775" w14:textId="77777777">
      <w:pPr>
        <w:jc w:val="center"/>
        <w:rPr>
          <w:b/>
          <w:bCs/>
          <w:szCs w:val="24"/>
        </w:rPr>
      </w:pPr>
      <w:r w:rsidRPr="003C7194">
        <w:rPr>
          <w:b/>
          <w:bCs/>
          <w:szCs w:val="24"/>
        </w:rPr>
        <w:t>OFFICE OF THE OHIO CONSUMERS’ COUNSEL</w:t>
      </w:r>
    </w:p>
    <w:bookmarkEnd w:id="0"/>
    <w:p w:rsidR="00561281" w:rsidRPr="003C7194" w:rsidP="00561281" w14:paraId="0D532932" w14:textId="77777777">
      <w:pPr>
        <w:pBdr>
          <w:bottom w:val="single" w:sz="12" w:space="1" w:color="auto"/>
        </w:pBdr>
        <w:tabs>
          <w:tab w:val="left" w:pos="4320"/>
        </w:tabs>
        <w:rPr>
          <w:szCs w:val="24"/>
        </w:rPr>
      </w:pPr>
    </w:p>
    <w:p w:rsidR="00561281" w:rsidRPr="003C7194" w:rsidP="00561281" w14:paraId="4A602686" w14:textId="77777777">
      <w:pPr>
        <w:tabs>
          <w:tab w:val="left" w:pos="4320"/>
        </w:tabs>
        <w:rPr>
          <w:szCs w:val="24"/>
        </w:rPr>
      </w:pPr>
    </w:p>
    <w:p w:rsidR="00561281" w:rsidRPr="003C7194" w14:paraId="6F13AB31" w14:textId="77777777">
      <w:pPr>
        <w:pStyle w:val="HTMLPreformatted"/>
        <w:jc w:val="center"/>
        <w:rPr>
          <w:rFonts w:ascii="Times New Roman" w:hAnsi="Times New Roman" w:cs="Times New Roman"/>
          <w:b/>
          <w:bCs/>
          <w:sz w:val="24"/>
          <w:szCs w:val="24"/>
        </w:rPr>
      </w:pPr>
    </w:p>
    <w:p w:rsidR="009E32FC" w:rsidRPr="003C7194" w:rsidP="009E32FC" w14:paraId="01219691" w14:textId="77777777">
      <w:pPr>
        <w:ind w:left="4320"/>
        <w:jc w:val="both"/>
        <w:rPr>
          <w:szCs w:val="24"/>
        </w:rPr>
      </w:pPr>
      <w:r w:rsidRPr="003C7194">
        <w:rPr>
          <w:szCs w:val="24"/>
        </w:rPr>
        <w:t>Bruce Weston (0016973)</w:t>
      </w:r>
    </w:p>
    <w:p w:rsidR="009E32FC" w:rsidRPr="003C7194" w:rsidP="009E32FC" w14:paraId="0099E09E" w14:textId="77777777">
      <w:pPr>
        <w:tabs>
          <w:tab w:val="left" w:pos="4320"/>
        </w:tabs>
        <w:ind w:left="4320" w:hanging="450"/>
        <w:jc w:val="both"/>
        <w:rPr>
          <w:szCs w:val="24"/>
        </w:rPr>
      </w:pPr>
      <w:r w:rsidRPr="003C7194">
        <w:rPr>
          <w:szCs w:val="24"/>
        </w:rPr>
        <w:tab/>
        <w:t>Ohio Consumers’ Counsel</w:t>
      </w:r>
    </w:p>
    <w:p w:rsidR="009E32FC" w:rsidRPr="003C7194" w:rsidP="009E32FC" w14:paraId="0FC51AD6" w14:textId="16E7B7EC">
      <w:pPr>
        <w:tabs>
          <w:tab w:val="left" w:pos="4320"/>
        </w:tabs>
        <w:jc w:val="both"/>
        <w:rPr>
          <w:i/>
          <w:iCs/>
          <w:szCs w:val="24"/>
          <w:u w:val="single"/>
        </w:rPr>
      </w:pPr>
    </w:p>
    <w:p w:rsidR="009E32FC" w:rsidRPr="003C7194" w:rsidP="009E32FC" w14:paraId="17A33649" w14:textId="77777777">
      <w:pPr>
        <w:tabs>
          <w:tab w:val="left" w:pos="4320"/>
        </w:tabs>
        <w:ind w:left="4320"/>
        <w:jc w:val="both"/>
        <w:rPr>
          <w:szCs w:val="24"/>
        </w:rPr>
      </w:pPr>
      <w:r w:rsidRPr="003C7194">
        <w:rPr>
          <w:szCs w:val="24"/>
        </w:rPr>
        <w:t>Angela D. O’Brien (0097579)</w:t>
      </w:r>
    </w:p>
    <w:p w:rsidR="009E32FC" w:rsidRPr="003C7194" w:rsidP="009E32FC" w14:paraId="6B6642A1" w14:textId="77777777">
      <w:pPr>
        <w:tabs>
          <w:tab w:val="left" w:pos="4320"/>
        </w:tabs>
        <w:ind w:left="4320"/>
        <w:jc w:val="both"/>
        <w:rPr>
          <w:szCs w:val="24"/>
        </w:rPr>
      </w:pPr>
      <w:r w:rsidRPr="003C7194">
        <w:rPr>
          <w:szCs w:val="24"/>
        </w:rPr>
        <w:t>Counsel of Record</w:t>
      </w:r>
    </w:p>
    <w:p w:rsidR="009E32FC" w:rsidRPr="003C7194" w:rsidP="009E32FC" w14:paraId="4D171435" w14:textId="77777777">
      <w:pPr>
        <w:tabs>
          <w:tab w:val="left" w:pos="4320"/>
        </w:tabs>
        <w:ind w:left="4320"/>
        <w:jc w:val="both"/>
        <w:rPr>
          <w:szCs w:val="24"/>
        </w:rPr>
      </w:pPr>
      <w:r w:rsidRPr="003C7194">
        <w:rPr>
          <w:szCs w:val="24"/>
        </w:rPr>
        <w:t>William J. Michael (0070921)</w:t>
      </w:r>
    </w:p>
    <w:p w:rsidR="009E32FC" w:rsidRPr="003C7194" w:rsidP="009E32FC" w14:paraId="096F2546" w14:textId="77777777">
      <w:pPr>
        <w:tabs>
          <w:tab w:val="left" w:pos="3870"/>
          <w:tab w:val="left" w:pos="4320"/>
        </w:tabs>
        <w:ind w:left="4320"/>
        <w:jc w:val="both"/>
        <w:rPr>
          <w:szCs w:val="24"/>
        </w:rPr>
      </w:pPr>
      <w:r w:rsidRPr="003C7194">
        <w:rPr>
          <w:szCs w:val="24"/>
        </w:rPr>
        <w:t>Assistant Consumers’ Counsel</w:t>
      </w:r>
    </w:p>
    <w:p w:rsidR="009E32FC" w:rsidRPr="003C7194" w:rsidP="009E32FC" w14:paraId="07F5B71D" w14:textId="77777777">
      <w:pPr>
        <w:tabs>
          <w:tab w:val="left" w:pos="3870"/>
          <w:tab w:val="left" w:pos="4320"/>
        </w:tabs>
        <w:ind w:left="4320"/>
        <w:jc w:val="both"/>
        <w:rPr>
          <w:szCs w:val="24"/>
        </w:rPr>
      </w:pPr>
    </w:p>
    <w:p w:rsidR="009E32FC" w:rsidRPr="003C7194" w:rsidP="009E32FC" w14:paraId="787E8E5A" w14:textId="77777777">
      <w:pPr>
        <w:ind w:left="4320"/>
        <w:jc w:val="both"/>
        <w:rPr>
          <w:b/>
          <w:bCs/>
          <w:szCs w:val="24"/>
        </w:rPr>
      </w:pPr>
      <w:r w:rsidRPr="003C7194">
        <w:rPr>
          <w:b/>
          <w:bCs/>
          <w:szCs w:val="24"/>
        </w:rPr>
        <w:t>Office of the Ohio Consumers' Counsel</w:t>
      </w:r>
    </w:p>
    <w:p w:rsidR="009E32FC" w:rsidRPr="003C7194" w:rsidP="009E32FC" w14:paraId="2A280317" w14:textId="77777777">
      <w:pPr>
        <w:ind w:left="4320"/>
        <w:jc w:val="both"/>
        <w:rPr>
          <w:szCs w:val="24"/>
        </w:rPr>
      </w:pPr>
      <w:r w:rsidRPr="003C7194">
        <w:rPr>
          <w:szCs w:val="24"/>
        </w:rPr>
        <w:t>65 East State Street, Suite 700</w:t>
      </w:r>
    </w:p>
    <w:p w:rsidR="009E32FC" w:rsidRPr="003C7194" w:rsidP="009E32FC" w14:paraId="5C0B4E83" w14:textId="72A44309">
      <w:pPr>
        <w:ind w:left="4320"/>
        <w:jc w:val="both"/>
        <w:rPr>
          <w:szCs w:val="24"/>
        </w:rPr>
      </w:pPr>
      <w:r w:rsidRPr="003C7194">
        <w:rPr>
          <w:szCs w:val="24"/>
        </w:rPr>
        <w:t>Columbus, Ohio 43215</w:t>
      </w:r>
    </w:p>
    <w:p w:rsidR="009E32FC" w:rsidRPr="003C7194" w:rsidP="009E32FC" w14:paraId="38CFEA88" w14:textId="77777777">
      <w:pPr>
        <w:autoSpaceDE w:val="0"/>
        <w:autoSpaceDN w:val="0"/>
        <w:adjustRightInd w:val="0"/>
        <w:ind w:left="4320"/>
        <w:jc w:val="both"/>
        <w:rPr>
          <w:szCs w:val="24"/>
        </w:rPr>
      </w:pPr>
      <w:r w:rsidRPr="003C7194">
        <w:rPr>
          <w:szCs w:val="24"/>
        </w:rPr>
        <w:t>Telephone: [O’Brien]: (614) 466-9531</w:t>
      </w:r>
    </w:p>
    <w:p w:rsidR="009E32FC" w:rsidRPr="003C7194" w:rsidP="009E32FC" w14:paraId="1B652F50" w14:textId="77777777">
      <w:pPr>
        <w:autoSpaceDE w:val="0"/>
        <w:autoSpaceDN w:val="0"/>
        <w:adjustRightInd w:val="0"/>
        <w:ind w:left="4320"/>
        <w:jc w:val="both"/>
        <w:rPr>
          <w:szCs w:val="24"/>
        </w:rPr>
      </w:pPr>
      <w:r w:rsidRPr="003C7194">
        <w:rPr>
          <w:szCs w:val="24"/>
        </w:rPr>
        <w:t>Telephone: [Michael]: (614) 466-1291</w:t>
      </w:r>
    </w:p>
    <w:p w:rsidR="009E32FC" w:rsidRPr="003C7194" w:rsidP="009E32FC" w14:paraId="13D4C39E" w14:textId="77777777">
      <w:pPr>
        <w:ind w:left="4320"/>
        <w:jc w:val="both"/>
        <w:rPr>
          <w:szCs w:val="24"/>
        </w:rPr>
      </w:pPr>
      <w:hyperlink r:id="rId6" w:history="1">
        <w:r w:rsidRPr="003C7194" w:rsidR="00BB664A">
          <w:rPr>
            <w:rStyle w:val="Hyperlink"/>
            <w:szCs w:val="24"/>
          </w:rPr>
          <w:t>angela.obrien@occ.ohio.gov</w:t>
        </w:r>
      </w:hyperlink>
    </w:p>
    <w:p w:rsidR="001C3E1D" w:rsidRPr="003C7194" w:rsidP="001C3E1D" w14:paraId="7D482803" w14:textId="77777777">
      <w:pPr>
        <w:ind w:left="4320"/>
        <w:jc w:val="both"/>
        <w:rPr>
          <w:szCs w:val="24"/>
        </w:rPr>
      </w:pPr>
      <w:hyperlink r:id="rId7" w:history="1">
        <w:r w:rsidRPr="003C7194" w:rsidR="009E32FC">
          <w:rPr>
            <w:rStyle w:val="Hyperlink"/>
            <w:szCs w:val="24"/>
          </w:rPr>
          <w:t>william.michael@occ.ohio.gov</w:t>
        </w:r>
      </w:hyperlink>
    </w:p>
    <w:p w:rsidR="009E32FC" w:rsidRPr="003C7194" w:rsidP="001C3E1D" w14:paraId="007B601F" w14:textId="4E5E5156">
      <w:pPr>
        <w:ind w:left="4320" w:hanging="4320"/>
        <w:jc w:val="both"/>
        <w:rPr>
          <w:szCs w:val="24"/>
        </w:rPr>
      </w:pPr>
      <w:r w:rsidRPr="003C7194">
        <w:rPr>
          <w:szCs w:val="24"/>
        </w:rPr>
        <w:t>August 26, 2022</w:t>
      </w:r>
      <w:r w:rsidRPr="003C7194">
        <w:rPr>
          <w:szCs w:val="24"/>
        </w:rPr>
        <w:tab/>
        <w:t>(willing to accept service by e-mail)</w:t>
      </w:r>
    </w:p>
    <w:p w:rsidR="009E32FC" w:rsidRPr="003C7194" w14:paraId="61C95CFD" w14:textId="226746CB">
      <w:pPr>
        <w:pStyle w:val="HTMLPreformatted"/>
        <w:jc w:val="center"/>
        <w:rPr>
          <w:rFonts w:ascii="Times New Roman" w:hAnsi="Times New Roman" w:cs="Times New Roman"/>
          <w:b/>
          <w:bCs/>
          <w:sz w:val="24"/>
          <w:szCs w:val="24"/>
        </w:rPr>
        <w:sectPr w:rsidSect="00BE789C">
          <w:footerReference w:type="default" r:id="rId8"/>
          <w:pgSz w:w="12240" w:h="15840"/>
          <w:pgMar w:top="1440" w:right="1800" w:bottom="1440" w:left="1800" w:header="720" w:footer="720" w:gutter="0"/>
          <w:pgNumType w:start="2"/>
          <w:cols w:space="720"/>
          <w:titlePg/>
          <w:docGrid w:linePitch="65"/>
        </w:sectPr>
      </w:pPr>
    </w:p>
    <w:p w:rsidR="00A044B5" w:rsidRPr="003C7194" w14:paraId="0490C9C4" w14:textId="77777777">
      <w:pPr>
        <w:pStyle w:val="HTMLPreformatted"/>
        <w:jc w:val="center"/>
        <w:rPr>
          <w:rFonts w:ascii="Times New Roman" w:hAnsi="Times New Roman" w:cs="Times New Roman"/>
          <w:b/>
          <w:bCs/>
          <w:sz w:val="24"/>
          <w:szCs w:val="24"/>
        </w:rPr>
      </w:pPr>
      <w:r w:rsidRPr="003C7194">
        <w:rPr>
          <w:rFonts w:ascii="Times New Roman" w:hAnsi="Times New Roman" w:cs="Times New Roman"/>
          <w:b/>
          <w:bCs/>
          <w:sz w:val="24"/>
          <w:szCs w:val="24"/>
        </w:rPr>
        <w:t>BEFORE</w:t>
      </w:r>
    </w:p>
    <w:p w:rsidR="00A044B5" w:rsidRPr="003C7194" w14:paraId="419905FF" w14:textId="77777777">
      <w:pPr>
        <w:pStyle w:val="HTMLPreformatted"/>
        <w:jc w:val="center"/>
        <w:rPr>
          <w:rFonts w:ascii="Times New Roman" w:hAnsi="Times New Roman" w:cs="Times New Roman"/>
          <w:b/>
          <w:bCs/>
          <w:sz w:val="24"/>
          <w:szCs w:val="24"/>
        </w:rPr>
      </w:pPr>
      <w:r w:rsidRPr="003C7194">
        <w:rPr>
          <w:rFonts w:ascii="Times New Roman" w:hAnsi="Times New Roman" w:cs="Times New Roman"/>
          <w:b/>
          <w:bCs/>
          <w:sz w:val="24"/>
          <w:szCs w:val="24"/>
        </w:rPr>
        <w:t>THE PUBLIC UTILITIES COMMISSION OF OHIO</w:t>
      </w:r>
    </w:p>
    <w:p w:rsidR="001D10F6" w:rsidRPr="003C7194" w14:paraId="2687DE68" w14:textId="77777777">
      <w:pPr>
        <w:pStyle w:val="HTMLPreformatted"/>
        <w:jc w:val="center"/>
        <w:rPr>
          <w:rFonts w:ascii="Times New Roman" w:hAnsi="Times New Roman" w:cs="Times New Roman"/>
          <w:b/>
          <w:bCs/>
          <w:sz w:val="24"/>
          <w:szCs w:val="24"/>
        </w:rPr>
      </w:pPr>
    </w:p>
    <w:p w:rsidR="001D10F6" w:rsidRPr="003C7194" w:rsidP="001D10F6" w14:paraId="456BFC4B"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Ohio Power Company</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D10F6" w:rsidRPr="003C7194" w:rsidP="001D10F6" w14:paraId="5ABAB225" w14:textId="21C4BD49">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r w:rsidRPr="003C7194">
        <w:rPr>
          <w:rFonts w:ascii="Times New Roman" w:hAnsi="Times New Roman" w:cs="Times New Roman"/>
          <w:sz w:val="24"/>
          <w:szCs w:val="24"/>
        </w:rPr>
        <w:tab/>
      </w:r>
    </w:p>
    <w:p w:rsidR="001D10F6" w:rsidRPr="003C7194" w:rsidP="001D10F6" w14:paraId="47511AAB"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 xml:space="preserve"> </w:t>
      </w:r>
      <w:r w:rsidRPr="003C7194">
        <w:rPr>
          <w:rFonts w:ascii="Times New Roman" w:hAnsi="Times New Roman" w:cs="Times New Roman"/>
          <w:sz w:val="24"/>
          <w:szCs w:val="24"/>
        </w:rPr>
        <w:tab/>
        <w:t>Complainant,</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D10F6" w:rsidRPr="003C7194" w:rsidP="001D10F6" w14:paraId="0D78FB2D" w14:textId="3E218019">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r w:rsidRPr="003C7194" w:rsidR="00322013">
        <w:rPr>
          <w:rFonts w:ascii="Times New Roman" w:hAnsi="Times New Roman" w:cs="Times New Roman"/>
          <w:sz w:val="24"/>
          <w:szCs w:val="24"/>
        </w:rPr>
        <w:tab/>
        <w:t>Case No. 21-990-EL-CSS</w:t>
      </w:r>
    </w:p>
    <w:p w:rsidR="001D10F6" w:rsidRPr="003C7194" w:rsidP="001D10F6" w14:paraId="754893C8" w14:textId="0242765A">
      <w:pPr>
        <w:pStyle w:val="HTMLPreformatted"/>
        <w:rPr>
          <w:rFonts w:ascii="Times New Roman" w:hAnsi="Times New Roman" w:cs="Times New Roman"/>
          <w:sz w:val="24"/>
          <w:szCs w:val="24"/>
        </w:rPr>
      </w:pPr>
      <w:r w:rsidRPr="003C7194">
        <w:rPr>
          <w:rFonts w:ascii="Times New Roman" w:hAnsi="Times New Roman" w:cs="Times New Roman"/>
          <w:sz w:val="24"/>
          <w:szCs w:val="24"/>
        </w:rPr>
        <w:t xml:space="preserve"> v.</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D10F6" w:rsidRPr="003C7194" w:rsidP="001D10F6" w14:paraId="7C5A66D3"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D10F6" w:rsidRPr="003C7194" w:rsidP="001D10F6" w14:paraId="3327A091"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Nationwide Energy Partners, LLC</w:t>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D10F6" w:rsidRPr="003C7194" w:rsidP="001D10F6" w14:paraId="1247B485"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D10F6" w:rsidRPr="003C7194" w14:paraId="63E4FDA0"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t>Respondent.</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A044B5" w:rsidRPr="003C7194" w14:paraId="62E2BC83" w14:textId="77777777">
      <w:pPr>
        <w:pStyle w:val="HTMLPreformatted"/>
        <w:rPr>
          <w:rFonts w:ascii="Times New Roman" w:hAnsi="Times New Roman" w:cs="Times New Roman"/>
          <w:sz w:val="24"/>
          <w:szCs w:val="24"/>
        </w:rPr>
      </w:pPr>
    </w:p>
    <w:p w:rsidR="00A044B5" w:rsidRPr="003C7194" w14:paraId="2F66E22E" w14:textId="77777777">
      <w:pPr>
        <w:pStyle w:val="HTMLPreformatted"/>
        <w:pBdr>
          <w:top w:val="single" w:sz="12" w:space="1" w:color="auto"/>
        </w:pBdr>
        <w:rPr>
          <w:rFonts w:ascii="Times New Roman" w:hAnsi="Times New Roman" w:cs="Times New Roman"/>
          <w:sz w:val="24"/>
          <w:szCs w:val="24"/>
        </w:rPr>
      </w:pPr>
    </w:p>
    <w:p w:rsidR="00A02A6B" w:rsidRPr="003C7194" w:rsidP="003C7194" w14:paraId="1F7F6375" w14:textId="5D94D339">
      <w:pPr>
        <w:jc w:val="center"/>
        <w:rPr>
          <w:b/>
          <w:bCs/>
          <w:szCs w:val="24"/>
        </w:rPr>
      </w:pPr>
      <w:r w:rsidRPr="003C7194">
        <w:rPr>
          <w:b/>
          <w:bCs/>
          <w:szCs w:val="24"/>
        </w:rPr>
        <w:t xml:space="preserve">APPLICATION FOR REHEARING OF THE PUCO’S ENTRY DENYING OCC’S INTERVENTION </w:t>
      </w:r>
    </w:p>
    <w:p w:rsidR="00A044B5" w:rsidRPr="003C7194" w14:paraId="6086B83B" w14:textId="77777777">
      <w:pPr>
        <w:jc w:val="center"/>
        <w:rPr>
          <w:b/>
          <w:bCs/>
          <w:szCs w:val="24"/>
        </w:rPr>
      </w:pPr>
      <w:r w:rsidRPr="003C7194">
        <w:rPr>
          <w:b/>
          <w:bCs/>
          <w:szCs w:val="24"/>
        </w:rPr>
        <w:t>BY</w:t>
      </w:r>
    </w:p>
    <w:p w:rsidR="00A044B5" w:rsidRPr="003C7194" w14:paraId="2B56AB71" w14:textId="77777777">
      <w:pPr>
        <w:jc w:val="center"/>
        <w:rPr>
          <w:b/>
          <w:bCs/>
          <w:szCs w:val="24"/>
        </w:rPr>
      </w:pPr>
      <w:r w:rsidRPr="003C7194">
        <w:rPr>
          <w:b/>
          <w:bCs/>
          <w:szCs w:val="24"/>
        </w:rPr>
        <w:t>OFFICE OF THE OHIO CONSUMERS’ COUNSEL</w:t>
      </w:r>
    </w:p>
    <w:p w:rsidR="00A044B5" w:rsidRPr="003C7194" w14:paraId="36FBD921" w14:textId="77777777">
      <w:pPr>
        <w:pBdr>
          <w:bottom w:val="single" w:sz="12" w:space="1" w:color="auto"/>
        </w:pBdr>
        <w:tabs>
          <w:tab w:val="left" w:pos="4320"/>
        </w:tabs>
        <w:rPr>
          <w:szCs w:val="24"/>
        </w:rPr>
      </w:pPr>
    </w:p>
    <w:p w:rsidR="00A044B5" w:rsidRPr="003C7194" w14:paraId="76C5A0F9" w14:textId="77777777">
      <w:pPr>
        <w:tabs>
          <w:tab w:val="left" w:pos="4320"/>
        </w:tabs>
        <w:rPr>
          <w:szCs w:val="24"/>
        </w:rPr>
      </w:pPr>
    </w:p>
    <w:p w:rsidR="006F1F3B" w:rsidRPr="003C7194" w:rsidP="00822B7A" w14:paraId="3AD9293B" w14:textId="1F0E9534">
      <w:pPr>
        <w:pStyle w:val="BodyTextIndent3"/>
        <w:widowControl w:val="0"/>
        <w:spacing w:line="480" w:lineRule="auto"/>
        <w:rPr>
          <w:szCs w:val="24"/>
        </w:rPr>
      </w:pPr>
      <w:r w:rsidRPr="003C7194">
        <w:rPr>
          <w:szCs w:val="24"/>
        </w:rPr>
        <w:t xml:space="preserve">This case involves the future of electric service for over </w:t>
      </w:r>
      <w:r w:rsidRPr="003C7194" w:rsidR="006B4024">
        <w:rPr>
          <w:szCs w:val="24"/>
        </w:rPr>
        <w:t>one thousand</w:t>
      </w:r>
      <w:r w:rsidRPr="003C7194">
        <w:rPr>
          <w:szCs w:val="24"/>
        </w:rPr>
        <w:t xml:space="preserve"> residential consumers served by AEP who may be forced to become customers of</w:t>
      </w:r>
      <w:r w:rsidRPr="003C7194" w:rsidR="002374D7">
        <w:rPr>
          <w:szCs w:val="24"/>
        </w:rPr>
        <w:t xml:space="preserve"> a</w:t>
      </w:r>
      <w:r w:rsidRPr="003C7194">
        <w:rPr>
          <w:szCs w:val="24"/>
        </w:rPr>
        <w:t xml:space="preserve"> submeterer (reseller)</w:t>
      </w:r>
      <w:r w:rsidRPr="003C7194" w:rsidR="002374D7">
        <w:rPr>
          <w:szCs w:val="24"/>
        </w:rPr>
        <w:t>,</w:t>
      </w:r>
      <w:r w:rsidRPr="003C7194">
        <w:rPr>
          <w:szCs w:val="24"/>
        </w:rPr>
        <w:t xml:space="preserve"> Nationwide Energy Partners (“NEP”). The Ohio Supreme Court has described NEP as a “big business,” “third-party reseller[]” that provides “submetering services for multiple properties and landlords” for profit.</w:t>
      </w:r>
      <w:r>
        <w:rPr>
          <w:rStyle w:val="FootnoteReference"/>
          <w:szCs w:val="24"/>
        </w:rPr>
        <w:footnoteReference w:id="2"/>
      </w:r>
    </w:p>
    <w:p w:rsidR="00BC565A" w:rsidRPr="003C7194" w:rsidP="00822B7A" w14:paraId="23F6A6D8" w14:textId="4D3BB4C7">
      <w:pPr>
        <w:pStyle w:val="BodyTextIndent3"/>
        <w:widowControl w:val="0"/>
        <w:spacing w:line="480" w:lineRule="auto"/>
        <w:rPr>
          <w:szCs w:val="24"/>
        </w:rPr>
      </w:pPr>
      <w:r w:rsidRPr="003C7194">
        <w:rPr>
          <w:szCs w:val="24"/>
        </w:rPr>
        <w:t xml:space="preserve"> But the PUCO (</w:t>
      </w:r>
      <w:r w:rsidRPr="003C7194" w:rsidR="00CA1BC9">
        <w:rPr>
          <w:szCs w:val="24"/>
        </w:rPr>
        <w:t>affirming the decision of</w:t>
      </w:r>
      <w:r w:rsidRPr="003C7194">
        <w:rPr>
          <w:szCs w:val="24"/>
        </w:rPr>
        <w:t xml:space="preserve"> Attorney Examiner Sandor) has </w:t>
      </w:r>
      <w:r w:rsidRPr="003C7194" w:rsidR="00CC7081">
        <w:rPr>
          <w:szCs w:val="24"/>
        </w:rPr>
        <w:t xml:space="preserve">wrongly </w:t>
      </w:r>
      <w:r w:rsidRPr="003C7194">
        <w:rPr>
          <w:szCs w:val="24"/>
        </w:rPr>
        <w:t>denied consumers the intervention of their state representative, the Ohio Consumers’ Counsel</w:t>
      </w:r>
      <w:r w:rsidRPr="003C7194" w:rsidR="00142EC0">
        <w:rPr>
          <w:szCs w:val="24"/>
        </w:rPr>
        <w:t xml:space="preserve"> (“OCC”)</w:t>
      </w:r>
      <w:r w:rsidRPr="003C7194">
        <w:rPr>
          <w:szCs w:val="24"/>
        </w:rPr>
        <w:t>.</w:t>
      </w:r>
      <w:r>
        <w:rPr>
          <w:rStyle w:val="FootnoteReference"/>
          <w:szCs w:val="24"/>
        </w:rPr>
        <w:footnoteReference w:id="3"/>
      </w:r>
      <w:r w:rsidRPr="003C7194">
        <w:rPr>
          <w:szCs w:val="24"/>
        </w:rPr>
        <w:t xml:space="preserve"> </w:t>
      </w:r>
      <w:r w:rsidRPr="003C7194" w:rsidR="006B4024">
        <w:rPr>
          <w:szCs w:val="24"/>
        </w:rPr>
        <w:t xml:space="preserve">Denying consumers </w:t>
      </w:r>
      <w:r w:rsidRPr="003C7194" w:rsidR="00CA1BC9">
        <w:rPr>
          <w:szCs w:val="24"/>
        </w:rPr>
        <w:t>their</w:t>
      </w:r>
      <w:r w:rsidRPr="003C7194" w:rsidR="006B4024">
        <w:rPr>
          <w:szCs w:val="24"/>
        </w:rPr>
        <w:t xml:space="preserve"> voice</w:t>
      </w:r>
      <w:r w:rsidRPr="003C7194" w:rsidR="00CA1BC9">
        <w:rPr>
          <w:szCs w:val="24"/>
        </w:rPr>
        <w:t xml:space="preserve"> in this matter</w:t>
      </w:r>
      <w:r w:rsidRPr="003C7194" w:rsidR="006B4024">
        <w:rPr>
          <w:szCs w:val="24"/>
        </w:rPr>
        <w:t xml:space="preserve"> violates Ohio law</w:t>
      </w:r>
      <w:r w:rsidRPr="003C7194" w:rsidR="00CA1BC9">
        <w:rPr>
          <w:szCs w:val="24"/>
        </w:rPr>
        <w:t>, the Ohio Administrative Code,</w:t>
      </w:r>
      <w:r w:rsidRPr="003C7194" w:rsidR="006B4024">
        <w:rPr>
          <w:szCs w:val="24"/>
        </w:rPr>
        <w:t xml:space="preserve"> and Ohio Supreme Court precedent. The PUCO should grant rehearing and </w:t>
      </w:r>
      <w:r w:rsidRPr="003C7194" w:rsidR="00CA1BC9">
        <w:rPr>
          <w:szCs w:val="24"/>
        </w:rPr>
        <w:t>reverse</w:t>
      </w:r>
      <w:r w:rsidRPr="003C7194" w:rsidR="006B4024">
        <w:rPr>
          <w:szCs w:val="24"/>
        </w:rPr>
        <w:t xml:space="preserve"> it</w:t>
      </w:r>
      <w:r w:rsidRPr="003C7194" w:rsidR="00CA1BC9">
        <w:rPr>
          <w:szCs w:val="24"/>
        </w:rPr>
        <w:t>s</w:t>
      </w:r>
      <w:r w:rsidRPr="003C7194" w:rsidR="006B4024">
        <w:rPr>
          <w:szCs w:val="24"/>
        </w:rPr>
        <w:t xml:space="preserve"> July 27 Entry denying OCC intervention.</w:t>
      </w:r>
    </w:p>
    <w:p w:rsidR="00B35198" w:rsidRPr="003C7194" w:rsidP="00822B7A" w14:paraId="7D752B1B" w14:textId="74A74A4E">
      <w:pPr>
        <w:pStyle w:val="BodyTextIndent3"/>
        <w:widowControl w:val="0"/>
        <w:spacing w:line="480" w:lineRule="auto"/>
        <w:rPr>
          <w:szCs w:val="24"/>
        </w:rPr>
      </w:pPr>
      <w:r w:rsidRPr="003C7194">
        <w:rPr>
          <w:szCs w:val="24"/>
        </w:rPr>
        <w:t xml:space="preserve">Over one thousand residential consumers of AEP may be </w:t>
      </w:r>
      <w:r w:rsidRPr="003C7194" w:rsidR="00D615C9">
        <w:rPr>
          <w:szCs w:val="24"/>
        </w:rPr>
        <w:t>“adversely affected”</w:t>
      </w:r>
      <w:r>
        <w:rPr>
          <w:rStyle w:val="FootnoteReference"/>
          <w:szCs w:val="24"/>
        </w:rPr>
        <w:footnoteReference w:id="4"/>
      </w:r>
      <w:r w:rsidRPr="003C7194" w:rsidR="00022702">
        <w:rPr>
          <w:szCs w:val="24"/>
        </w:rPr>
        <w:t xml:space="preserve"> by the outcome of this complaint case.</w:t>
      </w:r>
      <w:r w:rsidRPr="003C7194">
        <w:rPr>
          <w:szCs w:val="24"/>
        </w:rPr>
        <w:t xml:space="preserve"> N</w:t>
      </w:r>
      <w:r w:rsidRPr="003C7194" w:rsidR="00142EC0">
        <w:rPr>
          <w:szCs w:val="24"/>
        </w:rPr>
        <w:t xml:space="preserve">EP </w:t>
      </w:r>
      <w:r w:rsidRPr="003C7194" w:rsidR="00A50319">
        <w:rPr>
          <w:szCs w:val="24"/>
        </w:rPr>
        <w:t>wants to resell or redistribut</w:t>
      </w:r>
      <w:r w:rsidRPr="003C7194" w:rsidR="00CC7081">
        <w:rPr>
          <w:szCs w:val="24"/>
        </w:rPr>
        <w:t>e (submeter)</w:t>
      </w:r>
      <w:r w:rsidRPr="003C7194" w:rsidR="00A50319">
        <w:rPr>
          <w:szCs w:val="24"/>
        </w:rPr>
        <w:t xml:space="preserve"> electric utility service to</w:t>
      </w:r>
      <w:r w:rsidRPr="003C7194">
        <w:rPr>
          <w:szCs w:val="24"/>
        </w:rPr>
        <w:t xml:space="preserve"> </w:t>
      </w:r>
      <w:r w:rsidRPr="003C7194" w:rsidR="00A50319">
        <w:rPr>
          <w:szCs w:val="24"/>
        </w:rPr>
        <w:t xml:space="preserve">AEP consumers </w:t>
      </w:r>
      <w:r w:rsidRPr="003C7194">
        <w:rPr>
          <w:szCs w:val="24"/>
        </w:rPr>
        <w:t>living in five Ohio apartment complexes. If NEP prevails</w:t>
      </w:r>
      <w:r w:rsidRPr="003C7194" w:rsidR="00E528C1">
        <w:rPr>
          <w:szCs w:val="24"/>
        </w:rPr>
        <w:t xml:space="preserve">, </w:t>
      </w:r>
      <w:r w:rsidRPr="003C7194" w:rsidR="00022702">
        <w:rPr>
          <w:szCs w:val="24"/>
        </w:rPr>
        <w:t>the</w:t>
      </w:r>
      <w:r w:rsidRPr="003C7194">
        <w:rPr>
          <w:szCs w:val="24"/>
        </w:rPr>
        <w:t>se</w:t>
      </w:r>
      <w:r w:rsidRPr="003C7194" w:rsidR="00022702">
        <w:rPr>
          <w:szCs w:val="24"/>
        </w:rPr>
        <w:t xml:space="preserve"> consumers</w:t>
      </w:r>
      <w:r w:rsidRPr="003C7194" w:rsidR="00E528C1">
        <w:rPr>
          <w:szCs w:val="24"/>
        </w:rPr>
        <w:t xml:space="preserve"> will lose AEP as their dis</w:t>
      </w:r>
      <w:r w:rsidRPr="003C7194" w:rsidR="00022702">
        <w:rPr>
          <w:szCs w:val="24"/>
        </w:rPr>
        <w:t>tribution utility</w:t>
      </w:r>
      <w:r w:rsidRPr="003C7194">
        <w:rPr>
          <w:szCs w:val="24"/>
        </w:rPr>
        <w:t xml:space="preserve">, along with many of the consumer protections they receive </w:t>
      </w:r>
      <w:r w:rsidRPr="003C7194" w:rsidR="006F1F3B">
        <w:rPr>
          <w:szCs w:val="24"/>
        </w:rPr>
        <w:t>from their current, utility-regulated supplier AEP.</w:t>
      </w:r>
      <w:r w:rsidRPr="003C7194" w:rsidR="00F45207">
        <w:rPr>
          <w:szCs w:val="24"/>
        </w:rPr>
        <w:t xml:space="preserve"> </w:t>
      </w:r>
      <w:r w:rsidRPr="003C7194">
        <w:rPr>
          <w:szCs w:val="24"/>
        </w:rPr>
        <w:t>The PUCO’s July 27 Entry unreasonably and unlawfully denies these consumers a voice through their statutory advocate, OCC.</w:t>
      </w:r>
    </w:p>
    <w:p w:rsidR="001B4032" w:rsidRPr="003C7194" w:rsidP="00822B7A" w14:paraId="1303A026" w14:textId="77777777">
      <w:pPr>
        <w:spacing w:line="480" w:lineRule="auto"/>
        <w:ind w:firstLine="720"/>
        <w:rPr>
          <w:szCs w:val="24"/>
        </w:rPr>
      </w:pPr>
      <w:r w:rsidRPr="003C7194">
        <w:rPr>
          <w:szCs w:val="24"/>
        </w:rPr>
        <w:t xml:space="preserve">R.C. 4903.10 permits the filing of an application for rehearing for the PUCO to “abrogate or modify” an order. O.A.C. 4901-1-35 also allows for applications for rehearing. </w:t>
      </w:r>
      <w:r w:rsidRPr="003C7194" w:rsidR="00CF13AD">
        <w:rPr>
          <w:szCs w:val="24"/>
        </w:rPr>
        <w:t>T</w:t>
      </w:r>
      <w:r w:rsidRPr="003C7194">
        <w:rPr>
          <w:szCs w:val="24"/>
        </w:rPr>
        <w:t xml:space="preserve">he PUCO’s </w:t>
      </w:r>
      <w:r w:rsidRPr="003C7194" w:rsidR="00CF13AD">
        <w:rPr>
          <w:szCs w:val="24"/>
        </w:rPr>
        <w:t xml:space="preserve">July 27 Entry affirming the Attorney Examiner’s denial of intervention to OCC </w:t>
      </w:r>
      <w:r w:rsidRPr="003C7194">
        <w:rPr>
          <w:szCs w:val="24"/>
        </w:rPr>
        <w:t>is unreasonable and unlawful in the following respects:</w:t>
      </w:r>
    </w:p>
    <w:p w:rsidR="00A31357" w:rsidRPr="003C7194" w:rsidP="00822B7A" w14:paraId="0D2396AB" w14:textId="4013484E">
      <w:pPr>
        <w:ind w:left="720"/>
        <w:contextualSpacing/>
        <w:rPr>
          <w:szCs w:val="24"/>
        </w:rPr>
      </w:pPr>
      <w:bookmarkStart w:id="1" w:name="_Hlk88476439"/>
      <w:r w:rsidRPr="003C7194">
        <w:rPr>
          <w:b/>
          <w:szCs w:val="24"/>
        </w:rPr>
        <w:t xml:space="preserve">ASSIGNMENT OF ERROR NO. 1: </w:t>
      </w:r>
      <w:r w:rsidRPr="003C7194">
        <w:rPr>
          <w:szCs w:val="24"/>
        </w:rPr>
        <w:t xml:space="preserve">The PUCO </w:t>
      </w:r>
      <w:r w:rsidRPr="003C7194" w:rsidR="00EE0A07">
        <w:rPr>
          <w:szCs w:val="24"/>
        </w:rPr>
        <w:t xml:space="preserve">erred by </w:t>
      </w:r>
      <w:r w:rsidRPr="003C7194" w:rsidR="00337C80">
        <w:rPr>
          <w:szCs w:val="24"/>
        </w:rPr>
        <w:t>unlawfully den</w:t>
      </w:r>
      <w:r w:rsidRPr="003C7194" w:rsidR="00EE0A07">
        <w:rPr>
          <w:szCs w:val="24"/>
        </w:rPr>
        <w:t>ying</w:t>
      </w:r>
      <w:r w:rsidRPr="003C7194">
        <w:rPr>
          <w:szCs w:val="24"/>
        </w:rPr>
        <w:t xml:space="preserve"> OCC</w:t>
      </w:r>
      <w:r w:rsidRPr="003C7194" w:rsidR="00EE0A07">
        <w:rPr>
          <w:szCs w:val="24"/>
        </w:rPr>
        <w:t>’s</w:t>
      </w:r>
      <w:r w:rsidRPr="003C7194" w:rsidR="003F29B7">
        <w:rPr>
          <w:szCs w:val="24"/>
        </w:rPr>
        <w:t xml:space="preserve"> intervention</w:t>
      </w:r>
      <w:r w:rsidRPr="003C7194" w:rsidR="00EE0A07">
        <w:rPr>
          <w:szCs w:val="24"/>
        </w:rPr>
        <w:t xml:space="preserve"> in violation of R.C. 4903.221, O.A.C. 4901-1-11, and Ohio Supreme Court precedent. </w:t>
      </w:r>
    </w:p>
    <w:p w:rsidR="001B4032" w:rsidRPr="003C7194" w:rsidP="00822B7A" w14:paraId="2957CED4" w14:textId="77777777">
      <w:pPr>
        <w:contextualSpacing/>
        <w:rPr>
          <w:szCs w:val="24"/>
        </w:rPr>
      </w:pPr>
    </w:p>
    <w:p w:rsidR="001B4032" w:rsidRPr="003C7194" w:rsidP="00822B7A" w14:paraId="33B74416" w14:textId="42A469C4">
      <w:pPr>
        <w:ind w:left="720"/>
        <w:rPr>
          <w:bCs/>
          <w:szCs w:val="24"/>
        </w:rPr>
      </w:pPr>
      <w:r w:rsidRPr="003C7194">
        <w:rPr>
          <w:b/>
          <w:szCs w:val="24"/>
        </w:rPr>
        <w:t xml:space="preserve">ASSIGNMENT OF ERROR NO. </w:t>
      </w:r>
      <w:r w:rsidRPr="003C7194" w:rsidR="00FF08DA">
        <w:rPr>
          <w:b/>
          <w:szCs w:val="24"/>
        </w:rPr>
        <w:t>2</w:t>
      </w:r>
      <w:r w:rsidRPr="003C7194">
        <w:rPr>
          <w:b/>
          <w:szCs w:val="24"/>
        </w:rPr>
        <w:t xml:space="preserve">: </w:t>
      </w:r>
      <w:r w:rsidRPr="003C7194" w:rsidR="00241638">
        <w:rPr>
          <w:bCs/>
          <w:szCs w:val="24"/>
        </w:rPr>
        <w:t xml:space="preserve">The PUCO </w:t>
      </w:r>
      <w:r w:rsidRPr="003C7194" w:rsidR="006A5DAF">
        <w:rPr>
          <w:bCs/>
          <w:szCs w:val="24"/>
        </w:rPr>
        <w:t xml:space="preserve">erred by unjustly and unreasonably </w:t>
      </w:r>
      <w:r w:rsidRPr="003C7194" w:rsidR="00EE5317">
        <w:rPr>
          <w:bCs/>
          <w:szCs w:val="24"/>
        </w:rPr>
        <w:t xml:space="preserve">affirming the Attorney Examiner’s decision </w:t>
      </w:r>
      <w:r w:rsidRPr="003C7194" w:rsidR="00241638">
        <w:rPr>
          <w:bCs/>
          <w:szCs w:val="24"/>
        </w:rPr>
        <w:t xml:space="preserve">to deny OCC intervention because the PUCO </w:t>
      </w:r>
      <w:r w:rsidRPr="003C7194" w:rsidR="00E53E74">
        <w:rPr>
          <w:bCs/>
          <w:szCs w:val="24"/>
        </w:rPr>
        <w:t>incorrectly</w:t>
      </w:r>
      <w:r w:rsidRPr="003C7194" w:rsidR="00241638">
        <w:rPr>
          <w:bCs/>
          <w:szCs w:val="24"/>
        </w:rPr>
        <w:t xml:space="preserve"> determined that OCC’s only interest in AEP’s complaint against NEP is in its precedential value.</w:t>
      </w:r>
      <w:bookmarkEnd w:id="1"/>
    </w:p>
    <w:p w:rsidR="00AE3142" w:rsidRPr="003C7194" w:rsidP="00822B7A" w14:paraId="18BBDAF5" w14:textId="77777777">
      <w:pPr>
        <w:ind w:left="720"/>
        <w:rPr>
          <w:bCs/>
          <w:szCs w:val="24"/>
        </w:rPr>
      </w:pPr>
    </w:p>
    <w:p w:rsidR="001B4032" w:rsidRPr="003C7194" w:rsidP="00822B7A" w14:paraId="79CBB01C" w14:textId="6FFB3FF0">
      <w:pPr>
        <w:spacing w:line="480" w:lineRule="auto"/>
        <w:ind w:firstLine="720"/>
        <w:contextualSpacing/>
        <w:rPr>
          <w:szCs w:val="24"/>
        </w:rPr>
      </w:pPr>
      <w:r w:rsidRPr="003C7194">
        <w:rPr>
          <w:szCs w:val="24"/>
        </w:rPr>
        <w:t>The reasons</w:t>
      </w:r>
      <w:r w:rsidRPr="003C7194" w:rsidR="006A5DAF">
        <w:rPr>
          <w:szCs w:val="24"/>
        </w:rPr>
        <w:t xml:space="preserve"> for </w:t>
      </w:r>
      <w:r w:rsidRPr="003C7194" w:rsidR="006F1F3B">
        <w:rPr>
          <w:szCs w:val="24"/>
        </w:rPr>
        <w:t xml:space="preserve">supporting </w:t>
      </w:r>
      <w:r w:rsidRPr="003C7194">
        <w:rPr>
          <w:szCs w:val="24"/>
        </w:rPr>
        <w:t xml:space="preserve">this application for rehearing are set forth in the accompanying Memorandum in Support. The PUCO should grant rehearing and abrogate or modify its </w:t>
      </w:r>
      <w:r w:rsidRPr="003C7194" w:rsidR="00CC6303">
        <w:rPr>
          <w:szCs w:val="24"/>
        </w:rPr>
        <w:t>July 27, 2022 Entry</w:t>
      </w:r>
      <w:r w:rsidRPr="003C7194">
        <w:rPr>
          <w:szCs w:val="24"/>
        </w:rPr>
        <w:t xml:space="preserve"> as requested by OCC.</w:t>
      </w:r>
    </w:p>
    <w:p w:rsidR="00097BF6" w14:paraId="6628D3E7" w14:textId="77777777">
      <w:pPr>
        <w:rPr>
          <w:szCs w:val="24"/>
        </w:rPr>
      </w:pPr>
      <w:r>
        <w:rPr>
          <w:szCs w:val="24"/>
        </w:rPr>
        <w:br w:type="page"/>
      </w:r>
    </w:p>
    <w:p w:rsidR="00190E4F" w:rsidRPr="003C7194" w:rsidP="00D80FB3" w14:paraId="16300A7A" w14:textId="6CD29847">
      <w:pPr>
        <w:pStyle w:val="BodyTextIndent3"/>
        <w:widowControl w:val="0"/>
        <w:spacing w:line="240" w:lineRule="auto"/>
        <w:ind w:left="3600" w:right="-672"/>
        <w:rPr>
          <w:szCs w:val="24"/>
        </w:rPr>
      </w:pPr>
      <w:r w:rsidRPr="003C7194">
        <w:rPr>
          <w:szCs w:val="24"/>
        </w:rPr>
        <w:t>Respectfully submitted,</w:t>
      </w:r>
    </w:p>
    <w:p w:rsidR="00190E4F" w:rsidRPr="003C7194" w:rsidP="00D80FB3" w14:paraId="4C0E97CD" w14:textId="77777777">
      <w:pPr>
        <w:jc w:val="both"/>
        <w:rPr>
          <w:szCs w:val="24"/>
        </w:rPr>
      </w:pPr>
      <w:r w:rsidRPr="003C7194">
        <w:rPr>
          <w:szCs w:val="24"/>
        </w:rPr>
        <w:tab/>
      </w:r>
    </w:p>
    <w:p w:rsidR="00190E4F" w:rsidRPr="003C7194" w:rsidP="00D80FB3" w14:paraId="66E27720" w14:textId="77777777">
      <w:pPr>
        <w:ind w:left="4320"/>
        <w:jc w:val="both"/>
        <w:rPr>
          <w:szCs w:val="24"/>
        </w:rPr>
      </w:pPr>
      <w:r w:rsidRPr="003C7194">
        <w:rPr>
          <w:szCs w:val="24"/>
        </w:rPr>
        <w:t>Bruce Weston (0016973)</w:t>
      </w:r>
    </w:p>
    <w:p w:rsidR="00190E4F" w:rsidRPr="003C7194" w:rsidP="00D80FB3" w14:paraId="1900F6CC" w14:textId="77777777">
      <w:pPr>
        <w:tabs>
          <w:tab w:val="left" w:pos="4320"/>
        </w:tabs>
        <w:ind w:left="4320" w:hanging="450"/>
        <w:jc w:val="both"/>
        <w:rPr>
          <w:szCs w:val="24"/>
        </w:rPr>
      </w:pPr>
      <w:r w:rsidRPr="003C7194">
        <w:rPr>
          <w:szCs w:val="24"/>
        </w:rPr>
        <w:tab/>
        <w:t>Ohio Consumers’ Counsel</w:t>
      </w:r>
    </w:p>
    <w:p w:rsidR="00190E4F" w:rsidRPr="003C7194" w:rsidP="00D80FB3" w14:paraId="5508A05D" w14:textId="77777777">
      <w:pPr>
        <w:tabs>
          <w:tab w:val="left" w:pos="4320"/>
        </w:tabs>
        <w:ind w:left="4320"/>
        <w:jc w:val="both"/>
        <w:rPr>
          <w:szCs w:val="24"/>
        </w:rPr>
      </w:pPr>
    </w:p>
    <w:p w:rsidR="00190E4F" w:rsidRPr="003C7194" w:rsidP="00D80FB3" w14:paraId="46FCE8BA" w14:textId="77777777">
      <w:pPr>
        <w:tabs>
          <w:tab w:val="left" w:pos="4320"/>
        </w:tabs>
        <w:ind w:left="4320"/>
        <w:jc w:val="both"/>
        <w:rPr>
          <w:i/>
          <w:iCs/>
          <w:szCs w:val="24"/>
          <w:u w:val="single"/>
        </w:rPr>
      </w:pPr>
      <w:r w:rsidRPr="003C7194">
        <w:rPr>
          <w:i/>
          <w:iCs/>
          <w:szCs w:val="24"/>
          <w:u w:val="single"/>
        </w:rPr>
        <w:t>/s/ Angela D. O’Brien</w:t>
      </w:r>
      <w:r w:rsidRPr="003C7194">
        <w:rPr>
          <w:i/>
          <w:iCs/>
          <w:szCs w:val="24"/>
          <w:u w:val="single"/>
        </w:rPr>
        <w:tab/>
      </w:r>
    </w:p>
    <w:p w:rsidR="00190E4F" w:rsidRPr="003C7194" w:rsidP="00D80FB3" w14:paraId="6F78F259" w14:textId="77777777">
      <w:pPr>
        <w:tabs>
          <w:tab w:val="left" w:pos="4320"/>
        </w:tabs>
        <w:ind w:left="4320"/>
        <w:jc w:val="both"/>
        <w:rPr>
          <w:szCs w:val="24"/>
        </w:rPr>
      </w:pPr>
      <w:r w:rsidRPr="003C7194">
        <w:rPr>
          <w:szCs w:val="24"/>
        </w:rPr>
        <w:t>Angela D. O’Brien (0097579)</w:t>
      </w:r>
    </w:p>
    <w:p w:rsidR="00190E4F" w:rsidRPr="003C7194" w:rsidP="00D80FB3" w14:paraId="0DF624D0" w14:textId="77777777">
      <w:pPr>
        <w:tabs>
          <w:tab w:val="left" w:pos="4320"/>
        </w:tabs>
        <w:ind w:left="4320"/>
        <w:jc w:val="both"/>
        <w:rPr>
          <w:szCs w:val="24"/>
        </w:rPr>
      </w:pPr>
      <w:r w:rsidRPr="003C7194">
        <w:rPr>
          <w:szCs w:val="24"/>
        </w:rPr>
        <w:t>Counsel of Record</w:t>
      </w:r>
    </w:p>
    <w:p w:rsidR="00190E4F" w:rsidRPr="003C7194" w:rsidP="00D80FB3" w14:paraId="36EF095E" w14:textId="77777777">
      <w:pPr>
        <w:tabs>
          <w:tab w:val="left" w:pos="4320"/>
        </w:tabs>
        <w:ind w:left="4320"/>
        <w:jc w:val="both"/>
        <w:rPr>
          <w:szCs w:val="24"/>
        </w:rPr>
      </w:pPr>
      <w:r w:rsidRPr="003C7194">
        <w:rPr>
          <w:szCs w:val="24"/>
        </w:rPr>
        <w:t>William J. Michael (0070921)</w:t>
      </w:r>
    </w:p>
    <w:p w:rsidR="00190E4F" w:rsidRPr="003C7194" w:rsidP="00D80FB3" w14:paraId="0B4731C5" w14:textId="77777777">
      <w:pPr>
        <w:tabs>
          <w:tab w:val="left" w:pos="3870"/>
          <w:tab w:val="left" w:pos="4320"/>
        </w:tabs>
        <w:ind w:left="4320"/>
        <w:jc w:val="both"/>
        <w:rPr>
          <w:szCs w:val="24"/>
        </w:rPr>
      </w:pPr>
      <w:r w:rsidRPr="003C7194">
        <w:rPr>
          <w:szCs w:val="24"/>
        </w:rPr>
        <w:t>Assistant Consumers’ Counsel</w:t>
      </w:r>
    </w:p>
    <w:p w:rsidR="00190E4F" w:rsidRPr="003C7194" w:rsidP="00D80FB3" w14:paraId="454D0525" w14:textId="77777777">
      <w:pPr>
        <w:tabs>
          <w:tab w:val="left" w:pos="3870"/>
          <w:tab w:val="left" w:pos="4320"/>
        </w:tabs>
        <w:ind w:left="4320"/>
        <w:jc w:val="both"/>
        <w:rPr>
          <w:szCs w:val="24"/>
        </w:rPr>
      </w:pPr>
    </w:p>
    <w:p w:rsidR="00190E4F" w:rsidRPr="003C7194" w:rsidP="00D80FB3" w14:paraId="36CB2739" w14:textId="77777777">
      <w:pPr>
        <w:ind w:left="4320"/>
        <w:jc w:val="both"/>
        <w:rPr>
          <w:b/>
          <w:bCs/>
          <w:szCs w:val="24"/>
        </w:rPr>
      </w:pPr>
      <w:r w:rsidRPr="003C7194">
        <w:rPr>
          <w:b/>
          <w:bCs/>
          <w:szCs w:val="24"/>
        </w:rPr>
        <w:t>Office of the Ohio Consumers' Counsel</w:t>
      </w:r>
    </w:p>
    <w:p w:rsidR="00190E4F" w:rsidRPr="003C7194" w:rsidP="00D80FB3" w14:paraId="2AAC73D3" w14:textId="77777777">
      <w:pPr>
        <w:ind w:left="4320"/>
        <w:jc w:val="both"/>
        <w:rPr>
          <w:szCs w:val="24"/>
        </w:rPr>
      </w:pPr>
      <w:r w:rsidRPr="003C7194">
        <w:rPr>
          <w:szCs w:val="24"/>
        </w:rPr>
        <w:t>65 East State Street, Suite 700</w:t>
      </w:r>
    </w:p>
    <w:p w:rsidR="00190E4F" w:rsidRPr="003C7194" w:rsidP="00D80FB3" w14:paraId="34E42F62" w14:textId="1034D5CE">
      <w:pPr>
        <w:ind w:left="4320"/>
        <w:jc w:val="both"/>
        <w:rPr>
          <w:szCs w:val="24"/>
        </w:rPr>
      </w:pPr>
      <w:r w:rsidRPr="003C7194">
        <w:rPr>
          <w:szCs w:val="24"/>
        </w:rPr>
        <w:t>Columbus, Ohio 4321</w:t>
      </w:r>
      <w:r w:rsidRPr="003C7194" w:rsidR="006D3FF2">
        <w:rPr>
          <w:szCs w:val="24"/>
        </w:rPr>
        <w:t>5</w:t>
      </w:r>
    </w:p>
    <w:p w:rsidR="00190E4F" w:rsidRPr="003C7194" w:rsidP="00D80FB3" w14:paraId="30FA9240" w14:textId="77777777">
      <w:pPr>
        <w:autoSpaceDE w:val="0"/>
        <w:autoSpaceDN w:val="0"/>
        <w:adjustRightInd w:val="0"/>
        <w:ind w:left="4320"/>
        <w:jc w:val="both"/>
        <w:rPr>
          <w:szCs w:val="24"/>
        </w:rPr>
      </w:pPr>
      <w:r w:rsidRPr="003C7194">
        <w:rPr>
          <w:szCs w:val="24"/>
        </w:rPr>
        <w:t>Telephone: [O’Brien]: (614) 466-9531</w:t>
      </w:r>
    </w:p>
    <w:p w:rsidR="00190E4F" w:rsidRPr="003C7194" w:rsidP="00D80FB3" w14:paraId="17C97E50" w14:textId="77777777">
      <w:pPr>
        <w:autoSpaceDE w:val="0"/>
        <w:autoSpaceDN w:val="0"/>
        <w:adjustRightInd w:val="0"/>
        <w:ind w:left="4320"/>
        <w:jc w:val="both"/>
        <w:rPr>
          <w:szCs w:val="24"/>
        </w:rPr>
      </w:pPr>
      <w:r w:rsidRPr="003C7194">
        <w:rPr>
          <w:szCs w:val="24"/>
        </w:rPr>
        <w:t>Telephone: [Michael]: (614) 466-1291</w:t>
      </w:r>
    </w:p>
    <w:p w:rsidR="00190E4F" w:rsidRPr="003C7194" w:rsidP="00D80FB3" w14:paraId="27FF8D78" w14:textId="77777777">
      <w:pPr>
        <w:ind w:left="4320"/>
        <w:jc w:val="both"/>
        <w:rPr>
          <w:szCs w:val="24"/>
        </w:rPr>
      </w:pPr>
      <w:hyperlink r:id="rId6" w:history="1">
        <w:r w:rsidRPr="003C7194" w:rsidR="00BB664A">
          <w:rPr>
            <w:rStyle w:val="Hyperlink"/>
            <w:szCs w:val="24"/>
          </w:rPr>
          <w:t>angela.obrien@occ.ohio.gov</w:t>
        </w:r>
      </w:hyperlink>
    </w:p>
    <w:p w:rsidR="00190E4F" w:rsidRPr="003C7194" w:rsidP="00D80FB3" w14:paraId="11E2F63C" w14:textId="77777777">
      <w:pPr>
        <w:ind w:left="4320"/>
        <w:jc w:val="both"/>
        <w:rPr>
          <w:szCs w:val="24"/>
        </w:rPr>
      </w:pPr>
      <w:hyperlink r:id="rId7" w:history="1">
        <w:r w:rsidRPr="003C7194" w:rsidR="00BB664A">
          <w:rPr>
            <w:rStyle w:val="Hyperlink"/>
            <w:szCs w:val="24"/>
          </w:rPr>
          <w:t>william.michael@occ.ohio.gov</w:t>
        </w:r>
      </w:hyperlink>
    </w:p>
    <w:p w:rsidR="00190E4F" w:rsidRPr="003C7194" w:rsidP="00D80FB3" w14:paraId="4B0D13C5" w14:textId="77777777">
      <w:pPr>
        <w:ind w:firstLine="720"/>
        <w:contextualSpacing/>
        <w:rPr>
          <w:szCs w:val="24"/>
        </w:rPr>
      </w:pPr>
      <w:r w:rsidRPr="003C7194">
        <w:rPr>
          <w:szCs w:val="24"/>
        </w:rPr>
        <w:tab/>
      </w:r>
      <w:r w:rsidRPr="003C7194">
        <w:rPr>
          <w:szCs w:val="24"/>
        </w:rPr>
        <w:tab/>
      </w:r>
      <w:r w:rsidRPr="003C7194">
        <w:rPr>
          <w:szCs w:val="24"/>
        </w:rPr>
        <w:tab/>
      </w:r>
      <w:r w:rsidRPr="003C7194">
        <w:rPr>
          <w:szCs w:val="24"/>
        </w:rPr>
        <w:tab/>
      </w:r>
      <w:r w:rsidRPr="003C7194">
        <w:rPr>
          <w:szCs w:val="24"/>
        </w:rPr>
        <w:tab/>
        <w:t>(willing to accept service by e-mail)</w:t>
      </w:r>
    </w:p>
    <w:p w:rsidR="00BD7DAC" w:rsidRPr="003C7194" w:rsidP="00BD7DAC" w14:paraId="535543D7" w14:textId="69BE4A7F">
      <w:pPr>
        <w:pStyle w:val="HTMLPreformatted"/>
        <w:rPr>
          <w:rFonts w:ascii="Times New Roman" w:hAnsi="Times New Roman" w:cs="Times New Roman"/>
          <w:b/>
          <w:bCs/>
          <w:sz w:val="24"/>
          <w:szCs w:val="24"/>
        </w:rPr>
      </w:pPr>
    </w:p>
    <w:p w:rsidR="00BD7DAC" w:rsidRPr="003C7194" w:rsidP="00BD7DAC" w14:paraId="12873F5E" w14:textId="77777777">
      <w:pPr>
        <w:pStyle w:val="HTMLPreformatted"/>
        <w:jc w:val="center"/>
        <w:rPr>
          <w:rFonts w:ascii="Times New Roman" w:hAnsi="Times New Roman" w:cs="Times New Roman"/>
          <w:b/>
          <w:bCs/>
          <w:sz w:val="24"/>
          <w:szCs w:val="24"/>
        </w:rPr>
        <w:sectPr w:rsidSect="006D5569">
          <w:footerReference w:type="first" r:id="rId9"/>
          <w:pgSz w:w="12240" w:h="15840"/>
          <w:pgMar w:top="1440" w:right="1800" w:bottom="1440" w:left="1800" w:header="720" w:footer="720" w:gutter="0"/>
          <w:pgNumType w:start="1"/>
          <w:cols w:space="720"/>
          <w:docGrid w:linePitch="326"/>
        </w:sectPr>
      </w:pPr>
    </w:p>
    <w:p w:rsidR="002335D0" w:rsidRPr="003C7194" w:rsidP="002335D0" w14:paraId="0ACC484B" w14:textId="77777777">
      <w:pPr>
        <w:jc w:val="center"/>
        <w:rPr>
          <w:b/>
          <w:bCs/>
          <w:szCs w:val="24"/>
          <w:u w:val="single"/>
        </w:rPr>
      </w:pPr>
      <w:r w:rsidRPr="003C7194">
        <w:rPr>
          <w:b/>
          <w:bCs/>
          <w:szCs w:val="24"/>
          <w:u w:val="single"/>
        </w:rPr>
        <w:t>TABLE OF CONTENTS</w:t>
      </w:r>
    </w:p>
    <w:p w:rsidR="002335D0" w:rsidRPr="003C7194" w:rsidP="002335D0" w14:paraId="59FE0D8E" w14:textId="77777777">
      <w:pPr>
        <w:ind w:left="4320"/>
        <w:jc w:val="right"/>
        <w:rPr>
          <w:b/>
          <w:bCs/>
          <w:szCs w:val="24"/>
        </w:rPr>
      </w:pPr>
      <w:r w:rsidRPr="003C7194">
        <w:rPr>
          <w:szCs w:val="24"/>
        </w:rPr>
        <w:tab/>
      </w:r>
      <w:r w:rsidRPr="003C7194">
        <w:rPr>
          <w:szCs w:val="24"/>
        </w:rPr>
        <w:tab/>
      </w:r>
      <w:r w:rsidRPr="003C7194">
        <w:rPr>
          <w:szCs w:val="24"/>
        </w:rPr>
        <w:tab/>
      </w:r>
      <w:r w:rsidRPr="003C7194">
        <w:rPr>
          <w:szCs w:val="24"/>
        </w:rPr>
        <w:tab/>
      </w:r>
      <w:r w:rsidRPr="003C7194">
        <w:rPr>
          <w:szCs w:val="24"/>
        </w:rPr>
        <w:tab/>
      </w:r>
      <w:r w:rsidRPr="003C7194">
        <w:rPr>
          <w:szCs w:val="24"/>
        </w:rPr>
        <w:tab/>
      </w:r>
      <w:r w:rsidRPr="003C7194">
        <w:rPr>
          <w:b/>
          <w:bCs/>
          <w:szCs w:val="24"/>
        </w:rPr>
        <w:t>PAGE</w:t>
      </w:r>
    </w:p>
    <w:p w:rsidR="002335D0" w:rsidRPr="003C7194" w:rsidP="002335D0" w14:paraId="025AF627" w14:textId="77777777">
      <w:pPr>
        <w:ind w:left="4320"/>
        <w:jc w:val="right"/>
        <w:rPr>
          <w:b/>
          <w:bCs/>
          <w:szCs w:val="24"/>
        </w:rPr>
      </w:pPr>
    </w:p>
    <w:p w:rsidR="00B108AD" w14:paraId="72913E17" w14:textId="5154DF52">
      <w:pPr>
        <w:pStyle w:val="TOC1"/>
        <w:rPr>
          <w:rFonts w:asciiTheme="minorHAnsi" w:eastAsiaTheme="minorEastAsia" w:hAnsiTheme="minorHAnsi" w:cstheme="minorBidi"/>
          <w:caps w:val="0"/>
          <w:noProof/>
          <w:sz w:val="22"/>
        </w:rPr>
      </w:pPr>
      <w:r>
        <w:rPr>
          <w:rFonts w:cs="Times New Roman"/>
          <w:caps w:val="0"/>
          <w:szCs w:val="24"/>
        </w:rPr>
        <w:fldChar w:fldCharType="begin"/>
      </w:r>
      <w:r>
        <w:rPr>
          <w:rFonts w:cs="Times New Roman"/>
          <w:caps w:val="0"/>
          <w:szCs w:val="24"/>
        </w:rPr>
        <w:instrText xml:space="preserve"> TOC \o "1-3" \h \z \u </w:instrText>
      </w:r>
      <w:r>
        <w:rPr>
          <w:rFonts w:cs="Times New Roman"/>
          <w:caps w:val="0"/>
          <w:szCs w:val="24"/>
        </w:rPr>
        <w:fldChar w:fldCharType="separate"/>
      </w:r>
      <w:hyperlink w:anchor="_Toc112416632" w:history="1">
        <w:r w:rsidRPr="00385DB5">
          <w:rPr>
            <w:rStyle w:val="Hyperlink"/>
            <w:noProof/>
          </w:rPr>
          <w:t>I.</w:t>
        </w:r>
        <w:r>
          <w:rPr>
            <w:rFonts w:asciiTheme="minorHAnsi" w:eastAsiaTheme="minorEastAsia" w:hAnsiTheme="minorHAnsi" w:cstheme="minorBidi"/>
            <w:caps w:val="0"/>
            <w:noProof/>
            <w:sz w:val="22"/>
          </w:rPr>
          <w:tab/>
        </w:r>
        <w:r w:rsidRPr="00385DB5">
          <w:rPr>
            <w:rStyle w:val="Hyperlink"/>
            <w:noProof/>
          </w:rPr>
          <w:t>INTRODUCTION</w:t>
        </w:r>
        <w:r>
          <w:rPr>
            <w:noProof/>
            <w:webHidden/>
          </w:rPr>
          <w:tab/>
        </w:r>
        <w:r>
          <w:rPr>
            <w:noProof/>
            <w:webHidden/>
          </w:rPr>
          <w:fldChar w:fldCharType="begin"/>
        </w:r>
        <w:r>
          <w:rPr>
            <w:noProof/>
            <w:webHidden/>
          </w:rPr>
          <w:instrText xml:space="preserve"> PAGEREF _Toc112416632 \h </w:instrText>
        </w:r>
        <w:r>
          <w:rPr>
            <w:noProof/>
            <w:webHidden/>
          </w:rPr>
          <w:fldChar w:fldCharType="separate"/>
        </w:r>
        <w:r>
          <w:rPr>
            <w:noProof/>
            <w:webHidden/>
          </w:rPr>
          <w:t>1</w:t>
        </w:r>
        <w:r>
          <w:rPr>
            <w:noProof/>
            <w:webHidden/>
          </w:rPr>
          <w:fldChar w:fldCharType="end"/>
        </w:r>
      </w:hyperlink>
    </w:p>
    <w:p w:rsidR="00B108AD" w14:paraId="4907F3B0" w14:textId="6485C7C5">
      <w:pPr>
        <w:pStyle w:val="TOC1"/>
        <w:rPr>
          <w:rFonts w:asciiTheme="minorHAnsi" w:eastAsiaTheme="minorEastAsia" w:hAnsiTheme="minorHAnsi" w:cstheme="minorBidi"/>
          <w:caps w:val="0"/>
          <w:noProof/>
          <w:sz w:val="22"/>
        </w:rPr>
      </w:pPr>
      <w:hyperlink w:anchor="_Toc112416633" w:history="1">
        <w:r w:rsidRPr="00385DB5">
          <w:rPr>
            <w:rStyle w:val="Hyperlink"/>
            <w:noProof/>
          </w:rPr>
          <w:t>II.</w:t>
        </w:r>
        <w:r>
          <w:rPr>
            <w:rFonts w:asciiTheme="minorHAnsi" w:eastAsiaTheme="minorEastAsia" w:hAnsiTheme="minorHAnsi" w:cstheme="minorBidi"/>
            <w:caps w:val="0"/>
            <w:noProof/>
            <w:sz w:val="22"/>
          </w:rPr>
          <w:tab/>
        </w:r>
        <w:r w:rsidRPr="00385DB5">
          <w:rPr>
            <w:rStyle w:val="Hyperlink"/>
            <w:noProof/>
          </w:rPr>
          <w:t>ASSIGNMENTS OF ERROR</w:t>
        </w:r>
        <w:r>
          <w:rPr>
            <w:noProof/>
            <w:webHidden/>
          </w:rPr>
          <w:tab/>
        </w:r>
        <w:r>
          <w:rPr>
            <w:noProof/>
            <w:webHidden/>
          </w:rPr>
          <w:fldChar w:fldCharType="begin"/>
        </w:r>
        <w:r>
          <w:rPr>
            <w:noProof/>
            <w:webHidden/>
          </w:rPr>
          <w:instrText xml:space="preserve"> PAGEREF _Toc112416633 \h </w:instrText>
        </w:r>
        <w:r>
          <w:rPr>
            <w:noProof/>
            <w:webHidden/>
          </w:rPr>
          <w:fldChar w:fldCharType="separate"/>
        </w:r>
        <w:r>
          <w:rPr>
            <w:noProof/>
            <w:webHidden/>
          </w:rPr>
          <w:t>2</w:t>
        </w:r>
        <w:r>
          <w:rPr>
            <w:noProof/>
            <w:webHidden/>
          </w:rPr>
          <w:fldChar w:fldCharType="end"/>
        </w:r>
      </w:hyperlink>
    </w:p>
    <w:p w:rsidR="00B108AD" w14:paraId="511C802D" w14:textId="47D178EC">
      <w:pPr>
        <w:pStyle w:val="TOC2"/>
        <w:rPr>
          <w:rFonts w:asciiTheme="minorHAnsi" w:eastAsiaTheme="minorEastAsia" w:hAnsiTheme="minorHAnsi" w:cstheme="minorBidi"/>
          <w:noProof/>
          <w:sz w:val="22"/>
        </w:rPr>
      </w:pPr>
      <w:hyperlink w:anchor="_Toc112416634" w:history="1">
        <w:r w:rsidRPr="00385DB5">
          <w:rPr>
            <w:rStyle w:val="Hyperlink"/>
            <w:noProof/>
          </w:rPr>
          <w:t xml:space="preserve">ASSIGNMENT OF ERROR NO. 1: The PUCO erred by unlawfully </w:t>
        </w:r>
        <w:r>
          <w:rPr>
            <w:rStyle w:val="Hyperlink"/>
            <w:noProof/>
          </w:rPr>
          <w:br/>
        </w:r>
        <w:r w:rsidRPr="00385DB5">
          <w:rPr>
            <w:rStyle w:val="Hyperlink"/>
            <w:noProof/>
          </w:rPr>
          <w:t xml:space="preserve">denying OCC’s intervention in violation of R.C. 4903.221, O.A.C. </w:t>
        </w:r>
        <w:r>
          <w:rPr>
            <w:rStyle w:val="Hyperlink"/>
            <w:noProof/>
          </w:rPr>
          <w:br/>
        </w:r>
        <w:r w:rsidRPr="00385DB5">
          <w:rPr>
            <w:rStyle w:val="Hyperlink"/>
            <w:noProof/>
          </w:rPr>
          <w:t>4901-1-11, and Ohio Supreme Court precedent.</w:t>
        </w:r>
        <w:r>
          <w:rPr>
            <w:noProof/>
            <w:webHidden/>
          </w:rPr>
          <w:tab/>
        </w:r>
        <w:r>
          <w:rPr>
            <w:noProof/>
            <w:webHidden/>
          </w:rPr>
          <w:fldChar w:fldCharType="begin"/>
        </w:r>
        <w:r>
          <w:rPr>
            <w:noProof/>
            <w:webHidden/>
          </w:rPr>
          <w:instrText xml:space="preserve"> PAGEREF _Toc112416634 \h </w:instrText>
        </w:r>
        <w:r>
          <w:rPr>
            <w:noProof/>
            <w:webHidden/>
          </w:rPr>
          <w:fldChar w:fldCharType="separate"/>
        </w:r>
        <w:r>
          <w:rPr>
            <w:noProof/>
            <w:webHidden/>
          </w:rPr>
          <w:t>2</w:t>
        </w:r>
        <w:r>
          <w:rPr>
            <w:noProof/>
            <w:webHidden/>
          </w:rPr>
          <w:fldChar w:fldCharType="end"/>
        </w:r>
      </w:hyperlink>
    </w:p>
    <w:p w:rsidR="00B108AD" w14:paraId="4D6E2500" w14:textId="4A18E1C8">
      <w:pPr>
        <w:pStyle w:val="TOC2"/>
        <w:rPr>
          <w:rFonts w:asciiTheme="minorHAnsi" w:eastAsiaTheme="minorEastAsia" w:hAnsiTheme="minorHAnsi" w:cstheme="minorBidi"/>
          <w:noProof/>
          <w:sz w:val="22"/>
        </w:rPr>
      </w:pPr>
      <w:hyperlink w:anchor="_Toc112416635" w:history="1">
        <w:r w:rsidRPr="00385DB5">
          <w:rPr>
            <w:rStyle w:val="Hyperlink"/>
            <w:noProof/>
          </w:rPr>
          <w:t xml:space="preserve">ASSIGNMENT OF ERROR NO. 2: The PUCO erred by unjustly and unreasonably affirming the Attorney Examiner’s decision to deny OCC intervention because the PUCO incorrectly determined that OCC’s only </w:t>
        </w:r>
        <w:r>
          <w:rPr>
            <w:rStyle w:val="Hyperlink"/>
            <w:noProof/>
          </w:rPr>
          <w:br/>
        </w:r>
        <w:r w:rsidRPr="00385DB5">
          <w:rPr>
            <w:rStyle w:val="Hyperlink"/>
            <w:noProof/>
          </w:rPr>
          <w:t>interest in AEP’s complaint against NEP is in its precedential value.</w:t>
        </w:r>
        <w:r>
          <w:rPr>
            <w:noProof/>
            <w:webHidden/>
          </w:rPr>
          <w:tab/>
        </w:r>
        <w:r>
          <w:rPr>
            <w:noProof/>
            <w:webHidden/>
          </w:rPr>
          <w:fldChar w:fldCharType="begin"/>
        </w:r>
        <w:r>
          <w:rPr>
            <w:noProof/>
            <w:webHidden/>
          </w:rPr>
          <w:instrText xml:space="preserve"> PAGEREF _Toc112416635 \h </w:instrText>
        </w:r>
        <w:r>
          <w:rPr>
            <w:noProof/>
            <w:webHidden/>
          </w:rPr>
          <w:fldChar w:fldCharType="separate"/>
        </w:r>
        <w:r>
          <w:rPr>
            <w:noProof/>
            <w:webHidden/>
          </w:rPr>
          <w:t>7</w:t>
        </w:r>
        <w:r>
          <w:rPr>
            <w:noProof/>
            <w:webHidden/>
          </w:rPr>
          <w:fldChar w:fldCharType="end"/>
        </w:r>
      </w:hyperlink>
    </w:p>
    <w:p w:rsidR="00B108AD" w14:paraId="158E44FF" w14:textId="73B79B07">
      <w:pPr>
        <w:pStyle w:val="TOC1"/>
        <w:rPr>
          <w:rFonts w:asciiTheme="minorHAnsi" w:eastAsiaTheme="minorEastAsia" w:hAnsiTheme="minorHAnsi" w:cstheme="minorBidi"/>
          <w:caps w:val="0"/>
          <w:noProof/>
          <w:sz w:val="22"/>
        </w:rPr>
      </w:pPr>
      <w:hyperlink w:anchor="_Toc112416636" w:history="1">
        <w:r w:rsidRPr="00385DB5">
          <w:rPr>
            <w:rStyle w:val="Hyperlink"/>
            <w:noProof/>
          </w:rPr>
          <w:t>III.</w:t>
        </w:r>
        <w:r>
          <w:rPr>
            <w:rFonts w:asciiTheme="minorHAnsi" w:eastAsiaTheme="minorEastAsia" w:hAnsiTheme="minorHAnsi" w:cstheme="minorBidi"/>
            <w:caps w:val="0"/>
            <w:noProof/>
            <w:sz w:val="22"/>
          </w:rPr>
          <w:tab/>
        </w:r>
        <w:r w:rsidRPr="00385DB5">
          <w:rPr>
            <w:rStyle w:val="Hyperlink"/>
            <w:noProof/>
          </w:rPr>
          <w:t>CONCLUSION</w:t>
        </w:r>
        <w:r>
          <w:rPr>
            <w:noProof/>
            <w:webHidden/>
          </w:rPr>
          <w:tab/>
        </w:r>
        <w:r>
          <w:rPr>
            <w:noProof/>
            <w:webHidden/>
          </w:rPr>
          <w:fldChar w:fldCharType="begin"/>
        </w:r>
        <w:r>
          <w:rPr>
            <w:noProof/>
            <w:webHidden/>
          </w:rPr>
          <w:instrText xml:space="preserve"> PAGEREF _Toc112416636 \h </w:instrText>
        </w:r>
        <w:r>
          <w:rPr>
            <w:noProof/>
            <w:webHidden/>
          </w:rPr>
          <w:fldChar w:fldCharType="separate"/>
        </w:r>
        <w:r>
          <w:rPr>
            <w:noProof/>
            <w:webHidden/>
          </w:rPr>
          <w:t>11</w:t>
        </w:r>
        <w:r>
          <w:rPr>
            <w:noProof/>
            <w:webHidden/>
          </w:rPr>
          <w:fldChar w:fldCharType="end"/>
        </w:r>
      </w:hyperlink>
    </w:p>
    <w:p w:rsidR="00BD7DAC" w:rsidRPr="003C7194" w:rsidP="002335D0" w14:paraId="2BA08BDA" w14:textId="0DF9B5DE">
      <w:pPr>
        <w:pStyle w:val="HTMLPreformatted"/>
        <w:jc w:val="center"/>
        <w:rPr>
          <w:rFonts w:ascii="Times New Roman" w:hAnsi="Times New Roman" w:cs="Times New Roman"/>
          <w:b/>
          <w:bCs/>
          <w:sz w:val="24"/>
          <w:szCs w:val="24"/>
        </w:rPr>
      </w:pPr>
      <w:r>
        <w:rPr>
          <w:rFonts w:ascii="Times New Roman" w:eastAsia="Times New Roman" w:hAnsi="Times New Roman" w:cs="Times New Roman"/>
          <w:caps/>
          <w:sz w:val="24"/>
          <w:szCs w:val="24"/>
        </w:rPr>
        <w:fldChar w:fldCharType="end"/>
      </w:r>
    </w:p>
    <w:p w:rsidR="00BD7DAC" w:rsidRPr="003C7194" w:rsidP="00BD7DAC" w14:paraId="3607E137" w14:textId="77777777">
      <w:pPr>
        <w:pStyle w:val="HTMLPreformatted"/>
        <w:jc w:val="center"/>
        <w:rPr>
          <w:rFonts w:ascii="Times New Roman" w:hAnsi="Times New Roman" w:cs="Times New Roman"/>
          <w:b/>
          <w:bCs/>
          <w:sz w:val="24"/>
          <w:szCs w:val="24"/>
        </w:rPr>
      </w:pPr>
    </w:p>
    <w:p w:rsidR="00BD7DAC" w:rsidRPr="003C7194" w:rsidP="00BD7DAC" w14:paraId="6996BD8E" w14:textId="4921F02E">
      <w:pPr>
        <w:pStyle w:val="HTMLPreformatted"/>
        <w:rPr>
          <w:rFonts w:ascii="Times New Roman" w:hAnsi="Times New Roman" w:cs="Times New Roman"/>
          <w:b/>
          <w:bCs/>
          <w:sz w:val="24"/>
          <w:szCs w:val="24"/>
        </w:rPr>
        <w:sectPr w:rsidSect="00435067">
          <w:footerReference w:type="default" r:id="rId10"/>
          <w:pgSz w:w="12240" w:h="15840"/>
          <w:pgMar w:top="1440" w:right="1800" w:bottom="1440" w:left="1800" w:header="720" w:footer="720" w:gutter="0"/>
          <w:pgNumType w:fmt="lowerRoman" w:start="1"/>
          <w:cols w:space="720"/>
          <w:docGrid w:linePitch="326"/>
        </w:sectPr>
      </w:pPr>
    </w:p>
    <w:p w:rsidR="00BD7DAC" w:rsidRPr="003C7194" w:rsidP="00BD7DAC" w14:paraId="2CEB39E9" w14:textId="77777777">
      <w:pPr>
        <w:pStyle w:val="HTMLPreformatted"/>
        <w:jc w:val="center"/>
        <w:rPr>
          <w:rFonts w:ascii="Times New Roman" w:hAnsi="Times New Roman" w:cs="Times New Roman"/>
          <w:b/>
          <w:bCs/>
          <w:sz w:val="24"/>
          <w:szCs w:val="24"/>
        </w:rPr>
      </w:pPr>
      <w:r w:rsidRPr="003C7194">
        <w:rPr>
          <w:rFonts w:ascii="Times New Roman" w:hAnsi="Times New Roman" w:cs="Times New Roman"/>
          <w:b/>
          <w:bCs/>
          <w:sz w:val="24"/>
          <w:szCs w:val="24"/>
        </w:rPr>
        <w:t>BEFORE</w:t>
      </w:r>
    </w:p>
    <w:p w:rsidR="00190E4F" w:rsidRPr="003C7194" w:rsidP="00190E4F" w14:paraId="4FBC3A57" w14:textId="09187CCE">
      <w:pPr>
        <w:pStyle w:val="HTMLPreformatted"/>
        <w:jc w:val="center"/>
        <w:rPr>
          <w:rFonts w:ascii="Times New Roman" w:hAnsi="Times New Roman" w:cs="Times New Roman"/>
          <w:b/>
          <w:bCs/>
          <w:sz w:val="24"/>
          <w:szCs w:val="24"/>
        </w:rPr>
      </w:pPr>
      <w:r w:rsidRPr="003C7194">
        <w:rPr>
          <w:rFonts w:ascii="Times New Roman" w:hAnsi="Times New Roman" w:cs="Times New Roman"/>
          <w:b/>
          <w:bCs/>
          <w:sz w:val="24"/>
          <w:szCs w:val="24"/>
        </w:rPr>
        <w:t>THE PUBLIC UTILITIES COMMISSION OF OHIO</w:t>
      </w:r>
    </w:p>
    <w:p w:rsidR="00190E4F" w:rsidRPr="003C7194" w:rsidP="00190E4F" w14:paraId="03170A47" w14:textId="77777777">
      <w:pPr>
        <w:pStyle w:val="HTMLPreformatted"/>
        <w:jc w:val="center"/>
        <w:rPr>
          <w:rFonts w:ascii="Times New Roman" w:hAnsi="Times New Roman" w:cs="Times New Roman"/>
          <w:b/>
          <w:bCs/>
          <w:sz w:val="24"/>
          <w:szCs w:val="24"/>
        </w:rPr>
      </w:pPr>
    </w:p>
    <w:p w:rsidR="00190E4F" w:rsidRPr="003C7194" w:rsidP="00190E4F" w14:paraId="25F20423"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Ohio Power Company</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90E4F" w:rsidRPr="003C7194" w:rsidP="00190E4F" w14:paraId="50956AFD" w14:textId="7CD105D0">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r w:rsidRPr="003C7194">
        <w:rPr>
          <w:rFonts w:ascii="Times New Roman" w:hAnsi="Times New Roman" w:cs="Times New Roman"/>
          <w:sz w:val="24"/>
          <w:szCs w:val="24"/>
        </w:rPr>
        <w:tab/>
      </w:r>
    </w:p>
    <w:p w:rsidR="00190E4F" w:rsidRPr="003C7194" w:rsidP="00190E4F" w14:paraId="0F364634"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 xml:space="preserve"> </w:t>
      </w:r>
      <w:r w:rsidRPr="003C7194">
        <w:rPr>
          <w:rFonts w:ascii="Times New Roman" w:hAnsi="Times New Roman" w:cs="Times New Roman"/>
          <w:sz w:val="24"/>
          <w:szCs w:val="24"/>
        </w:rPr>
        <w:tab/>
        <w:t>Complainant,</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90E4F" w:rsidRPr="003C7194" w:rsidP="00190E4F" w14:paraId="302FE7A6" w14:textId="133ACA67">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r w:rsidRPr="003C7194" w:rsidR="00EE5317">
        <w:rPr>
          <w:rFonts w:ascii="Times New Roman" w:hAnsi="Times New Roman" w:cs="Times New Roman"/>
          <w:sz w:val="24"/>
          <w:szCs w:val="24"/>
        </w:rPr>
        <w:tab/>
        <w:t>Case No. 21-990-EL-CSS</w:t>
      </w:r>
    </w:p>
    <w:p w:rsidR="00190E4F" w:rsidRPr="003C7194" w:rsidP="00190E4F" w14:paraId="38D68BF8" w14:textId="6B50E71E">
      <w:pPr>
        <w:pStyle w:val="HTMLPreformatted"/>
        <w:rPr>
          <w:rFonts w:ascii="Times New Roman" w:hAnsi="Times New Roman" w:cs="Times New Roman"/>
          <w:sz w:val="24"/>
          <w:szCs w:val="24"/>
        </w:rPr>
      </w:pPr>
      <w:r w:rsidRPr="003C7194">
        <w:rPr>
          <w:rFonts w:ascii="Times New Roman" w:hAnsi="Times New Roman" w:cs="Times New Roman"/>
          <w:sz w:val="24"/>
          <w:szCs w:val="24"/>
        </w:rPr>
        <w:t xml:space="preserve"> v.</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90E4F" w:rsidRPr="003C7194" w:rsidP="00190E4F" w14:paraId="19C47992"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90E4F" w:rsidRPr="003C7194" w:rsidP="00190E4F" w14:paraId="21788CAA"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Nationwide Energy Partners, LLC</w:t>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90E4F" w:rsidRPr="003C7194" w:rsidP="00190E4F" w14:paraId="28B91932"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90E4F" w:rsidRPr="003C7194" w:rsidP="00190E4F" w14:paraId="600858EC" w14:textId="77777777">
      <w:pPr>
        <w:pStyle w:val="HTMLPreformatted"/>
        <w:rPr>
          <w:rFonts w:ascii="Times New Roman" w:hAnsi="Times New Roman" w:cs="Times New Roman"/>
          <w:sz w:val="24"/>
          <w:szCs w:val="24"/>
        </w:rPr>
      </w:pPr>
      <w:r w:rsidRPr="003C7194">
        <w:rPr>
          <w:rFonts w:ascii="Times New Roman" w:hAnsi="Times New Roman" w:cs="Times New Roman"/>
          <w:sz w:val="24"/>
          <w:szCs w:val="24"/>
        </w:rPr>
        <w:tab/>
        <w:t>Respondent.</w:t>
      </w:r>
      <w:r w:rsidRPr="003C7194">
        <w:rPr>
          <w:rFonts w:ascii="Times New Roman" w:hAnsi="Times New Roman" w:cs="Times New Roman"/>
          <w:sz w:val="24"/>
          <w:szCs w:val="24"/>
        </w:rPr>
        <w:tab/>
      </w:r>
      <w:r w:rsidRPr="003C7194">
        <w:rPr>
          <w:rFonts w:ascii="Times New Roman" w:hAnsi="Times New Roman" w:cs="Times New Roman"/>
          <w:sz w:val="24"/>
          <w:szCs w:val="24"/>
        </w:rPr>
        <w:tab/>
      </w:r>
      <w:r w:rsidRPr="003C7194">
        <w:rPr>
          <w:rFonts w:ascii="Times New Roman" w:hAnsi="Times New Roman" w:cs="Times New Roman"/>
          <w:sz w:val="24"/>
          <w:szCs w:val="24"/>
        </w:rPr>
        <w:tab/>
        <w:t>)</w:t>
      </w:r>
    </w:p>
    <w:p w:rsidR="00190E4F" w:rsidRPr="003C7194" w:rsidP="00190E4F" w14:paraId="3B4833B2" w14:textId="77777777">
      <w:pPr>
        <w:pStyle w:val="HTMLPreformatted"/>
        <w:rPr>
          <w:rFonts w:ascii="Times New Roman" w:hAnsi="Times New Roman" w:cs="Times New Roman"/>
          <w:sz w:val="24"/>
          <w:szCs w:val="24"/>
        </w:rPr>
      </w:pPr>
    </w:p>
    <w:p w:rsidR="00190E4F" w:rsidRPr="003C7194" w:rsidP="00190E4F" w14:paraId="5BF404F6" w14:textId="77777777">
      <w:pPr>
        <w:pStyle w:val="HTMLPreformatted"/>
        <w:pBdr>
          <w:top w:val="single" w:sz="12" w:space="1" w:color="auto"/>
        </w:pBdr>
        <w:rPr>
          <w:rFonts w:ascii="Times New Roman" w:hAnsi="Times New Roman" w:cs="Times New Roman"/>
          <w:sz w:val="24"/>
          <w:szCs w:val="24"/>
        </w:rPr>
      </w:pPr>
    </w:p>
    <w:p w:rsidR="00190E4F" w:rsidRPr="003C7194" w:rsidP="00190E4F" w14:paraId="3B6F2E47" w14:textId="77777777">
      <w:pPr>
        <w:pBdr>
          <w:bottom w:val="single" w:sz="12" w:space="1" w:color="auto"/>
        </w:pBdr>
        <w:tabs>
          <w:tab w:val="left" w:pos="4320"/>
        </w:tabs>
        <w:jc w:val="center"/>
        <w:rPr>
          <w:b/>
          <w:bCs/>
          <w:szCs w:val="24"/>
        </w:rPr>
      </w:pPr>
      <w:r w:rsidRPr="003C7194">
        <w:rPr>
          <w:b/>
          <w:bCs/>
          <w:szCs w:val="24"/>
        </w:rPr>
        <w:t>MEMORANDUM IN SUPPORT</w:t>
      </w:r>
    </w:p>
    <w:p w:rsidR="00190E4F" w:rsidRPr="003C7194" w:rsidP="003B6976" w14:paraId="334F3CA0" w14:textId="77777777">
      <w:pPr>
        <w:pBdr>
          <w:bottom w:val="single" w:sz="12" w:space="1" w:color="auto"/>
        </w:pBdr>
        <w:tabs>
          <w:tab w:val="left" w:pos="4320"/>
        </w:tabs>
        <w:spacing w:after="240"/>
        <w:rPr>
          <w:szCs w:val="24"/>
        </w:rPr>
      </w:pPr>
    </w:p>
    <w:p w:rsidR="00CB36B5" w:rsidRPr="003C7194" w:rsidP="0071759D" w14:paraId="790253F2" w14:textId="77777777">
      <w:pPr>
        <w:pStyle w:val="Heading1"/>
      </w:pPr>
      <w:bookmarkStart w:id="2" w:name="_Toc112081974"/>
      <w:bookmarkStart w:id="3" w:name="_Toc112416632"/>
      <w:r w:rsidRPr="003C7194">
        <w:t>INTRODUCTION</w:t>
      </w:r>
      <w:bookmarkEnd w:id="2"/>
      <w:bookmarkEnd w:id="3"/>
    </w:p>
    <w:p w:rsidR="00437228" w:rsidRPr="003C7194" w:rsidP="004C5D7A" w14:paraId="695B6619" w14:textId="02E8C26F">
      <w:pPr>
        <w:pStyle w:val="BodyTextIndent3"/>
        <w:widowControl w:val="0"/>
        <w:spacing w:line="480" w:lineRule="auto"/>
        <w:rPr>
          <w:szCs w:val="24"/>
        </w:rPr>
      </w:pPr>
      <w:r w:rsidRPr="003C7194">
        <w:rPr>
          <w:szCs w:val="24"/>
        </w:rPr>
        <w:t>The PUCO’s July 27, 2022 Entry</w:t>
      </w:r>
      <w:r w:rsidRPr="003C7194" w:rsidR="00533C97">
        <w:rPr>
          <w:szCs w:val="24"/>
        </w:rPr>
        <w:t xml:space="preserve"> (“July 27 Entry”)</w:t>
      </w:r>
      <w:r w:rsidRPr="003C7194">
        <w:rPr>
          <w:szCs w:val="24"/>
        </w:rPr>
        <w:t xml:space="preserve"> affirming the Attorney Examiner’s decision to deny OCC intervention in this case effectively silences over one thousand AEP consumers </w:t>
      </w:r>
      <w:r w:rsidRPr="003C7194" w:rsidR="00241638">
        <w:rPr>
          <w:szCs w:val="24"/>
        </w:rPr>
        <w:t xml:space="preserve">living in five Ohio apartment complexes </w:t>
      </w:r>
      <w:r w:rsidRPr="003C7194" w:rsidR="00D967F6">
        <w:rPr>
          <w:szCs w:val="24"/>
        </w:rPr>
        <w:t>on issues affecting thei</w:t>
      </w:r>
      <w:r w:rsidRPr="003C7194" w:rsidR="00533C97">
        <w:rPr>
          <w:szCs w:val="24"/>
        </w:rPr>
        <w:t>r</w:t>
      </w:r>
      <w:r w:rsidRPr="003C7194" w:rsidR="00D967F6">
        <w:rPr>
          <w:szCs w:val="24"/>
        </w:rPr>
        <w:t xml:space="preserve"> essential</w:t>
      </w:r>
      <w:r w:rsidRPr="003C7194" w:rsidR="00533C97">
        <w:rPr>
          <w:szCs w:val="24"/>
        </w:rPr>
        <w:t xml:space="preserve"> PUCO-regulated</w:t>
      </w:r>
      <w:r w:rsidRPr="003C7194" w:rsidR="00D967F6">
        <w:rPr>
          <w:szCs w:val="24"/>
        </w:rPr>
        <w:t xml:space="preserve"> electricity service.</w:t>
      </w:r>
      <w:r w:rsidRPr="003C7194" w:rsidR="00927BA7">
        <w:rPr>
          <w:szCs w:val="24"/>
        </w:rPr>
        <w:t xml:space="preserve"> While AEP and NEP </w:t>
      </w:r>
      <w:r w:rsidRPr="003C7194" w:rsidR="00F16880">
        <w:rPr>
          <w:szCs w:val="24"/>
        </w:rPr>
        <w:t>argue</w:t>
      </w:r>
      <w:r w:rsidRPr="003C7194" w:rsidR="00927BA7">
        <w:rPr>
          <w:szCs w:val="24"/>
        </w:rPr>
        <w:t xml:space="preserve"> over who can distribute electric utility service </w:t>
      </w:r>
      <w:r w:rsidRPr="003C7194" w:rsidR="00241638">
        <w:rPr>
          <w:szCs w:val="24"/>
        </w:rPr>
        <w:t>to the</w:t>
      </w:r>
      <w:r w:rsidRPr="003C7194" w:rsidR="00927BA7">
        <w:rPr>
          <w:szCs w:val="24"/>
        </w:rPr>
        <w:t xml:space="preserve"> apartment complexes, the residential consumers</w:t>
      </w:r>
      <w:r w:rsidRPr="003C7194" w:rsidR="00F5255B">
        <w:rPr>
          <w:szCs w:val="24"/>
        </w:rPr>
        <w:t xml:space="preserve"> living there</w:t>
      </w:r>
      <w:r w:rsidRPr="003C7194" w:rsidR="00927BA7">
        <w:rPr>
          <w:szCs w:val="24"/>
        </w:rPr>
        <w:t xml:space="preserve"> face real and</w:t>
      </w:r>
      <w:r w:rsidRPr="003C7194" w:rsidR="00381923">
        <w:rPr>
          <w:szCs w:val="24"/>
        </w:rPr>
        <w:t xml:space="preserve"> substantial</w:t>
      </w:r>
      <w:r w:rsidRPr="003C7194" w:rsidR="00927BA7">
        <w:rPr>
          <w:szCs w:val="24"/>
        </w:rPr>
        <w:t xml:space="preserve"> harm</w:t>
      </w:r>
      <w:r w:rsidRPr="003C7194" w:rsidR="00085631">
        <w:rPr>
          <w:szCs w:val="24"/>
        </w:rPr>
        <w:t xml:space="preserve">. Important consumer </w:t>
      </w:r>
      <w:r w:rsidRPr="003C7194" w:rsidR="00091609">
        <w:rPr>
          <w:szCs w:val="24"/>
        </w:rPr>
        <w:t xml:space="preserve">protections may be gone if </w:t>
      </w:r>
      <w:r w:rsidRPr="003C7194" w:rsidR="00085631">
        <w:rPr>
          <w:szCs w:val="24"/>
        </w:rPr>
        <w:t>c</w:t>
      </w:r>
      <w:r w:rsidRPr="003C7194" w:rsidR="00091609">
        <w:rPr>
          <w:szCs w:val="24"/>
        </w:rPr>
        <w:t>onsumers</w:t>
      </w:r>
      <w:r w:rsidRPr="003C7194" w:rsidR="00F5255B">
        <w:rPr>
          <w:szCs w:val="24"/>
        </w:rPr>
        <w:t xml:space="preserve"> lose their AEP service. </w:t>
      </w:r>
      <w:r w:rsidRPr="003C7194" w:rsidR="00561776">
        <w:rPr>
          <w:b/>
          <w:bCs/>
          <w:i/>
          <w:iCs/>
          <w:szCs w:val="24"/>
        </w:rPr>
        <w:t>T</w:t>
      </w:r>
      <w:r w:rsidRPr="003C7194" w:rsidR="00381923">
        <w:rPr>
          <w:b/>
          <w:bCs/>
          <w:i/>
          <w:iCs/>
          <w:szCs w:val="24"/>
        </w:rPr>
        <w:t>hat harm to consumers is imminent</w:t>
      </w:r>
      <w:r w:rsidRPr="003C7194" w:rsidR="00561776">
        <w:rPr>
          <w:szCs w:val="24"/>
        </w:rPr>
        <w:t xml:space="preserve"> </w:t>
      </w:r>
      <w:r w:rsidRPr="003C7194" w:rsidR="00F16880">
        <w:rPr>
          <w:szCs w:val="24"/>
        </w:rPr>
        <w:t xml:space="preserve">– if not already occurring – </w:t>
      </w:r>
      <w:r w:rsidRPr="003C7194" w:rsidR="00CB36B5">
        <w:rPr>
          <w:szCs w:val="24"/>
        </w:rPr>
        <w:t>be</w:t>
      </w:r>
      <w:r w:rsidRPr="003C7194" w:rsidR="00F16880">
        <w:rPr>
          <w:szCs w:val="24"/>
        </w:rPr>
        <w:t>cause</w:t>
      </w:r>
      <w:r w:rsidRPr="003C7194" w:rsidR="00CB36B5">
        <w:rPr>
          <w:szCs w:val="24"/>
        </w:rPr>
        <w:t xml:space="preserve"> t</w:t>
      </w:r>
      <w:r w:rsidRPr="003C7194" w:rsidR="00381923">
        <w:rPr>
          <w:szCs w:val="24"/>
        </w:rPr>
        <w:t xml:space="preserve">he PUCO </w:t>
      </w:r>
      <w:r w:rsidRPr="003C7194" w:rsidR="00561776">
        <w:rPr>
          <w:szCs w:val="24"/>
        </w:rPr>
        <w:t>has</w:t>
      </w:r>
      <w:r w:rsidRPr="003C7194" w:rsidR="00381923">
        <w:rPr>
          <w:szCs w:val="24"/>
        </w:rPr>
        <w:t xml:space="preserve"> requi</w:t>
      </w:r>
      <w:r w:rsidRPr="003C7194" w:rsidR="00561776">
        <w:rPr>
          <w:szCs w:val="24"/>
        </w:rPr>
        <w:t>red</w:t>
      </w:r>
      <w:r w:rsidRPr="003C7194" w:rsidR="00381923">
        <w:rPr>
          <w:szCs w:val="24"/>
        </w:rPr>
        <w:t xml:space="preserve"> AEP to process</w:t>
      </w:r>
      <w:r w:rsidRPr="003C7194">
        <w:rPr>
          <w:szCs w:val="24"/>
        </w:rPr>
        <w:t xml:space="preserve"> </w:t>
      </w:r>
      <w:r w:rsidRPr="003C7194" w:rsidR="00381923">
        <w:rPr>
          <w:szCs w:val="24"/>
        </w:rPr>
        <w:t>NEP’s construction requests so NEP can</w:t>
      </w:r>
      <w:r w:rsidRPr="003C7194">
        <w:rPr>
          <w:szCs w:val="24"/>
        </w:rPr>
        <w:t xml:space="preserve"> </w:t>
      </w:r>
      <w:r w:rsidRPr="003C7194" w:rsidR="00381923">
        <w:rPr>
          <w:szCs w:val="24"/>
        </w:rPr>
        <w:t>submete</w:t>
      </w:r>
      <w:r w:rsidRPr="003C7194" w:rsidR="00241638">
        <w:rPr>
          <w:szCs w:val="24"/>
        </w:rPr>
        <w:t>r</w:t>
      </w:r>
      <w:r w:rsidRPr="003C7194" w:rsidR="00381923">
        <w:rPr>
          <w:szCs w:val="24"/>
        </w:rPr>
        <w:t xml:space="preserve"> service to the apartment complex</w:t>
      </w:r>
      <w:r w:rsidRPr="003C7194">
        <w:rPr>
          <w:szCs w:val="24"/>
        </w:rPr>
        <w:t xml:space="preserve"> residents</w:t>
      </w:r>
      <w:r w:rsidRPr="003C7194" w:rsidR="00381923">
        <w:rPr>
          <w:szCs w:val="24"/>
        </w:rPr>
        <w:t xml:space="preserve"> pending the resolution of this matter.</w:t>
      </w:r>
      <w:r>
        <w:rPr>
          <w:rStyle w:val="FootnoteReference"/>
          <w:szCs w:val="24"/>
        </w:rPr>
        <w:footnoteReference w:id="5"/>
      </w:r>
      <w:r w:rsidRPr="003C7194" w:rsidR="00381923">
        <w:rPr>
          <w:szCs w:val="24"/>
        </w:rPr>
        <w:t xml:space="preserve"> </w:t>
      </w:r>
    </w:p>
    <w:p w:rsidR="00097BF6" w14:paraId="4EE3BEC4" w14:textId="77777777">
      <w:pPr>
        <w:rPr>
          <w:szCs w:val="24"/>
        </w:rPr>
      </w:pPr>
      <w:r>
        <w:rPr>
          <w:szCs w:val="24"/>
        </w:rPr>
        <w:br w:type="page"/>
      </w:r>
    </w:p>
    <w:p w:rsidR="00CB36B5" w:rsidRPr="003C7194" w:rsidP="004C5D7A" w14:paraId="7268AF4F" w14:textId="4756255A">
      <w:pPr>
        <w:pStyle w:val="BodyTextIndent3"/>
        <w:widowControl w:val="0"/>
        <w:spacing w:line="480" w:lineRule="auto"/>
        <w:rPr>
          <w:szCs w:val="24"/>
        </w:rPr>
      </w:pPr>
      <w:r w:rsidRPr="003C7194">
        <w:rPr>
          <w:szCs w:val="24"/>
        </w:rPr>
        <w:t>The PUCO’s Entry denying</w:t>
      </w:r>
      <w:r w:rsidRPr="003C7194" w:rsidR="00927BA7">
        <w:rPr>
          <w:szCs w:val="24"/>
        </w:rPr>
        <w:t xml:space="preserve"> consumers </w:t>
      </w:r>
      <w:r w:rsidRPr="003C7194" w:rsidR="006A5DAF">
        <w:rPr>
          <w:szCs w:val="24"/>
        </w:rPr>
        <w:t>representation</w:t>
      </w:r>
      <w:r w:rsidRPr="003C7194" w:rsidR="00927BA7">
        <w:rPr>
          <w:szCs w:val="24"/>
        </w:rPr>
        <w:t xml:space="preserve"> through their state advocate, OCC, is unlawful and </w:t>
      </w:r>
      <w:r w:rsidRPr="003C7194" w:rsidR="00085631">
        <w:rPr>
          <w:szCs w:val="24"/>
        </w:rPr>
        <w:t>unreasonable</w:t>
      </w:r>
      <w:r w:rsidRPr="003C7194" w:rsidR="00927BA7">
        <w:rPr>
          <w:szCs w:val="24"/>
        </w:rPr>
        <w:t>.</w:t>
      </w:r>
      <w:r w:rsidRPr="003C7194" w:rsidR="00D967F6">
        <w:rPr>
          <w:szCs w:val="24"/>
        </w:rPr>
        <w:t xml:space="preserve"> If anything, the PUCO should be </w:t>
      </w:r>
      <w:r w:rsidRPr="003C7194" w:rsidR="00D967F6">
        <w:rPr>
          <w:i/>
          <w:iCs/>
          <w:szCs w:val="24"/>
        </w:rPr>
        <w:t>welcoming</w:t>
      </w:r>
      <w:r w:rsidRPr="003C7194" w:rsidR="00D967F6">
        <w:rPr>
          <w:szCs w:val="24"/>
        </w:rPr>
        <w:t xml:space="preserve"> consumer advocacy with regard to submeter</w:t>
      </w:r>
      <w:r w:rsidRPr="003C7194" w:rsidR="00437228">
        <w:rPr>
          <w:szCs w:val="24"/>
        </w:rPr>
        <w:t>ing</w:t>
      </w:r>
      <w:r w:rsidRPr="003C7194" w:rsidR="00D967F6">
        <w:rPr>
          <w:szCs w:val="24"/>
        </w:rPr>
        <w:t xml:space="preserve"> issues.</w:t>
      </w:r>
    </w:p>
    <w:p w:rsidR="00490ACB" w:rsidRPr="003C7194" w:rsidP="004C5D7A" w14:paraId="351A6EEC" w14:textId="0041EA7D">
      <w:pPr>
        <w:pStyle w:val="BodyTextIndent3"/>
        <w:widowControl w:val="0"/>
        <w:spacing w:line="480" w:lineRule="auto"/>
        <w:rPr>
          <w:szCs w:val="24"/>
        </w:rPr>
      </w:pPr>
      <w:r w:rsidRPr="003C7194">
        <w:rPr>
          <w:szCs w:val="24"/>
        </w:rPr>
        <w:t xml:space="preserve">To protect residential consumers living in the five apartment complexes at issue in AEP’s Complaint, OCC moved to intervene on </w:t>
      </w:r>
      <w:r w:rsidRPr="003C7194" w:rsidR="00437228">
        <w:rPr>
          <w:szCs w:val="24"/>
        </w:rPr>
        <w:t>October 28, 2021. The Attorney Examiner denied OCC’s intervention on January 31, 202</w:t>
      </w:r>
      <w:r w:rsidRPr="003C7194" w:rsidR="005D3FC6">
        <w:rPr>
          <w:szCs w:val="24"/>
        </w:rPr>
        <w:t>2</w:t>
      </w:r>
      <w:r w:rsidRPr="003C7194" w:rsidR="00437228">
        <w:rPr>
          <w:szCs w:val="24"/>
        </w:rPr>
        <w:t xml:space="preserve">. </w:t>
      </w:r>
      <w:r w:rsidRPr="003C7194" w:rsidR="005D3FC6">
        <w:rPr>
          <w:szCs w:val="24"/>
        </w:rPr>
        <w:t xml:space="preserve">OCC sought an </w:t>
      </w:r>
      <w:r w:rsidRPr="003C7194" w:rsidR="00212AB5">
        <w:rPr>
          <w:szCs w:val="24"/>
        </w:rPr>
        <w:t xml:space="preserve">immediate </w:t>
      </w:r>
      <w:r w:rsidRPr="003C7194" w:rsidR="005D3FC6">
        <w:rPr>
          <w:szCs w:val="24"/>
        </w:rPr>
        <w:t>interlocutory appeal</w:t>
      </w:r>
      <w:r w:rsidRPr="003C7194" w:rsidR="00955F37">
        <w:rPr>
          <w:szCs w:val="24"/>
        </w:rPr>
        <w:t xml:space="preserve"> to the PUCO</w:t>
      </w:r>
      <w:r w:rsidRPr="003C7194" w:rsidR="005D3FC6">
        <w:rPr>
          <w:szCs w:val="24"/>
        </w:rPr>
        <w:t xml:space="preserve"> of the Attorney Examiner’s decision on February 7, 2022</w:t>
      </w:r>
      <w:r w:rsidRPr="003C7194" w:rsidR="00955F37">
        <w:rPr>
          <w:szCs w:val="24"/>
        </w:rPr>
        <w:t xml:space="preserve">. The PUCO denied OCC’s appeal in </w:t>
      </w:r>
      <w:r w:rsidRPr="003C7194" w:rsidR="00B45A91">
        <w:rPr>
          <w:szCs w:val="24"/>
        </w:rPr>
        <w:t>the</w:t>
      </w:r>
      <w:r w:rsidRPr="003C7194" w:rsidR="00955F37">
        <w:rPr>
          <w:szCs w:val="24"/>
        </w:rPr>
        <w:t xml:space="preserve"> July 27 Entry.</w:t>
      </w:r>
      <w:r>
        <w:rPr>
          <w:rStyle w:val="FootnoteReference"/>
          <w:szCs w:val="24"/>
        </w:rPr>
        <w:footnoteReference w:id="6"/>
      </w:r>
      <w:r w:rsidRPr="003C7194" w:rsidR="005D3FC6">
        <w:rPr>
          <w:szCs w:val="24"/>
        </w:rPr>
        <w:t xml:space="preserve"> </w:t>
      </w:r>
    </w:p>
    <w:p w:rsidR="00CE24FA" w:rsidRPr="003C7194" w:rsidP="004C5D7A" w14:paraId="521E2C13" w14:textId="2B08ADFD">
      <w:pPr>
        <w:pStyle w:val="BodyTextIndent3"/>
        <w:widowControl w:val="0"/>
        <w:spacing w:line="480" w:lineRule="auto"/>
        <w:rPr>
          <w:szCs w:val="24"/>
        </w:rPr>
      </w:pPr>
      <w:r w:rsidRPr="003C7194">
        <w:rPr>
          <w:szCs w:val="24"/>
        </w:rPr>
        <w:t>For the reasons explained below, the PUCO should abrogate or modify its July 27, 20</w:t>
      </w:r>
      <w:r w:rsidRPr="003C7194" w:rsidR="0043505A">
        <w:rPr>
          <w:szCs w:val="24"/>
        </w:rPr>
        <w:t>22</w:t>
      </w:r>
      <w:r w:rsidRPr="003C7194">
        <w:rPr>
          <w:szCs w:val="24"/>
        </w:rPr>
        <w:t xml:space="preserve"> Entry </w:t>
      </w:r>
      <w:r w:rsidRPr="003C7194" w:rsidR="00BA4B4A">
        <w:rPr>
          <w:szCs w:val="24"/>
        </w:rPr>
        <w:t xml:space="preserve">and grant </w:t>
      </w:r>
      <w:r w:rsidRPr="003C7194">
        <w:rPr>
          <w:szCs w:val="24"/>
        </w:rPr>
        <w:t>OCC</w:t>
      </w:r>
      <w:r w:rsidRPr="003C7194" w:rsidR="00E47DF4">
        <w:rPr>
          <w:szCs w:val="24"/>
        </w:rPr>
        <w:t>’s</w:t>
      </w:r>
      <w:r w:rsidRPr="003C7194">
        <w:rPr>
          <w:szCs w:val="24"/>
        </w:rPr>
        <w:t xml:space="preserve"> intervention in this case.</w:t>
      </w:r>
    </w:p>
    <w:p w:rsidR="008C37A6" w:rsidRPr="003C7194" w:rsidP="008C37A6" w14:paraId="378B0DC0" w14:textId="77777777">
      <w:pPr>
        <w:pStyle w:val="BodyTextIndent3"/>
        <w:widowControl w:val="0"/>
        <w:spacing w:line="240" w:lineRule="auto"/>
        <w:rPr>
          <w:szCs w:val="24"/>
        </w:rPr>
      </w:pPr>
    </w:p>
    <w:p w:rsidR="00644899" w:rsidRPr="003C7194" w:rsidP="008C37A6" w14:paraId="6A8DB4A9" w14:textId="77777777">
      <w:pPr>
        <w:pStyle w:val="Heading1"/>
      </w:pPr>
      <w:bookmarkStart w:id="4" w:name="_Toc112081975"/>
      <w:bookmarkStart w:id="5" w:name="_Toc112416633"/>
      <w:r w:rsidRPr="003C7194">
        <w:t>ASSIGNMENTS OF ERROR</w:t>
      </w:r>
      <w:bookmarkEnd w:id="4"/>
      <w:bookmarkEnd w:id="5"/>
      <w:r w:rsidRPr="003C7194" w:rsidR="00D967F6">
        <w:t xml:space="preserve"> </w:t>
      </w:r>
    </w:p>
    <w:p w:rsidR="00D97C5F" w:rsidRPr="004139B7" w:rsidP="004139B7" w14:paraId="3691B36B" w14:textId="41E749B3">
      <w:pPr>
        <w:pStyle w:val="Heading2"/>
      </w:pPr>
      <w:bookmarkStart w:id="6" w:name="_Toc112416634"/>
      <w:r w:rsidRPr="004139B7">
        <w:t xml:space="preserve">ASSIGNMENT OF ERROR NO. 1: </w:t>
      </w:r>
      <w:r w:rsidRPr="004139B7" w:rsidR="00212AB5">
        <w:t>The PUCO erred by unlawfully denying OCC’s intervention in violation of R.C. 4903.221, O.A.C. 4901-1-11, and Ohio Supreme Court precedent.</w:t>
      </w:r>
      <w:bookmarkEnd w:id="6"/>
    </w:p>
    <w:p w:rsidR="00212AB5" w:rsidRPr="003C7194" w:rsidP="00D97C5F" w14:paraId="74DCA81F" w14:textId="77777777">
      <w:pPr>
        <w:ind w:left="720"/>
        <w:contextualSpacing/>
        <w:rPr>
          <w:szCs w:val="24"/>
        </w:rPr>
      </w:pPr>
    </w:p>
    <w:p w:rsidR="00D87634" w:rsidRPr="003C7194" w:rsidP="00D97C5F" w14:paraId="336C4432" w14:textId="01DC2702">
      <w:pPr>
        <w:pStyle w:val="BodyTextIndent3"/>
        <w:suppressAutoHyphens/>
        <w:spacing w:line="480" w:lineRule="auto"/>
        <w:rPr>
          <w:szCs w:val="24"/>
        </w:rPr>
      </w:pPr>
      <w:r w:rsidRPr="003C7194">
        <w:rPr>
          <w:szCs w:val="24"/>
        </w:rPr>
        <w:t>The PUCO states that the central issue in this case is whether NEP operates as a public utility when it submeters service to consumers living in the five apartment complexes.</w:t>
      </w:r>
      <w:r>
        <w:rPr>
          <w:rStyle w:val="FootnoteReference"/>
          <w:szCs w:val="24"/>
        </w:rPr>
        <w:footnoteReference w:id="7"/>
      </w:r>
      <w:r w:rsidRPr="003C7194">
        <w:rPr>
          <w:szCs w:val="24"/>
        </w:rPr>
        <w:t xml:space="preserve"> But according to the PUCO’s Entry, “OCC does not have a real and direct interest related to the central merits of this case.”</w:t>
      </w:r>
      <w:r>
        <w:rPr>
          <w:rStyle w:val="FootnoteReference"/>
          <w:szCs w:val="24"/>
        </w:rPr>
        <w:footnoteReference w:id="8"/>
      </w:r>
      <w:r w:rsidRPr="003C7194">
        <w:rPr>
          <w:szCs w:val="24"/>
        </w:rPr>
        <w:t xml:space="preserve"> The PUCO is wrong.</w:t>
      </w:r>
    </w:p>
    <w:p w:rsidR="00D97C5F" w:rsidRPr="003C7194" w:rsidP="00D97C5F" w14:paraId="0E9CD555" w14:textId="75D1226F">
      <w:pPr>
        <w:pStyle w:val="BodyTextIndent3"/>
        <w:suppressAutoHyphens/>
        <w:spacing w:line="480" w:lineRule="auto"/>
        <w:rPr>
          <w:szCs w:val="24"/>
        </w:rPr>
      </w:pPr>
      <w:r w:rsidRPr="003C7194">
        <w:rPr>
          <w:szCs w:val="24"/>
        </w:rPr>
        <w:t>R.C. 4903.221 provides, in part, that any person “who may be adversely affected” by a PUCO proceeding is entitled to seek intervention in that proceeding.</w:t>
      </w:r>
      <w:r>
        <w:rPr>
          <w:rStyle w:val="FootnoteReference"/>
          <w:szCs w:val="24"/>
        </w:rPr>
        <w:footnoteReference w:id="9"/>
      </w:r>
      <w:r w:rsidRPr="003C7194">
        <w:rPr>
          <w:szCs w:val="24"/>
        </w:rPr>
        <w:t xml:space="preserve"> R.C. 4903.221(B) requires the PUCO to consider the following criteria in ruling on motions to intervene:</w:t>
      </w:r>
    </w:p>
    <w:p w:rsidR="00D97C5F" w:rsidP="00F12B0B" w14:paraId="31B0DFF8" w14:textId="38D5EDAD">
      <w:pPr>
        <w:ind w:left="1440" w:hanging="720"/>
        <w:rPr>
          <w:szCs w:val="24"/>
        </w:rPr>
      </w:pPr>
      <w:r w:rsidRPr="003C7194">
        <w:rPr>
          <w:szCs w:val="24"/>
        </w:rPr>
        <w:t>(1)</w:t>
      </w:r>
      <w:r w:rsidRPr="003C7194">
        <w:rPr>
          <w:szCs w:val="24"/>
        </w:rPr>
        <w:tab/>
        <w:t>The nature and extent of the prospective intervenor’s interest;</w:t>
      </w:r>
    </w:p>
    <w:p w:rsidR="001801DD" w:rsidRPr="003C7194" w:rsidP="00F12B0B" w14:paraId="020BDEF2" w14:textId="77777777">
      <w:pPr>
        <w:ind w:left="1440" w:hanging="720"/>
        <w:rPr>
          <w:szCs w:val="24"/>
        </w:rPr>
      </w:pPr>
    </w:p>
    <w:p w:rsidR="00D87634" w:rsidRPr="003C7194" w:rsidP="00F12B0B" w14:paraId="386D36F7" w14:textId="3C5C1192">
      <w:pPr>
        <w:ind w:left="1440" w:hanging="720"/>
        <w:rPr>
          <w:szCs w:val="24"/>
        </w:rPr>
      </w:pPr>
      <w:r w:rsidRPr="003C7194">
        <w:rPr>
          <w:szCs w:val="24"/>
        </w:rPr>
        <w:t>(2)</w:t>
      </w:r>
      <w:r w:rsidRPr="003C7194">
        <w:rPr>
          <w:szCs w:val="24"/>
        </w:rPr>
        <w:tab/>
        <w:t>The legal position advanced by the prospective intervenor and its probable relation to the merits of the case;</w:t>
      </w:r>
    </w:p>
    <w:p w:rsidR="00D87634" w:rsidRPr="003C7194" w:rsidP="00F12B0B" w14:paraId="331AF0B9" w14:textId="77777777">
      <w:pPr>
        <w:ind w:left="1440" w:hanging="720"/>
        <w:rPr>
          <w:szCs w:val="24"/>
        </w:rPr>
      </w:pPr>
    </w:p>
    <w:p w:rsidR="00BB0884" w:rsidRPr="003C7194" w:rsidP="00F12B0B" w14:paraId="381F01D8" w14:textId="07AC9961">
      <w:pPr>
        <w:ind w:left="1440" w:hanging="720"/>
        <w:rPr>
          <w:szCs w:val="24"/>
        </w:rPr>
      </w:pPr>
      <w:r w:rsidRPr="003C7194">
        <w:rPr>
          <w:szCs w:val="24"/>
        </w:rPr>
        <w:t>(3)</w:t>
      </w:r>
      <w:r w:rsidRPr="003C7194">
        <w:rPr>
          <w:szCs w:val="24"/>
        </w:rPr>
        <w:tab/>
        <w:t xml:space="preserve">Whether the intervention by the prospective intervenor will unduly prolong or delay the proceedings; </w:t>
      </w:r>
      <w:r w:rsidRPr="003C7194" w:rsidR="002F28EC">
        <w:rPr>
          <w:szCs w:val="24"/>
        </w:rPr>
        <w:t>a</w:t>
      </w:r>
      <w:r w:rsidRPr="003C7194" w:rsidR="00760BB8">
        <w:rPr>
          <w:szCs w:val="24"/>
        </w:rPr>
        <w:t>nd</w:t>
      </w:r>
    </w:p>
    <w:p w:rsidR="00D87634" w:rsidRPr="003C7194" w:rsidP="00F12B0B" w14:paraId="0384D012" w14:textId="77777777">
      <w:pPr>
        <w:ind w:left="1440" w:hanging="720"/>
        <w:rPr>
          <w:szCs w:val="24"/>
        </w:rPr>
      </w:pPr>
    </w:p>
    <w:p w:rsidR="00BB76C8" w:rsidRPr="003C7194" w:rsidP="00F12B0B" w14:paraId="475281EB" w14:textId="77777777">
      <w:pPr>
        <w:pStyle w:val="BodyTextIndent2"/>
        <w:spacing w:before="0" w:after="0"/>
        <w:ind w:left="1440" w:hanging="720"/>
        <w:rPr>
          <w:szCs w:val="24"/>
        </w:rPr>
      </w:pPr>
      <w:r w:rsidRPr="003C7194">
        <w:rPr>
          <w:szCs w:val="24"/>
        </w:rPr>
        <w:t>(4)</w:t>
      </w:r>
      <w:r w:rsidRPr="003C7194">
        <w:rPr>
          <w:szCs w:val="24"/>
        </w:rPr>
        <w:tab/>
        <w:t>Whether the prospective intervenor will significantly contribute to full development and equitable resolution of the factual issues.</w:t>
      </w:r>
      <w:r>
        <w:rPr>
          <w:rStyle w:val="FootnoteReference"/>
          <w:szCs w:val="24"/>
        </w:rPr>
        <w:footnoteReference w:id="10"/>
      </w:r>
    </w:p>
    <w:p w:rsidR="00BB76C8" w:rsidRPr="003C7194" w:rsidP="00BB0884" w14:paraId="434EE3F2" w14:textId="77777777">
      <w:pPr>
        <w:pStyle w:val="BodyTextIndent2"/>
        <w:spacing w:before="0" w:after="0"/>
        <w:ind w:left="2160" w:right="720" w:hanging="720"/>
        <w:rPr>
          <w:szCs w:val="24"/>
        </w:rPr>
      </w:pPr>
    </w:p>
    <w:p w:rsidR="00AC7D27" w:rsidRPr="003C7194" w:rsidP="00AC7D27" w14:paraId="448B9102" w14:textId="77777777">
      <w:pPr>
        <w:pStyle w:val="WW-BodyTextIndent3"/>
        <w:widowControl w:val="0"/>
        <w:spacing w:line="480" w:lineRule="auto"/>
        <w:ind w:right="-24" w:firstLine="0"/>
        <w:rPr>
          <w:szCs w:val="24"/>
        </w:rPr>
      </w:pPr>
      <w:r w:rsidRPr="003C7194">
        <w:rPr>
          <w:szCs w:val="24"/>
        </w:rPr>
        <w:t>To intervene, a party should also have a “real and substantial interest” according to O.A.C. 4901-1-11(A)(2)</w:t>
      </w:r>
      <w:r w:rsidRPr="003C7194" w:rsidR="00D45F3B">
        <w:rPr>
          <w:szCs w:val="24"/>
        </w:rPr>
        <w:t xml:space="preserve"> and meet the</w:t>
      </w:r>
      <w:r w:rsidRPr="003C7194">
        <w:rPr>
          <w:szCs w:val="24"/>
        </w:rPr>
        <w:t xml:space="preserve"> criteria of O</w:t>
      </w:r>
      <w:r w:rsidRPr="003C7194" w:rsidR="00D45F3B">
        <w:rPr>
          <w:szCs w:val="24"/>
        </w:rPr>
        <w:t>.</w:t>
      </w:r>
      <w:r w:rsidRPr="003C7194">
        <w:rPr>
          <w:szCs w:val="24"/>
        </w:rPr>
        <w:t>A.C</w:t>
      </w:r>
      <w:r w:rsidRPr="003C7194" w:rsidR="00D45F3B">
        <w:rPr>
          <w:szCs w:val="24"/>
        </w:rPr>
        <w:t>.</w:t>
      </w:r>
      <w:r w:rsidRPr="003C7194">
        <w:rPr>
          <w:szCs w:val="24"/>
        </w:rPr>
        <w:t xml:space="preserve"> 4901-1-11(B)(1)-(4)</w:t>
      </w:r>
      <w:r w:rsidRPr="003C7194" w:rsidR="00D45F3B">
        <w:rPr>
          <w:szCs w:val="24"/>
        </w:rPr>
        <w:t>, which</w:t>
      </w:r>
      <w:r w:rsidRPr="003C7194">
        <w:rPr>
          <w:szCs w:val="24"/>
        </w:rPr>
        <w:t xml:space="preserve"> mirror the statutory criteria in R.C. 4903.221(B)</w:t>
      </w:r>
      <w:r w:rsidRPr="003C7194" w:rsidR="00D45F3B">
        <w:rPr>
          <w:szCs w:val="24"/>
        </w:rPr>
        <w:t>.</w:t>
      </w:r>
      <w:r w:rsidRPr="003C7194">
        <w:rPr>
          <w:szCs w:val="24"/>
        </w:rPr>
        <w:t xml:space="preserve"> </w:t>
      </w:r>
    </w:p>
    <w:p w:rsidR="00D97C5F" w:rsidRPr="003C7194" w:rsidP="00FC11E7" w14:paraId="3946C841" w14:textId="31D9A12E">
      <w:pPr>
        <w:pStyle w:val="WW-BodyTextIndent3"/>
        <w:widowControl w:val="0"/>
        <w:spacing w:line="480" w:lineRule="auto"/>
        <w:rPr>
          <w:szCs w:val="24"/>
        </w:rPr>
      </w:pPr>
      <w:r w:rsidRPr="003C7194">
        <w:rPr>
          <w:szCs w:val="24"/>
        </w:rPr>
        <w:t xml:space="preserve">OCC moved to intervene to represent the interests of over </w:t>
      </w:r>
      <w:r w:rsidRPr="003C7194" w:rsidR="001138DE">
        <w:rPr>
          <w:szCs w:val="24"/>
        </w:rPr>
        <w:t>one thousand</w:t>
      </w:r>
      <w:r w:rsidRPr="003C7194" w:rsidR="00B1775A">
        <w:rPr>
          <w:szCs w:val="24"/>
        </w:rPr>
        <w:t xml:space="preserve"> AEP </w:t>
      </w:r>
      <w:r w:rsidRPr="003C7194">
        <w:rPr>
          <w:szCs w:val="24"/>
        </w:rPr>
        <w:t>residential consumers</w:t>
      </w:r>
      <w:r w:rsidRPr="003C7194" w:rsidR="001138DE">
        <w:rPr>
          <w:szCs w:val="24"/>
        </w:rPr>
        <w:t xml:space="preserve"> living in five apartment complex</w:t>
      </w:r>
      <w:r w:rsidRPr="003C7194" w:rsidR="00AC7D27">
        <w:rPr>
          <w:szCs w:val="24"/>
        </w:rPr>
        <w:t xml:space="preserve">es </w:t>
      </w:r>
      <w:r w:rsidRPr="003C7194" w:rsidR="00B1775A">
        <w:rPr>
          <w:szCs w:val="24"/>
        </w:rPr>
        <w:t xml:space="preserve">where NEP wants to submeter service. These residential consumers </w:t>
      </w:r>
      <w:r w:rsidRPr="003C7194" w:rsidR="00E6542A">
        <w:rPr>
          <w:szCs w:val="24"/>
        </w:rPr>
        <w:t>may</w:t>
      </w:r>
      <w:r w:rsidRPr="003C7194">
        <w:rPr>
          <w:szCs w:val="24"/>
        </w:rPr>
        <w:t xml:space="preserve"> be </w:t>
      </w:r>
      <w:r w:rsidRPr="003C7194" w:rsidR="00B1775A">
        <w:rPr>
          <w:szCs w:val="24"/>
        </w:rPr>
        <w:t xml:space="preserve">adversely </w:t>
      </w:r>
      <w:r w:rsidRPr="003C7194">
        <w:rPr>
          <w:szCs w:val="24"/>
        </w:rPr>
        <w:t>affected by this case</w:t>
      </w:r>
      <w:r w:rsidRPr="003C7194" w:rsidR="00B1775A">
        <w:rPr>
          <w:szCs w:val="24"/>
        </w:rPr>
        <w:t>, and they may already be harmed, given the PUCO’s determination that AEP must process NEP’s construction requests pending the outcome of this matter</w:t>
      </w:r>
      <w:r w:rsidRPr="003C7194">
        <w:rPr>
          <w:szCs w:val="24"/>
        </w:rPr>
        <w:t>.</w:t>
      </w:r>
      <w:r>
        <w:rPr>
          <w:rStyle w:val="FootnoteReference"/>
          <w:szCs w:val="24"/>
        </w:rPr>
        <w:footnoteReference w:id="11"/>
      </w:r>
      <w:r w:rsidRPr="003C7194" w:rsidR="00AC7D27">
        <w:rPr>
          <w:szCs w:val="24"/>
        </w:rPr>
        <w:t xml:space="preserve"> Thus, OCC has a “real and substantial interest</w:t>
      </w:r>
      <w:r w:rsidRPr="003C7194" w:rsidR="003D6019">
        <w:rPr>
          <w:szCs w:val="24"/>
        </w:rPr>
        <w:t>.”</w:t>
      </w:r>
      <w:r w:rsidRPr="003C7194" w:rsidR="00AC7D27">
        <w:rPr>
          <w:szCs w:val="24"/>
        </w:rPr>
        <w:t xml:space="preserve"> </w:t>
      </w:r>
      <w:r w:rsidRPr="003C7194" w:rsidR="006E671E">
        <w:rPr>
          <w:szCs w:val="24"/>
        </w:rPr>
        <w:t>In its motion to intervene, OCC explained how it satisfies the requirements of R.C. 4903.221</w:t>
      </w:r>
      <w:r w:rsidRPr="003C7194" w:rsidR="00285300">
        <w:rPr>
          <w:szCs w:val="24"/>
        </w:rPr>
        <w:t xml:space="preserve"> and O.A.C 4901-1-11.</w:t>
      </w:r>
      <w:r w:rsidRPr="003C7194" w:rsidR="008B584A">
        <w:rPr>
          <w:szCs w:val="24"/>
        </w:rPr>
        <w:t xml:space="preserve"> </w:t>
      </w:r>
    </w:p>
    <w:p w:rsidR="00CC5549" w:rsidRPr="003C7194" w:rsidP="00FC11E7" w14:paraId="6B7D26E0" w14:textId="392C2C52">
      <w:pPr>
        <w:pStyle w:val="BodyTextIndent3"/>
        <w:widowControl w:val="0"/>
        <w:spacing w:line="480" w:lineRule="auto"/>
        <w:rPr>
          <w:szCs w:val="24"/>
        </w:rPr>
      </w:pPr>
      <w:r w:rsidRPr="003C7194">
        <w:rPr>
          <w:szCs w:val="24"/>
        </w:rPr>
        <w:t>But the PUCO has denied consumers the intervention of their state representative, the O</w:t>
      </w:r>
      <w:r w:rsidRPr="003C7194" w:rsidR="00285300">
        <w:rPr>
          <w:szCs w:val="24"/>
        </w:rPr>
        <w:t>CC</w:t>
      </w:r>
      <w:r w:rsidRPr="003C7194">
        <w:rPr>
          <w:szCs w:val="24"/>
        </w:rPr>
        <w:t xml:space="preserve">. That is unlawful. Residential consumers deserve to have a voice that is heard by the PUCO, as the legislature decided. </w:t>
      </w:r>
      <w:r w:rsidRPr="003C7194" w:rsidR="006B5273">
        <w:rPr>
          <w:szCs w:val="24"/>
        </w:rPr>
        <w:t xml:space="preserve">The PUCO’s decision contradicts the Ohio Supreme Court holding that “intervention ought to be </w:t>
      </w:r>
      <w:r w:rsidRPr="003C7194" w:rsidR="006B5273">
        <w:rPr>
          <w:b/>
          <w:bCs/>
          <w:i/>
          <w:iCs/>
          <w:szCs w:val="24"/>
        </w:rPr>
        <w:t>liberally allowed</w:t>
      </w:r>
      <w:r w:rsidRPr="003C7194" w:rsidR="006B5273">
        <w:rPr>
          <w:szCs w:val="24"/>
        </w:rPr>
        <w:t xml:space="preserve"> so that the positions of all persons with a real and substantial interest in the proceedings can be considered by the PUCO.”</w:t>
      </w:r>
      <w:r>
        <w:rPr>
          <w:rStyle w:val="FootnoteReference"/>
          <w:szCs w:val="24"/>
        </w:rPr>
        <w:footnoteReference w:id="12"/>
      </w:r>
      <w:r w:rsidRPr="003C7194">
        <w:rPr>
          <w:szCs w:val="24"/>
        </w:rPr>
        <w:t xml:space="preserve"> </w:t>
      </w:r>
      <w:r w:rsidRPr="003C7194" w:rsidR="006B5273">
        <w:rPr>
          <w:szCs w:val="24"/>
        </w:rPr>
        <w:t xml:space="preserve">In </w:t>
      </w:r>
      <w:r w:rsidRPr="003C7194" w:rsidR="006B5273">
        <w:rPr>
          <w:i/>
          <w:iCs/>
          <w:szCs w:val="24"/>
        </w:rPr>
        <w:t>Ohio Consumers’ Counsel v. PUC</w:t>
      </w:r>
      <w:r w:rsidRPr="003C7194" w:rsidR="006B5273">
        <w:rPr>
          <w:szCs w:val="24"/>
        </w:rPr>
        <w:t>, the Ohio Supreme Court held that the PUCO abused its discretion in denying intervention to OCC and reversed the PUCO. The Court relied on the reasons stated in OCC’s memoranda supporting intervention to conclude that intervention should have been granted.</w:t>
      </w:r>
      <w:r>
        <w:rPr>
          <w:rStyle w:val="FootnoteReference"/>
          <w:szCs w:val="24"/>
        </w:rPr>
        <w:footnoteReference w:id="13"/>
      </w:r>
      <w:r w:rsidRPr="003C7194" w:rsidR="006B5273">
        <w:rPr>
          <w:szCs w:val="24"/>
        </w:rPr>
        <w:t xml:space="preserve"> </w:t>
      </w:r>
    </w:p>
    <w:p w:rsidR="00D97C5F" w:rsidRPr="003C7194" w:rsidP="00FC11E7" w14:paraId="3B49413B" w14:textId="77777777">
      <w:pPr>
        <w:pStyle w:val="BodyTextIndent3"/>
        <w:widowControl w:val="0"/>
        <w:spacing w:line="480" w:lineRule="auto"/>
        <w:rPr>
          <w:szCs w:val="24"/>
        </w:rPr>
      </w:pPr>
      <w:r w:rsidRPr="003C7194">
        <w:rPr>
          <w:szCs w:val="24"/>
        </w:rPr>
        <w:t xml:space="preserve">The PUCO’s </w:t>
      </w:r>
      <w:r w:rsidRPr="003C7194" w:rsidR="00CC5549">
        <w:rPr>
          <w:szCs w:val="24"/>
        </w:rPr>
        <w:t>July 27 Entry</w:t>
      </w:r>
      <w:r w:rsidRPr="003C7194">
        <w:rPr>
          <w:szCs w:val="24"/>
        </w:rPr>
        <w:t xml:space="preserve"> denying OCC’s intervention contradicts </w:t>
      </w:r>
      <w:r w:rsidRPr="003C7194" w:rsidR="00CC5549">
        <w:rPr>
          <w:szCs w:val="24"/>
        </w:rPr>
        <w:t>the Ohio Supreme Court’s</w:t>
      </w:r>
      <w:r w:rsidRPr="003C7194">
        <w:rPr>
          <w:szCs w:val="24"/>
        </w:rPr>
        <w:t xml:space="preserve"> decision. It leads to an unlawful and unfair regulatory structure wherein consumers’ voices are silenced, flouting the Court’s direction that “</w:t>
      </w:r>
      <w:r w:rsidRPr="003C7194">
        <w:rPr>
          <w:color w:val="212121"/>
          <w:szCs w:val="24"/>
          <w:shd w:val="clear" w:color="auto" w:fill="FFFFFF"/>
        </w:rPr>
        <w:t>intervention ought to be liberally allowed so that the positions of all</w:t>
      </w:r>
      <w:bookmarkStart w:id="7" w:name="PAGE_7350"/>
      <w:r w:rsidRPr="003C7194">
        <w:rPr>
          <w:rFonts w:eastAsia="Courier New"/>
          <w:szCs w:val="24"/>
        </w:rPr>
        <w:t> </w:t>
      </w:r>
      <w:bookmarkEnd w:id="7"/>
      <w:r w:rsidRPr="003C7194">
        <w:rPr>
          <w:color w:val="212121"/>
          <w:szCs w:val="24"/>
          <w:shd w:val="clear" w:color="auto" w:fill="FFFFFF"/>
        </w:rPr>
        <w:t>persons with a real and substantial interest in the proceedings can be considered by the PUCO.”</w:t>
      </w:r>
      <w:r>
        <w:rPr>
          <w:rStyle w:val="FootnoteReference"/>
          <w:color w:val="212121"/>
          <w:szCs w:val="24"/>
          <w:shd w:val="clear" w:color="auto" w:fill="FFFFFF"/>
        </w:rPr>
        <w:footnoteReference w:id="14"/>
      </w:r>
      <w:r w:rsidRPr="003C7194">
        <w:rPr>
          <w:color w:val="212121"/>
          <w:szCs w:val="24"/>
          <w:shd w:val="clear" w:color="auto" w:fill="FFFFFF"/>
        </w:rPr>
        <w:t xml:space="preserve"> </w:t>
      </w:r>
      <w:r w:rsidRPr="003C7194">
        <w:rPr>
          <w:szCs w:val="24"/>
        </w:rPr>
        <w:t>The Ohio Supreme Court also ruled in another case</w:t>
      </w:r>
      <w:r w:rsidRPr="003C7194" w:rsidR="00AC61C1">
        <w:rPr>
          <w:szCs w:val="24"/>
        </w:rPr>
        <w:t xml:space="preserve"> involving NEP</w:t>
      </w:r>
      <w:r w:rsidRPr="003C7194">
        <w:rPr>
          <w:szCs w:val="24"/>
        </w:rPr>
        <w:t xml:space="preserve"> that consumers deserve more protection from submeterers.</w:t>
      </w:r>
      <w:r>
        <w:rPr>
          <w:rStyle w:val="CommentTextChar"/>
          <w:vertAlign w:val="superscript"/>
        </w:rPr>
        <w:footnoteReference w:id="15"/>
      </w:r>
      <w:r w:rsidRPr="003C7194">
        <w:rPr>
          <w:szCs w:val="24"/>
        </w:rPr>
        <w:t xml:space="preserve"> Consumers should get the benefit of </w:t>
      </w:r>
      <w:r w:rsidRPr="003C7194" w:rsidR="00AC61C1">
        <w:rPr>
          <w:szCs w:val="24"/>
        </w:rPr>
        <w:t>the Ohio Supreme Court’s decisions</w:t>
      </w:r>
      <w:r w:rsidRPr="003C7194">
        <w:rPr>
          <w:szCs w:val="24"/>
        </w:rPr>
        <w:t>. And OCC should be allowed to lawfully advocate for consumers in this case.</w:t>
      </w:r>
    </w:p>
    <w:p w:rsidR="00EF4A03" w:rsidRPr="003C7194" w:rsidP="009667DF" w14:paraId="7F1EE402" w14:textId="51F5ECB8">
      <w:pPr>
        <w:pStyle w:val="BodyTextIndent3"/>
        <w:widowControl w:val="0"/>
        <w:spacing w:line="480" w:lineRule="auto"/>
        <w:rPr>
          <w:szCs w:val="24"/>
        </w:rPr>
      </w:pPr>
      <w:r w:rsidRPr="003C7194">
        <w:rPr>
          <w:szCs w:val="24"/>
        </w:rPr>
        <w:t>OCC explained in its motion to intervene (as well as</w:t>
      </w:r>
      <w:r w:rsidRPr="003C7194" w:rsidR="00CC5549">
        <w:rPr>
          <w:szCs w:val="24"/>
        </w:rPr>
        <w:t xml:space="preserve"> in</w:t>
      </w:r>
      <w:r w:rsidRPr="003C7194">
        <w:rPr>
          <w:szCs w:val="24"/>
        </w:rPr>
        <w:t xml:space="preserve"> its </w:t>
      </w:r>
      <w:r w:rsidRPr="003C7194" w:rsidR="00AC61C1">
        <w:rPr>
          <w:szCs w:val="24"/>
        </w:rPr>
        <w:t>R</w:t>
      </w:r>
      <w:r w:rsidRPr="003C7194">
        <w:rPr>
          <w:szCs w:val="24"/>
        </w:rPr>
        <w:t>eply to NEP’s opposition to OCC’s intervention</w:t>
      </w:r>
      <w:r>
        <w:rPr>
          <w:rStyle w:val="FootnoteReference"/>
          <w:szCs w:val="24"/>
        </w:rPr>
        <w:footnoteReference w:id="16"/>
      </w:r>
      <w:r w:rsidRPr="003C7194">
        <w:rPr>
          <w:szCs w:val="24"/>
        </w:rPr>
        <w:t>)</w:t>
      </w:r>
      <w:r w:rsidRPr="003C7194" w:rsidR="00CC5549">
        <w:rPr>
          <w:szCs w:val="24"/>
        </w:rPr>
        <w:t xml:space="preserve"> that if the over one thousand</w:t>
      </w:r>
      <w:r w:rsidRPr="003C7194" w:rsidR="00D97C5F">
        <w:rPr>
          <w:szCs w:val="24"/>
        </w:rPr>
        <w:t xml:space="preserve"> residential consumers are forced to take submetered service through NEP, each faces the prospect of being harmed by, among other things: potential higher charges and fees for electric utility service and losing rate transparency;</w:t>
      </w:r>
      <w:r>
        <w:rPr>
          <w:rStyle w:val="FootnoteReference"/>
          <w:szCs w:val="24"/>
        </w:rPr>
        <w:footnoteReference w:id="17"/>
      </w:r>
      <w:r w:rsidRPr="003C7194" w:rsidR="00D97C5F">
        <w:rPr>
          <w:szCs w:val="24"/>
        </w:rPr>
        <w:t xml:space="preserve"> inability to choose competitive retail suppliers;</w:t>
      </w:r>
      <w:r>
        <w:rPr>
          <w:rStyle w:val="FootnoteReference"/>
          <w:szCs w:val="24"/>
        </w:rPr>
        <w:footnoteReference w:id="18"/>
      </w:r>
      <w:r w:rsidRPr="003C7194" w:rsidR="00D97C5F">
        <w:rPr>
          <w:szCs w:val="24"/>
        </w:rPr>
        <w:t xml:space="preserve"> no access to budget and percentage of income payment program (“PIPP”) plans to help</w:t>
      </w:r>
    </w:p>
    <w:p w:rsidR="00D97C5F" w:rsidRPr="003C7194" w:rsidP="00EF4A03" w14:paraId="045856F8" w14:textId="7ABB50FD">
      <w:pPr>
        <w:pStyle w:val="BodyTextIndent3"/>
        <w:widowControl w:val="0"/>
        <w:spacing w:line="480" w:lineRule="auto"/>
        <w:ind w:firstLine="0"/>
        <w:rPr>
          <w:szCs w:val="24"/>
        </w:rPr>
      </w:pPr>
      <w:r w:rsidRPr="003C7194">
        <w:rPr>
          <w:szCs w:val="24"/>
        </w:rPr>
        <w:t>pay bills;</w:t>
      </w:r>
      <w:r>
        <w:rPr>
          <w:rStyle w:val="FootnoteReference"/>
          <w:szCs w:val="24"/>
        </w:rPr>
        <w:footnoteReference w:id="19"/>
      </w:r>
      <w:r w:rsidRPr="003C7194">
        <w:rPr>
          <w:szCs w:val="24"/>
        </w:rPr>
        <w:t xml:space="preserve"> and losing other important consumer protections regarding disconnections and service quality in the PUCO’s rules and Ohio law.</w:t>
      </w:r>
      <w:r>
        <w:rPr>
          <w:rStyle w:val="FootnoteReference"/>
          <w:szCs w:val="24"/>
        </w:rPr>
        <w:footnoteReference w:id="20"/>
      </w:r>
      <w:r w:rsidRPr="003C7194">
        <w:rPr>
          <w:szCs w:val="24"/>
        </w:rPr>
        <w:t xml:space="preserve"> </w:t>
      </w:r>
    </w:p>
    <w:p w:rsidR="003D6019" w:rsidRPr="003C7194" w:rsidP="00FC11E7" w14:paraId="4C0D1619" w14:textId="77777777">
      <w:pPr>
        <w:pStyle w:val="BodyTextIndent3"/>
        <w:widowControl w:val="0"/>
        <w:spacing w:line="480" w:lineRule="auto"/>
        <w:rPr>
          <w:szCs w:val="24"/>
        </w:rPr>
      </w:pPr>
      <w:r w:rsidRPr="003C7194">
        <w:rPr>
          <w:szCs w:val="24"/>
        </w:rPr>
        <w:t>OCC made clear</w:t>
      </w:r>
      <w:r w:rsidRPr="003C7194" w:rsidR="005F1CD9">
        <w:rPr>
          <w:szCs w:val="24"/>
        </w:rPr>
        <w:t xml:space="preserve"> in its motion to intervene</w:t>
      </w:r>
      <w:r w:rsidRPr="003C7194">
        <w:rPr>
          <w:szCs w:val="24"/>
        </w:rPr>
        <w:t xml:space="preserve"> that it sought to represent the interests of the over </w:t>
      </w:r>
      <w:r w:rsidRPr="003C7194" w:rsidR="005F1CD9">
        <w:rPr>
          <w:szCs w:val="24"/>
        </w:rPr>
        <w:t>one thousand</w:t>
      </w:r>
      <w:r w:rsidRPr="003C7194">
        <w:rPr>
          <w:szCs w:val="24"/>
        </w:rPr>
        <w:t xml:space="preserve"> residential consumers affected by this case. </w:t>
      </w:r>
      <w:r w:rsidRPr="003C7194" w:rsidR="005F1CD9">
        <w:rPr>
          <w:szCs w:val="24"/>
        </w:rPr>
        <w:t xml:space="preserve">OCC </w:t>
      </w:r>
      <w:r w:rsidRPr="003C7194">
        <w:rPr>
          <w:szCs w:val="24"/>
        </w:rPr>
        <w:t>stated succinctly, per R.C. 4903.221, that “the nature and extent of OCC’s interest is representing the residential customers of AEP Ohio in this case who may lose consumer protections if NEP is allowed to serve them through submetering.”</w:t>
      </w:r>
      <w:r>
        <w:rPr>
          <w:rStyle w:val="FootnoteReference"/>
          <w:szCs w:val="24"/>
        </w:rPr>
        <w:footnoteReference w:id="21"/>
      </w:r>
      <w:r w:rsidRPr="003C7194">
        <w:rPr>
          <w:szCs w:val="24"/>
        </w:rPr>
        <w:t xml:space="preserve"> </w:t>
      </w:r>
      <w:r w:rsidRPr="003C7194" w:rsidR="005F1CD9">
        <w:rPr>
          <w:szCs w:val="24"/>
        </w:rPr>
        <w:t>OCC</w:t>
      </w:r>
      <w:r w:rsidRPr="003C7194">
        <w:rPr>
          <w:szCs w:val="24"/>
        </w:rPr>
        <w:t xml:space="preserve"> explained again, per R. C. 4903.221, that our consumer advocacy would include that the affected residential consumers “should not lose service protections they currently receive in the event NEP is permitted to provide submetering.”</w:t>
      </w:r>
      <w:r>
        <w:rPr>
          <w:rStyle w:val="FootnoteReference"/>
          <w:szCs w:val="24"/>
        </w:rPr>
        <w:footnoteReference w:id="22"/>
      </w:r>
      <w:r w:rsidRPr="003C7194">
        <w:rPr>
          <w:szCs w:val="24"/>
        </w:rPr>
        <w:t xml:space="preserve"> Continuing to focus on the over </w:t>
      </w:r>
      <w:r w:rsidRPr="003C7194" w:rsidR="005F1CD9">
        <w:rPr>
          <w:szCs w:val="24"/>
        </w:rPr>
        <w:t>one thousand</w:t>
      </w:r>
      <w:r w:rsidRPr="003C7194">
        <w:rPr>
          <w:szCs w:val="24"/>
        </w:rPr>
        <w:t xml:space="preserve"> residential consumers affected by this case, </w:t>
      </w:r>
      <w:r w:rsidRPr="003C7194" w:rsidR="005F1CD9">
        <w:rPr>
          <w:szCs w:val="24"/>
        </w:rPr>
        <w:t>OCC</w:t>
      </w:r>
      <w:r w:rsidRPr="003C7194">
        <w:rPr>
          <w:szCs w:val="24"/>
        </w:rPr>
        <w:t xml:space="preserve"> emphasized the “very real and substantial interest in this case where NEP, a submetering service company, wants to provide essential electric utility service to AEP Ohio’s residential consumers.”</w:t>
      </w:r>
      <w:r>
        <w:rPr>
          <w:rStyle w:val="FootnoteReference"/>
          <w:szCs w:val="24"/>
        </w:rPr>
        <w:footnoteReference w:id="23"/>
      </w:r>
      <w:r w:rsidRPr="003C7194" w:rsidR="005F1CD9">
        <w:rPr>
          <w:szCs w:val="24"/>
        </w:rPr>
        <w:t xml:space="preserve"> </w:t>
      </w:r>
    </w:p>
    <w:p w:rsidR="00D97C5F" w:rsidRPr="003C7194" w:rsidP="00FC11E7" w14:paraId="2D15AB27" w14:textId="77777777">
      <w:pPr>
        <w:pStyle w:val="BodyTextIndent3"/>
        <w:widowControl w:val="0"/>
        <w:spacing w:line="480" w:lineRule="auto"/>
        <w:rPr>
          <w:szCs w:val="24"/>
        </w:rPr>
      </w:pPr>
      <w:r w:rsidRPr="003C7194">
        <w:rPr>
          <w:szCs w:val="24"/>
        </w:rPr>
        <w:t>O</w:t>
      </w:r>
      <w:r w:rsidRPr="003C7194" w:rsidR="00A2384E">
        <w:rPr>
          <w:szCs w:val="24"/>
        </w:rPr>
        <w:t xml:space="preserve">CC’s </w:t>
      </w:r>
      <w:r w:rsidRPr="003C7194">
        <w:rPr>
          <w:szCs w:val="24"/>
        </w:rPr>
        <w:t xml:space="preserve">Reply supporting intervention remained focused on the over </w:t>
      </w:r>
      <w:r w:rsidRPr="003C7194" w:rsidR="00302BFD">
        <w:rPr>
          <w:szCs w:val="24"/>
        </w:rPr>
        <w:t>one thousand</w:t>
      </w:r>
      <w:r w:rsidRPr="003C7194">
        <w:rPr>
          <w:szCs w:val="24"/>
        </w:rPr>
        <w:t xml:space="preserve"> residential consumers affected by this case and our right under state law to advocate for those consumers. “Over a thousand residential consumers of AEP Ohio may be ‘adversely affected’ by NEP’s demands to resell (submeter) electric utility service in apartment complexes. If NEP prevails, the apartment complex residents will pay higher rates and lose many of the consumer protections they receive when AEP Ohio provides service under PUCO regulation.”</w:t>
      </w:r>
      <w:r>
        <w:rPr>
          <w:rStyle w:val="FootnoteReference"/>
          <w:szCs w:val="24"/>
        </w:rPr>
        <w:footnoteReference w:id="24"/>
      </w:r>
      <w:r w:rsidRPr="003C7194">
        <w:rPr>
          <w:szCs w:val="24"/>
        </w:rPr>
        <w:t xml:space="preserve"> </w:t>
      </w:r>
      <w:r w:rsidRPr="003C7194" w:rsidR="006F4FF7">
        <w:rPr>
          <w:szCs w:val="24"/>
        </w:rPr>
        <w:t>OCC</w:t>
      </w:r>
      <w:r w:rsidRPr="003C7194">
        <w:rPr>
          <w:szCs w:val="24"/>
        </w:rPr>
        <w:t xml:space="preserve"> pointed out the real harms that the over </w:t>
      </w:r>
      <w:r w:rsidRPr="003C7194" w:rsidR="006F4FF7">
        <w:rPr>
          <w:szCs w:val="24"/>
        </w:rPr>
        <w:t>one thousand</w:t>
      </w:r>
      <w:r w:rsidRPr="003C7194">
        <w:rPr>
          <w:szCs w:val="24"/>
        </w:rPr>
        <w:t xml:space="preserve"> residential consumers affected by this case will face if they are forced to receive their essential electric utility service from NEP.</w:t>
      </w:r>
      <w:r>
        <w:rPr>
          <w:rStyle w:val="FootnoteReference"/>
          <w:szCs w:val="24"/>
        </w:rPr>
        <w:footnoteReference w:id="25"/>
      </w:r>
      <w:r w:rsidRPr="003C7194">
        <w:rPr>
          <w:szCs w:val="24"/>
        </w:rPr>
        <w:t xml:space="preserve"> “Therefore, over a thousand of AEP Ohio’s residential consumers have real and substantial interests firmly grounded in the complaint.”</w:t>
      </w:r>
      <w:r>
        <w:rPr>
          <w:rStyle w:val="FootnoteReference"/>
          <w:szCs w:val="24"/>
        </w:rPr>
        <w:footnoteReference w:id="26"/>
      </w:r>
    </w:p>
    <w:p w:rsidR="00ED7376" w:rsidP="00FC11E7" w14:paraId="3353CA7D" w14:textId="35142568">
      <w:pPr>
        <w:pStyle w:val="BodyTextIndent3"/>
        <w:widowControl w:val="0"/>
        <w:spacing w:line="480" w:lineRule="auto"/>
        <w:rPr>
          <w:szCs w:val="24"/>
        </w:rPr>
      </w:pPr>
      <w:r w:rsidRPr="003C7194">
        <w:rPr>
          <w:szCs w:val="24"/>
        </w:rPr>
        <w:t>The PUCO states that</w:t>
      </w:r>
      <w:r w:rsidRPr="003C7194" w:rsidR="00C81D8F">
        <w:rPr>
          <w:szCs w:val="24"/>
        </w:rPr>
        <w:t xml:space="preserve"> OCC’s intervention is “premature” because any interest OCC has would be moot if the PUCO determines that NEP does not operate as a public utility.</w:t>
      </w:r>
      <w:r>
        <w:rPr>
          <w:rStyle w:val="FootnoteReference"/>
          <w:szCs w:val="24"/>
        </w:rPr>
        <w:footnoteReference w:id="27"/>
      </w:r>
      <w:r w:rsidRPr="003C7194" w:rsidR="00244F9B">
        <w:rPr>
          <w:szCs w:val="24"/>
        </w:rPr>
        <w:t xml:space="preserve"> </w:t>
      </w:r>
      <w:r w:rsidRPr="003C7194" w:rsidR="009667DF">
        <w:rPr>
          <w:szCs w:val="24"/>
        </w:rPr>
        <w:t>However, a</w:t>
      </w:r>
      <w:r w:rsidRPr="003C7194">
        <w:rPr>
          <w:szCs w:val="24"/>
        </w:rPr>
        <w:t xml:space="preserve"> PUCO determination that NEP does not operate as a public utility </w:t>
      </w:r>
      <w:r w:rsidRPr="003C7194" w:rsidR="00424E1E">
        <w:rPr>
          <w:szCs w:val="24"/>
        </w:rPr>
        <w:t xml:space="preserve">when it submeters </w:t>
      </w:r>
      <w:r w:rsidRPr="003C7194">
        <w:rPr>
          <w:szCs w:val="24"/>
        </w:rPr>
        <w:t xml:space="preserve">service is </w:t>
      </w:r>
      <w:r w:rsidRPr="003C7194">
        <w:rPr>
          <w:i/>
          <w:iCs/>
          <w:szCs w:val="24"/>
        </w:rPr>
        <w:t>precisely why</w:t>
      </w:r>
      <w:r w:rsidRPr="003C7194">
        <w:rPr>
          <w:szCs w:val="24"/>
        </w:rPr>
        <w:t xml:space="preserve"> OCC has a real and substantial interest in this case. I</w:t>
      </w:r>
      <w:r w:rsidRPr="003C7194" w:rsidR="00577A92">
        <w:rPr>
          <w:szCs w:val="24"/>
        </w:rPr>
        <w:t xml:space="preserve">f the PUCO determines that NEP can continue to submeter without providing the protections consumers receive from the regulated public utility (AEP), consumers </w:t>
      </w:r>
      <w:r w:rsidRPr="003C7194" w:rsidR="00577A92">
        <w:rPr>
          <w:i/>
          <w:iCs/>
          <w:szCs w:val="24"/>
        </w:rPr>
        <w:t>will be harmed</w:t>
      </w:r>
      <w:r w:rsidRPr="003C7194" w:rsidR="00577A92">
        <w:rPr>
          <w:szCs w:val="24"/>
        </w:rPr>
        <w:t xml:space="preserve">. </w:t>
      </w:r>
      <w:r w:rsidRPr="003C7194" w:rsidR="00424E1E">
        <w:rPr>
          <w:szCs w:val="24"/>
        </w:rPr>
        <w:t>C</w:t>
      </w:r>
      <w:r w:rsidRPr="003C7194" w:rsidR="00577A92">
        <w:rPr>
          <w:szCs w:val="24"/>
        </w:rPr>
        <w:t>ontrary to the PUCO’s claims</w:t>
      </w:r>
      <w:r w:rsidRPr="003C7194" w:rsidR="00424E1E">
        <w:rPr>
          <w:szCs w:val="24"/>
        </w:rPr>
        <w:t>,</w:t>
      </w:r>
      <w:r w:rsidRPr="003C7194" w:rsidR="00577A92">
        <w:rPr>
          <w:szCs w:val="24"/>
        </w:rPr>
        <w:t xml:space="preserve"> OCC does have a real and substantial interest in this case as required by O.A.C. 4901-1-11. </w:t>
      </w:r>
      <w:r w:rsidRPr="003C7194" w:rsidR="00424E1E">
        <w:rPr>
          <w:szCs w:val="24"/>
        </w:rPr>
        <w:t>Thus</w:t>
      </w:r>
      <w:r w:rsidRPr="003C7194" w:rsidR="00577A92">
        <w:rPr>
          <w:szCs w:val="24"/>
        </w:rPr>
        <w:t>, t</w:t>
      </w:r>
      <w:r w:rsidRPr="003C7194" w:rsidR="00096ADB">
        <w:rPr>
          <w:szCs w:val="24"/>
        </w:rPr>
        <w:t>he PUCO should</w:t>
      </w:r>
      <w:r w:rsidRPr="003C7194" w:rsidR="00302BFD">
        <w:rPr>
          <w:szCs w:val="24"/>
        </w:rPr>
        <w:t xml:space="preserve"> grant rehearing </w:t>
      </w:r>
      <w:r w:rsidRPr="003C7194" w:rsidR="00096ADB">
        <w:rPr>
          <w:szCs w:val="24"/>
        </w:rPr>
        <w:t>and grant OCC’s intervention so that it can protect the affected consumers’ interest</w:t>
      </w:r>
      <w:r w:rsidRPr="003C7194" w:rsidR="00244E7D">
        <w:rPr>
          <w:szCs w:val="24"/>
        </w:rPr>
        <w:t>s</w:t>
      </w:r>
      <w:r w:rsidRPr="003C7194" w:rsidR="00096ADB">
        <w:rPr>
          <w:szCs w:val="24"/>
        </w:rPr>
        <w:t xml:space="preserve">. </w:t>
      </w:r>
    </w:p>
    <w:p w:rsidR="0064028D" w:rsidP="00FC11E7" w14:paraId="60EBD155" w14:textId="1B71E823">
      <w:pPr>
        <w:pStyle w:val="BodyTextIndent3"/>
        <w:widowControl w:val="0"/>
        <w:spacing w:line="480" w:lineRule="auto"/>
        <w:rPr>
          <w:szCs w:val="24"/>
        </w:rPr>
      </w:pPr>
    </w:p>
    <w:p w:rsidR="0064028D" w:rsidP="00FC11E7" w14:paraId="7BE34906" w14:textId="4EC0669F">
      <w:pPr>
        <w:pStyle w:val="BodyTextIndent3"/>
        <w:widowControl w:val="0"/>
        <w:spacing w:line="480" w:lineRule="auto"/>
        <w:rPr>
          <w:szCs w:val="24"/>
        </w:rPr>
      </w:pPr>
    </w:p>
    <w:p w:rsidR="0064028D" w:rsidRPr="003C7194" w:rsidP="00FC11E7" w14:paraId="462DD35A" w14:textId="77777777">
      <w:pPr>
        <w:pStyle w:val="BodyTextIndent3"/>
        <w:widowControl w:val="0"/>
        <w:spacing w:line="480" w:lineRule="auto"/>
        <w:rPr>
          <w:szCs w:val="24"/>
        </w:rPr>
      </w:pPr>
    </w:p>
    <w:p w:rsidR="00955F37" w:rsidRPr="003C7194" w:rsidP="00FE15B7" w14:paraId="308BF6A7" w14:textId="27557FB9">
      <w:pPr>
        <w:pStyle w:val="Heading2"/>
      </w:pPr>
      <w:bookmarkStart w:id="8" w:name="_Toc112416635"/>
      <w:r w:rsidRPr="003C7194">
        <w:t>ASSIGNMENT OF ERROR NO. 2:</w:t>
      </w:r>
      <w:r w:rsidRPr="003C7194" w:rsidR="008B584A">
        <w:t xml:space="preserve"> </w:t>
      </w:r>
      <w:r w:rsidRPr="003C7194" w:rsidR="009667DF">
        <w:t xml:space="preserve">The PUCO erred by unjustly and unreasonably affirming the Attorney Examiner’s decision to deny OCC intervention because the PUCO </w:t>
      </w:r>
      <w:r w:rsidRPr="003C7194" w:rsidR="00244E7D">
        <w:t>incorrectly</w:t>
      </w:r>
      <w:r w:rsidRPr="003C7194" w:rsidR="009667DF">
        <w:t xml:space="preserve"> determined that OCC’s only interest in AEP’s complaint against NEP is in its precedential value.</w:t>
      </w:r>
      <w:bookmarkEnd w:id="8"/>
    </w:p>
    <w:p w:rsidR="00302BFD" w:rsidRPr="003C7194" w:rsidP="00302BFD" w14:paraId="048224F6" w14:textId="77777777">
      <w:pPr>
        <w:ind w:left="720"/>
        <w:contextualSpacing/>
        <w:rPr>
          <w:b/>
          <w:szCs w:val="24"/>
        </w:rPr>
      </w:pPr>
    </w:p>
    <w:p w:rsidR="007A3253" w:rsidRPr="003C7194" w:rsidP="00244E7D" w14:paraId="0FD09F00" w14:textId="161197EE">
      <w:pPr>
        <w:pStyle w:val="BodyTextIndent3"/>
        <w:widowControl w:val="0"/>
        <w:spacing w:line="480" w:lineRule="auto"/>
        <w:rPr>
          <w:szCs w:val="24"/>
        </w:rPr>
      </w:pPr>
      <w:r w:rsidRPr="003C7194">
        <w:rPr>
          <w:szCs w:val="24"/>
        </w:rPr>
        <w:t xml:space="preserve">The PUCO denied OCC intervention to protect consumers because it unreasonably and incorrectly determined that OCC’s only interest </w:t>
      </w:r>
      <w:r w:rsidRPr="003C7194" w:rsidR="00302BFD">
        <w:rPr>
          <w:szCs w:val="24"/>
        </w:rPr>
        <w:t xml:space="preserve">in this case </w:t>
      </w:r>
      <w:r w:rsidRPr="003C7194">
        <w:rPr>
          <w:szCs w:val="24"/>
        </w:rPr>
        <w:t>is in its</w:t>
      </w:r>
      <w:r w:rsidRPr="003C7194" w:rsidR="00302BFD">
        <w:rPr>
          <w:szCs w:val="24"/>
        </w:rPr>
        <w:t xml:space="preserve"> precedential value</w:t>
      </w:r>
      <w:r w:rsidRPr="003C7194" w:rsidR="007031AF">
        <w:rPr>
          <w:szCs w:val="24"/>
        </w:rPr>
        <w:t>.</w:t>
      </w:r>
      <w:r>
        <w:rPr>
          <w:rStyle w:val="FootnoteReference"/>
          <w:szCs w:val="24"/>
        </w:rPr>
        <w:footnoteReference w:id="28"/>
      </w:r>
      <w:r w:rsidRPr="003C7194" w:rsidR="007031AF">
        <w:rPr>
          <w:szCs w:val="24"/>
        </w:rPr>
        <w:t xml:space="preserve"> </w:t>
      </w:r>
      <w:r w:rsidRPr="003C7194" w:rsidR="006F4FF7">
        <w:rPr>
          <w:szCs w:val="24"/>
        </w:rPr>
        <w:t xml:space="preserve">Rather than its precedential value, OCC in its motion to intervene and </w:t>
      </w:r>
      <w:r w:rsidRPr="003C7194" w:rsidR="006A1533">
        <w:rPr>
          <w:szCs w:val="24"/>
        </w:rPr>
        <w:t>R</w:t>
      </w:r>
      <w:r w:rsidRPr="003C7194" w:rsidR="006F4FF7">
        <w:rPr>
          <w:szCs w:val="24"/>
        </w:rPr>
        <w:t xml:space="preserve">eply explained clearly that its interest in this case under state law is its effects on the over one thousand residential consumers that may be forced to receive their essential electric service from NEP. As stated above, these consumers may already </w:t>
      </w:r>
      <w:r w:rsidRPr="003C7194" w:rsidR="006A1533">
        <w:rPr>
          <w:szCs w:val="24"/>
        </w:rPr>
        <w:t>face</w:t>
      </w:r>
      <w:r w:rsidRPr="003C7194" w:rsidR="006F4FF7">
        <w:rPr>
          <w:szCs w:val="24"/>
        </w:rPr>
        <w:t xml:space="preserve"> harm given the PUCO’s decision to allow NEP to submeter pending the outcome of this case. </w:t>
      </w:r>
      <w:r w:rsidRPr="003C7194" w:rsidR="00C1172E">
        <w:rPr>
          <w:szCs w:val="24"/>
        </w:rPr>
        <w:t>These consumers have a right to be heard under Ohio law, including R.C. 4903.221</w:t>
      </w:r>
      <w:r w:rsidRPr="003C7194" w:rsidR="006A1533">
        <w:rPr>
          <w:szCs w:val="24"/>
        </w:rPr>
        <w:t>.</w:t>
      </w:r>
      <w:r w:rsidRPr="003C7194" w:rsidR="00C1172E">
        <w:rPr>
          <w:szCs w:val="24"/>
        </w:rPr>
        <w:t xml:space="preserve"> </w:t>
      </w:r>
      <w:r w:rsidRPr="003C7194" w:rsidR="006A1533">
        <w:rPr>
          <w:szCs w:val="24"/>
        </w:rPr>
        <w:t>T</w:t>
      </w:r>
      <w:r w:rsidRPr="003C7194" w:rsidR="006F4FF7">
        <w:rPr>
          <w:szCs w:val="24"/>
        </w:rPr>
        <w:t xml:space="preserve">he PUCO has </w:t>
      </w:r>
      <w:r w:rsidRPr="003C7194" w:rsidR="006A1533">
        <w:rPr>
          <w:szCs w:val="24"/>
        </w:rPr>
        <w:t xml:space="preserve">wrongly </w:t>
      </w:r>
      <w:r w:rsidRPr="003C7194" w:rsidR="006F4FF7">
        <w:rPr>
          <w:szCs w:val="24"/>
        </w:rPr>
        <w:t>denied them a voice</w:t>
      </w:r>
      <w:r w:rsidRPr="003C7194" w:rsidR="00C1172E">
        <w:rPr>
          <w:szCs w:val="24"/>
        </w:rPr>
        <w:t xml:space="preserve">. </w:t>
      </w:r>
    </w:p>
    <w:p w:rsidR="000079E6" w:rsidRPr="003C7194" w:rsidP="00162D63" w14:paraId="51708E3A" w14:textId="77777777">
      <w:pPr>
        <w:pStyle w:val="BodyTextIndent3"/>
        <w:widowControl w:val="0"/>
        <w:spacing w:line="480" w:lineRule="auto"/>
        <w:rPr>
          <w:szCs w:val="24"/>
        </w:rPr>
      </w:pPr>
      <w:r w:rsidRPr="003C7194">
        <w:rPr>
          <w:szCs w:val="24"/>
        </w:rPr>
        <w:t xml:space="preserve">The PUCO relies on </w:t>
      </w:r>
      <w:r w:rsidRPr="003C7194" w:rsidR="006A1533">
        <w:rPr>
          <w:szCs w:val="24"/>
        </w:rPr>
        <w:t>a</w:t>
      </w:r>
      <w:r w:rsidRPr="003C7194">
        <w:rPr>
          <w:szCs w:val="24"/>
        </w:rPr>
        <w:t xml:space="preserve"> 2015 decision </w:t>
      </w:r>
      <w:r w:rsidRPr="003C7194" w:rsidR="00421611">
        <w:rPr>
          <w:szCs w:val="24"/>
        </w:rPr>
        <w:t>from</w:t>
      </w:r>
      <w:r w:rsidRPr="003C7194" w:rsidR="00FD7C27">
        <w:rPr>
          <w:szCs w:val="24"/>
        </w:rPr>
        <w:t xml:space="preserve"> </w:t>
      </w:r>
      <w:r w:rsidRPr="003C7194" w:rsidR="00FD7C27">
        <w:rPr>
          <w:i/>
          <w:iCs/>
          <w:szCs w:val="24"/>
        </w:rPr>
        <w:t>In re Complaint of Mark Whitt</w:t>
      </w:r>
      <w:r w:rsidRPr="003C7194" w:rsidR="00CE66BA">
        <w:rPr>
          <w:szCs w:val="24"/>
        </w:rPr>
        <w:t>,</w:t>
      </w:r>
      <w:r w:rsidRPr="003C7194" w:rsidR="00FD7C27">
        <w:rPr>
          <w:szCs w:val="24"/>
        </w:rPr>
        <w:t xml:space="preserve"> Case No. 15-697-EL-CSS</w:t>
      </w:r>
      <w:r w:rsidRPr="003C7194">
        <w:rPr>
          <w:szCs w:val="24"/>
        </w:rPr>
        <w:t>,</w:t>
      </w:r>
      <w:r>
        <w:rPr>
          <w:rStyle w:val="FootnoteReference"/>
          <w:szCs w:val="24"/>
        </w:rPr>
        <w:footnoteReference w:id="29"/>
      </w:r>
      <w:r w:rsidRPr="003C7194" w:rsidR="00132F1B">
        <w:rPr>
          <w:szCs w:val="24"/>
        </w:rPr>
        <w:t xml:space="preserve"> </w:t>
      </w:r>
      <w:r w:rsidRPr="003C7194">
        <w:rPr>
          <w:szCs w:val="24"/>
        </w:rPr>
        <w:t>to deny OCC’s intervention.</w:t>
      </w:r>
      <w:r>
        <w:rPr>
          <w:rStyle w:val="FootnoteReference"/>
          <w:szCs w:val="24"/>
        </w:rPr>
        <w:footnoteReference w:id="30"/>
      </w:r>
      <w:r w:rsidRPr="003C7194">
        <w:rPr>
          <w:szCs w:val="24"/>
        </w:rPr>
        <w:t xml:space="preserve"> </w:t>
      </w:r>
      <w:r w:rsidRPr="003C7194" w:rsidR="00D0356E">
        <w:rPr>
          <w:szCs w:val="24"/>
        </w:rPr>
        <w:t xml:space="preserve">But </w:t>
      </w:r>
      <w:r w:rsidRPr="003C7194" w:rsidR="0040228B">
        <w:rPr>
          <w:szCs w:val="24"/>
        </w:rPr>
        <w:t xml:space="preserve">the </w:t>
      </w:r>
      <w:r w:rsidRPr="003C7194" w:rsidR="005627D9">
        <w:rPr>
          <w:szCs w:val="24"/>
        </w:rPr>
        <w:t xml:space="preserve">PUCO’s </w:t>
      </w:r>
      <w:r w:rsidRPr="003C7194" w:rsidR="0040228B">
        <w:rPr>
          <w:szCs w:val="24"/>
        </w:rPr>
        <w:t xml:space="preserve">reliance on </w:t>
      </w:r>
      <w:r w:rsidRPr="003C7194" w:rsidR="005627D9">
        <w:rPr>
          <w:i/>
          <w:iCs/>
          <w:szCs w:val="24"/>
        </w:rPr>
        <w:t>Whitt</w:t>
      </w:r>
      <w:r w:rsidRPr="003C7194" w:rsidR="005627D9">
        <w:rPr>
          <w:szCs w:val="24"/>
        </w:rPr>
        <w:t xml:space="preserve"> is</w:t>
      </w:r>
      <w:r w:rsidRPr="003C7194" w:rsidR="005E4CB1">
        <w:rPr>
          <w:szCs w:val="24"/>
        </w:rPr>
        <w:t xml:space="preserve"> misplaced</w:t>
      </w:r>
      <w:r w:rsidRPr="003C7194" w:rsidR="001D2379">
        <w:rPr>
          <w:szCs w:val="24"/>
        </w:rPr>
        <w:t xml:space="preserve"> and</w:t>
      </w:r>
      <w:r w:rsidRPr="003C7194" w:rsidR="00132F1B">
        <w:rPr>
          <w:szCs w:val="24"/>
        </w:rPr>
        <w:t xml:space="preserve"> that </w:t>
      </w:r>
      <w:r w:rsidRPr="003C7194" w:rsidR="001D2379">
        <w:rPr>
          <w:szCs w:val="24"/>
        </w:rPr>
        <w:t>decision</w:t>
      </w:r>
      <w:r w:rsidRPr="003C7194" w:rsidR="0088606B">
        <w:rPr>
          <w:szCs w:val="24"/>
        </w:rPr>
        <w:t xml:space="preserve"> sho</w:t>
      </w:r>
      <w:r w:rsidRPr="003C7194" w:rsidR="00132F1B">
        <w:rPr>
          <w:szCs w:val="24"/>
        </w:rPr>
        <w:t>uld not control here.</w:t>
      </w:r>
      <w:r w:rsidRPr="003C7194" w:rsidR="00414663">
        <w:rPr>
          <w:szCs w:val="24"/>
        </w:rPr>
        <w:t xml:space="preserve"> </w:t>
      </w:r>
      <w:r w:rsidRPr="003C7194" w:rsidR="00D0356E">
        <w:rPr>
          <w:szCs w:val="24"/>
        </w:rPr>
        <w:t xml:space="preserve">The PUCO </w:t>
      </w:r>
      <w:r w:rsidRPr="003C7194" w:rsidR="00F33A14">
        <w:rPr>
          <w:szCs w:val="24"/>
        </w:rPr>
        <w:t>states</w:t>
      </w:r>
      <w:r w:rsidRPr="003C7194" w:rsidR="00D0356E">
        <w:rPr>
          <w:szCs w:val="24"/>
        </w:rPr>
        <w:t xml:space="preserve"> that the denial of OCC’s intervention in </w:t>
      </w:r>
      <w:r w:rsidRPr="003C7194" w:rsidR="00D0356E">
        <w:rPr>
          <w:i/>
          <w:iCs/>
          <w:szCs w:val="24"/>
        </w:rPr>
        <w:t>Whitt</w:t>
      </w:r>
      <w:r w:rsidRPr="003C7194" w:rsidR="00D0356E">
        <w:rPr>
          <w:szCs w:val="24"/>
        </w:rPr>
        <w:t xml:space="preserve"> is “identical” to the PUCO’s decision </w:t>
      </w:r>
      <w:r w:rsidRPr="003C7194" w:rsidR="00F33A14">
        <w:rPr>
          <w:szCs w:val="24"/>
        </w:rPr>
        <w:t xml:space="preserve">to deny OCC intervention </w:t>
      </w:r>
      <w:r w:rsidRPr="003C7194" w:rsidR="00D0356E">
        <w:rPr>
          <w:szCs w:val="24"/>
        </w:rPr>
        <w:t>here.</w:t>
      </w:r>
      <w:r>
        <w:rPr>
          <w:rStyle w:val="FootnoteReference"/>
          <w:szCs w:val="24"/>
        </w:rPr>
        <w:footnoteReference w:id="31"/>
      </w:r>
      <w:r w:rsidRPr="003C7194" w:rsidR="00D0356E">
        <w:rPr>
          <w:szCs w:val="24"/>
        </w:rPr>
        <w:t xml:space="preserve"> </w:t>
      </w:r>
      <w:r w:rsidRPr="003C7194" w:rsidR="00F33A14">
        <w:rPr>
          <w:szCs w:val="24"/>
        </w:rPr>
        <w:t>It is not. U</w:t>
      </w:r>
      <w:r w:rsidRPr="003C7194" w:rsidR="00235AA1">
        <w:rPr>
          <w:szCs w:val="24"/>
        </w:rPr>
        <w:t>nlike the over one thousand AEP consumers that could be “adversely affected”</w:t>
      </w:r>
      <w:r>
        <w:rPr>
          <w:rStyle w:val="FootnoteReference"/>
          <w:szCs w:val="24"/>
        </w:rPr>
        <w:footnoteReference w:id="32"/>
      </w:r>
      <w:r w:rsidRPr="003C7194" w:rsidR="00235AA1">
        <w:rPr>
          <w:szCs w:val="24"/>
        </w:rPr>
        <w:t xml:space="preserve"> </w:t>
      </w:r>
      <w:r w:rsidRPr="003C7194" w:rsidR="00F33A14">
        <w:rPr>
          <w:szCs w:val="24"/>
        </w:rPr>
        <w:t xml:space="preserve">by NEP </w:t>
      </w:r>
      <w:r w:rsidRPr="003C7194" w:rsidR="00235AA1">
        <w:rPr>
          <w:szCs w:val="24"/>
        </w:rPr>
        <w:t xml:space="preserve">in this case, </w:t>
      </w:r>
      <w:r w:rsidRPr="003C7194" w:rsidR="00235AA1">
        <w:rPr>
          <w:i/>
          <w:iCs/>
          <w:szCs w:val="24"/>
        </w:rPr>
        <w:t>Whitt</w:t>
      </w:r>
      <w:r w:rsidRPr="003C7194" w:rsidR="00132F1B">
        <w:rPr>
          <w:szCs w:val="24"/>
        </w:rPr>
        <w:t xml:space="preserve"> </w:t>
      </w:r>
      <w:r w:rsidRPr="003C7194" w:rsidR="00053068">
        <w:rPr>
          <w:szCs w:val="24"/>
        </w:rPr>
        <w:t xml:space="preserve">concerned a </w:t>
      </w:r>
      <w:r w:rsidRPr="003C7194" w:rsidR="00053068">
        <w:rPr>
          <w:b/>
          <w:bCs/>
          <w:szCs w:val="24"/>
        </w:rPr>
        <w:t>single</w:t>
      </w:r>
      <w:r w:rsidRPr="003C7194" w:rsidR="00053068">
        <w:rPr>
          <w:szCs w:val="24"/>
        </w:rPr>
        <w:t xml:space="preserve"> </w:t>
      </w:r>
      <w:r w:rsidRPr="003C7194" w:rsidR="00271BAA">
        <w:rPr>
          <w:szCs w:val="24"/>
        </w:rPr>
        <w:t xml:space="preserve">residential consumer </w:t>
      </w:r>
      <w:r w:rsidRPr="003C7194" w:rsidR="00053068">
        <w:rPr>
          <w:szCs w:val="24"/>
        </w:rPr>
        <w:t>complainant</w:t>
      </w:r>
      <w:r w:rsidRPr="003C7194" w:rsidR="00D22AD8">
        <w:rPr>
          <w:szCs w:val="24"/>
        </w:rPr>
        <w:t xml:space="preserve"> (Mark Whitt)</w:t>
      </w:r>
      <w:r w:rsidRPr="003C7194" w:rsidR="00053068">
        <w:rPr>
          <w:szCs w:val="24"/>
        </w:rPr>
        <w:t xml:space="preserve"> against NEP</w:t>
      </w:r>
      <w:r w:rsidRPr="003C7194" w:rsidR="00132F1B">
        <w:rPr>
          <w:szCs w:val="24"/>
        </w:rPr>
        <w:t>.</w:t>
      </w:r>
      <w:r>
        <w:rPr>
          <w:rStyle w:val="FootnoteReference"/>
          <w:szCs w:val="24"/>
        </w:rPr>
        <w:footnoteReference w:id="33"/>
      </w:r>
      <w:r w:rsidRPr="003C7194" w:rsidR="00BA4E04">
        <w:rPr>
          <w:szCs w:val="24"/>
        </w:rPr>
        <w:t xml:space="preserve"> </w:t>
      </w:r>
      <w:r w:rsidRPr="003C7194" w:rsidR="00132F1B">
        <w:rPr>
          <w:szCs w:val="24"/>
        </w:rPr>
        <w:t>NEP acknowledged</w:t>
      </w:r>
      <w:r w:rsidRPr="003C7194" w:rsidR="00271BAA">
        <w:rPr>
          <w:szCs w:val="24"/>
        </w:rPr>
        <w:t xml:space="preserve"> in that case</w:t>
      </w:r>
      <w:r w:rsidRPr="003C7194" w:rsidR="00D0356E">
        <w:rPr>
          <w:szCs w:val="24"/>
        </w:rPr>
        <w:t xml:space="preserve"> that</w:t>
      </w:r>
      <w:r w:rsidRPr="003C7194" w:rsidR="00132F1B">
        <w:rPr>
          <w:szCs w:val="24"/>
        </w:rPr>
        <w:t xml:space="preserve"> Mr. Whitt </w:t>
      </w:r>
      <w:r w:rsidRPr="003C7194" w:rsidR="00271BAA">
        <w:rPr>
          <w:szCs w:val="24"/>
        </w:rPr>
        <w:t>was (and still is)</w:t>
      </w:r>
      <w:r w:rsidRPr="003C7194" w:rsidR="00B5081F">
        <w:rPr>
          <w:szCs w:val="24"/>
        </w:rPr>
        <w:t xml:space="preserve"> </w:t>
      </w:r>
      <w:r w:rsidRPr="003C7194" w:rsidR="00BA4E04">
        <w:rPr>
          <w:szCs w:val="24"/>
        </w:rPr>
        <w:t xml:space="preserve">an attorney </w:t>
      </w:r>
      <w:r w:rsidRPr="003C7194" w:rsidR="00271BAA">
        <w:rPr>
          <w:szCs w:val="24"/>
        </w:rPr>
        <w:t>experienced</w:t>
      </w:r>
      <w:r w:rsidRPr="003C7194" w:rsidR="00BA4E04">
        <w:rPr>
          <w:szCs w:val="24"/>
        </w:rPr>
        <w:t xml:space="preserve"> in utility regulatory matters before the PUCO</w:t>
      </w:r>
      <w:r w:rsidRPr="003C7194" w:rsidR="002C2339">
        <w:rPr>
          <w:szCs w:val="24"/>
        </w:rPr>
        <w:t>.</w:t>
      </w:r>
      <w:r>
        <w:rPr>
          <w:rStyle w:val="FootnoteReference"/>
          <w:szCs w:val="24"/>
        </w:rPr>
        <w:footnoteReference w:id="34"/>
      </w:r>
      <w:r w:rsidRPr="003C7194" w:rsidR="00BA4E04">
        <w:rPr>
          <w:szCs w:val="24"/>
        </w:rPr>
        <w:t xml:space="preserve"> </w:t>
      </w:r>
      <w:r w:rsidRPr="003C7194" w:rsidR="00D0356E">
        <w:rPr>
          <w:szCs w:val="24"/>
        </w:rPr>
        <w:t>Thus</w:t>
      </w:r>
      <w:r w:rsidRPr="003C7194" w:rsidR="00BA4E04">
        <w:rPr>
          <w:szCs w:val="24"/>
        </w:rPr>
        <w:t>,</w:t>
      </w:r>
      <w:r w:rsidRPr="003C7194" w:rsidR="002C2339">
        <w:rPr>
          <w:szCs w:val="24"/>
        </w:rPr>
        <w:t xml:space="preserve"> Mr. Whitt</w:t>
      </w:r>
      <w:r w:rsidRPr="003C7194" w:rsidR="00BA4E04">
        <w:rPr>
          <w:szCs w:val="24"/>
        </w:rPr>
        <w:t xml:space="preserve"> was </w:t>
      </w:r>
      <w:r w:rsidRPr="003C7194" w:rsidR="00271BAA">
        <w:rPr>
          <w:szCs w:val="24"/>
        </w:rPr>
        <w:t>fully</w:t>
      </w:r>
      <w:r w:rsidRPr="003C7194" w:rsidR="00BA4E04">
        <w:rPr>
          <w:szCs w:val="24"/>
        </w:rPr>
        <w:t xml:space="preserve"> capable of representing his own interests in the matter.</w:t>
      </w:r>
      <w:r w:rsidRPr="003C7194" w:rsidR="002C2339">
        <w:rPr>
          <w:szCs w:val="24"/>
        </w:rPr>
        <w:t xml:space="preserve"> </w:t>
      </w:r>
      <w:r w:rsidRPr="003C7194" w:rsidR="00CE5ADB">
        <w:rPr>
          <w:szCs w:val="24"/>
        </w:rPr>
        <w:t xml:space="preserve">Because </w:t>
      </w:r>
      <w:r w:rsidRPr="003C7194" w:rsidR="00235AA1">
        <w:rPr>
          <w:i/>
          <w:iCs/>
          <w:szCs w:val="24"/>
        </w:rPr>
        <w:t xml:space="preserve">Whitt </w:t>
      </w:r>
      <w:r w:rsidRPr="003C7194" w:rsidR="00CE5ADB">
        <w:rPr>
          <w:szCs w:val="24"/>
        </w:rPr>
        <w:t>involved a dispute between a single</w:t>
      </w:r>
      <w:r w:rsidRPr="003C7194" w:rsidR="00091831">
        <w:rPr>
          <w:szCs w:val="24"/>
        </w:rPr>
        <w:t xml:space="preserve"> residential</w:t>
      </w:r>
      <w:r w:rsidRPr="003C7194" w:rsidR="00CE5ADB">
        <w:rPr>
          <w:szCs w:val="24"/>
        </w:rPr>
        <w:t xml:space="preserve"> customer and NEP,</w:t>
      </w:r>
      <w:r w:rsidRPr="003C7194" w:rsidR="00FF186A">
        <w:rPr>
          <w:szCs w:val="24"/>
        </w:rPr>
        <w:t xml:space="preserve"> </w:t>
      </w:r>
      <w:r w:rsidRPr="003C7194" w:rsidR="00AA6A06">
        <w:rPr>
          <w:szCs w:val="24"/>
        </w:rPr>
        <w:t>(</w:t>
      </w:r>
      <w:r w:rsidRPr="003C7194" w:rsidR="00FF186A">
        <w:rPr>
          <w:szCs w:val="24"/>
        </w:rPr>
        <w:t>both of whom were represented by experienced counsel</w:t>
      </w:r>
      <w:r w:rsidRPr="003C7194" w:rsidR="00AA6A06">
        <w:rPr>
          <w:szCs w:val="24"/>
        </w:rPr>
        <w:t>)</w:t>
      </w:r>
      <w:r w:rsidRPr="003C7194" w:rsidR="00CE5ADB">
        <w:rPr>
          <w:szCs w:val="24"/>
        </w:rPr>
        <w:t xml:space="preserve"> the PUCO de</w:t>
      </w:r>
      <w:r w:rsidRPr="003C7194" w:rsidR="00091831">
        <w:rPr>
          <w:szCs w:val="24"/>
        </w:rPr>
        <w:t>nied intervention to OCC</w:t>
      </w:r>
      <w:r w:rsidRPr="003C7194" w:rsidR="00566C97">
        <w:rPr>
          <w:szCs w:val="24"/>
        </w:rPr>
        <w:t xml:space="preserve"> and others for</w:t>
      </w:r>
      <w:r w:rsidRPr="003C7194" w:rsidR="00AA6A06">
        <w:rPr>
          <w:szCs w:val="24"/>
        </w:rPr>
        <w:t xml:space="preserve"> not demonstrating</w:t>
      </w:r>
      <w:r w:rsidRPr="003C7194" w:rsidR="00566C97">
        <w:rPr>
          <w:szCs w:val="24"/>
        </w:rPr>
        <w:t xml:space="preserve"> how they represented the interests of either Mark Whitt or NEP</w:t>
      </w:r>
      <w:r w:rsidRPr="003C7194" w:rsidR="00091831">
        <w:rPr>
          <w:szCs w:val="24"/>
        </w:rPr>
        <w:t>.</w:t>
      </w:r>
      <w:r w:rsidRPr="003C7194" w:rsidR="00BA4E04">
        <w:rPr>
          <w:szCs w:val="24"/>
        </w:rPr>
        <w:t xml:space="preserve"> </w:t>
      </w:r>
    </w:p>
    <w:p w:rsidR="002C2339" w:rsidRPr="003C7194" w:rsidP="00162D63" w14:paraId="660D2EFE" w14:textId="77777777">
      <w:pPr>
        <w:pStyle w:val="BodyTextIndent3"/>
        <w:widowControl w:val="0"/>
        <w:spacing w:line="480" w:lineRule="auto"/>
        <w:rPr>
          <w:szCs w:val="24"/>
        </w:rPr>
      </w:pPr>
      <w:r w:rsidRPr="003C7194">
        <w:rPr>
          <w:szCs w:val="24"/>
        </w:rPr>
        <w:t xml:space="preserve">By contrast, </w:t>
      </w:r>
      <w:r w:rsidRPr="003C7194" w:rsidR="00BA4E04">
        <w:rPr>
          <w:szCs w:val="24"/>
        </w:rPr>
        <w:t xml:space="preserve">AEP’s complaint </w:t>
      </w:r>
      <w:r w:rsidRPr="003C7194" w:rsidR="00FF6503">
        <w:rPr>
          <w:szCs w:val="24"/>
        </w:rPr>
        <w:t xml:space="preserve">against NEP </w:t>
      </w:r>
      <w:r w:rsidRPr="003C7194" w:rsidR="00566C97">
        <w:rPr>
          <w:szCs w:val="24"/>
        </w:rPr>
        <w:t>in this c</w:t>
      </w:r>
      <w:r w:rsidRPr="003C7194" w:rsidR="00FF6503">
        <w:rPr>
          <w:szCs w:val="24"/>
        </w:rPr>
        <w:t>ase could adversely affect</w:t>
      </w:r>
      <w:r w:rsidRPr="003C7194" w:rsidR="00BA4E04">
        <w:rPr>
          <w:szCs w:val="24"/>
        </w:rPr>
        <w:t xml:space="preserve"> over </w:t>
      </w:r>
      <w:r w:rsidRPr="003C7194">
        <w:rPr>
          <w:szCs w:val="24"/>
        </w:rPr>
        <w:t>one</w:t>
      </w:r>
      <w:r w:rsidRPr="003C7194" w:rsidR="00BA4E04">
        <w:rPr>
          <w:szCs w:val="24"/>
        </w:rPr>
        <w:t xml:space="preserve"> thousand </w:t>
      </w:r>
      <w:r w:rsidRPr="003C7194" w:rsidR="00911BB5">
        <w:rPr>
          <w:szCs w:val="24"/>
        </w:rPr>
        <w:t>apartment complex residential utility consumers</w:t>
      </w:r>
      <w:r w:rsidRPr="003C7194" w:rsidR="00FF6503">
        <w:rPr>
          <w:szCs w:val="24"/>
        </w:rPr>
        <w:t>,</w:t>
      </w:r>
      <w:r w:rsidRPr="003C7194" w:rsidR="00BA4E04">
        <w:rPr>
          <w:szCs w:val="24"/>
        </w:rPr>
        <w:t xml:space="preserve"> who </w:t>
      </w:r>
      <w:r w:rsidRPr="003C7194" w:rsidR="00566C97">
        <w:rPr>
          <w:szCs w:val="24"/>
        </w:rPr>
        <w:t>are likely inexperienced in</w:t>
      </w:r>
      <w:r w:rsidRPr="003C7194" w:rsidR="00BA4E04">
        <w:rPr>
          <w:szCs w:val="24"/>
        </w:rPr>
        <w:t xml:space="preserve"> litigating matters before the PUCO.</w:t>
      </w:r>
      <w:r w:rsidRPr="003C7194">
        <w:rPr>
          <w:szCs w:val="24"/>
        </w:rPr>
        <w:t xml:space="preserve"> These consumers’ interests will not and cannot be adequately represented by AEP or NEP.</w:t>
      </w:r>
      <w:r w:rsidRPr="003C7194" w:rsidR="00566C97">
        <w:rPr>
          <w:szCs w:val="24"/>
        </w:rPr>
        <w:t xml:space="preserve"> </w:t>
      </w:r>
      <w:r w:rsidRPr="003C7194" w:rsidR="00FF186A">
        <w:rPr>
          <w:szCs w:val="24"/>
        </w:rPr>
        <w:t>As set forth in AEP’s complaint, t</w:t>
      </w:r>
      <w:r w:rsidRPr="003C7194">
        <w:rPr>
          <w:szCs w:val="24"/>
        </w:rPr>
        <w:t>he</w:t>
      </w:r>
      <w:r w:rsidRPr="003C7194" w:rsidR="00911BB5">
        <w:rPr>
          <w:szCs w:val="24"/>
        </w:rPr>
        <w:t xml:space="preserve"> apartment complex residents have</w:t>
      </w:r>
      <w:r w:rsidRPr="003C7194" w:rsidR="002B2BFA">
        <w:rPr>
          <w:szCs w:val="24"/>
        </w:rPr>
        <w:t xml:space="preserve"> </w:t>
      </w:r>
      <w:r w:rsidRPr="003C7194" w:rsidR="00FF186A">
        <w:rPr>
          <w:szCs w:val="24"/>
        </w:rPr>
        <w:t xml:space="preserve">real and </w:t>
      </w:r>
      <w:r w:rsidRPr="003C7194" w:rsidR="002B2BFA">
        <w:rPr>
          <w:szCs w:val="24"/>
        </w:rPr>
        <w:t>substantial</w:t>
      </w:r>
      <w:r w:rsidRPr="003C7194" w:rsidR="00FF186A">
        <w:rPr>
          <w:szCs w:val="24"/>
        </w:rPr>
        <w:t xml:space="preserve"> interest</w:t>
      </w:r>
      <w:r w:rsidRPr="003C7194" w:rsidR="002B2BFA">
        <w:rPr>
          <w:szCs w:val="24"/>
        </w:rPr>
        <w:t>s</w:t>
      </w:r>
      <w:r w:rsidRPr="003C7194" w:rsidR="00FF186A">
        <w:rPr>
          <w:szCs w:val="24"/>
        </w:rPr>
        <w:t xml:space="preserve"> in this case, and they</w:t>
      </w:r>
      <w:r w:rsidRPr="003C7194">
        <w:rPr>
          <w:szCs w:val="24"/>
        </w:rPr>
        <w:t xml:space="preserve"> deserve representation</w:t>
      </w:r>
      <w:r w:rsidRPr="003C7194" w:rsidR="00FF186A">
        <w:rPr>
          <w:szCs w:val="24"/>
        </w:rPr>
        <w:t xml:space="preserve"> </w:t>
      </w:r>
      <w:r w:rsidRPr="003C7194">
        <w:rPr>
          <w:szCs w:val="24"/>
        </w:rPr>
        <w:t>by the statutory residential utility consumer advocate, OCC.</w:t>
      </w:r>
      <w:r w:rsidRPr="003C7194" w:rsidR="00FA2C85">
        <w:rPr>
          <w:szCs w:val="24"/>
        </w:rPr>
        <w:t xml:space="preserve"> </w:t>
      </w:r>
    </w:p>
    <w:p w:rsidR="00A530AB" w:rsidP="0084686F" w14:paraId="7E070B2A" w14:textId="77777777">
      <w:pPr>
        <w:pStyle w:val="BodyTextIndent3"/>
        <w:widowControl w:val="0"/>
        <w:spacing w:line="480" w:lineRule="auto"/>
        <w:rPr>
          <w:szCs w:val="24"/>
        </w:rPr>
      </w:pPr>
      <w:r w:rsidRPr="003C7194">
        <w:rPr>
          <w:szCs w:val="24"/>
        </w:rPr>
        <w:t xml:space="preserve">In addition, although OCC’s intervention in </w:t>
      </w:r>
      <w:r w:rsidRPr="003C7194" w:rsidR="00FF6503">
        <w:rPr>
          <w:i/>
          <w:iCs/>
          <w:szCs w:val="24"/>
        </w:rPr>
        <w:t xml:space="preserve">Whitt </w:t>
      </w:r>
      <w:r w:rsidRPr="003C7194">
        <w:rPr>
          <w:szCs w:val="24"/>
        </w:rPr>
        <w:t>was denied</w:t>
      </w:r>
      <w:r w:rsidRPr="003C7194" w:rsidR="00B87518">
        <w:rPr>
          <w:szCs w:val="24"/>
        </w:rPr>
        <w:t xml:space="preserve"> (mistakenly in </w:t>
      </w:r>
      <w:r w:rsidRPr="003C7194" w:rsidR="00FF6503">
        <w:rPr>
          <w:szCs w:val="24"/>
        </w:rPr>
        <w:t>OCC’s</w:t>
      </w:r>
      <w:r w:rsidRPr="003C7194" w:rsidR="00B87518">
        <w:rPr>
          <w:szCs w:val="24"/>
        </w:rPr>
        <w:t xml:space="preserve"> view)</w:t>
      </w:r>
      <w:r w:rsidRPr="003C7194">
        <w:rPr>
          <w:szCs w:val="24"/>
        </w:rPr>
        <w:t>,</w:t>
      </w:r>
      <w:r w:rsidRPr="003C7194" w:rsidR="005731F1">
        <w:rPr>
          <w:szCs w:val="24"/>
        </w:rPr>
        <w:t xml:space="preserve"> </w:t>
      </w:r>
      <w:r w:rsidRPr="003C7194">
        <w:rPr>
          <w:szCs w:val="24"/>
        </w:rPr>
        <w:t xml:space="preserve">the </w:t>
      </w:r>
      <w:r w:rsidRPr="003C7194" w:rsidR="005731F1">
        <w:rPr>
          <w:szCs w:val="24"/>
        </w:rPr>
        <w:t xml:space="preserve">PUCO </w:t>
      </w:r>
      <w:r w:rsidRPr="003C7194">
        <w:rPr>
          <w:szCs w:val="24"/>
        </w:rPr>
        <w:t>stated that</w:t>
      </w:r>
      <w:r w:rsidRPr="003C7194" w:rsidR="00CC2F98">
        <w:rPr>
          <w:szCs w:val="24"/>
        </w:rPr>
        <w:t xml:space="preserve"> its</w:t>
      </w:r>
      <w:r w:rsidRPr="003C7194">
        <w:rPr>
          <w:szCs w:val="24"/>
        </w:rPr>
        <w:t xml:space="preserve"> decision did not</w:t>
      </w:r>
      <w:r w:rsidRPr="003C7194" w:rsidR="00AB6756">
        <w:rPr>
          <w:szCs w:val="24"/>
        </w:rPr>
        <w:t xml:space="preserve"> foreclose </w:t>
      </w:r>
      <w:r w:rsidRPr="003C7194" w:rsidR="00A01FB9">
        <w:rPr>
          <w:szCs w:val="24"/>
        </w:rPr>
        <w:t xml:space="preserve">OCC and other parties </w:t>
      </w:r>
      <w:r w:rsidRPr="003C7194" w:rsidR="00AB6756">
        <w:rPr>
          <w:szCs w:val="24"/>
        </w:rPr>
        <w:t xml:space="preserve">from </w:t>
      </w:r>
      <w:r w:rsidRPr="003C7194" w:rsidR="009A7BC2">
        <w:rPr>
          <w:szCs w:val="24"/>
        </w:rPr>
        <w:t xml:space="preserve">representing </w:t>
      </w:r>
      <w:r w:rsidRPr="003C7194">
        <w:rPr>
          <w:szCs w:val="24"/>
        </w:rPr>
        <w:t xml:space="preserve">consumers’ interests </w:t>
      </w:r>
      <w:r w:rsidRPr="003C7194" w:rsidR="00583043">
        <w:rPr>
          <w:szCs w:val="24"/>
        </w:rPr>
        <w:t>through participat</w:t>
      </w:r>
      <w:r w:rsidRPr="003C7194" w:rsidR="005731F1">
        <w:rPr>
          <w:szCs w:val="24"/>
        </w:rPr>
        <w:t xml:space="preserve">ion </w:t>
      </w:r>
      <w:r w:rsidRPr="003C7194" w:rsidR="00583043">
        <w:rPr>
          <w:szCs w:val="24"/>
        </w:rPr>
        <w:t>in</w:t>
      </w:r>
      <w:r w:rsidRPr="003C7194" w:rsidR="009A7BC2">
        <w:rPr>
          <w:szCs w:val="24"/>
        </w:rPr>
        <w:t xml:space="preserve"> the PUCO</w:t>
      </w:r>
      <w:r w:rsidRPr="003C7194" w:rsidR="00052DD3">
        <w:rPr>
          <w:szCs w:val="24"/>
        </w:rPr>
        <w:t>-</w:t>
      </w:r>
      <w:r w:rsidRPr="003C7194" w:rsidR="009A7BC2">
        <w:rPr>
          <w:szCs w:val="24"/>
        </w:rPr>
        <w:t>ordered investigation into submetering in</w:t>
      </w:r>
      <w:r w:rsidRPr="003C7194" w:rsidR="0059527A">
        <w:rPr>
          <w:szCs w:val="24"/>
        </w:rPr>
        <w:t xml:space="preserve"> </w:t>
      </w:r>
      <w:r w:rsidRPr="003C7194" w:rsidR="00583043">
        <w:rPr>
          <w:szCs w:val="24"/>
        </w:rPr>
        <w:t>Case No. 15-1594-AU-COI</w:t>
      </w:r>
      <w:r w:rsidRPr="003C7194" w:rsidR="00CC2F98">
        <w:rPr>
          <w:szCs w:val="24"/>
        </w:rPr>
        <w:t>. There,</w:t>
      </w:r>
      <w:r w:rsidRPr="003C7194" w:rsidR="007B6AAF">
        <w:rPr>
          <w:szCs w:val="24"/>
        </w:rPr>
        <w:t xml:space="preserve"> OCC</w:t>
      </w:r>
      <w:r w:rsidRPr="003C7194" w:rsidR="00CC2F98">
        <w:rPr>
          <w:szCs w:val="24"/>
        </w:rPr>
        <w:t xml:space="preserve"> and other parties</w:t>
      </w:r>
      <w:r w:rsidRPr="003C7194" w:rsidR="007B6AAF">
        <w:rPr>
          <w:szCs w:val="24"/>
        </w:rPr>
        <w:t xml:space="preserve"> </w:t>
      </w:r>
      <w:r w:rsidRPr="003C7194" w:rsidR="005F5616">
        <w:rPr>
          <w:szCs w:val="24"/>
        </w:rPr>
        <w:t>had</w:t>
      </w:r>
      <w:r w:rsidRPr="003C7194" w:rsidR="007B6AAF">
        <w:rPr>
          <w:szCs w:val="24"/>
        </w:rPr>
        <w:t xml:space="preserve"> “an opportunity to contribute to the full development and equitable resolution of the underlying legal issue.”</w:t>
      </w:r>
      <w:r>
        <w:rPr>
          <w:rStyle w:val="FootnoteReference"/>
          <w:szCs w:val="24"/>
        </w:rPr>
        <w:footnoteReference w:id="35"/>
      </w:r>
      <w:r w:rsidRPr="003C7194" w:rsidR="00D475BC">
        <w:rPr>
          <w:szCs w:val="24"/>
        </w:rPr>
        <w:t xml:space="preserve"> </w:t>
      </w:r>
      <w:r w:rsidRPr="003C7194" w:rsidR="009A7BC2">
        <w:rPr>
          <w:szCs w:val="24"/>
        </w:rPr>
        <w:t>OCC did</w:t>
      </w:r>
      <w:r w:rsidRPr="003C7194">
        <w:rPr>
          <w:szCs w:val="24"/>
        </w:rPr>
        <w:t xml:space="preserve"> </w:t>
      </w:r>
      <w:r w:rsidRPr="003C7194" w:rsidR="009A7BC2">
        <w:rPr>
          <w:szCs w:val="24"/>
        </w:rPr>
        <w:t>participate in the PUCO’s submetering investigation</w:t>
      </w:r>
      <w:r w:rsidRPr="003C7194">
        <w:rPr>
          <w:szCs w:val="24"/>
        </w:rPr>
        <w:t>, which resulted in</w:t>
      </w:r>
      <w:r w:rsidRPr="003C7194" w:rsidR="00240FC4">
        <w:rPr>
          <w:szCs w:val="24"/>
        </w:rPr>
        <w:t xml:space="preserve"> the</w:t>
      </w:r>
      <w:r w:rsidRPr="003C7194" w:rsidR="009A7BC2">
        <w:rPr>
          <w:szCs w:val="24"/>
        </w:rPr>
        <w:t xml:space="preserve"> PUCO</w:t>
      </w:r>
      <w:r w:rsidRPr="003C7194" w:rsidR="00240FC4">
        <w:rPr>
          <w:szCs w:val="24"/>
        </w:rPr>
        <w:t>’s</w:t>
      </w:r>
      <w:r w:rsidRPr="003C7194" w:rsidR="009A7BC2">
        <w:rPr>
          <w:szCs w:val="24"/>
        </w:rPr>
        <w:t xml:space="preserve"> adopt</w:t>
      </w:r>
      <w:r w:rsidRPr="003C7194" w:rsidR="00240FC4">
        <w:rPr>
          <w:szCs w:val="24"/>
        </w:rPr>
        <w:t>ion of</w:t>
      </w:r>
      <w:r w:rsidRPr="003C7194" w:rsidR="009A7BC2">
        <w:rPr>
          <w:szCs w:val="24"/>
        </w:rPr>
        <w:t xml:space="preserve"> the</w:t>
      </w:r>
      <w:r w:rsidRPr="003C7194" w:rsidR="00CC2F98">
        <w:rPr>
          <w:szCs w:val="24"/>
        </w:rPr>
        <w:t xml:space="preserve"> so-called</w:t>
      </w:r>
      <w:r w:rsidRPr="003C7194" w:rsidR="009A7BC2">
        <w:rPr>
          <w:szCs w:val="24"/>
        </w:rPr>
        <w:t xml:space="preserve"> “modified </w:t>
      </w:r>
      <w:r w:rsidRPr="003C7194" w:rsidR="009A7BC2">
        <w:rPr>
          <w:i/>
          <w:iCs/>
          <w:szCs w:val="24"/>
        </w:rPr>
        <w:t>Shroyer</w:t>
      </w:r>
      <w:r w:rsidRPr="003C7194" w:rsidR="009A7BC2">
        <w:rPr>
          <w:szCs w:val="24"/>
        </w:rPr>
        <w:t xml:space="preserve"> test” to evaluate whether submetering compan</w:t>
      </w:r>
      <w:r w:rsidRPr="003C7194">
        <w:rPr>
          <w:szCs w:val="24"/>
        </w:rPr>
        <w:t>ies</w:t>
      </w:r>
      <w:r w:rsidRPr="003C7194" w:rsidR="009A7BC2">
        <w:rPr>
          <w:szCs w:val="24"/>
        </w:rPr>
        <w:t xml:space="preserve"> like NEP operate as public utilit</w:t>
      </w:r>
      <w:r w:rsidRPr="003C7194">
        <w:rPr>
          <w:szCs w:val="24"/>
        </w:rPr>
        <w:t>ies</w:t>
      </w:r>
      <w:r w:rsidRPr="003C7194" w:rsidR="009A7BC2">
        <w:rPr>
          <w:szCs w:val="24"/>
        </w:rPr>
        <w:t>.</w:t>
      </w:r>
      <w:r>
        <w:rPr>
          <w:rStyle w:val="FootnoteReference"/>
          <w:szCs w:val="24"/>
        </w:rPr>
        <w:footnoteReference w:id="36"/>
      </w:r>
      <w:r w:rsidRPr="003C7194" w:rsidR="009A7BC2">
        <w:rPr>
          <w:szCs w:val="24"/>
        </w:rPr>
        <w:t xml:space="preserve"> </w:t>
      </w:r>
    </w:p>
    <w:p w:rsidR="00A530AB" w14:paraId="26F29BB0" w14:textId="77777777">
      <w:pPr>
        <w:rPr>
          <w:szCs w:val="24"/>
        </w:rPr>
      </w:pPr>
      <w:r>
        <w:rPr>
          <w:szCs w:val="24"/>
        </w:rPr>
        <w:br w:type="page"/>
      </w:r>
    </w:p>
    <w:p w:rsidR="0064028D" w:rsidRPr="003C7194" w:rsidP="00A530AB" w14:paraId="25E80D0B" w14:textId="6F4436AE">
      <w:pPr>
        <w:pStyle w:val="BodyTextIndent3"/>
        <w:widowControl w:val="0"/>
        <w:spacing w:line="480" w:lineRule="auto"/>
        <w:ind w:firstLine="0"/>
        <w:rPr>
          <w:szCs w:val="24"/>
        </w:rPr>
      </w:pPr>
      <w:r w:rsidRPr="003C7194">
        <w:rPr>
          <w:szCs w:val="24"/>
        </w:rPr>
        <w:t>T</w:t>
      </w:r>
      <w:r w:rsidRPr="003C7194" w:rsidR="00240FC4">
        <w:rPr>
          <w:szCs w:val="24"/>
        </w:rPr>
        <w:t xml:space="preserve">he modified </w:t>
      </w:r>
      <w:r w:rsidRPr="003C7194" w:rsidR="00240FC4">
        <w:rPr>
          <w:i/>
          <w:iCs/>
          <w:szCs w:val="24"/>
        </w:rPr>
        <w:t>Shroyer</w:t>
      </w:r>
      <w:r w:rsidRPr="003C7194" w:rsidR="00240FC4">
        <w:rPr>
          <w:szCs w:val="24"/>
        </w:rPr>
        <w:t xml:space="preserve"> test was</w:t>
      </w:r>
      <w:r w:rsidRPr="003C7194" w:rsidR="009A7BC2">
        <w:rPr>
          <w:szCs w:val="24"/>
        </w:rPr>
        <w:t xml:space="preserve"> </w:t>
      </w:r>
      <w:r w:rsidRPr="003C7194" w:rsidR="00BB664A">
        <w:rPr>
          <w:szCs w:val="24"/>
        </w:rPr>
        <w:t xml:space="preserve">subsequently </w:t>
      </w:r>
      <w:r w:rsidRPr="003C7194" w:rsidR="00240FC4">
        <w:rPr>
          <w:szCs w:val="24"/>
        </w:rPr>
        <w:t>reversed</w:t>
      </w:r>
      <w:r w:rsidRPr="003C7194" w:rsidR="009A7BC2">
        <w:rPr>
          <w:szCs w:val="24"/>
        </w:rPr>
        <w:t xml:space="preserve"> by the Supreme Court of Ohio </w:t>
      </w:r>
      <w:r w:rsidRPr="003C7194">
        <w:rPr>
          <w:szCs w:val="24"/>
        </w:rPr>
        <w:t xml:space="preserve">(“Court”) </w:t>
      </w:r>
      <w:r w:rsidRPr="003C7194" w:rsidR="009A7BC2">
        <w:rPr>
          <w:szCs w:val="24"/>
        </w:rPr>
        <w:t xml:space="preserve">in </w:t>
      </w:r>
      <w:r w:rsidRPr="003C7194" w:rsidR="009A7BC2">
        <w:rPr>
          <w:i/>
          <w:iCs/>
          <w:szCs w:val="24"/>
        </w:rPr>
        <w:t>In re Wingo</w:t>
      </w:r>
      <w:r w:rsidRPr="003C7194" w:rsidR="009A7BC2">
        <w:rPr>
          <w:szCs w:val="24"/>
        </w:rPr>
        <w:t>, 2020-Ohio-5583.</w:t>
      </w:r>
    </w:p>
    <w:p w:rsidR="00272B7E" w:rsidRPr="003C7194" w:rsidP="00162D63" w14:paraId="3DFC2C43" w14:textId="13DCFBD9">
      <w:pPr>
        <w:pStyle w:val="BodyTextIndent3"/>
        <w:widowControl w:val="0"/>
        <w:spacing w:line="480" w:lineRule="auto"/>
        <w:rPr>
          <w:szCs w:val="24"/>
        </w:rPr>
      </w:pPr>
      <w:r w:rsidRPr="003C7194">
        <w:rPr>
          <w:szCs w:val="24"/>
        </w:rPr>
        <w:t xml:space="preserve">Unlike </w:t>
      </w:r>
      <w:r w:rsidRPr="003C7194">
        <w:rPr>
          <w:i/>
          <w:iCs/>
          <w:szCs w:val="24"/>
        </w:rPr>
        <w:t>Whitt</w:t>
      </w:r>
      <w:r w:rsidRPr="003C7194">
        <w:rPr>
          <w:szCs w:val="24"/>
        </w:rPr>
        <w:t>,</w:t>
      </w:r>
      <w:r w:rsidRPr="003C7194">
        <w:rPr>
          <w:i/>
          <w:iCs/>
          <w:szCs w:val="24"/>
        </w:rPr>
        <w:t xml:space="preserve"> </w:t>
      </w:r>
      <w:r w:rsidRPr="003C7194">
        <w:rPr>
          <w:szCs w:val="24"/>
        </w:rPr>
        <w:t>t</w:t>
      </w:r>
      <w:r w:rsidRPr="003C7194" w:rsidR="005731F1">
        <w:rPr>
          <w:szCs w:val="24"/>
        </w:rPr>
        <w:t>here is no opportunity</w:t>
      </w:r>
      <w:r w:rsidRPr="003C7194">
        <w:rPr>
          <w:szCs w:val="24"/>
        </w:rPr>
        <w:t xml:space="preserve"> through another proceeding for OCC</w:t>
      </w:r>
      <w:r w:rsidRPr="003C7194" w:rsidR="00B52A7F">
        <w:rPr>
          <w:szCs w:val="24"/>
        </w:rPr>
        <w:t xml:space="preserve"> to represent the interests of the </w:t>
      </w:r>
      <w:r w:rsidRPr="003C7194">
        <w:rPr>
          <w:szCs w:val="24"/>
        </w:rPr>
        <w:t>over one thousand</w:t>
      </w:r>
      <w:r w:rsidRPr="003C7194" w:rsidR="00B52A7F">
        <w:rPr>
          <w:szCs w:val="24"/>
        </w:rPr>
        <w:t xml:space="preserve"> residential consumers </w:t>
      </w:r>
      <w:r w:rsidRPr="003C7194" w:rsidR="00801EFF">
        <w:rPr>
          <w:szCs w:val="24"/>
        </w:rPr>
        <w:t>who</w:t>
      </w:r>
      <w:r w:rsidRPr="003C7194" w:rsidR="00B52A7F">
        <w:rPr>
          <w:szCs w:val="24"/>
        </w:rPr>
        <w:t xml:space="preserve"> </w:t>
      </w:r>
      <w:r w:rsidRPr="003C7194">
        <w:rPr>
          <w:szCs w:val="24"/>
        </w:rPr>
        <w:t xml:space="preserve">stand to </w:t>
      </w:r>
      <w:r w:rsidRPr="003C7194" w:rsidR="00B52A7F">
        <w:rPr>
          <w:szCs w:val="24"/>
        </w:rPr>
        <w:t>lose their AEP electric utility service</w:t>
      </w:r>
      <w:r w:rsidRPr="003C7194" w:rsidR="00933718">
        <w:rPr>
          <w:szCs w:val="24"/>
        </w:rPr>
        <w:t>. Nor will OCC have “an opportunity to</w:t>
      </w:r>
      <w:r w:rsidRPr="003C7194" w:rsidR="007B6AAF">
        <w:rPr>
          <w:szCs w:val="24"/>
        </w:rPr>
        <w:t xml:space="preserve"> contribute to the full development and equitable resolution”</w:t>
      </w:r>
      <w:r>
        <w:rPr>
          <w:rStyle w:val="FootnoteReference"/>
          <w:szCs w:val="24"/>
        </w:rPr>
        <w:footnoteReference w:id="37"/>
      </w:r>
      <w:r w:rsidRPr="003C7194" w:rsidR="007B6AAF">
        <w:rPr>
          <w:szCs w:val="24"/>
        </w:rPr>
        <w:t xml:space="preserve"> of whether NEP acts as a public utility</w:t>
      </w:r>
      <w:r w:rsidRPr="003C7194" w:rsidR="00B52A7F">
        <w:rPr>
          <w:szCs w:val="24"/>
        </w:rPr>
        <w:t xml:space="preserve">. </w:t>
      </w:r>
      <w:r w:rsidRPr="003C7194" w:rsidR="000665BF">
        <w:rPr>
          <w:szCs w:val="24"/>
        </w:rPr>
        <w:t>T</w:t>
      </w:r>
      <w:r w:rsidRPr="003C7194" w:rsidR="00801EFF">
        <w:rPr>
          <w:szCs w:val="24"/>
        </w:rPr>
        <w:t>he PUCO has not settled the jurisdictional issue since</w:t>
      </w:r>
      <w:r w:rsidRPr="003C7194" w:rsidR="00CC2F98">
        <w:rPr>
          <w:szCs w:val="24"/>
        </w:rPr>
        <w:t xml:space="preserve"> the</w:t>
      </w:r>
      <w:r w:rsidRPr="003C7194" w:rsidR="00801EFF">
        <w:rPr>
          <w:szCs w:val="24"/>
        </w:rPr>
        <w:t xml:space="preserve"> modified </w:t>
      </w:r>
      <w:r w:rsidRPr="003C7194" w:rsidR="00801EFF">
        <w:rPr>
          <w:i/>
          <w:iCs/>
          <w:szCs w:val="24"/>
        </w:rPr>
        <w:t>Shroyer</w:t>
      </w:r>
      <w:r w:rsidRPr="003C7194" w:rsidR="00801EFF">
        <w:rPr>
          <w:szCs w:val="24"/>
        </w:rPr>
        <w:t xml:space="preserve"> test was reversed by the Court.</w:t>
      </w:r>
      <w:r w:rsidRPr="003C7194" w:rsidR="00766F90">
        <w:rPr>
          <w:szCs w:val="24"/>
        </w:rPr>
        <w:t xml:space="preserve"> Th</w:t>
      </w:r>
      <w:r w:rsidRPr="003C7194" w:rsidR="00CC2F98">
        <w:rPr>
          <w:szCs w:val="24"/>
        </w:rPr>
        <w:t>at</w:t>
      </w:r>
      <w:r w:rsidRPr="003C7194" w:rsidR="00766F90">
        <w:rPr>
          <w:szCs w:val="24"/>
        </w:rPr>
        <w:t xml:space="preserve"> is because on remand to the PUCO, the complainant in </w:t>
      </w:r>
      <w:r w:rsidRPr="003C7194" w:rsidR="00766F90">
        <w:rPr>
          <w:i/>
          <w:iCs/>
          <w:szCs w:val="24"/>
        </w:rPr>
        <w:t xml:space="preserve">Wingo </w:t>
      </w:r>
      <w:r w:rsidRPr="003C7194" w:rsidR="00766F90">
        <w:rPr>
          <w:szCs w:val="24"/>
        </w:rPr>
        <w:t>filed a notice of voluntary dismissal, which was granted by the PUCO.</w:t>
      </w:r>
      <w:r>
        <w:rPr>
          <w:rStyle w:val="FootnoteReference"/>
          <w:szCs w:val="24"/>
        </w:rPr>
        <w:footnoteReference w:id="38"/>
      </w:r>
      <w:r w:rsidRPr="003C7194" w:rsidR="00766F90">
        <w:rPr>
          <w:szCs w:val="24"/>
        </w:rPr>
        <w:t xml:space="preserve"> Thus, the question of </w:t>
      </w:r>
      <w:r w:rsidRPr="003C7194" w:rsidR="007E7BE3">
        <w:rPr>
          <w:szCs w:val="24"/>
        </w:rPr>
        <w:t>whether NEP</w:t>
      </w:r>
      <w:r w:rsidRPr="003C7194" w:rsidR="00766F90">
        <w:rPr>
          <w:szCs w:val="24"/>
        </w:rPr>
        <w:t xml:space="preserve"> act</w:t>
      </w:r>
      <w:r w:rsidRPr="003C7194" w:rsidR="009143A0">
        <w:rPr>
          <w:szCs w:val="24"/>
        </w:rPr>
        <w:t>s</w:t>
      </w:r>
      <w:r w:rsidRPr="003C7194" w:rsidR="00766F90">
        <w:rPr>
          <w:szCs w:val="24"/>
        </w:rPr>
        <w:t xml:space="preserve"> unlawfully as a public utility</w:t>
      </w:r>
      <w:r w:rsidRPr="003C7194" w:rsidR="0047604C">
        <w:rPr>
          <w:szCs w:val="24"/>
        </w:rPr>
        <w:t xml:space="preserve"> is </w:t>
      </w:r>
      <w:r w:rsidRPr="003C7194" w:rsidR="00954D3E">
        <w:rPr>
          <w:szCs w:val="24"/>
        </w:rPr>
        <w:t>not</w:t>
      </w:r>
      <w:r w:rsidRPr="003C7194" w:rsidR="0047604C">
        <w:rPr>
          <w:szCs w:val="24"/>
        </w:rPr>
        <w:t xml:space="preserve"> settled</w:t>
      </w:r>
      <w:r w:rsidRPr="003C7194">
        <w:rPr>
          <w:szCs w:val="24"/>
        </w:rPr>
        <w:t xml:space="preserve">, and there is no other PUCO proceeding </w:t>
      </w:r>
      <w:r w:rsidRPr="003C7194" w:rsidR="004F5837">
        <w:rPr>
          <w:szCs w:val="24"/>
        </w:rPr>
        <w:t xml:space="preserve">to resolve the issue </w:t>
      </w:r>
      <w:r w:rsidRPr="003C7194">
        <w:rPr>
          <w:szCs w:val="24"/>
        </w:rPr>
        <w:t>where the interests of the apartment complex residents will be represented.</w:t>
      </w:r>
    </w:p>
    <w:p w:rsidR="00775C45" w:rsidP="004313FA" w14:paraId="4C09383B" w14:textId="0C0BF0C3">
      <w:pPr>
        <w:pStyle w:val="BodyTextIndent3"/>
        <w:widowControl w:val="0"/>
        <w:spacing w:line="480" w:lineRule="auto"/>
        <w:rPr>
          <w:szCs w:val="24"/>
        </w:rPr>
      </w:pPr>
      <w:r w:rsidRPr="003C7194">
        <w:rPr>
          <w:szCs w:val="24"/>
        </w:rPr>
        <w:t xml:space="preserve">The PUCO criticizes OCC for not filing an interlocutory appeal of the decision to deny OCC’s intervention in </w:t>
      </w:r>
      <w:r w:rsidRPr="003C7194">
        <w:rPr>
          <w:i/>
          <w:iCs/>
          <w:szCs w:val="24"/>
        </w:rPr>
        <w:t>Whitt</w:t>
      </w:r>
      <w:r w:rsidRPr="003C7194" w:rsidR="00F33A14">
        <w:rPr>
          <w:szCs w:val="24"/>
        </w:rPr>
        <w:t>.</w:t>
      </w:r>
      <w:r>
        <w:rPr>
          <w:rStyle w:val="FootnoteReference"/>
          <w:szCs w:val="24"/>
        </w:rPr>
        <w:footnoteReference w:id="39"/>
      </w:r>
      <w:r w:rsidRPr="003C7194">
        <w:rPr>
          <w:szCs w:val="24"/>
        </w:rPr>
        <w:t xml:space="preserve"> </w:t>
      </w:r>
      <w:r w:rsidRPr="003C7194" w:rsidR="00F33A14">
        <w:rPr>
          <w:szCs w:val="24"/>
        </w:rPr>
        <w:t>B</w:t>
      </w:r>
      <w:r w:rsidRPr="003C7194">
        <w:rPr>
          <w:szCs w:val="24"/>
        </w:rPr>
        <w:t>ut</w:t>
      </w:r>
      <w:r w:rsidRPr="003C7194" w:rsidR="00F17DCD">
        <w:rPr>
          <w:szCs w:val="24"/>
        </w:rPr>
        <w:t xml:space="preserve">, as stated, OCC had another opportunity to represent consumers’ interests </w:t>
      </w:r>
      <w:r w:rsidRPr="003C7194" w:rsidR="00091F5A">
        <w:rPr>
          <w:szCs w:val="24"/>
        </w:rPr>
        <w:t xml:space="preserve">at that time </w:t>
      </w:r>
      <w:r w:rsidRPr="003C7194" w:rsidR="00F17DCD">
        <w:rPr>
          <w:szCs w:val="24"/>
        </w:rPr>
        <w:t xml:space="preserve">in Case No. 15-1594-AU-COI. There is no such opportunity </w:t>
      </w:r>
      <w:r w:rsidRPr="003C7194" w:rsidR="00091F5A">
        <w:rPr>
          <w:szCs w:val="24"/>
        </w:rPr>
        <w:t>now</w:t>
      </w:r>
      <w:r w:rsidRPr="003C7194" w:rsidR="00F17DCD">
        <w:rPr>
          <w:szCs w:val="24"/>
        </w:rPr>
        <w:t>.</w:t>
      </w:r>
      <w:r w:rsidRPr="003C7194">
        <w:rPr>
          <w:szCs w:val="24"/>
        </w:rPr>
        <w:t xml:space="preserve"> </w:t>
      </w:r>
      <w:r w:rsidRPr="003C7194" w:rsidR="00F17DCD">
        <w:rPr>
          <w:szCs w:val="24"/>
        </w:rPr>
        <w:t>Further,</w:t>
      </w:r>
      <w:r w:rsidRPr="003C7194" w:rsidR="00550501">
        <w:rPr>
          <w:szCs w:val="24"/>
        </w:rPr>
        <w:t xml:space="preserve"> w</w:t>
      </w:r>
      <w:r w:rsidRPr="003C7194">
        <w:rPr>
          <w:szCs w:val="24"/>
        </w:rPr>
        <w:t xml:space="preserve">hat OCC did or did not do procedurally in </w:t>
      </w:r>
      <w:r w:rsidRPr="003C7194">
        <w:rPr>
          <w:i/>
          <w:iCs/>
          <w:szCs w:val="24"/>
        </w:rPr>
        <w:t>Whitt</w:t>
      </w:r>
      <w:r w:rsidRPr="003C7194">
        <w:rPr>
          <w:szCs w:val="24"/>
        </w:rPr>
        <w:t xml:space="preserve"> does not somehow estop OCC from seeking intervention in this case to advocate for over one thousand residential consumers who face losing their AEP service. The PUCO’s suggestion to the contrary is wrong.</w:t>
      </w:r>
      <w:r w:rsidRPr="003C7194" w:rsidR="00F17DCD">
        <w:rPr>
          <w:szCs w:val="24"/>
        </w:rPr>
        <w:t xml:space="preserve"> </w:t>
      </w:r>
      <w:r w:rsidRPr="003C7194" w:rsidR="00C231FB">
        <w:rPr>
          <w:szCs w:val="24"/>
        </w:rPr>
        <w:t xml:space="preserve">Whether OCC filed an interlocutory appeal in </w:t>
      </w:r>
      <w:r w:rsidRPr="003C7194" w:rsidR="00C231FB">
        <w:rPr>
          <w:i/>
          <w:iCs/>
          <w:szCs w:val="24"/>
        </w:rPr>
        <w:t>Whitt</w:t>
      </w:r>
      <w:r w:rsidRPr="003C7194" w:rsidR="00C231FB">
        <w:rPr>
          <w:szCs w:val="24"/>
        </w:rPr>
        <w:t xml:space="preserve"> is</w:t>
      </w:r>
      <w:r w:rsidRPr="003C7194" w:rsidR="00F17DCD">
        <w:rPr>
          <w:szCs w:val="24"/>
        </w:rPr>
        <w:t xml:space="preserve"> wholly irrelevant to the PUCO’s own failure to follow the law with respect to OCC’s intervention in this case. </w:t>
      </w:r>
      <w:r>
        <w:rPr>
          <w:szCs w:val="24"/>
        </w:rPr>
        <w:br w:type="page"/>
      </w:r>
    </w:p>
    <w:p w:rsidR="003A3EB2" w:rsidRPr="003C7194" w:rsidP="00162D63" w14:paraId="0108154C" w14:textId="358D6378">
      <w:pPr>
        <w:pStyle w:val="BodyTextIndent3"/>
        <w:widowControl w:val="0"/>
        <w:spacing w:line="480" w:lineRule="auto"/>
        <w:rPr>
          <w:szCs w:val="24"/>
        </w:rPr>
      </w:pPr>
      <w:r w:rsidRPr="003C7194">
        <w:rPr>
          <w:szCs w:val="24"/>
        </w:rPr>
        <w:t>The other cases the PUCO cites</w:t>
      </w:r>
      <w:r>
        <w:rPr>
          <w:rStyle w:val="FootnoteReference"/>
          <w:szCs w:val="24"/>
        </w:rPr>
        <w:footnoteReference w:id="40"/>
      </w:r>
      <w:r w:rsidRPr="003C7194">
        <w:rPr>
          <w:szCs w:val="24"/>
        </w:rPr>
        <w:t xml:space="preserve"> </w:t>
      </w:r>
      <w:r w:rsidRPr="003C7194" w:rsidR="00D55DBF">
        <w:rPr>
          <w:szCs w:val="24"/>
        </w:rPr>
        <w:t xml:space="preserve">to </w:t>
      </w:r>
      <w:r w:rsidRPr="003C7194">
        <w:rPr>
          <w:szCs w:val="24"/>
        </w:rPr>
        <w:t>support</w:t>
      </w:r>
      <w:r w:rsidRPr="003C7194" w:rsidR="002D6FB6">
        <w:rPr>
          <w:szCs w:val="24"/>
        </w:rPr>
        <w:t xml:space="preserve"> </w:t>
      </w:r>
      <w:r w:rsidRPr="003C7194">
        <w:rPr>
          <w:szCs w:val="24"/>
        </w:rPr>
        <w:t xml:space="preserve">its erroneous </w:t>
      </w:r>
      <w:r w:rsidRPr="003C7194" w:rsidR="00D55DBF">
        <w:rPr>
          <w:szCs w:val="24"/>
        </w:rPr>
        <w:t>decision</w:t>
      </w:r>
      <w:r w:rsidRPr="003C7194">
        <w:rPr>
          <w:szCs w:val="24"/>
        </w:rPr>
        <w:t xml:space="preserve"> </w:t>
      </w:r>
      <w:r w:rsidRPr="003C7194" w:rsidR="00550501">
        <w:rPr>
          <w:szCs w:val="24"/>
        </w:rPr>
        <w:t>also</w:t>
      </w:r>
      <w:r w:rsidRPr="003C7194">
        <w:rPr>
          <w:szCs w:val="24"/>
        </w:rPr>
        <w:t xml:space="preserve"> should not control here. </w:t>
      </w:r>
      <w:r w:rsidRPr="003C7194" w:rsidR="00D55DBF">
        <w:rPr>
          <w:szCs w:val="24"/>
        </w:rPr>
        <w:t xml:space="preserve">The PUCO cites </w:t>
      </w:r>
      <w:r w:rsidRPr="003C7194" w:rsidR="002D6FB6">
        <w:rPr>
          <w:i/>
          <w:iCs/>
          <w:szCs w:val="24"/>
        </w:rPr>
        <w:t>In re Ohio Schools Council, et al. v. FirstEnergy Solutions Corp.</w:t>
      </w:r>
      <w:r w:rsidRPr="003C7194" w:rsidR="00C62019">
        <w:rPr>
          <w:szCs w:val="24"/>
        </w:rPr>
        <w:t>, Case No. 14-1182-EL-CSS</w:t>
      </w:r>
      <w:r w:rsidRPr="003C7194" w:rsidR="00D55DBF">
        <w:rPr>
          <w:szCs w:val="24"/>
        </w:rPr>
        <w:t>, but OCC did not even move to intervene in that case</w:t>
      </w:r>
      <w:r w:rsidRPr="003C7194" w:rsidR="00C62019">
        <w:rPr>
          <w:szCs w:val="24"/>
        </w:rPr>
        <w:t xml:space="preserve">. In </w:t>
      </w:r>
      <w:r w:rsidRPr="003C7194" w:rsidR="00C62019">
        <w:rPr>
          <w:i/>
          <w:iCs/>
          <w:szCs w:val="24"/>
        </w:rPr>
        <w:t>Ohio Schools Council</w:t>
      </w:r>
      <w:r w:rsidRPr="003C7194" w:rsidR="00C62019">
        <w:rPr>
          <w:szCs w:val="24"/>
        </w:rPr>
        <w:t xml:space="preserve">, the PUCO denied motions to intervene by </w:t>
      </w:r>
      <w:r w:rsidRPr="003C7194" w:rsidR="002C4C9C">
        <w:rPr>
          <w:szCs w:val="24"/>
        </w:rPr>
        <w:t xml:space="preserve">sophisticated </w:t>
      </w:r>
      <w:r w:rsidRPr="003C7194" w:rsidR="00C62019">
        <w:rPr>
          <w:szCs w:val="24"/>
        </w:rPr>
        <w:t>industrial consumers who argued they could be affected by FirstEnergy Solutions</w:t>
      </w:r>
      <w:r w:rsidRPr="003C7194" w:rsidR="00AF5A2E">
        <w:rPr>
          <w:szCs w:val="24"/>
        </w:rPr>
        <w:t>’ rates.</w:t>
      </w:r>
      <w:r>
        <w:rPr>
          <w:rStyle w:val="FootnoteReference"/>
          <w:szCs w:val="24"/>
        </w:rPr>
        <w:footnoteReference w:id="41"/>
      </w:r>
      <w:r w:rsidRPr="003C7194" w:rsidR="00C62019">
        <w:rPr>
          <w:szCs w:val="24"/>
        </w:rPr>
        <w:t xml:space="preserve"> </w:t>
      </w:r>
      <w:r w:rsidRPr="003C7194" w:rsidR="00AF5A2E">
        <w:rPr>
          <w:szCs w:val="24"/>
        </w:rPr>
        <w:t xml:space="preserve">Unlike the residential consumers that OCC seeks to protect in this case, the industrial consumers in </w:t>
      </w:r>
      <w:r w:rsidRPr="003C7194" w:rsidR="00AF5A2E">
        <w:rPr>
          <w:i/>
          <w:iCs/>
          <w:szCs w:val="24"/>
        </w:rPr>
        <w:t>Ohio Schools Council</w:t>
      </w:r>
      <w:r w:rsidRPr="003C7194" w:rsidR="00AF5A2E">
        <w:rPr>
          <w:szCs w:val="24"/>
        </w:rPr>
        <w:t xml:space="preserve"> were not faced with losing their PUCO-regulated electric distribution utility</w:t>
      </w:r>
      <w:r w:rsidRPr="003C7194" w:rsidR="00180E45">
        <w:rPr>
          <w:szCs w:val="24"/>
        </w:rPr>
        <w:t xml:space="preserve"> service</w:t>
      </w:r>
      <w:r w:rsidRPr="003C7194" w:rsidR="00AF5A2E">
        <w:rPr>
          <w:szCs w:val="24"/>
        </w:rPr>
        <w:t xml:space="preserve"> and many of the consumer protections that go with</w:t>
      </w:r>
      <w:r w:rsidRPr="003C7194" w:rsidR="00180E45">
        <w:rPr>
          <w:szCs w:val="24"/>
        </w:rPr>
        <w:t xml:space="preserve"> it</w:t>
      </w:r>
      <w:r w:rsidRPr="003C7194" w:rsidR="00AF5A2E">
        <w:rPr>
          <w:szCs w:val="24"/>
        </w:rPr>
        <w:t xml:space="preserve">. In this case, residential consumers </w:t>
      </w:r>
      <w:r w:rsidRPr="003C7194" w:rsidR="00180E45">
        <w:rPr>
          <w:szCs w:val="24"/>
        </w:rPr>
        <w:t xml:space="preserve">who face record inflation and surging energy costs </w:t>
      </w:r>
      <w:r w:rsidRPr="003C7194" w:rsidR="00AF5A2E">
        <w:rPr>
          <w:szCs w:val="24"/>
        </w:rPr>
        <w:t>face losing the</w:t>
      </w:r>
      <w:r w:rsidRPr="003C7194" w:rsidR="00180E45">
        <w:rPr>
          <w:szCs w:val="24"/>
        </w:rPr>
        <w:t>ir</w:t>
      </w:r>
      <w:r w:rsidRPr="003C7194" w:rsidR="00AF5A2E">
        <w:rPr>
          <w:szCs w:val="24"/>
        </w:rPr>
        <w:t xml:space="preserve"> ability to participate in the PIPP </w:t>
      </w:r>
      <w:r w:rsidRPr="003C7194" w:rsidR="002C4C9C">
        <w:rPr>
          <w:szCs w:val="24"/>
        </w:rPr>
        <w:t>program and other AEP budget billing programs. The</w:t>
      </w:r>
      <w:r w:rsidR="0064028D">
        <w:rPr>
          <w:szCs w:val="24"/>
        </w:rPr>
        <w:t>y</w:t>
      </w:r>
      <w:r w:rsidRPr="003C7194" w:rsidR="002C4C9C">
        <w:rPr>
          <w:szCs w:val="24"/>
        </w:rPr>
        <w:t xml:space="preserve"> may lose </w:t>
      </w:r>
      <w:r w:rsidRPr="003C7194" w:rsidR="00E31AB5">
        <w:rPr>
          <w:szCs w:val="24"/>
        </w:rPr>
        <w:t xml:space="preserve">important </w:t>
      </w:r>
      <w:r w:rsidRPr="003C7194" w:rsidR="002C4C9C">
        <w:rPr>
          <w:szCs w:val="24"/>
        </w:rPr>
        <w:t>protections</w:t>
      </w:r>
      <w:r w:rsidRPr="003C7194" w:rsidR="00E31AB5">
        <w:rPr>
          <w:szCs w:val="24"/>
        </w:rPr>
        <w:t xml:space="preserve"> against disconnection</w:t>
      </w:r>
      <w:r w:rsidRPr="003C7194" w:rsidR="002C4C9C">
        <w:rPr>
          <w:szCs w:val="24"/>
        </w:rPr>
        <w:t xml:space="preserve">. To equate the residential consumers living in the apartment complexes NEP wants to serve with the large business and industrial consumers that sought intervention in </w:t>
      </w:r>
      <w:r w:rsidRPr="003C7194" w:rsidR="002C4C9C">
        <w:rPr>
          <w:i/>
          <w:iCs/>
          <w:szCs w:val="24"/>
        </w:rPr>
        <w:t>Ohio Schools Council</w:t>
      </w:r>
      <w:r w:rsidRPr="003C7194" w:rsidR="002C4C9C">
        <w:rPr>
          <w:szCs w:val="24"/>
        </w:rPr>
        <w:t xml:space="preserve"> is absurd.</w:t>
      </w:r>
    </w:p>
    <w:p w:rsidR="00B14BE5" w:rsidRPr="003C7194" w:rsidP="0084686F" w14:paraId="1BAF0220" w14:textId="2A5DAF81">
      <w:pPr>
        <w:pStyle w:val="BodyTextIndent3"/>
        <w:widowControl w:val="0"/>
        <w:spacing w:line="480" w:lineRule="auto"/>
        <w:rPr>
          <w:i/>
          <w:iCs/>
          <w:szCs w:val="24"/>
        </w:rPr>
      </w:pPr>
      <w:r w:rsidRPr="003C7194">
        <w:rPr>
          <w:szCs w:val="24"/>
        </w:rPr>
        <w:t xml:space="preserve">The PUCO also relies on a 2001 decision from </w:t>
      </w:r>
      <w:r w:rsidRPr="003C7194">
        <w:rPr>
          <w:i/>
          <w:iCs/>
          <w:szCs w:val="24"/>
        </w:rPr>
        <w:t>In re Complaint of City of Cleveland</w:t>
      </w:r>
      <w:r w:rsidRPr="003C7194">
        <w:rPr>
          <w:szCs w:val="24"/>
        </w:rPr>
        <w:t>, Case No. 01-174-EL-CSS.</w:t>
      </w:r>
      <w:r>
        <w:rPr>
          <w:rStyle w:val="FootnoteReference"/>
          <w:szCs w:val="24"/>
        </w:rPr>
        <w:footnoteReference w:id="42"/>
      </w:r>
      <w:r w:rsidRPr="003C7194">
        <w:rPr>
          <w:szCs w:val="24"/>
        </w:rPr>
        <w:t xml:space="preserve"> </w:t>
      </w:r>
      <w:r w:rsidRPr="003C7194" w:rsidR="00D26C0B">
        <w:rPr>
          <w:szCs w:val="24"/>
        </w:rPr>
        <w:t>But that</w:t>
      </w:r>
      <w:r w:rsidRPr="003C7194">
        <w:rPr>
          <w:szCs w:val="24"/>
        </w:rPr>
        <w:t xml:space="preserve"> case involved motions to intervene by </w:t>
      </w:r>
      <w:r w:rsidRPr="003C7194" w:rsidR="00D26C0B">
        <w:rPr>
          <w:szCs w:val="24"/>
        </w:rPr>
        <w:t>the City of Parma, the City of Toledo, and Alleghany Energy Supply Company.</w:t>
      </w:r>
      <w:r>
        <w:rPr>
          <w:rStyle w:val="FootnoteReference"/>
          <w:szCs w:val="24"/>
        </w:rPr>
        <w:footnoteReference w:id="43"/>
      </w:r>
      <w:r w:rsidRPr="003C7194" w:rsidR="00D26C0B">
        <w:rPr>
          <w:szCs w:val="24"/>
        </w:rPr>
        <w:t xml:space="preserve"> </w:t>
      </w:r>
      <w:r w:rsidRPr="003C7194" w:rsidR="00550501">
        <w:rPr>
          <w:szCs w:val="24"/>
        </w:rPr>
        <w:t>Further, t</w:t>
      </w:r>
      <w:r w:rsidRPr="003C7194" w:rsidR="00D26C0B">
        <w:rPr>
          <w:szCs w:val="24"/>
        </w:rPr>
        <w:t xml:space="preserve">he PUCO </w:t>
      </w:r>
      <w:r w:rsidRPr="003C7194" w:rsidR="00D26C0B">
        <w:rPr>
          <w:i/>
          <w:iCs/>
          <w:szCs w:val="24"/>
        </w:rPr>
        <w:t>granted</w:t>
      </w:r>
      <w:r w:rsidRPr="003C7194" w:rsidR="00D26C0B">
        <w:rPr>
          <w:szCs w:val="24"/>
        </w:rPr>
        <w:t xml:space="preserve"> Parma’s intervention and </w:t>
      </w:r>
      <w:r w:rsidRPr="003C7194" w:rsidR="00D26C0B">
        <w:rPr>
          <w:i/>
          <w:iCs/>
          <w:szCs w:val="24"/>
        </w:rPr>
        <w:t>granted</w:t>
      </w:r>
      <w:r w:rsidRPr="003C7194" w:rsidR="00D26C0B">
        <w:rPr>
          <w:szCs w:val="24"/>
        </w:rPr>
        <w:t xml:space="preserve"> intervention on </w:t>
      </w:r>
      <w:r w:rsidRPr="003C7194" w:rsidR="00550501">
        <w:rPr>
          <w:szCs w:val="24"/>
        </w:rPr>
        <w:t xml:space="preserve">a </w:t>
      </w:r>
      <w:r w:rsidRPr="003C7194" w:rsidR="00D26C0B">
        <w:rPr>
          <w:szCs w:val="24"/>
        </w:rPr>
        <w:t xml:space="preserve">limited basis to Toledo and Alleghany Energy Supply. </w:t>
      </w:r>
      <w:r w:rsidRPr="003C7194" w:rsidR="00B361DB">
        <w:rPr>
          <w:szCs w:val="24"/>
        </w:rPr>
        <w:t xml:space="preserve">Nothing in the PUCO decision in </w:t>
      </w:r>
      <w:r w:rsidRPr="003C7194" w:rsidR="00B361DB">
        <w:rPr>
          <w:i/>
          <w:iCs/>
          <w:szCs w:val="24"/>
        </w:rPr>
        <w:t>City of</w:t>
      </w:r>
    </w:p>
    <w:p w:rsidR="00775C45" w14:paraId="7582C0B3" w14:textId="77777777">
      <w:pPr>
        <w:rPr>
          <w:i/>
          <w:iCs/>
          <w:szCs w:val="24"/>
        </w:rPr>
      </w:pPr>
      <w:r>
        <w:rPr>
          <w:i/>
          <w:iCs/>
          <w:szCs w:val="24"/>
        </w:rPr>
        <w:br w:type="page"/>
      </w:r>
    </w:p>
    <w:p w:rsidR="003A3EB2" w:rsidRPr="003C7194" w:rsidP="00B14BE5" w14:paraId="2E25AB20" w14:textId="18BF1484">
      <w:pPr>
        <w:pStyle w:val="BodyTextIndent3"/>
        <w:widowControl w:val="0"/>
        <w:spacing w:line="480" w:lineRule="auto"/>
        <w:ind w:firstLine="0"/>
        <w:rPr>
          <w:szCs w:val="24"/>
        </w:rPr>
      </w:pPr>
      <w:r w:rsidRPr="003C7194">
        <w:rPr>
          <w:i/>
          <w:iCs/>
          <w:szCs w:val="24"/>
        </w:rPr>
        <w:t>Cleveland</w:t>
      </w:r>
      <w:r w:rsidRPr="003C7194">
        <w:rPr>
          <w:szCs w:val="24"/>
        </w:rPr>
        <w:t xml:space="preserve"> justifies denying residential consumers a voice in this case</w:t>
      </w:r>
      <w:r w:rsidRPr="003C7194" w:rsidR="00180E45">
        <w:rPr>
          <w:szCs w:val="24"/>
        </w:rPr>
        <w:t xml:space="preserve"> affecting</w:t>
      </w:r>
      <w:r w:rsidRPr="003C7194">
        <w:rPr>
          <w:szCs w:val="24"/>
        </w:rPr>
        <w:t xml:space="preserve"> their essential electric distribution utility service.</w:t>
      </w:r>
    </w:p>
    <w:p w:rsidR="005731F1" w:rsidRPr="003C7194" w:rsidP="00162D63" w14:paraId="7622AC09" w14:textId="77777777">
      <w:pPr>
        <w:pStyle w:val="BodyTextIndent3"/>
        <w:widowControl w:val="0"/>
        <w:spacing w:line="480" w:lineRule="auto"/>
        <w:rPr>
          <w:szCs w:val="24"/>
        </w:rPr>
      </w:pPr>
      <w:r w:rsidRPr="003C7194">
        <w:rPr>
          <w:szCs w:val="24"/>
        </w:rPr>
        <w:t>In sum, the</w:t>
      </w:r>
      <w:r w:rsidRPr="003C7194" w:rsidR="00B361DB">
        <w:rPr>
          <w:szCs w:val="24"/>
        </w:rPr>
        <w:t xml:space="preserve"> cases relied on by the</w:t>
      </w:r>
      <w:r w:rsidRPr="003C7194">
        <w:rPr>
          <w:szCs w:val="24"/>
        </w:rPr>
        <w:t xml:space="preserve"> PUCO</w:t>
      </w:r>
      <w:r w:rsidRPr="003C7194" w:rsidR="00B361DB">
        <w:rPr>
          <w:szCs w:val="24"/>
        </w:rPr>
        <w:t xml:space="preserve"> in denying</w:t>
      </w:r>
      <w:r w:rsidRPr="003C7194">
        <w:rPr>
          <w:szCs w:val="24"/>
        </w:rPr>
        <w:t xml:space="preserve"> </w:t>
      </w:r>
      <w:r w:rsidRPr="003C7194" w:rsidR="005704DF">
        <w:rPr>
          <w:szCs w:val="24"/>
        </w:rPr>
        <w:t>intervention to OCC</w:t>
      </w:r>
      <w:r w:rsidRPr="003C7194" w:rsidR="00B361DB">
        <w:rPr>
          <w:szCs w:val="24"/>
        </w:rPr>
        <w:t xml:space="preserve"> to protect consumers </w:t>
      </w:r>
      <w:r w:rsidRPr="003C7194" w:rsidR="00550501">
        <w:rPr>
          <w:szCs w:val="24"/>
        </w:rPr>
        <w:t>should</w:t>
      </w:r>
      <w:r w:rsidRPr="003C7194" w:rsidR="00B361DB">
        <w:rPr>
          <w:szCs w:val="24"/>
        </w:rPr>
        <w:t xml:space="preserve"> not control</w:t>
      </w:r>
      <w:r w:rsidRPr="003C7194" w:rsidR="005704DF">
        <w:rPr>
          <w:szCs w:val="24"/>
        </w:rPr>
        <w:t xml:space="preserve"> OCC’s motion to intervene here. </w:t>
      </w:r>
      <w:r w:rsidRPr="003C7194" w:rsidR="00954D3E">
        <w:rPr>
          <w:szCs w:val="24"/>
        </w:rPr>
        <w:t xml:space="preserve">OCC should be </w:t>
      </w:r>
      <w:r w:rsidRPr="003C7194" w:rsidR="005704DF">
        <w:rPr>
          <w:szCs w:val="24"/>
        </w:rPr>
        <w:t>granted intervention</w:t>
      </w:r>
      <w:r w:rsidRPr="003C7194" w:rsidR="00954D3E">
        <w:rPr>
          <w:szCs w:val="24"/>
        </w:rPr>
        <w:t xml:space="preserve"> in this case to represent the interests of </w:t>
      </w:r>
      <w:r w:rsidRPr="003C7194" w:rsidR="00B361DB">
        <w:rPr>
          <w:szCs w:val="24"/>
        </w:rPr>
        <w:t>over one thousand</w:t>
      </w:r>
      <w:r w:rsidRPr="003C7194" w:rsidR="00954D3E">
        <w:rPr>
          <w:szCs w:val="24"/>
        </w:rPr>
        <w:t xml:space="preserve"> residential consumers who </w:t>
      </w:r>
      <w:r w:rsidRPr="003C7194" w:rsidR="005704DF">
        <w:rPr>
          <w:szCs w:val="24"/>
        </w:rPr>
        <w:t>will</w:t>
      </w:r>
      <w:r w:rsidRPr="003C7194" w:rsidR="00954D3E">
        <w:rPr>
          <w:szCs w:val="24"/>
        </w:rPr>
        <w:t xml:space="preserve"> be adversely affected if they are forced take electric utility service from NEP.</w:t>
      </w:r>
      <w:r w:rsidRPr="003C7194" w:rsidR="00C44C3C">
        <w:rPr>
          <w:szCs w:val="24"/>
        </w:rPr>
        <w:t xml:space="preserve"> </w:t>
      </w:r>
      <w:r w:rsidRPr="003C7194" w:rsidR="00B361DB">
        <w:rPr>
          <w:szCs w:val="24"/>
        </w:rPr>
        <w:t>The PUCO should grant rehearing to modify the July 27 Entry and grant OCC intervention.</w:t>
      </w:r>
    </w:p>
    <w:p w:rsidR="00150BE2" w:rsidRPr="003C7194" w:rsidP="00150BE2" w14:paraId="02B59EA2" w14:textId="77777777">
      <w:pPr>
        <w:pStyle w:val="BodyTextIndent3"/>
        <w:widowControl w:val="0"/>
        <w:spacing w:line="240" w:lineRule="auto"/>
        <w:ind w:right="-312"/>
        <w:rPr>
          <w:szCs w:val="24"/>
        </w:rPr>
      </w:pPr>
    </w:p>
    <w:p w:rsidR="00610A33" w:rsidRPr="003C7194" w:rsidP="00E10F9E" w14:paraId="0C9352EB" w14:textId="5C3FBCAE">
      <w:pPr>
        <w:pStyle w:val="Heading1"/>
      </w:pPr>
      <w:r w:rsidRPr="003C7194">
        <w:t xml:space="preserve"> </w:t>
      </w:r>
      <w:bookmarkStart w:id="9" w:name="_Toc112081976"/>
      <w:bookmarkStart w:id="10" w:name="_Toc112416636"/>
      <w:r w:rsidRPr="003C7194" w:rsidR="004C76B8">
        <w:t>CONCLUSION</w:t>
      </w:r>
      <w:bookmarkEnd w:id="9"/>
      <w:bookmarkEnd w:id="10"/>
    </w:p>
    <w:p w:rsidR="004C76B8" w:rsidRPr="003C7194" w:rsidP="00AE4906" w14:paraId="0AE0BF58" w14:textId="77777777">
      <w:pPr>
        <w:pStyle w:val="BodyTextIndent3"/>
        <w:widowControl w:val="0"/>
        <w:spacing w:line="480" w:lineRule="auto"/>
        <w:ind w:right="-312"/>
        <w:rPr>
          <w:szCs w:val="24"/>
        </w:rPr>
      </w:pPr>
      <w:r w:rsidRPr="003C7194">
        <w:rPr>
          <w:szCs w:val="24"/>
        </w:rPr>
        <w:t xml:space="preserve">Over a thousand residential consumers </w:t>
      </w:r>
      <w:r w:rsidRPr="003C7194" w:rsidR="00732426">
        <w:rPr>
          <w:szCs w:val="24"/>
        </w:rPr>
        <w:t xml:space="preserve">could be subject to </w:t>
      </w:r>
      <w:r w:rsidRPr="003C7194" w:rsidR="00AE4906">
        <w:rPr>
          <w:szCs w:val="24"/>
        </w:rPr>
        <w:t xml:space="preserve">unreasonable </w:t>
      </w:r>
      <w:r w:rsidRPr="003C7194" w:rsidR="00732426">
        <w:rPr>
          <w:szCs w:val="24"/>
        </w:rPr>
        <w:t xml:space="preserve">electric </w:t>
      </w:r>
      <w:r w:rsidRPr="003C7194" w:rsidR="00AE4906">
        <w:rPr>
          <w:szCs w:val="24"/>
        </w:rPr>
        <w:t xml:space="preserve">rates </w:t>
      </w:r>
      <w:r w:rsidRPr="003C7194" w:rsidR="00732426">
        <w:rPr>
          <w:szCs w:val="24"/>
        </w:rPr>
        <w:t xml:space="preserve">and inadequate </w:t>
      </w:r>
      <w:r w:rsidRPr="003C7194" w:rsidR="00AE4906">
        <w:rPr>
          <w:szCs w:val="24"/>
        </w:rPr>
        <w:t xml:space="preserve">electric service if NEP prevails in this case and provides submetering services to the apartment complexes at issue. </w:t>
      </w:r>
      <w:r w:rsidRPr="003C7194" w:rsidR="004600FA">
        <w:rPr>
          <w:szCs w:val="24"/>
        </w:rPr>
        <w:t xml:space="preserve">OCC satisfies the standards in R.C. 4903.221 and O.A.C. 4901-1-11 for intervention </w:t>
      </w:r>
      <w:r w:rsidRPr="003C7194" w:rsidR="00685C49">
        <w:rPr>
          <w:szCs w:val="24"/>
        </w:rPr>
        <w:t>in this case</w:t>
      </w:r>
      <w:r w:rsidRPr="003C7194" w:rsidR="004600FA">
        <w:rPr>
          <w:szCs w:val="24"/>
        </w:rPr>
        <w:t>.</w:t>
      </w:r>
      <w:r w:rsidRPr="003C7194" w:rsidR="00685C49">
        <w:rPr>
          <w:szCs w:val="24"/>
        </w:rPr>
        <w:t xml:space="preserve"> </w:t>
      </w:r>
      <w:r w:rsidRPr="003C7194" w:rsidR="004600FA">
        <w:rPr>
          <w:szCs w:val="24"/>
        </w:rPr>
        <w:t xml:space="preserve">Consumers </w:t>
      </w:r>
      <w:r w:rsidRPr="003C7194" w:rsidR="00685C49">
        <w:rPr>
          <w:szCs w:val="24"/>
        </w:rPr>
        <w:t xml:space="preserve">deserve to be heard through OCC, </w:t>
      </w:r>
      <w:r w:rsidRPr="003C7194" w:rsidR="00AE4906">
        <w:rPr>
          <w:szCs w:val="24"/>
        </w:rPr>
        <w:t>the statutory representative of</w:t>
      </w:r>
      <w:r w:rsidRPr="003C7194" w:rsidR="004600FA">
        <w:rPr>
          <w:szCs w:val="24"/>
        </w:rPr>
        <w:t xml:space="preserve"> consumers.</w:t>
      </w:r>
      <w:r w:rsidRPr="003C7194" w:rsidR="00AE4906">
        <w:rPr>
          <w:szCs w:val="24"/>
        </w:rPr>
        <w:t xml:space="preserve"> </w:t>
      </w:r>
      <w:r w:rsidRPr="003C7194" w:rsidR="00685C49">
        <w:rPr>
          <w:szCs w:val="24"/>
        </w:rPr>
        <w:t>To protect consumers, the PUCO should</w:t>
      </w:r>
      <w:r w:rsidRPr="003C7194" w:rsidR="003843B6">
        <w:rPr>
          <w:szCs w:val="24"/>
        </w:rPr>
        <w:t xml:space="preserve"> grant rehearing and abrogate or modify the July 27 Entry </w:t>
      </w:r>
      <w:r w:rsidRPr="003C7194" w:rsidR="007D4E8C">
        <w:rPr>
          <w:szCs w:val="24"/>
        </w:rPr>
        <w:t>and</w:t>
      </w:r>
      <w:r w:rsidRPr="003C7194" w:rsidR="00685C49">
        <w:rPr>
          <w:szCs w:val="24"/>
        </w:rPr>
        <w:t xml:space="preserve"> grant OCC’s motion to intervene.</w:t>
      </w:r>
      <w:r w:rsidRPr="003C7194" w:rsidR="00150BE2">
        <w:rPr>
          <w:szCs w:val="24"/>
        </w:rPr>
        <w:t xml:space="preserve"> </w:t>
      </w:r>
    </w:p>
    <w:p w:rsidR="00775C45" w14:paraId="6F115FE0" w14:textId="77777777">
      <w:pPr>
        <w:rPr>
          <w:szCs w:val="24"/>
        </w:rPr>
      </w:pPr>
      <w:r>
        <w:rPr>
          <w:szCs w:val="24"/>
        </w:rPr>
        <w:br w:type="page"/>
      </w:r>
    </w:p>
    <w:p w:rsidR="002354D4" w:rsidRPr="003C7194" w:rsidP="00E10F9E" w14:paraId="6B193F64" w14:textId="480B282F">
      <w:pPr>
        <w:pStyle w:val="BodyTextIndent3"/>
        <w:widowControl w:val="0"/>
        <w:spacing w:line="240" w:lineRule="auto"/>
        <w:ind w:left="3600" w:right="-672"/>
        <w:rPr>
          <w:szCs w:val="24"/>
        </w:rPr>
      </w:pPr>
      <w:r w:rsidRPr="003C7194">
        <w:rPr>
          <w:szCs w:val="24"/>
        </w:rPr>
        <w:t>Respectfully submitted,</w:t>
      </w:r>
    </w:p>
    <w:p w:rsidR="002354D4" w:rsidRPr="003C7194" w:rsidP="00E10F9E" w14:paraId="42A1C542" w14:textId="77777777">
      <w:pPr>
        <w:jc w:val="both"/>
        <w:rPr>
          <w:szCs w:val="24"/>
        </w:rPr>
      </w:pPr>
      <w:r w:rsidRPr="003C7194">
        <w:rPr>
          <w:szCs w:val="24"/>
        </w:rPr>
        <w:tab/>
      </w:r>
    </w:p>
    <w:p w:rsidR="002354D4" w:rsidRPr="003C7194" w:rsidP="00E10F9E" w14:paraId="53195782" w14:textId="77777777">
      <w:pPr>
        <w:ind w:left="4320"/>
        <w:jc w:val="both"/>
        <w:rPr>
          <w:szCs w:val="24"/>
        </w:rPr>
      </w:pPr>
      <w:r w:rsidRPr="003C7194">
        <w:rPr>
          <w:szCs w:val="24"/>
        </w:rPr>
        <w:t>Bruce Weston (0016973)</w:t>
      </w:r>
    </w:p>
    <w:p w:rsidR="002354D4" w:rsidRPr="003C7194" w:rsidP="00E10F9E" w14:paraId="0E3EEA99" w14:textId="77777777">
      <w:pPr>
        <w:tabs>
          <w:tab w:val="left" w:pos="4320"/>
        </w:tabs>
        <w:ind w:left="4320" w:hanging="450"/>
        <w:jc w:val="both"/>
        <w:rPr>
          <w:szCs w:val="24"/>
        </w:rPr>
      </w:pPr>
      <w:r w:rsidRPr="003C7194">
        <w:rPr>
          <w:szCs w:val="24"/>
        </w:rPr>
        <w:tab/>
        <w:t>Ohio Consumers’ Counsel</w:t>
      </w:r>
    </w:p>
    <w:p w:rsidR="002354D4" w:rsidRPr="003C7194" w:rsidP="00E10F9E" w14:paraId="1EBAB74A" w14:textId="77777777">
      <w:pPr>
        <w:tabs>
          <w:tab w:val="left" w:pos="4320"/>
        </w:tabs>
        <w:ind w:left="4320"/>
        <w:jc w:val="both"/>
        <w:rPr>
          <w:szCs w:val="24"/>
        </w:rPr>
      </w:pPr>
    </w:p>
    <w:p w:rsidR="002354D4" w:rsidRPr="003C7194" w:rsidP="00E10F9E" w14:paraId="7C166533" w14:textId="77777777">
      <w:pPr>
        <w:tabs>
          <w:tab w:val="left" w:pos="4320"/>
        </w:tabs>
        <w:ind w:left="4320"/>
        <w:jc w:val="both"/>
        <w:rPr>
          <w:i/>
          <w:iCs/>
          <w:szCs w:val="24"/>
          <w:u w:val="single"/>
        </w:rPr>
      </w:pPr>
      <w:r w:rsidRPr="003C7194">
        <w:rPr>
          <w:i/>
          <w:iCs/>
          <w:szCs w:val="24"/>
          <w:u w:val="single"/>
        </w:rPr>
        <w:t>/s/ Angela D. O’Brien</w:t>
      </w:r>
      <w:r w:rsidRPr="003C7194">
        <w:rPr>
          <w:i/>
          <w:iCs/>
          <w:szCs w:val="24"/>
          <w:u w:val="single"/>
        </w:rPr>
        <w:tab/>
      </w:r>
    </w:p>
    <w:p w:rsidR="002354D4" w:rsidRPr="003C7194" w:rsidP="00E10F9E" w14:paraId="02355522" w14:textId="77777777">
      <w:pPr>
        <w:tabs>
          <w:tab w:val="left" w:pos="4320"/>
        </w:tabs>
        <w:ind w:left="4320"/>
        <w:jc w:val="both"/>
        <w:rPr>
          <w:szCs w:val="24"/>
        </w:rPr>
      </w:pPr>
      <w:r w:rsidRPr="003C7194">
        <w:rPr>
          <w:szCs w:val="24"/>
        </w:rPr>
        <w:t>Angela D. O’Brien (0097579)</w:t>
      </w:r>
    </w:p>
    <w:p w:rsidR="002354D4" w:rsidRPr="003C7194" w:rsidP="00E10F9E" w14:paraId="530FB9B7" w14:textId="77777777">
      <w:pPr>
        <w:tabs>
          <w:tab w:val="left" w:pos="4320"/>
        </w:tabs>
        <w:ind w:left="4320"/>
        <w:jc w:val="both"/>
        <w:rPr>
          <w:szCs w:val="24"/>
        </w:rPr>
      </w:pPr>
      <w:r w:rsidRPr="003C7194">
        <w:rPr>
          <w:szCs w:val="24"/>
        </w:rPr>
        <w:t>Counsel of Record</w:t>
      </w:r>
    </w:p>
    <w:p w:rsidR="002354D4" w:rsidRPr="003C7194" w:rsidP="00E10F9E" w14:paraId="1D547C73" w14:textId="77777777">
      <w:pPr>
        <w:tabs>
          <w:tab w:val="left" w:pos="4320"/>
        </w:tabs>
        <w:ind w:left="4320"/>
        <w:jc w:val="both"/>
        <w:rPr>
          <w:szCs w:val="24"/>
        </w:rPr>
      </w:pPr>
      <w:r w:rsidRPr="003C7194">
        <w:rPr>
          <w:szCs w:val="24"/>
        </w:rPr>
        <w:t>William J. Michael (0070921)</w:t>
      </w:r>
    </w:p>
    <w:p w:rsidR="002354D4" w:rsidRPr="003C7194" w:rsidP="00E10F9E" w14:paraId="4D36FF86" w14:textId="77777777">
      <w:pPr>
        <w:tabs>
          <w:tab w:val="left" w:pos="3870"/>
          <w:tab w:val="left" w:pos="4320"/>
        </w:tabs>
        <w:ind w:left="4320"/>
        <w:jc w:val="both"/>
        <w:rPr>
          <w:szCs w:val="24"/>
        </w:rPr>
      </w:pPr>
      <w:r w:rsidRPr="003C7194">
        <w:rPr>
          <w:szCs w:val="24"/>
        </w:rPr>
        <w:t>Assistant Consumers’ Counsel</w:t>
      </w:r>
    </w:p>
    <w:p w:rsidR="002354D4" w:rsidRPr="003C7194" w:rsidP="00E10F9E" w14:paraId="51F596EA" w14:textId="77777777">
      <w:pPr>
        <w:tabs>
          <w:tab w:val="left" w:pos="3870"/>
          <w:tab w:val="left" w:pos="4320"/>
        </w:tabs>
        <w:ind w:left="4320"/>
        <w:jc w:val="both"/>
        <w:rPr>
          <w:szCs w:val="24"/>
        </w:rPr>
      </w:pPr>
    </w:p>
    <w:p w:rsidR="002354D4" w:rsidRPr="003C7194" w:rsidP="00E10F9E" w14:paraId="55AB63AD" w14:textId="77777777">
      <w:pPr>
        <w:ind w:left="4320"/>
        <w:jc w:val="both"/>
        <w:rPr>
          <w:b/>
          <w:bCs/>
          <w:szCs w:val="24"/>
        </w:rPr>
      </w:pPr>
      <w:r w:rsidRPr="003C7194">
        <w:rPr>
          <w:b/>
          <w:bCs/>
          <w:szCs w:val="24"/>
        </w:rPr>
        <w:t>Office of the Ohio Consumers' Counsel</w:t>
      </w:r>
    </w:p>
    <w:p w:rsidR="002354D4" w:rsidRPr="003C7194" w:rsidP="00E10F9E" w14:paraId="2B1BC76E" w14:textId="77777777">
      <w:pPr>
        <w:ind w:left="4320"/>
        <w:jc w:val="both"/>
        <w:rPr>
          <w:szCs w:val="24"/>
        </w:rPr>
      </w:pPr>
      <w:r w:rsidRPr="003C7194">
        <w:rPr>
          <w:szCs w:val="24"/>
        </w:rPr>
        <w:t xml:space="preserve">65 East State Street, </w:t>
      </w:r>
      <w:r w:rsidRPr="003C7194" w:rsidR="00833587">
        <w:rPr>
          <w:szCs w:val="24"/>
        </w:rPr>
        <w:t>Suite 700</w:t>
      </w:r>
    </w:p>
    <w:p w:rsidR="002354D4" w:rsidRPr="003C7194" w:rsidP="00E10F9E" w14:paraId="63BE89CC" w14:textId="5F43906A">
      <w:pPr>
        <w:ind w:left="4320"/>
        <w:jc w:val="both"/>
        <w:rPr>
          <w:szCs w:val="24"/>
        </w:rPr>
      </w:pPr>
      <w:r w:rsidRPr="003C7194">
        <w:rPr>
          <w:szCs w:val="24"/>
        </w:rPr>
        <w:t>Columbus, Ohio 43215</w:t>
      </w:r>
    </w:p>
    <w:p w:rsidR="002354D4" w:rsidRPr="003C7194" w:rsidP="00E10F9E" w14:paraId="1FB931DA" w14:textId="77777777">
      <w:pPr>
        <w:autoSpaceDE w:val="0"/>
        <w:autoSpaceDN w:val="0"/>
        <w:adjustRightInd w:val="0"/>
        <w:ind w:left="4320"/>
        <w:jc w:val="both"/>
        <w:rPr>
          <w:szCs w:val="24"/>
        </w:rPr>
      </w:pPr>
      <w:r w:rsidRPr="003C7194">
        <w:rPr>
          <w:szCs w:val="24"/>
        </w:rPr>
        <w:t>Telephone: [O’Brien]: (614) 466-9531</w:t>
      </w:r>
    </w:p>
    <w:p w:rsidR="002354D4" w:rsidRPr="003C7194" w:rsidP="00E10F9E" w14:paraId="1EBA2A66" w14:textId="77777777">
      <w:pPr>
        <w:autoSpaceDE w:val="0"/>
        <w:autoSpaceDN w:val="0"/>
        <w:adjustRightInd w:val="0"/>
        <w:ind w:left="4320"/>
        <w:jc w:val="both"/>
        <w:rPr>
          <w:szCs w:val="24"/>
        </w:rPr>
      </w:pPr>
      <w:r w:rsidRPr="003C7194">
        <w:rPr>
          <w:szCs w:val="24"/>
        </w:rPr>
        <w:t>Telephone: [Michael]: (614) 466-1291</w:t>
      </w:r>
    </w:p>
    <w:p w:rsidR="002354D4" w:rsidRPr="003C7194" w:rsidP="00E10F9E" w14:paraId="66F9595A" w14:textId="77777777">
      <w:pPr>
        <w:ind w:left="4320"/>
        <w:jc w:val="both"/>
        <w:rPr>
          <w:szCs w:val="24"/>
        </w:rPr>
      </w:pPr>
      <w:hyperlink r:id="rId6" w:history="1">
        <w:r w:rsidRPr="003C7194" w:rsidR="00BB664A">
          <w:rPr>
            <w:rStyle w:val="Hyperlink"/>
            <w:szCs w:val="24"/>
          </w:rPr>
          <w:t>angela.obrien@occ.ohio.gov</w:t>
        </w:r>
      </w:hyperlink>
    </w:p>
    <w:p w:rsidR="002354D4" w:rsidRPr="003C7194" w:rsidP="00E10F9E" w14:paraId="06E5CAC9" w14:textId="77777777">
      <w:pPr>
        <w:ind w:left="4320"/>
        <w:jc w:val="both"/>
        <w:rPr>
          <w:szCs w:val="24"/>
        </w:rPr>
      </w:pPr>
      <w:hyperlink r:id="rId7" w:history="1">
        <w:r w:rsidRPr="003C7194" w:rsidR="00BB664A">
          <w:rPr>
            <w:rStyle w:val="Hyperlink"/>
            <w:szCs w:val="24"/>
          </w:rPr>
          <w:t>william.michael@occ.ohio.gov</w:t>
        </w:r>
      </w:hyperlink>
    </w:p>
    <w:p w:rsidR="002354D4" w:rsidRPr="003C7194" w:rsidP="00E10F9E" w14:paraId="38A12283" w14:textId="77777777">
      <w:pPr>
        <w:ind w:left="4320" w:hanging="4320"/>
        <w:jc w:val="both"/>
        <w:rPr>
          <w:szCs w:val="24"/>
        </w:rPr>
      </w:pPr>
      <w:r w:rsidRPr="003C7194">
        <w:rPr>
          <w:szCs w:val="24"/>
        </w:rPr>
        <w:tab/>
        <w:t>(willing to accept service by e-mail)</w:t>
      </w:r>
    </w:p>
    <w:p w:rsidR="00A044B5" w:rsidRPr="003C7194" w14:paraId="18B5DCD9" w14:textId="77777777">
      <w:pPr>
        <w:rPr>
          <w:szCs w:val="24"/>
        </w:rPr>
      </w:pPr>
      <w:r w:rsidRPr="003C7194">
        <w:rPr>
          <w:szCs w:val="24"/>
        </w:rPr>
        <w:tab/>
      </w:r>
      <w:r w:rsidRPr="003C7194">
        <w:rPr>
          <w:szCs w:val="24"/>
        </w:rPr>
        <w:tab/>
      </w:r>
      <w:r w:rsidRPr="003C7194">
        <w:rPr>
          <w:szCs w:val="24"/>
        </w:rPr>
        <w:tab/>
      </w:r>
      <w:r w:rsidRPr="003C7194">
        <w:rPr>
          <w:szCs w:val="24"/>
        </w:rPr>
        <w:tab/>
      </w:r>
      <w:r w:rsidRPr="003C7194">
        <w:rPr>
          <w:szCs w:val="24"/>
        </w:rPr>
        <w:tab/>
      </w:r>
      <w:r w:rsidRPr="003C7194">
        <w:rPr>
          <w:szCs w:val="24"/>
        </w:rPr>
        <w:tab/>
      </w:r>
    </w:p>
    <w:p w:rsidR="00A044B5" w:rsidRPr="003C7194" w14:paraId="13E641D5" w14:textId="77777777">
      <w:pPr>
        <w:jc w:val="center"/>
        <w:rPr>
          <w:b/>
          <w:bCs/>
          <w:szCs w:val="24"/>
          <w:u w:val="single"/>
        </w:rPr>
      </w:pPr>
      <w:r w:rsidRPr="003C7194">
        <w:rPr>
          <w:szCs w:val="24"/>
        </w:rPr>
        <w:br w:type="page"/>
      </w:r>
      <w:r w:rsidRPr="003C7194">
        <w:rPr>
          <w:b/>
          <w:bCs/>
          <w:szCs w:val="24"/>
          <w:u w:val="single"/>
        </w:rPr>
        <w:t>CERTIFICATE OF SERVICE</w:t>
      </w:r>
    </w:p>
    <w:p w:rsidR="00A044B5" w:rsidRPr="003C7194" w14:paraId="0378496C" w14:textId="519D01FF">
      <w:pPr>
        <w:spacing w:line="480" w:lineRule="atLeast"/>
        <w:rPr>
          <w:szCs w:val="24"/>
        </w:rPr>
      </w:pPr>
      <w:r w:rsidRPr="003C7194">
        <w:rPr>
          <w:szCs w:val="24"/>
        </w:rPr>
        <w:tab/>
        <w:t>I hereby certify that a copy of this</w:t>
      </w:r>
      <w:r w:rsidRPr="003C7194" w:rsidR="00C168B2">
        <w:rPr>
          <w:szCs w:val="24"/>
        </w:rPr>
        <w:t xml:space="preserve"> </w:t>
      </w:r>
      <w:r w:rsidRPr="003C7194" w:rsidR="00123FB7">
        <w:rPr>
          <w:szCs w:val="24"/>
        </w:rPr>
        <w:t xml:space="preserve">Application for Rehearing of the PUCO’s Entry Denying OCC’s Intervention </w:t>
      </w:r>
      <w:r w:rsidRPr="003C7194">
        <w:rPr>
          <w:szCs w:val="24"/>
        </w:rPr>
        <w:t xml:space="preserve">was served on the persons stated below </w:t>
      </w:r>
      <w:r w:rsidRPr="003C7194">
        <w:rPr>
          <w:iCs/>
          <w:szCs w:val="24"/>
        </w:rPr>
        <w:t>via</w:t>
      </w:r>
      <w:r w:rsidRPr="003C7194" w:rsidR="002A4912">
        <w:rPr>
          <w:szCs w:val="24"/>
        </w:rPr>
        <w:t xml:space="preserve"> electronic transmission</w:t>
      </w:r>
      <w:r w:rsidRPr="003C7194">
        <w:rPr>
          <w:szCs w:val="24"/>
        </w:rPr>
        <w:t>, this</w:t>
      </w:r>
      <w:r w:rsidRPr="003C7194" w:rsidR="00A501E8">
        <w:rPr>
          <w:szCs w:val="24"/>
        </w:rPr>
        <w:t xml:space="preserve"> </w:t>
      </w:r>
      <w:r w:rsidRPr="003C7194" w:rsidR="00123FB7">
        <w:rPr>
          <w:szCs w:val="24"/>
        </w:rPr>
        <w:t>26</w:t>
      </w:r>
      <w:r w:rsidRPr="003C7194" w:rsidR="00A501E8">
        <w:rPr>
          <w:szCs w:val="24"/>
          <w:vertAlign w:val="superscript"/>
        </w:rPr>
        <w:t>th</w:t>
      </w:r>
      <w:r w:rsidRPr="003C7194" w:rsidR="00A501E8">
        <w:rPr>
          <w:szCs w:val="24"/>
        </w:rPr>
        <w:t xml:space="preserve"> </w:t>
      </w:r>
      <w:r w:rsidRPr="003C7194">
        <w:rPr>
          <w:szCs w:val="24"/>
        </w:rPr>
        <w:t xml:space="preserve">day of </w:t>
      </w:r>
      <w:r w:rsidRPr="003C7194" w:rsidR="00123FB7">
        <w:rPr>
          <w:szCs w:val="24"/>
        </w:rPr>
        <w:t>August 2022.</w:t>
      </w:r>
    </w:p>
    <w:p w:rsidR="00A044B5" w:rsidRPr="003C7194" w:rsidP="00123FB7" w14:paraId="38A55AD3" w14:textId="77777777">
      <w:pPr>
        <w:rPr>
          <w:szCs w:val="24"/>
        </w:rPr>
      </w:pPr>
    </w:p>
    <w:p w:rsidR="00A044B5" w:rsidRPr="003C7194" w14:paraId="3A9A1909" w14:textId="77777777">
      <w:pPr>
        <w:tabs>
          <w:tab w:val="left" w:pos="4320"/>
        </w:tabs>
        <w:rPr>
          <w:i/>
          <w:iCs/>
          <w:szCs w:val="24"/>
          <w:u w:val="single"/>
        </w:rPr>
      </w:pPr>
      <w:r w:rsidRPr="003C7194">
        <w:rPr>
          <w:szCs w:val="24"/>
        </w:rPr>
        <w:tab/>
      </w:r>
      <w:r w:rsidRPr="003C7194" w:rsidR="002354D4">
        <w:rPr>
          <w:i/>
          <w:iCs/>
          <w:szCs w:val="24"/>
          <w:u w:val="single"/>
        </w:rPr>
        <w:t>/s/ Angela D. O’Brien</w:t>
      </w:r>
      <w:r w:rsidRPr="003C7194" w:rsidR="002354D4">
        <w:rPr>
          <w:i/>
          <w:iCs/>
          <w:szCs w:val="24"/>
          <w:u w:val="single"/>
        </w:rPr>
        <w:tab/>
      </w:r>
      <w:r w:rsidRPr="003C7194" w:rsidR="002354D4">
        <w:rPr>
          <w:i/>
          <w:iCs/>
          <w:szCs w:val="24"/>
          <w:u w:val="single"/>
        </w:rPr>
        <w:tab/>
      </w:r>
    </w:p>
    <w:p w:rsidR="00A044B5" w:rsidRPr="003C7194" w14:paraId="44BF3394" w14:textId="77777777">
      <w:pPr>
        <w:tabs>
          <w:tab w:val="left" w:pos="4320"/>
        </w:tabs>
        <w:rPr>
          <w:szCs w:val="24"/>
        </w:rPr>
      </w:pPr>
      <w:r w:rsidRPr="003C7194">
        <w:rPr>
          <w:szCs w:val="24"/>
        </w:rPr>
        <w:tab/>
      </w:r>
      <w:r w:rsidRPr="003C7194" w:rsidR="002354D4">
        <w:rPr>
          <w:szCs w:val="24"/>
        </w:rPr>
        <w:t>Angela D. O’Brien</w:t>
      </w:r>
    </w:p>
    <w:p w:rsidR="00A044B5" w:rsidRPr="003C7194" w14:paraId="762A8F47" w14:textId="77777777">
      <w:pPr>
        <w:tabs>
          <w:tab w:val="left" w:pos="4320"/>
        </w:tabs>
        <w:rPr>
          <w:szCs w:val="24"/>
        </w:rPr>
      </w:pPr>
      <w:r w:rsidRPr="003C7194">
        <w:rPr>
          <w:szCs w:val="24"/>
        </w:rPr>
        <w:tab/>
        <w:t>Assistant Consumers’ Counsel</w:t>
      </w:r>
    </w:p>
    <w:p w:rsidR="001D10F6" w:rsidRPr="003C7194" w14:paraId="59C780D1" w14:textId="77777777">
      <w:pPr>
        <w:tabs>
          <w:tab w:val="left" w:pos="4320"/>
        </w:tabs>
        <w:rPr>
          <w:szCs w:val="24"/>
        </w:rPr>
      </w:pPr>
    </w:p>
    <w:p w:rsidR="00A044B5" w:rsidRPr="003C7194" w:rsidP="00123FB7" w14:paraId="0B411475" w14:textId="283DF33E">
      <w:pPr>
        <w:pStyle w:val="CommentText"/>
      </w:pPr>
      <w:r w:rsidRPr="003C7194">
        <w:t>The PUCO’s e-filing system will electronically serve notice of the filing of this document on the following parties:</w:t>
      </w:r>
    </w:p>
    <w:p w:rsidR="00A044B5" w:rsidRPr="003C7194" w14:paraId="5ABA78DC" w14:textId="77777777">
      <w:pPr>
        <w:pStyle w:val="CommentText"/>
      </w:pPr>
    </w:p>
    <w:p w:rsidR="00A044B5" w:rsidRPr="003C7194" w14:paraId="3EBB7E24" w14:textId="77777777">
      <w:pPr>
        <w:pStyle w:val="CommentText"/>
        <w:jc w:val="center"/>
        <w:rPr>
          <w:b/>
          <w:u w:val="single"/>
        </w:rPr>
      </w:pPr>
      <w:r w:rsidRPr="003C7194">
        <w:rPr>
          <w:b/>
          <w:u w:val="single"/>
        </w:rPr>
        <w:t>SERVICE LIST</w:t>
      </w:r>
    </w:p>
    <w:p w:rsidR="008E11BE" w:rsidRPr="003C7194" w14:paraId="39E30C56" w14:textId="77777777">
      <w:pPr>
        <w:pStyle w:val="CommentText"/>
        <w:jc w:val="center"/>
        <w:rPr>
          <w:b/>
          <w:u w:val="single"/>
        </w:rPr>
      </w:pPr>
    </w:p>
    <w:tbl>
      <w:tblPr>
        <w:tblW w:w="0" w:type="auto"/>
        <w:tblLook w:val="04A0"/>
      </w:tblPr>
      <w:tblGrid>
        <w:gridCol w:w="4262"/>
        <w:gridCol w:w="4378"/>
      </w:tblGrid>
      <w:tr w14:paraId="124519F9" w14:textId="77777777" w:rsidTr="00AF3972">
        <w:tblPrEx>
          <w:tblW w:w="0" w:type="auto"/>
          <w:tblLook w:val="04A0"/>
        </w:tblPrEx>
        <w:tc>
          <w:tcPr>
            <w:tcW w:w="4428" w:type="dxa"/>
            <w:shd w:val="clear" w:color="auto" w:fill="auto"/>
          </w:tcPr>
          <w:p w:rsidR="0094543A" w:rsidRPr="003C7194" w:rsidP="00AF3972" w14:paraId="764E5D2C" w14:textId="77777777">
            <w:pPr>
              <w:pStyle w:val="CommentText"/>
              <w:rPr>
                <w:bCs/>
                <w:u w:val="single"/>
              </w:rPr>
            </w:pPr>
            <w:hyperlink r:id="rId11" w:history="1">
              <w:r w:rsidRPr="003C7194" w:rsidR="00BB664A">
                <w:rPr>
                  <w:rStyle w:val="Hyperlink"/>
                </w:rPr>
                <w:t>j</w:t>
              </w:r>
              <w:r w:rsidRPr="003C7194" w:rsidR="00BB664A">
                <w:rPr>
                  <w:rStyle w:val="Hyperlink"/>
                  <w:bCs/>
                </w:rPr>
                <w:t>ohn.jones@ohioAGO.gov</w:t>
              </w:r>
            </w:hyperlink>
          </w:p>
          <w:p w:rsidR="0094543A" w:rsidRPr="003C7194" w:rsidP="00AF3972" w14:paraId="77EA2319" w14:textId="77777777">
            <w:pPr>
              <w:autoSpaceDE w:val="0"/>
              <w:autoSpaceDN w:val="0"/>
              <w:adjustRightInd w:val="0"/>
              <w:rPr>
                <w:szCs w:val="24"/>
              </w:rPr>
            </w:pPr>
          </w:p>
          <w:p w:rsidR="0094543A" w:rsidRPr="003C7194" w:rsidP="00AF3972" w14:paraId="6C517CF3" w14:textId="77777777">
            <w:pPr>
              <w:autoSpaceDE w:val="0"/>
              <w:autoSpaceDN w:val="0"/>
              <w:adjustRightInd w:val="0"/>
              <w:rPr>
                <w:szCs w:val="24"/>
              </w:rPr>
            </w:pPr>
            <w:r w:rsidRPr="003C7194">
              <w:rPr>
                <w:szCs w:val="24"/>
              </w:rPr>
              <w:t>Attorney Examiners:</w:t>
            </w:r>
          </w:p>
          <w:p w:rsidR="0094543A" w:rsidRPr="003C7194" w:rsidP="00AF3972" w14:paraId="0D3374AF" w14:textId="77777777">
            <w:pPr>
              <w:autoSpaceDE w:val="0"/>
              <w:autoSpaceDN w:val="0"/>
              <w:adjustRightInd w:val="0"/>
              <w:rPr>
                <w:szCs w:val="24"/>
              </w:rPr>
            </w:pPr>
            <w:hyperlink r:id="rId12" w:history="1">
              <w:r w:rsidRPr="003C7194" w:rsidR="00BB664A">
                <w:rPr>
                  <w:rStyle w:val="Hyperlink"/>
                  <w:szCs w:val="24"/>
                </w:rPr>
                <w:t>david.hicks@puco.ohio.gov</w:t>
              </w:r>
            </w:hyperlink>
          </w:p>
          <w:p w:rsidR="0094543A" w:rsidRPr="003C7194" w:rsidP="00AF3972" w14:paraId="0A10218A" w14:textId="77777777">
            <w:pPr>
              <w:autoSpaceDE w:val="0"/>
              <w:autoSpaceDN w:val="0"/>
              <w:adjustRightInd w:val="0"/>
              <w:rPr>
                <w:color w:val="0000FF"/>
                <w:szCs w:val="24"/>
              </w:rPr>
            </w:pPr>
            <w:hyperlink r:id="rId13" w:history="1">
              <w:r w:rsidRPr="003C7194" w:rsidR="00BB664A">
                <w:rPr>
                  <w:rStyle w:val="Hyperlink"/>
                  <w:szCs w:val="24"/>
                </w:rPr>
                <w:t>matthew.sandor@puco.ohio.gov</w:t>
              </w:r>
            </w:hyperlink>
          </w:p>
          <w:p w:rsidR="0094543A" w:rsidRPr="003C7194" w:rsidP="00AF3972" w14:paraId="27E354F2" w14:textId="77777777">
            <w:pPr>
              <w:autoSpaceDE w:val="0"/>
              <w:autoSpaceDN w:val="0"/>
              <w:adjustRightInd w:val="0"/>
              <w:rPr>
                <w:szCs w:val="24"/>
              </w:rPr>
            </w:pPr>
          </w:p>
          <w:p w:rsidR="0094543A" w:rsidRPr="003C7194" w:rsidP="00AF3972" w14:paraId="573E8907" w14:textId="77777777">
            <w:pPr>
              <w:autoSpaceDE w:val="0"/>
              <w:autoSpaceDN w:val="0"/>
              <w:adjustRightInd w:val="0"/>
              <w:rPr>
                <w:color w:val="0000FF"/>
                <w:szCs w:val="24"/>
              </w:rPr>
            </w:pPr>
          </w:p>
          <w:p w:rsidR="0094543A" w:rsidRPr="003C7194" w:rsidP="00AF3972" w14:paraId="151BA577" w14:textId="77777777">
            <w:pPr>
              <w:pStyle w:val="CommentText"/>
              <w:rPr>
                <w:bCs/>
                <w:u w:val="single"/>
              </w:rPr>
            </w:pPr>
          </w:p>
        </w:tc>
        <w:tc>
          <w:tcPr>
            <w:tcW w:w="4428" w:type="dxa"/>
            <w:shd w:val="clear" w:color="auto" w:fill="auto"/>
          </w:tcPr>
          <w:p w:rsidR="0094543A" w:rsidRPr="003C7194" w:rsidP="00AF3972" w14:paraId="60A78A7D" w14:textId="6B2BEA45">
            <w:pPr>
              <w:autoSpaceDE w:val="0"/>
              <w:autoSpaceDN w:val="0"/>
              <w:adjustRightInd w:val="0"/>
              <w:rPr>
                <w:rStyle w:val="Hyperlink"/>
                <w:szCs w:val="24"/>
              </w:rPr>
            </w:pPr>
            <w:hyperlink r:id="rId14" w:history="1">
              <w:r w:rsidRPr="003C7194" w:rsidR="00BB664A">
                <w:rPr>
                  <w:rStyle w:val="Hyperlink"/>
                  <w:szCs w:val="24"/>
                </w:rPr>
                <w:t>stnourse@aep.com</w:t>
              </w:r>
            </w:hyperlink>
          </w:p>
          <w:p w:rsidR="0094543A" w:rsidRPr="003C7194" w:rsidP="00AF3972" w14:paraId="0EC753CD" w14:textId="1EAE22C6">
            <w:pPr>
              <w:autoSpaceDE w:val="0"/>
              <w:autoSpaceDN w:val="0"/>
              <w:adjustRightInd w:val="0"/>
              <w:rPr>
                <w:rStyle w:val="Hyperlink"/>
                <w:szCs w:val="24"/>
              </w:rPr>
            </w:pPr>
            <w:r w:rsidRPr="003C7194">
              <w:rPr>
                <w:rStyle w:val="Hyperlink"/>
                <w:szCs w:val="24"/>
              </w:rPr>
              <w:t>mjschuler@aep.com</w:t>
            </w:r>
          </w:p>
          <w:p w:rsidR="0094543A" w:rsidRPr="003C7194" w:rsidP="00AF3972" w14:paraId="1678C976" w14:textId="182DB9AA">
            <w:pPr>
              <w:autoSpaceDE w:val="0"/>
              <w:autoSpaceDN w:val="0"/>
              <w:adjustRightInd w:val="0"/>
              <w:rPr>
                <w:rStyle w:val="Hyperlink"/>
                <w:szCs w:val="24"/>
              </w:rPr>
            </w:pPr>
            <w:hyperlink r:id="rId15" w:history="1">
              <w:r w:rsidRPr="003C7194" w:rsidR="00BB664A">
                <w:rPr>
                  <w:rStyle w:val="Hyperlink"/>
                  <w:szCs w:val="24"/>
                </w:rPr>
                <w:t>matthew@msmckenzieltd.com</w:t>
              </w:r>
            </w:hyperlink>
          </w:p>
          <w:p w:rsidR="002E5B8A" w:rsidRPr="003C7194" w:rsidP="00AF3972" w14:paraId="2D385B1E" w14:textId="53284382">
            <w:pPr>
              <w:autoSpaceDE w:val="0"/>
              <w:autoSpaceDN w:val="0"/>
              <w:adjustRightInd w:val="0"/>
              <w:rPr>
                <w:rStyle w:val="Hyperlink"/>
                <w:szCs w:val="24"/>
              </w:rPr>
            </w:pPr>
            <w:r w:rsidRPr="003C7194">
              <w:rPr>
                <w:rStyle w:val="Hyperlink"/>
                <w:szCs w:val="24"/>
              </w:rPr>
              <w:t>dromig@nationwideenergypartners.com</w:t>
            </w:r>
          </w:p>
          <w:p w:rsidR="0094543A" w:rsidRPr="003C7194" w:rsidP="00AF3972" w14:paraId="32D5647F" w14:textId="77777777">
            <w:pPr>
              <w:autoSpaceDE w:val="0"/>
              <w:autoSpaceDN w:val="0"/>
              <w:adjustRightInd w:val="0"/>
              <w:rPr>
                <w:rStyle w:val="Hyperlink"/>
                <w:szCs w:val="24"/>
              </w:rPr>
            </w:pPr>
            <w:hyperlink r:id="rId16" w:history="1">
              <w:r w:rsidRPr="003C7194" w:rsidR="00BB664A">
                <w:rPr>
                  <w:rStyle w:val="Hyperlink"/>
                  <w:szCs w:val="24"/>
                </w:rPr>
                <w:t>mjsettineri@vorys.com</w:t>
              </w:r>
            </w:hyperlink>
          </w:p>
          <w:p w:rsidR="0094543A" w:rsidRPr="003C7194" w:rsidP="00AF3972" w14:paraId="3F7D318E" w14:textId="77777777">
            <w:pPr>
              <w:autoSpaceDE w:val="0"/>
              <w:autoSpaceDN w:val="0"/>
              <w:adjustRightInd w:val="0"/>
              <w:rPr>
                <w:color w:val="0000FF"/>
                <w:szCs w:val="24"/>
              </w:rPr>
            </w:pPr>
            <w:hyperlink r:id="rId17" w:history="1">
              <w:r w:rsidRPr="003C7194" w:rsidR="00BB664A">
                <w:rPr>
                  <w:rStyle w:val="Hyperlink"/>
                  <w:szCs w:val="24"/>
                </w:rPr>
                <w:t>aasanyal@vorys.com</w:t>
              </w:r>
            </w:hyperlink>
          </w:p>
          <w:p w:rsidR="0094543A" w:rsidRPr="003C7194" w:rsidP="00AF3972" w14:paraId="40E2F11F" w14:textId="77777777">
            <w:pPr>
              <w:autoSpaceDE w:val="0"/>
              <w:autoSpaceDN w:val="0"/>
              <w:adjustRightInd w:val="0"/>
              <w:rPr>
                <w:color w:val="0000FF"/>
                <w:szCs w:val="24"/>
              </w:rPr>
            </w:pPr>
            <w:hyperlink r:id="rId18" w:history="1">
              <w:r w:rsidRPr="003C7194" w:rsidR="00BB664A">
                <w:rPr>
                  <w:rStyle w:val="Hyperlink"/>
                  <w:szCs w:val="24"/>
                </w:rPr>
                <w:t>apguran@vorys.com</w:t>
              </w:r>
            </w:hyperlink>
          </w:p>
          <w:p w:rsidR="0094543A" w:rsidRPr="003C7194" w:rsidP="00AF3972" w14:paraId="5D49189D" w14:textId="77777777">
            <w:pPr>
              <w:autoSpaceDE w:val="0"/>
              <w:autoSpaceDN w:val="0"/>
              <w:adjustRightInd w:val="0"/>
              <w:rPr>
                <w:color w:val="0563C2"/>
                <w:szCs w:val="24"/>
              </w:rPr>
            </w:pPr>
          </w:p>
          <w:p w:rsidR="0094543A" w:rsidRPr="003C7194" w:rsidP="00AF3972" w14:paraId="58421D85" w14:textId="77777777">
            <w:pPr>
              <w:autoSpaceDE w:val="0"/>
              <w:autoSpaceDN w:val="0"/>
              <w:adjustRightInd w:val="0"/>
              <w:rPr>
                <w:color w:val="0563C2"/>
                <w:szCs w:val="24"/>
              </w:rPr>
            </w:pPr>
          </w:p>
          <w:p w:rsidR="0094543A" w:rsidRPr="003C7194" w:rsidP="00AF3972" w14:paraId="7B735306" w14:textId="77777777">
            <w:pPr>
              <w:autoSpaceDE w:val="0"/>
              <w:autoSpaceDN w:val="0"/>
              <w:adjustRightInd w:val="0"/>
              <w:rPr>
                <w:color w:val="0563C2"/>
                <w:szCs w:val="24"/>
              </w:rPr>
            </w:pPr>
          </w:p>
        </w:tc>
      </w:tr>
    </w:tbl>
    <w:p w:rsidR="008E11BE" w:rsidRPr="003C7194" w14:paraId="73FDA6D2" w14:textId="77777777">
      <w:pPr>
        <w:pStyle w:val="CommentText"/>
        <w:jc w:val="center"/>
        <w:rPr>
          <w:b/>
          <w:u w:val="single"/>
        </w:rPr>
      </w:pPr>
    </w:p>
    <w:p w:rsidR="00A044B5" w:rsidRPr="003C7194" w14:paraId="64F5B495" w14:textId="77777777">
      <w:pPr>
        <w:pStyle w:val="BodyText"/>
        <w:rPr>
          <w:b/>
          <w:bCs/>
          <w:szCs w:val="24"/>
        </w:rPr>
      </w:pPr>
    </w:p>
    <w:p w:rsidR="00A044B5" w:rsidRPr="003C7194" w14:paraId="411DABE5" w14:textId="77777777">
      <w:pPr>
        <w:pStyle w:val="BodyText"/>
        <w:rPr>
          <w:b/>
          <w:bCs/>
          <w:szCs w:val="24"/>
        </w:rPr>
      </w:pPr>
    </w:p>
    <w:sectPr w:rsidSect="006D5569">
      <w:pgSz w:w="12240" w:h="15840"/>
      <w:pgMar w:top="1440" w:right="1800" w:bottom="1440" w:left="180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593782979"/>
      <w:docPartObj>
        <w:docPartGallery w:val="Page Numbers (Bottom of Page)"/>
        <w:docPartUnique/>
      </w:docPartObj>
    </w:sdtPr>
    <w:sdtEndPr>
      <w:rPr>
        <w:noProof/>
      </w:rPr>
    </w:sdtEndPr>
    <w:sdtContent>
      <w:p w:rsidR="006D5569" w:rsidRPr="006D5569" w14:paraId="57C0E6E5" w14:textId="7B503EA6">
        <w:pPr>
          <w:pStyle w:val="Footer"/>
          <w:jc w:val="center"/>
          <w:rPr>
            <w:sz w:val="24"/>
            <w:szCs w:val="24"/>
          </w:rPr>
        </w:pPr>
        <w:r w:rsidRPr="006D5569">
          <w:rPr>
            <w:sz w:val="24"/>
            <w:szCs w:val="24"/>
          </w:rPr>
          <w:fldChar w:fldCharType="begin"/>
        </w:r>
        <w:r w:rsidRPr="006D5569">
          <w:rPr>
            <w:sz w:val="24"/>
            <w:szCs w:val="24"/>
          </w:rPr>
          <w:instrText xml:space="preserve"> PAGE   \* MERGEFORMAT </w:instrText>
        </w:r>
        <w:r w:rsidRPr="006D5569">
          <w:rPr>
            <w:sz w:val="24"/>
            <w:szCs w:val="24"/>
          </w:rPr>
          <w:fldChar w:fldCharType="separate"/>
        </w:r>
        <w:r w:rsidRPr="006D5569">
          <w:rPr>
            <w:noProof/>
            <w:sz w:val="24"/>
            <w:szCs w:val="24"/>
          </w:rPr>
          <w:t>2</w:t>
        </w:r>
        <w:r w:rsidRPr="006D5569">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AA8" w:rsidRPr="00833587" w14:paraId="4B3657AB" w14:textId="77777777">
    <w:pPr>
      <w:pStyle w:val="Footer"/>
      <w:jc w:val="center"/>
      <w:rPr>
        <w:sz w:val="24"/>
        <w:szCs w:val="24"/>
      </w:rPr>
    </w:pPr>
    <w:r w:rsidRPr="00833587">
      <w:rPr>
        <w:sz w:val="24"/>
        <w:szCs w:val="24"/>
      </w:rPr>
      <w:fldChar w:fldCharType="begin"/>
    </w:r>
    <w:r w:rsidRPr="00833587">
      <w:rPr>
        <w:sz w:val="24"/>
        <w:szCs w:val="24"/>
      </w:rPr>
      <w:instrText xml:space="preserve"> PAGE   \* MERGEFORMAT </w:instrText>
    </w:r>
    <w:r w:rsidRPr="00833587">
      <w:rPr>
        <w:sz w:val="24"/>
        <w:szCs w:val="24"/>
      </w:rPr>
      <w:fldChar w:fldCharType="separate"/>
    </w:r>
    <w:r w:rsidRPr="00833587">
      <w:rPr>
        <w:noProof/>
        <w:sz w:val="24"/>
        <w:szCs w:val="24"/>
      </w:rPr>
      <w:t>2</w:t>
    </w:r>
    <w:r w:rsidRPr="00833587">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472282043"/>
      <w:docPartObj>
        <w:docPartGallery w:val="Page Numbers (Bottom of Page)"/>
        <w:docPartUnique/>
      </w:docPartObj>
    </w:sdtPr>
    <w:sdtEndPr>
      <w:rPr>
        <w:noProof/>
      </w:rPr>
    </w:sdtEndPr>
    <w:sdtContent>
      <w:p w:rsidR="00435067" w:rsidRPr="006D5569" w14:paraId="23CF4818" w14:textId="77777777">
        <w:pPr>
          <w:pStyle w:val="Footer"/>
          <w:jc w:val="center"/>
          <w:rPr>
            <w:sz w:val="24"/>
            <w:szCs w:val="24"/>
          </w:rPr>
        </w:pPr>
        <w:r w:rsidRPr="006D5569">
          <w:rPr>
            <w:sz w:val="24"/>
            <w:szCs w:val="24"/>
          </w:rPr>
          <w:fldChar w:fldCharType="begin"/>
        </w:r>
        <w:r w:rsidRPr="006D5569">
          <w:rPr>
            <w:sz w:val="24"/>
            <w:szCs w:val="24"/>
          </w:rPr>
          <w:instrText xml:space="preserve"> PAGE   \* MERGEFORMAT </w:instrText>
        </w:r>
        <w:r w:rsidRPr="006D5569">
          <w:rPr>
            <w:sz w:val="24"/>
            <w:szCs w:val="24"/>
          </w:rPr>
          <w:fldChar w:fldCharType="separate"/>
        </w:r>
        <w:r w:rsidRPr="006D5569">
          <w:rPr>
            <w:noProof/>
            <w:sz w:val="24"/>
            <w:szCs w:val="24"/>
          </w:rPr>
          <w:t>2</w:t>
        </w:r>
        <w:r w:rsidRPr="006D556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B664A" w14:paraId="71E39C8F" w14:textId="77777777">
      <w:r>
        <w:separator/>
      </w:r>
    </w:p>
  </w:footnote>
  <w:footnote w:type="continuationSeparator" w:id="1">
    <w:p w:rsidR="00BB664A" w14:paraId="69FE5C31" w14:textId="77777777">
      <w:r>
        <w:continuationSeparator/>
      </w:r>
    </w:p>
  </w:footnote>
  <w:footnote w:id="2">
    <w:p w:rsidR="00ED7376" w:rsidRPr="004D5481" w:rsidP="00EB2B55" w14:paraId="7D4B0164" w14:textId="77777777">
      <w:pPr>
        <w:pStyle w:val="FootnoteText"/>
        <w:spacing w:after="120"/>
      </w:pPr>
      <w:r w:rsidRPr="004D5481">
        <w:rPr>
          <w:rStyle w:val="FootnoteReference"/>
        </w:rPr>
        <w:footnoteRef/>
      </w:r>
      <w:r w:rsidRPr="004D5481">
        <w:t xml:space="preserve"> </w:t>
      </w:r>
      <w:r w:rsidRPr="004D5481">
        <w:rPr>
          <w:i/>
          <w:iCs/>
        </w:rPr>
        <w:t>See Complaint of Wingo v. Nationwide Energy Partners, L.L.C.</w:t>
      </w:r>
      <w:r w:rsidRPr="004D5481">
        <w:t>, 163 Ohio St.3d 208 (2020).</w:t>
      </w:r>
    </w:p>
  </w:footnote>
  <w:footnote w:id="3">
    <w:p w:rsidR="009E773C" w:rsidP="00EB2B55" w14:paraId="68F5CF54" w14:textId="6572C97B">
      <w:pPr>
        <w:pStyle w:val="FootnoteText"/>
        <w:spacing w:after="120"/>
      </w:pPr>
      <w:r>
        <w:rPr>
          <w:rStyle w:val="FootnoteReference"/>
        </w:rPr>
        <w:footnoteRef/>
      </w:r>
      <w:r>
        <w:t xml:space="preserve"> Case No. 21-990-EL-CSS</w:t>
      </w:r>
      <w:r w:rsidR="00F90CF5">
        <w:t>, PUCO Entry (July 27, 2022) (“July 27 Entry”).</w:t>
      </w:r>
    </w:p>
  </w:footnote>
  <w:footnote w:id="4">
    <w:p w:rsidR="00D615C9" w:rsidRPr="004D5481" w:rsidP="00EB2B55" w14:paraId="41815D2A" w14:textId="77777777">
      <w:pPr>
        <w:pStyle w:val="FootnoteText"/>
        <w:spacing w:after="120"/>
      </w:pPr>
      <w:r w:rsidRPr="004D5481">
        <w:rPr>
          <w:rStyle w:val="FootnoteReference"/>
        </w:rPr>
        <w:footnoteRef/>
      </w:r>
      <w:r w:rsidRPr="004D5481">
        <w:t xml:space="preserve"> R.C. 490</w:t>
      </w:r>
      <w:r w:rsidRPr="004D5481" w:rsidR="00E528C1">
        <w:t>3.221.</w:t>
      </w:r>
    </w:p>
  </w:footnote>
  <w:footnote w:id="5">
    <w:p w:rsidR="00561776" w:rsidRPr="004D5481" w:rsidP="00EB2B55" w14:paraId="1C4DC04A" w14:textId="7405D99D">
      <w:pPr>
        <w:pStyle w:val="FootnoteText"/>
        <w:spacing w:after="120"/>
      </w:pPr>
      <w:r w:rsidRPr="004D5481">
        <w:rPr>
          <w:rStyle w:val="FootnoteReference"/>
        </w:rPr>
        <w:footnoteRef/>
      </w:r>
      <w:r w:rsidRPr="004D5481">
        <w:t xml:space="preserve"> July 27 Entry, at ¶ 48.</w:t>
      </w:r>
    </w:p>
  </w:footnote>
  <w:footnote w:id="6">
    <w:p w:rsidR="007031AF" w:rsidRPr="004D5481" w:rsidP="00EB2B55" w14:paraId="5E13143A" w14:textId="1F7A618F">
      <w:pPr>
        <w:pStyle w:val="FootnoteText"/>
        <w:spacing w:after="120"/>
      </w:pPr>
      <w:r w:rsidRPr="004D5481">
        <w:rPr>
          <w:rStyle w:val="FootnoteReference"/>
        </w:rPr>
        <w:footnoteRef/>
      </w:r>
      <w:r w:rsidRPr="004D5481">
        <w:t xml:space="preserve"> July 27 Entry, at ¶ 53.</w:t>
      </w:r>
    </w:p>
  </w:footnote>
  <w:footnote w:id="7">
    <w:p w:rsidR="00212AB5" w:rsidRPr="004D5481" w:rsidP="00EB2B55" w14:paraId="79291664" w14:textId="77777777">
      <w:pPr>
        <w:pStyle w:val="FootnoteText"/>
        <w:spacing w:after="120"/>
      </w:pPr>
      <w:r w:rsidRPr="004D5481">
        <w:rPr>
          <w:rStyle w:val="FootnoteReference"/>
        </w:rPr>
        <w:footnoteRef/>
      </w:r>
      <w:r w:rsidRPr="004D5481">
        <w:t xml:space="preserve"> July 27 Entry, at ¶ 54.</w:t>
      </w:r>
    </w:p>
  </w:footnote>
  <w:footnote w:id="8">
    <w:p w:rsidR="00212AB5" w:rsidRPr="004D5481" w:rsidP="00EB2B55" w14:paraId="384CF6EF" w14:textId="77777777">
      <w:pPr>
        <w:pStyle w:val="FootnoteText"/>
        <w:spacing w:after="120"/>
      </w:pPr>
      <w:r w:rsidRPr="004D5481">
        <w:rPr>
          <w:rStyle w:val="FootnoteReference"/>
        </w:rPr>
        <w:footnoteRef/>
      </w:r>
      <w:r w:rsidRPr="004D5481">
        <w:t xml:space="preserve"> July 27 Entry, at ¶ 54.</w:t>
      </w:r>
    </w:p>
  </w:footnote>
  <w:footnote w:id="9">
    <w:p w:rsidR="00D97C5F" w:rsidRPr="004D5481" w:rsidP="00EB2B55" w14:paraId="03828F37" w14:textId="77777777">
      <w:pPr>
        <w:pStyle w:val="FootnoteText"/>
        <w:spacing w:after="120"/>
        <w:rPr>
          <w:i/>
          <w:iCs/>
        </w:rPr>
      </w:pPr>
      <w:r w:rsidRPr="004D5481">
        <w:rPr>
          <w:rStyle w:val="FootnoteReference"/>
        </w:rPr>
        <w:footnoteRef/>
      </w:r>
      <w:r w:rsidRPr="004D5481">
        <w:t xml:space="preserve"> </w:t>
      </w:r>
      <w:r w:rsidRPr="004D5481">
        <w:rPr>
          <w:i/>
          <w:iCs/>
        </w:rPr>
        <w:t xml:space="preserve">See also </w:t>
      </w:r>
      <w:r w:rsidRPr="004D5481">
        <w:t>Ohio Adm. Code 4901-1-11(A)(2) (to intervene, a party should have a “real and substantial interest”).</w:t>
      </w:r>
    </w:p>
  </w:footnote>
  <w:footnote w:id="10">
    <w:p w:rsidR="00D97C5F" w:rsidRPr="004D5481" w:rsidP="00EB2B55" w14:paraId="42BCF431" w14:textId="77777777">
      <w:pPr>
        <w:pStyle w:val="FootnoteText"/>
        <w:spacing w:after="120"/>
        <w:rPr>
          <w:i/>
          <w:iCs/>
        </w:rPr>
      </w:pPr>
      <w:r w:rsidRPr="004D5481">
        <w:rPr>
          <w:rStyle w:val="FootnoteReference"/>
        </w:rPr>
        <w:footnoteRef/>
      </w:r>
      <w:r w:rsidRPr="004D5481">
        <w:t xml:space="preserve"> </w:t>
      </w:r>
      <w:r w:rsidRPr="004D5481">
        <w:rPr>
          <w:i/>
          <w:iCs/>
        </w:rPr>
        <w:t xml:space="preserve">See also </w:t>
      </w:r>
      <w:r w:rsidRPr="004D5481">
        <w:t>Ohio Adm. Code 4901-1-11(B)(1)-(4) (Administrative Code criteria that mirror the statutory criteria in R.C. 4903.221(B)).</w:t>
      </w:r>
    </w:p>
  </w:footnote>
  <w:footnote w:id="11">
    <w:p w:rsidR="006B5273" w:rsidRPr="004D5481" w:rsidP="00EB2B55" w14:paraId="62DC2AC6" w14:textId="34FD78CD">
      <w:pPr>
        <w:pStyle w:val="FootnoteText"/>
        <w:spacing w:after="120"/>
      </w:pPr>
      <w:r w:rsidRPr="004D5481">
        <w:rPr>
          <w:rStyle w:val="FootnoteReference"/>
        </w:rPr>
        <w:footnoteRef/>
      </w:r>
      <w:r w:rsidRPr="004D5481">
        <w:t xml:space="preserve"> July 27 Entry, at ¶ 48.</w:t>
      </w:r>
    </w:p>
  </w:footnote>
  <w:footnote w:id="12">
    <w:p w:rsidR="006B5273" w:rsidRPr="004D5481" w:rsidP="00EB2B55" w14:paraId="3361E478" w14:textId="77777777">
      <w:pPr>
        <w:pStyle w:val="FootnoteText"/>
        <w:spacing w:after="120"/>
      </w:pPr>
      <w:r w:rsidRPr="004D5481">
        <w:rPr>
          <w:rStyle w:val="FootnoteReference"/>
        </w:rPr>
        <w:footnoteRef/>
      </w:r>
      <w:r w:rsidRPr="004D5481">
        <w:t xml:space="preserve"> </w:t>
      </w:r>
      <w:r w:rsidRPr="004D5481">
        <w:rPr>
          <w:i/>
          <w:iCs/>
        </w:rPr>
        <w:t>Ohio Consumers Counsel v. Public Util. Comm.</w:t>
      </w:r>
      <w:r w:rsidRPr="004D5481">
        <w:t>, 111 Ohio St.3d 384, 2006-Ohio-5853, ¶ 20 (emphasis added).</w:t>
      </w:r>
    </w:p>
  </w:footnote>
  <w:footnote w:id="13">
    <w:p w:rsidR="006B5273" w:rsidRPr="004D5481" w:rsidP="00EB2B55" w14:paraId="4D8690B5" w14:textId="5128927A">
      <w:pPr>
        <w:pStyle w:val="FootnoteText"/>
        <w:spacing w:after="120"/>
      </w:pPr>
      <w:r w:rsidRPr="004D5481">
        <w:rPr>
          <w:rStyle w:val="FootnoteReference"/>
        </w:rPr>
        <w:footnoteRef/>
      </w:r>
      <w:r w:rsidRPr="004D5481">
        <w:t xml:space="preserve"> </w:t>
      </w:r>
      <w:r w:rsidRPr="004D5481">
        <w:rPr>
          <w:i/>
          <w:iCs/>
        </w:rPr>
        <w:t xml:space="preserve">Id. </w:t>
      </w:r>
      <w:r w:rsidRPr="004D5481">
        <w:t>at ¶¶</w:t>
      </w:r>
      <w:r w:rsidR="005141DA">
        <w:t xml:space="preserve"> </w:t>
      </w:r>
      <w:r w:rsidRPr="004D5481">
        <w:t xml:space="preserve">18; 20. </w:t>
      </w:r>
    </w:p>
  </w:footnote>
  <w:footnote w:id="14">
    <w:p w:rsidR="006B5273" w:rsidRPr="004D5481" w:rsidP="00EB2B55" w14:paraId="3E6A43AD" w14:textId="1C882DF6">
      <w:pPr>
        <w:pStyle w:val="FootnoteText"/>
        <w:spacing w:after="120"/>
      </w:pPr>
      <w:r w:rsidRPr="004D5481">
        <w:rPr>
          <w:rStyle w:val="FootnoteReference"/>
        </w:rPr>
        <w:footnoteRef/>
      </w:r>
      <w:r w:rsidRPr="004D5481">
        <w:t xml:space="preserve"> </w:t>
      </w:r>
      <w:r w:rsidRPr="004D5481">
        <w:rPr>
          <w:i/>
          <w:iCs/>
        </w:rPr>
        <w:t xml:space="preserve">Id. </w:t>
      </w:r>
      <w:r w:rsidRPr="004D5481">
        <w:t>at ¶</w:t>
      </w:r>
      <w:r w:rsidR="005141DA">
        <w:t xml:space="preserve"> </w:t>
      </w:r>
      <w:r w:rsidRPr="004D5481">
        <w:t xml:space="preserve">20. </w:t>
      </w:r>
    </w:p>
  </w:footnote>
  <w:footnote w:id="15">
    <w:p w:rsidR="006B5273" w:rsidRPr="004D5481" w:rsidP="00EB2B55" w14:paraId="0DB3081C" w14:textId="77777777">
      <w:pPr>
        <w:pStyle w:val="CommentText"/>
        <w:spacing w:after="120"/>
        <w:rPr>
          <w:sz w:val="20"/>
          <w:szCs w:val="20"/>
        </w:rPr>
      </w:pPr>
      <w:r w:rsidRPr="004D5481">
        <w:rPr>
          <w:rStyle w:val="CommentTextChar"/>
          <w:sz w:val="20"/>
          <w:szCs w:val="20"/>
          <w:vertAlign w:val="superscript"/>
        </w:rPr>
        <w:footnoteRef/>
      </w:r>
      <w:r w:rsidRPr="004D5481">
        <w:rPr>
          <w:sz w:val="20"/>
          <w:szCs w:val="20"/>
        </w:rPr>
        <w:t xml:space="preserve"> </w:t>
      </w:r>
      <w:r w:rsidRPr="004D5481">
        <w:rPr>
          <w:i/>
          <w:iCs/>
          <w:sz w:val="20"/>
          <w:szCs w:val="20"/>
        </w:rPr>
        <w:t>See Complaint of Wingo v. Nationwide Energy Partners, L.L.C.</w:t>
      </w:r>
      <w:r w:rsidRPr="004D5481">
        <w:rPr>
          <w:sz w:val="20"/>
          <w:szCs w:val="20"/>
        </w:rPr>
        <w:t>, 163 Ohio St.3d 208 (2020).</w:t>
      </w:r>
    </w:p>
  </w:footnote>
  <w:footnote w:id="16">
    <w:p w:rsidR="00AD0C77" w:rsidRPr="004D5481" w:rsidP="00EB2B55" w14:paraId="5B7AAB8D" w14:textId="65B4A9FF">
      <w:pPr>
        <w:pStyle w:val="FootnoteText"/>
        <w:spacing w:after="120"/>
      </w:pPr>
      <w:r w:rsidRPr="004D5481">
        <w:rPr>
          <w:rStyle w:val="FootnoteReference"/>
        </w:rPr>
        <w:footnoteRef/>
      </w:r>
      <w:r w:rsidRPr="004D5481">
        <w:t xml:space="preserve"> </w:t>
      </w:r>
      <w:r w:rsidRPr="004D5481">
        <w:rPr>
          <w:i/>
          <w:iCs/>
        </w:rPr>
        <w:t xml:space="preserve">See </w:t>
      </w:r>
      <w:r w:rsidRPr="004D5481">
        <w:t>OCC’s Reply to NEP’s Memorandum Contra OCC’s Motion to Intervene (Nov</w:t>
      </w:r>
      <w:r w:rsidR="005141DA">
        <w:t>ember</w:t>
      </w:r>
      <w:r w:rsidRPr="004D5481">
        <w:t xml:space="preserve"> 12, 2021)</w:t>
      </w:r>
      <w:r w:rsidRPr="004D5481" w:rsidR="00AC61C1">
        <w:t xml:space="preserve"> (“Reply”)</w:t>
      </w:r>
      <w:r w:rsidRPr="004D5481">
        <w:t>.</w:t>
      </w:r>
    </w:p>
  </w:footnote>
  <w:footnote w:id="17">
    <w:p w:rsidR="00D97C5F" w:rsidRPr="004D5481" w:rsidP="00EB2B55" w14:paraId="0C1415A5" w14:textId="2F57EF77">
      <w:pPr>
        <w:pStyle w:val="FootnoteText"/>
        <w:spacing w:after="120"/>
      </w:pPr>
      <w:r w:rsidRPr="004D5481">
        <w:rPr>
          <w:rStyle w:val="FootnoteReference"/>
        </w:rPr>
        <w:footnoteRef/>
      </w:r>
      <w:r w:rsidRPr="004D5481">
        <w:t xml:space="preserve"> AEP Complaint, at ¶¶</w:t>
      </w:r>
      <w:r w:rsidR="005141DA">
        <w:t xml:space="preserve"> </w:t>
      </w:r>
      <w:r w:rsidRPr="004D5481">
        <w:t>61-64.</w:t>
      </w:r>
    </w:p>
  </w:footnote>
  <w:footnote w:id="18">
    <w:p w:rsidR="00D97C5F" w:rsidRPr="004D5481" w:rsidP="00EB2B55" w14:paraId="798F111D" w14:textId="05BFB6A5">
      <w:pPr>
        <w:pStyle w:val="FootnoteText"/>
        <w:spacing w:after="120"/>
      </w:pPr>
      <w:r w:rsidRPr="004D5481">
        <w:rPr>
          <w:rStyle w:val="FootnoteReference"/>
        </w:rPr>
        <w:footnoteRef/>
      </w:r>
      <w:r w:rsidRPr="004D5481">
        <w:t xml:space="preserve"> AEP Complaint, at ¶</w:t>
      </w:r>
      <w:r w:rsidR="00B84234">
        <w:t xml:space="preserve"> </w:t>
      </w:r>
      <w:r w:rsidRPr="004D5481">
        <w:t>52.</w:t>
      </w:r>
    </w:p>
  </w:footnote>
  <w:footnote w:id="19">
    <w:p w:rsidR="00D97C5F" w:rsidRPr="004D5481" w:rsidP="00EB2B55" w14:paraId="00906BE4" w14:textId="26CE92E9">
      <w:pPr>
        <w:pStyle w:val="FootnoteText"/>
        <w:spacing w:after="120"/>
      </w:pPr>
      <w:r w:rsidRPr="004D5481">
        <w:rPr>
          <w:rStyle w:val="FootnoteReference"/>
        </w:rPr>
        <w:footnoteRef/>
      </w:r>
      <w:r w:rsidRPr="004D5481">
        <w:t xml:space="preserve"> AEP Complaint, at ¶¶</w:t>
      </w:r>
      <w:r w:rsidR="00B84234">
        <w:t xml:space="preserve"> </w:t>
      </w:r>
      <w:r w:rsidRPr="004D5481">
        <w:t>53-54.</w:t>
      </w:r>
    </w:p>
  </w:footnote>
  <w:footnote w:id="20">
    <w:p w:rsidR="00D97C5F" w:rsidRPr="004D5481" w:rsidP="00EB2B55" w14:paraId="3F87C21A" w14:textId="77777777">
      <w:pPr>
        <w:pStyle w:val="FootnoteText"/>
        <w:spacing w:after="120"/>
      </w:pPr>
      <w:r w:rsidRPr="004D5481">
        <w:rPr>
          <w:rStyle w:val="FootnoteReference"/>
        </w:rPr>
        <w:footnoteRef/>
      </w:r>
      <w:r w:rsidRPr="004D5481">
        <w:t xml:space="preserve"> AEP Complaint, at ¶¶</w:t>
      </w:r>
      <w:r w:rsidRPr="004D5481" w:rsidR="008341B3">
        <w:t xml:space="preserve"> </w:t>
      </w:r>
      <w:r w:rsidRPr="004D5481">
        <w:t>55-60.</w:t>
      </w:r>
    </w:p>
  </w:footnote>
  <w:footnote w:id="21">
    <w:p w:rsidR="00D97C5F" w:rsidRPr="004D5481" w:rsidP="00EB2B55" w14:paraId="562E22BB" w14:textId="77777777">
      <w:pPr>
        <w:pStyle w:val="FootnoteText"/>
        <w:spacing w:after="120"/>
      </w:pPr>
      <w:r w:rsidRPr="004D5481">
        <w:rPr>
          <w:rStyle w:val="FootnoteReference"/>
        </w:rPr>
        <w:footnoteRef/>
      </w:r>
      <w:r w:rsidRPr="004D5481">
        <w:t xml:space="preserve"> </w:t>
      </w:r>
      <w:r w:rsidRPr="004D5481">
        <w:rPr>
          <w:i/>
          <w:iCs/>
        </w:rPr>
        <w:t xml:space="preserve">See, e.g., </w:t>
      </w:r>
      <w:r w:rsidRPr="004D5481">
        <w:t xml:space="preserve">OCC’s Motion to Intervene (October 28, 2021) at 2. </w:t>
      </w:r>
    </w:p>
  </w:footnote>
  <w:footnote w:id="22">
    <w:p w:rsidR="00D97C5F" w:rsidRPr="004D5481" w:rsidP="00EB2B55" w14:paraId="42F74995" w14:textId="77777777">
      <w:pPr>
        <w:pStyle w:val="FootnoteText"/>
        <w:spacing w:after="120"/>
        <w:rPr>
          <w:i/>
          <w:iCs/>
        </w:rPr>
      </w:pPr>
      <w:r w:rsidRPr="004D5481">
        <w:rPr>
          <w:rStyle w:val="FootnoteReference"/>
        </w:rPr>
        <w:footnoteRef/>
      </w:r>
      <w:r w:rsidRPr="004D5481">
        <w:t xml:space="preserve"> </w:t>
      </w:r>
      <w:r w:rsidRPr="004D5481">
        <w:rPr>
          <w:i/>
          <w:iCs/>
        </w:rPr>
        <w:t>Id.</w:t>
      </w:r>
    </w:p>
  </w:footnote>
  <w:footnote w:id="23">
    <w:p w:rsidR="00D97C5F" w:rsidRPr="004D5481" w:rsidP="00EB2B55" w14:paraId="23CEB751" w14:textId="77777777">
      <w:pPr>
        <w:pStyle w:val="FootnoteText"/>
        <w:spacing w:after="120"/>
      </w:pPr>
      <w:r w:rsidRPr="004D5481">
        <w:rPr>
          <w:rStyle w:val="FootnoteReference"/>
        </w:rPr>
        <w:footnoteRef/>
      </w:r>
      <w:r w:rsidRPr="004D5481">
        <w:t xml:space="preserve"> </w:t>
      </w:r>
      <w:r w:rsidRPr="004D5481">
        <w:rPr>
          <w:i/>
          <w:iCs/>
        </w:rPr>
        <w:t xml:space="preserve">Id. </w:t>
      </w:r>
      <w:r w:rsidRPr="004D5481">
        <w:t>at 3.</w:t>
      </w:r>
    </w:p>
  </w:footnote>
  <w:footnote w:id="24">
    <w:p w:rsidR="00D97C5F" w:rsidRPr="004D5481" w:rsidP="00EB2B55" w14:paraId="4C5B5E44" w14:textId="77777777">
      <w:pPr>
        <w:pStyle w:val="FootnoteText"/>
        <w:spacing w:after="120"/>
      </w:pPr>
      <w:r w:rsidRPr="004D5481">
        <w:rPr>
          <w:rStyle w:val="FootnoteReference"/>
        </w:rPr>
        <w:footnoteRef/>
      </w:r>
      <w:r w:rsidRPr="004D5481">
        <w:t xml:space="preserve"> </w:t>
      </w:r>
      <w:r w:rsidRPr="004D5481">
        <w:rPr>
          <w:i/>
          <w:iCs/>
        </w:rPr>
        <w:t xml:space="preserve">See, e.g., </w:t>
      </w:r>
      <w:r w:rsidRPr="004D5481">
        <w:t xml:space="preserve">OCC’s Reply (November 19, 2021) at 1. </w:t>
      </w:r>
    </w:p>
  </w:footnote>
  <w:footnote w:id="25">
    <w:p w:rsidR="00D97C5F" w:rsidRPr="004D5481" w:rsidP="00EB2B55" w14:paraId="683C2740" w14:textId="77777777">
      <w:pPr>
        <w:pStyle w:val="FootnoteText"/>
        <w:spacing w:after="120"/>
      </w:pPr>
      <w:r w:rsidRPr="004D5481">
        <w:rPr>
          <w:rStyle w:val="FootnoteReference"/>
        </w:rPr>
        <w:footnoteRef/>
      </w:r>
      <w:r w:rsidRPr="004D5481">
        <w:t xml:space="preserve"> </w:t>
      </w:r>
      <w:r w:rsidRPr="004D5481">
        <w:rPr>
          <w:i/>
          <w:iCs/>
        </w:rPr>
        <w:t xml:space="preserve">See Id. </w:t>
      </w:r>
      <w:r w:rsidRPr="004D5481">
        <w:t>at 3.</w:t>
      </w:r>
    </w:p>
  </w:footnote>
  <w:footnote w:id="26">
    <w:p w:rsidR="00D97C5F" w:rsidRPr="004D5481" w:rsidP="00EB2B55" w14:paraId="66BAA634" w14:textId="77777777">
      <w:pPr>
        <w:pStyle w:val="FootnoteText"/>
        <w:spacing w:after="120"/>
        <w:rPr>
          <w:i/>
          <w:iCs/>
        </w:rPr>
      </w:pPr>
      <w:r w:rsidRPr="004D5481">
        <w:rPr>
          <w:rStyle w:val="FootnoteReference"/>
        </w:rPr>
        <w:footnoteRef/>
      </w:r>
      <w:r w:rsidRPr="004D5481">
        <w:t xml:space="preserve"> </w:t>
      </w:r>
      <w:r w:rsidRPr="004D5481">
        <w:rPr>
          <w:i/>
          <w:iCs/>
        </w:rPr>
        <w:t>Id.</w:t>
      </w:r>
    </w:p>
  </w:footnote>
  <w:footnote w:id="27">
    <w:p w:rsidR="00C81D8F" w:rsidRPr="004D5481" w:rsidP="00EB2B55" w14:paraId="1F4EA2AB" w14:textId="77777777">
      <w:pPr>
        <w:pStyle w:val="FootnoteText"/>
        <w:spacing w:after="120"/>
      </w:pPr>
      <w:r w:rsidRPr="004D5481">
        <w:rPr>
          <w:rStyle w:val="FootnoteReference"/>
        </w:rPr>
        <w:footnoteRef/>
      </w:r>
      <w:r w:rsidRPr="004D5481">
        <w:t xml:space="preserve"> July 27 Entry, at </w:t>
      </w:r>
      <w:r w:rsidRPr="004D5481" w:rsidR="006A1533">
        <w:t>¶ 54.</w:t>
      </w:r>
    </w:p>
  </w:footnote>
  <w:footnote w:id="28">
    <w:p w:rsidR="007031AF" w:rsidRPr="004D5481" w:rsidP="00EB2B55" w14:paraId="26C34B58" w14:textId="6A4AAF35">
      <w:pPr>
        <w:pStyle w:val="FootnoteText"/>
        <w:spacing w:after="120"/>
      </w:pPr>
      <w:r w:rsidRPr="004D5481">
        <w:rPr>
          <w:rStyle w:val="FootnoteReference"/>
        </w:rPr>
        <w:footnoteRef/>
      </w:r>
      <w:r w:rsidRPr="004D5481">
        <w:t xml:space="preserve"> </w:t>
      </w:r>
      <w:r w:rsidRPr="004D5481" w:rsidR="00E31E99">
        <w:t xml:space="preserve">July 27 </w:t>
      </w:r>
      <w:r w:rsidRPr="004D5481">
        <w:t>Entry</w:t>
      </w:r>
      <w:r w:rsidR="000F2674">
        <w:t>,</w:t>
      </w:r>
      <w:r w:rsidRPr="004D5481">
        <w:t xml:space="preserve"> at ¶</w:t>
      </w:r>
      <w:r w:rsidRPr="004D5481" w:rsidR="00E31E99">
        <w:t xml:space="preserve"> 53</w:t>
      </w:r>
      <w:r w:rsidRPr="004D5481">
        <w:t>.</w:t>
      </w:r>
    </w:p>
  </w:footnote>
  <w:footnote w:id="29">
    <w:p w:rsidR="008A6D06" w:rsidRPr="004D5481" w:rsidP="00EB2B55" w14:paraId="2D2E44EA" w14:textId="7F5190ED">
      <w:pPr>
        <w:pStyle w:val="FootnoteText"/>
        <w:spacing w:after="120"/>
      </w:pPr>
      <w:r w:rsidRPr="004D5481">
        <w:rPr>
          <w:rStyle w:val="FootnoteReference"/>
        </w:rPr>
        <w:footnoteRef/>
      </w:r>
      <w:r w:rsidRPr="004D5481">
        <w:t xml:space="preserve"> </w:t>
      </w:r>
      <w:r w:rsidRPr="004D5481" w:rsidR="0040228B">
        <w:t>Case No. 15-697-EL-CSS, PUCO Entry, (Nov</w:t>
      </w:r>
      <w:r w:rsidR="00EC007A">
        <w:t>ember</w:t>
      </w:r>
      <w:r w:rsidRPr="004D5481" w:rsidR="0040228B">
        <w:t xml:space="preserve"> 18, 2015) (“</w:t>
      </w:r>
      <w:r w:rsidRPr="004D5481" w:rsidR="0040228B">
        <w:rPr>
          <w:i/>
          <w:iCs/>
        </w:rPr>
        <w:t>Whitt</w:t>
      </w:r>
      <w:r w:rsidRPr="004D5481" w:rsidR="0040228B">
        <w:t>”).</w:t>
      </w:r>
    </w:p>
  </w:footnote>
  <w:footnote w:id="30">
    <w:p w:rsidR="00D0356E" w:rsidRPr="004D5481" w:rsidP="00EB2B55" w14:paraId="72100815" w14:textId="060424BA">
      <w:pPr>
        <w:pStyle w:val="FootnoteText"/>
        <w:spacing w:after="120"/>
      </w:pPr>
      <w:r w:rsidRPr="004D5481">
        <w:rPr>
          <w:rStyle w:val="FootnoteReference"/>
        </w:rPr>
        <w:footnoteRef/>
      </w:r>
      <w:r w:rsidRPr="004D5481">
        <w:t xml:space="preserve"> July 27 Entry</w:t>
      </w:r>
      <w:r w:rsidR="00E857B8">
        <w:t>,</w:t>
      </w:r>
      <w:r w:rsidRPr="004D5481">
        <w:t xml:space="preserve"> at ¶ 53.</w:t>
      </w:r>
    </w:p>
  </w:footnote>
  <w:footnote w:id="31">
    <w:p w:rsidR="00D0356E" w:rsidRPr="004D5481" w:rsidP="00EB2B55" w14:paraId="331D4982" w14:textId="68019775">
      <w:pPr>
        <w:pStyle w:val="FootnoteText"/>
        <w:spacing w:after="120"/>
      </w:pPr>
      <w:r w:rsidRPr="004D5481">
        <w:rPr>
          <w:rStyle w:val="FootnoteReference"/>
        </w:rPr>
        <w:footnoteRef/>
      </w:r>
      <w:r w:rsidRPr="004D5481">
        <w:t xml:space="preserve"> July 27 Entry</w:t>
      </w:r>
      <w:r w:rsidR="00E857B8">
        <w:t>,</w:t>
      </w:r>
      <w:r w:rsidRPr="004D5481">
        <w:t xml:space="preserve"> at ¶ 53.</w:t>
      </w:r>
    </w:p>
  </w:footnote>
  <w:footnote w:id="32">
    <w:p w:rsidR="00235AA1" w:rsidRPr="004D5481" w:rsidP="00EB2B55" w14:paraId="77D72C4C" w14:textId="42C86365">
      <w:pPr>
        <w:pStyle w:val="FootnoteText"/>
        <w:spacing w:after="120"/>
      </w:pPr>
      <w:r w:rsidRPr="004D5481">
        <w:rPr>
          <w:rStyle w:val="FootnoteReference"/>
        </w:rPr>
        <w:footnoteRef/>
      </w:r>
      <w:r w:rsidRPr="004D5481">
        <w:t xml:space="preserve"> R.C. 4903.221.</w:t>
      </w:r>
    </w:p>
  </w:footnote>
  <w:footnote w:id="33">
    <w:p w:rsidR="008A6D06" w:rsidRPr="004D5481" w:rsidP="00EB2B55" w14:paraId="14CB5147" w14:textId="3999B4A9">
      <w:pPr>
        <w:pStyle w:val="FootnoteText"/>
        <w:spacing w:after="120"/>
      </w:pPr>
      <w:r w:rsidRPr="004D5481">
        <w:rPr>
          <w:rStyle w:val="FootnoteReference"/>
        </w:rPr>
        <w:footnoteRef/>
      </w:r>
      <w:r w:rsidRPr="004D5481">
        <w:t xml:space="preserve"> </w:t>
      </w:r>
      <w:r w:rsidRPr="004D5481">
        <w:rPr>
          <w:i/>
          <w:iCs/>
        </w:rPr>
        <w:t xml:space="preserve">See </w:t>
      </w:r>
      <w:r w:rsidRPr="004D5481">
        <w:t>Case No. 15-697-EL-CSS, Complaint of Mark Whitt (Apr</w:t>
      </w:r>
      <w:r w:rsidR="00E857B8">
        <w:t>il</w:t>
      </w:r>
      <w:r w:rsidRPr="004D5481">
        <w:t xml:space="preserve"> 10, 2015).</w:t>
      </w:r>
    </w:p>
  </w:footnote>
  <w:footnote w:id="34">
    <w:p w:rsidR="00A54A0A" w:rsidRPr="004D5481" w:rsidP="00EB2B55" w14:paraId="56F9D966" w14:textId="77777777">
      <w:pPr>
        <w:pStyle w:val="FootnoteText"/>
        <w:spacing w:after="120"/>
      </w:pPr>
      <w:r w:rsidRPr="004D5481">
        <w:rPr>
          <w:rStyle w:val="FootnoteReference"/>
        </w:rPr>
        <w:footnoteRef/>
      </w:r>
      <w:r w:rsidRPr="004D5481">
        <w:t xml:space="preserve"> </w:t>
      </w:r>
      <w:r w:rsidRPr="004D5481" w:rsidR="00132F1B">
        <w:t xml:space="preserve">Case No. 15-697-EL-CSS, NEP Memorandum Contra to OCC Motion to Intervene (May 21, 2015), at </w:t>
      </w:r>
      <w:r w:rsidRPr="004D5481" w:rsidR="00CE5ADB">
        <w:t>2.</w:t>
      </w:r>
    </w:p>
  </w:footnote>
  <w:footnote w:id="35">
    <w:p w:rsidR="008A6D06" w:rsidRPr="004D5481" w:rsidP="00EB2B55" w14:paraId="4A15F845" w14:textId="7209E2A6">
      <w:pPr>
        <w:pStyle w:val="FootnoteText"/>
        <w:spacing w:after="120"/>
        <w:rPr>
          <w:i/>
          <w:iCs/>
        </w:rPr>
      </w:pPr>
      <w:r w:rsidRPr="004D5481">
        <w:rPr>
          <w:rStyle w:val="FootnoteReference"/>
        </w:rPr>
        <w:footnoteRef/>
      </w:r>
      <w:r w:rsidRPr="004D5481">
        <w:t xml:space="preserve"> </w:t>
      </w:r>
      <w:r w:rsidRPr="004D5481" w:rsidR="005731F1">
        <w:t>Case No. 15-697-EL-CSS, PUCO Entry, (Nov</w:t>
      </w:r>
      <w:r w:rsidR="00E857B8">
        <w:t>ember</w:t>
      </w:r>
      <w:r w:rsidRPr="004D5481" w:rsidR="005731F1">
        <w:t xml:space="preserve"> 18, 2015), at ¶ 9.</w:t>
      </w:r>
    </w:p>
  </w:footnote>
  <w:footnote w:id="36">
    <w:p w:rsidR="004F5837" w:rsidRPr="004D5481" w:rsidP="00EB2B55" w14:paraId="47E23D37" w14:textId="77777777">
      <w:pPr>
        <w:pStyle w:val="FootnoteText"/>
        <w:spacing w:after="120"/>
      </w:pPr>
      <w:r w:rsidRPr="004D5481">
        <w:rPr>
          <w:rStyle w:val="FootnoteReference"/>
        </w:rPr>
        <w:footnoteRef/>
      </w:r>
      <w:r w:rsidRPr="004D5481">
        <w:t xml:space="preserve"> AEP Complaint, at ¶</w:t>
      </w:r>
      <w:r w:rsidRPr="004D5481" w:rsidR="00C51E3F">
        <w:t>¶</w:t>
      </w:r>
      <w:r w:rsidRPr="004D5481">
        <w:t xml:space="preserve"> 20, 24.</w:t>
      </w:r>
    </w:p>
  </w:footnote>
  <w:footnote w:id="37">
    <w:p w:rsidR="008A6D06" w:rsidRPr="004D5481" w:rsidP="00EB2B55" w14:paraId="4D535221" w14:textId="4846F39B">
      <w:pPr>
        <w:pStyle w:val="FootnoteText"/>
        <w:spacing w:after="120"/>
      </w:pPr>
      <w:r w:rsidRPr="004D5481">
        <w:rPr>
          <w:rStyle w:val="FootnoteReference"/>
        </w:rPr>
        <w:footnoteRef/>
      </w:r>
      <w:r w:rsidRPr="004D5481">
        <w:t xml:space="preserve"> Case No. 15-697-EL-CSS, PUCO Entry, (Nov</w:t>
      </w:r>
      <w:r w:rsidR="00E857B8">
        <w:t>ember</w:t>
      </w:r>
      <w:r w:rsidRPr="004D5481">
        <w:t xml:space="preserve"> 18, 2015), at ¶ 9.</w:t>
      </w:r>
    </w:p>
  </w:footnote>
  <w:footnote w:id="38">
    <w:p w:rsidR="008A6D06" w:rsidRPr="004D5481" w:rsidP="00EB2B55" w14:paraId="10828C17" w14:textId="77777777">
      <w:pPr>
        <w:pStyle w:val="FootnoteText"/>
        <w:spacing w:after="120"/>
      </w:pPr>
      <w:r w:rsidRPr="004D5481">
        <w:rPr>
          <w:rStyle w:val="FootnoteReference"/>
        </w:rPr>
        <w:footnoteRef/>
      </w:r>
      <w:r w:rsidRPr="004D5481">
        <w:t xml:space="preserve"> </w:t>
      </w:r>
      <w:r w:rsidRPr="004D5481">
        <w:rPr>
          <w:i/>
          <w:iCs/>
        </w:rPr>
        <w:t>See In re Complaint of Wingo</w:t>
      </w:r>
      <w:r w:rsidRPr="004D5481">
        <w:t>,</w:t>
      </w:r>
      <w:r w:rsidRPr="004D5481">
        <w:rPr>
          <w:i/>
          <w:iCs/>
        </w:rPr>
        <w:t xml:space="preserve"> </w:t>
      </w:r>
      <w:r w:rsidRPr="004D5481">
        <w:t>Case No. 17-2002-EL-CSS, Entry (July 14, 2021).</w:t>
      </w:r>
    </w:p>
  </w:footnote>
  <w:footnote w:id="39">
    <w:p w:rsidR="00D55DBF" w:rsidRPr="004D5481" w:rsidP="00EB2B55" w14:paraId="2263EE8B" w14:textId="2C5720C6">
      <w:pPr>
        <w:pStyle w:val="FootnoteText"/>
        <w:spacing w:after="120"/>
      </w:pPr>
      <w:r w:rsidRPr="004D5481">
        <w:rPr>
          <w:rStyle w:val="FootnoteReference"/>
        </w:rPr>
        <w:footnoteRef/>
      </w:r>
      <w:r w:rsidRPr="004D5481">
        <w:t xml:space="preserve"> July 27 Entry</w:t>
      </w:r>
      <w:r w:rsidR="00CE1999">
        <w:t>,</w:t>
      </w:r>
      <w:r w:rsidRPr="004D5481">
        <w:t xml:space="preserve"> at ¶ 53.</w:t>
      </w:r>
    </w:p>
  </w:footnote>
  <w:footnote w:id="40">
    <w:p w:rsidR="00550501" w:rsidRPr="004D5481" w:rsidP="00EB2B55" w14:paraId="4C0E6EAD" w14:textId="59FAF040">
      <w:pPr>
        <w:pStyle w:val="FootnoteText"/>
        <w:spacing w:after="120"/>
      </w:pPr>
      <w:r w:rsidRPr="004D5481">
        <w:rPr>
          <w:rStyle w:val="FootnoteReference"/>
        </w:rPr>
        <w:footnoteRef/>
      </w:r>
      <w:r w:rsidRPr="004D5481">
        <w:t xml:space="preserve"> July 27 Entry, at ¶ 53.</w:t>
      </w:r>
    </w:p>
  </w:footnote>
  <w:footnote w:id="41">
    <w:p w:rsidR="002C6D88" w:rsidRPr="004D5481" w:rsidP="00EB2B55" w14:paraId="2C3C65D1" w14:textId="25F8EA9D">
      <w:pPr>
        <w:pStyle w:val="FootnoteText"/>
        <w:spacing w:after="120"/>
      </w:pPr>
      <w:r w:rsidRPr="004D5481">
        <w:rPr>
          <w:rStyle w:val="FootnoteReference"/>
        </w:rPr>
        <w:footnoteRef/>
      </w:r>
      <w:r w:rsidRPr="004D5481">
        <w:t xml:space="preserve"> </w:t>
      </w:r>
      <w:r w:rsidRPr="004D5481">
        <w:rPr>
          <w:i/>
          <w:iCs/>
        </w:rPr>
        <w:t>In re Ohio Schools Council, et al. v. FirstEnergy Solutions Corp.</w:t>
      </w:r>
      <w:r w:rsidRPr="004D5481">
        <w:t>, Case No. 14-1182-EL-CSS, Entry (Sept</w:t>
      </w:r>
      <w:r w:rsidR="00621280">
        <w:t>ember</w:t>
      </w:r>
      <w:r w:rsidRPr="004D5481">
        <w:t xml:space="preserve"> 4, 2014).</w:t>
      </w:r>
    </w:p>
  </w:footnote>
  <w:footnote w:id="42">
    <w:p w:rsidR="002C6D88" w:rsidRPr="004D5481" w:rsidP="00EB2B55" w14:paraId="311C1059" w14:textId="3F310CAB">
      <w:pPr>
        <w:pStyle w:val="FootnoteText"/>
        <w:spacing w:after="120"/>
      </w:pPr>
      <w:r w:rsidRPr="004D5481">
        <w:rPr>
          <w:rStyle w:val="FootnoteReference"/>
        </w:rPr>
        <w:footnoteRef/>
      </w:r>
      <w:r w:rsidRPr="004D5481">
        <w:t xml:space="preserve"> July 27 Entry, at ¶ 53.</w:t>
      </w:r>
    </w:p>
  </w:footnote>
  <w:footnote w:id="43">
    <w:p w:rsidR="003843B6" w:rsidRPr="004D5481" w:rsidP="00EB2B55" w14:paraId="0C13FABB" w14:textId="57BFC8C6">
      <w:pPr>
        <w:pStyle w:val="FootnoteText"/>
        <w:spacing w:after="120"/>
      </w:pPr>
      <w:r w:rsidRPr="004D5481">
        <w:rPr>
          <w:rStyle w:val="FootnoteReference"/>
        </w:rPr>
        <w:footnoteRef/>
      </w:r>
      <w:r w:rsidRPr="004D5481">
        <w:t xml:space="preserve"> Case No. 01-174-EL-CSS, Entry (March 29,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29B3C68"/>
    <w:multiLevelType w:val="hybridMultilevel"/>
    <w:tmpl w:val="53508AF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577BE7"/>
    <w:multiLevelType w:val="hybridMultilevel"/>
    <w:tmpl w:val="FA28898A"/>
    <w:lvl w:ilvl="0">
      <w:start w:val="1"/>
      <w:numFmt w:val="upperRoman"/>
      <w:pStyle w:val="Heading1"/>
      <w:lvlText w:val="%1."/>
      <w:lvlJc w:val="left"/>
      <w:pPr>
        <w:ind w:left="1080" w:hanging="72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75E06116"/>
    <w:multiLevelType w:val="hybridMultilevel"/>
    <w:tmpl w:val="A0D46B1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6"/>
  </w:num>
  <w:num w:numId="4">
    <w:abstractNumId w:val="5"/>
  </w:num>
  <w:num w:numId="5">
    <w:abstractNumId w:val="0"/>
  </w:num>
  <w:num w:numId="6">
    <w:abstractNumId w:val="8"/>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2306"/>
    <w:rsid w:val="000067F1"/>
    <w:rsid w:val="000079E6"/>
    <w:rsid w:val="00012154"/>
    <w:rsid w:val="00022702"/>
    <w:rsid w:val="00025BD0"/>
    <w:rsid w:val="0003127C"/>
    <w:rsid w:val="0003339E"/>
    <w:rsid w:val="000344AF"/>
    <w:rsid w:val="00035B93"/>
    <w:rsid w:val="000379AD"/>
    <w:rsid w:val="000503BE"/>
    <w:rsid w:val="00052DD3"/>
    <w:rsid w:val="00053068"/>
    <w:rsid w:val="000665BF"/>
    <w:rsid w:val="00082870"/>
    <w:rsid w:val="00083F11"/>
    <w:rsid w:val="00085631"/>
    <w:rsid w:val="00091609"/>
    <w:rsid w:val="00091831"/>
    <w:rsid w:val="00091F5A"/>
    <w:rsid w:val="00095BA3"/>
    <w:rsid w:val="00096ADB"/>
    <w:rsid w:val="00097BF6"/>
    <w:rsid w:val="000B37E0"/>
    <w:rsid w:val="000C730F"/>
    <w:rsid w:val="000D3582"/>
    <w:rsid w:val="000D4FEC"/>
    <w:rsid w:val="000D57E8"/>
    <w:rsid w:val="000D57FB"/>
    <w:rsid w:val="000D6CA6"/>
    <w:rsid w:val="000E084F"/>
    <w:rsid w:val="000F2674"/>
    <w:rsid w:val="001073CD"/>
    <w:rsid w:val="001138DE"/>
    <w:rsid w:val="00123FB7"/>
    <w:rsid w:val="00124175"/>
    <w:rsid w:val="00127E68"/>
    <w:rsid w:val="00132D70"/>
    <w:rsid w:val="00132F1B"/>
    <w:rsid w:val="00136534"/>
    <w:rsid w:val="00137A97"/>
    <w:rsid w:val="00142EC0"/>
    <w:rsid w:val="00150BE2"/>
    <w:rsid w:val="001553AA"/>
    <w:rsid w:val="00162D63"/>
    <w:rsid w:val="001662FC"/>
    <w:rsid w:val="00170D4D"/>
    <w:rsid w:val="001801DD"/>
    <w:rsid w:val="00180E45"/>
    <w:rsid w:val="0018123E"/>
    <w:rsid w:val="0018259B"/>
    <w:rsid w:val="0018333C"/>
    <w:rsid w:val="00190E4F"/>
    <w:rsid w:val="00197B51"/>
    <w:rsid w:val="001B13CC"/>
    <w:rsid w:val="001B33FE"/>
    <w:rsid w:val="001B4032"/>
    <w:rsid w:val="001B4114"/>
    <w:rsid w:val="001C3E1D"/>
    <w:rsid w:val="001D0897"/>
    <w:rsid w:val="001D10F6"/>
    <w:rsid w:val="001D2379"/>
    <w:rsid w:val="001E1205"/>
    <w:rsid w:val="001E558A"/>
    <w:rsid w:val="001F05C6"/>
    <w:rsid w:val="001F08C4"/>
    <w:rsid w:val="001F3B0E"/>
    <w:rsid w:val="001F723E"/>
    <w:rsid w:val="002005CB"/>
    <w:rsid w:val="0020117A"/>
    <w:rsid w:val="00201526"/>
    <w:rsid w:val="0020327F"/>
    <w:rsid w:val="00212AB5"/>
    <w:rsid w:val="00217354"/>
    <w:rsid w:val="002200D4"/>
    <w:rsid w:val="00220C8F"/>
    <w:rsid w:val="00220E1F"/>
    <w:rsid w:val="002218AF"/>
    <w:rsid w:val="00227A97"/>
    <w:rsid w:val="00232A94"/>
    <w:rsid w:val="002335D0"/>
    <w:rsid w:val="002354D4"/>
    <w:rsid w:val="00235AA1"/>
    <w:rsid w:val="002374D7"/>
    <w:rsid w:val="00240065"/>
    <w:rsid w:val="002407E1"/>
    <w:rsid w:val="00240FC4"/>
    <w:rsid w:val="00241629"/>
    <w:rsid w:val="00241638"/>
    <w:rsid w:val="00244E7D"/>
    <w:rsid w:val="00244F9B"/>
    <w:rsid w:val="00253E01"/>
    <w:rsid w:val="00254B53"/>
    <w:rsid w:val="002614B5"/>
    <w:rsid w:val="00270856"/>
    <w:rsid w:val="00271BAA"/>
    <w:rsid w:val="00272B7E"/>
    <w:rsid w:val="0027470E"/>
    <w:rsid w:val="00285300"/>
    <w:rsid w:val="00291B62"/>
    <w:rsid w:val="00294AE9"/>
    <w:rsid w:val="002968C9"/>
    <w:rsid w:val="002A39D5"/>
    <w:rsid w:val="002A4912"/>
    <w:rsid w:val="002A776E"/>
    <w:rsid w:val="002B1658"/>
    <w:rsid w:val="002B2718"/>
    <w:rsid w:val="002B2BFA"/>
    <w:rsid w:val="002B5B8F"/>
    <w:rsid w:val="002C2339"/>
    <w:rsid w:val="002C47C7"/>
    <w:rsid w:val="002C4C9C"/>
    <w:rsid w:val="002C6D88"/>
    <w:rsid w:val="002D6FB6"/>
    <w:rsid w:val="002E5B8A"/>
    <w:rsid w:val="002F28EC"/>
    <w:rsid w:val="002F740F"/>
    <w:rsid w:val="00300E0E"/>
    <w:rsid w:val="00302BFD"/>
    <w:rsid w:val="00305876"/>
    <w:rsid w:val="0031121D"/>
    <w:rsid w:val="0031242C"/>
    <w:rsid w:val="00316BC2"/>
    <w:rsid w:val="00320C4D"/>
    <w:rsid w:val="00322013"/>
    <w:rsid w:val="003330AC"/>
    <w:rsid w:val="003373FC"/>
    <w:rsid w:val="00337C80"/>
    <w:rsid w:val="00340412"/>
    <w:rsid w:val="00343E03"/>
    <w:rsid w:val="0034543F"/>
    <w:rsid w:val="00346D8E"/>
    <w:rsid w:val="0035358C"/>
    <w:rsid w:val="00360A50"/>
    <w:rsid w:val="0036200F"/>
    <w:rsid w:val="0036746E"/>
    <w:rsid w:val="00381923"/>
    <w:rsid w:val="003843B6"/>
    <w:rsid w:val="00385DB5"/>
    <w:rsid w:val="00392557"/>
    <w:rsid w:val="00393CBA"/>
    <w:rsid w:val="00396A07"/>
    <w:rsid w:val="003A3EB2"/>
    <w:rsid w:val="003B6976"/>
    <w:rsid w:val="003B7CA8"/>
    <w:rsid w:val="003C22FD"/>
    <w:rsid w:val="003C7194"/>
    <w:rsid w:val="003D1564"/>
    <w:rsid w:val="003D1799"/>
    <w:rsid w:val="003D6019"/>
    <w:rsid w:val="003D625B"/>
    <w:rsid w:val="003F0FBF"/>
    <w:rsid w:val="003F219D"/>
    <w:rsid w:val="003F29B7"/>
    <w:rsid w:val="0040228B"/>
    <w:rsid w:val="00411104"/>
    <w:rsid w:val="00412408"/>
    <w:rsid w:val="004133D9"/>
    <w:rsid w:val="00413895"/>
    <w:rsid w:val="004139B7"/>
    <w:rsid w:val="00414663"/>
    <w:rsid w:val="004211C0"/>
    <w:rsid w:val="00421611"/>
    <w:rsid w:val="004217ED"/>
    <w:rsid w:val="00424E1E"/>
    <w:rsid w:val="004313FA"/>
    <w:rsid w:val="00432B89"/>
    <w:rsid w:val="0043505A"/>
    <w:rsid w:val="00435067"/>
    <w:rsid w:val="00437228"/>
    <w:rsid w:val="00442220"/>
    <w:rsid w:val="004428C6"/>
    <w:rsid w:val="004466EA"/>
    <w:rsid w:val="00453479"/>
    <w:rsid w:val="004600FA"/>
    <w:rsid w:val="0047604C"/>
    <w:rsid w:val="00477DE5"/>
    <w:rsid w:val="004854D8"/>
    <w:rsid w:val="004875E4"/>
    <w:rsid w:val="00490ACB"/>
    <w:rsid w:val="00492CB1"/>
    <w:rsid w:val="004A0113"/>
    <w:rsid w:val="004A68EF"/>
    <w:rsid w:val="004A6C68"/>
    <w:rsid w:val="004B5E17"/>
    <w:rsid w:val="004B74A7"/>
    <w:rsid w:val="004C5D7A"/>
    <w:rsid w:val="004C76B8"/>
    <w:rsid w:val="004D0A18"/>
    <w:rsid w:val="004D29F5"/>
    <w:rsid w:val="004D5481"/>
    <w:rsid w:val="004F0F2F"/>
    <w:rsid w:val="004F5837"/>
    <w:rsid w:val="004F59C9"/>
    <w:rsid w:val="004F5AE6"/>
    <w:rsid w:val="005141DA"/>
    <w:rsid w:val="0051520D"/>
    <w:rsid w:val="0052201B"/>
    <w:rsid w:val="005243EA"/>
    <w:rsid w:val="0052535D"/>
    <w:rsid w:val="00533C97"/>
    <w:rsid w:val="0053639A"/>
    <w:rsid w:val="005455F5"/>
    <w:rsid w:val="00550501"/>
    <w:rsid w:val="00552FA4"/>
    <w:rsid w:val="00561281"/>
    <w:rsid w:val="00561776"/>
    <w:rsid w:val="005617A6"/>
    <w:rsid w:val="005627D9"/>
    <w:rsid w:val="00563C49"/>
    <w:rsid w:val="00565913"/>
    <w:rsid w:val="00566C97"/>
    <w:rsid w:val="005704DF"/>
    <w:rsid w:val="005731F1"/>
    <w:rsid w:val="00577A92"/>
    <w:rsid w:val="00583043"/>
    <w:rsid w:val="00583256"/>
    <w:rsid w:val="005841AA"/>
    <w:rsid w:val="0059527A"/>
    <w:rsid w:val="0059721C"/>
    <w:rsid w:val="005A6744"/>
    <w:rsid w:val="005A7AA2"/>
    <w:rsid w:val="005C2F7F"/>
    <w:rsid w:val="005C3516"/>
    <w:rsid w:val="005D3FC6"/>
    <w:rsid w:val="005D5632"/>
    <w:rsid w:val="005D6A60"/>
    <w:rsid w:val="005D6B05"/>
    <w:rsid w:val="005E40A0"/>
    <w:rsid w:val="005E4CB1"/>
    <w:rsid w:val="005F1CD9"/>
    <w:rsid w:val="005F5616"/>
    <w:rsid w:val="005F740E"/>
    <w:rsid w:val="00610A33"/>
    <w:rsid w:val="00614DF6"/>
    <w:rsid w:val="0062108F"/>
    <w:rsid w:val="00621280"/>
    <w:rsid w:val="0063388A"/>
    <w:rsid w:val="0064028D"/>
    <w:rsid w:val="00641070"/>
    <w:rsid w:val="00644899"/>
    <w:rsid w:val="00646528"/>
    <w:rsid w:val="00651F16"/>
    <w:rsid w:val="00660BAD"/>
    <w:rsid w:val="006802C4"/>
    <w:rsid w:val="00685C49"/>
    <w:rsid w:val="0068632C"/>
    <w:rsid w:val="00686C9F"/>
    <w:rsid w:val="00690AEF"/>
    <w:rsid w:val="006A07B6"/>
    <w:rsid w:val="006A1533"/>
    <w:rsid w:val="006A16A5"/>
    <w:rsid w:val="006A5DAF"/>
    <w:rsid w:val="006A5ED2"/>
    <w:rsid w:val="006A7F5D"/>
    <w:rsid w:val="006B4024"/>
    <w:rsid w:val="006B5273"/>
    <w:rsid w:val="006D1DB7"/>
    <w:rsid w:val="006D3FF2"/>
    <w:rsid w:val="006D5569"/>
    <w:rsid w:val="006D71B6"/>
    <w:rsid w:val="006E384A"/>
    <w:rsid w:val="006E671E"/>
    <w:rsid w:val="006F1F3B"/>
    <w:rsid w:val="006F3A5F"/>
    <w:rsid w:val="006F4FF7"/>
    <w:rsid w:val="0070051D"/>
    <w:rsid w:val="007031AF"/>
    <w:rsid w:val="00706CBB"/>
    <w:rsid w:val="0071213F"/>
    <w:rsid w:val="0071759D"/>
    <w:rsid w:val="0072202B"/>
    <w:rsid w:val="00730C0C"/>
    <w:rsid w:val="00732426"/>
    <w:rsid w:val="00734134"/>
    <w:rsid w:val="00737178"/>
    <w:rsid w:val="00742403"/>
    <w:rsid w:val="00743B0C"/>
    <w:rsid w:val="00747913"/>
    <w:rsid w:val="00752F63"/>
    <w:rsid w:val="00753D09"/>
    <w:rsid w:val="00754784"/>
    <w:rsid w:val="007567D1"/>
    <w:rsid w:val="00760BB8"/>
    <w:rsid w:val="00760DE9"/>
    <w:rsid w:val="00763E67"/>
    <w:rsid w:val="007641F7"/>
    <w:rsid w:val="00765338"/>
    <w:rsid w:val="00766F90"/>
    <w:rsid w:val="00775C45"/>
    <w:rsid w:val="0078043D"/>
    <w:rsid w:val="0078270D"/>
    <w:rsid w:val="00782E53"/>
    <w:rsid w:val="00783401"/>
    <w:rsid w:val="007A1781"/>
    <w:rsid w:val="007A3253"/>
    <w:rsid w:val="007B0C92"/>
    <w:rsid w:val="007B27ED"/>
    <w:rsid w:val="007B377A"/>
    <w:rsid w:val="007B6AAF"/>
    <w:rsid w:val="007B73AD"/>
    <w:rsid w:val="007C0065"/>
    <w:rsid w:val="007C6052"/>
    <w:rsid w:val="007C6EF7"/>
    <w:rsid w:val="007D4E8C"/>
    <w:rsid w:val="007D75D4"/>
    <w:rsid w:val="007E64D9"/>
    <w:rsid w:val="007E7BE3"/>
    <w:rsid w:val="007F6C4F"/>
    <w:rsid w:val="00801EFF"/>
    <w:rsid w:val="00802A1F"/>
    <w:rsid w:val="00806856"/>
    <w:rsid w:val="008069D7"/>
    <w:rsid w:val="00816087"/>
    <w:rsid w:val="0081797A"/>
    <w:rsid w:val="008224DB"/>
    <w:rsid w:val="00822B7A"/>
    <w:rsid w:val="00826275"/>
    <w:rsid w:val="00833587"/>
    <w:rsid w:val="008341B3"/>
    <w:rsid w:val="00834267"/>
    <w:rsid w:val="0084686F"/>
    <w:rsid w:val="00850F2C"/>
    <w:rsid w:val="00854129"/>
    <w:rsid w:val="00854AFA"/>
    <w:rsid w:val="00866E61"/>
    <w:rsid w:val="00872A27"/>
    <w:rsid w:val="00884535"/>
    <w:rsid w:val="0088606B"/>
    <w:rsid w:val="008976DD"/>
    <w:rsid w:val="008A6D06"/>
    <w:rsid w:val="008B370A"/>
    <w:rsid w:val="008B4350"/>
    <w:rsid w:val="008B584A"/>
    <w:rsid w:val="008B6A97"/>
    <w:rsid w:val="008C37A6"/>
    <w:rsid w:val="008C3F6E"/>
    <w:rsid w:val="008D33AF"/>
    <w:rsid w:val="008D3A4F"/>
    <w:rsid w:val="008E0F96"/>
    <w:rsid w:val="008E11BE"/>
    <w:rsid w:val="008E201B"/>
    <w:rsid w:val="008F0324"/>
    <w:rsid w:val="008F0DB3"/>
    <w:rsid w:val="008F4272"/>
    <w:rsid w:val="009010E6"/>
    <w:rsid w:val="00904ECE"/>
    <w:rsid w:val="009118C4"/>
    <w:rsid w:val="00911BB5"/>
    <w:rsid w:val="009143A0"/>
    <w:rsid w:val="00920CC8"/>
    <w:rsid w:val="00927BA7"/>
    <w:rsid w:val="00931B08"/>
    <w:rsid w:val="00933718"/>
    <w:rsid w:val="00937380"/>
    <w:rsid w:val="0094131E"/>
    <w:rsid w:val="0094543A"/>
    <w:rsid w:val="00946D9E"/>
    <w:rsid w:val="00954D3E"/>
    <w:rsid w:val="00955F37"/>
    <w:rsid w:val="009667DF"/>
    <w:rsid w:val="009712EF"/>
    <w:rsid w:val="00973CF7"/>
    <w:rsid w:val="00974508"/>
    <w:rsid w:val="00975A98"/>
    <w:rsid w:val="00976A4E"/>
    <w:rsid w:val="00980C1E"/>
    <w:rsid w:val="009841C3"/>
    <w:rsid w:val="00987C33"/>
    <w:rsid w:val="009A0D9B"/>
    <w:rsid w:val="009A514D"/>
    <w:rsid w:val="009A7BC2"/>
    <w:rsid w:val="009B6D8B"/>
    <w:rsid w:val="009C07C6"/>
    <w:rsid w:val="009C76D5"/>
    <w:rsid w:val="009C7DF3"/>
    <w:rsid w:val="009D0852"/>
    <w:rsid w:val="009E32FC"/>
    <w:rsid w:val="009E773C"/>
    <w:rsid w:val="009F0AE1"/>
    <w:rsid w:val="009F2B6F"/>
    <w:rsid w:val="009F4402"/>
    <w:rsid w:val="009F52C7"/>
    <w:rsid w:val="009F578D"/>
    <w:rsid w:val="009F599C"/>
    <w:rsid w:val="00A01FB9"/>
    <w:rsid w:val="00A02A6B"/>
    <w:rsid w:val="00A044B5"/>
    <w:rsid w:val="00A06136"/>
    <w:rsid w:val="00A07614"/>
    <w:rsid w:val="00A16A71"/>
    <w:rsid w:val="00A20026"/>
    <w:rsid w:val="00A215EB"/>
    <w:rsid w:val="00A220C0"/>
    <w:rsid w:val="00A2384E"/>
    <w:rsid w:val="00A2511A"/>
    <w:rsid w:val="00A30D87"/>
    <w:rsid w:val="00A31357"/>
    <w:rsid w:val="00A31C5D"/>
    <w:rsid w:val="00A33F21"/>
    <w:rsid w:val="00A445E7"/>
    <w:rsid w:val="00A501E8"/>
    <w:rsid w:val="00A50319"/>
    <w:rsid w:val="00A530AB"/>
    <w:rsid w:val="00A54671"/>
    <w:rsid w:val="00A549D7"/>
    <w:rsid w:val="00A54A0A"/>
    <w:rsid w:val="00A54D6C"/>
    <w:rsid w:val="00A5514C"/>
    <w:rsid w:val="00A55D04"/>
    <w:rsid w:val="00A61DE7"/>
    <w:rsid w:val="00A63AC9"/>
    <w:rsid w:val="00A67EE0"/>
    <w:rsid w:val="00A85200"/>
    <w:rsid w:val="00A9601D"/>
    <w:rsid w:val="00AA6A06"/>
    <w:rsid w:val="00AA6B5D"/>
    <w:rsid w:val="00AB537D"/>
    <w:rsid w:val="00AB5D70"/>
    <w:rsid w:val="00AB6756"/>
    <w:rsid w:val="00AC102B"/>
    <w:rsid w:val="00AC61C1"/>
    <w:rsid w:val="00AC7D27"/>
    <w:rsid w:val="00AD0401"/>
    <w:rsid w:val="00AD0C77"/>
    <w:rsid w:val="00AD135E"/>
    <w:rsid w:val="00AD69AD"/>
    <w:rsid w:val="00AD726C"/>
    <w:rsid w:val="00AE177A"/>
    <w:rsid w:val="00AE186C"/>
    <w:rsid w:val="00AE3142"/>
    <w:rsid w:val="00AE437E"/>
    <w:rsid w:val="00AE4906"/>
    <w:rsid w:val="00AF16B3"/>
    <w:rsid w:val="00AF3972"/>
    <w:rsid w:val="00AF5A2E"/>
    <w:rsid w:val="00B04B13"/>
    <w:rsid w:val="00B0586E"/>
    <w:rsid w:val="00B1056A"/>
    <w:rsid w:val="00B108AD"/>
    <w:rsid w:val="00B12B2C"/>
    <w:rsid w:val="00B12E1B"/>
    <w:rsid w:val="00B14BE5"/>
    <w:rsid w:val="00B1775A"/>
    <w:rsid w:val="00B228CE"/>
    <w:rsid w:val="00B2492F"/>
    <w:rsid w:val="00B24E29"/>
    <w:rsid w:val="00B269CF"/>
    <w:rsid w:val="00B35198"/>
    <w:rsid w:val="00B361DB"/>
    <w:rsid w:val="00B36FC9"/>
    <w:rsid w:val="00B41410"/>
    <w:rsid w:val="00B42854"/>
    <w:rsid w:val="00B45A91"/>
    <w:rsid w:val="00B5081F"/>
    <w:rsid w:val="00B52A7F"/>
    <w:rsid w:val="00B547F1"/>
    <w:rsid w:val="00B766CF"/>
    <w:rsid w:val="00B84234"/>
    <w:rsid w:val="00B8665E"/>
    <w:rsid w:val="00B87518"/>
    <w:rsid w:val="00B94A0A"/>
    <w:rsid w:val="00B94D36"/>
    <w:rsid w:val="00B94F99"/>
    <w:rsid w:val="00BA0590"/>
    <w:rsid w:val="00BA335C"/>
    <w:rsid w:val="00BA4B4A"/>
    <w:rsid w:val="00BA4E04"/>
    <w:rsid w:val="00BB0884"/>
    <w:rsid w:val="00BB359A"/>
    <w:rsid w:val="00BB664A"/>
    <w:rsid w:val="00BB76C8"/>
    <w:rsid w:val="00BC42C6"/>
    <w:rsid w:val="00BC565A"/>
    <w:rsid w:val="00BC7AB9"/>
    <w:rsid w:val="00BD7DAC"/>
    <w:rsid w:val="00BE28C9"/>
    <w:rsid w:val="00BE789C"/>
    <w:rsid w:val="00BF20BB"/>
    <w:rsid w:val="00C00EB8"/>
    <w:rsid w:val="00C01A9C"/>
    <w:rsid w:val="00C05E68"/>
    <w:rsid w:val="00C1172E"/>
    <w:rsid w:val="00C168B2"/>
    <w:rsid w:val="00C16E1B"/>
    <w:rsid w:val="00C231FB"/>
    <w:rsid w:val="00C24148"/>
    <w:rsid w:val="00C242DC"/>
    <w:rsid w:val="00C24B1A"/>
    <w:rsid w:val="00C3548A"/>
    <w:rsid w:val="00C44C3C"/>
    <w:rsid w:val="00C51E3F"/>
    <w:rsid w:val="00C61064"/>
    <w:rsid w:val="00C62019"/>
    <w:rsid w:val="00C81D8F"/>
    <w:rsid w:val="00C86ACD"/>
    <w:rsid w:val="00C910AC"/>
    <w:rsid w:val="00C92F4E"/>
    <w:rsid w:val="00CA1BC9"/>
    <w:rsid w:val="00CA6A3D"/>
    <w:rsid w:val="00CA6AB8"/>
    <w:rsid w:val="00CB35B4"/>
    <w:rsid w:val="00CB36B5"/>
    <w:rsid w:val="00CB6155"/>
    <w:rsid w:val="00CB7DC8"/>
    <w:rsid w:val="00CC072E"/>
    <w:rsid w:val="00CC2A6F"/>
    <w:rsid w:val="00CC2F98"/>
    <w:rsid w:val="00CC5549"/>
    <w:rsid w:val="00CC5721"/>
    <w:rsid w:val="00CC6303"/>
    <w:rsid w:val="00CC7081"/>
    <w:rsid w:val="00CC799F"/>
    <w:rsid w:val="00CE14D1"/>
    <w:rsid w:val="00CE1999"/>
    <w:rsid w:val="00CE24FA"/>
    <w:rsid w:val="00CE5ADB"/>
    <w:rsid w:val="00CE66BA"/>
    <w:rsid w:val="00CF13AD"/>
    <w:rsid w:val="00CF4760"/>
    <w:rsid w:val="00CF4E7D"/>
    <w:rsid w:val="00CF7391"/>
    <w:rsid w:val="00D0356E"/>
    <w:rsid w:val="00D13E1B"/>
    <w:rsid w:val="00D150F2"/>
    <w:rsid w:val="00D15BBF"/>
    <w:rsid w:val="00D162C2"/>
    <w:rsid w:val="00D22AD8"/>
    <w:rsid w:val="00D24E4D"/>
    <w:rsid w:val="00D26C0B"/>
    <w:rsid w:val="00D27B1F"/>
    <w:rsid w:val="00D30688"/>
    <w:rsid w:val="00D30EE0"/>
    <w:rsid w:val="00D31438"/>
    <w:rsid w:val="00D37B47"/>
    <w:rsid w:val="00D40393"/>
    <w:rsid w:val="00D4540A"/>
    <w:rsid w:val="00D45F3B"/>
    <w:rsid w:val="00D475BC"/>
    <w:rsid w:val="00D55177"/>
    <w:rsid w:val="00D55DBF"/>
    <w:rsid w:val="00D561F6"/>
    <w:rsid w:val="00D57504"/>
    <w:rsid w:val="00D615C9"/>
    <w:rsid w:val="00D74BAB"/>
    <w:rsid w:val="00D80FB3"/>
    <w:rsid w:val="00D84C51"/>
    <w:rsid w:val="00D87487"/>
    <w:rsid w:val="00D87634"/>
    <w:rsid w:val="00D92BE0"/>
    <w:rsid w:val="00D93165"/>
    <w:rsid w:val="00D966C9"/>
    <w:rsid w:val="00D967F6"/>
    <w:rsid w:val="00D96E4D"/>
    <w:rsid w:val="00D97C5F"/>
    <w:rsid w:val="00DA0D11"/>
    <w:rsid w:val="00DB43D3"/>
    <w:rsid w:val="00DB5372"/>
    <w:rsid w:val="00DC223B"/>
    <w:rsid w:val="00DC35B3"/>
    <w:rsid w:val="00DC7AAE"/>
    <w:rsid w:val="00DD57F2"/>
    <w:rsid w:val="00DE3BDA"/>
    <w:rsid w:val="00DE64CD"/>
    <w:rsid w:val="00E034F4"/>
    <w:rsid w:val="00E03BEA"/>
    <w:rsid w:val="00E06BD7"/>
    <w:rsid w:val="00E10F9E"/>
    <w:rsid w:val="00E13A29"/>
    <w:rsid w:val="00E14D84"/>
    <w:rsid w:val="00E17461"/>
    <w:rsid w:val="00E20F1F"/>
    <w:rsid w:val="00E31AB5"/>
    <w:rsid w:val="00E31E99"/>
    <w:rsid w:val="00E328DF"/>
    <w:rsid w:val="00E36C6D"/>
    <w:rsid w:val="00E4322E"/>
    <w:rsid w:val="00E441F5"/>
    <w:rsid w:val="00E460F3"/>
    <w:rsid w:val="00E47DF4"/>
    <w:rsid w:val="00E504E1"/>
    <w:rsid w:val="00E528C1"/>
    <w:rsid w:val="00E53E74"/>
    <w:rsid w:val="00E565F3"/>
    <w:rsid w:val="00E63E40"/>
    <w:rsid w:val="00E6542A"/>
    <w:rsid w:val="00E737FD"/>
    <w:rsid w:val="00E73AA3"/>
    <w:rsid w:val="00E76CC3"/>
    <w:rsid w:val="00E8073B"/>
    <w:rsid w:val="00E82ED4"/>
    <w:rsid w:val="00E857B8"/>
    <w:rsid w:val="00E900A4"/>
    <w:rsid w:val="00E90D2E"/>
    <w:rsid w:val="00E91FB0"/>
    <w:rsid w:val="00E92DCC"/>
    <w:rsid w:val="00EA5211"/>
    <w:rsid w:val="00EA7A9D"/>
    <w:rsid w:val="00EB1ACD"/>
    <w:rsid w:val="00EB2B55"/>
    <w:rsid w:val="00EC007A"/>
    <w:rsid w:val="00EC2025"/>
    <w:rsid w:val="00EC34E3"/>
    <w:rsid w:val="00ED0CFA"/>
    <w:rsid w:val="00ED2AA8"/>
    <w:rsid w:val="00ED6D7B"/>
    <w:rsid w:val="00ED6ED2"/>
    <w:rsid w:val="00ED7376"/>
    <w:rsid w:val="00EE0A07"/>
    <w:rsid w:val="00EE5317"/>
    <w:rsid w:val="00EF0D72"/>
    <w:rsid w:val="00EF3AD6"/>
    <w:rsid w:val="00EF4A03"/>
    <w:rsid w:val="00F00821"/>
    <w:rsid w:val="00F017B0"/>
    <w:rsid w:val="00F06A04"/>
    <w:rsid w:val="00F11239"/>
    <w:rsid w:val="00F12B0B"/>
    <w:rsid w:val="00F1341B"/>
    <w:rsid w:val="00F16880"/>
    <w:rsid w:val="00F17DCD"/>
    <w:rsid w:val="00F21E15"/>
    <w:rsid w:val="00F24052"/>
    <w:rsid w:val="00F27265"/>
    <w:rsid w:val="00F31F4E"/>
    <w:rsid w:val="00F33A14"/>
    <w:rsid w:val="00F353B5"/>
    <w:rsid w:val="00F40C28"/>
    <w:rsid w:val="00F45207"/>
    <w:rsid w:val="00F5126E"/>
    <w:rsid w:val="00F5255B"/>
    <w:rsid w:val="00F5282B"/>
    <w:rsid w:val="00F5301F"/>
    <w:rsid w:val="00F6129E"/>
    <w:rsid w:val="00F64D4A"/>
    <w:rsid w:val="00F652E4"/>
    <w:rsid w:val="00F65FD0"/>
    <w:rsid w:val="00F661B9"/>
    <w:rsid w:val="00F677CA"/>
    <w:rsid w:val="00F8000D"/>
    <w:rsid w:val="00F86BD5"/>
    <w:rsid w:val="00F870FA"/>
    <w:rsid w:val="00F905EF"/>
    <w:rsid w:val="00F90CF5"/>
    <w:rsid w:val="00F964ED"/>
    <w:rsid w:val="00F97AB3"/>
    <w:rsid w:val="00F97C23"/>
    <w:rsid w:val="00FA2C85"/>
    <w:rsid w:val="00FC11E7"/>
    <w:rsid w:val="00FD12B3"/>
    <w:rsid w:val="00FD2445"/>
    <w:rsid w:val="00FD2CD4"/>
    <w:rsid w:val="00FD78A7"/>
    <w:rsid w:val="00FD7C27"/>
    <w:rsid w:val="00FE15B7"/>
    <w:rsid w:val="00FF08DA"/>
    <w:rsid w:val="00FF186A"/>
    <w:rsid w:val="00FF6503"/>
    <w:rsid w:val="00FF75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6B"/>
    <w:rPr>
      <w:sz w:val="24"/>
    </w:rPr>
  </w:style>
  <w:style w:type="paragraph" w:styleId="Heading1">
    <w:name w:val="heading 1"/>
    <w:basedOn w:val="BodyTextIndent3"/>
    <w:next w:val="Normal"/>
    <w:qFormat/>
    <w:rsid w:val="0071759D"/>
    <w:pPr>
      <w:widowControl w:val="0"/>
      <w:numPr>
        <w:numId w:val="9"/>
      </w:numPr>
      <w:spacing w:after="240" w:line="240" w:lineRule="auto"/>
      <w:ind w:left="720"/>
      <w:outlineLvl w:val="0"/>
    </w:pPr>
    <w:rPr>
      <w:b/>
      <w:bCs/>
      <w:szCs w:val="24"/>
    </w:rPr>
  </w:style>
  <w:style w:type="paragraph" w:styleId="Heading2">
    <w:name w:val="heading 2"/>
    <w:basedOn w:val="Normal"/>
    <w:next w:val="Normal"/>
    <w:qFormat/>
    <w:rsid w:val="004139B7"/>
    <w:pPr>
      <w:ind w:left="720"/>
      <w:contextualSpacing/>
      <w:outlineLvl w:val="1"/>
    </w:pPr>
    <w:rPr>
      <w:b/>
      <w:szCs w:val="24"/>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2354D4"/>
    <w:rPr>
      <w:color w:val="605E5C"/>
      <w:shd w:val="clear" w:color="auto" w:fill="E1DFDD"/>
    </w:rPr>
  </w:style>
  <w:style w:type="character" w:customStyle="1" w:styleId="HTMLPreformattedChar">
    <w:name w:val="HTML Preformatted Char"/>
    <w:link w:val="HTMLPreformatted"/>
    <w:rsid w:val="002354D4"/>
    <w:rPr>
      <w:rFonts w:ascii="Courier New" w:eastAsia="Courier New" w:hAnsi="Courier New" w:cs="Courier New"/>
    </w:rPr>
  </w:style>
  <w:style w:type="character" w:customStyle="1" w:styleId="BodyTextIndent3Char">
    <w:name w:val="Body Text Indent 3 Char"/>
    <w:link w:val="BodyTextIndent3"/>
    <w:rsid w:val="002354D4"/>
    <w:rPr>
      <w:sz w:val="24"/>
    </w:rPr>
  </w:style>
  <w:style w:type="character" w:customStyle="1" w:styleId="CommentTextChar">
    <w:name w:val="Comment Text Char"/>
    <w:link w:val="CommentText"/>
    <w:uiPriority w:val="99"/>
    <w:semiHidden/>
    <w:rsid w:val="001D10F6"/>
    <w:rPr>
      <w:sz w:val="24"/>
      <w:szCs w:val="24"/>
    </w:rPr>
  </w:style>
  <w:style w:type="character" w:customStyle="1" w:styleId="FooterChar">
    <w:name w:val="Footer Char"/>
    <w:basedOn w:val="DefaultParagraphFont"/>
    <w:link w:val="Footer"/>
    <w:uiPriority w:val="99"/>
    <w:rsid w:val="00BE789C"/>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uiPriority w:val="99"/>
    <w:rsid w:val="00ED7376"/>
  </w:style>
  <w:style w:type="paragraph" w:styleId="TOC1">
    <w:name w:val="toc 1"/>
    <w:basedOn w:val="Normal"/>
    <w:next w:val="Normal"/>
    <w:autoRedefine/>
    <w:uiPriority w:val="39"/>
    <w:qFormat/>
    <w:rsid w:val="002335D0"/>
    <w:pPr>
      <w:tabs>
        <w:tab w:val="decimal" w:leader="dot" w:pos="9360"/>
      </w:tabs>
      <w:spacing w:after="240"/>
      <w:ind w:left="720" w:hanging="720"/>
      <w:outlineLvl w:val="0"/>
    </w:pPr>
    <w:rPr>
      <w:rFonts w:cs="Calibri"/>
      <w:caps/>
      <w:szCs w:val="22"/>
    </w:rPr>
  </w:style>
  <w:style w:type="paragraph" w:styleId="TOC2">
    <w:name w:val="toc 2"/>
    <w:basedOn w:val="Normal"/>
    <w:next w:val="Normal"/>
    <w:autoRedefine/>
    <w:uiPriority w:val="39"/>
    <w:qFormat/>
    <w:rsid w:val="0064028D"/>
    <w:pPr>
      <w:tabs>
        <w:tab w:val="decimal" w:leader="dot" w:pos="9360"/>
      </w:tabs>
      <w:spacing w:after="240"/>
      <w:ind w:left="720"/>
      <w:outlineLvl w:val="1"/>
    </w:pPr>
    <w:rPr>
      <w:rFonts w:cs="Calibri"/>
      <w:szCs w:val="22"/>
    </w:rPr>
  </w:style>
  <w:style w:type="paragraph" w:styleId="Revision">
    <w:name w:val="Revision"/>
    <w:hidden/>
    <w:uiPriority w:val="99"/>
    <w:semiHidden/>
    <w:rsid w:val="00802A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john.jones@ohioAGO.gov" TargetMode="External" /><Relationship Id="rId12" Type="http://schemas.openxmlformats.org/officeDocument/2006/relationships/hyperlink" Target="mailto:david.hicks@puco.ohio.gov" TargetMode="External" /><Relationship Id="rId13" Type="http://schemas.openxmlformats.org/officeDocument/2006/relationships/hyperlink" Target="mailto:matthew.sandor@puco.ohio.gov" TargetMode="External" /><Relationship Id="rId14" Type="http://schemas.openxmlformats.org/officeDocument/2006/relationships/hyperlink" Target="mailto:stnourse@aep.com" TargetMode="External" /><Relationship Id="rId15" Type="http://schemas.openxmlformats.org/officeDocument/2006/relationships/hyperlink" Target="mailto:matthew@msmckenzieltd.com" TargetMode="External" /><Relationship Id="rId16" Type="http://schemas.openxmlformats.org/officeDocument/2006/relationships/hyperlink" Target="mailto:mjsettineri@vorys.com" TargetMode="External" /><Relationship Id="rId17" Type="http://schemas.openxmlformats.org/officeDocument/2006/relationships/hyperlink" Target="mailto:aasanyal@vorys.com" TargetMode="External" /><Relationship Id="rId18" Type="http://schemas.openxmlformats.org/officeDocument/2006/relationships/hyperlink" Target="mailto:apguran@vorys.com"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CC643-BCD0-4647-9014-8ECEF957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2022-08-26T18:31:02Z</dcterms:created>
  <dcterms:modified xsi:type="dcterms:W3CDTF">2022-08-26T18:31:02Z</dcterms:modified>
</cp:coreProperties>
</file>